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9EC81" w14:textId="77777777" w:rsidR="00331D62" w:rsidRPr="006D7653" w:rsidRDefault="00331D62" w:rsidP="00331D62">
      <w:pPr>
        <w:spacing w:after="120"/>
        <w:jc w:val="center"/>
        <w:rPr>
          <w:rFonts w:cs="Times New Roman"/>
          <w:b/>
          <w:szCs w:val="24"/>
        </w:rPr>
      </w:pPr>
    </w:p>
    <w:p w14:paraId="6EF2EBAD" w14:textId="77777777" w:rsidR="00331D62" w:rsidRPr="006D7653" w:rsidRDefault="00331D62" w:rsidP="00331D62">
      <w:pPr>
        <w:jc w:val="center"/>
        <w:rPr>
          <w:rFonts w:cs="Times New Roman"/>
          <w:b/>
          <w:sz w:val="40"/>
        </w:rPr>
      </w:pPr>
    </w:p>
    <w:p w14:paraId="78482B61" w14:textId="77777777" w:rsidR="00331D62" w:rsidRPr="006D7653" w:rsidRDefault="00331D62" w:rsidP="00331D62">
      <w:pPr>
        <w:jc w:val="center"/>
        <w:rPr>
          <w:rFonts w:cs="Times New Roman"/>
          <w:b/>
          <w:sz w:val="40"/>
        </w:rPr>
      </w:pPr>
    </w:p>
    <w:p w14:paraId="03B518DC" w14:textId="77777777" w:rsidR="00331D62" w:rsidRPr="006D7653" w:rsidRDefault="00331D62" w:rsidP="00331D62">
      <w:pPr>
        <w:jc w:val="center"/>
        <w:rPr>
          <w:rFonts w:cs="Times New Roman"/>
          <w:b/>
          <w:sz w:val="40"/>
        </w:rPr>
      </w:pPr>
    </w:p>
    <w:p w14:paraId="558763B2" w14:textId="77777777" w:rsidR="00331D62" w:rsidRPr="006D7653" w:rsidRDefault="00331D62" w:rsidP="00331D62">
      <w:pPr>
        <w:jc w:val="center"/>
        <w:rPr>
          <w:rFonts w:cs="Times New Roman"/>
          <w:b/>
          <w:sz w:val="40"/>
        </w:rPr>
      </w:pPr>
    </w:p>
    <w:p w14:paraId="46089136" w14:textId="77777777" w:rsidR="00331D62" w:rsidRPr="006D7653" w:rsidRDefault="00331D62" w:rsidP="00331D62">
      <w:pPr>
        <w:jc w:val="center"/>
        <w:rPr>
          <w:rFonts w:cs="Times New Roman"/>
          <w:b/>
          <w:sz w:val="40"/>
        </w:rPr>
      </w:pPr>
    </w:p>
    <w:p w14:paraId="51B78D86" w14:textId="77777777" w:rsidR="00331D62" w:rsidRPr="006D7653" w:rsidRDefault="00331D62" w:rsidP="00331D62">
      <w:pPr>
        <w:jc w:val="center"/>
        <w:rPr>
          <w:rFonts w:cs="Times New Roman"/>
          <w:b/>
          <w:sz w:val="40"/>
        </w:rPr>
      </w:pPr>
    </w:p>
    <w:p w14:paraId="09BD1D68" w14:textId="77777777" w:rsidR="00331D62" w:rsidRPr="006D7653" w:rsidRDefault="00331D62" w:rsidP="00331D62">
      <w:pPr>
        <w:jc w:val="center"/>
        <w:rPr>
          <w:rFonts w:cs="Times New Roman"/>
          <w:b/>
          <w:sz w:val="40"/>
        </w:rPr>
      </w:pPr>
    </w:p>
    <w:p w14:paraId="371DDC73" w14:textId="77777777" w:rsidR="00331D62" w:rsidRPr="006D7653" w:rsidRDefault="00331D62" w:rsidP="00331D62">
      <w:pPr>
        <w:jc w:val="center"/>
        <w:rPr>
          <w:rFonts w:cs="Times New Roman"/>
          <w:b/>
          <w:sz w:val="44"/>
          <w:szCs w:val="40"/>
        </w:rPr>
      </w:pPr>
      <w:r w:rsidRPr="006D7653">
        <w:rPr>
          <w:rFonts w:cs="Times New Roman"/>
          <w:b/>
          <w:sz w:val="44"/>
          <w:szCs w:val="40"/>
        </w:rPr>
        <w:t>INFORMATĪVAIS ZIŅOJUMS</w:t>
      </w:r>
    </w:p>
    <w:p w14:paraId="0F9EEE10" w14:textId="77777777" w:rsidR="00331D62" w:rsidRPr="006D7653" w:rsidRDefault="00331D62" w:rsidP="00331D62">
      <w:pPr>
        <w:jc w:val="center"/>
        <w:rPr>
          <w:rFonts w:cs="Times New Roman"/>
          <w:b/>
          <w:sz w:val="40"/>
        </w:rPr>
      </w:pPr>
    </w:p>
    <w:p w14:paraId="5F1F9DD3" w14:textId="77777777" w:rsidR="00331D62" w:rsidRPr="006D7653" w:rsidRDefault="00331D62" w:rsidP="00331D62">
      <w:pPr>
        <w:jc w:val="center"/>
        <w:rPr>
          <w:rFonts w:cs="Times New Roman"/>
          <w:b/>
          <w:bCs/>
          <w:sz w:val="44"/>
          <w:szCs w:val="44"/>
        </w:rPr>
      </w:pPr>
      <w:r w:rsidRPr="006D7653">
        <w:rPr>
          <w:rFonts w:eastAsia="Times New Roman" w:cs="Times New Roman"/>
          <w:b/>
          <w:bCs/>
          <w:sz w:val="44"/>
          <w:szCs w:val="44"/>
        </w:rPr>
        <w:t>Par Valsts nodokļu politikas pamatnostādņu 2024. – 2027. gadam izstrādes virzību</w:t>
      </w:r>
    </w:p>
    <w:p w14:paraId="5AF68277" w14:textId="77777777" w:rsidR="00331D62" w:rsidRPr="006D7653" w:rsidRDefault="00331D62" w:rsidP="00331D62">
      <w:pPr>
        <w:jc w:val="center"/>
        <w:rPr>
          <w:rFonts w:cs="Times New Roman"/>
          <w:b/>
          <w:bCs/>
          <w:sz w:val="44"/>
          <w:szCs w:val="44"/>
        </w:rPr>
      </w:pPr>
    </w:p>
    <w:p w14:paraId="3DF7EEC4" w14:textId="77777777" w:rsidR="00331D62" w:rsidRPr="006D7653" w:rsidRDefault="00331D62" w:rsidP="00331D62">
      <w:pPr>
        <w:jc w:val="center"/>
        <w:rPr>
          <w:rFonts w:cs="Times New Roman"/>
          <w:b/>
          <w:sz w:val="26"/>
          <w:szCs w:val="26"/>
        </w:rPr>
      </w:pPr>
    </w:p>
    <w:p w14:paraId="6B8F9F61" w14:textId="77777777" w:rsidR="00331D62" w:rsidRPr="006D7653" w:rsidRDefault="00331D62" w:rsidP="00331D62">
      <w:pPr>
        <w:jc w:val="center"/>
        <w:rPr>
          <w:rFonts w:cs="Times New Roman"/>
          <w:b/>
          <w:sz w:val="26"/>
          <w:szCs w:val="26"/>
        </w:rPr>
      </w:pPr>
    </w:p>
    <w:p w14:paraId="7FE245B2" w14:textId="77777777" w:rsidR="00331D62" w:rsidRPr="006D7653" w:rsidRDefault="00331D62" w:rsidP="00331D62">
      <w:pPr>
        <w:jc w:val="center"/>
        <w:rPr>
          <w:rFonts w:cs="Times New Roman"/>
          <w:b/>
          <w:sz w:val="26"/>
          <w:szCs w:val="26"/>
        </w:rPr>
      </w:pPr>
    </w:p>
    <w:p w14:paraId="2698A870" w14:textId="77777777" w:rsidR="00331D62" w:rsidRPr="006D7653" w:rsidRDefault="00331D62" w:rsidP="00331D62">
      <w:pPr>
        <w:jc w:val="center"/>
        <w:rPr>
          <w:rFonts w:cs="Times New Roman"/>
          <w:b/>
          <w:sz w:val="26"/>
          <w:szCs w:val="26"/>
        </w:rPr>
      </w:pPr>
    </w:p>
    <w:p w14:paraId="4982A462" w14:textId="77777777" w:rsidR="00331D62" w:rsidRPr="006D7653" w:rsidRDefault="00331D62" w:rsidP="00331D62">
      <w:pPr>
        <w:jc w:val="center"/>
        <w:rPr>
          <w:rFonts w:cs="Times New Roman"/>
          <w:b/>
          <w:sz w:val="26"/>
          <w:szCs w:val="26"/>
        </w:rPr>
      </w:pPr>
    </w:p>
    <w:p w14:paraId="33E91952" w14:textId="77777777" w:rsidR="00331D62" w:rsidRPr="006D7653" w:rsidRDefault="00331D62" w:rsidP="00331D62">
      <w:pPr>
        <w:jc w:val="center"/>
        <w:rPr>
          <w:rFonts w:cs="Times New Roman"/>
          <w:b/>
          <w:sz w:val="26"/>
          <w:szCs w:val="26"/>
        </w:rPr>
      </w:pPr>
    </w:p>
    <w:p w14:paraId="107D30D7" w14:textId="77777777" w:rsidR="00331D62" w:rsidRPr="006D7653" w:rsidRDefault="00331D62" w:rsidP="00331D62">
      <w:pPr>
        <w:jc w:val="center"/>
        <w:rPr>
          <w:rFonts w:cs="Times New Roman"/>
          <w:b/>
          <w:sz w:val="26"/>
          <w:szCs w:val="26"/>
        </w:rPr>
      </w:pPr>
    </w:p>
    <w:p w14:paraId="2DC7579D" w14:textId="77777777" w:rsidR="00331D62" w:rsidRPr="006D7653" w:rsidRDefault="00331D62" w:rsidP="00331D62">
      <w:pPr>
        <w:jc w:val="center"/>
        <w:rPr>
          <w:rFonts w:cs="Times New Roman"/>
          <w:b/>
          <w:sz w:val="26"/>
          <w:szCs w:val="26"/>
        </w:rPr>
      </w:pPr>
    </w:p>
    <w:p w14:paraId="5378DBA7" w14:textId="77777777" w:rsidR="00331D62" w:rsidRPr="006D7653" w:rsidRDefault="00331D62" w:rsidP="00331D62">
      <w:pPr>
        <w:jc w:val="center"/>
        <w:rPr>
          <w:rFonts w:cs="Times New Roman"/>
          <w:b/>
          <w:sz w:val="26"/>
          <w:szCs w:val="26"/>
        </w:rPr>
      </w:pPr>
    </w:p>
    <w:p w14:paraId="5E8F89A8" w14:textId="77777777" w:rsidR="00331D62" w:rsidRPr="006D7653" w:rsidRDefault="00331D62" w:rsidP="00331D62">
      <w:pPr>
        <w:jc w:val="center"/>
        <w:rPr>
          <w:rFonts w:cs="Times New Roman"/>
          <w:b/>
          <w:sz w:val="26"/>
          <w:szCs w:val="26"/>
        </w:rPr>
      </w:pPr>
    </w:p>
    <w:p w14:paraId="43A0D2C4" w14:textId="77777777" w:rsidR="00331D62" w:rsidRPr="006D7653" w:rsidRDefault="00331D62" w:rsidP="00331D62">
      <w:pPr>
        <w:jc w:val="center"/>
        <w:rPr>
          <w:rFonts w:cs="Times New Roman"/>
          <w:b/>
          <w:sz w:val="26"/>
          <w:szCs w:val="26"/>
        </w:rPr>
      </w:pPr>
    </w:p>
    <w:p w14:paraId="0BC26FCA" w14:textId="77777777" w:rsidR="00331D62" w:rsidRPr="006D7653" w:rsidRDefault="00331D62" w:rsidP="00331D62">
      <w:pPr>
        <w:jc w:val="center"/>
        <w:rPr>
          <w:rFonts w:cs="Times New Roman"/>
          <w:b/>
          <w:sz w:val="26"/>
          <w:szCs w:val="26"/>
        </w:rPr>
      </w:pPr>
    </w:p>
    <w:p w14:paraId="3D474FE8" w14:textId="77777777" w:rsidR="00331D62" w:rsidRPr="006D7653" w:rsidRDefault="00331D62" w:rsidP="00331D62">
      <w:pPr>
        <w:jc w:val="center"/>
        <w:rPr>
          <w:rFonts w:cs="Times New Roman"/>
          <w:b/>
          <w:sz w:val="26"/>
          <w:szCs w:val="26"/>
        </w:rPr>
      </w:pPr>
    </w:p>
    <w:p w14:paraId="73D1419B" w14:textId="77777777" w:rsidR="00331D62" w:rsidRPr="006D7653" w:rsidRDefault="00331D62" w:rsidP="00331D62">
      <w:pPr>
        <w:jc w:val="center"/>
        <w:rPr>
          <w:rFonts w:cs="Times New Roman"/>
          <w:b/>
          <w:sz w:val="26"/>
          <w:szCs w:val="26"/>
        </w:rPr>
      </w:pPr>
    </w:p>
    <w:p w14:paraId="3DCEDEB4" w14:textId="77777777" w:rsidR="00331D62" w:rsidRPr="006D7653" w:rsidRDefault="00331D62" w:rsidP="00331D62">
      <w:pPr>
        <w:jc w:val="center"/>
        <w:rPr>
          <w:rFonts w:cs="Times New Roman"/>
          <w:b/>
          <w:sz w:val="26"/>
          <w:szCs w:val="26"/>
        </w:rPr>
      </w:pPr>
    </w:p>
    <w:p w14:paraId="444281EC" w14:textId="77777777" w:rsidR="00331D62" w:rsidRPr="006D7653" w:rsidRDefault="00331D62" w:rsidP="00331D62">
      <w:pPr>
        <w:jc w:val="center"/>
        <w:rPr>
          <w:rFonts w:cs="Times New Roman"/>
          <w:b/>
          <w:sz w:val="26"/>
          <w:szCs w:val="26"/>
        </w:rPr>
      </w:pPr>
    </w:p>
    <w:p w14:paraId="467F0F1B" w14:textId="77777777" w:rsidR="00331D62" w:rsidRPr="006D7653" w:rsidRDefault="00331D62" w:rsidP="00331D62">
      <w:pPr>
        <w:jc w:val="center"/>
        <w:rPr>
          <w:rFonts w:cs="Times New Roman"/>
          <w:b/>
          <w:sz w:val="26"/>
          <w:szCs w:val="26"/>
        </w:rPr>
      </w:pPr>
      <w:r w:rsidRPr="006D7653">
        <w:rPr>
          <w:rFonts w:cs="Times New Roman"/>
          <w:b/>
          <w:sz w:val="26"/>
          <w:szCs w:val="26"/>
        </w:rPr>
        <w:t>Finanšu ministrija</w:t>
      </w:r>
    </w:p>
    <w:p w14:paraId="13734685" w14:textId="77777777" w:rsidR="00331D62" w:rsidRPr="006D7653" w:rsidRDefault="00331D62" w:rsidP="00331D62">
      <w:pPr>
        <w:jc w:val="center"/>
        <w:rPr>
          <w:rFonts w:cs="Times New Roman"/>
          <w:b/>
          <w:sz w:val="26"/>
          <w:szCs w:val="26"/>
        </w:rPr>
      </w:pPr>
      <w:r w:rsidRPr="006D7653">
        <w:rPr>
          <w:rFonts w:cs="Times New Roman"/>
          <w:b/>
          <w:sz w:val="26"/>
          <w:szCs w:val="26"/>
        </w:rPr>
        <w:t>2023. gada augusts</w:t>
      </w:r>
    </w:p>
    <w:p w14:paraId="48650946" w14:textId="77777777" w:rsidR="00331D62" w:rsidRPr="006D7653" w:rsidRDefault="00331D62" w:rsidP="00331D62">
      <w:pPr>
        <w:rPr>
          <w:rFonts w:cs="Times New Roman"/>
          <w:b/>
          <w:szCs w:val="24"/>
        </w:rPr>
      </w:pPr>
      <w:r w:rsidRPr="006D7653">
        <w:rPr>
          <w:rFonts w:cs="Times New Roman"/>
          <w:b/>
          <w:szCs w:val="24"/>
        </w:rPr>
        <w:br w:type="page"/>
      </w:r>
    </w:p>
    <w:p w14:paraId="67219BAB" w14:textId="77777777" w:rsidR="00331D62" w:rsidRPr="006D7653" w:rsidRDefault="00331D62" w:rsidP="00331D62">
      <w:pPr>
        <w:tabs>
          <w:tab w:val="center" w:pos="4753"/>
          <w:tab w:val="left" w:pos="5070"/>
          <w:tab w:val="left" w:pos="6540"/>
        </w:tabs>
        <w:jc w:val="left"/>
        <w:rPr>
          <w:rFonts w:cs="Times New Roman"/>
          <w:b/>
          <w:sz w:val="32"/>
        </w:rPr>
      </w:pPr>
      <w:r w:rsidRPr="006D7653">
        <w:rPr>
          <w:rFonts w:cs="Times New Roman"/>
          <w:b/>
          <w:sz w:val="40"/>
        </w:rPr>
        <w:lastRenderedPageBreak/>
        <w:tab/>
        <w:t>Saturs</w:t>
      </w:r>
      <w:r w:rsidRPr="006D7653">
        <w:rPr>
          <w:rFonts w:cs="Times New Roman"/>
          <w:b/>
          <w:sz w:val="40"/>
        </w:rPr>
        <w:tab/>
      </w:r>
    </w:p>
    <w:p w14:paraId="0F5DD5C7" w14:textId="77777777" w:rsidR="00331D62" w:rsidRPr="006D7653" w:rsidRDefault="00331D62" w:rsidP="00331D62">
      <w:pPr>
        <w:jc w:val="center"/>
        <w:rPr>
          <w:rFonts w:cs="Times New Roman"/>
          <w:b/>
          <w:sz w:val="18"/>
        </w:rPr>
      </w:pPr>
    </w:p>
    <w:sdt>
      <w:sdtPr>
        <w:rPr>
          <w:rFonts w:cs="Times New Roman"/>
          <w:noProof w:val="0"/>
        </w:rPr>
        <w:id w:val="-886095326"/>
        <w:docPartObj>
          <w:docPartGallery w:val="Table of Contents"/>
          <w:docPartUnique/>
        </w:docPartObj>
      </w:sdtPr>
      <w:sdtEndPr>
        <w:rPr>
          <w:rFonts w:cstheme="minorBidi"/>
          <w:noProof/>
        </w:rPr>
      </w:sdtEndPr>
      <w:sdtContent>
        <w:p w14:paraId="4C01C3A2" w14:textId="6684B9BC" w:rsidR="006F407B" w:rsidRDefault="00331D62">
          <w:pPr>
            <w:pStyle w:val="TOC1"/>
            <w:rPr>
              <w:rFonts w:asciiTheme="minorHAnsi" w:eastAsiaTheme="minorEastAsia" w:hAnsiTheme="minorHAnsi"/>
              <w:b w:val="0"/>
              <w:kern w:val="2"/>
              <w:sz w:val="22"/>
              <w:lang w:eastAsia="lv-LV"/>
              <w14:ligatures w14:val="standardContextual"/>
            </w:rPr>
          </w:pPr>
          <w:r w:rsidRPr="006D7653">
            <w:rPr>
              <w:rFonts w:cs="Times New Roman"/>
            </w:rPr>
            <w:fldChar w:fldCharType="begin"/>
          </w:r>
          <w:r w:rsidRPr="006D7653">
            <w:rPr>
              <w:rFonts w:cs="Times New Roman"/>
            </w:rPr>
            <w:instrText xml:space="preserve"> TOC \o "1-3" \h \z \u </w:instrText>
          </w:r>
          <w:r w:rsidRPr="006D7653">
            <w:rPr>
              <w:rFonts w:cs="Times New Roman"/>
            </w:rPr>
            <w:fldChar w:fldCharType="separate"/>
          </w:r>
          <w:hyperlink w:anchor="_Toc142897050" w:history="1">
            <w:r w:rsidR="006F407B" w:rsidRPr="00D274CB">
              <w:rPr>
                <w:rStyle w:val="Hyperlink"/>
                <w:rFonts w:cs="Times New Roman"/>
              </w:rPr>
              <w:t>Saīsinājumu saraksts</w:t>
            </w:r>
            <w:r w:rsidR="006F407B">
              <w:rPr>
                <w:webHidden/>
              </w:rPr>
              <w:tab/>
            </w:r>
            <w:r w:rsidR="006F407B">
              <w:rPr>
                <w:webHidden/>
              </w:rPr>
              <w:fldChar w:fldCharType="begin"/>
            </w:r>
            <w:r w:rsidR="006F407B">
              <w:rPr>
                <w:webHidden/>
              </w:rPr>
              <w:instrText xml:space="preserve"> PAGEREF _Toc142897050 \h </w:instrText>
            </w:r>
            <w:r w:rsidR="006F407B">
              <w:rPr>
                <w:webHidden/>
              </w:rPr>
            </w:r>
            <w:r w:rsidR="006F407B">
              <w:rPr>
                <w:webHidden/>
              </w:rPr>
              <w:fldChar w:fldCharType="separate"/>
            </w:r>
            <w:r w:rsidR="006F407B">
              <w:rPr>
                <w:webHidden/>
              </w:rPr>
              <w:t>3</w:t>
            </w:r>
            <w:r w:rsidR="006F407B">
              <w:rPr>
                <w:webHidden/>
              </w:rPr>
              <w:fldChar w:fldCharType="end"/>
            </w:r>
          </w:hyperlink>
        </w:p>
        <w:p w14:paraId="7ABB016E" w14:textId="319C0D94" w:rsidR="006F407B" w:rsidRDefault="00A66AA4">
          <w:pPr>
            <w:pStyle w:val="TOC1"/>
            <w:rPr>
              <w:rFonts w:asciiTheme="minorHAnsi" w:eastAsiaTheme="minorEastAsia" w:hAnsiTheme="minorHAnsi"/>
              <w:b w:val="0"/>
              <w:kern w:val="2"/>
              <w:sz w:val="22"/>
              <w:lang w:eastAsia="lv-LV"/>
              <w14:ligatures w14:val="standardContextual"/>
            </w:rPr>
          </w:pPr>
          <w:hyperlink w:anchor="_Toc142897051" w:history="1">
            <w:r w:rsidR="006F407B" w:rsidRPr="00D274CB">
              <w:rPr>
                <w:rStyle w:val="Hyperlink"/>
                <w:rFonts w:cs="Times New Roman"/>
              </w:rPr>
              <w:t>Ievads</w:t>
            </w:r>
            <w:r w:rsidR="006F407B">
              <w:rPr>
                <w:webHidden/>
              </w:rPr>
              <w:tab/>
            </w:r>
            <w:r w:rsidR="006F407B">
              <w:rPr>
                <w:webHidden/>
              </w:rPr>
              <w:fldChar w:fldCharType="begin"/>
            </w:r>
            <w:r w:rsidR="006F407B">
              <w:rPr>
                <w:webHidden/>
              </w:rPr>
              <w:instrText xml:space="preserve"> PAGEREF _Toc142897051 \h </w:instrText>
            </w:r>
            <w:r w:rsidR="006F407B">
              <w:rPr>
                <w:webHidden/>
              </w:rPr>
            </w:r>
            <w:r w:rsidR="006F407B">
              <w:rPr>
                <w:webHidden/>
              </w:rPr>
              <w:fldChar w:fldCharType="separate"/>
            </w:r>
            <w:r w:rsidR="006F407B">
              <w:rPr>
                <w:webHidden/>
              </w:rPr>
              <w:t>4</w:t>
            </w:r>
            <w:r w:rsidR="006F407B">
              <w:rPr>
                <w:webHidden/>
              </w:rPr>
              <w:fldChar w:fldCharType="end"/>
            </w:r>
          </w:hyperlink>
        </w:p>
        <w:p w14:paraId="7332C228" w14:textId="58095888" w:rsidR="006F407B" w:rsidRDefault="00A66AA4">
          <w:pPr>
            <w:pStyle w:val="TOC1"/>
            <w:rPr>
              <w:rFonts w:asciiTheme="minorHAnsi" w:eastAsiaTheme="minorEastAsia" w:hAnsiTheme="minorHAnsi"/>
              <w:b w:val="0"/>
              <w:kern w:val="2"/>
              <w:sz w:val="22"/>
              <w:lang w:eastAsia="lv-LV"/>
              <w14:ligatures w14:val="standardContextual"/>
            </w:rPr>
          </w:pPr>
          <w:hyperlink w:anchor="_Toc142897052" w:history="1">
            <w:r w:rsidR="006F407B" w:rsidRPr="00D274CB">
              <w:rPr>
                <w:rStyle w:val="Hyperlink"/>
                <w:rFonts w:cs="Times New Roman"/>
              </w:rPr>
              <w:t>1.</w:t>
            </w:r>
            <w:r w:rsidR="006F407B">
              <w:rPr>
                <w:rFonts w:asciiTheme="minorHAnsi" w:eastAsiaTheme="minorEastAsia" w:hAnsiTheme="minorHAnsi"/>
                <w:b w:val="0"/>
                <w:kern w:val="2"/>
                <w:sz w:val="22"/>
                <w:lang w:eastAsia="lv-LV"/>
                <w14:ligatures w14:val="standardContextual"/>
              </w:rPr>
              <w:tab/>
            </w:r>
            <w:r w:rsidR="006F407B" w:rsidRPr="00D274CB">
              <w:rPr>
                <w:rStyle w:val="Hyperlink"/>
                <w:rFonts w:cs="Times New Roman"/>
              </w:rPr>
              <w:t>Ilgtspējīgas publisko pakalpojumu nodrošināšanas izaicinājumi</w:t>
            </w:r>
            <w:r w:rsidR="006F407B">
              <w:rPr>
                <w:webHidden/>
              </w:rPr>
              <w:tab/>
            </w:r>
            <w:r w:rsidR="006F407B">
              <w:rPr>
                <w:webHidden/>
              </w:rPr>
              <w:fldChar w:fldCharType="begin"/>
            </w:r>
            <w:r w:rsidR="006F407B">
              <w:rPr>
                <w:webHidden/>
              </w:rPr>
              <w:instrText xml:space="preserve"> PAGEREF _Toc142897052 \h </w:instrText>
            </w:r>
            <w:r w:rsidR="006F407B">
              <w:rPr>
                <w:webHidden/>
              </w:rPr>
            </w:r>
            <w:r w:rsidR="006F407B">
              <w:rPr>
                <w:webHidden/>
              </w:rPr>
              <w:fldChar w:fldCharType="separate"/>
            </w:r>
            <w:r w:rsidR="006F407B">
              <w:rPr>
                <w:webHidden/>
              </w:rPr>
              <w:t>5</w:t>
            </w:r>
            <w:r w:rsidR="006F407B">
              <w:rPr>
                <w:webHidden/>
              </w:rPr>
              <w:fldChar w:fldCharType="end"/>
            </w:r>
          </w:hyperlink>
        </w:p>
        <w:p w14:paraId="7D4F79A1" w14:textId="3CA43639" w:rsidR="006F407B" w:rsidRDefault="00A66AA4">
          <w:pPr>
            <w:pStyle w:val="TOC1"/>
            <w:rPr>
              <w:rFonts w:asciiTheme="minorHAnsi" w:eastAsiaTheme="minorEastAsia" w:hAnsiTheme="minorHAnsi"/>
              <w:b w:val="0"/>
              <w:kern w:val="2"/>
              <w:sz w:val="22"/>
              <w:lang w:eastAsia="lv-LV"/>
              <w14:ligatures w14:val="standardContextual"/>
            </w:rPr>
          </w:pPr>
          <w:hyperlink w:anchor="_Toc142897053" w:history="1">
            <w:r w:rsidR="006F407B" w:rsidRPr="00D274CB">
              <w:rPr>
                <w:rStyle w:val="Hyperlink"/>
                <w:rFonts w:cs="Times New Roman"/>
              </w:rPr>
              <w:t>2.</w:t>
            </w:r>
            <w:r w:rsidR="006F407B">
              <w:rPr>
                <w:rFonts w:asciiTheme="minorHAnsi" w:eastAsiaTheme="minorEastAsia" w:hAnsiTheme="minorHAnsi"/>
                <w:b w:val="0"/>
                <w:kern w:val="2"/>
                <w:sz w:val="22"/>
                <w:lang w:eastAsia="lv-LV"/>
                <w14:ligatures w14:val="standardContextual"/>
              </w:rPr>
              <w:tab/>
            </w:r>
            <w:r w:rsidR="006F407B" w:rsidRPr="00D274CB">
              <w:rPr>
                <w:rStyle w:val="Hyperlink"/>
                <w:rFonts w:cs="Times New Roman"/>
              </w:rPr>
              <w:t>Nodokļu ieņēmumu potenciāls</w:t>
            </w:r>
            <w:r w:rsidR="006F407B">
              <w:rPr>
                <w:webHidden/>
              </w:rPr>
              <w:tab/>
            </w:r>
            <w:r w:rsidR="006F407B">
              <w:rPr>
                <w:webHidden/>
              </w:rPr>
              <w:fldChar w:fldCharType="begin"/>
            </w:r>
            <w:r w:rsidR="006F407B">
              <w:rPr>
                <w:webHidden/>
              </w:rPr>
              <w:instrText xml:space="preserve"> PAGEREF _Toc142897053 \h </w:instrText>
            </w:r>
            <w:r w:rsidR="006F407B">
              <w:rPr>
                <w:webHidden/>
              </w:rPr>
            </w:r>
            <w:r w:rsidR="006F407B">
              <w:rPr>
                <w:webHidden/>
              </w:rPr>
              <w:fldChar w:fldCharType="separate"/>
            </w:r>
            <w:r w:rsidR="006F407B">
              <w:rPr>
                <w:webHidden/>
              </w:rPr>
              <w:t>8</w:t>
            </w:r>
            <w:r w:rsidR="006F407B">
              <w:rPr>
                <w:webHidden/>
              </w:rPr>
              <w:fldChar w:fldCharType="end"/>
            </w:r>
          </w:hyperlink>
        </w:p>
        <w:p w14:paraId="6CFA147D" w14:textId="2E627C91" w:rsidR="006F407B" w:rsidRDefault="00A66AA4">
          <w:pPr>
            <w:pStyle w:val="TOC1"/>
            <w:rPr>
              <w:rFonts w:asciiTheme="minorHAnsi" w:eastAsiaTheme="minorEastAsia" w:hAnsiTheme="minorHAnsi"/>
              <w:b w:val="0"/>
              <w:kern w:val="2"/>
              <w:sz w:val="22"/>
              <w:lang w:eastAsia="lv-LV"/>
              <w14:ligatures w14:val="standardContextual"/>
            </w:rPr>
          </w:pPr>
          <w:hyperlink w:anchor="_Toc142897054" w:history="1">
            <w:r w:rsidR="006F407B" w:rsidRPr="00D274CB">
              <w:rPr>
                <w:rStyle w:val="Hyperlink"/>
                <w:rFonts w:cs="Times New Roman"/>
              </w:rPr>
              <w:t>3.</w:t>
            </w:r>
            <w:r w:rsidR="006F407B">
              <w:rPr>
                <w:rFonts w:asciiTheme="minorHAnsi" w:eastAsiaTheme="minorEastAsia" w:hAnsiTheme="minorHAnsi"/>
                <w:b w:val="0"/>
                <w:kern w:val="2"/>
                <w:sz w:val="22"/>
                <w:lang w:eastAsia="lv-LV"/>
                <w14:ligatures w14:val="standardContextual"/>
              </w:rPr>
              <w:tab/>
            </w:r>
            <w:r w:rsidR="006F407B" w:rsidRPr="00D274CB">
              <w:rPr>
                <w:rStyle w:val="Hyperlink"/>
                <w:rFonts w:cs="Times New Roman"/>
              </w:rPr>
              <w:t>Ēnu ekonomikas ierobežošanas potenciālā fiskālā ietekme</w:t>
            </w:r>
            <w:r w:rsidR="006F407B">
              <w:rPr>
                <w:webHidden/>
              </w:rPr>
              <w:tab/>
            </w:r>
            <w:r w:rsidR="006F407B">
              <w:rPr>
                <w:webHidden/>
              </w:rPr>
              <w:fldChar w:fldCharType="begin"/>
            </w:r>
            <w:r w:rsidR="006F407B">
              <w:rPr>
                <w:webHidden/>
              </w:rPr>
              <w:instrText xml:space="preserve"> PAGEREF _Toc142897054 \h </w:instrText>
            </w:r>
            <w:r w:rsidR="006F407B">
              <w:rPr>
                <w:webHidden/>
              </w:rPr>
            </w:r>
            <w:r w:rsidR="006F407B">
              <w:rPr>
                <w:webHidden/>
              </w:rPr>
              <w:fldChar w:fldCharType="separate"/>
            </w:r>
            <w:r w:rsidR="006F407B">
              <w:rPr>
                <w:webHidden/>
              </w:rPr>
              <w:t>12</w:t>
            </w:r>
            <w:r w:rsidR="006F407B">
              <w:rPr>
                <w:webHidden/>
              </w:rPr>
              <w:fldChar w:fldCharType="end"/>
            </w:r>
          </w:hyperlink>
        </w:p>
        <w:p w14:paraId="50F0FB1E" w14:textId="4C4802B7" w:rsidR="006F407B" w:rsidRDefault="00A66AA4">
          <w:pPr>
            <w:pStyle w:val="TOC1"/>
            <w:rPr>
              <w:rFonts w:asciiTheme="minorHAnsi" w:eastAsiaTheme="minorEastAsia" w:hAnsiTheme="minorHAnsi"/>
              <w:b w:val="0"/>
              <w:kern w:val="2"/>
              <w:sz w:val="22"/>
              <w:lang w:eastAsia="lv-LV"/>
              <w14:ligatures w14:val="standardContextual"/>
            </w:rPr>
          </w:pPr>
          <w:hyperlink w:anchor="_Toc142897055" w:history="1">
            <w:r w:rsidR="006F407B" w:rsidRPr="00D274CB">
              <w:rPr>
                <w:rStyle w:val="Hyperlink"/>
                <w:rFonts w:cs="Times New Roman"/>
                <w:bCs/>
              </w:rPr>
              <w:t>4.</w:t>
            </w:r>
            <w:r w:rsidR="006F407B">
              <w:rPr>
                <w:rFonts w:asciiTheme="minorHAnsi" w:eastAsiaTheme="minorEastAsia" w:hAnsiTheme="minorHAnsi"/>
                <w:b w:val="0"/>
                <w:kern w:val="2"/>
                <w:sz w:val="22"/>
                <w:lang w:eastAsia="lv-LV"/>
                <w14:ligatures w14:val="standardContextual"/>
              </w:rPr>
              <w:tab/>
            </w:r>
            <w:r w:rsidR="006F407B" w:rsidRPr="00D274CB">
              <w:rPr>
                <w:rStyle w:val="Hyperlink"/>
                <w:rFonts w:cs="Times New Roman"/>
              </w:rPr>
              <w:t>Valsts nodokļu politikas pamatnostādņu 2024. - 2027. gadam mērķi</w:t>
            </w:r>
            <w:r w:rsidR="006F407B">
              <w:rPr>
                <w:webHidden/>
              </w:rPr>
              <w:tab/>
            </w:r>
            <w:r w:rsidR="006F407B">
              <w:rPr>
                <w:webHidden/>
              </w:rPr>
              <w:fldChar w:fldCharType="begin"/>
            </w:r>
            <w:r w:rsidR="006F407B">
              <w:rPr>
                <w:webHidden/>
              </w:rPr>
              <w:instrText xml:space="preserve"> PAGEREF _Toc142897055 \h </w:instrText>
            </w:r>
            <w:r w:rsidR="006F407B">
              <w:rPr>
                <w:webHidden/>
              </w:rPr>
            </w:r>
            <w:r w:rsidR="006F407B">
              <w:rPr>
                <w:webHidden/>
              </w:rPr>
              <w:fldChar w:fldCharType="separate"/>
            </w:r>
            <w:r w:rsidR="006F407B">
              <w:rPr>
                <w:webHidden/>
              </w:rPr>
              <w:t>14</w:t>
            </w:r>
            <w:r w:rsidR="006F407B">
              <w:rPr>
                <w:webHidden/>
              </w:rPr>
              <w:fldChar w:fldCharType="end"/>
            </w:r>
          </w:hyperlink>
        </w:p>
        <w:p w14:paraId="47DE838B" w14:textId="1990E53B" w:rsidR="006F407B" w:rsidRDefault="00A66AA4">
          <w:pPr>
            <w:pStyle w:val="TOC1"/>
            <w:rPr>
              <w:rFonts w:asciiTheme="minorHAnsi" w:eastAsiaTheme="minorEastAsia" w:hAnsiTheme="minorHAnsi"/>
              <w:b w:val="0"/>
              <w:kern w:val="2"/>
              <w:sz w:val="22"/>
              <w:lang w:eastAsia="lv-LV"/>
              <w14:ligatures w14:val="standardContextual"/>
            </w:rPr>
          </w:pPr>
          <w:hyperlink w:anchor="_Toc142897056" w:history="1">
            <w:r w:rsidR="006F407B" w:rsidRPr="00D274CB">
              <w:rPr>
                <w:rStyle w:val="Hyperlink"/>
                <w:rFonts w:cs="Times New Roman"/>
                <w:bCs/>
              </w:rPr>
              <w:t>5.</w:t>
            </w:r>
            <w:r w:rsidR="006F407B">
              <w:rPr>
                <w:rFonts w:asciiTheme="minorHAnsi" w:eastAsiaTheme="minorEastAsia" w:hAnsiTheme="minorHAnsi"/>
                <w:b w:val="0"/>
                <w:kern w:val="2"/>
                <w:sz w:val="22"/>
                <w:lang w:eastAsia="lv-LV"/>
                <w14:ligatures w14:val="standardContextual"/>
              </w:rPr>
              <w:tab/>
            </w:r>
            <w:r w:rsidR="006F407B" w:rsidRPr="00D274CB">
              <w:rPr>
                <w:rStyle w:val="Hyperlink"/>
                <w:rFonts w:cs="Times New Roman"/>
              </w:rPr>
              <w:t>Valsts nodokļu politikas pamatnostādņu izstrādes virzība</w:t>
            </w:r>
            <w:r w:rsidR="006F407B">
              <w:rPr>
                <w:webHidden/>
              </w:rPr>
              <w:tab/>
            </w:r>
            <w:r w:rsidR="006F407B">
              <w:rPr>
                <w:webHidden/>
              </w:rPr>
              <w:fldChar w:fldCharType="begin"/>
            </w:r>
            <w:r w:rsidR="006F407B">
              <w:rPr>
                <w:webHidden/>
              </w:rPr>
              <w:instrText xml:space="preserve"> PAGEREF _Toc142897056 \h </w:instrText>
            </w:r>
            <w:r w:rsidR="006F407B">
              <w:rPr>
                <w:webHidden/>
              </w:rPr>
            </w:r>
            <w:r w:rsidR="006F407B">
              <w:rPr>
                <w:webHidden/>
              </w:rPr>
              <w:fldChar w:fldCharType="separate"/>
            </w:r>
            <w:r w:rsidR="006F407B">
              <w:rPr>
                <w:webHidden/>
              </w:rPr>
              <w:t>15</w:t>
            </w:r>
            <w:r w:rsidR="006F407B">
              <w:rPr>
                <w:webHidden/>
              </w:rPr>
              <w:fldChar w:fldCharType="end"/>
            </w:r>
          </w:hyperlink>
        </w:p>
        <w:p w14:paraId="3E693693" w14:textId="5F1EE1A7" w:rsidR="006F407B" w:rsidRDefault="00A66AA4">
          <w:pPr>
            <w:pStyle w:val="TOC1"/>
            <w:rPr>
              <w:rFonts w:asciiTheme="minorHAnsi" w:eastAsiaTheme="minorEastAsia" w:hAnsiTheme="minorHAnsi"/>
              <w:b w:val="0"/>
              <w:kern w:val="2"/>
              <w:sz w:val="22"/>
              <w:lang w:eastAsia="lv-LV"/>
              <w14:ligatures w14:val="standardContextual"/>
            </w:rPr>
          </w:pPr>
          <w:hyperlink w:anchor="_Toc142897057" w:history="1">
            <w:r w:rsidR="006F407B" w:rsidRPr="00D274CB">
              <w:rPr>
                <w:rStyle w:val="Hyperlink"/>
              </w:rPr>
              <w:t>6.</w:t>
            </w:r>
            <w:r w:rsidR="006F407B">
              <w:rPr>
                <w:rFonts w:asciiTheme="minorHAnsi" w:eastAsiaTheme="minorEastAsia" w:hAnsiTheme="minorHAnsi"/>
                <w:b w:val="0"/>
                <w:kern w:val="2"/>
                <w:sz w:val="22"/>
                <w:lang w:eastAsia="lv-LV"/>
                <w14:ligatures w14:val="standardContextual"/>
              </w:rPr>
              <w:tab/>
            </w:r>
            <w:r w:rsidR="006F407B" w:rsidRPr="00D274CB">
              <w:rPr>
                <w:rStyle w:val="Hyperlink"/>
              </w:rPr>
              <w:t>Iniciatīvas uz 2024. gada budžetu</w:t>
            </w:r>
            <w:r w:rsidR="006F407B">
              <w:rPr>
                <w:webHidden/>
              </w:rPr>
              <w:tab/>
            </w:r>
            <w:r w:rsidR="006F407B">
              <w:rPr>
                <w:webHidden/>
              </w:rPr>
              <w:fldChar w:fldCharType="begin"/>
            </w:r>
            <w:r w:rsidR="006F407B">
              <w:rPr>
                <w:webHidden/>
              </w:rPr>
              <w:instrText xml:space="preserve"> PAGEREF _Toc142897057 \h </w:instrText>
            </w:r>
            <w:r w:rsidR="006F407B">
              <w:rPr>
                <w:webHidden/>
              </w:rPr>
            </w:r>
            <w:r w:rsidR="006F407B">
              <w:rPr>
                <w:webHidden/>
              </w:rPr>
              <w:fldChar w:fldCharType="separate"/>
            </w:r>
            <w:r w:rsidR="006F407B">
              <w:rPr>
                <w:webHidden/>
              </w:rPr>
              <w:t>17</w:t>
            </w:r>
            <w:r w:rsidR="006F407B">
              <w:rPr>
                <w:webHidden/>
              </w:rPr>
              <w:fldChar w:fldCharType="end"/>
            </w:r>
          </w:hyperlink>
        </w:p>
        <w:p w14:paraId="655F7F64" w14:textId="13F18223" w:rsidR="006F407B" w:rsidRDefault="00A66AA4">
          <w:pPr>
            <w:pStyle w:val="TOC2"/>
            <w:tabs>
              <w:tab w:val="left" w:pos="1760"/>
              <w:tab w:val="right" w:leader="dot" w:pos="8777"/>
            </w:tabs>
            <w:rPr>
              <w:rFonts w:asciiTheme="minorHAnsi" w:eastAsiaTheme="minorEastAsia" w:hAnsiTheme="minorHAnsi"/>
              <w:noProof/>
              <w:kern w:val="2"/>
              <w:sz w:val="22"/>
              <w:lang w:eastAsia="lv-LV"/>
              <w14:ligatures w14:val="standardContextual"/>
            </w:rPr>
          </w:pPr>
          <w:hyperlink w:anchor="_Toc142897058" w:history="1">
            <w:r w:rsidR="006F407B" w:rsidRPr="00D274CB">
              <w:rPr>
                <w:rStyle w:val="Hyperlink"/>
                <w:noProof/>
              </w:rPr>
              <w:t>6.1.</w:t>
            </w:r>
            <w:r w:rsidR="006F407B">
              <w:rPr>
                <w:rFonts w:asciiTheme="minorHAnsi" w:eastAsiaTheme="minorEastAsia" w:hAnsiTheme="minorHAnsi"/>
                <w:noProof/>
                <w:kern w:val="2"/>
                <w:sz w:val="22"/>
                <w:lang w:eastAsia="lv-LV"/>
                <w14:ligatures w14:val="standardContextual"/>
              </w:rPr>
              <w:tab/>
            </w:r>
            <w:r w:rsidR="006F407B" w:rsidRPr="00D274CB">
              <w:rPr>
                <w:rStyle w:val="Hyperlink"/>
                <w:noProof/>
              </w:rPr>
              <w:t>Akcīzes nodoklis</w:t>
            </w:r>
            <w:r w:rsidR="006F407B">
              <w:rPr>
                <w:noProof/>
                <w:webHidden/>
              </w:rPr>
              <w:tab/>
            </w:r>
            <w:r w:rsidR="006F407B">
              <w:rPr>
                <w:noProof/>
                <w:webHidden/>
              </w:rPr>
              <w:fldChar w:fldCharType="begin"/>
            </w:r>
            <w:r w:rsidR="006F407B">
              <w:rPr>
                <w:noProof/>
                <w:webHidden/>
              </w:rPr>
              <w:instrText xml:space="preserve"> PAGEREF _Toc142897058 \h </w:instrText>
            </w:r>
            <w:r w:rsidR="006F407B">
              <w:rPr>
                <w:noProof/>
                <w:webHidden/>
              </w:rPr>
            </w:r>
            <w:r w:rsidR="006F407B">
              <w:rPr>
                <w:noProof/>
                <w:webHidden/>
              </w:rPr>
              <w:fldChar w:fldCharType="separate"/>
            </w:r>
            <w:r w:rsidR="006F407B">
              <w:rPr>
                <w:noProof/>
                <w:webHidden/>
              </w:rPr>
              <w:t>17</w:t>
            </w:r>
            <w:r w:rsidR="006F407B">
              <w:rPr>
                <w:noProof/>
                <w:webHidden/>
              </w:rPr>
              <w:fldChar w:fldCharType="end"/>
            </w:r>
          </w:hyperlink>
        </w:p>
        <w:p w14:paraId="1BA6FEF0" w14:textId="2FDBC028" w:rsidR="006F407B" w:rsidRDefault="00A66AA4">
          <w:pPr>
            <w:pStyle w:val="TOC2"/>
            <w:tabs>
              <w:tab w:val="left" w:pos="1760"/>
              <w:tab w:val="right" w:leader="dot" w:pos="8777"/>
            </w:tabs>
            <w:rPr>
              <w:rFonts w:asciiTheme="minorHAnsi" w:eastAsiaTheme="minorEastAsia" w:hAnsiTheme="minorHAnsi"/>
              <w:noProof/>
              <w:kern w:val="2"/>
              <w:sz w:val="22"/>
              <w:lang w:eastAsia="lv-LV"/>
              <w14:ligatures w14:val="standardContextual"/>
            </w:rPr>
          </w:pPr>
          <w:hyperlink w:anchor="_Toc142897059" w:history="1">
            <w:r w:rsidR="006F407B" w:rsidRPr="00D274CB">
              <w:rPr>
                <w:rStyle w:val="Hyperlink"/>
                <w:noProof/>
              </w:rPr>
              <w:t>6.2.</w:t>
            </w:r>
            <w:r w:rsidR="006F407B">
              <w:rPr>
                <w:rFonts w:asciiTheme="minorHAnsi" w:eastAsiaTheme="minorEastAsia" w:hAnsiTheme="minorHAnsi"/>
                <w:noProof/>
                <w:kern w:val="2"/>
                <w:sz w:val="22"/>
                <w:lang w:eastAsia="lv-LV"/>
                <w14:ligatures w14:val="standardContextual"/>
              </w:rPr>
              <w:tab/>
            </w:r>
            <w:r w:rsidR="006F407B" w:rsidRPr="00D274CB">
              <w:rPr>
                <w:rStyle w:val="Hyperlink"/>
                <w:noProof/>
              </w:rPr>
              <w:t>Azartspēļu nodoklis</w:t>
            </w:r>
            <w:r w:rsidR="006F407B">
              <w:rPr>
                <w:noProof/>
                <w:webHidden/>
              </w:rPr>
              <w:tab/>
            </w:r>
            <w:r w:rsidR="006F407B">
              <w:rPr>
                <w:noProof/>
                <w:webHidden/>
              </w:rPr>
              <w:fldChar w:fldCharType="begin"/>
            </w:r>
            <w:r w:rsidR="006F407B">
              <w:rPr>
                <w:noProof/>
                <w:webHidden/>
              </w:rPr>
              <w:instrText xml:space="preserve"> PAGEREF _Toc142897059 \h </w:instrText>
            </w:r>
            <w:r w:rsidR="006F407B">
              <w:rPr>
                <w:noProof/>
                <w:webHidden/>
              </w:rPr>
            </w:r>
            <w:r w:rsidR="006F407B">
              <w:rPr>
                <w:noProof/>
                <w:webHidden/>
              </w:rPr>
              <w:fldChar w:fldCharType="separate"/>
            </w:r>
            <w:r w:rsidR="006F407B">
              <w:rPr>
                <w:noProof/>
                <w:webHidden/>
              </w:rPr>
              <w:t>19</w:t>
            </w:r>
            <w:r w:rsidR="006F407B">
              <w:rPr>
                <w:noProof/>
                <w:webHidden/>
              </w:rPr>
              <w:fldChar w:fldCharType="end"/>
            </w:r>
          </w:hyperlink>
        </w:p>
        <w:p w14:paraId="708F0E55" w14:textId="5434A079" w:rsidR="006F407B" w:rsidRDefault="00A66AA4">
          <w:pPr>
            <w:pStyle w:val="TOC2"/>
            <w:tabs>
              <w:tab w:val="left" w:pos="1760"/>
              <w:tab w:val="right" w:leader="dot" w:pos="8777"/>
            </w:tabs>
            <w:rPr>
              <w:rFonts w:asciiTheme="minorHAnsi" w:eastAsiaTheme="minorEastAsia" w:hAnsiTheme="minorHAnsi"/>
              <w:noProof/>
              <w:kern w:val="2"/>
              <w:sz w:val="22"/>
              <w:lang w:eastAsia="lv-LV"/>
              <w14:ligatures w14:val="standardContextual"/>
            </w:rPr>
          </w:pPr>
          <w:hyperlink w:anchor="_Toc142897060" w:history="1">
            <w:r w:rsidR="006F407B" w:rsidRPr="00D274CB">
              <w:rPr>
                <w:rStyle w:val="Hyperlink"/>
                <w:noProof/>
              </w:rPr>
              <w:t>6.3.</w:t>
            </w:r>
            <w:r w:rsidR="006F407B">
              <w:rPr>
                <w:rFonts w:asciiTheme="minorHAnsi" w:eastAsiaTheme="minorEastAsia" w:hAnsiTheme="minorHAnsi"/>
                <w:noProof/>
                <w:kern w:val="2"/>
                <w:sz w:val="22"/>
                <w:lang w:eastAsia="lv-LV"/>
                <w14:ligatures w14:val="standardContextual"/>
              </w:rPr>
              <w:tab/>
            </w:r>
            <w:r w:rsidR="006F407B" w:rsidRPr="00D274CB">
              <w:rPr>
                <w:rStyle w:val="Hyperlink"/>
                <w:noProof/>
              </w:rPr>
              <w:t>Mikrouzņēmumu nodoklis</w:t>
            </w:r>
            <w:r w:rsidR="006F407B">
              <w:rPr>
                <w:noProof/>
                <w:webHidden/>
              </w:rPr>
              <w:tab/>
            </w:r>
            <w:r w:rsidR="006F407B">
              <w:rPr>
                <w:noProof/>
                <w:webHidden/>
              </w:rPr>
              <w:fldChar w:fldCharType="begin"/>
            </w:r>
            <w:r w:rsidR="006F407B">
              <w:rPr>
                <w:noProof/>
                <w:webHidden/>
              </w:rPr>
              <w:instrText xml:space="preserve"> PAGEREF _Toc142897060 \h </w:instrText>
            </w:r>
            <w:r w:rsidR="006F407B">
              <w:rPr>
                <w:noProof/>
                <w:webHidden/>
              </w:rPr>
            </w:r>
            <w:r w:rsidR="006F407B">
              <w:rPr>
                <w:noProof/>
                <w:webHidden/>
              </w:rPr>
              <w:fldChar w:fldCharType="separate"/>
            </w:r>
            <w:r w:rsidR="006F407B">
              <w:rPr>
                <w:noProof/>
                <w:webHidden/>
              </w:rPr>
              <w:t>20</w:t>
            </w:r>
            <w:r w:rsidR="006F407B">
              <w:rPr>
                <w:noProof/>
                <w:webHidden/>
              </w:rPr>
              <w:fldChar w:fldCharType="end"/>
            </w:r>
          </w:hyperlink>
        </w:p>
        <w:p w14:paraId="3B25C838" w14:textId="2BA1F514" w:rsidR="006F407B" w:rsidRDefault="00A66AA4">
          <w:pPr>
            <w:pStyle w:val="TOC2"/>
            <w:tabs>
              <w:tab w:val="left" w:pos="1760"/>
              <w:tab w:val="right" w:leader="dot" w:pos="8777"/>
            </w:tabs>
            <w:rPr>
              <w:rFonts w:asciiTheme="minorHAnsi" w:eastAsiaTheme="minorEastAsia" w:hAnsiTheme="minorHAnsi"/>
              <w:noProof/>
              <w:kern w:val="2"/>
              <w:sz w:val="22"/>
              <w:lang w:eastAsia="lv-LV"/>
              <w14:ligatures w14:val="standardContextual"/>
            </w:rPr>
          </w:pPr>
          <w:hyperlink w:anchor="_Toc142897061" w:history="1">
            <w:r w:rsidR="006F407B" w:rsidRPr="00D274CB">
              <w:rPr>
                <w:rStyle w:val="Hyperlink"/>
                <w:noProof/>
              </w:rPr>
              <w:t>6.4.</w:t>
            </w:r>
            <w:r w:rsidR="006F407B">
              <w:rPr>
                <w:rFonts w:asciiTheme="minorHAnsi" w:eastAsiaTheme="minorEastAsia" w:hAnsiTheme="minorHAnsi"/>
                <w:noProof/>
                <w:kern w:val="2"/>
                <w:sz w:val="22"/>
                <w:lang w:eastAsia="lv-LV"/>
                <w14:ligatures w14:val="standardContextual"/>
              </w:rPr>
              <w:tab/>
            </w:r>
            <w:r w:rsidR="006F407B" w:rsidRPr="00D274CB">
              <w:rPr>
                <w:rStyle w:val="Hyperlink"/>
                <w:noProof/>
              </w:rPr>
              <w:t>Iedzīvotāju ienākuma nodoklis</w:t>
            </w:r>
            <w:r w:rsidR="006F407B">
              <w:rPr>
                <w:noProof/>
                <w:webHidden/>
              </w:rPr>
              <w:tab/>
            </w:r>
            <w:r w:rsidR="006F407B">
              <w:rPr>
                <w:noProof/>
                <w:webHidden/>
              </w:rPr>
              <w:fldChar w:fldCharType="begin"/>
            </w:r>
            <w:r w:rsidR="006F407B">
              <w:rPr>
                <w:noProof/>
                <w:webHidden/>
              </w:rPr>
              <w:instrText xml:space="preserve"> PAGEREF _Toc142897061 \h </w:instrText>
            </w:r>
            <w:r w:rsidR="006F407B">
              <w:rPr>
                <w:noProof/>
                <w:webHidden/>
              </w:rPr>
            </w:r>
            <w:r w:rsidR="006F407B">
              <w:rPr>
                <w:noProof/>
                <w:webHidden/>
              </w:rPr>
              <w:fldChar w:fldCharType="separate"/>
            </w:r>
            <w:r w:rsidR="006F407B">
              <w:rPr>
                <w:noProof/>
                <w:webHidden/>
              </w:rPr>
              <w:t>21</w:t>
            </w:r>
            <w:r w:rsidR="006F407B">
              <w:rPr>
                <w:noProof/>
                <w:webHidden/>
              </w:rPr>
              <w:fldChar w:fldCharType="end"/>
            </w:r>
          </w:hyperlink>
        </w:p>
        <w:p w14:paraId="337ED134" w14:textId="01D1779B" w:rsidR="006F407B" w:rsidRDefault="00A66AA4">
          <w:pPr>
            <w:pStyle w:val="TOC2"/>
            <w:tabs>
              <w:tab w:val="left" w:pos="1760"/>
              <w:tab w:val="right" w:leader="dot" w:pos="8777"/>
            </w:tabs>
            <w:rPr>
              <w:rFonts w:asciiTheme="minorHAnsi" w:eastAsiaTheme="minorEastAsia" w:hAnsiTheme="minorHAnsi"/>
              <w:noProof/>
              <w:kern w:val="2"/>
              <w:sz w:val="22"/>
              <w:lang w:eastAsia="lv-LV"/>
              <w14:ligatures w14:val="standardContextual"/>
            </w:rPr>
          </w:pPr>
          <w:hyperlink w:anchor="_Toc142897062" w:history="1">
            <w:r w:rsidR="006F407B" w:rsidRPr="00D274CB">
              <w:rPr>
                <w:rStyle w:val="Hyperlink"/>
                <w:noProof/>
              </w:rPr>
              <w:t>6.5.</w:t>
            </w:r>
            <w:r w:rsidR="006F407B">
              <w:rPr>
                <w:rFonts w:asciiTheme="minorHAnsi" w:eastAsiaTheme="minorEastAsia" w:hAnsiTheme="minorHAnsi"/>
                <w:noProof/>
                <w:kern w:val="2"/>
                <w:sz w:val="22"/>
                <w:lang w:eastAsia="lv-LV"/>
                <w14:ligatures w14:val="standardContextual"/>
              </w:rPr>
              <w:tab/>
            </w:r>
            <w:r w:rsidR="006F407B" w:rsidRPr="00D274CB">
              <w:rPr>
                <w:rStyle w:val="Hyperlink"/>
                <w:noProof/>
              </w:rPr>
              <w:t>Pievienotās vērtības nodoklis</w:t>
            </w:r>
            <w:r w:rsidR="006F407B">
              <w:rPr>
                <w:noProof/>
                <w:webHidden/>
              </w:rPr>
              <w:tab/>
            </w:r>
            <w:r w:rsidR="006F407B">
              <w:rPr>
                <w:noProof/>
                <w:webHidden/>
              </w:rPr>
              <w:fldChar w:fldCharType="begin"/>
            </w:r>
            <w:r w:rsidR="006F407B">
              <w:rPr>
                <w:noProof/>
                <w:webHidden/>
              </w:rPr>
              <w:instrText xml:space="preserve"> PAGEREF _Toc142897062 \h </w:instrText>
            </w:r>
            <w:r w:rsidR="006F407B">
              <w:rPr>
                <w:noProof/>
                <w:webHidden/>
              </w:rPr>
            </w:r>
            <w:r w:rsidR="006F407B">
              <w:rPr>
                <w:noProof/>
                <w:webHidden/>
              </w:rPr>
              <w:fldChar w:fldCharType="separate"/>
            </w:r>
            <w:r w:rsidR="006F407B">
              <w:rPr>
                <w:noProof/>
                <w:webHidden/>
              </w:rPr>
              <w:t>24</w:t>
            </w:r>
            <w:r w:rsidR="006F407B">
              <w:rPr>
                <w:noProof/>
                <w:webHidden/>
              </w:rPr>
              <w:fldChar w:fldCharType="end"/>
            </w:r>
          </w:hyperlink>
        </w:p>
        <w:p w14:paraId="232C8EF6" w14:textId="0D8A684E" w:rsidR="006F407B" w:rsidRDefault="00A66AA4">
          <w:pPr>
            <w:pStyle w:val="TOC2"/>
            <w:tabs>
              <w:tab w:val="left" w:pos="1760"/>
              <w:tab w:val="right" w:leader="dot" w:pos="8777"/>
            </w:tabs>
            <w:rPr>
              <w:rFonts w:asciiTheme="minorHAnsi" w:eastAsiaTheme="minorEastAsia" w:hAnsiTheme="minorHAnsi"/>
              <w:noProof/>
              <w:kern w:val="2"/>
              <w:sz w:val="22"/>
              <w:lang w:eastAsia="lv-LV"/>
              <w14:ligatures w14:val="standardContextual"/>
            </w:rPr>
          </w:pPr>
          <w:hyperlink w:anchor="_Toc142897063" w:history="1">
            <w:r w:rsidR="006F407B" w:rsidRPr="00D274CB">
              <w:rPr>
                <w:rStyle w:val="Hyperlink"/>
                <w:noProof/>
              </w:rPr>
              <w:t>6.6.</w:t>
            </w:r>
            <w:r w:rsidR="006F407B">
              <w:rPr>
                <w:rFonts w:asciiTheme="minorHAnsi" w:eastAsiaTheme="minorEastAsia" w:hAnsiTheme="minorHAnsi"/>
                <w:noProof/>
                <w:kern w:val="2"/>
                <w:sz w:val="22"/>
                <w:lang w:eastAsia="lv-LV"/>
                <w14:ligatures w14:val="standardContextual"/>
              </w:rPr>
              <w:tab/>
            </w:r>
            <w:r w:rsidR="006F407B" w:rsidRPr="00D274CB">
              <w:rPr>
                <w:rStyle w:val="Hyperlink"/>
                <w:noProof/>
              </w:rPr>
              <w:t>Uzņēmumu ienākuma nodoklis</w:t>
            </w:r>
            <w:r w:rsidR="006F407B">
              <w:rPr>
                <w:noProof/>
                <w:webHidden/>
              </w:rPr>
              <w:tab/>
            </w:r>
            <w:r w:rsidR="006F407B">
              <w:rPr>
                <w:noProof/>
                <w:webHidden/>
              </w:rPr>
              <w:fldChar w:fldCharType="begin"/>
            </w:r>
            <w:r w:rsidR="006F407B">
              <w:rPr>
                <w:noProof/>
                <w:webHidden/>
              </w:rPr>
              <w:instrText xml:space="preserve"> PAGEREF _Toc142897063 \h </w:instrText>
            </w:r>
            <w:r w:rsidR="006F407B">
              <w:rPr>
                <w:noProof/>
                <w:webHidden/>
              </w:rPr>
            </w:r>
            <w:r w:rsidR="006F407B">
              <w:rPr>
                <w:noProof/>
                <w:webHidden/>
              </w:rPr>
              <w:fldChar w:fldCharType="separate"/>
            </w:r>
            <w:r w:rsidR="006F407B">
              <w:rPr>
                <w:noProof/>
                <w:webHidden/>
              </w:rPr>
              <w:t>26</w:t>
            </w:r>
            <w:r w:rsidR="006F407B">
              <w:rPr>
                <w:noProof/>
                <w:webHidden/>
              </w:rPr>
              <w:fldChar w:fldCharType="end"/>
            </w:r>
          </w:hyperlink>
        </w:p>
        <w:p w14:paraId="7F752963" w14:textId="5856E16C" w:rsidR="006F407B" w:rsidRDefault="00A66AA4">
          <w:pPr>
            <w:pStyle w:val="TOC2"/>
            <w:tabs>
              <w:tab w:val="left" w:pos="1760"/>
              <w:tab w:val="right" w:leader="dot" w:pos="8777"/>
            </w:tabs>
            <w:rPr>
              <w:rFonts w:asciiTheme="minorHAnsi" w:eastAsiaTheme="minorEastAsia" w:hAnsiTheme="minorHAnsi"/>
              <w:noProof/>
              <w:kern w:val="2"/>
              <w:sz w:val="22"/>
              <w:lang w:eastAsia="lv-LV"/>
              <w14:ligatures w14:val="standardContextual"/>
            </w:rPr>
          </w:pPr>
          <w:hyperlink w:anchor="_Toc142897064" w:history="1">
            <w:r w:rsidR="006F407B" w:rsidRPr="00D274CB">
              <w:rPr>
                <w:rStyle w:val="Hyperlink"/>
                <w:noProof/>
              </w:rPr>
              <w:t>6.7.</w:t>
            </w:r>
            <w:r w:rsidR="006F407B">
              <w:rPr>
                <w:rFonts w:asciiTheme="minorHAnsi" w:eastAsiaTheme="minorEastAsia" w:hAnsiTheme="minorHAnsi"/>
                <w:noProof/>
                <w:kern w:val="2"/>
                <w:sz w:val="22"/>
                <w:lang w:eastAsia="lv-LV"/>
                <w14:ligatures w14:val="standardContextual"/>
              </w:rPr>
              <w:tab/>
            </w:r>
            <w:r w:rsidR="006F407B" w:rsidRPr="00D274CB">
              <w:rPr>
                <w:rStyle w:val="Hyperlink"/>
                <w:noProof/>
              </w:rPr>
              <w:t>Dabas resursu nodoklis</w:t>
            </w:r>
            <w:r w:rsidR="006F407B">
              <w:rPr>
                <w:noProof/>
                <w:webHidden/>
              </w:rPr>
              <w:tab/>
            </w:r>
            <w:r w:rsidR="006F407B">
              <w:rPr>
                <w:noProof/>
                <w:webHidden/>
              </w:rPr>
              <w:fldChar w:fldCharType="begin"/>
            </w:r>
            <w:r w:rsidR="006F407B">
              <w:rPr>
                <w:noProof/>
                <w:webHidden/>
              </w:rPr>
              <w:instrText xml:space="preserve"> PAGEREF _Toc142897064 \h </w:instrText>
            </w:r>
            <w:r w:rsidR="006F407B">
              <w:rPr>
                <w:noProof/>
                <w:webHidden/>
              </w:rPr>
            </w:r>
            <w:r w:rsidR="006F407B">
              <w:rPr>
                <w:noProof/>
                <w:webHidden/>
              </w:rPr>
              <w:fldChar w:fldCharType="separate"/>
            </w:r>
            <w:r w:rsidR="006F407B">
              <w:rPr>
                <w:noProof/>
                <w:webHidden/>
              </w:rPr>
              <w:t>26</w:t>
            </w:r>
            <w:r w:rsidR="006F407B">
              <w:rPr>
                <w:noProof/>
                <w:webHidden/>
              </w:rPr>
              <w:fldChar w:fldCharType="end"/>
            </w:r>
          </w:hyperlink>
        </w:p>
        <w:p w14:paraId="4CC1B9BE" w14:textId="66FDD2EC" w:rsidR="006F407B" w:rsidRDefault="00A66AA4">
          <w:pPr>
            <w:pStyle w:val="TOC1"/>
            <w:rPr>
              <w:rFonts w:asciiTheme="minorHAnsi" w:eastAsiaTheme="minorEastAsia" w:hAnsiTheme="minorHAnsi"/>
              <w:b w:val="0"/>
              <w:kern w:val="2"/>
              <w:sz w:val="22"/>
              <w:lang w:eastAsia="lv-LV"/>
              <w14:ligatures w14:val="standardContextual"/>
            </w:rPr>
          </w:pPr>
          <w:hyperlink w:anchor="_Toc142897065" w:history="1">
            <w:r w:rsidR="006F407B" w:rsidRPr="00D274CB">
              <w:rPr>
                <w:rStyle w:val="Hyperlink"/>
              </w:rPr>
              <w:t>7.</w:t>
            </w:r>
            <w:r w:rsidR="006F407B">
              <w:rPr>
                <w:rFonts w:asciiTheme="minorHAnsi" w:eastAsiaTheme="minorEastAsia" w:hAnsiTheme="minorHAnsi"/>
                <w:b w:val="0"/>
                <w:kern w:val="2"/>
                <w:sz w:val="22"/>
                <w:lang w:eastAsia="lv-LV"/>
                <w14:ligatures w14:val="standardContextual"/>
              </w:rPr>
              <w:tab/>
            </w:r>
            <w:r w:rsidR="006F407B" w:rsidRPr="00D274CB">
              <w:rPr>
                <w:rStyle w:val="Hyperlink"/>
              </w:rPr>
              <w:t>Banku peļņas nodoklis</w:t>
            </w:r>
            <w:r w:rsidR="006F407B">
              <w:rPr>
                <w:webHidden/>
              </w:rPr>
              <w:tab/>
            </w:r>
            <w:r w:rsidR="006F407B">
              <w:rPr>
                <w:webHidden/>
              </w:rPr>
              <w:fldChar w:fldCharType="begin"/>
            </w:r>
            <w:r w:rsidR="006F407B">
              <w:rPr>
                <w:webHidden/>
              </w:rPr>
              <w:instrText xml:space="preserve"> PAGEREF _Toc142897065 \h </w:instrText>
            </w:r>
            <w:r w:rsidR="006F407B">
              <w:rPr>
                <w:webHidden/>
              </w:rPr>
            </w:r>
            <w:r w:rsidR="006F407B">
              <w:rPr>
                <w:webHidden/>
              </w:rPr>
              <w:fldChar w:fldCharType="separate"/>
            </w:r>
            <w:r w:rsidR="006F407B">
              <w:rPr>
                <w:webHidden/>
              </w:rPr>
              <w:t>28</w:t>
            </w:r>
            <w:r w:rsidR="006F407B">
              <w:rPr>
                <w:webHidden/>
              </w:rPr>
              <w:fldChar w:fldCharType="end"/>
            </w:r>
          </w:hyperlink>
        </w:p>
        <w:p w14:paraId="1220F54F" w14:textId="3EFF94C0" w:rsidR="00331D62" w:rsidRPr="006D7653" w:rsidRDefault="00331D62" w:rsidP="008721CC">
          <w:pPr>
            <w:pStyle w:val="TOC1"/>
            <w:sectPr w:rsidR="00331D62" w:rsidRPr="006D7653" w:rsidSect="007E1C0A">
              <w:headerReference w:type="default" r:id="rId8"/>
              <w:footerReference w:type="default" r:id="rId9"/>
              <w:footerReference w:type="first" r:id="rId10"/>
              <w:pgSz w:w="11906" w:h="16838"/>
              <w:pgMar w:top="1134" w:right="1418" w:bottom="1134" w:left="1701" w:header="709" w:footer="709" w:gutter="0"/>
              <w:cols w:space="708"/>
              <w:titlePg/>
              <w:docGrid w:linePitch="360"/>
            </w:sectPr>
          </w:pPr>
          <w:r w:rsidRPr="006D7653">
            <w:fldChar w:fldCharType="end"/>
          </w:r>
        </w:p>
      </w:sdtContent>
    </w:sdt>
    <w:p w14:paraId="156FA075" w14:textId="77777777" w:rsidR="00331D62" w:rsidRPr="006D7653" w:rsidRDefault="00331D62" w:rsidP="00331D62">
      <w:pPr>
        <w:pStyle w:val="Heading1"/>
        <w:numPr>
          <w:ilvl w:val="0"/>
          <w:numId w:val="0"/>
        </w:numPr>
        <w:ind w:left="714"/>
        <w:rPr>
          <w:rFonts w:cs="Times New Roman"/>
        </w:rPr>
      </w:pPr>
      <w:bookmarkStart w:id="0" w:name="_Toc142897050"/>
      <w:r w:rsidRPr="006D7653">
        <w:rPr>
          <w:rFonts w:cs="Times New Roman"/>
        </w:rPr>
        <w:lastRenderedPageBreak/>
        <w:t>Saīsinājumu saraksts</w:t>
      </w:r>
      <w:bookmarkEnd w:id="0"/>
    </w:p>
    <w:p w14:paraId="29F0F316" w14:textId="77777777" w:rsidR="000F18DE" w:rsidRDefault="000F18DE" w:rsidP="00807B02">
      <w:pPr>
        <w:spacing w:after="80"/>
        <w:rPr>
          <w:rFonts w:eastAsia="Calibri" w:cs="Times New Roman"/>
          <w:szCs w:val="24"/>
        </w:rPr>
      </w:pPr>
    </w:p>
    <w:p w14:paraId="28EDDCC9" w14:textId="69457D9E" w:rsidR="00A60CD4" w:rsidRPr="00216036" w:rsidRDefault="00A60CD4" w:rsidP="00807B02">
      <w:pPr>
        <w:spacing w:after="80"/>
        <w:rPr>
          <w:rFonts w:eastAsia="Calibri" w:cs="Times New Roman"/>
          <w:szCs w:val="24"/>
        </w:rPr>
      </w:pPr>
      <w:r w:rsidRPr="00216036">
        <w:rPr>
          <w:rFonts w:eastAsia="Calibri" w:cs="Times New Roman"/>
          <w:szCs w:val="24"/>
        </w:rPr>
        <w:t>AN – akcīzes nodoklis</w:t>
      </w:r>
    </w:p>
    <w:p w14:paraId="483BDE44" w14:textId="77777777" w:rsidR="00A60CD4" w:rsidRDefault="00A60CD4" w:rsidP="00A60CD4">
      <w:pPr>
        <w:spacing w:after="80"/>
        <w:rPr>
          <w:rFonts w:eastAsia="Calibri" w:cs="Times New Roman"/>
          <w:szCs w:val="24"/>
        </w:rPr>
      </w:pPr>
      <w:r>
        <w:rPr>
          <w:rFonts w:eastAsia="Calibri" w:cs="Times New Roman"/>
          <w:szCs w:val="24"/>
        </w:rPr>
        <w:t>DD – darba devējs</w:t>
      </w:r>
    </w:p>
    <w:p w14:paraId="3BCAA8FA" w14:textId="77777777" w:rsidR="00A60CD4" w:rsidRDefault="00A60CD4" w:rsidP="00A60CD4">
      <w:pPr>
        <w:spacing w:after="80"/>
        <w:rPr>
          <w:rFonts w:eastAsia="Calibri" w:cs="Times New Roman"/>
          <w:szCs w:val="24"/>
        </w:rPr>
      </w:pPr>
      <w:r>
        <w:rPr>
          <w:rFonts w:eastAsia="Calibri" w:cs="Times New Roman"/>
          <w:szCs w:val="24"/>
        </w:rPr>
        <w:t>DŅ – darba ņēmējs</w:t>
      </w:r>
    </w:p>
    <w:p w14:paraId="68C1433A" w14:textId="77777777" w:rsidR="00A60CD4" w:rsidRPr="00216036" w:rsidRDefault="00A60CD4" w:rsidP="00807B02">
      <w:pPr>
        <w:spacing w:after="80"/>
        <w:rPr>
          <w:rFonts w:eastAsia="Calibri" w:cs="Times New Roman"/>
          <w:szCs w:val="24"/>
        </w:rPr>
      </w:pPr>
      <w:r w:rsidRPr="00216036">
        <w:rPr>
          <w:rFonts w:eastAsia="Calibri" w:cs="Times New Roman"/>
          <w:szCs w:val="24"/>
        </w:rPr>
        <w:t>DRN – dabas resursu nodoklis</w:t>
      </w:r>
    </w:p>
    <w:p w14:paraId="593D020D" w14:textId="77777777" w:rsidR="00A60CD4" w:rsidRPr="00216036" w:rsidRDefault="00A60CD4" w:rsidP="00807B02">
      <w:pPr>
        <w:spacing w:after="80"/>
        <w:rPr>
          <w:rFonts w:eastAsia="Calibri" w:cs="Times New Roman"/>
          <w:szCs w:val="24"/>
        </w:rPr>
      </w:pPr>
      <w:r w:rsidRPr="00A5430A">
        <w:t>EEZ</w:t>
      </w:r>
      <w:r>
        <w:t xml:space="preserve"> – Eiropas ekonomikas zona</w:t>
      </w:r>
    </w:p>
    <w:p w14:paraId="1484A1D7" w14:textId="77777777" w:rsidR="00A60CD4" w:rsidRPr="00216036" w:rsidRDefault="00A60CD4" w:rsidP="00807B02">
      <w:pPr>
        <w:spacing w:after="80"/>
        <w:rPr>
          <w:rFonts w:eastAsia="Calibri" w:cs="Times New Roman"/>
          <w:szCs w:val="24"/>
        </w:rPr>
      </w:pPr>
      <w:r>
        <w:rPr>
          <w:szCs w:val="24"/>
        </w:rPr>
        <w:t>EK – Eiropas komisija</w:t>
      </w:r>
    </w:p>
    <w:p w14:paraId="3F4164E9" w14:textId="77777777" w:rsidR="00A60CD4" w:rsidRPr="00216036" w:rsidRDefault="00A60CD4" w:rsidP="00807B02">
      <w:pPr>
        <w:spacing w:after="80"/>
        <w:rPr>
          <w:rFonts w:eastAsia="Calibri" w:cs="Times New Roman"/>
          <w:szCs w:val="24"/>
        </w:rPr>
      </w:pPr>
      <w:r w:rsidRPr="00216036">
        <w:rPr>
          <w:rFonts w:eastAsia="Calibri" w:cs="Times New Roman"/>
          <w:szCs w:val="24"/>
        </w:rPr>
        <w:t>ES – Eiropas Savienība</w:t>
      </w:r>
    </w:p>
    <w:p w14:paraId="4AC91423" w14:textId="77777777" w:rsidR="00A60CD4" w:rsidRDefault="00A60CD4" w:rsidP="00807B02">
      <w:pPr>
        <w:spacing w:after="80"/>
        <w:rPr>
          <w:szCs w:val="24"/>
        </w:rPr>
      </w:pPr>
      <w:r w:rsidRPr="00216036">
        <w:rPr>
          <w:szCs w:val="24"/>
        </w:rPr>
        <w:t>ESAO – Ekonomiskās sadarbības un attīstības organizācijas</w:t>
      </w:r>
    </w:p>
    <w:p w14:paraId="1F166639" w14:textId="77777777" w:rsidR="00A60CD4" w:rsidRPr="00216036" w:rsidRDefault="00A60CD4" w:rsidP="00807B02">
      <w:pPr>
        <w:spacing w:after="80"/>
        <w:rPr>
          <w:rFonts w:eastAsia="Calibri" w:cs="Times New Roman"/>
          <w:szCs w:val="24"/>
        </w:rPr>
      </w:pPr>
      <w:r w:rsidRPr="00216036">
        <w:rPr>
          <w:rFonts w:eastAsia="Calibri" w:cs="Times New Roman"/>
          <w:szCs w:val="24"/>
        </w:rPr>
        <w:t>FM – Finanšu ministrija</w:t>
      </w:r>
    </w:p>
    <w:p w14:paraId="395C5493" w14:textId="77777777" w:rsidR="00A60CD4" w:rsidRDefault="00A60CD4" w:rsidP="00807B02">
      <w:pPr>
        <w:spacing w:after="80"/>
        <w:rPr>
          <w:rFonts w:eastAsia="Calibri" w:cs="Times New Roman"/>
          <w:szCs w:val="24"/>
        </w:rPr>
      </w:pPr>
      <w:r w:rsidRPr="00216036">
        <w:rPr>
          <w:rFonts w:eastAsia="Calibri" w:cs="Times New Roman"/>
          <w:szCs w:val="24"/>
        </w:rPr>
        <w:t>IIN – iedzīvotāju ienākuma nodoklis</w:t>
      </w:r>
    </w:p>
    <w:p w14:paraId="26256A43" w14:textId="77777777" w:rsidR="00A60CD4" w:rsidRPr="00216036" w:rsidRDefault="00A60CD4" w:rsidP="00807B02">
      <w:pPr>
        <w:spacing w:after="80"/>
        <w:rPr>
          <w:rFonts w:eastAsia="Calibri" w:cs="Times New Roman"/>
          <w:szCs w:val="24"/>
        </w:rPr>
      </w:pPr>
      <w:r>
        <w:rPr>
          <w:rFonts w:eastAsia="Calibri" w:cs="Times New Roman"/>
          <w:szCs w:val="24"/>
        </w:rPr>
        <w:t>IKP – iekšzemes kopprodukts</w:t>
      </w:r>
    </w:p>
    <w:p w14:paraId="046A6489" w14:textId="77777777" w:rsidR="00A60CD4" w:rsidRPr="00216036" w:rsidRDefault="00A60CD4" w:rsidP="00807B02">
      <w:pPr>
        <w:spacing w:after="80"/>
        <w:rPr>
          <w:rFonts w:eastAsia="Calibri" w:cs="Times New Roman"/>
          <w:szCs w:val="24"/>
        </w:rPr>
      </w:pPr>
      <w:r w:rsidRPr="00216036">
        <w:rPr>
          <w:rFonts w:eastAsia="Calibri" w:cs="Times New Roman"/>
          <w:szCs w:val="24"/>
        </w:rPr>
        <w:t>MK – Ministru kabinets</w:t>
      </w:r>
    </w:p>
    <w:p w14:paraId="009F873B" w14:textId="77777777" w:rsidR="00A60CD4" w:rsidRPr="00216036" w:rsidRDefault="00A60CD4" w:rsidP="00807B02">
      <w:pPr>
        <w:spacing w:after="80"/>
        <w:rPr>
          <w:rFonts w:eastAsia="Calibri" w:cs="Times New Roman"/>
          <w:szCs w:val="24"/>
        </w:rPr>
      </w:pPr>
      <w:r w:rsidRPr="00216036">
        <w:rPr>
          <w:rFonts w:eastAsia="Calibri" w:cs="Times New Roman"/>
          <w:szCs w:val="24"/>
        </w:rPr>
        <w:t>MUN – mikrouzņēmumu nodoklis</w:t>
      </w:r>
    </w:p>
    <w:p w14:paraId="2370460A" w14:textId="77777777" w:rsidR="00A60CD4" w:rsidRPr="00216036" w:rsidRDefault="00A60CD4" w:rsidP="00807B02">
      <w:pPr>
        <w:spacing w:after="80"/>
        <w:rPr>
          <w:rFonts w:eastAsia="Calibri" w:cs="Times New Roman"/>
          <w:szCs w:val="24"/>
        </w:rPr>
      </w:pPr>
      <w:r w:rsidRPr="00216036">
        <w:rPr>
          <w:rFonts w:eastAsia="Calibri" w:cs="Times New Roman"/>
          <w:szCs w:val="24"/>
        </w:rPr>
        <w:t>PEPP – Pan-Eiropas privātās pensijas</w:t>
      </w:r>
    </w:p>
    <w:p w14:paraId="253BC5A3" w14:textId="77777777" w:rsidR="00A60CD4" w:rsidRPr="00216036" w:rsidRDefault="00A60CD4" w:rsidP="00807B02">
      <w:pPr>
        <w:spacing w:after="80"/>
        <w:rPr>
          <w:rFonts w:eastAsia="Calibri" w:cs="Times New Roman"/>
          <w:szCs w:val="24"/>
        </w:rPr>
      </w:pPr>
      <w:r w:rsidRPr="00216036">
        <w:rPr>
          <w:rFonts w:eastAsia="Calibri" w:cs="Times New Roman"/>
          <w:szCs w:val="24"/>
        </w:rPr>
        <w:t>PVN – pievienotās vērtības nodoklis</w:t>
      </w:r>
    </w:p>
    <w:p w14:paraId="531FE542" w14:textId="77777777" w:rsidR="00A60CD4" w:rsidRDefault="00A60CD4" w:rsidP="00807B02">
      <w:pPr>
        <w:spacing w:after="80"/>
        <w:rPr>
          <w:rFonts w:eastAsia="Calibri" w:cs="Times New Roman"/>
          <w:szCs w:val="24"/>
        </w:rPr>
      </w:pPr>
      <w:r>
        <w:rPr>
          <w:rFonts w:eastAsia="Calibri" w:cs="Times New Roman"/>
          <w:szCs w:val="24"/>
        </w:rPr>
        <w:t>UIN – uzņēmumu ienākuma nodoklis</w:t>
      </w:r>
    </w:p>
    <w:p w14:paraId="09AAFF91" w14:textId="77777777" w:rsidR="00A60CD4" w:rsidRPr="00216036" w:rsidRDefault="00A60CD4" w:rsidP="00807B02">
      <w:pPr>
        <w:spacing w:after="80"/>
        <w:rPr>
          <w:rFonts w:eastAsia="Calibri" w:cs="Times New Roman"/>
          <w:szCs w:val="24"/>
        </w:rPr>
      </w:pPr>
      <w:r w:rsidRPr="00216036">
        <w:rPr>
          <w:rFonts w:eastAsia="Calibri" w:cs="Times New Roman"/>
          <w:szCs w:val="24"/>
        </w:rPr>
        <w:t>VID – Valsts ieņēmumu dienests</w:t>
      </w:r>
    </w:p>
    <w:p w14:paraId="001B1833" w14:textId="77777777" w:rsidR="00A60CD4" w:rsidRDefault="00A60CD4" w:rsidP="00807B02">
      <w:pPr>
        <w:spacing w:after="80"/>
        <w:rPr>
          <w:rFonts w:eastAsia="Calibri" w:cs="Times New Roman"/>
          <w:szCs w:val="24"/>
        </w:rPr>
      </w:pPr>
      <w:r w:rsidRPr="00216036">
        <w:rPr>
          <w:rFonts w:eastAsia="Calibri" w:cs="Times New Roman"/>
          <w:szCs w:val="24"/>
        </w:rPr>
        <w:t>VSAOI – valsts sociālās apdrošināšanas obligātās iemaksas</w:t>
      </w:r>
    </w:p>
    <w:p w14:paraId="19E5030E" w14:textId="77777777" w:rsidR="00A60CD4" w:rsidRDefault="00A60CD4" w:rsidP="00807B02">
      <w:pPr>
        <w:spacing w:after="80"/>
        <w:rPr>
          <w:rFonts w:eastAsia="Calibri" w:cs="Times New Roman"/>
          <w:szCs w:val="24"/>
        </w:rPr>
      </w:pPr>
      <w:bookmarkStart w:id="1" w:name="_Hlk142399836"/>
    </w:p>
    <w:bookmarkEnd w:id="1"/>
    <w:p w14:paraId="1D7EABB6" w14:textId="77777777" w:rsidR="00331D62" w:rsidRPr="006D7653" w:rsidRDefault="00331D62" w:rsidP="00331D62">
      <w:pPr>
        <w:pStyle w:val="Heading1"/>
        <w:rPr>
          <w:rFonts w:cs="Times New Roman"/>
        </w:rPr>
      </w:pPr>
      <w:r w:rsidRPr="006D7653">
        <w:rPr>
          <w:rFonts w:cs="Times New Roman"/>
        </w:rPr>
        <w:br w:type="page"/>
      </w:r>
    </w:p>
    <w:p w14:paraId="1F8E28A1" w14:textId="77777777" w:rsidR="00331D62" w:rsidRPr="006D7653" w:rsidRDefault="00331D62" w:rsidP="00331D62">
      <w:pPr>
        <w:pStyle w:val="Heading1"/>
        <w:numPr>
          <w:ilvl w:val="0"/>
          <w:numId w:val="0"/>
        </w:numPr>
        <w:ind w:left="714"/>
        <w:rPr>
          <w:rFonts w:cs="Times New Roman"/>
        </w:rPr>
      </w:pPr>
      <w:bookmarkStart w:id="2" w:name="_Toc142897051"/>
      <w:r w:rsidRPr="006D7653">
        <w:rPr>
          <w:rFonts w:cs="Times New Roman"/>
        </w:rPr>
        <w:lastRenderedPageBreak/>
        <w:t>Ievads</w:t>
      </w:r>
      <w:bookmarkEnd w:id="2"/>
    </w:p>
    <w:p w14:paraId="2BB97537" w14:textId="77777777" w:rsidR="00331D62" w:rsidRDefault="00331D62" w:rsidP="00331D62">
      <w:pPr>
        <w:rPr>
          <w:rFonts w:cs="Times New Roman"/>
        </w:rPr>
      </w:pPr>
      <w:bookmarkStart w:id="3" w:name="_Hlk142397196"/>
      <w:bookmarkStart w:id="4" w:name="_Toc477349859"/>
      <w:r w:rsidRPr="006D7653">
        <w:rPr>
          <w:rFonts w:cs="Times New Roman"/>
        </w:rPr>
        <w:t>Nodokļu politikas stratēģisko virzienu skaidrība un stabilitāte ir būtiska gan uzņēmējdarbības, gan sabiedrisko pakalpojumu un investīciju efektīvai plānošanai. Svarīga ir arī to sasaiste ar valsts vispārējiem attīstības mērķiem.</w:t>
      </w:r>
    </w:p>
    <w:p w14:paraId="04D298D3" w14:textId="5644F6C1" w:rsidR="00331D62" w:rsidRPr="006D7653" w:rsidRDefault="000C0776" w:rsidP="000C0776">
      <w:pPr>
        <w:rPr>
          <w:rFonts w:cs="Times New Roman"/>
        </w:rPr>
      </w:pPr>
      <w:r>
        <w:rPr>
          <w:rFonts w:cs="Times New Roman"/>
        </w:rPr>
        <w:t xml:space="preserve">Saskaņā ar jaunās valdības vienošanos līdz </w:t>
      </w:r>
      <w:r w:rsidR="00331D62" w:rsidRPr="006D7653">
        <w:rPr>
          <w:rFonts w:cs="Times New Roman"/>
          <w:b/>
          <w:bCs/>
        </w:rPr>
        <w:t>202</w:t>
      </w:r>
      <w:r>
        <w:rPr>
          <w:rFonts w:cs="Times New Roman"/>
          <w:b/>
          <w:bCs/>
        </w:rPr>
        <w:t>4</w:t>
      </w:r>
      <w:r w:rsidR="00331D62" w:rsidRPr="006D7653">
        <w:rPr>
          <w:rFonts w:cs="Times New Roman"/>
          <w:b/>
          <w:bCs/>
        </w:rPr>
        <w:t xml:space="preserve">. gada </w:t>
      </w:r>
      <w:r>
        <w:rPr>
          <w:rFonts w:cs="Times New Roman"/>
          <w:b/>
          <w:bCs/>
        </w:rPr>
        <w:t>1.</w:t>
      </w:r>
      <w:r w:rsidR="00331D62" w:rsidRPr="006D7653">
        <w:rPr>
          <w:rFonts w:cs="Times New Roman"/>
          <w:b/>
          <w:bCs/>
        </w:rPr>
        <w:t> </w:t>
      </w:r>
      <w:r>
        <w:rPr>
          <w:rFonts w:cs="Times New Roman"/>
          <w:b/>
          <w:bCs/>
        </w:rPr>
        <w:t>aprīlim</w:t>
      </w:r>
      <w:r w:rsidR="00331D62" w:rsidRPr="006D7653">
        <w:rPr>
          <w:rFonts w:cs="Times New Roman"/>
          <w:b/>
        </w:rPr>
        <w:t xml:space="preserve"> </w:t>
      </w:r>
      <w:r w:rsidR="00331D62" w:rsidRPr="006D7653">
        <w:rPr>
          <w:rFonts w:cs="Times New Roman"/>
        </w:rPr>
        <w:t xml:space="preserve">jāizstrādā un jāapstiprina MK vidēja termiņa valsts nodokļu politikas pamatnostādnes. </w:t>
      </w:r>
    </w:p>
    <w:p w14:paraId="4560B290" w14:textId="343A6C3F" w:rsidR="0024284C" w:rsidRDefault="0024284C" w:rsidP="00331D62">
      <w:pPr>
        <w:rPr>
          <w:rFonts w:cs="Times New Roman"/>
        </w:rPr>
      </w:pPr>
      <w:r>
        <w:rPr>
          <w:rFonts w:cs="Times New Roman"/>
        </w:rPr>
        <w:t xml:space="preserve">Informatīvais ziņojums sniedz informāciju par paveikto darbu nodokļu politikas galveno izaicinājumu izvērtēšanā un no tā izrietošos secinājumus un politikas mērķus, kā arī iezīmē tālāko darbu grafiku </w:t>
      </w:r>
      <w:r w:rsidRPr="006D7653">
        <w:rPr>
          <w:rFonts w:cs="Times New Roman"/>
        </w:rPr>
        <w:t>valsts nodokļu politikas pamatnostādņu</w:t>
      </w:r>
      <w:r>
        <w:rPr>
          <w:rFonts w:cs="Times New Roman"/>
        </w:rPr>
        <w:t xml:space="preserve"> izstrādei. </w:t>
      </w:r>
      <w:r w:rsidR="00344D59">
        <w:rPr>
          <w:rFonts w:cs="Times New Roman"/>
        </w:rPr>
        <w:t>Nodokļu</w:t>
      </w:r>
      <w:r>
        <w:rPr>
          <w:rFonts w:cs="Times New Roman"/>
        </w:rPr>
        <w:t xml:space="preserve"> sistēmas pilnveidošanas priekšlikumi tiks </w:t>
      </w:r>
      <w:r w:rsidR="00344D59">
        <w:rPr>
          <w:rFonts w:cs="Times New Roman"/>
        </w:rPr>
        <w:t xml:space="preserve">sagatavoti virzībai pēc </w:t>
      </w:r>
      <w:r w:rsidR="00344D59" w:rsidRPr="006D7653">
        <w:rPr>
          <w:rFonts w:cs="Times New Roman"/>
        </w:rPr>
        <w:t>valsts nodokļu politikas pamatnostād</w:t>
      </w:r>
      <w:r w:rsidR="00344D59">
        <w:rPr>
          <w:rFonts w:cs="Times New Roman"/>
        </w:rPr>
        <w:t>ņu apstiprināšanas 202</w:t>
      </w:r>
      <w:r w:rsidR="000C0776">
        <w:rPr>
          <w:rFonts w:cs="Times New Roman"/>
        </w:rPr>
        <w:t>4</w:t>
      </w:r>
      <w:r w:rsidR="00344D59">
        <w:rPr>
          <w:rFonts w:cs="Times New Roman"/>
        </w:rPr>
        <w:t xml:space="preserve">.gada </w:t>
      </w:r>
      <w:r w:rsidR="000C0776">
        <w:rPr>
          <w:rFonts w:cs="Times New Roman"/>
        </w:rPr>
        <w:t>aprīlī</w:t>
      </w:r>
      <w:r w:rsidR="00810CD1">
        <w:rPr>
          <w:rFonts w:cs="Times New Roman"/>
        </w:rPr>
        <w:t>.</w:t>
      </w:r>
      <w:r w:rsidR="00344D59">
        <w:rPr>
          <w:rFonts w:cs="Times New Roman"/>
        </w:rPr>
        <w:t xml:space="preserve"> </w:t>
      </w:r>
      <w:r w:rsidR="00810CD1">
        <w:rPr>
          <w:rFonts w:cs="Times New Roman"/>
        </w:rPr>
        <w:t>V</w:t>
      </w:r>
      <w:r w:rsidR="00344D59">
        <w:rPr>
          <w:rFonts w:cs="Times New Roman"/>
        </w:rPr>
        <w:t xml:space="preserve">ienlaikus ir identificēti vairāki nodokļu politikas jautājumi, </w:t>
      </w:r>
      <w:r w:rsidR="00810CD1">
        <w:rPr>
          <w:rFonts w:cs="Times New Roman"/>
        </w:rPr>
        <w:t xml:space="preserve">kuri tiek vērtēti </w:t>
      </w:r>
      <w:r w:rsidR="00344D59">
        <w:rPr>
          <w:rFonts w:cs="Times New Roman"/>
        </w:rPr>
        <w:t>apstiprināšanai kopā ar valsts budžetu 2024.gadam.</w:t>
      </w:r>
    </w:p>
    <w:p w14:paraId="4508C611" w14:textId="77777777" w:rsidR="00344D59" w:rsidRPr="006D7653" w:rsidRDefault="00344D59" w:rsidP="00331D62">
      <w:pPr>
        <w:rPr>
          <w:rFonts w:cs="Times New Roman"/>
        </w:rPr>
      </w:pPr>
    </w:p>
    <w:bookmarkEnd w:id="3"/>
    <w:p w14:paraId="12FCE46E" w14:textId="77777777" w:rsidR="00331D62" w:rsidRPr="006D7653" w:rsidRDefault="00331D62" w:rsidP="00331D62">
      <w:pPr>
        <w:spacing w:before="0" w:after="0"/>
        <w:ind w:firstLine="0"/>
        <w:jc w:val="left"/>
        <w:rPr>
          <w:rFonts w:cs="Times New Roman"/>
        </w:rPr>
      </w:pPr>
      <w:r w:rsidRPr="006D7653">
        <w:rPr>
          <w:rFonts w:cs="Times New Roman"/>
        </w:rPr>
        <w:br w:type="page"/>
      </w:r>
    </w:p>
    <w:p w14:paraId="0AD4035E" w14:textId="77777777" w:rsidR="00331D62" w:rsidRPr="006D7653" w:rsidRDefault="00331D62" w:rsidP="00331D62">
      <w:pPr>
        <w:pStyle w:val="Heading1"/>
        <w:numPr>
          <w:ilvl w:val="0"/>
          <w:numId w:val="2"/>
        </w:numPr>
        <w:rPr>
          <w:rFonts w:cs="Times New Roman"/>
        </w:rPr>
      </w:pPr>
      <w:bookmarkStart w:id="5" w:name="_Toc142897052"/>
      <w:bookmarkEnd w:id="4"/>
      <w:r w:rsidRPr="006D7653">
        <w:rPr>
          <w:rFonts w:cs="Times New Roman"/>
        </w:rPr>
        <w:lastRenderedPageBreak/>
        <w:t>Ilgtspējīgas publisko pakalpojumu nodrošināšanas izaicinājumi</w:t>
      </w:r>
      <w:bookmarkEnd w:id="5"/>
    </w:p>
    <w:p w14:paraId="0291D17E" w14:textId="77777777" w:rsidR="00331D62" w:rsidRPr="006D7653" w:rsidRDefault="00331D62" w:rsidP="00331D62">
      <w:pPr>
        <w:rPr>
          <w:rFonts w:cs="Times New Roman"/>
        </w:rPr>
      </w:pPr>
      <w:bookmarkStart w:id="6" w:name="_Hlk142397311"/>
      <w:r w:rsidRPr="006D7653">
        <w:rPr>
          <w:rFonts w:cs="Times New Roman"/>
        </w:rPr>
        <w:t xml:space="preserve">Nodokļu sistēmu Latvijā veido nodokļi, kuru ieņēmumi ir paredzēti attiecīgi valsts vai pašvaldību funkciju finansēšanai. Daļa valsts iekasēto nodokļu ir personalizēti un saistīti ar saņemamā pakalpojuma apjomu, piemēram, slimības pabalsti, bērnu kopšanas pabalsti, pensijas, bezdarbnieku pabalsti u.tml. Savukārt tādi publiskie pakalpojumi, no kuriem iegūst visi valsts iedzīvotāji, piemēram, izglītība, neatliekamā medicīniskā palīdzība, valsts ārējā un iekšējā drošība, tiek finansēti no kopējiem valsts budžeta ieņēmumiem. </w:t>
      </w:r>
    </w:p>
    <w:p w14:paraId="2F1E85EC" w14:textId="7107F7A6" w:rsidR="00331D62" w:rsidRPr="006D7653" w:rsidRDefault="00331D62" w:rsidP="00331D62">
      <w:pPr>
        <w:rPr>
          <w:rFonts w:cs="Times New Roman"/>
        </w:rPr>
      </w:pPr>
      <w:r w:rsidRPr="006D7653">
        <w:rPr>
          <w:rFonts w:cs="Times New Roman"/>
        </w:rPr>
        <w:t xml:space="preserve">Ņemot vērā sabiedrības gaidas par publisko pakalpojumu </w:t>
      </w:r>
      <w:r w:rsidR="005905FC">
        <w:rPr>
          <w:rFonts w:cs="Times New Roman"/>
        </w:rPr>
        <w:t xml:space="preserve">aptveres un </w:t>
      </w:r>
      <w:r w:rsidRPr="006D7653">
        <w:rPr>
          <w:rFonts w:cs="Times New Roman"/>
        </w:rPr>
        <w:t>kvalitāt</w:t>
      </w:r>
      <w:r w:rsidR="005905FC">
        <w:rPr>
          <w:rFonts w:cs="Times New Roman"/>
        </w:rPr>
        <w:t>es pieaugumu</w:t>
      </w:r>
      <w:r w:rsidRPr="006D7653">
        <w:rPr>
          <w:rFonts w:cs="Times New Roman"/>
        </w:rPr>
        <w:t xml:space="preserve">, </w:t>
      </w:r>
      <w:r w:rsidR="00CD387B">
        <w:rPr>
          <w:rFonts w:cs="Times New Roman"/>
        </w:rPr>
        <w:t>būtiski ir nodrošināt atbilstošu valsts un pašvaldību budžeta ieņēmumu apjomu</w:t>
      </w:r>
      <w:r w:rsidRPr="006D7653">
        <w:rPr>
          <w:rFonts w:cs="Times New Roman"/>
        </w:rPr>
        <w:t>.</w:t>
      </w:r>
    </w:p>
    <w:p w14:paraId="5A769400" w14:textId="4930FFD7" w:rsidR="00CD387B" w:rsidRDefault="00CD387B" w:rsidP="00331D62">
      <w:pPr>
        <w:rPr>
          <w:rFonts w:cs="Times New Roman"/>
        </w:rPr>
      </w:pPr>
      <w:r>
        <w:rPr>
          <w:rFonts w:cs="Times New Roman"/>
        </w:rPr>
        <w:t>Adekvāts nodokļu ieņēmumu palielinājums ir būtisks, l</w:t>
      </w:r>
      <w:r w:rsidR="00331D62" w:rsidRPr="006D7653">
        <w:rPr>
          <w:rFonts w:cs="Times New Roman"/>
        </w:rPr>
        <w:t>ai sasniegtu Valdības rīcības plānā noteiktos uzdevumus</w:t>
      </w:r>
      <w:r>
        <w:rPr>
          <w:rFonts w:cs="Times New Roman"/>
        </w:rPr>
        <w:t>, t.sk.,-</w:t>
      </w:r>
      <w:r w:rsidR="00331D62" w:rsidRPr="006D7653">
        <w:rPr>
          <w:rFonts w:cs="Times New Roman"/>
        </w:rPr>
        <w:t xml:space="preserve"> mazināt ienākumu nevienlīdzību strādājošajiem, sasniegt valsts aizsardzības budžetu vismaz 3% apmērā no IKP, stiprināt valsts drošību, ieviest Eiropas zaļo kursu, virzoties uz klimatneitralitātes sasniegšanu līdz 2050. gadam,</w:t>
      </w:r>
      <w:r w:rsidR="0096050B">
        <w:rPr>
          <w:rFonts w:cs="Times New Roman"/>
        </w:rPr>
        <w:t xml:space="preserve"> bet</w:t>
      </w:r>
      <w:r>
        <w:rPr>
          <w:rFonts w:cs="Times New Roman"/>
        </w:rPr>
        <w:t xml:space="preserve"> īpaši jāuzsver </w:t>
      </w:r>
      <w:r w:rsidRPr="002C4FE5">
        <w:rPr>
          <w:rFonts w:cs="Times New Roman"/>
          <w:b/>
          <w:bCs/>
        </w:rPr>
        <w:t xml:space="preserve">finansējuma </w:t>
      </w:r>
      <w:r w:rsidR="00A57DC5" w:rsidRPr="002C4FE5">
        <w:rPr>
          <w:rFonts w:cs="Times New Roman"/>
          <w:b/>
          <w:bCs/>
        </w:rPr>
        <w:t>nepieciešamība</w:t>
      </w:r>
      <w:r w:rsidR="00A57DC5">
        <w:rPr>
          <w:rFonts w:cs="Times New Roman"/>
        </w:rPr>
        <w:t xml:space="preserve"> </w:t>
      </w:r>
      <w:r w:rsidR="00A57DC5" w:rsidRPr="006D7653">
        <w:rPr>
          <w:rFonts w:cs="Times New Roman"/>
          <w:b/>
          <w:bCs/>
        </w:rPr>
        <w:t>veselības aprūpe</w:t>
      </w:r>
      <w:r w:rsidR="00A57DC5">
        <w:rPr>
          <w:rFonts w:cs="Times New Roman"/>
          <w:b/>
          <w:bCs/>
        </w:rPr>
        <w:t>s</w:t>
      </w:r>
      <w:r w:rsidR="00A57DC5" w:rsidRPr="006D7653">
        <w:rPr>
          <w:rFonts w:cs="Times New Roman"/>
          <w:b/>
          <w:bCs/>
        </w:rPr>
        <w:t xml:space="preserve">, </w:t>
      </w:r>
      <w:r w:rsidR="00A57DC5">
        <w:rPr>
          <w:rFonts w:cs="Times New Roman"/>
          <w:b/>
          <w:bCs/>
        </w:rPr>
        <w:t xml:space="preserve">iekšējās un ārējās drošības </w:t>
      </w:r>
      <w:r w:rsidR="00A57DC5" w:rsidRPr="006D7653">
        <w:rPr>
          <w:rFonts w:cs="Times New Roman"/>
          <w:b/>
          <w:bCs/>
        </w:rPr>
        <w:t>un izglītības sistēma</w:t>
      </w:r>
      <w:r w:rsidR="00A57DC5">
        <w:rPr>
          <w:rFonts w:cs="Times New Roman"/>
          <w:b/>
          <w:bCs/>
        </w:rPr>
        <w:t>s attīstības</w:t>
      </w:r>
      <w:r w:rsidR="00A57DC5" w:rsidRPr="00A57DC5">
        <w:rPr>
          <w:rFonts w:cs="Times New Roman"/>
          <w:b/>
          <w:bCs/>
        </w:rPr>
        <w:t xml:space="preserve"> </w:t>
      </w:r>
      <w:r w:rsidR="00A57DC5">
        <w:rPr>
          <w:rFonts w:cs="Times New Roman"/>
          <w:b/>
          <w:bCs/>
        </w:rPr>
        <w:t>nodrošināšanai.</w:t>
      </w:r>
    </w:p>
    <w:p w14:paraId="41047C96" w14:textId="2561F6AA" w:rsidR="00331D62" w:rsidRPr="006D7653" w:rsidRDefault="00331D62" w:rsidP="00331D62">
      <w:pPr>
        <w:rPr>
          <w:rFonts w:cs="Times New Roman"/>
        </w:rPr>
      </w:pPr>
      <w:r w:rsidRPr="006D7653">
        <w:rPr>
          <w:rFonts w:cs="Times New Roman"/>
        </w:rPr>
        <w:t xml:space="preserve">Jāņem vērā arī tas, ka pēc Covid-19 pandēmijas 2023. gadā pilnībā ir atjaunota </w:t>
      </w:r>
      <w:r w:rsidRPr="006D7653">
        <w:rPr>
          <w:rFonts w:cs="Times New Roman"/>
          <w:i/>
          <w:iCs/>
        </w:rPr>
        <w:t>Fiskālās disciplīnas likuma</w:t>
      </w:r>
      <w:r w:rsidRPr="006D7653">
        <w:rPr>
          <w:rFonts w:cs="Times New Roman"/>
        </w:rPr>
        <w:t xml:space="preserve"> darbība, bet no 2024. gada ir atcelta ES vispārējā izņēmuma klauzula un ir spēkā ES fiskālās disciplīnas noteikumi. Attiecīgi budžeta veidošanā ir jāievēro noteiktie ierobežojumi vispārējās valdības budžeta strukturālajam un nominālajam deficītam, kas praktiski nozīmē nepieciešamos izdevumus galvenokārt finansēt no budžeta ieņēmumiem.</w:t>
      </w:r>
    </w:p>
    <w:p w14:paraId="49DE9A76" w14:textId="0AF0BFE6" w:rsidR="00331D62" w:rsidRDefault="00331D62" w:rsidP="005F6FA5">
      <w:pPr>
        <w:rPr>
          <w:rFonts w:cs="Times New Roman"/>
          <w:noProof/>
          <w:szCs w:val="24"/>
          <w:lang w:eastAsia="lv-LV"/>
        </w:rPr>
      </w:pPr>
      <w:r w:rsidRPr="006D7653">
        <w:rPr>
          <w:rFonts w:cs="Times New Roman"/>
          <w:noProof/>
          <w:szCs w:val="24"/>
          <w:lang w:eastAsia="lv-LV"/>
        </w:rPr>
        <w:t>Finansēšanas vajadzību ilustrēšanai analizēti vispārējās valdības budžeta izdevumi veselībai, aizsardzībai, iekšējai drošībai un izglītībai atbilstoši funkcionālajām kategorijām</w:t>
      </w:r>
      <w:r w:rsidRPr="006D7653">
        <w:rPr>
          <w:rStyle w:val="FootnoteReference"/>
          <w:rFonts w:cs="Times New Roman"/>
          <w:noProof/>
          <w:sz w:val="22"/>
          <w:lang w:eastAsia="lv-LV"/>
        </w:rPr>
        <w:footnoteReference w:id="1"/>
      </w:r>
      <w:r w:rsidRPr="006D7653">
        <w:rPr>
          <w:rFonts w:cs="Times New Roman"/>
          <w:noProof/>
          <w:szCs w:val="24"/>
          <w:lang w:eastAsia="lv-LV"/>
        </w:rPr>
        <w:t xml:space="preserve"> Latvijā salīdzinājumā ar Baltijas valstīm, Zviedriju un ES vidējo. Kā parādīts 1. attēlā, Latvijā 2023. gadā vispārējās valdības budžeta izdevumi </w:t>
      </w:r>
      <w:r w:rsidR="0096050B">
        <w:rPr>
          <w:rFonts w:cs="Times New Roman"/>
          <w:noProof/>
          <w:szCs w:val="24"/>
          <w:lang w:eastAsia="lv-LV"/>
        </w:rPr>
        <w:t xml:space="preserve">procentos no IKP </w:t>
      </w:r>
      <w:r w:rsidRPr="006D7653">
        <w:rPr>
          <w:rFonts w:cs="Times New Roman"/>
          <w:noProof/>
          <w:szCs w:val="24"/>
          <w:lang w:eastAsia="lv-LV"/>
        </w:rPr>
        <w:t>veselībai ir samazinājušies, salīdzinot ar 2020. - 2021. gadu, kad veselības nozarei tika piešķirts papildu finansējums, lai cīnītos ar Covid-19 vīrusa izraisīto pandēmiju un tās sekām.</w:t>
      </w:r>
      <w:bookmarkEnd w:id="6"/>
    </w:p>
    <w:p w14:paraId="7BD886EB" w14:textId="77777777" w:rsidR="00331D62" w:rsidRPr="006D7653" w:rsidRDefault="00331D62" w:rsidP="00331D62">
      <w:pPr>
        <w:ind w:firstLine="0"/>
        <w:rPr>
          <w:rFonts w:cs="Times New Roman"/>
          <w:noProof/>
          <w:lang w:eastAsia="lv-LV"/>
        </w:rPr>
      </w:pPr>
      <w:r w:rsidRPr="006D7653">
        <w:rPr>
          <w:rFonts w:cs="Times New Roman"/>
          <w:noProof/>
          <w:color w:val="9C9AB4"/>
          <w:lang w:eastAsia="lv-LV"/>
        </w:rPr>
        <w:drawing>
          <wp:inline distT="0" distB="0" distL="0" distR="0" wp14:anchorId="64E87375" wp14:editId="1BD9B8E2">
            <wp:extent cx="5771515" cy="1962150"/>
            <wp:effectExtent l="0" t="0" r="635" b="0"/>
            <wp:docPr id="20887485" name="Chart 1">
              <a:extLst xmlns:a="http://schemas.openxmlformats.org/drawingml/2006/main">
                <a:ext uri="{FF2B5EF4-FFF2-40B4-BE49-F238E27FC236}">
                  <a16:creationId xmlns:a16="http://schemas.microsoft.com/office/drawing/2014/main" id="{214EFA15-CC49-C993-9E95-82DFD4C9F3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CBCCE59" w14:textId="77777777" w:rsidR="00331D62" w:rsidRPr="006D7653" w:rsidRDefault="00331D62" w:rsidP="00331D62">
      <w:pPr>
        <w:spacing w:before="80" w:after="80"/>
        <w:ind w:firstLine="0"/>
        <w:rPr>
          <w:rFonts w:cs="Times New Roman"/>
          <w:b/>
          <w:sz w:val="22"/>
        </w:rPr>
      </w:pPr>
      <w:r w:rsidRPr="006D7653">
        <w:rPr>
          <w:rFonts w:cs="Times New Roman"/>
          <w:sz w:val="22"/>
        </w:rPr>
        <w:t>1. att.</w:t>
      </w:r>
      <w:r w:rsidRPr="006D7653">
        <w:rPr>
          <w:rFonts w:cs="Times New Roman"/>
          <w:b/>
          <w:sz w:val="22"/>
        </w:rPr>
        <w:t xml:space="preserve"> </w:t>
      </w:r>
      <w:r w:rsidRPr="006D7653">
        <w:rPr>
          <w:rFonts w:cs="Times New Roman"/>
          <w:b/>
          <w:bCs/>
          <w:noProof/>
          <w:sz w:val="22"/>
          <w:lang w:eastAsia="lv-LV"/>
        </w:rPr>
        <w:t>Vispārējās valdības budžeta izdevumi veselībai Latvijā, Lietuvā, Igaunijā, Zviedrijā un vidēji ES-27</w:t>
      </w:r>
      <w:r w:rsidRPr="006D7653">
        <w:rPr>
          <w:rFonts w:cs="Times New Roman"/>
          <w:noProof/>
          <w:sz w:val="22"/>
          <w:lang w:eastAsia="lv-LV"/>
        </w:rPr>
        <w:t xml:space="preserve">, </w:t>
      </w:r>
      <w:r w:rsidRPr="006D7653">
        <w:rPr>
          <w:rFonts w:cs="Times New Roman"/>
          <w:i/>
          <w:iCs/>
          <w:noProof/>
          <w:sz w:val="22"/>
          <w:lang w:eastAsia="lv-LV"/>
        </w:rPr>
        <w:t>% no IKP</w:t>
      </w:r>
    </w:p>
    <w:p w14:paraId="3244F23E" w14:textId="77777777" w:rsidR="00331D62" w:rsidRPr="006D7653" w:rsidRDefault="00331D62" w:rsidP="00331D62">
      <w:pPr>
        <w:tabs>
          <w:tab w:val="left" w:pos="426"/>
        </w:tabs>
        <w:spacing w:after="120"/>
        <w:ind w:firstLine="0"/>
        <w:rPr>
          <w:rFonts w:cs="Times New Roman"/>
          <w:i/>
          <w:sz w:val="20"/>
          <w:szCs w:val="24"/>
        </w:rPr>
      </w:pPr>
      <w:r w:rsidRPr="006D7653">
        <w:rPr>
          <w:rFonts w:cs="Times New Roman"/>
          <w:b/>
          <w:i/>
          <w:sz w:val="20"/>
          <w:szCs w:val="24"/>
        </w:rPr>
        <w:t xml:space="preserve">Avots: </w:t>
      </w:r>
      <w:r w:rsidRPr="006D7653">
        <w:rPr>
          <w:rFonts w:cs="Times New Roman"/>
          <w:i/>
          <w:sz w:val="20"/>
          <w:szCs w:val="24"/>
        </w:rPr>
        <w:t>Eurostat dati, Latvijas un Igaunijas Stabilitātes programmu 2023. - 2026. gadam prognozes.</w:t>
      </w:r>
    </w:p>
    <w:p w14:paraId="18E6F58F" w14:textId="3530D881" w:rsidR="005F6FA5" w:rsidRPr="006D7653" w:rsidRDefault="005F6FA5" w:rsidP="005F6FA5">
      <w:pPr>
        <w:rPr>
          <w:rFonts w:cs="Times New Roman"/>
          <w:noProof/>
          <w:lang w:eastAsia="lv-LV"/>
        </w:rPr>
      </w:pPr>
      <w:r w:rsidRPr="006D7653" w:rsidDel="00BD50D8">
        <w:rPr>
          <w:rFonts w:cs="Times New Roman"/>
          <w:noProof/>
          <w:szCs w:val="24"/>
          <w:lang w:eastAsia="lv-LV"/>
        </w:rPr>
        <w:t>2023. gadā MK piešķīra papildu līdzekļus veselības aprūpei 140 milj. </w:t>
      </w:r>
      <w:r w:rsidRPr="006D7653" w:rsidDel="00BD50D8">
        <w:rPr>
          <w:rFonts w:cs="Times New Roman"/>
          <w:i/>
          <w:iCs/>
          <w:noProof/>
          <w:szCs w:val="24"/>
          <w:lang w:eastAsia="lv-LV"/>
        </w:rPr>
        <w:t>euro</w:t>
      </w:r>
      <w:r w:rsidRPr="006D7653" w:rsidDel="00BD50D8">
        <w:rPr>
          <w:rFonts w:cs="Times New Roman"/>
          <w:noProof/>
          <w:szCs w:val="24"/>
          <w:lang w:eastAsia="lv-LV"/>
        </w:rPr>
        <w:t xml:space="preserve"> apmērā, tomēr jautājums par finansējumu veselības nozarei </w:t>
      </w:r>
      <w:r w:rsidR="002B2EF6">
        <w:rPr>
          <w:rFonts w:cs="Times New Roman"/>
          <w:noProof/>
          <w:szCs w:val="24"/>
          <w:lang w:eastAsia="lv-LV"/>
        </w:rPr>
        <w:t>vidējā termiņā</w:t>
      </w:r>
      <w:r w:rsidRPr="006D7653" w:rsidDel="00BD50D8">
        <w:rPr>
          <w:rFonts w:cs="Times New Roman"/>
          <w:noProof/>
          <w:szCs w:val="24"/>
          <w:lang w:eastAsia="lv-LV"/>
        </w:rPr>
        <w:t xml:space="preserve"> </w:t>
      </w:r>
      <w:r w:rsidR="0096050B">
        <w:rPr>
          <w:rFonts w:cs="Times New Roman"/>
          <w:noProof/>
          <w:szCs w:val="24"/>
          <w:lang w:eastAsia="lv-LV"/>
        </w:rPr>
        <w:t>vēl ir jārisina</w:t>
      </w:r>
      <w:r w:rsidRPr="006D7653" w:rsidDel="00BD50D8">
        <w:rPr>
          <w:rFonts w:cs="Times New Roman"/>
          <w:noProof/>
          <w:lang w:eastAsia="lv-LV"/>
        </w:rPr>
        <w:t>.</w:t>
      </w:r>
    </w:p>
    <w:p w14:paraId="1A0DFA0F" w14:textId="622010BA" w:rsidR="00331D62" w:rsidRPr="006D7653" w:rsidRDefault="00331D62" w:rsidP="00331D62">
      <w:pPr>
        <w:rPr>
          <w:rFonts w:cs="Times New Roman"/>
          <w:szCs w:val="26"/>
          <w:shd w:val="clear" w:color="auto" w:fill="FFFFFF"/>
        </w:rPr>
      </w:pPr>
      <w:r w:rsidRPr="006D7653">
        <w:rPr>
          <w:rFonts w:cs="Times New Roman"/>
          <w:noProof/>
          <w:lang w:eastAsia="lv-LV"/>
        </w:rPr>
        <w:t>Latvijā izdevumi veselība</w:t>
      </w:r>
      <w:r w:rsidR="0096050B">
        <w:rPr>
          <w:rFonts w:cs="Times New Roman"/>
          <w:noProof/>
          <w:lang w:eastAsia="lv-LV"/>
        </w:rPr>
        <w:t>s aprūpei</w:t>
      </w:r>
      <w:r w:rsidRPr="006D7653">
        <w:rPr>
          <w:rFonts w:cs="Times New Roman"/>
          <w:noProof/>
          <w:lang w:eastAsia="lv-LV"/>
        </w:rPr>
        <w:t xml:space="preserve"> vispārējās valdības līmenī pēdējā desmitgadē atpaliek</w:t>
      </w:r>
      <w:r w:rsidRPr="006D7653">
        <w:rPr>
          <w:rFonts w:eastAsia="Verdana" w:cs="Times New Roman"/>
          <w:sz w:val="32"/>
          <w:szCs w:val="32"/>
          <w:lang w:eastAsia="lv-LV"/>
        </w:rPr>
        <w:t xml:space="preserve"> </w:t>
      </w:r>
      <w:r w:rsidRPr="006D7653">
        <w:rPr>
          <w:rFonts w:cs="Times New Roman"/>
          <w:noProof/>
          <w:lang w:eastAsia="lv-LV"/>
        </w:rPr>
        <w:t>no Igaunijas vidēji par 1,</w:t>
      </w:r>
      <w:r w:rsidR="0096050B" w:rsidRPr="006D7653">
        <w:rPr>
          <w:rFonts w:cs="Times New Roman"/>
          <w:noProof/>
          <w:lang w:eastAsia="lv-LV"/>
        </w:rPr>
        <w:t>5</w:t>
      </w:r>
      <w:r w:rsidR="0096050B">
        <w:rPr>
          <w:rFonts w:cs="Times New Roman"/>
          <w:noProof/>
          <w:lang w:eastAsia="lv-LV"/>
        </w:rPr>
        <w:t> </w:t>
      </w:r>
      <w:r w:rsidRPr="006D7653">
        <w:rPr>
          <w:rFonts w:cs="Times New Roman"/>
          <w:noProof/>
          <w:lang w:eastAsia="lv-LV"/>
        </w:rPr>
        <w:t xml:space="preserve">procentpunktiem, bet no ES vidējā līmeņa par </w:t>
      </w:r>
      <w:r w:rsidRPr="006D7653">
        <w:rPr>
          <w:rFonts w:cs="Times New Roman"/>
          <w:noProof/>
          <w:lang w:eastAsia="lv-LV"/>
        </w:rPr>
        <w:lastRenderedPageBreak/>
        <w:t>3,1</w:t>
      </w:r>
      <w:r w:rsidR="0096050B">
        <w:rPr>
          <w:rFonts w:cs="Times New Roman"/>
          <w:noProof/>
          <w:lang w:eastAsia="lv-LV"/>
        </w:rPr>
        <w:t> </w:t>
      </w:r>
      <w:r w:rsidRPr="006D7653">
        <w:rPr>
          <w:rFonts w:cs="Times New Roman"/>
          <w:noProof/>
          <w:lang w:eastAsia="lv-LV"/>
        </w:rPr>
        <w:t xml:space="preserve">procentpunktu, salīdzinot izdevumu apjomu procentos no IKP. </w:t>
      </w:r>
      <w:r w:rsidRPr="006D7653">
        <w:rPr>
          <w:rFonts w:cs="Times New Roman"/>
          <w:bCs/>
          <w:color w:val="000000" w:themeColor="text1"/>
          <w:szCs w:val="26"/>
          <w:shd w:val="clear" w:color="auto" w:fill="FFFFFF"/>
        </w:rPr>
        <w:t>Pie tam</w:t>
      </w:r>
      <w:r w:rsidR="0096050B">
        <w:rPr>
          <w:rFonts w:cs="Times New Roman"/>
          <w:bCs/>
          <w:color w:val="000000" w:themeColor="text1"/>
          <w:szCs w:val="26"/>
          <w:shd w:val="clear" w:color="auto" w:fill="FFFFFF"/>
        </w:rPr>
        <w:t xml:space="preserve"> jārēķinās, ka</w:t>
      </w:r>
      <w:r w:rsidRPr="006D7653">
        <w:rPr>
          <w:rFonts w:cs="Times New Roman"/>
          <w:bCs/>
          <w:color w:val="000000" w:themeColor="text1"/>
          <w:szCs w:val="26"/>
          <w:shd w:val="clear" w:color="auto" w:fill="FFFFFF"/>
        </w:rPr>
        <w:t xml:space="preserve"> sabiedrības novecošanās radīs papildu pieprasījumu pēc veselības un sociālās aprūpes </w:t>
      </w:r>
      <w:r w:rsidRPr="006D7653">
        <w:rPr>
          <w:rFonts w:cs="Times New Roman"/>
          <w:bCs/>
          <w:szCs w:val="26"/>
          <w:shd w:val="clear" w:color="auto" w:fill="FFFFFF"/>
        </w:rPr>
        <w:t xml:space="preserve">pakalpojumiem ilgtermiņā. </w:t>
      </w:r>
    </w:p>
    <w:p w14:paraId="253EDA82" w14:textId="196BD763" w:rsidR="00331D62" w:rsidRDefault="00331D62" w:rsidP="00331D62">
      <w:pPr>
        <w:rPr>
          <w:rFonts w:cs="Times New Roman"/>
          <w:noProof/>
          <w:szCs w:val="24"/>
          <w:lang w:eastAsia="lv-LV"/>
        </w:rPr>
      </w:pPr>
      <w:r w:rsidRPr="006D7653">
        <w:rPr>
          <w:rFonts w:cs="Times New Roman"/>
          <w:noProof/>
          <w:szCs w:val="24"/>
          <w:lang w:eastAsia="lv-LV"/>
        </w:rPr>
        <w:t>2. attēlā apkopotie dati parāda, Latvijā 2023. gadā</w:t>
      </w:r>
      <w:r w:rsidR="006A2CC3">
        <w:rPr>
          <w:rFonts w:cs="Times New Roman"/>
          <w:noProof/>
          <w:szCs w:val="24"/>
          <w:lang w:eastAsia="lv-LV"/>
        </w:rPr>
        <w:t xml:space="preserve"> </w:t>
      </w:r>
      <w:r w:rsidRPr="006D7653">
        <w:rPr>
          <w:rFonts w:cs="Times New Roman"/>
          <w:noProof/>
          <w:szCs w:val="24"/>
          <w:lang w:eastAsia="lv-LV"/>
        </w:rPr>
        <w:t>aizsardzības izdevumi ir palielinājušies, salīdzinot ar 2020. - 2021. gadu,</w:t>
      </w:r>
      <w:r w:rsidRPr="006D7653">
        <w:rPr>
          <w:rFonts w:cs="Times New Roman"/>
          <w:noProof/>
          <w:color w:val="FF0000"/>
          <w:szCs w:val="24"/>
          <w:lang w:eastAsia="lv-LV"/>
        </w:rPr>
        <w:t xml:space="preserve"> </w:t>
      </w:r>
      <w:r w:rsidRPr="006D7653">
        <w:rPr>
          <w:rFonts w:cs="Times New Roman"/>
          <w:noProof/>
          <w:szCs w:val="24"/>
          <w:lang w:eastAsia="lv-LV"/>
        </w:rPr>
        <w:t xml:space="preserve">un ņemot vērā, ka </w:t>
      </w:r>
      <w:r w:rsidRPr="006D7653">
        <w:rPr>
          <w:rFonts w:cs="Times New Roman"/>
          <w:i/>
          <w:iCs/>
          <w:noProof/>
          <w:szCs w:val="24"/>
          <w:lang w:eastAsia="lv-LV"/>
        </w:rPr>
        <w:t>Deklarācijā par Artura Krišjāņa Kariņa vadītā Ministru kabineta iecerēto darbību</w:t>
      </w:r>
      <w:r w:rsidRPr="006D7653">
        <w:rPr>
          <w:rFonts w:cs="Times New Roman"/>
          <w:noProof/>
          <w:szCs w:val="24"/>
          <w:lang w:eastAsia="lv-LV"/>
        </w:rPr>
        <w:t xml:space="preserve"> plānot</w:t>
      </w:r>
      <w:r w:rsidR="006A2CC3">
        <w:rPr>
          <w:rFonts w:cs="Times New Roman"/>
          <w:noProof/>
          <w:szCs w:val="24"/>
          <w:lang w:eastAsia="lv-LV"/>
        </w:rPr>
        <w:t>o</w:t>
      </w:r>
      <w:r w:rsidRPr="006D7653">
        <w:rPr>
          <w:rFonts w:cs="Times New Roman"/>
          <w:noProof/>
          <w:szCs w:val="24"/>
          <w:lang w:eastAsia="lv-LV"/>
        </w:rPr>
        <w:t xml:space="preserve"> aizsardzībai novirzīt 3% no IKP 2027. gadā, sagaidāms, ka arī turpmāk izdevumi aizsardzībai pieaugs. Papildu finansējums 2023. - 2025. gadā aizsardzības nozarei tika piešķirts pretgaisa aizsardzības sistēmu iegādei kā vienreizējs finansējuma palielinājums.</w:t>
      </w:r>
    </w:p>
    <w:p w14:paraId="088A4478" w14:textId="77777777" w:rsidR="00331D62" w:rsidRPr="006D7653" w:rsidRDefault="00331D62" w:rsidP="00331D62">
      <w:pPr>
        <w:ind w:firstLine="0"/>
        <w:rPr>
          <w:rFonts w:cs="Times New Roman"/>
          <w:szCs w:val="26"/>
          <w:shd w:val="clear" w:color="auto" w:fill="FFFFFF"/>
        </w:rPr>
      </w:pPr>
      <w:r w:rsidRPr="006D7653">
        <w:rPr>
          <w:rFonts w:cs="Times New Roman"/>
          <w:noProof/>
          <w:szCs w:val="26"/>
          <w:shd w:val="clear" w:color="auto" w:fill="FFFFFF"/>
          <w:lang w:eastAsia="lv-LV"/>
        </w:rPr>
        <w:drawing>
          <wp:inline distT="0" distB="0" distL="0" distR="0" wp14:anchorId="1FC1FC7C" wp14:editId="6FFFD352">
            <wp:extent cx="5753735" cy="2253082"/>
            <wp:effectExtent l="0" t="0" r="18415" b="13970"/>
            <wp:docPr id="928383938" name="Chart 1">
              <a:extLst xmlns:a="http://schemas.openxmlformats.org/drawingml/2006/main">
                <a:ext uri="{FF2B5EF4-FFF2-40B4-BE49-F238E27FC236}">
                  <a16:creationId xmlns:a16="http://schemas.microsoft.com/office/drawing/2014/main" id="{EEA99C8B-2CEA-D6E8-B28A-E5AF6433D8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B7176B4" w14:textId="77777777" w:rsidR="00331D62" w:rsidRPr="006D7653" w:rsidRDefault="00331D62" w:rsidP="00331D62">
      <w:pPr>
        <w:spacing w:before="80" w:after="80"/>
        <w:ind w:firstLine="0"/>
        <w:rPr>
          <w:rFonts w:cs="Times New Roman"/>
          <w:b/>
          <w:sz w:val="22"/>
        </w:rPr>
      </w:pPr>
      <w:r w:rsidRPr="006D7653">
        <w:rPr>
          <w:rFonts w:cs="Times New Roman"/>
          <w:sz w:val="22"/>
        </w:rPr>
        <w:t>2. att.</w:t>
      </w:r>
      <w:r w:rsidRPr="006D7653">
        <w:rPr>
          <w:rFonts w:cs="Times New Roman"/>
          <w:b/>
          <w:sz w:val="22"/>
        </w:rPr>
        <w:t xml:space="preserve"> Vispārējās valdības budžeta izdevumi aizsardzībai </w:t>
      </w:r>
      <w:r w:rsidRPr="006D7653">
        <w:rPr>
          <w:rFonts w:cs="Times New Roman"/>
          <w:b/>
          <w:noProof/>
          <w:sz w:val="22"/>
          <w:lang w:eastAsia="lv-LV"/>
        </w:rPr>
        <w:t>Latvijā, Lietuvā, Igaunijā, Zviedrijā un vidēji ES-27</w:t>
      </w:r>
      <w:r w:rsidRPr="006D7653">
        <w:rPr>
          <w:rFonts w:cs="Times New Roman"/>
          <w:noProof/>
          <w:sz w:val="22"/>
          <w:lang w:eastAsia="lv-LV"/>
        </w:rPr>
        <w:t xml:space="preserve">, </w:t>
      </w:r>
      <w:r w:rsidRPr="006D7653">
        <w:rPr>
          <w:rFonts w:cs="Times New Roman"/>
          <w:i/>
          <w:iCs/>
          <w:noProof/>
          <w:sz w:val="22"/>
          <w:lang w:eastAsia="lv-LV"/>
        </w:rPr>
        <w:t>% no IKP</w:t>
      </w:r>
    </w:p>
    <w:p w14:paraId="0AE39955" w14:textId="77777777" w:rsidR="00331D62" w:rsidRPr="006D7653" w:rsidRDefault="00331D62" w:rsidP="00331D62">
      <w:pPr>
        <w:tabs>
          <w:tab w:val="left" w:pos="426"/>
        </w:tabs>
        <w:spacing w:after="120"/>
        <w:ind w:firstLine="0"/>
        <w:rPr>
          <w:rFonts w:cs="Times New Roman"/>
          <w:i/>
          <w:sz w:val="20"/>
          <w:szCs w:val="24"/>
        </w:rPr>
      </w:pPr>
      <w:r w:rsidRPr="006D7653">
        <w:rPr>
          <w:rFonts w:cs="Times New Roman"/>
          <w:b/>
          <w:i/>
          <w:sz w:val="20"/>
          <w:szCs w:val="24"/>
        </w:rPr>
        <w:t xml:space="preserve">Avots: </w:t>
      </w:r>
      <w:r w:rsidRPr="006D7653">
        <w:rPr>
          <w:rFonts w:cs="Times New Roman"/>
          <w:i/>
          <w:sz w:val="20"/>
          <w:szCs w:val="24"/>
        </w:rPr>
        <w:t>Eurostat dati, Latvijas un Igaunijas Stabilitātes programmu 2023. - 2026. gadam prognozes.</w:t>
      </w:r>
    </w:p>
    <w:p w14:paraId="587DFF5C" w14:textId="047EB386" w:rsidR="00331D62" w:rsidRDefault="00331D62" w:rsidP="00331D62">
      <w:pPr>
        <w:rPr>
          <w:rFonts w:cs="Times New Roman"/>
          <w:noProof/>
          <w:lang w:eastAsia="lv-LV"/>
        </w:rPr>
      </w:pPr>
      <w:r w:rsidRPr="006D7653">
        <w:rPr>
          <w:rFonts w:cs="Times New Roman"/>
          <w:noProof/>
          <w:lang w:eastAsia="lv-LV"/>
        </w:rPr>
        <w:t>3. attēlā apkopotie dati parāda, ka Latvijā 2023. gadā iekšējās drošības izdevumi ir palielinājušies, salīdzinot ar 2020. - 2021. gadu. 2023. gada sākumā MK apstiprināja priekšlikumus valsts budžeta prioritārajiem pasākumiem 2023. gadam un budžeta ietvaram 2023. - 2025. gadam, paredzot nozīmīgus papildu līdzekļus valdības prioritātēm, tostarp finansējumu iekšējai drošībai – speciālo ugunsdzēsības un glābšanas transportlīdzekļu iegādei, katastrofu pārvaldības centru izveidei un citiem pasākumiem. Tomēr turpmākajiem gadiem jānodrošina papildu budžeta līdzekļi, la</w:t>
      </w:r>
      <w:r w:rsidR="006A2CC3">
        <w:rPr>
          <w:rFonts w:cs="Times New Roman"/>
          <w:noProof/>
          <w:lang w:eastAsia="lv-LV"/>
        </w:rPr>
        <w:t>i</w:t>
      </w:r>
      <w:r w:rsidRPr="006D7653">
        <w:rPr>
          <w:rFonts w:cs="Times New Roman"/>
          <w:noProof/>
          <w:lang w:eastAsia="lv-LV"/>
        </w:rPr>
        <w:t xml:space="preserve"> sasniegtu valdības nospraustos mērķus.</w:t>
      </w:r>
    </w:p>
    <w:p w14:paraId="2A9ED912" w14:textId="77777777" w:rsidR="00331D62" w:rsidRPr="006D7653" w:rsidRDefault="00331D62" w:rsidP="00331D62">
      <w:pPr>
        <w:ind w:firstLine="0"/>
        <w:rPr>
          <w:rFonts w:cs="Times New Roman"/>
          <w:szCs w:val="26"/>
          <w:shd w:val="clear" w:color="auto" w:fill="FFFFFF"/>
        </w:rPr>
      </w:pPr>
      <w:r w:rsidRPr="006D7653">
        <w:rPr>
          <w:rFonts w:cs="Times New Roman"/>
          <w:noProof/>
          <w:szCs w:val="26"/>
          <w:shd w:val="clear" w:color="auto" w:fill="FFFFFF"/>
          <w:lang w:eastAsia="lv-LV"/>
        </w:rPr>
        <w:drawing>
          <wp:inline distT="0" distB="0" distL="0" distR="0" wp14:anchorId="445AEC6C" wp14:editId="6F2CB9FB">
            <wp:extent cx="5742305" cy="2223821"/>
            <wp:effectExtent l="0" t="0" r="10795" b="5080"/>
            <wp:docPr id="594801669" name="Chart 1">
              <a:extLst xmlns:a="http://schemas.openxmlformats.org/drawingml/2006/main">
                <a:ext uri="{FF2B5EF4-FFF2-40B4-BE49-F238E27FC236}">
                  <a16:creationId xmlns:a16="http://schemas.microsoft.com/office/drawing/2014/main" id="{8306C633-4592-FBA3-388C-C95F0091AD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AFA5E3C" w14:textId="77777777" w:rsidR="00331D62" w:rsidRPr="006D7653" w:rsidRDefault="00331D62" w:rsidP="00331D62">
      <w:pPr>
        <w:spacing w:before="80" w:after="80"/>
        <w:ind w:firstLine="0"/>
        <w:rPr>
          <w:rFonts w:cs="Times New Roman"/>
          <w:b/>
          <w:sz w:val="22"/>
        </w:rPr>
      </w:pPr>
      <w:r w:rsidRPr="006D7653">
        <w:rPr>
          <w:rFonts w:cs="Times New Roman"/>
          <w:sz w:val="22"/>
        </w:rPr>
        <w:t>3. att.</w:t>
      </w:r>
      <w:r w:rsidRPr="006D7653">
        <w:rPr>
          <w:rFonts w:cs="Times New Roman"/>
          <w:b/>
          <w:sz w:val="22"/>
        </w:rPr>
        <w:t xml:space="preserve"> Vispārējās valdības budžeta izdevumi iekšējai drošībai </w:t>
      </w:r>
      <w:r w:rsidRPr="006D7653">
        <w:rPr>
          <w:rFonts w:cs="Times New Roman"/>
          <w:b/>
          <w:noProof/>
          <w:sz w:val="22"/>
          <w:lang w:eastAsia="lv-LV"/>
        </w:rPr>
        <w:t>Latvijā, Lietuvā, Igaunijā, Zviedrijā un vidēji ES-27</w:t>
      </w:r>
      <w:r w:rsidRPr="006D7653">
        <w:rPr>
          <w:rFonts w:cs="Times New Roman"/>
          <w:noProof/>
          <w:sz w:val="22"/>
          <w:lang w:eastAsia="lv-LV"/>
        </w:rPr>
        <w:t xml:space="preserve">, </w:t>
      </w:r>
      <w:r w:rsidRPr="006D7653">
        <w:rPr>
          <w:rFonts w:cs="Times New Roman"/>
          <w:i/>
          <w:iCs/>
          <w:noProof/>
          <w:sz w:val="22"/>
          <w:lang w:eastAsia="lv-LV"/>
        </w:rPr>
        <w:t>% no IKP</w:t>
      </w:r>
    </w:p>
    <w:p w14:paraId="61FDDD57" w14:textId="77777777" w:rsidR="00331D62" w:rsidRPr="006D7653" w:rsidRDefault="00331D62" w:rsidP="00331D62">
      <w:pPr>
        <w:tabs>
          <w:tab w:val="left" w:pos="426"/>
        </w:tabs>
        <w:spacing w:after="120"/>
        <w:ind w:firstLine="0"/>
        <w:rPr>
          <w:rFonts w:cs="Times New Roman"/>
          <w:i/>
          <w:sz w:val="20"/>
          <w:szCs w:val="24"/>
        </w:rPr>
      </w:pPr>
      <w:r w:rsidRPr="006D7653">
        <w:rPr>
          <w:rFonts w:cs="Times New Roman"/>
          <w:b/>
          <w:i/>
          <w:sz w:val="20"/>
          <w:szCs w:val="24"/>
        </w:rPr>
        <w:t xml:space="preserve">Avots: </w:t>
      </w:r>
      <w:r w:rsidRPr="006D7653">
        <w:rPr>
          <w:rFonts w:cs="Times New Roman"/>
          <w:i/>
          <w:sz w:val="20"/>
          <w:szCs w:val="24"/>
        </w:rPr>
        <w:t xml:space="preserve">Eurostat dati, </w:t>
      </w:r>
      <w:bookmarkStart w:id="7" w:name="_Hlk141388018"/>
      <w:r w:rsidRPr="006D7653">
        <w:rPr>
          <w:rFonts w:cs="Times New Roman"/>
          <w:i/>
          <w:sz w:val="20"/>
          <w:szCs w:val="24"/>
        </w:rPr>
        <w:t>Latvijas un Igaunijas Stabilitātes programmu 2023. - 2026. gadam prognozes</w:t>
      </w:r>
      <w:bookmarkEnd w:id="7"/>
      <w:r w:rsidRPr="006D7653">
        <w:rPr>
          <w:rFonts w:cs="Times New Roman"/>
          <w:i/>
          <w:sz w:val="20"/>
          <w:szCs w:val="24"/>
        </w:rPr>
        <w:t>.</w:t>
      </w:r>
    </w:p>
    <w:p w14:paraId="63213FA0" w14:textId="64D05AEA" w:rsidR="00331D62" w:rsidRDefault="00331D62" w:rsidP="00331D62">
      <w:pPr>
        <w:rPr>
          <w:rFonts w:cs="Times New Roman"/>
          <w:noProof/>
          <w:lang w:eastAsia="lv-LV"/>
        </w:rPr>
      </w:pPr>
      <w:r w:rsidRPr="006D7653">
        <w:rPr>
          <w:rFonts w:cs="Times New Roman"/>
          <w:noProof/>
          <w:szCs w:val="24"/>
          <w:lang w:eastAsia="lv-LV"/>
        </w:rPr>
        <w:t>4. attēlā apkopotie dati parāda,</w:t>
      </w:r>
      <w:r w:rsidRPr="006D7653">
        <w:rPr>
          <w:rFonts w:cs="Times New Roman"/>
          <w:noProof/>
        </w:rPr>
        <w:t xml:space="preserve"> ka ES valstīs vispārējās valdības izdevumu līmenis izglītībai procentos no IKP ir stabils, Igaunijā un Latvijā izdevumi izglītībai pārsniedz ES </w:t>
      </w:r>
      <w:r w:rsidRPr="006D7653">
        <w:rPr>
          <w:rFonts w:cs="Times New Roman"/>
          <w:noProof/>
        </w:rPr>
        <w:lastRenderedPageBreak/>
        <w:t xml:space="preserve">vidējos rādītājus. </w:t>
      </w:r>
      <w:r w:rsidR="00196D9A">
        <w:rPr>
          <w:rFonts w:cs="Times New Roman"/>
          <w:noProof/>
        </w:rPr>
        <w:t xml:space="preserve">Tomēr, ņemot vērā, ka nākotnes izaugsme Latvijā ir atkarīga no cilvēkkapitāla attīstības, izglītības sistēmas izdevumu apjoms būtu jāsaglabā šādā līmenī. </w:t>
      </w:r>
    </w:p>
    <w:p w14:paraId="0D92C1FB" w14:textId="77777777" w:rsidR="00331D62" w:rsidRPr="006D7653" w:rsidRDefault="00331D62" w:rsidP="00331D62">
      <w:pPr>
        <w:ind w:firstLine="0"/>
        <w:rPr>
          <w:rFonts w:cs="Times New Roman"/>
          <w:szCs w:val="26"/>
          <w:shd w:val="clear" w:color="auto" w:fill="FFFFFF"/>
        </w:rPr>
      </w:pPr>
      <w:r w:rsidRPr="006D7653">
        <w:rPr>
          <w:rFonts w:cs="Times New Roman"/>
          <w:noProof/>
          <w:color w:val="9C9AB4"/>
          <w:szCs w:val="26"/>
          <w:shd w:val="clear" w:color="auto" w:fill="FFFFFF"/>
          <w:lang w:eastAsia="lv-LV"/>
        </w:rPr>
        <w:drawing>
          <wp:inline distT="0" distB="0" distL="0" distR="0" wp14:anchorId="21E7CEB7" wp14:editId="54F2181F">
            <wp:extent cx="5727700" cy="2318918"/>
            <wp:effectExtent l="0" t="0" r="6350" b="5715"/>
            <wp:docPr id="2124993023" name="Chart 1">
              <a:extLst xmlns:a="http://schemas.openxmlformats.org/drawingml/2006/main">
                <a:ext uri="{FF2B5EF4-FFF2-40B4-BE49-F238E27FC236}">
                  <a16:creationId xmlns:a16="http://schemas.microsoft.com/office/drawing/2014/main" id="{02065531-9214-F7DD-F665-404D55F1DC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2288064" w14:textId="77777777" w:rsidR="00331D62" w:rsidRPr="006D7653" w:rsidRDefault="00331D62" w:rsidP="00331D62">
      <w:pPr>
        <w:spacing w:before="80" w:after="80"/>
        <w:ind w:firstLine="0"/>
        <w:rPr>
          <w:rFonts w:cs="Times New Roman"/>
          <w:b/>
          <w:sz w:val="22"/>
        </w:rPr>
      </w:pPr>
      <w:r w:rsidRPr="006D7653">
        <w:rPr>
          <w:rFonts w:cs="Times New Roman"/>
          <w:sz w:val="22"/>
        </w:rPr>
        <w:t>4. att.</w:t>
      </w:r>
      <w:r w:rsidRPr="006D7653">
        <w:rPr>
          <w:rFonts w:cs="Times New Roman"/>
          <w:b/>
          <w:sz w:val="22"/>
        </w:rPr>
        <w:t xml:space="preserve"> Vispārējās valdības budžeta izdevumi izglītībai </w:t>
      </w:r>
      <w:r w:rsidRPr="006D7653">
        <w:rPr>
          <w:rFonts w:cs="Times New Roman"/>
          <w:b/>
          <w:noProof/>
          <w:sz w:val="22"/>
          <w:lang w:eastAsia="lv-LV"/>
        </w:rPr>
        <w:t>Latvijā, Lietuvā, Igaunijā, Zviedrijā un vidēji ES-27</w:t>
      </w:r>
      <w:r w:rsidRPr="006D7653">
        <w:rPr>
          <w:rFonts w:cs="Times New Roman"/>
          <w:noProof/>
          <w:sz w:val="22"/>
          <w:lang w:eastAsia="lv-LV"/>
        </w:rPr>
        <w:t xml:space="preserve">, </w:t>
      </w:r>
      <w:r w:rsidRPr="006D7653">
        <w:rPr>
          <w:rFonts w:cs="Times New Roman"/>
          <w:i/>
          <w:iCs/>
          <w:noProof/>
          <w:sz w:val="22"/>
          <w:lang w:eastAsia="lv-LV"/>
        </w:rPr>
        <w:t>% no IKP</w:t>
      </w:r>
    </w:p>
    <w:p w14:paraId="76D25DBB" w14:textId="77777777" w:rsidR="00331D62" w:rsidRPr="006D7653" w:rsidRDefault="00331D62" w:rsidP="00331D62">
      <w:pPr>
        <w:tabs>
          <w:tab w:val="left" w:pos="426"/>
        </w:tabs>
        <w:spacing w:after="120"/>
        <w:ind w:firstLine="0"/>
        <w:rPr>
          <w:rFonts w:cs="Times New Roman"/>
          <w:i/>
          <w:sz w:val="20"/>
          <w:szCs w:val="24"/>
        </w:rPr>
      </w:pPr>
      <w:r w:rsidRPr="006D7653">
        <w:rPr>
          <w:rFonts w:cs="Times New Roman"/>
          <w:b/>
          <w:i/>
          <w:sz w:val="20"/>
          <w:szCs w:val="24"/>
        </w:rPr>
        <w:t xml:space="preserve">Avots: </w:t>
      </w:r>
      <w:r w:rsidRPr="006D7653">
        <w:rPr>
          <w:rFonts w:cs="Times New Roman"/>
          <w:i/>
          <w:sz w:val="20"/>
          <w:szCs w:val="24"/>
        </w:rPr>
        <w:t>Eurostat dati un Latvijas un Igaunijas Stabilitātes programmu 2023. - 2026. gadam prognozes.</w:t>
      </w:r>
    </w:p>
    <w:p w14:paraId="1D8E2631" w14:textId="3AB371EF" w:rsidR="005F6FA5" w:rsidRDefault="00D62D31" w:rsidP="00331D62">
      <w:pPr>
        <w:rPr>
          <w:rFonts w:cs="Times New Roman"/>
        </w:rPr>
      </w:pPr>
      <w:r>
        <w:rPr>
          <w:rFonts w:cs="Times New Roman"/>
        </w:rPr>
        <w:t>Š</w:t>
      </w:r>
      <w:r w:rsidR="00573C75">
        <w:rPr>
          <w:rFonts w:cs="Times New Roman"/>
        </w:rPr>
        <w:t xml:space="preserve">o </w:t>
      </w:r>
      <w:r w:rsidR="002D4B86">
        <w:rPr>
          <w:rFonts w:cs="Times New Roman"/>
        </w:rPr>
        <w:t xml:space="preserve">svarīgo </w:t>
      </w:r>
      <w:r w:rsidR="00573C75">
        <w:rPr>
          <w:rFonts w:cs="Times New Roman"/>
        </w:rPr>
        <w:t>nozaru izdevumu mērķu izvērtējum</w:t>
      </w:r>
      <w:r>
        <w:rPr>
          <w:rFonts w:cs="Times New Roman"/>
        </w:rPr>
        <w:t>s</w:t>
      </w:r>
      <w:r w:rsidR="00573C75">
        <w:rPr>
          <w:rFonts w:cs="Times New Roman"/>
        </w:rPr>
        <w:t xml:space="preserve"> </w:t>
      </w:r>
      <w:r w:rsidR="002B2EF6">
        <w:rPr>
          <w:rFonts w:cs="Times New Roman"/>
        </w:rPr>
        <w:t>rāda</w:t>
      </w:r>
      <w:r w:rsidR="00573C75">
        <w:rPr>
          <w:rFonts w:cs="Times New Roman"/>
        </w:rPr>
        <w:t xml:space="preserve">, ka tikai to vidēja termiņa izdevumu mērķu sasniegšanai nepieciešams papildus finansējums </w:t>
      </w:r>
      <w:r w:rsidR="002B2EF6">
        <w:rPr>
          <w:rFonts w:cs="Times New Roman"/>
        </w:rPr>
        <w:t>aptuveni</w:t>
      </w:r>
      <w:r w:rsidR="00573C75">
        <w:rPr>
          <w:rFonts w:cs="Times New Roman"/>
        </w:rPr>
        <w:t xml:space="preserve"> 3% no IKP apmērā. </w:t>
      </w:r>
    </w:p>
    <w:p w14:paraId="1957858D" w14:textId="77777777" w:rsidR="002B2EF6" w:rsidRDefault="002B2EF6" w:rsidP="00331D62">
      <w:pPr>
        <w:rPr>
          <w:rFonts w:cs="Times New Roman"/>
          <w:szCs w:val="24"/>
        </w:rPr>
      </w:pPr>
    </w:p>
    <w:p w14:paraId="577EE562" w14:textId="77777777" w:rsidR="00331D62" w:rsidRPr="006D7653" w:rsidRDefault="00331D62" w:rsidP="00331D62">
      <w:pPr>
        <w:spacing w:before="0" w:after="0"/>
        <w:ind w:firstLine="0"/>
        <w:jc w:val="left"/>
        <w:rPr>
          <w:rFonts w:eastAsiaTheme="majorEastAsia" w:cs="Times New Roman"/>
          <w:b/>
          <w:szCs w:val="24"/>
        </w:rPr>
      </w:pPr>
      <w:r w:rsidRPr="006D7653">
        <w:rPr>
          <w:rFonts w:cs="Times New Roman"/>
          <w:szCs w:val="24"/>
        </w:rPr>
        <w:br w:type="page"/>
      </w:r>
    </w:p>
    <w:p w14:paraId="3A32BC77" w14:textId="77777777" w:rsidR="00331D62" w:rsidRPr="006D7653" w:rsidRDefault="00331D62" w:rsidP="00331D62">
      <w:pPr>
        <w:pStyle w:val="Heading1"/>
        <w:rPr>
          <w:rFonts w:cs="Times New Roman"/>
        </w:rPr>
      </w:pPr>
      <w:bookmarkStart w:id="8" w:name="_Toc142897053"/>
      <w:r w:rsidRPr="006D7653">
        <w:rPr>
          <w:rFonts w:cs="Times New Roman"/>
        </w:rPr>
        <w:lastRenderedPageBreak/>
        <w:t>Nodokļu ieņēmumu potenciāls</w:t>
      </w:r>
      <w:bookmarkEnd w:id="8"/>
    </w:p>
    <w:p w14:paraId="73C5310D" w14:textId="77777777" w:rsidR="002776DB" w:rsidRPr="006D7653" w:rsidRDefault="002776DB" w:rsidP="002776DB">
      <w:pPr>
        <w:rPr>
          <w:rFonts w:cs="Times New Roman"/>
        </w:rPr>
      </w:pPr>
      <w:r>
        <w:rPr>
          <w:rFonts w:cs="Times New Roman"/>
        </w:rPr>
        <w:t xml:space="preserve">Svarīgs avots valsts un pašvaldību budžeta ieņēmumu palielinājumam ir ekonomiskā izaugsme. </w:t>
      </w:r>
      <w:r w:rsidRPr="006D7653">
        <w:rPr>
          <w:rFonts w:cs="Times New Roman"/>
        </w:rPr>
        <w:t>Aktualizētās makroekonomisko rādītāju prognozes 2023. - 2027. gadam pie nemainīgas politikas uzrāda mērenu ekonomikas izaugsmi vidējā termiņā.</w:t>
      </w:r>
    </w:p>
    <w:p w14:paraId="5624AE24" w14:textId="77777777" w:rsidR="00AA3A7D" w:rsidRDefault="00AA3A7D" w:rsidP="002776DB">
      <w:pPr>
        <w:spacing w:after="120"/>
        <w:ind w:firstLine="0"/>
        <w:jc w:val="center"/>
        <w:rPr>
          <w:rFonts w:cs="Times New Roman"/>
          <w:sz w:val="22"/>
          <w:szCs w:val="24"/>
        </w:rPr>
      </w:pPr>
    </w:p>
    <w:p w14:paraId="6EF7C82A" w14:textId="1DDA2E08" w:rsidR="002776DB" w:rsidRPr="006D7653" w:rsidRDefault="002776DB" w:rsidP="002776DB">
      <w:pPr>
        <w:spacing w:after="120"/>
        <w:ind w:firstLine="0"/>
        <w:jc w:val="center"/>
        <w:rPr>
          <w:rFonts w:cs="Times New Roman"/>
          <w:b/>
          <w:sz w:val="22"/>
          <w:szCs w:val="24"/>
        </w:rPr>
      </w:pPr>
      <w:r w:rsidRPr="006D7653">
        <w:rPr>
          <w:rFonts w:cs="Times New Roman"/>
          <w:sz w:val="22"/>
          <w:szCs w:val="24"/>
        </w:rPr>
        <w:t>1. tab.</w:t>
      </w:r>
      <w:r w:rsidRPr="006D7653">
        <w:rPr>
          <w:rFonts w:cs="Times New Roman"/>
          <w:b/>
          <w:sz w:val="22"/>
          <w:szCs w:val="24"/>
        </w:rPr>
        <w:t xml:space="preserve"> Makroekonomiskie rādītāji no 2019. gada līdz 2027. gadam</w:t>
      </w:r>
    </w:p>
    <w:tbl>
      <w:tblPr>
        <w:tblW w:w="520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3437"/>
        <w:gridCol w:w="662"/>
        <w:gridCol w:w="662"/>
        <w:gridCol w:w="661"/>
        <w:gridCol w:w="663"/>
        <w:gridCol w:w="663"/>
        <w:gridCol w:w="661"/>
        <w:gridCol w:w="663"/>
        <w:gridCol w:w="659"/>
        <w:gridCol w:w="693"/>
        <w:gridCol w:w="15"/>
      </w:tblGrid>
      <w:tr w:rsidR="002776DB" w:rsidRPr="006D7653" w14:paraId="039CADBB" w14:textId="77777777" w:rsidTr="000E1128">
        <w:trPr>
          <w:gridAfter w:val="1"/>
          <w:wAfter w:w="11" w:type="pct"/>
          <w:trHeight w:val="474"/>
        </w:trPr>
        <w:tc>
          <w:tcPr>
            <w:tcW w:w="1821" w:type="pct"/>
            <w:tcBorders>
              <w:right w:val="single" w:sz="4" w:space="0" w:color="auto"/>
            </w:tcBorders>
            <w:shd w:val="clear" w:color="auto" w:fill="F2F2F2" w:themeFill="background1" w:themeFillShade="F2"/>
            <w:tcMar>
              <w:top w:w="15" w:type="dxa"/>
              <w:left w:w="15" w:type="dxa"/>
              <w:bottom w:w="0" w:type="dxa"/>
              <w:right w:w="15" w:type="dxa"/>
            </w:tcMar>
            <w:vAlign w:val="bottom"/>
            <w:hideMark/>
          </w:tcPr>
          <w:p w14:paraId="32C6EA9F" w14:textId="77777777" w:rsidR="002776DB" w:rsidRPr="006D7653" w:rsidRDefault="002776DB" w:rsidP="000E1128">
            <w:pPr>
              <w:spacing w:before="0" w:after="0"/>
              <w:ind w:firstLine="0"/>
              <w:rPr>
                <w:rFonts w:cs="Times New Roman"/>
                <w:sz w:val="20"/>
                <w:szCs w:val="20"/>
              </w:rPr>
            </w:pPr>
            <w:r w:rsidRPr="006D7653">
              <w:rPr>
                <w:rFonts w:cs="Times New Roman"/>
                <w:b/>
                <w:bCs/>
                <w:sz w:val="20"/>
                <w:szCs w:val="20"/>
              </w:rPr>
              <w:t> </w:t>
            </w:r>
          </w:p>
        </w:tc>
        <w:tc>
          <w:tcPr>
            <w:tcW w:w="351" w:type="pct"/>
            <w:tcBorders>
              <w:left w:val="single" w:sz="4" w:space="0" w:color="auto"/>
              <w:right w:val="single" w:sz="4" w:space="0" w:color="auto"/>
            </w:tcBorders>
            <w:shd w:val="clear" w:color="auto" w:fill="F2F2F2" w:themeFill="background1" w:themeFillShade="F2"/>
            <w:tcMar>
              <w:top w:w="15" w:type="dxa"/>
              <w:left w:w="15" w:type="dxa"/>
              <w:bottom w:w="0" w:type="dxa"/>
              <w:right w:w="135" w:type="dxa"/>
            </w:tcMar>
            <w:vAlign w:val="center"/>
            <w:hideMark/>
          </w:tcPr>
          <w:p w14:paraId="142396E1" w14:textId="77777777" w:rsidR="002776DB" w:rsidRPr="006D7653" w:rsidRDefault="002776DB" w:rsidP="000E1128">
            <w:pPr>
              <w:spacing w:before="0" w:after="0"/>
              <w:ind w:firstLine="0"/>
              <w:jc w:val="center"/>
              <w:rPr>
                <w:rFonts w:cs="Times New Roman"/>
                <w:sz w:val="20"/>
                <w:szCs w:val="20"/>
              </w:rPr>
            </w:pPr>
            <w:r w:rsidRPr="006D7653">
              <w:rPr>
                <w:rFonts w:cs="Times New Roman"/>
                <w:b/>
                <w:bCs/>
                <w:sz w:val="20"/>
                <w:szCs w:val="20"/>
              </w:rPr>
              <w:t>2019</w:t>
            </w:r>
          </w:p>
        </w:tc>
        <w:tc>
          <w:tcPr>
            <w:tcW w:w="351" w:type="pct"/>
            <w:tcBorders>
              <w:left w:val="single" w:sz="4" w:space="0" w:color="auto"/>
              <w:right w:val="single" w:sz="4" w:space="0" w:color="auto"/>
            </w:tcBorders>
            <w:shd w:val="clear" w:color="auto" w:fill="F2F2F2" w:themeFill="background1" w:themeFillShade="F2"/>
            <w:tcMar>
              <w:top w:w="15" w:type="dxa"/>
              <w:left w:w="15" w:type="dxa"/>
              <w:bottom w:w="0" w:type="dxa"/>
              <w:right w:w="135" w:type="dxa"/>
            </w:tcMar>
            <w:vAlign w:val="center"/>
            <w:hideMark/>
          </w:tcPr>
          <w:p w14:paraId="345FE34C" w14:textId="77777777" w:rsidR="002776DB" w:rsidRPr="006D7653" w:rsidRDefault="002776DB" w:rsidP="000E1128">
            <w:pPr>
              <w:spacing w:before="0" w:after="0"/>
              <w:ind w:firstLine="0"/>
              <w:jc w:val="center"/>
              <w:rPr>
                <w:rFonts w:cs="Times New Roman"/>
                <w:sz w:val="20"/>
                <w:szCs w:val="20"/>
              </w:rPr>
            </w:pPr>
            <w:r w:rsidRPr="006D7653">
              <w:rPr>
                <w:rFonts w:cs="Times New Roman"/>
                <w:b/>
                <w:bCs/>
                <w:sz w:val="20"/>
                <w:szCs w:val="20"/>
              </w:rPr>
              <w:t>2020</w:t>
            </w:r>
          </w:p>
        </w:tc>
        <w:tc>
          <w:tcPr>
            <w:tcW w:w="350" w:type="pct"/>
            <w:tcBorders>
              <w:left w:val="single" w:sz="4" w:space="0" w:color="auto"/>
              <w:right w:val="single" w:sz="4" w:space="0" w:color="auto"/>
            </w:tcBorders>
            <w:shd w:val="clear" w:color="auto" w:fill="F2F2F2" w:themeFill="background1" w:themeFillShade="F2"/>
            <w:tcMar>
              <w:top w:w="15" w:type="dxa"/>
              <w:left w:w="15" w:type="dxa"/>
              <w:bottom w:w="0" w:type="dxa"/>
              <w:right w:w="135" w:type="dxa"/>
            </w:tcMar>
            <w:vAlign w:val="center"/>
            <w:hideMark/>
          </w:tcPr>
          <w:p w14:paraId="5D9F9EDE" w14:textId="77777777" w:rsidR="002776DB" w:rsidRPr="006D7653" w:rsidRDefault="002776DB" w:rsidP="000E1128">
            <w:pPr>
              <w:spacing w:before="0" w:after="0"/>
              <w:ind w:firstLine="0"/>
              <w:jc w:val="center"/>
              <w:rPr>
                <w:rFonts w:cs="Times New Roman"/>
                <w:sz w:val="20"/>
                <w:szCs w:val="20"/>
              </w:rPr>
            </w:pPr>
            <w:r w:rsidRPr="006D7653">
              <w:rPr>
                <w:rFonts w:cs="Times New Roman"/>
                <w:b/>
                <w:bCs/>
                <w:sz w:val="20"/>
                <w:szCs w:val="20"/>
              </w:rPr>
              <w:t>2021</w:t>
            </w:r>
          </w:p>
        </w:tc>
        <w:tc>
          <w:tcPr>
            <w:tcW w:w="351" w:type="pct"/>
            <w:tcBorders>
              <w:left w:val="single" w:sz="4" w:space="0" w:color="auto"/>
              <w:right w:val="single" w:sz="4" w:space="0" w:color="auto"/>
            </w:tcBorders>
            <w:shd w:val="clear" w:color="auto" w:fill="F2F2F2" w:themeFill="background1" w:themeFillShade="F2"/>
            <w:tcMar>
              <w:top w:w="15" w:type="dxa"/>
              <w:left w:w="15" w:type="dxa"/>
              <w:bottom w:w="0" w:type="dxa"/>
              <w:right w:w="135" w:type="dxa"/>
            </w:tcMar>
            <w:vAlign w:val="center"/>
            <w:hideMark/>
          </w:tcPr>
          <w:p w14:paraId="4F9E96B2" w14:textId="77777777" w:rsidR="002776DB" w:rsidRPr="006D7653" w:rsidRDefault="002776DB" w:rsidP="000E1128">
            <w:pPr>
              <w:spacing w:before="0" w:after="0"/>
              <w:ind w:firstLine="0"/>
              <w:jc w:val="center"/>
              <w:rPr>
                <w:rFonts w:cs="Times New Roman"/>
                <w:sz w:val="20"/>
                <w:szCs w:val="20"/>
              </w:rPr>
            </w:pPr>
            <w:r w:rsidRPr="006D7653">
              <w:rPr>
                <w:rFonts w:cs="Times New Roman"/>
                <w:b/>
                <w:bCs/>
                <w:sz w:val="20"/>
                <w:szCs w:val="20"/>
              </w:rPr>
              <w:t>2022</w:t>
            </w:r>
          </w:p>
        </w:tc>
        <w:tc>
          <w:tcPr>
            <w:tcW w:w="351" w:type="pct"/>
            <w:tcBorders>
              <w:left w:val="single" w:sz="4" w:space="0" w:color="auto"/>
              <w:right w:val="single" w:sz="4" w:space="0" w:color="auto"/>
            </w:tcBorders>
            <w:shd w:val="clear" w:color="auto" w:fill="F2F2F2" w:themeFill="background1" w:themeFillShade="F2"/>
            <w:tcMar>
              <w:top w:w="15" w:type="dxa"/>
              <w:left w:w="15" w:type="dxa"/>
              <w:bottom w:w="0" w:type="dxa"/>
              <w:right w:w="135" w:type="dxa"/>
            </w:tcMar>
            <w:vAlign w:val="center"/>
            <w:hideMark/>
          </w:tcPr>
          <w:p w14:paraId="120801A9" w14:textId="77777777" w:rsidR="002776DB" w:rsidRPr="006D7653" w:rsidRDefault="002776DB" w:rsidP="000E1128">
            <w:pPr>
              <w:spacing w:before="0" w:after="0"/>
              <w:ind w:firstLine="0"/>
              <w:jc w:val="center"/>
              <w:rPr>
                <w:rFonts w:cs="Times New Roman"/>
                <w:sz w:val="20"/>
                <w:szCs w:val="20"/>
              </w:rPr>
            </w:pPr>
            <w:r w:rsidRPr="006D7653">
              <w:rPr>
                <w:rFonts w:cs="Times New Roman"/>
                <w:b/>
                <w:bCs/>
                <w:sz w:val="20"/>
                <w:szCs w:val="20"/>
              </w:rPr>
              <w:t>2023</w:t>
            </w:r>
          </w:p>
        </w:tc>
        <w:tc>
          <w:tcPr>
            <w:tcW w:w="350" w:type="pct"/>
            <w:tcBorders>
              <w:left w:val="single" w:sz="4" w:space="0" w:color="auto"/>
              <w:right w:val="single" w:sz="4" w:space="0" w:color="auto"/>
            </w:tcBorders>
            <w:shd w:val="clear" w:color="auto" w:fill="F2F2F2" w:themeFill="background1" w:themeFillShade="F2"/>
            <w:tcMar>
              <w:top w:w="15" w:type="dxa"/>
              <w:left w:w="15" w:type="dxa"/>
              <w:bottom w:w="0" w:type="dxa"/>
              <w:right w:w="135" w:type="dxa"/>
            </w:tcMar>
            <w:vAlign w:val="center"/>
            <w:hideMark/>
          </w:tcPr>
          <w:p w14:paraId="58345F73" w14:textId="77777777" w:rsidR="002776DB" w:rsidRPr="006D7653" w:rsidRDefault="002776DB" w:rsidP="000E1128">
            <w:pPr>
              <w:spacing w:before="0" w:after="0"/>
              <w:ind w:firstLine="0"/>
              <w:jc w:val="center"/>
              <w:rPr>
                <w:rFonts w:cs="Times New Roman"/>
                <w:sz w:val="20"/>
                <w:szCs w:val="20"/>
              </w:rPr>
            </w:pPr>
            <w:r w:rsidRPr="006D7653">
              <w:rPr>
                <w:rFonts w:cs="Times New Roman"/>
                <w:b/>
                <w:bCs/>
                <w:sz w:val="20"/>
                <w:szCs w:val="20"/>
              </w:rPr>
              <w:t>2024</w:t>
            </w:r>
          </w:p>
        </w:tc>
        <w:tc>
          <w:tcPr>
            <w:tcW w:w="351" w:type="pct"/>
            <w:tcBorders>
              <w:left w:val="single" w:sz="4" w:space="0" w:color="auto"/>
              <w:right w:val="single" w:sz="4" w:space="0" w:color="auto"/>
            </w:tcBorders>
            <w:shd w:val="clear" w:color="auto" w:fill="F2F2F2" w:themeFill="background1" w:themeFillShade="F2"/>
            <w:tcMar>
              <w:top w:w="15" w:type="dxa"/>
              <w:left w:w="15" w:type="dxa"/>
              <w:bottom w:w="0" w:type="dxa"/>
              <w:right w:w="135" w:type="dxa"/>
            </w:tcMar>
            <w:vAlign w:val="center"/>
            <w:hideMark/>
          </w:tcPr>
          <w:p w14:paraId="6C3E9B50" w14:textId="77777777" w:rsidR="002776DB" w:rsidRPr="006D7653" w:rsidRDefault="002776DB" w:rsidP="000E1128">
            <w:pPr>
              <w:spacing w:before="0" w:after="0"/>
              <w:ind w:firstLine="0"/>
              <w:jc w:val="center"/>
              <w:rPr>
                <w:rFonts w:cs="Times New Roman"/>
                <w:sz w:val="20"/>
                <w:szCs w:val="20"/>
              </w:rPr>
            </w:pPr>
            <w:r w:rsidRPr="006D7653">
              <w:rPr>
                <w:rFonts w:cs="Times New Roman"/>
                <w:b/>
                <w:bCs/>
                <w:sz w:val="20"/>
                <w:szCs w:val="20"/>
              </w:rPr>
              <w:t>2025</w:t>
            </w:r>
          </w:p>
        </w:tc>
        <w:tc>
          <w:tcPr>
            <w:tcW w:w="349" w:type="pct"/>
            <w:tcBorders>
              <w:left w:val="single" w:sz="4" w:space="0" w:color="auto"/>
              <w:right w:val="single" w:sz="4" w:space="0" w:color="auto"/>
            </w:tcBorders>
            <w:shd w:val="clear" w:color="auto" w:fill="F2F2F2" w:themeFill="background1" w:themeFillShade="F2"/>
            <w:tcMar>
              <w:top w:w="15" w:type="dxa"/>
              <w:left w:w="15" w:type="dxa"/>
              <w:bottom w:w="0" w:type="dxa"/>
              <w:right w:w="135" w:type="dxa"/>
            </w:tcMar>
            <w:vAlign w:val="center"/>
            <w:hideMark/>
          </w:tcPr>
          <w:p w14:paraId="38D9326A" w14:textId="77777777" w:rsidR="002776DB" w:rsidRPr="006D7653" w:rsidRDefault="002776DB" w:rsidP="000E1128">
            <w:pPr>
              <w:spacing w:before="0" w:after="0"/>
              <w:ind w:firstLine="0"/>
              <w:jc w:val="center"/>
              <w:rPr>
                <w:rFonts w:cs="Times New Roman"/>
                <w:sz w:val="20"/>
                <w:szCs w:val="20"/>
              </w:rPr>
            </w:pPr>
            <w:r w:rsidRPr="006D7653">
              <w:rPr>
                <w:rFonts w:cs="Times New Roman"/>
                <w:b/>
                <w:bCs/>
                <w:sz w:val="20"/>
                <w:szCs w:val="20"/>
              </w:rPr>
              <w:t>2026</w:t>
            </w:r>
          </w:p>
        </w:tc>
        <w:tc>
          <w:tcPr>
            <w:tcW w:w="367" w:type="pct"/>
            <w:tcBorders>
              <w:left w:val="single" w:sz="4" w:space="0" w:color="auto"/>
            </w:tcBorders>
            <w:shd w:val="clear" w:color="auto" w:fill="F2F2F2" w:themeFill="background1" w:themeFillShade="F2"/>
            <w:tcMar>
              <w:top w:w="15" w:type="dxa"/>
              <w:left w:w="15" w:type="dxa"/>
              <w:bottom w:w="0" w:type="dxa"/>
              <w:right w:w="135" w:type="dxa"/>
            </w:tcMar>
            <w:vAlign w:val="center"/>
            <w:hideMark/>
          </w:tcPr>
          <w:p w14:paraId="7F6FEB24" w14:textId="77777777" w:rsidR="002776DB" w:rsidRPr="006D7653" w:rsidRDefault="002776DB" w:rsidP="000E1128">
            <w:pPr>
              <w:spacing w:before="0" w:after="0"/>
              <w:ind w:firstLine="0"/>
              <w:jc w:val="center"/>
              <w:rPr>
                <w:rFonts w:cs="Times New Roman"/>
                <w:sz w:val="20"/>
                <w:szCs w:val="20"/>
              </w:rPr>
            </w:pPr>
            <w:r w:rsidRPr="006D7653">
              <w:rPr>
                <w:rFonts w:cs="Times New Roman"/>
                <w:b/>
                <w:bCs/>
                <w:sz w:val="20"/>
                <w:szCs w:val="20"/>
              </w:rPr>
              <w:t>2027</w:t>
            </w:r>
          </w:p>
        </w:tc>
      </w:tr>
      <w:tr w:rsidR="002776DB" w:rsidRPr="006D7653" w14:paraId="30A48E03" w14:textId="77777777" w:rsidTr="000E1128">
        <w:trPr>
          <w:gridAfter w:val="1"/>
          <w:wAfter w:w="11" w:type="pct"/>
          <w:trHeight w:val="50"/>
        </w:trPr>
        <w:tc>
          <w:tcPr>
            <w:tcW w:w="1821" w:type="pct"/>
            <w:shd w:val="clear" w:color="auto" w:fill="FFFFFF"/>
            <w:tcMar>
              <w:top w:w="15" w:type="dxa"/>
              <w:left w:w="113" w:type="dxa"/>
              <w:bottom w:w="0" w:type="dxa"/>
              <w:right w:w="15" w:type="dxa"/>
            </w:tcMar>
            <w:vAlign w:val="center"/>
            <w:hideMark/>
          </w:tcPr>
          <w:p w14:paraId="2CC196E8" w14:textId="77777777" w:rsidR="002776DB" w:rsidRPr="006D7653" w:rsidRDefault="002776DB" w:rsidP="000E1128">
            <w:pPr>
              <w:spacing w:before="0" w:after="0"/>
              <w:ind w:firstLine="0"/>
              <w:rPr>
                <w:rFonts w:cs="Times New Roman"/>
                <w:sz w:val="20"/>
                <w:szCs w:val="20"/>
              </w:rPr>
            </w:pPr>
            <w:r w:rsidRPr="006D7653">
              <w:rPr>
                <w:rFonts w:cs="Times New Roman"/>
                <w:sz w:val="20"/>
                <w:szCs w:val="20"/>
              </w:rPr>
              <w:t xml:space="preserve">IKP faktiskajās cenās, </w:t>
            </w:r>
            <w:r w:rsidRPr="006D7653">
              <w:rPr>
                <w:rFonts w:cs="Times New Roman"/>
                <w:i/>
                <w:iCs/>
                <w:sz w:val="20"/>
                <w:szCs w:val="20"/>
              </w:rPr>
              <w:t>milj. euro</w:t>
            </w:r>
          </w:p>
        </w:tc>
        <w:tc>
          <w:tcPr>
            <w:tcW w:w="351" w:type="pct"/>
            <w:shd w:val="clear" w:color="auto" w:fill="FFFFFF"/>
            <w:tcMar>
              <w:top w:w="15" w:type="dxa"/>
              <w:left w:w="15" w:type="dxa"/>
              <w:bottom w:w="0" w:type="dxa"/>
              <w:right w:w="135" w:type="dxa"/>
            </w:tcMar>
            <w:vAlign w:val="center"/>
            <w:hideMark/>
          </w:tcPr>
          <w:p w14:paraId="19C7100F"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30 679</w:t>
            </w:r>
          </w:p>
        </w:tc>
        <w:tc>
          <w:tcPr>
            <w:tcW w:w="351" w:type="pct"/>
            <w:shd w:val="clear" w:color="auto" w:fill="FFFFFF"/>
            <w:tcMar>
              <w:top w:w="15" w:type="dxa"/>
              <w:left w:w="15" w:type="dxa"/>
              <w:bottom w:w="0" w:type="dxa"/>
              <w:right w:w="135" w:type="dxa"/>
            </w:tcMar>
            <w:vAlign w:val="center"/>
            <w:hideMark/>
          </w:tcPr>
          <w:p w14:paraId="04BFD7C2"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30 265</w:t>
            </w:r>
          </w:p>
        </w:tc>
        <w:tc>
          <w:tcPr>
            <w:tcW w:w="350" w:type="pct"/>
            <w:shd w:val="clear" w:color="auto" w:fill="FFFFFF"/>
            <w:tcMar>
              <w:top w:w="15" w:type="dxa"/>
              <w:left w:w="15" w:type="dxa"/>
              <w:bottom w:w="0" w:type="dxa"/>
              <w:right w:w="135" w:type="dxa"/>
            </w:tcMar>
            <w:vAlign w:val="center"/>
            <w:hideMark/>
          </w:tcPr>
          <w:p w14:paraId="4EC4EBD1"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33 617</w:t>
            </w:r>
          </w:p>
        </w:tc>
        <w:tc>
          <w:tcPr>
            <w:tcW w:w="351" w:type="pct"/>
            <w:shd w:val="clear" w:color="auto" w:fill="FFFFFF"/>
            <w:tcMar>
              <w:top w:w="15" w:type="dxa"/>
              <w:left w:w="15" w:type="dxa"/>
              <w:bottom w:w="0" w:type="dxa"/>
              <w:right w:w="135" w:type="dxa"/>
            </w:tcMar>
            <w:vAlign w:val="center"/>
            <w:hideMark/>
          </w:tcPr>
          <w:p w14:paraId="73978F8F"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39 063</w:t>
            </w:r>
          </w:p>
        </w:tc>
        <w:tc>
          <w:tcPr>
            <w:tcW w:w="351" w:type="pct"/>
            <w:shd w:val="clear" w:color="auto" w:fill="FFFFFF" w:themeFill="background1"/>
            <w:tcMar>
              <w:top w:w="15" w:type="dxa"/>
              <w:left w:w="15" w:type="dxa"/>
              <w:bottom w:w="0" w:type="dxa"/>
              <w:right w:w="135" w:type="dxa"/>
            </w:tcMar>
            <w:vAlign w:val="center"/>
            <w:hideMark/>
          </w:tcPr>
          <w:p w14:paraId="186B4A9A"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43 368</w:t>
            </w:r>
          </w:p>
        </w:tc>
        <w:tc>
          <w:tcPr>
            <w:tcW w:w="350" w:type="pct"/>
            <w:shd w:val="clear" w:color="auto" w:fill="FFFFFF" w:themeFill="background1"/>
            <w:tcMar>
              <w:top w:w="15" w:type="dxa"/>
              <w:left w:w="15" w:type="dxa"/>
              <w:bottom w:w="0" w:type="dxa"/>
              <w:right w:w="135" w:type="dxa"/>
            </w:tcMar>
            <w:vAlign w:val="center"/>
            <w:hideMark/>
          </w:tcPr>
          <w:p w14:paraId="6719ADEA"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45 750</w:t>
            </w:r>
          </w:p>
        </w:tc>
        <w:tc>
          <w:tcPr>
            <w:tcW w:w="351" w:type="pct"/>
            <w:shd w:val="clear" w:color="auto" w:fill="FFFFFF" w:themeFill="background1"/>
            <w:tcMar>
              <w:top w:w="15" w:type="dxa"/>
              <w:left w:w="15" w:type="dxa"/>
              <w:bottom w:w="0" w:type="dxa"/>
              <w:right w:w="135" w:type="dxa"/>
            </w:tcMar>
            <w:vAlign w:val="center"/>
            <w:hideMark/>
          </w:tcPr>
          <w:p w14:paraId="5F31DE25"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48 577</w:t>
            </w:r>
          </w:p>
        </w:tc>
        <w:tc>
          <w:tcPr>
            <w:tcW w:w="349" w:type="pct"/>
            <w:shd w:val="clear" w:color="auto" w:fill="FFFFFF" w:themeFill="background1"/>
            <w:tcMar>
              <w:top w:w="15" w:type="dxa"/>
              <w:left w:w="15" w:type="dxa"/>
              <w:bottom w:w="0" w:type="dxa"/>
              <w:right w:w="135" w:type="dxa"/>
            </w:tcMar>
            <w:vAlign w:val="center"/>
            <w:hideMark/>
          </w:tcPr>
          <w:p w14:paraId="1724201D"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51 375</w:t>
            </w:r>
          </w:p>
        </w:tc>
        <w:tc>
          <w:tcPr>
            <w:tcW w:w="367" w:type="pct"/>
            <w:shd w:val="clear" w:color="auto" w:fill="FFFFFF" w:themeFill="background1"/>
            <w:tcMar>
              <w:top w:w="15" w:type="dxa"/>
              <w:left w:w="15" w:type="dxa"/>
              <w:bottom w:w="0" w:type="dxa"/>
              <w:right w:w="136" w:type="dxa"/>
            </w:tcMar>
            <w:vAlign w:val="center"/>
            <w:hideMark/>
          </w:tcPr>
          <w:p w14:paraId="5FF0B6E0"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54 180</w:t>
            </w:r>
          </w:p>
        </w:tc>
      </w:tr>
      <w:tr w:rsidR="002776DB" w:rsidRPr="006D7653" w14:paraId="7E80A19A" w14:textId="77777777" w:rsidTr="000E1128">
        <w:trPr>
          <w:gridAfter w:val="1"/>
          <w:wAfter w:w="11" w:type="pct"/>
          <w:trHeight w:val="50"/>
        </w:trPr>
        <w:tc>
          <w:tcPr>
            <w:tcW w:w="1821" w:type="pct"/>
            <w:shd w:val="clear" w:color="auto" w:fill="FFFFFF"/>
            <w:tcMar>
              <w:top w:w="15" w:type="dxa"/>
              <w:left w:w="113" w:type="dxa"/>
              <w:bottom w:w="0" w:type="dxa"/>
              <w:right w:w="15" w:type="dxa"/>
            </w:tcMar>
            <w:vAlign w:val="center"/>
            <w:hideMark/>
          </w:tcPr>
          <w:p w14:paraId="33E8CC60" w14:textId="77777777" w:rsidR="002776DB" w:rsidRPr="006D7653" w:rsidRDefault="002776DB" w:rsidP="000E1128">
            <w:pPr>
              <w:spacing w:before="0" w:after="0"/>
              <w:ind w:firstLine="0"/>
              <w:rPr>
                <w:rFonts w:cs="Times New Roman"/>
                <w:sz w:val="20"/>
                <w:szCs w:val="20"/>
              </w:rPr>
            </w:pPr>
            <w:r w:rsidRPr="006D7653">
              <w:rPr>
                <w:rFonts w:cs="Times New Roman"/>
                <w:sz w:val="20"/>
                <w:szCs w:val="20"/>
              </w:rPr>
              <w:t>pieaugums faktiskajās cenās, %</w:t>
            </w:r>
          </w:p>
        </w:tc>
        <w:tc>
          <w:tcPr>
            <w:tcW w:w="351" w:type="pct"/>
            <w:shd w:val="clear" w:color="auto" w:fill="FFFFFF"/>
            <w:tcMar>
              <w:top w:w="15" w:type="dxa"/>
              <w:left w:w="15" w:type="dxa"/>
              <w:bottom w:w="0" w:type="dxa"/>
              <w:right w:w="135" w:type="dxa"/>
            </w:tcMar>
            <w:vAlign w:val="center"/>
            <w:hideMark/>
          </w:tcPr>
          <w:p w14:paraId="04F55D10"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5.2</w:t>
            </w:r>
          </w:p>
        </w:tc>
        <w:tc>
          <w:tcPr>
            <w:tcW w:w="351" w:type="pct"/>
            <w:shd w:val="clear" w:color="auto" w:fill="FFFFFF"/>
            <w:tcMar>
              <w:top w:w="15" w:type="dxa"/>
              <w:left w:w="15" w:type="dxa"/>
              <w:bottom w:w="0" w:type="dxa"/>
              <w:right w:w="135" w:type="dxa"/>
            </w:tcMar>
            <w:vAlign w:val="center"/>
            <w:hideMark/>
          </w:tcPr>
          <w:p w14:paraId="53FFEEA7"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-1,3</w:t>
            </w:r>
          </w:p>
        </w:tc>
        <w:tc>
          <w:tcPr>
            <w:tcW w:w="350" w:type="pct"/>
            <w:shd w:val="clear" w:color="auto" w:fill="FFFFFF"/>
            <w:tcMar>
              <w:top w:w="15" w:type="dxa"/>
              <w:left w:w="15" w:type="dxa"/>
              <w:bottom w:w="0" w:type="dxa"/>
              <w:right w:w="135" w:type="dxa"/>
            </w:tcMar>
            <w:vAlign w:val="center"/>
            <w:hideMark/>
          </w:tcPr>
          <w:p w14:paraId="1C734D38"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11,1</w:t>
            </w:r>
          </w:p>
        </w:tc>
        <w:tc>
          <w:tcPr>
            <w:tcW w:w="351" w:type="pct"/>
            <w:shd w:val="clear" w:color="auto" w:fill="FFFFFF"/>
            <w:tcMar>
              <w:top w:w="15" w:type="dxa"/>
              <w:left w:w="15" w:type="dxa"/>
              <w:bottom w:w="0" w:type="dxa"/>
              <w:right w:w="135" w:type="dxa"/>
            </w:tcMar>
            <w:vAlign w:val="center"/>
            <w:hideMark/>
          </w:tcPr>
          <w:p w14:paraId="0E661AF0"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16,2</w:t>
            </w:r>
          </w:p>
        </w:tc>
        <w:tc>
          <w:tcPr>
            <w:tcW w:w="351" w:type="pct"/>
            <w:shd w:val="clear" w:color="auto" w:fill="FFFFFF" w:themeFill="background1"/>
            <w:tcMar>
              <w:top w:w="15" w:type="dxa"/>
              <w:left w:w="15" w:type="dxa"/>
              <w:bottom w:w="0" w:type="dxa"/>
              <w:right w:w="135" w:type="dxa"/>
            </w:tcMar>
            <w:vAlign w:val="center"/>
            <w:hideMark/>
          </w:tcPr>
          <w:p w14:paraId="7E242880"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11,0</w:t>
            </w:r>
          </w:p>
        </w:tc>
        <w:tc>
          <w:tcPr>
            <w:tcW w:w="350" w:type="pct"/>
            <w:shd w:val="clear" w:color="auto" w:fill="FFFFFF" w:themeFill="background1"/>
            <w:tcMar>
              <w:top w:w="15" w:type="dxa"/>
              <w:left w:w="15" w:type="dxa"/>
              <w:bottom w:w="0" w:type="dxa"/>
              <w:right w:w="135" w:type="dxa"/>
            </w:tcMar>
            <w:vAlign w:val="center"/>
            <w:hideMark/>
          </w:tcPr>
          <w:p w14:paraId="4C32A2FF"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5,5</w:t>
            </w:r>
          </w:p>
        </w:tc>
        <w:tc>
          <w:tcPr>
            <w:tcW w:w="351" w:type="pct"/>
            <w:shd w:val="clear" w:color="auto" w:fill="FFFFFF" w:themeFill="background1"/>
            <w:tcMar>
              <w:top w:w="15" w:type="dxa"/>
              <w:left w:w="15" w:type="dxa"/>
              <w:bottom w:w="0" w:type="dxa"/>
              <w:right w:w="135" w:type="dxa"/>
            </w:tcMar>
            <w:vAlign w:val="center"/>
            <w:hideMark/>
          </w:tcPr>
          <w:p w14:paraId="4DA3EB13"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6,2</w:t>
            </w:r>
          </w:p>
        </w:tc>
        <w:tc>
          <w:tcPr>
            <w:tcW w:w="349" w:type="pct"/>
            <w:shd w:val="clear" w:color="auto" w:fill="FFFFFF" w:themeFill="background1"/>
            <w:tcMar>
              <w:top w:w="15" w:type="dxa"/>
              <w:left w:w="15" w:type="dxa"/>
              <w:bottom w:w="0" w:type="dxa"/>
              <w:right w:w="135" w:type="dxa"/>
            </w:tcMar>
            <w:vAlign w:val="center"/>
            <w:hideMark/>
          </w:tcPr>
          <w:p w14:paraId="247E1AF6"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5,8</w:t>
            </w:r>
          </w:p>
        </w:tc>
        <w:tc>
          <w:tcPr>
            <w:tcW w:w="367" w:type="pct"/>
            <w:shd w:val="clear" w:color="auto" w:fill="FFFFFF" w:themeFill="background1"/>
            <w:tcMar>
              <w:top w:w="15" w:type="dxa"/>
              <w:left w:w="15" w:type="dxa"/>
              <w:bottom w:w="0" w:type="dxa"/>
              <w:right w:w="136" w:type="dxa"/>
            </w:tcMar>
            <w:vAlign w:val="center"/>
            <w:hideMark/>
          </w:tcPr>
          <w:p w14:paraId="14DD07CB"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5,5</w:t>
            </w:r>
          </w:p>
        </w:tc>
      </w:tr>
      <w:tr w:rsidR="002776DB" w:rsidRPr="006D7653" w14:paraId="48079D94" w14:textId="77777777" w:rsidTr="000E1128">
        <w:trPr>
          <w:gridAfter w:val="1"/>
          <w:wAfter w:w="11" w:type="pct"/>
          <w:trHeight w:val="50"/>
        </w:trPr>
        <w:tc>
          <w:tcPr>
            <w:tcW w:w="1821" w:type="pct"/>
            <w:shd w:val="clear" w:color="auto" w:fill="FFFFFF"/>
            <w:tcMar>
              <w:top w:w="15" w:type="dxa"/>
              <w:left w:w="113" w:type="dxa"/>
              <w:bottom w:w="0" w:type="dxa"/>
              <w:right w:w="15" w:type="dxa"/>
            </w:tcMar>
            <w:vAlign w:val="center"/>
            <w:hideMark/>
          </w:tcPr>
          <w:p w14:paraId="27C48D41" w14:textId="77777777" w:rsidR="002776DB" w:rsidRPr="006D7653" w:rsidRDefault="002776DB" w:rsidP="000E1128">
            <w:pPr>
              <w:spacing w:before="0" w:after="0"/>
              <w:ind w:firstLine="0"/>
              <w:rPr>
                <w:rFonts w:cs="Times New Roman"/>
                <w:sz w:val="20"/>
                <w:szCs w:val="20"/>
              </w:rPr>
            </w:pPr>
            <w:r w:rsidRPr="006D7653">
              <w:rPr>
                <w:rFonts w:cs="Times New Roman"/>
                <w:b/>
                <w:bCs/>
                <w:sz w:val="20"/>
                <w:szCs w:val="20"/>
              </w:rPr>
              <w:t>pieaugums salīdz. cenās, %</w:t>
            </w:r>
          </w:p>
        </w:tc>
        <w:tc>
          <w:tcPr>
            <w:tcW w:w="351" w:type="pct"/>
            <w:shd w:val="clear" w:color="auto" w:fill="FFFFFF"/>
            <w:tcMar>
              <w:top w:w="15" w:type="dxa"/>
              <w:left w:w="15" w:type="dxa"/>
              <w:bottom w:w="0" w:type="dxa"/>
              <w:right w:w="135" w:type="dxa"/>
            </w:tcMar>
            <w:vAlign w:val="center"/>
            <w:hideMark/>
          </w:tcPr>
          <w:p w14:paraId="3A6BB747"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2,6</w:t>
            </w:r>
          </w:p>
        </w:tc>
        <w:tc>
          <w:tcPr>
            <w:tcW w:w="351" w:type="pct"/>
            <w:shd w:val="clear" w:color="auto" w:fill="FFFFFF"/>
            <w:tcMar>
              <w:top w:w="15" w:type="dxa"/>
              <w:left w:w="15" w:type="dxa"/>
              <w:bottom w:w="0" w:type="dxa"/>
              <w:right w:w="135" w:type="dxa"/>
            </w:tcMar>
            <w:vAlign w:val="center"/>
            <w:hideMark/>
          </w:tcPr>
          <w:p w14:paraId="5162EF44"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-2,3</w:t>
            </w:r>
          </w:p>
        </w:tc>
        <w:tc>
          <w:tcPr>
            <w:tcW w:w="350" w:type="pct"/>
            <w:shd w:val="clear" w:color="auto" w:fill="FFFFFF"/>
            <w:tcMar>
              <w:top w:w="15" w:type="dxa"/>
              <w:left w:w="15" w:type="dxa"/>
              <w:bottom w:w="0" w:type="dxa"/>
              <w:right w:w="135" w:type="dxa"/>
            </w:tcMar>
            <w:vAlign w:val="center"/>
            <w:hideMark/>
          </w:tcPr>
          <w:p w14:paraId="5B81E0B0"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4,3</w:t>
            </w:r>
          </w:p>
        </w:tc>
        <w:tc>
          <w:tcPr>
            <w:tcW w:w="351" w:type="pct"/>
            <w:shd w:val="clear" w:color="auto" w:fill="FFFFFF"/>
            <w:tcMar>
              <w:top w:w="15" w:type="dxa"/>
              <w:left w:w="15" w:type="dxa"/>
              <w:bottom w:w="0" w:type="dxa"/>
              <w:right w:w="135" w:type="dxa"/>
            </w:tcMar>
            <w:vAlign w:val="center"/>
            <w:hideMark/>
          </w:tcPr>
          <w:p w14:paraId="2095A9BD"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2,8</w:t>
            </w:r>
          </w:p>
        </w:tc>
        <w:tc>
          <w:tcPr>
            <w:tcW w:w="351" w:type="pct"/>
            <w:shd w:val="clear" w:color="auto" w:fill="FFFFFF" w:themeFill="background1"/>
            <w:tcMar>
              <w:top w:w="15" w:type="dxa"/>
              <w:left w:w="15" w:type="dxa"/>
              <w:bottom w:w="0" w:type="dxa"/>
              <w:right w:w="135" w:type="dxa"/>
            </w:tcMar>
            <w:vAlign w:val="center"/>
            <w:hideMark/>
          </w:tcPr>
          <w:p w14:paraId="289D7D6C"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1,0</w:t>
            </w:r>
          </w:p>
        </w:tc>
        <w:tc>
          <w:tcPr>
            <w:tcW w:w="350" w:type="pct"/>
            <w:shd w:val="clear" w:color="auto" w:fill="FFFFFF" w:themeFill="background1"/>
            <w:tcMar>
              <w:top w:w="15" w:type="dxa"/>
              <w:left w:w="15" w:type="dxa"/>
              <w:bottom w:w="0" w:type="dxa"/>
              <w:right w:w="135" w:type="dxa"/>
            </w:tcMar>
            <w:vAlign w:val="center"/>
            <w:hideMark/>
          </w:tcPr>
          <w:p w14:paraId="3CE14FD5"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2,5</w:t>
            </w:r>
          </w:p>
        </w:tc>
        <w:tc>
          <w:tcPr>
            <w:tcW w:w="351" w:type="pct"/>
            <w:shd w:val="clear" w:color="auto" w:fill="FFFFFF" w:themeFill="background1"/>
            <w:tcMar>
              <w:top w:w="15" w:type="dxa"/>
              <w:left w:w="15" w:type="dxa"/>
              <w:bottom w:w="0" w:type="dxa"/>
              <w:right w:w="135" w:type="dxa"/>
            </w:tcMar>
            <w:vAlign w:val="center"/>
            <w:hideMark/>
          </w:tcPr>
          <w:p w14:paraId="2AC06FAD"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2,9</w:t>
            </w:r>
          </w:p>
        </w:tc>
        <w:tc>
          <w:tcPr>
            <w:tcW w:w="349" w:type="pct"/>
            <w:shd w:val="clear" w:color="auto" w:fill="FFFFFF" w:themeFill="background1"/>
            <w:tcMar>
              <w:top w:w="15" w:type="dxa"/>
              <w:left w:w="15" w:type="dxa"/>
              <w:bottom w:w="0" w:type="dxa"/>
              <w:right w:w="135" w:type="dxa"/>
            </w:tcMar>
            <w:vAlign w:val="center"/>
            <w:hideMark/>
          </w:tcPr>
          <w:p w14:paraId="33891CC3"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2,9</w:t>
            </w:r>
          </w:p>
        </w:tc>
        <w:tc>
          <w:tcPr>
            <w:tcW w:w="367" w:type="pct"/>
            <w:shd w:val="clear" w:color="auto" w:fill="FFFFFF" w:themeFill="background1"/>
            <w:tcMar>
              <w:top w:w="15" w:type="dxa"/>
              <w:left w:w="15" w:type="dxa"/>
              <w:bottom w:w="0" w:type="dxa"/>
              <w:right w:w="136" w:type="dxa"/>
            </w:tcMar>
            <w:vAlign w:val="center"/>
            <w:hideMark/>
          </w:tcPr>
          <w:p w14:paraId="2E21214F"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2,6</w:t>
            </w:r>
          </w:p>
        </w:tc>
      </w:tr>
      <w:tr w:rsidR="002776DB" w:rsidRPr="006D7653" w14:paraId="7F9C500B" w14:textId="77777777" w:rsidTr="000E1128">
        <w:trPr>
          <w:gridAfter w:val="1"/>
          <w:wAfter w:w="11" w:type="pct"/>
          <w:trHeight w:val="50"/>
        </w:trPr>
        <w:tc>
          <w:tcPr>
            <w:tcW w:w="1821" w:type="pct"/>
            <w:shd w:val="clear" w:color="auto" w:fill="FFFFFF"/>
            <w:tcMar>
              <w:top w:w="15" w:type="dxa"/>
              <w:left w:w="113" w:type="dxa"/>
              <w:bottom w:w="0" w:type="dxa"/>
              <w:right w:w="15" w:type="dxa"/>
            </w:tcMar>
            <w:vAlign w:val="center"/>
            <w:hideMark/>
          </w:tcPr>
          <w:p w14:paraId="67351459" w14:textId="77777777" w:rsidR="002776DB" w:rsidRPr="006D7653" w:rsidRDefault="002776DB" w:rsidP="000E1128">
            <w:pPr>
              <w:spacing w:before="0" w:after="0"/>
              <w:ind w:firstLine="0"/>
              <w:rPr>
                <w:rFonts w:cs="Times New Roman"/>
                <w:sz w:val="20"/>
                <w:szCs w:val="20"/>
              </w:rPr>
            </w:pPr>
            <w:r w:rsidRPr="006D7653">
              <w:rPr>
                <w:rFonts w:cs="Times New Roman"/>
                <w:sz w:val="20"/>
                <w:szCs w:val="20"/>
              </w:rPr>
              <w:t>IKP deflators, izmaiņas %</w:t>
            </w:r>
          </w:p>
        </w:tc>
        <w:tc>
          <w:tcPr>
            <w:tcW w:w="351" w:type="pct"/>
            <w:shd w:val="clear" w:color="auto" w:fill="FFFFFF"/>
            <w:tcMar>
              <w:top w:w="15" w:type="dxa"/>
              <w:left w:w="15" w:type="dxa"/>
              <w:bottom w:w="0" w:type="dxa"/>
              <w:right w:w="135" w:type="dxa"/>
            </w:tcMar>
            <w:vAlign w:val="center"/>
            <w:hideMark/>
          </w:tcPr>
          <w:p w14:paraId="7A5A9583"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2,6</w:t>
            </w:r>
          </w:p>
        </w:tc>
        <w:tc>
          <w:tcPr>
            <w:tcW w:w="351" w:type="pct"/>
            <w:shd w:val="clear" w:color="auto" w:fill="FFFFFF"/>
            <w:tcMar>
              <w:top w:w="15" w:type="dxa"/>
              <w:left w:w="15" w:type="dxa"/>
              <w:bottom w:w="0" w:type="dxa"/>
              <w:right w:w="135" w:type="dxa"/>
            </w:tcMar>
            <w:vAlign w:val="center"/>
            <w:hideMark/>
          </w:tcPr>
          <w:p w14:paraId="0026B41C"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1,0</w:t>
            </w:r>
          </w:p>
        </w:tc>
        <w:tc>
          <w:tcPr>
            <w:tcW w:w="350" w:type="pct"/>
            <w:shd w:val="clear" w:color="auto" w:fill="FFFFFF"/>
            <w:tcMar>
              <w:top w:w="15" w:type="dxa"/>
              <w:left w:w="15" w:type="dxa"/>
              <w:bottom w:w="0" w:type="dxa"/>
              <w:right w:w="135" w:type="dxa"/>
            </w:tcMar>
            <w:vAlign w:val="center"/>
            <w:hideMark/>
          </w:tcPr>
          <w:p w14:paraId="67D850D7"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6,5</w:t>
            </w:r>
          </w:p>
        </w:tc>
        <w:tc>
          <w:tcPr>
            <w:tcW w:w="351" w:type="pct"/>
            <w:shd w:val="clear" w:color="auto" w:fill="FFFFFF"/>
            <w:tcMar>
              <w:top w:w="15" w:type="dxa"/>
              <w:left w:w="15" w:type="dxa"/>
              <w:bottom w:w="0" w:type="dxa"/>
              <w:right w:w="135" w:type="dxa"/>
            </w:tcMar>
            <w:vAlign w:val="center"/>
            <w:hideMark/>
          </w:tcPr>
          <w:p w14:paraId="70A22A8F"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13,1</w:t>
            </w:r>
          </w:p>
        </w:tc>
        <w:tc>
          <w:tcPr>
            <w:tcW w:w="351" w:type="pct"/>
            <w:shd w:val="clear" w:color="auto" w:fill="FFFFFF" w:themeFill="background1"/>
            <w:tcMar>
              <w:top w:w="15" w:type="dxa"/>
              <w:left w:w="15" w:type="dxa"/>
              <w:bottom w:w="0" w:type="dxa"/>
              <w:right w:w="135" w:type="dxa"/>
            </w:tcMar>
            <w:vAlign w:val="center"/>
            <w:hideMark/>
          </w:tcPr>
          <w:p w14:paraId="1847B21A"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9,9</w:t>
            </w:r>
          </w:p>
        </w:tc>
        <w:tc>
          <w:tcPr>
            <w:tcW w:w="350" w:type="pct"/>
            <w:shd w:val="clear" w:color="auto" w:fill="FFFFFF" w:themeFill="background1"/>
            <w:tcMar>
              <w:top w:w="15" w:type="dxa"/>
              <w:left w:w="15" w:type="dxa"/>
              <w:bottom w:w="0" w:type="dxa"/>
              <w:right w:w="135" w:type="dxa"/>
            </w:tcMar>
            <w:vAlign w:val="center"/>
            <w:hideMark/>
          </w:tcPr>
          <w:p w14:paraId="1188568E"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2,9</w:t>
            </w:r>
          </w:p>
        </w:tc>
        <w:tc>
          <w:tcPr>
            <w:tcW w:w="351" w:type="pct"/>
            <w:shd w:val="clear" w:color="auto" w:fill="FFFFFF" w:themeFill="background1"/>
            <w:tcMar>
              <w:top w:w="15" w:type="dxa"/>
              <w:left w:w="15" w:type="dxa"/>
              <w:bottom w:w="0" w:type="dxa"/>
              <w:right w:w="135" w:type="dxa"/>
            </w:tcMar>
            <w:vAlign w:val="center"/>
            <w:hideMark/>
          </w:tcPr>
          <w:p w14:paraId="366D4786"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3,2</w:t>
            </w:r>
          </w:p>
        </w:tc>
        <w:tc>
          <w:tcPr>
            <w:tcW w:w="349" w:type="pct"/>
            <w:shd w:val="clear" w:color="auto" w:fill="FFFFFF" w:themeFill="background1"/>
            <w:tcMar>
              <w:top w:w="15" w:type="dxa"/>
              <w:left w:w="15" w:type="dxa"/>
              <w:bottom w:w="0" w:type="dxa"/>
              <w:right w:w="135" w:type="dxa"/>
            </w:tcMar>
            <w:vAlign w:val="center"/>
            <w:hideMark/>
          </w:tcPr>
          <w:p w14:paraId="195DB387"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2,8</w:t>
            </w:r>
          </w:p>
        </w:tc>
        <w:tc>
          <w:tcPr>
            <w:tcW w:w="367" w:type="pct"/>
            <w:shd w:val="clear" w:color="auto" w:fill="FFFFFF" w:themeFill="background1"/>
            <w:tcMar>
              <w:top w:w="15" w:type="dxa"/>
              <w:left w:w="15" w:type="dxa"/>
              <w:bottom w:w="0" w:type="dxa"/>
              <w:right w:w="136" w:type="dxa"/>
            </w:tcMar>
            <w:vAlign w:val="center"/>
            <w:hideMark/>
          </w:tcPr>
          <w:p w14:paraId="3ABCFF56"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2,8</w:t>
            </w:r>
          </w:p>
        </w:tc>
      </w:tr>
      <w:tr w:rsidR="002776DB" w:rsidRPr="006D7653" w14:paraId="6459F9C2" w14:textId="77777777" w:rsidTr="000E1128">
        <w:trPr>
          <w:trHeight w:val="97"/>
        </w:trPr>
        <w:tc>
          <w:tcPr>
            <w:tcW w:w="5000" w:type="pct"/>
            <w:gridSpan w:val="11"/>
            <w:shd w:val="clear" w:color="auto" w:fill="F2F2F2" w:themeFill="background1" w:themeFillShade="F2"/>
            <w:tcMar>
              <w:top w:w="15" w:type="dxa"/>
              <w:left w:w="113" w:type="dxa"/>
              <w:bottom w:w="0" w:type="dxa"/>
              <w:right w:w="15" w:type="dxa"/>
            </w:tcMar>
            <w:vAlign w:val="center"/>
            <w:hideMark/>
          </w:tcPr>
          <w:p w14:paraId="2AB7B2FA" w14:textId="77777777" w:rsidR="002776DB" w:rsidRPr="006D7653" w:rsidRDefault="002776DB" w:rsidP="000E1128">
            <w:pPr>
              <w:spacing w:before="0" w:after="0"/>
              <w:ind w:firstLine="0"/>
              <w:jc w:val="center"/>
              <w:rPr>
                <w:rFonts w:cs="Times New Roman"/>
                <w:sz w:val="12"/>
                <w:szCs w:val="12"/>
              </w:rPr>
            </w:pPr>
            <w:r w:rsidRPr="006D7653">
              <w:rPr>
                <w:rFonts w:cs="Times New Roman"/>
                <w:sz w:val="12"/>
                <w:szCs w:val="12"/>
              </w:rPr>
              <w:t> </w:t>
            </w:r>
          </w:p>
        </w:tc>
      </w:tr>
      <w:tr w:rsidR="002776DB" w:rsidRPr="006D7653" w14:paraId="344E61AD" w14:textId="77777777" w:rsidTr="000E1128">
        <w:trPr>
          <w:gridAfter w:val="1"/>
          <w:wAfter w:w="11" w:type="pct"/>
          <w:trHeight w:val="50"/>
        </w:trPr>
        <w:tc>
          <w:tcPr>
            <w:tcW w:w="1821" w:type="pct"/>
            <w:shd w:val="clear" w:color="auto" w:fill="FFFFFF"/>
            <w:tcMar>
              <w:top w:w="15" w:type="dxa"/>
              <w:left w:w="113" w:type="dxa"/>
              <w:bottom w:w="0" w:type="dxa"/>
              <w:right w:w="15" w:type="dxa"/>
            </w:tcMar>
            <w:vAlign w:val="center"/>
            <w:hideMark/>
          </w:tcPr>
          <w:p w14:paraId="6ACF789E" w14:textId="77777777" w:rsidR="002776DB" w:rsidRPr="006D7653" w:rsidRDefault="002776DB" w:rsidP="000E1128">
            <w:pPr>
              <w:spacing w:before="0" w:after="0"/>
              <w:ind w:firstLine="0"/>
              <w:rPr>
                <w:rFonts w:cs="Times New Roman"/>
                <w:sz w:val="20"/>
                <w:szCs w:val="20"/>
              </w:rPr>
            </w:pPr>
            <w:r w:rsidRPr="006D7653">
              <w:rPr>
                <w:rFonts w:cs="Times New Roman"/>
                <w:b/>
                <w:bCs/>
                <w:sz w:val="20"/>
                <w:szCs w:val="20"/>
              </w:rPr>
              <w:t>PCI (vidēji gadā), %</w:t>
            </w:r>
          </w:p>
        </w:tc>
        <w:tc>
          <w:tcPr>
            <w:tcW w:w="351" w:type="pct"/>
            <w:shd w:val="clear" w:color="auto" w:fill="FFFFFF"/>
            <w:tcMar>
              <w:top w:w="15" w:type="dxa"/>
              <w:left w:w="15" w:type="dxa"/>
              <w:bottom w:w="0" w:type="dxa"/>
              <w:right w:w="135" w:type="dxa"/>
            </w:tcMar>
            <w:vAlign w:val="center"/>
            <w:hideMark/>
          </w:tcPr>
          <w:p w14:paraId="345329E1"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2,8</w:t>
            </w:r>
          </w:p>
        </w:tc>
        <w:tc>
          <w:tcPr>
            <w:tcW w:w="351" w:type="pct"/>
            <w:shd w:val="clear" w:color="auto" w:fill="FFFFFF"/>
            <w:tcMar>
              <w:top w:w="15" w:type="dxa"/>
              <w:left w:w="15" w:type="dxa"/>
              <w:bottom w:w="0" w:type="dxa"/>
              <w:right w:w="135" w:type="dxa"/>
            </w:tcMar>
            <w:vAlign w:val="center"/>
            <w:hideMark/>
          </w:tcPr>
          <w:p w14:paraId="757A668A"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0,2</w:t>
            </w:r>
          </w:p>
        </w:tc>
        <w:tc>
          <w:tcPr>
            <w:tcW w:w="350" w:type="pct"/>
            <w:shd w:val="clear" w:color="auto" w:fill="FFFFFF"/>
            <w:tcMar>
              <w:top w:w="15" w:type="dxa"/>
              <w:left w:w="15" w:type="dxa"/>
              <w:bottom w:w="0" w:type="dxa"/>
              <w:right w:w="135" w:type="dxa"/>
            </w:tcMar>
            <w:vAlign w:val="center"/>
            <w:hideMark/>
          </w:tcPr>
          <w:p w14:paraId="73BCB91C"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3,3</w:t>
            </w:r>
          </w:p>
        </w:tc>
        <w:tc>
          <w:tcPr>
            <w:tcW w:w="351" w:type="pct"/>
            <w:shd w:val="clear" w:color="auto" w:fill="FFFFFF"/>
            <w:tcMar>
              <w:top w:w="15" w:type="dxa"/>
              <w:left w:w="15" w:type="dxa"/>
              <w:bottom w:w="0" w:type="dxa"/>
              <w:right w:w="135" w:type="dxa"/>
            </w:tcMar>
            <w:vAlign w:val="center"/>
            <w:hideMark/>
          </w:tcPr>
          <w:p w14:paraId="2A16667A"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17,3</w:t>
            </w:r>
          </w:p>
        </w:tc>
        <w:tc>
          <w:tcPr>
            <w:tcW w:w="351" w:type="pct"/>
            <w:shd w:val="clear" w:color="auto" w:fill="FFFFFF" w:themeFill="background1"/>
            <w:tcMar>
              <w:top w:w="15" w:type="dxa"/>
              <w:left w:w="15" w:type="dxa"/>
              <w:bottom w:w="0" w:type="dxa"/>
              <w:right w:w="135" w:type="dxa"/>
            </w:tcMar>
            <w:vAlign w:val="center"/>
            <w:hideMark/>
          </w:tcPr>
          <w:p w14:paraId="3866212D"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10,0</w:t>
            </w:r>
          </w:p>
        </w:tc>
        <w:tc>
          <w:tcPr>
            <w:tcW w:w="350" w:type="pct"/>
            <w:shd w:val="clear" w:color="auto" w:fill="FFFFFF" w:themeFill="background1"/>
            <w:tcMar>
              <w:top w:w="15" w:type="dxa"/>
              <w:left w:w="15" w:type="dxa"/>
              <w:bottom w:w="0" w:type="dxa"/>
              <w:right w:w="135" w:type="dxa"/>
            </w:tcMar>
            <w:vAlign w:val="center"/>
            <w:hideMark/>
          </w:tcPr>
          <w:p w14:paraId="4113806F"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2,2</w:t>
            </w:r>
          </w:p>
        </w:tc>
        <w:tc>
          <w:tcPr>
            <w:tcW w:w="351" w:type="pct"/>
            <w:shd w:val="clear" w:color="auto" w:fill="FFFFFF" w:themeFill="background1"/>
            <w:tcMar>
              <w:top w:w="15" w:type="dxa"/>
              <w:left w:w="15" w:type="dxa"/>
              <w:bottom w:w="0" w:type="dxa"/>
              <w:right w:w="135" w:type="dxa"/>
            </w:tcMar>
            <w:vAlign w:val="center"/>
            <w:hideMark/>
          </w:tcPr>
          <w:p w14:paraId="2432E7EF"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2,5</w:t>
            </w:r>
          </w:p>
        </w:tc>
        <w:tc>
          <w:tcPr>
            <w:tcW w:w="349" w:type="pct"/>
            <w:shd w:val="clear" w:color="auto" w:fill="FFFFFF" w:themeFill="background1"/>
            <w:tcMar>
              <w:top w:w="15" w:type="dxa"/>
              <w:left w:w="15" w:type="dxa"/>
              <w:bottom w:w="0" w:type="dxa"/>
              <w:right w:w="135" w:type="dxa"/>
            </w:tcMar>
            <w:vAlign w:val="center"/>
            <w:hideMark/>
          </w:tcPr>
          <w:p w14:paraId="4FF88BD9"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2,3</w:t>
            </w:r>
          </w:p>
        </w:tc>
        <w:tc>
          <w:tcPr>
            <w:tcW w:w="367" w:type="pct"/>
            <w:shd w:val="clear" w:color="auto" w:fill="FFFFFF" w:themeFill="background1"/>
            <w:tcMar>
              <w:top w:w="15" w:type="dxa"/>
              <w:left w:w="15" w:type="dxa"/>
              <w:bottom w:w="0" w:type="dxa"/>
              <w:right w:w="135" w:type="dxa"/>
            </w:tcMar>
            <w:vAlign w:val="center"/>
            <w:hideMark/>
          </w:tcPr>
          <w:p w14:paraId="0D19DD60"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2,3</w:t>
            </w:r>
          </w:p>
        </w:tc>
      </w:tr>
      <w:tr w:rsidR="002776DB" w:rsidRPr="006D7653" w14:paraId="046FAF27" w14:textId="77777777" w:rsidTr="000E1128">
        <w:trPr>
          <w:trHeight w:val="119"/>
        </w:trPr>
        <w:tc>
          <w:tcPr>
            <w:tcW w:w="5000" w:type="pct"/>
            <w:gridSpan w:val="11"/>
            <w:shd w:val="clear" w:color="auto" w:fill="F2F2F2" w:themeFill="background1" w:themeFillShade="F2"/>
            <w:tcMar>
              <w:top w:w="15" w:type="dxa"/>
              <w:left w:w="113" w:type="dxa"/>
              <w:bottom w:w="0" w:type="dxa"/>
              <w:right w:w="15" w:type="dxa"/>
            </w:tcMar>
            <w:vAlign w:val="center"/>
            <w:hideMark/>
          </w:tcPr>
          <w:p w14:paraId="3E05ED5C" w14:textId="77777777" w:rsidR="002776DB" w:rsidRPr="006D7653" w:rsidRDefault="002776DB" w:rsidP="000E1128">
            <w:pPr>
              <w:spacing w:before="0" w:after="0"/>
              <w:ind w:firstLine="0"/>
              <w:jc w:val="center"/>
              <w:rPr>
                <w:rFonts w:cs="Times New Roman"/>
                <w:sz w:val="12"/>
                <w:szCs w:val="12"/>
              </w:rPr>
            </w:pPr>
            <w:r w:rsidRPr="006D7653">
              <w:rPr>
                <w:rFonts w:cs="Times New Roman"/>
                <w:sz w:val="12"/>
                <w:szCs w:val="12"/>
              </w:rPr>
              <w:t> </w:t>
            </w:r>
          </w:p>
        </w:tc>
      </w:tr>
      <w:tr w:rsidR="002776DB" w:rsidRPr="006D7653" w14:paraId="0479A9C4" w14:textId="77777777" w:rsidTr="000E1128">
        <w:trPr>
          <w:gridAfter w:val="1"/>
          <w:wAfter w:w="11" w:type="pct"/>
          <w:trHeight w:val="50"/>
        </w:trPr>
        <w:tc>
          <w:tcPr>
            <w:tcW w:w="1821" w:type="pct"/>
            <w:shd w:val="clear" w:color="auto" w:fill="FFFFFF"/>
            <w:tcMar>
              <w:top w:w="15" w:type="dxa"/>
              <w:left w:w="113" w:type="dxa"/>
              <w:bottom w:w="0" w:type="dxa"/>
              <w:right w:w="15" w:type="dxa"/>
            </w:tcMar>
            <w:vAlign w:val="center"/>
            <w:hideMark/>
          </w:tcPr>
          <w:p w14:paraId="4B9F1EA5" w14:textId="77777777" w:rsidR="002776DB" w:rsidRPr="006D7653" w:rsidRDefault="002776DB" w:rsidP="000E1128">
            <w:pPr>
              <w:spacing w:before="0" w:after="0"/>
              <w:ind w:firstLine="0"/>
              <w:jc w:val="left"/>
              <w:rPr>
                <w:rFonts w:cs="Times New Roman"/>
                <w:sz w:val="20"/>
                <w:szCs w:val="20"/>
              </w:rPr>
            </w:pPr>
            <w:r w:rsidRPr="006D7653">
              <w:rPr>
                <w:rFonts w:cs="Times New Roman"/>
                <w:sz w:val="20"/>
                <w:szCs w:val="20"/>
              </w:rPr>
              <w:t xml:space="preserve">Tautsaimniecībā nodarbināto </w:t>
            </w:r>
            <w:r w:rsidRPr="006D7653">
              <w:rPr>
                <w:rFonts w:cs="Times New Roman"/>
                <w:sz w:val="20"/>
                <w:szCs w:val="20"/>
              </w:rPr>
              <w:br/>
              <w:t xml:space="preserve">mēn.vid.bruto darba samaksa, </w:t>
            </w:r>
            <w:r w:rsidRPr="006D7653">
              <w:rPr>
                <w:rFonts w:cs="Times New Roman"/>
                <w:i/>
                <w:iCs/>
                <w:sz w:val="20"/>
                <w:szCs w:val="20"/>
              </w:rPr>
              <w:t>euro</w:t>
            </w:r>
          </w:p>
        </w:tc>
        <w:tc>
          <w:tcPr>
            <w:tcW w:w="351" w:type="pct"/>
            <w:shd w:val="clear" w:color="auto" w:fill="FFFFFF"/>
            <w:tcMar>
              <w:top w:w="15" w:type="dxa"/>
              <w:left w:w="15" w:type="dxa"/>
              <w:bottom w:w="0" w:type="dxa"/>
              <w:right w:w="135" w:type="dxa"/>
            </w:tcMar>
            <w:vAlign w:val="center"/>
            <w:hideMark/>
          </w:tcPr>
          <w:p w14:paraId="3267719D"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1076</w:t>
            </w:r>
          </w:p>
        </w:tc>
        <w:tc>
          <w:tcPr>
            <w:tcW w:w="351" w:type="pct"/>
            <w:shd w:val="clear" w:color="auto" w:fill="FFFFFF"/>
            <w:tcMar>
              <w:top w:w="15" w:type="dxa"/>
              <w:left w:w="15" w:type="dxa"/>
              <w:bottom w:w="0" w:type="dxa"/>
              <w:right w:w="135" w:type="dxa"/>
            </w:tcMar>
            <w:vAlign w:val="center"/>
            <w:hideMark/>
          </w:tcPr>
          <w:p w14:paraId="457E6D6D"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1143</w:t>
            </w:r>
          </w:p>
        </w:tc>
        <w:tc>
          <w:tcPr>
            <w:tcW w:w="350" w:type="pct"/>
            <w:shd w:val="clear" w:color="auto" w:fill="FFFFFF"/>
            <w:tcMar>
              <w:top w:w="15" w:type="dxa"/>
              <w:left w:w="15" w:type="dxa"/>
              <w:bottom w:w="0" w:type="dxa"/>
              <w:right w:w="135" w:type="dxa"/>
            </w:tcMar>
            <w:vAlign w:val="center"/>
            <w:hideMark/>
          </w:tcPr>
          <w:p w14:paraId="1E38BCD3"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1277</w:t>
            </w:r>
          </w:p>
        </w:tc>
        <w:tc>
          <w:tcPr>
            <w:tcW w:w="351" w:type="pct"/>
            <w:shd w:val="clear" w:color="auto" w:fill="FFFFFF"/>
            <w:tcMar>
              <w:top w:w="15" w:type="dxa"/>
              <w:left w:w="15" w:type="dxa"/>
              <w:bottom w:w="0" w:type="dxa"/>
              <w:right w:w="135" w:type="dxa"/>
            </w:tcMar>
            <w:vAlign w:val="center"/>
            <w:hideMark/>
          </w:tcPr>
          <w:p w14:paraId="01B0B669"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1373</w:t>
            </w:r>
          </w:p>
        </w:tc>
        <w:tc>
          <w:tcPr>
            <w:tcW w:w="351" w:type="pct"/>
            <w:shd w:val="clear" w:color="auto" w:fill="FFFFFF" w:themeFill="background1"/>
            <w:tcMar>
              <w:top w:w="15" w:type="dxa"/>
              <w:left w:w="15" w:type="dxa"/>
              <w:bottom w:w="0" w:type="dxa"/>
              <w:right w:w="135" w:type="dxa"/>
            </w:tcMar>
            <w:vAlign w:val="center"/>
            <w:hideMark/>
          </w:tcPr>
          <w:p w14:paraId="73527FC1"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1524</w:t>
            </w:r>
          </w:p>
        </w:tc>
        <w:tc>
          <w:tcPr>
            <w:tcW w:w="350" w:type="pct"/>
            <w:shd w:val="clear" w:color="auto" w:fill="FFFFFF" w:themeFill="background1"/>
            <w:tcMar>
              <w:top w:w="15" w:type="dxa"/>
              <w:left w:w="15" w:type="dxa"/>
              <w:bottom w:w="0" w:type="dxa"/>
              <w:right w:w="135" w:type="dxa"/>
            </w:tcMar>
            <w:vAlign w:val="center"/>
            <w:hideMark/>
          </w:tcPr>
          <w:p w14:paraId="3EFC165D"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1638</w:t>
            </w:r>
          </w:p>
        </w:tc>
        <w:tc>
          <w:tcPr>
            <w:tcW w:w="351" w:type="pct"/>
            <w:shd w:val="clear" w:color="auto" w:fill="FFFFFF" w:themeFill="background1"/>
            <w:tcMar>
              <w:top w:w="15" w:type="dxa"/>
              <w:left w:w="15" w:type="dxa"/>
              <w:bottom w:w="0" w:type="dxa"/>
              <w:right w:w="135" w:type="dxa"/>
            </w:tcMar>
            <w:vAlign w:val="center"/>
            <w:hideMark/>
          </w:tcPr>
          <w:p w14:paraId="67F2B2F1"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1720</w:t>
            </w:r>
          </w:p>
        </w:tc>
        <w:tc>
          <w:tcPr>
            <w:tcW w:w="349" w:type="pct"/>
            <w:shd w:val="clear" w:color="auto" w:fill="FFFFFF" w:themeFill="background1"/>
            <w:tcMar>
              <w:top w:w="15" w:type="dxa"/>
              <w:left w:w="15" w:type="dxa"/>
              <w:bottom w:w="0" w:type="dxa"/>
              <w:right w:w="135" w:type="dxa"/>
            </w:tcMar>
            <w:vAlign w:val="center"/>
            <w:hideMark/>
          </w:tcPr>
          <w:p w14:paraId="64C7BA7D"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1806</w:t>
            </w:r>
          </w:p>
        </w:tc>
        <w:tc>
          <w:tcPr>
            <w:tcW w:w="367" w:type="pct"/>
            <w:shd w:val="clear" w:color="auto" w:fill="FFFFFF" w:themeFill="background1"/>
            <w:tcMar>
              <w:top w:w="15" w:type="dxa"/>
              <w:left w:w="15" w:type="dxa"/>
              <w:bottom w:w="0" w:type="dxa"/>
              <w:right w:w="136" w:type="dxa"/>
            </w:tcMar>
            <w:vAlign w:val="center"/>
            <w:hideMark/>
          </w:tcPr>
          <w:p w14:paraId="5D4A3FAD"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1897</w:t>
            </w:r>
          </w:p>
        </w:tc>
      </w:tr>
      <w:tr w:rsidR="002776DB" w:rsidRPr="006D7653" w14:paraId="0B4AFB42" w14:textId="77777777" w:rsidTr="000E1128">
        <w:trPr>
          <w:gridAfter w:val="1"/>
          <w:wAfter w:w="11" w:type="pct"/>
          <w:trHeight w:val="50"/>
        </w:trPr>
        <w:tc>
          <w:tcPr>
            <w:tcW w:w="1821" w:type="pct"/>
            <w:shd w:val="clear" w:color="auto" w:fill="FFFFFF"/>
            <w:tcMar>
              <w:top w:w="15" w:type="dxa"/>
              <w:left w:w="113" w:type="dxa"/>
              <w:bottom w:w="0" w:type="dxa"/>
              <w:right w:w="15" w:type="dxa"/>
            </w:tcMar>
            <w:vAlign w:val="center"/>
            <w:hideMark/>
          </w:tcPr>
          <w:p w14:paraId="4A72767B" w14:textId="77777777" w:rsidR="002776DB" w:rsidRPr="006D7653" w:rsidRDefault="002776DB" w:rsidP="000E1128">
            <w:pPr>
              <w:spacing w:before="0" w:after="0"/>
              <w:ind w:firstLine="0"/>
              <w:rPr>
                <w:rFonts w:cs="Times New Roman"/>
                <w:sz w:val="20"/>
                <w:szCs w:val="20"/>
              </w:rPr>
            </w:pPr>
            <w:r w:rsidRPr="006D7653">
              <w:rPr>
                <w:rFonts w:cs="Times New Roman"/>
                <w:sz w:val="20"/>
                <w:szCs w:val="20"/>
              </w:rPr>
              <w:t>pieaugums faktiskajās cenās, %</w:t>
            </w:r>
          </w:p>
        </w:tc>
        <w:tc>
          <w:tcPr>
            <w:tcW w:w="351" w:type="pct"/>
            <w:shd w:val="clear" w:color="auto" w:fill="FFFFFF"/>
            <w:tcMar>
              <w:top w:w="15" w:type="dxa"/>
              <w:left w:w="15" w:type="dxa"/>
              <w:bottom w:w="0" w:type="dxa"/>
              <w:right w:w="135" w:type="dxa"/>
            </w:tcMar>
            <w:vAlign w:val="center"/>
            <w:hideMark/>
          </w:tcPr>
          <w:p w14:paraId="243821F4"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7,2</w:t>
            </w:r>
          </w:p>
        </w:tc>
        <w:tc>
          <w:tcPr>
            <w:tcW w:w="351" w:type="pct"/>
            <w:shd w:val="clear" w:color="auto" w:fill="FFFFFF"/>
            <w:tcMar>
              <w:top w:w="15" w:type="dxa"/>
              <w:left w:w="15" w:type="dxa"/>
              <w:bottom w:w="0" w:type="dxa"/>
              <w:right w:w="135" w:type="dxa"/>
            </w:tcMar>
            <w:vAlign w:val="center"/>
            <w:hideMark/>
          </w:tcPr>
          <w:p w14:paraId="187B5C3E"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6,2</w:t>
            </w:r>
          </w:p>
        </w:tc>
        <w:tc>
          <w:tcPr>
            <w:tcW w:w="350" w:type="pct"/>
            <w:shd w:val="clear" w:color="auto" w:fill="FFFFFF"/>
            <w:tcMar>
              <w:top w:w="15" w:type="dxa"/>
              <w:left w:w="15" w:type="dxa"/>
              <w:bottom w:w="0" w:type="dxa"/>
              <w:right w:w="135" w:type="dxa"/>
            </w:tcMar>
            <w:vAlign w:val="center"/>
            <w:hideMark/>
          </w:tcPr>
          <w:p w14:paraId="4F8E7EC1"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11,7</w:t>
            </w:r>
          </w:p>
        </w:tc>
        <w:tc>
          <w:tcPr>
            <w:tcW w:w="351" w:type="pct"/>
            <w:shd w:val="clear" w:color="auto" w:fill="FFFFFF"/>
            <w:tcMar>
              <w:top w:w="15" w:type="dxa"/>
              <w:left w:w="15" w:type="dxa"/>
              <w:bottom w:w="0" w:type="dxa"/>
              <w:right w:w="135" w:type="dxa"/>
            </w:tcMar>
            <w:vAlign w:val="center"/>
            <w:hideMark/>
          </w:tcPr>
          <w:p w14:paraId="28A18FDA"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7,5</w:t>
            </w:r>
          </w:p>
        </w:tc>
        <w:tc>
          <w:tcPr>
            <w:tcW w:w="351" w:type="pct"/>
            <w:shd w:val="clear" w:color="auto" w:fill="FFFFFF" w:themeFill="background1"/>
            <w:tcMar>
              <w:top w:w="15" w:type="dxa"/>
              <w:left w:w="15" w:type="dxa"/>
              <w:bottom w:w="0" w:type="dxa"/>
              <w:right w:w="135" w:type="dxa"/>
            </w:tcMar>
            <w:vAlign w:val="center"/>
            <w:hideMark/>
          </w:tcPr>
          <w:p w14:paraId="59185A96"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11,0</w:t>
            </w:r>
          </w:p>
        </w:tc>
        <w:tc>
          <w:tcPr>
            <w:tcW w:w="350" w:type="pct"/>
            <w:shd w:val="clear" w:color="auto" w:fill="FFFFFF" w:themeFill="background1"/>
            <w:tcMar>
              <w:top w:w="15" w:type="dxa"/>
              <w:left w:w="15" w:type="dxa"/>
              <w:bottom w:w="0" w:type="dxa"/>
              <w:right w:w="135" w:type="dxa"/>
            </w:tcMar>
            <w:vAlign w:val="center"/>
            <w:hideMark/>
          </w:tcPr>
          <w:p w14:paraId="165815C5"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7,5</w:t>
            </w:r>
          </w:p>
        </w:tc>
        <w:tc>
          <w:tcPr>
            <w:tcW w:w="351" w:type="pct"/>
            <w:shd w:val="clear" w:color="auto" w:fill="FFFFFF" w:themeFill="background1"/>
            <w:tcMar>
              <w:top w:w="15" w:type="dxa"/>
              <w:left w:w="15" w:type="dxa"/>
              <w:bottom w:w="0" w:type="dxa"/>
              <w:right w:w="135" w:type="dxa"/>
            </w:tcMar>
            <w:vAlign w:val="center"/>
            <w:hideMark/>
          </w:tcPr>
          <w:p w14:paraId="4C47E1E9"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5,0</w:t>
            </w:r>
          </w:p>
        </w:tc>
        <w:tc>
          <w:tcPr>
            <w:tcW w:w="349" w:type="pct"/>
            <w:shd w:val="clear" w:color="auto" w:fill="FFFFFF" w:themeFill="background1"/>
            <w:tcMar>
              <w:top w:w="15" w:type="dxa"/>
              <w:left w:w="15" w:type="dxa"/>
              <w:bottom w:w="0" w:type="dxa"/>
              <w:right w:w="135" w:type="dxa"/>
            </w:tcMar>
            <w:vAlign w:val="center"/>
            <w:hideMark/>
          </w:tcPr>
          <w:p w14:paraId="7CB27C16"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5,0</w:t>
            </w:r>
          </w:p>
        </w:tc>
        <w:tc>
          <w:tcPr>
            <w:tcW w:w="367" w:type="pct"/>
            <w:shd w:val="clear" w:color="auto" w:fill="FFFFFF" w:themeFill="background1"/>
            <w:tcMar>
              <w:top w:w="15" w:type="dxa"/>
              <w:left w:w="15" w:type="dxa"/>
              <w:bottom w:w="0" w:type="dxa"/>
              <w:right w:w="136" w:type="dxa"/>
            </w:tcMar>
            <w:vAlign w:val="center"/>
            <w:hideMark/>
          </w:tcPr>
          <w:p w14:paraId="664F4D07"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5,0</w:t>
            </w:r>
          </w:p>
        </w:tc>
      </w:tr>
      <w:tr w:rsidR="002776DB" w:rsidRPr="006D7653" w14:paraId="52066C8A" w14:textId="77777777" w:rsidTr="000E1128">
        <w:trPr>
          <w:gridAfter w:val="1"/>
          <w:wAfter w:w="11" w:type="pct"/>
          <w:trHeight w:val="50"/>
        </w:trPr>
        <w:tc>
          <w:tcPr>
            <w:tcW w:w="1821" w:type="pct"/>
            <w:shd w:val="clear" w:color="auto" w:fill="FFFFFF"/>
            <w:tcMar>
              <w:top w:w="15" w:type="dxa"/>
              <w:left w:w="113" w:type="dxa"/>
              <w:bottom w:w="0" w:type="dxa"/>
              <w:right w:w="15" w:type="dxa"/>
            </w:tcMar>
            <w:vAlign w:val="center"/>
            <w:hideMark/>
          </w:tcPr>
          <w:p w14:paraId="5695D42A" w14:textId="77777777" w:rsidR="002776DB" w:rsidRPr="006D7653" w:rsidRDefault="002776DB" w:rsidP="000E1128">
            <w:pPr>
              <w:spacing w:before="0" w:after="0"/>
              <w:ind w:firstLine="0"/>
              <w:rPr>
                <w:rFonts w:cs="Times New Roman"/>
                <w:sz w:val="20"/>
                <w:szCs w:val="20"/>
              </w:rPr>
            </w:pPr>
            <w:r w:rsidRPr="006D7653">
              <w:rPr>
                <w:rFonts w:cs="Times New Roman"/>
                <w:sz w:val="20"/>
                <w:szCs w:val="20"/>
              </w:rPr>
              <w:t>pieaugums salīdzināmās cenās, %</w:t>
            </w:r>
          </w:p>
        </w:tc>
        <w:tc>
          <w:tcPr>
            <w:tcW w:w="351" w:type="pct"/>
            <w:shd w:val="clear" w:color="auto" w:fill="FFFFFF"/>
            <w:tcMar>
              <w:top w:w="15" w:type="dxa"/>
              <w:left w:w="15" w:type="dxa"/>
              <w:bottom w:w="0" w:type="dxa"/>
              <w:right w:w="135" w:type="dxa"/>
            </w:tcMar>
            <w:vAlign w:val="center"/>
            <w:hideMark/>
          </w:tcPr>
          <w:p w14:paraId="4CF92A25"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4,2</w:t>
            </w:r>
          </w:p>
        </w:tc>
        <w:tc>
          <w:tcPr>
            <w:tcW w:w="351" w:type="pct"/>
            <w:shd w:val="clear" w:color="auto" w:fill="FFFFFF"/>
            <w:tcMar>
              <w:top w:w="15" w:type="dxa"/>
              <w:left w:w="15" w:type="dxa"/>
              <w:bottom w:w="0" w:type="dxa"/>
              <w:right w:w="135" w:type="dxa"/>
            </w:tcMar>
            <w:vAlign w:val="center"/>
            <w:hideMark/>
          </w:tcPr>
          <w:p w14:paraId="0DD2B3F2"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6,0</w:t>
            </w:r>
          </w:p>
        </w:tc>
        <w:tc>
          <w:tcPr>
            <w:tcW w:w="350" w:type="pct"/>
            <w:shd w:val="clear" w:color="auto" w:fill="FFFFFF"/>
            <w:tcMar>
              <w:top w:w="15" w:type="dxa"/>
              <w:left w:w="15" w:type="dxa"/>
              <w:bottom w:w="0" w:type="dxa"/>
              <w:right w:w="135" w:type="dxa"/>
            </w:tcMar>
            <w:vAlign w:val="center"/>
            <w:hideMark/>
          </w:tcPr>
          <w:p w14:paraId="674E10F8"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8,2</w:t>
            </w:r>
          </w:p>
        </w:tc>
        <w:tc>
          <w:tcPr>
            <w:tcW w:w="351" w:type="pct"/>
            <w:shd w:val="clear" w:color="auto" w:fill="FFFFFF"/>
            <w:tcMar>
              <w:top w:w="15" w:type="dxa"/>
              <w:left w:w="15" w:type="dxa"/>
              <w:bottom w:w="0" w:type="dxa"/>
              <w:right w:w="135" w:type="dxa"/>
            </w:tcMar>
            <w:vAlign w:val="center"/>
            <w:hideMark/>
          </w:tcPr>
          <w:p w14:paraId="38EDF3EE"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-8,4</w:t>
            </w:r>
          </w:p>
        </w:tc>
        <w:tc>
          <w:tcPr>
            <w:tcW w:w="351" w:type="pct"/>
            <w:shd w:val="clear" w:color="auto" w:fill="FFFFFF" w:themeFill="background1"/>
            <w:tcMar>
              <w:top w:w="15" w:type="dxa"/>
              <w:left w:w="15" w:type="dxa"/>
              <w:bottom w:w="0" w:type="dxa"/>
              <w:right w:w="135" w:type="dxa"/>
            </w:tcMar>
            <w:vAlign w:val="center"/>
            <w:hideMark/>
          </w:tcPr>
          <w:p w14:paraId="1BB3B247"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0,9</w:t>
            </w:r>
          </w:p>
        </w:tc>
        <w:tc>
          <w:tcPr>
            <w:tcW w:w="350" w:type="pct"/>
            <w:shd w:val="clear" w:color="auto" w:fill="FFFFFF" w:themeFill="background1"/>
            <w:tcMar>
              <w:top w:w="15" w:type="dxa"/>
              <w:left w:w="15" w:type="dxa"/>
              <w:bottom w:w="0" w:type="dxa"/>
              <w:right w:w="135" w:type="dxa"/>
            </w:tcMar>
            <w:vAlign w:val="center"/>
            <w:hideMark/>
          </w:tcPr>
          <w:p w14:paraId="57CB05D7"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5,2</w:t>
            </w:r>
          </w:p>
        </w:tc>
        <w:tc>
          <w:tcPr>
            <w:tcW w:w="351" w:type="pct"/>
            <w:shd w:val="clear" w:color="auto" w:fill="FFFFFF" w:themeFill="background1"/>
            <w:tcMar>
              <w:top w:w="15" w:type="dxa"/>
              <w:left w:w="15" w:type="dxa"/>
              <w:bottom w:w="0" w:type="dxa"/>
              <w:right w:w="135" w:type="dxa"/>
            </w:tcMar>
            <w:vAlign w:val="center"/>
            <w:hideMark/>
          </w:tcPr>
          <w:p w14:paraId="22ABDDDA"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2,4</w:t>
            </w:r>
          </w:p>
        </w:tc>
        <w:tc>
          <w:tcPr>
            <w:tcW w:w="349" w:type="pct"/>
            <w:shd w:val="clear" w:color="auto" w:fill="FFFFFF" w:themeFill="background1"/>
            <w:tcMar>
              <w:top w:w="15" w:type="dxa"/>
              <w:left w:w="15" w:type="dxa"/>
              <w:bottom w:w="0" w:type="dxa"/>
              <w:right w:w="135" w:type="dxa"/>
            </w:tcMar>
            <w:vAlign w:val="center"/>
            <w:hideMark/>
          </w:tcPr>
          <w:p w14:paraId="366AB862"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2,6</w:t>
            </w:r>
          </w:p>
        </w:tc>
        <w:tc>
          <w:tcPr>
            <w:tcW w:w="367" w:type="pct"/>
            <w:shd w:val="clear" w:color="auto" w:fill="FFFFFF" w:themeFill="background1"/>
            <w:tcMar>
              <w:top w:w="15" w:type="dxa"/>
              <w:left w:w="15" w:type="dxa"/>
              <w:bottom w:w="0" w:type="dxa"/>
              <w:right w:w="136" w:type="dxa"/>
            </w:tcMar>
            <w:vAlign w:val="center"/>
            <w:hideMark/>
          </w:tcPr>
          <w:p w14:paraId="37304651"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2,6</w:t>
            </w:r>
          </w:p>
        </w:tc>
      </w:tr>
      <w:tr w:rsidR="002776DB" w:rsidRPr="006D7653" w14:paraId="28790168" w14:textId="77777777" w:rsidTr="000E1128">
        <w:trPr>
          <w:trHeight w:val="60"/>
        </w:trPr>
        <w:tc>
          <w:tcPr>
            <w:tcW w:w="5000" w:type="pct"/>
            <w:gridSpan w:val="11"/>
            <w:shd w:val="clear" w:color="auto" w:fill="F2F2F2" w:themeFill="background1" w:themeFillShade="F2"/>
            <w:tcMar>
              <w:top w:w="15" w:type="dxa"/>
              <w:left w:w="113" w:type="dxa"/>
              <w:bottom w:w="0" w:type="dxa"/>
              <w:right w:w="15" w:type="dxa"/>
            </w:tcMar>
            <w:vAlign w:val="center"/>
            <w:hideMark/>
          </w:tcPr>
          <w:p w14:paraId="5B7EBF2D" w14:textId="77777777" w:rsidR="002776DB" w:rsidRPr="006D7653" w:rsidRDefault="002776DB" w:rsidP="000E1128">
            <w:pPr>
              <w:spacing w:before="0" w:after="0"/>
              <w:ind w:firstLine="0"/>
              <w:jc w:val="center"/>
              <w:rPr>
                <w:rFonts w:cs="Times New Roman"/>
                <w:sz w:val="12"/>
                <w:szCs w:val="12"/>
              </w:rPr>
            </w:pPr>
            <w:r w:rsidRPr="006D7653">
              <w:rPr>
                <w:rFonts w:cs="Times New Roman"/>
                <w:sz w:val="12"/>
                <w:szCs w:val="12"/>
              </w:rPr>
              <w:t> </w:t>
            </w:r>
          </w:p>
        </w:tc>
      </w:tr>
      <w:tr w:rsidR="002776DB" w:rsidRPr="006D7653" w14:paraId="53F7DB99" w14:textId="77777777" w:rsidTr="000E1128">
        <w:trPr>
          <w:gridAfter w:val="1"/>
          <w:wAfter w:w="11" w:type="pct"/>
          <w:trHeight w:val="50"/>
        </w:trPr>
        <w:tc>
          <w:tcPr>
            <w:tcW w:w="1821" w:type="pct"/>
            <w:shd w:val="clear" w:color="auto" w:fill="FFFFFF"/>
            <w:tcMar>
              <w:top w:w="15" w:type="dxa"/>
              <w:left w:w="113" w:type="dxa"/>
              <w:bottom w:w="0" w:type="dxa"/>
              <w:right w:w="15" w:type="dxa"/>
            </w:tcMar>
            <w:vAlign w:val="center"/>
            <w:hideMark/>
          </w:tcPr>
          <w:p w14:paraId="4537C760" w14:textId="77777777" w:rsidR="002776DB" w:rsidRPr="006D7653" w:rsidRDefault="002776DB" w:rsidP="000E1128">
            <w:pPr>
              <w:spacing w:before="0" w:after="0"/>
              <w:ind w:firstLine="0"/>
              <w:jc w:val="left"/>
              <w:rPr>
                <w:rFonts w:cs="Times New Roman"/>
                <w:sz w:val="20"/>
                <w:szCs w:val="20"/>
              </w:rPr>
            </w:pPr>
            <w:r w:rsidRPr="006D7653">
              <w:rPr>
                <w:rFonts w:cs="Times New Roman"/>
                <w:b/>
                <w:bCs/>
                <w:sz w:val="20"/>
                <w:szCs w:val="20"/>
              </w:rPr>
              <w:t xml:space="preserve">Nodarbinātība, </w:t>
            </w:r>
            <w:r w:rsidRPr="006D7653">
              <w:rPr>
                <w:rFonts w:cs="Times New Roman"/>
                <w:sz w:val="20"/>
                <w:szCs w:val="20"/>
              </w:rPr>
              <w:t>tūkst. iedz.</w:t>
            </w:r>
            <w:r w:rsidRPr="006D7653">
              <w:rPr>
                <w:rFonts w:cs="Times New Roman"/>
                <w:sz w:val="20"/>
                <w:szCs w:val="20"/>
              </w:rPr>
              <w:br/>
              <w:t>(atbilstoši darbaspēka apsekojumiem)</w:t>
            </w:r>
          </w:p>
        </w:tc>
        <w:tc>
          <w:tcPr>
            <w:tcW w:w="351" w:type="pct"/>
            <w:shd w:val="clear" w:color="auto" w:fill="FFFFFF"/>
            <w:tcMar>
              <w:top w:w="15" w:type="dxa"/>
              <w:left w:w="15" w:type="dxa"/>
              <w:bottom w:w="0" w:type="dxa"/>
              <w:right w:w="135" w:type="dxa"/>
            </w:tcMar>
            <w:vAlign w:val="center"/>
            <w:hideMark/>
          </w:tcPr>
          <w:p w14:paraId="07E88A7D"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910</w:t>
            </w:r>
          </w:p>
        </w:tc>
        <w:tc>
          <w:tcPr>
            <w:tcW w:w="351" w:type="pct"/>
            <w:shd w:val="clear" w:color="auto" w:fill="FFFFFF"/>
            <w:tcMar>
              <w:top w:w="15" w:type="dxa"/>
              <w:left w:w="15" w:type="dxa"/>
              <w:bottom w:w="0" w:type="dxa"/>
              <w:right w:w="135" w:type="dxa"/>
            </w:tcMar>
            <w:vAlign w:val="center"/>
            <w:hideMark/>
          </w:tcPr>
          <w:p w14:paraId="7F15A45D"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893</w:t>
            </w:r>
          </w:p>
        </w:tc>
        <w:tc>
          <w:tcPr>
            <w:tcW w:w="350" w:type="pct"/>
            <w:shd w:val="clear" w:color="auto" w:fill="FFFFFF"/>
            <w:tcMar>
              <w:top w:w="15" w:type="dxa"/>
              <w:left w:w="15" w:type="dxa"/>
              <w:bottom w:w="0" w:type="dxa"/>
              <w:right w:w="135" w:type="dxa"/>
            </w:tcMar>
            <w:vAlign w:val="center"/>
            <w:hideMark/>
          </w:tcPr>
          <w:p w14:paraId="7C4F8482"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864</w:t>
            </w:r>
          </w:p>
        </w:tc>
        <w:tc>
          <w:tcPr>
            <w:tcW w:w="351" w:type="pct"/>
            <w:shd w:val="clear" w:color="auto" w:fill="FFFFFF"/>
            <w:tcMar>
              <w:top w:w="15" w:type="dxa"/>
              <w:left w:w="15" w:type="dxa"/>
              <w:bottom w:w="0" w:type="dxa"/>
              <w:right w:w="135" w:type="dxa"/>
            </w:tcMar>
            <w:vAlign w:val="center"/>
            <w:hideMark/>
          </w:tcPr>
          <w:p w14:paraId="119B71D4"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886</w:t>
            </w:r>
          </w:p>
        </w:tc>
        <w:tc>
          <w:tcPr>
            <w:tcW w:w="351" w:type="pct"/>
            <w:shd w:val="clear" w:color="auto" w:fill="FFFFFF" w:themeFill="background1"/>
            <w:tcMar>
              <w:top w:w="15" w:type="dxa"/>
              <w:left w:w="15" w:type="dxa"/>
              <w:bottom w:w="0" w:type="dxa"/>
              <w:right w:w="135" w:type="dxa"/>
            </w:tcMar>
            <w:vAlign w:val="center"/>
            <w:hideMark/>
          </w:tcPr>
          <w:p w14:paraId="136A9C93"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887</w:t>
            </w:r>
          </w:p>
        </w:tc>
        <w:tc>
          <w:tcPr>
            <w:tcW w:w="350" w:type="pct"/>
            <w:shd w:val="clear" w:color="auto" w:fill="FFFFFF" w:themeFill="background1"/>
            <w:tcMar>
              <w:top w:w="15" w:type="dxa"/>
              <w:left w:w="15" w:type="dxa"/>
              <w:bottom w:w="0" w:type="dxa"/>
              <w:right w:w="135" w:type="dxa"/>
            </w:tcMar>
            <w:vAlign w:val="center"/>
            <w:hideMark/>
          </w:tcPr>
          <w:p w14:paraId="7C055C9C"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887</w:t>
            </w:r>
          </w:p>
        </w:tc>
        <w:tc>
          <w:tcPr>
            <w:tcW w:w="351" w:type="pct"/>
            <w:shd w:val="clear" w:color="auto" w:fill="FFFFFF" w:themeFill="background1"/>
            <w:tcMar>
              <w:top w:w="15" w:type="dxa"/>
              <w:left w:w="15" w:type="dxa"/>
              <w:bottom w:w="0" w:type="dxa"/>
              <w:right w:w="135" w:type="dxa"/>
            </w:tcMar>
            <w:vAlign w:val="center"/>
            <w:hideMark/>
          </w:tcPr>
          <w:p w14:paraId="74BEC920"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884</w:t>
            </w:r>
          </w:p>
        </w:tc>
        <w:tc>
          <w:tcPr>
            <w:tcW w:w="349" w:type="pct"/>
            <w:shd w:val="clear" w:color="auto" w:fill="FFFFFF" w:themeFill="background1"/>
            <w:tcMar>
              <w:top w:w="15" w:type="dxa"/>
              <w:left w:w="15" w:type="dxa"/>
              <w:bottom w:w="0" w:type="dxa"/>
              <w:right w:w="135" w:type="dxa"/>
            </w:tcMar>
            <w:vAlign w:val="center"/>
            <w:hideMark/>
          </w:tcPr>
          <w:p w14:paraId="5636C596"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879</w:t>
            </w:r>
          </w:p>
        </w:tc>
        <w:tc>
          <w:tcPr>
            <w:tcW w:w="367" w:type="pct"/>
            <w:shd w:val="clear" w:color="auto" w:fill="FFFFFF" w:themeFill="background1"/>
            <w:tcMar>
              <w:top w:w="15" w:type="dxa"/>
              <w:left w:w="15" w:type="dxa"/>
              <w:bottom w:w="0" w:type="dxa"/>
              <w:right w:w="136" w:type="dxa"/>
            </w:tcMar>
            <w:vAlign w:val="center"/>
            <w:hideMark/>
          </w:tcPr>
          <w:p w14:paraId="0E46FA2A"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874</w:t>
            </w:r>
          </w:p>
        </w:tc>
      </w:tr>
      <w:tr w:rsidR="002776DB" w:rsidRPr="006D7653" w14:paraId="2DF86167" w14:textId="77777777" w:rsidTr="000E1128">
        <w:trPr>
          <w:gridAfter w:val="1"/>
          <w:wAfter w:w="11" w:type="pct"/>
          <w:trHeight w:val="50"/>
        </w:trPr>
        <w:tc>
          <w:tcPr>
            <w:tcW w:w="1821" w:type="pct"/>
            <w:shd w:val="clear" w:color="auto" w:fill="FFFFFF"/>
            <w:tcMar>
              <w:top w:w="15" w:type="dxa"/>
              <w:left w:w="113" w:type="dxa"/>
              <w:bottom w:w="0" w:type="dxa"/>
              <w:right w:w="15" w:type="dxa"/>
            </w:tcMar>
            <w:vAlign w:val="center"/>
            <w:hideMark/>
          </w:tcPr>
          <w:p w14:paraId="66B05B37" w14:textId="77777777" w:rsidR="002776DB" w:rsidRPr="006D7653" w:rsidRDefault="002776DB" w:rsidP="000E1128">
            <w:pPr>
              <w:spacing w:before="0" w:after="0"/>
              <w:ind w:firstLine="0"/>
              <w:rPr>
                <w:rFonts w:cs="Times New Roman"/>
                <w:sz w:val="20"/>
                <w:szCs w:val="20"/>
              </w:rPr>
            </w:pPr>
            <w:r w:rsidRPr="006D7653">
              <w:rPr>
                <w:rFonts w:cs="Times New Roman"/>
                <w:b/>
                <w:bCs/>
                <w:sz w:val="20"/>
                <w:szCs w:val="20"/>
              </w:rPr>
              <w:t>pieaugums, %</w:t>
            </w:r>
          </w:p>
        </w:tc>
        <w:tc>
          <w:tcPr>
            <w:tcW w:w="351" w:type="pct"/>
            <w:shd w:val="clear" w:color="auto" w:fill="FFFFFF"/>
            <w:tcMar>
              <w:top w:w="15" w:type="dxa"/>
              <w:left w:w="15" w:type="dxa"/>
              <w:bottom w:w="0" w:type="dxa"/>
              <w:right w:w="135" w:type="dxa"/>
            </w:tcMar>
            <w:vAlign w:val="center"/>
            <w:hideMark/>
          </w:tcPr>
          <w:p w14:paraId="16A836A2"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0,1</w:t>
            </w:r>
          </w:p>
        </w:tc>
        <w:tc>
          <w:tcPr>
            <w:tcW w:w="351" w:type="pct"/>
            <w:shd w:val="clear" w:color="auto" w:fill="FFFFFF"/>
            <w:tcMar>
              <w:top w:w="15" w:type="dxa"/>
              <w:left w:w="15" w:type="dxa"/>
              <w:bottom w:w="0" w:type="dxa"/>
              <w:right w:w="135" w:type="dxa"/>
            </w:tcMar>
            <w:vAlign w:val="center"/>
            <w:hideMark/>
          </w:tcPr>
          <w:p w14:paraId="4E449CAC"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-1,9</w:t>
            </w:r>
          </w:p>
        </w:tc>
        <w:tc>
          <w:tcPr>
            <w:tcW w:w="350" w:type="pct"/>
            <w:shd w:val="clear" w:color="auto" w:fill="FFFFFF"/>
            <w:tcMar>
              <w:top w:w="15" w:type="dxa"/>
              <w:left w:w="15" w:type="dxa"/>
              <w:bottom w:w="0" w:type="dxa"/>
              <w:right w:w="135" w:type="dxa"/>
            </w:tcMar>
            <w:vAlign w:val="center"/>
            <w:hideMark/>
          </w:tcPr>
          <w:p w14:paraId="393B58B0"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-3,2</w:t>
            </w:r>
          </w:p>
        </w:tc>
        <w:tc>
          <w:tcPr>
            <w:tcW w:w="351" w:type="pct"/>
            <w:shd w:val="clear" w:color="auto" w:fill="FFFFFF"/>
            <w:tcMar>
              <w:top w:w="15" w:type="dxa"/>
              <w:left w:w="15" w:type="dxa"/>
              <w:bottom w:w="0" w:type="dxa"/>
              <w:right w:w="135" w:type="dxa"/>
            </w:tcMar>
            <w:vAlign w:val="center"/>
            <w:hideMark/>
          </w:tcPr>
          <w:p w14:paraId="34C6287D"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2,6</w:t>
            </w:r>
          </w:p>
        </w:tc>
        <w:tc>
          <w:tcPr>
            <w:tcW w:w="351" w:type="pct"/>
            <w:shd w:val="clear" w:color="auto" w:fill="FFFFFF" w:themeFill="background1"/>
            <w:tcMar>
              <w:top w:w="15" w:type="dxa"/>
              <w:left w:w="15" w:type="dxa"/>
              <w:bottom w:w="0" w:type="dxa"/>
              <w:right w:w="135" w:type="dxa"/>
            </w:tcMar>
            <w:vAlign w:val="center"/>
            <w:hideMark/>
          </w:tcPr>
          <w:p w14:paraId="310C0101"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0,1</w:t>
            </w:r>
          </w:p>
        </w:tc>
        <w:tc>
          <w:tcPr>
            <w:tcW w:w="350" w:type="pct"/>
            <w:shd w:val="clear" w:color="auto" w:fill="FFFFFF" w:themeFill="background1"/>
            <w:tcMar>
              <w:top w:w="15" w:type="dxa"/>
              <w:left w:w="15" w:type="dxa"/>
              <w:bottom w:w="0" w:type="dxa"/>
              <w:right w:w="135" w:type="dxa"/>
            </w:tcMar>
            <w:vAlign w:val="center"/>
            <w:hideMark/>
          </w:tcPr>
          <w:p w14:paraId="348F42AE"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0,0</w:t>
            </w:r>
          </w:p>
        </w:tc>
        <w:tc>
          <w:tcPr>
            <w:tcW w:w="351" w:type="pct"/>
            <w:shd w:val="clear" w:color="auto" w:fill="FFFFFF" w:themeFill="background1"/>
            <w:tcMar>
              <w:top w:w="15" w:type="dxa"/>
              <w:left w:w="15" w:type="dxa"/>
              <w:bottom w:w="0" w:type="dxa"/>
              <w:right w:w="135" w:type="dxa"/>
            </w:tcMar>
            <w:vAlign w:val="center"/>
            <w:hideMark/>
          </w:tcPr>
          <w:p w14:paraId="76FDD357"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-0,3</w:t>
            </w:r>
          </w:p>
        </w:tc>
        <w:tc>
          <w:tcPr>
            <w:tcW w:w="349" w:type="pct"/>
            <w:shd w:val="clear" w:color="auto" w:fill="FFFFFF" w:themeFill="background1"/>
            <w:tcMar>
              <w:top w:w="15" w:type="dxa"/>
              <w:left w:w="15" w:type="dxa"/>
              <w:bottom w:w="0" w:type="dxa"/>
              <w:right w:w="135" w:type="dxa"/>
            </w:tcMar>
            <w:vAlign w:val="center"/>
            <w:hideMark/>
          </w:tcPr>
          <w:p w14:paraId="02A1B169"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-0,6</w:t>
            </w:r>
          </w:p>
        </w:tc>
        <w:tc>
          <w:tcPr>
            <w:tcW w:w="367" w:type="pct"/>
            <w:shd w:val="clear" w:color="auto" w:fill="FFFFFF" w:themeFill="background1"/>
            <w:tcMar>
              <w:top w:w="15" w:type="dxa"/>
              <w:left w:w="15" w:type="dxa"/>
              <w:bottom w:w="0" w:type="dxa"/>
              <w:right w:w="136" w:type="dxa"/>
            </w:tcMar>
            <w:vAlign w:val="center"/>
            <w:hideMark/>
          </w:tcPr>
          <w:p w14:paraId="101FC5EA"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-0,6</w:t>
            </w:r>
          </w:p>
        </w:tc>
      </w:tr>
      <w:tr w:rsidR="002776DB" w:rsidRPr="006D7653" w14:paraId="2BE7FA74" w14:textId="77777777" w:rsidTr="000E1128">
        <w:trPr>
          <w:gridAfter w:val="1"/>
          <w:wAfter w:w="11" w:type="pct"/>
          <w:trHeight w:val="50"/>
        </w:trPr>
        <w:tc>
          <w:tcPr>
            <w:tcW w:w="1821" w:type="pct"/>
            <w:shd w:val="clear" w:color="auto" w:fill="FFFFFF"/>
            <w:tcMar>
              <w:top w:w="15" w:type="dxa"/>
              <w:left w:w="113" w:type="dxa"/>
              <w:bottom w:w="0" w:type="dxa"/>
              <w:right w:w="15" w:type="dxa"/>
            </w:tcMar>
            <w:vAlign w:val="center"/>
            <w:hideMark/>
          </w:tcPr>
          <w:p w14:paraId="2CBD6A29" w14:textId="77777777" w:rsidR="002776DB" w:rsidRPr="006D7653" w:rsidRDefault="002776DB" w:rsidP="000E1128">
            <w:pPr>
              <w:spacing w:before="0" w:after="0"/>
              <w:ind w:firstLine="0"/>
              <w:jc w:val="left"/>
              <w:rPr>
                <w:rFonts w:cs="Times New Roman"/>
                <w:sz w:val="20"/>
                <w:szCs w:val="20"/>
              </w:rPr>
            </w:pPr>
            <w:r w:rsidRPr="006D7653">
              <w:rPr>
                <w:rFonts w:cs="Times New Roman"/>
                <w:sz w:val="20"/>
                <w:szCs w:val="20"/>
              </w:rPr>
              <w:t xml:space="preserve">Bezdarba līmenis (gada vidējais), </w:t>
            </w:r>
            <w:r w:rsidRPr="006D7653">
              <w:rPr>
                <w:rFonts w:cs="Times New Roman"/>
                <w:sz w:val="20"/>
                <w:szCs w:val="20"/>
              </w:rPr>
              <w:br/>
              <w:t>% no ekon. aktīviem iedzīv.</w:t>
            </w:r>
          </w:p>
        </w:tc>
        <w:tc>
          <w:tcPr>
            <w:tcW w:w="351" w:type="pct"/>
            <w:shd w:val="clear" w:color="auto" w:fill="FFFFFF"/>
            <w:tcMar>
              <w:top w:w="15" w:type="dxa"/>
              <w:left w:w="15" w:type="dxa"/>
              <w:bottom w:w="0" w:type="dxa"/>
              <w:right w:w="135" w:type="dxa"/>
            </w:tcMar>
            <w:vAlign w:val="center"/>
            <w:hideMark/>
          </w:tcPr>
          <w:p w14:paraId="799E7424"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6,3</w:t>
            </w:r>
          </w:p>
        </w:tc>
        <w:tc>
          <w:tcPr>
            <w:tcW w:w="351" w:type="pct"/>
            <w:shd w:val="clear" w:color="auto" w:fill="FFFFFF"/>
            <w:tcMar>
              <w:top w:w="15" w:type="dxa"/>
              <w:left w:w="15" w:type="dxa"/>
              <w:bottom w:w="0" w:type="dxa"/>
              <w:right w:w="135" w:type="dxa"/>
            </w:tcMar>
            <w:vAlign w:val="center"/>
            <w:hideMark/>
          </w:tcPr>
          <w:p w14:paraId="4EDA93B2"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8,1</w:t>
            </w:r>
          </w:p>
        </w:tc>
        <w:tc>
          <w:tcPr>
            <w:tcW w:w="350" w:type="pct"/>
            <w:shd w:val="clear" w:color="auto" w:fill="FFFFFF"/>
            <w:tcMar>
              <w:top w:w="15" w:type="dxa"/>
              <w:left w:w="15" w:type="dxa"/>
              <w:bottom w:w="0" w:type="dxa"/>
              <w:right w:w="135" w:type="dxa"/>
            </w:tcMar>
            <w:vAlign w:val="center"/>
            <w:hideMark/>
          </w:tcPr>
          <w:p w14:paraId="3260EF01"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7,6</w:t>
            </w:r>
          </w:p>
        </w:tc>
        <w:tc>
          <w:tcPr>
            <w:tcW w:w="351" w:type="pct"/>
            <w:shd w:val="clear" w:color="auto" w:fill="FFFFFF"/>
            <w:tcMar>
              <w:top w:w="15" w:type="dxa"/>
              <w:left w:w="15" w:type="dxa"/>
              <w:bottom w:w="0" w:type="dxa"/>
              <w:right w:w="135" w:type="dxa"/>
            </w:tcMar>
            <w:vAlign w:val="center"/>
            <w:hideMark/>
          </w:tcPr>
          <w:p w14:paraId="4BBDBCF3"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6,9</w:t>
            </w:r>
          </w:p>
        </w:tc>
        <w:tc>
          <w:tcPr>
            <w:tcW w:w="351" w:type="pct"/>
            <w:shd w:val="clear" w:color="auto" w:fill="FFFFFF" w:themeFill="background1"/>
            <w:tcMar>
              <w:top w:w="15" w:type="dxa"/>
              <w:left w:w="15" w:type="dxa"/>
              <w:bottom w:w="0" w:type="dxa"/>
              <w:right w:w="135" w:type="dxa"/>
            </w:tcMar>
            <w:vAlign w:val="center"/>
            <w:hideMark/>
          </w:tcPr>
          <w:p w14:paraId="490689F9"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6,5</w:t>
            </w:r>
          </w:p>
        </w:tc>
        <w:tc>
          <w:tcPr>
            <w:tcW w:w="350" w:type="pct"/>
            <w:shd w:val="clear" w:color="auto" w:fill="FFFFFF" w:themeFill="background1"/>
            <w:tcMar>
              <w:top w:w="15" w:type="dxa"/>
              <w:left w:w="15" w:type="dxa"/>
              <w:bottom w:w="0" w:type="dxa"/>
              <w:right w:w="135" w:type="dxa"/>
            </w:tcMar>
            <w:vAlign w:val="center"/>
            <w:hideMark/>
          </w:tcPr>
          <w:p w14:paraId="1AE7EB2D"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6,6</w:t>
            </w:r>
          </w:p>
        </w:tc>
        <w:tc>
          <w:tcPr>
            <w:tcW w:w="351" w:type="pct"/>
            <w:shd w:val="clear" w:color="auto" w:fill="FFFFFF" w:themeFill="background1"/>
            <w:tcMar>
              <w:top w:w="15" w:type="dxa"/>
              <w:left w:w="15" w:type="dxa"/>
              <w:bottom w:w="0" w:type="dxa"/>
              <w:right w:w="135" w:type="dxa"/>
            </w:tcMar>
            <w:vAlign w:val="center"/>
            <w:hideMark/>
          </w:tcPr>
          <w:p w14:paraId="4E35EF65"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6,4</w:t>
            </w:r>
          </w:p>
        </w:tc>
        <w:tc>
          <w:tcPr>
            <w:tcW w:w="349" w:type="pct"/>
            <w:shd w:val="clear" w:color="auto" w:fill="FFFFFF" w:themeFill="background1"/>
            <w:tcMar>
              <w:top w:w="15" w:type="dxa"/>
              <w:left w:w="15" w:type="dxa"/>
              <w:bottom w:w="0" w:type="dxa"/>
              <w:right w:w="135" w:type="dxa"/>
            </w:tcMar>
            <w:vAlign w:val="center"/>
            <w:hideMark/>
          </w:tcPr>
          <w:p w14:paraId="062DCB90"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6,4</w:t>
            </w:r>
          </w:p>
        </w:tc>
        <w:tc>
          <w:tcPr>
            <w:tcW w:w="367" w:type="pct"/>
            <w:shd w:val="clear" w:color="auto" w:fill="FFFFFF" w:themeFill="background1"/>
            <w:tcMar>
              <w:top w:w="15" w:type="dxa"/>
              <w:left w:w="15" w:type="dxa"/>
              <w:bottom w:w="0" w:type="dxa"/>
              <w:right w:w="136" w:type="dxa"/>
            </w:tcMar>
            <w:vAlign w:val="center"/>
            <w:hideMark/>
          </w:tcPr>
          <w:p w14:paraId="25E70CEF"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6,4</w:t>
            </w:r>
          </w:p>
        </w:tc>
      </w:tr>
    </w:tbl>
    <w:p w14:paraId="7D7FEE82" w14:textId="77777777" w:rsidR="002776DB" w:rsidRPr="006D7653" w:rsidRDefault="002776DB" w:rsidP="002776DB">
      <w:pPr>
        <w:tabs>
          <w:tab w:val="left" w:pos="426"/>
        </w:tabs>
        <w:spacing w:after="120"/>
        <w:ind w:firstLine="0"/>
        <w:rPr>
          <w:rFonts w:cs="Times New Roman"/>
          <w:i/>
          <w:sz w:val="20"/>
          <w:szCs w:val="24"/>
        </w:rPr>
      </w:pPr>
      <w:r w:rsidRPr="006D7653">
        <w:rPr>
          <w:rFonts w:cs="Times New Roman"/>
          <w:b/>
          <w:bCs/>
          <w:i/>
          <w:sz w:val="20"/>
          <w:szCs w:val="24"/>
        </w:rPr>
        <w:t>Avots</w:t>
      </w:r>
      <w:r w:rsidRPr="006D7653">
        <w:rPr>
          <w:rFonts w:cs="Times New Roman"/>
          <w:i/>
          <w:sz w:val="20"/>
          <w:szCs w:val="24"/>
        </w:rPr>
        <w:t>: Eurostat dati un FM aprēķini</w:t>
      </w:r>
      <w:r>
        <w:rPr>
          <w:rFonts w:cs="Times New Roman"/>
          <w:i/>
          <w:sz w:val="20"/>
          <w:szCs w:val="24"/>
        </w:rPr>
        <w:t xml:space="preserve"> </w:t>
      </w:r>
      <w:r w:rsidRPr="000E1128">
        <w:rPr>
          <w:rFonts w:cs="Times New Roman"/>
          <w:i/>
          <w:sz w:val="20"/>
          <w:szCs w:val="24"/>
        </w:rPr>
        <w:t>(2023.g. jūnijs)</w:t>
      </w:r>
    </w:p>
    <w:p w14:paraId="2FEDDE2C" w14:textId="77777777" w:rsidR="002776DB" w:rsidRDefault="002776DB" w:rsidP="002776DB">
      <w:pPr>
        <w:rPr>
          <w:rFonts w:cs="Times New Roman"/>
        </w:rPr>
      </w:pPr>
      <w:r>
        <w:rPr>
          <w:rFonts w:cs="Times New Roman"/>
        </w:rPr>
        <w:t>Latvijas nākotnes izaugsmes potenciālu pašlaik negatīvi ietekmē d</w:t>
      </w:r>
      <w:r w:rsidRPr="006D7653">
        <w:rPr>
          <w:rFonts w:cs="Times New Roman"/>
        </w:rPr>
        <w:t>arbaspēka komponentes samazinājums</w:t>
      </w:r>
      <w:r>
        <w:rPr>
          <w:rFonts w:cs="Times New Roman"/>
        </w:rPr>
        <w:t xml:space="preserve"> pamatā demogrāfisku iemeslu dēļ, bezdarba līmenim saglabājoties zemā līmeni.</w:t>
      </w:r>
    </w:p>
    <w:p w14:paraId="53711C05" w14:textId="77777777" w:rsidR="002776DB" w:rsidRDefault="002776DB" w:rsidP="002776DB">
      <w:pPr>
        <w:rPr>
          <w:rFonts w:cs="Times New Roman"/>
        </w:rPr>
      </w:pPr>
      <w:r>
        <w:rPr>
          <w:rFonts w:cs="Times New Roman"/>
        </w:rPr>
        <w:t xml:space="preserve">Šādā attīstības situācijā ātru izaugsmi var nodrošināt atbilstošs produktivitātes pieaugums, ko attiecīgi var veicināt: </w:t>
      </w:r>
    </w:p>
    <w:p w14:paraId="354CC415" w14:textId="04B00928" w:rsidR="002776DB" w:rsidRDefault="002776DB" w:rsidP="002776DB">
      <w:pPr>
        <w:pStyle w:val="ListParagraph"/>
        <w:numPr>
          <w:ilvl w:val="0"/>
          <w:numId w:val="14"/>
        </w:numPr>
        <w:rPr>
          <w:rFonts w:ascii="Times New Roman" w:hAnsi="Times New Roman"/>
          <w:sz w:val="24"/>
          <w:szCs w:val="24"/>
        </w:rPr>
      </w:pPr>
      <w:r w:rsidRPr="000E1128">
        <w:rPr>
          <w:rFonts w:ascii="Times New Roman" w:hAnsi="Times New Roman"/>
          <w:sz w:val="24"/>
          <w:szCs w:val="24"/>
        </w:rPr>
        <w:t xml:space="preserve">straujāka uzņēmumu akumulētā kapitāla dinamika, kas ir </w:t>
      </w:r>
      <w:r w:rsidR="004B3E1B">
        <w:rPr>
          <w:rFonts w:ascii="Times New Roman" w:hAnsi="Times New Roman"/>
          <w:sz w:val="24"/>
          <w:szCs w:val="24"/>
        </w:rPr>
        <w:t>svarīgs</w:t>
      </w:r>
      <w:r w:rsidRPr="000E1128">
        <w:rPr>
          <w:rFonts w:ascii="Times New Roman" w:hAnsi="Times New Roman"/>
          <w:sz w:val="24"/>
          <w:szCs w:val="24"/>
        </w:rPr>
        <w:t xml:space="preserve"> faktors investīcij</w:t>
      </w:r>
      <w:r w:rsidR="004B3E1B">
        <w:rPr>
          <w:rFonts w:ascii="Times New Roman" w:hAnsi="Times New Roman"/>
          <w:sz w:val="24"/>
          <w:szCs w:val="24"/>
        </w:rPr>
        <w:t>u pieaugumam;</w:t>
      </w:r>
      <w:r>
        <w:rPr>
          <w:rFonts w:ascii="Times New Roman" w:hAnsi="Times New Roman"/>
          <w:sz w:val="24"/>
          <w:szCs w:val="24"/>
        </w:rPr>
        <w:t xml:space="preserve"> </w:t>
      </w:r>
    </w:p>
    <w:p w14:paraId="5D0B326B" w14:textId="77777777" w:rsidR="002776DB" w:rsidRPr="000E1128" w:rsidRDefault="002776DB" w:rsidP="002776DB">
      <w:pPr>
        <w:pStyle w:val="ListParagraph"/>
        <w:numPr>
          <w:ilvl w:val="0"/>
          <w:numId w:val="14"/>
        </w:numPr>
        <w:rPr>
          <w:rFonts w:ascii="Times New Roman" w:hAnsi="Times New Roman"/>
          <w:sz w:val="24"/>
          <w:szCs w:val="24"/>
        </w:rPr>
      </w:pPr>
      <w:r w:rsidRPr="000E1128">
        <w:rPr>
          <w:rFonts w:ascii="Times New Roman" w:hAnsi="Times New Roman"/>
          <w:sz w:val="24"/>
          <w:szCs w:val="24"/>
        </w:rPr>
        <w:t>publiskā sektora darbības efektivitātes pieaugums - strukturālās reformas, ieguldījumi cilvēkkapitālā un darba spēka mobilizācija;</w:t>
      </w:r>
    </w:p>
    <w:p w14:paraId="119A1614" w14:textId="77777777" w:rsidR="002776DB" w:rsidRDefault="002776DB" w:rsidP="002776DB">
      <w:pPr>
        <w:pStyle w:val="ListParagraph"/>
        <w:numPr>
          <w:ilvl w:val="0"/>
          <w:numId w:val="14"/>
        </w:numPr>
        <w:rPr>
          <w:rFonts w:ascii="Times New Roman" w:hAnsi="Times New Roman"/>
          <w:sz w:val="24"/>
          <w:szCs w:val="24"/>
        </w:rPr>
      </w:pPr>
      <w:r w:rsidRPr="000E1128">
        <w:rPr>
          <w:rFonts w:ascii="Times New Roman" w:hAnsi="Times New Roman"/>
          <w:sz w:val="24"/>
          <w:szCs w:val="24"/>
        </w:rPr>
        <w:t>mērķēta sociālā atbalsta sistēma nevienlīdzības mazināšanai</w:t>
      </w:r>
      <w:r>
        <w:rPr>
          <w:rFonts w:ascii="Times New Roman" w:hAnsi="Times New Roman"/>
          <w:sz w:val="24"/>
          <w:szCs w:val="24"/>
        </w:rPr>
        <w:t xml:space="preserve">. </w:t>
      </w:r>
    </w:p>
    <w:p w14:paraId="6D1336F5" w14:textId="7BCC0A93" w:rsidR="002776DB" w:rsidRDefault="002776DB" w:rsidP="002776DB">
      <w:pPr>
        <w:spacing w:after="120"/>
        <w:rPr>
          <w:szCs w:val="24"/>
        </w:rPr>
      </w:pPr>
      <w:r>
        <w:rPr>
          <w:szCs w:val="24"/>
        </w:rPr>
        <w:t>Šo uzdevumu risināšanai</w:t>
      </w:r>
      <w:r w:rsidR="00D62D31">
        <w:rPr>
          <w:szCs w:val="24"/>
        </w:rPr>
        <w:t xml:space="preserve"> un atbalstam</w:t>
      </w:r>
      <w:r>
        <w:rPr>
          <w:szCs w:val="24"/>
        </w:rPr>
        <w:t xml:space="preserve"> būtiska ir </w:t>
      </w:r>
      <w:r w:rsidRPr="002C4FE5">
        <w:rPr>
          <w:b/>
          <w:bCs/>
          <w:szCs w:val="24"/>
        </w:rPr>
        <w:t>izaugsmi stimulējoša nodokļu politika</w:t>
      </w:r>
      <w:r>
        <w:rPr>
          <w:szCs w:val="24"/>
        </w:rPr>
        <w:t>.</w:t>
      </w:r>
      <w:r w:rsidR="00D62D31">
        <w:rPr>
          <w:szCs w:val="24"/>
        </w:rPr>
        <w:t xml:space="preserve"> Virkne starptautisk</w:t>
      </w:r>
      <w:r w:rsidR="002D4B86">
        <w:rPr>
          <w:szCs w:val="24"/>
        </w:rPr>
        <w:t>o</w:t>
      </w:r>
      <w:r w:rsidR="00D62D31">
        <w:rPr>
          <w:szCs w:val="24"/>
        </w:rPr>
        <w:t xml:space="preserve"> salīdzinājumu Latvijas pozīciju šajā jomā </w:t>
      </w:r>
      <w:r w:rsidR="002D4B86">
        <w:rPr>
          <w:szCs w:val="24"/>
        </w:rPr>
        <w:t>vērtē</w:t>
      </w:r>
      <w:r w:rsidR="00D62D31">
        <w:rPr>
          <w:szCs w:val="24"/>
        </w:rPr>
        <w:t xml:space="preserve"> pozitīvi, kā, piem.: </w:t>
      </w:r>
    </w:p>
    <w:p w14:paraId="728815E8" w14:textId="77777777" w:rsidR="00D62D31" w:rsidRPr="002C4FE5" w:rsidRDefault="00D62D31" w:rsidP="002C4FE5">
      <w:pPr>
        <w:pStyle w:val="ListParagraph"/>
        <w:numPr>
          <w:ilvl w:val="0"/>
          <w:numId w:val="15"/>
        </w:numPr>
        <w:spacing w:after="120"/>
        <w:contextualSpacing w:val="0"/>
        <w:rPr>
          <w:rFonts w:ascii="Times New Roman" w:hAnsi="Times New Roman"/>
          <w:sz w:val="24"/>
          <w:szCs w:val="24"/>
        </w:rPr>
      </w:pPr>
      <w:r w:rsidRPr="002C4FE5">
        <w:rPr>
          <w:rFonts w:ascii="Times New Roman" w:hAnsi="Times New Roman"/>
          <w:sz w:val="24"/>
          <w:szCs w:val="24"/>
        </w:rPr>
        <w:t>Starptautiskais nodokļu konkurētspējas indekss (</w:t>
      </w:r>
      <w:r w:rsidRPr="002C4FE5">
        <w:rPr>
          <w:rFonts w:ascii="Times New Roman" w:hAnsi="Times New Roman"/>
          <w:i/>
          <w:iCs/>
          <w:sz w:val="24"/>
          <w:szCs w:val="24"/>
        </w:rPr>
        <w:t>Tax Foundation, 2022</w:t>
      </w:r>
      <w:r w:rsidRPr="002C4FE5">
        <w:rPr>
          <w:rFonts w:ascii="Times New Roman" w:hAnsi="Times New Roman"/>
          <w:sz w:val="24"/>
          <w:szCs w:val="24"/>
        </w:rPr>
        <w:t xml:space="preserve">): </w:t>
      </w:r>
      <w:r w:rsidRPr="002C4FE5">
        <w:rPr>
          <w:rFonts w:ascii="Times New Roman" w:hAnsi="Times New Roman"/>
          <w:b/>
          <w:bCs/>
          <w:sz w:val="24"/>
          <w:szCs w:val="24"/>
        </w:rPr>
        <w:t>Latvija – 2. vieta</w:t>
      </w:r>
      <w:r w:rsidRPr="002C4FE5">
        <w:rPr>
          <w:rFonts w:ascii="Times New Roman" w:hAnsi="Times New Roman"/>
          <w:sz w:val="24"/>
          <w:szCs w:val="24"/>
        </w:rPr>
        <w:t>, Igaunija – 1. vieta, Lietuva – 8. vieta;</w:t>
      </w:r>
    </w:p>
    <w:p w14:paraId="69BD5E10" w14:textId="77777777" w:rsidR="00D62D31" w:rsidRPr="002C4FE5" w:rsidRDefault="00D62D31" w:rsidP="002C4FE5">
      <w:pPr>
        <w:pStyle w:val="ListParagraph"/>
        <w:numPr>
          <w:ilvl w:val="0"/>
          <w:numId w:val="15"/>
        </w:numPr>
        <w:spacing w:after="120"/>
        <w:contextualSpacing w:val="0"/>
        <w:rPr>
          <w:rFonts w:ascii="Times New Roman" w:hAnsi="Times New Roman"/>
          <w:sz w:val="24"/>
          <w:szCs w:val="24"/>
        </w:rPr>
      </w:pPr>
      <w:r w:rsidRPr="002C4FE5">
        <w:rPr>
          <w:rFonts w:ascii="Times New Roman" w:hAnsi="Times New Roman"/>
          <w:sz w:val="24"/>
          <w:szCs w:val="24"/>
        </w:rPr>
        <w:t>Nodokļu nomaksa 2020 – pasaules apskats (</w:t>
      </w:r>
      <w:r w:rsidRPr="002C4FE5">
        <w:rPr>
          <w:rFonts w:ascii="Times New Roman" w:hAnsi="Times New Roman"/>
          <w:i/>
          <w:iCs/>
          <w:sz w:val="24"/>
          <w:szCs w:val="24"/>
        </w:rPr>
        <w:t>PricewaterhouseCoopers un Pasaules banka, 2020</w:t>
      </w:r>
      <w:r w:rsidRPr="002C4FE5">
        <w:rPr>
          <w:rFonts w:ascii="Times New Roman" w:hAnsi="Times New Roman"/>
          <w:sz w:val="24"/>
          <w:szCs w:val="24"/>
        </w:rPr>
        <w:t xml:space="preserve">): </w:t>
      </w:r>
      <w:r w:rsidRPr="002C4FE5">
        <w:rPr>
          <w:rFonts w:ascii="Times New Roman" w:hAnsi="Times New Roman"/>
          <w:b/>
          <w:bCs/>
          <w:sz w:val="24"/>
          <w:szCs w:val="24"/>
        </w:rPr>
        <w:t>Latvija – 16. vieta</w:t>
      </w:r>
      <w:r w:rsidRPr="002C4FE5">
        <w:rPr>
          <w:rFonts w:ascii="Times New Roman" w:hAnsi="Times New Roman"/>
          <w:sz w:val="24"/>
          <w:szCs w:val="24"/>
        </w:rPr>
        <w:t>, Igaunija – 12. vieta, Lietuva – 18. vieta;</w:t>
      </w:r>
    </w:p>
    <w:p w14:paraId="20CE8486" w14:textId="77777777" w:rsidR="00D62D31" w:rsidRPr="002C4FE5" w:rsidRDefault="00D62D31" w:rsidP="002C4FE5">
      <w:pPr>
        <w:pStyle w:val="ListParagraph"/>
        <w:numPr>
          <w:ilvl w:val="0"/>
          <w:numId w:val="15"/>
        </w:numPr>
        <w:spacing w:after="120"/>
        <w:contextualSpacing w:val="0"/>
        <w:rPr>
          <w:rFonts w:ascii="Times New Roman" w:hAnsi="Times New Roman"/>
          <w:sz w:val="24"/>
          <w:szCs w:val="24"/>
        </w:rPr>
      </w:pPr>
      <w:r w:rsidRPr="002C4FE5">
        <w:rPr>
          <w:rFonts w:ascii="Times New Roman" w:hAnsi="Times New Roman"/>
          <w:sz w:val="24"/>
          <w:szCs w:val="24"/>
        </w:rPr>
        <w:t>OECD kompozītā efektīvā nodokļu likme</w:t>
      </w:r>
      <w:r w:rsidRPr="002C4FE5">
        <w:rPr>
          <w:rFonts w:ascii="Times New Roman" w:hAnsi="Times New Roman"/>
          <w:sz w:val="24"/>
          <w:vertAlign w:val="superscript"/>
        </w:rPr>
        <w:footnoteReference w:id="2"/>
      </w:r>
      <w:r w:rsidRPr="002C4FE5">
        <w:rPr>
          <w:rFonts w:ascii="Times New Roman" w:hAnsi="Times New Roman"/>
          <w:sz w:val="24"/>
          <w:szCs w:val="24"/>
        </w:rPr>
        <w:t xml:space="preserve"> (</w:t>
      </w:r>
      <w:r w:rsidRPr="002C4FE5">
        <w:rPr>
          <w:rFonts w:ascii="Times New Roman" w:hAnsi="Times New Roman"/>
          <w:i/>
          <w:iCs/>
          <w:sz w:val="24"/>
          <w:szCs w:val="24"/>
        </w:rPr>
        <w:t>OECD, 2021</w:t>
      </w:r>
      <w:r w:rsidRPr="002C4FE5">
        <w:rPr>
          <w:rFonts w:ascii="Times New Roman" w:hAnsi="Times New Roman"/>
          <w:sz w:val="24"/>
          <w:szCs w:val="24"/>
        </w:rPr>
        <w:t xml:space="preserve">): </w:t>
      </w:r>
      <w:r w:rsidRPr="002C4FE5">
        <w:rPr>
          <w:rFonts w:ascii="Times New Roman" w:hAnsi="Times New Roman"/>
          <w:b/>
          <w:bCs/>
          <w:sz w:val="24"/>
          <w:szCs w:val="24"/>
        </w:rPr>
        <w:t>Latvija – 7. vieta</w:t>
      </w:r>
      <w:r w:rsidRPr="002C4FE5">
        <w:rPr>
          <w:rFonts w:ascii="Times New Roman" w:hAnsi="Times New Roman"/>
          <w:sz w:val="24"/>
          <w:szCs w:val="24"/>
        </w:rPr>
        <w:t>, Igaunija – 6. vieta, Lietuva – 4. vieta.</w:t>
      </w:r>
    </w:p>
    <w:p w14:paraId="3802044A" w14:textId="559F0E65" w:rsidR="002D4B86" w:rsidRDefault="002D4B86" w:rsidP="002C4FE5">
      <w:pPr>
        <w:spacing w:after="120"/>
        <w:rPr>
          <w:rFonts w:cs="Times New Roman"/>
        </w:rPr>
      </w:pPr>
      <w:r>
        <w:rPr>
          <w:szCs w:val="24"/>
        </w:rPr>
        <w:lastRenderedPageBreak/>
        <w:t xml:space="preserve">Tomēr ir jāņem vērā, ka nodokļu sistēmas tiek pastāvīgi pilnveidotas visās valstīs un arī Latvijai nepieciešams pastāvīgi uzlabot savu konkurētspējas pozīciju. Tā, piemēram, Latvijas kaimiņvalstis – </w:t>
      </w:r>
      <w:r w:rsidRPr="006D7653">
        <w:rPr>
          <w:rFonts w:cs="Times New Roman"/>
        </w:rPr>
        <w:t>Lietuv</w:t>
      </w:r>
      <w:r>
        <w:rPr>
          <w:rFonts w:cs="Times New Roman"/>
        </w:rPr>
        <w:t>a</w:t>
      </w:r>
      <w:r w:rsidRPr="006D7653">
        <w:rPr>
          <w:rFonts w:cs="Times New Roman"/>
        </w:rPr>
        <w:t xml:space="preserve"> un Igaunij</w:t>
      </w:r>
      <w:r>
        <w:rPr>
          <w:rFonts w:cs="Times New Roman"/>
        </w:rPr>
        <w:t>a</w:t>
      </w:r>
      <w:r w:rsidRPr="006D7653">
        <w:rPr>
          <w:rFonts w:cs="Times New Roman"/>
        </w:rPr>
        <w:t xml:space="preserve"> </w:t>
      </w:r>
      <w:r>
        <w:rPr>
          <w:szCs w:val="24"/>
        </w:rPr>
        <w:t xml:space="preserve">jau ir lēmušas pat būtiskām izmaiņām nodokļu politikā, kas ir apkopotas </w:t>
      </w:r>
      <w:r>
        <w:rPr>
          <w:rFonts w:cs="Times New Roman"/>
        </w:rPr>
        <w:t>2</w:t>
      </w:r>
      <w:r w:rsidRPr="006D7653">
        <w:rPr>
          <w:rFonts w:cs="Times New Roman"/>
        </w:rPr>
        <w:t>. tabulā.</w:t>
      </w:r>
    </w:p>
    <w:p w14:paraId="28F24721" w14:textId="77777777" w:rsidR="00AA3A7D" w:rsidRPr="006D7653" w:rsidRDefault="00AA3A7D" w:rsidP="002C4FE5">
      <w:pPr>
        <w:spacing w:after="120"/>
        <w:rPr>
          <w:rFonts w:cs="Times New Roman"/>
        </w:rPr>
      </w:pPr>
    </w:p>
    <w:p w14:paraId="406B549D" w14:textId="51F811EE" w:rsidR="002D4B86" w:rsidRPr="006D7653" w:rsidRDefault="002D4B86" w:rsidP="002D4B86">
      <w:pPr>
        <w:spacing w:after="120"/>
        <w:ind w:firstLine="0"/>
        <w:jc w:val="center"/>
        <w:rPr>
          <w:rFonts w:cs="Times New Roman"/>
          <w:b/>
          <w:sz w:val="22"/>
          <w:szCs w:val="24"/>
        </w:rPr>
      </w:pPr>
      <w:r>
        <w:rPr>
          <w:rFonts w:cs="Times New Roman"/>
          <w:sz w:val="22"/>
          <w:szCs w:val="24"/>
        </w:rPr>
        <w:t>2</w:t>
      </w:r>
      <w:r w:rsidRPr="006D7653">
        <w:rPr>
          <w:rFonts w:cs="Times New Roman"/>
          <w:sz w:val="22"/>
          <w:szCs w:val="24"/>
        </w:rPr>
        <w:t>. tab.</w:t>
      </w:r>
      <w:r w:rsidRPr="006D7653">
        <w:rPr>
          <w:rFonts w:cs="Times New Roman"/>
          <w:b/>
          <w:sz w:val="22"/>
          <w:szCs w:val="24"/>
        </w:rPr>
        <w:t xml:space="preserve"> Plānotās nodokļu izmaiņas Igaunijā un Lietuvā 2024. un 2025. gadā</w:t>
      </w:r>
    </w:p>
    <w:tbl>
      <w:tblPr>
        <w:tblStyle w:val="TableGrid1"/>
        <w:tblW w:w="5337" w:type="pct"/>
        <w:tblLook w:val="0420" w:firstRow="1" w:lastRow="0" w:firstColumn="0" w:lastColumn="0" w:noHBand="0" w:noVBand="1"/>
      </w:tblPr>
      <w:tblGrid>
        <w:gridCol w:w="1288"/>
        <w:gridCol w:w="3679"/>
        <w:gridCol w:w="2128"/>
        <w:gridCol w:w="2576"/>
      </w:tblGrid>
      <w:tr w:rsidR="002D4B86" w:rsidRPr="006D7653" w14:paraId="2818D824" w14:textId="77777777" w:rsidTr="000E1128">
        <w:trPr>
          <w:trHeight w:val="376"/>
        </w:trPr>
        <w:tc>
          <w:tcPr>
            <w:tcW w:w="666" w:type="pct"/>
            <w:vMerge w:val="restart"/>
            <w:shd w:val="clear" w:color="auto" w:fill="F2F2F2" w:themeFill="background1" w:themeFillShade="F2"/>
            <w:vAlign w:val="center"/>
            <w:hideMark/>
          </w:tcPr>
          <w:p w14:paraId="7099DAAE" w14:textId="77777777" w:rsidR="002D4B86" w:rsidRPr="006D7653" w:rsidRDefault="002D4B86" w:rsidP="000E1128">
            <w:pPr>
              <w:spacing w:before="0" w:after="0"/>
              <w:ind w:firstLine="0"/>
              <w:rPr>
                <w:b/>
                <w:bCs/>
                <w:sz w:val="20"/>
                <w:szCs w:val="18"/>
              </w:rPr>
            </w:pPr>
            <w:r w:rsidRPr="006D7653">
              <w:rPr>
                <w:b/>
                <w:bCs/>
                <w:sz w:val="20"/>
                <w:szCs w:val="18"/>
              </w:rPr>
              <w:t>Nodoklis</w:t>
            </w:r>
          </w:p>
        </w:tc>
        <w:tc>
          <w:tcPr>
            <w:tcW w:w="1902" w:type="pct"/>
            <w:shd w:val="clear" w:color="auto" w:fill="F2F2F2" w:themeFill="background1" w:themeFillShade="F2"/>
            <w:vAlign w:val="center"/>
            <w:hideMark/>
          </w:tcPr>
          <w:p w14:paraId="596748A2" w14:textId="77777777" w:rsidR="002D4B86" w:rsidRPr="006D7653" w:rsidRDefault="002D4B86" w:rsidP="000E1128">
            <w:pPr>
              <w:spacing w:before="0" w:after="0"/>
              <w:ind w:firstLine="0"/>
              <w:jc w:val="center"/>
              <w:rPr>
                <w:b/>
                <w:bCs/>
                <w:sz w:val="20"/>
                <w:szCs w:val="18"/>
              </w:rPr>
            </w:pPr>
            <w:r w:rsidRPr="006D7653">
              <w:rPr>
                <w:b/>
                <w:bCs/>
                <w:sz w:val="20"/>
                <w:szCs w:val="18"/>
              </w:rPr>
              <w:t>Lietuvā</w:t>
            </w:r>
          </w:p>
        </w:tc>
        <w:tc>
          <w:tcPr>
            <w:tcW w:w="2432" w:type="pct"/>
            <w:gridSpan w:val="2"/>
            <w:shd w:val="clear" w:color="auto" w:fill="F2F2F2" w:themeFill="background1" w:themeFillShade="F2"/>
            <w:vAlign w:val="center"/>
            <w:hideMark/>
          </w:tcPr>
          <w:p w14:paraId="6A5A5FC4" w14:textId="77777777" w:rsidR="002D4B86" w:rsidRPr="006D7653" w:rsidRDefault="002D4B86" w:rsidP="000E1128">
            <w:pPr>
              <w:spacing w:before="0" w:after="0"/>
              <w:ind w:firstLine="0"/>
              <w:jc w:val="center"/>
              <w:rPr>
                <w:b/>
                <w:bCs/>
                <w:sz w:val="20"/>
                <w:szCs w:val="18"/>
              </w:rPr>
            </w:pPr>
            <w:r w:rsidRPr="006D7653">
              <w:rPr>
                <w:b/>
                <w:bCs/>
                <w:sz w:val="20"/>
                <w:szCs w:val="18"/>
              </w:rPr>
              <w:t>Igaunijā</w:t>
            </w:r>
          </w:p>
        </w:tc>
      </w:tr>
      <w:tr w:rsidR="002D4B86" w:rsidRPr="006D7653" w14:paraId="4EA0211A" w14:textId="77777777" w:rsidTr="000E1128">
        <w:trPr>
          <w:trHeight w:val="65"/>
        </w:trPr>
        <w:tc>
          <w:tcPr>
            <w:tcW w:w="666" w:type="pct"/>
            <w:vMerge/>
            <w:shd w:val="clear" w:color="auto" w:fill="F2F2F2" w:themeFill="background1" w:themeFillShade="F2"/>
            <w:hideMark/>
          </w:tcPr>
          <w:p w14:paraId="5C28B32B" w14:textId="77777777" w:rsidR="002D4B86" w:rsidRPr="006D7653" w:rsidRDefault="002D4B86" w:rsidP="000E1128">
            <w:pPr>
              <w:spacing w:before="0" w:after="0"/>
              <w:ind w:firstLine="0"/>
              <w:rPr>
                <w:b/>
                <w:bCs/>
                <w:sz w:val="20"/>
                <w:szCs w:val="18"/>
              </w:rPr>
            </w:pPr>
          </w:p>
        </w:tc>
        <w:tc>
          <w:tcPr>
            <w:tcW w:w="1902" w:type="pct"/>
            <w:shd w:val="clear" w:color="auto" w:fill="F2F2F2" w:themeFill="background1" w:themeFillShade="F2"/>
            <w:vAlign w:val="center"/>
            <w:hideMark/>
          </w:tcPr>
          <w:p w14:paraId="206E6D83" w14:textId="77777777" w:rsidR="002D4B86" w:rsidRPr="006D7653" w:rsidRDefault="002D4B86" w:rsidP="000E1128">
            <w:pPr>
              <w:spacing w:before="0" w:after="0"/>
              <w:ind w:firstLine="0"/>
              <w:jc w:val="center"/>
              <w:rPr>
                <w:b/>
                <w:bCs/>
                <w:sz w:val="20"/>
                <w:szCs w:val="18"/>
              </w:rPr>
            </w:pPr>
            <w:r w:rsidRPr="006D7653">
              <w:rPr>
                <w:b/>
                <w:bCs/>
                <w:sz w:val="20"/>
                <w:szCs w:val="18"/>
              </w:rPr>
              <w:t>2024</w:t>
            </w:r>
          </w:p>
        </w:tc>
        <w:tc>
          <w:tcPr>
            <w:tcW w:w="1100" w:type="pct"/>
            <w:shd w:val="clear" w:color="auto" w:fill="F2F2F2" w:themeFill="background1" w:themeFillShade="F2"/>
            <w:vAlign w:val="center"/>
            <w:hideMark/>
          </w:tcPr>
          <w:p w14:paraId="476BFBDA" w14:textId="77777777" w:rsidR="002D4B86" w:rsidRPr="006D7653" w:rsidRDefault="002D4B86" w:rsidP="000E1128">
            <w:pPr>
              <w:spacing w:before="0" w:after="0"/>
              <w:ind w:firstLine="0"/>
              <w:jc w:val="center"/>
              <w:rPr>
                <w:b/>
                <w:bCs/>
                <w:sz w:val="20"/>
                <w:szCs w:val="18"/>
              </w:rPr>
            </w:pPr>
            <w:r w:rsidRPr="006D7653">
              <w:rPr>
                <w:b/>
                <w:bCs/>
                <w:sz w:val="20"/>
                <w:szCs w:val="18"/>
              </w:rPr>
              <w:t>2024</w:t>
            </w:r>
          </w:p>
        </w:tc>
        <w:tc>
          <w:tcPr>
            <w:tcW w:w="1332" w:type="pct"/>
            <w:shd w:val="clear" w:color="auto" w:fill="F2F2F2" w:themeFill="background1" w:themeFillShade="F2"/>
            <w:vAlign w:val="center"/>
            <w:hideMark/>
          </w:tcPr>
          <w:p w14:paraId="14A9BC0E" w14:textId="77777777" w:rsidR="002D4B86" w:rsidRPr="006D7653" w:rsidRDefault="002D4B86" w:rsidP="000E1128">
            <w:pPr>
              <w:spacing w:before="0" w:after="0"/>
              <w:ind w:firstLine="0"/>
              <w:jc w:val="center"/>
              <w:rPr>
                <w:b/>
                <w:bCs/>
                <w:sz w:val="20"/>
                <w:szCs w:val="18"/>
              </w:rPr>
            </w:pPr>
            <w:r w:rsidRPr="006D7653">
              <w:rPr>
                <w:b/>
                <w:bCs/>
                <w:sz w:val="20"/>
                <w:szCs w:val="18"/>
              </w:rPr>
              <w:t>2025</w:t>
            </w:r>
          </w:p>
        </w:tc>
      </w:tr>
      <w:tr w:rsidR="002D4B86" w:rsidRPr="006D7653" w14:paraId="3EB37641" w14:textId="77777777" w:rsidTr="000E1128">
        <w:trPr>
          <w:trHeight w:val="835"/>
        </w:trPr>
        <w:tc>
          <w:tcPr>
            <w:tcW w:w="666" w:type="pct"/>
            <w:vMerge w:val="restart"/>
            <w:hideMark/>
          </w:tcPr>
          <w:p w14:paraId="7022CF3D" w14:textId="77777777" w:rsidR="002D4B86" w:rsidRPr="006D7653" w:rsidRDefault="002D4B86" w:rsidP="000E1128">
            <w:pPr>
              <w:spacing w:before="0" w:after="0"/>
              <w:ind w:firstLine="0"/>
              <w:jc w:val="left"/>
              <w:rPr>
                <w:b/>
                <w:bCs/>
                <w:sz w:val="20"/>
                <w:szCs w:val="18"/>
              </w:rPr>
            </w:pPr>
            <w:r w:rsidRPr="006D7653">
              <w:rPr>
                <w:b/>
                <w:bCs/>
                <w:sz w:val="20"/>
                <w:szCs w:val="18"/>
              </w:rPr>
              <w:t>Iedzīvotāju ienākuma nodoklis</w:t>
            </w:r>
          </w:p>
        </w:tc>
        <w:tc>
          <w:tcPr>
            <w:tcW w:w="1902" w:type="pct"/>
            <w:vMerge w:val="restart"/>
            <w:hideMark/>
          </w:tcPr>
          <w:p w14:paraId="02754D7A" w14:textId="77777777" w:rsidR="002D4B86" w:rsidRPr="006D7653" w:rsidRDefault="002D4B86" w:rsidP="000E1128">
            <w:pPr>
              <w:spacing w:before="0" w:after="0"/>
              <w:ind w:firstLine="0"/>
              <w:rPr>
                <w:sz w:val="20"/>
                <w:szCs w:val="18"/>
              </w:rPr>
            </w:pPr>
            <w:r w:rsidRPr="006D7653">
              <w:rPr>
                <w:sz w:val="20"/>
                <w:szCs w:val="18"/>
              </w:rPr>
              <w:t xml:space="preserve">Tiks summēti visi ienākumi. Bāzes likme </w:t>
            </w:r>
            <w:r w:rsidRPr="006D7653">
              <w:rPr>
                <w:b/>
                <w:bCs/>
                <w:color w:val="385623" w:themeColor="accent6" w:themeShade="80"/>
                <w:sz w:val="20"/>
                <w:szCs w:val="18"/>
              </w:rPr>
              <w:t>20%</w:t>
            </w:r>
            <w:r w:rsidRPr="006D7653">
              <w:rPr>
                <w:color w:val="385623" w:themeColor="accent6" w:themeShade="80"/>
                <w:sz w:val="20"/>
                <w:szCs w:val="18"/>
              </w:rPr>
              <w:t>.</w:t>
            </w:r>
          </w:p>
          <w:p w14:paraId="6929ED9A" w14:textId="77777777" w:rsidR="002D4B86" w:rsidRPr="006D7653" w:rsidRDefault="002D4B86" w:rsidP="000E1128">
            <w:pPr>
              <w:pStyle w:val="ListParagraph"/>
              <w:numPr>
                <w:ilvl w:val="0"/>
                <w:numId w:val="4"/>
              </w:numPr>
              <w:spacing w:before="0" w:after="0"/>
              <w:ind w:left="470" w:hanging="357"/>
              <w:rPr>
                <w:rFonts w:ascii="Times New Roman" w:hAnsi="Times New Roman"/>
                <w:sz w:val="20"/>
                <w:szCs w:val="18"/>
              </w:rPr>
            </w:pPr>
            <w:r w:rsidRPr="006D7653">
              <w:rPr>
                <w:rFonts w:ascii="Times New Roman" w:hAnsi="Times New Roman"/>
                <w:sz w:val="20"/>
                <w:szCs w:val="18"/>
              </w:rPr>
              <w:t xml:space="preserve">papildu </w:t>
            </w:r>
            <w:r w:rsidRPr="006D7653">
              <w:rPr>
                <w:rFonts w:ascii="Times New Roman" w:hAnsi="Times New Roman"/>
                <w:b/>
                <w:bCs/>
                <w:color w:val="385623" w:themeColor="accent6" w:themeShade="80"/>
                <w:sz w:val="20"/>
                <w:szCs w:val="18"/>
              </w:rPr>
              <w:t>5%</w:t>
            </w:r>
            <w:r w:rsidRPr="006D7653">
              <w:rPr>
                <w:rFonts w:ascii="Times New Roman" w:hAnsi="Times New Roman"/>
                <w:sz w:val="20"/>
                <w:szCs w:val="18"/>
              </w:rPr>
              <w:t>, ja kopējie ienākumi pārsniedz 60 vidējās algas (2023. gadā ~101 094 </w:t>
            </w:r>
            <w:r w:rsidRPr="006D7653">
              <w:rPr>
                <w:rFonts w:ascii="Times New Roman" w:hAnsi="Times New Roman"/>
                <w:i/>
                <w:iCs/>
                <w:sz w:val="20"/>
                <w:szCs w:val="18"/>
              </w:rPr>
              <w:t>euro</w:t>
            </w:r>
            <w:r w:rsidRPr="006D7653">
              <w:rPr>
                <w:rFonts w:ascii="Times New Roman" w:hAnsi="Times New Roman"/>
                <w:sz w:val="20"/>
                <w:szCs w:val="18"/>
              </w:rPr>
              <w:t xml:space="preserve"> gadā)</w:t>
            </w:r>
          </w:p>
          <w:p w14:paraId="088D1434" w14:textId="77777777" w:rsidR="002D4B86" w:rsidRPr="006D7653" w:rsidRDefault="002D4B86" w:rsidP="000E1128">
            <w:pPr>
              <w:pStyle w:val="ListParagraph"/>
              <w:numPr>
                <w:ilvl w:val="0"/>
                <w:numId w:val="4"/>
              </w:numPr>
              <w:spacing w:before="0" w:after="0"/>
              <w:ind w:left="470" w:hanging="357"/>
              <w:rPr>
                <w:rFonts w:ascii="Times New Roman" w:hAnsi="Times New Roman"/>
                <w:sz w:val="20"/>
                <w:szCs w:val="18"/>
              </w:rPr>
            </w:pPr>
            <w:r w:rsidRPr="006D7653">
              <w:rPr>
                <w:rFonts w:ascii="Times New Roman" w:hAnsi="Times New Roman"/>
                <w:sz w:val="20"/>
                <w:szCs w:val="18"/>
              </w:rPr>
              <w:t xml:space="preserve">papildu </w:t>
            </w:r>
            <w:r w:rsidRPr="006D7653">
              <w:rPr>
                <w:rFonts w:ascii="Times New Roman" w:hAnsi="Times New Roman"/>
                <w:b/>
                <w:bCs/>
                <w:color w:val="385623" w:themeColor="accent6" w:themeShade="80"/>
                <w:sz w:val="20"/>
                <w:szCs w:val="18"/>
              </w:rPr>
              <w:t>7%</w:t>
            </w:r>
            <w:r w:rsidRPr="006D7653">
              <w:rPr>
                <w:rFonts w:ascii="Times New Roman" w:hAnsi="Times New Roman"/>
                <w:sz w:val="20"/>
                <w:szCs w:val="18"/>
              </w:rPr>
              <w:t>, ja kopējie ienākumi pārsniedz 120 vidējās algas (2023. gadā ~202 188 </w:t>
            </w:r>
            <w:r w:rsidRPr="006D7653">
              <w:rPr>
                <w:rFonts w:ascii="Times New Roman" w:hAnsi="Times New Roman"/>
                <w:i/>
                <w:iCs/>
                <w:sz w:val="20"/>
                <w:szCs w:val="18"/>
              </w:rPr>
              <w:t>euro</w:t>
            </w:r>
            <w:r w:rsidRPr="006D7653">
              <w:rPr>
                <w:rFonts w:ascii="Times New Roman" w:hAnsi="Times New Roman"/>
                <w:sz w:val="20"/>
                <w:szCs w:val="18"/>
              </w:rPr>
              <w:t xml:space="preserve"> gadā)</w:t>
            </w:r>
          </w:p>
        </w:tc>
        <w:tc>
          <w:tcPr>
            <w:tcW w:w="1100" w:type="pct"/>
            <w:vMerge w:val="restart"/>
            <w:hideMark/>
          </w:tcPr>
          <w:p w14:paraId="274CBE8C" w14:textId="77777777" w:rsidR="002D4B86" w:rsidRPr="006D7653" w:rsidRDefault="002D4B86" w:rsidP="000E1128">
            <w:pPr>
              <w:spacing w:before="0" w:after="0"/>
              <w:ind w:firstLine="0"/>
              <w:rPr>
                <w:sz w:val="20"/>
                <w:szCs w:val="18"/>
              </w:rPr>
            </w:pPr>
            <w:r w:rsidRPr="006D7653">
              <w:rPr>
                <w:sz w:val="20"/>
                <w:szCs w:val="18"/>
              </w:rPr>
              <w:t xml:space="preserve">Ar nodokli neapliekamo ienākumu par bērniem, laulāto un hipotekārā kredīta procentiem </w:t>
            </w:r>
            <w:r w:rsidRPr="006D7653">
              <w:rPr>
                <w:b/>
                <w:bCs/>
                <w:sz w:val="20"/>
                <w:szCs w:val="18"/>
              </w:rPr>
              <w:t>atcelšana</w:t>
            </w:r>
          </w:p>
        </w:tc>
        <w:tc>
          <w:tcPr>
            <w:tcW w:w="1332" w:type="pct"/>
            <w:hideMark/>
          </w:tcPr>
          <w:p w14:paraId="4636C86A" w14:textId="77777777" w:rsidR="002D4B86" w:rsidRPr="006D7653" w:rsidRDefault="002D4B86" w:rsidP="000E1128">
            <w:pPr>
              <w:spacing w:before="0" w:after="0"/>
              <w:ind w:firstLine="0"/>
              <w:jc w:val="left"/>
              <w:rPr>
                <w:sz w:val="20"/>
                <w:szCs w:val="18"/>
              </w:rPr>
            </w:pPr>
            <w:r w:rsidRPr="006D7653">
              <w:rPr>
                <w:sz w:val="20"/>
                <w:szCs w:val="18"/>
              </w:rPr>
              <w:t xml:space="preserve">IIN likmes </w:t>
            </w:r>
            <w:r w:rsidRPr="006D7653">
              <w:rPr>
                <w:b/>
                <w:bCs/>
                <w:sz w:val="20"/>
                <w:szCs w:val="18"/>
              </w:rPr>
              <w:t>paaugstināšana</w:t>
            </w:r>
            <w:r w:rsidRPr="006D7653">
              <w:rPr>
                <w:sz w:val="20"/>
                <w:szCs w:val="18"/>
              </w:rPr>
              <w:t xml:space="preserve"> no 20% uz </w:t>
            </w:r>
            <w:r w:rsidRPr="006D7653">
              <w:rPr>
                <w:b/>
                <w:bCs/>
                <w:color w:val="002060"/>
                <w:sz w:val="20"/>
                <w:szCs w:val="18"/>
              </w:rPr>
              <w:t>22%</w:t>
            </w:r>
          </w:p>
        </w:tc>
      </w:tr>
      <w:tr w:rsidR="002D4B86" w:rsidRPr="006D7653" w14:paraId="0C17AE0B" w14:textId="77777777" w:rsidTr="000E1128">
        <w:trPr>
          <w:trHeight w:val="1140"/>
        </w:trPr>
        <w:tc>
          <w:tcPr>
            <w:tcW w:w="666" w:type="pct"/>
            <w:vMerge/>
          </w:tcPr>
          <w:p w14:paraId="05CC7D19" w14:textId="77777777" w:rsidR="002D4B86" w:rsidRPr="006D7653" w:rsidRDefault="002D4B86" w:rsidP="000E1128">
            <w:pPr>
              <w:spacing w:before="0" w:after="0"/>
              <w:ind w:firstLine="0"/>
              <w:jc w:val="left"/>
              <w:rPr>
                <w:b/>
                <w:bCs/>
                <w:sz w:val="20"/>
                <w:szCs w:val="18"/>
              </w:rPr>
            </w:pPr>
          </w:p>
        </w:tc>
        <w:tc>
          <w:tcPr>
            <w:tcW w:w="1902" w:type="pct"/>
            <w:vMerge/>
          </w:tcPr>
          <w:p w14:paraId="10E7E7A0" w14:textId="77777777" w:rsidR="002D4B86" w:rsidRPr="006D7653" w:rsidRDefault="002D4B86" w:rsidP="000E1128">
            <w:pPr>
              <w:spacing w:before="0" w:after="0"/>
              <w:ind w:firstLine="0"/>
              <w:rPr>
                <w:sz w:val="20"/>
                <w:szCs w:val="18"/>
              </w:rPr>
            </w:pPr>
          </w:p>
        </w:tc>
        <w:tc>
          <w:tcPr>
            <w:tcW w:w="1100" w:type="pct"/>
            <w:vMerge/>
          </w:tcPr>
          <w:p w14:paraId="2BAD99CD" w14:textId="77777777" w:rsidR="002D4B86" w:rsidRPr="006D7653" w:rsidRDefault="002D4B86" w:rsidP="000E1128">
            <w:pPr>
              <w:spacing w:before="0" w:after="0"/>
              <w:ind w:firstLine="0"/>
              <w:rPr>
                <w:sz w:val="20"/>
                <w:szCs w:val="18"/>
              </w:rPr>
            </w:pPr>
          </w:p>
        </w:tc>
        <w:tc>
          <w:tcPr>
            <w:tcW w:w="1332" w:type="pct"/>
          </w:tcPr>
          <w:p w14:paraId="3DF21B8C" w14:textId="77777777" w:rsidR="002D4B86" w:rsidRPr="006D7653" w:rsidRDefault="002D4B86" w:rsidP="000E1128">
            <w:pPr>
              <w:spacing w:before="0" w:after="0"/>
              <w:ind w:firstLine="0"/>
              <w:jc w:val="left"/>
              <w:rPr>
                <w:sz w:val="20"/>
                <w:szCs w:val="18"/>
              </w:rPr>
            </w:pPr>
            <w:r w:rsidRPr="006D7653">
              <w:rPr>
                <w:sz w:val="20"/>
                <w:szCs w:val="18"/>
              </w:rPr>
              <w:t xml:space="preserve">Fiksēta neapliekamā minimuma ieviešana un </w:t>
            </w:r>
            <w:r w:rsidRPr="006D7653">
              <w:rPr>
                <w:b/>
                <w:bCs/>
                <w:sz w:val="20"/>
                <w:szCs w:val="18"/>
              </w:rPr>
              <w:t>paaugstināšana</w:t>
            </w:r>
            <w:r w:rsidRPr="006D7653">
              <w:rPr>
                <w:sz w:val="20"/>
                <w:szCs w:val="18"/>
              </w:rPr>
              <w:t xml:space="preserve"> no 654 </w:t>
            </w:r>
            <w:r w:rsidRPr="006D7653">
              <w:rPr>
                <w:i/>
                <w:iCs/>
                <w:sz w:val="20"/>
                <w:szCs w:val="18"/>
              </w:rPr>
              <w:t>euro</w:t>
            </w:r>
            <w:r w:rsidRPr="006D7653">
              <w:rPr>
                <w:sz w:val="20"/>
                <w:szCs w:val="18"/>
              </w:rPr>
              <w:t xml:space="preserve"> uz </w:t>
            </w:r>
            <w:r w:rsidRPr="006D7653">
              <w:rPr>
                <w:b/>
                <w:bCs/>
                <w:color w:val="002060"/>
                <w:sz w:val="20"/>
                <w:szCs w:val="18"/>
              </w:rPr>
              <w:t>700 </w:t>
            </w:r>
            <w:r w:rsidRPr="006D7653">
              <w:rPr>
                <w:b/>
                <w:bCs/>
                <w:i/>
                <w:iCs/>
                <w:color w:val="002060"/>
                <w:sz w:val="20"/>
                <w:szCs w:val="18"/>
              </w:rPr>
              <w:t>euro</w:t>
            </w:r>
          </w:p>
        </w:tc>
      </w:tr>
      <w:tr w:rsidR="002D4B86" w:rsidRPr="006D7653" w14:paraId="294006CF" w14:textId="77777777" w:rsidTr="000E1128">
        <w:trPr>
          <w:trHeight w:val="717"/>
        </w:trPr>
        <w:tc>
          <w:tcPr>
            <w:tcW w:w="666" w:type="pct"/>
            <w:vMerge w:val="restart"/>
            <w:hideMark/>
          </w:tcPr>
          <w:p w14:paraId="037C89DB" w14:textId="77777777" w:rsidR="002D4B86" w:rsidRPr="006D7653" w:rsidRDefault="002D4B86" w:rsidP="000E1128">
            <w:pPr>
              <w:spacing w:before="0" w:after="0"/>
              <w:ind w:firstLine="0"/>
              <w:jc w:val="left"/>
              <w:rPr>
                <w:b/>
                <w:bCs/>
                <w:sz w:val="20"/>
                <w:szCs w:val="18"/>
              </w:rPr>
            </w:pPr>
            <w:r w:rsidRPr="006D7653">
              <w:rPr>
                <w:b/>
                <w:bCs/>
                <w:sz w:val="20"/>
                <w:szCs w:val="18"/>
              </w:rPr>
              <w:t>Uzņēmumu ienākuma nodoklis</w:t>
            </w:r>
          </w:p>
        </w:tc>
        <w:tc>
          <w:tcPr>
            <w:tcW w:w="1902" w:type="pct"/>
            <w:vMerge w:val="restart"/>
            <w:hideMark/>
          </w:tcPr>
          <w:p w14:paraId="5BC15054" w14:textId="77777777" w:rsidR="002D4B86" w:rsidRPr="006D7653" w:rsidRDefault="002D4B86" w:rsidP="000E1128">
            <w:pPr>
              <w:spacing w:before="0" w:after="0"/>
              <w:ind w:firstLine="0"/>
              <w:rPr>
                <w:sz w:val="20"/>
                <w:szCs w:val="18"/>
              </w:rPr>
            </w:pPr>
            <w:r w:rsidRPr="006D7653">
              <w:rPr>
                <w:sz w:val="20"/>
                <w:szCs w:val="18"/>
              </w:rPr>
              <w:t>-</w:t>
            </w:r>
          </w:p>
        </w:tc>
        <w:tc>
          <w:tcPr>
            <w:tcW w:w="1100" w:type="pct"/>
            <w:vMerge w:val="restart"/>
            <w:hideMark/>
          </w:tcPr>
          <w:p w14:paraId="22338215" w14:textId="77777777" w:rsidR="002D4B86" w:rsidRPr="006D7653" w:rsidRDefault="002D4B86" w:rsidP="000E1128">
            <w:pPr>
              <w:spacing w:before="0" w:after="0"/>
              <w:ind w:firstLine="0"/>
              <w:rPr>
                <w:sz w:val="20"/>
                <w:szCs w:val="18"/>
              </w:rPr>
            </w:pPr>
            <w:r w:rsidRPr="006D7653">
              <w:rPr>
                <w:sz w:val="20"/>
                <w:szCs w:val="18"/>
              </w:rPr>
              <w:t>-</w:t>
            </w:r>
          </w:p>
        </w:tc>
        <w:tc>
          <w:tcPr>
            <w:tcW w:w="1332" w:type="pct"/>
            <w:hideMark/>
          </w:tcPr>
          <w:p w14:paraId="2D1211C2" w14:textId="77777777" w:rsidR="002D4B86" w:rsidRPr="006D7653" w:rsidRDefault="002D4B86" w:rsidP="000E1128">
            <w:pPr>
              <w:spacing w:before="0" w:after="0"/>
              <w:ind w:firstLine="0"/>
              <w:jc w:val="left"/>
              <w:rPr>
                <w:sz w:val="20"/>
                <w:szCs w:val="18"/>
              </w:rPr>
            </w:pPr>
            <w:r w:rsidRPr="006D7653">
              <w:rPr>
                <w:sz w:val="20"/>
                <w:szCs w:val="18"/>
              </w:rPr>
              <w:t xml:space="preserve">UIN likmes </w:t>
            </w:r>
            <w:r w:rsidRPr="006D7653">
              <w:rPr>
                <w:b/>
                <w:bCs/>
                <w:sz w:val="20"/>
                <w:szCs w:val="18"/>
              </w:rPr>
              <w:t>paaugstināšana</w:t>
            </w:r>
            <w:r w:rsidRPr="006D7653">
              <w:rPr>
                <w:sz w:val="20"/>
                <w:szCs w:val="18"/>
              </w:rPr>
              <w:t xml:space="preserve"> no 20% uz </w:t>
            </w:r>
            <w:r w:rsidRPr="006D7653">
              <w:rPr>
                <w:b/>
                <w:bCs/>
                <w:color w:val="002060"/>
                <w:sz w:val="20"/>
                <w:szCs w:val="18"/>
              </w:rPr>
              <w:t>22%</w:t>
            </w:r>
          </w:p>
        </w:tc>
      </w:tr>
      <w:tr w:rsidR="002D4B86" w:rsidRPr="006D7653" w14:paraId="0BAE531B" w14:textId="77777777" w:rsidTr="000E1128">
        <w:trPr>
          <w:trHeight w:val="727"/>
        </w:trPr>
        <w:tc>
          <w:tcPr>
            <w:tcW w:w="666" w:type="pct"/>
            <w:vMerge/>
          </w:tcPr>
          <w:p w14:paraId="18520A0B" w14:textId="77777777" w:rsidR="002D4B86" w:rsidRPr="006D7653" w:rsidRDefault="002D4B86" w:rsidP="000E1128">
            <w:pPr>
              <w:spacing w:before="0" w:after="0"/>
              <w:ind w:firstLine="0"/>
              <w:jc w:val="left"/>
              <w:rPr>
                <w:b/>
                <w:bCs/>
                <w:sz w:val="20"/>
                <w:szCs w:val="18"/>
              </w:rPr>
            </w:pPr>
          </w:p>
        </w:tc>
        <w:tc>
          <w:tcPr>
            <w:tcW w:w="1902" w:type="pct"/>
            <w:vMerge/>
          </w:tcPr>
          <w:p w14:paraId="1E580F7B" w14:textId="77777777" w:rsidR="002D4B86" w:rsidRPr="006D7653" w:rsidRDefault="002D4B86" w:rsidP="000E1128">
            <w:pPr>
              <w:spacing w:before="0" w:after="0"/>
              <w:ind w:firstLine="0"/>
              <w:rPr>
                <w:sz w:val="20"/>
                <w:szCs w:val="18"/>
              </w:rPr>
            </w:pPr>
          </w:p>
        </w:tc>
        <w:tc>
          <w:tcPr>
            <w:tcW w:w="1100" w:type="pct"/>
            <w:vMerge/>
          </w:tcPr>
          <w:p w14:paraId="3356A01A" w14:textId="77777777" w:rsidR="002D4B86" w:rsidRPr="006D7653" w:rsidRDefault="002D4B86" w:rsidP="000E1128">
            <w:pPr>
              <w:spacing w:before="0" w:after="0"/>
              <w:ind w:firstLine="0"/>
              <w:rPr>
                <w:sz w:val="20"/>
                <w:szCs w:val="18"/>
              </w:rPr>
            </w:pPr>
          </w:p>
        </w:tc>
        <w:tc>
          <w:tcPr>
            <w:tcW w:w="1332" w:type="pct"/>
          </w:tcPr>
          <w:p w14:paraId="1D48C4B0" w14:textId="77777777" w:rsidR="002D4B86" w:rsidRPr="006D7653" w:rsidRDefault="002D4B86" w:rsidP="000E1128">
            <w:pPr>
              <w:spacing w:before="0" w:after="0"/>
              <w:ind w:firstLine="0"/>
              <w:jc w:val="left"/>
              <w:rPr>
                <w:sz w:val="20"/>
                <w:szCs w:val="18"/>
              </w:rPr>
            </w:pPr>
            <w:r w:rsidRPr="006D7653">
              <w:rPr>
                <w:b/>
                <w:bCs/>
                <w:color w:val="002060"/>
                <w:sz w:val="20"/>
                <w:szCs w:val="18"/>
              </w:rPr>
              <w:t>14%</w:t>
            </w:r>
            <w:r w:rsidRPr="006D7653">
              <w:rPr>
                <w:color w:val="002060"/>
                <w:sz w:val="20"/>
                <w:szCs w:val="18"/>
              </w:rPr>
              <w:t xml:space="preserve"> </w:t>
            </w:r>
            <w:r w:rsidRPr="006D7653">
              <w:rPr>
                <w:sz w:val="20"/>
                <w:szCs w:val="18"/>
              </w:rPr>
              <w:t xml:space="preserve">UIN likmes </w:t>
            </w:r>
            <w:r w:rsidRPr="006D7653">
              <w:rPr>
                <w:b/>
                <w:bCs/>
                <w:sz w:val="20"/>
                <w:szCs w:val="18"/>
              </w:rPr>
              <w:t>atcelšana</w:t>
            </w:r>
            <w:r w:rsidRPr="006D7653">
              <w:rPr>
                <w:sz w:val="20"/>
                <w:szCs w:val="18"/>
              </w:rPr>
              <w:t xml:space="preserve"> (uzņēmumiem, kuri regulāri izmaksā dividendes)</w:t>
            </w:r>
          </w:p>
        </w:tc>
      </w:tr>
      <w:tr w:rsidR="002D4B86" w:rsidRPr="006D7653" w14:paraId="3C82AF8B" w14:textId="77777777" w:rsidTr="000E1128">
        <w:trPr>
          <w:trHeight w:val="712"/>
        </w:trPr>
        <w:tc>
          <w:tcPr>
            <w:tcW w:w="666" w:type="pct"/>
            <w:vMerge w:val="restart"/>
            <w:hideMark/>
          </w:tcPr>
          <w:p w14:paraId="39B6EB01" w14:textId="77777777" w:rsidR="002D4B86" w:rsidRPr="006D7653" w:rsidRDefault="002D4B86" w:rsidP="000E1128">
            <w:pPr>
              <w:spacing w:before="0" w:after="0"/>
              <w:ind w:firstLine="0"/>
              <w:jc w:val="left"/>
              <w:rPr>
                <w:b/>
                <w:bCs/>
                <w:sz w:val="20"/>
                <w:szCs w:val="18"/>
              </w:rPr>
            </w:pPr>
            <w:r w:rsidRPr="006D7653">
              <w:rPr>
                <w:b/>
                <w:bCs/>
                <w:sz w:val="20"/>
                <w:szCs w:val="18"/>
              </w:rPr>
              <w:t>Pievienotās vērtības nodoklis</w:t>
            </w:r>
          </w:p>
        </w:tc>
        <w:tc>
          <w:tcPr>
            <w:tcW w:w="1902" w:type="pct"/>
            <w:vMerge w:val="restart"/>
            <w:hideMark/>
          </w:tcPr>
          <w:p w14:paraId="3962680B" w14:textId="77777777" w:rsidR="002D4B86" w:rsidRPr="006D7653" w:rsidRDefault="002D4B86" w:rsidP="000E1128">
            <w:pPr>
              <w:spacing w:before="0" w:after="0"/>
              <w:ind w:firstLine="0"/>
              <w:rPr>
                <w:sz w:val="20"/>
                <w:szCs w:val="18"/>
              </w:rPr>
            </w:pPr>
            <w:r w:rsidRPr="006D7653">
              <w:rPr>
                <w:sz w:val="20"/>
                <w:szCs w:val="18"/>
              </w:rPr>
              <w:t xml:space="preserve">PVN reģistrēšanās sliekšņa </w:t>
            </w:r>
            <w:r w:rsidRPr="006D7653">
              <w:rPr>
                <w:b/>
                <w:bCs/>
                <w:sz w:val="20"/>
                <w:szCs w:val="18"/>
              </w:rPr>
              <w:t>paaugstināšana</w:t>
            </w:r>
            <w:r w:rsidRPr="006D7653">
              <w:rPr>
                <w:sz w:val="20"/>
                <w:szCs w:val="18"/>
              </w:rPr>
              <w:t xml:space="preserve"> no 45 000 </w:t>
            </w:r>
            <w:r w:rsidRPr="006D7653">
              <w:rPr>
                <w:i/>
                <w:iCs/>
                <w:sz w:val="20"/>
                <w:szCs w:val="18"/>
              </w:rPr>
              <w:t>euro</w:t>
            </w:r>
            <w:r w:rsidRPr="006D7653">
              <w:rPr>
                <w:sz w:val="20"/>
                <w:szCs w:val="18"/>
              </w:rPr>
              <w:t xml:space="preserve"> gadā līdz </w:t>
            </w:r>
            <w:r w:rsidRPr="006D7653">
              <w:rPr>
                <w:b/>
                <w:bCs/>
                <w:color w:val="385623" w:themeColor="accent6" w:themeShade="80"/>
                <w:sz w:val="20"/>
                <w:szCs w:val="18"/>
              </w:rPr>
              <w:t xml:space="preserve">55 000 </w:t>
            </w:r>
            <w:r w:rsidRPr="006D7653">
              <w:rPr>
                <w:b/>
                <w:bCs/>
                <w:i/>
                <w:iCs/>
                <w:color w:val="385623" w:themeColor="accent6" w:themeShade="80"/>
                <w:sz w:val="20"/>
                <w:szCs w:val="18"/>
              </w:rPr>
              <w:t>euro</w:t>
            </w:r>
            <w:r w:rsidRPr="006D7653">
              <w:rPr>
                <w:b/>
                <w:bCs/>
                <w:color w:val="385623" w:themeColor="accent6" w:themeShade="80"/>
                <w:sz w:val="20"/>
                <w:szCs w:val="18"/>
              </w:rPr>
              <w:t xml:space="preserve"> gadā</w:t>
            </w:r>
          </w:p>
        </w:tc>
        <w:tc>
          <w:tcPr>
            <w:tcW w:w="1100" w:type="pct"/>
            <w:hideMark/>
          </w:tcPr>
          <w:p w14:paraId="0F3E504E" w14:textId="77777777" w:rsidR="002D4B86" w:rsidRPr="006D7653" w:rsidRDefault="002D4B86" w:rsidP="000E1128">
            <w:pPr>
              <w:spacing w:before="0" w:after="0"/>
              <w:ind w:firstLine="0"/>
              <w:jc w:val="left"/>
              <w:rPr>
                <w:sz w:val="20"/>
                <w:szCs w:val="18"/>
              </w:rPr>
            </w:pPr>
            <w:r w:rsidRPr="006D7653">
              <w:rPr>
                <w:sz w:val="20"/>
                <w:szCs w:val="18"/>
              </w:rPr>
              <w:t xml:space="preserve">PVN standartlikmes </w:t>
            </w:r>
            <w:r w:rsidRPr="006D7653">
              <w:rPr>
                <w:b/>
                <w:bCs/>
                <w:sz w:val="20"/>
                <w:szCs w:val="18"/>
              </w:rPr>
              <w:t>paaugstināšana</w:t>
            </w:r>
            <w:r w:rsidRPr="006D7653">
              <w:rPr>
                <w:sz w:val="20"/>
                <w:szCs w:val="18"/>
              </w:rPr>
              <w:t xml:space="preserve"> no 20% uz </w:t>
            </w:r>
            <w:r w:rsidRPr="006D7653">
              <w:rPr>
                <w:b/>
                <w:bCs/>
                <w:color w:val="002060"/>
                <w:sz w:val="20"/>
                <w:szCs w:val="18"/>
              </w:rPr>
              <w:t>22%</w:t>
            </w:r>
          </w:p>
        </w:tc>
        <w:tc>
          <w:tcPr>
            <w:tcW w:w="1332" w:type="pct"/>
            <w:vMerge w:val="restart"/>
            <w:hideMark/>
          </w:tcPr>
          <w:p w14:paraId="649B7FCC" w14:textId="77777777" w:rsidR="002D4B86" w:rsidRPr="006D7653" w:rsidRDefault="002D4B86" w:rsidP="000E1128">
            <w:pPr>
              <w:spacing w:before="0" w:after="0"/>
              <w:ind w:firstLine="0"/>
              <w:jc w:val="left"/>
              <w:rPr>
                <w:sz w:val="20"/>
                <w:szCs w:val="18"/>
              </w:rPr>
            </w:pPr>
            <w:r w:rsidRPr="006D7653">
              <w:rPr>
                <w:sz w:val="20"/>
                <w:szCs w:val="18"/>
              </w:rPr>
              <w:t xml:space="preserve">PVN samazinātās likmes paaugstināšana no 9% uz </w:t>
            </w:r>
            <w:r w:rsidRPr="006D7653">
              <w:rPr>
                <w:b/>
                <w:bCs/>
                <w:color w:val="002060"/>
                <w:sz w:val="20"/>
                <w:szCs w:val="18"/>
              </w:rPr>
              <w:t>13%</w:t>
            </w:r>
            <w:r w:rsidRPr="006D7653">
              <w:rPr>
                <w:color w:val="002060"/>
                <w:sz w:val="20"/>
                <w:szCs w:val="18"/>
              </w:rPr>
              <w:t xml:space="preserve"> </w:t>
            </w:r>
            <w:r w:rsidRPr="006D7653">
              <w:rPr>
                <w:sz w:val="20"/>
                <w:szCs w:val="18"/>
              </w:rPr>
              <w:t>izmitināšanas pakalpojumiem</w:t>
            </w:r>
          </w:p>
        </w:tc>
      </w:tr>
      <w:tr w:rsidR="002D4B86" w:rsidRPr="006D7653" w14:paraId="25227046" w14:textId="77777777" w:rsidTr="000E1128">
        <w:trPr>
          <w:trHeight w:val="575"/>
        </w:trPr>
        <w:tc>
          <w:tcPr>
            <w:tcW w:w="666" w:type="pct"/>
            <w:vMerge/>
          </w:tcPr>
          <w:p w14:paraId="7C9539B0" w14:textId="77777777" w:rsidR="002D4B86" w:rsidRPr="006D7653" w:rsidRDefault="002D4B86" w:rsidP="000E1128">
            <w:pPr>
              <w:spacing w:before="0" w:after="0"/>
              <w:ind w:firstLine="0"/>
              <w:jc w:val="left"/>
              <w:rPr>
                <w:b/>
                <w:bCs/>
                <w:sz w:val="20"/>
                <w:szCs w:val="18"/>
              </w:rPr>
            </w:pPr>
          </w:p>
        </w:tc>
        <w:tc>
          <w:tcPr>
            <w:tcW w:w="1902" w:type="pct"/>
            <w:vMerge/>
          </w:tcPr>
          <w:p w14:paraId="03D31F1C" w14:textId="77777777" w:rsidR="002D4B86" w:rsidRPr="006D7653" w:rsidRDefault="002D4B86" w:rsidP="000E1128">
            <w:pPr>
              <w:spacing w:before="0" w:after="0"/>
              <w:ind w:firstLine="0"/>
              <w:rPr>
                <w:sz w:val="20"/>
                <w:szCs w:val="18"/>
              </w:rPr>
            </w:pPr>
          </w:p>
        </w:tc>
        <w:tc>
          <w:tcPr>
            <w:tcW w:w="1100" w:type="pct"/>
          </w:tcPr>
          <w:p w14:paraId="555D268C" w14:textId="77777777" w:rsidR="002D4B86" w:rsidRPr="006D7653" w:rsidRDefault="002D4B86" w:rsidP="000E1128">
            <w:pPr>
              <w:spacing w:before="0" w:after="0"/>
              <w:ind w:firstLine="0"/>
              <w:jc w:val="left"/>
              <w:rPr>
                <w:sz w:val="20"/>
                <w:szCs w:val="18"/>
              </w:rPr>
            </w:pPr>
            <w:r w:rsidRPr="006D7653">
              <w:rPr>
                <w:sz w:val="20"/>
                <w:szCs w:val="18"/>
              </w:rPr>
              <w:t xml:space="preserve">Atsevišķu PVN atvieglojumu </w:t>
            </w:r>
            <w:r w:rsidRPr="006D7653">
              <w:rPr>
                <w:b/>
                <w:bCs/>
                <w:sz w:val="20"/>
                <w:szCs w:val="18"/>
              </w:rPr>
              <w:t>atcelšana</w:t>
            </w:r>
          </w:p>
        </w:tc>
        <w:tc>
          <w:tcPr>
            <w:tcW w:w="1332" w:type="pct"/>
            <w:vMerge/>
          </w:tcPr>
          <w:p w14:paraId="719CBD98" w14:textId="77777777" w:rsidR="002D4B86" w:rsidRPr="006D7653" w:rsidRDefault="002D4B86" w:rsidP="000E1128">
            <w:pPr>
              <w:spacing w:before="0" w:after="0"/>
              <w:ind w:firstLine="0"/>
              <w:rPr>
                <w:sz w:val="20"/>
                <w:szCs w:val="18"/>
              </w:rPr>
            </w:pPr>
          </w:p>
        </w:tc>
      </w:tr>
      <w:tr w:rsidR="002D4B86" w:rsidRPr="006D7653" w14:paraId="11E08565" w14:textId="77777777" w:rsidTr="000E1128">
        <w:trPr>
          <w:trHeight w:val="1441"/>
        </w:trPr>
        <w:tc>
          <w:tcPr>
            <w:tcW w:w="666" w:type="pct"/>
            <w:hideMark/>
          </w:tcPr>
          <w:p w14:paraId="3539F13E" w14:textId="77777777" w:rsidR="002D4B86" w:rsidRPr="006D7653" w:rsidRDefault="002D4B86" w:rsidP="000E1128">
            <w:pPr>
              <w:spacing w:before="0" w:after="0"/>
              <w:ind w:firstLine="0"/>
              <w:jc w:val="left"/>
              <w:rPr>
                <w:b/>
                <w:bCs/>
                <w:sz w:val="20"/>
                <w:szCs w:val="18"/>
              </w:rPr>
            </w:pPr>
            <w:r w:rsidRPr="006D7653">
              <w:rPr>
                <w:b/>
                <w:bCs/>
                <w:sz w:val="20"/>
                <w:szCs w:val="18"/>
              </w:rPr>
              <w:t xml:space="preserve">Akcīzes nodoklis </w:t>
            </w:r>
          </w:p>
        </w:tc>
        <w:tc>
          <w:tcPr>
            <w:tcW w:w="1902" w:type="pct"/>
            <w:hideMark/>
          </w:tcPr>
          <w:p w14:paraId="0AE899C3" w14:textId="77777777" w:rsidR="002D4B86" w:rsidRPr="006D7653" w:rsidRDefault="002D4B86" w:rsidP="000E1128">
            <w:pPr>
              <w:spacing w:before="0" w:after="0"/>
              <w:ind w:firstLine="0"/>
              <w:jc w:val="left"/>
              <w:rPr>
                <w:sz w:val="20"/>
                <w:szCs w:val="18"/>
              </w:rPr>
            </w:pPr>
            <w:r w:rsidRPr="006D7653">
              <w:rPr>
                <w:sz w:val="20"/>
                <w:szCs w:val="18"/>
              </w:rPr>
              <w:t xml:space="preserve">AN likmju </w:t>
            </w:r>
            <w:r w:rsidRPr="006D7653">
              <w:rPr>
                <w:b/>
                <w:bCs/>
                <w:sz w:val="20"/>
                <w:szCs w:val="18"/>
              </w:rPr>
              <w:t>paaugstināšana</w:t>
            </w:r>
            <w:r w:rsidRPr="006D7653">
              <w:rPr>
                <w:sz w:val="20"/>
                <w:szCs w:val="18"/>
              </w:rPr>
              <w:t xml:space="preserve"> </w:t>
            </w:r>
            <w:r w:rsidRPr="006D7653">
              <w:rPr>
                <w:b/>
                <w:bCs/>
                <w:sz w:val="20"/>
                <w:szCs w:val="18"/>
              </w:rPr>
              <w:t>2024. - 2025. gadā</w:t>
            </w:r>
            <w:r w:rsidRPr="006D7653">
              <w:rPr>
                <w:sz w:val="20"/>
                <w:szCs w:val="18"/>
              </w:rPr>
              <w:t xml:space="preserve"> – visiem alkoholiskajiem dzērieniem un tabakas izstrādājumiem</w:t>
            </w:r>
          </w:p>
        </w:tc>
        <w:tc>
          <w:tcPr>
            <w:tcW w:w="2432" w:type="pct"/>
            <w:gridSpan w:val="2"/>
            <w:hideMark/>
          </w:tcPr>
          <w:p w14:paraId="185F9733" w14:textId="77777777" w:rsidR="002D4B86" w:rsidRPr="006D7653" w:rsidRDefault="002D4B86" w:rsidP="000E1128">
            <w:pPr>
              <w:spacing w:before="0" w:after="0"/>
              <w:ind w:firstLine="0"/>
              <w:rPr>
                <w:sz w:val="20"/>
                <w:szCs w:val="18"/>
              </w:rPr>
            </w:pPr>
            <w:r w:rsidRPr="006D7653">
              <w:rPr>
                <w:sz w:val="20"/>
                <w:szCs w:val="18"/>
              </w:rPr>
              <w:t xml:space="preserve">AN likmju </w:t>
            </w:r>
            <w:r w:rsidRPr="006D7653">
              <w:rPr>
                <w:b/>
                <w:bCs/>
                <w:sz w:val="20"/>
                <w:szCs w:val="18"/>
              </w:rPr>
              <w:t>paaugstināšana</w:t>
            </w:r>
            <w:r w:rsidRPr="006D7653">
              <w:rPr>
                <w:sz w:val="20"/>
                <w:szCs w:val="18"/>
              </w:rPr>
              <w:t xml:space="preserve"> </w:t>
            </w:r>
            <w:r w:rsidRPr="006D7653">
              <w:rPr>
                <w:b/>
                <w:bCs/>
                <w:sz w:val="20"/>
                <w:szCs w:val="18"/>
              </w:rPr>
              <w:t>2024. - 2026. gadā</w:t>
            </w:r>
            <w:r w:rsidRPr="006D7653">
              <w:rPr>
                <w:sz w:val="20"/>
                <w:szCs w:val="18"/>
              </w:rPr>
              <w:t>:</w:t>
            </w:r>
          </w:p>
          <w:p w14:paraId="26382C56" w14:textId="77777777" w:rsidR="002D4B86" w:rsidRPr="006D7653" w:rsidRDefault="002D4B86" w:rsidP="000E1128">
            <w:pPr>
              <w:pStyle w:val="ListParagraph"/>
              <w:numPr>
                <w:ilvl w:val="0"/>
                <w:numId w:val="4"/>
              </w:numPr>
              <w:spacing w:before="0" w:after="0"/>
              <w:ind w:left="470" w:hanging="357"/>
              <w:rPr>
                <w:rFonts w:ascii="Times New Roman" w:hAnsi="Times New Roman"/>
                <w:sz w:val="20"/>
                <w:szCs w:val="18"/>
              </w:rPr>
            </w:pPr>
            <w:r w:rsidRPr="006D7653">
              <w:rPr>
                <w:rFonts w:ascii="Times New Roman" w:hAnsi="Times New Roman"/>
                <w:sz w:val="20"/>
                <w:szCs w:val="18"/>
              </w:rPr>
              <w:t xml:space="preserve">dīzeļdegvielai (arī tai, ko izmanto par kurināmo), naftas gāzēm un dabasgāzei, ko izmanto par kurināmo,  </w:t>
            </w:r>
          </w:p>
          <w:p w14:paraId="5409AA8B" w14:textId="77777777" w:rsidR="002D4B86" w:rsidRPr="006D7653" w:rsidRDefault="002D4B86" w:rsidP="000E1128">
            <w:pPr>
              <w:pStyle w:val="ListParagraph"/>
              <w:numPr>
                <w:ilvl w:val="0"/>
                <w:numId w:val="4"/>
              </w:numPr>
              <w:spacing w:before="0" w:after="0"/>
              <w:ind w:left="470" w:hanging="357"/>
              <w:rPr>
                <w:rFonts w:ascii="Times New Roman" w:hAnsi="Times New Roman"/>
                <w:sz w:val="20"/>
                <w:szCs w:val="18"/>
              </w:rPr>
            </w:pPr>
            <w:r w:rsidRPr="006D7653">
              <w:rPr>
                <w:rFonts w:ascii="Times New Roman" w:hAnsi="Times New Roman"/>
                <w:b/>
                <w:bCs/>
                <w:color w:val="002060"/>
                <w:sz w:val="20"/>
                <w:szCs w:val="18"/>
              </w:rPr>
              <w:t>5%</w:t>
            </w:r>
            <w:r w:rsidRPr="006D7653">
              <w:rPr>
                <w:rFonts w:ascii="Times New Roman" w:hAnsi="Times New Roman"/>
                <w:color w:val="002060"/>
                <w:sz w:val="20"/>
                <w:szCs w:val="18"/>
              </w:rPr>
              <w:t xml:space="preserve"> </w:t>
            </w:r>
            <w:r w:rsidRPr="006D7653">
              <w:rPr>
                <w:rFonts w:ascii="Times New Roman" w:hAnsi="Times New Roman"/>
                <w:sz w:val="20"/>
                <w:szCs w:val="18"/>
              </w:rPr>
              <w:t>katru gadu gan visiem alkoholiskajiem dzērieniem , gan tabakas izstrādājumiem.</w:t>
            </w:r>
          </w:p>
        </w:tc>
      </w:tr>
    </w:tbl>
    <w:p w14:paraId="7B74C550" w14:textId="77777777" w:rsidR="00D62D31" w:rsidRDefault="00D62D31" w:rsidP="002776DB">
      <w:pPr>
        <w:spacing w:after="120"/>
        <w:rPr>
          <w:rFonts w:cs="Times New Roman"/>
        </w:rPr>
      </w:pPr>
    </w:p>
    <w:p w14:paraId="21DE1BB6" w14:textId="202057BD" w:rsidR="00AA3A7D" w:rsidRPr="006D7653" w:rsidRDefault="00331D62" w:rsidP="00AA3A7D">
      <w:pPr>
        <w:rPr>
          <w:rFonts w:cs="Times New Roman"/>
        </w:rPr>
      </w:pPr>
      <w:r w:rsidRPr="006D7653">
        <w:rPr>
          <w:rFonts w:cs="Times New Roman"/>
        </w:rPr>
        <w:t>Latvijas nodokļu sistēmu patlaban veido 14 nodokļi, kas iedalāmi trīs grupās.</w:t>
      </w:r>
      <w:r w:rsidR="00AA3A7D" w:rsidRPr="00AA3A7D">
        <w:rPr>
          <w:rFonts w:cs="Times New Roman"/>
        </w:rPr>
        <w:t xml:space="preserve"> </w:t>
      </w:r>
      <w:r w:rsidR="00AA3A7D" w:rsidRPr="006D7653">
        <w:rPr>
          <w:rFonts w:cs="Times New Roman"/>
        </w:rPr>
        <w:t>Būtiskākos nodokļu ieņēmumus Latvijas valsts kopbudžetā veido VSAOI, PVN un IIN ieņēmumi. Prognozēts, ka 2023. gadā tie kopā veidos 83,3% no visiem nodokļu ieņēmumiem jeb 25,8% no IKP.</w:t>
      </w:r>
      <w:r w:rsidR="00AA3A7D">
        <w:rPr>
          <w:rFonts w:cs="Times New Roman"/>
        </w:rPr>
        <w:t xml:space="preserve"> Akcīzes nodoklis un uzņēmumu ienākuma nodoklis veido vēl 12,6 %</w:t>
      </w:r>
      <w:r w:rsidR="00AA3A7D" w:rsidRPr="002B619A">
        <w:rPr>
          <w:rFonts w:cs="Times New Roman"/>
        </w:rPr>
        <w:t xml:space="preserve"> </w:t>
      </w:r>
      <w:r w:rsidR="00AA3A7D" w:rsidRPr="006D7653">
        <w:rPr>
          <w:rFonts w:cs="Times New Roman"/>
        </w:rPr>
        <w:t xml:space="preserve">no visiem nodokļu ieņēmumiem jeb </w:t>
      </w:r>
      <w:r w:rsidR="00AA3A7D">
        <w:rPr>
          <w:rFonts w:cs="Times New Roman"/>
        </w:rPr>
        <w:t>4,0</w:t>
      </w:r>
      <w:r w:rsidR="00AA3A7D" w:rsidRPr="006D7653">
        <w:rPr>
          <w:rFonts w:cs="Times New Roman"/>
        </w:rPr>
        <w:t>% no IKP</w:t>
      </w:r>
      <w:r w:rsidR="00AA3A7D">
        <w:rPr>
          <w:rFonts w:cs="Times New Roman"/>
        </w:rPr>
        <w:t xml:space="preserve">. Attiecīgi, vērtējot iespējas būtiskāk mainīt nodokļu ieņēmumu potenciālu, ir nepieciešams padziļināti skatīt šos piecus nodokļus. </w:t>
      </w:r>
    </w:p>
    <w:p w14:paraId="4774EF3B" w14:textId="60D9D72A" w:rsidR="00331D62" w:rsidRPr="006D7653" w:rsidRDefault="00331D62" w:rsidP="00331D62">
      <w:pPr>
        <w:spacing w:after="120"/>
        <w:rPr>
          <w:rFonts w:cs="Times New Roman"/>
        </w:rPr>
      </w:pPr>
    </w:p>
    <w:p w14:paraId="10508CE0" w14:textId="77777777" w:rsidR="00AA3A7D" w:rsidRDefault="00AA3A7D" w:rsidP="00331D62">
      <w:pPr>
        <w:spacing w:after="120"/>
        <w:ind w:right="-284" w:firstLine="0"/>
        <w:jc w:val="center"/>
        <w:rPr>
          <w:rFonts w:cs="Times New Roman"/>
          <w:sz w:val="22"/>
          <w:szCs w:val="24"/>
        </w:rPr>
      </w:pPr>
    </w:p>
    <w:p w14:paraId="142117B2" w14:textId="77777777" w:rsidR="00AA3A7D" w:rsidRDefault="00AA3A7D" w:rsidP="00331D62">
      <w:pPr>
        <w:spacing w:after="120"/>
        <w:ind w:right="-284" w:firstLine="0"/>
        <w:jc w:val="center"/>
        <w:rPr>
          <w:rFonts w:cs="Times New Roman"/>
          <w:sz w:val="22"/>
          <w:szCs w:val="24"/>
        </w:rPr>
      </w:pPr>
    </w:p>
    <w:p w14:paraId="399577B6" w14:textId="77777777" w:rsidR="00AA3A7D" w:rsidRDefault="00AA3A7D" w:rsidP="00331D62">
      <w:pPr>
        <w:spacing w:after="120"/>
        <w:ind w:right="-284" w:firstLine="0"/>
        <w:jc w:val="center"/>
        <w:rPr>
          <w:rFonts w:cs="Times New Roman"/>
          <w:sz w:val="22"/>
          <w:szCs w:val="24"/>
        </w:rPr>
      </w:pPr>
    </w:p>
    <w:p w14:paraId="441E8B7D" w14:textId="77777777" w:rsidR="00AA3A7D" w:rsidRDefault="00AA3A7D" w:rsidP="00331D62">
      <w:pPr>
        <w:spacing w:after="120"/>
        <w:ind w:right="-284" w:firstLine="0"/>
        <w:jc w:val="center"/>
        <w:rPr>
          <w:rFonts w:cs="Times New Roman"/>
          <w:sz w:val="22"/>
          <w:szCs w:val="24"/>
        </w:rPr>
      </w:pPr>
    </w:p>
    <w:p w14:paraId="6302B006" w14:textId="77777777" w:rsidR="00AA3A7D" w:rsidRDefault="00AA3A7D" w:rsidP="00331D62">
      <w:pPr>
        <w:spacing w:after="120"/>
        <w:ind w:right="-284" w:firstLine="0"/>
        <w:jc w:val="center"/>
        <w:rPr>
          <w:rFonts w:cs="Times New Roman"/>
          <w:sz w:val="22"/>
          <w:szCs w:val="24"/>
        </w:rPr>
      </w:pPr>
    </w:p>
    <w:p w14:paraId="05DA1BFD" w14:textId="77777777" w:rsidR="00AA3A7D" w:rsidRDefault="00AA3A7D" w:rsidP="00331D62">
      <w:pPr>
        <w:spacing w:after="120"/>
        <w:ind w:right="-284" w:firstLine="0"/>
        <w:jc w:val="center"/>
        <w:rPr>
          <w:rFonts w:cs="Times New Roman"/>
          <w:sz w:val="22"/>
          <w:szCs w:val="24"/>
        </w:rPr>
      </w:pPr>
    </w:p>
    <w:p w14:paraId="42096E80" w14:textId="77777777" w:rsidR="00AA3A7D" w:rsidRDefault="00AA3A7D" w:rsidP="00331D62">
      <w:pPr>
        <w:spacing w:after="120"/>
        <w:ind w:right="-284" w:firstLine="0"/>
        <w:jc w:val="center"/>
        <w:rPr>
          <w:rFonts w:cs="Times New Roman"/>
          <w:sz w:val="22"/>
          <w:szCs w:val="24"/>
        </w:rPr>
      </w:pPr>
    </w:p>
    <w:p w14:paraId="6C0A87A4" w14:textId="1B706618" w:rsidR="00331D62" w:rsidRPr="006D7653" w:rsidRDefault="002D4B86" w:rsidP="00331D62">
      <w:pPr>
        <w:spacing w:after="120"/>
        <w:ind w:right="-284" w:firstLine="0"/>
        <w:jc w:val="center"/>
        <w:rPr>
          <w:rFonts w:cs="Times New Roman"/>
          <w:b/>
          <w:sz w:val="22"/>
          <w:szCs w:val="24"/>
        </w:rPr>
      </w:pPr>
      <w:r>
        <w:rPr>
          <w:rFonts w:cs="Times New Roman"/>
          <w:sz w:val="22"/>
          <w:szCs w:val="24"/>
        </w:rPr>
        <w:lastRenderedPageBreak/>
        <w:t>3</w:t>
      </w:r>
      <w:r w:rsidR="00331D62" w:rsidRPr="006D7653">
        <w:rPr>
          <w:rFonts w:cs="Times New Roman"/>
          <w:sz w:val="22"/>
          <w:szCs w:val="24"/>
        </w:rPr>
        <w:t>. tab.</w:t>
      </w:r>
      <w:r w:rsidR="00331D62" w:rsidRPr="006D7653">
        <w:rPr>
          <w:rFonts w:cs="Times New Roman"/>
          <w:b/>
          <w:sz w:val="22"/>
          <w:szCs w:val="24"/>
        </w:rPr>
        <w:t xml:space="preserve"> Latvijā spēkā esošie nodokļi, vispārējās nodokļu likmes un nodokļu ieņēmumu īpatsvars </w:t>
      </w:r>
      <w:r w:rsidR="002B619A">
        <w:rPr>
          <w:rFonts w:cs="Times New Roman"/>
          <w:b/>
          <w:sz w:val="22"/>
          <w:szCs w:val="24"/>
        </w:rPr>
        <w:t>kopbudžeta ieņēmumos</w:t>
      </w:r>
    </w:p>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704"/>
        <w:gridCol w:w="3968"/>
        <w:gridCol w:w="2837"/>
        <w:gridCol w:w="1984"/>
      </w:tblGrid>
      <w:tr w:rsidR="00331D62" w:rsidRPr="006D7653" w14:paraId="7143C19A" w14:textId="77777777" w:rsidTr="005F6FA5">
        <w:trPr>
          <w:trHeight w:val="22"/>
          <w:jc w:val="center"/>
        </w:trPr>
        <w:tc>
          <w:tcPr>
            <w:tcW w:w="371" w:type="pct"/>
            <w:shd w:val="clear" w:color="auto" w:fill="F2F2F2" w:themeFill="background1" w:themeFillShade="F2"/>
            <w:tcMar>
              <w:top w:w="72" w:type="dxa"/>
              <w:left w:w="144" w:type="dxa"/>
              <w:bottom w:w="72" w:type="dxa"/>
              <w:right w:w="144" w:type="dxa"/>
            </w:tcMar>
            <w:vAlign w:val="center"/>
            <w:hideMark/>
          </w:tcPr>
          <w:p w14:paraId="6B029D48" w14:textId="77777777" w:rsidR="00331D62" w:rsidRPr="006D7653" w:rsidRDefault="00331D62" w:rsidP="007E1C0A">
            <w:pPr>
              <w:spacing w:before="0" w:after="0"/>
              <w:ind w:firstLine="0"/>
              <w:contextualSpacing/>
              <w:jc w:val="center"/>
              <w:rPr>
                <w:rFonts w:cs="Times New Roman"/>
                <w:sz w:val="18"/>
                <w:szCs w:val="18"/>
              </w:rPr>
            </w:pPr>
            <w:r w:rsidRPr="006D7653">
              <w:rPr>
                <w:rFonts w:cs="Times New Roman"/>
                <w:b/>
                <w:bCs/>
                <w:sz w:val="18"/>
                <w:szCs w:val="18"/>
              </w:rPr>
              <w:t>Nr.p. k.</w:t>
            </w:r>
          </w:p>
        </w:tc>
        <w:tc>
          <w:tcPr>
            <w:tcW w:w="2090" w:type="pct"/>
            <w:shd w:val="clear" w:color="auto" w:fill="F2F2F2" w:themeFill="background1" w:themeFillShade="F2"/>
            <w:tcMar>
              <w:top w:w="72" w:type="dxa"/>
              <w:left w:w="144" w:type="dxa"/>
              <w:bottom w:w="72" w:type="dxa"/>
              <w:right w:w="144" w:type="dxa"/>
            </w:tcMar>
            <w:vAlign w:val="center"/>
            <w:hideMark/>
          </w:tcPr>
          <w:p w14:paraId="5E58B2FD" w14:textId="77777777" w:rsidR="00331D62" w:rsidRPr="006D7653" w:rsidRDefault="00331D62" w:rsidP="007E1C0A">
            <w:pPr>
              <w:spacing w:before="0" w:after="0"/>
              <w:ind w:firstLine="0"/>
              <w:contextualSpacing/>
              <w:jc w:val="center"/>
              <w:rPr>
                <w:rFonts w:cs="Times New Roman"/>
                <w:sz w:val="18"/>
                <w:szCs w:val="18"/>
              </w:rPr>
            </w:pPr>
            <w:r w:rsidRPr="006D7653">
              <w:rPr>
                <w:rFonts w:cs="Times New Roman"/>
                <w:b/>
                <w:bCs/>
                <w:sz w:val="18"/>
                <w:szCs w:val="18"/>
              </w:rPr>
              <w:t>Nodoklis</w:t>
            </w:r>
          </w:p>
        </w:tc>
        <w:tc>
          <w:tcPr>
            <w:tcW w:w="1494" w:type="pct"/>
            <w:shd w:val="clear" w:color="auto" w:fill="F2F2F2" w:themeFill="background1" w:themeFillShade="F2"/>
            <w:tcMar>
              <w:top w:w="72" w:type="dxa"/>
              <w:left w:w="144" w:type="dxa"/>
              <w:bottom w:w="72" w:type="dxa"/>
              <w:right w:w="144" w:type="dxa"/>
            </w:tcMar>
            <w:vAlign w:val="center"/>
            <w:hideMark/>
          </w:tcPr>
          <w:p w14:paraId="0BD77A0A" w14:textId="77777777" w:rsidR="00331D62" w:rsidRPr="006D7653" w:rsidRDefault="00331D62" w:rsidP="007E1C0A">
            <w:pPr>
              <w:spacing w:before="0" w:after="0"/>
              <w:ind w:firstLine="0"/>
              <w:contextualSpacing/>
              <w:jc w:val="center"/>
              <w:rPr>
                <w:rFonts w:cs="Times New Roman"/>
                <w:sz w:val="18"/>
                <w:szCs w:val="18"/>
              </w:rPr>
            </w:pPr>
            <w:r w:rsidRPr="006D7653">
              <w:rPr>
                <w:rFonts w:cs="Times New Roman"/>
                <w:b/>
                <w:bCs/>
                <w:sz w:val="18"/>
                <w:szCs w:val="18"/>
              </w:rPr>
              <w:t>Vispārējās nodokļu likmes</w:t>
            </w:r>
          </w:p>
        </w:tc>
        <w:tc>
          <w:tcPr>
            <w:tcW w:w="1045" w:type="pct"/>
            <w:shd w:val="clear" w:color="auto" w:fill="F2F2F2" w:themeFill="background1" w:themeFillShade="F2"/>
          </w:tcPr>
          <w:p w14:paraId="64719B36" w14:textId="77777777" w:rsidR="00331D62" w:rsidRPr="006D7653" w:rsidRDefault="00331D62" w:rsidP="007E1C0A">
            <w:pPr>
              <w:spacing w:before="0" w:after="0"/>
              <w:ind w:firstLine="0"/>
              <w:contextualSpacing/>
              <w:jc w:val="center"/>
              <w:rPr>
                <w:rFonts w:cs="Times New Roman"/>
                <w:b/>
                <w:bCs/>
                <w:sz w:val="18"/>
                <w:szCs w:val="18"/>
              </w:rPr>
            </w:pPr>
            <w:r w:rsidRPr="006D7653">
              <w:rPr>
                <w:rFonts w:cs="Times New Roman"/>
                <w:b/>
                <w:bCs/>
                <w:sz w:val="18"/>
                <w:szCs w:val="18"/>
              </w:rPr>
              <w:t xml:space="preserve">Nodokļu ieņēmumu īpatsvars 2023. gadā (prognoze*), </w:t>
            </w:r>
          </w:p>
          <w:p w14:paraId="755C4EB1" w14:textId="77777777" w:rsidR="00331D62" w:rsidRPr="006D7653" w:rsidRDefault="00331D62" w:rsidP="007E1C0A">
            <w:pPr>
              <w:spacing w:before="0" w:after="0"/>
              <w:ind w:firstLine="0"/>
              <w:contextualSpacing/>
              <w:jc w:val="center"/>
              <w:rPr>
                <w:rFonts w:cs="Times New Roman"/>
                <w:b/>
                <w:bCs/>
                <w:sz w:val="18"/>
                <w:szCs w:val="18"/>
              </w:rPr>
            </w:pPr>
            <w:r w:rsidRPr="006D7653">
              <w:rPr>
                <w:rFonts w:cs="Times New Roman"/>
                <w:b/>
                <w:bCs/>
                <w:sz w:val="18"/>
                <w:szCs w:val="18"/>
              </w:rPr>
              <w:t>% no kopbudžeta nodokļu ieņēmumiem</w:t>
            </w:r>
          </w:p>
        </w:tc>
      </w:tr>
      <w:tr w:rsidR="00331D62" w:rsidRPr="006D7653" w14:paraId="42686C7C" w14:textId="77777777" w:rsidTr="00331D62">
        <w:trPr>
          <w:trHeight w:val="201"/>
          <w:jc w:val="center"/>
        </w:trPr>
        <w:tc>
          <w:tcPr>
            <w:tcW w:w="5000" w:type="pct"/>
            <w:gridSpan w:val="4"/>
            <w:shd w:val="clear" w:color="auto" w:fill="FFFFFF" w:themeFill="background1"/>
            <w:tcMar>
              <w:top w:w="72" w:type="dxa"/>
              <w:left w:w="144" w:type="dxa"/>
              <w:bottom w:w="72" w:type="dxa"/>
              <w:right w:w="144" w:type="dxa"/>
            </w:tcMar>
            <w:vAlign w:val="center"/>
            <w:hideMark/>
          </w:tcPr>
          <w:p w14:paraId="4F6720F6" w14:textId="77777777" w:rsidR="00331D62" w:rsidRPr="006D7653" w:rsidRDefault="00331D62" w:rsidP="007E1C0A">
            <w:pPr>
              <w:spacing w:before="0" w:after="0"/>
              <w:ind w:firstLine="1701"/>
              <w:contextualSpacing/>
              <w:jc w:val="left"/>
              <w:rPr>
                <w:rFonts w:cs="Times New Roman"/>
                <w:sz w:val="18"/>
                <w:szCs w:val="18"/>
              </w:rPr>
            </w:pPr>
            <w:r w:rsidRPr="006D7653">
              <w:rPr>
                <w:rFonts w:cs="Times New Roman"/>
                <w:b/>
                <w:bCs/>
                <w:sz w:val="20"/>
                <w:szCs w:val="20"/>
              </w:rPr>
              <w:t>Tiešie nodokļi</w:t>
            </w:r>
          </w:p>
        </w:tc>
      </w:tr>
      <w:tr w:rsidR="00331D62" w:rsidRPr="006D7653" w14:paraId="046CC84B" w14:textId="77777777" w:rsidTr="005F6FA5">
        <w:trPr>
          <w:trHeight w:val="22"/>
          <w:jc w:val="center"/>
        </w:trPr>
        <w:tc>
          <w:tcPr>
            <w:tcW w:w="371" w:type="pct"/>
            <w:shd w:val="clear" w:color="auto" w:fill="FFFFFF"/>
            <w:tcMar>
              <w:top w:w="72" w:type="dxa"/>
              <w:left w:w="144" w:type="dxa"/>
              <w:bottom w:w="72" w:type="dxa"/>
              <w:right w:w="144" w:type="dxa"/>
            </w:tcMar>
            <w:vAlign w:val="center"/>
            <w:hideMark/>
          </w:tcPr>
          <w:p w14:paraId="3B16B933" w14:textId="77777777" w:rsidR="00331D62" w:rsidRPr="006D7653" w:rsidRDefault="00331D62" w:rsidP="007E1C0A">
            <w:pPr>
              <w:spacing w:before="0" w:after="0"/>
              <w:ind w:firstLine="0"/>
              <w:contextualSpacing/>
              <w:rPr>
                <w:rFonts w:cs="Times New Roman"/>
                <w:sz w:val="18"/>
                <w:szCs w:val="18"/>
              </w:rPr>
            </w:pPr>
            <w:r w:rsidRPr="006D7653">
              <w:rPr>
                <w:rFonts w:cs="Times New Roman"/>
                <w:sz w:val="18"/>
                <w:szCs w:val="18"/>
              </w:rPr>
              <w:t>1.</w:t>
            </w:r>
          </w:p>
        </w:tc>
        <w:tc>
          <w:tcPr>
            <w:tcW w:w="2090" w:type="pct"/>
            <w:shd w:val="clear" w:color="auto" w:fill="FFFFFF"/>
            <w:tcMar>
              <w:top w:w="72" w:type="dxa"/>
              <w:left w:w="144" w:type="dxa"/>
              <w:bottom w:w="72" w:type="dxa"/>
              <w:right w:w="144" w:type="dxa"/>
            </w:tcMar>
            <w:vAlign w:val="center"/>
            <w:hideMark/>
          </w:tcPr>
          <w:p w14:paraId="71CB9F6F" w14:textId="77777777" w:rsidR="00331D62" w:rsidRPr="006D7653" w:rsidRDefault="00331D62" w:rsidP="007E1C0A">
            <w:pPr>
              <w:spacing w:before="0" w:after="0"/>
              <w:ind w:firstLine="0"/>
              <w:contextualSpacing/>
              <w:rPr>
                <w:rFonts w:cs="Times New Roman"/>
                <w:sz w:val="20"/>
                <w:szCs w:val="20"/>
              </w:rPr>
            </w:pPr>
            <w:r w:rsidRPr="006D7653">
              <w:rPr>
                <w:rFonts w:cs="Times New Roman"/>
                <w:sz w:val="20"/>
                <w:szCs w:val="20"/>
              </w:rPr>
              <w:t xml:space="preserve">Valsts sociālās apdrošināšanas obligātās iemaksas </w:t>
            </w:r>
            <w:r w:rsidRPr="006D7653">
              <w:rPr>
                <w:rFonts w:cs="Times New Roman"/>
                <w:i/>
                <w:iCs/>
                <w:sz w:val="16"/>
                <w:szCs w:val="16"/>
              </w:rPr>
              <w:t>(t.sk. iemaksas valsts fondēto pensiju shēmā)</w:t>
            </w:r>
          </w:p>
        </w:tc>
        <w:tc>
          <w:tcPr>
            <w:tcW w:w="1494" w:type="pct"/>
            <w:shd w:val="clear" w:color="auto" w:fill="FFFFFF"/>
            <w:tcMar>
              <w:top w:w="72" w:type="dxa"/>
              <w:left w:w="144" w:type="dxa"/>
              <w:bottom w:w="72" w:type="dxa"/>
              <w:right w:w="144" w:type="dxa"/>
            </w:tcMar>
            <w:vAlign w:val="center"/>
            <w:hideMark/>
          </w:tcPr>
          <w:p w14:paraId="2BB05139" w14:textId="77777777" w:rsidR="00331D62" w:rsidRPr="006D7653" w:rsidRDefault="00331D62" w:rsidP="007E1C0A">
            <w:pPr>
              <w:spacing w:before="0" w:after="0"/>
              <w:ind w:firstLine="0"/>
              <w:contextualSpacing/>
              <w:jc w:val="center"/>
              <w:rPr>
                <w:rFonts w:cs="Times New Roman"/>
                <w:b/>
                <w:bCs/>
                <w:sz w:val="20"/>
                <w:szCs w:val="20"/>
              </w:rPr>
            </w:pPr>
            <w:r w:rsidRPr="006D7653">
              <w:rPr>
                <w:rFonts w:cs="Times New Roman"/>
                <w:b/>
                <w:bCs/>
                <w:sz w:val="20"/>
                <w:szCs w:val="20"/>
              </w:rPr>
              <w:t>34,09%</w:t>
            </w:r>
          </w:p>
          <w:p w14:paraId="2628C0C4" w14:textId="77777777" w:rsidR="00331D62" w:rsidRPr="006D7653" w:rsidRDefault="00331D62" w:rsidP="007E1C0A">
            <w:pPr>
              <w:spacing w:before="0" w:after="0"/>
              <w:ind w:firstLine="0"/>
              <w:contextualSpacing/>
              <w:jc w:val="center"/>
              <w:rPr>
                <w:rFonts w:cs="Times New Roman"/>
                <w:sz w:val="20"/>
                <w:szCs w:val="20"/>
              </w:rPr>
            </w:pPr>
            <w:r w:rsidRPr="006D7653">
              <w:rPr>
                <w:rFonts w:cs="Times New Roman"/>
                <w:sz w:val="20"/>
                <w:szCs w:val="20"/>
              </w:rPr>
              <w:t>(DD 23,59%; DŅ 10,5%)</w:t>
            </w:r>
          </w:p>
        </w:tc>
        <w:tc>
          <w:tcPr>
            <w:tcW w:w="1045" w:type="pct"/>
            <w:shd w:val="clear" w:color="auto" w:fill="FFFFFF"/>
            <w:vAlign w:val="center"/>
          </w:tcPr>
          <w:p w14:paraId="0477D681" w14:textId="77777777" w:rsidR="00331D62" w:rsidRPr="006D7653" w:rsidRDefault="00331D62" w:rsidP="007E1C0A">
            <w:pPr>
              <w:spacing w:before="0" w:after="0"/>
              <w:ind w:firstLine="0"/>
              <w:contextualSpacing/>
              <w:jc w:val="center"/>
              <w:rPr>
                <w:rFonts w:cs="Times New Roman"/>
                <w:b/>
                <w:bCs/>
                <w:sz w:val="20"/>
                <w:szCs w:val="20"/>
              </w:rPr>
            </w:pPr>
            <w:r w:rsidRPr="006D7653">
              <w:rPr>
                <w:rFonts w:eastAsia="Verdana" w:cs="Times New Roman"/>
                <w:kern w:val="24"/>
                <w:sz w:val="20"/>
                <w:szCs w:val="20"/>
              </w:rPr>
              <w:t xml:space="preserve">36,1% </w:t>
            </w:r>
          </w:p>
        </w:tc>
      </w:tr>
      <w:tr w:rsidR="00331D62" w:rsidRPr="006D7653" w14:paraId="184202DC" w14:textId="77777777" w:rsidTr="005F6FA5">
        <w:trPr>
          <w:jc w:val="center"/>
        </w:trPr>
        <w:tc>
          <w:tcPr>
            <w:tcW w:w="371" w:type="pct"/>
            <w:shd w:val="clear" w:color="auto" w:fill="FFFFFF"/>
            <w:tcMar>
              <w:top w:w="72" w:type="dxa"/>
              <w:left w:w="144" w:type="dxa"/>
              <w:bottom w:w="72" w:type="dxa"/>
              <w:right w:w="144" w:type="dxa"/>
            </w:tcMar>
            <w:vAlign w:val="center"/>
            <w:hideMark/>
          </w:tcPr>
          <w:p w14:paraId="5C4C85EA" w14:textId="77777777" w:rsidR="00331D62" w:rsidRPr="006D7653" w:rsidRDefault="00331D62" w:rsidP="007E1C0A">
            <w:pPr>
              <w:spacing w:before="0" w:after="0"/>
              <w:ind w:firstLine="0"/>
              <w:contextualSpacing/>
              <w:rPr>
                <w:rFonts w:cs="Times New Roman"/>
                <w:sz w:val="18"/>
                <w:szCs w:val="18"/>
              </w:rPr>
            </w:pPr>
            <w:r w:rsidRPr="006D7653">
              <w:rPr>
                <w:rFonts w:cs="Times New Roman"/>
                <w:sz w:val="18"/>
                <w:szCs w:val="18"/>
              </w:rPr>
              <w:t>2.</w:t>
            </w:r>
          </w:p>
        </w:tc>
        <w:tc>
          <w:tcPr>
            <w:tcW w:w="2090" w:type="pct"/>
            <w:shd w:val="clear" w:color="auto" w:fill="FFFFFF"/>
            <w:tcMar>
              <w:top w:w="72" w:type="dxa"/>
              <w:left w:w="144" w:type="dxa"/>
              <w:bottom w:w="72" w:type="dxa"/>
              <w:right w:w="144" w:type="dxa"/>
            </w:tcMar>
            <w:vAlign w:val="center"/>
            <w:hideMark/>
          </w:tcPr>
          <w:p w14:paraId="7EBA4356" w14:textId="77777777" w:rsidR="00331D62" w:rsidRPr="006D7653" w:rsidRDefault="00331D62" w:rsidP="007E1C0A">
            <w:pPr>
              <w:spacing w:before="0" w:after="0"/>
              <w:ind w:firstLine="0"/>
              <w:contextualSpacing/>
              <w:rPr>
                <w:rFonts w:cs="Times New Roman"/>
                <w:sz w:val="20"/>
                <w:szCs w:val="20"/>
              </w:rPr>
            </w:pPr>
            <w:r w:rsidRPr="006D7653">
              <w:rPr>
                <w:rFonts w:cs="Times New Roman"/>
                <w:sz w:val="20"/>
                <w:szCs w:val="20"/>
              </w:rPr>
              <w:t>Iedzīvotāju ienākuma nodoklis</w:t>
            </w:r>
          </w:p>
        </w:tc>
        <w:tc>
          <w:tcPr>
            <w:tcW w:w="1494" w:type="pct"/>
            <w:shd w:val="clear" w:color="auto" w:fill="FFFFFF"/>
            <w:tcMar>
              <w:top w:w="72" w:type="dxa"/>
              <w:left w:w="144" w:type="dxa"/>
              <w:bottom w:w="72" w:type="dxa"/>
              <w:right w:w="144" w:type="dxa"/>
            </w:tcMar>
            <w:vAlign w:val="center"/>
            <w:hideMark/>
          </w:tcPr>
          <w:p w14:paraId="4AB63892" w14:textId="77777777" w:rsidR="00331D62" w:rsidRPr="006D7653" w:rsidRDefault="00331D62" w:rsidP="007E1C0A">
            <w:pPr>
              <w:spacing w:before="0" w:after="0"/>
              <w:ind w:firstLine="0"/>
              <w:contextualSpacing/>
              <w:jc w:val="center"/>
              <w:rPr>
                <w:rFonts w:cs="Times New Roman"/>
                <w:b/>
                <w:bCs/>
                <w:sz w:val="20"/>
                <w:szCs w:val="20"/>
              </w:rPr>
            </w:pPr>
            <w:r w:rsidRPr="006D7653">
              <w:rPr>
                <w:rFonts w:cs="Times New Roman"/>
                <w:b/>
                <w:bCs/>
                <w:sz w:val="20"/>
                <w:szCs w:val="20"/>
              </w:rPr>
              <w:t>20% / 23% / 31%</w:t>
            </w:r>
          </w:p>
        </w:tc>
        <w:tc>
          <w:tcPr>
            <w:tcW w:w="1045" w:type="pct"/>
            <w:shd w:val="clear" w:color="auto" w:fill="FFFFFF"/>
            <w:vAlign w:val="center"/>
          </w:tcPr>
          <w:p w14:paraId="4BA51C78" w14:textId="77777777" w:rsidR="00331D62" w:rsidRPr="006D7653" w:rsidRDefault="00331D62" w:rsidP="007E1C0A">
            <w:pPr>
              <w:spacing w:before="0" w:after="0"/>
              <w:ind w:firstLine="0"/>
              <w:contextualSpacing/>
              <w:jc w:val="center"/>
              <w:rPr>
                <w:rFonts w:cs="Times New Roman"/>
                <w:b/>
                <w:bCs/>
                <w:sz w:val="20"/>
                <w:szCs w:val="20"/>
              </w:rPr>
            </w:pPr>
            <w:r w:rsidRPr="006D7653">
              <w:rPr>
                <w:rFonts w:eastAsia="Verdana" w:cs="Times New Roman"/>
                <w:kern w:val="24"/>
                <w:sz w:val="20"/>
                <w:szCs w:val="20"/>
              </w:rPr>
              <w:t>18,0%</w:t>
            </w:r>
          </w:p>
        </w:tc>
      </w:tr>
      <w:tr w:rsidR="00331D62" w:rsidRPr="006D7653" w14:paraId="538DC3FD" w14:textId="77777777" w:rsidTr="005F6FA5">
        <w:trPr>
          <w:jc w:val="center"/>
        </w:trPr>
        <w:tc>
          <w:tcPr>
            <w:tcW w:w="371" w:type="pct"/>
            <w:shd w:val="clear" w:color="auto" w:fill="FFFFFF"/>
            <w:tcMar>
              <w:top w:w="72" w:type="dxa"/>
              <w:left w:w="144" w:type="dxa"/>
              <w:bottom w:w="72" w:type="dxa"/>
              <w:right w:w="144" w:type="dxa"/>
            </w:tcMar>
            <w:vAlign w:val="center"/>
            <w:hideMark/>
          </w:tcPr>
          <w:p w14:paraId="37746E8A" w14:textId="77777777" w:rsidR="00331D62" w:rsidRPr="006D7653" w:rsidRDefault="00331D62" w:rsidP="007E1C0A">
            <w:pPr>
              <w:spacing w:before="0" w:after="0"/>
              <w:ind w:firstLine="0"/>
              <w:contextualSpacing/>
              <w:rPr>
                <w:rFonts w:cs="Times New Roman"/>
                <w:sz w:val="18"/>
                <w:szCs w:val="18"/>
              </w:rPr>
            </w:pPr>
            <w:r w:rsidRPr="006D7653">
              <w:rPr>
                <w:rFonts w:cs="Times New Roman"/>
                <w:sz w:val="18"/>
                <w:szCs w:val="18"/>
              </w:rPr>
              <w:t>3.</w:t>
            </w:r>
          </w:p>
        </w:tc>
        <w:tc>
          <w:tcPr>
            <w:tcW w:w="2090" w:type="pct"/>
            <w:shd w:val="clear" w:color="auto" w:fill="FFFFFF"/>
            <w:tcMar>
              <w:top w:w="72" w:type="dxa"/>
              <w:left w:w="144" w:type="dxa"/>
              <w:bottom w:w="72" w:type="dxa"/>
              <w:right w:w="144" w:type="dxa"/>
            </w:tcMar>
            <w:vAlign w:val="center"/>
            <w:hideMark/>
          </w:tcPr>
          <w:p w14:paraId="08C17BF4" w14:textId="77777777" w:rsidR="00331D62" w:rsidRPr="006D7653" w:rsidRDefault="00331D62" w:rsidP="007E1C0A">
            <w:pPr>
              <w:spacing w:before="0" w:after="0"/>
              <w:ind w:firstLine="0"/>
              <w:contextualSpacing/>
              <w:rPr>
                <w:rFonts w:cs="Times New Roman"/>
                <w:sz w:val="20"/>
                <w:szCs w:val="20"/>
              </w:rPr>
            </w:pPr>
            <w:r w:rsidRPr="006D7653">
              <w:rPr>
                <w:rFonts w:cs="Times New Roman"/>
                <w:sz w:val="20"/>
                <w:szCs w:val="20"/>
              </w:rPr>
              <w:t>Uzņēmumu ienākuma nodoklis</w:t>
            </w:r>
          </w:p>
        </w:tc>
        <w:tc>
          <w:tcPr>
            <w:tcW w:w="1494" w:type="pct"/>
            <w:shd w:val="clear" w:color="auto" w:fill="FFFFFF"/>
            <w:tcMar>
              <w:top w:w="72" w:type="dxa"/>
              <w:left w:w="144" w:type="dxa"/>
              <w:bottom w:w="72" w:type="dxa"/>
              <w:right w:w="144" w:type="dxa"/>
            </w:tcMar>
            <w:vAlign w:val="center"/>
            <w:hideMark/>
          </w:tcPr>
          <w:p w14:paraId="01BCEEA0" w14:textId="77777777" w:rsidR="00331D62" w:rsidRPr="006D7653" w:rsidRDefault="00331D62" w:rsidP="007E1C0A">
            <w:pPr>
              <w:spacing w:before="0" w:after="0"/>
              <w:ind w:firstLine="0"/>
              <w:contextualSpacing/>
              <w:jc w:val="center"/>
              <w:rPr>
                <w:rFonts w:cs="Times New Roman"/>
                <w:sz w:val="20"/>
                <w:szCs w:val="20"/>
              </w:rPr>
            </w:pPr>
            <w:r w:rsidRPr="006D7653">
              <w:rPr>
                <w:rFonts w:cs="Times New Roman"/>
                <w:b/>
                <w:bCs/>
                <w:sz w:val="20"/>
                <w:szCs w:val="20"/>
              </w:rPr>
              <w:t>20%</w:t>
            </w:r>
            <w:r w:rsidRPr="006D7653">
              <w:rPr>
                <w:rFonts w:cs="Times New Roman"/>
                <w:sz w:val="20"/>
                <w:szCs w:val="20"/>
              </w:rPr>
              <w:t xml:space="preserve"> (20/80)</w:t>
            </w:r>
          </w:p>
        </w:tc>
        <w:tc>
          <w:tcPr>
            <w:tcW w:w="1045" w:type="pct"/>
            <w:shd w:val="clear" w:color="auto" w:fill="FFFFFF"/>
            <w:vAlign w:val="center"/>
          </w:tcPr>
          <w:p w14:paraId="481B1F54" w14:textId="77777777" w:rsidR="00331D62" w:rsidRPr="006D7653" w:rsidRDefault="00331D62" w:rsidP="007E1C0A">
            <w:pPr>
              <w:spacing w:before="0" w:after="0"/>
              <w:ind w:firstLine="0"/>
              <w:contextualSpacing/>
              <w:jc w:val="center"/>
              <w:rPr>
                <w:rFonts w:cs="Times New Roman"/>
                <w:b/>
                <w:bCs/>
                <w:sz w:val="20"/>
                <w:szCs w:val="20"/>
              </w:rPr>
            </w:pPr>
            <w:r w:rsidRPr="006D7653">
              <w:rPr>
                <w:rFonts w:eastAsia="Verdana" w:cs="Times New Roman"/>
                <w:kern w:val="24"/>
                <w:sz w:val="20"/>
                <w:szCs w:val="20"/>
              </w:rPr>
              <w:t>3,7%</w:t>
            </w:r>
          </w:p>
        </w:tc>
      </w:tr>
      <w:tr w:rsidR="00331D62" w:rsidRPr="006D7653" w14:paraId="1F60A3F9" w14:textId="77777777" w:rsidTr="005F6FA5">
        <w:trPr>
          <w:trHeight w:val="280"/>
          <w:jc w:val="center"/>
        </w:trPr>
        <w:tc>
          <w:tcPr>
            <w:tcW w:w="371" w:type="pct"/>
            <w:shd w:val="clear" w:color="auto" w:fill="FFFFFF"/>
            <w:tcMar>
              <w:top w:w="72" w:type="dxa"/>
              <w:left w:w="144" w:type="dxa"/>
              <w:bottom w:w="72" w:type="dxa"/>
              <w:right w:w="144" w:type="dxa"/>
            </w:tcMar>
            <w:vAlign w:val="center"/>
            <w:hideMark/>
          </w:tcPr>
          <w:p w14:paraId="00A4B607" w14:textId="77777777" w:rsidR="00331D62" w:rsidRPr="006D7653" w:rsidRDefault="00331D62" w:rsidP="007E1C0A">
            <w:pPr>
              <w:spacing w:before="0" w:after="0"/>
              <w:ind w:firstLine="0"/>
              <w:contextualSpacing/>
              <w:rPr>
                <w:rFonts w:cs="Times New Roman"/>
                <w:sz w:val="18"/>
                <w:szCs w:val="18"/>
              </w:rPr>
            </w:pPr>
            <w:r w:rsidRPr="006D7653">
              <w:rPr>
                <w:rFonts w:cs="Times New Roman"/>
                <w:sz w:val="18"/>
                <w:szCs w:val="18"/>
              </w:rPr>
              <w:t>4.</w:t>
            </w:r>
          </w:p>
        </w:tc>
        <w:tc>
          <w:tcPr>
            <w:tcW w:w="2090" w:type="pct"/>
            <w:shd w:val="clear" w:color="auto" w:fill="FFFFFF"/>
            <w:tcMar>
              <w:top w:w="72" w:type="dxa"/>
              <w:left w:w="144" w:type="dxa"/>
              <w:bottom w:w="72" w:type="dxa"/>
              <w:right w:w="144" w:type="dxa"/>
            </w:tcMar>
            <w:vAlign w:val="center"/>
            <w:hideMark/>
          </w:tcPr>
          <w:p w14:paraId="49E7DA59" w14:textId="77777777" w:rsidR="00331D62" w:rsidRPr="006D7653" w:rsidRDefault="00331D62" w:rsidP="007E1C0A">
            <w:pPr>
              <w:spacing w:before="0" w:after="0"/>
              <w:ind w:firstLine="0"/>
              <w:contextualSpacing/>
              <w:rPr>
                <w:rFonts w:cs="Times New Roman"/>
                <w:sz w:val="20"/>
                <w:szCs w:val="20"/>
              </w:rPr>
            </w:pPr>
            <w:r w:rsidRPr="006D7653">
              <w:rPr>
                <w:rFonts w:cs="Times New Roman"/>
                <w:sz w:val="20"/>
                <w:szCs w:val="20"/>
              </w:rPr>
              <w:t>Nekustamā īpašuma nodoklis</w:t>
            </w:r>
          </w:p>
        </w:tc>
        <w:tc>
          <w:tcPr>
            <w:tcW w:w="1494" w:type="pct"/>
            <w:shd w:val="clear" w:color="auto" w:fill="FFFFFF"/>
            <w:tcMar>
              <w:top w:w="72" w:type="dxa"/>
              <w:left w:w="144" w:type="dxa"/>
              <w:bottom w:w="72" w:type="dxa"/>
              <w:right w:w="144" w:type="dxa"/>
            </w:tcMar>
            <w:vAlign w:val="center"/>
            <w:hideMark/>
          </w:tcPr>
          <w:p w14:paraId="5EB05DD3" w14:textId="77777777" w:rsidR="00331D62" w:rsidRPr="006D7653" w:rsidRDefault="00331D62" w:rsidP="007E1C0A">
            <w:pPr>
              <w:spacing w:before="0" w:after="0"/>
              <w:ind w:firstLine="0"/>
              <w:contextualSpacing/>
              <w:jc w:val="center"/>
              <w:rPr>
                <w:rFonts w:cs="Times New Roman"/>
                <w:b/>
                <w:bCs/>
                <w:sz w:val="20"/>
                <w:szCs w:val="20"/>
              </w:rPr>
            </w:pPr>
            <w:r w:rsidRPr="006D7653">
              <w:rPr>
                <w:rFonts w:cs="Times New Roman"/>
                <w:b/>
                <w:bCs/>
                <w:sz w:val="20"/>
                <w:szCs w:val="20"/>
              </w:rPr>
              <w:t>1,5%</w:t>
            </w:r>
          </w:p>
          <w:p w14:paraId="2F0C569F" w14:textId="77777777" w:rsidR="00331D62" w:rsidRPr="006D7653" w:rsidRDefault="00331D62" w:rsidP="007E1C0A">
            <w:pPr>
              <w:spacing w:before="0" w:after="0"/>
              <w:ind w:firstLine="0"/>
              <w:contextualSpacing/>
              <w:jc w:val="center"/>
              <w:rPr>
                <w:rFonts w:cs="Times New Roman"/>
                <w:sz w:val="20"/>
                <w:szCs w:val="20"/>
              </w:rPr>
            </w:pPr>
            <w:r w:rsidRPr="006D7653">
              <w:rPr>
                <w:rFonts w:cs="Times New Roman"/>
                <w:sz w:val="20"/>
                <w:szCs w:val="20"/>
              </w:rPr>
              <w:t>(mājokļiem 0,2%/0,4%/0,6%)</w:t>
            </w:r>
          </w:p>
        </w:tc>
        <w:tc>
          <w:tcPr>
            <w:tcW w:w="1045" w:type="pct"/>
            <w:shd w:val="clear" w:color="auto" w:fill="FFFFFF"/>
            <w:vAlign w:val="center"/>
          </w:tcPr>
          <w:p w14:paraId="0763EBFB" w14:textId="77777777" w:rsidR="00331D62" w:rsidRPr="006D7653" w:rsidRDefault="00331D62" w:rsidP="007E1C0A">
            <w:pPr>
              <w:spacing w:before="0" w:after="0"/>
              <w:ind w:firstLine="0"/>
              <w:contextualSpacing/>
              <w:jc w:val="center"/>
              <w:rPr>
                <w:rFonts w:cs="Times New Roman"/>
                <w:b/>
                <w:bCs/>
                <w:sz w:val="20"/>
                <w:szCs w:val="20"/>
              </w:rPr>
            </w:pPr>
            <w:r w:rsidRPr="006D7653">
              <w:rPr>
                <w:rFonts w:eastAsia="Verdana" w:cs="Times New Roman"/>
                <w:kern w:val="24"/>
                <w:sz w:val="20"/>
                <w:szCs w:val="20"/>
              </w:rPr>
              <w:t>1,8%</w:t>
            </w:r>
          </w:p>
        </w:tc>
      </w:tr>
      <w:tr w:rsidR="00331D62" w:rsidRPr="006D7653" w14:paraId="1A6BEB0F" w14:textId="77777777" w:rsidTr="005F6FA5">
        <w:trPr>
          <w:trHeight w:val="22"/>
          <w:jc w:val="center"/>
        </w:trPr>
        <w:tc>
          <w:tcPr>
            <w:tcW w:w="371" w:type="pct"/>
            <w:shd w:val="clear" w:color="auto" w:fill="FFFFFF"/>
            <w:tcMar>
              <w:top w:w="72" w:type="dxa"/>
              <w:left w:w="144" w:type="dxa"/>
              <w:bottom w:w="72" w:type="dxa"/>
              <w:right w:w="144" w:type="dxa"/>
            </w:tcMar>
            <w:vAlign w:val="center"/>
            <w:hideMark/>
          </w:tcPr>
          <w:p w14:paraId="597F4C3D" w14:textId="77777777" w:rsidR="00331D62" w:rsidRPr="006D7653" w:rsidRDefault="00331D62" w:rsidP="007E1C0A">
            <w:pPr>
              <w:spacing w:before="0" w:after="0"/>
              <w:ind w:firstLine="0"/>
              <w:contextualSpacing/>
              <w:rPr>
                <w:rFonts w:cs="Times New Roman"/>
                <w:sz w:val="18"/>
                <w:szCs w:val="18"/>
              </w:rPr>
            </w:pPr>
            <w:r w:rsidRPr="006D7653">
              <w:rPr>
                <w:rFonts w:cs="Times New Roman"/>
                <w:sz w:val="18"/>
                <w:szCs w:val="18"/>
              </w:rPr>
              <w:t>5.</w:t>
            </w:r>
          </w:p>
        </w:tc>
        <w:tc>
          <w:tcPr>
            <w:tcW w:w="2090" w:type="pct"/>
            <w:shd w:val="clear" w:color="auto" w:fill="FFFFFF"/>
            <w:tcMar>
              <w:top w:w="72" w:type="dxa"/>
              <w:left w:w="144" w:type="dxa"/>
              <w:bottom w:w="72" w:type="dxa"/>
              <w:right w:w="144" w:type="dxa"/>
            </w:tcMar>
            <w:vAlign w:val="center"/>
            <w:hideMark/>
          </w:tcPr>
          <w:p w14:paraId="039CB6A0" w14:textId="77777777" w:rsidR="00331D62" w:rsidRPr="006D7653" w:rsidRDefault="00331D62" w:rsidP="007E1C0A">
            <w:pPr>
              <w:spacing w:before="0" w:after="0"/>
              <w:ind w:firstLine="0"/>
              <w:contextualSpacing/>
              <w:rPr>
                <w:rFonts w:cs="Times New Roman"/>
                <w:sz w:val="20"/>
                <w:szCs w:val="20"/>
              </w:rPr>
            </w:pPr>
            <w:r w:rsidRPr="006D7653">
              <w:rPr>
                <w:rFonts w:cs="Times New Roman"/>
                <w:sz w:val="20"/>
                <w:szCs w:val="20"/>
              </w:rPr>
              <w:t>Mikrouzņēmumu nodoklis</w:t>
            </w:r>
          </w:p>
        </w:tc>
        <w:tc>
          <w:tcPr>
            <w:tcW w:w="1494" w:type="pct"/>
            <w:shd w:val="clear" w:color="auto" w:fill="FFFFFF"/>
            <w:tcMar>
              <w:top w:w="72" w:type="dxa"/>
              <w:left w:w="144" w:type="dxa"/>
              <w:bottom w:w="72" w:type="dxa"/>
              <w:right w:w="144" w:type="dxa"/>
            </w:tcMar>
            <w:vAlign w:val="center"/>
            <w:hideMark/>
          </w:tcPr>
          <w:p w14:paraId="2E16D245" w14:textId="77777777" w:rsidR="00331D62" w:rsidRPr="006D7653" w:rsidRDefault="00331D62" w:rsidP="007E1C0A">
            <w:pPr>
              <w:spacing w:before="0" w:after="0"/>
              <w:ind w:firstLine="0"/>
              <w:contextualSpacing/>
              <w:jc w:val="center"/>
              <w:rPr>
                <w:rFonts w:cs="Times New Roman"/>
                <w:b/>
                <w:bCs/>
                <w:sz w:val="20"/>
                <w:szCs w:val="20"/>
              </w:rPr>
            </w:pPr>
            <w:r w:rsidRPr="006D7653">
              <w:rPr>
                <w:rFonts w:cs="Times New Roman"/>
                <w:b/>
                <w:bCs/>
                <w:sz w:val="20"/>
                <w:szCs w:val="20"/>
              </w:rPr>
              <w:t>25% / 40%</w:t>
            </w:r>
          </w:p>
        </w:tc>
        <w:tc>
          <w:tcPr>
            <w:tcW w:w="1045" w:type="pct"/>
            <w:shd w:val="clear" w:color="auto" w:fill="FFFFFF"/>
            <w:vAlign w:val="center"/>
          </w:tcPr>
          <w:p w14:paraId="3C8D791C" w14:textId="77777777" w:rsidR="00331D62" w:rsidRPr="006D7653" w:rsidRDefault="00331D62" w:rsidP="007E1C0A">
            <w:pPr>
              <w:spacing w:before="0" w:after="0"/>
              <w:ind w:firstLine="0"/>
              <w:contextualSpacing/>
              <w:jc w:val="center"/>
              <w:rPr>
                <w:rFonts w:cs="Times New Roman"/>
                <w:b/>
                <w:bCs/>
                <w:i/>
                <w:iCs/>
                <w:sz w:val="16"/>
                <w:szCs w:val="16"/>
              </w:rPr>
            </w:pPr>
            <w:r w:rsidRPr="006D7653">
              <w:rPr>
                <w:rFonts w:eastAsia="Verdana" w:cs="Times New Roman"/>
                <w:i/>
                <w:iCs/>
                <w:kern w:val="24"/>
                <w:sz w:val="16"/>
                <w:szCs w:val="16"/>
              </w:rPr>
              <w:t>0,18% (VSAOI, IIN)</w:t>
            </w:r>
          </w:p>
        </w:tc>
      </w:tr>
      <w:tr w:rsidR="00331D62" w:rsidRPr="006D7653" w14:paraId="3A196524" w14:textId="77777777" w:rsidTr="005F6FA5">
        <w:trPr>
          <w:jc w:val="center"/>
        </w:trPr>
        <w:tc>
          <w:tcPr>
            <w:tcW w:w="371" w:type="pct"/>
            <w:shd w:val="clear" w:color="auto" w:fill="FFFFFF"/>
            <w:tcMar>
              <w:top w:w="72" w:type="dxa"/>
              <w:left w:w="144" w:type="dxa"/>
              <w:bottom w:w="72" w:type="dxa"/>
              <w:right w:w="144" w:type="dxa"/>
            </w:tcMar>
            <w:vAlign w:val="center"/>
            <w:hideMark/>
          </w:tcPr>
          <w:p w14:paraId="392567A8" w14:textId="77777777" w:rsidR="00331D62" w:rsidRPr="006D7653" w:rsidRDefault="00331D62" w:rsidP="007E1C0A">
            <w:pPr>
              <w:spacing w:before="0" w:after="0"/>
              <w:ind w:firstLine="0"/>
              <w:contextualSpacing/>
              <w:rPr>
                <w:rFonts w:cs="Times New Roman"/>
                <w:sz w:val="18"/>
                <w:szCs w:val="18"/>
              </w:rPr>
            </w:pPr>
            <w:r w:rsidRPr="006D7653">
              <w:rPr>
                <w:rFonts w:cs="Times New Roman"/>
                <w:sz w:val="18"/>
                <w:szCs w:val="18"/>
              </w:rPr>
              <w:t>6.</w:t>
            </w:r>
          </w:p>
        </w:tc>
        <w:tc>
          <w:tcPr>
            <w:tcW w:w="2090" w:type="pct"/>
            <w:shd w:val="clear" w:color="auto" w:fill="FFFFFF"/>
            <w:tcMar>
              <w:top w:w="72" w:type="dxa"/>
              <w:left w:w="144" w:type="dxa"/>
              <w:bottom w:w="72" w:type="dxa"/>
              <w:right w:w="144" w:type="dxa"/>
            </w:tcMar>
            <w:vAlign w:val="center"/>
            <w:hideMark/>
          </w:tcPr>
          <w:p w14:paraId="6B065D43" w14:textId="77777777" w:rsidR="00331D62" w:rsidRPr="006D7653" w:rsidRDefault="00331D62" w:rsidP="007E1C0A">
            <w:pPr>
              <w:spacing w:before="0" w:after="0"/>
              <w:ind w:firstLine="0"/>
              <w:contextualSpacing/>
              <w:rPr>
                <w:rFonts w:cs="Times New Roman"/>
                <w:sz w:val="20"/>
                <w:szCs w:val="20"/>
              </w:rPr>
            </w:pPr>
            <w:r w:rsidRPr="006D7653">
              <w:rPr>
                <w:rFonts w:cs="Times New Roman"/>
                <w:sz w:val="20"/>
                <w:szCs w:val="20"/>
              </w:rPr>
              <w:t>Solidaritātes nodoklis</w:t>
            </w:r>
          </w:p>
        </w:tc>
        <w:tc>
          <w:tcPr>
            <w:tcW w:w="1494" w:type="pct"/>
            <w:shd w:val="clear" w:color="auto" w:fill="FFFFFF"/>
            <w:tcMar>
              <w:top w:w="72" w:type="dxa"/>
              <w:left w:w="144" w:type="dxa"/>
              <w:bottom w:w="72" w:type="dxa"/>
              <w:right w:w="144" w:type="dxa"/>
            </w:tcMar>
            <w:vAlign w:val="center"/>
            <w:hideMark/>
          </w:tcPr>
          <w:p w14:paraId="6E34CD3F" w14:textId="77777777" w:rsidR="00331D62" w:rsidRPr="006D7653" w:rsidRDefault="00331D62" w:rsidP="007E1C0A">
            <w:pPr>
              <w:spacing w:before="0" w:after="0"/>
              <w:ind w:firstLine="0"/>
              <w:contextualSpacing/>
              <w:jc w:val="center"/>
              <w:rPr>
                <w:rFonts w:cs="Times New Roman"/>
                <w:b/>
                <w:bCs/>
                <w:sz w:val="20"/>
                <w:szCs w:val="20"/>
              </w:rPr>
            </w:pPr>
            <w:r w:rsidRPr="006D7653">
              <w:rPr>
                <w:rFonts w:cs="Times New Roman"/>
                <w:b/>
                <w:bCs/>
                <w:sz w:val="20"/>
                <w:szCs w:val="20"/>
              </w:rPr>
              <w:t>25%</w:t>
            </w:r>
          </w:p>
        </w:tc>
        <w:tc>
          <w:tcPr>
            <w:tcW w:w="1045" w:type="pct"/>
            <w:shd w:val="clear" w:color="auto" w:fill="FFFFFF"/>
            <w:vAlign w:val="center"/>
          </w:tcPr>
          <w:p w14:paraId="7AB2D81A" w14:textId="77777777" w:rsidR="00331D62" w:rsidRPr="006D7653" w:rsidRDefault="00331D62" w:rsidP="007E1C0A">
            <w:pPr>
              <w:spacing w:before="0" w:after="0"/>
              <w:ind w:firstLine="0"/>
              <w:contextualSpacing/>
              <w:jc w:val="center"/>
              <w:rPr>
                <w:rFonts w:cs="Times New Roman"/>
                <w:b/>
                <w:bCs/>
                <w:i/>
                <w:iCs/>
                <w:sz w:val="16"/>
                <w:szCs w:val="16"/>
              </w:rPr>
            </w:pPr>
            <w:r w:rsidRPr="006D7653">
              <w:rPr>
                <w:rFonts w:eastAsia="Verdana" w:cs="Times New Roman"/>
                <w:i/>
                <w:iCs/>
                <w:kern w:val="24"/>
                <w:sz w:val="16"/>
                <w:szCs w:val="16"/>
              </w:rPr>
              <w:t>0,54% (VSAOI, IIN)</w:t>
            </w:r>
          </w:p>
        </w:tc>
      </w:tr>
      <w:tr w:rsidR="00331D62" w:rsidRPr="006D7653" w14:paraId="5E40DF25" w14:textId="77777777" w:rsidTr="00331D62">
        <w:trPr>
          <w:trHeight w:val="13"/>
          <w:jc w:val="center"/>
        </w:trPr>
        <w:tc>
          <w:tcPr>
            <w:tcW w:w="5000" w:type="pct"/>
            <w:gridSpan w:val="4"/>
            <w:shd w:val="clear" w:color="auto" w:fill="FFFFFF" w:themeFill="background1"/>
            <w:tcMar>
              <w:top w:w="72" w:type="dxa"/>
              <w:left w:w="144" w:type="dxa"/>
              <w:bottom w:w="72" w:type="dxa"/>
              <w:right w:w="144" w:type="dxa"/>
            </w:tcMar>
            <w:vAlign w:val="center"/>
            <w:hideMark/>
          </w:tcPr>
          <w:p w14:paraId="7B49EE1E" w14:textId="77777777" w:rsidR="00331D62" w:rsidRPr="006D7653" w:rsidRDefault="00331D62" w:rsidP="007E1C0A">
            <w:pPr>
              <w:spacing w:before="0" w:after="0"/>
              <w:ind w:firstLine="1701"/>
              <w:contextualSpacing/>
              <w:jc w:val="left"/>
              <w:rPr>
                <w:rFonts w:cs="Times New Roman"/>
                <w:b/>
                <w:bCs/>
                <w:sz w:val="18"/>
                <w:szCs w:val="18"/>
              </w:rPr>
            </w:pPr>
            <w:r w:rsidRPr="006D7653">
              <w:rPr>
                <w:rFonts w:cs="Times New Roman"/>
                <w:b/>
                <w:bCs/>
                <w:sz w:val="20"/>
                <w:szCs w:val="20"/>
              </w:rPr>
              <w:t>Netiešie nodokļi</w:t>
            </w:r>
          </w:p>
        </w:tc>
      </w:tr>
      <w:tr w:rsidR="00331D62" w:rsidRPr="006D7653" w14:paraId="5CBDBAA3" w14:textId="77777777" w:rsidTr="005F6FA5">
        <w:trPr>
          <w:jc w:val="center"/>
        </w:trPr>
        <w:tc>
          <w:tcPr>
            <w:tcW w:w="371" w:type="pct"/>
            <w:shd w:val="clear" w:color="auto" w:fill="FFFFFF"/>
            <w:tcMar>
              <w:top w:w="72" w:type="dxa"/>
              <w:left w:w="144" w:type="dxa"/>
              <w:bottom w:w="72" w:type="dxa"/>
              <w:right w:w="144" w:type="dxa"/>
            </w:tcMar>
            <w:vAlign w:val="center"/>
            <w:hideMark/>
          </w:tcPr>
          <w:p w14:paraId="79BD7E28" w14:textId="77777777" w:rsidR="00331D62" w:rsidRPr="006D7653" w:rsidRDefault="00331D62" w:rsidP="007E1C0A">
            <w:pPr>
              <w:spacing w:before="0" w:after="0"/>
              <w:ind w:firstLine="0"/>
              <w:contextualSpacing/>
              <w:rPr>
                <w:rFonts w:cs="Times New Roman"/>
                <w:sz w:val="18"/>
                <w:szCs w:val="18"/>
              </w:rPr>
            </w:pPr>
            <w:r w:rsidRPr="006D7653">
              <w:rPr>
                <w:rFonts w:cs="Times New Roman"/>
                <w:sz w:val="18"/>
                <w:szCs w:val="18"/>
              </w:rPr>
              <w:t>7.</w:t>
            </w:r>
          </w:p>
        </w:tc>
        <w:tc>
          <w:tcPr>
            <w:tcW w:w="2090" w:type="pct"/>
            <w:shd w:val="clear" w:color="auto" w:fill="FFFFFF"/>
            <w:tcMar>
              <w:top w:w="72" w:type="dxa"/>
              <w:left w:w="144" w:type="dxa"/>
              <w:bottom w:w="72" w:type="dxa"/>
              <w:right w:w="144" w:type="dxa"/>
            </w:tcMar>
            <w:vAlign w:val="center"/>
            <w:hideMark/>
          </w:tcPr>
          <w:p w14:paraId="759DBE10" w14:textId="77777777" w:rsidR="00331D62" w:rsidRPr="006D7653" w:rsidRDefault="00331D62" w:rsidP="007E1C0A">
            <w:pPr>
              <w:spacing w:before="0" w:after="0"/>
              <w:ind w:firstLine="0"/>
              <w:contextualSpacing/>
              <w:rPr>
                <w:rFonts w:cs="Times New Roman"/>
                <w:sz w:val="20"/>
                <w:szCs w:val="20"/>
              </w:rPr>
            </w:pPr>
            <w:r w:rsidRPr="006D7653">
              <w:rPr>
                <w:rFonts w:cs="Times New Roman"/>
                <w:sz w:val="20"/>
                <w:szCs w:val="20"/>
              </w:rPr>
              <w:t>Pievienotās vērtības nodoklis</w:t>
            </w:r>
          </w:p>
        </w:tc>
        <w:tc>
          <w:tcPr>
            <w:tcW w:w="1494" w:type="pct"/>
            <w:shd w:val="clear" w:color="auto" w:fill="FFFFFF"/>
            <w:tcMar>
              <w:top w:w="72" w:type="dxa"/>
              <w:left w:w="144" w:type="dxa"/>
              <w:bottom w:w="72" w:type="dxa"/>
              <w:right w:w="144" w:type="dxa"/>
            </w:tcMar>
            <w:vAlign w:val="center"/>
            <w:hideMark/>
          </w:tcPr>
          <w:p w14:paraId="3F915DA1" w14:textId="77777777" w:rsidR="00331D62" w:rsidRPr="006D7653" w:rsidRDefault="00331D62" w:rsidP="007E1C0A">
            <w:pPr>
              <w:spacing w:before="0" w:after="0"/>
              <w:ind w:firstLine="0"/>
              <w:contextualSpacing/>
              <w:jc w:val="center"/>
              <w:rPr>
                <w:rFonts w:cs="Times New Roman"/>
                <w:b/>
                <w:bCs/>
                <w:sz w:val="20"/>
                <w:szCs w:val="20"/>
              </w:rPr>
            </w:pPr>
            <w:r w:rsidRPr="006D7653">
              <w:rPr>
                <w:rFonts w:cs="Times New Roman"/>
                <w:b/>
                <w:bCs/>
                <w:sz w:val="20"/>
                <w:szCs w:val="20"/>
              </w:rPr>
              <w:t>21%</w:t>
            </w:r>
          </w:p>
          <w:p w14:paraId="46C1C008" w14:textId="77777777" w:rsidR="00331D62" w:rsidRPr="006D7653" w:rsidRDefault="00331D62" w:rsidP="007E1C0A">
            <w:pPr>
              <w:spacing w:before="0" w:after="0"/>
              <w:ind w:firstLine="0"/>
              <w:contextualSpacing/>
              <w:jc w:val="center"/>
              <w:rPr>
                <w:rFonts w:cs="Times New Roman"/>
                <w:sz w:val="20"/>
                <w:szCs w:val="20"/>
              </w:rPr>
            </w:pPr>
            <w:r w:rsidRPr="006D7653">
              <w:rPr>
                <w:rFonts w:cs="Times New Roman"/>
                <w:sz w:val="20"/>
                <w:szCs w:val="20"/>
              </w:rPr>
              <w:t>(samazinātās 12%, 5%, un 0%)</w:t>
            </w:r>
          </w:p>
        </w:tc>
        <w:tc>
          <w:tcPr>
            <w:tcW w:w="1045" w:type="pct"/>
            <w:shd w:val="clear" w:color="auto" w:fill="FFFFFF"/>
            <w:vAlign w:val="center"/>
          </w:tcPr>
          <w:p w14:paraId="11F0C4E2" w14:textId="77777777" w:rsidR="00331D62" w:rsidRPr="006D7653" w:rsidRDefault="00331D62" w:rsidP="007E1C0A">
            <w:pPr>
              <w:spacing w:before="0" w:after="0"/>
              <w:ind w:firstLine="0"/>
              <w:contextualSpacing/>
              <w:jc w:val="center"/>
              <w:rPr>
                <w:rFonts w:cs="Times New Roman"/>
                <w:b/>
                <w:bCs/>
                <w:sz w:val="20"/>
                <w:szCs w:val="20"/>
              </w:rPr>
            </w:pPr>
            <w:r w:rsidRPr="006D7653">
              <w:rPr>
                <w:rFonts w:eastAsia="Verdana" w:cs="Times New Roman"/>
                <w:kern w:val="24"/>
                <w:sz w:val="20"/>
                <w:szCs w:val="20"/>
              </w:rPr>
              <w:t>29,2%</w:t>
            </w:r>
          </w:p>
        </w:tc>
      </w:tr>
      <w:tr w:rsidR="00331D62" w:rsidRPr="006D7653" w14:paraId="18B0D093" w14:textId="77777777" w:rsidTr="005F6FA5">
        <w:trPr>
          <w:trHeight w:val="258"/>
          <w:jc w:val="center"/>
        </w:trPr>
        <w:tc>
          <w:tcPr>
            <w:tcW w:w="371" w:type="pct"/>
            <w:shd w:val="clear" w:color="auto" w:fill="FFFFFF"/>
            <w:tcMar>
              <w:top w:w="72" w:type="dxa"/>
              <w:left w:w="144" w:type="dxa"/>
              <w:bottom w:w="72" w:type="dxa"/>
              <w:right w:w="144" w:type="dxa"/>
            </w:tcMar>
            <w:vAlign w:val="center"/>
            <w:hideMark/>
          </w:tcPr>
          <w:p w14:paraId="75ADE351" w14:textId="77777777" w:rsidR="00331D62" w:rsidRPr="006D7653" w:rsidRDefault="00331D62" w:rsidP="007E1C0A">
            <w:pPr>
              <w:spacing w:before="0" w:after="0"/>
              <w:ind w:firstLine="0"/>
              <w:contextualSpacing/>
              <w:rPr>
                <w:rFonts w:cs="Times New Roman"/>
                <w:sz w:val="18"/>
                <w:szCs w:val="18"/>
              </w:rPr>
            </w:pPr>
            <w:r w:rsidRPr="006D7653">
              <w:rPr>
                <w:rFonts w:cs="Times New Roman"/>
                <w:sz w:val="18"/>
                <w:szCs w:val="18"/>
              </w:rPr>
              <w:t>8.</w:t>
            </w:r>
          </w:p>
        </w:tc>
        <w:tc>
          <w:tcPr>
            <w:tcW w:w="2090" w:type="pct"/>
            <w:shd w:val="clear" w:color="auto" w:fill="FFFFFF"/>
            <w:tcMar>
              <w:top w:w="72" w:type="dxa"/>
              <w:left w:w="144" w:type="dxa"/>
              <w:bottom w:w="72" w:type="dxa"/>
              <w:right w:w="144" w:type="dxa"/>
            </w:tcMar>
            <w:vAlign w:val="center"/>
            <w:hideMark/>
          </w:tcPr>
          <w:p w14:paraId="2AF68E0B" w14:textId="77777777" w:rsidR="00331D62" w:rsidRPr="006D7653" w:rsidRDefault="00331D62" w:rsidP="007E1C0A">
            <w:pPr>
              <w:spacing w:before="0" w:after="0"/>
              <w:ind w:firstLine="0"/>
              <w:contextualSpacing/>
              <w:rPr>
                <w:rFonts w:cs="Times New Roman"/>
                <w:sz w:val="20"/>
                <w:szCs w:val="20"/>
              </w:rPr>
            </w:pPr>
            <w:r w:rsidRPr="006D7653">
              <w:rPr>
                <w:rFonts w:cs="Times New Roman"/>
                <w:sz w:val="20"/>
                <w:szCs w:val="20"/>
              </w:rPr>
              <w:t>Akcīzes nodoklis</w:t>
            </w:r>
          </w:p>
        </w:tc>
        <w:tc>
          <w:tcPr>
            <w:tcW w:w="1494" w:type="pct"/>
            <w:shd w:val="clear" w:color="auto" w:fill="FFFFFF"/>
            <w:tcMar>
              <w:top w:w="72" w:type="dxa"/>
              <w:left w:w="144" w:type="dxa"/>
              <w:bottom w:w="72" w:type="dxa"/>
              <w:right w:w="144" w:type="dxa"/>
            </w:tcMar>
            <w:vAlign w:val="center"/>
            <w:hideMark/>
          </w:tcPr>
          <w:p w14:paraId="4FB3F9F6" w14:textId="77777777" w:rsidR="00331D62" w:rsidRPr="006D7653" w:rsidRDefault="00331D62" w:rsidP="007E1C0A">
            <w:pPr>
              <w:spacing w:before="0" w:after="0"/>
              <w:ind w:firstLine="0"/>
              <w:contextualSpacing/>
              <w:jc w:val="center"/>
              <w:rPr>
                <w:rFonts w:cs="Times New Roman"/>
                <w:sz w:val="20"/>
                <w:szCs w:val="20"/>
              </w:rPr>
            </w:pPr>
            <w:r w:rsidRPr="006D7653">
              <w:rPr>
                <w:rFonts w:cs="Times New Roman"/>
                <w:i/>
                <w:iCs/>
                <w:sz w:val="20"/>
                <w:szCs w:val="20"/>
              </w:rPr>
              <w:t>dažādas</w:t>
            </w:r>
          </w:p>
        </w:tc>
        <w:tc>
          <w:tcPr>
            <w:tcW w:w="1045" w:type="pct"/>
            <w:shd w:val="clear" w:color="auto" w:fill="FFFFFF"/>
            <w:vAlign w:val="center"/>
          </w:tcPr>
          <w:p w14:paraId="46893486" w14:textId="77777777" w:rsidR="00331D62" w:rsidRPr="006D7653" w:rsidRDefault="00331D62" w:rsidP="007E1C0A">
            <w:pPr>
              <w:spacing w:before="0" w:after="0"/>
              <w:ind w:firstLine="0"/>
              <w:contextualSpacing/>
              <w:jc w:val="center"/>
              <w:rPr>
                <w:rFonts w:cs="Times New Roman"/>
                <w:i/>
                <w:iCs/>
                <w:sz w:val="20"/>
                <w:szCs w:val="20"/>
              </w:rPr>
            </w:pPr>
            <w:r w:rsidRPr="006D7653">
              <w:rPr>
                <w:rFonts w:eastAsia="Verdana" w:cs="Times New Roman"/>
                <w:kern w:val="24"/>
                <w:sz w:val="20"/>
                <w:szCs w:val="20"/>
              </w:rPr>
              <w:t>8,9%</w:t>
            </w:r>
          </w:p>
        </w:tc>
      </w:tr>
      <w:tr w:rsidR="00331D62" w:rsidRPr="006D7653" w14:paraId="14ABBA92" w14:textId="77777777" w:rsidTr="005F6FA5">
        <w:trPr>
          <w:trHeight w:val="258"/>
          <w:jc w:val="center"/>
        </w:trPr>
        <w:tc>
          <w:tcPr>
            <w:tcW w:w="371" w:type="pct"/>
            <w:shd w:val="clear" w:color="auto" w:fill="FFFFFF"/>
            <w:tcMar>
              <w:top w:w="72" w:type="dxa"/>
              <w:left w:w="144" w:type="dxa"/>
              <w:bottom w:w="72" w:type="dxa"/>
              <w:right w:w="144" w:type="dxa"/>
            </w:tcMar>
            <w:vAlign w:val="center"/>
            <w:hideMark/>
          </w:tcPr>
          <w:p w14:paraId="523E4D5A" w14:textId="77777777" w:rsidR="00331D62" w:rsidRPr="006D7653" w:rsidRDefault="00331D62" w:rsidP="007E1C0A">
            <w:pPr>
              <w:spacing w:before="0" w:after="0"/>
              <w:ind w:firstLine="0"/>
              <w:contextualSpacing/>
              <w:rPr>
                <w:rFonts w:cs="Times New Roman"/>
                <w:sz w:val="18"/>
                <w:szCs w:val="18"/>
              </w:rPr>
            </w:pPr>
            <w:r w:rsidRPr="006D7653">
              <w:rPr>
                <w:rFonts w:cs="Times New Roman"/>
                <w:sz w:val="18"/>
                <w:szCs w:val="18"/>
              </w:rPr>
              <w:t>9.</w:t>
            </w:r>
          </w:p>
        </w:tc>
        <w:tc>
          <w:tcPr>
            <w:tcW w:w="2090" w:type="pct"/>
            <w:shd w:val="clear" w:color="auto" w:fill="FFFFFF"/>
            <w:tcMar>
              <w:top w:w="72" w:type="dxa"/>
              <w:left w:w="144" w:type="dxa"/>
              <w:bottom w:w="72" w:type="dxa"/>
              <w:right w:w="144" w:type="dxa"/>
            </w:tcMar>
            <w:vAlign w:val="center"/>
            <w:hideMark/>
          </w:tcPr>
          <w:p w14:paraId="3B2A4725" w14:textId="77777777" w:rsidR="00331D62" w:rsidRPr="006D7653" w:rsidRDefault="00331D62" w:rsidP="007E1C0A">
            <w:pPr>
              <w:spacing w:before="0" w:after="0"/>
              <w:ind w:firstLine="0"/>
              <w:contextualSpacing/>
              <w:rPr>
                <w:rFonts w:cs="Times New Roman"/>
                <w:sz w:val="20"/>
                <w:szCs w:val="20"/>
              </w:rPr>
            </w:pPr>
            <w:r w:rsidRPr="006D7653">
              <w:rPr>
                <w:rFonts w:cs="Times New Roman"/>
                <w:sz w:val="20"/>
                <w:szCs w:val="20"/>
              </w:rPr>
              <w:t>Elektroenerģijas nodoklis</w:t>
            </w:r>
          </w:p>
        </w:tc>
        <w:tc>
          <w:tcPr>
            <w:tcW w:w="1494" w:type="pct"/>
            <w:shd w:val="clear" w:color="auto" w:fill="FFFFFF"/>
            <w:tcMar>
              <w:top w:w="72" w:type="dxa"/>
              <w:left w:w="144" w:type="dxa"/>
              <w:bottom w:w="72" w:type="dxa"/>
              <w:right w:w="144" w:type="dxa"/>
            </w:tcMar>
            <w:vAlign w:val="center"/>
            <w:hideMark/>
          </w:tcPr>
          <w:p w14:paraId="5FF81AED" w14:textId="77777777" w:rsidR="00331D62" w:rsidRPr="006D7653" w:rsidRDefault="00331D62" w:rsidP="007E1C0A">
            <w:pPr>
              <w:spacing w:before="0" w:after="0"/>
              <w:ind w:firstLine="0"/>
              <w:contextualSpacing/>
              <w:jc w:val="center"/>
              <w:rPr>
                <w:rFonts w:cs="Times New Roman"/>
                <w:b/>
                <w:bCs/>
                <w:sz w:val="20"/>
                <w:szCs w:val="20"/>
              </w:rPr>
            </w:pPr>
            <w:r w:rsidRPr="006D7653">
              <w:rPr>
                <w:rFonts w:cs="Times New Roman"/>
                <w:b/>
                <w:bCs/>
                <w:sz w:val="20"/>
                <w:szCs w:val="20"/>
              </w:rPr>
              <w:t xml:space="preserve">1,01 </w:t>
            </w:r>
            <w:r w:rsidRPr="006D7653">
              <w:rPr>
                <w:rFonts w:cs="Times New Roman"/>
                <w:b/>
                <w:bCs/>
                <w:i/>
                <w:iCs/>
                <w:sz w:val="20"/>
                <w:szCs w:val="20"/>
              </w:rPr>
              <w:t>euro</w:t>
            </w:r>
            <w:r w:rsidRPr="006D7653">
              <w:rPr>
                <w:rFonts w:cs="Times New Roman"/>
                <w:b/>
                <w:bCs/>
                <w:sz w:val="20"/>
                <w:szCs w:val="20"/>
              </w:rPr>
              <w:t xml:space="preserve"> par MWh</w:t>
            </w:r>
          </w:p>
        </w:tc>
        <w:tc>
          <w:tcPr>
            <w:tcW w:w="1045" w:type="pct"/>
            <w:shd w:val="clear" w:color="auto" w:fill="FFFFFF"/>
            <w:vAlign w:val="center"/>
          </w:tcPr>
          <w:p w14:paraId="4C2DD0AF" w14:textId="77777777" w:rsidR="00331D62" w:rsidRPr="006D7653" w:rsidRDefault="00331D62" w:rsidP="007E1C0A">
            <w:pPr>
              <w:spacing w:before="0" w:after="0"/>
              <w:ind w:firstLine="0"/>
              <w:contextualSpacing/>
              <w:jc w:val="center"/>
              <w:rPr>
                <w:rFonts w:cs="Times New Roman"/>
                <w:b/>
                <w:bCs/>
                <w:sz w:val="20"/>
                <w:szCs w:val="20"/>
              </w:rPr>
            </w:pPr>
            <w:r w:rsidRPr="006D7653">
              <w:rPr>
                <w:rFonts w:eastAsia="Verdana" w:cs="Times New Roman"/>
                <w:kern w:val="24"/>
                <w:sz w:val="20"/>
                <w:szCs w:val="20"/>
              </w:rPr>
              <w:t>0,04%</w:t>
            </w:r>
          </w:p>
        </w:tc>
      </w:tr>
      <w:tr w:rsidR="00331D62" w:rsidRPr="006D7653" w14:paraId="6BBED83A" w14:textId="77777777" w:rsidTr="005F6FA5">
        <w:trPr>
          <w:trHeight w:val="258"/>
          <w:jc w:val="center"/>
        </w:trPr>
        <w:tc>
          <w:tcPr>
            <w:tcW w:w="371" w:type="pct"/>
            <w:shd w:val="clear" w:color="auto" w:fill="FFFFFF"/>
            <w:tcMar>
              <w:top w:w="72" w:type="dxa"/>
              <w:left w:w="144" w:type="dxa"/>
              <w:bottom w:w="72" w:type="dxa"/>
              <w:right w:w="144" w:type="dxa"/>
            </w:tcMar>
            <w:vAlign w:val="center"/>
            <w:hideMark/>
          </w:tcPr>
          <w:p w14:paraId="1B212338" w14:textId="77777777" w:rsidR="00331D62" w:rsidRPr="006D7653" w:rsidRDefault="00331D62" w:rsidP="007E1C0A">
            <w:pPr>
              <w:spacing w:before="0" w:after="0"/>
              <w:ind w:firstLine="0"/>
              <w:contextualSpacing/>
              <w:rPr>
                <w:rFonts w:cs="Times New Roman"/>
                <w:sz w:val="18"/>
                <w:szCs w:val="18"/>
              </w:rPr>
            </w:pPr>
            <w:r w:rsidRPr="006D7653">
              <w:rPr>
                <w:rFonts w:cs="Times New Roman"/>
                <w:sz w:val="18"/>
                <w:szCs w:val="18"/>
              </w:rPr>
              <w:t>10.</w:t>
            </w:r>
          </w:p>
        </w:tc>
        <w:tc>
          <w:tcPr>
            <w:tcW w:w="2090" w:type="pct"/>
            <w:shd w:val="clear" w:color="auto" w:fill="FFFFFF"/>
            <w:tcMar>
              <w:top w:w="72" w:type="dxa"/>
              <w:left w:w="144" w:type="dxa"/>
              <w:bottom w:w="72" w:type="dxa"/>
              <w:right w:w="144" w:type="dxa"/>
            </w:tcMar>
            <w:vAlign w:val="center"/>
            <w:hideMark/>
          </w:tcPr>
          <w:p w14:paraId="6150ED50" w14:textId="77777777" w:rsidR="00331D62" w:rsidRPr="006D7653" w:rsidRDefault="00331D62" w:rsidP="007E1C0A">
            <w:pPr>
              <w:spacing w:before="0" w:after="0"/>
              <w:ind w:firstLine="0"/>
              <w:contextualSpacing/>
              <w:rPr>
                <w:rFonts w:cs="Times New Roman"/>
                <w:sz w:val="20"/>
                <w:szCs w:val="20"/>
              </w:rPr>
            </w:pPr>
            <w:r w:rsidRPr="006D7653">
              <w:rPr>
                <w:rFonts w:cs="Times New Roman"/>
                <w:sz w:val="20"/>
                <w:szCs w:val="20"/>
              </w:rPr>
              <w:t>Muitas nodoklis</w:t>
            </w:r>
          </w:p>
        </w:tc>
        <w:tc>
          <w:tcPr>
            <w:tcW w:w="1494" w:type="pct"/>
            <w:shd w:val="clear" w:color="auto" w:fill="FFFFFF"/>
            <w:tcMar>
              <w:top w:w="72" w:type="dxa"/>
              <w:left w:w="144" w:type="dxa"/>
              <w:bottom w:w="72" w:type="dxa"/>
              <w:right w:w="144" w:type="dxa"/>
            </w:tcMar>
            <w:vAlign w:val="center"/>
            <w:hideMark/>
          </w:tcPr>
          <w:p w14:paraId="78AD0B52" w14:textId="77777777" w:rsidR="00331D62" w:rsidRPr="006D7653" w:rsidRDefault="00331D62" w:rsidP="007E1C0A">
            <w:pPr>
              <w:spacing w:before="0" w:after="0"/>
              <w:ind w:firstLine="0"/>
              <w:contextualSpacing/>
              <w:jc w:val="center"/>
              <w:rPr>
                <w:rFonts w:cs="Times New Roman"/>
                <w:sz w:val="20"/>
                <w:szCs w:val="20"/>
              </w:rPr>
            </w:pPr>
            <w:r w:rsidRPr="006D7653">
              <w:rPr>
                <w:rFonts w:cs="Times New Roman"/>
                <w:i/>
                <w:iCs/>
                <w:sz w:val="20"/>
                <w:szCs w:val="20"/>
              </w:rPr>
              <w:t>dažādas</w:t>
            </w:r>
          </w:p>
        </w:tc>
        <w:tc>
          <w:tcPr>
            <w:tcW w:w="1045" w:type="pct"/>
            <w:shd w:val="clear" w:color="auto" w:fill="FFFFFF"/>
            <w:vAlign w:val="center"/>
          </w:tcPr>
          <w:p w14:paraId="21985342" w14:textId="77777777" w:rsidR="00331D62" w:rsidRPr="006D7653" w:rsidRDefault="00331D62" w:rsidP="007E1C0A">
            <w:pPr>
              <w:spacing w:before="0" w:after="0"/>
              <w:ind w:firstLine="0"/>
              <w:contextualSpacing/>
              <w:jc w:val="center"/>
              <w:rPr>
                <w:rFonts w:cs="Times New Roman"/>
                <w:i/>
                <w:iCs/>
                <w:sz w:val="20"/>
                <w:szCs w:val="20"/>
              </w:rPr>
            </w:pPr>
            <w:r w:rsidRPr="006D7653">
              <w:rPr>
                <w:rFonts w:eastAsia="Verdana" w:cs="Times New Roman"/>
                <w:kern w:val="24"/>
                <w:sz w:val="20"/>
                <w:szCs w:val="20"/>
              </w:rPr>
              <w:t>0,46%</w:t>
            </w:r>
          </w:p>
        </w:tc>
      </w:tr>
      <w:tr w:rsidR="00331D62" w:rsidRPr="006D7653" w14:paraId="67A9FE9D" w14:textId="77777777" w:rsidTr="005F6FA5">
        <w:trPr>
          <w:trHeight w:val="13"/>
          <w:jc w:val="center"/>
        </w:trPr>
        <w:tc>
          <w:tcPr>
            <w:tcW w:w="371" w:type="pct"/>
            <w:shd w:val="clear" w:color="auto" w:fill="FFFFFF"/>
            <w:tcMar>
              <w:top w:w="72" w:type="dxa"/>
              <w:left w:w="144" w:type="dxa"/>
              <w:bottom w:w="72" w:type="dxa"/>
              <w:right w:w="144" w:type="dxa"/>
            </w:tcMar>
            <w:vAlign w:val="center"/>
            <w:hideMark/>
          </w:tcPr>
          <w:p w14:paraId="137A0D54" w14:textId="77777777" w:rsidR="00331D62" w:rsidRPr="006D7653" w:rsidRDefault="00331D62" w:rsidP="007E1C0A">
            <w:pPr>
              <w:spacing w:before="0" w:after="0"/>
              <w:ind w:firstLine="0"/>
              <w:contextualSpacing/>
              <w:rPr>
                <w:rFonts w:cs="Times New Roman"/>
                <w:sz w:val="18"/>
                <w:szCs w:val="18"/>
              </w:rPr>
            </w:pPr>
            <w:r w:rsidRPr="006D7653">
              <w:rPr>
                <w:rFonts w:cs="Times New Roman"/>
                <w:sz w:val="18"/>
                <w:szCs w:val="18"/>
              </w:rPr>
              <w:t>11.</w:t>
            </w:r>
          </w:p>
        </w:tc>
        <w:tc>
          <w:tcPr>
            <w:tcW w:w="2090" w:type="pct"/>
            <w:shd w:val="clear" w:color="auto" w:fill="FFFFFF"/>
            <w:tcMar>
              <w:top w:w="72" w:type="dxa"/>
              <w:left w:w="144" w:type="dxa"/>
              <w:bottom w:w="72" w:type="dxa"/>
              <w:right w:w="144" w:type="dxa"/>
            </w:tcMar>
            <w:vAlign w:val="center"/>
            <w:hideMark/>
          </w:tcPr>
          <w:p w14:paraId="4C5E047D" w14:textId="77777777" w:rsidR="00331D62" w:rsidRPr="006D7653" w:rsidRDefault="00331D62" w:rsidP="007E1C0A">
            <w:pPr>
              <w:spacing w:before="0" w:after="0"/>
              <w:ind w:firstLine="0"/>
              <w:contextualSpacing/>
              <w:rPr>
                <w:rFonts w:cs="Times New Roman"/>
                <w:sz w:val="20"/>
                <w:szCs w:val="20"/>
              </w:rPr>
            </w:pPr>
            <w:r w:rsidRPr="006D7653">
              <w:rPr>
                <w:rFonts w:cs="Times New Roman"/>
                <w:sz w:val="20"/>
                <w:szCs w:val="20"/>
              </w:rPr>
              <w:t>Transportlīdzekļa ekspluatācijas nodoklis</w:t>
            </w:r>
          </w:p>
        </w:tc>
        <w:tc>
          <w:tcPr>
            <w:tcW w:w="1494" w:type="pct"/>
            <w:shd w:val="clear" w:color="auto" w:fill="FFFFFF"/>
            <w:tcMar>
              <w:top w:w="72" w:type="dxa"/>
              <w:left w:w="144" w:type="dxa"/>
              <w:bottom w:w="72" w:type="dxa"/>
              <w:right w:w="144" w:type="dxa"/>
            </w:tcMar>
            <w:vAlign w:val="center"/>
            <w:hideMark/>
          </w:tcPr>
          <w:p w14:paraId="4DDF195C" w14:textId="77777777" w:rsidR="00331D62" w:rsidRPr="006D7653" w:rsidRDefault="00331D62" w:rsidP="007E1C0A">
            <w:pPr>
              <w:spacing w:before="0" w:after="0"/>
              <w:ind w:firstLine="0"/>
              <w:contextualSpacing/>
              <w:jc w:val="center"/>
              <w:rPr>
                <w:rFonts w:cs="Times New Roman"/>
                <w:sz w:val="20"/>
                <w:szCs w:val="20"/>
              </w:rPr>
            </w:pPr>
            <w:r w:rsidRPr="006D7653">
              <w:rPr>
                <w:rFonts w:cs="Times New Roman"/>
                <w:i/>
                <w:iCs/>
                <w:sz w:val="20"/>
                <w:szCs w:val="20"/>
              </w:rPr>
              <w:t>dažādas</w:t>
            </w:r>
          </w:p>
        </w:tc>
        <w:tc>
          <w:tcPr>
            <w:tcW w:w="1045" w:type="pct"/>
            <w:shd w:val="clear" w:color="auto" w:fill="FFFFFF"/>
            <w:vAlign w:val="center"/>
          </w:tcPr>
          <w:p w14:paraId="02DCB21F" w14:textId="77777777" w:rsidR="00331D62" w:rsidRPr="006D7653" w:rsidRDefault="00331D62" w:rsidP="007E1C0A">
            <w:pPr>
              <w:spacing w:before="0" w:after="0"/>
              <w:ind w:firstLine="0"/>
              <w:contextualSpacing/>
              <w:jc w:val="center"/>
              <w:rPr>
                <w:rFonts w:cs="Times New Roman"/>
                <w:i/>
                <w:iCs/>
                <w:sz w:val="20"/>
                <w:szCs w:val="20"/>
              </w:rPr>
            </w:pPr>
            <w:r w:rsidRPr="006D7653">
              <w:rPr>
                <w:rFonts w:eastAsia="Verdana" w:cs="Times New Roman"/>
                <w:kern w:val="24"/>
                <w:sz w:val="20"/>
                <w:szCs w:val="20"/>
              </w:rPr>
              <w:t>0,77%</w:t>
            </w:r>
          </w:p>
        </w:tc>
      </w:tr>
      <w:tr w:rsidR="00331D62" w:rsidRPr="006D7653" w14:paraId="5E0B8243" w14:textId="77777777" w:rsidTr="005F6FA5">
        <w:trPr>
          <w:trHeight w:val="397"/>
          <w:jc w:val="center"/>
        </w:trPr>
        <w:tc>
          <w:tcPr>
            <w:tcW w:w="371" w:type="pct"/>
            <w:shd w:val="clear" w:color="auto" w:fill="FFFFFF"/>
            <w:tcMar>
              <w:top w:w="72" w:type="dxa"/>
              <w:left w:w="144" w:type="dxa"/>
              <w:bottom w:w="72" w:type="dxa"/>
              <w:right w:w="144" w:type="dxa"/>
            </w:tcMar>
            <w:vAlign w:val="center"/>
            <w:hideMark/>
          </w:tcPr>
          <w:p w14:paraId="7F99C572" w14:textId="77777777" w:rsidR="00331D62" w:rsidRPr="006D7653" w:rsidRDefault="00331D62" w:rsidP="007E1C0A">
            <w:pPr>
              <w:spacing w:before="0" w:after="0"/>
              <w:ind w:firstLine="0"/>
              <w:contextualSpacing/>
              <w:rPr>
                <w:rFonts w:cs="Times New Roman"/>
                <w:sz w:val="18"/>
                <w:szCs w:val="18"/>
              </w:rPr>
            </w:pPr>
            <w:r w:rsidRPr="006D7653">
              <w:rPr>
                <w:rFonts w:cs="Times New Roman"/>
                <w:sz w:val="18"/>
                <w:szCs w:val="18"/>
              </w:rPr>
              <w:t>12.</w:t>
            </w:r>
          </w:p>
        </w:tc>
        <w:tc>
          <w:tcPr>
            <w:tcW w:w="2090" w:type="pct"/>
            <w:shd w:val="clear" w:color="auto" w:fill="FFFFFF"/>
            <w:tcMar>
              <w:top w:w="72" w:type="dxa"/>
              <w:left w:w="144" w:type="dxa"/>
              <w:bottom w:w="72" w:type="dxa"/>
              <w:right w:w="144" w:type="dxa"/>
            </w:tcMar>
            <w:vAlign w:val="center"/>
            <w:hideMark/>
          </w:tcPr>
          <w:p w14:paraId="49389349" w14:textId="77777777" w:rsidR="00331D62" w:rsidRPr="006D7653" w:rsidRDefault="00331D62" w:rsidP="007E1C0A">
            <w:pPr>
              <w:spacing w:before="0" w:after="0"/>
              <w:ind w:firstLine="0"/>
              <w:contextualSpacing/>
              <w:rPr>
                <w:rFonts w:cs="Times New Roman"/>
                <w:sz w:val="20"/>
                <w:szCs w:val="20"/>
              </w:rPr>
            </w:pPr>
            <w:r w:rsidRPr="006D7653">
              <w:rPr>
                <w:rFonts w:cs="Times New Roman"/>
                <w:sz w:val="20"/>
                <w:szCs w:val="20"/>
              </w:rPr>
              <w:t>Uzņēmumu vieglo transportlīdzekļu nodoklis</w:t>
            </w:r>
          </w:p>
        </w:tc>
        <w:tc>
          <w:tcPr>
            <w:tcW w:w="1494" w:type="pct"/>
            <w:shd w:val="clear" w:color="auto" w:fill="FFFFFF"/>
            <w:tcMar>
              <w:top w:w="72" w:type="dxa"/>
              <w:left w:w="144" w:type="dxa"/>
              <w:bottom w:w="72" w:type="dxa"/>
              <w:right w:w="144" w:type="dxa"/>
            </w:tcMar>
            <w:vAlign w:val="center"/>
            <w:hideMark/>
          </w:tcPr>
          <w:p w14:paraId="1A772E84" w14:textId="77777777" w:rsidR="00331D62" w:rsidRPr="006D7653" w:rsidRDefault="00331D62" w:rsidP="007E1C0A">
            <w:pPr>
              <w:spacing w:before="0" w:after="0"/>
              <w:ind w:firstLine="0"/>
              <w:contextualSpacing/>
              <w:jc w:val="center"/>
              <w:rPr>
                <w:rFonts w:cs="Times New Roman"/>
                <w:sz w:val="20"/>
                <w:szCs w:val="20"/>
              </w:rPr>
            </w:pPr>
            <w:r w:rsidRPr="006D7653">
              <w:rPr>
                <w:rFonts w:cs="Times New Roman"/>
                <w:i/>
                <w:iCs/>
                <w:sz w:val="20"/>
                <w:szCs w:val="20"/>
              </w:rPr>
              <w:t>dažādas</w:t>
            </w:r>
          </w:p>
        </w:tc>
        <w:tc>
          <w:tcPr>
            <w:tcW w:w="1045" w:type="pct"/>
            <w:shd w:val="clear" w:color="auto" w:fill="FFFFFF"/>
            <w:vAlign w:val="center"/>
          </w:tcPr>
          <w:p w14:paraId="69402D02" w14:textId="77777777" w:rsidR="00331D62" w:rsidRPr="006D7653" w:rsidRDefault="00331D62" w:rsidP="007E1C0A">
            <w:pPr>
              <w:spacing w:before="0" w:after="0"/>
              <w:ind w:firstLine="0"/>
              <w:contextualSpacing/>
              <w:jc w:val="center"/>
              <w:rPr>
                <w:rFonts w:cs="Times New Roman"/>
                <w:i/>
                <w:iCs/>
                <w:sz w:val="20"/>
                <w:szCs w:val="20"/>
              </w:rPr>
            </w:pPr>
            <w:r w:rsidRPr="006D7653">
              <w:rPr>
                <w:rFonts w:eastAsia="Verdana" w:cs="Times New Roman"/>
                <w:kern w:val="24"/>
                <w:sz w:val="20"/>
                <w:szCs w:val="20"/>
              </w:rPr>
              <w:t>0,22%</w:t>
            </w:r>
          </w:p>
        </w:tc>
      </w:tr>
      <w:tr w:rsidR="00331D62" w:rsidRPr="006D7653" w14:paraId="2E1FA6C9" w14:textId="77777777" w:rsidTr="00331D62">
        <w:trPr>
          <w:trHeight w:val="20"/>
          <w:jc w:val="center"/>
        </w:trPr>
        <w:tc>
          <w:tcPr>
            <w:tcW w:w="5000" w:type="pct"/>
            <w:gridSpan w:val="4"/>
            <w:shd w:val="clear" w:color="auto" w:fill="FFFFFF" w:themeFill="background1"/>
            <w:tcMar>
              <w:top w:w="72" w:type="dxa"/>
              <w:left w:w="144" w:type="dxa"/>
              <w:bottom w:w="72" w:type="dxa"/>
              <w:right w:w="144" w:type="dxa"/>
            </w:tcMar>
            <w:vAlign w:val="center"/>
            <w:hideMark/>
          </w:tcPr>
          <w:p w14:paraId="7A912AB0" w14:textId="77777777" w:rsidR="00331D62" w:rsidRPr="006D7653" w:rsidRDefault="00331D62" w:rsidP="007E1C0A">
            <w:pPr>
              <w:spacing w:before="0" w:after="0"/>
              <w:ind w:firstLine="1701"/>
              <w:contextualSpacing/>
              <w:jc w:val="left"/>
              <w:rPr>
                <w:rFonts w:cs="Times New Roman"/>
                <w:b/>
                <w:bCs/>
                <w:sz w:val="18"/>
                <w:szCs w:val="18"/>
              </w:rPr>
            </w:pPr>
            <w:r w:rsidRPr="006D7653">
              <w:rPr>
                <w:rFonts w:cs="Times New Roman"/>
                <w:b/>
                <w:bCs/>
                <w:sz w:val="20"/>
                <w:szCs w:val="20"/>
              </w:rPr>
              <w:t>Pārējie nodokļi</w:t>
            </w:r>
          </w:p>
        </w:tc>
      </w:tr>
      <w:tr w:rsidR="00331D62" w:rsidRPr="006D7653" w14:paraId="33948BE8" w14:textId="77777777" w:rsidTr="005F6FA5">
        <w:trPr>
          <w:trHeight w:val="13"/>
          <w:jc w:val="center"/>
        </w:trPr>
        <w:tc>
          <w:tcPr>
            <w:tcW w:w="371" w:type="pct"/>
            <w:shd w:val="clear" w:color="auto" w:fill="FFFFFF"/>
            <w:tcMar>
              <w:top w:w="72" w:type="dxa"/>
              <w:left w:w="144" w:type="dxa"/>
              <w:bottom w:w="72" w:type="dxa"/>
              <w:right w:w="144" w:type="dxa"/>
            </w:tcMar>
            <w:vAlign w:val="center"/>
            <w:hideMark/>
          </w:tcPr>
          <w:p w14:paraId="0F4E48CF" w14:textId="77777777" w:rsidR="00331D62" w:rsidRPr="006D7653" w:rsidRDefault="00331D62" w:rsidP="007E1C0A">
            <w:pPr>
              <w:spacing w:before="0" w:after="0"/>
              <w:ind w:firstLine="0"/>
              <w:contextualSpacing/>
              <w:rPr>
                <w:rFonts w:cs="Times New Roman"/>
                <w:sz w:val="20"/>
                <w:szCs w:val="20"/>
              </w:rPr>
            </w:pPr>
            <w:r w:rsidRPr="006D7653">
              <w:rPr>
                <w:rFonts w:cs="Times New Roman"/>
                <w:sz w:val="20"/>
                <w:szCs w:val="20"/>
              </w:rPr>
              <w:t>13.</w:t>
            </w:r>
          </w:p>
        </w:tc>
        <w:tc>
          <w:tcPr>
            <w:tcW w:w="2090" w:type="pct"/>
            <w:shd w:val="clear" w:color="auto" w:fill="FFFFFF"/>
            <w:tcMar>
              <w:top w:w="72" w:type="dxa"/>
              <w:left w:w="144" w:type="dxa"/>
              <w:bottom w:w="72" w:type="dxa"/>
              <w:right w:w="144" w:type="dxa"/>
            </w:tcMar>
            <w:vAlign w:val="center"/>
            <w:hideMark/>
          </w:tcPr>
          <w:p w14:paraId="494BF43B" w14:textId="77777777" w:rsidR="00331D62" w:rsidRPr="006D7653" w:rsidRDefault="00331D62" w:rsidP="007E1C0A">
            <w:pPr>
              <w:spacing w:before="0" w:after="0"/>
              <w:ind w:firstLine="0"/>
              <w:contextualSpacing/>
              <w:rPr>
                <w:rFonts w:cs="Times New Roman"/>
                <w:sz w:val="20"/>
                <w:szCs w:val="20"/>
              </w:rPr>
            </w:pPr>
            <w:r w:rsidRPr="006D7653">
              <w:rPr>
                <w:rFonts w:cs="Times New Roman"/>
                <w:sz w:val="20"/>
                <w:szCs w:val="20"/>
              </w:rPr>
              <w:t>Dabas resursu nodoklis</w:t>
            </w:r>
          </w:p>
        </w:tc>
        <w:tc>
          <w:tcPr>
            <w:tcW w:w="1494" w:type="pct"/>
            <w:shd w:val="clear" w:color="auto" w:fill="FFFFFF"/>
            <w:tcMar>
              <w:top w:w="72" w:type="dxa"/>
              <w:left w:w="144" w:type="dxa"/>
              <w:bottom w:w="72" w:type="dxa"/>
              <w:right w:w="144" w:type="dxa"/>
            </w:tcMar>
            <w:vAlign w:val="center"/>
            <w:hideMark/>
          </w:tcPr>
          <w:p w14:paraId="01E55CC5" w14:textId="77777777" w:rsidR="00331D62" w:rsidRPr="006D7653" w:rsidRDefault="00331D62" w:rsidP="007E1C0A">
            <w:pPr>
              <w:spacing w:before="0" w:after="0"/>
              <w:ind w:firstLine="0"/>
              <w:contextualSpacing/>
              <w:jc w:val="center"/>
              <w:rPr>
                <w:rFonts w:cs="Times New Roman"/>
                <w:sz w:val="20"/>
                <w:szCs w:val="20"/>
              </w:rPr>
            </w:pPr>
            <w:r w:rsidRPr="006D7653">
              <w:rPr>
                <w:rFonts w:cs="Times New Roman"/>
                <w:i/>
                <w:iCs/>
                <w:sz w:val="20"/>
                <w:szCs w:val="20"/>
              </w:rPr>
              <w:t>dažādas</w:t>
            </w:r>
          </w:p>
        </w:tc>
        <w:tc>
          <w:tcPr>
            <w:tcW w:w="1045" w:type="pct"/>
            <w:shd w:val="clear" w:color="auto" w:fill="FFFFFF"/>
          </w:tcPr>
          <w:p w14:paraId="5724A32B" w14:textId="77777777" w:rsidR="00331D62" w:rsidRPr="006D7653" w:rsidRDefault="00331D62" w:rsidP="007E1C0A">
            <w:pPr>
              <w:spacing w:before="0" w:after="0"/>
              <w:ind w:firstLine="0"/>
              <w:contextualSpacing/>
              <w:jc w:val="center"/>
              <w:rPr>
                <w:rFonts w:cs="Times New Roman"/>
                <w:sz w:val="20"/>
                <w:szCs w:val="20"/>
              </w:rPr>
            </w:pPr>
            <w:r w:rsidRPr="006D7653">
              <w:rPr>
                <w:rFonts w:cs="Times New Roman"/>
                <w:sz w:val="20"/>
                <w:szCs w:val="20"/>
              </w:rPr>
              <w:t>0,48%</w:t>
            </w:r>
          </w:p>
        </w:tc>
      </w:tr>
      <w:tr w:rsidR="00331D62" w:rsidRPr="006D7653" w14:paraId="651298BD" w14:textId="77777777" w:rsidTr="005F6FA5">
        <w:trPr>
          <w:trHeight w:val="13"/>
          <w:jc w:val="center"/>
        </w:trPr>
        <w:tc>
          <w:tcPr>
            <w:tcW w:w="371" w:type="pct"/>
            <w:shd w:val="clear" w:color="auto" w:fill="FFFFFF"/>
            <w:tcMar>
              <w:top w:w="72" w:type="dxa"/>
              <w:left w:w="144" w:type="dxa"/>
              <w:bottom w:w="72" w:type="dxa"/>
              <w:right w:w="144" w:type="dxa"/>
            </w:tcMar>
            <w:vAlign w:val="center"/>
            <w:hideMark/>
          </w:tcPr>
          <w:p w14:paraId="64C8013F" w14:textId="77777777" w:rsidR="00331D62" w:rsidRPr="006D7653" w:rsidRDefault="00331D62" w:rsidP="007E1C0A">
            <w:pPr>
              <w:spacing w:before="0" w:after="0"/>
              <w:ind w:firstLine="0"/>
              <w:contextualSpacing/>
              <w:rPr>
                <w:rFonts w:cs="Times New Roman"/>
                <w:sz w:val="20"/>
                <w:szCs w:val="20"/>
              </w:rPr>
            </w:pPr>
            <w:r w:rsidRPr="006D7653">
              <w:rPr>
                <w:rFonts w:cs="Times New Roman"/>
                <w:sz w:val="20"/>
                <w:szCs w:val="20"/>
              </w:rPr>
              <w:t>14.</w:t>
            </w:r>
          </w:p>
        </w:tc>
        <w:tc>
          <w:tcPr>
            <w:tcW w:w="2090" w:type="pct"/>
            <w:shd w:val="clear" w:color="auto" w:fill="FFFFFF"/>
            <w:tcMar>
              <w:top w:w="72" w:type="dxa"/>
              <w:left w:w="144" w:type="dxa"/>
              <w:bottom w:w="72" w:type="dxa"/>
              <w:right w:w="144" w:type="dxa"/>
            </w:tcMar>
            <w:vAlign w:val="center"/>
            <w:hideMark/>
          </w:tcPr>
          <w:p w14:paraId="67E4B00A" w14:textId="77777777" w:rsidR="00331D62" w:rsidRPr="006D7653" w:rsidRDefault="00331D62" w:rsidP="007E1C0A">
            <w:pPr>
              <w:spacing w:before="0" w:after="0"/>
              <w:ind w:firstLine="0"/>
              <w:contextualSpacing/>
              <w:rPr>
                <w:rFonts w:cs="Times New Roman"/>
                <w:sz w:val="20"/>
                <w:szCs w:val="20"/>
              </w:rPr>
            </w:pPr>
            <w:r w:rsidRPr="006D7653">
              <w:rPr>
                <w:rFonts w:cs="Times New Roman"/>
                <w:sz w:val="20"/>
                <w:szCs w:val="20"/>
              </w:rPr>
              <w:t>Izložu un azartspēļu nodoklis</w:t>
            </w:r>
          </w:p>
        </w:tc>
        <w:tc>
          <w:tcPr>
            <w:tcW w:w="1494" w:type="pct"/>
            <w:shd w:val="clear" w:color="auto" w:fill="FFFFFF"/>
            <w:tcMar>
              <w:top w:w="72" w:type="dxa"/>
              <w:left w:w="144" w:type="dxa"/>
              <w:bottom w:w="72" w:type="dxa"/>
              <w:right w:w="144" w:type="dxa"/>
            </w:tcMar>
            <w:vAlign w:val="center"/>
            <w:hideMark/>
          </w:tcPr>
          <w:p w14:paraId="4B426DE3" w14:textId="77777777" w:rsidR="00331D62" w:rsidRPr="006D7653" w:rsidRDefault="00331D62" w:rsidP="007E1C0A">
            <w:pPr>
              <w:spacing w:before="0" w:after="0"/>
              <w:ind w:firstLine="0"/>
              <w:contextualSpacing/>
              <w:jc w:val="center"/>
              <w:rPr>
                <w:rFonts w:cs="Times New Roman"/>
                <w:sz w:val="20"/>
                <w:szCs w:val="20"/>
              </w:rPr>
            </w:pPr>
            <w:r w:rsidRPr="006D7653">
              <w:rPr>
                <w:rFonts w:cs="Times New Roman"/>
                <w:i/>
                <w:iCs/>
                <w:sz w:val="20"/>
                <w:szCs w:val="20"/>
              </w:rPr>
              <w:t>dažādas</w:t>
            </w:r>
          </w:p>
        </w:tc>
        <w:tc>
          <w:tcPr>
            <w:tcW w:w="1045" w:type="pct"/>
            <w:shd w:val="clear" w:color="auto" w:fill="FFFFFF"/>
          </w:tcPr>
          <w:p w14:paraId="4E7E79C7" w14:textId="77777777" w:rsidR="00331D62" w:rsidRPr="006D7653" w:rsidRDefault="00331D62" w:rsidP="007E1C0A">
            <w:pPr>
              <w:spacing w:before="0" w:after="0"/>
              <w:ind w:firstLine="0"/>
              <w:contextualSpacing/>
              <w:jc w:val="center"/>
              <w:rPr>
                <w:rFonts w:cs="Times New Roman"/>
                <w:sz w:val="20"/>
                <w:szCs w:val="20"/>
              </w:rPr>
            </w:pPr>
            <w:r w:rsidRPr="006D7653">
              <w:rPr>
                <w:rFonts w:cs="Times New Roman"/>
                <w:sz w:val="20"/>
                <w:szCs w:val="20"/>
              </w:rPr>
              <w:t>0,34%</w:t>
            </w:r>
          </w:p>
        </w:tc>
      </w:tr>
    </w:tbl>
    <w:p w14:paraId="157A7583" w14:textId="77777777" w:rsidR="00331D62" w:rsidRPr="006D7653" w:rsidRDefault="00331D62" w:rsidP="00331D62">
      <w:pPr>
        <w:spacing w:before="120"/>
        <w:ind w:firstLine="0"/>
        <w:rPr>
          <w:rFonts w:cs="Times New Roman"/>
          <w:i/>
          <w:iCs/>
          <w:sz w:val="18"/>
          <w:szCs w:val="16"/>
        </w:rPr>
      </w:pPr>
      <w:bookmarkStart w:id="9" w:name="_Hlk142397558"/>
      <w:r w:rsidRPr="006D7653">
        <w:rPr>
          <w:rFonts w:cs="Times New Roman"/>
          <w:i/>
          <w:iCs/>
          <w:sz w:val="18"/>
          <w:szCs w:val="16"/>
        </w:rPr>
        <w:t xml:space="preserve">* Likumprojekta "Par valsts budžetu 2024. gadam un budžeta ietvaru 2024., 2025. un 2026. gadam” ietvaros izstrādātās prognozes </w:t>
      </w:r>
    </w:p>
    <w:bookmarkEnd w:id="9"/>
    <w:p w14:paraId="5F4E7EE5" w14:textId="45DC0716" w:rsidR="00AD6F84" w:rsidRDefault="00847E5E" w:rsidP="00331D62">
      <w:pPr>
        <w:spacing w:before="240"/>
        <w:rPr>
          <w:rFonts w:cs="Times New Roman"/>
        </w:rPr>
      </w:pPr>
      <w:r>
        <w:rPr>
          <w:rFonts w:cs="Times New Roman"/>
        </w:rPr>
        <w:t xml:space="preserve">Izvirzot nodokļu ieņēmumu vidēja termiņa mērķi, </w:t>
      </w:r>
      <w:r w:rsidR="007B0A1D">
        <w:rPr>
          <w:rFonts w:cs="Times New Roman"/>
        </w:rPr>
        <w:t xml:space="preserve">tika izvērtētas </w:t>
      </w:r>
      <w:bookmarkStart w:id="10" w:name="_Hlk142397623"/>
      <w:r w:rsidR="007B0A1D">
        <w:rPr>
          <w:rFonts w:cs="Times New Roman"/>
        </w:rPr>
        <w:t>Latvijai salīdzināmāk</w:t>
      </w:r>
      <w:r w:rsidR="00B858F3">
        <w:rPr>
          <w:rFonts w:cs="Times New Roman"/>
        </w:rPr>
        <w:t>ā</w:t>
      </w:r>
      <w:r w:rsidR="007B0A1D">
        <w:rPr>
          <w:rFonts w:cs="Times New Roman"/>
        </w:rPr>
        <w:t xml:space="preserve">s  </w:t>
      </w:r>
      <w:r w:rsidR="00331D62" w:rsidRPr="006D7653">
        <w:rPr>
          <w:rFonts w:cs="Times New Roman"/>
        </w:rPr>
        <w:t>ES valstu ekonomik</w:t>
      </w:r>
      <w:r w:rsidR="00AD6F84">
        <w:rPr>
          <w:rFonts w:cs="Times New Roman"/>
        </w:rPr>
        <w:t xml:space="preserve">as </w:t>
      </w:r>
      <w:r w:rsidR="00AD6F84" w:rsidRPr="006D7653">
        <w:rPr>
          <w:rFonts w:cs="Times New Roman"/>
        </w:rPr>
        <w:t xml:space="preserve">(pēc </w:t>
      </w:r>
      <w:r w:rsidR="00AD6F84">
        <w:rPr>
          <w:rFonts w:cs="Times New Roman"/>
        </w:rPr>
        <w:t xml:space="preserve">kritērija – </w:t>
      </w:r>
      <w:r w:rsidR="00AD6F84" w:rsidRPr="006D7653">
        <w:rPr>
          <w:rFonts w:cs="Times New Roman"/>
        </w:rPr>
        <w:t>IKP uz 1 iedzīvotāju)</w:t>
      </w:r>
      <w:r w:rsidR="00331D62" w:rsidRPr="006D7653">
        <w:rPr>
          <w:rFonts w:cs="Times New Roman"/>
        </w:rPr>
        <w:t xml:space="preserve"> kā Bulgārija, Rumānija, Ungārija, Horvātija, Polija, Lietuva un Igaunija</w:t>
      </w:r>
      <w:r w:rsidR="00AD6F84">
        <w:rPr>
          <w:rFonts w:cs="Times New Roman"/>
        </w:rPr>
        <w:t>. V</w:t>
      </w:r>
      <w:r w:rsidR="00331D62" w:rsidRPr="006D7653">
        <w:rPr>
          <w:rFonts w:cs="Times New Roman"/>
        </w:rPr>
        <w:t xml:space="preserve">ērtējot </w:t>
      </w:r>
      <w:r w:rsidR="00AD6F84">
        <w:rPr>
          <w:rFonts w:cs="Times New Roman"/>
        </w:rPr>
        <w:t>šo valstu</w:t>
      </w:r>
      <w:r w:rsidR="00AD6F84" w:rsidRPr="006D7653">
        <w:rPr>
          <w:rFonts w:cs="Times New Roman"/>
        </w:rPr>
        <w:t xml:space="preserve"> </w:t>
      </w:r>
      <w:r w:rsidR="00331D62" w:rsidRPr="006D7653">
        <w:rPr>
          <w:rFonts w:cs="Times New Roman"/>
        </w:rPr>
        <w:t xml:space="preserve">nodokļu ieņēmumu īpatsvaru IKP, secināms, ka </w:t>
      </w:r>
      <w:r w:rsidR="00331D62" w:rsidRPr="002C4FE5">
        <w:rPr>
          <w:rFonts w:cs="Times New Roman"/>
          <w:b/>
          <w:bCs/>
        </w:rPr>
        <w:t>Latvijas nodokļu ieņēmumu potenciāls</w:t>
      </w:r>
      <w:r w:rsidR="00AD6F84">
        <w:rPr>
          <w:rFonts w:cs="Times New Roman"/>
        </w:rPr>
        <w:t>, kam nav sagaidāmas negatīvas ietekmes uz izaugsmi,</w:t>
      </w:r>
      <w:r w:rsidR="00331D62" w:rsidRPr="006D7653">
        <w:rPr>
          <w:rFonts w:cs="Times New Roman"/>
        </w:rPr>
        <w:t xml:space="preserve"> ir</w:t>
      </w:r>
      <w:r w:rsidR="00AD6F84">
        <w:rPr>
          <w:rFonts w:cs="Times New Roman"/>
        </w:rPr>
        <w:t xml:space="preserve"> vismaz</w:t>
      </w:r>
      <w:r w:rsidR="00331D62" w:rsidRPr="006D7653">
        <w:rPr>
          <w:rFonts w:cs="Times New Roman"/>
        </w:rPr>
        <w:t xml:space="preserve"> </w:t>
      </w:r>
      <w:r w:rsidR="00331D62" w:rsidRPr="006D7653">
        <w:rPr>
          <w:rFonts w:cs="Times New Roman"/>
          <w:b/>
          <w:bCs/>
        </w:rPr>
        <w:t xml:space="preserve">32,75% no IKP </w:t>
      </w:r>
      <w:r w:rsidR="00331D62" w:rsidRPr="006D7653">
        <w:rPr>
          <w:rFonts w:cs="Times New Roman"/>
        </w:rPr>
        <w:t>(</w:t>
      </w:r>
      <w:r w:rsidR="00331D62" w:rsidRPr="006D7653">
        <w:rPr>
          <w:rFonts w:cs="Times New Roman"/>
          <w:i/>
          <w:iCs/>
        </w:rPr>
        <w:t>5. att.</w:t>
      </w:r>
      <w:r w:rsidR="00331D62" w:rsidRPr="006D7653">
        <w:rPr>
          <w:rFonts w:cs="Times New Roman"/>
        </w:rPr>
        <w:t>).</w:t>
      </w:r>
      <w:r w:rsidR="00AD6F84">
        <w:rPr>
          <w:rFonts w:cs="Times New Roman"/>
        </w:rPr>
        <w:t xml:space="preserve"> Kas ir 1,75 procentpunktu augstāks par 2023.gada prognozēto līmeni. </w:t>
      </w:r>
    </w:p>
    <w:bookmarkEnd w:id="10"/>
    <w:p w14:paraId="30E44174" w14:textId="77777777" w:rsidR="00331D62" w:rsidRPr="006D7653" w:rsidRDefault="00331D62" w:rsidP="00331D62">
      <w:pPr>
        <w:ind w:firstLine="0"/>
        <w:rPr>
          <w:rFonts w:cs="Times New Roman"/>
        </w:rPr>
      </w:pPr>
      <w:r w:rsidRPr="006D7653">
        <w:rPr>
          <w:rFonts w:cs="Times New Roman"/>
          <w:noProof/>
          <w:lang w:eastAsia="lv-LV"/>
        </w:rPr>
        <w:lastRenderedPageBreak/>
        <w:drawing>
          <wp:inline distT="0" distB="0" distL="0" distR="0" wp14:anchorId="66944EB3" wp14:editId="4E67F9FA">
            <wp:extent cx="5780315" cy="1813560"/>
            <wp:effectExtent l="0" t="0" r="11430" b="15240"/>
            <wp:docPr id="1660702291" name="Chart 1">
              <a:extLst xmlns:a="http://schemas.openxmlformats.org/drawingml/2006/main">
                <a:ext uri="{FF2B5EF4-FFF2-40B4-BE49-F238E27FC236}">
                  <a16:creationId xmlns:a16="http://schemas.microsoft.com/office/drawing/2014/main" id="{2FF7AF6C-70B2-312D-6578-76C0081B54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6D7653" w:rsidDel="00647DB6">
        <w:rPr>
          <w:rFonts w:cs="Times New Roman"/>
        </w:rPr>
        <w:t xml:space="preserve"> </w:t>
      </w:r>
    </w:p>
    <w:p w14:paraId="3FAFBD08" w14:textId="77777777" w:rsidR="00331D62" w:rsidRPr="006D7653" w:rsidRDefault="00331D62" w:rsidP="00331D62">
      <w:pPr>
        <w:spacing w:before="80" w:after="80"/>
        <w:ind w:firstLine="0"/>
        <w:rPr>
          <w:rFonts w:cs="Times New Roman"/>
          <w:sz w:val="22"/>
        </w:rPr>
      </w:pPr>
      <w:r w:rsidRPr="006D7653">
        <w:rPr>
          <w:rFonts w:cs="Times New Roman"/>
          <w:i/>
          <w:sz w:val="18"/>
        </w:rPr>
        <w:t>* Likumprojekta “Par valsts budžetu 2024. gadam un budžeta ietvaru 2024., 2025. un 2026. gadam” ietvaros izstrādātās prognozes</w:t>
      </w:r>
      <w:r w:rsidRPr="006D7653">
        <w:rPr>
          <w:rFonts w:cs="Times New Roman"/>
          <w:i/>
          <w:sz w:val="20"/>
          <w:szCs w:val="24"/>
        </w:rPr>
        <w:t>.</w:t>
      </w:r>
    </w:p>
    <w:p w14:paraId="53F3B718" w14:textId="77777777" w:rsidR="00331D62" w:rsidRPr="006D7653" w:rsidRDefault="00331D62" w:rsidP="00331D62">
      <w:pPr>
        <w:spacing w:before="80" w:after="80"/>
        <w:ind w:firstLine="0"/>
        <w:rPr>
          <w:rFonts w:cs="Times New Roman"/>
          <w:b/>
          <w:sz w:val="22"/>
        </w:rPr>
      </w:pPr>
      <w:r w:rsidRPr="006D7653">
        <w:rPr>
          <w:rFonts w:cs="Times New Roman"/>
          <w:sz w:val="22"/>
        </w:rPr>
        <w:t>5. att.</w:t>
      </w:r>
      <w:r w:rsidRPr="006D7653">
        <w:rPr>
          <w:rFonts w:cs="Times New Roman"/>
          <w:b/>
          <w:sz w:val="22"/>
        </w:rPr>
        <w:t xml:space="preserve"> </w:t>
      </w:r>
      <w:r w:rsidRPr="006D7653">
        <w:rPr>
          <w:rFonts w:cs="Times New Roman"/>
          <w:b/>
          <w:bCs/>
          <w:sz w:val="22"/>
        </w:rPr>
        <w:t>Faktiskie un prognozētie nodokļu ieņēmumi Latvijā un to potenciāls</w:t>
      </w:r>
      <w:r w:rsidRPr="006D7653">
        <w:rPr>
          <w:rFonts w:cs="Times New Roman"/>
          <w:b/>
          <w:sz w:val="22"/>
        </w:rPr>
        <w:t xml:space="preserve">, </w:t>
      </w:r>
      <w:r w:rsidRPr="006D7653">
        <w:rPr>
          <w:rFonts w:cs="Times New Roman"/>
          <w:bCs/>
          <w:i/>
          <w:iCs/>
          <w:sz w:val="22"/>
        </w:rPr>
        <w:t>% no IKP</w:t>
      </w:r>
    </w:p>
    <w:p w14:paraId="47C3EFBB" w14:textId="77777777" w:rsidR="00331D62" w:rsidRPr="006D7653" w:rsidRDefault="00331D62" w:rsidP="00331D62">
      <w:pPr>
        <w:tabs>
          <w:tab w:val="left" w:pos="426"/>
        </w:tabs>
        <w:spacing w:after="120"/>
        <w:ind w:firstLine="0"/>
        <w:rPr>
          <w:rFonts w:cs="Times New Roman"/>
          <w:i/>
          <w:sz w:val="20"/>
          <w:szCs w:val="24"/>
        </w:rPr>
      </w:pPr>
      <w:r w:rsidRPr="006D7653">
        <w:rPr>
          <w:rFonts w:cs="Times New Roman"/>
          <w:b/>
          <w:bCs/>
          <w:i/>
          <w:sz w:val="20"/>
          <w:szCs w:val="24"/>
        </w:rPr>
        <w:t>Avots</w:t>
      </w:r>
      <w:r w:rsidRPr="006D7653">
        <w:rPr>
          <w:rFonts w:cs="Times New Roman"/>
          <w:i/>
          <w:sz w:val="20"/>
          <w:szCs w:val="24"/>
        </w:rPr>
        <w:t xml:space="preserve">: FM dati un FM aprēķini. </w:t>
      </w:r>
    </w:p>
    <w:p w14:paraId="2F2CE323" w14:textId="77777777" w:rsidR="009D78EA" w:rsidRDefault="009D78EA" w:rsidP="00331D62">
      <w:pPr>
        <w:rPr>
          <w:rFonts w:cs="Times New Roman"/>
        </w:rPr>
      </w:pPr>
    </w:p>
    <w:p w14:paraId="3B6CC11F" w14:textId="681291F3" w:rsidR="00B51AB2" w:rsidRDefault="00762428" w:rsidP="009D78EA">
      <w:pPr>
        <w:rPr>
          <w:rFonts w:cs="Times New Roman"/>
        </w:rPr>
      </w:pPr>
      <w:r w:rsidRPr="006D7653">
        <w:rPr>
          <w:rFonts w:cs="Times New Roman"/>
        </w:rPr>
        <w:t>6. attēlā apkopotie dati parāda</w:t>
      </w:r>
      <w:r>
        <w:rPr>
          <w:rFonts w:cs="Times New Roman"/>
        </w:rPr>
        <w:t>, ka lielākās atšķirības ieņēmumu līmenī Latvijai ar sal</w:t>
      </w:r>
      <w:r w:rsidR="000C1957">
        <w:rPr>
          <w:rFonts w:cs="Times New Roman"/>
        </w:rPr>
        <w:t>ī</w:t>
      </w:r>
      <w:r>
        <w:rPr>
          <w:rFonts w:cs="Times New Roman"/>
        </w:rPr>
        <w:t>dzināmaj</w:t>
      </w:r>
      <w:r w:rsidR="000C1957">
        <w:rPr>
          <w:rFonts w:cs="Times New Roman"/>
        </w:rPr>
        <w:t>ā</w:t>
      </w:r>
      <w:r>
        <w:rPr>
          <w:rFonts w:cs="Times New Roman"/>
        </w:rPr>
        <w:t>m valst</w:t>
      </w:r>
      <w:r w:rsidR="00810CD1">
        <w:rPr>
          <w:rFonts w:cs="Times New Roman"/>
        </w:rPr>
        <w:t>ī</w:t>
      </w:r>
      <w:r>
        <w:rPr>
          <w:rFonts w:cs="Times New Roman"/>
        </w:rPr>
        <w:t xml:space="preserve">m ir darba spēka nodokļos un PVN. </w:t>
      </w:r>
    </w:p>
    <w:p w14:paraId="5B6249BD" w14:textId="0F41B4BC" w:rsidR="00B51AB2" w:rsidRPr="002C4FE5" w:rsidRDefault="00B51AB2" w:rsidP="002C4FE5">
      <w:pPr>
        <w:ind w:firstLine="0"/>
        <w:rPr>
          <w:rFonts w:cs="Times New Roman"/>
          <w:noProof/>
          <w:sz w:val="18"/>
          <w:szCs w:val="16"/>
          <w:shd w:val="clear" w:color="auto" w:fill="D9E2F3" w:themeFill="accent1" w:themeFillTint="33"/>
          <w:lang w:eastAsia="lv-LV"/>
        </w:rPr>
      </w:pPr>
      <w:r w:rsidRPr="002C4FE5">
        <w:rPr>
          <w:rFonts w:cs="Times New Roman"/>
          <w:noProof/>
          <w:sz w:val="18"/>
          <w:szCs w:val="16"/>
          <w:shd w:val="clear" w:color="auto" w:fill="D9E2F3" w:themeFill="accent1" w:themeFillTint="33"/>
          <w:lang w:eastAsia="lv-LV"/>
        </w:rPr>
        <w:drawing>
          <wp:inline distT="0" distB="0" distL="0" distR="0" wp14:anchorId="66BF4592" wp14:editId="531B4EA5">
            <wp:extent cx="5797550" cy="2794000"/>
            <wp:effectExtent l="0" t="0" r="12700" b="6350"/>
            <wp:docPr id="116668656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80F0B0A" w14:textId="19B8A5D8" w:rsidR="00B51AB2" w:rsidRPr="006D7653" w:rsidRDefault="00B51AB2" w:rsidP="00B51AB2">
      <w:pPr>
        <w:spacing w:before="80" w:after="80"/>
        <w:ind w:firstLine="0"/>
        <w:rPr>
          <w:rFonts w:cs="Times New Roman"/>
          <w:i/>
          <w:iCs/>
          <w:sz w:val="22"/>
        </w:rPr>
      </w:pPr>
      <w:r w:rsidRPr="006D7653">
        <w:rPr>
          <w:rFonts w:cs="Times New Roman"/>
          <w:sz w:val="22"/>
        </w:rPr>
        <w:t>6. att.</w:t>
      </w:r>
      <w:r w:rsidRPr="006D7653">
        <w:rPr>
          <w:rFonts w:cs="Times New Roman"/>
          <w:b/>
          <w:sz w:val="22"/>
        </w:rPr>
        <w:t xml:space="preserve"> </w:t>
      </w:r>
      <w:r w:rsidRPr="00B51AB2">
        <w:rPr>
          <w:rFonts w:cs="Times New Roman"/>
          <w:b/>
          <w:bCs/>
          <w:sz w:val="22"/>
        </w:rPr>
        <w:t xml:space="preserve">Nodokļu ieņēmumu īpatsvars dažādās valstīs 2021. gadā, </w:t>
      </w:r>
      <w:r w:rsidRPr="002C4FE5">
        <w:rPr>
          <w:rFonts w:cs="Times New Roman"/>
          <w:i/>
          <w:iCs/>
          <w:sz w:val="22"/>
        </w:rPr>
        <w:t>% no IKP</w:t>
      </w:r>
    </w:p>
    <w:p w14:paraId="44272F7C" w14:textId="4316D2BB" w:rsidR="00B51AB2" w:rsidRDefault="00B51AB2" w:rsidP="00B51AB2">
      <w:pPr>
        <w:tabs>
          <w:tab w:val="left" w:pos="426"/>
        </w:tabs>
        <w:spacing w:after="120"/>
        <w:ind w:firstLine="0"/>
        <w:rPr>
          <w:rFonts w:cs="Times New Roman"/>
          <w:i/>
          <w:sz w:val="20"/>
          <w:szCs w:val="24"/>
        </w:rPr>
      </w:pPr>
      <w:r w:rsidRPr="006D7653">
        <w:rPr>
          <w:rFonts w:cs="Times New Roman"/>
          <w:b/>
          <w:bCs/>
          <w:i/>
          <w:sz w:val="20"/>
          <w:szCs w:val="24"/>
        </w:rPr>
        <w:t>Avots</w:t>
      </w:r>
      <w:r w:rsidRPr="006D7653">
        <w:rPr>
          <w:rFonts w:cs="Times New Roman"/>
          <w:i/>
          <w:sz w:val="20"/>
          <w:szCs w:val="24"/>
        </w:rPr>
        <w:t>: Eurostat dati</w:t>
      </w:r>
    </w:p>
    <w:p w14:paraId="047040D6" w14:textId="77777777" w:rsidR="00AA3A7D" w:rsidRDefault="00AA3A7D" w:rsidP="00B51AB2">
      <w:pPr>
        <w:tabs>
          <w:tab w:val="left" w:pos="426"/>
        </w:tabs>
        <w:spacing w:after="120"/>
        <w:ind w:firstLine="0"/>
        <w:rPr>
          <w:rFonts w:cs="Times New Roman"/>
          <w:i/>
          <w:sz w:val="20"/>
          <w:szCs w:val="24"/>
        </w:rPr>
      </w:pPr>
    </w:p>
    <w:p w14:paraId="3CADF35C" w14:textId="77777777" w:rsidR="00AA3A7D" w:rsidRDefault="00AA3A7D" w:rsidP="00B51AB2">
      <w:pPr>
        <w:tabs>
          <w:tab w:val="left" w:pos="426"/>
        </w:tabs>
        <w:spacing w:after="120"/>
        <w:ind w:firstLine="0"/>
        <w:rPr>
          <w:rFonts w:cs="Times New Roman"/>
          <w:i/>
          <w:sz w:val="20"/>
          <w:szCs w:val="24"/>
        </w:rPr>
      </w:pPr>
    </w:p>
    <w:p w14:paraId="0A61A3A2" w14:textId="77777777" w:rsidR="00AA3A7D" w:rsidRDefault="00AA3A7D" w:rsidP="00B51AB2">
      <w:pPr>
        <w:tabs>
          <w:tab w:val="left" w:pos="426"/>
        </w:tabs>
        <w:spacing w:after="120"/>
        <w:ind w:firstLine="0"/>
        <w:rPr>
          <w:rFonts w:cs="Times New Roman"/>
          <w:i/>
          <w:sz w:val="20"/>
          <w:szCs w:val="24"/>
        </w:rPr>
      </w:pPr>
    </w:p>
    <w:p w14:paraId="0CC78949" w14:textId="77777777" w:rsidR="00AA3A7D" w:rsidRDefault="00AA3A7D" w:rsidP="00B51AB2">
      <w:pPr>
        <w:tabs>
          <w:tab w:val="left" w:pos="426"/>
        </w:tabs>
        <w:spacing w:after="120"/>
        <w:ind w:firstLine="0"/>
        <w:rPr>
          <w:rFonts w:cs="Times New Roman"/>
          <w:i/>
          <w:sz w:val="20"/>
          <w:szCs w:val="24"/>
        </w:rPr>
      </w:pPr>
    </w:p>
    <w:p w14:paraId="74C9B2D4" w14:textId="77777777" w:rsidR="00AA3A7D" w:rsidRDefault="00AA3A7D" w:rsidP="00B51AB2">
      <w:pPr>
        <w:tabs>
          <w:tab w:val="left" w:pos="426"/>
        </w:tabs>
        <w:spacing w:after="120"/>
        <w:ind w:firstLine="0"/>
        <w:rPr>
          <w:rFonts w:cs="Times New Roman"/>
          <w:i/>
          <w:sz w:val="20"/>
          <w:szCs w:val="24"/>
        </w:rPr>
      </w:pPr>
    </w:p>
    <w:p w14:paraId="0CDD902B" w14:textId="77777777" w:rsidR="00AA3A7D" w:rsidRDefault="00AA3A7D" w:rsidP="00B51AB2">
      <w:pPr>
        <w:tabs>
          <w:tab w:val="left" w:pos="426"/>
        </w:tabs>
        <w:spacing w:after="120"/>
        <w:ind w:firstLine="0"/>
        <w:rPr>
          <w:rFonts w:cs="Times New Roman"/>
          <w:i/>
          <w:sz w:val="20"/>
          <w:szCs w:val="24"/>
        </w:rPr>
      </w:pPr>
    </w:p>
    <w:p w14:paraId="564516D2" w14:textId="77777777" w:rsidR="00AA3A7D" w:rsidRDefault="00AA3A7D" w:rsidP="00B51AB2">
      <w:pPr>
        <w:tabs>
          <w:tab w:val="left" w:pos="426"/>
        </w:tabs>
        <w:spacing w:after="120"/>
        <w:ind w:firstLine="0"/>
        <w:rPr>
          <w:rFonts w:cs="Times New Roman"/>
          <w:i/>
          <w:sz w:val="20"/>
          <w:szCs w:val="24"/>
        </w:rPr>
      </w:pPr>
    </w:p>
    <w:p w14:paraId="343CEBC4" w14:textId="77777777" w:rsidR="00AA3A7D" w:rsidRDefault="00AA3A7D" w:rsidP="00B51AB2">
      <w:pPr>
        <w:tabs>
          <w:tab w:val="left" w:pos="426"/>
        </w:tabs>
        <w:spacing w:after="120"/>
        <w:ind w:firstLine="0"/>
        <w:rPr>
          <w:rFonts w:cs="Times New Roman"/>
          <w:i/>
          <w:sz w:val="20"/>
          <w:szCs w:val="24"/>
        </w:rPr>
      </w:pPr>
    </w:p>
    <w:p w14:paraId="50884A31" w14:textId="77777777" w:rsidR="00AA3A7D" w:rsidRDefault="00AA3A7D" w:rsidP="00B51AB2">
      <w:pPr>
        <w:tabs>
          <w:tab w:val="left" w:pos="426"/>
        </w:tabs>
        <w:spacing w:after="120"/>
        <w:ind w:firstLine="0"/>
        <w:rPr>
          <w:rFonts w:cs="Times New Roman"/>
          <w:i/>
          <w:sz w:val="20"/>
          <w:szCs w:val="24"/>
        </w:rPr>
      </w:pPr>
    </w:p>
    <w:p w14:paraId="7F9BA3EC" w14:textId="77777777" w:rsidR="00AA3A7D" w:rsidRPr="006D7653" w:rsidRDefault="00AA3A7D" w:rsidP="00B51AB2">
      <w:pPr>
        <w:tabs>
          <w:tab w:val="left" w:pos="426"/>
        </w:tabs>
        <w:spacing w:after="120"/>
        <w:ind w:firstLine="0"/>
        <w:rPr>
          <w:rFonts w:cs="Times New Roman"/>
          <w:i/>
          <w:sz w:val="20"/>
          <w:szCs w:val="24"/>
        </w:rPr>
      </w:pPr>
    </w:p>
    <w:p w14:paraId="3F5E71E4" w14:textId="72CD48BE" w:rsidR="00331D62" w:rsidRPr="006D7653" w:rsidRDefault="00331D62" w:rsidP="00331D62">
      <w:pPr>
        <w:pStyle w:val="Heading1"/>
        <w:rPr>
          <w:rFonts w:cs="Times New Roman"/>
        </w:rPr>
      </w:pPr>
      <w:bookmarkStart w:id="11" w:name="_Toc142672834"/>
      <w:bookmarkStart w:id="12" w:name="_Toc142674605"/>
      <w:bookmarkStart w:id="13" w:name="_Toc142674672"/>
      <w:bookmarkStart w:id="14" w:name="_Toc142672835"/>
      <w:bookmarkStart w:id="15" w:name="_Toc142674606"/>
      <w:bookmarkStart w:id="16" w:name="_Toc142674673"/>
      <w:bookmarkStart w:id="17" w:name="_Toc142672836"/>
      <w:bookmarkStart w:id="18" w:name="_Toc142674607"/>
      <w:bookmarkStart w:id="19" w:name="_Toc142674674"/>
      <w:bookmarkStart w:id="20" w:name="_Toc142672837"/>
      <w:bookmarkStart w:id="21" w:name="_Toc142674608"/>
      <w:bookmarkStart w:id="22" w:name="_Toc142674675"/>
      <w:bookmarkStart w:id="23" w:name="_Toc142672838"/>
      <w:bookmarkStart w:id="24" w:name="_Toc142674609"/>
      <w:bookmarkStart w:id="25" w:name="_Toc142674676"/>
      <w:bookmarkStart w:id="26" w:name="_Toc142672839"/>
      <w:bookmarkStart w:id="27" w:name="_Toc142674610"/>
      <w:bookmarkStart w:id="28" w:name="_Toc142674677"/>
      <w:bookmarkStart w:id="29" w:name="_Toc142672840"/>
      <w:bookmarkStart w:id="30" w:name="_Toc142674611"/>
      <w:bookmarkStart w:id="31" w:name="_Toc142674678"/>
      <w:bookmarkStart w:id="32" w:name="_Toc142672841"/>
      <w:bookmarkStart w:id="33" w:name="_Toc142674612"/>
      <w:bookmarkStart w:id="34" w:name="_Toc142674679"/>
      <w:bookmarkStart w:id="35" w:name="_Toc142672842"/>
      <w:bookmarkStart w:id="36" w:name="_Toc142674613"/>
      <w:bookmarkStart w:id="37" w:name="_Toc142674680"/>
      <w:bookmarkStart w:id="38" w:name="_Toc142672843"/>
      <w:bookmarkStart w:id="39" w:name="_Toc142674614"/>
      <w:bookmarkStart w:id="40" w:name="_Toc142674681"/>
      <w:bookmarkStart w:id="41" w:name="_Toc142897054"/>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6D7653">
        <w:rPr>
          <w:rFonts w:cs="Times New Roman"/>
        </w:rPr>
        <w:lastRenderedPageBreak/>
        <w:t>Ēnu ekonomika</w:t>
      </w:r>
      <w:r w:rsidR="00AE2C0E">
        <w:rPr>
          <w:rFonts w:cs="Times New Roman"/>
        </w:rPr>
        <w:t>s</w:t>
      </w:r>
      <w:r w:rsidR="00EB7188">
        <w:rPr>
          <w:rFonts w:cs="Times New Roman"/>
        </w:rPr>
        <w:t xml:space="preserve"> ierobežošanas</w:t>
      </w:r>
      <w:r w:rsidRPr="006D7653">
        <w:rPr>
          <w:rFonts w:cs="Times New Roman"/>
        </w:rPr>
        <w:t xml:space="preserve"> potenciālā fiskālā ietekme</w:t>
      </w:r>
      <w:bookmarkEnd w:id="41"/>
    </w:p>
    <w:p w14:paraId="25440562" w14:textId="17C95106" w:rsidR="00331D62" w:rsidRPr="006D7653" w:rsidRDefault="00762428" w:rsidP="00331D62">
      <w:pPr>
        <w:rPr>
          <w:rFonts w:eastAsia="Calibri" w:cs="Times New Roman"/>
          <w:color w:val="000000"/>
          <w:kern w:val="2"/>
          <w14:ligatures w14:val="standardContextual"/>
        </w:rPr>
      </w:pPr>
      <w:r>
        <w:rPr>
          <w:rFonts w:cs="Times New Roman"/>
        </w:rPr>
        <w:t>Lai realizēt</w:t>
      </w:r>
      <w:r w:rsidR="00D30D81">
        <w:rPr>
          <w:rFonts w:cs="Times New Roman"/>
        </w:rPr>
        <w:t>u tautsaimniecības attīstības mērķus un ar nodokļu politikas palīdzību efektīvāk realizētu nodokļu sistēmas potenciālu</w:t>
      </w:r>
      <w:r w:rsidR="0089734A">
        <w:rPr>
          <w:rFonts w:cs="Times New Roman"/>
        </w:rPr>
        <w:t>,</w:t>
      </w:r>
      <w:r w:rsidR="00D30D81">
        <w:rPr>
          <w:rFonts w:cs="Times New Roman"/>
        </w:rPr>
        <w:t xml:space="preserve"> būtiski ir ierobežot ēnu ekonomikas apjomu un ietekmi. Ē</w:t>
      </w:r>
      <w:r w:rsidR="00331D62" w:rsidRPr="006D7653">
        <w:rPr>
          <w:rFonts w:cs="Times New Roman"/>
        </w:rPr>
        <w:t>nu ekonomikas jēdzien</w:t>
      </w:r>
      <w:r w:rsidR="00D30D81">
        <w:rPr>
          <w:rFonts w:cs="Times New Roman"/>
        </w:rPr>
        <w:t>s</w:t>
      </w:r>
      <w:r w:rsidR="00331D62" w:rsidRPr="006D7653">
        <w:rPr>
          <w:rFonts w:cs="Times New Roman"/>
        </w:rPr>
        <w:t xml:space="preserve"> raksturo neformālo ekonomikas daļu, no kuras netiek maksāti nodokļi </w:t>
      </w:r>
      <w:bookmarkStart w:id="42" w:name="_Hlk141381134"/>
      <w:r w:rsidR="00331D62" w:rsidRPr="006D7653">
        <w:rPr>
          <w:rFonts w:cs="Times New Roman"/>
        </w:rPr>
        <w:t>atbilstoši valsts nodokļu regulējumam.</w:t>
      </w:r>
      <w:bookmarkEnd w:id="42"/>
      <w:r w:rsidR="00331D62" w:rsidRPr="006D7653">
        <w:rPr>
          <w:rFonts w:eastAsia="Calibri" w:cs="Times New Roman"/>
          <w:color w:val="000000"/>
          <w:kern w:val="2"/>
          <w14:ligatures w14:val="standardContextual"/>
        </w:rPr>
        <w:t xml:space="preserve"> Ēnu ekonomika ir saistīta ar daudziem riskiem</w:t>
      </w:r>
      <w:r w:rsidR="00D30D81">
        <w:rPr>
          <w:rFonts w:eastAsia="Calibri" w:cs="Times New Roman"/>
          <w:color w:val="000000"/>
          <w:kern w:val="2"/>
          <w14:ligatures w14:val="standardContextual"/>
        </w:rPr>
        <w:t xml:space="preserve">, kas </w:t>
      </w:r>
      <w:r w:rsidR="00331D62" w:rsidRPr="006D7653">
        <w:rPr>
          <w:rFonts w:eastAsia="Calibri" w:cs="Times New Roman"/>
          <w:color w:val="000000"/>
          <w:kern w:val="2"/>
          <w14:ligatures w14:val="standardContextual"/>
        </w:rPr>
        <w:t xml:space="preserve">kavē valsts ekonomikas izaugsmi, veicina nevienlīdzīgu konkurenci, izkropļo tirgu, negatīvi ietekmē nodokļu iekasēšanu un samazina valsts budžeta ieņēmumus. Tas attiecīgi samazina valsts rīcībā esošo finansējumu, ko iespējams izmantot sabiedrības labklājības un dzīves kvalitātes paaugstināšanai, infrastruktūras un pakalpojumu attīstībai, kas rada priekšnosacījumus ekonomiski aktīvu uzņēmumu skaita palielināšanai un ražošanas paplašināšanai. </w:t>
      </w:r>
    </w:p>
    <w:p w14:paraId="3D8F3401" w14:textId="77777777" w:rsidR="00331D62" w:rsidRPr="006D7653" w:rsidRDefault="00331D62" w:rsidP="00331D62">
      <w:pPr>
        <w:rPr>
          <w:rFonts w:cs="Times New Roman"/>
        </w:rPr>
      </w:pPr>
      <w:r w:rsidRPr="006D7653">
        <w:rPr>
          <w:rFonts w:cs="Times New Roman"/>
        </w:rPr>
        <w:t>Lai veiksmīgi ierobežotu ēnu ekonomiku, nepieciešama visaptverošas un rūpīgi izstrādātas politikas īstenošana, fokusējoties uz noteicošajiem faktoriem, kas ir vissvarīgākie uzņēmējdarbības vides pilnveidošanai. Pasākumi var būt dažādi, sākot no regulējošā un administratīvā sloga mazināšanas, caurskatāmības veicināšanas un valdības efektivitātes uzlabošanas līdz nodokļu saistību izpildes uzlabošanai, procedūru automatizācijai un elektronisko maksājumu veicināšanai.</w:t>
      </w:r>
    </w:p>
    <w:p w14:paraId="39CAD511" w14:textId="70183346" w:rsidR="00331D62" w:rsidRPr="006D7653" w:rsidRDefault="00331D62" w:rsidP="00331D62">
      <w:pPr>
        <w:rPr>
          <w:rFonts w:eastAsia="Calibri" w:cs="Times New Roman"/>
          <w:color w:val="000000"/>
          <w:kern w:val="2"/>
          <w14:ligatures w14:val="standardContextual"/>
        </w:rPr>
      </w:pPr>
      <w:r w:rsidRPr="006D7653">
        <w:rPr>
          <w:rFonts w:eastAsia="Calibri" w:cs="Times New Roman"/>
          <w:color w:val="000000"/>
          <w:kern w:val="2"/>
          <w14:ligatures w14:val="standardContextual"/>
        </w:rPr>
        <w:t>Ēnu ekonomikas apjoma aprēķinu metodes nevar viennozīmīgi uzskatīt par precīzām un savstarpēji salīdzināmām.</w:t>
      </w:r>
      <w:r w:rsidR="00762428">
        <w:rPr>
          <w:rFonts w:eastAsia="Calibri" w:cs="Times New Roman"/>
          <w:color w:val="000000"/>
          <w:kern w:val="2"/>
          <w14:ligatures w14:val="standardContextual"/>
        </w:rPr>
        <w:t xml:space="preserve"> A</w:t>
      </w:r>
      <w:r w:rsidRPr="006D7653">
        <w:rPr>
          <w:rFonts w:eastAsia="Calibri" w:cs="Times New Roman"/>
          <w:color w:val="000000"/>
          <w:kern w:val="2"/>
          <w14:ligatures w14:val="standardContextual"/>
        </w:rPr>
        <w:t xml:space="preserve">r ēnu ekonomikas apmēra pētīšanu nodarbojas vairāki starptautiski atzīti ekonomisti. Lai iegūtu visaptverošu priekšstatu par ēnu ekonomikas apmēru, tiek salīdzināti vairāku pētījumu rezultāti, kuru pamatā ir gan tiešās (aptaujas) metodes, gan netiešās (makroekonomiskās) metodes. Lielākā daļa šo metožu dod iespēju novērtēt tikai ēnu ekonomikas pārmaiņu virzienu un pieauguma vai samazinājuma aptuvenu mērogu, proti, tendences, nevis konkrētu tās lielumu. </w:t>
      </w:r>
    </w:p>
    <w:p w14:paraId="1AB78B50" w14:textId="6731A05E" w:rsidR="003C496E" w:rsidRDefault="00D30D81" w:rsidP="00331D62">
      <w:pPr>
        <w:rPr>
          <w:rFonts w:eastAsia="Calibri" w:cs="Times New Roman"/>
          <w:color w:val="000000"/>
          <w:kern w:val="2"/>
          <w:szCs w:val="24"/>
          <w14:ligatures w14:val="standardContextual"/>
        </w:rPr>
      </w:pPr>
      <w:r>
        <w:rPr>
          <w:rFonts w:eastAsia="Calibri" w:cs="Times New Roman"/>
          <w:color w:val="000000"/>
          <w:kern w:val="2"/>
          <w14:ligatures w14:val="standardContextual"/>
        </w:rPr>
        <w:t xml:space="preserve">Finanšu ministrija </w:t>
      </w:r>
      <w:r w:rsidRPr="006D7653">
        <w:rPr>
          <w:rFonts w:eastAsia="Calibri" w:cs="Times New Roman"/>
          <w:color w:val="000000"/>
          <w:kern w:val="2"/>
          <w14:ligatures w14:val="standardContextual"/>
        </w:rPr>
        <w:t>ciešā sadarbībā ar nozaru ministrijām un nevalstisko organizāciju pārstāvjiem</w:t>
      </w:r>
      <w:r>
        <w:rPr>
          <w:rFonts w:eastAsia="Calibri" w:cs="Times New Roman"/>
          <w:color w:val="000000"/>
          <w:kern w:val="2"/>
          <w14:ligatures w14:val="standardContextual"/>
        </w:rPr>
        <w:t xml:space="preserve"> ir </w:t>
      </w:r>
      <w:r w:rsidR="00331D62" w:rsidRPr="006D7653">
        <w:rPr>
          <w:rFonts w:eastAsia="Calibri" w:cs="Times New Roman"/>
          <w:color w:val="000000"/>
          <w:kern w:val="2"/>
          <w14:ligatures w14:val="standardContextual"/>
        </w:rPr>
        <w:t>izstrādā</w:t>
      </w:r>
      <w:r>
        <w:rPr>
          <w:rFonts w:eastAsia="Calibri" w:cs="Times New Roman"/>
          <w:color w:val="000000"/>
          <w:kern w:val="2"/>
          <w14:ligatures w14:val="standardContextual"/>
        </w:rPr>
        <w:t xml:space="preserve">jusi </w:t>
      </w:r>
      <w:r w:rsidR="00331D62" w:rsidRPr="006D7653">
        <w:rPr>
          <w:rFonts w:eastAsia="Calibri" w:cs="Times New Roman"/>
          <w:i/>
          <w:iCs/>
          <w:color w:val="000000"/>
          <w:kern w:val="2"/>
          <w14:ligatures w14:val="standardContextual"/>
        </w:rPr>
        <w:t>Ēnu ekonomikas ierobežošanas plān</w:t>
      </w:r>
      <w:r>
        <w:rPr>
          <w:rFonts w:eastAsia="Calibri" w:cs="Times New Roman"/>
          <w:i/>
          <w:iCs/>
          <w:color w:val="000000"/>
          <w:kern w:val="2"/>
          <w14:ligatures w14:val="standardContextual"/>
        </w:rPr>
        <w:t>a</w:t>
      </w:r>
      <w:r w:rsidR="00331D62" w:rsidRPr="006D7653">
        <w:rPr>
          <w:rFonts w:eastAsia="Calibri" w:cs="Times New Roman"/>
          <w:i/>
          <w:iCs/>
          <w:color w:val="000000"/>
          <w:kern w:val="2"/>
          <w14:ligatures w14:val="standardContextual"/>
        </w:rPr>
        <w:t xml:space="preserve"> 2024. - 2027. gadam</w:t>
      </w:r>
      <w:r w:rsidR="00331D62" w:rsidRPr="006D7653">
        <w:rPr>
          <w:rFonts w:eastAsia="Calibri" w:cs="Times New Roman"/>
          <w:color w:val="000000"/>
          <w:kern w:val="2"/>
          <w14:ligatures w14:val="standardContextual"/>
        </w:rPr>
        <w:t xml:space="preserve"> </w:t>
      </w:r>
      <w:r w:rsidR="00331D62" w:rsidRPr="002C4FE5">
        <w:rPr>
          <w:rFonts w:eastAsia="Calibri" w:cs="Times New Roman"/>
          <w:color w:val="000000"/>
          <w:kern w:val="2"/>
          <w14:ligatures w14:val="standardContextual"/>
        </w:rPr>
        <w:t>projekt</w:t>
      </w:r>
      <w:r w:rsidRPr="00D30D81">
        <w:rPr>
          <w:rFonts w:eastAsia="Calibri" w:cs="Times New Roman"/>
          <w:color w:val="000000"/>
          <w:kern w:val="2"/>
          <w14:ligatures w14:val="standardContextual"/>
        </w:rPr>
        <w:t>u</w:t>
      </w:r>
      <w:r>
        <w:rPr>
          <w:rStyle w:val="FootnoteReference"/>
          <w:rFonts w:eastAsia="Calibri" w:cs="Times New Roman"/>
          <w:color w:val="000000"/>
          <w:kern w:val="2"/>
          <w14:ligatures w14:val="standardContextual"/>
        </w:rPr>
        <w:footnoteReference w:id="3"/>
      </w:r>
      <w:r w:rsidR="00331D62" w:rsidRPr="006D7653">
        <w:rPr>
          <w:rFonts w:eastAsia="Calibri" w:cs="Times New Roman"/>
          <w:color w:val="000000"/>
          <w:kern w:val="2"/>
          <w14:ligatures w14:val="standardContextual"/>
        </w:rPr>
        <w:t>, kas ir vidējā termiņa politikas plānošanas dokuments, kura prioritāte turpmākajiem četriem gadiem ir ēnu ekonomikas mazināšana, īstenojot gan horizontāla rakstura pasākumus, gan fokusētus pasākumus konkrētās tautsaimniecības nozarēs</w:t>
      </w:r>
      <w:r>
        <w:rPr>
          <w:rFonts w:eastAsia="Calibri" w:cs="Times New Roman"/>
          <w:color w:val="000000"/>
          <w:kern w:val="2"/>
          <w14:ligatures w14:val="standardContextual"/>
        </w:rPr>
        <w:t>.</w:t>
      </w:r>
      <w:r w:rsidR="003C496E" w:rsidRPr="003C496E">
        <w:rPr>
          <w:rFonts w:eastAsia="Calibri" w:cs="Times New Roman"/>
          <w:color w:val="000000"/>
          <w:kern w:val="2"/>
          <w:szCs w:val="24"/>
          <w14:ligatures w14:val="standardContextual"/>
        </w:rPr>
        <w:t xml:space="preserve"> </w:t>
      </w:r>
    </w:p>
    <w:p w14:paraId="355CCAB0" w14:textId="58203B5A" w:rsidR="00331D62" w:rsidRPr="006D7653" w:rsidRDefault="003C496E" w:rsidP="00331D62">
      <w:pPr>
        <w:rPr>
          <w:rFonts w:eastAsia="Calibri" w:cs="Times New Roman"/>
          <w:color w:val="000000"/>
          <w:kern w:val="2"/>
          <w14:ligatures w14:val="standardContextual"/>
        </w:rPr>
      </w:pPr>
      <w:r w:rsidRPr="00E55D31">
        <w:rPr>
          <w:rFonts w:eastAsia="Calibri" w:cs="Times New Roman"/>
          <w:color w:val="000000"/>
          <w:kern w:val="2"/>
          <w:szCs w:val="24"/>
          <w14:ligatures w14:val="standardContextual"/>
        </w:rPr>
        <w:t>Ēnu ekonomikas ierobežošanas plān</w:t>
      </w:r>
      <w:r>
        <w:rPr>
          <w:rFonts w:eastAsia="Calibri" w:cs="Times New Roman"/>
          <w:color w:val="000000"/>
          <w:kern w:val="2"/>
          <w:szCs w:val="24"/>
          <w14:ligatures w14:val="standardContextual"/>
        </w:rPr>
        <w:t xml:space="preserve">s, ņemot vērā tajā ietvertos pasākumus un ietekmi uz uzņēmējdarbības vidi, </w:t>
      </w:r>
      <w:r w:rsidRPr="006D7653">
        <w:rPr>
          <w:rFonts w:eastAsia="Calibri" w:cs="Times New Roman"/>
          <w:color w:val="000000"/>
          <w:kern w:val="2"/>
          <w:szCs w:val="24"/>
          <w14:ligatures w14:val="standardContextual"/>
        </w:rPr>
        <w:t>piedāvā scenārij</w:t>
      </w:r>
      <w:r>
        <w:rPr>
          <w:rFonts w:eastAsia="Calibri" w:cs="Times New Roman"/>
          <w:color w:val="000000"/>
          <w:kern w:val="2"/>
          <w:szCs w:val="24"/>
          <w14:ligatures w14:val="standardContextual"/>
        </w:rPr>
        <w:t>u</w:t>
      </w:r>
      <w:r w:rsidRPr="006D7653">
        <w:rPr>
          <w:rFonts w:eastAsia="Calibri" w:cs="Times New Roman"/>
          <w:color w:val="000000"/>
          <w:kern w:val="2"/>
          <w:szCs w:val="24"/>
          <w14:ligatures w14:val="standardContextual"/>
        </w:rPr>
        <w:t>, kura reālistiskais mērķis paredz tuvināties ES vidējam rādītājam, samazinot ēnu ekonomikas aplēses līdz 2027. gadam par 1 procentpunktu</w:t>
      </w:r>
      <w:r w:rsidR="00943F45">
        <w:rPr>
          <w:rFonts w:eastAsia="Calibri" w:cs="Times New Roman"/>
          <w:color w:val="000000"/>
          <w:kern w:val="2"/>
          <w:szCs w:val="24"/>
          <w14:ligatures w14:val="standardContextual"/>
        </w:rPr>
        <w:t>.</w:t>
      </w:r>
    </w:p>
    <w:p w14:paraId="1F6250DD" w14:textId="293B9560" w:rsidR="00331D62" w:rsidRPr="006D7653" w:rsidRDefault="00331D62" w:rsidP="00331D62">
      <w:pPr>
        <w:rPr>
          <w:rFonts w:eastAsia="Times New Roman" w:cs="Times New Roman"/>
          <w:szCs w:val="24"/>
          <w:lang w:eastAsia="lv-LV"/>
        </w:rPr>
      </w:pPr>
      <w:r w:rsidRPr="006D7653">
        <w:rPr>
          <w:rFonts w:cs="Times New Roman"/>
          <w:szCs w:val="24"/>
        </w:rPr>
        <w:t xml:space="preserve">Saskaņā </w:t>
      </w:r>
      <w:r w:rsidR="003C496E">
        <w:rPr>
          <w:rFonts w:cs="Times New Roman"/>
          <w:szCs w:val="24"/>
        </w:rPr>
        <w:t>ar šo</w:t>
      </w:r>
      <w:r w:rsidRPr="006D7653">
        <w:rPr>
          <w:rFonts w:cs="Times New Roman"/>
          <w:szCs w:val="24"/>
        </w:rPr>
        <w:t xml:space="preserve"> scenāriju ēnu ekonomikas apjoma mazināšanai par 1 procentpunktu līdz 2027. gadam, no plānā iekļauto pasākumu kopsummas tiek plānots iegūt papildu ienākumus budžetā 120 miljonu </w:t>
      </w:r>
      <w:r w:rsidRPr="006D7653">
        <w:rPr>
          <w:rFonts w:cs="Times New Roman"/>
          <w:i/>
          <w:iCs/>
          <w:szCs w:val="24"/>
        </w:rPr>
        <w:t xml:space="preserve">euro </w:t>
      </w:r>
      <w:r w:rsidRPr="006D7653">
        <w:rPr>
          <w:rFonts w:cs="Times New Roman"/>
          <w:szCs w:val="24"/>
        </w:rPr>
        <w:t xml:space="preserve">apmērā. </w:t>
      </w:r>
    </w:p>
    <w:p w14:paraId="19C4FDA3" w14:textId="77777777" w:rsidR="00331D62" w:rsidRPr="006D7653" w:rsidRDefault="00331D62" w:rsidP="00331D62">
      <w:pPr>
        <w:rPr>
          <w:rFonts w:eastAsia="Times New Roman" w:cs="Times New Roman"/>
          <w:szCs w:val="24"/>
          <w:lang w:eastAsia="lv-LV"/>
        </w:rPr>
      </w:pPr>
      <w:r w:rsidRPr="006D7653">
        <w:rPr>
          <w:rFonts w:eastAsia="Times New Roman" w:cs="Times New Roman"/>
          <w:szCs w:val="24"/>
          <w:lang w:eastAsia="lv-LV"/>
        </w:rPr>
        <w:t>Plāna pasākumi tika sadalīti piecos rīcības virzienos, nosakot katram virzienam sagaidāmo fiskālo ieguvumu:</w:t>
      </w:r>
    </w:p>
    <w:p w14:paraId="35431767" w14:textId="77777777" w:rsidR="00331D62" w:rsidRPr="006D7653" w:rsidRDefault="00331D62" w:rsidP="00331D62">
      <w:pPr>
        <w:pStyle w:val="ListParagraph"/>
        <w:numPr>
          <w:ilvl w:val="0"/>
          <w:numId w:val="10"/>
        </w:numPr>
        <w:ind w:left="641" w:hanging="357"/>
        <w:contextualSpacing w:val="0"/>
        <w:rPr>
          <w:rFonts w:ascii="Times New Roman" w:hAnsi="Times New Roman"/>
          <w:sz w:val="24"/>
          <w:szCs w:val="24"/>
        </w:rPr>
      </w:pPr>
      <w:r w:rsidRPr="006D7653">
        <w:rPr>
          <w:rFonts w:ascii="Times New Roman" w:hAnsi="Times New Roman"/>
          <w:sz w:val="24"/>
          <w:szCs w:val="24"/>
        </w:rPr>
        <w:t>Rīcības virziens – Horizontālie pasākumi un skaidras naudas aprites mazināšana – 55 </w:t>
      </w:r>
      <w:r w:rsidRPr="006D7653">
        <w:rPr>
          <w:rFonts w:ascii="Times New Roman" w:eastAsia="Times New Roman" w:hAnsi="Times New Roman"/>
          <w:sz w:val="24"/>
          <w:szCs w:val="24"/>
          <w:lang w:eastAsia="lv-LV"/>
        </w:rPr>
        <w:t>milj</w:t>
      </w:r>
      <w:r w:rsidRPr="006D7653">
        <w:rPr>
          <w:rFonts w:ascii="Times New Roman" w:eastAsia="Times New Roman" w:hAnsi="Times New Roman"/>
          <w:i/>
          <w:iCs/>
          <w:sz w:val="24"/>
          <w:szCs w:val="24"/>
          <w:lang w:eastAsia="lv-LV"/>
        </w:rPr>
        <w:t>. euro;</w:t>
      </w:r>
    </w:p>
    <w:p w14:paraId="69E5A54E" w14:textId="77777777" w:rsidR="00331D62" w:rsidRPr="006D7653" w:rsidRDefault="00331D62" w:rsidP="00331D62">
      <w:pPr>
        <w:pStyle w:val="ListParagraph"/>
        <w:numPr>
          <w:ilvl w:val="0"/>
          <w:numId w:val="10"/>
        </w:numPr>
        <w:ind w:left="641" w:hanging="357"/>
        <w:contextualSpacing w:val="0"/>
        <w:rPr>
          <w:rFonts w:ascii="Times New Roman" w:hAnsi="Times New Roman"/>
          <w:sz w:val="24"/>
          <w:szCs w:val="24"/>
        </w:rPr>
      </w:pPr>
      <w:r w:rsidRPr="006D7653">
        <w:rPr>
          <w:rFonts w:ascii="Times New Roman" w:hAnsi="Times New Roman"/>
          <w:sz w:val="24"/>
          <w:szCs w:val="24"/>
        </w:rPr>
        <w:t>Rīcības virziens – Informācijas un datu apmaiņa – 1 </w:t>
      </w:r>
      <w:r w:rsidRPr="006D7653">
        <w:rPr>
          <w:rFonts w:ascii="Times New Roman" w:eastAsia="Times New Roman" w:hAnsi="Times New Roman"/>
          <w:sz w:val="24"/>
          <w:szCs w:val="24"/>
          <w:lang w:eastAsia="lv-LV"/>
        </w:rPr>
        <w:t>milj</w:t>
      </w:r>
      <w:r w:rsidRPr="006D7653">
        <w:rPr>
          <w:rFonts w:ascii="Times New Roman" w:eastAsia="Times New Roman" w:hAnsi="Times New Roman"/>
          <w:i/>
          <w:iCs/>
          <w:sz w:val="24"/>
          <w:szCs w:val="24"/>
          <w:lang w:eastAsia="lv-LV"/>
        </w:rPr>
        <w:t>. euro</w:t>
      </w:r>
      <w:r w:rsidRPr="006D7653">
        <w:rPr>
          <w:rFonts w:ascii="Times New Roman" w:hAnsi="Times New Roman"/>
          <w:sz w:val="24"/>
          <w:szCs w:val="24"/>
        </w:rPr>
        <w:t>;</w:t>
      </w:r>
    </w:p>
    <w:p w14:paraId="2A0387D7" w14:textId="77777777" w:rsidR="00331D62" w:rsidRPr="006D7653" w:rsidRDefault="00331D62" w:rsidP="00331D62">
      <w:pPr>
        <w:pStyle w:val="ListParagraph"/>
        <w:numPr>
          <w:ilvl w:val="0"/>
          <w:numId w:val="10"/>
        </w:numPr>
        <w:ind w:left="641" w:hanging="357"/>
        <w:contextualSpacing w:val="0"/>
        <w:rPr>
          <w:rFonts w:ascii="Times New Roman" w:hAnsi="Times New Roman"/>
          <w:sz w:val="24"/>
          <w:szCs w:val="24"/>
        </w:rPr>
      </w:pPr>
      <w:r w:rsidRPr="006D7653">
        <w:rPr>
          <w:rFonts w:ascii="Times New Roman" w:hAnsi="Times New Roman"/>
          <w:sz w:val="24"/>
          <w:szCs w:val="24"/>
        </w:rPr>
        <w:t>Rīcības virziens – Būvniecības nozares pasākumi – 16 </w:t>
      </w:r>
      <w:r w:rsidRPr="006D7653">
        <w:rPr>
          <w:rFonts w:ascii="Times New Roman" w:eastAsia="Times New Roman" w:hAnsi="Times New Roman"/>
          <w:sz w:val="24"/>
          <w:szCs w:val="24"/>
          <w:lang w:eastAsia="lv-LV"/>
        </w:rPr>
        <w:t>milj</w:t>
      </w:r>
      <w:r w:rsidRPr="006D7653">
        <w:rPr>
          <w:rFonts w:ascii="Times New Roman" w:eastAsia="Times New Roman" w:hAnsi="Times New Roman"/>
          <w:i/>
          <w:iCs/>
          <w:sz w:val="24"/>
          <w:szCs w:val="24"/>
          <w:lang w:eastAsia="lv-LV"/>
        </w:rPr>
        <w:t>. euro</w:t>
      </w:r>
      <w:r w:rsidRPr="006D7653">
        <w:rPr>
          <w:rFonts w:ascii="Times New Roman" w:hAnsi="Times New Roman"/>
          <w:sz w:val="24"/>
          <w:szCs w:val="24"/>
        </w:rPr>
        <w:t>;</w:t>
      </w:r>
    </w:p>
    <w:p w14:paraId="647F0929" w14:textId="77777777" w:rsidR="00331D62" w:rsidRPr="006D7653" w:rsidRDefault="00331D62" w:rsidP="00331D62">
      <w:pPr>
        <w:pStyle w:val="ListParagraph"/>
        <w:numPr>
          <w:ilvl w:val="0"/>
          <w:numId w:val="10"/>
        </w:numPr>
        <w:ind w:left="641" w:hanging="357"/>
        <w:contextualSpacing w:val="0"/>
        <w:rPr>
          <w:rFonts w:ascii="Times New Roman" w:hAnsi="Times New Roman"/>
          <w:sz w:val="24"/>
          <w:szCs w:val="24"/>
        </w:rPr>
      </w:pPr>
      <w:r w:rsidRPr="006D7653">
        <w:rPr>
          <w:rFonts w:ascii="Times New Roman" w:hAnsi="Times New Roman"/>
          <w:sz w:val="24"/>
          <w:szCs w:val="24"/>
        </w:rPr>
        <w:t>Rīcības virziens – Veselības nozares pasākumi – 7 </w:t>
      </w:r>
      <w:r w:rsidRPr="006D7653">
        <w:rPr>
          <w:rFonts w:ascii="Times New Roman" w:eastAsia="Times New Roman" w:hAnsi="Times New Roman"/>
          <w:sz w:val="24"/>
          <w:szCs w:val="24"/>
          <w:lang w:eastAsia="lv-LV"/>
        </w:rPr>
        <w:t>milj</w:t>
      </w:r>
      <w:r w:rsidRPr="006D7653">
        <w:rPr>
          <w:rFonts w:ascii="Times New Roman" w:eastAsia="Times New Roman" w:hAnsi="Times New Roman"/>
          <w:i/>
          <w:iCs/>
          <w:sz w:val="24"/>
          <w:szCs w:val="24"/>
          <w:lang w:eastAsia="lv-LV"/>
        </w:rPr>
        <w:t>. euro</w:t>
      </w:r>
      <w:r w:rsidRPr="006D7653">
        <w:rPr>
          <w:rFonts w:ascii="Times New Roman" w:hAnsi="Times New Roman"/>
          <w:sz w:val="24"/>
          <w:szCs w:val="24"/>
        </w:rPr>
        <w:t>;</w:t>
      </w:r>
    </w:p>
    <w:p w14:paraId="788F63BA" w14:textId="77777777" w:rsidR="00331D62" w:rsidRPr="006D7653" w:rsidRDefault="00331D62" w:rsidP="00331D62">
      <w:pPr>
        <w:pStyle w:val="ListParagraph"/>
        <w:numPr>
          <w:ilvl w:val="0"/>
          <w:numId w:val="10"/>
        </w:numPr>
        <w:ind w:left="641" w:hanging="357"/>
        <w:contextualSpacing w:val="0"/>
        <w:rPr>
          <w:rFonts w:ascii="Times New Roman" w:hAnsi="Times New Roman"/>
          <w:sz w:val="24"/>
          <w:szCs w:val="24"/>
        </w:rPr>
      </w:pPr>
      <w:r w:rsidRPr="006D7653">
        <w:rPr>
          <w:rFonts w:ascii="Times New Roman" w:hAnsi="Times New Roman"/>
          <w:sz w:val="24"/>
          <w:szCs w:val="24"/>
        </w:rPr>
        <w:t>Rīcības virziens – Citi pasākumi uzņēmumu konkurētspējas uzlabošanai – 41 </w:t>
      </w:r>
      <w:r w:rsidRPr="006D7653">
        <w:rPr>
          <w:rFonts w:ascii="Times New Roman" w:eastAsia="Times New Roman" w:hAnsi="Times New Roman"/>
          <w:sz w:val="24"/>
          <w:szCs w:val="24"/>
          <w:lang w:eastAsia="lv-LV"/>
        </w:rPr>
        <w:t>milj</w:t>
      </w:r>
      <w:r w:rsidRPr="006D7653">
        <w:rPr>
          <w:rFonts w:ascii="Times New Roman" w:eastAsia="Times New Roman" w:hAnsi="Times New Roman"/>
          <w:i/>
          <w:iCs/>
          <w:sz w:val="24"/>
          <w:szCs w:val="24"/>
          <w:lang w:eastAsia="lv-LV"/>
        </w:rPr>
        <w:t>. euro</w:t>
      </w:r>
      <w:r w:rsidRPr="006D7653">
        <w:rPr>
          <w:rFonts w:ascii="Times New Roman" w:hAnsi="Times New Roman"/>
          <w:sz w:val="24"/>
          <w:szCs w:val="24"/>
        </w:rPr>
        <w:t>.</w:t>
      </w:r>
    </w:p>
    <w:p w14:paraId="2FF1BDBF" w14:textId="6DDE3B9F" w:rsidR="00331D62" w:rsidRPr="006D7653" w:rsidRDefault="00331D62" w:rsidP="00331D62">
      <w:pPr>
        <w:rPr>
          <w:rFonts w:cs="Times New Roman"/>
          <w:color w:val="000000"/>
          <w:kern w:val="2"/>
          <w:szCs w:val="24"/>
          <w14:ligatures w14:val="standardContextual"/>
        </w:rPr>
      </w:pPr>
      <w:r w:rsidRPr="006D7653">
        <w:rPr>
          <w:rFonts w:cs="Times New Roman"/>
          <w:szCs w:val="24"/>
          <w:lang w:eastAsia="lv-LV"/>
        </w:rPr>
        <w:lastRenderedPageBreak/>
        <w:t xml:space="preserve">Tabulā ir atspoguļots ieņēmumu sadalījums pa gadiem no </w:t>
      </w:r>
      <w:r w:rsidRPr="006D7653">
        <w:rPr>
          <w:rFonts w:cs="Times New Roman"/>
          <w:color w:val="000000"/>
          <w:kern w:val="2"/>
          <w:szCs w:val="24"/>
          <w14:ligatures w14:val="standardContextual"/>
        </w:rPr>
        <w:t xml:space="preserve">Ēnu ekonomikas ierobežošanas </w:t>
      </w:r>
      <w:r w:rsidR="00762428" w:rsidRPr="006D7653">
        <w:rPr>
          <w:rFonts w:cs="Times New Roman"/>
          <w:color w:val="000000"/>
          <w:kern w:val="2"/>
          <w:szCs w:val="24"/>
          <w14:ligatures w14:val="standardContextual"/>
        </w:rPr>
        <w:t>plān</w:t>
      </w:r>
      <w:r w:rsidR="00762428">
        <w:rPr>
          <w:rFonts w:cs="Times New Roman"/>
          <w:color w:val="000000"/>
          <w:kern w:val="2"/>
          <w:szCs w:val="24"/>
          <w14:ligatures w14:val="standardContextual"/>
        </w:rPr>
        <w:t>a projektā</w:t>
      </w:r>
      <w:r w:rsidR="00762428" w:rsidRPr="006D7653">
        <w:rPr>
          <w:rFonts w:cs="Times New Roman"/>
          <w:color w:val="000000"/>
          <w:kern w:val="2"/>
          <w:szCs w:val="24"/>
          <w14:ligatures w14:val="standardContextual"/>
        </w:rPr>
        <w:t xml:space="preserve"> </w:t>
      </w:r>
      <w:r w:rsidRPr="006D7653">
        <w:rPr>
          <w:rFonts w:cs="Times New Roman"/>
          <w:color w:val="000000"/>
          <w:kern w:val="2"/>
          <w:szCs w:val="24"/>
          <w14:ligatures w14:val="standardContextual"/>
        </w:rPr>
        <w:t xml:space="preserve">iekļauto </w:t>
      </w:r>
      <w:r w:rsidRPr="006D7653">
        <w:rPr>
          <w:rFonts w:cs="Times New Roman"/>
          <w:szCs w:val="24"/>
          <w:lang w:eastAsia="lv-LV"/>
        </w:rPr>
        <w:t>pasākumu īstenošanas</w:t>
      </w:r>
      <w:r w:rsidRPr="006D7653">
        <w:rPr>
          <w:rFonts w:cs="Times New Roman"/>
          <w:color w:val="000000"/>
          <w:kern w:val="2"/>
          <w:szCs w:val="24"/>
          <w14:ligatures w14:val="standardContextual"/>
        </w:rPr>
        <w:t xml:space="preserve"> 2024. - 2027. gadam. </w:t>
      </w:r>
    </w:p>
    <w:p w14:paraId="680926DF" w14:textId="01A22200" w:rsidR="00331D62" w:rsidRPr="006D7653" w:rsidRDefault="003C496E" w:rsidP="00331D62">
      <w:pPr>
        <w:spacing w:before="120" w:after="120"/>
        <w:ind w:firstLine="709"/>
        <w:jc w:val="center"/>
        <w:rPr>
          <w:rFonts w:cs="Times New Roman"/>
          <w:sz w:val="22"/>
          <w:szCs w:val="24"/>
        </w:rPr>
      </w:pPr>
      <w:r>
        <w:rPr>
          <w:rFonts w:cs="Times New Roman"/>
          <w:sz w:val="22"/>
          <w:szCs w:val="24"/>
        </w:rPr>
        <w:t>4</w:t>
      </w:r>
      <w:r w:rsidR="00331D62" w:rsidRPr="006D7653">
        <w:rPr>
          <w:rFonts w:cs="Times New Roman"/>
          <w:sz w:val="22"/>
          <w:szCs w:val="24"/>
        </w:rPr>
        <w:t>. tab</w:t>
      </w:r>
      <w:r w:rsidR="00331D62" w:rsidRPr="006D7653">
        <w:rPr>
          <w:rFonts w:cs="Times New Roman"/>
          <w:bCs/>
          <w:sz w:val="22"/>
          <w:szCs w:val="24"/>
        </w:rPr>
        <w:t xml:space="preserve">. </w:t>
      </w:r>
      <w:r w:rsidR="00331D62" w:rsidRPr="006D7653">
        <w:rPr>
          <w:rFonts w:cs="Times New Roman"/>
          <w:b/>
          <w:sz w:val="22"/>
          <w:szCs w:val="24"/>
        </w:rPr>
        <w:t xml:space="preserve">Ēnu ekonomikas ierobežošanas indikatīvā fiskālā ietekme, </w:t>
      </w:r>
      <w:r w:rsidR="00331D62" w:rsidRPr="006D7653">
        <w:rPr>
          <w:rFonts w:cs="Times New Roman"/>
          <w:bCs/>
          <w:i/>
          <w:iCs/>
          <w:sz w:val="22"/>
          <w:szCs w:val="24"/>
        </w:rPr>
        <w:t>milj. euro</w:t>
      </w:r>
    </w:p>
    <w:tbl>
      <w:tblPr>
        <w:tblStyle w:val="TableGrid"/>
        <w:tblW w:w="9040" w:type="dxa"/>
        <w:tblInd w:w="5" w:type="dxa"/>
        <w:tblLook w:val="04A0" w:firstRow="1" w:lastRow="0" w:firstColumn="1" w:lastColumn="0" w:noHBand="0" w:noVBand="1"/>
      </w:tblPr>
      <w:tblGrid>
        <w:gridCol w:w="3736"/>
        <w:gridCol w:w="1326"/>
        <w:gridCol w:w="1326"/>
        <w:gridCol w:w="1326"/>
        <w:gridCol w:w="1326"/>
      </w:tblGrid>
      <w:tr w:rsidR="00331D62" w:rsidRPr="006D7653" w14:paraId="0FAF097D" w14:textId="77777777" w:rsidTr="007E1C0A">
        <w:trPr>
          <w:trHeight w:val="348"/>
        </w:trPr>
        <w:tc>
          <w:tcPr>
            <w:tcW w:w="3736" w:type="dxa"/>
            <w:tcBorders>
              <w:top w:val="nil"/>
              <w:left w:val="nil"/>
              <w:bottom w:val="single" w:sz="12" w:space="0" w:color="auto"/>
              <w:right w:val="nil"/>
            </w:tcBorders>
          </w:tcPr>
          <w:p w14:paraId="422514B9" w14:textId="77777777" w:rsidR="00331D62" w:rsidRPr="006D7653" w:rsidRDefault="00331D62" w:rsidP="007E1C0A">
            <w:pPr>
              <w:pStyle w:val="ListParagraph"/>
              <w:spacing w:before="0" w:after="0"/>
              <w:ind w:left="0" w:firstLine="0"/>
              <w:contextualSpacing w:val="0"/>
              <w:jc w:val="center"/>
              <w:rPr>
                <w:rFonts w:ascii="Times New Roman" w:hAnsi="Times New Roman"/>
                <w:b/>
                <w:bCs/>
                <w:sz w:val="20"/>
                <w:szCs w:val="20"/>
              </w:rPr>
            </w:pPr>
          </w:p>
        </w:tc>
        <w:tc>
          <w:tcPr>
            <w:tcW w:w="1326" w:type="dxa"/>
            <w:tcBorders>
              <w:top w:val="nil"/>
              <w:left w:val="nil"/>
              <w:bottom w:val="single" w:sz="12" w:space="0" w:color="auto"/>
              <w:right w:val="nil"/>
            </w:tcBorders>
            <w:vAlign w:val="center"/>
          </w:tcPr>
          <w:p w14:paraId="2398E3A3" w14:textId="77777777" w:rsidR="00331D62" w:rsidRPr="006D7653" w:rsidRDefault="00331D62"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2024</w:t>
            </w:r>
          </w:p>
        </w:tc>
        <w:tc>
          <w:tcPr>
            <w:tcW w:w="1326" w:type="dxa"/>
            <w:tcBorders>
              <w:top w:val="nil"/>
              <w:left w:val="nil"/>
              <w:bottom w:val="single" w:sz="12" w:space="0" w:color="auto"/>
              <w:right w:val="nil"/>
            </w:tcBorders>
            <w:vAlign w:val="center"/>
          </w:tcPr>
          <w:p w14:paraId="3B61A34E" w14:textId="77777777" w:rsidR="00331D62" w:rsidRPr="006D7653" w:rsidRDefault="00331D62"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2025</w:t>
            </w:r>
          </w:p>
        </w:tc>
        <w:tc>
          <w:tcPr>
            <w:tcW w:w="1326" w:type="dxa"/>
            <w:tcBorders>
              <w:top w:val="nil"/>
              <w:left w:val="nil"/>
              <w:bottom w:val="single" w:sz="12" w:space="0" w:color="auto"/>
              <w:right w:val="nil"/>
            </w:tcBorders>
            <w:vAlign w:val="center"/>
          </w:tcPr>
          <w:p w14:paraId="2BC2BEEE" w14:textId="77777777" w:rsidR="00331D62" w:rsidRPr="006D7653" w:rsidRDefault="00331D62"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2026</w:t>
            </w:r>
          </w:p>
        </w:tc>
        <w:tc>
          <w:tcPr>
            <w:tcW w:w="1326" w:type="dxa"/>
            <w:tcBorders>
              <w:top w:val="nil"/>
              <w:left w:val="nil"/>
              <w:bottom w:val="single" w:sz="12" w:space="0" w:color="auto"/>
              <w:right w:val="nil"/>
            </w:tcBorders>
            <w:vAlign w:val="center"/>
          </w:tcPr>
          <w:p w14:paraId="692370E6" w14:textId="77777777" w:rsidR="00331D62" w:rsidRPr="006D7653" w:rsidRDefault="00331D62"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2027</w:t>
            </w:r>
          </w:p>
        </w:tc>
      </w:tr>
      <w:tr w:rsidR="00331D62" w:rsidRPr="006D7653" w14:paraId="07464BF2" w14:textId="77777777" w:rsidTr="007E1C0A">
        <w:trPr>
          <w:trHeight w:val="204"/>
        </w:trPr>
        <w:tc>
          <w:tcPr>
            <w:tcW w:w="3736" w:type="dxa"/>
          </w:tcPr>
          <w:p w14:paraId="490BC365" w14:textId="77777777" w:rsidR="00331D62" w:rsidRPr="006D7653" w:rsidRDefault="00331D62" w:rsidP="007E1C0A">
            <w:pPr>
              <w:pStyle w:val="ListParagraph"/>
              <w:spacing w:before="0" w:after="0"/>
              <w:ind w:left="0" w:firstLine="0"/>
              <w:contextualSpacing w:val="0"/>
              <w:rPr>
                <w:rFonts w:ascii="Times New Roman" w:hAnsi="Times New Roman"/>
                <w:sz w:val="20"/>
                <w:szCs w:val="20"/>
              </w:rPr>
            </w:pPr>
            <w:r w:rsidRPr="006D7653">
              <w:rPr>
                <w:rFonts w:ascii="Times New Roman" w:hAnsi="Times New Roman"/>
                <w:sz w:val="20"/>
                <w:szCs w:val="20"/>
              </w:rPr>
              <w:t>Nodokļu ieņēmumi</w:t>
            </w:r>
          </w:p>
        </w:tc>
        <w:tc>
          <w:tcPr>
            <w:tcW w:w="1326" w:type="dxa"/>
            <w:vAlign w:val="center"/>
          </w:tcPr>
          <w:p w14:paraId="6353E25D" w14:textId="77777777" w:rsidR="00331D62" w:rsidRPr="006D7653" w:rsidRDefault="00331D62" w:rsidP="007E1C0A">
            <w:pPr>
              <w:pStyle w:val="ListParagraph"/>
              <w:spacing w:before="0" w:after="0"/>
              <w:ind w:left="0" w:firstLine="0"/>
              <w:contextualSpacing w:val="0"/>
              <w:jc w:val="center"/>
              <w:rPr>
                <w:rFonts w:ascii="Times New Roman" w:hAnsi="Times New Roman"/>
                <w:sz w:val="20"/>
                <w:szCs w:val="20"/>
              </w:rPr>
            </w:pPr>
            <w:r w:rsidRPr="006D7653">
              <w:rPr>
                <w:rFonts w:ascii="Times New Roman" w:hAnsi="Times New Roman"/>
                <w:sz w:val="20"/>
                <w:szCs w:val="20"/>
              </w:rPr>
              <w:t>+12</w:t>
            </w:r>
          </w:p>
        </w:tc>
        <w:tc>
          <w:tcPr>
            <w:tcW w:w="1326" w:type="dxa"/>
            <w:vAlign w:val="center"/>
          </w:tcPr>
          <w:p w14:paraId="24200079" w14:textId="77777777" w:rsidR="00331D62" w:rsidRPr="006D7653" w:rsidRDefault="00331D62" w:rsidP="007E1C0A">
            <w:pPr>
              <w:pStyle w:val="ListParagraph"/>
              <w:spacing w:before="0" w:after="0"/>
              <w:ind w:left="0" w:firstLine="0"/>
              <w:contextualSpacing w:val="0"/>
              <w:jc w:val="center"/>
              <w:rPr>
                <w:rFonts w:ascii="Times New Roman" w:hAnsi="Times New Roman"/>
                <w:sz w:val="20"/>
                <w:szCs w:val="20"/>
              </w:rPr>
            </w:pPr>
            <w:r w:rsidRPr="006D7653">
              <w:rPr>
                <w:rFonts w:ascii="Times New Roman" w:hAnsi="Times New Roman"/>
                <w:sz w:val="20"/>
                <w:szCs w:val="20"/>
              </w:rPr>
              <w:t>+40</w:t>
            </w:r>
          </w:p>
        </w:tc>
        <w:tc>
          <w:tcPr>
            <w:tcW w:w="1326" w:type="dxa"/>
            <w:vAlign w:val="center"/>
          </w:tcPr>
          <w:p w14:paraId="7ABEF101" w14:textId="77777777" w:rsidR="00331D62" w:rsidRPr="006D7653" w:rsidRDefault="00331D62" w:rsidP="007E1C0A">
            <w:pPr>
              <w:pStyle w:val="ListParagraph"/>
              <w:spacing w:before="0" w:after="0"/>
              <w:ind w:left="0" w:firstLine="0"/>
              <w:contextualSpacing w:val="0"/>
              <w:jc w:val="center"/>
              <w:rPr>
                <w:rFonts w:ascii="Times New Roman" w:hAnsi="Times New Roman"/>
                <w:sz w:val="20"/>
                <w:szCs w:val="20"/>
              </w:rPr>
            </w:pPr>
            <w:r w:rsidRPr="006D7653">
              <w:rPr>
                <w:rFonts w:ascii="Times New Roman" w:hAnsi="Times New Roman"/>
                <w:sz w:val="20"/>
                <w:szCs w:val="20"/>
              </w:rPr>
              <w:t>+80</w:t>
            </w:r>
          </w:p>
        </w:tc>
        <w:tc>
          <w:tcPr>
            <w:tcW w:w="1326" w:type="dxa"/>
            <w:vAlign w:val="center"/>
          </w:tcPr>
          <w:p w14:paraId="0A30A568" w14:textId="77777777" w:rsidR="00331D62" w:rsidRPr="006D7653" w:rsidRDefault="00331D62" w:rsidP="007E1C0A">
            <w:pPr>
              <w:pStyle w:val="ListParagraph"/>
              <w:spacing w:before="0" w:after="0"/>
              <w:ind w:left="0" w:firstLine="0"/>
              <w:contextualSpacing w:val="0"/>
              <w:jc w:val="center"/>
              <w:rPr>
                <w:rFonts w:ascii="Times New Roman" w:hAnsi="Times New Roman"/>
                <w:sz w:val="20"/>
                <w:szCs w:val="20"/>
              </w:rPr>
            </w:pPr>
            <w:r w:rsidRPr="006D7653">
              <w:rPr>
                <w:rFonts w:ascii="Times New Roman" w:hAnsi="Times New Roman"/>
                <w:sz w:val="20"/>
                <w:szCs w:val="20"/>
              </w:rPr>
              <w:t>+120</w:t>
            </w:r>
          </w:p>
        </w:tc>
      </w:tr>
      <w:tr w:rsidR="00331D62" w:rsidRPr="006D7653" w14:paraId="44725D03" w14:textId="77777777" w:rsidTr="007E1C0A">
        <w:trPr>
          <w:trHeight w:val="85"/>
        </w:trPr>
        <w:tc>
          <w:tcPr>
            <w:tcW w:w="3736" w:type="dxa"/>
            <w:shd w:val="clear" w:color="auto" w:fill="F2F2F2" w:themeFill="background1" w:themeFillShade="F2"/>
          </w:tcPr>
          <w:p w14:paraId="2EDC2921" w14:textId="77777777" w:rsidR="00331D62" w:rsidRPr="006D7653" w:rsidRDefault="00331D62" w:rsidP="007E1C0A">
            <w:pPr>
              <w:pStyle w:val="ListParagraph"/>
              <w:spacing w:before="0" w:after="0"/>
              <w:ind w:left="0" w:firstLine="0"/>
              <w:contextualSpacing w:val="0"/>
              <w:jc w:val="right"/>
              <w:rPr>
                <w:rFonts w:ascii="Times New Roman" w:hAnsi="Times New Roman"/>
                <w:b/>
                <w:bCs/>
                <w:sz w:val="20"/>
                <w:szCs w:val="20"/>
              </w:rPr>
            </w:pPr>
            <w:r w:rsidRPr="006D7653">
              <w:rPr>
                <w:rFonts w:ascii="Times New Roman" w:hAnsi="Times New Roman"/>
                <w:b/>
                <w:bCs/>
                <w:sz w:val="20"/>
                <w:szCs w:val="20"/>
              </w:rPr>
              <w:t>Kopā:</w:t>
            </w:r>
          </w:p>
        </w:tc>
        <w:tc>
          <w:tcPr>
            <w:tcW w:w="1326" w:type="dxa"/>
            <w:shd w:val="clear" w:color="auto" w:fill="F2F2F2" w:themeFill="background1" w:themeFillShade="F2"/>
            <w:vAlign w:val="center"/>
          </w:tcPr>
          <w:p w14:paraId="4F22A2E4" w14:textId="77777777" w:rsidR="00331D62" w:rsidRPr="006D7653" w:rsidRDefault="00331D62"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+12</w:t>
            </w:r>
          </w:p>
        </w:tc>
        <w:tc>
          <w:tcPr>
            <w:tcW w:w="1326" w:type="dxa"/>
            <w:shd w:val="clear" w:color="auto" w:fill="F2F2F2" w:themeFill="background1" w:themeFillShade="F2"/>
            <w:vAlign w:val="center"/>
          </w:tcPr>
          <w:p w14:paraId="7ECFDEBD" w14:textId="77777777" w:rsidR="00331D62" w:rsidRPr="006D7653" w:rsidRDefault="00331D62"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+40</w:t>
            </w:r>
          </w:p>
        </w:tc>
        <w:tc>
          <w:tcPr>
            <w:tcW w:w="1326" w:type="dxa"/>
            <w:shd w:val="clear" w:color="auto" w:fill="F2F2F2" w:themeFill="background1" w:themeFillShade="F2"/>
            <w:vAlign w:val="center"/>
          </w:tcPr>
          <w:p w14:paraId="07A0F7AB" w14:textId="77777777" w:rsidR="00331D62" w:rsidRPr="006D7653" w:rsidRDefault="00331D62"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+80</w:t>
            </w:r>
          </w:p>
        </w:tc>
        <w:tc>
          <w:tcPr>
            <w:tcW w:w="1326" w:type="dxa"/>
            <w:shd w:val="clear" w:color="auto" w:fill="F2F2F2" w:themeFill="background1" w:themeFillShade="F2"/>
            <w:vAlign w:val="center"/>
          </w:tcPr>
          <w:p w14:paraId="454A0A1A" w14:textId="77777777" w:rsidR="00331D62" w:rsidRPr="006D7653" w:rsidRDefault="00331D62"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+120</w:t>
            </w:r>
          </w:p>
        </w:tc>
      </w:tr>
    </w:tbl>
    <w:p w14:paraId="7267268F" w14:textId="77777777" w:rsidR="00331D62" w:rsidRPr="006D7653" w:rsidRDefault="00331D62" w:rsidP="00331D62">
      <w:pPr>
        <w:ind w:firstLine="0"/>
        <w:rPr>
          <w:rFonts w:cs="Times New Roman"/>
          <w:shd w:val="clear" w:color="auto" w:fill="FFFFFF"/>
        </w:rPr>
      </w:pPr>
      <w:r w:rsidRPr="006D7653">
        <w:rPr>
          <w:rFonts w:cs="Times New Roman"/>
          <w:b/>
          <w:bCs/>
          <w:i/>
          <w:sz w:val="20"/>
          <w:szCs w:val="24"/>
        </w:rPr>
        <w:t>Avots</w:t>
      </w:r>
      <w:r w:rsidRPr="006D7653">
        <w:rPr>
          <w:rFonts w:cs="Times New Roman"/>
          <w:i/>
          <w:sz w:val="20"/>
          <w:szCs w:val="24"/>
        </w:rPr>
        <w:t>: FM aprēķini.</w:t>
      </w:r>
    </w:p>
    <w:p w14:paraId="59DB9FC1" w14:textId="29F15BCA" w:rsidR="008D148A" w:rsidRDefault="008D148A" w:rsidP="00331D62">
      <w:pPr>
        <w:rPr>
          <w:rFonts w:cs="Times New Roman"/>
        </w:rPr>
      </w:pPr>
    </w:p>
    <w:p w14:paraId="32A4656F" w14:textId="77777777" w:rsidR="00AA3A7D" w:rsidRDefault="00AA3A7D" w:rsidP="00331D62">
      <w:pPr>
        <w:rPr>
          <w:rFonts w:cs="Times New Roman"/>
        </w:rPr>
      </w:pPr>
    </w:p>
    <w:p w14:paraId="50F87D9B" w14:textId="77777777" w:rsidR="00AA3A7D" w:rsidRDefault="00AA3A7D" w:rsidP="00331D62">
      <w:pPr>
        <w:rPr>
          <w:rFonts w:cs="Times New Roman"/>
        </w:rPr>
      </w:pPr>
    </w:p>
    <w:p w14:paraId="4F19C841" w14:textId="77777777" w:rsidR="00AA3A7D" w:rsidRDefault="00AA3A7D" w:rsidP="00331D62">
      <w:pPr>
        <w:rPr>
          <w:rFonts w:cs="Times New Roman"/>
        </w:rPr>
      </w:pPr>
    </w:p>
    <w:p w14:paraId="6B7DEB85" w14:textId="77777777" w:rsidR="00AA3A7D" w:rsidRDefault="00AA3A7D" w:rsidP="00331D62">
      <w:pPr>
        <w:rPr>
          <w:rFonts w:cs="Times New Roman"/>
        </w:rPr>
      </w:pPr>
    </w:p>
    <w:p w14:paraId="4966BCBD" w14:textId="77777777" w:rsidR="00AA3A7D" w:rsidRDefault="00AA3A7D" w:rsidP="00331D62">
      <w:pPr>
        <w:rPr>
          <w:rFonts w:cs="Times New Roman"/>
        </w:rPr>
      </w:pPr>
    </w:p>
    <w:p w14:paraId="5D1FA4A9" w14:textId="77777777" w:rsidR="00AA3A7D" w:rsidRDefault="00AA3A7D" w:rsidP="00331D62">
      <w:pPr>
        <w:rPr>
          <w:rFonts w:cs="Times New Roman"/>
        </w:rPr>
      </w:pPr>
    </w:p>
    <w:p w14:paraId="06047899" w14:textId="77777777" w:rsidR="00AA3A7D" w:rsidRDefault="00AA3A7D" w:rsidP="00331D62">
      <w:pPr>
        <w:rPr>
          <w:rFonts w:cs="Times New Roman"/>
        </w:rPr>
      </w:pPr>
    </w:p>
    <w:p w14:paraId="0E79A3CF" w14:textId="77777777" w:rsidR="00AA3A7D" w:rsidRDefault="00AA3A7D" w:rsidP="00331D62">
      <w:pPr>
        <w:rPr>
          <w:rFonts w:cs="Times New Roman"/>
        </w:rPr>
      </w:pPr>
    </w:p>
    <w:p w14:paraId="7576A121" w14:textId="77777777" w:rsidR="00AA3A7D" w:rsidRDefault="00AA3A7D" w:rsidP="00331D62">
      <w:pPr>
        <w:rPr>
          <w:rFonts w:cs="Times New Roman"/>
        </w:rPr>
      </w:pPr>
    </w:p>
    <w:p w14:paraId="1CF01201" w14:textId="77777777" w:rsidR="00AA3A7D" w:rsidRDefault="00AA3A7D" w:rsidP="00331D62">
      <w:pPr>
        <w:rPr>
          <w:rFonts w:cs="Times New Roman"/>
        </w:rPr>
      </w:pPr>
    </w:p>
    <w:p w14:paraId="3FC4FB0A" w14:textId="77777777" w:rsidR="00AA3A7D" w:rsidRDefault="00AA3A7D" w:rsidP="00331D62">
      <w:pPr>
        <w:rPr>
          <w:rFonts w:cs="Times New Roman"/>
        </w:rPr>
      </w:pPr>
    </w:p>
    <w:p w14:paraId="6655A081" w14:textId="77777777" w:rsidR="00AA3A7D" w:rsidRDefault="00AA3A7D" w:rsidP="00331D62">
      <w:pPr>
        <w:rPr>
          <w:rFonts w:cs="Times New Roman"/>
        </w:rPr>
      </w:pPr>
    </w:p>
    <w:p w14:paraId="2E70002D" w14:textId="77777777" w:rsidR="00AA3A7D" w:rsidRDefault="00AA3A7D" w:rsidP="00331D62">
      <w:pPr>
        <w:rPr>
          <w:rFonts w:cs="Times New Roman"/>
        </w:rPr>
      </w:pPr>
    </w:p>
    <w:p w14:paraId="274851C7" w14:textId="77777777" w:rsidR="00AA3A7D" w:rsidRDefault="00AA3A7D" w:rsidP="00331D62">
      <w:pPr>
        <w:rPr>
          <w:rFonts w:cs="Times New Roman"/>
        </w:rPr>
      </w:pPr>
    </w:p>
    <w:p w14:paraId="0A042C12" w14:textId="77777777" w:rsidR="00AA3A7D" w:rsidRDefault="00AA3A7D" w:rsidP="00331D62">
      <w:pPr>
        <w:rPr>
          <w:rFonts w:cs="Times New Roman"/>
        </w:rPr>
      </w:pPr>
    </w:p>
    <w:p w14:paraId="4AD7DA16" w14:textId="77777777" w:rsidR="00AA3A7D" w:rsidRDefault="00AA3A7D" w:rsidP="00331D62">
      <w:pPr>
        <w:rPr>
          <w:rFonts w:cs="Times New Roman"/>
        </w:rPr>
      </w:pPr>
    </w:p>
    <w:p w14:paraId="4BF951DB" w14:textId="77777777" w:rsidR="00AA3A7D" w:rsidRDefault="00AA3A7D" w:rsidP="00331D62">
      <w:pPr>
        <w:rPr>
          <w:rFonts w:cs="Times New Roman"/>
        </w:rPr>
      </w:pPr>
    </w:p>
    <w:p w14:paraId="5444C130" w14:textId="77777777" w:rsidR="00AA3A7D" w:rsidRDefault="00AA3A7D" w:rsidP="00331D62">
      <w:pPr>
        <w:rPr>
          <w:rFonts w:cs="Times New Roman"/>
        </w:rPr>
      </w:pPr>
    </w:p>
    <w:p w14:paraId="0CE4C21D" w14:textId="77777777" w:rsidR="00AA3A7D" w:rsidRDefault="00AA3A7D" w:rsidP="00331D62">
      <w:pPr>
        <w:rPr>
          <w:rFonts w:cs="Times New Roman"/>
        </w:rPr>
      </w:pPr>
    </w:p>
    <w:p w14:paraId="1DCCDA37" w14:textId="77777777" w:rsidR="00AA3A7D" w:rsidRDefault="00AA3A7D" w:rsidP="00331D62">
      <w:pPr>
        <w:rPr>
          <w:rFonts w:cs="Times New Roman"/>
        </w:rPr>
      </w:pPr>
    </w:p>
    <w:p w14:paraId="07583147" w14:textId="77777777" w:rsidR="00AA3A7D" w:rsidRDefault="00AA3A7D" w:rsidP="00331D62">
      <w:pPr>
        <w:rPr>
          <w:rFonts w:cs="Times New Roman"/>
        </w:rPr>
      </w:pPr>
    </w:p>
    <w:p w14:paraId="6D02C23C" w14:textId="77777777" w:rsidR="00AA3A7D" w:rsidRDefault="00AA3A7D" w:rsidP="00331D62">
      <w:pPr>
        <w:rPr>
          <w:rFonts w:cs="Times New Roman"/>
        </w:rPr>
      </w:pPr>
    </w:p>
    <w:p w14:paraId="1E823492" w14:textId="77777777" w:rsidR="00AA3A7D" w:rsidRDefault="00AA3A7D" w:rsidP="00331D62">
      <w:pPr>
        <w:rPr>
          <w:rFonts w:cs="Times New Roman"/>
        </w:rPr>
      </w:pPr>
    </w:p>
    <w:p w14:paraId="44EF0D18" w14:textId="77777777" w:rsidR="00AA3A7D" w:rsidRDefault="00AA3A7D" w:rsidP="00331D62">
      <w:pPr>
        <w:rPr>
          <w:rFonts w:cs="Times New Roman"/>
        </w:rPr>
      </w:pPr>
    </w:p>
    <w:p w14:paraId="26FE3923" w14:textId="77777777" w:rsidR="00AA3A7D" w:rsidRDefault="00AA3A7D" w:rsidP="00331D62">
      <w:pPr>
        <w:rPr>
          <w:rFonts w:cs="Times New Roman"/>
        </w:rPr>
      </w:pPr>
    </w:p>
    <w:p w14:paraId="3E29C8D4" w14:textId="77777777" w:rsidR="00AA3A7D" w:rsidRDefault="00AA3A7D" w:rsidP="00331D62">
      <w:pPr>
        <w:rPr>
          <w:rFonts w:cs="Times New Roman"/>
        </w:rPr>
      </w:pPr>
    </w:p>
    <w:p w14:paraId="08024E4A" w14:textId="77777777" w:rsidR="00AA3A7D" w:rsidRDefault="00AA3A7D" w:rsidP="00331D62">
      <w:pPr>
        <w:rPr>
          <w:rFonts w:cs="Times New Roman"/>
        </w:rPr>
      </w:pPr>
    </w:p>
    <w:p w14:paraId="711F7882" w14:textId="77777777" w:rsidR="00AA3A7D" w:rsidRDefault="00AA3A7D" w:rsidP="00331D62">
      <w:pPr>
        <w:rPr>
          <w:rFonts w:cs="Times New Roman"/>
        </w:rPr>
      </w:pPr>
    </w:p>
    <w:p w14:paraId="3A4AA5E0" w14:textId="77777777" w:rsidR="00AA3A7D" w:rsidRDefault="00AA3A7D" w:rsidP="00331D62">
      <w:pPr>
        <w:rPr>
          <w:rFonts w:cs="Times New Roman"/>
        </w:rPr>
      </w:pPr>
    </w:p>
    <w:p w14:paraId="0DC96D2D" w14:textId="77777777" w:rsidR="00AA3A7D" w:rsidRDefault="00AA3A7D" w:rsidP="00331D62">
      <w:pPr>
        <w:rPr>
          <w:rFonts w:cs="Times New Roman"/>
        </w:rPr>
      </w:pPr>
    </w:p>
    <w:p w14:paraId="59F12473" w14:textId="77777777" w:rsidR="00AA3A7D" w:rsidRDefault="00AA3A7D" w:rsidP="00331D62">
      <w:pPr>
        <w:rPr>
          <w:rFonts w:cs="Times New Roman"/>
        </w:rPr>
      </w:pPr>
    </w:p>
    <w:p w14:paraId="2C369DCA" w14:textId="77777777" w:rsidR="00AA3A7D" w:rsidRDefault="00AA3A7D" w:rsidP="00331D62">
      <w:pPr>
        <w:rPr>
          <w:rFonts w:cs="Times New Roman"/>
        </w:rPr>
      </w:pPr>
    </w:p>
    <w:p w14:paraId="135F2FBF" w14:textId="35546C03" w:rsidR="008D148A" w:rsidRPr="006D7653" w:rsidRDefault="008D148A" w:rsidP="008D148A">
      <w:pPr>
        <w:pStyle w:val="Heading1"/>
        <w:rPr>
          <w:rFonts w:cs="Times New Roman"/>
          <w:bCs/>
          <w:color w:val="000000" w:themeColor="text1"/>
          <w:szCs w:val="26"/>
          <w:shd w:val="clear" w:color="auto" w:fill="FFFFFF"/>
        </w:rPr>
      </w:pPr>
      <w:bookmarkStart w:id="43" w:name="_Toc142897055"/>
      <w:r w:rsidRPr="008D148A">
        <w:rPr>
          <w:rFonts w:cs="Times New Roman"/>
        </w:rPr>
        <w:lastRenderedPageBreak/>
        <w:t>Valsts nodokļu politikas pamatnostādņu 2024. - 2027. gadam mērķi</w:t>
      </w:r>
      <w:bookmarkEnd w:id="43"/>
    </w:p>
    <w:p w14:paraId="1A4D67D0" w14:textId="6716C4DB" w:rsidR="008D148A" w:rsidRDefault="008D148A" w:rsidP="008D148A">
      <w:pPr>
        <w:rPr>
          <w:rFonts w:cs="Times New Roman"/>
        </w:rPr>
      </w:pPr>
      <w:r w:rsidRPr="006D7653">
        <w:rPr>
          <w:rFonts w:cs="Times New Roman"/>
        </w:rPr>
        <w:t xml:space="preserve">Valsts nodokļu sistēmai jābūt taisnīgai, vienkāršai un saprotamai nodokļu maksātājiem. Vienlaikus nepieciešama konstanta virzība uz nodokļu sistēmas potenciāla realizāciju un nodokļu harmonizāciju reģionā. Valdība ir vienojusies, ka </w:t>
      </w:r>
      <w:r w:rsidR="00EA023D">
        <w:rPr>
          <w:rFonts w:cs="Times New Roman"/>
        </w:rPr>
        <w:t xml:space="preserve">būtiskas </w:t>
      </w:r>
      <w:r w:rsidRPr="006D7653">
        <w:rPr>
          <w:rFonts w:cs="Times New Roman"/>
        </w:rPr>
        <w:t>nodokļu politika</w:t>
      </w:r>
      <w:r w:rsidR="00EA023D">
        <w:rPr>
          <w:rFonts w:cs="Times New Roman"/>
        </w:rPr>
        <w:t xml:space="preserve">s izmaiņas ir veicamas </w:t>
      </w:r>
      <w:r w:rsidRPr="006D7653">
        <w:rPr>
          <w:rFonts w:cs="Times New Roman"/>
        </w:rPr>
        <w:t>vienu reizi politiskajā ciklā</w:t>
      </w:r>
      <w:r w:rsidR="00EA023D">
        <w:rPr>
          <w:rFonts w:cs="Times New Roman"/>
        </w:rPr>
        <w:t>, lai veicinātu uzņēmējdarbības apstākļu stabilitāti.</w:t>
      </w:r>
      <w:r w:rsidRPr="006D7653">
        <w:rPr>
          <w:rFonts w:cs="Times New Roman"/>
        </w:rPr>
        <w:t xml:space="preserve"> Tāpat būtisks Valsts nodokļu politikas pamatnostādņu īstenošanas priekšnosacījums ir nodokļu administrēšanas pilnveidošana un ēnu ekonomikas ierobežošana. </w:t>
      </w:r>
    </w:p>
    <w:p w14:paraId="3F52ACD3" w14:textId="3CF4F302" w:rsidR="008D148A" w:rsidRPr="007E1C0A" w:rsidRDefault="008D148A" w:rsidP="00EA023D">
      <w:pPr>
        <w:rPr>
          <w:rFonts w:cs="Times New Roman"/>
          <w:szCs w:val="24"/>
        </w:rPr>
      </w:pPr>
      <w:r>
        <w:rPr>
          <w:rFonts w:cs="Times New Roman"/>
        </w:rPr>
        <w:t xml:space="preserve">Ņemot vērā </w:t>
      </w:r>
      <w:r w:rsidR="00EA023D">
        <w:rPr>
          <w:rFonts w:cs="Times New Roman"/>
        </w:rPr>
        <w:t xml:space="preserve">veikto esošās situācijas un izaicinājumu analīzi, kā arī </w:t>
      </w:r>
      <w:r>
        <w:rPr>
          <w:rFonts w:cs="Times New Roman"/>
        </w:rPr>
        <w:t>m</w:t>
      </w:r>
      <w:r w:rsidRPr="006D7653">
        <w:rPr>
          <w:rFonts w:cs="Times New Roman"/>
        </w:rPr>
        <w:t>akroekonomiskās attīstības</w:t>
      </w:r>
      <w:r>
        <w:rPr>
          <w:rFonts w:cs="Times New Roman"/>
        </w:rPr>
        <w:t xml:space="preserve"> uzdevumu, </w:t>
      </w:r>
      <w:r w:rsidR="00EA023D" w:rsidRPr="006D7653">
        <w:rPr>
          <w:rFonts w:cs="Times New Roman"/>
        </w:rPr>
        <w:t>transformējot ekonomiku, nodrošināt dinamisku izaugsmi ilgtermiņā un sasniegt ekonomisko izaugsmi, kas pārsniedz 3 procentus</w:t>
      </w:r>
      <w:r w:rsidR="00EA023D">
        <w:rPr>
          <w:rFonts w:cs="Times New Roman"/>
        </w:rPr>
        <w:t xml:space="preserve">, ir izstrādi </w:t>
      </w:r>
      <w:r w:rsidR="00EA023D" w:rsidRPr="007E1C0A">
        <w:rPr>
          <w:rFonts w:cs="Times New Roman"/>
          <w:szCs w:val="24"/>
        </w:rPr>
        <w:t>Valsts nodokļu politikas mērķi</w:t>
      </w:r>
      <w:r w:rsidR="00EA023D">
        <w:rPr>
          <w:rFonts w:cs="Times New Roman"/>
          <w:szCs w:val="24"/>
        </w:rPr>
        <w:t xml:space="preserve">: </w:t>
      </w:r>
    </w:p>
    <w:p w14:paraId="61BCEF8B" w14:textId="2135FFC4" w:rsidR="008D148A" w:rsidRPr="007E1C0A" w:rsidRDefault="008D148A" w:rsidP="008D148A">
      <w:pPr>
        <w:pStyle w:val="ListParagraph"/>
        <w:numPr>
          <w:ilvl w:val="0"/>
          <w:numId w:val="14"/>
        </w:numPr>
        <w:rPr>
          <w:rFonts w:ascii="Times New Roman" w:hAnsi="Times New Roman"/>
          <w:sz w:val="24"/>
          <w:szCs w:val="24"/>
        </w:rPr>
      </w:pPr>
      <w:r w:rsidRPr="007E1C0A">
        <w:rPr>
          <w:rFonts w:ascii="Times New Roman" w:hAnsi="Times New Roman"/>
          <w:sz w:val="24"/>
          <w:szCs w:val="24"/>
        </w:rPr>
        <w:t>nodrošināt ekonomisko izaugsmi atbalstošu nodokļu politiku, kas stimulē darbaspēka mobilizāciju, investīcijas produktivitātes pieaugumā un veicina akumulētā kapitāla uzkrāšanos;</w:t>
      </w:r>
    </w:p>
    <w:p w14:paraId="283E9FFC" w14:textId="77777777" w:rsidR="008D148A" w:rsidRPr="007E1C0A" w:rsidRDefault="008D148A" w:rsidP="008D148A">
      <w:pPr>
        <w:pStyle w:val="ListParagraph"/>
        <w:numPr>
          <w:ilvl w:val="0"/>
          <w:numId w:val="14"/>
        </w:numPr>
        <w:rPr>
          <w:rFonts w:ascii="Times New Roman" w:hAnsi="Times New Roman"/>
          <w:sz w:val="24"/>
          <w:szCs w:val="24"/>
        </w:rPr>
      </w:pPr>
      <w:r w:rsidRPr="007E1C0A">
        <w:rPr>
          <w:rFonts w:ascii="Times New Roman" w:hAnsi="Times New Roman"/>
          <w:sz w:val="24"/>
          <w:szCs w:val="24"/>
        </w:rPr>
        <w:t>nodrošināt konkrētajos ģeopolitiskajos apstākļos adekvātu finansējumu valsts iekšējai un ārējai drošībai, veselības aprūpei, un investīcijām izglītībā un inovācijās;</w:t>
      </w:r>
    </w:p>
    <w:p w14:paraId="058C3D06" w14:textId="77777777" w:rsidR="008D148A" w:rsidRPr="007E1C0A" w:rsidRDefault="008D148A" w:rsidP="008D148A">
      <w:pPr>
        <w:pStyle w:val="ListParagraph"/>
        <w:numPr>
          <w:ilvl w:val="0"/>
          <w:numId w:val="14"/>
        </w:numPr>
        <w:rPr>
          <w:rFonts w:ascii="Times New Roman" w:hAnsi="Times New Roman"/>
          <w:sz w:val="24"/>
          <w:szCs w:val="24"/>
        </w:rPr>
      </w:pPr>
      <w:r w:rsidRPr="007E1C0A">
        <w:rPr>
          <w:rFonts w:ascii="Times New Roman" w:hAnsi="Times New Roman"/>
          <w:sz w:val="24"/>
          <w:szCs w:val="24"/>
        </w:rPr>
        <w:t>nodrošināt valsts budžeta spēju amortizēt ārējos ekonomiskos šokus, atbalstot mājsaimniecības un uzņēmējdarbību.</w:t>
      </w:r>
    </w:p>
    <w:p w14:paraId="2B73B269" w14:textId="576759CA" w:rsidR="008D148A" w:rsidRPr="00EA023D" w:rsidRDefault="00EA023D" w:rsidP="00EA023D">
      <w:pPr>
        <w:rPr>
          <w:rFonts w:cs="Times New Roman"/>
        </w:rPr>
      </w:pPr>
      <w:r>
        <w:rPr>
          <w:rFonts w:cs="Times New Roman"/>
        </w:rPr>
        <w:t xml:space="preserve">Mērķu sasniegšanas novērtējumam tiek piedāvāti šādi vidēja termiņa rezultatīvie radītāji: </w:t>
      </w:r>
    </w:p>
    <w:p w14:paraId="19B1B19D" w14:textId="0B84F9D9" w:rsidR="00EA023D" w:rsidRPr="002C4FE5" w:rsidRDefault="00EA023D" w:rsidP="00EA023D">
      <w:pPr>
        <w:pStyle w:val="ListParagraph"/>
        <w:numPr>
          <w:ilvl w:val="0"/>
          <w:numId w:val="14"/>
        </w:numPr>
        <w:rPr>
          <w:rFonts w:ascii="Times New Roman" w:hAnsi="Times New Roman"/>
          <w:sz w:val="24"/>
          <w:szCs w:val="24"/>
        </w:rPr>
      </w:pPr>
      <w:r w:rsidRPr="002C4FE5">
        <w:rPr>
          <w:rFonts w:ascii="Times New Roman" w:hAnsi="Times New Roman"/>
          <w:sz w:val="24"/>
          <w:szCs w:val="24"/>
        </w:rPr>
        <w:t xml:space="preserve">Kopējie nodokļu ieņēmumi – </w:t>
      </w:r>
      <w:r>
        <w:rPr>
          <w:rFonts w:ascii="Times New Roman" w:hAnsi="Times New Roman"/>
          <w:sz w:val="24"/>
          <w:szCs w:val="24"/>
        </w:rPr>
        <w:t xml:space="preserve">pieaug līdz </w:t>
      </w:r>
      <w:r w:rsidRPr="002C4FE5">
        <w:rPr>
          <w:rFonts w:ascii="Times New Roman" w:hAnsi="Times New Roman"/>
          <w:sz w:val="24"/>
          <w:szCs w:val="24"/>
        </w:rPr>
        <w:t>32,75% no IKP</w:t>
      </w:r>
      <w:r>
        <w:rPr>
          <w:rFonts w:ascii="Times New Roman" w:hAnsi="Times New Roman"/>
          <w:sz w:val="24"/>
          <w:szCs w:val="24"/>
        </w:rPr>
        <w:t>;</w:t>
      </w:r>
    </w:p>
    <w:p w14:paraId="60AC3ADC" w14:textId="0D5A0BB9" w:rsidR="00EA023D" w:rsidRDefault="00EA023D" w:rsidP="00EA023D">
      <w:pPr>
        <w:pStyle w:val="ListParagraph"/>
        <w:numPr>
          <w:ilvl w:val="0"/>
          <w:numId w:val="14"/>
        </w:numPr>
        <w:rPr>
          <w:rFonts w:ascii="Times New Roman" w:hAnsi="Times New Roman"/>
          <w:sz w:val="24"/>
          <w:szCs w:val="24"/>
        </w:rPr>
      </w:pPr>
      <w:r>
        <w:rPr>
          <w:rFonts w:ascii="Times New Roman" w:hAnsi="Times New Roman"/>
          <w:sz w:val="24"/>
          <w:szCs w:val="24"/>
        </w:rPr>
        <w:t>Darbaspēka nodokļu slogs (ķīlis) strādājošam ar vidējo algu bez apgādājamajiem – samazinās par 4 procentpunktiem;</w:t>
      </w:r>
    </w:p>
    <w:p w14:paraId="178E6A50" w14:textId="3215E27B" w:rsidR="00EA023D" w:rsidRDefault="00EA023D" w:rsidP="00EA023D">
      <w:pPr>
        <w:pStyle w:val="ListParagraph"/>
        <w:numPr>
          <w:ilvl w:val="0"/>
          <w:numId w:val="14"/>
        </w:numPr>
        <w:rPr>
          <w:rFonts w:ascii="Times New Roman" w:hAnsi="Times New Roman"/>
          <w:sz w:val="24"/>
          <w:szCs w:val="24"/>
        </w:rPr>
      </w:pPr>
      <w:r>
        <w:rPr>
          <w:rFonts w:ascii="Times New Roman" w:hAnsi="Times New Roman"/>
          <w:sz w:val="24"/>
          <w:szCs w:val="24"/>
        </w:rPr>
        <w:t>Ēnu ekonomika – samazinās par 1 procentpunktu;</w:t>
      </w:r>
    </w:p>
    <w:p w14:paraId="0C9E520B" w14:textId="7400B1EE" w:rsidR="00EA023D" w:rsidRPr="00A60D5B" w:rsidRDefault="00EA023D" w:rsidP="002C4FE5">
      <w:pPr>
        <w:pStyle w:val="ListParagraph"/>
        <w:numPr>
          <w:ilvl w:val="0"/>
          <w:numId w:val="14"/>
        </w:numPr>
        <w:rPr>
          <w:szCs w:val="24"/>
        </w:rPr>
      </w:pPr>
      <w:r>
        <w:rPr>
          <w:rFonts w:ascii="Times New Roman" w:hAnsi="Times New Roman"/>
          <w:sz w:val="24"/>
          <w:szCs w:val="24"/>
        </w:rPr>
        <w:t xml:space="preserve">Valsts drošības finansējums tiek pilnībā nodrošināts atbilstoši plānotajam. </w:t>
      </w:r>
    </w:p>
    <w:p w14:paraId="700DC4AD" w14:textId="109031D3" w:rsidR="008D148A" w:rsidRDefault="008D148A" w:rsidP="008D148A">
      <w:pPr>
        <w:rPr>
          <w:rFonts w:cs="Times New Roman"/>
        </w:rPr>
      </w:pPr>
    </w:p>
    <w:p w14:paraId="5325AFD4" w14:textId="77777777" w:rsidR="00943F45" w:rsidRDefault="00943F45" w:rsidP="008D148A">
      <w:pPr>
        <w:rPr>
          <w:rFonts w:cs="Times New Roman"/>
        </w:rPr>
      </w:pPr>
    </w:p>
    <w:p w14:paraId="312FC9A8" w14:textId="77777777" w:rsidR="00943F45" w:rsidRDefault="00943F45" w:rsidP="008D148A">
      <w:pPr>
        <w:rPr>
          <w:rFonts w:cs="Times New Roman"/>
        </w:rPr>
      </w:pPr>
    </w:p>
    <w:p w14:paraId="001D4209" w14:textId="77777777" w:rsidR="00943F45" w:rsidRDefault="00943F45" w:rsidP="008D148A">
      <w:pPr>
        <w:rPr>
          <w:rFonts w:cs="Times New Roman"/>
        </w:rPr>
      </w:pPr>
    </w:p>
    <w:p w14:paraId="1CF7E180" w14:textId="77777777" w:rsidR="00943F45" w:rsidRDefault="00943F45" w:rsidP="008D148A">
      <w:pPr>
        <w:rPr>
          <w:rFonts w:cs="Times New Roman"/>
        </w:rPr>
      </w:pPr>
    </w:p>
    <w:p w14:paraId="3E2CD827" w14:textId="77777777" w:rsidR="00943F45" w:rsidRDefault="00943F45" w:rsidP="008D148A">
      <w:pPr>
        <w:rPr>
          <w:rFonts w:cs="Times New Roman"/>
        </w:rPr>
      </w:pPr>
    </w:p>
    <w:p w14:paraId="6B973766" w14:textId="77777777" w:rsidR="00943F45" w:rsidRDefault="00943F45" w:rsidP="008D148A">
      <w:pPr>
        <w:rPr>
          <w:rFonts w:cs="Times New Roman"/>
        </w:rPr>
      </w:pPr>
    </w:p>
    <w:p w14:paraId="40FFA669" w14:textId="77777777" w:rsidR="00943F45" w:rsidRDefault="00943F45" w:rsidP="008D148A">
      <w:pPr>
        <w:rPr>
          <w:rFonts w:cs="Times New Roman"/>
        </w:rPr>
      </w:pPr>
    </w:p>
    <w:p w14:paraId="1BDEA6A5" w14:textId="77777777" w:rsidR="00943F45" w:rsidRDefault="00943F45" w:rsidP="008D148A">
      <w:pPr>
        <w:rPr>
          <w:rFonts w:cs="Times New Roman"/>
        </w:rPr>
      </w:pPr>
    </w:p>
    <w:p w14:paraId="776444AB" w14:textId="77777777" w:rsidR="00943F45" w:rsidRDefault="00943F45" w:rsidP="008D148A">
      <w:pPr>
        <w:rPr>
          <w:rFonts w:cs="Times New Roman"/>
        </w:rPr>
      </w:pPr>
    </w:p>
    <w:p w14:paraId="171803D2" w14:textId="77777777" w:rsidR="00943F45" w:rsidRDefault="00943F45" w:rsidP="008D148A">
      <w:pPr>
        <w:rPr>
          <w:rFonts w:cs="Times New Roman"/>
        </w:rPr>
      </w:pPr>
    </w:p>
    <w:p w14:paraId="6D9FD3CC" w14:textId="77777777" w:rsidR="00943F45" w:rsidRDefault="00943F45" w:rsidP="008D148A">
      <w:pPr>
        <w:rPr>
          <w:rFonts w:cs="Times New Roman"/>
        </w:rPr>
      </w:pPr>
    </w:p>
    <w:p w14:paraId="2231D1AF" w14:textId="77777777" w:rsidR="00943F45" w:rsidRDefault="00943F45" w:rsidP="008D148A">
      <w:pPr>
        <w:rPr>
          <w:rFonts w:cs="Times New Roman"/>
        </w:rPr>
      </w:pPr>
    </w:p>
    <w:p w14:paraId="37346CA3" w14:textId="77777777" w:rsidR="00943F45" w:rsidRDefault="00943F45" w:rsidP="008D148A">
      <w:pPr>
        <w:rPr>
          <w:rFonts w:cs="Times New Roman"/>
        </w:rPr>
      </w:pPr>
    </w:p>
    <w:p w14:paraId="6C19C2F9" w14:textId="77777777" w:rsidR="00943F45" w:rsidRPr="006D7653" w:rsidRDefault="00943F45" w:rsidP="008D148A">
      <w:pPr>
        <w:rPr>
          <w:rFonts w:cs="Times New Roman"/>
        </w:rPr>
      </w:pPr>
    </w:p>
    <w:p w14:paraId="67974E77" w14:textId="77777777" w:rsidR="00331D62" w:rsidRPr="006D7653" w:rsidRDefault="00331D62" w:rsidP="00331D62">
      <w:pPr>
        <w:pStyle w:val="Heading1"/>
        <w:rPr>
          <w:rFonts w:cs="Times New Roman"/>
          <w:bCs/>
          <w:color w:val="000000" w:themeColor="text1"/>
          <w:szCs w:val="26"/>
          <w:shd w:val="clear" w:color="auto" w:fill="FFFFFF"/>
        </w:rPr>
      </w:pPr>
      <w:bookmarkStart w:id="44" w:name="_Toc142672885"/>
      <w:bookmarkStart w:id="45" w:name="_Toc142674656"/>
      <w:bookmarkStart w:id="46" w:name="_Toc142674723"/>
      <w:bookmarkStart w:id="47" w:name="_Toc142897056"/>
      <w:bookmarkEnd w:id="44"/>
      <w:bookmarkEnd w:id="45"/>
      <w:bookmarkEnd w:id="46"/>
      <w:r w:rsidRPr="006D7653">
        <w:rPr>
          <w:rFonts w:cs="Times New Roman"/>
        </w:rPr>
        <w:lastRenderedPageBreak/>
        <w:t>Valsts nodokļu politikas pamatnostādņu izstrādes virzība</w:t>
      </w:r>
      <w:bookmarkEnd w:id="47"/>
    </w:p>
    <w:p w14:paraId="61720A65" w14:textId="77777777" w:rsidR="00761AB8" w:rsidRDefault="00331D62" w:rsidP="00331D62">
      <w:pPr>
        <w:rPr>
          <w:rFonts w:cs="Times New Roman"/>
          <w:szCs w:val="24"/>
        </w:rPr>
      </w:pPr>
      <w:r w:rsidRPr="006D7653">
        <w:rPr>
          <w:rFonts w:cs="Times New Roman"/>
          <w:i/>
          <w:szCs w:val="24"/>
        </w:rPr>
        <w:t>Valsts nodokļu politikas pamatnostādņu</w:t>
      </w:r>
      <w:r w:rsidRPr="006D7653">
        <w:rPr>
          <w:rFonts w:cs="Times New Roman"/>
          <w:szCs w:val="24"/>
        </w:rPr>
        <w:t xml:space="preserve"> </w:t>
      </w:r>
      <w:r w:rsidRPr="006D7653">
        <w:rPr>
          <w:rFonts w:cs="Times New Roman"/>
          <w:i/>
          <w:szCs w:val="24"/>
        </w:rPr>
        <w:t>2024. - 2027. gadam</w:t>
      </w:r>
      <w:r w:rsidRPr="006D7653">
        <w:rPr>
          <w:rFonts w:cs="Times New Roman"/>
          <w:szCs w:val="24"/>
        </w:rPr>
        <w:t xml:space="preserve"> izstrādāšanai ir izveidota </w:t>
      </w:r>
      <w:r w:rsidRPr="006D7653">
        <w:rPr>
          <w:rFonts w:cs="Times New Roman"/>
          <w:b/>
          <w:bCs/>
          <w:i/>
          <w:szCs w:val="24"/>
        </w:rPr>
        <w:t>Nodokļu politikas pilnveidošanas koordinēšanas grupa</w:t>
      </w:r>
      <w:r w:rsidRPr="006D7653">
        <w:rPr>
          <w:rFonts w:cs="Times New Roman"/>
          <w:szCs w:val="24"/>
        </w:rPr>
        <w:t xml:space="preserve">, kas ir Valdības koalīciju veidojošo partiju izveidota koleģiāla, koordinējoša, konsultatīvā platforma nodokļu politikas jautājumos ar </w:t>
      </w:r>
      <w:r w:rsidRPr="006D7653">
        <w:rPr>
          <w:rFonts w:cs="Times New Roman"/>
          <w:b/>
          <w:bCs/>
          <w:szCs w:val="24"/>
        </w:rPr>
        <w:t xml:space="preserve">mērķi </w:t>
      </w:r>
      <w:r w:rsidRPr="006D7653">
        <w:rPr>
          <w:rFonts w:cs="Times New Roman"/>
          <w:szCs w:val="24"/>
        </w:rPr>
        <w:t xml:space="preserve">koordinēt sadarbības partneru prioritātes nodokļu politikas plānošanai turpmākajiem gadiem. </w:t>
      </w:r>
      <w:r w:rsidRPr="006D7653">
        <w:rPr>
          <w:rFonts w:eastAsia="Times New Roman" w:cs="Times New Roman"/>
          <w:i/>
          <w:szCs w:val="24"/>
        </w:rPr>
        <w:t>Nodokļu politikas pilnveidošanas koordinēšanas grupas</w:t>
      </w:r>
      <w:r w:rsidRPr="006D7653">
        <w:rPr>
          <w:rFonts w:eastAsia="Times New Roman" w:cs="Times New Roman"/>
          <w:szCs w:val="24"/>
        </w:rPr>
        <w:t xml:space="preserve"> sēdēs tika pieaicināti arī eksperti no nozaru ministrijām, Latvijas Bankas, Latvijas Universitātes, Rīgas Tehniskās universitātes, Valsts ieņēmumu dienesta, Ārvalstu investoru padomes, kā arī valdības sociālo un sadarbības partneru – Latvijas Darba devēju konfederācijas, Latvijas Tirdzniecības un rūpniecības kameras, Latvijas Brīvo arodbiedrību savienības – pārstāvji.</w:t>
      </w:r>
      <w:r w:rsidRPr="006D7653">
        <w:rPr>
          <w:rFonts w:cs="Times New Roman"/>
          <w:szCs w:val="24"/>
        </w:rPr>
        <w:t xml:space="preserve"> </w:t>
      </w:r>
    </w:p>
    <w:p w14:paraId="5446E46C" w14:textId="2BF23D2A" w:rsidR="00761AB8" w:rsidRDefault="00331D62" w:rsidP="00331D62">
      <w:pPr>
        <w:rPr>
          <w:rFonts w:cs="Times New Roman"/>
          <w:szCs w:val="24"/>
        </w:rPr>
      </w:pPr>
      <w:r w:rsidRPr="006D7653">
        <w:rPr>
          <w:rFonts w:cs="Times New Roman"/>
          <w:szCs w:val="24"/>
        </w:rPr>
        <w:t xml:space="preserve">No 2023. gada marta līdz augustam notikušas </w:t>
      </w:r>
      <w:r w:rsidRPr="00B00D41">
        <w:rPr>
          <w:rFonts w:cs="Times New Roman"/>
          <w:szCs w:val="24"/>
        </w:rPr>
        <w:t>1</w:t>
      </w:r>
      <w:r w:rsidR="007A1257">
        <w:rPr>
          <w:rFonts w:cs="Times New Roman"/>
          <w:szCs w:val="24"/>
        </w:rPr>
        <w:t>6</w:t>
      </w:r>
      <w:r w:rsidRPr="006D7653">
        <w:rPr>
          <w:rFonts w:cs="Times New Roman"/>
          <w:szCs w:val="24"/>
        </w:rPr>
        <w:t xml:space="preserve"> </w:t>
      </w:r>
      <w:r w:rsidRPr="006D7653">
        <w:rPr>
          <w:rFonts w:eastAsia="Times New Roman" w:cs="Times New Roman"/>
          <w:i/>
          <w:szCs w:val="24"/>
        </w:rPr>
        <w:t>Nodokļu politikas pilnveidošanas koordinēšanas grupas</w:t>
      </w:r>
      <w:r w:rsidRPr="006D7653">
        <w:rPr>
          <w:rFonts w:eastAsia="Times New Roman" w:cs="Times New Roman"/>
          <w:szCs w:val="24"/>
        </w:rPr>
        <w:t xml:space="preserve"> sēdes</w:t>
      </w:r>
      <w:r w:rsidRPr="006D7653">
        <w:rPr>
          <w:rFonts w:cs="Times New Roman"/>
          <w:szCs w:val="24"/>
        </w:rPr>
        <w:t xml:space="preserve">, kurās tika </w:t>
      </w:r>
      <w:r w:rsidR="00761AB8" w:rsidRPr="006D7653">
        <w:rPr>
          <w:rFonts w:cs="Times New Roman"/>
          <w:szCs w:val="24"/>
        </w:rPr>
        <w:t>izskatīt</w:t>
      </w:r>
      <w:r w:rsidR="00EB7188">
        <w:rPr>
          <w:rFonts w:cs="Times New Roman"/>
          <w:szCs w:val="24"/>
        </w:rPr>
        <w:t>i</w:t>
      </w:r>
      <w:r w:rsidR="00761AB8">
        <w:rPr>
          <w:rFonts w:cs="Times New Roman"/>
          <w:szCs w:val="24"/>
        </w:rPr>
        <w:t xml:space="preserve"> ekonomikas transformācijas makroekonomikās </w:t>
      </w:r>
      <w:r w:rsidR="00943F45">
        <w:rPr>
          <w:rFonts w:cs="Times New Roman"/>
          <w:szCs w:val="24"/>
        </w:rPr>
        <w:t xml:space="preserve">attīstības </w:t>
      </w:r>
      <w:r w:rsidR="00761AB8">
        <w:rPr>
          <w:rFonts w:cs="Times New Roman"/>
          <w:szCs w:val="24"/>
        </w:rPr>
        <w:t xml:space="preserve">izaicinājumi un mērķi, un to sasaiste ar nodokļu politiku un valsts budžeta ieņēmumu potenciālu, definējot nodokļu politikas mērķus un sasniedzamos rādītājus. Darba grupa diskutēja par visu 14 nodokļu izaicinājumiem un to iespējamajām izmaiņām. Būtiska uzmanība tika pievērsta </w:t>
      </w:r>
      <w:r w:rsidR="00761AB8">
        <w:rPr>
          <w:szCs w:val="24"/>
        </w:rPr>
        <w:t>n</w:t>
      </w:r>
      <w:r w:rsidR="00761AB8" w:rsidRPr="006D7653">
        <w:rPr>
          <w:szCs w:val="24"/>
        </w:rPr>
        <w:t xml:space="preserve">odokļu plaisas un nodokļu </w:t>
      </w:r>
      <w:r w:rsidR="00761AB8">
        <w:rPr>
          <w:szCs w:val="24"/>
        </w:rPr>
        <w:t>maksātāju</w:t>
      </w:r>
      <w:r w:rsidR="00761AB8" w:rsidRPr="006D7653">
        <w:rPr>
          <w:szCs w:val="24"/>
        </w:rPr>
        <w:t xml:space="preserve"> uzvedība</w:t>
      </w:r>
      <w:r w:rsidR="00761AB8">
        <w:rPr>
          <w:szCs w:val="24"/>
        </w:rPr>
        <w:t>s</w:t>
      </w:r>
      <w:r w:rsidR="00761AB8" w:rsidRPr="006D7653">
        <w:rPr>
          <w:szCs w:val="24"/>
        </w:rPr>
        <w:t>,</w:t>
      </w:r>
      <w:r w:rsidR="00761AB8">
        <w:rPr>
          <w:szCs w:val="24"/>
        </w:rPr>
        <w:t xml:space="preserve"> un</w:t>
      </w:r>
      <w:r w:rsidR="00761AB8" w:rsidRPr="006D7653">
        <w:rPr>
          <w:szCs w:val="24"/>
        </w:rPr>
        <w:t xml:space="preserve"> ēnu ekonomikas ierobežošana</w:t>
      </w:r>
      <w:r w:rsidR="00761AB8">
        <w:rPr>
          <w:szCs w:val="24"/>
        </w:rPr>
        <w:t>s</w:t>
      </w:r>
      <w:r w:rsidR="00761AB8" w:rsidRPr="00761AB8">
        <w:rPr>
          <w:szCs w:val="24"/>
        </w:rPr>
        <w:t xml:space="preserve"> </w:t>
      </w:r>
      <w:r w:rsidR="00761AB8" w:rsidRPr="006D7653">
        <w:rPr>
          <w:szCs w:val="24"/>
        </w:rPr>
        <w:t>pasākum</w:t>
      </w:r>
      <w:r w:rsidR="00761AB8">
        <w:rPr>
          <w:szCs w:val="24"/>
        </w:rPr>
        <w:t xml:space="preserve">u izvērtēšanai. </w:t>
      </w:r>
    </w:p>
    <w:p w14:paraId="3A04F7AB" w14:textId="77777777" w:rsidR="00331D62" w:rsidRPr="006D7653" w:rsidRDefault="00331D62" w:rsidP="00331D62">
      <w:pPr>
        <w:rPr>
          <w:rFonts w:cs="Times New Roman"/>
          <w:szCs w:val="24"/>
        </w:rPr>
      </w:pPr>
      <w:r w:rsidRPr="006D7653">
        <w:rPr>
          <w:rFonts w:cs="Times New Roman"/>
          <w:szCs w:val="24"/>
        </w:rPr>
        <w:t xml:space="preserve">Paralēli darbam minētajās sēdēs Finanšu ministrija ir veikusi dažādu nodokļu politikas pilnveidošanas priekšlikumu, tai skaitā valdības sociālo un sadarbības partneru priekšlikumu, izvērtēšanu.  </w:t>
      </w:r>
    </w:p>
    <w:p w14:paraId="30654767" w14:textId="629D34A2" w:rsidR="00331D62" w:rsidRPr="006D7653" w:rsidRDefault="00331D62" w:rsidP="00331D62">
      <w:pPr>
        <w:rPr>
          <w:rFonts w:cs="Times New Roman"/>
        </w:rPr>
      </w:pPr>
      <w:r w:rsidRPr="006D7653">
        <w:rPr>
          <w:rFonts w:cs="Times New Roman"/>
        </w:rPr>
        <w:t xml:space="preserve">Finanšu ministrija, pamatojoties uz </w:t>
      </w:r>
      <w:r w:rsidRPr="006D7653">
        <w:rPr>
          <w:rFonts w:eastAsia="Times New Roman" w:cs="Times New Roman"/>
          <w:i/>
          <w:color w:val="000000"/>
        </w:rPr>
        <w:t xml:space="preserve">Nodokļu politikas pilnveidošanas koordinēšanas grupā </w:t>
      </w:r>
      <w:r w:rsidRPr="006D7653">
        <w:rPr>
          <w:rFonts w:eastAsia="Times New Roman" w:cs="Times New Roman"/>
          <w:iCs/>
          <w:color w:val="000000"/>
        </w:rPr>
        <w:t xml:space="preserve">izskanējušajām </w:t>
      </w:r>
      <w:r w:rsidRPr="006D7653">
        <w:rPr>
          <w:rFonts w:cs="Times New Roman"/>
        </w:rPr>
        <w:t xml:space="preserve">diskusijām, sagatavoja makroekonomiskās attīstības scenāriju un potenciālos mērķus, nodokļu politikas vidējā termiņa mērķu piedāvājumu, iespējamās nodokļu politikas izmaiņas un scenārijus. </w:t>
      </w:r>
      <w:r w:rsidRPr="006D7653">
        <w:rPr>
          <w:rFonts w:cs="Times New Roman"/>
          <w:i/>
          <w:iCs/>
        </w:rPr>
        <w:t xml:space="preserve">Nodokļu politikas pilnveidošanas koordinēšanas grupas </w:t>
      </w:r>
      <w:r w:rsidRPr="006D7653">
        <w:rPr>
          <w:rFonts w:cs="Times New Roman"/>
        </w:rPr>
        <w:t xml:space="preserve">tika izskatīta virkne dažādu iespējamo nodokļu politikas izmaiņu, kas būs rūpīgi jāizvērtē un jāmodelē, gatavojot Valsts nodokļu politikas </w:t>
      </w:r>
      <w:r w:rsidR="00EB7188" w:rsidRPr="006D7653">
        <w:rPr>
          <w:rFonts w:cs="Times New Roman"/>
        </w:rPr>
        <w:t>pamatnostād</w:t>
      </w:r>
      <w:r w:rsidR="00EB7188">
        <w:rPr>
          <w:rFonts w:cs="Times New Roman"/>
        </w:rPr>
        <w:t>ņu projektu</w:t>
      </w:r>
      <w:r w:rsidRPr="006D7653">
        <w:rPr>
          <w:rFonts w:cs="Times New Roman"/>
        </w:rPr>
        <w:t>. Tika izskatītas gan darbaspēka nodokļu mazināšanas iespējas, gan patēriņu nodokļu izmaiņas, gan uzņēmējdarbību atbalstoši nodokļu izmaiņu risinājumi</w:t>
      </w:r>
      <w:r w:rsidR="00EB7188">
        <w:rPr>
          <w:rFonts w:cs="Times New Roman"/>
        </w:rPr>
        <w:t xml:space="preserve"> un notikusi sākotnējā viedokļu apmaiņa</w:t>
      </w:r>
      <w:r w:rsidRPr="006D7653">
        <w:rPr>
          <w:rFonts w:cs="Times New Roman"/>
        </w:rPr>
        <w:t xml:space="preserve">. </w:t>
      </w:r>
    </w:p>
    <w:p w14:paraId="3870FA2F" w14:textId="1B42FFA6" w:rsidR="00331D62" w:rsidRPr="00B00D41" w:rsidRDefault="00331D62" w:rsidP="00331D62">
      <w:pPr>
        <w:rPr>
          <w:rFonts w:cs="Times New Roman"/>
        </w:rPr>
      </w:pPr>
      <w:r w:rsidRPr="00B00D41">
        <w:rPr>
          <w:rFonts w:cs="Times New Roman"/>
        </w:rPr>
        <w:t>Jānorāda, ka Valsts nodokļu pamatnostādņu sagatavošana nav tieši saistāma ar 2024.</w:t>
      </w:r>
      <w:r w:rsidR="009663DF" w:rsidRPr="00B00D41">
        <w:rPr>
          <w:rFonts w:cs="Times New Roman"/>
        </w:rPr>
        <w:t> - </w:t>
      </w:r>
      <w:r w:rsidRPr="00B00D41">
        <w:rPr>
          <w:rFonts w:cs="Times New Roman"/>
        </w:rPr>
        <w:t>2026. gada valsts budžeta izstrādi, tas ir paralēls process. Atsevišķi nodokļu izmaiņu risinājumi var tikt iekļauti valsts budžeta paketē, bet process kopumā ir vērtējams kā analītisks darbs ar izsvērtiem lēmumiem par nodokļu politikas vidēja termiņa mērķiem un optimālākajiem risinājumiem šo mērķu sasniegšanai.</w:t>
      </w:r>
    </w:p>
    <w:p w14:paraId="613AA6A7" w14:textId="0A4FF607" w:rsidR="00331D62" w:rsidRPr="006D7653" w:rsidRDefault="00B26954" w:rsidP="00331D62">
      <w:pPr>
        <w:ind w:firstLine="567"/>
        <w:rPr>
          <w:rFonts w:cs="Times New Roman"/>
          <w:szCs w:val="24"/>
        </w:rPr>
      </w:pPr>
      <w:r>
        <w:rPr>
          <w:rFonts w:cs="Times New Roman"/>
          <w:szCs w:val="24"/>
        </w:rPr>
        <w:t>J</w:t>
      </w:r>
      <w:r w:rsidR="00331D62" w:rsidRPr="006D7653">
        <w:rPr>
          <w:rFonts w:cs="Times New Roman"/>
          <w:szCs w:val="24"/>
        </w:rPr>
        <w:t>āņem arī vērā, ka nodokļu politikas izmaiņām ir stimulējoša nevis noteicošā loma ekonomikas transformācijā. Saskaņā ar Ekonomikas ministrijas sagatavoto informatīvo ziņojumu “</w:t>
      </w:r>
      <w:r w:rsidR="00331D62" w:rsidRPr="006D7653">
        <w:rPr>
          <w:rFonts w:cs="Times New Roman"/>
          <w:i/>
          <w:iCs/>
          <w:szCs w:val="24"/>
        </w:rPr>
        <w:t>Prioritārie rīcības virzieni ekonomikas transformācijas īstenošanai</w:t>
      </w:r>
      <w:r w:rsidR="00331D62" w:rsidRPr="006D7653">
        <w:rPr>
          <w:rFonts w:cs="Times New Roman"/>
          <w:szCs w:val="24"/>
        </w:rPr>
        <w:t>”</w:t>
      </w:r>
      <w:r w:rsidR="00331D62" w:rsidRPr="006D7653">
        <w:rPr>
          <w:rStyle w:val="FootnoteReference"/>
          <w:rFonts w:cs="Times New Roman"/>
          <w:szCs w:val="24"/>
        </w:rPr>
        <w:footnoteReference w:id="4"/>
      </w:r>
      <w:r w:rsidR="00331D62" w:rsidRPr="006D7653">
        <w:rPr>
          <w:rFonts w:cs="Times New Roman"/>
          <w:szCs w:val="24"/>
        </w:rPr>
        <w:t xml:space="preserve"> nodokļu likmēm ir relatīvi mazāka loma ekonomikas transformācijas procesā nekā vienkāršai nodokļu samaksas kārtībai, caurspīdīgumam un ātrai lēmumu pieņemšanai.</w:t>
      </w:r>
    </w:p>
    <w:p w14:paraId="22183CBF" w14:textId="77777777" w:rsidR="00331D62" w:rsidRPr="006D7653" w:rsidRDefault="00331D62" w:rsidP="00331D62">
      <w:pPr>
        <w:ind w:firstLine="0"/>
        <w:rPr>
          <w:rFonts w:cs="Times New Roman"/>
          <w:szCs w:val="24"/>
        </w:rPr>
      </w:pPr>
      <w:r w:rsidRPr="006D7653">
        <w:rPr>
          <w:rFonts w:cs="Times New Roman"/>
          <w:noProof/>
          <w:szCs w:val="24"/>
          <w:lang w:eastAsia="lv-LV"/>
        </w:rPr>
        <w:lastRenderedPageBreak/>
        <w:drawing>
          <wp:inline distT="0" distB="0" distL="0" distR="0" wp14:anchorId="295A1770" wp14:editId="109712EA">
            <wp:extent cx="5905500" cy="2914650"/>
            <wp:effectExtent l="0" t="0" r="0" b="0"/>
            <wp:docPr id="2" name="Attēls 2" descr="Attēls, kurā ir teksts, ekrānuzņēmums, diagramma, fonts&#10;&#10;Apraksts ģenerēts automātiski">
              <a:extLst xmlns:a="http://schemas.openxmlformats.org/drawingml/2006/main">
                <a:ext uri="{FF2B5EF4-FFF2-40B4-BE49-F238E27FC236}">
                  <a16:creationId xmlns:a16="http://schemas.microsoft.com/office/drawing/2014/main" id="{D4EC647D-C3D6-6C14-9C89-BA2D70B4F9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Attēls, kurā ir teksts, ekrānuzņēmums, diagramma, fonts&#10;&#10;Apraksts ģenerēts automātiski">
                      <a:extLst>
                        <a:ext uri="{FF2B5EF4-FFF2-40B4-BE49-F238E27FC236}">
                          <a16:creationId xmlns:a16="http://schemas.microsoft.com/office/drawing/2014/main" id="{D4EC647D-C3D6-6C14-9C89-BA2D70B4F9CB}"/>
                        </a:ext>
                      </a:extLst>
                    </pic:cNvPr>
                    <pic:cNvPicPr>
                      <a:picLocks noChangeAspect="1"/>
                    </pic:cNvPicPr>
                  </pic:nvPicPr>
                  <pic:blipFill rotWithShape="1">
                    <a:blip r:embed="rId17"/>
                    <a:srcRect l="2275" t="10437" r="1911" b="14815"/>
                    <a:stretch/>
                  </pic:blipFill>
                  <pic:spPr>
                    <a:xfrm>
                      <a:off x="0" y="0"/>
                      <a:ext cx="5905500" cy="2914650"/>
                    </a:xfrm>
                    <a:prstGeom prst="rect">
                      <a:avLst/>
                    </a:prstGeom>
                  </pic:spPr>
                </pic:pic>
              </a:graphicData>
            </a:graphic>
          </wp:inline>
        </w:drawing>
      </w:r>
    </w:p>
    <w:p w14:paraId="16DF2A54" w14:textId="6C195065" w:rsidR="00331D62" w:rsidRPr="006D7653" w:rsidRDefault="00EB7188" w:rsidP="00331D62">
      <w:pPr>
        <w:ind w:firstLine="0"/>
        <w:rPr>
          <w:rFonts w:cs="Times New Roman"/>
          <w:sz w:val="22"/>
        </w:rPr>
      </w:pPr>
      <w:r>
        <w:rPr>
          <w:rFonts w:cs="Times New Roman"/>
          <w:sz w:val="22"/>
        </w:rPr>
        <w:t>7</w:t>
      </w:r>
      <w:r w:rsidR="00331D62" w:rsidRPr="006D7653">
        <w:rPr>
          <w:rFonts w:cs="Times New Roman"/>
          <w:sz w:val="22"/>
        </w:rPr>
        <w:t>.</w:t>
      </w:r>
      <w:r w:rsidR="006D399D">
        <w:rPr>
          <w:rFonts w:cs="Times New Roman"/>
          <w:sz w:val="22"/>
        </w:rPr>
        <w:t> </w:t>
      </w:r>
      <w:r w:rsidR="00331D62" w:rsidRPr="006D7653">
        <w:rPr>
          <w:rFonts w:cs="Times New Roman"/>
          <w:sz w:val="22"/>
        </w:rPr>
        <w:t xml:space="preserve">att. </w:t>
      </w:r>
      <w:r w:rsidR="00331D62" w:rsidRPr="006D7653">
        <w:rPr>
          <w:rFonts w:cs="Times New Roman"/>
          <w:b/>
          <w:bCs/>
          <w:sz w:val="22"/>
        </w:rPr>
        <w:t>Valsts nodokļu politikas pamatnostādņu 2024.</w:t>
      </w:r>
      <w:r w:rsidR="006D399D">
        <w:rPr>
          <w:rFonts w:cs="Times New Roman"/>
          <w:b/>
          <w:bCs/>
          <w:sz w:val="22"/>
        </w:rPr>
        <w:t> - </w:t>
      </w:r>
      <w:r w:rsidR="00331D62" w:rsidRPr="006D7653">
        <w:rPr>
          <w:rFonts w:cs="Times New Roman"/>
          <w:b/>
          <w:bCs/>
          <w:sz w:val="22"/>
        </w:rPr>
        <w:t>2027.</w:t>
      </w:r>
      <w:r w:rsidR="006D399D">
        <w:rPr>
          <w:rFonts w:cs="Times New Roman"/>
          <w:b/>
          <w:bCs/>
          <w:sz w:val="22"/>
        </w:rPr>
        <w:t> </w:t>
      </w:r>
      <w:r w:rsidR="00331D62" w:rsidRPr="006D7653">
        <w:rPr>
          <w:rFonts w:cs="Times New Roman"/>
          <w:b/>
          <w:bCs/>
          <w:sz w:val="22"/>
        </w:rPr>
        <w:t>gadam sagatavošanas grafiks</w:t>
      </w:r>
    </w:p>
    <w:p w14:paraId="0A67A22C" w14:textId="222E1706" w:rsidR="00331D62" w:rsidRPr="006D7653" w:rsidRDefault="00331D62" w:rsidP="00331D62">
      <w:pPr>
        <w:ind w:firstLine="567"/>
        <w:rPr>
          <w:rFonts w:cs="Times New Roman"/>
          <w:bCs/>
          <w:i/>
          <w:iCs/>
          <w:szCs w:val="24"/>
        </w:rPr>
      </w:pPr>
      <w:r w:rsidRPr="006D7653">
        <w:rPr>
          <w:rFonts w:cs="Times New Roman"/>
        </w:rPr>
        <w:t xml:space="preserve">Plānots, ka </w:t>
      </w:r>
      <w:r w:rsidRPr="006D7653">
        <w:rPr>
          <w:rFonts w:cs="Times New Roman"/>
          <w:i/>
          <w:iCs/>
        </w:rPr>
        <w:t>Nodokļu politikas pilnveidošanas koordinēšanas grupa</w:t>
      </w:r>
      <w:r w:rsidRPr="006D7653">
        <w:rPr>
          <w:rFonts w:cs="Times New Roman"/>
        </w:rPr>
        <w:t xml:space="preserve"> turpinās detalizēti izvērtēt iespējamās alternatīvas, lai izaugsmi atbalstošas nodokļu sistēmas izmaiņas varētu iesniegt apstiprināšanai Ministru kabinetā </w:t>
      </w:r>
      <w:r w:rsidR="00EB7188">
        <w:rPr>
          <w:rFonts w:cs="Times New Roman"/>
        </w:rPr>
        <w:t xml:space="preserve">līdz </w:t>
      </w:r>
      <w:r w:rsidRPr="006D7653">
        <w:rPr>
          <w:rFonts w:cs="Times New Roman"/>
        </w:rPr>
        <w:t xml:space="preserve">šā gada </w:t>
      </w:r>
      <w:r w:rsidR="00EB7188">
        <w:rPr>
          <w:rFonts w:cs="Times New Roman"/>
        </w:rPr>
        <w:t>beigām</w:t>
      </w:r>
      <w:r w:rsidRPr="006D7653">
        <w:rPr>
          <w:rFonts w:cs="Times New Roman"/>
        </w:rPr>
        <w:t>.</w:t>
      </w:r>
    </w:p>
    <w:p w14:paraId="37180C54" w14:textId="309DCDDB" w:rsidR="00324419" w:rsidRDefault="00324419">
      <w:pPr>
        <w:spacing w:before="0" w:after="160" w:line="259" w:lineRule="auto"/>
        <w:ind w:firstLine="0"/>
        <w:jc w:val="left"/>
        <w:rPr>
          <w:rFonts w:cs="Times New Roman"/>
          <w:i/>
          <w:sz w:val="20"/>
          <w:szCs w:val="24"/>
        </w:rPr>
      </w:pPr>
      <w:r>
        <w:rPr>
          <w:rFonts w:cs="Times New Roman"/>
          <w:i/>
          <w:sz w:val="20"/>
          <w:szCs w:val="24"/>
        </w:rPr>
        <w:br w:type="page"/>
      </w:r>
    </w:p>
    <w:p w14:paraId="4C48A3E6" w14:textId="7C567CA9" w:rsidR="006B0BAF" w:rsidRPr="00FB002A" w:rsidRDefault="006B0BAF" w:rsidP="00FB002A">
      <w:pPr>
        <w:pStyle w:val="Heading1"/>
      </w:pPr>
      <w:bookmarkStart w:id="48" w:name="_Toc142897057"/>
      <w:bookmarkStart w:id="49" w:name="_Toc141797774"/>
      <w:bookmarkStart w:id="50" w:name="_Toc142477435"/>
      <w:r w:rsidRPr="00FB002A">
        <w:lastRenderedPageBreak/>
        <w:t>In</w:t>
      </w:r>
      <w:r w:rsidR="00E62AB9" w:rsidRPr="00FB002A">
        <w:t>i</w:t>
      </w:r>
      <w:r w:rsidRPr="00FB002A">
        <w:t>ciatīvas uz 2024.</w:t>
      </w:r>
      <w:r w:rsidR="00FB002A" w:rsidRPr="00FB002A">
        <w:t> </w:t>
      </w:r>
      <w:r w:rsidRPr="00FB002A">
        <w:t>gada budžetu</w:t>
      </w:r>
      <w:bookmarkEnd w:id="48"/>
      <w:r w:rsidRPr="00FB002A">
        <w:t xml:space="preserve"> </w:t>
      </w:r>
    </w:p>
    <w:p w14:paraId="5FEFE679" w14:textId="0F843C34" w:rsidR="00DF7F86" w:rsidRPr="00E62AB9" w:rsidRDefault="006A7FAC" w:rsidP="006A7FAC">
      <w:r>
        <w:rPr>
          <w:rFonts w:cs="Times New Roman"/>
        </w:rPr>
        <w:t xml:space="preserve">Nodokļu sistēmas pilnveidošanas priekšlikumi tiks sagatavoti virzībai pēc </w:t>
      </w:r>
      <w:r w:rsidRPr="006D7653">
        <w:rPr>
          <w:rFonts w:cs="Times New Roman"/>
        </w:rPr>
        <w:t>valsts nodokļu politikas pamatnostād</w:t>
      </w:r>
      <w:r>
        <w:rPr>
          <w:rFonts w:cs="Times New Roman"/>
        </w:rPr>
        <w:t>ņu apstiprināšanas 2023.</w:t>
      </w:r>
      <w:r w:rsidR="009B2656">
        <w:rPr>
          <w:rFonts w:cs="Times New Roman"/>
        </w:rPr>
        <w:t> </w:t>
      </w:r>
      <w:r>
        <w:rPr>
          <w:rFonts w:cs="Times New Roman"/>
        </w:rPr>
        <w:t xml:space="preserve">gada beigās, tomēr vienlaikus ir identificēti vairāki nodokļu politikas priekšlikumi, kuri, ņemot vērā to aktualitāti, </w:t>
      </w:r>
      <w:r w:rsidR="00B26954">
        <w:rPr>
          <w:rFonts w:cs="Times New Roman"/>
        </w:rPr>
        <w:t>varētu tikt</w:t>
      </w:r>
      <w:r>
        <w:rPr>
          <w:rFonts w:cs="Times New Roman"/>
        </w:rPr>
        <w:t xml:space="preserve"> apstiprināšanai kopā ar valsts budžetu 2024.</w:t>
      </w:r>
      <w:r w:rsidR="009B2656">
        <w:rPr>
          <w:rFonts w:cs="Times New Roman"/>
        </w:rPr>
        <w:t> </w:t>
      </w:r>
      <w:r>
        <w:rPr>
          <w:rFonts w:cs="Times New Roman"/>
        </w:rPr>
        <w:t>gadam</w:t>
      </w:r>
      <w:r>
        <w:rPr>
          <w:rStyle w:val="FootnoteReference"/>
          <w:rFonts w:cs="Times New Roman"/>
        </w:rPr>
        <w:footnoteReference w:id="5"/>
      </w:r>
      <w:r>
        <w:rPr>
          <w:rFonts w:cs="Times New Roman"/>
        </w:rPr>
        <w:t>.</w:t>
      </w:r>
      <w:r w:rsidR="00B26954">
        <w:rPr>
          <w:rFonts w:cs="Times New Roman"/>
        </w:rPr>
        <w:t xml:space="preserve"> Darba grupā vēl turpinās diskusijas par konkrēto priekšlikumu dizainu – likmēm, atvieglojumu lielumu un administrēšanas jautājumiem, tādejādi tie vēl var tikt precizēti pirms iesniegšanas Ministru kabinetā. </w:t>
      </w:r>
    </w:p>
    <w:p w14:paraId="347BD79C" w14:textId="3E5689A3" w:rsidR="006D7653" w:rsidRPr="00E62AB9" w:rsidRDefault="006D7653" w:rsidP="00FB002A">
      <w:pPr>
        <w:pStyle w:val="Heading2"/>
      </w:pPr>
      <w:bookmarkStart w:id="51" w:name="_Toc141797775"/>
      <w:bookmarkStart w:id="52" w:name="_Toc142477436"/>
      <w:bookmarkStart w:id="53" w:name="_Toc142897058"/>
      <w:bookmarkEnd w:id="49"/>
      <w:bookmarkEnd w:id="50"/>
      <w:r w:rsidRPr="00E62AB9">
        <w:t>Akcīzes nodok</w:t>
      </w:r>
      <w:bookmarkEnd w:id="51"/>
      <w:bookmarkEnd w:id="52"/>
      <w:r w:rsidR="00C745C0">
        <w:t>lis</w:t>
      </w:r>
      <w:bookmarkEnd w:id="53"/>
    </w:p>
    <w:p w14:paraId="0E0B4AA6" w14:textId="77777777" w:rsidR="006D7653" w:rsidRPr="006D7653" w:rsidRDefault="006D7653" w:rsidP="006D7653">
      <w:r w:rsidRPr="006D7653">
        <w:t xml:space="preserve">AN mērķis ir nodrošināt ES tirgus pareizu darbību un valsts budžeta ieņēmumus, kā arī mazināt videi nedraudzīgu vai cilvēku veselībai nelabvēlīgu produktu lietošanu. </w:t>
      </w:r>
    </w:p>
    <w:p w14:paraId="623B8703" w14:textId="77777777" w:rsidR="006D7653" w:rsidRPr="006D7653" w:rsidRDefault="006D7653" w:rsidP="006D7653">
      <w:pPr>
        <w:rPr>
          <w:shd w:val="clear" w:color="auto" w:fill="FFFFFF"/>
        </w:rPr>
      </w:pPr>
      <w:r w:rsidRPr="006D7653">
        <w:rPr>
          <w:shd w:val="clear" w:color="auto" w:fill="FFFFFF"/>
        </w:rPr>
        <w:t xml:space="preserve">AN ir </w:t>
      </w:r>
      <w:r w:rsidRPr="006D7653">
        <w:t xml:space="preserve">ceturtais lielākais ieņēmumu avots </w:t>
      </w:r>
      <w:r w:rsidRPr="006D7653">
        <w:rPr>
          <w:shd w:val="clear" w:color="auto" w:fill="FFFFFF"/>
        </w:rPr>
        <w:t xml:space="preserve">kopējos nodokļu ieņēmumos. 2022. gadā AN ieņēmumi veidoja </w:t>
      </w:r>
      <w:r w:rsidRPr="006D7653">
        <w:t>aptuveni 1/10 no kopējiem nodokļu ieņēmumiem</w:t>
      </w:r>
      <w:r w:rsidRPr="006D7653">
        <w:rPr>
          <w:shd w:val="clear" w:color="auto" w:fill="FFFFFF"/>
        </w:rPr>
        <w:t xml:space="preserve"> jeb 2,9% no IKP. </w:t>
      </w:r>
    </w:p>
    <w:p w14:paraId="20B76D96" w14:textId="3F5A2B7C" w:rsidR="006D7653" w:rsidRPr="006D7653" w:rsidRDefault="006D7653" w:rsidP="006D7653">
      <w:pPr>
        <w:rPr>
          <w:shd w:val="clear" w:color="auto" w:fill="FFFFFF"/>
        </w:rPr>
      </w:pPr>
      <w:r w:rsidRPr="006D7653">
        <w:t>Tā kā akcīzes preces nav pirmās nepieciešamības preces, tad AN palielinājums potenciāli varētu neskart maznodrošinātos iedzīvotājus. Primāri pārskatāmās akcīzes preču kategorijas ir naftas produkti</w:t>
      </w:r>
      <w:r w:rsidR="00BE70B6" w:rsidRPr="00BE70B6">
        <w:t>, ko izmanto Speciālajās ekonomiskajās zonās (SEZ) un brīvostās</w:t>
      </w:r>
      <w:r w:rsidRPr="006D7653">
        <w:t>, alkoholiskie dzērieni un tabakas izstrādājumi, kā arī elektroniskajās smēķēšanas ierīcēs izmantojamie šķidrumi (e-šķidrumi) un tabakas aizstājējprodukti, ņemot vērā, ka pēdējā laikā ir pieaudzis minēto produktu izmantošana jauniešu vidū.</w:t>
      </w:r>
    </w:p>
    <w:p w14:paraId="37F3D1C2" w14:textId="20D8B9C1" w:rsidR="006D7653" w:rsidRPr="006D7653" w:rsidRDefault="006D7653" w:rsidP="006D7653">
      <w:r w:rsidRPr="006D7653">
        <w:t xml:space="preserve">AN likmju paaugstināšana noteiktām akcīzes preču grupām veicina </w:t>
      </w:r>
      <w:r w:rsidRPr="006D7653">
        <w:rPr>
          <w:i/>
          <w:iCs/>
        </w:rPr>
        <w:t>Valsts nodokļu politikas pamatnostādņu 2024. - 2027. gadam</w:t>
      </w:r>
      <w:r w:rsidRPr="006D7653">
        <w:t xml:space="preserve"> mērķa sasniegšanu, proti, finansējuma pieaugumu ilgtspējīgu publisko pakalpojumu nodrošināšanai un ekonomikas attīstībai, t.i. ieviešot AN izmaiņu priekšlikumus, </w:t>
      </w:r>
      <w:r w:rsidRPr="00FB002A">
        <w:t xml:space="preserve">AN ieņēmumi budžetā palielinās par aptuveni </w:t>
      </w:r>
      <w:r w:rsidR="0006342A">
        <w:t>22</w:t>
      </w:r>
      <w:r w:rsidRPr="00FB002A">
        <w:t> - </w:t>
      </w:r>
      <w:r w:rsidR="0006342A">
        <w:t>92</w:t>
      </w:r>
      <w:r w:rsidRPr="00FB002A">
        <w:t> milj. </w:t>
      </w:r>
      <w:r w:rsidRPr="00FB002A">
        <w:rPr>
          <w:i/>
          <w:iCs/>
        </w:rPr>
        <w:t>euro</w:t>
      </w:r>
      <w:r w:rsidRPr="00FB002A">
        <w:t xml:space="preserve"> visā vidēja termiņa plānošan</w:t>
      </w:r>
      <w:r w:rsidR="0006342A">
        <w:t>as periodā jeb 0,05</w:t>
      </w:r>
      <w:r w:rsidRPr="00FB002A">
        <w:t xml:space="preserve"> - 0,2% no IKP.</w:t>
      </w:r>
    </w:p>
    <w:p w14:paraId="10C46DDA" w14:textId="5F065FCB" w:rsidR="006D7653" w:rsidRDefault="006D7653" w:rsidP="009B2656">
      <w:r w:rsidRPr="006D7653">
        <w:rPr>
          <w:i/>
          <w:iCs/>
        </w:rPr>
        <w:t>Nodokļu politikas pilnveidošanas koordinēšanas grupas</w:t>
      </w:r>
      <w:r w:rsidRPr="006D7653">
        <w:t xml:space="preserve"> sēdē, kurā tika apspriesti AN pārskatīšanas jautājumi, konceptuāli tika atbalstīta AN likmju </w:t>
      </w:r>
      <w:r w:rsidR="006A7FAC">
        <w:t xml:space="preserve">pakāpeniska </w:t>
      </w:r>
      <w:r w:rsidRPr="006D7653">
        <w:t xml:space="preserve">palielināšana, lai nodrošinātu AN mērķu sasniegšanu vienlaikus vēršot uzmanību, ka AN preču apritē ir uzlabojies kontroles un uzraudzības mehānisms, robežkontrole un mazinājusies ēnu ekonomika.  </w:t>
      </w:r>
    </w:p>
    <w:p w14:paraId="203DBAFC" w14:textId="77777777" w:rsidR="009B2656" w:rsidRPr="009B2656" w:rsidRDefault="009B2656" w:rsidP="009B2656"/>
    <w:p w14:paraId="5AB6FBA4" w14:textId="052C3901" w:rsidR="006D7653" w:rsidRPr="006D7653" w:rsidRDefault="006D7653" w:rsidP="006D7653">
      <w:pPr>
        <w:ind w:firstLine="0"/>
        <w:rPr>
          <w:rFonts w:cs="Times New Roman"/>
          <w:b/>
          <w:bCs/>
          <w:i/>
          <w:iCs/>
          <w:u w:val="single"/>
        </w:rPr>
      </w:pPr>
      <w:r w:rsidRPr="006D7653">
        <w:rPr>
          <w:rFonts w:cs="Times New Roman"/>
          <w:b/>
          <w:bCs/>
          <w:i/>
          <w:iCs/>
          <w:u w:val="single"/>
        </w:rPr>
        <w:t>AN likmju pārskatīšana atsevišķiem naftas produktiem</w:t>
      </w:r>
      <w:r w:rsidR="003250BF">
        <w:rPr>
          <w:rFonts w:cs="Times New Roman"/>
          <w:b/>
          <w:bCs/>
          <w:i/>
          <w:iCs/>
          <w:u w:val="single"/>
        </w:rPr>
        <w:t xml:space="preserve">, </w:t>
      </w:r>
      <w:r w:rsidR="003250BF" w:rsidRPr="003250BF">
        <w:rPr>
          <w:rFonts w:cs="Times New Roman"/>
          <w:b/>
          <w:bCs/>
          <w:i/>
          <w:iCs/>
          <w:u w:val="single"/>
        </w:rPr>
        <w:t>ko izmanto iekārtās (</w:t>
      </w:r>
      <w:r w:rsidR="003250BF" w:rsidRPr="0072041A">
        <w:rPr>
          <w:rFonts w:cs="Times New Roman"/>
          <w:b/>
          <w:bCs/>
          <w:i/>
          <w:iCs/>
          <w:u w:val="single"/>
        </w:rPr>
        <w:t>celt</w:t>
      </w:r>
      <w:r w:rsidR="0072041A" w:rsidRPr="0072041A">
        <w:rPr>
          <w:rFonts w:cs="Times New Roman"/>
          <w:b/>
          <w:bCs/>
          <w:i/>
          <w:iCs/>
          <w:u w:val="single"/>
        </w:rPr>
        <w:t>ņ</w:t>
      </w:r>
      <w:r w:rsidR="003250BF" w:rsidRPr="0072041A">
        <w:rPr>
          <w:rFonts w:cs="Times New Roman"/>
          <w:b/>
          <w:bCs/>
          <w:i/>
          <w:iCs/>
          <w:u w:val="single"/>
        </w:rPr>
        <w:t>os un</w:t>
      </w:r>
      <w:r w:rsidR="003250BF" w:rsidRPr="003250BF">
        <w:rPr>
          <w:rFonts w:cs="Times New Roman"/>
          <w:b/>
          <w:bCs/>
          <w:i/>
          <w:iCs/>
          <w:u w:val="single"/>
        </w:rPr>
        <w:t xml:space="preserve"> citām ar pārkraušanu saistītām darbībām) SEZ un brīvostās</w:t>
      </w:r>
    </w:p>
    <w:p w14:paraId="480F9ACC" w14:textId="05E3744E" w:rsidR="0006342A" w:rsidRPr="0006342A" w:rsidRDefault="003250BF" w:rsidP="0072041A">
      <w:r w:rsidRPr="006D7653">
        <w:t xml:space="preserve">Pakāpenisks AN likmju palielinājums ir vērtēts dīzeļdegvielai, degvieleļļai un petrolejai, ko izmanto </w:t>
      </w:r>
      <w:bookmarkStart w:id="54" w:name="_Hlk142554893"/>
      <w:r w:rsidR="0006342A">
        <w:t>SEZ</w:t>
      </w:r>
      <w:r>
        <w:t xml:space="preserve"> </w:t>
      </w:r>
      <w:bookmarkEnd w:id="54"/>
      <w:r w:rsidRPr="006D7653">
        <w:t>un brīvostās</w:t>
      </w:r>
      <w:r w:rsidRPr="00896F3E">
        <w:t>, lai pakāpeniski atteiktos no fosilo degvielu izmantošanas un ve</w:t>
      </w:r>
      <w:r>
        <w:t>i</w:t>
      </w:r>
      <w:r w:rsidRPr="00896F3E">
        <w:t xml:space="preserve">cinātu atjaunojamās elektroenerģijas ražošanu un izmantošanu </w:t>
      </w:r>
      <w:bookmarkStart w:id="55" w:name="_Hlk142558462"/>
      <w:r w:rsidRPr="00896F3E">
        <w:t>iekārtās (celtņos un citām ar pārkraušanu saistītām darbībām</w:t>
      </w:r>
      <w:bookmarkEnd w:id="55"/>
      <w:r w:rsidRPr="00896F3E">
        <w:t>) brīvostu un SEZ teritorijās. Papildus tiktu novērsti konkurences kropļojumi starp brīvostās strādājošiem uzņēmumiem, kuriem ir brīvās zonas statuss, un tiem uzņēmumiem, kuriem nav brīvās zonas statuss, lai gan pēc būtības visi uzņēmumi veic preču un dažādu kravu pārkraušanas pa</w:t>
      </w:r>
      <w:r w:rsidR="0006342A">
        <w:t>kalpojumus.</w:t>
      </w:r>
    </w:p>
    <w:p w14:paraId="59BB39C7" w14:textId="09AF445A" w:rsidR="003250BF" w:rsidRPr="006D7653" w:rsidRDefault="009E3CC5" w:rsidP="003250BF">
      <w:pPr>
        <w:spacing w:after="120"/>
        <w:ind w:firstLine="709"/>
        <w:jc w:val="center"/>
        <w:rPr>
          <w:rFonts w:cs="Times New Roman"/>
          <w:sz w:val="22"/>
          <w:szCs w:val="24"/>
        </w:rPr>
      </w:pPr>
      <w:r>
        <w:rPr>
          <w:rFonts w:cs="Times New Roman"/>
          <w:sz w:val="22"/>
          <w:szCs w:val="24"/>
        </w:rPr>
        <w:t>5</w:t>
      </w:r>
      <w:r w:rsidR="003250BF" w:rsidRPr="006D7653">
        <w:rPr>
          <w:rFonts w:cs="Times New Roman"/>
          <w:sz w:val="22"/>
          <w:szCs w:val="24"/>
        </w:rPr>
        <w:t>. tab</w:t>
      </w:r>
      <w:r w:rsidR="003250BF" w:rsidRPr="006D7653">
        <w:rPr>
          <w:rFonts w:cs="Times New Roman"/>
          <w:bCs/>
          <w:sz w:val="22"/>
          <w:szCs w:val="24"/>
        </w:rPr>
        <w:t xml:space="preserve">. </w:t>
      </w:r>
      <w:r w:rsidR="003250BF" w:rsidRPr="006D7653">
        <w:rPr>
          <w:rFonts w:cs="Times New Roman"/>
          <w:b/>
          <w:sz w:val="22"/>
          <w:szCs w:val="24"/>
        </w:rPr>
        <w:t>AN likmju pārskatīšana naftas produktiem</w:t>
      </w:r>
      <w:r w:rsidR="003250BF">
        <w:rPr>
          <w:rFonts w:cs="Times New Roman"/>
          <w:b/>
          <w:sz w:val="22"/>
          <w:szCs w:val="24"/>
        </w:rPr>
        <w:t>, ko izmanto SEZ un brīvostās</w:t>
      </w:r>
    </w:p>
    <w:tbl>
      <w:tblPr>
        <w:tblStyle w:val="TableGrid"/>
        <w:tblW w:w="9209" w:type="dxa"/>
        <w:tblLook w:val="04A0" w:firstRow="1" w:lastRow="0" w:firstColumn="1" w:lastColumn="0" w:noHBand="0" w:noVBand="1"/>
      </w:tblPr>
      <w:tblGrid>
        <w:gridCol w:w="4531"/>
        <w:gridCol w:w="1276"/>
        <w:gridCol w:w="1134"/>
        <w:gridCol w:w="1134"/>
        <w:gridCol w:w="1134"/>
      </w:tblGrid>
      <w:tr w:rsidR="003250BF" w:rsidRPr="006D7653" w14:paraId="08798AF7" w14:textId="77777777" w:rsidTr="009B2656">
        <w:trPr>
          <w:trHeight w:val="244"/>
        </w:trPr>
        <w:tc>
          <w:tcPr>
            <w:tcW w:w="4531" w:type="dxa"/>
            <w:vMerge w:val="restart"/>
            <w:tcBorders>
              <w:bottom w:val="single" w:sz="4" w:space="0" w:color="auto"/>
              <w:right w:val="single" w:sz="4" w:space="0" w:color="auto"/>
            </w:tcBorders>
            <w:shd w:val="clear" w:color="auto" w:fill="F2F2F2" w:themeFill="background1" w:themeFillShade="F2"/>
            <w:vAlign w:val="center"/>
          </w:tcPr>
          <w:p w14:paraId="7EA46AB8" w14:textId="77777777" w:rsidR="003250BF" w:rsidRPr="006D7653" w:rsidRDefault="003250BF" w:rsidP="007E1C0A">
            <w:pPr>
              <w:pStyle w:val="ListParagraph"/>
              <w:spacing w:before="0" w:after="0"/>
              <w:ind w:left="0" w:firstLine="0"/>
              <w:contextualSpacing w:val="0"/>
              <w:jc w:val="center"/>
              <w:rPr>
                <w:rFonts w:ascii="Times New Roman" w:hAnsi="Times New Roman"/>
                <w:b/>
                <w:sz w:val="20"/>
                <w:szCs w:val="20"/>
              </w:rPr>
            </w:pPr>
            <w:r>
              <w:rPr>
                <w:rFonts w:ascii="Times New Roman" w:hAnsi="Times New Roman"/>
                <w:b/>
                <w:sz w:val="20"/>
                <w:szCs w:val="20"/>
              </w:rPr>
              <w:t>Produkts</w:t>
            </w:r>
          </w:p>
        </w:tc>
        <w:tc>
          <w:tcPr>
            <w:tcW w:w="1276" w:type="dxa"/>
            <w:tcBorders>
              <w:left w:val="single" w:sz="4" w:space="0" w:color="auto"/>
              <w:bottom w:val="single" w:sz="4" w:space="0" w:color="auto"/>
              <w:right w:val="single" w:sz="4" w:space="0" w:color="auto"/>
            </w:tcBorders>
            <w:shd w:val="clear" w:color="auto" w:fill="F2F2F2" w:themeFill="background1" w:themeFillShade="F2"/>
          </w:tcPr>
          <w:p w14:paraId="049F1679" w14:textId="77777777" w:rsidR="003250BF" w:rsidRPr="006D7653" w:rsidRDefault="003250BF"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Šobrīd</w:t>
            </w:r>
          </w:p>
        </w:tc>
        <w:tc>
          <w:tcPr>
            <w:tcW w:w="3402" w:type="dxa"/>
            <w:gridSpan w:val="3"/>
            <w:tcBorders>
              <w:left w:val="single" w:sz="4" w:space="0" w:color="auto"/>
              <w:bottom w:val="single" w:sz="4" w:space="0" w:color="auto"/>
            </w:tcBorders>
            <w:shd w:val="clear" w:color="auto" w:fill="F2F2F2" w:themeFill="background1" w:themeFillShade="F2"/>
          </w:tcPr>
          <w:p w14:paraId="662DDCB9" w14:textId="77777777" w:rsidR="003250BF" w:rsidRPr="006D7653" w:rsidRDefault="003250BF"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Priekšlikums</w:t>
            </w:r>
          </w:p>
        </w:tc>
      </w:tr>
      <w:tr w:rsidR="003250BF" w:rsidRPr="006D7653" w14:paraId="3A0988FA" w14:textId="77777777" w:rsidTr="009B2656">
        <w:trPr>
          <w:trHeight w:val="244"/>
        </w:trPr>
        <w:tc>
          <w:tcPr>
            <w:tcW w:w="4531" w:type="dxa"/>
            <w:vMerge/>
            <w:tcBorders>
              <w:top w:val="single" w:sz="4" w:space="0" w:color="auto"/>
              <w:bottom w:val="single" w:sz="4" w:space="0" w:color="auto"/>
              <w:right w:val="single" w:sz="4" w:space="0" w:color="auto"/>
            </w:tcBorders>
            <w:shd w:val="clear" w:color="auto" w:fill="F2F2F2" w:themeFill="background1" w:themeFillShade="F2"/>
          </w:tcPr>
          <w:p w14:paraId="39D4CC78" w14:textId="77777777" w:rsidR="003250BF" w:rsidRPr="006D7653" w:rsidRDefault="003250BF" w:rsidP="007E1C0A">
            <w:pPr>
              <w:pStyle w:val="ListParagraph"/>
              <w:spacing w:before="0" w:after="0"/>
              <w:ind w:left="0" w:firstLine="0"/>
              <w:contextualSpacing w:val="0"/>
              <w:rPr>
                <w:rFonts w:ascii="Times New Roman" w:hAnsi="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B4EDEA" w14:textId="77777777" w:rsidR="003250BF" w:rsidRPr="006D7653" w:rsidRDefault="003250BF"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01.08.2023.</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17E713" w14:textId="77777777" w:rsidR="003250BF" w:rsidRPr="006D7653" w:rsidRDefault="003250BF"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2024</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089F2B" w14:textId="77777777" w:rsidR="003250BF" w:rsidRPr="006D7653" w:rsidRDefault="003250BF"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2025</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CEF13D" w14:textId="77777777" w:rsidR="003250BF" w:rsidRPr="006D7653" w:rsidRDefault="003250BF"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2026</w:t>
            </w:r>
          </w:p>
        </w:tc>
      </w:tr>
      <w:tr w:rsidR="003250BF" w:rsidRPr="006D7653" w14:paraId="53815713" w14:textId="77777777" w:rsidTr="009B2656">
        <w:trPr>
          <w:trHeight w:val="244"/>
        </w:trPr>
        <w:tc>
          <w:tcPr>
            <w:tcW w:w="4531" w:type="dxa"/>
            <w:tcBorders>
              <w:top w:val="single" w:sz="4" w:space="0" w:color="808080" w:themeColor="background1" w:themeShade="80"/>
              <w:bottom w:val="single" w:sz="4" w:space="0" w:color="808080" w:themeColor="background1" w:themeShade="80"/>
            </w:tcBorders>
          </w:tcPr>
          <w:p w14:paraId="1AD8B42B" w14:textId="77777777" w:rsidR="003250BF" w:rsidRPr="006D7653" w:rsidRDefault="003250BF" w:rsidP="007E1C0A">
            <w:pPr>
              <w:pStyle w:val="ListParagraph"/>
              <w:ind w:left="30" w:firstLine="0"/>
              <w:jc w:val="left"/>
              <w:rPr>
                <w:rFonts w:ascii="Times New Roman" w:hAnsi="Times New Roman"/>
                <w:b/>
                <w:sz w:val="20"/>
                <w:szCs w:val="20"/>
              </w:rPr>
            </w:pPr>
            <w:r w:rsidRPr="006D7653">
              <w:rPr>
                <w:rFonts w:ascii="Times New Roman" w:hAnsi="Times New Roman"/>
                <w:b/>
                <w:bCs/>
                <w:sz w:val="20"/>
                <w:szCs w:val="20"/>
              </w:rPr>
              <w:t>Dīzeļdegviela</w:t>
            </w:r>
            <w:r>
              <w:rPr>
                <w:rFonts w:ascii="Times New Roman" w:hAnsi="Times New Roman"/>
                <w:b/>
                <w:bCs/>
                <w:sz w:val="20"/>
                <w:szCs w:val="20"/>
              </w:rPr>
              <w:t>, degvieleļļa</w:t>
            </w:r>
            <w:r w:rsidRPr="006D7653">
              <w:rPr>
                <w:rFonts w:ascii="Times New Roman" w:hAnsi="Times New Roman"/>
                <w:b/>
                <w:bCs/>
                <w:sz w:val="20"/>
                <w:szCs w:val="20"/>
              </w:rPr>
              <w:t xml:space="preserve"> un petroleja, </w:t>
            </w:r>
            <w:r w:rsidRPr="006D7653">
              <w:rPr>
                <w:rFonts w:ascii="Times New Roman" w:hAnsi="Times New Roman"/>
                <w:bCs/>
                <w:sz w:val="20"/>
                <w:szCs w:val="20"/>
              </w:rPr>
              <w:t xml:space="preserve">ko izmanto SEZ un brīvostās, </w:t>
            </w:r>
            <w:r w:rsidRPr="006D7653">
              <w:rPr>
                <w:rFonts w:ascii="Times New Roman" w:hAnsi="Times New Roman"/>
                <w:bCs/>
                <w:i/>
                <w:iCs/>
                <w:sz w:val="20"/>
                <w:szCs w:val="20"/>
              </w:rPr>
              <w:t>euro</w:t>
            </w:r>
            <w:r w:rsidRPr="006D7653">
              <w:rPr>
                <w:rFonts w:ascii="Times New Roman" w:hAnsi="Times New Roman"/>
                <w:bCs/>
                <w:sz w:val="20"/>
                <w:szCs w:val="20"/>
              </w:rPr>
              <w:t xml:space="preserve"> </w:t>
            </w:r>
            <w:r w:rsidRPr="006D7653">
              <w:rPr>
                <w:rFonts w:ascii="Times New Roman" w:hAnsi="Times New Roman"/>
                <w:sz w:val="20"/>
                <w:szCs w:val="20"/>
              </w:rPr>
              <w:t>par 1 000 litriem</w:t>
            </w:r>
          </w:p>
        </w:tc>
        <w:tc>
          <w:tcPr>
            <w:tcW w:w="1276" w:type="dxa"/>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068484D4" w14:textId="77777777" w:rsidR="003250BF" w:rsidRPr="006D7653" w:rsidRDefault="003250BF" w:rsidP="007E1C0A">
            <w:pPr>
              <w:pStyle w:val="ListParagraph"/>
              <w:spacing w:before="0" w:after="0"/>
              <w:ind w:left="0" w:firstLine="0"/>
              <w:contextualSpacing w:val="0"/>
              <w:jc w:val="center"/>
              <w:rPr>
                <w:rFonts w:ascii="Times New Roman" w:hAnsi="Times New Roman"/>
                <w:bCs/>
                <w:sz w:val="20"/>
                <w:szCs w:val="20"/>
              </w:rPr>
            </w:pPr>
            <w:r w:rsidRPr="006D7653">
              <w:rPr>
                <w:rFonts w:ascii="Times New Roman" w:hAnsi="Times New Roman"/>
                <w:bCs/>
                <w:sz w:val="20"/>
                <w:szCs w:val="20"/>
              </w:rPr>
              <w:t>60</w:t>
            </w:r>
          </w:p>
        </w:tc>
        <w:tc>
          <w:tcPr>
            <w:tcW w:w="1134" w:type="dxa"/>
            <w:tcBorders>
              <w:top w:val="single" w:sz="4" w:space="0" w:color="808080" w:themeColor="background1" w:themeShade="80"/>
              <w:bottom w:val="single" w:sz="4" w:space="0" w:color="808080" w:themeColor="background1" w:themeShade="80"/>
            </w:tcBorders>
            <w:vAlign w:val="center"/>
          </w:tcPr>
          <w:p w14:paraId="24E87D21" w14:textId="77777777" w:rsidR="003250BF" w:rsidRPr="006D7653" w:rsidRDefault="003250BF"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148</w:t>
            </w:r>
          </w:p>
        </w:tc>
        <w:tc>
          <w:tcPr>
            <w:tcW w:w="1134" w:type="dxa"/>
            <w:tcBorders>
              <w:top w:val="single" w:sz="4" w:space="0" w:color="808080" w:themeColor="background1" w:themeShade="80"/>
              <w:bottom w:val="single" w:sz="4" w:space="0" w:color="808080" w:themeColor="background1" w:themeShade="80"/>
            </w:tcBorders>
            <w:vAlign w:val="center"/>
          </w:tcPr>
          <w:p w14:paraId="061512BD" w14:textId="77777777" w:rsidR="003250BF" w:rsidRPr="006D7653" w:rsidRDefault="003250BF"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236</w:t>
            </w:r>
          </w:p>
        </w:tc>
        <w:tc>
          <w:tcPr>
            <w:tcW w:w="1134" w:type="dxa"/>
            <w:tcBorders>
              <w:top w:val="single" w:sz="4" w:space="0" w:color="808080" w:themeColor="background1" w:themeShade="80"/>
              <w:bottom w:val="single" w:sz="4" w:space="0" w:color="808080" w:themeColor="background1" w:themeShade="80"/>
            </w:tcBorders>
            <w:vAlign w:val="center"/>
          </w:tcPr>
          <w:p w14:paraId="717C9587" w14:textId="77777777" w:rsidR="003250BF" w:rsidRPr="006D7653" w:rsidRDefault="003250BF"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324</w:t>
            </w:r>
          </w:p>
        </w:tc>
      </w:tr>
    </w:tbl>
    <w:p w14:paraId="23F657A2" w14:textId="77777777" w:rsidR="003250BF" w:rsidRPr="006D7653" w:rsidRDefault="003250BF" w:rsidP="003250BF">
      <w:pPr>
        <w:tabs>
          <w:tab w:val="left" w:pos="284"/>
        </w:tabs>
        <w:spacing w:before="80" w:after="0"/>
        <w:ind w:left="113" w:right="-96" w:hanging="113"/>
        <w:rPr>
          <w:rFonts w:cs="Times New Roman"/>
          <w:i/>
          <w:iCs/>
          <w:sz w:val="18"/>
          <w:szCs w:val="18"/>
        </w:rPr>
      </w:pPr>
      <w:r w:rsidRPr="006D7653">
        <w:rPr>
          <w:rFonts w:cs="Times New Roman"/>
          <w:i/>
          <w:iCs/>
          <w:sz w:val="18"/>
          <w:szCs w:val="18"/>
          <w:vertAlign w:val="superscript"/>
        </w:rPr>
        <w:t>*</w:t>
      </w:r>
      <w:r w:rsidRPr="006D7653">
        <w:rPr>
          <w:rFonts w:cs="Times New Roman"/>
          <w:i/>
          <w:iCs/>
          <w:sz w:val="18"/>
          <w:szCs w:val="18"/>
        </w:rPr>
        <w:t xml:space="preserve"> AN likmi 21 euro par 1 000 litriem piemēro biodīzeļdegvielai, kas pilnībā iegūta no biomasas, vai parafinizētai dīzeļdegvielai, kas iegūta no biomasas.</w:t>
      </w:r>
    </w:p>
    <w:p w14:paraId="3C8CB2A0" w14:textId="77777777" w:rsidR="003250BF" w:rsidRPr="006D7653" w:rsidRDefault="003250BF" w:rsidP="009B2656">
      <w:pPr>
        <w:tabs>
          <w:tab w:val="left" w:pos="426"/>
        </w:tabs>
        <w:ind w:firstLine="0"/>
        <w:rPr>
          <w:rFonts w:cs="Times New Roman"/>
          <w:i/>
          <w:sz w:val="20"/>
          <w:szCs w:val="24"/>
        </w:rPr>
      </w:pPr>
      <w:r w:rsidRPr="006D7653">
        <w:rPr>
          <w:rFonts w:cs="Times New Roman"/>
          <w:b/>
          <w:bCs/>
          <w:i/>
          <w:sz w:val="20"/>
          <w:szCs w:val="24"/>
        </w:rPr>
        <w:t>Avots</w:t>
      </w:r>
      <w:r w:rsidRPr="006D7653">
        <w:rPr>
          <w:rFonts w:cs="Times New Roman"/>
          <w:i/>
          <w:sz w:val="20"/>
          <w:szCs w:val="24"/>
        </w:rPr>
        <w:t>: FM informācija.</w:t>
      </w:r>
    </w:p>
    <w:p w14:paraId="3853E491" w14:textId="23DDDA5C" w:rsidR="006D7653" w:rsidRPr="00FB002A" w:rsidRDefault="009E3CC5" w:rsidP="006D7653">
      <w:pPr>
        <w:spacing w:after="120"/>
        <w:ind w:firstLine="709"/>
        <w:jc w:val="center"/>
        <w:rPr>
          <w:rFonts w:cs="Times New Roman"/>
          <w:sz w:val="22"/>
          <w:szCs w:val="24"/>
        </w:rPr>
      </w:pPr>
      <w:r>
        <w:rPr>
          <w:rFonts w:cs="Times New Roman"/>
          <w:sz w:val="22"/>
          <w:szCs w:val="24"/>
        </w:rPr>
        <w:lastRenderedPageBreak/>
        <w:t>6</w:t>
      </w:r>
      <w:r w:rsidR="006D7653" w:rsidRPr="00FB002A">
        <w:rPr>
          <w:rFonts w:cs="Times New Roman"/>
          <w:sz w:val="22"/>
          <w:szCs w:val="24"/>
        </w:rPr>
        <w:t>. tab</w:t>
      </w:r>
      <w:r w:rsidR="006D7653" w:rsidRPr="00FB002A">
        <w:rPr>
          <w:rFonts w:cs="Times New Roman"/>
          <w:bCs/>
          <w:sz w:val="22"/>
          <w:szCs w:val="24"/>
        </w:rPr>
        <w:t>.</w:t>
      </w:r>
      <w:r w:rsidR="0006342A">
        <w:rPr>
          <w:rFonts w:cs="Times New Roman"/>
          <w:b/>
          <w:sz w:val="22"/>
          <w:szCs w:val="24"/>
        </w:rPr>
        <w:t xml:space="preserve"> Priekšlikuma</w:t>
      </w:r>
      <w:r w:rsidR="006D7653" w:rsidRPr="00FB002A">
        <w:rPr>
          <w:rFonts w:cs="Times New Roman"/>
          <w:b/>
          <w:sz w:val="22"/>
          <w:szCs w:val="24"/>
        </w:rPr>
        <w:t xml:space="preserve"> indikatīva fiskālā ietekme</w:t>
      </w:r>
      <w:r w:rsidR="006D7653" w:rsidRPr="00FB002A">
        <w:rPr>
          <w:rFonts w:cs="Times New Roman"/>
          <w:bCs/>
          <w:sz w:val="22"/>
          <w:szCs w:val="24"/>
        </w:rPr>
        <w:t xml:space="preserve">, </w:t>
      </w:r>
      <w:r w:rsidR="006D7653" w:rsidRPr="00FB002A">
        <w:rPr>
          <w:rFonts w:cs="Times New Roman"/>
          <w:bCs/>
          <w:i/>
          <w:iCs/>
          <w:sz w:val="22"/>
          <w:szCs w:val="24"/>
        </w:rPr>
        <w:t>milj. euro</w:t>
      </w:r>
    </w:p>
    <w:tbl>
      <w:tblPr>
        <w:tblStyle w:val="TableGrid"/>
        <w:tblW w:w="9067" w:type="dxa"/>
        <w:tblInd w:w="5" w:type="dxa"/>
        <w:tblLook w:val="04A0" w:firstRow="1" w:lastRow="0" w:firstColumn="1" w:lastColumn="0" w:noHBand="0" w:noVBand="1"/>
      </w:tblPr>
      <w:tblGrid>
        <w:gridCol w:w="4390"/>
        <w:gridCol w:w="1559"/>
        <w:gridCol w:w="1559"/>
        <w:gridCol w:w="1559"/>
      </w:tblGrid>
      <w:tr w:rsidR="006D7653" w:rsidRPr="004835CE" w14:paraId="267D30A0" w14:textId="77777777" w:rsidTr="007E1C0A">
        <w:tc>
          <w:tcPr>
            <w:tcW w:w="4390" w:type="dxa"/>
            <w:tcBorders>
              <w:top w:val="nil"/>
              <w:left w:val="nil"/>
              <w:bottom w:val="single" w:sz="12" w:space="0" w:color="auto"/>
              <w:right w:val="nil"/>
            </w:tcBorders>
          </w:tcPr>
          <w:p w14:paraId="05746FDD" w14:textId="77777777" w:rsidR="006D7653" w:rsidRPr="00FB002A" w:rsidRDefault="006D7653" w:rsidP="007E1C0A">
            <w:pPr>
              <w:pStyle w:val="ListParagraph"/>
              <w:spacing w:before="0" w:after="0"/>
              <w:ind w:left="0" w:firstLine="0"/>
              <w:contextualSpacing w:val="0"/>
              <w:jc w:val="center"/>
              <w:rPr>
                <w:rFonts w:ascii="Times New Roman" w:hAnsi="Times New Roman"/>
                <w:b/>
                <w:bCs/>
                <w:sz w:val="20"/>
                <w:szCs w:val="20"/>
              </w:rPr>
            </w:pPr>
          </w:p>
        </w:tc>
        <w:tc>
          <w:tcPr>
            <w:tcW w:w="1559" w:type="dxa"/>
            <w:tcBorders>
              <w:top w:val="nil"/>
              <w:left w:val="nil"/>
              <w:bottom w:val="single" w:sz="12" w:space="0" w:color="auto"/>
              <w:right w:val="nil"/>
            </w:tcBorders>
            <w:vAlign w:val="bottom"/>
          </w:tcPr>
          <w:p w14:paraId="5EF414F3" w14:textId="77777777" w:rsidR="006D7653" w:rsidRPr="00FB002A" w:rsidRDefault="006D7653" w:rsidP="007E1C0A">
            <w:pPr>
              <w:pStyle w:val="ListParagraph"/>
              <w:spacing w:before="0" w:after="0"/>
              <w:ind w:left="0" w:firstLine="0"/>
              <w:contextualSpacing w:val="0"/>
              <w:jc w:val="center"/>
              <w:rPr>
                <w:rFonts w:ascii="Times New Roman" w:hAnsi="Times New Roman"/>
                <w:b/>
                <w:bCs/>
                <w:sz w:val="20"/>
                <w:szCs w:val="20"/>
              </w:rPr>
            </w:pPr>
            <w:r w:rsidRPr="00FB002A">
              <w:rPr>
                <w:rFonts w:ascii="Times New Roman" w:hAnsi="Times New Roman"/>
                <w:b/>
                <w:bCs/>
                <w:sz w:val="20"/>
                <w:szCs w:val="20"/>
              </w:rPr>
              <w:t>2024</w:t>
            </w:r>
            <w:r w:rsidRPr="00FB002A">
              <w:rPr>
                <w:rFonts w:ascii="Times New Roman" w:hAnsi="Times New Roman"/>
                <w:b/>
                <w:bCs/>
                <w:sz w:val="20"/>
                <w:szCs w:val="20"/>
                <w:vertAlign w:val="superscript"/>
              </w:rPr>
              <w:t>*</w:t>
            </w:r>
          </w:p>
        </w:tc>
        <w:tc>
          <w:tcPr>
            <w:tcW w:w="1559" w:type="dxa"/>
            <w:tcBorders>
              <w:top w:val="nil"/>
              <w:left w:val="nil"/>
              <w:bottom w:val="single" w:sz="12" w:space="0" w:color="auto"/>
              <w:right w:val="nil"/>
            </w:tcBorders>
            <w:vAlign w:val="bottom"/>
          </w:tcPr>
          <w:p w14:paraId="54D499CC" w14:textId="77777777" w:rsidR="006D7653" w:rsidRPr="00FB002A" w:rsidRDefault="006D7653" w:rsidP="007E1C0A">
            <w:pPr>
              <w:pStyle w:val="ListParagraph"/>
              <w:spacing w:before="0" w:after="0"/>
              <w:ind w:left="0" w:firstLine="0"/>
              <w:contextualSpacing w:val="0"/>
              <w:jc w:val="center"/>
              <w:rPr>
                <w:rFonts w:ascii="Times New Roman" w:hAnsi="Times New Roman"/>
                <w:b/>
                <w:bCs/>
                <w:sz w:val="20"/>
                <w:szCs w:val="20"/>
              </w:rPr>
            </w:pPr>
            <w:r w:rsidRPr="00FB002A">
              <w:rPr>
                <w:rFonts w:ascii="Times New Roman" w:hAnsi="Times New Roman"/>
                <w:b/>
                <w:bCs/>
                <w:sz w:val="20"/>
                <w:szCs w:val="20"/>
              </w:rPr>
              <w:t>2025</w:t>
            </w:r>
          </w:p>
        </w:tc>
        <w:tc>
          <w:tcPr>
            <w:tcW w:w="1559" w:type="dxa"/>
            <w:tcBorders>
              <w:top w:val="nil"/>
              <w:left w:val="nil"/>
              <w:bottom w:val="single" w:sz="12" w:space="0" w:color="auto"/>
              <w:right w:val="nil"/>
            </w:tcBorders>
            <w:vAlign w:val="bottom"/>
          </w:tcPr>
          <w:p w14:paraId="7B1D1A0C" w14:textId="77777777" w:rsidR="006D7653" w:rsidRPr="00FB002A" w:rsidRDefault="006D7653" w:rsidP="007E1C0A">
            <w:pPr>
              <w:pStyle w:val="ListParagraph"/>
              <w:spacing w:before="0" w:after="0"/>
              <w:ind w:left="0" w:firstLine="0"/>
              <w:contextualSpacing w:val="0"/>
              <w:jc w:val="center"/>
              <w:rPr>
                <w:rFonts w:ascii="Times New Roman" w:hAnsi="Times New Roman"/>
                <w:b/>
                <w:bCs/>
                <w:sz w:val="20"/>
                <w:szCs w:val="20"/>
              </w:rPr>
            </w:pPr>
            <w:r w:rsidRPr="00FB002A">
              <w:rPr>
                <w:rFonts w:ascii="Times New Roman" w:hAnsi="Times New Roman"/>
                <w:b/>
                <w:bCs/>
                <w:sz w:val="20"/>
                <w:szCs w:val="20"/>
              </w:rPr>
              <w:t>2026</w:t>
            </w:r>
          </w:p>
        </w:tc>
      </w:tr>
      <w:tr w:rsidR="006D7653" w:rsidRPr="004835CE" w14:paraId="7B74DB16" w14:textId="77777777" w:rsidTr="007E1C0A">
        <w:tc>
          <w:tcPr>
            <w:tcW w:w="4390" w:type="dxa"/>
          </w:tcPr>
          <w:p w14:paraId="2BBF441E" w14:textId="77777777" w:rsidR="006D7653" w:rsidRPr="00FB002A" w:rsidRDefault="006D7653" w:rsidP="007E1C0A">
            <w:pPr>
              <w:pStyle w:val="ListParagraph"/>
              <w:spacing w:before="0" w:after="0"/>
              <w:ind w:left="0" w:firstLine="0"/>
              <w:contextualSpacing w:val="0"/>
              <w:rPr>
                <w:rFonts w:ascii="Times New Roman" w:hAnsi="Times New Roman"/>
                <w:sz w:val="20"/>
                <w:szCs w:val="20"/>
              </w:rPr>
            </w:pPr>
            <w:r w:rsidRPr="00FB002A">
              <w:rPr>
                <w:rFonts w:ascii="Times New Roman" w:hAnsi="Times New Roman"/>
                <w:sz w:val="20"/>
                <w:szCs w:val="20"/>
              </w:rPr>
              <w:t>AN ieņēmumi</w:t>
            </w:r>
          </w:p>
        </w:tc>
        <w:tc>
          <w:tcPr>
            <w:tcW w:w="1559" w:type="dxa"/>
            <w:vAlign w:val="center"/>
          </w:tcPr>
          <w:p w14:paraId="63A4EC24" w14:textId="515682C8" w:rsidR="006D7653" w:rsidRPr="00FB002A" w:rsidRDefault="0006342A" w:rsidP="007E1C0A">
            <w:pPr>
              <w:pStyle w:val="ListParagraph"/>
              <w:spacing w:before="0" w:after="0"/>
              <w:ind w:left="0" w:firstLine="0"/>
              <w:contextualSpacing w:val="0"/>
              <w:jc w:val="center"/>
              <w:rPr>
                <w:rFonts w:ascii="Times New Roman" w:hAnsi="Times New Roman"/>
                <w:sz w:val="20"/>
                <w:szCs w:val="20"/>
              </w:rPr>
            </w:pPr>
            <w:r>
              <w:rPr>
                <w:rFonts w:ascii="Times New Roman" w:hAnsi="Times New Roman"/>
                <w:sz w:val="20"/>
                <w:szCs w:val="20"/>
              </w:rPr>
              <w:t>+0,15</w:t>
            </w:r>
          </w:p>
        </w:tc>
        <w:tc>
          <w:tcPr>
            <w:tcW w:w="1559" w:type="dxa"/>
            <w:vAlign w:val="center"/>
          </w:tcPr>
          <w:p w14:paraId="49041897" w14:textId="3EC38258" w:rsidR="006D7653" w:rsidRPr="00FB002A" w:rsidRDefault="0006342A" w:rsidP="007E1C0A">
            <w:pPr>
              <w:pStyle w:val="ListParagraph"/>
              <w:spacing w:before="0" w:after="0"/>
              <w:ind w:left="0" w:firstLine="0"/>
              <w:contextualSpacing w:val="0"/>
              <w:jc w:val="center"/>
              <w:rPr>
                <w:rFonts w:ascii="Times New Roman" w:hAnsi="Times New Roman"/>
                <w:sz w:val="20"/>
                <w:szCs w:val="20"/>
              </w:rPr>
            </w:pPr>
            <w:r>
              <w:rPr>
                <w:rFonts w:ascii="Times New Roman" w:hAnsi="Times New Roman"/>
                <w:sz w:val="20"/>
                <w:szCs w:val="20"/>
              </w:rPr>
              <w:t>+1,04</w:t>
            </w:r>
          </w:p>
        </w:tc>
        <w:tc>
          <w:tcPr>
            <w:tcW w:w="1559" w:type="dxa"/>
            <w:vAlign w:val="center"/>
          </w:tcPr>
          <w:p w14:paraId="3D3027D5" w14:textId="3D2BCD29" w:rsidR="006D7653" w:rsidRPr="00FB002A" w:rsidRDefault="0006342A" w:rsidP="007E1C0A">
            <w:pPr>
              <w:pStyle w:val="ListParagraph"/>
              <w:spacing w:before="0" w:after="0"/>
              <w:ind w:left="0" w:firstLine="0"/>
              <w:contextualSpacing w:val="0"/>
              <w:jc w:val="center"/>
              <w:rPr>
                <w:rFonts w:ascii="Times New Roman" w:hAnsi="Times New Roman"/>
                <w:sz w:val="20"/>
                <w:szCs w:val="20"/>
              </w:rPr>
            </w:pPr>
            <w:r>
              <w:rPr>
                <w:rFonts w:ascii="Times New Roman" w:hAnsi="Times New Roman"/>
                <w:sz w:val="20"/>
                <w:szCs w:val="20"/>
              </w:rPr>
              <w:t>+1,99</w:t>
            </w:r>
          </w:p>
        </w:tc>
      </w:tr>
      <w:tr w:rsidR="006D7653" w:rsidRPr="004835CE" w14:paraId="467784F9" w14:textId="77777777" w:rsidTr="007E1C0A">
        <w:tc>
          <w:tcPr>
            <w:tcW w:w="4390" w:type="dxa"/>
          </w:tcPr>
          <w:p w14:paraId="4D05CA7C" w14:textId="77777777" w:rsidR="006D7653" w:rsidRPr="00FB002A" w:rsidRDefault="006D7653" w:rsidP="007E1C0A">
            <w:pPr>
              <w:pStyle w:val="ListParagraph"/>
              <w:spacing w:before="0" w:after="0"/>
              <w:ind w:left="0" w:firstLine="0"/>
              <w:contextualSpacing w:val="0"/>
              <w:rPr>
                <w:rFonts w:ascii="Times New Roman" w:hAnsi="Times New Roman"/>
                <w:sz w:val="20"/>
                <w:szCs w:val="20"/>
              </w:rPr>
            </w:pPr>
            <w:r w:rsidRPr="00FB002A">
              <w:rPr>
                <w:rFonts w:ascii="Times New Roman" w:hAnsi="Times New Roman"/>
                <w:sz w:val="20"/>
                <w:szCs w:val="20"/>
              </w:rPr>
              <w:t>PVN ieņēmumi</w:t>
            </w:r>
          </w:p>
        </w:tc>
        <w:tc>
          <w:tcPr>
            <w:tcW w:w="1559" w:type="dxa"/>
            <w:vAlign w:val="center"/>
          </w:tcPr>
          <w:p w14:paraId="7235DBAC" w14:textId="67C76EC1" w:rsidR="006D7653" w:rsidRPr="00FB002A" w:rsidRDefault="0006342A" w:rsidP="007E1C0A">
            <w:pPr>
              <w:pStyle w:val="ListParagraph"/>
              <w:spacing w:before="0" w:after="0"/>
              <w:ind w:left="0" w:firstLine="0"/>
              <w:contextualSpacing w:val="0"/>
              <w:jc w:val="center"/>
              <w:rPr>
                <w:rFonts w:ascii="Times New Roman" w:hAnsi="Times New Roman"/>
                <w:sz w:val="20"/>
                <w:szCs w:val="20"/>
              </w:rPr>
            </w:pPr>
            <w:r>
              <w:rPr>
                <w:rFonts w:ascii="Times New Roman" w:hAnsi="Times New Roman"/>
                <w:sz w:val="20"/>
                <w:szCs w:val="20"/>
              </w:rPr>
              <w:t>+0,03</w:t>
            </w:r>
          </w:p>
        </w:tc>
        <w:tc>
          <w:tcPr>
            <w:tcW w:w="1559" w:type="dxa"/>
            <w:vAlign w:val="center"/>
          </w:tcPr>
          <w:p w14:paraId="17395384" w14:textId="2AE5C83C" w:rsidR="006D7653" w:rsidRPr="00FB002A" w:rsidRDefault="0006342A" w:rsidP="007E1C0A">
            <w:pPr>
              <w:pStyle w:val="ListParagraph"/>
              <w:spacing w:before="0" w:after="0"/>
              <w:ind w:left="0" w:firstLine="0"/>
              <w:contextualSpacing w:val="0"/>
              <w:jc w:val="center"/>
              <w:rPr>
                <w:rFonts w:ascii="Times New Roman" w:hAnsi="Times New Roman"/>
                <w:sz w:val="20"/>
                <w:szCs w:val="20"/>
              </w:rPr>
            </w:pPr>
            <w:r>
              <w:rPr>
                <w:rFonts w:ascii="Times New Roman" w:hAnsi="Times New Roman"/>
                <w:sz w:val="20"/>
                <w:szCs w:val="20"/>
              </w:rPr>
              <w:t>+0,22</w:t>
            </w:r>
          </w:p>
        </w:tc>
        <w:tc>
          <w:tcPr>
            <w:tcW w:w="1559" w:type="dxa"/>
            <w:vAlign w:val="center"/>
          </w:tcPr>
          <w:p w14:paraId="0D45B683" w14:textId="05DBF98E" w:rsidR="006D7653" w:rsidRPr="00FB002A" w:rsidRDefault="0006342A" w:rsidP="007E1C0A">
            <w:pPr>
              <w:pStyle w:val="ListParagraph"/>
              <w:spacing w:before="0" w:after="0"/>
              <w:ind w:left="0" w:firstLine="0"/>
              <w:contextualSpacing w:val="0"/>
              <w:jc w:val="center"/>
              <w:rPr>
                <w:rFonts w:ascii="Times New Roman" w:hAnsi="Times New Roman"/>
                <w:sz w:val="20"/>
                <w:szCs w:val="20"/>
              </w:rPr>
            </w:pPr>
            <w:r>
              <w:rPr>
                <w:rFonts w:ascii="Times New Roman" w:hAnsi="Times New Roman"/>
                <w:sz w:val="20"/>
                <w:szCs w:val="20"/>
              </w:rPr>
              <w:t>+0,42</w:t>
            </w:r>
          </w:p>
        </w:tc>
      </w:tr>
      <w:tr w:rsidR="006D7653" w:rsidRPr="006D7653" w14:paraId="707B4E40" w14:textId="77777777" w:rsidTr="007E1C0A">
        <w:tc>
          <w:tcPr>
            <w:tcW w:w="4390" w:type="dxa"/>
            <w:shd w:val="clear" w:color="auto" w:fill="F2F2F2" w:themeFill="background1" w:themeFillShade="F2"/>
          </w:tcPr>
          <w:p w14:paraId="723525F0" w14:textId="77777777" w:rsidR="006D7653" w:rsidRPr="00FB002A" w:rsidRDefault="006D7653" w:rsidP="007E1C0A">
            <w:pPr>
              <w:pStyle w:val="ListParagraph"/>
              <w:spacing w:before="0" w:after="0"/>
              <w:ind w:left="0" w:firstLine="0"/>
              <w:contextualSpacing w:val="0"/>
              <w:jc w:val="right"/>
              <w:rPr>
                <w:rFonts w:ascii="Times New Roman" w:hAnsi="Times New Roman"/>
                <w:b/>
                <w:bCs/>
                <w:sz w:val="20"/>
                <w:szCs w:val="20"/>
              </w:rPr>
            </w:pPr>
            <w:r w:rsidRPr="00FB002A">
              <w:rPr>
                <w:rFonts w:ascii="Times New Roman" w:hAnsi="Times New Roman"/>
                <w:b/>
                <w:bCs/>
                <w:sz w:val="20"/>
                <w:szCs w:val="20"/>
              </w:rPr>
              <w:t>Kopā:</w:t>
            </w:r>
          </w:p>
        </w:tc>
        <w:tc>
          <w:tcPr>
            <w:tcW w:w="1559" w:type="dxa"/>
            <w:shd w:val="clear" w:color="auto" w:fill="F2F2F2" w:themeFill="background1" w:themeFillShade="F2"/>
            <w:vAlign w:val="center"/>
          </w:tcPr>
          <w:p w14:paraId="7BFD4E16" w14:textId="35237612" w:rsidR="006D7653" w:rsidRPr="00FB002A" w:rsidRDefault="0006342A" w:rsidP="007E1C0A">
            <w:pPr>
              <w:pStyle w:val="ListParagraph"/>
              <w:spacing w:before="0" w:after="0"/>
              <w:ind w:left="0" w:firstLine="0"/>
              <w:contextualSpacing w:val="0"/>
              <w:jc w:val="center"/>
              <w:rPr>
                <w:rFonts w:ascii="Times New Roman" w:hAnsi="Times New Roman"/>
                <w:b/>
                <w:bCs/>
                <w:sz w:val="20"/>
                <w:szCs w:val="20"/>
              </w:rPr>
            </w:pPr>
            <w:r>
              <w:rPr>
                <w:rFonts w:ascii="Times New Roman" w:hAnsi="Times New Roman"/>
                <w:b/>
                <w:bCs/>
                <w:sz w:val="20"/>
                <w:szCs w:val="20"/>
              </w:rPr>
              <w:t>+0,18</w:t>
            </w:r>
          </w:p>
        </w:tc>
        <w:tc>
          <w:tcPr>
            <w:tcW w:w="1559" w:type="dxa"/>
            <w:shd w:val="clear" w:color="auto" w:fill="F2F2F2" w:themeFill="background1" w:themeFillShade="F2"/>
            <w:vAlign w:val="center"/>
          </w:tcPr>
          <w:p w14:paraId="3FA9A365" w14:textId="1CE1E663" w:rsidR="006D7653" w:rsidRPr="00FB002A" w:rsidRDefault="0006342A" w:rsidP="007E1C0A">
            <w:pPr>
              <w:pStyle w:val="ListParagraph"/>
              <w:spacing w:before="0" w:after="0"/>
              <w:ind w:left="0" w:firstLine="0"/>
              <w:contextualSpacing w:val="0"/>
              <w:jc w:val="center"/>
              <w:rPr>
                <w:rFonts w:ascii="Times New Roman" w:hAnsi="Times New Roman"/>
                <w:b/>
                <w:bCs/>
                <w:sz w:val="20"/>
                <w:szCs w:val="20"/>
              </w:rPr>
            </w:pPr>
            <w:r>
              <w:rPr>
                <w:rFonts w:ascii="Times New Roman" w:hAnsi="Times New Roman"/>
                <w:b/>
                <w:bCs/>
                <w:sz w:val="20"/>
                <w:szCs w:val="20"/>
              </w:rPr>
              <w:t>+1,26</w:t>
            </w:r>
          </w:p>
        </w:tc>
        <w:tc>
          <w:tcPr>
            <w:tcW w:w="1559" w:type="dxa"/>
            <w:shd w:val="clear" w:color="auto" w:fill="F2F2F2" w:themeFill="background1" w:themeFillShade="F2"/>
            <w:vAlign w:val="center"/>
          </w:tcPr>
          <w:p w14:paraId="69EE27D7" w14:textId="3BC7B31E" w:rsidR="006D7653" w:rsidRPr="006D7653" w:rsidRDefault="0006342A" w:rsidP="007E1C0A">
            <w:pPr>
              <w:pStyle w:val="ListParagraph"/>
              <w:spacing w:before="0" w:after="0"/>
              <w:ind w:left="0" w:firstLine="0"/>
              <w:contextualSpacing w:val="0"/>
              <w:jc w:val="center"/>
              <w:rPr>
                <w:rFonts w:ascii="Times New Roman" w:hAnsi="Times New Roman"/>
                <w:b/>
                <w:bCs/>
                <w:sz w:val="20"/>
                <w:szCs w:val="20"/>
              </w:rPr>
            </w:pPr>
            <w:r>
              <w:rPr>
                <w:rFonts w:ascii="Times New Roman" w:hAnsi="Times New Roman"/>
                <w:b/>
                <w:bCs/>
                <w:sz w:val="20"/>
                <w:szCs w:val="20"/>
              </w:rPr>
              <w:t>+2,41</w:t>
            </w:r>
          </w:p>
        </w:tc>
      </w:tr>
    </w:tbl>
    <w:p w14:paraId="4575E3B6" w14:textId="77777777" w:rsidR="006D7653" w:rsidRPr="006D7653" w:rsidRDefault="006D7653" w:rsidP="006D7653">
      <w:pPr>
        <w:ind w:firstLine="0"/>
        <w:rPr>
          <w:rFonts w:cs="Times New Roman"/>
          <w:i/>
          <w:sz w:val="18"/>
          <w:szCs w:val="18"/>
        </w:rPr>
      </w:pPr>
      <w:r w:rsidRPr="006D7653">
        <w:rPr>
          <w:rFonts w:cs="Times New Roman"/>
          <w:b/>
          <w:bCs/>
          <w:sz w:val="20"/>
          <w:szCs w:val="20"/>
          <w:vertAlign w:val="superscript"/>
        </w:rPr>
        <w:t>*</w:t>
      </w:r>
      <w:r w:rsidRPr="006D7653">
        <w:rPr>
          <w:rFonts w:cs="Times New Roman"/>
          <w:i/>
          <w:sz w:val="18"/>
          <w:szCs w:val="18"/>
        </w:rPr>
        <w:t>2024. gadā norādīta 11 mēnešu ietekme.</w:t>
      </w:r>
    </w:p>
    <w:p w14:paraId="56AD9DB3" w14:textId="77777777" w:rsidR="006D7653" w:rsidRPr="006D7653" w:rsidRDefault="006D7653" w:rsidP="006D7653">
      <w:pPr>
        <w:tabs>
          <w:tab w:val="left" w:pos="426"/>
        </w:tabs>
        <w:spacing w:after="120"/>
        <w:ind w:firstLine="0"/>
        <w:rPr>
          <w:rFonts w:cs="Times New Roman"/>
          <w:i/>
          <w:sz w:val="20"/>
          <w:szCs w:val="24"/>
        </w:rPr>
      </w:pPr>
      <w:r w:rsidRPr="006D7653">
        <w:rPr>
          <w:rFonts w:cs="Times New Roman"/>
          <w:b/>
          <w:bCs/>
          <w:i/>
          <w:sz w:val="20"/>
          <w:szCs w:val="24"/>
        </w:rPr>
        <w:t>Avots</w:t>
      </w:r>
      <w:r w:rsidRPr="006D7653">
        <w:rPr>
          <w:rFonts w:cs="Times New Roman"/>
          <w:i/>
          <w:sz w:val="20"/>
          <w:szCs w:val="24"/>
        </w:rPr>
        <w:t>: FM aprēķini.</w:t>
      </w:r>
    </w:p>
    <w:p w14:paraId="5D87BB09" w14:textId="77777777" w:rsidR="006D7653" w:rsidRPr="006D7653" w:rsidRDefault="006D7653" w:rsidP="006D7653">
      <w:pPr>
        <w:ind w:firstLine="0"/>
        <w:rPr>
          <w:rFonts w:cs="Times New Roman"/>
          <w:b/>
          <w:bCs/>
          <w:i/>
          <w:iCs/>
        </w:rPr>
      </w:pPr>
    </w:p>
    <w:p w14:paraId="6174D6ED" w14:textId="77777777" w:rsidR="006D7653" w:rsidRPr="006D7653" w:rsidRDefault="006D7653" w:rsidP="006D7653">
      <w:pPr>
        <w:ind w:firstLine="0"/>
        <w:rPr>
          <w:rFonts w:cs="Times New Roman"/>
          <w:b/>
          <w:bCs/>
          <w:i/>
          <w:iCs/>
          <w:u w:val="single"/>
        </w:rPr>
      </w:pPr>
      <w:r w:rsidRPr="006D7653">
        <w:rPr>
          <w:rFonts w:cs="Times New Roman"/>
          <w:b/>
          <w:bCs/>
          <w:i/>
          <w:iCs/>
          <w:u w:val="single"/>
        </w:rPr>
        <w:t>AN likmju pārskatīšana alkoholiskajiem dzērieniem</w:t>
      </w:r>
    </w:p>
    <w:p w14:paraId="5A662766" w14:textId="77777777" w:rsidR="006D7653" w:rsidRPr="006D7653" w:rsidRDefault="006D7653" w:rsidP="006D7653">
      <w:r w:rsidRPr="006D7653">
        <w:t xml:space="preserve">Ņemot vērā, ka AN alkoholiskajiem dzērieniem papildus fiskālajam mērķim nodrošināt valsts budžeta ieņēmumus un ES iekšējā tirgus pareizas darbības veicināšanai ir arī mērķis mazināt alkoholisko dzērienu patēriņu veselības veicināšanas nolūkos, kā arī ņemot vērā AN likmju izmaiņas Lietuvā un Igaunijā, tad </w:t>
      </w:r>
      <w:r w:rsidRPr="006D7653">
        <w:rPr>
          <w:i/>
          <w:iCs/>
        </w:rPr>
        <w:t>Valsts nodokļu politikas pamatnostādņu 2024. - 2027. gadam</w:t>
      </w:r>
      <w:r w:rsidRPr="006D7653">
        <w:t xml:space="preserve"> ietvaros tika vērtētas AN palielināšanas iespējas visiem alkoholiskajiem dzērienu veidiem. </w:t>
      </w:r>
    </w:p>
    <w:p w14:paraId="1C026413" w14:textId="110EAE9A" w:rsidR="006D7653" w:rsidRPr="006D7653" w:rsidRDefault="009E3CC5" w:rsidP="006D7653">
      <w:pPr>
        <w:spacing w:after="120"/>
        <w:ind w:firstLine="709"/>
        <w:jc w:val="center"/>
        <w:rPr>
          <w:rFonts w:cs="Times New Roman"/>
          <w:sz w:val="22"/>
          <w:szCs w:val="24"/>
        </w:rPr>
      </w:pPr>
      <w:r>
        <w:rPr>
          <w:rFonts w:cs="Times New Roman"/>
          <w:sz w:val="22"/>
          <w:szCs w:val="24"/>
        </w:rPr>
        <w:t>7</w:t>
      </w:r>
      <w:r w:rsidR="006D7653" w:rsidRPr="006D7653">
        <w:rPr>
          <w:rFonts w:cs="Times New Roman"/>
          <w:sz w:val="22"/>
          <w:szCs w:val="24"/>
        </w:rPr>
        <w:t>. tab</w:t>
      </w:r>
      <w:r w:rsidR="006D7653" w:rsidRPr="006D7653">
        <w:rPr>
          <w:rFonts w:cs="Times New Roman"/>
          <w:bCs/>
          <w:sz w:val="22"/>
          <w:szCs w:val="24"/>
        </w:rPr>
        <w:t>.</w:t>
      </w:r>
      <w:r w:rsidR="006D7653" w:rsidRPr="006D7653">
        <w:rPr>
          <w:rFonts w:cs="Times New Roman"/>
          <w:b/>
          <w:sz w:val="22"/>
          <w:szCs w:val="24"/>
        </w:rPr>
        <w:t xml:space="preserve"> AN likmju pārskatīšana alkoholiskajiem dzērieniem</w:t>
      </w:r>
    </w:p>
    <w:tbl>
      <w:tblPr>
        <w:tblStyle w:val="TableGrid"/>
        <w:tblW w:w="9067" w:type="dxa"/>
        <w:tblLook w:val="04A0" w:firstRow="1" w:lastRow="0" w:firstColumn="1" w:lastColumn="0" w:noHBand="0" w:noVBand="1"/>
      </w:tblPr>
      <w:tblGrid>
        <w:gridCol w:w="4219"/>
        <w:gridCol w:w="1166"/>
        <w:gridCol w:w="1221"/>
        <w:gridCol w:w="1231"/>
        <w:gridCol w:w="1230"/>
      </w:tblGrid>
      <w:tr w:rsidR="006D7653" w:rsidRPr="006D7653" w14:paraId="3CA60EE1" w14:textId="77777777" w:rsidTr="007E1C0A">
        <w:trPr>
          <w:trHeight w:val="244"/>
        </w:trPr>
        <w:tc>
          <w:tcPr>
            <w:tcW w:w="4219" w:type="dxa"/>
            <w:vMerge w:val="restart"/>
            <w:tcBorders>
              <w:bottom w:val="single" w:sz="4" w:space="0" w:color="auto"/>
              <w:right w:val="single" w:sz="4" w:space="0" w:color="auto"/>
            </w:tcBorders>
            <w:shd w:val="clear" w:color="auto" w:fill="F2F2F2" w:themeFill="background1" w:themeFillShade="F2"/>
            <w:vAlign w:val="center"/>
          </w:tcPr>
          <w:p w14:paraId="22C5F596"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Alkoholiskā dzēriena veids</w:t>
            </w:r>
          </w:p>
        </w:tc>
        <w:tc>
          <w:tcPr>
            <w:tcW w:w="1166" w:type="dxa"/>
            <w:tcBorders>
              <w:left w:val="single" w:sz="4" w:space="0" w:color="auto"/>
              <w:bottom w:val="single" w:sz="4" w:space="0" w:color="auto"/>
              <w:right w:val="single" w:sz="4" w:space="0" w:color="auto"/>
            </w:tcBorders>
            <w:shd w:val="clear" w:color="auto" w:fill="F2F2F2" w:themeFill="background1" w:themeFillShade="F2"/>
          </w:tcPr>
          <w:p w14:paraId="1F6B3650"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Šobrīd</w:t>
            </w:r>
          </w:p>
        </w:tc>
        <w:tc>
          <w:tcPr>
            <w:tcW w:w="3682" w:type="dxa"/>
            <w:gridSpan w:val="3"/>
            <w:tcBorders>
              <w:left w:val="single" w:sz="4" w:space="0" w:color="auto"/>
              <w:bottom w:val="single" w:sz="4" w:space="0" w:color="auto"/>
            </w:tcBorders>
            <w:shd w:val="clear" w:color="auto" w:fill="F2F2F2" w:themeFill="background1" w:themeFillShade="F2"/>
          </w:tcPr>
          <w:p w14:paraId="6F0F6517"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Priekšlikums</w:t>
            </w:r>
          </w:p>
        </w:tc>
      </w:tr>
      <w:tr w:rsidR="006D7653" w:rsidRPr="006D7653" w14:paraId="1842C990" w14:textId="77777777" w:rsidTr="007E1C0A">
        <w:trPr>
          <w:trHeight w:val="244"/>
        </w:trPr>
        <w:tc>
          <w:tcPr>
            <w:tcW w:w="4219" w:type="dxa"/>
            <w:vMerge/>
            <w:tcBorders>
              <w:top w:val="single" w:sz="4" w:space="0" w:color="auto"/>
              <w:bottom w:val="single" w:sz="4" w:space="0" w:color="auto"/>
              <w:right w:val="single" w:sz="4" w:space="0" w:color="auto"/>
            </w:tcBorders>
            <w:shd w:val="clear" w:color="auto" w:fill="F2F2F2" w:themeFill="background1" w:themeFillShade="F2"/>
          </w:tcPr>
          <w:p w14:paraId="49959A64" w14:textId="77777777" w:rsidR="006D7653" w:rsidRPr="006D7653" w:rsidRDefault="006D7653" w:rsidP="007E1C0A">
            <w:pPr>
              <w:pStyle w:val="ListParagraph"/>
              <w:spacing w:before="0" w:after="0"/>
              <w:ind w:left="0" w:firstLine="0"/>
              <w:contextualSpacing w:val="0"/>
              <w:rPr>
                <w:rFonts w:ascii="Times New Roman" w:hAnsi="Times New Roman"/>
                <w:b/>
                <w:sz w:val="20"/>
                <w:szCs w:val="20"/>
              </w:rPr>
            </w:pPr>
          </w:p>
        </w:tc>
        <w:tc>
          <w:tcPr>
            <w:tcW w:w="116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50C134"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01.08.2023.</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109752"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01.03.2024.</w:t>
            </w:r>
          </w:p>
        </w:tc>
        <w:tc>
          <w:tcPr>
            <w:tcW w:w="12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89FDCD"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01.03.2025.</w:t>
            </w:r>
          </w:p>
        </w:tc>
        <w:tc>
          <w:tcPr>
            <w:tcW w:w="1230" w:type="dxa"/>
            <w:tcBorders>
              <w:top w:val="single" w:sz="4" w:space="0" w:color="auto"/>
              <w:left w:val="single" w:sz="4" w:space="0" w:color="auto"/>
              <w:bottom w:val="single" w:sz="4" w:space="0" w:color="auto"/>
            </w:tcBorders>
            <w:shd w:val="clear" w:color="auto" w:fill="F2F2F2" w:themeFill="background1" w:themeFillShade="F2"/>
          </w:tcPr>
          <w:p w14:paraId="77DA9994"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01.03.2026.</w:t>
            </w:r>
          </w:p>
        </w:tc>
      </w:tr>
      <w:tr w:rsidR="006D7653" w:rsidRPr="006D7653" w14:paraId="4B21E2F6" w14:textId="77777777" w:rsidTr="007E1C0A">
        <w:trPr>
          <w:trHeight w:val="475"/>
        </w:trPr>
        <w:tc>
          <w:tcPr>
            <w:tcW w:w="4219" w:type="dxa"/>
            <w:tcBorders>
              <w:bottom w:val="single" w:sz="4" w:space="0" w:color="808080" w:themeColor="background1" w:themeShade="80"/>
            </w:tcBorders>
          </w:tcPr>
          <w:p w14:paraId="553B6A75" w14:textId="77777777" w:rsidR="006D7653" w:rsidRPr="006D7653" w:rsidRDefault="006D7653" w:rsidP="007E1C0A">
            <w:pPr>
              <w:pStyle w:val="ListParagraph"/>
              <w:ind w:left="30" w:hanging="6"/>
              <w:rPr>
                <w:rFonts w:ascii="Times New Roman" w:hAnsi="Times New Roman"/>
                <w:sz w:val="20"/>
                <w:szCs w:val="20"/>
              </w:rPr>
            </w:pPr>
            <w:r w:rsidRPr="006D7653">
              <w:rPr>
                <w:rFonts w:ascii="Times New Roman" w:hAnsi="Times New Roman"/>
                <w:b/>
                <w:bCs/>
                <w:sz w:val="20"/>
                <w:szCs w:val="20"/>
              </w:rPr>
              <w:t xml:space="preserve">Alus, </w:t>
            </w:r>
            <w:r w:rsidRPr="006D7653">
              <w:rPr>
                <w:rFonts w:ascii="Times New Roman" w:hAnsi="Times New Roman"/>
                <w:i/>
                <w:iCs/>
                <w:sz w:val="20"/>
                <w:szCs w:val="20"/>
              </w:rPr>
              <w:t xml:space="preserve">euro par katru absolūtā spirta tilp. %, par 100 litriem </w:t>
            </w:r>
          </w:p>
        </w:tc>
        <w:tc>
          <w:tcPr>
            <w:tcW w:w="1166" w:type="dxa"/>
            <w:tcBorders>
              <w:bottom w:val="single" w:sz="4" w:space="0" w:color="808080" w:themeColor="background1" w:themeShade="80"/>
            </w:tcBorders>
            <w:shd w:val="clear" w:color="auto" w:fill="FFFFFF" w:themeFill="background1"/>
            <w:vAlign w:val="center"/>
          </w:tcPr>
          <w:p w14:paraId="636FFFD7" w14:textId="77777777" w:rsidR="006D7653" w:rsidRPr="006D7653" w:rsidRDefault="006D7653" w:rsidP="007E1C0A">
            <w:pPr>
              <w:pStyle w:val="ListParagraph"/>
              <w:spacing w:before="0" w:after="0"/>
              <w:ind w:left="0" w:firstLine="0"/>
              <w:contextualSpacing w:val="0"/>
              <w:jc w:val="center"/>
              <w:rPr>
                <w:rFonts w:ascii="Times New Roman" w:hAnsi="Times New Roman"/>
                <w:bCs/>
                <w:sz w:val="20"/>
                <w:szCs w:val="20"/>
              </w:rPr>
            </w:pPr>
            <w:r w:rsidRPr="006D7653">
              <w:rPr>
                <w:rFonts w:ascii="Times New Roman" w:hAnsi="Times New Roman"/>
                <w:bCs/>
                <w:sz w:val="20"/>
                <w:szCs w:val="20"/>
              </w:rPr>
              <w:t>8,2</w:t>
            </w:r>
          </w:p>
        </w:tc>
        <w:tc>
          <w:tcPr>
            <w:tcW w:w="1221" w:type="dxa"/>
            <w:tcBorders>
              <w:bottom w:val="single" w:sz="4" w:space="0" w:color="808080" w:themeColor="background1" w:themeShade="80"/>
            </w:tcBorders>
            <w:vAlign w:val="center"/>
          </w:tcPr>
          <w:p w14:paraId="5AB6C62D"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9,0</w:t>
            </w:r>
          </w:p>
        </w:tc>
        <w:tc>
          <w:tcPr>
            <w:tcW w:w="1231" w:type="dxa"/>
            <w:tcBorders>
              <w:bottom w:val="single" w:sz="4" w:space="0" w:color="808080" w:themeColor="background1" w:themeShade="80"/>
            </w:tcBorders>
            <w:vAlign w:val="center"/>
          </w:tcPr>
          <w:p w14:paraId="30DD9BD8"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9,8</w:t>
            </w:r>
          </w:p>
        </w:tc>
        <w:tc>
          <w:tcPr>
            <w:tcW w:w="1230" w:type="dxa"/>
            <w:tcBorders>
              <w:bottom w:val="single" w:sz="4" w:space="0" w:color="808080" w:themeColor="background1" w:themeShade="80"/>
            </w:tcBorders>
            <w:vAlign w:val="center"/>
          </w:tcPr>
          <w:p w14:paraId="40B06BBC"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10,8</w:t>
            </w:r>
          </w:p>
        </w:tc>
      </w:tr>
      <w:tr w:rsidR="006D7653" w:rsidRPr="006D7653" w14:paraId="786A7E12" w14:textId="77777777" w:rsidTr="007E1C0A">
        <w:trPr>
          <w:trHeight w:val="244"/>
        </w:trPr>
        <w:tc>
          <w:tcPr>
            <w:tcW w:w="4219" w:type="dxa"/>
            <w:tcBorders>
              <w:top w:val="single" w:sz="4" w:space="0" w:color="808080" w:themeColor="background1" w:themeShade="80"/>
              <w:bottom w:val="single" w:sz="4" w:space="0" w:color="808080" w:themeColor="background1" w:themeShade="80"/>
            </w:tcBorders>
          </w:tcPr>
          <w:p w14:paraId="6E0CE522" w14:textId="77777777" w:rsidR="006D7653" w:rsidRPr="006D7653" w:rsidRDefault="006D7653" w:rsidP="007E1C0A">
            <w:pPr>
              <w:pStyle w:val="ListParagraph"/>
              <w:ind w:left="30" w:hanging="6"/>
              <w:rPr>
                <w:rFonts w:ascii="Times New Roman" w:hAnsi="Times New Roman"/>
                <w:b/>
                <w:sz w:val="20"/>
                <w:szCs w:val="20"/>
              </w:rPr>
            </w:pPr>
            <w:r w:rsidRPr="006D7653">
              <w:rPr>
                <w:rFonts w:ascii="Times New Roman" w:hAnsi="Times New Roman"/>
                <w:b/>
                <w:bCs/>
                <w:sz w:val="20"/>
                <w:szCs w:val="20"/>
              </w:rPr>
              <w:t>Minimālais AN alum</w:t>
            </w:r>
            <w:r w:rsidRPr="006D7653">
              <w:rPr>
                <w:rFonts w:ascii="Times New Roman" w:hAnsi="Times New Roman"/>
                <w:b/>
                <w:sz w:val="20"/>
                <w:szCs w:val="20"/>
              </w:rPr>
              <w:t xml:space="preserve">, </w:t>
            </w:r>
            <w:r w:rsidRPr="006D7653">
              <w:rPr>
                <w:rFonts w:ascii="Times New Roman" w:hAnsi="Times New Roman"/>
                <w:bCs/>
                <w:i/>
                <w:iCs/>
                <w:sz w:val="20"/>
                <w:szCs w:val="20"/>
              </w:rPr>
              <w:t>euro par 100 litriem</w:t>
            </w:r>
          </w:p>
        </w:tc>
        <w:tc>
          <w:tcPr>
            <w:tcW w:w="1166" w:type="dxa"/>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7FBF4D86" w14:textId="77777777" w:rsidR="006D7653" w:rsidRPr="006D7653" w:rsidRDefault="006D7653" w:rsidP="007E1C0A">
            <w:pPr>
              <w:pStyle w:val="ListParagraph"/>
              <w:spacing w:before="0" w:after="0"/>
              <w:ind w:left="0" w:firstLine="0"/>
              <w:contextualSpacing w:val="0"/>
              <w:jc w:val="center"/>
              <w:rPr>
                <w:rFonts w:ascii="Times New Roman" w:hAnsi="Times New Roman"/>
                <w:bCs/>
                <w:sz w:val="20"/>
                <w:szCs w:val="20"/>
              </w:rPr>
            </w:pPr>
            <w:r w:rsidRPr="006D7653">
              <w:rPr>
                <w:rFonts w:ascii="Times New Roman" w:hAnsi="Times New Roman"/>
                <w:bCs/>
                <w:sz w:val="20"/>
                <w:szCs w:val="20"/>
              </w:rPr>
              <w:t>15,2</w:t>
            </w:r>
          </w:p>
        </w:tc>
        <w:tc>
          <w:tcPr>
            <w:tcW w:w="1221" w:type="dxa"/>
            <w:tcBorders>
              <w:top w:val="single" w:sz="4" w:space="0" w:color="808080" w:themeColor="background1" w:themeShade="80"/>
              <w:bottom w:val="single" w:sz="4" w:space="0" w:color="808080" w:themeColor="background1" w:themeShade="80"/>
            </w:tcBorders>
            <w:vAlign w:val="center"/>
          </w:tcPr>
          <w:p w14:paraId="690DF767"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16,7</w:t>
            </w:r>
          </w:p>
        </w:tc>
        <w:tc>
          <w:tcPr>
            <w:tcW w:w="1231" w:type="dxa"/>
            <w:tcBorders>
              <w:top w:val="single" w:sz="4" w:space="0" w:color="808080" w:themeColor="background1" w:themeShade="80"/>
              <w:bottom w:val="single" w:sz="4" w:space="0" w:color="808080" w:themeColor="background1" w:themeShade="80"/>
            </w:tcBorders>
            <w:vAlign w:val="center"/>
          </w:tcPr>
          <w:p w14:paraId="57D90FA5"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18,1</w:t>
            </w:r>
          </w:p>
        </w:tc>
        <w:tc>
          <w:tcPr>
            <w:tcW w:w="1230" w:type="dxa"/>
            <w:tcBorders>
              <w:top w:val="single" w:sz="4" w:space="0" w:color="808080" w:themeColor="background1" w:themeShade="80"/>
              <w:bottom w:val="single" w:sz="4" w:space="0" w:color="808080" w:themeColor="background1" w:themeShade="80"/>
            </w:tcBorders>
            <w:vAlign w:val="center"/>
          </w:tcPr>
          <w:p w14:paraId="3D3A15FE"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20,0</w:t>
            </w:r>
          </w:p>
        </w:tc>
      </w:tr>
      <w:tr w:rsidR="006D7653" w:rsidRPr="006D7653" w14:paraId="15C56723" w14:textId="77777777" w:rsidTr="007E1C0A">
        <w:trPr>
          <w:trHeight w:val="141"/>
        </w:trPr>
        <w:tc>
          <w:tcPr>
            <w:tcW w:w="4219" w:type="dxa"/>
            <w:tcBorders>
              <w:top w:val="single" w:sz="4" w:space="0" w:color="808080" w:themeColor="background1" w:themeShade="80"/>
              <w:bottom w:val="single" w:sz="4" w:space="0" w:color="808080" w:themeColor="background1" w:themeShade="80"/>
            </w:tcBorders>
            <w:vAlign w:val="center"/>
          </w:tcPr>
          <w:p w14:paraId="28737FB6" w14:textId="77777777" w:rsidR="006D7653" w:rsidRPr="006D7653" w:rsidRDefault="006D7653" w:rsidP="007E1C0A">
            <w:pPr>
              <w:pStyle w:val="ListParagraph"/>
              <w:spacing w:before="0" w:after="0"/>
              <w:ind w:left="0" w:firstLine="0"/>
              <w:contextualSpacing w:val="0"/>
              <w:jc w:val="left"/>
              <w:rPr>
                <w:rFonts w:ascii="Times New Roman" w:hAnsi="Times New Roman"/>
                <w:b/>
                <w:bCs/>
                <w:sz w:val="20"/>
                <w:szCs w:val="20"/>
              </w:rPr>
            </w:pPr>
            <w:r w:rsidRPr="006D7653">
              <w:rPr>
                <w:rFonts w:ascii="Times New Roman" w:hAnsi="Times New Roman"/>
                <w:b/>
                <w:bCs/>
                <w:sz w:val="20"/>
                <w:szCs w:val="20"/>
              </w:rPr>
              <w:t xml:space="preserve">Vīns, </w:t>
            </w:r>
            <w:r w:rsidRPr="006D7653">
              <w:rPr>
                <w:rFonts w:ascii="Times New Roman" w:hAnsi="Times New Roman"/>
                <w:i/>
                <w:iCs/>
                <w:sz w:val="20"/>
                <w:szCs w:val="20"/>
              </w:rPr>
              <w:t>euro par 100 litriem</w:t>
            </w:r>
          </w:p>
        </w:tc>
        <w:tc>
          <w:tcPr>
            <w:tcW w:w="1166" w:type="dxa"/>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71F736AA" w14:textId="77777777" w:rsidR="006D7653" w:rsidRPr="006D7653" w:rsidRDefault="006D7653" w:rsidP="007E1C0A">
            <w:pPr>
              <w:pStyle w:val="ListParagraph"/>
              <w:spacing w:before="0" w:after="0"/>
              <w:ind w:left="0" w:firstLine="0"/>
              <w:contextualSpacing w:val="0"/>
              <w:jc w:val="center"/>
              <w:rPr>
                <w:rFonts w:ascii="Times New Roman" w:hAnsi="Times New Roman"/>
                <w:bCs/>
                <w:sz w:val="20"/>
                <w:szCs w:val="20"/>
              </w:rPr>
            </w:pPr>
            <w:r w:rsidRPr="006D7653">
              <w:rPr>
                <w:rFonts w:ascii="Times New Roman" w:hAnsi="Times New Roman"/>
                <w:bCs/>
                <w:sz w:val="20"/>
                <w:szCs w:val="20"/>
              </w:rPr>
              <w:t>111</w:t>
            </w:r>
          </w:p>
        </w:tc>
        <w:tc>
          <w:tcPr>
            <w:tcW w:w="1221" w:type="dxa"/>
            <w:tcBorders>
              <w:top w:val="single" w:sz="4" w:space="0" w:color="808080" w:themeColor="background1" w:themeShade="80"/>
              <w:bottom w:val="single" w:sz="4" w:space="0" w:color="808080" w:themeColor="background1" w:themeShade="80"/>
            </w:tcBorders>
            <w:vAlign w:val="center"/>
          </w:tcPr>
          <w:p w14:paraId="33F917E3"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sz w:val="20"/>
                <w:szCs w:val="20"/>
              </w:rPr>
              <w:t>122</w:t>
            </w:r>
          </w:p>
        </w:tc>
        <w:tc>
          <w:tcPr>
            <w:tcW w:w="1231" w:type="dxa"/>
            <w:tcBorders>
              <w:top w:val="single" w:sz="4" w:space="0" w:color="808080" w:themeColor="background1" w:themeShade="80"/>
              <w:bottom w:val="single" w:sz="4" w:space="0" w:color="808080" w:themeColor="background1" w:themeShade="80"/>
            </w:tcBorders>
            <w:vAlign w:val="center"/>
          </w:tcPr>
          <w:p w14:paraId="76162A51"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sz w:val="20"/>
                <w:szCs w:val="20"/>
              </w:rPr>
              <w:t>134</w:t>
            </w:r>
          </w:p>
        </w:tc>
        <w:tc>
          <w:tcPr>
            <w:tcW w:w="1230" w:type="dxa"/>
            <w:tcBorders>
              <w:top w:val="single" w:sz="4" w:space="0" w:color="808080" w:themeColor="background1" w:themeShade="80"/>
              <w:bottom w:val="single" w:sz="4" w:space="0" w:color="808080" w:themeColor="background1" w:themeShade="80"/>
            </w:tcBorders>
            <w:vAlign w:val="center"/>
          </w:tcPr>
          <w:p w14:paraId="4B6250DF"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sz w:val="20"/>
                <w:szCs w:val="20"/>
              </w:rPr>
              <w:t>148</w:t>
            </w:r>
          </w:p>
        </w:tc>
      </w:tr>
      <w:tr w:rsidR="006D7653" w:rsidRPr="006D7653" w14:paraId="492C0B5C" w14:textId="77777777" w:rsidTr="007E1C0A">
        <w:trPr>
          <w:trHeight w:val="141"/>
        </w:trPr>
        <w:tc>
          <w:tcPr>
            <w:tcW w:w="9067" w:type="dxa"/>
            <w:gridSpan w:val="5"/>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51126150" w14:textId="77777777" w:rsidR="006D7653" w:rsidRPr="006D7653" w:rsidRDefault="006D7653" w:rsidP="007E1C0A">
            <w:pPr>
              <w:pStyle w:val="ListParagraph"/>
              <w:spacing w:before="0" w:after="0"/>
              <w:ind w:left="0" w:firstLine="0"/>
              <w:contextualSpacing w:val="0"/>
              <w:jc w:val="left"/>
              <w:rPr>
                <w:rFonts w:ascii="Times New Roman" w:hAnsi="Times New Roman"/>
                <w:b/>
                <w:sz w:val="20"/>
                <w:szCs w:val="20"/>
              </w:rPr>
            </w:pPr>
            <w:r w:rsidRPr="006D7653">
              <w:rPr>
                <w:rFonts w:ascii="Times New Roman" w:hAnsi="Times New Roman"/>
                <w:b/>
                <w:bCs/>
                <w:sz w:val="20"/>
                <w:szCs w:val="20"/>
              </w:rPr>
              <w:t xml:space="preserve">Raudzētie dzērieni, </w:t>
            </w:r>
            <w:r w:rsidRPr="006D7653">
              <w:rPr>
                <w:rFonts w:ascii="Times New Roman" w:hAnsi="Times New Roman"/>
                <w:i/>
                <w:iCs/>
                <w:sz w:val="20"/>
                <w:szCs w:val="20"/>
              </w:rPr>
              <w:t>euro par 100 litriem</w:t>
            </w:r>
          </w:p>
        </w:tc>
      </w:tr>
      <w:tr w:rsidR="006D7653" w:rsidRPr="006D7653" w14:paraId="3D14F811" w14:textId="77777777" w:rsidTr="007E1C0A">
        <w:trPr>
          <w:trHeight w:val="244"/>
        </w:trPr>
        <w:tc>
          <w:tcPr>
            <w:tcW w:w="4219" w:type="dxa"/>
            <w:tcBorders>
              <w:top w:val="single" w:sz="4" w:space="0" w:color="808080" w:themeColor="background1" w:themeShade="80"/>
              <w:bottom w:val="single" w:sz="4" w:space="0" w:color="808080" w:themeColor="background1" w:themeShade="80"/>
            </w:tcBorders>
          </w:tcPr>
          <w:p w14:paraId="39BCA555" w14:textId="77777777" w:rsidR="006D7653" w:rsidRPr="006D7653" w:rsidRDefault="006D7653" w:rsidP="007E1C0A">
            <w:pPr>
              <w:pStyle w:val="ListParagraph"/>
              <w:ind w:left="30" w:hanging="6"/>
              <w:jc w:val="right"/>
              <w:rPr>
                <w:rFonts w:ascii="Times New Roman" w:hAnsi="Times New Roman"/>
                <w:sz w:val="20"/>
                <w:szCs w:val="20"/>
              </w:rPr>
            </w:pPr>
            <w:r w:rsidRPr="006D7653">
              <w:rPr>
                <w:rFonts w:ascii="Times New Roman" w:hAnsi="Times New Roman"/>
                <w:sz w:val="20"/>
                <w:szCs w:val="20"/>
              </w:rPr>
              <w:t>- līdz 6 absolūtā spirta tilp.%</w:t>
            </w:r>
          </w:p>
        </w:tc>
        <w:tc>
          <w:tcPr>
            <w:tcW w:w="1166" w:type="dxa"/>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151F90B6" w14:textId="77777777" w:rsidR="006D7653" w:rsidRPr="006D7653" w:rsidRDefault="006D7653" w:rsidP="007E1C0A">
            <w:pPr>
              <w:pStyle w:val="ListParagraph"/>
              <w:spacing w:before="0" w:after="0"/>
              <w:ind w:left="0" w:firstLine="0"/>
              <w:contextualSpacing w:val="0"/>
              <w:jc w:val="center"/>
              <w:rPr>
                <w:rFonts w:ascii="Times New Roman" w:hAnsi="Times New Roman"/>
                <w:bCs/>
                <w:sz w:val="20"/>
                <w:szCs w:val="20"/>
              </w:rPr>
            </w:pPr>
            <w:r w:rsidRPr="006D7653">
              <w:rPr>
                <w:rFonts w:ascii="Times New Roman" w:hAnsi="Times New Roman"/>
                <w:bCs/>
                <w:sz w:val="20"/>
                <w:szCs w:val="20"/>
              </w:rPr>
              <w:t>64</w:t>
            </w:r>
          </w:p>
        </w:tc>
        <w:tc>
          <w:tcPr>
            <w:tcW w:w="1221" w:type="dxa"/>
            <w:tcBorders>
              <w:top w:val="single" w:sz="4" w:space="0" w:color="808080" w:themeColor="background1" w:themeShade="80"/>
              <w:bottom w:val="single" w:sz="4" w:space="0" w:color="808080" w:themeColor="background1" w:themeShade="80"/>
            </w:tcBorders>
            <w:vAlign w:val="center"/>
          </w:tcPr>
          <w:p w14:paraId="76FF5FFE"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70</w:t>
            </w:r>
          </w:p>
        </w:tc>
        <w:tc>
          <w:tcPr>
            <w:tcW w:w="1231" w:type="dxa"/>
            <w:tcBorders>
              <w:top w:val="single" w:sz="4" w:space="0" w:color="808080" w:themeColor="background1" w:themeShade="80"/>
              <w:bottom w:val="single" w:sz="4" w:space="0" w:color="808080" w:themeColor="background1" w:themeShade="80"/>
            </w:tcBorders>
            <w:vAlign w:val="center"/>
          </w:tcPr>
          <w:p w14:paraId="3E129739"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77</w:t>
            </w:r>
          </w:p>
        </w:tc>
        <w:tc>
          <w:tcPr>
            <w:tcW w:w="1230" w:type="dxa"/>
            <w:tcBorders>
              <w:top w:val="single" w:sz="4" w:space="0" w:color="808080" w:themeColor="background1" w:themeShade="80"/>
              <w:bottom w:val="single" w:sz="4" w:space="0" w:color="808080" w:themeColor="background1" w:themeShade="80"/>
            </w:tcBorders>
            <w:vAlign w:val="center"/>
          </w:tcPr>
          <w:p w14:paraId="6A403A99"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85</w:t>
            </w:r>
          </w:p>
        </w:tc>
      </w:tr>
      <w:tr w:rsidR="006D7653" w:rsidRPr="006D7653" w14:paraId="3CC7030A" w14:textId="77777777" w:rsidTr="007E1C0A">
        <w:trPr>
          <w:trHeight w:val="230"/>
        </w:trPr>
        <w:tc>
          <w:tcPr>
            <w:tcW w:w="4219" w:type="dxa"/>
            <w:tcBorders>
              <w:top w:val="single" w:sz="4" w:space="0" w:color="808080" w:themeColor="background1" w:themeShade="80"/>
              <w:bottom w:val="single" w:sz="4" w:space="0" w:color="auto"/>
            </w:tcBorders>
          </w:tcPr>
          <w:p w14:paraId="687D8103" w14:textId="77777777" w:rsidR="006D7653" w:rsidRPr="006D7653" w:rsidRDefault="006D7653" w:rsidP="007E1C0A">
            <w:pPr>
              <w:pStyle w:val="ListParagraph"/>
              <w:ind w:left="30" w:hanging="6"/>
              <w:jc w:val="right"/>
              <w:rPr>
                <w:rFonts w:ascii="Times New Roman" w:hAnsi="Times New Roman"/>
                <w:sz w:val="20"/>
                <w:szCs w:val="20"/>
              </w:rPr>
            </w:pPr>
            <w:r w:rsidRPr="006D7653">
              <w:rPr>
                <w:rFonts w:ascii="Times New Roman" w:hAnsi="Times New Roman"/>
                <w:sz w:val="20"/>
                <w:szCs w:val="20"/>
              </w:rPr>
              <w:t>- virs 6 absolūtā spirta tilp.%</w:t>
            </w:r>
          </w:p>
        </w:tc>
        <w:tc>
          <w:tcPr>
            <w:tcW w:w="1166" w:type="dxa"/>
            <w:tcBorders>
              <w:top w:val="single" w:sz="4" w:space="0" w:color="808080" w:themeColor="background1" w:themeShade="80"/>
              <w:bottom w:val="single" w:sz="4" w:space="0" w:color="auto"/>
            </w:tcBorders>
            <w:shd w:val="clear" w:color="auto" w:fill="FFFFFF" w:themeFill="background1"/>
            <w:vAlign w:val="center"/>
          </w:tcPr>
          <w:p w14:paraId="31CB2BF4" w14:textId="77777777" w:rsidR="006D7653" w:rsidRPr="006D7653" w:rsidRDefault="006D7653" w:rsidP="007E1C0A">
            <w:pPr>
              <w:pStyle w:val="ListParagraph"/>
              <w:spacing w:before="0" w:after="0"/>
              <w:ind w:left="0" w:firstLine="0"/>
              <w:contextualSpacing w:val="0"/>
              <w:jc w:val="center"/>
              <w:rPr>
                <w:rFonts w:ascii="Times New Roman" w:hAnsi="Times New Roman"/>
                <w:bCs/>
                <w:sz w:val="20"/>
                <w:szCs w:val="20"/>
              </w:rPr>
            </w:pPr>
            <w:r w:rsidRPr="006D7653">
              <w:rPr>
                <w:rFonts w:ascii="Times New Roman" w:hAnsi="Times New Roman"/>
                <w:bCs/>
                <w:sz w:val="20"/>
                <w:szCs w:val="20"/>
              </w:rPr>
              <w:t>111</w:t>
            </w:r>
          </w:p>
        </w:tc>
        <w:tc>
          <w:tcPr>
            <w:tcW w:w="1221" w:type="dxa"/>
            <w:tcBorders>
              <w:top w:val="single" w:sz="4" w:space="0" w:color="808080" w:themeColor="background1" w:themeShade="80"/>
              <w:bottom w:val="single" w:sz="4" w:space="0" w:color="auto"/>
            </w:tcBorders>
            <w:vAlign w:val="center"/>
          </w:tcPr>
          <w:p w14:paraId="5A61FDA4"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122</w:t>
            </w:r>
          </w:p>
        </w:tc>
        <w:tc>
          <w:tcPr>
            <w:tcW w:w="1231" w:type="dxa"/>
            <w:tcBorders>
              <w:top w:val="single" w:sz="4" w:space="0" w:color="808080" w:themeColor="background1" w:themeShade="80"/>
              <w:bottom w:val="single" w:sz="4" w:space="0" w:color="auto"/>
            </w:tcBorders>
            <w:vAlign w:val="center"/>
          </w:tcPr>
          <w:p w14:paraId="7C4C59C9"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134</w:t>
            </w:r>
          </w:p>
        </w:tc>
        <w:tc>
          <w:tcPr>
            <w:tcW w:w="1230" w:type="dxa"/>
            <w:tcBorders>
              <w:top w:val="single" w:sz="4" w:space="0" w:color="808080" w:themeColor="background1" w:themeShade="80"/>
              <w:bottom w:val="single" w:sz="4" w:space="0" w:color="auto"/>
            </w:tcBorders>
            <w:vAlign w:val="center"/>
          </w:tcPr>
          <w:p w14:paraId="181D72BA"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148</w:t>
            </w:r>
          </w:p>
        </w:tc>
      </w:tr>
      <w:tr w:rsidR="006D7653" w:rsidRPr="006D7653" w14:paraId="74D82E8C" w14:textId="77777777" w:rsidTr="007E1C0A">
        <w:trPr>
          <w:trHeight w:val="230"/>
        </w:trPr>
        <w:tc>
          <w:tcPr>
            <w:tcW w:w="9067" w:type="dxa"/>
            <w:gridSpan w:val="5"/>
            <w:tcBorders>
              <w:top w:val="single" w:sz="4" w:space="0" w:color="808080" w:themeColor="background1" w:themeShade="80"/>
              <w:bottom w:val="single" w:sz="4" w:space="0" w:color="auto"/>
            </w:tcBorders>
            <w:shd w:val="clear" w:color="auto" w:fill="FFFFFF" w:themeFill="background1"/>
            <w:vAlign w:val="center"/>
          </w:tcPr>
          <w:p w14:paraId="39CC7CB0" w14:textId="77777777" w:rsidR="006D7653" w:rsidRPr="006D7653" w:rsidRDefault="006D7653" w:rsidP="007E1C0A">
            <w:pPr>
              <w:pStyle w:val="ListParagraph"/>
              <w:spacing w:before="0" w:after="0"/>
              <w:ind w:left="0" w:firstLine="0"/>
              <w:contextualSpacing w:val="0"/>
              <w:jc w:val="left"/>
              <w:rPr>
                <w:rFonts w:ascii="Times New Roman" w:hAnsi="Times New Roman"/>
                <w:b/>
                <w:sz w:val="20"/>
                <w:szCs w:val="20"/>
              </w:rPr>
            </w:pPr>
            <w:r w:rsidRPr="006D7653">
              <w:rPr>
                <w:rFonts w:ascii="Times New Roman" w:hAnsi="Times New Roman"/>
                <w:b/>
                <w:bCs/>
                <w:sz w:val="20"/>
                <w:szCs w:val="20"/>
              </w:rPr>
              <w:t>Starpprodukti</w:t>
            </w:r>
            <w:r w:rsidRPr="006D7653">
              <w:rPr>
                <w:rFonts w:ascii="Times New Roman" w:hAnsi="Times New Roman"/>
                <w:i/>
                <w:iCs/>
                <w:sz w:val="20"/>
                <w:szCs w:val="20"/>
              </w:rPr>
              <w:t>, euro par 1 000 litriem</w:t>
            </w:r>
          </w:p>
        </w:tc>
      </w:tr>
      <w:tr w:rsidR="006D7653" w:rsidRPr="006D7653" w14:paraId="16E8B8AC" w14:textId="77777777" w:rsidTr="007E1C0A">
        <w:trPr>
          <w:trHeight w:val="230"/>
        </w:trPr>
        <w:tc>
          <w:tcPr>
            <w:tcW w:w="4219" w:type="dxa"/>
            <w:tcBorders>
              <w:top w:val="single" w:sz="4" w:space="0" w:color="808080" w:themeColor="background1" w:themeShade="80"/>
              <w:bottom w:val="single" w:sz="4" w:space="0" w:color="auto"/>
            </w:tcBorders>
          </w:tcPr>
          <w:p w14:paraId="247E9D0F" w14:textId="77777777" w:rsidR="006D7653" w:rsidRPr="006D7653" w:rsidRDefault="006D7653" w:rsidP="007E1C0A">
            <w:pPr>
              <w:pStyle w:val="ListParagraph"/>
              <w:ind w:left="30" w:hanging="6"/>
              <w:jc w:val="right"/>
              <w:rPr>
                <w:rFonts w:ascii="Times New Roman" w:hAnsi="Times New Roman"/>
                <w:sz w:val="20"/>
                <w:szCs w:val="20"/>
              </w:rPr>
            </w:pPr>
            <w:r w:rsidRPr="006D7653">
              <w:rPr>
                <w:rFonts w:ascii="Times New Roman" w:hAnsi="Times New Roman"/>
                <w:sz w:val="20"/>
                <w:szCs w:val="20"/>
              </w:rPr>
              <w:t>- līdz 15 absolūtā spirta tilp.%</w:t>
            </w:r>
          </w:p>
        </w:tc>
        <w:tc>
          <w:tcPr>
            <w:tcW w:w="1166" w:type="dxa"/>
            <w:tcBorders>
              <w:top w:val="single" w:sz="4" w:space="0" w:color="808080" w:themeColor="background1" w:themeShade="80"/>
              <w:bottom w:val="single" w:sz="4" w:space="0" w:color="auto"/>
            </w:tcBorders>
            <w:shd w:val="clear" w:color="auto" w:fill="FFFFFF" w:themeFill="background1"/>
            <w:vAlign w:val="center"/>
          </w:tcPr>
          <w:p w14:paraId="285C0704" w14:textId="77777777" w:rsidR="006D7653" w:rsidRPr="006D7653" w:rsidRDefault="006D7653" w:rsidP="007E1C0A">
            <w:pPr>
              <w:pStyle w:val="ListParagraph"/>
              <w:spacing w:before="0" w:after="0"/>
              <w:ind w:left="0" w:firstLine="0"/>
              <w:contextualSpacing w:val="0"/>
              <w:jc w:val="center"/>
              <w:rPr>
                <w:rFonts w:ascii="Times New Roman" w:hAnsi="Times New Roman"/>
                <w:bCs/>
                <w:sz w:val="20"/>
                <w:szCs w:val="20"/>
              </w:rPr>
            </w:pPr>
            <w:r w:rsidRPr="006D7653">
              <w:rPr>
                <w:rFonts w:ascii="Times New Roman" w:hAnsi="Times New Roman"/>
                <w:bCs/>
                <w:sz w:val="20"/>
                <w:szCs w:val="20"/>
              </w:rPr>
              <w:t>111</w:t>
            </w:r>
          </w:p>
        </w:tc>
        <w:tc>
          <w:tcPr>
            <w:tcW w:w="1221" w:type="dxa"/>
            <w:tcBorders>
              <w:top w:val="single" w:sz="4" w:space="0" w:color="808080" w:themeColor="background1" w:themeShade="80"/>
              <w:bottom w:val="single" w:sz="4" w:space="0" w:color="auto"/>
            </w:tcBorders>
            <w:vAlign w:val="center"/>
          </w:tcPr>
          <w:p w14:paraId="6D85F1A0"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122</w:t>
            </w:r>
          </w:p>
        </w:tc>
        <w:tc>
          <w:tcPr>
            <w:tcW w:w="1231" w:type="dxa"/>
            <w:tcBorders>
              <w:top w:val="single" w:sz="4" w:space="0" w:color="808080" w:themeColor="background1" w:themeShade="80"/>
              <w:bottom w:val="single" w:sz="4" w:space="0" w:color="auto"/>
            </w:tcBorders>
            <w:vAlign w:val="center"/>
          </w:tcPr>
          <w:p w14:paraId="46938AC6"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134</w:t>
            </w:r>
          </w:p>
        </w:tc>
        <w:tc>
          <w:tcPr>
            <w:tcW w:w="1230" w:type="dxa"/>
            <w:tcBorders>
              <w:top w:val="single" w:sz="4" w:space="0" w:color="808080" w:themeColor="background1" w:themeShade="80"/>
              <w:bottom w:val="single" w:sz="4" w:space="0" w:color="auto"/>
            </w:tcBorders>
            <w:vAlign w:val="center"/>
          </w:tcPr>
          <w:p w14:paraId="253FAD51"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148</w:t>
            </w:r>
          </w:p>
        </w:tc>
      </w:tr>
      <w:tr w:rsidR="006D7653" w:rsidRPr="006D7653" w14:paraId="358F5848" w14:textId="77777777" w:rsidTr="007E1C0A">
        <w:trPr>
          <w:trHeight w:val="230"/>
        </w:trPr>
        <w:tc>
          <w:tcPr>
            <w:tcW w:w="4219" w:type="dxa"/>
            <w:tcBorders>
              <w:top w:val="single" w:sz="4" w:space="0" w:color="808080" w:themeColor="background1" w:themeShade="80"/>
              <w:bottom w:val="single" w:sz="4" w:space="0" w:color="auto"/>
            </w:tcBorders>
          </w:tcPr>
          <w:p w14:paraId="79015375" w14:textId="77777777" w:rsidR="006D7653" w:rsidRPr="006D7653" w:rsidRDefault="006D7653" w:rsidP="007E1C0A">
            <w:pPr>
              <w:pStyle w:val="ListParagraph"/>
              <w:ind w:left="30" w:hanging="6"/>
              <w:jc w:val="right"/>
              <w:rPr>
                <w:rFonts w:ascii="Times New Roman" w:hAnsi="Times New Roman"/>
                <w:sz w:val="20"/>
                <w:szCs w:val="20"/>
              </w:rPr>
            </w:pPr>
            <w:r w:rsidRPr="006D7653">
              <w:rPr>
                <w:rFonts w:ascii="Times New Roman" w:hAnsi="Times New Roman"/>
                <w:sz w:val="20"/>
                <w:szCs w:val="20"/>
                <w:lang w:val="nn-NO"/>
              </w:rPr>
              <w:t xml:space="preserve">- no 15 līdz 22 </w:t>
            </w:r>
            <w:r w:rsidRPr="006D7653">
              <w:rPr>
                <w:rFonts w:ascii="Times New Roman" w:hAnsi="Times New Roman"/>
                <w:sz w:val="20"/>
                <w:szCs w:val="20"/>
              </w:rPr>
              <w:t xml:space="preserve">absolūtā </w:t>
            </w:r>
            <w:r w:rsidRPr="006D7653">
              <w:rPr>
                <w:rFonts w:ascii="Times New Roman" w:hAnsi="Times New Roman"/>
                <w:sz w:val="20"/>
                <w:szCs w:val="20"/>
                <w:lang w:val="nn-NO"/>
              </w:rPr>
              <w:t>spirta tilp.%</w:t>
            </w:r>
          </w:p>
        </w:tc>
        <w:tc>
          <w:tcPr>
            <w:tcW w:w="1166" w:type="dxa"/>
            <w:tcBorders>
              <w:top w:val="single" w:sz="4" w:space="0" w:color="808080" w:themeColor="background1" w:themeShade="80"/>
              <w:bottom w:val="single" w:sz="4" w:space="0" w:color="auto"/>
            </w:tcBorders>
            <w:shd w:val="clear" w:color="auto" w:fill="FFFFFF" w:themeFill="background1"/>
            <w:vAlign w:val="center"/>
          </w:tcPr>
          <w:p w14:paraId="42EB9974" w14:textId="77777777" w:rsidR="006D7653" w:rsidRPr="006D7653" w:rsidRDefault="006D7653" w:rsidP="007E1C0A">
            <w:pPr>
              <w:pStyle w:val="ListParagraph"/>
              <w:spacing w:before="0" w:after="0"/>
              <w:ind w:left="0" w:firstLine="0"/>
              <w:contextualSpacing w:val="0"/>
              <w:jc w:val="center"/>
              <w:rPr>
                <w:rFonts w:ascii="Times New Roman" w:hAnsi="Times New Roman"/>
                <w:bCs/>
                <w:sz w:val="20"/>
                <w:szCs w:val="20"/>
              </w:rPr>
            </w:pPr>
            <w:r w:rsidRPr="006D7653">
              <w:rPr>
                <w:rFonts w:ascii="Times New Roman" w:hAnsi="Times New Roman"/>
                <w:bCs/>
                <w:sz w:val="20"/>
                <w:szCs w:val="20"/>
              </w:rPr>
              <w:t>185</w:t>
            </w:r>
          </w:p>
        </w:tc>
        <w:tc>
          <w:tcPr>
            <w:tcW w:w="1221" w:type="dxa"/>
            <w:tcBorders>
              <w:top w:val="single" w:sz="4" w:space="0" w:color="808080" w:themeColor="background1" w:themeShade="80"/>
              <w:bottom w:val="single" w:sz="4" w:space="0" w:color="auto"/>
            </w:tcBorders>
            <w:vAlign w:val="center"/>
          </w:tcPr>
          <w:p w14:paraId="636ACAFC"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203</w:t>
            </w:r>
          </w:p>
        </w:tc>
        <w:tc>
          <w:tcPr>
            <w:tcW w:w="1231" w:type="dxa"/>
            <w:tcBorders>
              <w:top w:val="single" w:sz="4" w:space="0" w:color="808080" w:themeColor="background1" w:themeShade="80"/>
              <w:bottom w:val="single" w:sz="4" w:space="0" w:color="auto"/>
            </w:tcBorders>
            <w:vAlign w:val="center"/>
          </w:tcPr>
          <w:p w14:paraId="12FA0934"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222</w:t>
            </w:r>
          </w:p>
        </w:tc>
        <w:tc>
          <w:tcPr>
            <w:tcW w:w="1230" w:type="dxa"/>
            <w:tcBorders>
              <w:top w:val="single" w:sz="4" w:space="0" w:color="808080" w:themeColor="background1" w:themeShade="80"/>
              <w:bottom w:val="single" w:sz="4" w:space="0" w:color="auto"/>
            </w:tcBorders>
            <w:vAlign w:val="center"/>
          </w:tcPr>
          <w:p w14:paraId="1D3FD9B3"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244</w:t>
            </w:r>
          </w:p>
        </w:tc>
      </w:tr>
      <w:tr w:rsidR="006D7653" w:rsidRPr="006D7653" w14:paraId="78FAEB17" w14:textId="77777777" w:rsidTr="007E1C0A">
        <w:trPr>
          <w:trHeight w:val="230"/>
        </w:trPr>
        <w:tc>
          <w:tcPr>
            <w:tcW w:w="4219" w:type="dxa"/>
            <w:tcBorders>
              <w:top w:val="single" w:sz="4" w:space="0" w:color="808080" w:themeColor="background1" w:themeShade="80"/>
              <w:bottom w:val="single" w:sz="4" w:space="0" w:color="auto"/>
            </w:tcBorders>
          </w:tcPr>
          <w:p w14:paraId="573A9B18" w14:textId="77777777" w:rsidR="006D7653" w:rsidRPr="006D7653" w:rsidRDefault="006D7653" w:rsidP="007E1C0A">
            <w:pPr>
              <w:pStyle w:val="ListParagraph"/>
              <w:ind w:left="30" w:hanging="30"/>
              <w:rPr>
                <w:rFonts w:ascii="Times New Roman" w:hAnsi="Times New Roman"/>
                <w:sz w:val="20"/>
                <w:szCs w:val="20"/>
              </w:rPr>
            </w:pPr>
            <w:r w:rsidRPr="006D7653">
              <w:rPr>
                <w:rFonts w:ascii="Times New Roman" w:hAnsi="Times New Roman"/>
                <w:b/>
                <w:bCs/>
                <w:sz w:val="20"/>
                <w:szCs w:val="20"/>
              </w:rPr>
              <w:t>Pārējie alkoholiskie dzērieni</w:t>
            </w:r>
            <w:r w:rsidRPr="006D7653">
              <w:rPr>
                <w:rFonts w:ascii="Times New Roman" w:hAnsi="Times New Roman"/>
                <w:i/>
                <w:iCs/>
                <w:sz w:val="20"/>
                <w:szCs w:val="20"/>
              </w:rPr>
              <w:t xml:space="preserve">, euro par 100 litriem absolūtā spirta </w:t>
            </w:r>
          </w:p>
        </w:tc>
        <w:tc>
          <w:tcPr>
            <w:tcW w:w="1166" w:type="dxa"/>
            <w:tcBorders>
              <w:top w:val="single" w:sz="4" w:space="0" w:color="808080" w:themeColor="background1" w:themeShade="80"/>
              <w:bottom w:val="single" w:sz="4" w:space="0" w:color="auto"/>
            </w:tcBorders>
            <w:shd w:val="clear" w:color="auto" w:fill="FFFFFF" w:themeFill="background1"/>
            <w:vAlign w:val="center"/>
          </w:tcPr>
          <w:p w14:paraId="7E5CD8DB" w14:textId="77777777" w:rsidR="006D7653" w:rsidRPr="006D7653" w:rsidRDefault="006D7653" w:rsidP="007E1C0A">
            <w:pPr>
              <w:pStyle w:val="ListParagraph"/>
              <w:spacing w:before="0" w:after="0"/>
              <w:ind w:left="0" w:firstLine="0"/>
              <w:contextualSpacing w:val="0"/>
              <w:jc w:val="center"/>
              <w:rPr>
                <w:rFonts w:ascii="Times New Roman" w:hAnsi="Times New Roman"/>
                <w:bCs/>
                <w:sz w:val="20"/>
                <w:szCs w:val="20"/>
              </w:rPr>
            </w:pPr>
            <w:r w:rsidRPr="006D7653">
              <w:rPr>
                <w:rFonts w:ascii="Times New Roman" w:hAnsi="Times New Roman"/>
                <w:bCs/>
                <w:sz w:val="20"/>
                <w:szCs w:val="20"/>
              </w:rPr>
              <w:t>1 724</w:t>
            </w:r>
          </w:p>
        </w:tc>
        <w:tc>
          <w:tcPr>
            <w:tcW w:w="1221" w:type="dxa"/>
            <w:tcBorders>
              <w:top w:val="single" w:sz="4" w:space="0" w:color="808080" w:themeColor="background1" w:themeShade="80"/>
              <w:bottom w:val="single" w:sz="4" w:space="0" w:color="auto"/>
            </w:tcBorders>
            <w:vAlign w:val="center"/>
          </w:tcPr>
          <w:p w14:paraId="4AF85466"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1 810</w:t>
            </w:r>
          </w:p>
        </w:tc>
        <w:tc>
          <w:tcPr>
            <w:tcW w:w="1231" w:type="dxa"/>
            <w:tcBorders>
              <w:top w:val="single" w:sz="4" w:space="0" w:color="808080" w:themeColor="background1" w:themeShade="80"/>
              <w:bottom w:val="single" w:sz="4" w:space="0" w:color="auto"/>
            </w:tcBorders>
            <w:vAlign w:val="center"/>
          </w:tcPr>
          <w:p w14:paraId="33CABD39"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1 900</w:t>
            </w:r>
          </w:p>
        </w:tc>
        <w:tc>
          <w:tcPr>
            <w:tcW w:w="1230" w:type="dxa"/>
            <w:tcBorders>
              <w:top w:val="single" w:sz="4" w:space="0" w:color="808080" w:themeColor="background1" w:themeShade="80"/>
              <w:bottom w:val="single" w:sz="4" w:space="0" w:color="auto"/>
            </w:tcBorders>
            <w:vAlign w:val="center"/>
          </w:tcPr>
          <w:p w14:paraId="03CA0A54"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1 995</w:t>
            </w:r>
          </w:p>
        </w:tc>
      </w:tr>
    </w:tbl>
    <w:p w14:paraId="4D19C27F" w14:textId="77777777" w:rsidR="006D7653" w:rsidRPr="006D7653" w:rsidRDefault="006D7653" w:rsidP="006D7653">
      <w:pPr>
        <w:tabs>
          <w:tab w:val="left" w:pos="426"/>
        </w:tabs>
        <w:spacing w:after="120"/>
        <w:ind w:firstLine="0"/>
        <w:rPr>
          <w:rFonts w:cs="Times New Roman"/>
          <w:i/>
          <w:sz w:val="20"/>
          <w:szCs w:val="24"/>
        </w:rPr>
      </w:pPr>
      <w:bookmarkStart w:id="56" w:name="_Hlk141108564"/>
      <w:r w:rsidRPr="006D7653">
        <w:rPr>
          <w:rFonts w:cs="Times New Roman"/>
          <w:b/>
          <w:bCs/>
          <w:i/>
          <w:sz w:val="20"/>
          <w:szCs w:val="24"/>
        </w:rPr>
        <w:t>Avots</w:t>
      </w:r>
      <w:r w:rsidRPr="006D7653">
        <w:rPr>
          <w:rFonts w:cs="Times New Roman"/>
          <w:i/>
          <w:sz w:val="20"/>
          <w:szCs w:val="24"/>
        </w:rPr>
        <w:t>: FM informācija.</w:t>
      </w:r>
    </w:p>
    <w:p w14:paraId="158ACC62" w14:textId="41A584C6" w:rsidR="0072041A" w:rsidRPr="006D7653" w:rsidRDefault="006D7653" w:rsidP="0072041A">
      <w:r w:rsidRPr="006D7653">
        <w:t>Pasaules Veselības organizācijas uzstādījums ir, ka AN likmes alkoholiskajiem dzērieniem ir jāpalielina vienlaikus ar iedzīvotāju atalgojuma pieaugumu un labklājības pieaugumu, lai neveicinātu alkohola pieejamību.</w:t>
      </w:r>
    </w:p>
    <w:p w14:paraId="7E3E44DE" w14:textId="53FC05E5" w:rsidR="006D7653" w:rsidRPr="006D7653" w:rsidRDefault="009E3CC5" w:rsidP="006D7653">
      <w:pPr>
        <w:spacing w:after="120"/>
        <w:ind w:firstLine="709"/>
        <w:jc w:val="center"/>
        <w:rPr>
          <w:rFonts w:cs="Times New Roman"/>
          <w:sz w:val="22"/>
          <w:szCs w:val="24"/>
        </w:rPr>
      </w:pPr>
      <w:r>
        <w:rPr>
          <w:rFonts w:cs="Times New Roman"/>
          <w:sz w:val="22"/>
          <w:szCs w:val="24"/>
        </w:rPr>
        <w:t>8</w:t>
      </w:r>
      <w:r w:rsidR="006D7653" w:rsidRPr="006D7653">
        <w:rPr>
          <w:rFonts w:cs="Times New Roman"/>
          <w:sz w:val="22"/>
          <w:szCs w:val="24"/>
        </w:rPr>
        <w:t>. tab</w:t>
      </w:r>
      <w:r w:rsidR="006D7653" w:rsidRPr="006D7653">
        <w:rPr>
          <w:rFonts w:cs="Times New Roman"/>
          <w:bCs/>
          <w:sz w:val="22"/>
          <w:szCs w:val="24"/>
        </w:rPr>
        <w:t>.</w:t>
      </w:r>
      <w:r w:rsidR="006D7653" w:rsidRPr="006D7653">
        <w:rPr>
          <w:rFonts w:cs="Times New Roman"/>
          <w:b/>
          <w:sz w:val="22"/>
          <w:szCs w:val="24"/>
        </w:rPr>
        <w:t xml:space="preserve"> Priekšlikumu indikatīva fiskālā ietekme</w:t>
      </w:r>
      <w:r w:rsidR="006D7653" w:rsidRPr="006D7653">
        <w:rPr>
          <w:rFonts w:cs="Times New Roman"/>
          <w:bCs/>
          <w:sz w:val="22"/>
          <w:szCs w:val="24"/>
        </w:rPr>
        <w:t xml:space="preserve">, </w:t>
      </w:r>
      <w:r w:rsidR="006D7653" w:rsidRPr="006D7653">
        <w:rPr>
          <w:rFonts w:cs="Times New Roman"/>
          <w:bCs/>
          <w:i/>
          <w:iCs/>
          <w:sz w:val="22"/>
          <w:szCs w:val="24"/>
        </w:rPr>
        <w:t>milj. euro</w:t>
      </w:r>
    </w:p>
    <w:tbl>
      <w:tblPr>
        <w:tblStyle w:val="TableGrid"/>
        <w:tblW w:w="9067" w:type="dxa"/>
        <w:tblInd w:w="5" w:type="dxa"/>
        <w:tblLook w:val="04A0" w:firstRow="1" w:lastRow="0" w:firstColumn="1" w:lastColumn="0" w:noHBand="0" w:noVBand="1"/>
      </w:tblPr>
      <w:tblGrid>
        <w:gridCol w:w="4390"/>
        <w:gridCol w:w="1559"/>
        <w:gridCol w:w="1559"/>
        <w:gridCol w:w="1559"/>
      </w:tblGrid>
      <w:tr w:rsidR="006D7653" w:rsidRPr="006D7653" w14:paraId="6AA238D7" w14:textId="77777777" w:rsidTr="007E1C0A">
        <w:tc>
          <w:tcPr>
            <w:tcW w:w="4390" w:type="dxa"/>
            <w:tcBorders>
              <w:top w:val="nil"/>
              <w:left w:val="nil"/>
              <w:bottom w:val="single" w:sz="12" w:space="0" w:color="auto"/>
              <w:right w:val="nil"/>
            </w:tcBorders>
          </w:tcPr>
          <w:p w14:paraId="35E4E692"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p>
        </w:tc>
        <w:tc>
          <w:tcPr>
            <w:tcW w:w="1559" w:type="dxa"/>
            <w:tcBorders>
              <w:top w:val="nil"/>
              <w:left w:val="nil"/>
              <w:bottom w:val="single" w:sz="12" w:space="0" w:color="auto"/>
              <w:right w:val="nil"/>
            </w:tcBorders>
            <w:vAlign w:val="bottom"/>
          </w:tcPr>
          <w:p w14:paraId="296E3480"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2024</w:t>
            </w:r>
            <w:r w:rsidRPr="006D7653">
              <w:rPr>
                <w:rFonts w:ascii="Times New Roman" w:hAnsi="Times New Roman"/>
                <w:b/>
                <w:bCs/>
                <w:sz w:val="20"/>
                <w:szCs w:val="20"/>
                <w:vertAlign w:val="superscript"/>
              </w:rPr>
              <w:t>*</w:t>
            </w:r>
          </w:p>
        </w:tc>
        <w:tc>
          <w:tcPr>
            <w:tcW w:w="1559" w:type="dxa"/>
            <w:tcBorders>
              <w:top w:val="nil"/>
              <w:left w:val="nil"/>
              <w:bottom w:val="single" w:sz="12" w:space="0" w:color="auto"/>
              <w:right w:val="nil"/>
            </w:tcBorders>
            <w:vAlign w:val="bottom"/>
          </w:tcPr>
          <w:p w14:paraId="03E0D497"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2025</w:t>
            </w:r>
          </w:p>
        </w:tc>
        <w:tc>
          <w:tcPr>
            <w:tcW w:w="1559" w:type="dxa"/>
            <w:tcBorders>
              <w:top w:val="nil"/>
              <w:left w:val="nil"/>
              <w:bottom w:val="single" w:sz="12" w:space="0" w:color="auto"/>
              <w:right w:val="nil"/>
            </w:tcBorders>
            <w:vAlign w:val="bottom"/>
          </w:tcPr>
          <w:p w14:paraId="63486046"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2026</w:t>
            </w:r>
          </w:p>
        </w:tc>
      </w:tr>
      <w:tr w:rsidR="006D7653" w:rsidRPr="006D7653" w14:paraId="18F8FC93" w14:textId="77777777" w:rsidTr="007E1C0A">
        <w:tc>
          <w:tcPr>
            <w:tcW w:w="4390" w:type="dxa"/>
          </w:tcPr>
          <w:p w14:paraId="6C6B8105" w14:textId="77777777" w:rsidR="006D7653" w:rsidRPr="006D7653" w:rsidRDefault="006D7653" w:rsidP="007E1C0A">
            <w:pPr>
              <w:pStyle w:val="ListParagraph"/>
              <w:spacing w:before="0" w:after="0"/>
              <w:ind w:left="0" w:firstLine="0"/>
              <w:contextualSpacing w:val="0"/>
              <w:rPr>
                <w:rFonts w:ascii="Times New Roman" w:hAnsi="Times New Roman"/>
                <w:sz w:val="20"/>
                <w:szCs w:val="20"/>
              </w:rPr>
            </w:pPr>
            <w:r w:rsidRPr="006D7653">
              <w:rPr>
                <w:rFonts w:ascii="Times New Roman" w:hAnsi="Times New Roman"/>
                <w:sz w:val="20"/>
                <w:szCs w:val="20"/>
              </w:rPr>
              <w:t>AN ieņēmumi</w:t>
            </w:r>
          </w:p>
        </w:tc>
        <w:tc>
          <w:tcPr>
            <w:tcW w:w="1559" w:type="dxa"/>
            <w:vAlign w:val="center"/>
          </w:tcPr>
          <w:p w14:paraId="734192C0" w14:textId="77777777" w:rsidR="006D7653" w:rsidRPr="006D7653" w:rsidRDefault="006D7653" w:rsidP="007E1C0A">
            <w:pPr>
              <w:pStyle w:val="ListParagraph"/>
              <w:spacing w:before="0" w:after="0"/>
              <w:ind w:left="0" w:firstLine="0"/>
              <w:contextualSpacing w:val="0"/>
              <w:jc w:val="center"/>
              <w:rPr>
                <w:rFonts w:ascii="Times New Roman" w:hAnsi="Times New Roman"/>
                <w:sz w:val="20"/>
                <w:szCs w:val="20"/>
              </w:rPr>
            </w:pPr>
            <w:r w:rsidRPr="006D7653">
              <w:rPr>
                <w:rFonts w:ascii="Times New Roman" w:hAnsi="Times New Roman"/>
                <w:sz w:val="20"/>
                <w:szCs w:val="20"/>
              </w:rPr>
              <w:t>+11,5</w:t>
            </w:r>
          </w:p>
        </w:tc>
        <w:tc>
          <w:tcPr>
            <w:tcW w:w="1559" w:type="dxa"/>
            <w:vAlign w:val="center"/>
          </w:tcPr>
          <w:p w14:paraId="35A7CC5B" w14:textId="77777777" w:rsidR="006D7653" w:rsidRPr="006D7653" w:rsidRDefault="006D7653" w:rsidP="007E1C0A">
            <w:pPr>
              <w:pStyle w:val="ListParagraph"/>
              <w:spacing w:before="0" w:after="0"/>
              <w:ind w:left="0" w:firstLine="0"/>
              <w:contextualSpacing w:val="0"/>
              <w:jc w:val="center"/>
              <w:rPr>
                <w:rFonts w:ascii="Times New Roman" w:hAnsi="Times New Roman"/>
                <w:sz w:val="20"/>
                <w:szCs w:val="20"/>
              </w:rPr>
            </w:pPr>
            <w:r w:rsidRPr="006D7653">
              <w:rPr>
                <w:rFonts w:ascii="Times New Roman" w:hAnsi="Times New Roman"/>
                <w:sz w:val="20"/>
                <w:szCs w:val="20"/>
              </w:rPr>
              <w:t>+28,7</w:t>
            </w:r>
          </w:p>
        </w:tc>
        <w:tc>
          <w:tcPr>
            <w:tcW w:w="1559" w:type="dxa"/>
            <w:vAlign w:val="center"/>
          </w:tcPr>
          <w:p w14:paraId="01579B99" w14:textId="77777777" w:rsidR="006D7653" w:rsidRPr="006D7653" w:rsidRDefault="006D7653" w:rsidP="007E1C0A">
            <w:pPr>
              <w:pStyle w:val="ListParagraph"/>
              <w:spacing w:before="0" w:after="0"/>
              <w:ind w:left="0" w:firstLine="0"/>
              <w:contextualSpacing w:val="0"/>
              <w:jc w:val="center"/>
              <w:rPr>
                <w:rFonts w:ascii="Times New Roman" w:hAnsi="Times New Roman"/>
                <w:sz w:val="20"/>
                <w:szCs w:val="20"/>
              </w:rPr>
            </w:pPr>
            <w:r w:rsidRPr="006D7653">
              <w:rPr>
                <w:rFonts w:ascii="Times New Roman" w:hAnsi="Times New Roman"/>
                <w:sz w:val="20"/>
                <w:szCs w:val="20"/>
              </w:rPr>
              <w:t>+48,7</w:t>
            </w:r>
          </w:p>
        </w:tc>
      </w:tr>
      <w:tr w:rsidR="006D7653" w:rsidRPr="006D7653" w14:paraId="3A46F364" w14:textId="77777777" w:rsidTr="007E1C0A">
        <w:tc>
          <w:tcPr>
            <w:tcW w:w="4390" w:type="dxa"/>
          </w:tcPr>
          <w:p w14:paraId="22FE4B87" w14:textId="77777777" w:rsidR="006D7653" w:rsidRPr="006D7653" w:rsidRDefault="006D7653" w:rsidP="007E1C0A">
            <w:pPr>
              <w:pStyle w:val="ListParagraph"/>
              <w:spacing w:before="0" w:after="0"/>
              <w:ind w:left="0" w:firstLine="0"/>
              <w:contextualSpacing w:val="0"/>
              <w:rPr>
                <w:rFonts w:ascii="Times New Roman" w:hAnsi="Times New Roman"/>
                <w:sz w:val="20"/>
                <w:szCs w:val="20"/>
              </w:rPr>
            </w:pPr>
            <w:r w:rsidRPr="006D7653">
              <w:rPr>
                <w:rFonts w:ascii="Times New Roman" w:hAnsi="Times New Roman"/>
                <w:sz w:val="20"/>
                <w:szCs w:val="20"/>
              </w:rPr>
              <w:t>PVN ieņēmumi</w:t>
            </w:r>
          </w:p>
        </w:tc>
        <w:tc>
          <w:tcPr>
            <w:tcW w:w="1559" w:type="dxa"/>
            <w:vAlign w:val="center"/>
          </w:tcPr>
          <w:p w14:paraId="10A43AE6" w14:textId="77777777" w:rsidR="006D7653" w:rsidRPr="006D7653" w:rsidRDefault="006D7653" w:rsidP="007E1C0A">
            <w:pPr>
              <w:pStyle w:val="ListParagraph"/>
              <w:spacing w:before="0" w:after="0"/>
              <w:ind w:left="0" w:firstLine="0"/>
              <w:contextualSpacing w:val="0"/>
              <w:jc w:val="center"/>
              <w:rPr>
                <w:rFonts w:ascii="Times New Roman" w:hAnsi="Times New Roman"/>
                <w:sz w:val="20"/>
                <w:szCs w:val="20"/>
              </w:rPr>
            </w:pPr>
            <w:r w:rsidRPr="006D7653">
              <w:rPr>
                <w:rFonts w:ascii="Times New Roman" w:hAnsi="Times New Roman"/>
                <w:sz w:val="20"/>
                <w:szCs w:val="20"/>
              </w:rPr>
              <w:t>+2,4</w:t>
            </w:r>
          </w:p>
        </w:tc>
        <w:tc>
          <w:tcPr>
            <w:tcW w:w="1559" w:type="dxa"/>
            <w:vAlign w:val="center"/>
          </w:tcPr>
          <w:p w14:paraId="077431E8" w14:textId="77777777" w:rsidR="006D7653" w:rsidRPr="006D7653" w:rsidRDefault="006D7653" w:rsidP="007E1C0A">
            <w:pPr>
              <w:pStyle w:val="ListParagraph"/>
              <w:spacing w:before="0" w:after="0"/>
              <w:ind w:left="0" w:firstLine="0"/>
              <w:contextualSpacing w:val="0"/>
              <w:jc w:val="center"/>
              <w:rPr>
                <w:rFonts w:ascii="Times New Roman" w:hAnsi="Times New Roman"/>
                <w:sz w:val="20"/>
                <w:szCs w:val="20"/>
              </w:rPr>
            </w:pPr>
            <w:r w:rsidRPr="006D7653">
              <w:rPr>
                <w:rFonts w:ascii="Times New Roman" w:hAnsi="Times New Roman"/>
                <w:sz w:val="20"/>
                <w:szCs w:val="20"/>
              </w:rPr>
              <w:t>+6,0</w:t>
            </w:r>
          </w:p>
        </w:tc>
        <w:tc>
          <w:tcPr>
            <w:tcW w:w="1559" w:type="dxa"/>
            <w:vAlign w:val="center"/>
          </w:tcPr>
          <w:p w14:paraId="0FAB50C9" w14:textId="77777777" w:rsidR="006D7653" w:rsidRPr="006D7653" w:rsidRDefault="006D7653" w:rsidP="007E1C0A">
            <w:pPr>
              <w:pStyle w:val="ListParagraph"/>
              <w:spacing w:before="0" w:after="0"/>
              <w:ind w:left="0" w:firstLine="0"/>
              <w:contextualSpacing w:val="0"/>
              <w:jc w:val="center"/>
              <w:rPr>
                <w:rFonts w:ascii="Times New Roman" w:hAnsi="Times New Roman"/>
                <w:sz w:val="20"/>
                <w:szCs w:val="20"/>
              </w:rPr>
            </w:pPr>
            <w:r w:rsidRPr="006D7653">
              <w:rPr>
                <w:rFonts w:ascii="Times New Roman" w:hAnsi="Times New Roman"/>
                <w:sz w:val="20"/>
                <w:szCs w:val="20"/>
              </w:rPr>
              <w:t>+10,2</w:t>
            </w:r>
          </w:p>
        </w:tc>
      </w:tr>
      <w:tr w:rsidR="006D7653" w:rsidRPr="006D7653" w14:paraId="1510AFE2" w14:textId="77777777" w:rsidTr="007E1C0A">
        <w:tc>
          <w:tcPr>
            <w:tcW w:w="4390" w:type="dxa"/>
            <w:shd w:val="clear" w:color="auto" w:fill="F2F2F2" w:themeFill="background1" w:themeFillShade="F2"/>
          </w:tcPr>
          <w:p w14:paraId="4EF426A5" w14:textId="77777777" w:rsidR="006D7653" w:rsidRPr="006D7653" w:rsidRDefault="006D7653" w:rsidP="007E1C0A">
            <w:pPr>
              <w:pStyle w:val="ListParagraph"/>
              <w:spacing w:before="0" w:after="0"/>
              <w:ind w:left="0" w:firstLine="0"/>
              <w:contextualSpacing w:val="0"/>
              <w:jc w:val="right"/>
              <w:rPr>
                <w:rFonts w:ascii="Times New Roman" w:hAnsi="Times New Roman"/>
                <w:b/>
                <w:bCs/>
                <w:sz w:val="20"/>
                <w:szCs w:val="20"/>
              </w:rPr>
            </w:pPr>
            <w:r w:rsidRPr="006D7653">
              <w:rPr>
                <w:rFonts w:ascii="Times New Roman" w:hAnsi="Times New Roman"/>
                <w:b/>
                <w:bCs/>
                <w:sz w:val="20"/>
                <w:szCs w:val="20"/>
              </w:rPr>
              <w:t>Kopā:</w:t>
            </w:r>
          </w:p>
        </w:tc>
        <w:tc>
          <w:tcPr>
            <w:tcW w:w="1559" w:type="dxa"/>
            <w:shd w:val="clear" w:color="auto" w:fill="F2F2F2" w:themeFill="background1" w:themeFillShade="F2"/>
            <w:vAlign w:val="center"/>
          </w:tcPr>
          <w:p w14:paraId="077B6BE6"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+13,9</w:t>
            </w:r>
          </w:p>
        </w:tc>
        <w:tc>
          <w:tcPr>
            <w:tcW w:w="1559" w:type="dxa"/>
            <w:shd w:val="clear" w:color="auto" w:fill="F2F2F2" w:themeFill="background1" w:themeFillShade="F2"/>
            <w:vAlign w:val="center"/>
          </w:tcPr>
          <w:p w14:paraId="24E715DF"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+34,8</w:t>
            </w:r>
          </w:p>
        </w:tc>
        <w:tc>
          <w:tcPr>
            <w:tcW w:w="1559" w:type="dxa"/>
            <w:shd w:val="clear" w:color="auto" w:fill="F2F2F2" w:themeFill="background1" w:themeFillShade="F2"/>
            <w:vAlign w:val="center"/>
          </w:tcPr>
          <w:p w14:paraId="503ED225"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+59,0</w:t>
            </w:r>
          </w:p>
        </w:tc>
      </w:tr>
    </w:tbl>
    <w:p w14:paraId="3C382DCB" w14:textId="77777777" w:rsidR="006D7653" w:rsidRPr="006D7653" w:rsidRDefault="006D7653" w:rsidP="006D7653">
      <w:pPr>
        <w:ind w:firstLine="0"/>
        <w:rPr>
          <w:rFonts w:cs="Times New Roman"/>
          <w:i/>
          <w:sz w:val="18"/>
          <w:szCs w:val="18"/>
        </w:rPr>
      </w:pPr>
      <w:r w:rsidRPr="006D7653">
        <w:rPr>
          <w:rFonts w:cs="Times New Roman"/>
          <w:b/>
          <w:bCs/>
          <w:sz w:val="20"/>
          <w:szCs w:val="20"/>
          <w:vertAlign w:val="superscript"/>
        </w:rPr>
        <w:t>*</w:t>
      </w:r>
      <w:r w:rsidRPr="006D7653">
        <w:rPr>
          <w:rFonts w:cs="Times New Roman"/>
          <w:i/>
          <w:sz w:val="18"/>
          <w:szCs w:val="18"/>
        </w:rPr>
        <w:t>2024. gadā norādīta 9 mēnešu ietekme.</w:t>
      </w:r>
    </w:p>
    <w:p w14:paraId="5241A388" w14:textId="77777777" w:rsidR="006D7653" w:rsidRPr="006D7653" w:rsidRDefault="006D7653" w:rsidP="006D7653">
      <w:pPr>
        <w:tabs>
          <w:tab w:val="left" w:pos="426"/>
        </w:tabs>
        <w:spacing w:after="120"/>
        <w:ind w:firstLine="0"/>
        <w:rPr>
          <w:rFonts w:cs="Times New Roman"/>
          <w:i/>
          <w:sz w:val="20"/>
          <w:szCs w:val="24"/>
        </w:rPr>
      </w:pPr>
      <w:r w:rsidRPr="006D7653">
        <w:rPr>
          <w:rFonts w:cs="Times New Roman"/>
          <w:b/>
          <w:bCs/>
          <w:i/>
          <w:sz w:val="20"/>
          <w:szCs w:val="24"/>
        </w:rPr>
        <w:t>Avots</w:t>
      </w:r>
      <w:r w:rsidRPr="006D7653">
        <w:rPr>
          <w:rFonts w:cs="Times New Roman"/>
          <w:i/>
          <w:sz w:val="20"/>
          <w:szCs w:val="24"/>
        </w:rPr>
        <w:t>: FM aprēķini.</w:t>
      </w:r>
    </w:p>
    <w:p w14:paraId="3B2B69A1" w14:textId="77777777" w:rsidR="006D7653" w:rsidRPr="006D7653" w:rsidRDefault="006D7653" w:rsidP="006D7653">
      <w:pPr>
        <w:tabs>
          <w:tab w:val="left" w:pos="426"/>
        </w:tabs>
        <w:spacing w:after="120"/>
        <w:ind w:firstLine="0"/>
        <w:rPr>
          <w:rFonts w:cs="Times New Roman"/>
          <w:i/>
          <w:sz w:val="20"/>
          <w:szCs w:val="24"/>
        </w:rPr>
      </w:pPr>
    </w:p>
    <w:p w14:paraId="0B801B6F" w14:textId="77777777" w:rsidR="006D7653" w:rsidRPr="006D7653" w:rsidRDefault="006D7653" w:rsidP="006D7653">
      <w:pPr>
        <w:ind w:firstLine="0"/>
        <w:rPr>
          <w:rFonts w:cs="Times New Roman"/>
          <w:b/>
          <w:bCs/>
          <w:i/>
          <w:iCs/>
          <w:u w:val="single"/>
        </w:rPr>
      </w:pPr>
      <w:r w:rsidRPr="006D7653">
        <w:rPr>
          <w:rFonts w:cs="Times New Roman"/>
          <w:b/>
          <w:bCs/>
          <w:i/>
          <w:iCs/>
          <w:u w:val="single"/>
        </w:rPr>
        <w:t>AN likmju pārskatīšana tabakas izstrādājumiem un pēc izmantošanas mērķa līdzīgiem produktiem</w:t>
      </w:r>
    </w:p>
    <w:bookmarkEnd w:id="56"/>
    <w:p w14:paraId="4CA931E9" w14:textId="77777777" w:rsidR="006D7653" w:rsidRPr="006D7653" w:rsidRDefault="006D7653" w:rsidP="006D7653">
      <w:r w:rsidRPr="006D7653">
        <w:t xml:space="preserve">AN tabakas izstrādājumiem un pēc izmantošanas līdzīgiem produktiem (e-šķidrumiem, nikotīnu saturošiem spilventiņiem) primārais mērķis ir mazināt to negatīvo ietekmi uz iedzīvotāju veselību. </w:t>
      </w:r>
      <w:r w:rsidRPr="006D7653">
        <w:rPr>
          <w:i/>
          <w:iCs/>
        </w:rPr>
        <w:t>Valsts nodokļu politikas pamatnostādņu 2024. - 2027. gadam</w:t>
      </w:r>
      <w:r w:rsidRPr="006D7653">
        <w:t xml:space="preserve"> ietvaros tika vērtētas AN palielināšanas iespējas visiem tabakas izstrādājumu veidiem, kā arī e-šķidrumiem un nikotīna spilventiņiem. </w:t>
      </w:r>
    </w:p>
    <w:p w14:paraId="11ECA784" w14:textId="77777777" w:rsidR="006D7653" w:rsidRPr="006D7653" w:rsidRDefault="006D7653" w:rsidP="006D7653">
      <w:pPr>
        <w:rPr>
          <w:szCs w:val="24"/>
        </w:rPr>
      </w:pPr>
      <w:r w:rsidRPr="006D7653">
        <w:rPr>
          <w:szCs w:val="24"/>
        </w:rPr>
        <w:lastRenderedPageBreak/>
        <w:t>Lai padarītu tabakas izstrādājumus mazāk pieejamus sabiedrībai, jo īpaši jauniešiem, nepieciešams celt AN visiem tabakas izstrādājumiem, kas savukārt mazinās cenu atšķirības starp cigaretēm un citiem tabakas izstrādājumiem, piemēram, karsējamo tabaku. Vienlaikus nepieciešams celt AN arī citiem nikotīna saturošiem un nesaturošiem produktiem (e-šķidrumiem un tabakas aizstājējproduktiem), ņemot vērā, ka tie ir īpaši populāri tieši jauniešu vidū.</w:t>
      </w:r>
    </w:p>
    <w:p w14:paraId="2C5CEF17" w14:textId="5C76B170" w:rsidR="006D7653" w:rsidRPr="006D7653" w:rsidRDefault="009E3CC5" w:rsidP="006D7653">
      <w:pPr>
        <w:spacing w:after="120"/>
        <w:ind w:firstLine="709"/>
        <w:jc w:val="center"/>
        <w:rPr>
          <w:rFonts w:cs="Times New Roman"/>
          <w:sz w:val="22"/>
          <w:szCs w:val="24"/>
        </w:rPr>
      </w:pPr>
      <w:r>
        <w:rPr>
          <w:rFonts w:cs="Times New Roman"/>
          <w:sz w:val="22"/>
          <w:szCs w:val="24"/>
        </w:rPr>
        <w:t>9</w:t>
      </w:r>
      <w:r w:rsidR="006D7653" w:rsidRPr="006D7653">
        <w:rPr>
          <w:rFonts w:cs="Times New Roman"/>
          <w:sz w:val="22"/>
          <w:szCs w:val="24"/>
        </w:rPr>
        <w:t>. tab</w:t>
      </w:r>
      <w:r w:rsidR="006D7653" w:rsidRPr="006D7653">
        <w:rPr>
          <w:rFonts w:cs="Times New Roman"/>
          <w:bCs/>
          <w:sz w:val="22"/>
          <w:szCs w:val="24"/>
        </w:rPr>
        <w:t>.</w:t>
      </w:r>
      <w:r w:rsidR="006D7653" w:rsidRPr="006D7653">
        <w:rPr>
          <w:rFonts w:cs="Times New Roman"/>
          <w:b/>
          <w:sz w:val="22"/>
          <w:szCs w:val="24"/>
        </w:rPr>
        <w:t xml:space="preserve"> AN likmju pārskatīšana tabakas izstrādājumiem un  pēc izmantošanas līdzīgiem produktiem</w:t>
      </w:r>
    </w:p>
    <w:tbl>
      <w:tblPr>
        <w:tblStyle w:val="TableGrid"/>
        <w:tblW w:w="9067" w:type="dxa"/>
        <w:tblLook w:val="04A0" w:firstRow="1" w:lastRow="0" w:firstColumn="1" w:lastColumn="0" w:noHBand="0" w:noVBand="1"/>
      </w:tblPr>
      <w:tblGrid>
        <w:gridCol w:w="4390"/>
        <w:gridCol w:w="1275"/>
        <w:gridCol w:w="1276"/>
        <w:gridCol w:w="1134"/>
        <w:gridCol w:w="992"/>
      </w:tblGrid>
      <w:tr w:rsidR="006D7653" w:rsidRPr="006D7653" w14:paraId="6162AAC3" w14:textId="77777777" w:rsidTr="007E1C0A">
        <w:trPr>
          <w:trHeight w:val="244"/>
        </w:trPr>
        <w:tc>
          <w:tcPr>
            <w:tcW w:w="4390" w:type="dxa"/>
            <w:vMerge w:val="restart"/>
            <w:tcBorders>
              <w:bottom w:val="single" w:sz="4" w:space="0" w:color="auto"/>
              <w:right w:val="single" w:sz="4" w:space="0" w:color="auto"/>
            </w:tcBorders>
            <w:shd w:val="clear" w:color="auto" w:fill="F2F2F2" w:themeFill="background1" w:themeFillShade="F2"/>
            <w:vAlign w:val="center"/>
          </w:tcPr>
          <w:p w14:paraId="044D0EA4"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Tabakas izstrādājuma veids</w:t>
            </w:r>
          </w:p>
        </w:tc>
        <w:tc>
          <w:tcPr>
            <w:tcW w:w="1275" w:type="dxa"/>
            <w:tcBorders>
              <w:left w:val="single" w:sz="4" w:space="0" w:color="auto"/>
              <w:bottom w:val="single" w:sz="4" w:space="0" w:color="auto"/>
              <w:right w:val="single" w:sz="4" w:space="0" w:color="auto"/>
            </w:tcBorders>
            <w:shd w:val="clear" w:color="auto" w:fill="F2F2F2" w:themeFill="background1" w:themeFillShade="F2"/>
          </w:tcPr>
          <w:p w14:paraId="1B374F6B"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Šobrīd</w:t>
            </w:r>
          </w:p>
        </w:tc>
        <w:tc>
          <w:tcPr>
            <w:tcW w:w="3402" w:type="dxa"/>
            <w:gridSpan w:val="3"/>
            <w:tcBorders>
              <w:left w:val="single" w:sz="4" w:space="0" w:color="auto"/>
              <w:bottom w:val="single" w:sz="4" w:space="0" w:color="auto"/>
            </w:tcBorders>
            <w:shd w:val="clear" w:color="auto" w:fill="F2F2F2" w:themeFill="background1" w:themeFillShade="F2"/>
          </w:tcPr>
          <w:p w14:paraId="33EE8B4C"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Priekšlikums</w:t>
            </w:r>
          </w:p>
        </w:tc>
      </w:tr>
      <w:tr w:rsidR="006D7653" w:rsidRPr="006D7653" w14:paraId="7C32BB05" w14:textId="77777777" w:rsidTr="007E1C0A">
        <w:trPr>
          <w:trHeight w:val="244"/>
        </w:trPr>
        <w:tc>
          <w:tcPr>
            <w:tcW w:w="4390" w:type="dxa"/>
            <w:vMerge/>
            <w:tcBorders>
              <w:top w:val="single" w:sz="4" w:space="0" w:color="auto"/>
              <w:bottom w:val="single" w:sz="4" w:space="0" w:color="auto"/>
              <w:right w:val="single" w:sz="4" w:space="0" w:color="auto"/>
            </w:tcBorders>
            <w:shd w:val="clear" w:color="auto" w:fill="F2F2F2" w:themeFill="background1" w:themeFillShade="F2"/>
          </w:tcPr>
          <w:p w14:paraId="213DF7F9" w14:textId="77777777" w:rsidR="006D7653" w:rsidRPr="006D7653" w:rsidRDefault="006D7653" w:rsidP="007E1C0A">
            <w:pPr>
              <w:pStyle w:val="ListParagraph"/>
              <w:spacing w:before="0" w:after="0"/>
              <w:ind w:left="0" w:firstLine="0"/>
              <w:contextualSpacing w:val="0"/>
              <w:rPr>
                <w:rFonts w:ascii="Times New Roman" w:hAnsi="Times New Roman"/>
                <w:b/>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5ECBF8"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01.08.2023.</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C3D1FF"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2024</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5BE280"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2025</w:t>
            </w:r>
          </w:p>
        </w:tc>
        <w:tc>
          <w:tcPr>
            <w:tcW w:w="992" w:type="dxa"/>
            <w:tcBorders>
              <w:top w:val="single" w:sz="4" w:space="0" w:color="auto"/>
              <w:left w:val="single" w:sz="4" w:space="0" w:color="auto"/>
              <w:bottom w:val="single" w:sz="4" w:space="0" w:color="auto"/>
            </w:tcBorders>
            <w:shd w:val="clear" w:color="auto" w:fill="F2F2F2" w:themeFill="background1" w:themeFillShade="F2"/>
          </w:tcPr>
          <w:p w14:paraId="130D318D"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2026</w:t>
            </w:r>
          </w:p>
        </w:tc>
      </w:tr>
      <w:tr w:rsidR="006D7653" w:rsidRPr="006D7653" w14:paraId="777B7875" w14:textId="77777777" w:rsidTr="007E1C0A">
        <w:trPr>
          <w:trHeight w:val="202"/>
        </w:trPr>
        <w:tc>
          <w:tcPr>
            <w:tcW w:w="9067" w:type="dxa"/>
            <w:gridSpan w:val="5"/>
            <w:tcBorders>
              <w:bottom w:val="single" w:sz="4" w:space="0" w:color="808080" w:themeColor="background1" w:themeShade="80"/>
            </w:tcBorders>
            <w:vAlign w:val="center"/>
          </w:tcPr>
          <w:p w14:paraId="413DB5FD" w14:textId="77777777" w:rsidR="006D7653" w:rsidRPr="006D7653" w:rsidRDefault="006D7653" w:rsidP="007E1C0A">
            <w:pPr>
              <w:pStyle w:val="ListParagraph"/>
              <w:spacing w:before="0" w:after="0"/>
              <w:ind w:left="0" w:firstLine="0"/>
              <w:contextualSpacing w:val="0"/>
              <w:jc w:val="left"/>
              <w:rPr>
                <w:rFonts w:ascii="Times New Roman" w:hAnsi="Times New Roman"/>
                <w:b/>
                <w:sz w:val="20"/>
                <w:szCs w:val="20"/>
              </w:rPr>
            </w:pPr>
            <w:r w:rsidRPr="006D7653">
              <w:rPr>
                <w:rFonts w:ascii="Times New Roman" w:hAnsi="Times New Roman"/>
                <w:b/>
                <w:bCs/>
                <w:sz w:val="20"/>
                <w:szCs w:val="20"/>
              </w:rPr>
              <w:t>Cigaretes</w:t>
            </w:r>
          </w:p>
        </w:tc>
      </w:tr>
      <w:tr w:rsidR="006D7653" w:rsidRPr="006D7653" w14:paraId="3B054821" w14:textId="77777777" w:rsidTr="007E1C0A">
        <w:trPr>
          <w:trHeight w:val="244"/>
        </w:trPr>
        <w:tc>
          <w:tcPr>
            <w:tcW w:w="4390" w:type="dxa"/>
            <w:tcBorders>
              <w:top w:val="single" w:sz="4" w:space="0" w:color="808080" w:themeColor="background1" w:themeShade="80"/>
              <w:bottom w:val="single" w:sz="4" w:space="0" w:color="808080" w:themeColor="background1" w:themeShade="80"/>
            </w:tcBorders>
          </w:tcPr>
          <w:p w14:paraId="56C920A1" w14:textId="77777777" w:rsidR="006D7653" w:rsidRPr="006D7653" w:rsidRDefault="006D7653" w:rsidP="007E1C0A">
            <w:pPr>
              <w:pStyle w:val="ListParagraph"/>
              <w:ind w:left="30" w:hanging="6"/>
              <w:rPr>
                <w:rFonts w:ascii="Times New Roman" w:hAnsi="Times New Roman"/>
                <w:bCs/>
                <w:sz w:val="20"/>
                <w:szCs w:val="20"/>
              </w:rPr>
            </w:pPr>
            <w:r w:rsidRPr="006D7653">
              <w:rPr>
                <w:rFonts w:ascii="Times New Roman" w:hAnsi="Times New Roman"/>
                <w:bCs/>
                <w:sz w:val="20"/>
                <w:szCs w:val="20"/>
                <w:lang w:val="sv-SE"/>
              </w:rPr>
              <w:t xml:space="preserve">- specifiskā likme, </w:t>
            </w:r>
            <w:r w:rsidRPr="006D7653">
              <w:rPr>
                <w:rFonts w:ascii="Times New Roman" w:hAnsi="Times New Roman"/>
                <w:bCs/>
                <w:i/>
                <w:iCs/>
                <w:sz w:val="20"/>
                <w:szCs w:val="20"/>
                <w:lang w:val="sv-SE"/>
              </w:rPr>
              <w:t>euro par 1 000 gab.</w:t>
            </w:r>
          </w:p>
        </w:tc>
        <w:tc>
          <w:tcPr>
            <w:tcW w:w="1275" w:type="dxa"/>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7CF5B1B4" w14:textId="77777777" w:rsidR="006D7653" w:rsidRPr="006D7653" w:rsidRDefault="006D7653" w:rsidP="007E1C0A">
            <w:pPr>
              <w:pStyle w:val="ListParagraph"/>
              <w:spacing w:before="0" w:after="0"/>
              <w:ind w:left="0" w:firstLine="0"/>
              <w:contextualSpacing w:val="0"/>
              <w:jc w:val="center"/>
              <w:rPr>
                <w:rFonts w:ascii="Times New Roman" w:hAnsi="Times New Roman"/>
                <w:bCs/>
                <w:sz w:val="20"/>
                <w:szCs w:val="20"/>
              </w:rPr>
            </w:pPr>
            <w:r w:rsidRPr="006D7653">
              <w:rPr>
                <w:rFonts w:ascii="Times New Roman" w:hAnsi="Times New Roman"/>
                <w:bCs/>
                <w:sz w:val="20"/>
                <w:szCs w:val="20"/>
              </w:rPr>
              <w:t>104,0</w:t>
            </w:r>
          </w:p>
        </w:tc>
        <w:tc>
          <w:tcPr>
            <w:tcW w:w="1276" w:type="dxa"/>
            <w:tcBorders>
              <w:top w:val="single" w:sz="4" w:space="0" w:color="808080" w:themeColor="background1" w:themeShade="80"/>
              <w:bottom w:val="single" w:sz="4" w:space="0" w:color="808080" w:themeColor="background1" w:themeShade="80"/>
            </w:tcBorders>
            <w:vAlign w:val="center"/>
          </w:tcPr>
          <w:p w14:paraId="78AF31D6"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110,1</w:t>
            </w:r>
          </w:p>
        </w:tc>
        <w:tc>
          <w:tcPr>
            <w:tcW w:w="1134" w:type="dxa"/>
            <w:tcBorders>
              <w:top w:val="single" w:sz="4" w:space="0" w:color="808080" w:themeColor="background1" w:themeShade="80"/>
              <w:bottom w:val="single" w:sz="4" w:space="0" w:color="808080" w:themeColor="background1" w:themeShade="80"/>
            </w:tcBorders>
            <w:vAlign w:val="center"/>
          </w:tcPr>
          <w:p w14:paraId="7417CADC"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116,3</w:t>
            </w:r>
          </w:p>
        </w:tc>
        <w:tc>
          <w:tcPr>
            <w:tcW w:w="992" w:type="dxa"/>
            <w:tcBorders>
              <w:top w:val="single" w:sz="4" w:space="0" w:color="808080" w:themeColor="background1" w:themeShade="80"/>
              <w:bottom w:val="single" w:sz="4" w:space="0" w:color="808080" w:themeColor="background1" w:themeShade="80"/>
            </w:tcBorders>
            <w:vAlign w:val="center"/>
          </w:tcPr>
          <w:p w14:paraId="4FCE5E52"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122,5</w:t>
            </w:r>
          </w:p>
        </w:tc>
      </w:tr>
      <w:tr w:rsidR="006D7653" w:rsidRPr="006D7653" w14:paraId="188A2FB1" w14:textId="77777777" w:rsidTr="007E1C0A">
        <w:trPr>
          <w:trHeight w:val="141"/>
        </w:trPr>
        <w:tc>
          <w:tcPr>
            <w:tcW w:w="4390" w:type="dxa"/>
            <w:tcBorders>
              <w:top w:val="single" w:sz="4" w:space="0" w:color="808080" w:themeColor="background1" w:themeShade="80"/>
              <w:bottom w:val="single" w:sz="4" w:space="0" w:color="808080" w:themeColor="background1" w:themeShade="80"/>
            </w:tcBorders>
            <w:vAlign w:val="center"/>
          </w:tcPr>
          <w:p w14:paraId="54ACF9BF" w14:textId="77777777" w:rsidR="006D7653" w:rsidRPr="006D7653" w:rsidRDefault="006D7653" w:rsidP="007E1C0A">
            <w:pPr>
              <w:pStyle w:val="ListParagraph"/>
              <w:spacing w:before="0" w:after="0"/>
              <w:ind w:left="0" w:firstLine="0"/>
              <w:contextualSpacing w:val="0"/>
              <w:jc w:val="left"/>
              <w:rPr>
                <w:rFonts w:ascii="Times New Roman" w:hAnsi="Times New Roman"/>
                <w:bCs/>
                <w:sz w:val="20"/>
                <w:szCs w:val="20"/>
              </w:rPr>
            </w:pPr>
            <w:r w:rsidRPr="006D7653">
              <w:rPr>
                <w:rFonts w:ascii="Times New Roman" w:hAnsi="Times New Roman"/>
                <w:bCs/>
                <w:sz w:val="20"/>
                <w:szCs w:val="20"/>
              </w:rPr>
              <w:t xml:space="preserve"> - % no maksimālās mazumtirdzniecības cenas                                   </w:t>
            </w:r>
          </w:p>
        </w:tc>
        <w:tc>
          <w:tcPr>
            <w:tcW w:w="4677" w:type="dxa"/>
            <w:gridSpan w:val="4"/>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0AF5F379"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15%</w:t>
            </w:r>
          </w:p>
        </w:tc>
      </w:tr>
      <w:tr w:rsidR="006D7653" w:rsidRPr="006D7653" w14:paraId="11E9E6C9" w14:textId="77777777" w:rsidTr="007E1C0A">
        <w:trPr>
          <w:trHeight w:val="244"/>
        </w:trPr>
        <w:tc>
          <w:tcPr>
            <w:tcW w:w="4390" w:type="dxa"/>
            <w:tcBorders>
              <w:top w:val="single" w:sz="4" w:space="0" w:color="808080" w:themeColor="background1" w:themeShade="80"/>
              <w:bottom w:val="single" w:sz="4" w:space="0" w:color="808080" w:themeColor="background1" w:themeShade="80"/>
            </w:tcBorders>
          </w:tcPr>
          <w:p w14:paraId="08545EC3" w14:textId="77777777" w:rsidR="006D7653" w:rsidRPr="006D7653" w:rsidRDefault="006D7653" w:rsidP="007E1C0A">
            <w:pPr>
              <w:pStyle w:val="ListParagraph"/>
              <w:ind w:left="30" w:hanging="6"/>
              <w:rPr>
                <w:rFonts w:ascii="Times New Roman" w:hAnsi="Times New Roman"/>
                <w:bCs/>
                <w:sz w:val="20"/>
                <w:szCs w:val="20"/>
              </w:rPr>
            </w:pPr>
            <w:r w:rsidRPr="006D7653">
              <w:rPr>
                <w:rFonts w:ascii="Times New Roman" w:hAnsi="Times New Roman"/>
                <w:bCs/>
                <w:sz w:val="20"/>
                <w:szCs w:val="20"/>
              </w:rPr>
              <w:t>- min. likme</w:t>
            </w:r>
            <w:r w:rsidRPr="006D7653">
              <w:rPr>
                <w:rFonts w:ascii="Times New Roman" w:hAnsi="Times New Roman"/>
                <w:bCs/>
                <w:i/>
                <w:iCs/>
                <w:sz w:val="20"/>
                <w:szCs w:val="20"/>
              </w:rPr>
              <w:t>, euro par 1 000 gab.</w:t>
            </w:r>
          </w:p>
        </w:tc>
        <w:tc>
          <w:tcPr>
            <w:tcW w:w="1275" w:type="dxa"/>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27C420EE" w14:textId="77777777" w:rsidR="006D7653" w:rsidRPr="006D7653" w:rsidRDefault="006D7653" w:rsidP="007E1C0A">
            <w:pPr>
              <w:pStyle w:val="ListParagraph"/>
              <w:spacing w:before="0" w:after="0"/>
              <w:ind w:left="0" w:firstLine="0"/>
              <w:contextualSpacing w:val="0"/>
              <w:jc w:val="center"/>
              <w:rPr>
                <w:rFonts w:ascii="Times New Roman" w:hAnsi="Times New Roman"/>
                <w:bCs/>
                <w:sz w:val="20"/>
                <w:szCs w:val="20"/>
              </w:rPr>
            </w:pPr>
            <w:r w:rsidRPr="006D7653">
              <w:rPr>
                <w:rFonts w:ascii="Times New Roman" w:hAnsi="Times New Roman"/>
                <w:bCs/>
                <w:sz w:val="20"/>
                <w:szCs w:val="20"/>
              </w:rPr>
              <w:t>135,9</w:t>
            </w:r>
          </w:p>
        </w:tc>
        <w:tc>
          <w:tcPr>
            <w:tcW w:w="1276" w:type="dxa"/>
            <w:tcBorders>
              <w:top w:val="single" w:sz="4" w:space="0" w:color="808080" w:themeColor="background1" w:themeShade="80"/>
              <w:bottom w:val="single" w:sz="4" w:space="0" w:color="808080" w:themeColor="background1" w:themeShade="80"/>
            </w:tcBorders>
            <w:vAlign w:val="center"/>
          </w:tcPr>
          <w:p w14:paraId="2A3005E1"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143,9</w:t>
            </w:r>
          </w:p>
        </w:tc>
        <w:tc>
          <w:tcPr>
            <w:tcW w:w="1134" w:type="dxa"/>
            <w:tcBorders>
              <w:top w:val="single" w:sz="4" w:space="0" w:color="808080" w:themeColor="background1" w:themeShade="80"/>
              <w:bottom w:val="single" w:sz="4" w:space="0" w:color="808080" w:themeColor="background1" w:themeShade="80"/>
            </w:tcBorders>
            <w:vAlign w:val="center"/>
          </w:tcPr>
          <w:p w14:paraId="0F5E6427"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151,9</w:t>
            </w:r>
          </w:p>
        </w:tc>
        <w:tc>
          <w:tcPr>
            <w:tcW w:w="992" w:type="dxa"/>
            <w:tcBorders>
              <w:top w:val="single" w:sz="4" w:space="0" w:color="808080" w:themeColor="background1" w:themeShade="80"/>
              <w:bottom w:val="single" w:sz="4" w:space="0" w:color="808080" w:themeColor="background1" w:themeShade="80"/>
            </w:tcBorders>
            <w:vAlign w:val="center"/>
          </w:tcPr>
          <w:p w14:paraId="3334F6B9"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160,0</w:t>
            </w:r>
          </w:p>
        </w:tc>
      </w:tr>
      <w:tr w:rsidR="006D7653" w:rsidRPr="006D7653" w14:paraId="6CAC3CFF" w14:textId="77777777" w:rsidTr="007E1C0A">
        <w:trPr>
          <w:trHeight w:val="230"/>
        </w:trPr>
        <w:tc>
          <w:tcPr>
            <w:tcW w:w="4390" w:type="dxa"/>
            <w:tcBorders>
              <w:top w:val="single" w:sz="4" w:space="0" w:color="808080" w:themeColor="background1" w:themeShade="80"/>
              <w:bottom w:val="single" w:sz="4" w:space="0" w:color="auto"/>
            </w:tcBorders>
          </w:tcPr>
          <w:p w14:paraId="55475CBF" w14:textId="77777777" w:rsidR="006D7653" w:rsidRPr="006D7653" w:rsidRDefault="006D7653" w:rsidP="007E1C0A">
            <w:pPr>
              <w:pStyle w:val="ListParagraph"/>
              <w:ind w:left="30" w:hanging="6"/>
              <w:rPr>
                <w:rFonts w:ascii="Times New Roman" w:hAnsi="Times New Roman"/>
                <w:sz w:val="20"/>
                <w:szCs w:val="20"/>
              </w:rPr>
            </w:pPr>
            <w:r w:rsidRPr="006D7653">
              <w:rPr>
                <w:rFonts w:ascii="Times New Roman" w:hAnsi="Times New Roman"/>
                <w:b/>
                <w:bCs/>
                <w:sz w:val="20"/>
                <w:szCs w:val="20"/>
              </w:rPr>
              <w:t>Cigāri un cigarillas,</w:t>
            </w:r>
            <w:r w:rsidRPr="006D7653">
              <w:rPr>
                <w:rFonts w:ascii="Times New Roman" w:hAnsi="Times New Roman"/>
                <w:i/>
                <w:iCs/>
                <w:sz w:val="20"/>
                <w:szCs w:val="20"/>
              </w:rPr>
              <w:t xml:space="preserve"> euro par 1 000 gab.</w:t>
            </w:r>
          </w:p>
        </w:tc>
        <w:tc>
          <w:tcPr>
            <w:tcW w:w="1275" w:type="dxa"/>
            <w:tcBorders>
              <w:top w:val="single" w:sz="4" w:space="0" w:color="808080" w:themeColor="background1" w:themeShade="80"/>
              <w:bottom w:val="single" w:sz="4" w:space="0" w:color="auto"/>
            </w:tcBorders>
            <w:shd w:val="clear" w:color="auto" w:fill="FFFFFF" w:themeFill="background1"/>
            <w:vAlign w:val="center"/>
          </w:tcPr>
          <w:p w14:paraId="2DBE0047" w14:textId="77777777" w:rsidR="006D7653" w:rsidRPr="006D7653" w:rsidRDefault="006D7653" w:rsidP="007E1C0A">
            <w:pPr>
              <w:pStyle w:val="ListParagraph"/>
              <w:spacing w:before="0" w:after="0"/>
              <w:ind w:left="0" w:firstLine="0"/>
              <w:contextualSpacing w:val="0"/>
              <w:jc w:val="center"/>
              <w:rPr>
                <w:rFonts w:ascii="Times New Roman" w:hAnsi="Times New Roman"/>
                <w:bCs/>
                <w:sz w:val="20"/>
                <w:szCs w:val="20"/>
              </w:rPr>
            </w:pPr>
            <w:r w:rsidRPr="006D7653">
              <w:rPr>
                <w:rFonts w:ascii="Times New Roman" w:hAnsi="Times New Roman"/>
                <w:bCs/>
                <w:sz w:val="20"/>
                <w:szCs w:val="20"/>
              </w:rPr>
              <w:t>126,7</w:t>
            </w:r>
          </w:p>
        </w:tc>
        <w:tc>
          <w:tcPr>
            <w:tcW w:w="1276" w:type="dxa"/>
            <w:tcBorders>
              <w:top w:val="single" w:sz="4" w:space="0" w:color="808080" w:themeColor="background1" w:themeShade="80"/>
              <w:bottom w:val="single" w:sz="4" w:space="0" w:color="auto"/>
            </w:tcBorders>
            <w:vAlign w:val="center"/>
          </w:tcPr>
          <w:p w14:paraId="6D1D650E"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164,7</w:t>
            </w:r>
          </w:p>
        </w:tc>
        <w:tc>
          <w:tcPr>
            <w:tcW w:w="1134" w:type="dxa"/>
            <w:tcBorders>
              <w:top w:val="single" w:sz="4" w:space="0" w:color="808080" w:themeColor="background1" w:themeShade="80"/>
              <w:bottom w:val="single" w:sz="4" w:space="0" w:color="auto"/>
            </w:tcBorders>
            <w:vAlign w:val="center"/>
          </w:tcPr>
          <w:p w14:paraId="1BBAABF2"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202,7</w:t>
            </w:r>
          </w:p>
        </w:tc>
        <w:tc>
          <w:tcPr>
            <w:tcW w:w="992" w:type="dxa"/>
            <w:tcBorders>
              <w:top w:val="single" w:sz="4" w:space="0" w:color="808080" w:themeColor="background1" w:themeShade="80"/>
              <w:bottom w:val="single" w:sz="4" w:space="0" w:color="auto"/>
            </w:tcBorders>
            <w:vAlign w:val="center"/>
          </w:tcPr>
          <w:p w14:paraId="63631F14"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240,0</w:t>
            </w:r>
          </w:p>
        </w:tc>
      </w:tr>
      <w:tr w:rsidR="006D7653" w:rsidRPr="006D7653" w14:paraId="54B51D99" w14:textId="77777777" w:rsidTr="007E1C0A">
        <w:trPr>
          <w:trHeight w:val="230"/>
        </w:trPr>
        <w:tc>
          <w:tcPr>
            <w:tcW w:w="4390" w:type="dxa"/>
            <w:tcBorders>
              <w:top w:val="single" w:sz="4" w:space="0" w:color="808080" w:themeColor="background1" w:themeShade="80"/>
              <w:bottom w:val="single" w:sz="4" w:space="0" w:color="auto"/>
            </w:tcBorders>
          </w:tcPr>
          <w:p w14:paraId="26ACF0B5" w14:textId="77777777" w:rsidR="006D7653" w:rsidRPr="006D7653" w:rsidRDefault="006D7653" w:rsidP="007E1C0A">
            <w:pPr>
              <w:pStyle w:val="ListParagraph"/>
              <w:ind w:left="30" w:hanging="6"/>
              <w:rPr>
                <w:rFonts w:ascii="Times New Roman" w:hAnsi="Times New Roman"/>
                <w:sz w:val="20"/>
                <w:szCs w:val="20"/>
              </w:rPr>
            </w:pPr>
            <w:r w:rsidRPr="006D7653">
              <w:rPr>
                <w:rFonts w:ascii="Times New Roman" w:hAnsi="Times New Roman"/>
                <w:b/>
                <w:bCs/>
                <w:sz w:val="20"/>
                <w:szCs w:val="20"/>
              </w:rPr>
              <w:t xml:space="preserve">Smēķējamā tabaka </w:t>
            </w:r>
            <w:r w:rsidRPr="006D7653">
              <w:rPr>
                <w:rFonts w:ascii="Times New Roman" w:hAnsi="Times New Roman"/>
                <w:sz w:val="20"/>
                <w:szCs w:val="20"/>
              </w:rPr>
              <w:t xml:space="preserve">(smalki sagriezta un cita smēķējamā tabaka) un </w:t>
            </w:r>
            <w:r w:rsidRPr="006D7653">
              <w:rPr>
                <w:rFonts w:ascii="Times New Roman" w:hAnsi="Times New Roman"/>
                <w:b/>
                <w:bCs/>
                <w:sz w:val="20"/>
                <w:szCs w:val="20"/>
              </w:rPr>
              <w:t>tabakas lapas</w:t>
            </w:r>
            <w:r w:rsidRPr="006D7653">
              <w:rPr>
                <w:rFonts w:ascii="Times New Roman" w:hAnsi="Times New Roman"/>
                <w:sz w:val="20"/>
                <w:szCs w:val="20"/>
              </w:rPr>
              <w:t xml:space="preserve">, </w:t>
            </w:r>
            <w:r w:rsidRPr="006D7653">
              <w:rPr>
                <w:rFonts w:ascii="Times New Roman" w:hAnsi="Times New Roman"/>
                <w:i/>
                <w:iCs/>
                <w:sz w:val="20"/>
                <w:szCs w:val="20"/>
              </w:rPr>
              <w:t>euro par 1000 g</w:t>
            </w:r>
          </w:p>
        </w:tc>
        <w:tc>
          <w:tcPr>
            <w:tcW w:w="1275" w:type="dxa"/>
            <w:tcBorders>
              <w:top w:val="single" w:sz="4" w:space="0" w:color="808080" w:themeColor="background1" w:themeShade="80"/>
              <w:bottom w:val="single" w:sz="4" w:space="0" w:color="auto"/>
            </w:tcBorders>
            <w:shd w:val="clear" w:color="auto" w:fill="FFFFFF" w:themeFill="background1"/>
            <w:vAlign w:val="center"/>
          </w:tcPr>
          <w:p w14:paraId="539B2326" w14:textId="77777777" w:rsidR="006D7653" w:rsidRPr="006D7653" w:rsidRDefault="006D7653" w:rsidP="007E1C0A">
            <w:pPr>
              <w:pStyle w:val="ListParagraph"/>
              <w:spacing w:before="0" w:after="0"/>
              <w:ind w:left="0" w:firstLine="0"/>
              <w:contextualSpacing w:val="0"/>
              <w:jc w:val="center"/>
              <w:rPr>
                <w:rFonts w:ascii="Times New Roman" w:hAnsi="Times New Roman"/>
                <w:bCs/>
                <w:sz w:val="20"/>
                <w:szCs w:val="20"/>
              </w:rPr>
            </w:pPr>
            <w:r w:rsidRPr="006D7653">
              <w:rPr>
                <w:rFonts w:ascii="Times New Roman" w:hAnsi="Times New Roman"/>
                <w:bCs/>
                <w:sz w:val="20"/>
                <w:szCs w:val="20"/>
              </w:rPr>
              <w:t>91,9</w:t>
            </w:r>
          </w:p>
        </w:tc>
        <w:tc>
          <w:tcPr>
            <w:tcW w:w="1276" w:type="dxa"/>
            <w:tcBorders>
              <w:top w:val="single" w:sz="4" w:space="0" w:color="808080" w:themeColor="background1" w:themeShade="80"/>
              <w:bottom w:val="single" w:sz="4" w:space="0" w:color="auto"/>
            </w:tcBorders>
            <w:vAlign w:val="center"/>
          </w:tcPr>
          <w:p w14:paraId="01A04904"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101,1</w:t>
            </w:r>
          </w:p>
        </w:tc>
        <w:tc>
          <w:tcPr>
            <w:tcW w:w="1134" w:type="dxa"/>
            <w:tcBorders>
              <w:top w:val="single" w:sz="4" w:space="0" w:color="808080" w:themeColor="background1" w:themeShade="80"/>
              <w:bottom w:val="single" w:sz="4" w:space="0" w:color="auto"/>
            </w:tcBorders>
            <w:vAlign w:val="center"/>
          </w:tcPr>
          <w:p w14:paraId="7D1DDA9E"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111,2</w:t>
            </w:r>
          </w:p>
        </w:tc>
        <w:tc>
          <w:tcPr>
            <w:tcW w:w="992" w:type="dxa"/>
            <w:tcBorders>
              <w:top w:val="single" w:sz="4" w:space="0" w:color="808080" w:themeColor="background1" w:themeShade="80"/>
              <w:bottom w:val="single" w:sz="4" w:space="0" w:color="auto"/>
            </w:tcBorders>
            <w:vAlign w:val="center"/>
          </w:tcPr>
          <w:p w14:paraId="7D58DA21"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122,3</w:t>
            </w:r>
          </w:p>
        </w:tc>
      </w:tr>
      <w:tr w:rsidR="006D7653" w:rsidRPr="006D7653" w14:paraId="71A49658" w14:textId="77777777" w:rsidTr="007E1C0A">
        <w:trPr>
          <w:trHeight w:val="230"/>
        </w:trPr>
        <w:tc>
          <w:tcPr>
            <w:tcW w:w="4390" w:type="dxa"/>
            <w:tcBorders>
              <w:top w:val="single" w:sz="4" w:space="0" w:color="808080" w:themeColor="background1" w:themeShade="80"/>
              <w:bottom w:val="single" w:sz="4" w:space="0" w:color="auto"/>
            </w:tcBorders>
          </w:tcPr>
          <w:p w14:paraId="433D48EE" w14:textId="77777777" w:rsidR="006D7653" w:rsidRPr="006D7653" w:rsidRDefault="006D7653" w:rsidP="007E1C0A">
            <w:pPr>
              <w:pStyle w:val="ListParagraph"/>
              <w:ind w:left="30" w:hanging="6"/>
              <w:rPr>
                <w:rFonts w:ascii="Times New Roman" w:hAnsi="Times New Roman"/>
                <w:sz w:val="20"/>
                <w:szCs w:val="20"/>
              </w:rPr>
            </w:pPr>
            <w:r w:rsidRPr="006D7653">
              <w:rPr>
                <w:rFonts w:ascii="Times New Roman" w:hAnsi="Times New Roman"/>
                <w:b/>
                <w:bCs/>
                <w:sz w:val="20"/>
                <w:szCs w:val="20"/>
                <w:lang w:val="sv-SE"/>
              </w:rPr>
              <w:t xml:space="preserve">Karsējamā tabaka, </w:t>
            </w:r>
            <w:r w:rsidRPr="006D7653">
              <w:rPr>
                <w:rFonts w:ascii="Times New Roman" w:hAnsi="Times New Roman"/>
                <w:i/>
                <w:iCs/>
                <w:sz w:val="20"/>
                <w:szCs w:val="20"/>
                <w:lang w:val="sv-SE"/>
              </w:rPr>
              <w:t>euro par</w:t>
            </w:r>
            <w:r w:rsidRPr="006D7653">
              <w:rPr>
                <w:rFonts w:ascii="Times New Roman" w:hAnsi="Times New Roman"/>
                <w:i/>
                <w:iCs/>
                <w:sz w:val="20"/>
                <w:szCs w:val="20"/>
              </w:rPr>
              <w:t xml:space="preserve"> 1 000 g</w:t>
            </w:r>
          </w:p>
        </w:tc>
        <w:tc>
          <w:tcPr>
            <w:tcW w:w="1275" w:type="dxa"/>
            <w:tcBorders>
              <w:top w:val="single" w:sz="4" w:space="0" w:color="808080" w:themeColor="background1" w:themeShade="80"/>
              <w:bottom w:val="single" w:sz="4" w:space="0" w:color="auto"/>
            </w:tcBorders>
            <w:shd w:val="clear" w:color="auto" w:fill="FFFFFF" w:themeFill="background1"/>
            <w:vAlign w:val="center"/>
          </w:tcPr>
          <w:p w14:paraId="21239DD7" w14:textId="77777777" w:rsidR="006D7653" w:rsidRPr="006D7653" w:rsidRDefault="006D7653" w:rsidP="007E1C0A">
            <w:pPr>
              <w:pStyle w:val="ListParagraph"/>
              <w:spacing w:before="0" w:after="0"/>
              <w:ind w:left="0" w:firstLine="0"/>
              <w:contextualSpacing w:val="0"/>
              <w:jc w:val="center"/>
              <w:rPr>
                <w:rFonts w:ascii="Times New Roman" w:hAnsi="Times New Roman"/>
                <w:bCs/>
                <w:sz w:val="20"/>
                <w:szCs w:val="20"/>
              </w:rPr>
            </w:pPr>
            <w:r w:rsidRPr="006D7653">
              <w:rPr>
                <w:rFonts w:ascii="Times New Roman" w:hAnsi="Times New Roman"/>
                <w:bCs/>
                <w:sz w:val="20"/>
                <w:szCs w:val="20"/>
              </w:rPr>
              <w:t>218</w:t>
            </w:r>
          </w:p>
        </w:tc>
        <w:tc>
          <w:tcPr>
            <w:tcW w:w="1276" w:type="dxa"/>
            <w:tcBorders>
              <w:top w:val="single" w:sz="4" w:space="0" w:color="808080" w:themeColor="background1" w:themeShade="80"/>
              <w:bottom w:val="single" w:sz="4" w:space="0" w:color="auto"/>
            </w:tcBorders>
            <w:vAlign w:val="center"/>
          </w:tcPr>
          <w:p w14:paraId="6E6B109A"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229</w:t>
            </w:r>
          </w:p>
        </w:tc>
        <w:tc>
          <w:tcPr>
            <w:tcW w:w="1134" w:type="dxa"/>
            <w:tcBorders>
              <w:top w:val="single" w:sz="4" w:space="0" w:color="808080" w:themeColor="background1" w:themeShade="80"/>
              <w:bottom w:val="single" w:sz="4" w:space="0" w:color="auto"/>
            </w:tcBorders>
            <w:vAlign w:val="center"/>
          </w:tcPr>
          <w:p w14:paraId="1C68D96F"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240</w:t>
            </w:r>
          </w:p>
        </w:tc>
        <w:tc>
          <w:tcPr>
            <w:tcW w:w="992" w:type="dxa"/>
            <w:tcBorders>
              <w:top w:val="single" w:sz="4" w:space="0" w:color="808080" w:themeColor="background1" w:themeShade="80"/>
              <w:bottom w:val="single" w:sz="4" w:space="0" w:color="auto"/>
            </w:tcBorders>
            <w:vAlign w:val="center"/>
          </w:tcPr>
          <w:p w14:paraId="7D6A49F7"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252</w:t>
            </w:r>
          </w:p>
        </w:tc>
      </w:tr>
      <w:tr w:rsidR="006D7653" w:rsidRPr="006D7653" w14:paraId="0FCE2433" w14:textId="77777777" w:rsidTr="007E1C0A">
        <w:trPr>
          <w:trHeight w:val="230"/>
        </w:trPr>
        <w:tc>
          <w:tcPr>
            <w:tcW w:w="4390" w:type="dxa"/>
            <w:tcBorders>
              <w:top w:val="single" w:sz="4" w:space="0" w:color="808080" w:themeColor="background1" w:themeShade="80"/>
              <w:bottom w:val="single" w:sz="4" w:space="0" w:color="auto"/>
            </w:tcBorders>
          </w:tcPr>
          <w:p w14:paraId="5228937F" w14:textId="77777777" w:rsidR="006D7653" w:rsidRPr="006D7653" w:rsidRDefault="006D7653" w:rsidP="007E1C0A">
            <w:pPr>
              <w:pStyle w:val="ListParagraph"/>
              <w:ind w:left="30" w:hanging="6"/>
              <w:rPr>
                <w:rFonts w:ascii="Times New Roman" w:hAnsi="Times New Roman"/>
                <w:b/>
                <w:bCs/>
                <w:sz w:val="20"/>
                <w:szCs w:val="20"/>
              </w:rPr>
            </w:pPr>
            <w:r w:rsidRPr="006D7653">
              <w:rPr>
                <w:rFonts w:ascii="Times New Roman" w:hAnsi="Times New Roman"/>
                <w:b/>
                <w:bCs/>
                <w:sz w:val="20"/>
                <w:szCs w:val="20"/>
              </w:rPr>
              <w:t>Tabakas aizstājējprodukti</w:t>
            </w:r>
            <w:r w:rsidRPr="006D7653">
              <w:rPr>
                <w:rFonts w:ascii="Times New Roman" w:hAnsi="Times New Roman"/>
                <w:b/>
                <w:bCs/>
                <w:sz w:val="20"/>
                <w:szCs w:val="20"/>
                <w:vertAlign w:val="superscript"/>
              </w:rPr>
              <w:t xml:space="preserve"> </w:t>
            </w:r>
            <w:r w:rsidRPr="006D7653">
              <w:rPr>
                <w:rFonts w:ascii="Times New Roman" w:hAnsi="Times New Roman"/>
                <w:sz w:val="20"/>
                <w:szCs w:val="20"/>
              </w:rPr>
              <w:t xml:space="preserve">(t.sk. nikotīnu saturošie spilventiņi), </w:t>
            </w:r>
            <w:r w:rsidRPr="006D7653">
              <w:rPr>
                <w:rFonts w:ascii="Times New Roman" w:hAnsi="Times New Roman"/>
                <w:i/>
                <w:iCs/>
                <w:sz w:val="20"/>
                <w:szCs w:val="20"/>
              </w:rPr>
              <w:t>euro par 1 000 g</w:t>
            </w:r>
          </w:p>
        </w:tc>
        <w:tc>
          <w:tcPr>
            <w:tcW w:w="1275" w:type="dxa"/>
            <w:tcBorders>
              <w:top w:val="single" w:sz="4" w:space="0" w:color="808080" w:themeColor="background1" w:themeShade="80"/>
              <w:bottom w:val="single" w:sz="4" w:space="0" w:color="auto"/>
            </w:tcBorders>
            <w:shd w:val="clear" w:color="auto" w:fill="FFFFFF" w:themeFill="background1"/>
            <w:vAlign w:val="center"/>
          </w:tcPr>
          <w:p w14:paraId="79AF4DC5" w14:textId="77777777" w:rsidR="006D7653" w:rsidRPr="006D7653" w:rsidRDefault="006D7653" w:rsidP="007E1C0A">
            <w:pPr>
              <w:pStyle w:val="ListParagraph"/>
              <w:spacing w:before="0" w:after="0"/>
              <w:ind w:left="0" w:firstLine="0"/>
              <w:contextualSpacing w:val="0"/>
              <w:jc w:val="center"/>
              <w:rPr>
                <w:rFonts w:ascii="Times New Roman" w:hAnsi="Times New Roman"/>
                <w:bCs/>
                <w:sz w:val="20"/>
                <w:szCs w:val="20"/>
              </w:rPr>
            </w:pPr>
            <w:r w:rsidRPr="006D7653">
              <w:rPr>
                <w:rFonts w:ascii="Times New Roman" w:hAnsi="Times New Roman"/>
                <w:bCs/>
                <w:sz w:val="20"/>
                <w:szCs w:val="20"/>
              </w:rPr>
              <w:t>120</w:t>
            </w:r>
          </w:p>
        </w:tc>
        <w:tc>
          <w:tcPr>
            <w:tcW w:w="1276" w:type="dxa"/>
            <w:tcBorders>
              <w:top w:val="single" w:sz="4" w:space="0" w:color="808080" w:themeColor="background1" w:themeShade="80"/>
              <w:bottom w:val="single" w:sz="4" w:space="0" w:color="auto"/>
            </w:tcBorders>
            <w:vAlign w:val="center"/>
          </w:tcPr>
          <w:p w14:paraId="55476837"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132</w:t>
            </w:r>
          </w:p>
        </w:tc>
        <w:tc>
          <w:tcPr>
            <w:tcW w:w="1134" w:type="dxa"/>
            <w:tcBorders>
              <w:top w:val="single" w:sz="4" w:space="0" w:color="808080" w:themeColor="background1" w:themeShade="80"/>
              <w:bottom w:val="single" w:sz="4" w:space="0" w:color="auto"/>
            </w:tcBorders>
            <w:vAlign w:val="center"/>
          </w:tcPr>
          <w:p w14:paraId="2F75E451"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145</w:t>
            </w:r>
          </w:p>
        </w:tc>
        <w:tc>
          <w:tcPr>
            <w:tcW w:w="992" w:type="dxa"/>
            <w:tcBorders>
              <w:top w:val="single" w:sz="4" w:space="0" w:color="808080" w:themeColor="background1" w:themeShade="80"/>
              <w:bottom w:val="single" w:sz="4" w:space="0" w:color="auto"/>
            </w:tcBorders>
            <w:vAlign w:val="center"/>
          </w:tcPr>
          <w:p w14:paraId="58C4C533"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160</w:t>
            </w:r>
          </w:p>
        </w:tc>
      </w:tr>
      <w:tr w:rsidR="006D7653" w:rsidRPr="006D7653" w14:paraId="21604D76" w14:textId="77777777" w:rsidTr="007E1C0A">
        <w:trPr>
          <w:trHeight w:val="230"/>
        </w:trPr>
        <w:tc>
          <w:tcPr>
            <w:tcW w:w="4390" w:type="dxa"/>
            <w:tcBorders>
              <w:top w:val="single" w:sz="4" w:space="0" w:color="808080" w:themeColor="background1" w:themeShade="80"/>
              <w:bottom w:val="single" w:sz="4" w:space="0" w:color="auto"/>
            </w:tcBorders>
          </w:tcPr>
          <w:p w14:paraId="724F76DD" w14:textId="77777777" w:rsidR="006D7653" w:rsidRPr="006D7653" w:rsidRDefault="006D7653" w:rsidP="007E1C0A">
            <w:pPr>
              <w:pStyle w:val="ListParagraph"/>
              <w:ind w:left="30" w:hanging="30"/>
              <w:rPr>
                <w:rFonts w:ascii="Times New Roman" w:hAnsi="Times New Roman"/>
                <w:sz w:val="20"/>
                <w:szCs w:val="20"/>
              </w:rPr>
            </w:pPr>
            <w:r w:rsidRPr="006D7653">
              <w:rPr>
                <w:rFonts w:ascii="Times New Roman" w:hAnsi="Times New Roman"/>
                <w:b/>
                <w:bCs/>
                <w:sz w:val="20"/>
                <w:szCs w:val="20"/>
              </w:rPr>
              <w:t xml:space="preserve">Elektroniskajās smēķēšanas ierīcēs izmantojamais šķidrums </w:t>
            </w:r>
            <w:r w:rsidRPr="006D7653">
              <w:rPr>
                <w:rFonts w:ascii="Times New Roman" w:hAnsi="Times New Roman"/>
                <w:sz w:val="20"/>
                <w:szCs w:val="20"/>
              </w:rPr>
              <w:t>un tā sagatavošanas sastāvdaļas,</w:t>
            </w:r>
            <w:r w:rsidRPr="006D7653">
              <w:rPr>
                <w:rFonts w:ascii="Times New Roman" w:hAnsi="Times New Roman"/>
                <w:b/>
                <w:bCs/>
                <w:sz w:val="20"/>
                <w:szCs w:val="20"/>
              </w:rPr>
              <w:t xml:space="preserve"> </w:t>
            </w:r>
            <w:r w:rsidRPr="006D7653">
              <w:rPr>
                <w:rFonts w:ascii="Times New Roman" w:hAnsi="Times New Roman"/>
                <w:i/>
                <w:iCs/>
                <w:sz w:val="20"/>
                <w:szCs w:val="20"/>
              </w:rPr>
              <w:t>euro par 1 ml šķidruma</w:t>
            </w:r>
          </w:p>
        </w:tc>
        <w:tc>
          <w:tcPr>
            <w:tcW w:w="1275" w:type="dxa"/>
            <w:tcBorders>
              <w:top w:val="single" w:sz="4" w:space="0" w:color="808080" w:themeColor="background1" w:themeShade="80"/>
              <w:bottom w:val="single" w:sz="4" w:space="0" w:color="auto"/>
            </w:tcBorders>
            <w:shd w:val="clear" w:color="auto" w:fill="FFFFFF" w:themeFill="background1"/>
            <w:vAlign w:val="center"/>
          </w:tcPr>
          <w:p w14:paraId="6D900148" w14:textId="77777777" w:rsidR="006D7653" w:rsidRPr="006D7653" w:rsidRDefault="006D7653" w:rsidP="007E1C0A">
            <w:pPr>
              <w:pStyle w:val="ListParagraph"/>
              <w:spacing w:before="0" w:after="0"/>
              <w:ind w:left="0" w:firstLine="0"/>
              <w:contextualSpacing w:val="0"/>
              <w:jc w:val="center"/>
              <w:rPr>
                <w:rFonts w:ascii="Times New Roman" w:hAnsi="Times New Roman"/>
                <w:bCs/>
                <w:sz w:val="20"/>
                <w:szCs w:val="20"/>
              </w:rPr>
            </w:pPr>
            <w:r w:rsidRPr="006D7653">
              <w:rPr>
                <w:rFonts w:ascii="Times New Roman" w:hAnsi="Times New Roman"/>
                <w:bCs/>
                <w:sz w:val="20"/>
                <w:szCs w:val="20"/>
              </w:rPr>
              <w:t>0,20</w:t>
            </w:r>
          </w:p>
        </w:tc>
        <w:tc>
          <w:tcPr>
            <w:tcW w:w="1276" w:type="dxa"/>
            <w:tcBorders>
              <w:top w:val="single" w:sz="4" w:space="0" w:color="808080" w:themeColor="background1" w:themeShade="80"/>
              <w:bottom w:val="single" w:sz="4" w:space="0" w:color="auto"/>
            </w:tcBorders>
            <w:vAlign w:val="center"/>
          </w:tcPr>
          <w:p w14:paraId="488E10E1"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0,24</w:t>
            </w:r>
          </w:p>
        </w:tc>
        <w:tc>
          <w:tcPr>
            <w:tcW w:w="1134" w:type="dxa"/>
            <w:tcBorders>
              <w:top w:val="single" w:sz="4" w:space="0" w:color="808080" w:themeColor="background1" w:themeShade="80"/>
              <w:bottom w:val="single" w:sz="4" w:space="0" w:color="auto"/>
            </w:tcBorders>
            <w:vAlign w:val="center"/>
          </w:tcPr>
          <w:p w14:paraId="0D2A6CF8"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0,29</w:t>
            </w:r>
          </w:p>
        </w:tc>
        <w:tc>
          <w:tcPr>
            <w:tcW w:w="992" w:type="dxa"/>
            <w:tcBorders>
              <w:top w:val="single" w:sz="4" w:space="0" w:color="808080" w:themeColor="background1" w:themeShade="80"/>
              <w:bottom w:val="single" w:sz="4" w:space="0" w:color="auto"/>
            </w:tcBorders>
            <w:vAlign w:val="center"/>
          </w:tcPr>
          <w:p w14:paraId="2FA328C8"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0,35</w:t>
            </w:r>
          </w:p>
        </w:tc>
      </w:tr>
    </w:tbl>
    <w:p w14:paraId="06886251" w14:textId="77777777" w:rsidR="006D7653" w:rsidRPr="006D7653" w:rsidRDefault="006D7653" w:rsidP="006D7653">
      <w:pPr>
        <w:tabs>
          <w:tab w:val="left" w:pos="426"/>
        </w:tabs>
        <w:spacing w:after="120"/>
        <w:ind w:firstLine="0"/>
        <w:rPr>
          <w:rFonts w:cs="Times New Roman"/>
          <w:i/>
          <w:sz w:val="20"/>
          <w:szCs w:val="24"/>
        </w:rPr>
      </w:pPr>
      <w:r w:rsidRPr="006D7653">
        <w:rPr>
          <w:rFonts w:cs="Times New Roman"/>
          <w:b/>
          <w:bCs/>
          <w:i/>
          <w:sz w:val="20"/>
          <w:szCs w:val="24"/>
        </w:rPr>
        <w:t>Avots</w:t>
      </w:r>
      <w:r w:rsidRPr="006D7653">
        <w:rPr>
          <w:rFonts w:cs="Times New Roman"/>
          <w:i/>
          <w:sz w:val="20"/>
          <w:szCs w:val="24"/>
        </w:rPr>
        <w:t>: FM informācija.</w:t>
      </w:r>
    </w:p>
    <w:p w14:paraId="1090B4CD" w14:textId="66A0CB56" w:rsidR="006D7653" w:rsidRPr="0072041A" w:rsidRDefault="006D7653" w:rsidP="0072041A">
      <w:r w:rsidRPr="006D7653">
        <w:t>Saskaņā ar Pasaules Veselības organizācijas</w:t>
      </w:r>
      <w:r w:rsidRPr="006D7653">
        <w:rPr>
          <w:rStyle w:val="FootnoteReference"/>
          <w:rFonts w:cs="Times New Roman"/>
          <w:sz w:val="22"/>
        </w:rPr>
        <w:footnoteReference w:id="6"/>
      </w:r>
      <w:r w:rsidRPr="006D7653">
        <w:t xml:space="preserve"> rekomendācijām neinfekcijas slimību novēršanai, AN likmes palielināšana tabakas izstrādājumiem un cenu politika ir vieni no būtiskākiem instrumentiem tabakas radītā kaitējuma mazināšanai. </w:t>
      </w:r>
    </w:p>
    <w:p w14:paraId="1A74E72E" w14:textId="5081FB70" w:rsidR="006D7653" w:rsidRPr="006D7653" w:rsidRDefault="009E3CC5" w:rsidP="006D7653">
      <w:pPr>
        <w:spacing w:after="120"/>
        <w:ind w:firstLine="709"/>
        <w:jc w:val="center"/>
        <w:rPr>
          <w:rFonts w:cs="Times New Roman"/>
          <w:sz w:val="22"/>
          <w:szCs w:val="24"/>
        </w:rPr>
      </w:pPr>
      <w:r>
        <w:rPr>
          <w:rFonts w:cs="Times New Roman"/>
          <w:sz w:val="22"/>
          <w:szCs w:val="24"/>
        </w:rPr>
        <w:t>10</w:t>
      </w:r>
      <w:r w:rsidR="006D7653" w:rsidRPr="006D7653">
        <w:rPr>
          <w:rFonts w:cs="Times New Roman"/>
          <w:sz w:val="22"/>
          <w:szCs w:val="24"/>
        </w:rPr>
        <w:t>. tab</w:t>
      </w:r>
      <w:r w:rsidR="006D7653" w:rsidRPr="006D7653">
        <w:rPr>
          <w:rFonts w:cs="Times New Roman"/>
          <w:bCs/>
          <w:sz w:val="22"/>
          <w:szCs w:val="24"/>
        </w:rPr>
        <w:t>.</w:t>
      </w:r>
      <w:r w:rsidR="006D7653" w:rsidRPr="006D7653">
        <w:rPr>
          <w:rFonts w:cs="Times New Roman"/>
          <w:b/>
          <w:sz w:val="22"/>
          <w:szCs w:val="24"/>
        </w:rPr>
        <w:t xml:space="preserve"> Priekšlikumu indikatīva fiskālā ietekme</w:t>
      </w:r>
      <w:r w:rsidR="006D7653" w:rsidRPr="006D7653">
        <w:rPr>
          <w:rFonts w:cs="Times New Roman"/>
          <w:bCs/>
          <w:sz w:val="22"/>
          <w:szCs w:val="24"/>
        </w:rPr>
        <w:t xml:space="preserve">, </w:t>
      </w:r>
      <w:r w:rsidR="006D7653" w:rsidRPr="006D7653">
        <w:rPr>
          <w:rFonts w:cs="Times New Roman"/>
          <w:bCs/>
          <w:i/>
          <w:iCs/>
          <w:sz w:val="22"/>
          <w:szCs w:val="24"/>
        </w:rPr>
        <w:t>milj. euro</w:t>
      </w:r>
    </w:p>
    <w:tbl>
      <w:tblPr>
        <w:tblStyle w:val="TableGrid"/>
        <w:tblW w:w="9067" w:type="dxa"/>
        <w:tblInd w:w="5" w:type="dxa"/>
        <w:tblLook w:val="04A0" w:firstRow="1" w:lastRow="0" w:firstColumn="1" w:lastColumn="0" w:noHBand="0" w:noVBand="1"/>
      </w:tblPr>
      <w:tblGrid>
        <w:gridCol w:w="4390"/>
        <w:gridCol w:w="1559"/>
        <w:gridCol w:w="1559"/>
        <w:gridCol w:w="1559"/>
      </w:tblGrid>
      <w:tr w:rsidR="006D7653" w:rsidRPr="006D7653" w14:paraId="5A35F1F7" w14:textId="77777777" w:rsidTr="007E1C0A">
        <w:tc>
          <w:tcPr>
            <w:tcW w:w="4390" w:type="dxa"/>
            <w:tcBorders>
              <w:top w:val="nil"/>
              <w:left w:val="nil"/>
              <w:bottom w:val="single" w:sz="12" w:space="0" w:color="auto"/>
              <w:right w:val="nil"/>
            </w:tcBorders>
          </w:tcPr>
          <w:p w14:paraId="11D586DC"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p>
        </w:tc>
        <w:tc>
          <w:tcPr>
            <w:tcW w:w="1559" w:type="dxa"/>
            <w:tcBorders>
              <w:top w:val="nil"/>
              <w:left w:val="nil"/>
              <w:bottom w:val="single" w:sz="12" w:space="0" w:color="auto"/>
              <w:right w:val="nil"/>
            </w:tcBorders>
            <w:vAlign w:val="bottom"/>
          </w:tcPr>
          <w:p w14:paraId="47A373C6"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2024</w:t>
            </w:r>
            <w:r w:rsidRPr="006D7653">
              <w:rPr>
                <w:rFonts w:ascii="Times New Roman" w:hAnsi="Times New Roman"/>
                <w:b/>
                <w:bCs/>
                <w:sz w:val="20"/>
                <w:szCs w:val="20"/>
                <w:vertAlign w:val="superscript"/>
              </w:rPr>
              <w:t>*</w:t>
            </w:r>
          </w:p>
        </w:tc>
        <w:tc>
          <w:tcPr>
            <w:tcW w:w="1559" w:type="dxa"/>
            <w:tcBorders>
              <w:top w:val="nil"/>
              <w:left w:val="nil"/>
              <w:bottom w:val="single" w:sz="12" w:space="0" w:color="auto"/>
              <w:right w:val="nil"/>
            </w:tcBorders>
            <w:vAlign w:val="bottom"/>
          </w:tcPr>
          <w:p w14:paraId="649D4234"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2025</w:t>
            </w:r>
          </w:p>
        </w:tc>
        <w:tc>
          <w:tcPr>
            <w:tcW w:w="1559" w:type="dxa"/>
            <w:tcBorders>
              <w:top w:val="nil"/>
              <w:left w:val="nil"/>
              <w:bottom w:val="single" w:sz="12" w:space="0" w:color="auto"/>
              <w:right w:val="nil"/>
            </w:tcBorders>
            <w:vAlign w:val="bottom"/>
          </w:tcPr>
          <w:p w14:paraId="0001A57A"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2026</w:t>
            </w:r>
          </w:p>
        </w:tc>
      </w:tr>
      <w:tr w:rsidR="006D7653" w:rsidRPr="006D7653" w14:paraId="1F8BFBEC" w14:textId="77777777" w:rsidTr="007E1C0A">
        <w:tc>
          <w:tcPr>
            <w:tcW w:w="4390" w:type="dxa"/>
          </w:tcPr>
          <w:p w14:paraId="629076DB" w14:textId="77777777" w:rsidR="006D7653" w:rsidRPr="006D7653" w:rsidRDefault="006D7653" w:rsidP="007E1C0A">
            <w:pPr>
              <w:pStyle w:val="ListParagraph"/>
              <w:spacing w:before="0" w:after="0"/>
              <w:ind w:left="0" w:firstLine="0"/>
              <w:contextualSpacing w:val="0"/>
              <w:rPr>
                <w:rFonts w:ascii="Times New Roman" w:hAnsi="Times New Roman"/>
                <w:sz w:val="20"/>
                <w:szCs w:val="20"/>
              </w:rPr>
            </w:pPr>
            <w:r w:rsidRPr="006D7653">
              <w:rPr>
                <w:rFonts w:ascii="Times New Roman" w:hAnsi="Times New Roman"/>
                <w:sz w:val="20"/>
                <w:szCs w:val="20"/>
              </w:rPr>
              <w:t>AN ieņēmumi</w:t>
            </w:r>
          </w:p>
        </w:tc>
        <w:tc>
          <w:tcPr>
            <w:tcW w:w="1559" w:type="dxa"/>
            <w:vAlign w:val="center"/>
          </w:tcPr>
          <w:p w14:paraId="5B2CAD5D" w14:textId="77777777" w:rsidR="006D7653" w:rsidRPr="006D7653" w:rsidRDefault="006D7653" w:rsidP="007E1C0A">
            <w:pPr>
              <w:pStyle w:val="ListParagraph"/>
              <w:spacing w:before="0" w:after="0"/>
              <w:ind w:left="0" w:firstLine="0"/>
              <w:contextualSpacing w:val="0"/>
              <w:jc w:val="center"/>
              <w:rPr>
                <w:rFonts w:ascii="Times New Roman" w:hAnsi="Times New Roman"/>
                <w:sz w:val="20"/>
                <w:szCs w:val="20"/>
              </w:rPr>
            </w:pPr>
            <w:r w:rsidRPr="006D7653">
              <w:rPr>
                <w:rFonts w:ascii="Times New Roman" w:hAnsi="Times New Roman"/>
                <w:sz w:val="20"/>
                <w:szCs w:val="20"/>
              </w:rPr>
              <w:t>+6,6</w:t>
            </w:r>
          </w:p>
        </w:tc>
        <w:tc>
          <w:tcPr>
            <w:tcW w:w="1559" w:type="dxa"/>
            <w:vAlign w:val="center"/>
          </w:tcPr>
          <w:p w14:paraId="5C03A1A6" w14:textId="77777777" w:rsidR="006D7653" w:rsidRPr="006D7653" w:rsidRDefault="006D7653" w:rsidP="007E1C0A">
            <w:pPr>
              <w:pStyle w:val="ListParagraph"/>
              <w:spacing w:before="0" w:after="0"/>
              <w:ind w:left="0" w:firstLine="0"/>
              <w:contextualSpacing w:val="0"/>
              <w:jc w:val="center"/>
              <w:rPr>
                <w:rFonts w:ascii="Times New Roman" w:hAnsi="Times New Roman"/>
                <w:sz w:val="20"/>
                <w:szCs w:val="20"/>
              </w:rPr>
            </w:pPr>
            <w:r w:rsidRPr="006D7653">
              <w:rPr>
                <w:rFonts w:ascii="Times New Roman" w:hAnsi="Times New Roman"/>
                <w:sz w:val="20"/>
                <w:szCs w:val="20"/>
              </w:rPr>
              <w:t>+14,7</w:t>
            </w:r>
          </w:p>
        </w:tc>
        <w:tc>
          <w:tcPr>
            <w:tcW w:w="1559" w:type="dxa"/>
            <w:vAlign w:val="center"/>
          </w:tcPr>
          <w:p w14:paraId="125D477B" w14:textId="77777777" w:rsidR="006D7653" w:rsidRPr="006D7653" w:rsidRDefault="006D7653" w:rsidP="007E1C0A">
            <w:pPr>
              <w:pStyle w:val="ListParagraph"/>
              <w:spacing w:before="0" w:after="0"/>
              <w:ind w:left="0" w:firstLine="0"/>
              <w:contextualSpacing w:val="0"/>
              <w:jc w:val="center"/>
              <w:rPr>
                <w:rFonts w:ascii="Times New Roman" w:hAnsi="Times New Roman"/>
                <w:sz w:val="20"/>
                <w:szCs w:val="20"/>
              </w:rPr>
            </w:pPr>
            <w:r w:rsidRPr="006D7653">
              <w:rPr>
                <w:rFonts w:ascii="Times New Roman" w:hAnsi="Times New Roman"/>
                <w:sz w:val="20"/>
                <w:szCs w:val="20"/>
              </w:rPr>
              <w:t>+21,6</w:t>
            </w:r>
          </w:p>
        </w:tc>
      </w:tr>
      <w:tr w:rsidR="006D7653" w:rsidRPr="006D7653" w14:paraId="25A01C88" w14:textId="77777777" w:rsidTr="007E1C0A">
        <w:tc>
          <w:tcPr>
            <w:tcW w:w="4390" w:type="dxa"/>
          </w:tcPr>
          <w:p w14:paraId="584C5617" w14:textId="77777777" w:rsidR="006D7653" w:rsidRPr="006D7653" w:rsidRDefault="006D7653" w:rsidP="007E1C0A">
            <w:pPr>
              <w:pStyle w:val="ListParagraph"/>
              <w:spacing w:before="0" w:after="0"/>
              <w:ind w:left="0" w:firstLine="0"/>
              <w:contextualSpacing w:val="0"/>
              <w:rPr>
                <w:rFonts w:ascii="Times New Roman" w:hAnsi="Times New Roman"/>
                <w:sz w:val="20"/>
                <w:szCs w:val="20"/>
              </w:rPr>
            </w:pPr>
            <w:r w:rsidRPr="006D7653">
              <w:rPr>
                <w:rFonts w:ascii="Times New Roman" w:hAnsi="Times New Roman"/>
                <w:sz w:val="20"/>
                <w:szCs w:val="20"/>
              </w:rPr>
              <w:t>PVN ieņēmumi</w:t>
            </w:r>
          </w:p>
        </w:tc>
        <w:tc>
          <w:tcPr>
            <w:tcW w:w="1559" w:type="dxa"/>
            <w:vAlign w:val="center"/>
          </w:tcPr>
          <w:p w14:paraId="038F8388" w14:textId="77777777" w:rsidR="006D7653" w:rsidRPr="006D7653" w:rsidRDefault="006D7653" w:rsidP="007E1C0A">
            <w:pPr>
              <w:pStyle w:val="ListParagraph"/>
              <w:spacing w:before="0" w:after="0"/>
              <w:ind w:left="0" w:firstLine="0"/>
              <w:contextualSpacing w:val="0"/>
              <w:jc w:val="center"/>
              <w:rPr>
                <w:rFonts w:ascii="Times New Roman" w:hAnsi="Times New Roman"/>
                <w:sz w:val="20"/>
                <w:szCs w:val="20"/>
              </w:rPr>
            </w:pPr>
            <w:r w:rsidRPr="006D7653">
              <w:rPr>
                <w:rFonts w:ascii="Times New Roman" w:hAnsi="Times New Roman"/>
                <w:sz w:val="20"/>
                <w:szCs w:val="20"/>
              </w:rPr>
              <w:t>+1,4</w:t>
            </w:r>
          </w:p>
        </w:tc>
        <w:tc>
          <w:tcPr>
            <w:tcW w:w="1559" w:type="dxa"/>
            <w:vAlign w:val="center"/>
          </w:tcPr>
          <w:p w14:paraId="33B59D59" w14:textId="77777777" w:rsidR="006D7653" w:rsidRPr="006D7653" w:rsidRDefault="006D7653" w:rsidP="007E1C0A">
            <w:pPr>
              <w:pStyle w:val="ListParagraph"/>
              <w:spacing w:before="0" w:after="0"/>
              <w:ind w:left="0" w:firstLine="0"/>
              <w:contextualSpacing w:val="0"/>
              <w:jc w:val="center"/>
              <w:rPr>
                <w:rFonts w:ascii="Times New Roman" w:hAnsi="Times New Roman"/>
                <w:sz w:val="20"/>
                <w:szCs w:val="20"/>
              </w:rPr>
            </w:pPr>
            <w:r w:rsidRPr="006D7653">
              <w:rPr>
                <w:rFonts w:ascii="Times New Roman" w:hAnsi="Times New Roman"/>
                <w:sz w:val="20"/>
                <w:szCs w:val="20"/>
              </w:rPr>
              <w:t>+3,1</w:t>
            </w:r>
          </w:p>
        </w:tc>
        <w:tc>
          <w:tcPr>
            <w:tcW w:w="1559" w:type="dxa"/>
            <w:vAlign w:val="center"/>
          </w:tcPr>
          <w:p w14:paraId="596227DD" w14:textId="77777777" w:rsidR="006D7653" w:rsidRPr="006D7653" w:rsidRDefault="006D7653" w:rsidP="007E1C0A">
            <w:pPr>
              <w:pStyle w:val="ListParagraph"/>
              <w:spacing w:before="0" w:after="0"/>
              <w:ind w:left="0" w:firstLine="0"/>
              <w:contextualSpacing w:val="0"/>
              <w:jc w:val="center"/>
              <w:rPr>
                <w:rFonts w:ascii="Times New Roman" w:hAnsi="Times New Roman"/>
                <w:sz w:val="20"/>
                <w:szCs w:val="20"/>
              </w:rPr>
            </w:pPr>
            <w:r w:rsidRPr="006D7653">
              <w:rPr>
                <w:rFonts w:ascii="Times New Roman" w:hAnsi="Times New Roman"/>
                <w:sz w:val="20"/>
                <w:szCs w:val="20"/>
              </w:rPr>
              <w:t>+4,5</w:t>
            </w:r>
          </w:p>
        </w:tc>
      </w:tr>
      <w:tr w:rsidR="006D7653" w:rsidRPr="006D7653" w14:paraId="6900F9F0" w14:textId="77777777" w:rsidTr="007E1C0A">
        <w:tc>
          <w:tcPr>
            <w:tcW w:w="4390" w:type="dxa"/>
            <w:shd w:val="clear" w:color="auto" w:fill="F2F2F2" w:themeFill="background1" w:themeFillShade="F2"/>
          </w:tcPr>
          <w:p w14:paraId="0A735FAE" w14:textId="77777777" w:rsidR="006D7653" w:rsidRPr="006D7653" w:rsidRDefault="006D7653" w:rsidP="007E1C0A">
            <w:pPr>
              <w:pStyle w:val="ListParagraph"/>
              <w:spacing w:before="0" w:after="0"/>
              <w:ind w:left="0" w:firstLine="0"/>
              <w:contextualSpacing w:val="0"/>
              <w:jc w:val="right"/>
              <w:rPr>
                <w:rFonts w:ascii="Times New Roman" w:hAnsi="Times New Roman"/>
                <w:b/>
                <w:bCs/>
                <w:sz w:val="20"/>
                <w:szCs w:val="20"/>
              </w:rPr>
            </w:pPr>
            <w:r w:rsidRPr="006D7653">
              <w:rPr>
                <w:rFonts w:ascii="Times New Roman" w:hAnsi="Times New Roman"/>
                <w:b/>
                <w:bCs/>
                <w:sz w:val="20"/>
                <w:szCs w:val="20"/>
              </w:rPr>
              <w:t>Kopā:</w:t>
            </w:r>
          </w:p>
        </w:tc>
        <w:tc>
          <w:tcPr>
            <w:tcW w:w="1559" w:type="dxa"/>
            <w:shd w:val="clear" w:color="auto" w:fill="F2F2F2" w:themeFill="background1" w:themeFillShade="F2"/>
            <w:vAlign w:val="center"/>
          </w:tcPr>
          <w:p w14:paraId="072A5AA0"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+8,0</w:t>
            </w:r>
          </w:p>
        </w:tc>
        <w:tc>
          <w:tcPr>
            <w:tcW w:w="1559" w:type="dxa"/>
            <w:shd w:val="clear" w:color="auto" w:fill="F2F2F2" w:themeFill="background1" w:themeFillShade="F2"/>
            <w:vAlign w:val="center"/>
          </w:tcPr>
          <w:p w14:paraId="7EE35961"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+17,8</w:t>
            </w:r>
          </w:p>
        </w:tc>
        <w:tc>
          <w:tcPr>
            <w:tcW w:w="1559" w:type="dxa"/>
            <w:shd w:val="clear" w:color="auto" w:fill="F2F2F2" w:themeFill="background1" w:themeFillShade="F2"/>
            <w:vAlign w:val="center"/>
          </w:tcPr>
          <w:p w14:paraId="72E8D359"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+26,1</w:t>
            </w:r>
          </w:p>
        </w:tc>
      </w:tr>
    </w:tbl>
    <w:p w14:paraId="658148B9" w14:textId="77777777" w:rsidR="006D7653" w:rsidRPr="006D7653" w:rsidRDefault="006D7653" w:rsidP="006D7653">
      <w:pPr>
        <w:ind w:firstLine="0"/>
        <w:rPr>
          <w:rFonts w:cs="Times New Roman"/>
          <w:i/>
          <w:sz w:val="18"/>
          <w:szCs w:val="18"/>
        </w:rPr>
      </w:pPr>
      <w:r w:rsidRPr="006D7653">
        <w:rPr>
          <w:rFonts w:cs="Times New Roman"/>
          <w:b/>
          <w:bCs/>
          <w:sz w:val="20"/>
          <w:szCs w:val="20"/>
          <w:vertAlign w:val="superscript"/>
        </w:rPr>
        <w:t>*</w:t>
      </w:r>
      <w:r w:rsidRPr="006D7653">
        <w:rPr>
          <w:rFonts w:cs="Times New Roman"/>
          <w:i/>
          <w:sz w:val="18"/>
          <w:szCs w:val="18"/>
        </w:rPr>
        <w:t>2024. gadā norādīta 11 mēnešu ietekme.</w:t>
      </w:r>
    </w:p>
    <w:p w14:paraId="522A768D" w14:textId="00CD645B" w:rsidR="006D7653" w:rsidRDefault="006D7653" w:rsidP="006D7653">
      <w:pPr>
        <w:tabs>
          <w:tab w:val="left" w:pos="426"/>
        </w:tabs>
        <w:spacing w:after="120"/>
        <w:ind w:firstLine="0"/>
        <w:rPr>
          <w:rFonts w:cs="Times New Roman"/>
          <w:i/>
          <w:sz w:val="20"/>
          <w:szCs w:val="24"/>
        </w:rPr>
      </w:pPr>
      <w:r w:rsidRPr="006D7653">
        <w:rPr>
          <w:rFonts w:cs="Times New Roman"/>
          <w:b/>
          <w:bCs/>
          <w:i/>
          <w:sz w:val="20"/>
          <w:szCs w:val="24"/>
        </w:rPr>
        <w:t>Avots</w:t>
      </w:r>
      <w:r w:rsidRPr="006D7653">
        <w:rPr>
          <w:rFonts w:cs="Times New Roman"/>
          <w:i/>
          <w:sz w:val="20"/>
          <w:szCs w:val="24"/>
        </w:rPr>
        <w:t>: FM aprēķini.</w:t>
      </w:r>
    </w:p>
    <w:p w14:paraId="3E9F03A6" w14:textId="77777777" w:rsidR="0072041A" w:rsidRPr="006D7653" w:rsidRDefault="0072041A" w:rsidP="006D7653">
      <w:pPr>
        <w:tabs>
          <w:tab w:val="left" w:pos="426"/>
        </w:tabs>
        <w:spacing w:after="120"/>
        <w:ind w:firstLine="0"/>
        <w:rPr>
          <w:rFonts w:cs="Times New Roman"/>
          <w:i/>
          <w:sz w:val="20"/>
          <w:szCs w:val="24"/>
        </w:rPr>
      </w:pPr>
    </w:p>
    <w:p w14:paraId="4212D77D" w14:textId="77777777" w:rsidR="006D7653" w:rsidRPr="005E364D" w:rsidRDefault="006D7653" w:rsidP="00F53BA5">
      <w:pPr>
        <w:pStyle w:val="Heading2"/>
      </w:pPr>
      <w:bookmarkStart w:id="57" w:name="_Toc141797778"/>
      <w:bookmarkStart w:id="58" w:name="_Toc142477440"/>
      <w:bookmarkStart w:id="59" w:name="_Toc142897059"/>
      <w:r w:rsidRPr="005E364D">
        <w:t>Azartspēļu nodoklis</w:t>
      </w:r>
      <w:bookmarkEnd w:id="57"/>
      <w:bookmarkEnd w:id="58"/>
      <w:bookmarkEnd w:id="59"/>
    </w:p>
    <w:p w14:paraId="67E1AF33" w14:textId="017898F5" w:rsidR="006D7653" w:rsidRPr="006D7653" w:rsidRDefault="006D7653" w:rsidP="006D7653">
      <w:pPr>
        <w:rPr>
          <w:shd w:val="clear" w:color="auto" w:fill="FFFFFF"/>
        </w:rPr>
      </w:pPr>
      <w:r w:rsidRPr="006D7653">
        <w:rPr>
          <w:shd w:val="clear" w:color="auto" w:fill="FFFFFF"/>
        </w:rPr>
        <w:t>Likuma “</w:t>
      </w:r>
      <w:r w:rsidRPr="006D7653">
        <w:rPr>
          <w:i/>
          <w:iCs/>
          <w:shd w:val="clear" w:color="auto" w:fill="FFFFFF"/>
        </w:rPr>
        <w:t>Par izložu un azartspēļu nodevu un nodokli</w:t>
      </w:r>
      <w:r w:rsidRPr="006D7653">
        <w:rPr>
          <w:shd w:val="clear" w:color="auto" w:fill="FFFFFF"/>
        </w:rPr>
        <w:t xml:space="preserve">” 3. panta pirmajā daļā azartspēļu nodokļa likmes ir noteiktas </w:t>
      </w:r>
      <w:r w:rsidR="00F53BA5">
        <w:rPr>
          <w:shd w:val="clear" w:color="auto" w:fill="FFFFFF"/>
        </w:rPr>
        <w:t>absolūtā</w:t>
      </w:r>
      <w:r w:rsidRPr="006D7653">
        <w:rPr>
          <w:shd w:val="clear" w:color="auto" w:fill="FFFFFF"/>
        </w:rPr>
        <w:t xml:space="preserve">, nevis procentuālā izteiksmē kā lielākajai daļai nodokļu, kuras neietekmē inflācija. Līdz ar to būtu lietderīgi pārskatīt </w:t>
      </w:r>
      <w:r w:rsidR="00F53BA5">
        <w:rPr>
          <w:shd w:val="clear" w:color="auto" w:fill="FFFFFF"/>
        </w:rPr>
        <w:t>absolūtā</w:t>
      </w:r>
      <w:r w:rsidRPr="006D7653">
        <w:rPr>
          <w:shd w:val="clear" w:color="auto" w:fill="FFFFFF"/>
        </w:rPr>
        <w:t xml:space="preserve"> izteiksmē noteiktās azartspēļu nodokļa likmes ik pēc noteikta laika perioda. Kopš 2020. gada 1. janvāra azartspēļu nodokļa likmes nav mainījušās. </w:t>
      </w:r>
    </w:p>
    <w:p w14:paraId="580B1ABB" w14:textId="77777777" w:rsidR="006D7653" w:rsidRPr="006D7653" w:rsidRDefault="006D7653" w:rsidP="006D7653">
      <w:pPr>
        <w:rPr>
          <w:shd w:val="clear" w:color="auto" w:fill="FFFFFF"/>
        </w:rPr>
      </w:pPr>
      <w:r w:rsidRPr="006D7653">
        <w:rPr>
          <w:shd w:val="clear" w:color="auto" w:fill="FFFFFF"/>
        </w:rPr>
        <w:t>Azartspēļu nozare ir saistīta ar īpaši augstu sociālo risku, tādēļ valstij ir nepieciešams veikt regulējošo funkciju, kas daļēji tiek īstenota ar azartspēļu nodevas un nodokļa palīdzību. Vienlaikus azartspēļu nodevai un nodoklim ir fiskālā funkcija, kuras uzdevums ir vismaz daļēji nodrošināt ieņēmumus azartspēļu iespējamo negatīvo seku mazināšanai.</w:t>
      </w:r>
    </w:p>
    <w:p w14:paraId="3D0D64A8" w14:textId="77777777" w:rsidR="006D7653" w:rsidRPr="006D7653" w:rsidRDefault="006D7653" w:rsidP="006D7653">
      <w:pPr>
        <w:rPr>
          <w:shd w:val="clear" w:color="auto" w:fill="FFFFFF"/>
        </w:rPr>
      </w:pPr>
      <w:r w:rsidRPr="006D7653">
        <w:rPr>
          <w:shd w:val="clear" w:color="auto" w:fill="FFFFFF"/>
        </w:rPr>
        <w:lastRenderedPageBreak/>
        <w:t xml:space="preserve">Pēc </w:t>
      </w:r>
      <w:r w:rsidRPr="006D7653">
        <w:t>Izložu un azartspēļu uzraudzības inspekcijas datiem</w:t>
      </w:r>
      <w:r w:rsidRPr="006D7653">
        <w:rPr>
          <w:color w:val="212121"/>
        </w:rPr>
        <w:t xml:space="preserve"> azartspēļu organizētāju </w:t>
      </w:r>
      <w:r w:rsidRPr="006D7653">
        <w:rPr>
          <w:shd w:val="clear" w:color="auto" w:fill="FFFFFF"/>
        </w:rPr>
        <w:t>ieņēmumi no azartspēlēm, kuras organizē, izmantojot telekomunikācijas (</w:t>
      </w:r>
      <w:r w:rsidRPr="006D7653">
        <w:rPr>
          <w:i/>
          <w:iCs/>
          <w:shd w:val="clear" w:color="auto" w:fill="FFFFFF"/>
        </w:rPr>
        <w:t>turpmāk tekstā – interaktīvās azartspēles</w:t>
      </w:r>
      <w:r w:rsidRPr="006D7653">
        <w:rPr>
          <w:shd w:val="clear" w:color="auto" w:fill="FFFFFF"/>
        </w:rPr>
        <w:t>), 2021.</w:t>
      </w:r>
      <w:r w:rsidRPr="006D7653">
        <w:t> </w:t>
      </w:r>
      <w:r w:rsidRPr="006D7653">
        <w:rPr>
          <w:shd w:val="clear" w:color="auto" w:fill="FFFFFF"/>
        </w:rPr>
        <w:t>gadā ir pieauguši par 99,4% un 2022.</w:t>
      </w:r>
      <w:r w:rsidRPr="006D7653">
        <w:t> </w:t>
      </w:r>
      <w:r w:rsidRPr="006D7653">
        <w:rPr>
          <w:shd w:val="clear" w:color="auto" w:fill="FFFFFF"/>
        </w:rPr>
        <w:t>gadā – par 126,7%, salīdzinot ar 2019. gadu.</w:t>
      </w:r>
    </w:p>
    <w:p w14:paraId="45DB4A03" w14:textId="77777777" w:rsidR="006D7653" w:rsidRPr="006D7653" w:rsidRDefault="006D7653" w:rsidP="006D7653">
      <w:bookmarkStart w:id="60" w:name="_Hlk140862128"/>
      <w:r w:rsidRPr="006D7653">
        <w:t xml:space="preserve">Šobrīd Latvijā atbilstoši likuma </w:t>
      </w:r>
      <w:r w:rsidRPr="006D7653">
        <w:rPr>
          <w:shd w:val="clear" w:color="auto" w:fill="FFFFFF"/>
        </w:rPr>
        <w:t>“</w:t>
      </w:r>
      <w:r w:rsidRPr="006D7653">
        <w:rPr>
          <w:i/>
          <w:iCs/>
          <w:shd w:val="clear" w:color="auto" w:fill="FFFFFF"/>
        </w:rPr>
        <w:t>Par izložu un azartspēļu nodevu un nodokli</w:t>
      </w:r>
      <w:r w:rsidRPr="006D7653">
        <w:rPr>
          <w:shd w:val="clear" w:color="auto" w:fill="FFFFFF"/>
        </w:rPr>
        <w:t xml:space="preserve">” </w:t>
      </w:r>
      <w:r w:rsidRPr="006D7653">
        <w:t>3. panta piektajai daļai azartspēļu nodoklis interaktīvajām azartspēlēm</w:t>
      </w:r>
      <w:r w:rsidRPr="006D7653">
        <w:rPr>
          <w:shd w:val="clear" w:color="auto" w:fill="FFFFFF"/>
        </w:rPr>
        <w:t xml:space="preserve"> </w:t>
      </w:r>
      <w:bookmarkStart w:id="61" w:name="_Hlk140864632"/>
      <w:r w:rsidRPr="006D7653">
        <w:t xml:space="preserve">ir </w:t>
      </w:r>
      <w:r w:rsidRPr="006D7653">
        <w:rPr>
          <w:noProof/>
          <w:shd w:val="clear" w:color="auto" w:fill="FFFFFF"/>
        </w:rPr>
        <w:t>10%</w:t>
      </w:r>
      <w:r w:rsidRPr="006D7653">
        <w:rPr>
          <w:shd w:val="clear" w:color="auto" w:fill="FFFFFF"/>
        </w:rPr>
        <w:t xml:space="preserve"> apmērā no šīs spēles organizēšanas ieņēmumiem.</w:t>
      </w:r>
    </w:p>
    <w:bookmarkEnd w:id="61"/>
    <w:p w14:paraId="08B32BC9" w14:textId="77777777" w:rsidR="006D7653" w:rsidRPr="006D7653" w:rsidRDefault="006D7653" w:rsidP="006D7653">
      <w:pPr>
        <w:rPr>
          <w:shd w:val="clear" w:color="auto" w:fill="FFFFFF"/>
        </w:rPr>
      </w:pPr>
      <w:r w:rsidRPr="006D7653">
        <w:t xml:space="preserve">Jāatzīmē, ka </w:t>
      </w:r>
      <w:bookmarkStart w:id="62" w:name="_Hlk140864787"/>
      <w:r w:rsidRPr="006D7653">
        <w:t xml:space="preserve">Lietuvā azartspēļu nodoklis interaktīvajām azartspēlēm ir 20% apmērā no </w:t>
      </w:r>
      <w:r w:rsidRPr="006D7653">
        <w:rPr>
          <w:shd w:val="clear" w:color="auto" w:fill="FFFFFF"/>
        </w:rPr>
        <w:t>organizēšanas ieņēmumiem.</w:t>
      </w:r>
      <w:bookmarkEnd w:id="62"/>
      <w:r w:rsidRPr="006D7653">
        <w:rPr>
          <w:shd w:val="clear" w:color="auto" w:fill="FFFFFF"/>
        </w:rPr>
        <w:t xml:space="preserve"> </w:t>
      </w:r>
      <w:r w:rsidRPr="006D7653">
        <w:t xml:space="preserve">Igaunijā azartspēļu nodoklis interaktīvajām azartspēlēm ir 5% apmērā no </w:t>
      </w:r>
      <w:r w:rsidRPr="006D7653">
        <w:rPr>
          <w:shd w:val="clear" w:color="auto" w:fill="FFFFFF"/>
        </w:rPr>
        <w:t xml:space="preserve">organizēšanas ieņēmumiem, bet </w:t>
      </w:r>
      <w:bookmarkStart w:id="63" w:name="_Hlk140865075"/>
      <w:r w:rsidRPr="006D7653">
        <w:rPr>
          <w:shd w:val="clear" w:color="auto" w:fill="FFFFFF"/>
        </w:rPr>
        <w:t>Igaunijā</w:t>
      </w:r>
      <w:bookmarkEnd w:id="63"/>
      <w:r w:rsidRPr="006D7653">
        <w:rPr>
          <w:shd w:val="clear" w:color="auto" w:fill="FFFFFF"/>
        </w:rPr>
        <w:t xml:space="preserve"> plānots paaugstināt azartspēļu nodokļa likmi, sākot ar 2024. gadu, līdz 6% apmēram un, sākot ar 2026. gadu, līdz 7% apmēram no organizēšanas ieņēmumiem.</w:t>
      </w:r>
    </w:p>
    <w:bookmarkEnd w:id="60"/>
    <w:p w14:paraId="5CA37790" w14:textId="77777777" w:rsidR="006D7653" w:rsidRPr="006D7653" w:rsidRDefault="006D7653" w:rsidP="006D7653">
      <w:pPr>
        <w:rPr>
          <w:shd w:val="clear" w:color="auto" w:fill="FFFFFF"/>
        </w:rPr>
      </w:pPr>
      <w:r w:rsidRPr="006D7653">
        <w:rPr>
          <w:shd w:val="clear" w:color="auto" w:fill="FFFFFF"/>
        </w:rPr>
        <w:t xml:space="preserve">Lai sabalansētu nodokļa likmes ar inflācijas un vidējo algu pieaugumu valstī, kā arī palielinātu ieņēmumus valsts budžetā un nodrošinātu valsts izdevumu pozīciju segšanu, izskatot iesniegtos priekšlikumus, </w:t>
      </w:r>
      <w:r w:rsidRPr="006D7653">
        <w:rPr>
          <w:i/>
          <w:iCs/>
          <w:szCs w:val="24"/>
        </w:rPr>
        <w:t>Valsts nodokļu pamatnostādņu 2024. - 2027. gadam</w:t>
      </w:r>
      <w:r w:rsidRPr="006D7653">
        <w:rPr>
          <w:szCs w:val="24"/>
        </w:rPr>
        <w:t xml:space="preserve"> ietvaros ir izvērtēts</w:t>
      </w:r>
      <w:r w:rsidRPr="006D7653">
        <w:rPr>
          <w:shd w:val="clear" w:color="auto" w:fill="FFFFFF"/>
        </w:rPr>
        <w:t xml:space="preserve">, sākot ar 2024. gadu: </w:t>
      </w:r>
    </w:p>
    <w:p w14:paraId="062EBC56" w14:textId="77777777" w:rsidR="006D7653" w:rsidRPr="006D7653" w:rsidRDefault="006D7653" w:rsidP="006D7653">
      <w:pPr>
        <w:pStyle w:val="ListParagraph"/>
        <w:numPr>
          <w:ilvl w:val="0"/>
          <w:numId w:val="7"/>
        </w:numPr>
        <w:ind w:left="924" w:hanging="357"/>
        <w:contextualSpacing w:val="0"/>
        <w:rPr>
          <w:rFonts w:ascii="Times New Roman" w:hAnsi="Times New Roman"/>
          <w:sz w:val="24"/>
          <w:szCs w:val="24"/>
        </w:rPr>
      </w:pPr>
      <w:r w:rsidRPr="006D7653">
        <w:rPr>
          <w:rFonts w:ascii="Times New Roman" w:hAnsi="Times New Roman"/>
          <w:sz w:val="24"/>
          <w:szCs w:val="24"/>
        </w:rPr>
        <w:t xml:space="preserve">paaugstināt </w:t>
      </w:r>
      <w:bookmarkStart w:id="64" w:name="_Hlk140859376"/>
      <w:r w:rsidRPr="006D7653">
        <w:rPr>
          <w:rFonts w:ascii="Times New Roman" w:hAnsi="Times New Roman"/>
          <w:sz w:val="24"/>
          <w:szCs w:val="24"/>
        </w:rPr>
        <w:t xml:space="preserve">par 20% </w:t>
      </w:r>
      <w:bookmarkEnd w:id="64"/>
      <w:r w:rsidRPr="006D7653">
        <w:rPr>
          <w:rFonts w:ascii="Times New Roman" w:hAnsi="Times New Roman"/>
          <w:sz w:val="24"/>
          <w:szCs w:val="24"/>
        </w:rPr>
        <w:t>azartspēļu nodokļa likmi azartspēļu automātiem (par katra azartspēļu automāta katru spēles vietu) par kalendāro gadu no 5 172 </w:t>
      </w:r>
      <w:r w:rsidRPr="006D7653">
        <w:rPr>
          <w:rFonts w:ascii="Times New Roman" w:hAnsi="Times New Roman"/>
          <w:i/>
          <w:iCs/>
          <w:sz w:val="24"/>
          <w:szCs w:val="24"/>
        </w:rPr>
        <w:t>euro</w:t>
      </w:r>
      <w:r w:rsidRPr="006D7653">
        <w:rPr>
          <w:rFonts w:ascii="Times New Roman" w:hAnsi="Times New Roman"/>
          <w:sz w:val="24"/>
          <w:szCs w:val="24"/>
        </w:rPr>
        <w:t xml:space="preserve"> uz</w:t>
      </w:r>
      <w:bookmarkStart w:id="65" w:name="_Hlk140866094"/>
      <w:r w:rsidRPr="006D7653">
        <w:rPr>
          <w:rFonts w:ascii="Times New Roman" w:hAnsi="Times New Roman"/>
          <w:sz w:val="24"/>
          <w:szCs w:val="24"/>
        </w:rPr>
        <w:t xml:space="preserve"> 6 204</w:t>
      </w:r>
      <w:bookmarkEnd w:id="65"/>
      <w:r w:rsidRPr="006D7653">
        <w:rPr>
          <w:rFonts w:ascii="Times New Roman" w:hAnsi="Times New Roman"/>
          <w:sz w:val="24"/>
          <w:szCs w:val="24"/>
        </w:rPr>
        <w:t> </w:t>
      </w:r>
      <w:r w:rsidRPr="006D7653">
        <w:rPr>
          <w:rFonts w:ascii="Times New Roman" w:hAnsi="Times New Roman"/>
          <w:i/>
          <w:iCs/>
          <w:sz w:val="24"/>
          <w:szCs w:val="24"/>
        </w:rPr>
        <w:t>euro</w:t>
      </w:r>
      <w:r w:rsidRPr="006D7653">
        <w:rPr>
          <w:rFonts w:ascii="Times New Roman" w:hAnsi="Times New Roman"/>
          <w:sz w:val="24"/>
          <w:szCs w:val="24"/>
        </w:rPr>
        <w:t>;</w:t>
      </w:r>
    </w:p>
    <w:p w14:paraId="49FBEDBB" w14:textId="77777777" w:rsidR="006D7653" w:rsidRPr="006D7653" w:rsidRDefault="006D7653" w:rsidP="006D7653">
      <w:pPr>
        <w:pStyle w:val="ListParagraph"/>
        <w:numPr>
          <w:ilvl w:val="0"/>
          <w:numId w:val="7"/>
        </w:numPr>
        <w:ind w:left="924" w:hanging="357"/>
        <w:contextualSpacing w:val="0"/>
        <w:rPr>
          <w:rFonts w:ascii="Times New Roman" w:hAnsi="Times New Roman"/>
          <w:sz w:val="24"/>
          <w:szCs w:val="24"/>
        </w:rPr>
      </w:pPr>
      <w:r w:rsidRPr="006D7653">
        <w:rPr>
          <w:rFonts w:ascii="Times New Roman" w:hAnsi="Times New Roman"/>
          <w:sz w:val="24"/>
          <w:szCs w:val="24"/>
        </w:rPr>
        <w:t>paaugstināt par 20% azartspēļu nodokļa likmi ruletei un kāršu un kauliņu spēlei (par katru galdu) par kalendāro gadu no 28 080 </w:t>
      </w:r>
      <w:r w:rsidRPr="006D7653">
        <w:rPr>
          <w:rFonts w:ascii="Times New Roman" w:hAnsi="Times New Roman"/>
          <w:i/>
          <w:iCs/>
          <w:sz w:val="24"/>
          <w:szCs w:val="24"/>
        </w:rPr>
        <w:t>euro</w:t>
      </w:r>
      <w:r w:rsidRPr="006D7653">
        <w:rPr>
          <w:rFonts w:ascii="Times New Roman" w:hAnsi="Times New Roman"/>
          <w:sz w:val="24"/>
          <w:szCs w:val="24"/>
        </w:rPr>
        <w:t xml:space="preserve"> uz 33 696 </w:t>
      </w:r>
      <w:r w:rsidRPr="006D7653">
        <w:rPr>
          <w:rFonts w:ascii="Times New Roman" w:hAnsi="Times New Roman"/>
          <w:i/>
          <w:iCs/>
          <w:sz w:val="24"/>
          <w:szCs w:val="24"/>
        </w:rPr>
        <w:t>euro</w:t>
      </w:r>
      <w:r w:rsidRPr="006D7653">
        <w:rPr>
          <w:rFonts w:ascii="Times New Roman" w:hAnsi="Times New Roman"/>
          <w:sz w:val="24"/>
          <w:szCs w:val="24"/>
        </w:rPr>
        <w:t xml:space="preserve">; </w:t>
      </w:r>
    </w:p>
    <w:p w14:paraId="60DC0B81" w14:textId="77777777" w:rsidR="006D7653" w:rsidRPr="006D7653" w:rsidRDefault="006D7653" w:rsidP="006D7653">
      <w:pPr>
        <w:pStyle w:val="ListParagraph"/>
        <w:numPr>
          <w:ilvl w:val="0"/>
          <w:numId w:val="7"/>
        </w:numPr>
        <w:ind w:left="924" w:hanging="357"/>
        <w:contextualSpacing w:val="0"/>
        <w:rPr>
          <w:rFonts w:ascii="Times New Roman" w:hAnsi="Times New Roman"/>
          <w:sz w:val="24"/>
          <w:szCs w:val="24"/>
        </w:rPr>
      </w:pPr>
      <w:r w:rsidRPr="006D7653">
        <w:rPr>
          <w:rFonts w:ascii="Times New Roman" w:hAnsi="Times New Roman"/>
          <w:sz w:val="24"/>
          <w:szCs w:val="24"/>
        </w:rPr>
        <w:t>paaugstināt par 20% azartspēļu nodokļa likmi likuma “</w:t>
      </w:r>
      <w:r w:rsidRPr="006D7653">
        <w:rPr>
          <w:rFonts w:ascii="Times New Roman" w:hAnsi="Times New Roman"/>
          <w:i/>
          <w:iCs/>
          <w:sz w:val="24"/>
          <w:szCs w:val="24"/>
        </w:rPr>
        <w:t>Par izložu un azartspēļu nodevu un nodokli</w:t>
      </w:r>
      <w:r w:rsidRPr="006D7653">
        <w:rPr>
          <w:rFonts w:ascii="Times New Roman" w:hAnsi="Times New Roman"/>
          <w:sz w:val="24"/>
          <w:szCs w:val="24"/>
        </w:rPr>
        <w:t>” 3. panta piektajā daļā minētajam objektam (azartspēlēm, kuras organizē, izmantojot telekomunikācijas, neatkarīgi no spēles veida) no 10</w:t>
      </w:r>
      <w:bookmarkStart w:id="66" w:name="_Hlk140857292"/>
      <w:r w:rsidRPr="006D7653">
        <w:rPr>
          <w:rFonts w:ascii="Times New Roman" w:hAnsi="Times New Roman"/>
          <w:sz w:val="24"/>
          <w:szCs w:val="24"/>
        </w:rPr>
        <w:t xml:space="preserve">% apmēra </w:t>
      </w:r>
      <w:bookmarkEnd w:id="66"/>
      <w:r w:rsidRPr="006D7653">
        <w:rPr>
          <w:rFonts w:ascii="Times New Roman" w:hAnsi="Times New Roman"/>
          <w:sz w:val="24"/>
          <w:szCs w:val="24"/>
        </w:rPr>
        <w:t xml:space="preserve">uz 12% apmēru </w:t>
      </w:r>
      <w:bookmarkStart w:id="67" w:name="_Hlk140864112"/>
      <w:r w:rsidRPr="006D7653">
        <w:rPr>
          <w:rFonts w:ascii="Times New Roman" w:hAnsi="Times New Roman"/>
          <w:sz w:val="24"/>
          <w:szCs w:val="24"/>
        </w:rPr>
        <w:t>no šīs spēles organizēšanas ieņēmumiem</w:t>
      </w:r>
      <w:bookmarkEnd w:id="67"/>
      <w:r w:rsidRPr="006D7653">
        <w:rPr>
          <w:rFonts w:ascii="Times New Roman" w:hAnsi="Times New Roman"/>
          <w:sz w:val="24"/>
          <w:szCs w:val="24"/>
        </w:rPr>
        <w:t>.</w:t>
      </w:r>
    </w:p>
    <w:p w14:paraId="47FF72FC" w14:textId="618C8395" w:rsidR="0072041A" w:rsidRPr="006D7653" w:rsidRDefault="006D7653" w:rsidP="0072041A">
      <w:pPr>
        <w:rPr>
          <w:rFonts w:cs="Times New Roman"/>
        </w:rPr>
      </w:pPr>
      <w:r w:rsidRPr="006D7653">
        <w:t>Azartspēļu nodokļa likmju izmaiņas (par +20%) palielina ieņēmumus budžetā par aptuveni 6 milj. euro jeb 0,01% punktiem no IKP</w:t>
      </w:r>
      <w:r w:rsidRPr="006D7653">
        <w:rPr>
          <w:rFonts w:cs="Times New Roman"/>
        </w:rPr>
        <w:t>.</w:t>
      </w:r>
    </w:p>
    <w:p w14:paraId="73B276FF" w14:textId="2597EB27" w:rsidR="006D7653" w:rsidRPr="006D7653" w:rsidRDefault="009E3CC5" w:rsidP="006D7653">
      <w:pPr>
        <w:spacing w:after="120"/>
        <w:jc w:val="center"/>
        <w:rPr>
          <w:rFonts w:cs="Times New Roman"/>
          <w:sz w:val="22"/>
          <w:szCs w:val="24"/>
        </w:rPr>
      </w:pPr>
      <w:r>
        <w:rPr>
          <w:rFonts w:cs="Times New Roman"/>
          <w:sz w:val="22"/>
          <w:szCs w:val="24"/>
        </w:rPr>
        <w:t>11</w:t>
      </w:r>
      <w:r w:rsidR="006D7653" w:rsidRPr="006D7653">
        <w:rPr>
          <w:rFonts w:cs="Times New Roman"/>
          <w:sz w:val="22"/>
          <w:szCs w:val="24"/>
        </w:rPr>
        <w:t>. tab</w:t>
      </w:r>
      <w:r w:rsidR="006D7653" w:rsidRPr="007771F4">
        <w:rPr>
          <w:rFonts w:cs="Times New Roman"/>
          <w:bCs/>
          <w:sz w:val="22"/>
          <w:szCs w:val="24"/>
        </w:rPr>
        <w:t>.</w:t>
      </w:r>
      <w:r w:rsidR="006D7653" w:rsidRPr="006D7653">
        <w:rPr>
          <w:rFonts w:cs="Times New Roman"/>
          <w:b/>
          <w:sz w:val="22"/>
          <w:szCs w:val="24"/>
        </w:rPr>
        <w:t xml:space="preserve"> Priekšlikumu indikatīva fiskālā ietekme</w:t>
      </w:r>
      <w:r w:rsidR="006D7653" w:rsidRPr="006D7653">
        <w:rPr>
          <w:rFonts w:cs="Times New Roman"/>
          <w:bCs/>
          <w:sz w:val="22"/>
          <w:szCs w:val="24"/>
        </w:rPr>
        <w:t xml:space="preserve">, </w:t>
      </w:r>
      <w:r w:rsidR="006D7653" w:rsidRPr="006D7653">
        <w:rPr>
          <w:rFonts w:cs="Times New Roman"/>
          <w:bCs/>
          <w:i/>
          <w:iCs/>
          <w:sz w:val="22"/>
          <w:szCs w:val="24"/>
        </w:rPr>
        <w:t>milj. euro</w:t>
      </w:r>
    </w:p>
    <w:tbl>
      <w:tblPr>
        <w:tblStyle w:val="TableGrid"/>
        <w:tblW w:w="9067" w:type="dxa"/>
        <w:tblInd w:w="5" w:type="dxa"/>
        <w:tblLook w:val="04A0" w:firstRow="1" w:lastRow="0" w:firstColumn="1" w:lastColumn="0" w:noHBand="0" w:noVBand="1"/>
      </w:tblPr>
      <w:tblGrid>
        <w:gridCol w:w="4390"/>
        <w:gridCol w:w="1559"/>
        <w:gridCol w:w="1559"/>
        <w:gridCol w:w="1559"/>
      </w:tblGrid>
      <w:tr w:rsidR="006D7653" w:rsidRPr="006D7653" w14:paraId="1DFCB5FF" w14:textId="77777777" w:rsidTr="007E1C0A">
        <w:tc>
          <w:tcPr>
            <w:tcW w:w="4390" w:type="dxa"/>
            <w:tcBorders>
              <w:top w:val="nil"/>
              <w:left w:val="nil"/>
              <w:bottom w:val="single" w:sz="12" w:space="0" w:color="auto"/>
              <w:right w:val="nil"/>
            </w:tcBorders>
          </w:tcPr>
          <w:p w14:paraId="208C1A3C"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p>
        </w:tc>
        <w:tc>
          <w:tcPr>
            <w:tcW w:w="1559" w:type="dxa"/>
            <w:tcBorders>
              <w:top w:val="nil"/>
              <w:left w:val="nil"/>
              <w:bottom w:val="single" w:sz="12" w:space="0" w:color="auto"/>
              <w:right w:val="nil"/>
            </w:tcBorders>
            <w:vAlign w:val="bottom"/>
          </w:tcPr>
          <w:p w14:paraId="39D7448B"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2024</w:t>
            </w:r>
          </w:p>
        </w:tc>
        <w:tc>
          <w:tcPr>
            <w:tcW w:w="1559" w:type="dxa"/>
            <w:tcBorders>
              <w:top w:val="nil"/>
              <w:left w:val="nil"/>
              <w:bottom w:val="single" w:sz="12" w:space="0" w:color="auto"/>
              <w:right w:val="nil"/>
            </w:tcBorders>
            <w:vAlign w:val="bottom"/>
          </w:tcPr>
          <w:p w14:paraId="126D4CAF"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2025</w:t>
            </w:r>
          </w:p>
        </w:tc>
        <w:tc>
          <w:tcPr>
            <w:tcW w:w="1559" w:type="dxa"/>
            <w:tcBorders>
              <w:top w:val="nil"/>
              <w:left w:val="nil"/>
              <w:bottom w:val="single" w:sz="12" w:space="0" w:color="auto"/>
              <w:right w:val="nil"/>
            </w:tcBorders>
            <w:vAlign w:val="bottom"/>
          </w:tcPr>
          <w:p w14:paraId="0623944B"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2026</w:t>
            </w:r>
          </w:p>
        </w:tc>
      </w:tr>
      <w:tr w:rsidR="006D7653" w:rsidRPr="006D7653" w14:paraId="560209FB" w14:textId="77777777" w:rsidTr="007E1C0A">
        <w:tc>
          <w:tcPr>
            <w:tcW w:w="4390" w:type="dxa"/>
            <w:tcBorders>
              <w:top w:val="single" w:sz="12" w:space="0" w:color="auto"/>
            </w:tcBorders>
          </w:tcPr>
          <w:p w14:paraId="02DECCAF" w14:textId="77777777" w:rsidR="006D7653" w:rsidRPr="006D7653" w:rsidRDefault="006D7653" w:rsidP="007E1C0A">
            <w:pPr>
              <w:pStyle w:val="ListParagraph"/>
              <w:spacing w:before="0" w:after="0"/>
              <w:ind w:left="0" w:firstLine="0"/>
              <w:contextualSpacing w:val="0"/>
              <w:rPr>
                <w:rFonts w:ascii="Times New Roman" w:hAnsi="Times New Roman"/>
                <w:sz w:val="20"/>
                <w:szCs w:val="20"/>
              </w:rPr>
            </w:pPr>
            <w:r w:rsidRPr="006D7653">
              <w:rPr>
                <w:rFonts w:ascii="Times New Roman" w:hAnsi="Times New Roman"/>
                <w:sz w:val="20"/>
                <w:szCs w:val="20"/>
              </w:rPr>
              <w:t>Izložu un azartspēļu nodokļa ieņēmumi</w:t>
            </w:r>
          </w:p>
        </w:tc>
        <w:tc>
          <w:tcPr>
            <w:tcW w:w="1559" w:type="dxa"/>
            <w:tcBorders>
              <w:top w:val="single" w:sz="12" w:space="0" w:color="auto"/>
            </w:tcBorders>
          </w:tcPr>
          <w:p w14:paraId="385F0F45" w14:textId="77777777" w:rsidR="006D7653" w:rsidRPr="006D7653" w:rsidRDefault="006D7653" w:rsidP="007E1C0A">
            <w:pPr>
              <w:pStyle w:val="ListParagraph"/>
              <w:spacing w:before="0" w:after="0"/>
              <w:ind w:left="0" w:firstLine="0"/>
              <w:contextualSpacing w:val="0"/>
              <w:jc w:val="center"/>
              <w:rPr>
                <w:rFonts w:ascii="Times New Roman" w:hAnsi="Times New Roman"/>
                <w:sz w:val="20"/>
                <w:szCs w:val="20"/>
              </w:rPr>
            </w:pPr>
            <w:r w:rsidRPr="006D7653">
              <w:rPr>
                <w:rFonts w:ascii="Times New Roman" w:hAnsi="Times New Roman"/>
                <w:sz w:val="20"/>
                <w:szCs w:val="20"/>
              </w:rPr>
              <w:t>+5,2</w:t>
            </w:r>
          </w:p>
        </w:tc>
        <w:tc>
          <w:tcPr>
            <w:tcW w:w="1559" w:type="dxa"/>
            <w:tcBorders>
              <w:top w:val="single" w:sz="12" w:space="0" w:color="auto"/>
            </w:tcBorders>
          </w:tcPr>
          <w:p w14:paraId="31D99EAA" w14:textId="77777777" w:rsidR="006D7653" w:rsidRPr="006D7653" w:rsidRDefault="006D7653" w:rsidP="007E1C0A">
            <w:pPr>
              <w:pStyle w:val="ListParagraph"/>
              <w:spacing w:before="0" w:after="0"/>
              <w:ind w:left="0" w:firstLine="0"/>
              <w:contextualSpacing w:val="0"/>
              <w:jc w:val="center"/>
              <w:rPr>
                <w:rFonts w:ascii="Times New Roman" w:hAnsi="Times New Roman"/>
                <w:sz w:val="20"/>
                <w:szCs w:val="20"/>
              </w:rPr>
            </w:pPr>
            <w:r w:rsidRPr="006D7653">
              <w:rPr>
                <w:rFonts w:ascii="Times New Roman" w:hAnsi="Times New Roman"/>
                <w:sz w:val="20"/>
                <w:szCs w:val="20"/>
              </w:rPr>
              <w:t>+5,5</w:t>
            </w:r>
          </w:p>
        </w:tc>
        <w:tc>
          <w:tcPr>
            <w:tcW w:w="1559" w:type="dxa"/>
            <w:tcBorders>
              <w:top w:val="single" w:sz="12" w:space="0" w:color="auto"/>
            </w:tcBorders>
          </w:tcPr>
          <w:p w14:paraId="04A8AD03" w14:textId="77777777" w:rsidR="006D7653" w:rsidRPr="006D7653" w:rsidRDefault="006D7653" w:rsidP="007E1C0A">
            <w:pPr>
              <w:pStyle w:val="ListParagraph"/>
              <w:spacing w:before="0" w:after="0"/>
              <w:ind w:left="0" w:firstLine="0"/>
              <w:contextualSpacing w:val="0"/>
              <w:jc w:val="center"/>
              <w:rPr>
                <w:rFonts w:ascii="Times New Roman" w:hAnsi="Times New Roman"/>
                <w:sz w:val="20"/>
                <w:szCs w:val="20"/>
              </w:rPr>
            </w:pPr>
            <w:r w:rsidRPr="006D7653">
              <w:rPr>
                <w:rFonts w:ascii="Times New Roman" w:hAnsi="Times New Roman"/>
                <w:sz w:val="20"/>
                <w:szCs w:val="20"/>
              </w:rPr>
              <w:t>+5,9</w:t>
            </w:r>
          </w:p>
        </w:tc>
      </w:tr>
      <w:tr w:rsidR="006D7653" w:rsidRPr="006D7653" w14:paraId="49F85E3D" w14:textId="77777777" w:rsidTr="007E1C0A">
        <w:tc>
          <w:tcPr>
            <w:tcW w:w="4390" w:type="dxa"/>
            <w:shd w:val="clear" w:color="auto" w:fill="F2F2F2" w:themeFill="background1" w:themeFillShade="F2"/>
          </w:tcPr>
          <w:p w14:paraId="2745BD60" w14:textId="77777777" w:rsidR="006D7653" w:rsidRPr="006D7653" w:rsidRDefault="006D7653" w:rsidP="007E1C0A">
            <w:pPr>
              <w:pStyle w:val="ListParagraph"/>
              <w:spacing w:before="0" w:after="0"/>
              <w:ind w:left="0" w:firstLine="0"/>
              <w:contextualSpacing w:val="0"/>
              <w:jc w:val="right"/>
              <w:rPr>
                <w:rFonts w:ascii="Times New Roman" w:hAnsi="Times New Roman"/>
                <w:b/>
                <w:bCs/>
                <w:sz w:val="20"/>
                <w:szCs w:val="20"/>
              </w:rPr>
            </w:pPr>
            <w:r w:rsidRPr="006D7653">
              <w:rPr>
                <w:rFonts w:ascii="Times New Roman" w:hAnsi="Times New Roman"/>
                <w:b/>
                <w:bCs/>
                <w:sz w:val="20"/>
                <w:szCs w:val="20"/>
              </w:rPr>
              <w:t>Kopā:</w:t>
            </w:r>
          </w:p>
        </w:tc>
        <w:tc>
          <w:tcPr>
            <w:tcW w:w="1559" w:type="dxa"/>
            <w:shd w:val="clear" w:color="auto" w:fill="F2F2F2" w:themeFill="background1" w:themeFillShade="F2"/>
          </w:tcPr>
          <w:p w14:paraId="397EC186"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+5,2</w:t>
            </w:r>
          </w:p>
        </w:tc>
        <w:tc>
          <w:tcPr>
            <w:tcW w:w="1559" w:type="dxa"/>
            <w:shd w:val="clear" w:color="auto" w:fill="F2F2F2" w:themeFill="background1" w:themeFillShade="F2"/>
          </w:tcPr>
          <w:p w14:paraId="4ED30D9E"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+5,5</w:t>
            </w:r>
          </w:p>
        </w:tc>
        <w:tc>
          <w:tcPr>
            <w:tcW w:w="1559" w:type="dxa"/>
            <w:shd w:val="clear" w:color="auto" w:fill="F2F2F2" w:themeFill="background1" w:themeFillShade="F2"/>
          </w:tcPr>
          <w:p w14:paraId="11BE3B5F"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+5,9</w:t>
            </w:r>
          </w:p>
        </w:tc>
      </w:tr>
    </w:tbl>
    <w:p w14:paraId="584422E0" w14:textId="77777777" w:rsidR="006D7653" w:rsidRPr="006D7653" w:rsidRDefault="006D7653" w:rsidP="006D7653">
      <w:pPr>
        <w:tabs>
          <w:tab w:val="left" w:pos="426"/>
        </w:tabs>
        <w:spacing w:after="120"/>
        <w:ind w:firstLine="0"/>
        <w:rPr>
          <w:rFonts w:cs="Times New Roman"/>
          <w:i/>
          <w:sz w:val="20"/>
          <w:szCs w:val="24"/>
        </w:rPr>
      </w:pPr>
      <w:r w:rsidRPr="006D7653">
        <w:rPr>
          <w:rFonts w:cs="Times New Roman"/>
          <w:b/>
          <w:bCs/>
          <w:i/>
          <w:sz w:val="20"/>
          <w:szCs w:val="24"/>
        </w:rPr>
        <w:t>Avots</w:t>
      </w:r>
      <w:r w:rsidRPr="006D7653">
        <w:rPr>
          <w:rFonts w:cs="Times New Roman"/>
          <w:i/>
          <w:sz w:val="20"/>
          <w:szCs w:val="24"/>
        </w:rPr>
        <w:t>: FM aprēķini.</w:t>
      </w:r>
    </w:p>
    <w:p w14:paraId="07D31D3B" w14:textId="77777777" w:rsidR="00882079" w:rsidRDefault="00882079" w:rsidP="006D7653">
      <w:bookmarkStart w:id="68" w:name="_Toc141357207"/>
      <w:bookmarkStart w:id="69" w:name="_Toc141373039"/>
      <w:bookmarkStart w:id="70" w:name="_Toc141357208"/>
      <w:bookmarkStart w:id="71" w:name="_Toc141373040"/>
      <w:bookmarkEnd w:id="68"/>
      <w:bookmarkEnd w:id="69"/>
      <w:bookmarkEnd w:id="70"/>
      <w:bookmarkEnd w:id="71"/>
    </w:p>
    <w:p w14:paraId="0CE7CEA4" w14:textId="45A9C383" w:rsidR="00D520C4" w:rsidRPr="00D520C4" w:rsidRDefault="00D520C4" w:rsidP="00F53BA5">
      <w:pPr>
        <w:pStyle w:val="Heading2"/>
      </w:pPr>
      <w:bookmarkStart w:id="72" w:name="_Toc142897060"/>
      <w:r w:rsidRPr="00D520C4">
        <w:t>Mikrouzņēmumu nodoklis</w:t>
      </w:r>
      <w:bookmarkEnd w:id="72"/>
    </w:p>
    <w:p w14:paraId="3705142A" w14:textId="77777777" w:rsidR="006D7653" w:rsidRPr="006D7653" w:rsidRDefault="006D7653" w:rsidP="006D7653">
      <w:pPr>
        <w:ind w:firstLine="0"/>
        <w:rPr>
          <w:rFonts w:cs="Times New Roman"/>
          <w:b/>
          <w:bCs/>
          <w:i/>
          <w:iCs/>
          <w:u w:val="single"/>
        </w:rPr>
      </w:pPr>
      <w:r w:rsidRPr="006D7653">
        <w:rPr>
          <w:rFonts w:cs="Times New Roman"/>
          <w:b/>
          <w:bCs/>
          <w:i/>
          <w:iCs/>
          <w:u w:val="single"/>
        </w:rPr>
        <w:t>MUN režīma vienkāršošana</w:t>
      </w:r>
    </w:p>
    <w:p w14:paraId="58E35D68" w14:textId="77777777" w:rsidR="006D7653" w:rsidRPr="006D7653" w:rsidRDefault="006D7653" w:rsidP="006F39C1">
      <w:pPr>
        <w:spacing w:before="0" w:after="0"/>
        <w:rPr>
          <w:rFonts w:cs="Times New Roman"/>
          <w:szCs w:val="24"/>
        </w:rPr>
      </w:pPr>
      <w:r w:rsidRPr="006D7653">
        <w:rPr>
          <w:rFonts w:cs="Times New Roman"/>
          <w:szCs w:val="24"/>
        </w:rPr>
        <w:t xml:space="preserve">Pašlaik saskaņā ar </w:t>
      </w:r>
      <w:r w:rsidRPr="006D7653">
        <w:rPr>
          <w:rFonts w:cs="Times New Roman"/>
          <w:i/>
          <w:iCs/>
          <w:szCs w:val="24"/>
        </w:rPr>
        <w:t>Mikrouzņēmumu nodokļa likumu</w:t>
      </w:r>
      <w:r w:rsidRPr="006D7653">
        <w:rPr>
          <w:rStyle w:val="FootnoteReference"/>
          <w:rFonts w:cs="Times New Roman"/>
          <w:szCs w:val="24"/>
        </w:rPr>
        <w:footnoteReference w:id="7"/>
      </w:r>
      <w:r w:rsidRPr="006D7653">
        <w:rPr>
          <w:rFonts w:cs="Times New Roman"/>
          <w:szCs w:val="24"/>
        </w:rPr>
        <w:t xml:space="preserve"> MUN likme ir:</w:t>
      </w:r>
    </w:p>
    <w:p w14:paraId="258349EE" w14:textId="77777777" w:rsidR="006D7653" w:rsidRPr="006D7653" w:rsidRDefault="006D7653" w:rsidP="006F39C1">
      <w:pPr>
        <w:pStyle w:val="ListParagraph"/>
        <w:numPr>
          <w:ilvl w:val="0"/>
          <w:numId w:val="7"/>
        </w:numPr>
        <w:spacing w:before="0" w:after="0"/>
        <w:ind w:left="924" w:hanging="357"/>
        <w:contextualSpacing w:val="0"/>
        <w:rPr>
          <w:rFonts w:ascii="Times New Roman" w:hAnsi="Times New Roman"/>
          <w:sz w:val="24"/>
          <w:szCs w:val="24"/>
        </w:rPr>
      </w:pPr>
      <w:r w:rsidRPr="006D7653">
        <w:rPr>
          <w:rFonts w:ascii="Times New Roman" w:hAnsi="Times New Roman"/>
          <w:sz w:val="24"/>
          <w:szCs w:val="24"/>
        </w:rPr>
        <w:t>apgrozījumam līdz 25 000 </w:t>
      </w:r>
      <w:r w:rsidRPr="006D7653">
        <w:rPr>
          <w:rFonts w:ascii="Times New Roman" w:hAnsi="Times New Roman"/>
          <w:i/>
          <w:iCs/>
          <w:sz w:val="24"/>
          <w:szCs w:val="24"/>
        </w:rPr>
        <w:t>euro</w:t>
      </w:r>
      <w:r w:rsidRPr="006D7653">
        <w:rPr>
          <w:rFonts w:ascii="Times New Roman" w:hAnsi="Times New Roman"/>
          <w:sz w:val="24"/>
          <w:szCs w:val="24"/>
        </w:rPr>
        <w:t> gadā – 25%;</w:t>
      </w:r>
    </w:p>
    <w:p w14:paraId="38B7FF8F" w14:textId="77777777" w:rsidR="006D7653" w:rsidRPr="006D7653" w:rsidRDefault="006D7653" w:rsidP="006F39C1">
      <w:pPr>
        <w:pStyle w:val="ListParagraph"/>
        <w:numPr>
          <w:ilvl w:val="0"/>
          <w:numId w:val="7"/>
        </w:numPr>
        <w:spacing w:before="0" w:after="0"/>
        <w:ind w:left="924" w:hanging="357"/>
        <w:contextualSpacing w:val="0"/>
        <w:rPr>
          <w:rFonts w:ascii="Times New Roman" w:hAnsi="Times New Roman"/>
          <w:sz w:val="24"/>
          <w:szCs w:val="24"/>
        </w:rPr>
      </w:pPr>
      <w:r w:rsidRPr="006D7653">
        <w:rPr>
          <w:rFonts w:ascii="Times New Roman" w:hAnsi="Times New Roman"/>
          <w:sz w:val="24"/>
          <w:szCs w:val="24"/>
        </w:rPr>
        <w:t>apgrozījuma daļai, kas pārsniedz 25 000 </w:t>
      </w:r>
      <w:r w:rsidRPr="006D7653">
        <w:rPr>
          <w:rFonts w:ascii="Times New Roman" w:hAnsi="Times New Roman"/>
          <w:i/>
          <w:iCs/>
          <w:sz w:val="24"/>
          <w:szCs w:val="24"/>
        </w:rPr>
        <w:t>euro</w:t>
      </w:r>
      <w:r w:rsidRPr="006D7653">
        <w:rPr>
          <w:rFonts w:ascii="Times New Roman" w:hAnsi="Times New Roman"/>
          <w:sz w:val="24"/>
          <w:szCs w:val="24"/>
        </w:rPr>
        <w:t xml:space="preserve"> gadā, – 40%. </w:t>
      </w:r>
    </w:p>
    <w:p w14:paraId="05D3F176" w14:textId="77777777" w:rsidR="006D7653" w:rsidRPr="006D7653" w:rsidRDefault="006D7653" w:rsidP="006F39C1">
      <w:pPr>
        <w:spacing w:before="0" w:after="0"/>
        <w:rPr>
          <w:shd w:val="clear" w:color="auto" w:fill="FFFFFF"/>
        </w:rPr>
      </w:pPr>
      <w:r w:rsidRPr="006D7653">
        <w:rPr>
          <w:shd w:val="clear" w:color="auto" w:fill="FFFFFF"/>
        </w:rPr>
        <w:t>Saskaņā ar VID rīcībā esošajiem datiem, 2022. gadā tikai 368 (3,7%) no visiem 9 843 mikrouzņēmumiem apgrozījums pārsniedza 25 000 </w:t>
      </w:r>
      <w:r w:rsidRPr="006D7653">
        <w:rPr>
          <w:i/>
          <w:iCs/>
          <w:shd w:val="clear" w:color="auto" w:fill="FFFFFF"/>
        </w:rPr>
        <w:t>euro</w:t>
      </w:r>
      <w:r w:rsidRPr="006D7653">
        <w:rPr>
          <w:shd w:val="clear" w:color="auto" w:fill="FFFFFF"/>
        </w:rPr>
        <w:t xml:space="preserve"> (attiecīgi piemēroja MUN likmi 40% apmērā).</w:t>
      </w:r>
    </w:p>
    <w:p w14:paraId="0FAAC4D6" w14:textId="15A13B65" w:rsidR="00F53BA5" w:rsidRDefault="006D7653" w:rsidP="0072041A">
      <w:pPr>
        <w:spacing w:before="0" w:after="0"/>
        <w:rPr>
          <w:shd w:val="clear" w:color="auto" w:fill="FFFFFF"/>
        </w:rPr>
      </w:pPr>
      <w:r w:rsidRPr="006D7653">
        <w:rPr>
          <w:shd w:val="clear" w:color="auto" w:fill="FFFFFF"/>
        </w:rPr>
        <w:t xml:space="preserve">Lai vienkāršotu MUN piemērošanu un administrēšanu, kā arī veicinātu vienkāršotā nodokļa samaksas risinājuma – saimnieciskās darbības ieņēmumu (SDI) konta piemērošanu un novērstu, ka MUN maksātājiem vispirms tiek rezervēts MUN 40% apmērā, tika vērtēta iespēja noteikt </w:t>
      </w:r>
      <w:r w:rsidRPr="006D7653">
        <w:rPr>
          <w:b/>
          <w:bCs/>
          <w:shd w:val="clear" w:color="auto" w:fill="FFFFFF"/>
        </w:rPr>
        <w:t>vienu MUN likmi – 25% apmērā</w:t>
      </w:r>
      <w:r w:rsidRPr="006D7653">
        <w:rPr>
          <w:shd w:val="clear" w:color="auto" w:fill="FFFFFF"/>
        </w:rPr>
        <w:t>.</w:t>
      </w:r>
    </w:p>
    <w:p w14:paraId="1FD80BC2" w14:textId="77777777" w:rsidR="00F865CF" w:rsidRPr="006D7653" w:rsidRDefault="00F865CF" w:rsidP="0072041A">
      <w:pPr>
        <w:spacing w:before="0" w:after="0"/>
        <w:rPr>
          <w:shd w:val="clear" w:color="auto" w:fill="FFFFFF"/>
        </w:rPr>
      </w:pPr>
    </w:p>
    <w:p w14:paraId="52BFD7BE" w14:textId="50250D7C" w:rsidR="006D7653" w:rsidRPr="007771F4" w:rsidRDefault="009E3CC5" w:rsidP="006D7653">
      <w:pPr>
        <w:spacing w:after="120"/>
        <w:ind w:firstLine="709"/>
        <w:jc w:val="center"/>
        <w:rPr>
          <w:rFonts w:cs="Times New Roman"/>
          <w:sz w:val="22"/>
        </w:rPr>
      </w:pPr>
      <w:r>
        <w:rPr>
          <w:rFonts w:cs="Times New Roman"/>
          <w:sz w:val="22"/>
        </w:rPr>
        <w:lastRenderedPageBreak/>
        <w:t>12</w:t>
      </w:r>
      <w:r w:rsidR="006D7653" w:rsidRPr="007771F4">
        <w:rPr>
          <w:rFonts w:cs="Times New Roman"/>
          <w:sz w:val="22"/>
        </w:rPr>
        <w:t>. tab</w:t>
      </w:r>
      <w:r w:rsidR="006D7653" w:rsidRPr="007771F4">
        <w:rPr>
          <w:rFonts w:cs="Times New Roman"/>
          <w:bCs/>
          <w:sz w:val="22"/>
        </w:rPr>
        <w:t>.</w:t>
      </w:r>
      <w:r w:rsidR="006D7653" w:rsidRPr="007771F4">
        <w:rPr>
          <w:rFonts w:cs="Times New Roman"/>
          <w:b/>
          <w:sz w:val="22"/>
        </w:rPr>
        <w:t xml:space="preserve"> Priekšlikuma indikatīva fiskālā ietekme</w:t>
      </w:r>
      <w:r w:rsidR="006D7653" w:rsidRPr="007771F4">
        <w:rPr>
          <w:rFonts w:cs="Times New Roman"/>
          <w:bCs/>
          <w:sz w:val="22"/>
        </w:rPr>
        <w:t xml:space="preserve">, </w:t>
      </w:r>
      <w:r w:rsidR="006D7653" w:rsidRPr="007771F4">
        <w:rPr>
          <w:rFonts w:cs="Times New Roman"/>
          <w:bCs/>
          <w:i/>
          <w:iCs/>
          <w:sz w:val="22"/>
        </w:rPr>
        <w:t>milj. euro</w:t>
      </w:r>
    </w:p>
    <w:tbl>
      <w:tblPr>
        <w:tblStyle w:val="TableGrid"/>
        <w:tblW w:w="9067" w:type="dxa"/>
        <w:tblInd w:w="5" w:type="dxa"/>
        <w:tblLook w:val="04A0" w:firstRow="1" w:lastRow="0" w:firstColumn="1" w:lastColumn="0" w:noHBand="0" w:noVBand="1"/>
      </w:tblPr>
      <w:tblGrid>
        <w:gridCol w:w="4390"/>
        <w:gridCol w:w="1559"/>
        <w:gridCol w:w="1559"/>
        <w:gridCol w:w="1559"/>
      </w:tblGrid>
      <w:tr w:rsidR="006D7653" w:rsidRPr="006D7653" w14:paraId="1139E449" w14:textId="77777777" w:rsidTr="007E1C0A">
        <w:tc>
          <w:tcPr>
            <w:tcW w:w="4390" w:type="dxa"/>
            <w:tcBorders>
              <w:top w:val="nil"/>
              <w:left w:val="nil"/>
              <w:bottom w:val="single" w:sz="12" w:space="0" w:color="auto"/>
              <w:right w:val="nil"/>
            </w:tcBorders>
          </w:tcPr>
          <w:p w14:paraId="24C48398" w14:textId="77777777" w:rsidR="006D7653" w:rsidRPr="006D7653" w:rsidRDefault="006D7653" w:rsidP="007E1C0A">
            <w:pPr>
              <w:pStyle w:val="ListParagraph"/>
              <w:ind w:left="0" w:firstLine="0"/>
              <w:jc w:val="center"/>
              <w:rPr>
                <w:rFonts w:ascii="Times New Roman" w:hAnsi="Times New Roman"/>
                <w:b/>
                <w:bCs/>
                <w:sz w:val="20"/>
                <w:szCs w:val="20"/>
              </w:rPr>
            </w:pPr>
          </w:p>
        </w:tc>
        <w:tc>
          <w:tcPr>
            <w:tcW w:w="1559" w:type="dxa"/>
            <w:tcBorders>
              <w:top w:val="nil"/>
              <w:left w:val="nil"/>
              <w:bottom w:val="single" w:sz="12" w:space="0" w:color="auto"/>
              <w:right w:val="nil"/>
            </w:tcBorders>
            <w:vAlign w:val="bottom"/>
          </w:tcPr>
          <w:p w14:paraId="21F92374" w14:textId="77777777" w:rsidR="006D7653" w:rsidRPr="006D7653" w:rsidRDefault="006D7653" w:rsidP="007E1C0A">
            <w:pPr>
              <w:pStyle w:val="ListParagraph"/>
              <w:ind w:left="0" w:firstLine="0"/>
              <w:jc w:val="center"/>
              <w:rPr>
                <w:rFonts w:ascii="Times New Roman" w:hAnsi="Times New Roman"/>
                <w:b/>
                <w:bCs/>
                <w:sz w:val="20"/>
                <w:szCs w:val="20"/>
              </w:rPr>
            </w:pPr>
            <w:r w:rsidRPr="006D7653">
              <w:rPr>
                <w:rFonts w:ascii="Times New Roman" w:hAnsi="Times New Roman"/>
                <w:b/>
                <w:bCs/>
                <w:sz w:val="20"/>
                <w:szCs w:val="20"/>
              </w:rPr>
              <w:t>2024</w:t>
            </w:r>
          </w:p>
        </w:tc>
        <w:tc>
          <w:tcPr>
            <w:tcW w:w="1559" w:type="dxa"/>
            <w:tcBorders>
              <w:top w:val="nil"/>
              <w:left w:val="nil"/>
              <w:bottom w:val="single" w:sz="12" w:space="0" w:color="auto"/>
              <w:right w:val="nil"/>
            </w:tcBorders>
            <w:vAlign w:val="bottom"/>
          </w:tcPr>
          <w:p w14:paraId="6DD1ECAF" w14:textId="77777777" w:rsidR="006D7653" w:rsidRPr="006D7653" w:rsidRDefault="006D7653" w:rsidP="007E1C0A">
            <w:pPr>
              <w:pStyle w:val="ListParagraph"/>
              <w:ind w:left="0" w:firstLine="0"/>
              <w:jc w:val="center"/>
              <w:rPr>
                <w:rFonts w:ascii="Times New Roman" w:hAnsi="Times New Roman"/>
                <w:b/>
                <w:bCs/>
                <w:sz w:val="20"/>
                <w:szCs w:val="20"/>
              </w:rPr>
            </w:pPr>
            <w:r w:rsidRPr="006D7653">
              <w:rPr>
                <w:rFonts w:ascii="Times New Roman" w:hAnsi="Times New Roman"/>
                <w:b/>
                <w:bCs/>
                <w:sz w:val="20"/>
                <w:szCs w:val="20"/>
              </w:rPr>
              <w:t>2025</w:t>
            </w:r>
          </w:p>
        </w:tc>
        <w:tc>
          <w:tcPr>
            <w:tcW w:w="1559" w:type="dxa"/>
            <w:tcBorders>
              <w:top w:val="nil"/>
              <w:left w:val="nil"/>
              <w:bottom w:val="single" w:sz="12" w:space="0" w:color="auto"/>
              <w:right w:val="nil"/>
            </w:tcBorders>
            <w:vAlign w:val="bottom"/>
          </w:tcPr>
          <w:p w14:paraId="2971E3B8" w14:textId="77777777" w:rsidR="006D7653" w:rsidRPr="006D7653" w:rsidRDefault="006D7653" w:rsidP="007E1C0A">
            <w:pPr>
              <w:pStyle w:val="ListParagraph"/>
              <w:spacing w:before="0" w:after="0"/>
              <w:ind w:left="0" w:firstLine="0"/>
              <w:jc w:val="center"/>
              <w:rPr>
                <w:rFonts w:ascii="Times New Roman" w:hAnsi="Times New Roman"/>
                <w:b/>
                <w:bCs/>
                <w:sz w:val="20"/>
                <w:szCs w:val="20"/>
              </w:rPr>
            </w:pPr>
            <w:r w:rsidRPr="006D7653">
              <w:rPr>
                <w:rFonts w:ascii="Times New Roman" w:hAnsi="Times New Roman"/>
                <w:b/>
                <w:bCs/>
                <w:sz w:val="20"/>
                <w:szCs w:val="20"/>
              </w:rPr>
              <w:t>2026</w:t>
            </w:r>
          </w:p>
        </w:tc>
      </w:tr>
      <w:tr w:rsidR="006D7653" w:rsidRPr="006D7653" w14:paraId="3492C329" w14:textId="77777777" w:rsidTr="00F865CF">
        <w:tc>
          <w:tcPr>
            <w:tcW w:w="4390" w:type="dxa"/>
            <w:tcBorders>
              <w:top w:val="single" w:sz="12" w:space="0" w:color="auto"/>
            </w:tcBorders>
          </w:tcPr>
          <w:p w14:paraId="74F78135" w14:textId="77777777" w:rsidR="006D7653" w:rsidRPr="006D7653" w:rsidRDefault="006D7653" w:rsidP="007E1C0A">
            <w:pPr>
              <w:pStyle w:val="ListParagraph"/>
              <w:ind w:left="0" w:firstLine="0"/>
              <w:rPr>
                <w:rFonts w:ascii="Times New Roman" w:hAnsi="Times New Roman"/>
                <w:sz w:val="20"/>
                <w:szCs w:val="20"/>
              </w:rPr>
            </w:pPr>
            <w:r w:rsidRPr="006D7653">
              <w:rPr>
                <w:rFonts w:ascii="Times New Roman" w:hAnsi="Times New Roman"/>
                <w:sz w:val="20"/>
                <w:szCs w:val="20"/>
              </w:rPr>
              <w:t>VSAOI ieņēmumi</w:t>
            </w:r>
          </w:p>
        </w:tc>
        <w:tc>
          <w:tcPr>
            <w:tcW w:w="1559" w:type="dxa"/>
            <w:tcBorders>
              <w:top w:val="single" w:sz="12" w:space="0" w:color="auto"/>
            </w:tcBorders>
            <w:vAlign w:val="center"/>
          </w:tcPr>
          <w:p w14:paraId="5624D367" w14:textId="77777777" w:rsidR="006D7653" w:rsidRPr="006D7653" w:rsidRDefault="006D7653" w:rsidP="00F865CF">
            <w:pPr>
              <w:pStyle w:val="ListParagraph"/>
              <w:ind w:left="0" w:firstLine="0"/>
              <w:jc w:val="center"/>
              <w:rPr>
                <w:rFonts w:ascii="Times New Roman" w:hAnsi="Times New Roman"/>
                <w:sz w:val="20"/>
                <w:szCs w:val="20"/>
              </w:rPr>
            </w:pPr>
            <w:r w:rsidRPr="006D7653">
              <w:rPr>
                <w:rFonts w:ascii="Times New Roman" w:hAnsi="Times New Roman"/>
                <w:sz w:val="20"/>
                <w:szCs w:val="20"/>
              </w:rPr>
              <w:t>-0,27</w:t>
            </w:r>
          </w:p>
        </w:tc>
        <w:tc>
          <w:tcPr>
            <w:tcW w:w="1559" w:type="dxa"/>
            <w:tcBorders>
              <w:top w:val="single" w:sz="12" w:space="0" w:color="auto"/>
            </w:tcBorders>
            <w:vAlign w:val="center"/>
          </w:tcPr>
          <w:p w14:paraId="5DCEE7B7" w14:textId="77777777" w:rsidR="006D7653" w:rsidRPr="006D7653" w:rsidRDefault="006D7653" w:rsidP="00F865CF">
            <w:pPr>
              <w:pStyle w:val="ListParagraph"/>
              <w:ind w:left="0" w:firstLine="0"/>
              <w:jc w:val="center"/>
              <w:rPr>
                <w:rFonts w:ascii="Times New Roman" w:hAnsi="Times New Roman"/>
                <w:sz w:val="20"/>
                <w:szCs w:val="20"/>
              </w:rPr>
            </w:pPr>
            <w:r w:rsidRPr="006D7653">
              <w:rPr>
                <w:rFonts w:ascii="Times New Roman" w:hAnsi="Times New Roman"/>
                <w:sz w:val="20"/>
                <w:szCs w:val="20"/>
              </w:rPr>
              <w:t>-0,27</w:t>
            </w:r>
          </w:p>
        </w:tc>
        <w:tc>
          <w:tcPr>
            <w:tcW w:w="1559" w:type="dxa"/>
            <w:tcBorders>
              <w:top w:val="single" w:sz="12" w:space="0" w:color="auto"/>
            </w:tcBorders>
            <w:vAlign w:val="center"/>
          </w:tcPr>
          <w:p w14:paraId="659C3464" w14:textId="77777777" w:rsidR="006D7653" w:rsidRPr="006D7653" w:rsidRDefault="006D7653" w:rsidP="00F865CF">
            <w:pPr>
              <w:pStyle w:val="ListParagraph"/>
              <w:ind w:left="0" w:firstLine="0"/>
              <w:jc w:val="center"/>
              <w:rPr>
                <w:rFonts w:ascii="Times New Roman" w:hAnsi="Times New Roman"/>
                <w:sz w:val="20"/>
                <w:szCs w:val="20"/>
              </w:rPr>
            </w:pPr>
            <w:r w:rsidRPr="006D7653">
              <w:rPr>
                <w:rFonts w:ascii="Times New Roman" w:hAnsi="Times New Roman"/>
                <w:sz w:val="20"/>
                <w:szCs w:val="20"/>
              </w:rPr>
              <w:t>-0,27</w:t>
            </w:r>
          </w:p>
        </w:tc>
      </w:tr>
      <w:tr w:rsidR="006D7653" w:rsidRPr="006D7653" w14:paraId="1C59A97B" w14:textId="77777777" w:rsidTr="00F865CF">
        <w:tc>
          <w:tcPr>
            <w:tcW w:w="4390" w:type="dxa"/>
          </w:tcPr>
          <w:p w14:paraId="7D55C5C5" w14:textId="77777777" w:rsidR="006D7653" w:rsidRPr="006D7653" w:rsidRDefault="006D7653" w:rsidP="007E1C0A">
            <w:pPr>
              <w:pStyle w:val="ListParagraph"/>
              <w:ind w:left="0" w:firstLine="0"/>
              <w:rPr>
                <w:rFonts w:ascii="Times New Roman" w:hAnsi="Times New Roman"/>
                <w:sz w:val="20"/>
                <w:szCs w:val="20"/>
              </w:rPr>
            </w:pPr>
            <w:r w:rsidRPr="006D7653">
              <w:rPr>
                <w:rFonts w:ascii="Times New Roman" w:hAnsi="Times New Roman"/>
                <w:sz w:val="20"/>
                <w:szCs w:val="20"/>
              </w:rPr>
              <w:t>IIN ieņēmumi</w:t>
            </w:r>
          </w:p>
        </w:tc>
        <w:tc>
          <w:tcPr>
            <w:tcW w:w="1559" w:type="dxa"/>
            <w:vAlign w:val="center"/>
          </w:tcPr>
          <w:p w14:paraId="5E911A83" w14:textId="77777777" w:rsidR="006D7653" w:rsidRPr="006D7653" w:rsidRDefault="006D7653" w:rsidP="00F865CF">
            <w:pPr>
              <w:pStyle w:val="ListParagraph"/>
              <w:ind w:left="0" w:firstLine="0"/>
              <w:jc w:val="center"/>
              <w:rPr>
                <w:rFonts w:ascii="Times New Roman" w:hAnsi="Times New Roman"/>
                <w:sz w:val="20"/>
                <w:szCs w:val="20"/>
              </w:rPr>
            </w:pPr>
            <w:r w:rsidRPr="006D7653">
              <w:rPr>
                <w:rFonts w:ascii="Times New Roman" w:hAnsi="Times New Roman"/>
                <w:sz w:val="20"/>
                <w:szCs w:val="20"/>
              </w:rPr>
              <w:t>-0,07</w:t>
            </w:r>
          </w:p>
        </w:tc>
        <w:tc>
          <w:tcPr>
            <w:tcW w:w="1559" w:type="dxa"/>
            <w:vAlign w:val="center"/>
          </w:tcPr>
          <w:p w14:paraId="7FB30ED8" w14:textId="77777777" w:rsidR="006D7653" w:rsidRPr="006D7653" w:rsidRDefault="006D7653" w:rsidP="00F865CF">
            <w:pPr>
              <w:pStyle w:val="ListParagraph"/>
              <w:ind w:left="0" w:firstLine="0"/>
              <w:jc w:val="center"/>
              <w:rPr>
                <w:rFonts w:ascii="Times New Roman" w:hAnsi="Times New Roman"/>
                <w:sz w:val="20"/>
                <w:szCs w:val="20"/>
              </w:rPr>
            </w:pPr>
            <w:r w:rsidRPr="006D7653">
              <w:rPr>
                <w:rFonts w:ascii="Times New Roman" w:hAnsi="Times New Roman"/>
                <w:sz w:val="20"/>
                <w:szCs w:val="20"/>
              </w:rPr>
              <w:t>-0,07</w:t>
            </w:r>
          </w:p>
        </w:tc>
        <w:tc>
          <w:tcPr>
            <w:tcW w:w="1559" w:type="dxa"/>
            <w:vAlign w:val="center"/>
          </w:tcPr>
          <w:p w14:paraId="134D6CF5" w14:textId="77777777" w:rsidR="006D7653" w:rsidRPr="006D7653" w:rsidRDefault="006D7653" w:rsidP="00F865CF">
            <w:pPr>
              <w:pStyle w:val="ListParagraph"/>
              <w:ind w:left="0" w:firstLine="0"/>
              <w:jc w:val="center"/>
              <w:rPr>
                <w:rFonts w:ascii="Times New Roman" w:hAnsi="Times New Roman"/>
                <w:sz w:val="20"/>
                <w:szCs w:val="20"/>
              </w:rPr>
            </w:pPr>
            <w:r w:rsidRPr="006D7653">
              <w:rPr>
                <w:rFonts w:ascii="Times New Roman" w:hAnsi="Times New Roman"/>
                <w:sz w:val="20"/>
                <w:szCs w:val="20"/>
              </w:rPr>
              <w:t>-0,07</w:t>
            </w:r>
          </w:p>
        </w:tc>
      </w:tr>
      <w:tr w:rsidR="006D7653" w:rsidRPr="006D7653" w14:paraId="2531DD36" w14:textId="77777777" w:rsidTr="00F865CF">
        <w:tc>
          <w:tcPr>
            <w:tcW w:w="4390" w:type="dxa"/>
            <w:shd w:val="clear" w:color="auto" w:fill="F2F2F2" w:themeFill="background1" w:themeFillShade="F2"/>
          </w:tcPr>
          <w:p w14:paraId="36C7892F" w14:textId="77777777" w:rsidR="006D7653" w:rsidRPr="006D7653" w:rsidRDefault="006D7653" w:rsidP="007E1C0A">
            <w:pPr>
              <w:pStyle w:val="ListParagraph"/>
              <w:ind w:left="0" w:firstLine="0"/>
              <w:jc w:val="right"/>
              <w:rPr>
                <w:rFonts w:ascii="Times New Roman" w:hAnsi="Times New Roman"/>
                <w:b/>
                <w:bCs/>
                <w:sz w:val="20"/>
                <w:szCs w:val="20"/>
              </w:rPr>
            </w:pPr>
            <w:r w:rsidRPr="006D7653">
              <w:rPr>
                <w:rFonts w:ascii="Times New Roman" w:hAnsi="Times New Roman"/>
                <w:b/>
                <w:bCs/>
                <w:sz w:val="20"/>
                <w:szCs w:val="20"/>
              </w:rPr>
              <w:t>Kopā:</w:t>
            </w:r>
          </w:p>
        </w:tc>
        <w:tc>
          <w:tcPr>
            <w:tcW w:w="1559" w:type="dxa"/>
            <w:shd w:val="clear" w:color="auto" w:fill="F2F2F2" w:themeFill="background1" w:themeFillShade="F2"/>
            <w:vAlign w:val="center"/>
          </w:tcPr>
          <w:p w14:paraId="1FE69E14" w14:textId="77777777" w:rsidR="006D7653" w:rsidRPr="006D7653" w:rsidRDefault="006D7653" w:rsidP="00F865CF">
            <w:pPr>
              <w:pStyle w:val="ListParagraph"/>
              <w:ind w:left="0" w:firstLine="0"/>
              <w:jc w:val="center"/>
              <w:rPr>
                <w:rFonts w:ascii="Times New Roman" w:hAnsi="Times New Roman"/>
                <w:b/>
                <w:bCs/>
                <w:sz w:val="20"/>
                <w:szCs w:val="20"/>
              </w:rPr>
            </w:pPr>
            <w:r w:rsidRPr="006D7653">
              <w:rPr>
                <w:rFonts w:ascii="Times New Roman" w:hAnsi="Times New Roman"/>
                <w:b/>
                <w:bCs/>
                <w:sz w:val="20"/>
                <w:szCs w:val="20"/>
              </w:rPr>
              <w:t>-0,34</w:t>
            </w:r>
          </w:p>
        </w:tc>
        <w:tc>
          <w:tcPr>
            <w:tcW w:w="1559" w:type="dxa"/>
            <w:shd w:val="clear" w:color="auto" w:fill="F2F2F2" w:themeFill="background1" w:themeFillShade="F2"/>
            <w:vAlign w:val="center"/>
          </w:tcPr>
          <w:p w14:paraId="6D4B1C1C" w14:textId="77777777" w:rsidR="006D7653" w:rsidRPr="006D7653" w:rsidRDefault="006D7653" w:rsidP="00F865CF">
            <w:pPr>
              <w:pStyle w:val="ListParagraph"/>
              <w:ind w:left="0" w:firstLine="0"/>
              <w:jc w:val="center"/>
              <w:rPr>
                <w:rFonts w:ascii="Times New Roman" w:hAnsi="Times New Roman"/>
                <w:b/>
                <w:bCs/>
                <w:sz w:val="20"/>
                <w:szCs w:val="20"/>
              </w:rPr>
            </w:pPr>
            <w:r w:rsidRPr="006D7653">
              <w:rPr>
                <w:rFonts w:ascii="Times New Roman" w:hAnsi="Times New Roman"/>
                <w:b/>
                <w:bCs/>
                <w:sz w:val="20"/>
                <w:szCs w:val="20"/>
              </w:rPr>
              <w:t>-0,34</w:t>
            </w:r>
          </w:p>
        </w:tc>
        <w:tc>
          <w:tcPr>
            <w:tcW w:w="1559" w:type="dxa"/>
            <w:shd w:val="clear" w:color="auto" w:fill="F2F2F2" w:themeFill="background1" w:themeFillShade="F2"/>
            <w:vAlign w:val="center"/>
          </w:tcPr>
          <w:p w14:paraId="75825CDF" w14:textId="77777777" w:rsidR="006D7653" w:rsidRPr="006D7653" w:rsidRDefault="006D7653" w:rsidP="00F865CF">
            <w:pPr>
              <w:pStyle w:val="ListParagraph"/>
              <w:ind w:left="0" w:firstLine="0"/>
              <w:jc w:val="center"/>
              <w:rPr>
                <w:rFonts w:ascii="Times New Roman" w:hAnsi="Times New Roman"/>
                <w:b/>
                <w:bCs/>
                <w:sz w:val="20"/>
                <w:szCs w:val="20"/>
              </w:rPr>
            </w:pPr>
            <w:r w:rsidRPr="006D7653">
              <w:rPr>
                <w:rFonts w:ascii="Times New Roman" w:hAnsi="Times New Roman"/>
                <w:b/>
                <w:bCs/>
                <w:sz w:val="20"/>
                <w:szCs w:val="20"/>
              </w:rPr>
              <w:t>-0,34</w:t>
            </w:r>
          </w:p>
        </w:tc>
      </w:tr>
    </w:tbl>
    <w:p w14:paraId="05002063" w14:textId="77777777" w:rsidR="006D7653" w:rsidRPr="006D7653" w:rsidRDefault="006D7653" w:rsidP="006D7653">
      <w:pPr>
        <w:tabs>
          <w:tab w:val="left" w:pos="426"/>
        </w:tabs>
        <w:spacing w:after="120"/>
        <w:ind w:firstLine="0"/>
        <w:rPr>
          <w:rFonts w:cs="Times New Roman"/>
          <w:i/>
          <w:sz w:val="20"/>
          <w:szCs w:val="24"/>
        </w:rPr>
      </w:pPr>
      <w:r w:rsidRPr="006D7653">
        <w:rPr>
          <w:rFonts w:cs="Times New Roman"/>
          <w:b/>
          <w:bCs/>
          <w:i/>
          <w:sz w:val="20"/>
          <w:szCs w:val="24"/>
        </w:rPr>
        <w:t>Avots</w:t>
      </w:r>
      <w:r w:rsidRPr="006D7653">
        <w:rPr>
          <w:rFonts w:cs="Times New Roman"/>
          <w:i/>
          <w:sz w:val="20"/>
          <w:szCs w:val="24"/>
        </w:rPr>
        <w:t>: FM aprēķini.</w:t>
      </w:r>
    </w:p>
    <w:p w14:paraId="6A18F6C6" w14:textId="77777777" w:rsidR="006F39C1" w:rsidRDefault="006F39C1" w:rsidP="006D7653">
      <w:pPr>
        <w:ind w:firstLine="0"/>
        <w:rPr>
          <w:rFonts w:cs="Times New Roman"/>
          <w:b/>
          <w:bCs/>
          <w:i/>
          <w:iCs/>
          <w:highlight w:val="yellow"/>
          <w:u w:val="single"/>
        </w:rPr>
      </w:pPr>
    </w:p>
    <w:p w14:paraId="554E0585" w14:textId="77777777" w:rsidR="00EF78B7" w:rsidRDefault="00EF78B7" w:rsidP="00EF78B7">
      <w:pPr>
        <w:ind w:firstLine="0"/>
        <w:rPr>
          <w:rFonts w:cs="Times New Roman"/>
          <w:b/>
          <w:bCs/>
          <w:i/>
          <w:iCs/>
          <w:u w:val="single"/>
        </w:rPr>
      </w:pPr>
      <w:r w:rsidRPr="00EF78B7">
        <w:rPr>
          <w:rFonts w:cs="Times New Roman"/>
          <w:b/>
          <w:bCs/>
          <w:i/>
          <w:iCs/>
          <w:u w:val="single"/>
        </w:rPr>
        <w:t>Neapliekamā minimuma un atvieglojuma par apgādībā esošajām personām piemērošana MUN maksātājiem</w:t>
      </w:r>
    </w:p>
    <w:p w14:paraId="24D5BA12" w14:textId="0E2D3AF3" w:rsidR="006F39C1" w:rsidRPr="00EF78B7" w:rsidRDefault="00FC1639" w:rsidP="000D133D">
      <w:r w:rsidRPr="00EF78B7">
        <w:t>Skat. i</w:t>
      </w:r>
      <w:r w:rsidR="006F39C1" w:rsidRPr="00EF78B7">
        <w:t>niciatīvu sadaļā “</w:t>
      </w:r>
      <w:r w:rsidR="006F39C1" w:rsidRPr="00F53BA5">
        <w:t>Iedzīvotāju ienākuma nodoklis</w:t>
      </w:r>
      <w:r w:rsidR="006F39C1" w:rsidRPr="00EF78B7">
        <w:t xml:space="preserve">”. </w:t>
      </w:r>
    </w:p>
    <w:p w14:paraId="7084976E" w14:textId="77777777" w:rsidR="00857AE7" w:rsidRPr="006D7653" w:rsidRDefault="00857AE7" w:rsidP="006D7653">
      <w:pPr>
        <w:rPr>
          <w:rFonts w:cs="Times New Roman"/>
        </w:rPr>
      </w:pPr>
    </w:p>
    <w:p w14:paraId="77EA14CA" w14:textId="77777777" w:rsidR="006D7653" w:rsidRPr="00B00D41" w:rsidRDefault="006D7653" w:rsidP="00F53BA5">
      <w:pPr>
        <w:pStyle w:val="Heading2"/>
      </w:pPr>
      <w:bookmarkStart w:id="73" w:name="_Toc141373042"/>
      <w:bookmarkStart w:id="74" w:name="_Toc141373043"/>
      <w:bookmarkStart w:id="75" w:name="_Toc141373044"/>
      <w:bookmarkStart w:id="76" w:name="_Toc142897061"/>
      <w:bookmarkEnd w:id="73"/>
      <w:bookmarkEnd w:id="74"/>
      <w:bookmarkEnd w:id="75"/>
      <w:r w:rsidRPr="00B00D41">
        <w:t>Iedzīvotāju ienākuma nodoklis</w:t>
      </w:r>
      <w:bookmarkEnd w:id="76"/>
    </w:p>
    <w:p w14:paraId="3B3E4B23" w14:textId="000FD70A" w:rsidR="008D0D3F" w:rsidRPr="00B00D41" w:rsidRDefault="008D0D3F" w:rsidP="008D0D3F">
      <w:pPr>
        <w:ind w:firstLine="0"/>
        <w:rPr>
          <w:rFonts w:cs="Times New Roman"/>
          <w:b/>
          <w:bCs/>
          <w:i/>
          <w:iCs/>
          <w:u w:val="single"/>
        </w:rPr>
      </w:pPr>
      <w:r w:rsidRPr="00B00D41">
        <w:rPr>
          <w:rFonts w:cs="Times New Roman"/>
          <w:b/>
          <w:bCs/>
          <w:i/>
          <w:iCs/>
          <w:u w:val="single"/>
        </w:rPr>
        <w:t>Darba devēja atbrīvošana no IIN par darbinieka augstākās izglītības mācību maksas segšanu</w:t>
      </w:r>
    </w:p>
    <w:p w14:paraId="5FD5499E" w14:textId="77777777" w:rsidR="008D0D3F" w:rsidRPr="00B00D41" w:rsidRDefault="008D0D3F" w:rsidP="008D0D3F">
      <w:pPr>
        <w:rPr>
          <w:shd w:val="clear" w:color="auto" w:fill="FFFFFF"/>
        </w:rPr>
      </w:pPr>
      <w:r w:rsidRPr="00B00D41">
        <w:rPr>
          <w:shd w:val="clear" w:color="auto" w:fill="FFFFFF"/>
        </w:rPr>
        <w:t>Pašlaik atbilstoši likumā “</w:t>
      </w:r>
      <w:r w:rsidRPr="00B00D41">
        <w:rPr>
          <w:i/>
          <w:iCs/>
          <w:shd w:val="clear" w:color="auto" w:fill="FFFFFF"/>
        </w:rPr>
        <w:t>Par iedzīvotāju ienākuma nodokli</w:t>
      </w:r>
      <w:r w:rsidRPr="00B00D41">
        <w:rPr>
          <w:shd w:val="clear" w:color="auto" w:fill="FFFFFF"/>
        </w:rPr>
        <w:t>” noteiktajam</w:t>
      </w:r>
      <w:r w:rsidRPr="00B00D41">
        <w:rPr>
          <w:rStyle w:val="FootnoteReference"/>
          <w:rFonts w:cs="Times New Roman"/>
          <w:szCs w:val="24"/>
          <w:shd w:val="clear" w:color="auto" w:fill="FFFFFF"/>
        </w:rPr>
        <w:footnoteReference w:id="8"/>
      </w:r>
      <w:r w:rsidRPr="00B00D41">
        <w:rPr>
          <w:shd w:val="clear" w:color="auto" w:fill="FFFFFF"/>
        </w:rPr>
        <w:t>, pie ienākumiem, par kuriem jāmaksā IIN (algas nodoklis), atbilstoši MK noteikumiem tiek pieskaitīta darba alga, prēmijas, vienreizēja un sistemātiska atlīdzība un citi ienākumi, ko darbinieks saņem uz pašreizējo vai iepriekšējo darba attiecību pamata.</w:t>
      </w:r>
    </w:p>
    <w:p w14:paraId="14760C51" w14:textId="77777777" w:rsidR="008D0D3F" w:rsidRPr="00B00D41" w:rsidRDefault="008D0D3F" w:rsidP="008D0D3F">
      <w:pPr>
        <w:rPr>
          <w:shd w:val="clear" w:color="auto" w:fill="FFFFFF"/>
        </w:rPr>
      </w:pPr>
      <w:r w:rsidRPr="00B00D41">
        <w:rPr>
          <w:shd w:val="clear" w:color="auto" w:fill="FFFFFF"/>
        </w:rPr>
        <w:t>Ņemot vērā minēto, pašreiz, ja darba devējs apmaksā mācību maksu darbiniekam par  augstākās izglītības iegūšanu, darba devēja segtā mācību maksa ir uzskatāma par ienākumu, kas apliekams ar IIN un par kuru veicamas VSAOI.</w:t>
      </w:r>
    </w:p>
    <w:p w14:paraId="0FC331B5" w14:textId="77777777" w:rsidR="008D0D3F" w:rsidRPr="00B00D41" w:rsidRDefault="008D0D3F" w:rsidP="008D0D3F">
      <w:pPr>
        <w:rPr>
          <w:shd w:val="clear" w:color="auto" w:fill="FFFFFF"/>
        </w:rPr>
      </w:pPr>
      <w:r w:rsidRPr="00B00D41">
        <w:rPr>
          <w:shd w:val="clear" w:color="auto" w:fill="FFFFFF"/>
        </w:rPr>
        <w:t xml:space="preserve">Lai veicinātu augstākās izglītības sasaisti ar darba tirgu un darba tirgus darbaspēka pieprasījuma apmierināšanu, ir izvērtēta iespēja un izstrādāts risinājums attiecībā uz darba devēja maksājumiem darbiniekam par augstākās izglītības iegūšanu. </w:t>
      </w:r>
    </w:p>
    <w:p w14:paraId="4E569BA9" w14:textId="77777777" w:rsidR="008D0D3F" w:rsidRPr="00B00D41" w:rsidRDefault="008D0D3F" w:rsidP="008D0D3F">
      <w:r w:rsidRPr="00B00D41">
        <w:t xml:space="preserve">Līdz ar to, lai neapliktu ar darbaspēka nodokļiem darba devēja </w:t>
      </w:r>
      <w:r w:rsidRPr="00B00D41">
        <w:rPr>
          <w:shd w:val="clear" w:color="auto" w:fill="FFFFFF"/>
        </w:rPr>
        <w:t>segto mācību maksu darbiniekam par augstākās izglītības iegūšanu valsts akreditētās Latvijas izglītības iestādēs, ES dalībvalstu un EEZ valstu mācību iestādēs</w:t>
      </w:r>
      <w:r w:rsidRPr="00B00D41">
        <w:t>, būtu vienlaikus jāizpilda šādi nosacījumi:</w:t>
      </w:r>
    </w:p>
    <w:p w14:paraId="6B9E70FE" w14:textId="77777777" w:rsidR="008D0D3F" w:rsidRPr="00B00D41" w:rsidRDefault="008D0D3F" w:rsidP="008D0D3F">
      <w:pPr>
        <w:pStyle w:val="ListParagraph"/>
        <w:numPr>
          <w:ilvl w:val="0"/>
          <w:numId w:val="7"/>
        </w:numPr>
        <w:ind w:left="924" w:hanging="357"/>
        <w:contextualSpacing w:val="0"/>
        <w:rPr>
          <w:rFonts w:ascii="Times New Roman" w:hAnsi="Times New Roman"/>
          <w:sz w:val="24"/>
          <w:szCs w:val="24"/>
        </w:rPr>
      </w:pPr>
      <w:r w:rsidRPr="00B00D41">
        <w:rPr>
          <w:rFonts w:ascii="Times New Roman" w:hAnsi="Times New Roman"/>
          <w:sz w:val="24"/>
          <w:szCs w:val="24"/>
        </w:rPr>
        <w:t xml:space="preserve">profesija vai attiecīgā kvalifikācija ir nepieciešama uzņēmuma saimnieciskajā darbībā; </w:t>
      </w:r>
    </w:p>
    <w:p w14:paraId="3861AEDE" w14:textId="77777777" w:rsidR="008D0D3F" w:rsidRPr="00B00D41" w:rsidRDefault="008D0D3F" w:rsidP="008D0D3F">
      <w:pPr>
        <w:pStyle w:val="ListParagraph"/>
        <w:numPr>
          <w:ilvl w:val="0"/>
          <w:numId w:val="7"/>
        </w:numPr>
        <w:ind w:left="924" w:hanging="357"/>
        <w:contextualSpacing w:val="0"/>
        <w:rPr>
          <w:rFonts w:ascii="Times New Roman" w:hAnsi="Times New Roman"/>
          <w:sz w:val="24"/>
          <w:szCs w:val="24"/>
        </w:rPr>
      </w:pPr>
      <w:r w:rsidRPr="00B00D41">
        <w:rPr>
          <w:rFonts w:ascii="Times New Roman" w:hAnsi="Times New Roman"/>
          <w:sz w:val="24"/>
          <w:szCs w:val="24"/>
        </w:rPr>
        <w:t>darbinieks pats veic maksājumu par augstākās izglītības iegūšanu vismaz 30% apmērā taksācijas periodā;</w:t>
      </w:r>
    </w:p>
    <w:p w14:paraId="167E5863" w14:textId="77777777" w:rsidR="008D0D3F" w:rsidRPr="00B00D41" w:rsidRDefault="008D0D3F" w:rsidP="008D0D3F">
      <w:pPr>
        <w:pStyle w:val="ListParagraph"/>
        <w:numPr>
          <w:ilvl w:val="0"/>
          <w:numId w:val="7"/>
        </w:numPr>
        <w:ind w:left="924" w:hanging="357"/>
        <w:contextualSpacing w:val="0"/>
        <w:rPr>
          <w:rFonts w:ascii="Times New Roman" w:hAnsi="Times New Roman"/>
          <w:sz w:val="24"/>
          <w:szCs w:val="24"/>
        </w:rPr>
      </w:pPr>
      <w:r w:rsidRPr="00B00D41">
        <w:rPr>
          <w:rFonts w:ascii="Times New Roman" w:hAnsi="Times New Roman"/>
          <w:sz w:val="24"/>
          <w:szCs w:val="24"/>
        </w:rPr>
        <w:t xml:space="preserve">darbinieks vismaz trīs gadus pēc studiju beigšanas ir darba tiesiskajās attiecībās ar šo darba devēju.  </w:t>
      </w:r>
    </w:p>
    <w:p w14:paraId="08118A5C" w14:textId="77777777" w:rsidR="008D0D3F" w:rsidRPr="00B00D41" w:rsidRDefault="008D0D3F" w:rsidP="008D0D3F">
      <w:r w:rsidRPr="00B00D41">
        <w:t>Kopumā minētās normas fiskālā ietekme uz IIN ieņēmumiem ir vērtējama kā neitrāla, jo neliela negatīvā ietekme uz darbaspēka nodokļiem tiktu kompensēta ar pozitīvu ietekmi uz tautsaimniecību kopumā.</w:t>
      </w:r>
    </w:p>
    <w:p w14:paraId="6E587F34" w14:textId="77777777" w:rsidR="0072041A" w:rsidRDefault="0072041A" w:rsidP="006D7653">
      <w:pPr>
        <w:ind w:firstLine="0"/>
        <w:rPr>
          <w:rFonts w:cs="Times New Roman"/>
          <w:b/>
          <w:bCs/>
          <w:i/>
          <w:iCs/>
          <w:u w:val="single"/>
        </w:rPr>
      </w:pPr>
    </w:p>
    <w:p w14:paraId="6F3E2969" w14:textId="4F8D8742" w:rsidR="006D7653" w:rsidRPr="00B00D41" w:rsidRDefault="006D7653" w:rsidP="006D7653">
      <w:pPr>
        <w:ind w:firstLine="0"/>
        <w:rPr>
          <w:rFonts w:cs="Times New Roman"/>
          <w:b/>
          <w:bCs/>
          <w:i/>
          <w:iCs/>
          <w:u w:val="single"/>
        </w:rPr>
      </w:pPr>
      <w:r w:rsidRPr="00B00D41">
        <w:rPr>
          <w:rFonts w:cs="Times New Roman"/>
          <w:b/>
          <w:bCs/>
          <w:i/>
          <w:iCs/>
          <w:u w:val="single"/>
        </w:rPr>
        <w:t>Veselības vai nelaimes gadījumu apdrošināšanas prēmiju summas paaugstināšana</w:t>
      </w:r>
    </w:p>
    <w:p w14:paraId="3EC797C2" w14:textId="77777777" w:rsidR="006D7653" w:rsidRPr="00B00D41" w:rsidRDefault="006D7653" w:rsidP="006D7653">
      <w:r w:rsidRPr="00B00D41">
        <w:t>Likums “</w:t>
      </w:r>
      <w:r w:rsidRPr="00B00D41">
        <w:rPr>
          <w:i/>
          <w:iCs/>
        </w:rPr>
        <w:t>Par iedzīvotāju ienākuma nodokli</w:t>
      </w:r>
      <w:r w:rsidRPr="00B00D41">
        <w:t>” paredz</w:t>
      </w:r>
      <w:r w:rsidRPr="00B00D41">
        <w:rPr>
          <w:rStyle w:val="FootnoteReference"/>
          <w:rFonts w:cs="Times New Roman"/>
          <w:sz w:val="22"/>
          <w:szCs w:val="20"/>
        </w:rPr>
        <w:footnoteReference w:id="9"/>
      </w:r>
      <w:r w:rsidRPr="00B00D41">
        <w:t>,</w:t>
      </w:r>
      <w:r w:rsidRPr="00B00D41">
        <w:rPr>
          <w:sz w:val="28"/>
          <w:szCs w:val="24"/>
        </w:rPr>
        <w:t xml:space="preserve"> </w:t>
      </w:r>
      <w:r w:rsidRPr="00B00D41">
        <w:t xml:space="preserve">ka no maksātāja ienākumiem, par kuriem maksā IIN (algas nodokli), izslēdz Latvijas Republikā vai citā ES dalībvalstī, vai EEZ valstī, vai ESAO dalībvalstī reģistrētajai apdrošināšanas sabiedrībai veiktās veselības vai nelaimes gadījumu apdrošināšanas prēmiju summas, kas nepārsniedz 10% no maksātājam aprēķinātās bruto darba samaksas taksācijas gadā, bet ne vairāk kā </w:t>
      </w:r>
      <w:r w:rsidRPr="00B00D41">
        <w:rPr>
          <w:b/>
          <w:bCs/>
        </w:rPr>
        <w:t>426,86 </w:t>
      </w:r>
      <w:r w:rsidRPr="00B00D41">
        <w:rPr>
          <w:b/>
          <w:bCs/>
          <w:i/>
          <w:iCs/>
        </w:rPr>
        <w:t>euro</w:t>
      </w:r>
      <w:r w:rsidRPr="00B00D41">
        <w:rPr>
          <w:b/>
          <w:bCs/>
        </w:rPr>
        <w:t xml:space="preserve"> gadā</w:t>
      </w:r>
      <w:r w:rsidRPr="00B00D41">
        <w:t xml:space="preserve">, ja ir izpildīti minētajā likumā noteiktie nosacījumi. </w:t>
      </w:r>
    </w:p>
    <w:p w14:paraId="456A8B56" w14:textId="3E47E76B" w:rsidR="009804A0" w:rsidRPr="00B00D41" w:rsidRDefault="006D7653" w:rsidP="00F865CF">
      <w:r w:rsidRPr="00B00D41">
        <w:lastRenderedPageBreak/>
        <w:t>Šāds slieksnis ir noteikts no 2007. gada. Ņemot vērā, ka noteiktais atbrīvojuma slieksnis 426,86 </w:t>
      </w:r>
      <w:r w:rsidRPr="00B00D41">
        <w:rPr>
          <w:i/>
          <w:iCs/>
        </w:rPr>
        <w:t>euro</w:t>
      </w:r>
      <w:r w:rsidRPr="00B00D41">
        <w:t xml:space="preserve"> gadā ir spēkā jau 15 gadus, minētais slieksnis būtu pārskatāms. S</w:t>
      </w:r>
      <w:r w:rsidRPr="00B00D41">
        <w:rPr>
          <w:bCs/>
          <w:szCs w:val="24"/>
        </w:rPr>
        <w:t xml:space="preserve">trādājot pie </w:t>
      </w:r>
      <w:r w:rsidRPr="00B00D41">
        <w:rPr>
          <w:bCs/>
          <w:i/>
          <w:iCs/>
          <w:szCs w:val="24"/>
        </w:rPr>
        <w:t>Valsts nodokļu pamatnostādņu 2024. - 2027. gadam</w:t>
      </w:r>
      <w:r w:rsidRPr="00B00D41">
        <w:rPr>
          <w:bCs/>
          <w:szCs w:val="24"/>
        </w:rPr>
        <w:t xml:space="preserve"> sagatavošanas, </w:t>
      </w:r>
      <w:r w:rsidRPr="00B00D41">
        <w:rPr>
          <w:bCs/>
          <w:i/>
          <w:iCs/>
          <w:szCs w:val="24"/>
        </w:rPr>
        <w:t>Nodokļu politikas pilnveidošanas koordinēšanas grupā</w:t>
      </w:r>
      <w:r w:rsidRPr="00B00D41">
        <w:rPr>
          <w:bCs/>
          <w:szCs w:val="24"/>
        </w:rPr>
        <w:t xml:space="preserve"> tika apskatīti arī valdības sociālo un sadarbības partneru sniegtie priekšlikumi, tajā skaitā arī saistībā ar iespēju minēto slieksni paaugstināt. </w:t>
      </w:r>
      <w:r w:rsidRPr="00B00D41">
        <w:t>Attiecīgi tika izvērts alternatīvs variants, kad minēto slieksni varētu paaugstināt līdz 750 </w:t>
      </w:r>
      <w:r w:rsidRPr="00B00D41">
        <w:rPr>
          <w:i/>
          <w:iCs/>
        </w:rPr>
        <w:t>euro</w:t>
      </w:r>
      <w:r w:rsidRPr="00B00D41">
        <w:t xml:space="preserve"> gadā.</w:t>
      </w:r>
    </w:p>
    <w:p w14:paraId="7DE5DE9D" w14:textId="3883317A" w:rsidR="006D7653" w:rsidRPr="00B00D41" w:rsidRDefault="009E3CC5" w:rsidP="006D7653">
      <w:pPr>
        <w:spacing w:after="120"/>
        <w:jc w:val="center"/>
        <w:rPr>
          <w:rFonts w:cs="Times New Roman"/>
          <w:sz w:val="22"/>
          <w:szCs w:val="24"/>
        </w:rPr>
      </w:pPr>
      <w:r>
        <w:rPr>
          <w:rFonts w:cs="Times New Roman"/>
          <w:sz w:val="22"/>
          <w:szCs w:val="24"/>
        </w:rPr>
        <w:t>13</w:t>
      </w:r>
      <w:r w:rsidR="006D7653" w:rsidRPr="00B00D41">
        <w:rPr>
          <w:rFonts w:cs="Times New Roman"/>
          <w:sz w:val="22"/>
          <w:szCs w:val="24"/>
        </w:rPr>
        <w:t>. tab</w:t>
      </w:r>
      <w:r w:rsidR="006D7653" w:rsidRPr="00B00D41">
        <w:rPr>
          <w:rFonts w:cs="Times New Roman"/>
          <w:bCs/>
          <w:sz w:val="22"/>
          <w:szCs w:val="24"/>
        </w:rPr>
        <w:t>.</w:t>
      </w:r>
      <w:r w:rsidR="006D7653" w:rsidRPr="00B00D41">
        <w:rPr>
          <w:rFonts w:cs="Times New Roman"/>
          <w:b/>
          <w:sz w:val="22"/>
          <w:szCs w:val="24"/>
        </w:rPr>
        <w:t xml:space="preserve"> Priekšlikuma indikatīva fiskālā ietekme</w:t>
      </w:r>
      <w:r w:rsidR="006D7653" w:rsidRPr="00B00D41">
        <w:rPr>
          <w:rFonts w:cs="Times New Roman"/>
          <w:bCs/>
          <w:sz w:val="22"/>
          <w:szCs w:val="24"/>
        </w:rPr>
        <w:t xml:space="preserve">, </w:t>
      </w:r>
      <w:r w:rsidR="006D7653" w:rsidRPr="00B00D41">
        <w:rPr>
          <w:rFonts w:cs="Times New Roman"/>
          <w:bCs/>
          <w:i/>
          <w:iCs/>
          <w:sz w:val="22"/>
          <w:szCs w:val="24"/>
        </w:rPr>
        <w:t>milj. euro</w:t>
      </w:r>
    </w:p>
    <w:tbl>
      <w:tblPr>
        <w:tblStyle w:val="TableGrid"/>
        <w:tblW w:w="9067" w:type="dxa"/>
        <w:tblInd w:w="5" w:type="dxa"/>
        <w:tblLook w:val="04A0" w:firstRow="1" w:lastRow="0" w:firstColumn="1" w:lastColumn="0" w:noHBand="0" w:noVBand="1"/>
      </w:tblPr>
      <w:tblGrid>
        <w:gridCol w:w="4390"/>
        <w:gridCol w:w="1559"/>
        <w:gridCol w:w="1559"/>
        <w:gridCol w:w="1559"/>
      </w:tblGrid>
      <w:tr w:rsidR="006D7653" w:rsidRPr="00B00D41" w14:paraId="6D6BE4CB" w14:textId="77777777" w:rsidTr="007E1C0A">
        <w:tc>
          <w:tcPr>
            <w:tcW w:w="4390" w:type="dxa"/>
            <w:tcBorders>
              <w:top w:val="nil"/>
              <w:left w:val="nil"/>
              <w:bottom w:val="single" w:sz="12" w:space="0" w:color="auto"/>
              <w:right w:val="nil"/>
            </w:tcBorders>
          </w:tcPr>
          <w:p w14:paraId="769A3A46"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p>
        </w:tc>
        <w:tc>
          <w:tcPr>
            <w:tcW w:w="1559" w:type="dxa"/>
            <w:tcBorders>
              <w:top w:val="nil"/>
              <w:left w:val="nil"/>
              <w:bottom w:val="single" w:sz="12" w:space="0" w:color="auto"/>
              <w:right w:val="nil"/>
            </w:tcBorders>
            <w:vAlign w:val="bottom"/>
          </w:tcPr>
          <w:p w14:paraId="15BA7868"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2024</w:t>
            </w:r>
          </w:p>
        </w:tc>
        <w:tc>
          <w:tcPr>
            <w:tcW w:w="1559" w:type="dxa"/>
            <w:tcBorders>
              <w:top w:val="nil"/>
              <w:left w:val="nil"/>
              <w:bottom w:val="single" w:sz="12" w:space="0" w:color="auto"/>
              <w:right w:val="nil"/>
            </w:tcBorders>
            <w:vAlign w:val="bottom"/>
          </w:tcPr>
          <w:p w14:paraId="2DA9F3B1"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2025</w:t>
            </w:r>
          </w:p>
        </w:tc>
        <w:tc>
          <w:tcPr>
            <w:tcW w:w="1559" w:type="dxa"/>
            <w:tcBorders>
              <w:top w:val="nil"/>
              <w:left w:val="nil"/>
              <w:bottom w:val="single" w:sz="12" w:space="0" w:color="auto"/>
              <w:right w:val="nil"/>
            </w:tcBorders>
            <w:vAlign w:val="bottom"/>
          </w:tcPr>
          <w:p w14:paraId="6BF692D5"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2026</w:t>
            </w:r>
          </w:p>
        </w:tc>
      </w:tr>
      <w:tr w:rsidR="006D7653" w:rsidRPr="00B00D41" w14:paraId="63605879" w14:textId="77777777" w:rsidTr="007E1C0A">
        <w:tc>
          <w:tcPr>
            <w:tcW w:w="4390" w:type="dxa"/>
            <w:tcBorders>
              <w:top w:val="single" w:sz="12" w:space="0" w:color="auto"/>
            </w:tcBorders>
          </w:tcPr>
          <w:p w14:paraId="5F3543D8" w14:textId="77777777" w:rsidR="006D7653" w:rsidRPr="00B00D41" w:rsidRDefault="006D7653" w:rsidP="007E1C0A">
            <w:pPr>
              <w:pStyle w:val="ListParagraph"/>
              <w:spacing w:before="0" w:after="0"/>
              <w:ind w:left="0" w:firstLine="0"/>
              <w:contextualSpacing w:val="0"/>
              <w:rPr>
                <w:rFonts w:ascii="Times New Roman" w:hAnsi="Times New Roman"/>
                <w:sz w:val="20"/>
                <w:szCs w:val="20"/>
              </w:rPr>
            </w:pPr>
            <w:r w:rsidRPr="00B00D41">
              <w:rPr>
                <w:rFonts w:ascii="Times New Roman" w:hAnsi="Times New Roman"/>
                <w:sz w:val="20"/>
                <w:szCs w:val="20"/>
              </w:rPr>
              <w:t>VSAOI ieņēmumi</w:t>
            </w:r>
          </w:p>
        </w:tc>
        <w:tc>
          <w:tcPr>
            <w:tcW w:w="1559" w:type="dxa"/>
            <w:tcBorders>
              <w:top w:val="single" w:sz="12" w:space="0" w:color="auto"/>
            </w:tcBorders>
          </w:tcPr>
          <w:p w14:paraId="1978984D"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hAnsi="Times New Roman"/>
                <w:sz w:val="20"/>
                <w:szCs w:val="20"/>
              </w:rPr>
              <w:t>-1,46</w:t>
            </w:r>
          </w:p>
        </w:tc>
        <w:tc>
          <w:tcPr>
            <w:tcW w:w="1559" w:type="dxa"/>
            <w:tcBorders>
              <w:top w:val="single" w:sz="12" w:space="0" w:color="auto"/>
            </w:tcBorders>
          </w:tcPr>
          <w:p w14:paraId="42778BDA"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hAnsi="Times New Roman"/>
                <w:sz w:val="20"/>
                <w:szCs w:val="20"/>
              </w:rPr>
              <w:t>-1,58</w:t>
            </w:r>
          </w:p>
        </w:tc>
        <w:tc>
          <w:tcPr>
            <w:tcW w:w="1559" w:type="dxa"/>
            <w:tcBorders>
              <w:top w:val="single" w:sz="12" w:space="0" w:color="auto"/>
            </w:tcBorders>
          </w:tcPr>
          <w:p w14:paraId="7F3D07C7"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hAnsi="Times New Roman"/>
                <w:sz w:val="20"/>
                <w:szCs w:val="20"/>
              </w:rPr>
              <w:t>-1,58</w:t>
            </w:r>
          </w:p>
        </w:tc>
      </w:tr>
      <w:tr w:rsidR="006D7653" w:rsidRPr="00B00D41" w14:paraId="7E3CBD24" w14:textId="77777777" w:rsidTr="007E1C0A">
        <w:tc>
          <w:tcPr>
            <w:tcW w:w="4390" w:type="dxa"/>
          </w:tcPr>
          <w:p w14:paraId="022F0B7A" w14:textId="77777777" w:rsidR="006D7653" w:rsidRPr="00B00D41" w:rsidRDefault="006D7653" w:rsidP="007E1C0A">
            <w:pPr>
              <w:pStyle w:val="ListParagraph"/>
              <w:spacing w:before="0" w:after="0"/>
              <w:ind w:left="0" w:firstLine="0"/>
              <w:contextualSpacing w:val="0"/>
              <w:rPr>
                <w:rFonts w:ascii="Times New Roman" w:hAnsi="Times New Roman"/>
                <w:sz w:val="20"/>
                <w:szCs w:val="20"/>
              </w:rPr>
            </w:pPr>
            <w:r w:rsidRPr="00B00D41">
              <w:rPr>
                <w:rFonts w:ascii="Times New Roman" w:hAnsi="Times New Roman"/>
                <w:sz w:val="20"/>
                <w:szCs w:val="20"/>
              </w:rPr>
              <w:t>IIN ieņēmumi</w:t>
            </w:r>
          </w:p>
        </w:tc>
        <w:tc>
          <w:tcPr>
            <w:tcW w:w="1559" w:type="dxa"/>
          </w:tcPr>
          <w:p w14:paraId="61D801EA"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hAnsi="Times New Roman"/>
                <w:sz w:val="20"/>
                <w:szCs w:val="20"/>
              </w:rPr>
              <w:t>-0,34</w:t>
            </w:r>
          </w:p>
        </w:tc>
        <w:tc>
          <w:tcPr>
            <w:tcW w:w="1559" w:type="dxa"/>
          </w:tcPr>
          <w:p w14:paraId="36CE4980"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hAnsi="Times New Roman"/>
                <w:sz w:val="20"/>
                <w:szCs w:val="20"/>
              </w:rPr>
              <w:t>-0,37</w:t>
            </w:r>
          </w:p>
        </w:tc>
        <w:tc>
          <w:tcPr>
            <w:tcW w:w="1559" w:type="dxa"/>
          </w:tcPr>
          <w:p w14:paraId="22E675AA"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hAnsi="Times New Roman"/>
                <w:sz w:val="20"/>
                <w:szCs w:val="20"/>
              </w:rPr>
              <w:t>-0,37</w:t>
            </w:r>
          </w:p>
        </w:tc>
      </w:tr>
      <w:tr w:rsidR="006D7653" w:rsidRPr="00B00D41" w14:paraId="2D560F07" w14:textId="77777777" w:rsidTr="007E1C0A">
        <w:tc>
          <w:tcPr>
            <w:tcW w:w="4390" w:type="dxa"/>
            <w:shd w:val="clear" w:color="auto" w:fill="F2F2F2" w:themeFill="background1" w:themeFillShade="F2"/>
          </w:tcPr>
          <w:p w14:paraId="7B310BBB" w14:textId="77777777" w:rsidR="006D7653" w:rsidRPr="00B00D41" w:rsidRDefault="006D7653" w:rsidP="007E1C0A">
            <w:pPr>
              <w:pStyle w:val="ListParagraph"/>
              <w:spacing w:before="0" w:after="0"/>
              <w:ind w:left="0" w:firstLine="0"/>
              <w:contextualSpacing w:val="0"/>
              <w:jc w:val="right"/>
              <w:rPr>
                <w:rFonts w:ascii="Times New Roman" w:hAnsi="Times New Roman"/>
                <w:b/>
                <w:bCs/>
                <w:sz w:val="20"/>
                <w:szCs w:val="20"/>
              </w:rPr>
            </w:pPr>
            <w:r w:rsidRPr="00B00D41">
              <w:rPr>
                <w:rFonts w:ascii="Times New Roman" w:hAnsi="Times New Roman"/>
                <w:b/>
                <w:bCs/>
                <w:sz w:val="20"/>
                <w:szCs w:val="20"/>
              </w:rPr>
              <w:t>Kopā:</w:t>
            </w:r>
          </w:p>
        </w:tc>
        <w:tc>
          <w:tcPr>
            <w:tcW w:w="1559" w:type="dxa"/>
            <w:shd w:val="clear" w:color="auto" w:fill="F2F2F2" w:themeFill="background1" w:themeFillShade="F2"/>
          </w:tcPr>
          <w:p w14:paraId="239BF64D"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-1,8</w:t>
            </w:r>
          </w:p>
        </w:tc>
        <w:tc>
          <w:tcPr>
            <w:tcW w:w="1559" w:type="dxa"/>
            <w:shd w:val="clear" w:color="auto" w:fill="F2F2F2" w:themeFill="background1" w:themeFillShade="F2"/>
          </w:tcPr>
          <w:p w14:paraId="3144BB12"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-1,9</w:t>
            </w:r>
          </w:p>
        </w:tc>
        <w:tc>
          <w:tcPr>
            <w:tcW w:w="1559" w:type="dxa"/>
            <w:shd w:val="clear" w:color="auto" w:fill="F2F2F2" w:themeFill="background1" w:themeFillShade="F2"/>
          </w:tcPr>
          <w:p w14:paraId="34C965E0"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-1,9</w:t>
            </w:r>
          </w:p>
        </w:tc>
      </w:tr>
    </w:tbl>
    <w:p w14:paraId="598B526A" w14:textId="77777777" w:rsidR="006D7653" w:rsidRPr="00B00D41" w:rsidRDefault="006D7653" w:rsidP="006D7653">
      <w:pPr>
        <w:tabs>
          <w:tab w:val="left" w:pos="426"/>
        </w:tabs>
        <w:spacing w:after="120"/>
        <w:ind w:firstLine="0"/>
        <w:rPr>
          <w:rFonts w:cs="Times New Roman"/>
          <w:i/>
          <w:sz w:val="20"/>
          <w:szCs w:val="24"/>
        </w:rPr>
      </w:pPr>
      <w:r w:rsidRPr="00B00D41">
        <w:rPr>
          <w:rFonts w:cs="Times New Roman"/>
          <w:b/>
          <w:bCs/>
          <w:i/>
          <w:sz w:val="20"/>
          <w:szCs w:val="24"/>
        </w:rPr>
        <w:t>Avots</w:t>
      </w:r>
      <w:r w:rsidRPr="00B00D41">
        <w:rPr>
          <w:rFonts w:cs="Times New Roman"/>
          <w:i/>
          <w:sz w:val="20"/>
          <w:szCs w:val="24"/>
        </w:rPr>
        <w:t>: FM aprēķini.</w:t>
      </w:r>
    </w:p>
    <w:p w14:paraId="6ABC362A" w14:textId="77777777" w:rsidR="008D0D3F" w:rsidRDefault="008D0D3F" w:rsidP="008D0D3F">
      <w:pPr>
        <w:ind w:firstLine="0"/>
        <w:rPr>
          <w:rFonts w:cs="Times New Roman"/>
          <w:b/>
          <w:bCs/>
          <w:i/>
          <w:iCs/>
          <w:highlight w:val="yellow"/>
          <w:u w:val="single"/>
        </w:rPr>
      </w:pPr>
    </w:p>
    <w:p w14:paraId="76286165" w14:textId="7C6C8877" w:rsidR="008D0D3F" w:rsidRPr="006D7653" w:rsidRDefault="008D0D3F" w:rsidP="008D0D3F">
      <w:pPr>
        <w:ind w:firstLine="0"/>
        <w:rPr>
          <w:rFonts w:cs="Times New Roman"/>
          <w:b/>
          <w:bCs/>
          <w:i/>
          <w:iCs/>
          <w:u w:val="single"/>
        </w:rPr>
      </w:pPr>
      <w:r w:rsidRPr="00F53BA5">
        <w:rPr>
          <w:rFonts w:cs="Times New Roman"/>
          <w:b/>
          <w:bCs/>
          <w:i/>
          <w:iCs/>
          <w:u w:val="single"/>
        </w:rPr>
        <w:t>Neapliekamā minimuma un atvieglojuma par apgādībā esošajām personām piemērošana MUN maksātājiem</w:t>
      </w:r>
    </w:p>
    <w:p w14:paraId="062D5DCD" w14:textId="77777777" w:rsidR="008D0D3F" w:rsidRPr="006D7653" w:rsidRDefault="008D0D3F" w:rsidP="008D0D3F">
      <w:r w:rsidRPr="006D7653">
        <w:t xml:space="preserve">Ņemot vērā </w:t>
      </w:r>
      <w:r w:rsidRPr="006D7653">
        <w:rPr>
          <w:i/>
          <w:iCs/>
        </w:rPr>
        <w:t>Mikrouzņēmumu nodokļa likuma</w:t>
      </w:r>
      <w:r w:rsidRPr="006D7653">
        <w:t xml:space="preserve"> redakciju, kas ir spēkā no 2021. gada un kura paredz būtisku MUN likmes palielinājumu (no 15% uz 25% apgrozījumam līdz 25 000 </w:t>
      </w:r>
      <w:r w:rsidRPr="006D7653">
        <w:rPr>
          <w:i/>
          <w:iCs/>
        </w:rPr>
        <w:t>euro</w:t>
      </w:r>
      <w:r w:rsidRPr="006D7653">
        <w:t xml:space="preserve"> un 40% likme apgrozījumam, kas pārsniedz 25 000 </w:t>
      </w:r>
      <w:r w:rsidRPr="006D7653">
        <w:rPr>
          <w:i/>
          <w:iCs/>
        </w:rPr>
        <w:t>euro</w:t>
      </w:r>
      <w:r w:rsidRPr="006D7653">
        <w:t>), MUN slogs pakāpeniski jau tiek tuvināts nodokļu slogam, kāds rodas, maksājot IIN un VSAOI vispārējā kārtībā no algota darba vai saimnieciskās darbības ienākuma. Pašlaik likumā “</w:t>
      </w:r>
      <w:r w:rsidRPr="006D7653">
        <w:rPr>
          <w:i/>
          <w:iCs/>
        </w:rPr>
        <w:t>Par iedzīvotāju ienākuma nodokli</w:t>
      </w:r>
      <w:r w:rsidRPr="006D7653">
        <w:t>”</w:t>
      </w:r>
      <w:r w:rsidRPr="006D7653">
        <w:rPr>
          <w:rStyle w:val="FootnoteReference"/>
          <w:rFonts w:cs="Times New Roman"/>
        </w:rPr>
        <w:t xml:space="preserve"> </w:t>
      </w:r>
      <w:r w:rsidRPr="006D7653">
        <w:t>ir ietverts ierobežojums</w:t>
      </w:r>
      <w:r w:rsidRPr="006D7653">
        <w:rPr>
          <w:rStyle w:val="FootnoteReference"/>
          <w:rFonts w:cs="Times New Roman"/>
        </w:rPr>
        <w:footnoteReference w:id="10"/>
      </w:r>
      <w:r w:rsidRPr="006D7653">
        <w:t xml:space="preserve">, kas liedz IIN maksātājam tajā taksācijas gada periodā, kurā tas ir MUN maksātājs, piemērot neapliekamo minimumu un atvieglojumu par apgādībā esošu personu. </w:t>
      </w:r>
    </w:p>
    <w:p w14:paraId="40191666" w14:textId="6785DAD2" w:rsidR="0072041A" w:rsidRPr="007A1257" w:rsidRDefault="008D0D3F" w:rsidP="00F865CF">
      <w:r w:rsidRPr="006D7653">
        <w:t>Izvērtējot MUN sloga atšķirības, nodokļu plānošanas riskus, kā arī ievērojot apgādībā esošo personu – pamatā nepilngadīgu bērnu – intereses</w:t>
      </w:r>
      <w:r w:rsidRPr="006D7653">
        <w:rPr>
          <w:i/>
          <w:iCs/>
          <w:szCs w:val="24"/>
        </w:rPr>
        <w:t>, Valsts nodokļu pamatnostādņu 2024. - 2027. gadam</w:t>
      </w:r>
      <w:r w:rsidRPr="006D7653">
        <w:rPr>
          <w:szCs w:val="24"/>
        </w:rPr>
        <w:t xml:space="preserve"> izstrādes ietvaros ir izvērtēta iespēja, ka</w:t>
      </w:r>
      <w:r w:rsidRPr="006D7653">
        <w:t xml:space="preserve"> turpmāk MUN maksātājiem, ja tie gūst arī ar IIN apliekamu algotā darba ienākumu, būtu iespējams piemērot neapliekamo minimumu un </w:t>
      </w:r>
      <w:r w:rsidRPr="007A1257">
        <w:t>atvieglojumu par apgādībā esošu personu.</w:t>
      </w:r>
    </w:p>
    <w:p w14:paraId="411E8C80" w14:textId="1C0DF096" w:rsidR="008D0D3F" w:rsidRPr="007A1257" w:rsidRDefault="009E3CC5" w:rsidP="008D0D3F">
      <w:pPr>
        <w:spacing w:after="120"/>
        <w:ind w:firstLine="709"/>
        <w:jc w:val="center"/>
        <w:rPr>
          <w:rFonts w:cs="Times New Roman"/>
          <w:sz w:val="22"/>
          <w:szCs w:val="24"/>
        </w:rPr>
      </w:pPr>
      <w:r>
        <w:rPr>
          <w:rFonts w:cs="Times New Roman"/>
          <w:sz w:val="22"/>
          <w:szCs w:val="24"/>
        </w:rPr>
        <w:t>14</w:t>
      </w:r>
      <w:r w:rsidR="008D0D3F" w:rsidRPr="007A1257">
        <w:rPr>
          <w:rFonts w:cs="Times New Roman"/>
          <w:sz w:val="22"/>
          <w:szCs w:val="24"/>
        </w:rPr>
        <w:t>. tab</w:t>
      </w:r>
      <w:r w:rsidR="008D0D3F" w:rsidRPr="007A1257">
        <w:rPr>
          <w:rFonts w:cs="Times New Roman"/>
          <w:bCs/>
          <w:sz w:val="22"/>
          <w:szCs w:val="24"/>
        </w:rPr>
        <w:t>.</w:t>
      </w:r>
      <w:r w:rsidR="008D0D3F" w:rsidRPr="007A1257">
        <w:rPr>
          <w:rFonts w:cs="Times New Roman"/>
          <w:b/>
          <w:sz w:val="22"/>
          <w:szCs w:val="24"/>
        </w:rPr>
        <w:t xml:space="preserve"> Priekšlikumu indikatīva fiskālā ietekme</w:t>
      </w:r>
      <w:r w:rsidR="00F53BA5" w:rsidRPr="007A1257">
        <w:rPr>
          <w:rFonts w:cs="Times New Roman"/>
          <w:b/>
          <w:sz w:val="22"/>
          <w:szCs w:val="24"/>
          <w:vertAlign w:val="superscript"/>
        </w:rPr>
        <w:t>*</w:t>
      </w:r>
      <w:r w:rsidR="008D0D3F" w:rsidRPr="007A1257">
        <w:rPr>
          <w:rFonts w:cs="Times New Roman"/>
          <w:bCs/>
          <w:sz w:val="22"/>
          <w:szCs w:val="24"/>
        </w:rPr>
        <w:t xml:space="preserve">, </w:t>
      </w:r>
      <w:r w:rsidR="008D0D3F" w:rsidRPr="007A1257">
        <w:rPr>
          <w:rFonts w:cs="Times New Roman"/>
          <w:bCs/>
          <w:i/>
          <w:iCs/>
          <w:sz w:val="22"/>
          <w:szCs w:val="24"/>
        </w:rPr>
        <w:t>milj. euro</w:t>
      </w:r>
    </w:p>
    <w:tbl>
      <w:tblPr>
        <w:tblStyle w:val="TableGrid"/>
        <w:tblW w:w="9067" w:type="dxa"/>
        <w:tblInd w:w="5" w:type="dxa"/>
        <w:tblLook w:val="04A0" w:firstRow="1" w:lastRow="0" w:firstColumn="1" w:lastColumn="0" w:noHBand="0" w:noVBand="1"/>
      </w:tblPr>
      <w:tblGrid>
        <w:gridCol w:w="4390"/>
        <w:gridCol w:w="1559"/>
        <w:gridCol w:w="1559"/>
        <w:gridCol w:w="1559"/>
      </w:tblGrid>
      <w:tr w:rsidR="008D0D3F" w:rsidRPr="00F53BA5" w14:paraId="754D0B52" w14:textId="77777777" w:rsidTr="007E1C0A">
        <w:tc>
          <w:tcPr>
            <w:tcW w:w="4390" w:type="dxa"/>
            <w:tcBorders>
              <w:top w:val="nil"/>
              <w:left w:val="nil"/>
              <w:bottom w:val="single" w:sz="12" w:space="0" w:color="auto"/>
              <w:right w:val="nil"/>
            </w:tcBorders>
          </w:tcPr>
          <w:p w14:paraId="4C00D607" w14:textId="77777777" w:rsidR="008D0D3F" w:rsidRPr="00F53BA5" w:rsidRDefault="008D0D3F" w:rsidP="007E1C0A">
            <w:pPr>
              <w:pStyle w:val="ListParagraph"/>
              <w:spacing w:before="0" w:after="0"/>
              <w:ind w:left="0" w:firstLine="0"/>
              <w:contextualSpacing w:val="0"/>
              <w:jc w:val="center"/>
              <w:rPr>
                <w:rFonts w:ascii="Times New Roman" w:hAnsi="Times New Roman"/>
                <w:b/>
                <w:bCs/>
                <w:sz w:val="20"/>
                <w:szCs w:val="20"/>
              </w:rPr>
            </w:pPr>
          </w:p>
        </w:tc>
        <w:tc>
          <w:tcPr>
            <w:tcW w:w="1559" w:type="dxa"/>
            <w:tcBorders>
              <w:top w:val="nil"/>
              <w:left w:val="nil"/>
              <w:bottom w:val="single" w:sz="12" w:space="0" w:color="auto"/>
              <w:right w:val="nil"/>
            </w:tcBorders>
            <w:vAlign w:val="bottom"/>
          </w:tcPr>
          <w:p w14:paraId="571FA7FA" w14:textId="5A14D235" w:rsidR="008D0D3F" w:rsidRPr="00F53BA5" w:rsidRDefault="008D0D3F" w:rsidP="007E1C0A">
            <w:pPr>
              <w:pStyle w:val="ListParagraph"/>
              <w:spacing w:before="0" w:after="0"/>
              <w:ind w:left="0" w:firstLine="0"/>
              <w:contextualSpacing w:val="0"/>
              <w:jc w:val="center"/>
              <w:rPr>
                <w:rFonts w:ascii="Times New Roman" w:hAnsi="Times New Roman"/>
                <w:b/>
                <w:bCs/>
                <w:sz w:val="20"/>
                <w:szCs w:val="20"/>
              </w:rPr>
            </w:pPr>
            <w:r w:rsidRPr="00F53BA5">
              <w:rPr>
                <w:rFonts w:ascii="Times New Roman" w:hAnsi="Times New Roman"/>
                <w:b/>
                <w:bCs/>
                <w:sz w:val="20"/>
                <w:szCs w:val="20"/>
              </w:rPr>
              <w:t>2024</w:t>
            </w:r>
            <w:r w:rsidRPr="00F53BA5">
              <w:rPr>
                <w:rFonts w:ascii="Times New Roman" w:hAnsi="Times New Roman"/>
                <w:b/>
                <w:bCs/>
                <w:sz w:val="20"/>
                <w:szCs w:val="20"/>
                <w:vertAlign w:val="superscript"/>
              </w:rPr>
              <w:t>*</w:t>
            </w:r>
            <w:r w:rsidR="00F53BA5">
              <w:rPr>
                <w:rFonts w:ascii="Times New Roman" w:hAnsi="Times New Roman"/>
                <w:b/>
                <w:bCs/>
                <w:sz w:val="20"/>
                <w:szCs w:val="20"/>
                <w:vertAlign w:val="superscript"/>
              </w:rPr>
              <w:t>*</w:t>
            </w:r>
          </w:p>
        </w:tc>
        <w:tc>
          <w:tcPr>
            <w:tcW w:w="1559" w:type="dxa"/>
            <w:tcBorders>
              <w:top w:val="nil"/>
              <w:left w:val="nil"/>
              <w:bottom w:val="single" w:sz="12" w:space="0" w:color="auto"/>
              <w:right w:val="nil"/>
            </w:tcBorders>
            <w:vAlign w:val="bottom"/>
          </w:tcPr>
          <w:p w14:paraId="747C0F10" w14:textId="77777777" w:rsidR="008D0D3F" w:rsidRPr="00F53BA5" w:rsidRDefault="008D0D3F" w:rsidP="007E1C0A">
            <w:pPr>
              <w:pStyle w:val="ListParagraph"/>
              <w:spacing w:before="0" w:after="0"/>
              <w:ind w:left="0" w:firstLine="0"/>
              <w:contextualSpacing w:val="0"/>
              <w:jc w:val="center"/>
              <w:rPr>
                <w:rFonts w:ascii="Times New Roman" w:hAnsi="Times New Roman"/>
                <w:b/>
                <w:bCs/>
                <w:sz w:val="20"/>
                <w:szCs w:val="20"/>
              </w:rPr>
            </w:pPr>
            <w:r w:rsidRPr="00F53BA5">
              <w:rPr>
                <w:rFonts w:ascii="Times New Roman" w:hAnsi="Times New Roman"/>
                <w:b/>
                <w:bCs/>
                <w:sz w:val="20"/>
                <w:szCs w:val="20"/>
              </w:rPr>
              <w:t>2025</w:t>
            </w:r>
          </w:p>
        </w:tc>
        <w:tc>
          <w:tcPr>
            <w:tcW w:w="1559" w:type="dxa"/>
            <w:tcBorders>
              <w:top w:val="nil"/>
              <w:left w:val="nil"/>
              <w:bottom w:val="single" w:sz="12" w:space="0" w:color="auto"/>
              <w:right w:val="nil"/>
            </w:tcBorders>
            <w:vAlign w:val="bottom"/>
          </w:tcPr>
          <w:p w14:paraId="565AD292" w14:textId="77777777" w:rsidR="008D0D3F" w:rsidRPr="00F53BA5" w:rsidRDefault="008D0D3F" w:rsidP="007E1C0A">
            <w:pPr>
              <w:pStyle w:val="ListParagraph"/>
              <w:spacing w:before="0" w:after="0"/>
              <w:ind w:left="0" w:firstLine="0"/>
              <w:contextualSpacing w:val="0"/>
              <w:jc w:val="center"/>
              <w:rPr>
                <w:rFonts w:ascii="Times New Roman" w:hAnsi="Times New Roman"/>
                <w:b/>
                <w:bCs/>
                <w:sz w:val="20"/>
                <w:szCs w:val="20"/>
              </w:rPr>
            </w:pPr>
            <w:r w:rsidRPr="00F53BA5">
              <w:rPr>
                <w:rFonts w:ascii="Times New Roman" w:hAnsi="Times New Roman"/>
                <w:b/>
                <w:bCs/>
                <w:sz w:val="20"/>
                <w:szCs w:val="20"/>
              </w:rPr>
              <w:t>2026</w:t>
            </w:r>
          </w:p>
        </w:tc>
      </w:tr>
      <w:tr w:rsidR="008D0D3F" w:rsidRPr="00F53BA5" w14:paraId="606E1121" w14:textId="77777777" w:rsidTr="007E1C0A">
        <w:tc>
          <w:tcPr>
            <w:tcW w:w="9067" w:type="dxa"/>
            <w:gridSpan w:val="4"/>
            <w:shd w:val="clear" w:color="auto" w:fill="FFFFFF" w:themeFill="background1"/>
            <w:vAlign w:val="center"/>
          </w:tcPr>
          <w:p w14:paraId="27B8324A" w14:textId="77777777" w:rsidR="008D0D3F" w:rsidRPr="00F53BA5" w:rsidRDefault="008D0D3F" w:rsidP="007E1C0A">
            <w:pPr>
              <w:pStyle w:val="ListParagraph"/>
              <w:spacing w:before="0" w:after="0"/>
              <w:ind w:left="0" w:firstLine="0"/>
              <w:contextualSpacing w:val="0"/>
              <w:jc w:val="left"/>
              <w:rPr>
                <w:rFonts w:ascii="Times New Roman" w:hAnsi="Times New Roman"/>
                <w:b/>
                <w:bCs/>
                <w:sz w:val="20"/>
                <w:szCs w:val="20"/>
              </w:rPr>
            </w:pPr>
            <w:r w:rsidRPr="00F53BA5">
              <w:rPr>
                <w:rFonts w:ascii="Times New Roman" w:hAnsi="Times New Roman"/>
                <w:b/>
                <w:bCs/>
                <w:sz w:val="20"/>
                <w:szCs w:val="20"/>
              </w:rPr>
              <w:t>Atvieglojuma par apgādībā esošu personu piemērošana MUN maksātājiem</w:t>
            </w:r>
          </w:p>
        </w:tc>
      </w:tr>
      <w:tr w:rsidR="008D0D3F" w:rsidRPr="00F53BA5" w14:paraId="5CCD8424" w14:textId="77777777" w:rsidTr="007E1C0A">
        <w:tc>
          <w:tcPr>
            <w:tcW w:w="4390" w:type="dxa"/>
            <w:shd w:val="clear" w:color="auto" w:fill="FFFFFF" w:themeFill="background1"/>
            <w:vAlign w:val="center"/>
          </w:tcPr>
          <w:p w14:paraId="79940D6E" w14:textId="77777777" w:rsidR="008D0D3F" w:rsidRPr="00F53BA5" w:rsidRDefault="008D0D3F" w:rsidP="007E1C0A">
            <w:pPr>
              <w:pStyle w:val="ListParagraph"/>
              <w:spacing w:before="0" w:after="0"/>
              <w:ind w:left="0" w:firstLine="0"/>
              <w:contextualSpacing w:val="0"/>
              <w:jc w:val="left"/>
              <w:rPr>
                <w:rFonts w:ascii="Times New Roman" w:hAnsi="Times New Roman"/>
                <w:sz w:val="20"/>
                <w:szCs w:val="20"/>
              </w:rPr>
            </w:pPr>
            <w:r w:rsidRPr="00F53BA5">
              <w:rPr>
                <w:rFonts w:ascii="Times New Roman" w:hAnsi="Times New Roman"/>
                <w:sz w:val="20"/>
                <w:szCs w:val="20"/>
              </w:rPr>
              <w:t>IIN ieņēmumi</w:t>
            </w:r>
          </w:p>
        </w:tc>
        <w:tc>
          <w:tcPr>
            <w:tcW w:w="1559" w:type="dxa"/>
            <w:shd w:val="clear" w:color="auto" w:fill="FFFFFF" w:themeFill="background1"/>
          </w:tcPr>
          <w:p w14:paraId="3FD42B20" w14:textId="77777777" w:rsidR="008D0D3F" w:rsidRPr="00F53BA5" w:rsidRDefault="008D0D3F" w:rsidP="007E1C0A">
            <w:pPr>
              <w:pStyle w:val="ListParagraph"/>
              <w:spacing w:before="0" w:after="0"/>
              <w:ind w:left="0" w:firstLine="0"/>
              <w:contextualSpacing w:val="0"/>
              <w:jc w:val="center"/>
              <w:rPr>
                <w:rFonts w:ascii="Times New Roman" w:hAnsi="Times New Roman"/>
                <w:sz w:val="20"/>
                <w:szCs w:val="20"/>
              </w:rPr>
            </w:pPr>
            <w:r w:rsidRPr="00F53BA5">
              <w:rPr>
                <w:rFonts w:ascii="Times New Roman" w:hAnsi="Times New Roman"/>
                <w:sz w:val="20"/>
                <w:szCs w:val="20"/>
              </w:rPr>
              <w:t>-0,74</w:t>
            </w:r>
          </w:p>
        </w:tc>
        <w:tc>
          <w:tcPr>
            <w:tcW w:w="1559" w:type="dxa"/>
            <w:shd w:val="clear" w:color="auto" w:fill="FFFFFF" w:themeFill="background1"/>
          </w:tcPr>
          <w:p w14:paraId="49872F56" w14:textId="77777777" w:rsidR="008D0D3F" w:rsidRPr="00F53BA5" w:rsidRDefault="008D0D3F" w:rsidP="007E1C0A">
            <w:pPr>
              <w:pStyle w:val="ListParagraph"/>
              <w:spacing w:before="0" w:after="0"/>
              <w:ind w:left="0" w:firstLine="0"/>
              <w:contextualSpacing w:val="0"/>
              <w:jc w:val="center"/>
              <w:rPr>
                <w:rFonts w:ascii="Times New Roman" w:hAnsi="Times New Roman"/>
                <w:sz w:val="20"/>
                <w:szCs w:val="20"/>
              </w:rPr>
            </w:pPr>
            <w:r w:rsidRPr="00F53BA5">
              <w:rPr>
                <w:rFonts w:ascii="Times New Roman" w:hAnsi="Times New Roman"/>
                <w:sz w:val="20"/>
                <w:szCs w:val="20"/>
              </w:rPr>
              <w:t>-0,78</w:t>
            </w:r>
          </w:p>
        </w:tc>
        <w:tc>
          <w:tcPr>
            <w:tcW w:w="1559" w:type="dxa"/>
            <w:shd w:val="clear" w:color="auto" w:fill="FFFFFF" w:themeFill="background1"/>
          </w:tcPr>
          <w:p w14:paraId="622FBF5F" w14:textId="77777777" w:rsidR="008D0D3F" w:rsidRPr="00F53BA5" w:rsidRDefault="008D0D3F" w:rsidP="007E1C0A">
            <w:pPr>
              <w:pStyle w:val="ListParagraph"/>
              <w:spacing w:before="0" w:after="0"/>
              <w:ind w:left="0" w:firstLine="0"/>
              <w:contextualSpacing w:val="0"/>
              <w:jc w:val="center"/>
              <w:rPr>
                <w:rFonts w:ascii="Times New Roman" w:hAnsi="Times New Roman"/>
                <w:sz w:val="20"/>
                <w:szCs w:val="20"/>
              </w:rPr>
            </w:pPr>
            <w:r w:rsidRPr="00F53BA5">
              <w:rPr>
                <w:rFonts w:ascii="Times New Roman" w:hAnsi="Times New Roman"/>
                <w:sz w:val="20"/>
                <w:szCs w:val="20"/>
              </w:rPr>
              <w:t>-0,82</w:t>
            </w:r>
          </w:p>
        </w:tc>
      </w:tr>
      <w:tr w:rsidR="008D0D3F" w:rsidRPr="00F53BA5" w14:paraId="3B6507DA" w14:textId="77777777" w:rsidTr="007E1C0A">
        <w:tc>
          <w:tcPr>
            <w:tcW w:w="4390" w:type="dxa"/>
            <w:shd w:val="clear" w:color="auto" w:fill="FFFFFF" w:themeFill="background1"/>
            <w:vAlign w:val="center"/>
          </w:tcPr>
          <w:p w14:paraId="535330BE" w14:textId="77777777" w:rsidR="008D0D3F" w:rsidRPr="00F53BA5" w:rsidRDefault="008D0D3F" w:rsidP="007E1C0A">
            <w:pPr>
              <w:pStyle w:val="ListParagraph"/>
              <w:spacing w:before="0" w:after="0"/>
              <w:ind w:left="0" w:firstLine="0"/>
              <w:contextualSpacing w:val="0"/>
              <w:jc w:val="left"/>
              <w:rPr>
                <w:rFonts w:ascii="Times New Roman" w:hAnsi="Times New Roman"/>
                <w:sz w:val="20"/>
                <w:szCs w:val="20"/>
              </w:rPr>
            </w:pPr>
            <w:r w:rsidRPr="00F53BA5">
              <w:rPr>
                <w:rFonts w:ascii="Times New Roman" w:hAnsi="Times New Roman"/>
                <w:sz w:val="20"/>
                <w:szCs w:val="20"/>
              </w:rPr>
              <w:t>PVN ieņēmumi</w:t>
            </w:r>
          </w:p>
        </w:tc>
        <w:tc>
          <w:tcPr>
            <w:tcW w:w="1559" w:type="dxa"/>
            <w:shd w:val="clear" w:color="auto" w:fill="FFFFFF" w:themeFill="background1"/>
          </w:tcPr>
          <w:p w14:paraId="3981D6CB" w14:textId="77777777" w:rsidR="008D0D3F" w:rsidRPr="00F53BA5" w:rsidRDefault="008D0D3F" w:rsidP="007E1C0A">
            <w:pPr>
              <w:pStyle w:val="ListParagraph"/>
              <w:spacing w:before="0" w:after="0"/>
              <w:ind w:left="0" w:firstLine="0"/>
              <w:contextualSpacing w:val="0"/>
              <w:jc w:val="center"/>
              <w:rPr>
                <w:rFonts w:ascii="Times New Roman" w:hAnsi="Times New Roman"/>
                <w:sz w:val="20"/>
                <w:szCs w:val="20"/>
              </w:rPr>
            </w:pPr>
            <w:r w:rsidRPr="00F53BA5">
              <w:rPr>
                <w:rFonts w:ascii="Times New Roman" w:hAnsi="Times New Roman"/>
                <w:sz w:val="20"/>
                <w:szCs w:val="20"/>
              </w:rPr>
              <w:t>+0,09</w:t>
            </w:r>
          </w:p>
        </w:tc>
        <w:tc>
          <w:tcPr>
            <w:tcW w:w="1559" w:type="dxa"/>
            <w:shd w:val="clear" w:color="auto" w:fill="FFFFFF" w:themeFill="background1"/>
          </w:tcPr>
          <w:p w14:paraId="451A078E" w14:textId="77777777" w:rsidR="008D0D3F" w:rsidRPr="00F53BA5" w:rsidRDefault="008D0D3F" w:rsidP="007E1C0A">
            <w:pPr>
              <w:pStyle w:val="ListParagraph"/>
              <w:spacing w:before="0" w:after="0"/>
              <w:ind w:left="0" w:firstLine="0"/>
              <w:contextualSpacing w:val="0"/>
              <w:jc w:val="center"/>
              <w:rPr>
                <w:rFonts w:ascii="Times New Roman" w:hAnsi="Times New Roman"/>
                <w:sz w:val="20"/>
                <w:szCs w:val="20"/>
              </w:rPr>
            </w:pPr>
            <w:r w:rsidRPr="00F53BA5">
              <w:rPr>
                <w:rFonts w:ascii="Times New Roman" w:hAnsi="Times New Roman"/>
                <w:sz w:val="20"/>
                <w:szCs w:val="20"/>
              </w:rPr>
              <w:t>+0,09</w:t>
            </w:r>
          </w:p>
        </w:tc>
        <w:tc>
          <w:tcPr>
            <w:tcW w:w="1559" w:type="dxa"/>
            <w:shd w:val="clear" w:color="auto" w:fill="FFFFFF" w:themeFill="background1"/>
          </w:tcPr>
          <w:p w14:paraId="12A0BC50" w14:textId="77777777" w:rsidR="008D0D3F" w:rsidRPr="00F53BA5" w:rsidRDefault="008D0D3F" w:rsidP="007E1C0A">
            <w:pPr>
              <w:pStyle w:val="ListParagraph"/>
              <w:spacing w:before="0" w:after="0"/>
              <w:ind w:left="0" w:firstLine="0"/>
              <w:contextualSpacing w:val="0"/>
              <w:jc w:val="center"/>
              <w:rPr>
                <w:rFonts w:ascii="Times New Roman" w:hAnsi="Times New Roman"/>
                <w:sz w:val="20"/>
                <w:szCs w:val="20"/>
              </w:rPr>
            </w:pPr>
            <w:r w:rsidRPr="00F53BA5">
              <w:rPr>
                <w:rFonts w:ascii="Times New Roman" w:hAnsi="Times New Roman"/>
                <w:sz w:val="20"/>
                <w:szCs w:val="20"/>
              </w:rPr>
              <w:t>+0,10</w:t>
            </w:r>
          </w:p>
        </w:tc>
      </w:tr>
      <w:tr w:rsidR="008D0D3F" w:rsidRPr="00F53BA5" w14:paraId="676C8FC8" w14:textId="77777777" w:rsidTr="007E1C0A">
        <w:tc>
          <w:tcPr>
            <w:tcW w:w="4390" w:type="dxa"/>
            <w:shd w:val="clear" w:color="auto" w:fill="F2F2F2" w:themeFill="background1" w:themeFillShade="F2"/>
            <w:vAlign w:val="center"/>
          </w:tcPr>
          <w:p w14:paraId="2DEB1847" w14:textId="77777777" w:rsidR="008D0D3F" w:rsidRPr="00F53BA5" w:rsidRDefault="008D0D3F" w:rsidP="007E1C0A">
            <w:pPr>
              <w:pStyle w:val="ListParagraph"/>
              <w:spacing w:before="0" w:after="0"/>
              <w:ind w:left="0" w:firstLine="0"/>
              <w:contextualSpacing w:val="0"/>
              <w:jc w:val="right"/>
              <w:rPr>
                <w:rFonts w:ascii="Times New Roman" w:hAnsi="Times New Roman"/>
                <w:sz w:val="20"/>
                <w:szCs w:val="20"/>
              </w:rPr>
            </w:pPr>
            <w:r w:rsidRPr="00F53BA5">
              <w:rPr>
                <w:rFonts w:ascii="Times New Roman" w:hAnsi="Times New Roman"/>
                <w:sz w:val="20"/>
                <w:szCs w:val="20"/>
              </w:rPr>
              <w:t>Kopā no pasākuma:</w:t>
            </w:r>
          </w:p>
        </w:tc>
        <w:tc>
          <w:tcPr>
            <w:tcW w:w="1559" w:type="dxa"/>
            <w:shd w:val="clear" w:color="auto" w:fill="F2F2F2" w:themeFill="background1" w:themeFillShade="F2"/>
          </w:tcPr>
          <w:p w14:paraId="2F0F2CB8" w14:textId="77777777" w:rsidR="008D0D3F" w:rsidRPr="00F53BA5" w:rsidRDefault="008D0D3F" w:rsidP="007E1C0A">
            <w:pPr>
              <w:pStyle w:val="ListParagraph"/>
              <w:spacing w:before="0" w:after="0"/>
              <w:ind w:left="0" w:firstLine="0"/>
              <w:contextualSpacing w:val="0"/>
              <w:jc w:val="center"/>
              <w:rPr>
                <w:rFonts w:ascii="Times New Roman" w:hAnsi="Times New Roman"/>
                <w:sz w:val="20"/>
                <w:szCs w:val="20"/>
              </w:rPr>
            </w:pPr>
            <w:r w:rsidRPr="00F53BA5">
              <w:rPr>
                <w:rFonts w:ascii="Times New Roman" w:hAnsi="Times New Roman"/>
                <w:sz w:val="20"/>
                <w:szCs w:val="20"/>
              </w:rPr>
              <w:t>-0,66</w:t>
            </w:r>
          </w:p>
        </w:tc>
        <w:tc>
          <w:tcPr>
            <w:tcW w:w="1559" w:type="dxa"/>
            <w:shd w:val="clear" w:color="auto" w:fill="F2F2F2" w:themeFill="background1" w:themeFillShade="F2"/>
          </w:tcPr>
          <w:p w14:paraId="743348E9" w14:textId="77777777" w:rsidR="008D0D3F" w:rsidRPr="00F53BA5" w:rsidRDefault="008D0D3F" w:rsidP="007E1C0A">
            <w:pPr>
              <w:pStyle w:val="ListParagraph"/>
              <w:spacing w:before="0" w:after="0"/>
              <w:ind w:left="0" w:firstLine="0"/>
              <w:contextualSpacing w:val="0"/>
              <w:jc w:val="center"/>
              <w:rPr>
                <w:rFonts w:ascii="Times New Roman" w:hAnsi="Times New Roman"/>
                <w:sz w:val="20"/>
                <w:szCs w:val="20"/>
              </w:rPr>
            </w:pPr>
            <w:r w:rsidRPr="00F53BA5">
              <w:rPr>
                <w:rFonts w:ascii="Times New Roman" w:hAnsi="Times New Roman"/>
                <w:sz w:val="20"/>
                <w:szCs w:val="20"/>
              </w:rPr>
              <w:t>-0,69</w:t>
            </w:r>
          </w:p>
        </w:tc>
        <w:tc>
          <w:tcPr>
            <w:tcW w:w="1559" w:type="dxa"/>
            <w:shd w:val="clear" w:color="auto" w:fill="F2F2F2" w:themeFill="background1" w:themeFillShade="F2"/>
          </w:tcPr>
          <w:p w14:paraId="6E810A14" w14:textId="77777777" w:rsidR="008D0D3F" w:rsidRPr="00F53BA5" w:rsidRDefault="008D0D3F" w:rsidP="007E1C0A">
            <w:pPr>
              <w:pStyle w:val="ListParagraph"/>
              <w:spacing w:before="0" w:after="0"/>
              <w:ind w:left="0" w:firstLine="0"/>
              <w:contextualSpacing w:val="0"/>
              <w:jc w:val="center"/>
              <w:rPr>
                <w:rFonts w:ascii="Times New Roman" w:hAnsi="Times New Roman"/>
                <w:sz w:val="20"/>
                <w:szCs w:val="20"/>
              </w:rPr>
            </w:pPr>
            <w:r w:rsidRPr="00F53BA5">
              <w:rPr>
                <w:rFonts w:ascii="Times New Roman" w:hAnsi="Times New Roman"/>
                <w:sz w:val="20"/>
                <w:szCs w:val="20"/>
              </w:rPr>
              <w:t>-0,72</w:t>
            </w:r>
          </w:p>
        </w:tc>
      </w:tr>
      <w:tr w:rsidR="008D0D3F" w:rsidRPr="00F53BA5" w14:paraId="64F62DC4" w14:textId="77777777" w:rsidTr="007E1C0A">
        <w:tc>
          <w:tcPr>
            <w:tcW w:w="9067" w:type="dxa"/>
            <w:gridSpan w:val="4"/>
            <w:shd w:val="clear" w:color="auto" w:fill="FFFFFF" w:themeFill="background1"/>
            <w:vAlign w:val="center"/>
          </w:tcPr>
          <w:p w14:paraId="4AD4E8DC" w14:textId="77777777" w:rsidR="008D0D3F" w:rsidRPr="00F53BA5" w:rsidRDefault="008D0D3F" w:rsidP="007E1C0A">
            <w:pPr>
              <w:pStyle w:val="ListParagraph"/>
              <w:spacing w:before="0" w:after="0"/>
              <w:ind w:left="0" w:firstLine="0"/>
              <w:contextualSpacing w:val="0"/>
              <w:jc w:val="left"/>
              <w:rPr>
                <w:rFonts w:ascii="Times New Roman" w:hAnsi="Times New Roman"/>
                <w:b/>
                <w:bCs/>
                <w:sz w:val="20"/>
                <w:szCs w:val="20"/>
              </w:rPr>
            </w:pPr>
            <w:r w:rsidRPr="00F53BA5">
              <w:rPr>
                <w:rFonts w:ascii="Times New Roman" w:hAnsi="Times New Roman"/>
                <w:b/>
                <w:bCs/>
                <w:sz w:val="20"/>
                <w:szCs w:val="20"/>
              </w:rPr>
              <w:t>Neapliekamā minimuma piemērošana MUN maksātājiem</w:t>
            </w:r>
          </w:p>
        </w:tc>
      </w:tr>
      <w:tr w:rsidR="008D0D3F" w:rsidRPr="00F53BA5" w14:paraId="4EFA945A" w14:textId="77777777" w:rsidTr="007E1C0A">
        <w:tc>
          <w:tcPr>
            <w:tcW w:w="4390" w:type="dxa"/>
            <w:shd w:val="clear" w:color="auto" w:fill="FFFFFF" w:themeFill="background1"/>
            <w:vAlign w:val="center"/>
          </w:tcPr>
          <w:p w14:paraId="45D06C92" w14:textId="77777777" w:rsidR="008D0D3F" w:rsidRPr="00F53BA5" w:rsidRDefault="008D0D3F" w:rsidP="007E1C0A">
            <w:pPr>
              <w:pStyle w:val="ListParagraph"/>
              <w:spacing w:before="0" w:after="0"/>
              <w:ind w:left="0" w:firstLine="0"/>
              <w:contextualSpacing w:val="0"/>
              <w:jc w:val="left"/>
              <w:rPr>
                <w:rFonts w:ascii="Times New Roman" w:hAnsi="Times New Roman"/>
                <w:sz w:val="20"/>
                <w:szCs w:val="20"/>
              </w:rPr>
            </w:pPr>
            <w:r w:rsidRPr="00F53BA5">
              <w:rPr>
                <w:rFonts w:ascii="Times New Roman" w:hAnsi="Times New Roman"/>
                <w:sz w:val="20"/>
                <w:szCs w:val="20"/>
              </w:rPr>
              <w:t>IIN ieņēmumi</w:t>
            </w:r>
          </w:p>
        </w:tc>
        <w:tc>
          <w:tcPr>
            <w:tcW w:w="1559" w:type="dxa"/>
            <w:shd w:val="clear" w:color="auto" w:fill="FFFFFF" w:themeFill="background1"/>
          </w:tcPr>
          <w:p w14:paraId="67E1F05B" w14:textId="77777777" w:rsidR="008D0D3F" w:rsidRPr="00F53BA5" w:rsidRDefault="008D0D3F" w:rsidP="007E1C0A">
            <w:pPr>
              <w:pStyle w:val="ListParagraph"/>
              <w:spacing w:before="0" w:after="0"/>
              <w:ind w:left="0" w:firstLine="0"/>
              <w:contextualSpacing w:val="0"/>
              <w:jc w:val="center"/>
              <w:rPr>
                <w:rFonts w:ascii="Times New Roman" w:hAnsi="Times New Roman"/>
                <w:sz w:val="20"/>
                <w:szCs w:val="20"/>
              </w:rPr>
            </w:pPr>
            <w:r w:rsidRPr="00F53BA5">
              <w:rPr>
                <w:rFonts w:ascii="Times New Roman" w:hAnsi="Times New Roman"/>
                <w:sz w:val="20"/>
                <w:szCs w:val="20"/>
              </w:rPr>
              <w:t>-198</w:t>
            </w:r>
          </w:p>
        </w:tc>
        <w:tc>
          <w:tcPr>
            <w:tcW w:w="1559" w:type="dxa"/>
            <w:shd w:val="clear" w:color="auto" w:fill="FFFFFF" w:themeFill="background1"/>
          </w:tcPr>
          <w:p w14:paraId="61CED2A9" w14:textId="77777777" w:rsidR="008D0D3F" w:rsidRPr="00F53BA5" w:rsidRDefault="008D0D3F" w:rsidP="007E1C0A">
            <w:pPr>
              <w:pStyle w:val="ListParagraph"/>
              <w:spacing w:before="0" w:after="0"/>
              <w:ind w:left="0" w:firstLine="0"/>
              <w:contextualSpacing w:val="0"/>
              <w:jc w:val="center"/>
              <w:rPr>
                <w:rFonts w:ascii="Times New Roman" w:hAnsi="Times New Roman"/>
                <w:sz w:val="20"/>
                <w:szCs w:val="20"/>
              </w:rPr>
            </w:pPr>
            <w:r w:rsidRPr="00F53BA5">
              <w:rPr>
                <w:rFonts w:ascii="Times New Roman" w:hAnsi="Times New Roman"/>
                <w:sz w:val="20"/>
                <w:szCs w:val="20"/>
              </w:rPr>
              <w:t>-1,07</w:t>
            </w:r>
          </w:p>
        </w:tc>
        <w:tc>
          <w:tcPr>
            <w:tcW w:w="1559" w:type="dxa"/>
            <w:shd w:val="clear" w:color="auto" w:fill="FFFFFF" w:themeFill="background1"/>
          </w:tcPr>
          <w:p w14:paraId="5674840C" w14:textId="77777777" w:rsidR="008D0D3F" w:rsidRPr="00F53BA5" w:rsidRDefault="008D0D3F" w:rsidP="007E1C0A">
            <w:pPr>
              <w:pStyle w:val="ListParagraph"/>
              <w:spacing w:before="0" w:after="0"/>
              <w:ind w:left="0" w:firstLine="0"/>
              <w:contextualSpacing w:val="0"/>
              <w:jc w:val="center"/>
              <w:rPr>
                <w:rFonts w:ascii="Times New Roman" w:hAnsi="Times New Roman"/>
                <w:sz w:val="20"/>
                <w:szCs w:val="20"/>
              </w:rPr>
            </w:pPr>
            <w:r w:rsidRPr="00F53BA5">
              <w:rPr>
                <w:rFonts w:ascii="Times New Roman" w:hAnsi="Times New Roman"/>
                <w:sz w:val="20"/>
                <w:szCs w:val="20"/>
              </w:rPr>
              <w:t>-1,07</w:t>
            </w:r>
          </w:p>
        </w:tc>
      </w:tr>
      <w:tr w:rsidR="008D0D3F" w:rsidRPr="00F53BA5" w14:paraId="25623169" w14:textId="77777777" w:rsidTr="007E1C0A">
        <w:tc>
          <w:tcPr>
            <w:tcW w:w="4390" w:type="dxa"/>
            <w:shd w:val="clear" w:color="auto" w:fill="FFFFFF" w:themeFill="background1"/>
            <w:vAlign w:val="center"/>
          </w:tcPr>
          <w:p w14:paraId="7E1A3248" w14:textId="77777777" w:rsidR="008D0D3F" w:rsidRPr="00F53BA5" w:rsidRDefault="008D0D3F" w:rsidP="007E1C0A">
            <w:pPr>
              <w:pStyle w:val="ListParagraph"/>
              <w:spacing w:before="0" w:after="0"/>
              <w:ind w:left="0" w:firstLine="0"/>
              <w:contextualSpacing w:val="0"/>
              <w:jc w:val="left"/>
              <w:rPr>
                <w:rFonts w:ascii="Times New Roman" w:hAnsi="Times New Roman"/>
                <w:sz w:val="20"/>
                <w:szCs w:val="20"/>
              </w:rPr>
            </w:pPr>
            <w:r w:rsidRPr="00F53BA5">
              <w:rPr>
                <w:rFonts w:ascii="Times New Roman" w:hAnsi="Times New Roman"/>
                <w:sz w:val="20"/>
                <w:szCs w:val="20"/>
              </w:rPr>
              <w:t>PVN ieņēmumi</w:t>
            </w:r>
          </w:p>
        </w:tc>
        <w:tc>
          <w:tcPr>
            <w:tcW w:w="1559" w:type="dxa"/>
            <w:shd w:val="clear" w:color="auto" w:fill="FFFFFF" w:themeFill="background1"/>
          </w:tcPr>
          <w:p w14:paraId="4E080272" w14:textId="77777777" w:rsidR="008D0D3F" w:rsidRPr="00F53BA5" w:rsidRDefault="008D0D3F" w:rsidP="007E1C0A">
            <w:pPr>
              <w:pStyle w:val="ListParagraph"/>
              <w:spacing w:before="0" w:after="0"/>
              <w:ind w:left="0" w:firstLine="0"/>
              <w:contextualSpacing w:val="0"/>
              <w:jc w:val="center"/>
              <w:rPr>
                <w:rFonts w:ascii="Times New Roman" w:hAnsi="Times New Roman"/>
                <w:sz w:val="20"/>
                <w:szCs w:val="20"/>
              </w:rPr>
            </w:pPr>
            <w:r w:rsidRPr="00F53BA5">
              <w:rPr>
                <w:rFonts w:ascii="Times New Roman" w:hAnsi="Times New Roman"/>
                <w:sz w:val="20"/>
                <w:szCs w:val="20"/>
              </w:rPr>
              <w:t>+0,11</w:t>
            </w:r>
          </w:p>
        </w:tc>
        <w:tc>
          <w:tcPr>
            <w:tcW w:w="1559" w:type="dxa"/>
            <w:shd w:val="clear" w:color="auto" w:fill="FFFFFF" w:themeFill="background1"/>
          </w:tcPr>
          <w:p w14:paraId="2452A6DB" w14:textId="77777777" w:rsidR="008D0D3F" w:rsidRPr="00F53BA5" w:rsidRDefault="008D0D3F" w:rsidP="007E1C0A">
            <w:pPr>
              <w:pStyle w:val="ListParagraph"/>
              <w:spacing w:before="0" w:after="0"/>
              <w:ind w:left="0" w:firstLine="0"/>
              <w:contextualSpacing w:val="0"/>
              <w:jc w:val="center"/>
              <w:rPr>
                <w:rFonts w:ascii="Times New Roman" w:hAnsi="Times New Roman"/>
                <w:sz w:val="20"/>
                <w:szCs w:val="20"/>
              </w:rPr>
            </w:pPr>
            <w:r w:rsidRPr="00F53BA5">
              <w:rPr>
                <w:rFonts w:ascii="Times New Roman" w:hAnsi="Times New Roman"/>
                <w:sz w:val="20"/>
                <w:szCs w:val="20"/>
              </w:rPr>
              <w:t>+0,12</w:t>
            </w:r>
          </w:p>
        </w:tc>
        <w:tc>
          <w:tcPr>
            <w:tcW w:w="1559" w:type="dxa"/>
            <w:shd w:val="clear" w:color="auto" w:fill="FFFFFF" w:themeFill="background1"/>
          </w:tcPr>
          <w:p w14:paraId="11D7F86D" w14:textId="77777777" w:rsidR="008D0D3F" w:rsidRPr="00F53BA5" w:rsidRDefault="008D0D3F" w:rsidP="007E1C0A">
            <w:pPr>
              <w:pStyle w:val="ListParagraph"/>
              <w:spacing w:before="0" w:after="0"/>
              <w:ind w:left="0" w:firstLine="0"/>
              <w:contextualSpacing w:val="0"/>
              <w:jc w:val="center"/>
              <w:rPr>
                <w:rFonts w:ascii="Times New Roman" w:hAnsi="Times New Roman"/>
                <w:sz w:val="20"/>
                <w:szCs w:val="20"/>
              </w:rPr>
            </w:pPr>
            <w:r w:rsidRPr="00F53BA5">
              <w:rPr>
                <w:rFonts w:ascii="Times New Roman" w:hAnsi="Times New Roman"/>
                <w:sz w:val="20"/>
                <w:szCs w:val="20"/>
              </w:rPr>
              <w:t>+0,12</w:t>
            </w:r>
          </w:p>
        </w:tc>
      </w:tr>
      <w:tr w:rsidR="008D0D3F" w:rsidRPr="00F53BA5" w14:paraId="7E7D8132" w14:textId="77777777" w:rsidTr="007E1C0A">
        <w:tc>
          <w:tcPr>
            <w:tcW w:w="4390" w:type="dxa"/>
            <w:shd w:val="clear" w:color="auto" w:fill="F2F2F2" w:themeFill="background1" w:themeFillShade="F2"/>
            <w:vAlign w:val="center"/>
          </w:tcPr>
          <w:p w14:paraId="430E4B62" w14:textId="77777777" w:rsidR="008D0D3F" w:rsidRPr="00F53BA5" w:rsidRDefault="008D0D3F" w:rsidP="007E1C0A">
            <w:pPr>
              <w:pStyle w:val="ListParagraph"/>
              <w:spacing w:before="0" w:after="0"/>
              <w:ind w:left="0" w:firstLine="0"/>
              <w:contextualSpacing w:val="0"/>
              <w:jc w:val="right"/>
              <w:rPr>
                <w:rFonts w:ascii="Times New Roman" w:hAnsi="Times New Roman"/>
                <w:sz w:val="20"/>
                <w:szCs w:val="20"/>
              </w:rPr>
            </w:pPr>
            <w:r w:rsidRPr="00F53BA5">
              <w:rPr>
                <w:rFonts w:ascii="Times New Roman" w:hAnsi="Times New Roman"/>
                <w:sz w:val="20"/>
                <w:szCs w:val="20"/>
              </w:rPr>
              <w:t>Kopā no pasākuma:</w:t>
            </w:r>
          </w:p>
        </w:tc>
        <w:tc>
          <w:tcPr>
            <w:tcW w:w="1559" w:type="dxa"/>
            <w:shd w:val="clear" w:color="auto" w:fill="F2F2F2" w:themeFill="background1" w:themeFillShade="F2"/>
          </w:tcPr>
          <w:p w14:paraId="166EB7F6" w14:textId="77777777" w:rsidR="008D0D3F" w:rsidRPr="00F53BA5" w:rsidRDefault="008D0D3F" w:rsidP="007E1C0A">
            <w:pPr>
              <w:pStyle w:val="ListParagraph"/>
              <w:spacing w:before="0" w:after="0"/>
              <w:ind w:left="0" w:firstLine="0"/>
              <w:contextualSpacing w:val="0"/>
              <w:jc w:val="center"/>
              <w:rPr>
                <w:rFonts w:ascii="Times New Roman" w:hAnsi="Times New Roman"/>
                <w:sz w:val="20"/>
                <w:szCs w:val="20"/>
              </w:rPr>
            </w:pPr>
            <w:r w:rsidRPr="00F53BA5">
              <w:rPr>
                <w:rFonts w:ascii="Times New Roman" w:hAnsi="Times New Roman"/>
                <w:sz w:val="20"/>
                <w:szCs w:val="20"/>
              </w:rPr>
              <w:t>-0,86</w:t>
            </w:r>
          </w:p>
        </w:tc>
        <w:tc>
          <w:tcPr>
            <w:tcW w:w="1559" w:type="dxa"/>
            <w:shd w:val="clear" w:color="auto" w:fill="F2F2F2" w:themeFill="background1" w:themeFillShade="F2"/>
          </w:tcPr>
          <w:p w14:paraId="3094052D" w14:textId="77777777" w:rsidR="008D0D3F" w:rsidRPr="00F53BA5" w:rsidRDefault="008D0D3F" w:rsidP="007E1C0A">
            <w:pPr>
              <w:pStyle w:val="ListParagraph"/>
              <w:spacing w:before="0" w:after="0"/>
              <w:ind w:left="0" w:firstLine="0"/>
              <w:contextualSpacing w:val="0"/>
              <w:jc w:val="center"/>
              <w:rPr>
                <w:rFonts w:ascii="Times New Roman" w:hAnsi="Times New Roman"/>
                <w:sz w:val="20"/>
                <w:szCs w:val="20"/>
              </w:rPr>
            </w:pPr>
            <w:r w:rsidRPr="00F53BA5">
              <w:rPr>
                <w:rFonts w:ascii="Times New Roman" w:hAnsi="Times New Roman"/>
                <w:sz w:val="20"/>
                <w:szCs w:val="20"/>
              </w:rPr>
              <w:t>-0,94</w:t>
            </w:r>
          </w:p>
        </w:tc>
        <w:tc>
          <w:tcPr>
            <w:tcW w:w="1559" w:type="dxa"/>
            <w:shd w:val="clear" w:color="auto" w:fill="F2F2F2" w:themeFill="background1" w:themeFillShade="F2"/>
          </w:tcPr>
          <w:p w14:paraId="39975AA7" w14:textId="77777777" w:rsidR="008D0D3F" w:rsidRPr="00F53BA5" w:rsidRDefault="008D0D3F" w:rsidP="007E1C0A">
            <w:pPr>
              <w:pStyle w:val="ListParagraph"/>
              <w:spacing w:before="0" w:after="0"/>
              <w:ind w:left="0" w:firstLine="0"/>
              <w:contextualSpacing w:val="0"/>
              <w:jc w:val="center"/>
              <w:rPr>
                <w:rFonts w:ascii="Times New Roman" w:hAnsi="Times New Roman"/>
                <w:sz w:val="20"/>
                <w:szCs w:val="20"/>
              </w:rPr>
            </w:pPr>
            <w:r w:rsidRPr="00F53BA5">
              <w:rPr>
                <w:rFonts w:ascii="Times New Roman" w:hAnsi="Times New Roman"/>
                <w:sz w:val="20"/>
                <w:szCs w:val="20"/>
              </w:rPr>
              <w:t>-0,94</w:t>
            </w:r>
          </w:p>
        </w:tc>
      </w:tr>
      <w:tr w:rsidR="008D0D3F" w:rsidRPr="006D7653" w14:paraId="08F968DE" w14:textId="77777777" w:rsidTr="007E1C0A">
        <w:tc>
          <w:tcPr>
            <w:tcW w:w="4390" w:type="dxa"/>
            <w:shd w:val="clear" w:color="auto" w:fill="F2F2F2" w:themeFill="background1" w:themeFillShade="F2"/>
            <w:vAlign w:val="center"/>
          </w:tcPr>
          <w:p w14:paraId="494B09B2" w14:textId="6314F8EA" w:rsidR="008D0D3F" w:rsidRPr="00F53BA5" w:rsidRDefault="00F53BA5" w:rsidP="00F53BA5">
            <w:pPr>
              <w:pStyle w:val="ListParagraph"/>
              <w:spacing w:before="0" w:after="0"/>
              <w:ind w:left="0" w:firstLine="0"/>
              <w:contextualSpacing w:val="0"/>
              <w:jc w:val="right"/>
              <w:rPr>
                <w:rFonts w:ascii="Times New Roman" w:hAnsi="Times New Roman"/>
                <w:sz w:val="20"/>
                <w:szCs w:val="20"/>
              </w:rPr>
            </w:pPr>
            <w:r>
              <w:rPr>
                <w:rFonts w:ascii="Times New Roman" w:hAnsi="Times New Roman"/>
                <w:b/>
                <w:bCs/>
                <w:sz w:val="20"/>
                <w:szCs w:val="20"/>
              </w:rPr>
              <w:t>Kopā:</w:t>
            </w:r>
          </w:p>
        </w:tc>
        <w:tc>
          <w:tcPr>
            <w:tcW w:w="1559" w:type="dxa"/>
            <w:shd w:val="clear" w:color="auto" w:fill="F2F2F2" w:themeFill="background1" w:themeFillShade="F2"/>
          </w:tcPr>
          <w:p w14:paraId="5EBFC9EE" w14:textId="77777777" w:rsidR="008D0D3F" w:rsidRPr="00F53BA5" w:rsidRDefault="008D0D3F" w:rsidP="007E1C0A">
            <w:pPr>
              <w:pStyle w:val="ListParagraph"/>
              <w:spacing w:before="0" w:after="0"/>
              <w:ind w:left="0" w:firstLine="0"/>
              <w:contextualSpacing w:val="0"/>
              <w:jc w:val="center"/>
              <w:rPr>
                <w:rFonts w:ascii="Times New Roman" w:hAnsi="Times New Roman"/>
                <w:b/>
                <w:bCs/>
                <w:sz w:val="20"/>
                <w:szCs w:val="20"/>
              </w:rPr>
            </w:pPr>
            <w:r w:rsidRPr="00F53BA5">
              <w:rPr>
                <w:rFonts w:ascii="Times New Roman" w:hAnsi="Times New Roman"/>
                <w:b/>
                <w:bCs/>
                <w:sz w:val="20"/>
                <w:szCs w:val="20"/>
              </w:rPr>
              <w:t>-1,5</w:t>
            </w:r>
          </w:p>
        </w:tc>
        <w:tc>
          <w:tcPr>
            <w:tcW w:w="1559" w:type="dxa"/>
            <w:shd w:val="clear" w:color="auto" w:fill="F2F2F2" w:themeFill="background1" w:themeFillShade="F2"/>
          </w:tcPr>
          <w:p w14:paraId="7EB2883F" w14:textId="77777777" w:rsidR="008D0D3F" w:rsidRPr="00F53BA5" w:rsidRDefault="008D0D3F" w:rsidP="007E1C0A">
            <w:pPr>
              <w:pStyle w:val="ListParagraph"/>
              <w:spacing w:before="0" w:after="0"/>
              <w:ind w:left="0" w:firstLine="0"/>
              <w:contextualSpacing w:val="0"/>
              <w:jc w:val="center"/>
              <w:rPr>
                <w:rFonts w:ascii="Times New Roman" w:hAnsi="Times New Roman"/>
                <w:b/>
                <w:bCs/>
                <w:sz w:val="20"/>
                <w:szCs w:val="20"/>
              </w:rPr>
            </w:pPr>
            <w:r w:rsidRPr="00F53BA5">
              <w:rPr>
                <w:rFonts w:ascii="Times New Roman" w:hAnsi="Times New Roman"/>
                <w:b/>
                <w:bCs/>
                <w:sz w:val="20"/>
                <w:szCs w:val="20"/>
              </w:rPr>
              <w:t>-1,6</w:t>
            </w:r>
          </w:p>
        </w:tc>
        <w:tc>
          <w:tcPr>
            <w:tcW w:w="1559" w:type="dxa"/>
            <w:shd w:val="clear" w:color="auto" w:fill="F2F2F2" w:themeFill="background1" w:themeFillShade="F2"/>
          </w:tcPr>
          <w:p w14:paraId="2221E275" w14:textId="77777777" w:rsidR="008D0D3F" w:rsidRPr="006D7653" w:rsidRDefault="008D0D3F" w:rsidP="007E1C0A">
            <w:pPr>
              <w:pStyle w:val="ListParagraph"/>
              <w:spacing w:before="0" w:after="0"/>
              <w:ind w:left="0" w:firstLine="0"/>
              <w:contextualSpacing w:val="0"/>
              <w:jc w:val="center"/>
              <w:rPr>
                <w:rFonts w:ascii="Times New Roman" w:hAnsi="Times New Roman"/>
                <w:b/>
                <w:bCs/>
                <w:sz w:val="20"/>
                <w:szCs w:val="20"/>
              </w:rPr>
            </w:pPr>
            <w:r w:rsidRPr="00F53BA5">
              <w:rPr>
                <w:rFonts w:ascii="Times New Roman" w:hAnsi="Times New Roman"/>
                <w:b/>
                <w:bCs/>
                <w:sz w:val="20"/>
                <w:szCs w:val="20"/>
              </w:rPr>
              <w:t>-1,7</w:t>
            </w:r>
          </w:p>
        </w:tc>
      </w:tr>
    </w:tbl>
    <w:p w14:paraId="41C683D2" w14:textId="7726729D" w:rsidR="00F53BA5" w:rsidRPr="00404692" w:rsidRDefault="00404692" w:rsidP="008D0D3F">
      <w:pPr>
        <w:tabs>
          <w:tab w:val="left" w:pos="426"/>
        </w:tabs>
        <w:ind w:firstLine="0"/>
        <w:rPr>
          <w:rFonts w:cs="Times New Roman"/>
          <w:i/>
          <w:sz w:val="18"/>
          <w:szCs w:val="18"/>
        </w:rPr>
      </w:pPr>
      <w:r w:rsidRPr="00404692">
        <w:rPr>
          <w:rFonts w:cs="Times New Roman"/>
          <w:i/>
          <w:sz w:val="18"/>
          <w:szCs w:val="18"/>
        </w:rPr>
        <w:t>* Fiskālā ietekme vērtēta pie nemain</w:t>
      </w:r>
      <w:r>
        <w:rPr>
          <w:rFonts w:cs="Times New Roman"/>
          <w:i/>
          <w:sz w:val="18"/>
          <w:szCs w:val="18"/>
        </w:rPr>
        <w:t>īga diferencētā neapliekamā minimuma</w:t>
      </w:r>
      <w:r w:rsidR="008415B7">
        <w:rPr>
          <w:rFonts w:cs="Times New Roman"/>
          <w:i/>
          <w:sz w:val="18"/>
          <w:szCs w:val="18"/>
        </w:rPr>
        <w:t xml:space="preserve"> un atvieglojuma par apgādībā esošām personām.</w:t>
      </w:r>
    </w:p>
    <w:p w14:paraId="6338AF43" w14:textId="1AF4F0CC" w:rsidR="008D0D3F" w:rsidRPr="006D7653" w:rsidRDefault="00F53BA5" w:rsidP="008D0D3F">
      <w:pPr>
        <w:tabs>
          <w:tab w:val="left" w:pos="426"/>
        </w:tabs>
        <w:ind w:firstLine="0"/>
        <w:rPr>
          <w:rFonts w:cs="Times New Roman"/>
          <w:b/>
          <w:bCs/>
          <w:i/>
          <w:sz w:val="20"/>
          <w:szCs w:val="24"/>
        </w:rPr>
      </w:pPr>
      <w:r>
        <w:rPr>
          <w:rFonts w:cs="Times New Roman"/>
          <w:b/>
          <w:bCs/>
          <w:sz w:val="20"/>
          <w:szCs w:val="20"/>
          <w:vertAlign w:val="superscript"/>
        </w:rPr>
        <w:t>*</w:t>
      </w:r>
      <w:r w:rsidR="008D0D3F" w:rsidRPr="006D7653">
        <w:rPr>
          <w:rFonts w:cs="Times New Roman"/>
          <w:b/>
          <w:bCs/>
          <w:sz w:val="20"/>
          <w:szCs w:val="20"/>
          <w:vertAlign w:val="superscript"/>
        </w:rPr>
        <w:t>*</w:t>
      </w:r>
      <w:r w:rsidR="008D0D3F" w:rsidRPr="006D7653">
        <w:rPr>
          <w:rFonts w:cs="Times New Roman"/>
          <w:i/>
          <w:sz w:val="18"/>
          <w:szCs w:val="18"/>
        </w:rPr>
        <w:t>2024. gadā norādīta 11 mēnešu ietekme.</w:t>
      </w:r>
    </w:p>
    <w:p w14:paraId="10A89A66" w14:textId="77777777" w:rsidR="008D0D3F" w:rsidRPr="006D7653" w:rsidRDefault="008D0D3F" w:rsidP="008D0D3F">
      <w:pPr>
        <w:tabs>
          <w:tab w:val="left" w:pos="426"/>
        </w:tabs>
        <w:spacing w:after="120"/>
        <w:ind w:firstLine="0"/>
        <w:rPr>
          <w:rFonts w:cs="Times New Roman"/>
          <w:i/>
          <w:sz w:val="20"/>
          <w:szCs w:val="24"/>
        </w:rPr>
      </w:pPr>
      <w:r w:rsidRPr="006D7653">
        <w:rPr>
          <w:rFonts w:cs="Times New Roman"/>
          <w:b/>
          <w:bCs/>
          <w:i/>
          <w:sz w:val="20"/>
          <w:szCs w:val="24"/>
        </w:rPr>
        <w:t>Avots</w:t>
      </w:r>
      <w:r w:rsidRPr="006D7653">
        <w:rPr>
          <w:rFonts w:cs="Times New Roman"/>
          <w:i/>
          <w:sz w:val="20"/>
          <w:szCs w:val="24"/>
        </w:rPr>
        <w:t>: FM aprēķini.</w:t>
      </w:r>
    </w:p>
    <w:p w14:paraId="6BD7BC38" w14:textId="77777777" w:rsidR="008721CC" w:rsidRDefault="008721CC" w:rsidP="006D7653">
      <w:pPr>
        <w:ind w:firstLine="0"/>
        <w:rPr>
          <w:rFonts w:cs="Times New Roman"/>
          <w:b/>
          <w:bCs/>
          <w:i/>
          <w:iCs/>
          <w:u w:val="single"/>
        </w:rPr>
      </w:pPr>
    </w:p>
    <w:p w14:paraId="0FC49CFE" w14:textId="7CE8CB1F" w:rsidR="006D7653" w:rsidRPr="00B00D41" w:rsidRDefault="006D7653" w:rsidP="006D7653">
      <w:pPr>
        <w:ind w:firstLine="0"/>
        <w:rPr>
          <w:rFonts w:cs="Times New Roman"/>
          <w:b/>
          <w:bCs/>
          <w:i/>
          <w:iCs/>
          <w:u w:val="single"/>
        </w:rPr>
      </w:pPr>
      <w:r w:rsidRPr="00B00D41">
        <w:rPr>
          <w:rFonts w:cs="Times New Roman"/>
          <w:b/>
          <w:bCs/>
          <w:i/>
          <w:iCs/>
          <w:u w:val="single"/>
        </w:rPr>
        <w:t xml:space="preserve">Attālināta darba kompensācijas apmēra palielināšana </w:t>
      </w:r>
    </w:p>
    <w:p w14:paraId="04C767A9" w14:textId="77777777" w:rsidR="006D7653" w:rsidRPr="00B00D41" w:rsidRDefault="006D7653" w:rsidP="006D7653">
      <w:r w:rsidRPr="00B00D41">
        <w:rPr>
          <w:i/>
          <w:iCs/>
        </w:rPr>
        <w:t>Darba likums</w:t>
      </w:r>
      <w:r w:rsidRPr="00B00D41">
        <w:t xml:space="preserve"> paredz</w:t>
      </w:r>
      <w:r w:rsidRPr="00B00D41">
        <w:rPr>
          <w:rStyle w:val="FootnoteReference"/>
          <w:rFonts w:cs="Times New Roman"/>
          <w:sz w:val="22"/>
          <w:szCs w:val="20"/>
        </w:rPr>
        <w:footnoteReference w:id="11"/>
      </w:r>
      <w:r w:rsidRPr="00B00D41">
        <w:t xml:space="preserve">, ka darbinieks un darba devējs var vienoties par darba veikšanu attālināti, un darbinieka izdevumus, kas saistīti ar attālinātā darba veikšanu, sedz darba devējs, </w:t>
      </w:r>
      <w:r w:rsidRPr="00B00D41">
        <w:lastRenderedPageBreak/>
        <w:t xml:space="preserve">ja darba līgumā vai darba koplīgumā, kas noslēgts ar darbinieku arodbiedrību, nav noteikts citādi. </w:t>
      </w:r>
    </w:p>
    <w:p w14:paraId="70E07863" w14:textId="77777777" w:rsidR="006D7653" w:rsidRPr="00B00D41" w:rsidRDefault="006D7653" w:rsidP="006D7653">
      <w:r w:rsidRPr="00B00D41">
        <w:t>Pašlaik likuma “</w:t>
      </w:r>
      <w:r w:rsidRPr="00B00D41">
        <w:rPr>
          <w:i/>
          <w:iCs/>
        </w:rPr>
        <w:t>Par iedzīvotāju ienākuma nodokli</w:t>
      </w:r>
      <w:r w:rsidRPr="00B00D41">
        <w:t>” pārejas noteikumos</w:t>
      </w:r>
      <w:r w:rsidRPr="00B00D41">
        <w:rPr>
          <w:rStyle w:val="FootnoteReference"/>
          <w:rFonts w:cs="Times New Roman"/>
          <w:sz w:val="22"/>
          <w:szCs w:val="20"/>
        </w:rPr>
        <w:footnoteReference w:id="12"/>
      </w:r>
      <w:r w:rsidRPr="00B00D41">
        <w:t xml:space="preserve"> ir noteikts IIN atbrīvojums ar attālinātā darba veikšanu saistītajām izdevumu kompensāciju summām, kuras atbilstoši </w:t>
      </w:r>
      <w:r w:rsidRPr="00B00D41">
        <w:rPr>
          <w:i/>
          <w:iCs/>
        </w:rPr>
        <w:t>Darba likumam</w:t>
      </w:r>
      <w:r w:rsidRPr="00B00D41">
        <w:t xml:space="preserve"> darba ņēmējam sedz darba devējs, ja to kopējais apmērs mēnesī par pilnas slodzes darbu </w:t>
      </w:r>
      <w:r w:rsidRPr="00B00D41">
        <w:rPr>
          <w:b/>
          <w:bCs/>
        </w:rPr>
        <w:t>nepārsniedz 30 </w:t>
      </w:r>
      <w:r w:rsidRPr="00B00D41">
        <w:rPr>
          <w:b/>
          <w:bCs/>
          <w:i/>
          <w:iCs/>
        </w:rPr>
        <w:t>euro</w:t>
      </w:r>
      <w:r w:rsidRPr="00B00D41">
        <w:t xml:space="preserve">.  </w:t>
      </w:r>
    </w:p>
    <w:p w14:paraId="6E775E6E" w14:textId="6F71BB26" w:rsidR="006D7653" w:rsidRPr="00B00D41" w:rsidRDefault="006D7653" w:rsidP="006D7653">
      <w:r w:rsidRPr="00B00D41">
        <w:t xml:space="preserve">Veiktā analīze par šīs normas līdzšinējo darbību, kā arī paredzamās tendences saistībā ar attālināta darba piemērošanas palielināšanos un vispārēju plašāku pāreju uz tādu darba organizācijas modeli, kas ietver attālināto darbu, liecina par nepieciešamību šī normatīvā regulējuma darbību noteikt kā pastāvīgu normu. Vienlaikus, ņemot vērā, ka šis IIN atbrīvojums tika ieviests no 2021. gada un darbiniekiem </w:t>
      </w:r>
      <w:r w:rsidR="006F39C1">
        <w:t>ir</w:t>
      </w:r>
      <w:r w:rsidRPr="00B00D41">
        <w:t xml:space="preserve"> palielinājušies izdevumi saistībā ar attālinātā darba veikšanu, ir izvērtēta arī iespēja palielināt minēto apmēru līdz </w:t>
      </w:r>
      <w:r w:rsidRPr="00B00D41">
        <w:rPr>
          <w:b/>
          <w:bCs/>
        </w:rPr>
        <w:t>40 </w:t>
      </w:r>
      <w:r w:rsidRPr="00B00D41">
        <w:rPr>
          <w:b/>
          <w:bCs/>
          <w:i/>
          <w:iCs/>
        </w:rPr>
        <w:t>euro</w:t>
      </w:r>
      <w:r w:rsidRPr="00B00D41">
        <w:rPr>
          <w:b/>
          <w:bCs/>
        </w:rPr>
        <w:t xml:space="preserve"> mēnesī</w:t>
      </w:r>
      <w:r w:rsidRPr="00B00D41">
        <w:t>, nemainot likumā “</w:t>
      </w:r>
      <w:r w:rsidRPr="00B00D41">
        <w:rPr>
          <w:i/>
          <w:iCs/>
        </w:rPr>
        <w:t>Par iedzīvotāju ienākuma nodokli</w:t>
      </w:r>
      <w:r w:rsidRPr="00B00D41">
        <w:t xml:space="preserve">” noteiktos nosacījumus. </w:t>
      </w:r>
    </w:p>
    <w:p w14:paraId="746E9486" w14:textId="5DD3671C" w:rsidR="006D7653" w:rsidRPr="00B00D41" w:rsidRDefault="009E3CC5" w:rsidP="006D7653">
      <w:pPr>
        <w:spacing w:after="120"/>
        <w:ind w:firstLine="709"/>
        <w:jc w:val="center"/>
        <w:rPr>
          <w:rFonts w:cs="Times New Roman"/>
          <w:sz w:val="22"/>
          <w:szCs w:val="24"/>
        </w:rPr>
      </w:pPr>
      <w:r>
        <w:rPr>
          <w:rFonts w:cs="Times New Roman"/>
          <w:sz w:val="22"/>
          <w:szCs w:val="24"/>
        </w:rPr>
        <w:t>15</w:t>
      </w:r>
      <w:r w:rsidR="006D7653" w:rsidRPr="00B00D41">
        <w:rPr>
          <w:rFonts w:cs="Times New Roman"/>
          <w:sz w:val="22"/>
          <w:szCs w:val="24"/>
        </w:rPr>
        <w:t>. tab</w:t>
      </w:r>
      <w:r w:rsidR="006D7653" w:rsidRPr="00B00D41">
        <w:rPr>
          <w:rFonts w:cs="Times New Roman"/>
          <w:bCs/>
          <w:sz w:val="22"/>
          <w:szCs w:val="24"/>
        </w:rPr>
        <w:t>.</w:t>
      </w:r>
      <w:r w:rsidR="006D7653" w:rsidRPr="00B00D41">
        <w:rPr>
          <w:rFonts w:cs="Times New Roman"/>
          <w:b/>
          <w:sz w:val="22"/>
          <w:szCs w:val="24"/>
        </w:rPr>
        <w:t xml:space="preserve"> Priekšlikuma indikatīva fiskālā ietekme</w:t>
      </w:r>
      <w:r w:rsidR="006D7653" w:rsidRPr="00B00D41">
        <w:rPr>
          <w:rFonts w:cs="Times New Roman"/>
          <w:bCs/>
          <w:sz w:val="22"/>
          <w:szCs w:val="24"/>
        </w:rPr>
        <w:t xml:space="preserve">, </w:t>
      </w:r>
      <w:r w:rsidR="006D7653" w:rsidRPr="00B00D41">
        <w:rPr>
          <w:rFonts w:cs="Times New Roman"/>
          <w:bCs/>
          <w:i/>
          <w:iCs/>
          <w:sz w:val="22"/>
          <w:szCs w:val="24"/>
        </w:rPr>
        <w:t>milj. euro</w:t>
      </w:r>
    </w:p>
    <w:tbl>
      <w:tblPr>
        <w:tblStyle w:val="TableGrid"/>
        <w:tblW w:w="9067" w:type="dxa"/>
        <w:tblInd w:w="5" w:type="dxa"/>
        <w:tblLook w:val="04A0" w:firstRow="1" w:lastRow="0" w:firstColumn="1" w:lastColumn="0" w:noHBand="0" w:noVBand="1"/>
      </w:tblPr>
      <w:tblGrid>
        <w:gridCol w:w="4390"/>
        <w:gridCol w:w="1559"/>
        <w:gridCol w:w="1559"/>
        <w:gridCol w:w="1559"/>
      </w:tblGrid>
      <w:tr w:rsidR="006D7653" w:rsidRPr="00B00D41" w14:paraId="5AA4847C" w14:textId="77777777" w:rsidTr="007E1C0A">
        <w:tc>
          <w:tcPr>
            <w:tcW w:w="4390" w:type="dxa"/>
            <w:tcBorders>
              <w:top w:val="nil"/>
              <w:left w:val="nil"/>
              <w:bottom w:val="single" w:sz="12" w:space="0" w:color="auto"/>
              <w:right w:val="nil"/>
            </w:tcBorders>
          </w:tcPr>
          <w:p w14:paraId="5144CE8B"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p>
        </w:tc>
        <w:tc>
          <w:tcPr>
            <w:tcW w:w="1559" w:type="dxa"/>
            <w:tcBorders>
              <w:top w:val="nil"/>
              <w:left w:val="nil"/>
              <w:bottom w:val="single" w:sz="12" w:space="0" w:color="auto"/>
              <w:right w:val="nil"/>
            </w:tcBorders>
            <w:vAlign w:val="bottom"/>
          </w:tcPr>
          <w:p w14:paraId="57B479B2"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2024</w:t>
            </w:r>
          </w:p>
        </w:tc>
        <w:tc>
          <w:tcPr>
            <w:tcW w:w="1559" w:type="dxa"/>
            <w:tcBorders>
              <w:top w:val="nil"/>
              <w:left w:val="nil"/>
              <w:bottom w:val="single" w:sz="12" w:space="0" w:color="auto"/>
              <w:right w:val="nil"/>
            </w:tcBorders>
            <w:vAlign w:val="bottom"/>
          </w:tcPr>
          <w:p w14:paraId="41AD7B47"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2025</w:t>
            </w:r>
          </w:p>
        </w:tc>
        <w:tc>
          <w:tcPr>
            <w:tcW w:w="1559" w:type="dxa"/>
            <w:tcBorders>
              <w:top w:val="nil"/>
              <w:left w:val="nil"/>
              <w:bottom w:val="single" w:sz="12" w:space="0" w:color="auto"/>
              <w:right w:val="nil"/>
            </w:tcBorders>
            <w:vAlign w:val="bottom"/>
          </w:tcPr>
          <w:p w14:paraId="375F35ED"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2026</w:t>
            </w:r>
          </w:p>
        </w:tc>
      </w:tr>
      <w:tr w:rsidR="006D7653" w:rsidRPr="00B00D41" w14:paraId="4E99175E" w14:textId="77777777" w:rsidTr="007E1C0A">
        <w:tc>
          <w:tcPr>
            <w:tcW w:w="4390" w:type="dxa"/>
            <w:tcBorders>
              <w:top w:val="single" w:sz="12" w:space="0" w:color="auto"/>
            </w:tcBorders>
          </w:tcPr>
          <w:p w14:paraId="747B7C82" w14:textId="77777777" w:rsidR="006D7653" w:rsidRPr="00B00D41" w:rsidRDefault="006D7653" w:rsidP="007E1C0A">
            <w:pPr>
              <w:pStyle w:val="ListParagraph"/>
              <w:spacing w:before="0" w:after="0"/>
              <w:ind w:left="0" w:firstLine="0"/>
              <w:contextualSpacing w:val="0"/>
              <w:rPr>
                <w:rFonts w:ascii="Times New Roman" w:hAnsi="Times New Roman"/>
                <w:sz w:val="20"/>
                <w:szCs w:val="20"/>
              </w:rPr>
            </w:pPr>
            <w:r w:rsidRPr="00B00D41">
              <w:rPr>
                <w:rFonts w:ascii="Times New Roman" w:hAnsi="Times New Roman"/>
                <w:sz w:val="20"/>
                <w:szCs w:val="20"/>
              </w:rPr>
              <w:t>VSAOI ieņēmumi</w:t>
            </w:r>
          </w:p>
        </w:tc>
        <w:tc>
          <w:tcPr>
            <w:tcW w:w="1559" w:type="dxa"/>
            <w:tcBorders>
              <w:top w:val="single" w:sz="12" w:space="0" w:color="auto"/>
            </w:tcBorders>
          </w:tcPr>
          <w:p w14:paraId="406483E8"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hAnsi="Times New Roman"/>
                <w:sz w:val="20"/>
                <w:szCs w:val="20"/>
              </w:rPr>
              <w:t>-0,4</w:t>
            </w:r>
          </w:p>
        </w:tc>
        <w:tc>
          <w:tcPr>
            <w:tcW w:w="1559" w:type="dxa"/>
            <w:tcBorders>
              <w:top w:val="single" w:sz="12" w:space="0" w:color="auto"/>
            </w:tcBorders>
          </w:tcPr>
          <w:p w14:paraId="6B253EB5"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hAnsi="Times New Roman"/>
                <w:sz w:val="20"/>
                <w:szCs w:val="20"/>
              </w:rPr>
              <w:t>-0,4</w:t>
            </w:r>
          </w:p>
        </w:tc>
        <w:tc>
          <w:tcPr>
            <w:tcW w:w="1559" w:type="dxa"/>
            <w:tcBorders>
              <w:top w:val="single" w:sz="12" w:space="0" w:color="auto"/>
            </w:tcBorders>
          </w:tcPr>
          <w:p w14:paraId="0EE3A762"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hAnsi="Times New Roman"/>
                <w:sz w:val="20"/>
                <w:szCs w:val="20"/>
              </w:rPr>
              <w:t>-0,4</w:t>
            </w:r>
          </w:p>
        </w:tc>
      </w:tr>
      <w:tr w:rsidR="006D7653" w:rsidRPr="00B00D41" w14:paraId="3E8515EB" w14:textId="77777777" w:rsidTr="007E1C0A">
        <w:tc>
          <w:tcPr>
            <w:tcW w:w="4390" w:type="dxa"/>
          </w:tcPr>
          <w:p w14:paraId="622256E6" w14:textId="77777777" w:rsidR="006D7653" w:rsidRPr="00B00D41" w:rsidRDefault="006D7653" w:rsidP="007E1C0A">
            <w:pPr>
              <w:pStyle w:val="ListParagraph"/>
              <w:spacing w:before="0" w:after="0"/>
              <w:ind w:left="0" w:firstLine="0"/>
              <w:contextualSpacing w:val="0"/>
              <w:rPr>
                <w:rFonts w:ascii="Times New Roman" w:hAnsi="Times New Roman"/>
                <w:sz w:val="20"/>
                <w:szCs w:val="20"/>
              </w:rPr>
            </w:pPr>
            <w:r w:rsidRPr="00B00D41">
              <w:rPr>
                <w:rFonts w:ascii="Times New Roman" w:hAnsi="Times New Roman"/>
                <w:sz w:val="20"/>
                <w:szCs w:val="20"/>
              </w:rPr>
              <w:t>IIN ieņēmumi</w:t>
            </w:r>
          </w:p>
        </w:tc>
        <w:tc>
          <w:tcPr>
            <w:tcW w:w="1559" w:type="dxa"/>
          </w:tcPr>
          <w:p w14:paraId="5A6CA905"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hAnsi="Times New Roman"/>
                <w:sz w:val="20"/>
                <w:szCs w:val="20"/>
              </w:rPr>
              <w:t>-0,2</w:t>
            </w:r>
          </w:p>
        </w:tc>
        <w:tc>
          <w:tcPr>
            <w:tcW w:w="1559" w:type="dxa"/>
          </w:tcPr>
          <w:p w14:paraId="159CFB23"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hAnsi="Times New Roman"/>
                <w:sz w:val="20"/>
                <w:szCs w:val="20"/>
              </w:rPr>
              <w:t>-0,2</w:t>
            </w:r>
          </w:p>
        </w:tc>
        <w:tc>
          <w:tcPr>
            <w:tcW w:w="1559" w:type="dxa"/>
          </w:tcPr>
          <w:p w14:paraId="425B2AC8"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hAnsi="Times New Roman"/>
                <w:sz w:val="20"/>
                <w:szCs w:val="20"/>
              </w:rPr>
              <w:t>-0,2</w:t>
            </w:r>
          </w:p>
        </w:tc>
      </w:tr>
      <w:tr w:rsidR="006D7653" w:rsidRPr="00B00D41" w14:paraId="068629CE" w14:textId="77777777" w:rsidTr="007E1C0A">
        <w:tc>
          <w:tcPr>
            <w:tcW w:w="4390" w:type="dxa"/>
            <w:shd w:val="clear" w:color="auto" w:fill="F2F2F2" w:themeFill="background1" w:themeFillShade="F2"/>
          </w:tcPr>
          <w:p w14:paraId="12A6BB5B" w14:textId="77777777" w:rsidR="006D7653" w:rsidRPr="00B00D41" w:rsidRDefault="006D7653" w:rsidP="007E1C0A">
            <w:pPr>
              <w:pStyle w:val="ListParagraph"/>
              <w:spacing w:before="0" w:after="0"/>
              <w:ind w:left="0" w:firstLine="0"/>
              <w:contextualSpacing w:val="0"/>
              <w:jc w:val="right"/>
              <w:rPr>
                <w:rFonts w:ascii="Times New Roman" w:hAnsi="Times New Roman"/>
                <w:b/>
                <w:bCs/>
                <w:sz w:val="20"/>
                <w:szCs w:val="20"/>
              </w:rPr>
            </w:pPr>
            <w:r w:rsidRPr="00B00D41">
              <w:rPr>
                <w:rFonts w:ascii="Times New Roman" w:hAnsi="Times New Roman"/>
                <w:b/>
                <w:bCs/>
                <w:sz w:val="20"/>
                <w:szCs w:val="20"/>
              </w:rPr>
              <w:t>Kopā:</w:t>
            </w:r>
          </w:p>
        </w:tc>
        <w:tc>
          <w:tcPr>
            <w:tcW w:w="1559" w:type="dxa"/>
            <w:shd w:val="clear" w:color="auto" w:fill="F2F2F2" w:themeFill="background1" w:themeFillShade="F2"/>
          </w:tcPr>
          <w:p w14:paraId="216E4383"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-0,6</w:t>
            </w:r>
          </w:p>
        </w:tc>
        <w:tc>
          <w:tcPr>
            <w:tcW w:w="1559" w:type="dxa"/>
            <w:shd w:val="clear" w:color="auto" w:fill="F2F2F2" w:themeFill="background1" w:themeFillShade="F2"/>
          </w:tcPr>
          <w:p w14:paraId="1E20CDF0"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-0,6</w:t>
            </w:r>
          </w:p>
        </w:tc>
        <w:tc>
          <w:tcPr>
            <w:tcW w:w="1559" w:type="dxa"/>
            <w:shd w:val="clear" w:color="auto" w:fill="F2F2F2" w:themeFill="background1" w:themeFillShade="F2"/>
          </w:tcPr>
          <w:p w14:paraId="6B891F64"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-0,6</w:t>
            </w:r>
          </w:p>
        </w:tc>
      </w:tr>
    </w:tbl>
    <w:p w14:paraId="63FE7BA8" w14:textId="77777777" w:rsidR="006D7653" w:rsidRPr="00B00D41" w:rsidRDefault="006D7653" w:rsidP="006D7653">
      <w:pPr>
        <w:tabs>
          <w:tab w:val="left" w:pos="426"/>
        </w:tabs>
        <w:spacing w:after="120"/>
        <w:ind w:firstLine="0"/>
        <w:rPr>
          <w:rFonts w:cs="Times New Roman"/>
          <w:i/>
          <w:sz w:val="20"/>
          <w:szCs w:val="24"/>
        </w:rPr>
      </w:pPr>
      <w:r w:rsidRPr="00B00D41">
        <w:rPr>
          <w:rFonts w:cs="Times New Roman"/>
          <w:b/>
          <w:bCs/>
          <w:i/>
          <w:sz w:val="20"/>
          <w:szCs w:val="24"/>
        </w:rPr>
        <w:t>Avots</w:t>
      </w:r>
      <w:r w:rsidRPr="00B00D41">
        <w:rPr>
          <w:rFonts w:cs="Times New Roman"/>
          <w:i/>
          <w:sz w:val="20"/>
          <w:szCs w:val="24"/>
        </w:rPr>
        <w:t>: FM aprēķini.</w:t>
      </w:r>
    </w:p>
    <w:p w14:paraId="34DAC23C" w14:textId="77777777" w:rsidR="006D7653" w:rsidRPr="00B00D41" w:rsidRDefault="006D7653" w:rsidP="006D7653">
      <w:pPr>
        <w:spacing w:after="0"/>
        <w:rPr>
          <w:rFonts w:cs="Times New Roman"/>
          <w:b/>
          <w:bCs/>
          <w:i/>
          <w:iCs/>
          <w:shd w:val="clear" w:color="auto" w:fill="FFFFFF"/>
        </w:rPr>
      </w:pPr>
    </w:p>
    <w:p w14:paraId="04F02052" w14:textId="77777777" w:rsidR="008D0D3F" w:rsidRPr="00B00D41" w:rsidRDefault="008D0D3F" w:rsidP="008D0D3F">
      <w:pPr>
        <w:spacing w:after="0"/>
        <w:ind w:firstLine="0"/>
        <w:rPr>
          <w:rFonts w:cs="Times New Roman"/>
          <w:b/>
          <w:bCs/>
          <w:i/>
          <w:iCs/>
          <w:u w:val="single"/>
        </w:rPr>
      </w:pPr>
      <w:r w:rsidRPr="00B00D41">
        <w:rPr>
          <w:rFonts w:cs="Times New Roman"/>
          <w:b/>
          <w:bCs/>
          <w:i/>
          <w:iCs/>
          <w:u w:val="single"/>
        </w:rPr>
        <w:t>No IIN atbrīvojamais apmēra par sniegto palīdzību paaugstināšana</w:t>
      </w:r>
    </w:p>
    <w:p w14:paraId="0B148EF5" w14:textId="77777777" w:rsidR="008D0D3F" w:rsidRPr="00B00D41" w:rsidRDefault="008D0D3F" w:rsidP="008D0D3F">
      <w:r w:rsidRPr="00B00D41">
        <w:t>Likums “</w:t>
      </w:r>
      <w:r w:rsidRPr="00B00D41">
        <w:rPr>
          <w:i/>
          <w:iCs/>
        </w:rPr>
        <w:t>Par iedzīvotāju ienākuma nodokli</w:t>
      </w:r>
      <w:r w:rsidRPr="00B00D41">
        <w:t>” paredz</w:t>
      </w:r>
      <w:r w:rsidRPr="00B00D41">
        <w:rPr>
          <w:rStyle w:val="FootnoteReference"/>
          <w:rFonts w:cs="Times New Roman"/>
          <w:szCs w:val="24"/>
        </w:rPr>
        <w:footnoteReference w:id="13"/>
      </w:r>
      <w:r w:rsidRPr="00B00D41">
        <w:t xml:space="preserve"> pēc savas būtības līdzīgu atbrīvojumu, kas saistīts ar sociāla rakstura mērķa sasniegšanu (sociālā atbalsta sniegšanu dažādām personu grupām, visbiežāk – sociāli mazāk aizsargātām). Pašlaik minētā atbrīvojuma apmērs ir noteikts 1 000 </w:t>
      </w:r>
      <w:r w:rsidRPr="00B00D41">
        <w:rPr>
          <w:i/>
          <w:iCs/>
        </w:rPr>
        <w:t>euro </w:t>
      </w:r>
      <w:r w:rsidRPr="00B00D41">
        <w:t>gadā un tas tiek piemērots palīdzībai, kas sniegta:</w:t>
      </w:r>
    </w:p>
    <w:p w14:paraId="2EBD0414" w14:textId="77777777" w:rsidR="008D0D3F" w:rsidRPr="00B00D41" w:rsidRDefault="008D0D3F" w:rsidP="008D0D3F">
      <w:pPr>
        <w:pStyle w:val="ListParagraph"/>
        <w:numPr>
          <w:ilvl w:val="0"/>
          <w:numId w:val="7"/>
        </w:numPr>
        <w:ind w:left="924" w:hanging="357"/>
        <w:contextualSpacing w:val="0"/>
        <w:rPr>
          <w:rFonts w:ascii="Times New Roman" w:hAnsi="Times New Roman"/>
          <w:sz w:val="24"/>
          <w:szCs w:val="24"/>
        </w:rPr>
      </w:pPr>
      <w:r w:rsidRPr="00B00D41">
        <w:rPr>
          <w:rFonts w:ascii="Times New Roman" w:hAnsi="Times New Roman"/>
          <w:sz w:val="24"/>
          <w:szCs w:val="24"/>
        </w:rPr>
        <w:t>pamatojoties uz arodbiedrības institūcijas lēmumu, no arodbiedrības naudas līdzekļiem (kuri veidojas no arodbiedrības biedru naudas maksājumiem un ārvalstu arodbiedrību ziedojumiem (dāvinājumiem));</w:t>
      </w:r>
    </w:p>
    <w:p w14:paraId="24523A26" w14:textId="77777777" w:rsidR="008D0D3F" w:rsidRPr="00B00D41" w:rsidRDefault="008D0D3F" w:rsidP="008D0D3F">
      <w:pPr>
        <w:pStyle w:val="ListParagraph"/>
        <w:numPr>
          <w:ilvl w:val="0"/>
          <w:numId w:val="7"/>
        </w:numPr>
        <w:ind w:left="924" w:hanging="357"/>
        <w:contextualSpacing w:val="0"/>
        <w:rPr>
          <w:rFonts w:ascii="Times New Roman" w:hAnsi="Times New Roman"/>
          <w:sz w:val="24"/>
          <w:szCs w:val="24"/>
        </w:rPr>
      </w:pPr>
      <w:r w:rsidRPr="00B00D41">
        <w:rPr>
          <w:rFonts w:ascii="Times New Roman" w:hAnsi="Times New Roman"/>
          <w:sz w:val="24"/>
          <w:szCs w:val="24"/>
        </w:rPr>
        <w:t>no sabiedriskā labuma organizācijas (izņemot reliģisko organizāciju) līdzekļiem, vai palīdzība, ko budžeta finansētas institūcijas, labdarības vai filantropiskas organizācijas sniegušas lietās, kurām piemērots atbrīvojums no muitas nodokļa, – 1 000 </w:t>
      </w:r>
      <w:r w:rsidRPr="00B00D41">
        <w:rPr>
          <w:rFonts w:ascii="Times New Roman" w:hAnsi="Times New Roman"/>
          <w:i/>
          <w:iCs/>
          <w:sz w:val="24"/>
          <w:szCs w:val="24"/>
        </w:rPr>
        <w:t>euro</w:t>
      </w:r>
      <w:r w:rsidRPr="00B00D41">
        <w:rPr>
          <w:rFonts w:ascii="Times New Roman" w:hAnsi="Times New Roman"/>
          <w:sz w:val="24"/>
          <w:szCs w:val="24"/>
        </w:rPr>
        <w:t> gadā;</w:t>
      </w:r>
    </w:p>
    <w:p w14:paraId="018D9734" w14:textId="77777777" w:rsidR="008D0D3F" w:rsidRPr="00B00D41" w:rsidRDefault="008D0D3F" w:rsidP="008D0D3F">
      <w:pPr>
        <w:pStyle w:val="ListParagraph"/>
        <w:numPr>
          <w:ilvl w:val="0"/>
          <w:numId w:val="7"/>
        </w:numPr>
        <w:ind w:left="924" w:hanging="357"/>
        <w:contextualSpacing w:val="0"/>
        <w:rPr>
          <w:rFonts w:ascii="Times New Roman" w:hAnsi="Times New Roman"/>
          <w:sz w:val="24"/>
          <w:szCs w:val="24"/>
        </w:rPr>
      </w:pPr>
      <w:r w:rsidRPr="00B00D41">
        <w:rPr>
          <w:rFonts w:ascii="Times New Roman" w:hAnsi="Times New Roman"/>
          <w:sz w:val="24"/>
          <w:szCs w:val="24"/>
        </w:rPr>
        <w:t>pamatojoties uz reliģiskās organizācijas vai tās iestādes institūcijas (amatpersonas) lēmumu no reliģiskās organizācijas vai tās iestādes naudas līdzekļiem.</w:t>
      </w:r>
    </w:p>
    <w:p w14:paraId="2FEE5FBD" w14:textId="77777777" w:rsidR="008D0D3F" w:rsidRPr="00B00D41" w:rsidRDefault="008D0D3F" w:rsidP="008D0D3F">
      <w:r w:rsidRPr="00B00D41">
        <w:t>Palīdzība naudā, kas saņemta no sabiedriskā labuma organizācijas ārstniecības izdevumu segšanai (tai skaitā lai nodrošinātu slimnieka un to pavadošās personas pārvietošanos līdz ārstniecības iestādei), gada apliekamajā ienākumā netiek ietverta un ar nodokli netiek aplikta, ja attiecīgās summas izlietojums ārstniecības mērķiem ir apliecināts ar attaisnojuma dokumentiem, ko uzglabā sabiedriskā labuma organizācija. Savukārt atbrīvojums 2 000 </w:t>
      </w:r>
      <w:r w:rsidRPr="00B00D41">
        <w:rPr>
          <w:i/>
          <w:iCs/>
        </w:rPr>
        <w:t>euro </w:t>
      </w:r>
      <w:r w:rsidRPr="00B00D41">
        <w:t>gadā pašlaik ir noteikts palīdzībai naudā, kas sniegta no sabiedriskā labuma organizācijas līdzekļiem personai, kura nepārtraukti slimo ilgāk par trim mēnešiem, vai personai ar invaliditāti, vai šo personu ģimenes loceklim.</w:t>
      </w:r>
    </w:p>
    <w:p w14:paraId="66DB91D4" w14:textId="77777777" w:rsidR="008D0D3F" w:rsidRPr="00B00D41" w:rsidRDefault="008D0D3F" w:rsidP="008D0D3F">
      <w:r w:rsidRPr="00B00D41">
        <w:t>Latvijas Brīvo arodbiedrību savienība ir izteikusi priekšlikumu paplašināt nodokļu atvieglojumus materiālai palīdzībai</w:t>
      </w:r>
      <w:r w:rsidRPr="00B00D41">
        <w:rPr>
          <w:rStyle w:val="FootnoteReference"/>
          <w:rFonts w:cs="Times New Roman"/>
          <w:szCs w:val="24"/>
        </w:rPr>
        <w:footnoteReference w:id="14"/>
      </w:r>
      <w:r w:rsidRPr="00B00D41">
        <w:t xml:space="preserve">. Ņemot vērā Latvijas Brīvo arodbiedrību savienības izteikto priekšlikumu un dažādu preču un pakalpojumu cenu būtisku pieaugumu, </w:t>
      </w:r>
      <w:r w:rsidRPr="00B00D41">
        <w:rPr>
          <w:i/>
          <w:iCs/>
        </w:rPr>
        <w:t xml:space="preserve">Valsts </w:t>
      </w:r>
      <w:r w:rsidRPr="00B00D41">
        <w:rPr>
          <w:i/>
          <w:iCs/>
        </w:rPr>
        <w:lastRenderedPageBreak/>
        <w:t>nodokļu pamatnostādņu 2024. - 2027. gadam</w:t>
      </w:r>
      <w:r w:rsidRPr="00B00D41">
        <w:t xml:space="preserve"> izstrādes ietvaros ir izvērtēta iespēja pārskatīt šo atbrīvojumu apmēra slieksni un visiem iepriekš minētajiem ienākumu veidiem tas būtu nosakāms vienādā apmērā – paaugstināms līdz </w:t>
      </w:r>
      <w:r w:rsidRPr="00B00D41">
        <w:rPr>
          <w:b/>
          <w:bCs/>
        </w:rPr>
        <w:t>3 000 </w:t>
      </w:r>
      <w:r w:rsidRPr="00B00D41">
        <w:rPr>
          <w:b/>
          <w:bCs/>
          <w:i/>
          <w:iCs/>
        </w:rPr>
        <w:t>euro </w:t>
      </w:r>
      <w:r w:rsidRPr="00B00D41">
        <w:rPr>
          <w:b/>
          <w:bCs/>
        </w:rPr>
        <w:t>gadā</w:t>
      </w:r>
      <w:r w:rsidRPr="00B00D41">
        <w:t>.</w:t>
      </w:r>
    </w:p>
    <w:p w14:paraId="107651E4" w14:textId="77777777" w:rsidR="008D0D3F" w:rsidRPr="00B00D41" w:rsidRDefault="008D0D3F" w:rsidP="008D0D3F">
      <w:pPr>
        <w:rPr>
          <w:i/>
        </w:rPr>
      </w:pPr>
      <w:r w:rsidRPr="00B00D41">
        <w:t>Minētās normas fiskālā ietekme uz IIN ieņēmumiem ir vērtējama kā negatīva, bet precīzi apmēri nav nosakāmi.</w:t>
      </w:r>
    </w:p>
    <w:p w14:paraId="5CBF268E" w14:textId="77777777" w:rsidR="008D0D3F" w:rsidRDefault="008D0D3F" w:rsidP="006D7653">
      <w:pPr>
        <w:ind w:firstLine="0"/>
        <w:rPr>
          <w:rFonts w:cs="Times New Roman"/>
          <w:b/>
          <w:bCs/>
          <w:i/>
          <w:iCs/>
          <w:u w:val="single"/>
        </w:rPr>
      </w:pPr>
    </w:p>
    <w:p w14:paraId="261C8241" w14:textId="361B9F68" w:rsidR="006D7653" w:rsidRPr="00B00D41" w:rsidRDefault="006D7653" w:rsidP="006D7653">
      <w:pPr>
        <w:ind w:firstLine="0"/>
        <w:rPr>
          <w:rFonts w:cs="Times New Roman"/>
          <w:b/>
          <w:bCs/>
          <w:i/>
          <w:iCs/>
          <w:u w:val="single"/>
        </w:rPr>
      </w:pPr>
      <w:r w:rsidRPr="00B00D41">
        <w:rPr>
          <w:rFonts w:cs="Times New Roman"/>
          <w:b/>
          <w:bCs/>
          <w:i/>
          <w:iCs/>
          <w:u w:val="single"/>
        </w:rPr>
        <w:t>Pan-Eiropas privāto pensiju (turpmāk tekstā – PEPP) plānos veikto iemaksu attiecināšana uz attaisnotajiem izdevumiem, pielīdzinot nodokļu režīmam, kas piemērojams iemaksām privātajos pensiju fondos</w:t>
      </w:r>
    </w:p>
    <w:p w14:paraId="2EBDB043" w14:textId="77777777" w:rsidR="006D7653" w:rsidRPr="00B00D41" w:rsidRDefault="006D7653" w:rsidP="006D7653">
      <w:r w:rsidRPr="00B00D41">
        <w:t>Pašlaik likums “</w:t>
      </w:r>
      <w:r w:rsidRPr="00B00D41">
        <w:rPr>
          <w:i/>
          <w:iCs/>
        </w:rPr>
        <w:t>Par iedzīvotāju ienākuma nodokli</w:t>
      </w:r>
      <w:r w:rsidRPr="00B00D41">
        <w:t>” paredz</w:t>
      </w:r>
      <w:r w:rsidRPr="00B00D41">
        <w:rPr>
          <w:rStyle w:val="FootnoteReference"/>
          <w:rFonts w:cs="Times New Roman"/>
          <w:sz w:val="22"/>
          <w:szCs w:val="20"/>
        </w:rPr>
        <w:footnoteReference w:id="15"/>
      </w:r>
      <w:r w:rsidRPr="00B00D41">
        <w:t xml:space="preserve">, ka maksātāja attaisnotajos izdevumos var ietvert iemaksas privātajos pensiju fondos veiktās iemaksas, arī citi nosacījumi saistībā ar IIN piemērošanu attiecībā uz iemaksām privātajos pensiju fondos un izmaksām no tā. Saistībā ar veiktajiem grozījumiem </w:t>
      </w:r>
      <w:r w:rsidRPr="00B00D41">
        <w:rPr>
          <w:i/>
          <w:iCs/>
        </w:rPr>
        <w:t>Privāto pensiju likumā</w:t>
      </w:r>
      <w:r w:rsidRPr="00B00D41">
        <w:t xml:space="preserve"> ir nodrošināta Eiropas Parlamenta un Padomes 2019. gada 20. jūnija regulas (ES) Nr. 2019/1238 par PEPP produktu tiešu piemērošanu, t.i., ir radīti tiesiski priekšnoteikumi PEPP produkta reģistrācijai un izplatīšanai Latvijā. Minēto jauno, alternatīvo pensiju produktu, kas ir ieviests papildus esošajiem 3. līmeņa pensiju plāniem, varēs reģistrēt un izplatīt kredītiestādes, ieguldījumu brokeru sabiedrības, ieguldījumu pārvaldes sabiedrības, alternatīvie ieguldījumu fondu pārvaldnieki un dzīvības apdrošināšanas sabiedrības. </w:t>
      </w:r>
    </w:p>
    <w:p w14:paraId="3E1FBA1B" w14:textId="77777777" w:rsidR="006D7653" w:rsidRPr="00B00D41" w:rsidRDefault="006D7653" w:rsidP="006D7653">
      <w:r w:rsidRPr="00B00D41">
        <w:t>Tādējādi, lai nodrošinātu brīvu kapitāla kustību, kā arī radītu nodokļu maksātājiem skaidru tiesisko regulējumu un tiesisko noteiktību, nepieciešams noteikt, ka nosacījumi, kas likumā “</w:t>
      </w:r>
      <w:r w:rsidRPr="00B00D41">
        <w:rPr>
          <w:i/>
          <w:iCs/>
        </w:rPr>
        <w:t>Par iedzīvotāju ienākuma nodokli</w:t>
      </w:r>
      <w:r w:rsidRPr="00B00D41">
        <w:t>” noteikti attiecībā uz iemaksām EEZ valstī, vai ESAO dalībvalstī reģistrētajos privātajos pensiju fondos (tajā skaitā nodokļa uzlikšanas nosacījumi, atbrīvojumi, veikto iemaksu ierobežojumi un nosacījumi apliekamā ienākuma samazināšanai vai palielināšanai), kā arī visa veida ienākumu izmaksām no minētajiem fondiem (tajā skaitā papildpensijas kapitāla, ienākuma no privātajos pensiju fondos veikto iemaksu ieguldīšanas izmaksām), kā arī visi pienākumi un tiesības, kas rodas maksātājam saistībā ar veikto iemaksu iekļaušanu attaisnotajos izdevumos ir attiecināmi arī uz atbilstoša veida iemaksām (noguldījumiem) PEPP plānos un izmaksām no tiem.</w:t>
      </w:r>
    </w:p>
    <w:p w14:paraId="62336763" w14:textId="77777777" w:rsidR="006D7653" w:rsidRPr="00B00D41" w:rsidRDefault="006D7653" w:rsidP="006D7653">
      <w:r w:rsidRPr="00B00D41">
        <w:t>Ņemot vērā minēto, nepieciešams veikt attiecīgus grozījumus likumā “</w:t>
      </w:r>
      <w:r w:rsidRPr="00B00D41">
        <w:rPr>
          <w:i/>
          <w:iCs/>
        </w:rPr>
        <w:t>Par iedzīvotāju ienākuma nodokli</w:t>
      </w:r>
      <w:r w:rsidRPr="00B00D41">
        <w:t xml:space="preserve">”. </w:t>
      </w:r>
    </w:p>
    <w:p w14:paraId="6912290A" w14:textId="5032C9A2" w:rsidR="006D7653" w:rsidRDefault="006D7653" w:rsidP="006D7653">
      <w:r w:rsidRPr="00B00D41">
        <w:t xml:space="preserve">Minētai normai būtu negatīva fiskālā ietekme uz IIN ieņēmumiem, jo palielināsies attaisnoto izdevumu apmērs, taču, ņemot vērā </w:t>
      </w:r>
      <w:r w:rsidRPr="00B00D41">
        <w:rPr>
          <w:b/>
          <w:bCs/>
          <w:i/>
          <w:iCs/>
        </w:rPr>
        <w:t xml:space="preserve">PEPP </w:t>
      </w:r>
      <w:r w:rsidRPr="00B00D41">
        <w:t>nelielos apmērus, tā kopumā vērtējama kā nebūtiska.</w:t>
      </w:r>
    </w:p>
    <w:p w14:paraId="476E1A9A" w14:textId="77777777" w:rsidR="007A1257" w:rsidRPr="00B00D41" w:rsidRDefault="007A1257" w:rsidP="006D7653"/>
    <w:p w14:paraId="3B4418C8" w14:textId="77777777" w:rsidR="006D7653" w:rsidRPr="00B00D41" w:rsidRDefault="006D7653" w:rsidP="00404692">
      <w:pPr>
        <w:pStyle w:val="Heading2"/>
      </w:pPr>
      <w:bookmarkStart w:id="77" w:name="_Toc142897062"/>
      <w:r w:rsidRPr="00B00D41">
        <w:t>Pievienotās vērtības nodoklis</w:t>
      </w:r>
      <w:bookmarkEnd w:id="77"/>
    </w:p>
    <w:p w14:paraId="3E77864D" w14:textId="77777777" w:rsidR="006D7653" w:rsidRPr="00B00D41" w:rsidRDefault="006D7653" w:rsidP="006D7653">
      <w:pPr>
        <w:ind w:firstLine="0"/>
        <w:rPr>
          <w:rFonts w:cs="Times New Roman"/>
          <w:b/>
          <w:bCs/>
          <w:i/>
          <w:iCs/>
          <w:u w:val="single"/>
        </w:rPr>
      </w:pPr>
      <w:r w:rsidRPr="00B00D41">
        <w:rPr>
          <w:rFonts w:cs="Times New Roman"/>
          <w:b/>
          <w:bCs/>
          <w:i/>
          <w:iCs/>
          <w:u w:val="single"/>
        </w:rPr>
        <w:t>PVN attiecībā uz atbrīvojuma piemērošanu sporta nodarbībām</w:t>
      </w:r>
    </w:p>
    <w:p w14:paraId="0A68030E" w14:textId="77777777" w:rsidR="006D7653" w:rsidRPr="00B00D41" w:rsidRDefault="006D7653" w:rsidP="006D7653">
      <w:r w:rsidRPr="00B00D41">
        <w:t>Saskaņā ar regulējumu PVN jomā ar PVN neapliek</w:t>
      </w:r>
      <w:r w:rsidRPr="00B00D41">
        <w:rPr>
          <w:shd w:val="clear" w:color="auto" w:fill="FFFFFF"/>
        </w:rPr>
        <w:t> izglītības pakalpojumus</w:t>
      </w:r>
      <w:r w:rsidRPr="00B00D41">
        <w:t xml:space="preserve">, tai skaitā pakalpojumus, kas cieši saistīti ar sportu, kā arī bērnu </w:t>
      </w:r>
      <w:r w:rsidRPr="00B00D41">
        <w:rPr>
          <w:shd w:val="clear" w:color="auto" w:fill="FFFFFF"/>
        </w:rPr>
        <w:t> līdz 18 gadu vecumam uzturēšanos atpūtas un sporta nometnēs</w:t>
      </w:r>
      <w:r w:rsidRPr="00B00D41">
        <w:t xml:space="preserve">, tādos gadījumos, ja to sniedz izglītības iestāde un šī izglītības iestāde ir reģistrēta </w:t>
      </w:r>
      <w:r w:rsidRPr="00B00D41">
        <w:rPr>
          <w:i/>
          <w:iCs/>
        </w:rPr>
        <w:t>Izglītības iestāžu reģistrā</w:t>
      </w:r>
      <w:r w:rsidRPr="00B00D41">
        <w:t xml:space="preserve">. Padomes 2006. gada 28. novembra direktīvas 2006/112/EK </w:t>
      </w:r>
      <w:r w:rsidRPr="00B00D41">
        <w:rPr>
          <w:i/>
          <w:iCs/>
        </w:rPr>
        <w:t>par kopējo pievienotās vērtības nodokļa sistēmu</w:t>
      </w:r>
      <w:r w:rsidRPr="00B00D41">
        <w:t xml:space="preserve"> (</w:t>
      </w:r>
      <w:r w:rsidRPr="00B00D41">
        <w:rPr>
          <w:i/>
          <w:iCs/>
        </w:rPr>
        <w:t>turpmāk tekstā – PVN direktīva</w:t>
      </w:r>
      <w:r w:rsidRPr="00B00D41">
        <w:t xml:space="preserve">) </w:t>
      </w:r>
      <w:r w:rsidRPr="00B00D41">
        <w:rPr>
          <w:shd w:val="clear" w:color="auto" w:fill="FFFFFF"/>
        </w:rPr>
        <w:t xml:space="preserve">pārņemšanas laikā Latvijā treniņu nodarbības bērniem organizēja iestādes, kuras atbilstoši normatīvajam regulējumam noteiktā kārtībā ir reģistrētas kā izglītības iestādes un īsteno izglītības procesu. Atbilstoši PVN direktīvas regulējumam </w:t>
      </w:r>
      <w:r w:rsidRPr="00B00D41">
        <w:t>dalībvalsts ir tiesīga noteikt PVN atbrīvojuma minētajiem pakalpojumiem piemērošanas tvērumu un nosacījumus, ievērojot PVN direktīvā noteikto mērķi – sabiedrības intereses.</w:t>
      </w:r>
    </w:p>
    <w:p w14:paraId="5349E3B6" w14:textId="77777777" w:rsidR="006D7653" w:rsidRPr="00B00D41" w:rsidRDefault="006D7653" w:rsidP="006D7653">
      <w:pPr>
        <w:rPr>
          <w:lang w:eastAsia="lv-LV"/>
        </w:rPr>
      </w:pPr>
      <w:r w:rsidRPr="00B00D41">
        <w:rPr>
          <w:shd w:val="clear" w:color="auto" w:fill="FFFFFF"/>
          <w:lang w:eastAsia="lv-LV"/>
        </w:rPr>
        <w:lastRenderedPageBreak/>
        <w:t xml:space="preserve">Esošās situācijas analīze liecina, ka </w:t>
      </w:r>
      <w:r w:rsidRPr="00B00D41">
        <w:rPr>
          <w:lang w:eastAsia="lv-LV"/>
        </w:rPr>
        <w:t xml:space="preserve">pakalpojumus, kas cieši saistīti ar sportu </w:t>
      </w:r>
      <w:r w:rsidRPr="00B00D41">
        <w:rPr>
          <w:shd w:val="clear" w:color="auto" w:fill="FFFFFF"/>
          <w:lang w:eastAsia="lv-LV"/>
        </w:rPr>
        <w:t xml:space="preserve">organizē ne tikai </w:t>
      </w:r>
      <w:r w:rsidRPr="00B00D41">
        <w:rPr>
          <w:lang w:eastAsia="lv-LV"/>
        </w:rPr>
        <w:t xml:space="preserve">iestādes, kas ir reģistrētas </w:t>
      </w:r>
      <w:r w:rsidRPr="00B00D41">
        <w:rPr>
          <w:i/>
          <w:iCs/>
          <w:lang w:eastAsia="lv-LV"/>
        </w:rPr>
        <w:t>Izglītības iestāžu reģistrā</w:t>
      </w:r>
      <w:r w:rsidRPr="00B00D41">
        <w:rPr>
          <w:shd w:val="clear" w:color="auto" w:fill="FFFFFF"/>
          <w:lang w:eastAsia="lv-LV"/>
        </w:rPr>
        <w:t xml:space="preserve">, bet arī citas personas, piemēram biedrības, </w:t>
      </w:r>
      <w:r w:rsidRPr="00B00D41">
        <w:rPr>
          <w:lang w:eastAsia="lv-LV"/>
        </w:rPr>
        <w:t xml:space="preserve">kas saņēmušas licenci pašvaldībā un nav reģistrētas </w:t>
      </w:r>
      <w:r w:rsidRPr="00B00D41">
        <w:rPr>
          <w:i/>
          <w:iCs/>
          <w:lang w:eastAsia="lv-LV"/>
        </w:rPr>
        <w:t>Izglītības iestāžu reģistrā</w:t>
      </w:r>
      <w:r w:rsidRPr="00B00D41">
        <w:rPr>
          <w:lang w:eastAsia="lv-LV"/>
        </w:rPr>
        <w:t>. Tāpat praksē ar PVN neapliek maksu par bērnu uzturēšanos nometnē, kuru organizēšanas un darbības kārtība reglamentēta atbilstoši normatīvajiem aktiem izglītības jomā, nevis maksu par bērnu uzturēšanos atpūtas un sporta nometnēs.</w:t>
      </w:r>
    </w:p>
    <w:p w14:paraId="54B19CBA" w14:textId="77777777" w:rsidR="006D7653" w:rsidRPr="00B00D41" w:rsidRDefault="006D7653" w:rsidP="006D7653">
      <w:r w:rsidRPr="00B00D41">
        <w:t xml:space="preserve">Tādējādi nepieciešams noteikt, ka ar PVN neapliek </w:t>
      </w:r>
      <w:r w:rsidRPr="00B00D41">
        <w:rPr>
          <w:i/>
          <w:iCs/>
        </w:rPr>
        <w:t>Biedrību un nodibinājumu reģistrā</w:t>
      </w:r>
      <w:r w:rsidRPr="00B00D41">
        <w:t xml:space="preserve"> reģistrētas biedrības vai nodibinājuma</w:t>
      </w:r>
      <w:r w:rsidRPr="00B00D41">
        <w:rPr>
          <w:shd w:val="clear" w:color="auto" w:fill="FFFFFF"/>
        </w:rPr>
        <w:t xml:space="preserve"> noteiktu dalības maksu par piedalīšanos sporta sacensībās un maksu par sporta nodarbību,</w:t>
      </w:r>
      <w:r w:rsidRPr="00B00D41">
        <w:t xml:space="preserve"> ko sniedz šī biedrība vai nodibinājums personām, kas nodarbojas ar sportu, ja sporta sacensību vai sporta nodarbību organizēšanas mērķis nav gūt papildu ienākumus šai biedrībai vai nodibinājumam. Ja tomēr no sporta sacensību vai sporta nodarbību organizēšanas tiek gūti papildu ienākumi, tie ir novirzāmi biedrības vai nodibinājuma mērķu nodrošināšanai sporta jomā vai nodarbību nodrošināšanai vai pilnveidošanai.</w:t>
      </w:r>
    </w:p>
    <w:p w14:paraId="3CD65CB8" w14:textId="77777777" w:rsidR="006D7653" w:rsidRPr="00B00D41" w:rsidRDefault="006D7653" w:rsidP="006D7653">
      <w:r w:rsidRPr="00B00D41">
        <w:t xml:space="preserve">Ņemot vērā, ka PVN direktīva nenosaka vecuma ierobežojumu attiecībā uz PVN atbrīvojuma piemērošanu konkrētiem pakalpojumiem, kas cieši saistīti ar sportu vai fizisko audzināšanu un ko bezpeļņas organizācijas sniedz personām, kas piedalās sporta vai fiziskās audzināšanas pasākumos, tad arī piemērojot normu nav nepieciešams noteikt vecuma ierobežojumu personām attiecībā uz </w:t>
      </w:r>
      <w:r w:rsidRPr="00B00D41">
        <w:rPr>
          <w:shd w:val="clear" w:color="auto" w:fill="FFFFFF"/>
        </w:rPr>
        <w:t>maksu par sporta nodarbību</w:t>
      </w:r>
      <w:r w:rsidRPr="00B00D41">
        <w:t>, kura netiek aplikta ar PVN.</w:t>
      </w:r>
    </w:p>
    <w:p w14:paraId="06AFCDD2" w14:textId="77777777" w:rsidR="006D7653" w:rsidRPr="00B00D41" w:rsidRDefault="006D7653" w:rsidP="006D7653">
      <w:r w:rsidRPr="00B00D41">
        <w:t>Tāpat, ņemot vērā esošo situāciju praksē, nepieciešams noteikt, ka ar PVN neapliek maksu par bērnu uzturēšanos bērnu nometnēs, kuru organizēšanas un darbības kārtība reglamentēta atbilstoši normatīvajiem aktiem izglītības jomā.</w:t>
      </w:r>
    </w:p>
    <w:p w14:paraId="2177B600" w14:textId="122774FE" w:rsidR="006D7653" w:rsidRPr="00B00D41" w:rsidRDefault="009E3CC5" w:rsidP="006D7653">
      <w:pPr>
        <w:spacing w:after="120"/>
        <w:ind w:firstLine="709"/>
        <w:jc w:val="center"/>
        <w:rPr>
          <w:rFonts w:cs="Times New Roman"/>
          <w:sz w:val="22"/>
          <w:szCs w:val="24"/>
        </w:rPr>
      </w:pPr>
      <w:r>
        <w:rPr>
          <w:rFonts w:cs="Times New Roman"/>
          <w:sz w:val="22"/>
          <w:szCs w:val="24"/>
        </w:rPr>
        <w:t>16</w:t>
      </w:r>
      <w:r w:rsidR="006D7653" w:rsidRPr="00B00D41">
        <w:rPr>
          <w:rFonts w:cs="Times New Roman"/>
          <w:sz w:val="22"/>
          <w:szCs w:val="24"/>
        </w:rPr>
        <w:t>. tab</w:t>
      </w:r>
      <w:r w:rsidR="006D7653" w:rsidRPr="00B00D41">
        <w:rPr>
          <w:rFonts w:cs="Times New Roman"/>
          <w:bCs/>
          <w:sz w:val="22"/>
          <w:szCs w:val="24"/>
        </w:rPr>
        <w:t xml:space="preserve">. </w:t>
      </w:r>
      <w:r w:rsidR="006D7653" w:rsidRPr="00B00D41">
        <w:rPr>
          <w:rFonts w:cs="Times New Roman"/>
          <w:b/>
          <w:sz w:val="22"/>
          <w:szCs w:val="24"/>
        </w:rPr>
        <w:t>Priekšlikuma indikatīva fiskālā ietekme</w:t>
      </w:r>
      <w:r w:rsidR="006D7653" w:rsidRPr="00B00D41">
        <w:rPr>
          <w:rFonts w:cs="Times New Roman"/>
          <w:bCs/>
          <w:sz w:val="22"/>
          <w:szCs w:val="24"/>
        </w:rPr>
        <w:t xml:space="preserve">, </w:t>
      </w:r>
      <w:r w:rsidR="006D7653" w:rsidRPr="00B00D41">
        <w:rPr>
          <w:rFonts w:cs="Times New Roman"/>
          <w:bCs/>
          <w:i/>
          <w:iCs/>
          <w:sz w:val="22"/>
          <w:szCs w:val="24"/>
        </w:rPr>
        <w:t>milj. euro</w:t>
      </w:r>
    </w:p>
    <w:tbl>
      <w:tblPr>
        <w:tblStyle w:val="TableGrid"/>
        <w:tblW w:w="9067" w:type="dxa"/>
        <w:tblInd w:w="5" w:type="dxa"/>
        <w:tblLook w:val="04A0" w:firstRow="1" w:lastRow="0" w:firstColumn="1" w:lastColumn="0" w:noHBand="0" w:noVBand="1"/>
      </w:tblPr>
      <w:tblGrid>
        <w:gridCol w:w="4390"/>
        <w:gridCol w:w="1559"/>
        <w:gridCol w:w="1559"/>
        <w:gridCol w:w="1559"/>
      </w:tblGrid>
      <w:tr w:rsidR="006D7653" w:rsidRPr="00B00D41" w14:paraId="03378AF1" w14:textId="77777777" w:rsidTr="007E1C0A">
        <w:tc>
          <w:tcPr>
            <w:tcW w:w="4390" w:type="dxa"/>
            <w:tcBorders>
              <w:top w:val="nil"/>
              <w:left w:val="nil"/>
              <w:bottom w:val="single" w:sz="12" w:space="0" w:color="auto"/>
              <w:right w:val="nil"/>
            </w:tcBorders>
          </w:tcPr>
          <w:p w14:paraId="088DE722"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p>
        </w:tc>
        <w:tc>
          <w:tcPr>
            <w:tcW w:w="1559" w:type="dxa"/>
            <w:tcBorders>
              <w:top w:val="nil"/>
              <w:left w:val="nil"/>
              <w:bottom w:val="single" w:sz="12" w:space="0" w:color="auto"/>
              <w:right w:val="nil"/>
            </w:tcBorders>
            <w:vAlign w:val="bottom"/>
          </w:tcPr>
          <w:p w14:paraId="46E8C19E"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2024</w:t>
            </w:r>
          </w:p>
        </w:tc>
        <w:tc>
          <w:tcPr>
            <w:tcW w:w="1559" w:type="dxa"/>
            <w:tcBorders>
              <w:top w:val="nil"/>
              <w:left w:val="nil"/>
              <w:bottom w:val="single" w:sz="12" w:space="0" w:color="auto"/>
              <w:right w:val="nil"/>
            </w:tcBorders>
            <w:vAlign w:val="bottom"/>
          </w:tcPr>
          <w:p w14:paraId="6A58A210"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2025</w:t>
            </w:r>
          </w:p>
        </w:tc>
        <w:tc>
          <w:tcPr>
            <w:tcW w:w="1559" w:type="dxa"/>
            <w:tcBorders>
              <w:top w:val="nil"/>
              <w:left w:val="nil"/>
              <w:bottom w:val="single" w:sz="12" w:space="0" w:color="auto"/>
              <w:right w:val="nil"/>
            </w:tcBorders>
            <w:vAlign w:val="bottom"/>
          </w:tcPr>
          <w:p w14:paraId="654E2D95"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2026</w:t>
            </w:r>
          </w:p>
        </w:tc>
      </w:tr>
      <w:tr w:rsidR="006D7653" w:rsidRPr="00B00D41" w14:paraId="0144FDE4" w14:textId="77777777" w:rsidTr="007E1C0A">
        <w:tc>
          <w:tcPr>
            <w:tcW w:w="4390" w:type="dxa"/>
            <w:tcBorders>
              <w:top w:val="single" w:sz="12" w:space="0" w:color="auto"/>
            </w:tcBorders>
          </w:tcPr>
          <w:p w14:paraId="04DA02EA" w14:textId="77777777" w:rsidR="006D7653" w:rsidRPr="00B00D41" w:rsidRDefault="006D7653" w:rsidP="007E1C0A">
            <w:pPr>
              <w:pStyle w:val="ListParagraph"/>
              <w:spacing w:before="0" w:after="0"/>
              <w:ind w:left="0" w:firstLine="0"/>
              <w:contextualSpacing w:val="0"/>
              <w:rPr>
                <w:rFonts w:ascii="Times New Roman" w:hAnsi="Times New Roman"/>
                <w:sz w:val="20"/>
                <w:szCs w:val="20"/>
              </w:rPr>
            </w:pPr>
            <w:r w:rsidRPr="00B00D41">
              <w:rPr>
                <w:rFonts w:ascii="Times New Roman" w:hAnsi="Times New Roman"/>
                <w:sz w:val="20"/>
                <w:szCs w:val="20"/>
              </w:rPr>
              <w:t>PVN ieņēmumi</w:t>
            </w:r>
          </w:p>
        </w:tc>
        <w:tc>
          <w:tcPr>
            <w:tcW w:w="1559" w:type="dxa"/>
            <w:tcBorders>
              <w:top w:val="single" w:sz="12" w:space="0" w:color="auto"/>
            </w:tcBorders>
            <w:vAlign w:val="center"/>
          </w:tcPr>
          <w:p w14:paraId="3AAE89CD"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eastAsia="Verdana" w:hAnsi="Times New Roman"/>
                <w:kern w:val="24"/>
                <w:sz w:val="20"/>
                <w:szCs w:val="20"/>
              </w:rPr>
              <w:t>-0,2</w:t>
            </w:r>
          </w:p>
        </w:tc>
        <w:tc>
          <w:tcPr>
            <w:tcW w:w="1559" w:type="dxa"/>
            <w:tcBorders>
              <w:top w:val="single" w:sz="12" w:space="0" w:color="auto"/>
            </w:tcBorders>
            <w:vAlign w:val="center"/>
          </w:tcPr>
          <w:p w14:paraId="54E9502F"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eastAsia="Verdana" w:hAnsi="Times New Roman"/>
                <w:kern w:val="24"/>
                <w:sz w:val="20"/>
                <w:szCs w:val="20"/>
              </w:rPr>
              <w:t>-0,2</w:t>
            </w:r>
          </w:p>
        </w:tc>
        <w:tc>
          <w:tcPr>
            <w:tcW w:w="1559" w:type="dxa"/>
            <w:tcBorders>
              <w:top w:val="single" w:sz="12" w:space="0" w:color="auto"/>
            </w:tcBorders>
            <w:vAlign w:val="center"/>
          </w:tcPr>
          <w:p w14:paraId="15B5FA03"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eastAsia="Verdana" w:hAnsi="Times New Roman"/>
                <w:kern w:val="24"/>
                <w:sz w:val="20"/>
                <w:szCs w:val="20"/>
              </w:rPr>
              <w:t>-0,2</w:t>
            </w:r>
          </w:p>
        </w:tc>
      </w:tr>
      <w:tr w:rsidR="006D7653" w:rsidRPr="00B00D41" w14:paraId="70C066DE" w14:textId="77777777" w:rsidTr="007E1C0A">
        <w:tc>
          <w:tcPr>
            <w:tcW w:w="4390" w:type="dxa"/>
            <w:shd w:val="clear" w:color="auto" w:fill="F2F2F2" w:themeFill="background1" w:themeFillShade="F2"/>
          </w:tcPr>
          <w:p w14:paraId="4ECCBB2A" w14:textId="77777777" w:rsidR="006D7653" w:rsidRPr="00B00D41" w:rsidRDefault="006D7653" w:rsidP="007E1C0A">
            <w:pPr>
              <w:pStyle w:val="ListParagraph"/>
              <w:spacing w:before="0" w:after="0"/>
              <w:ind w:left="0" w:firstLine="0"/>
              <w:contextualSpacing w:val="0"/>
              <w:jc w:val="right"/>
              <w:rPr>
                <w:rFonts w:ascii="Times New Roman" w:hAnsi="Times New Roman"/>
                <w:b/>
                <w:bCs/>
                <w:sz w:val="20"/>
                <w:szCs w:val="20"/>
              </w:rPr>
            </w:pPr>
            <w:r w:rsidRPr="00B00D41">
              <w:rPr>
                <w:rFonts w:ascii="Times New Roman" w:hAnsi="Times New Roman"/>
                <w:b/>
                <w:bCs/>
                <w:sz w:val="20"/>
                <w:szCs w:val="20"/>
              </w:rPr>
              <w:t>Kopā:</w:t>
            </w:r>
          </w:p>
        </w:tc>
        <w:tc>
          <w:tcPr>
            <w:tcW w:w="1559" w:type="dxa"/>
            <w:shd w:val="clear" w:color="auto" w:fill="F2F2F2" w:themeFill="background1" w:themeFillShade="F2"/>
            <w:vAlign w:val="center"/>
          </w:tcPr>
          <w:p w14:paraId="1F3521F6"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eastAsia="Verdana" w:hAnsi="Times New Roman"/>
                <w:b/>
                <w:bCs/>
                <w:kern w:val="24"/>
                <w:sz w:val="20"/>
                <w:szCs w:val="20"/>
              </w:rPr>
              <w:t>-0,2</w:t>
            </w:r>
          </w:p>
        </w:tc>
        <w:tc>
          <w:tcPr>
            <w:tcW w:w="1559" w:type="dxa"/>
            <w:shd w:val="clear" w:color="auto" w:fill="F2F2F2" w:themeFill="background1" w:themeFillShade="F2"/>
            <w:vAlign w:val="center"/>
          </w:tcPr>
          <w:p w14:paraId="5464A84B"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eastAsia="Verdana" w:hAnsi="Times New Roman"/>
                <w:b/>
                <w:bCs/>
                <w:kern w:val="24"/>
                <w:sz w:val="20"/>
                <w:szCs w:val="20"/>
              </w:rPr>
              <w:t>-0,2</w:t>
            </w:r>
          </w:p>
        </w:tc>
        <w:tc>
          <w:tcPr>
            <w:tcW w:w="1559" w:type="dxa"/>
            <w:shd w:val="clear" w:color="auto" w:fill="F2F2F2" w:themeFill="background1" w:themeFillShade="F2"/>
            <w:vAlign w:val="center"/>
          </w:tcPr>
          <w:p w14:paraId="34991B7D"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eastAsia="Verdana" w:hAnsi="Times New Roman"/>
                <w:b/>
                <w:bCs/>
                <w:kern w:val="24"/>
                <w:sz w:val="20"/>
                <w:szCs w:val="20"/>
              </w:rPr>
              <w:t>-0,2</w:t>
            </w:r>
          </w:p>
        </w:tc>
      </w:tr>
    </w:tbl>
    <w:p w14:paraId="20375866" w14:textId="77777777" w:rsidR="006D7653" w:rsidRPr="00B00D41" w:rsidRDefault="006D7653" w:rsidP="006D7653">
      <w:pPr>
        <w:tabs>
          <w:tab w:val="left" w:pos="426"/>
        </w:tabs>
        <w:spacing w:after="120"/>
        <w:ind w:firstLine="0"/>
        <w:rPr>
          <w:rFonts w:cs="Times New Roman"/>
          <w:i/>
          <w:sz w:val="20"/>
          <w:szCs w:val="24"/>
        </w:rPr>
      </w:pPr>
      <w:r w:rsidRPr="00B00D41">
        <w:rPr>
          <w:rFonts w:cs="Times New Roman"/>
          <w:b/>
          <w:bCs/>
          <w:i/>
          <w:sz w:val="20"/>
          <w:szCs w:val="24"/>
        </w:rPr>
        <w:t>Avots</w:t>
      </w:r>
      <w:r w:rsidRPr="00B00D41">
        <w:rPr>
          <w:rFonts w:cs="Times New Roman"/>
          <w:i/>
          <w:sz w:val="20"/>
          <w:szCs w:val="24"/>
        </w:rPr>
        <w:t>: FM aprēķini.</w:t>
      </w:r>
    </w:p>
    <w:p w14:paraId="0646FD60" w14:textId="77777777" w:rsidR="006D7653" w:rsidRPr="00B00D41" w:rsidRDefault="006D7653" w:rsidP="006D7653">
      <w:pPr>
        <w:rPr>
          <w:rFonts w:cs="Times New Roman"/>
          <w:szCs w:val="24"/>
        </w:rPr>
      </w:pPr>
    </w:p>
    <w:p w14:paraId="6C7307D1" w14:textId="77777777" w:rsidR="006D7653" w:rsidRPr="00B00D41" w:rsidRDefault="006D7653" w:rsidP="006D7653">
      <w:pPr>
        <w:spacing w:after="0"/>
        <w:ind w:firstLine="0"/>
        <w:rPr>
          <w:rFonts w:cs="Times New Roman"/>
          <w:b/>
          <w:bCs/>
          <w:i/>
          <w:iCs/>
          <w:u w:val="single"/>
        </w:rPr>
      </w:pPr>
      <w:r w:rsidRPr="00B00D41">
        <w:rPr>
          <w:rFonts w:cs="Times New Roman"/>
          <w:b/>
          <w:bCs/>
          <w:i/>
          <w:iCs/>
          <w:u w:val="single"/>
        </w:rPr>
        <w:t>PVN priekšnodokļa korekcija zaudētajiem parādiem</w:t>
      </w:r>
    </w:p>
    <w:p w14:paraId="13FFC2C2" w14:textId="77777777" w:rsidR="006D7653" w:rsidRPr="00B00D41" w:rsidRDefault="006D7653" w:rsidP="006D7653">
      <w:r w:rsidRPr="00B00D41">
        <w:t xml:space="preserve">PVN likuma 105. pantā ir noteikti kritēriji reģistrētiem PVN maksātājiem attiecībā uz priekšnodokļa korekciju zaudētiem parādiem. Normas mērķis ir nodrošināt tiesības preču piegādātājam vai pakalpojuma sniedzējam samazināt valsts budžetā maksājamo PVN par zaudētā parāda PVN summu, proti, norakstīt (nokoriģēt) no darījuma partnera puses nesamaksāto PVN, tādējādi samazinot daļu no zaudētā parāda un vienlaikus mazinot negatīvo ietekmi uz uzņēmuma konkurētspēju. </w:t>
      </w:r>
    </w:p>
    <w:p w14:paraId="55DF3A42" w14:textId="77777777" w:rsidR="006D7653" w:rsidRPr="00B00D41" w:rsidRDefault="006D7653" w:rsidP="006D7653">
      <w:r w:rsidRPr="00B00D41">
        <w:t xml:space="preserve">Lai mazinātu administratīvo slogu un veicinātu uzņēmējdarbības vides sakārtošanu, ir nepieciešams pārskatīt noteikto darījumu slieksni (bez PVN), kas atbilstu ekonomiskai situācijai (šobrīd spēkā esošais slieksnis </w:t>
      </w:r>
      <w:r w:rsidRPr="00B00D41">
        <w:rPr>
          <w:b/>
          <w:bCs/>
        </w:rPr>
        <w:t xml:space="preserve">430 </w:t>
      </w:r>
      <w:r w:rsidRPr="00B00D41">
        <w:rPr>
          <w:b/>
          <w:bCs/>
          <w:i/>
          <w:iCs/>
        </w:rPr>
        <w:t>euro</w:t>
      </w:r>
      <w:r w:rsidRPr="00B00D41">
        <w:rPr>
          <w:b/>
          <w:bCs/>
        </w:rPr>
        <w:t xml:space="preserve"> apmērā</w:t>
      </w:r>
      <w:r w:rsidRPr="00B00D41">
        <w:t xml:space="preserve"> nav mainīts no normas ieviešanas brīža), pārskatīt nosacījumu par nesadarbošanās  termiņu (šobrīd spēkā ir 6 mēnešu termiņš), pārskatīt nosacījumu par informēšanas  pienākumu, kā arī rast iespēju ļaut PVN par zaudēto parādu atgūt, iesniedzot jebkuru PVN deklarāciju. </w:t>
      </w:r>
    </w:p>
    <w:p w14:paraId="6FCACF23" w14:textId="77777777" w:rsidR="006D7653" w:rsidRPr="00B00D41" w:rsidRDefault="006D7653" w:rsidP="006D7653">
      <w:r w:rsidRPr="00B00D41">
        <w:rPr>
          <w:i/>
          <w:iCs/>
          <w:szCs w:val="24"/>
        </w:rPr>
        <w:t>Valsts nodokļu pamatnostādņu 2024. - 2027. gadam</w:t>
      </w:r>
      <w:r w:rsidRPr="00B00D41">
        <w:rPr>
          <w:szCs w:val="24"/>
        </w:rPr>
        <w:t xml:space="preserve"> izstrādes ietvaros ir izvērtēta iespēja</w:t>
      </w:r>
      <w:r w:rsidRPr="00B00D41">
        <w:t>, ka darījuma slieksni paaugstina līdz</w:t>
      </w:r>
      <w:r w:rsidRPr="00B00D41">
        <w:rPr>
          <w:b/>
          <w:bCs/>
        </w:rPr>
        <w:t xml:space="preserve"> 1 000 </w:t>
      </w:r>
      <w:r w:rsidRPr="00B00D41">
        <w:rPr>
          <w:b/>
          <w:bCs/>
          <w:i/>
          <w:iCs/>
        </w:rPr>
        <w:t>euro</w:t>
      </w:r>
      <w:r w:rsidRPr="00B00D41">
        <w:rPr>
          <w:i/>
          <w:iCs/>
        </w:rPr>
        <w:t xml:space="preserve"> </w:t>
      </w:r>
      <w:r w:rsidRPr="00B00D41">
        <w:t>(bez PVN).</w:t>
      </w:r>
    </w:p>
    <w:p w14:paraId="527977C3" w14:textId="0EBFE342" w:rsidR="006D7653" w:rsidRPr="00B00D41" w:rsidRDefault="009E3CC5" w:rsidP="006D7653">
      <w:pPr>
        <w:spacing w:after="120"/>
        <w:ind w:firstLine="709"/>
        <w:jc w:val="center"/>
        <w:rPr>
          <w:rFonts w:cs="Times New Roman"/>
          <w:sz w:val="22"/>
          <w:szCs w:val="24"/>
        </w:rPr>
      </w:pPr>
      <w:r>
        <w:rPr>
          <w:rFonts w:cs="Times New Roman"/>
          <w:sz w:val="22"/>
          <w:szCs w:val="24"/>
        </w:rPr>
        <w:t>17</w:t>
      </w:r>
      <w:r w:rsidR="006D7653" w:rsidRPr="00B00D41">
        <w:rPr>
          <w:rFonts w:cs="Times New Roman"/>
          <w:sz w:val="22"/>
          <w:szCs w:val="24"/>
        </w:rPr>
        <w:t>. tab</w:t>
      </w:r>
      <w:r w:rsidR="006D7653" w:rsidRPr="00B00D41">
        <w:rPr>
          <w:rFonts w:cs="Times New Roman"/>
          <w:bCs/>
          <w:sz w:val="22"/>
          <w:szCs w:val="24"/>
        </w:rPr>
        <w:t xml:space="preserve">. </w:t>
      </w:r>
      <w:r w:rsidR="006D7653" w:rsidRPr="00B00D41">
        <w:rPr>
          <w:rFonts w:cs="Times New Roman"/>
          <w:b/>
          <w:sz w:val="22"/>
          <w:szCs w:val="24"/>
        </w:rPr>
        <w:t>Priekšlikuma indikatīva fiskālā ietekme</w:t>
      </w:r>
      <w:r w:rsidR="006D7653" w:rsidRPr="00B00D41">
        <w:rPr>
          <w:rFonts w:cs="Times New Roman"/>
          <w:bCs/>
          <w:sz w:val="22"/>
          <w:szCs w:val="24"/>
        </w:rPr>
        <w:t xml:space="preserve">, </w:t>
      </w:r>
      <w:r w:rsidR="006D7653" w:rsidRPr="00B00D41">
        <w:rPr>
          <w:rFonts w:cs="Times New Roman"/>
          <w:bCs/>
          <w:i/>
          <w:iCs/>
          <w:sz w:val="22"/>
          <w:szCs w:val="24"/>
        </w:rPr>
        <w:t>milj. euro</w:t>
      </w:r>
    </w:p>
    <w:tbl>
      <w:tblPr>
        <w:tblStyle w:val="TableGrid"/>
        <w:tblW w:w="9067" w:type="dxa"/>
        <w:tblInd w:w="5" w:type="dxa"/>
        <w:tblLook w:val="04A0" w:firstRow="1" w:lastRow="0" w:firstColumn="1" w:lastColumn="0" w:noHBand="0" w:noVBand="1"/>
      </w:tblPr>
      <w:tblGrid>
        <w:gridCol w:w="4390"/>
        <w:gridCol w:w="1559"/>
        <w:gridCol w:w="1559"/>
        <w:gridCol w:w="1559"/>
      </w:tblGrid>
      <w:tr w:rsidR="006D7653" w:rsidRPr="00B00D41" w14:paraId="15F91982" w14:textId="77777777" w:rsidTr="007E1C0A">
        <w:tc>
          <w:tcPr>
            <w:tcW w:w="4390" w:type="dxa"/>
            <w:tcBorders>
              <w:top w:val="nil"/>
              <w:left w:val="nil"/>
              <w:bottom w:val="single" w:sz="12" w:space="0" w:color="auto"/>
              <w:right w:val="nil"/>
            </w:tcBorders>
          </w:tcPr>
          <w:p w14:paraId="18F44C08"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p>
        </w:tc>
        <w:tc>
          <w:tcPr>
            <w:tcW w:w="1559" w:type="dxa"/>
            <w:tcBorders>
              <w:top w:val="nil"/>
              <w:left w:val="nil"/>
              <w:bottom w:val="single" w:sz="12" w:space="0" w:color="auto"/>
              <w:right w:val="nil"/>
            </w:tcBorders>
            <w:vAlign w:val="bottom"/>
          </w:tcPr>
          <w:p w14:paraId="6F15A0BA"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2024</w:t>
            </w:r>
          </w:p>
        </w:tc>
        <w:tc>
          <w:tcPr>
            <w:tcW w:w="1559" w:type="dxa"/>
            <w:tcBorders>
              <w:top w:val="nil"/>
              <w:left w:val="nil"/>
              <w:bottom w:val="single" w:sz="12" w:space="0" w:color="auto"/>
              <w:right w:val="nil"/>
            </w:tcBorders>
            <w:vAlign w:val="bottom"/>
          </w:tcPr>
          <w:p w14:paraId="2BC3E6E6"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2025</w:t>
            </w:r>
          </w:p>
        </w:tc>
        <w:tc>
          <w:tcPr>
            <w:tcW w:w="1559" w:type="dxa"/>
            <w:tcBorders>
              <w:top w:val="nil"/>
              <w:left w:val="nil"/>
              <w:bottom w:val="single" w:sz="12" w:space="0" w:color="auto"/>
              <w:right w:val="nil"/>
            </w:tcBorders>
            <w:vAlign w:val="bottom"/>
          </w:tcPr>
          <w:p w14:paraId="157DCB9E"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2026</w:t>
            </w:r>
          </w:p>
        </w:tc>
      </w:tr>
      <w:tr w:rsidR="006D7653" w:rsidRPr="00B00D41" w14:paraId="28B2C055" w14:textId="77777777" w:rsidTr="007E1C0A">
        <w:tc>
          <w:tcPr>
            <w:tcW w:w="4390" w:type="dxa"/>
            <w:tcBorders>
              <w:top w:val="single" w:sz="12" w:space="0" w:color="auto"/>
            </w:tcBorders>
          </w:tcPr>
          <w:p w14:paraId="1054510B" w14:textId="77777777" w:rsidR="006D7653" w:rsidRPr="00B00D41" w:rsidRDefault="006D7653" w:rsidP="007E1C0A">
            <w:pPr>
              <w:pStyle w:val="ListParagraph"/>
              <w:spacing w:before="0" w:after="0"/>
              <w:ind w:left="0" w:firstLine="0"/>
              <w:contextualSpacing w:val="0"/>
              <w:rPr>
                <w:rFonts w:ascii="Times New Roman" w:hAnsi="Times New Roman"/>
                <w:sz w:val="20"/>
                <w:szCs w:val="20"/>
              </w:rPr>
            </w:pPr>
            <w:r w:rsidRPr="00B00D41">
              <w:rPr>
                <w:rFonts w:ascii="Times New Roman" w:hAnsi="Times New Roman"/>
                <w:sz w:val="20"/>
                <w:szCs w:val="20"/>
              </w:rPr>
              <w:t>PVN ieņēmumi</w:t>
            </w:r>
          </w:p>
        </w:tc>
        <w:tc>
          <w:tcPr>
            <w:tcW w:w="1559" w:type="dxa"/>
            <w:tcBorders>
              <w:top w:val="single" w:sz="12" w:space="0" w:color="auto"/>
            </w:tcBorders>
            <w:vAlign w:val="center"/>
          </w:tcPr>
          <w:p w14:paraId="0DB5CB0C"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eastAsia="Verdana" w:hAnsi="Times New Roman"/>
                <w:kern w:val="24"/>
                <w:sz w:val="20"/>
                <w:szCs w:val="20"/>
              </w:rPr>
              <w:t>-0,2</w:t>
            </w:r>
          </w:p>
        </w:tc>
        <w:tc>
          <w:tcPr>
            <w:tcW w:w="1559" w:type="dxa"/>
            <w:tcBorders>
              <w:top w:val="single" w:sz="12" w:space="0" w:color="auto"/>
            </w:tcBorders>
            <w:vAlign w:val="center"/>
          </w:tcPr>
          <w:p w14:paraId="123B39BE"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eastAsia="Verdana" w:hAnsi="Times New Roman"/>
                <w:kern w:val="24"/>
                <w:sz w:val="20"/>
                <w:szCs w:val="20"/>
              </w:rPr>
              <w:t>-0,2</w:t>
            </w:r>
          </w:p>
        </w:tc>
        <w:tc>
          <w:tcPr>
            <w:tcW w:w="1559" w:type="dxa"/>
            <w:tcBorders>
              <w:top w:val="single" w:sz="12" w:space="0" w:color="auto"/>
            </w:tcBorders>
            <w:vAlign w:val="center"/>
          </w:tcPr>
          <w:p w14:paraId="0522F236"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eastAsia="Verdana" w:hAnsi="Times New Roman"/>
                <w:kern w:val="24"/>
                <w:sz w:val="20"/>
                <w:szCs w:val="20"/>
              </w:rPr>
              <w:t>-0,2</w:t>
            </w:r>
          </w:p>
        </w:tc>
      </w:tr>
      <w:tr w:rsidR="006D7653" w:rsidRPr="00B00D41" w14:paraId="504FB9F3" w14:textId="77777777" w:rsidTr="007E1C0A">
        <w:tc>
          <w:tcPr>
            <w:tcW w:w="4390" w:type="dxa"/>
            <w:shd w:val="clear" w:color="auto" w:fill="F2F2F2" w:themeFill="background1" w:themeFillShade="F2"/>
          </w:tcPr>
          <w:p w14:paraId="6C8957FD" w14:textId="77777777" w:rsidR="006D7653" w:rsidRPr="00B00D41" w:rsidRDefault="006D7653" w:rsidP="007E1C0A">
            <w:pPr>
              <w:pStyle w:val="ListParagraph"/>
              <w:spacing w:before="0" w:after="0"/>
              <w:ind w:left="0" w:firstLine="0"/>
              <w:contextualSpacing w:val="0"/>
              <w:jc w:val="right"/>
              <w:rPr>
                <w:rFonts w:ascii="Times New Roman" w:hAnsi="Times New Roman"/>
                <w:b/>
                <w:bCs/>
                <w:sz w:val="20"/>
                <w:szCs w:val="20"/>
              </w:rPr>
            </w:pPr>
            <w:r w:rsidRPr="00B00D41">
              <w:rPr>
                <w:rFonts w:ascii="Times New Roman" w:hAnsi="Times New Roman"/>
                <w:b/>
                <w:bCs/>
                <w:sz w:val="20"/>
                <w:szCs w:val="20"/>
              </w:rPr>
              <w:t>Kopā:</w:t>
            </w:r>
          </w:p>
        </w:tc>
        <w:tc>
          <w:tcPr>
            <w:tcW w:w="1559" w:type="dxa"/>
            <w:shd w:val="clear" w:color="auto" w:fill="F2F2F2" w:themeFill="background1" w:themeFillShade="F2"/>
            <w:vAlign w:val="center"/>
          </w:tcPr>
          <w:p w14:paraId="6C018051"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eastAsia="Verdana" w:hAnsi="Times New Roman"/>
                <w:b/>
                <w:bCs/>
                <w:kern w:val="24"/>
                <w:sz w:val="20"/>
                <w:szCs w:val="20"/>
              </w:rPr>
              <w:t>-0,2</w:t>
            </w:r>
          </w:p>
        </w:tc>
        <w:tc>
          <w:tcPr>
            <w:tcW w:w="1559" w:type="dxa"/>
            <w:shd w:val="clear" w:color="auto" w:fill="F2F2F2" w:themeFill="background1" w:themeFillShade="F2"/>
            <w:vAlign w:val="center"/>
          </w:tcPr>
          <w:p w14:paraId="10A48390"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eastAsia="Verdana" w:hAnsi="Times New Roman"/>
                <w:b/>
                <w:bCs/>
                <w:kern w:val="24"/>
                <w:sz w:val="20"/>
                <w:szCs w:val="20"/>
              </w:rPr>
              <w:t>-0,2</w:t>
            </w:r>
          </w:p>
        </w:tc>
        <w:tc>
          <w:tcPr>
            <w:tcW w:w="1559" w:type="dxa"/>
            <w:shd w:val="clear" w:color="auto" w:fill="F2F2F2" w:themeFill="background1" w:themeFillShade="F2"/>
            <w:vAlign w:val="center"/>
          </w:tcPr>
          <w:p w14:paraId="1257E097"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eastAsia="Verdana" w:hAnsi="Times New Roman"/>
                <w:b/>
                <w:bCs/>
                <w:kern w:val="24"/>
                <w:sz w:val="20"/>
                <w:szCs w:val="20"/>
              </w:rPr>
              <w:t>-0,2</w:t>
            </w:r>
          </w:p>
        </w:tc>
      </w:tr>
    </w:tbl>
    <w:p w14:paraId="1D9D88DB" w14:textId="77777777" w:rsidR="006D7653" w:rsidRPr="00B00D41" w:rsidRDefault="006D7653" w:rsidP="006D7653">
      <w:pPr>
        <w:tabs>
          <w:tab w:val="left" w:pos="426"/>
        </w:tabs>
        <w:spacing w:after="120"/>
        <w:ind w:firstLine="0"/>
        <w:rPr>
          <w:rFonts w:cs="Times New Roman"/>
          <w:i/>
          <w:sz w:val="20"/>
          <w:szCs w:val="24"/>
        </w:rPr>
      </w:pPr>
      <w:r w:rsidRPr="00B00D41">
        <w:rPr>
          <w:rFonts w:cs="Times New Roman"/>
          <w:b/>
          <w:bCs/>
          <w:i/>
          <w:sz w:val="20"/>
          <w:szCs w:val="24"/>
        </w:rPr>
        <w:t>Avots</w:t>
      </w:r>
      <w:r w:rsidRPr="00B00D41">
        <w:rPr>
          <w:rFonts w:cs="Times New Roman"/>
          <w:i/>
          <w:sz w:val="20"/>
          <w:szCs w:val="24"/>
        </w:rPr>
        <w:t>: FM aprēķini.</w:t>
      </w:r>
    </w:p>
    <w:p w14:paraId="4208A878" w14:textId="77777777" w:rsidR="006D7653" w:rsidRPr="00B00D41" w:rsidRDefault="006D7653" w:rsidP="006D7653">
      <w:pPr>
        <w:spacing w:after="0"/>
        <w:rPr>
          <w:rFonts w:cs="Times New Roman"/>
          <w:szCs w:val="24"/>
        </w:rPr>
      </w:pPr>
    </w:p>
    <w:p w14:paraId="6133D3C4" w14:textId="03B9B5F3" w:rsidR="006D7653" w:rsidRPr="00B00D41" w:rsidRDefault="006D7653" w:rsidP="006D7653">
      <w:pPr>
        <w:spacing w:after="0"/>
        <w:ind w:firstLine="0"/>
        <w:rPr>
          <w:rFonts w:cs="Times New Roman"/>
          <w:b/>
          <w:bCs/>
          <w:i/>
          <w:iCs/>
          <w:u w:val="single"/>
        </w:rPr>
      </w:pPr>
      <w:r w:rsidRPr="00B00D41">
        <w:rPr>
          <w:rFonts w:cs="Times New Roman"/>
          <w:b/>
          <w:bCs/>
          <w:i/>
          <w:iCs/>
          <w:u w:val="single"/>
        </w:rPr>
        <w:lastRenderedPageBreak/>
        <w:t xml:space="preserve">Reprezentatīvo automobiļu degvielas un ekspluatācijas izdevumu ierobežojumu pārskatīšana </w:t>
      </w:r>
    </w:p>
    <w:p w14:paraId="1C4FEDAE" w14:textId="77777777" w:rsidR="006D7653" w:rsidRPr="00B00D41" w:rsidRDefault="006D7653" w:rsidP="006D7653">
      <w:r w:rsidRPr="00B00D41">
        <w:rPr>
          <w:i/>
          <w:iCs/>
          <w:szCs w:val="24"/>
        </w:rPr>
        <w:t>Valsts nodokļu pamatnostādņu 2024. - 2027. gadam</w:t>
      </w:r>
      <w:r w:rsidRPr="00B00D41">
        <w:rPr>
          <w:szCs w:val="24"/>
        </w:rPr>
        <w:t xml:space="preserve"> izstrādes ietvaros ir izvērtēta iespēja</w:t>
      </w:r>
      <w:r w:rsidRPr="00B00D41">
        <w:t xml:space="preserve"> mainīt priekšnodokļa atskaitīšanas ierobežojumu attiecībā uz izmaksām  reprezentatīvo automobiļu degvielas un ekspluatācijas izdevumiem, precizējot ierobežojumu attiecībā uz gadījumiem, kad reprezentatīvā automašīna ir nodokļa maksātāja nepārtrauktā īpašumā vai turējumā vismaz 60 mēnešus.</w:t>
      </w:r>
    </w:p>
    <w:p w14:paraId="415E0022" w14:textId="727E0A2E" w:rsidR="006D7653" w:rsidRPr="00B00D41" w:rsidRDefault="009E3CC5" w:rsidP="006D7653">
      <w:pPr>
        <w:spacing w:after="120"/>
        <w:ind w:firstLine="709"/>
        <w:jc w:val="center"/>
        <w:rPr>
          <w:rFonts w:cs="Times New Roman"/>
          <w:sz w:val="22"/>
          <w:szCs w:val="24"/>
        </w:rPr>
      </w:pPr>
      <w:r>
        <w:rPr>
          <w:rFonts w:cs="Times New Roman"/>
          <w:sz w:val="22"/>
          <w:szCs w:val="24"/>
        </w:rPr>
        <w:t>18</w:t>
      </w:r>
      <w:r w:rsidR="006D7653" w:rsidRPr="00B00D41">
        <w:rPr>
          <w:rFonts w:cs="Times New Roman"/>
          <w:sz w:val="22"/>
          <w:szCs w:val="24"/>
        </w:rPr>
        <w:t>. tab</w:t>
      </w:r>
      <w:r w:rsidR="006D7653" w:rsidRPr="00B00D41">
        <w:rPr>
          <w:rFonts w:cs="Times New Roman"/>
          <w:bCs/>
          <w:sz w:val="22"/>
          <w:szCs w:val="24"/>
        </w:rPr>
        <w:t xml:space="preserve">. </w:t>
      </w:r>
      <w:r w:rsidR="006D7653" w:rsidRPr="00B00D41">
        <w:rPr>
          <w:rFonts w:cs="Times New Roman"/>
          <w:b/>
          <w:sz w:val="22"/>
          <w:szCs w:val="24"/>
        </w:rPr>
        <w:t>Priekšlikuma indikatīva fiskālā ietekme</w:t>
      </w:r>
      <w:r w:rsidR="006D7653" w:rsidRPr="00B00D41">
        <w:rPr>
          <w:rFonts w:cs="Times New Roman"/>
          <w:bCs/>
          <w:sz w:val="22"/>
          <w:szCs w:val="24"/>
        </w:rPr>
        <w:t xml:space="preserve">, </w:t>
      </w:r>
      <w:r w:rsidR="006D7653" w:rsidRPr="00B00D41">
        <w:rPr>
          <w:rFonts w:cs="Times New Roman"/>
          <w:bCs/>
          <w:i/>
          <w:iCs/>
          <w:sz w:val="22"/>
          <w:szCs w:val="24"/>
        </w:rPr>
        <w:t>milj. euro</w:t>
      </w:r>
    </w:p>
    <w:tbl>
      <w:tblPr>
        <w:tblStyle w:val="TableGrid"/>
        <w:tblW w:w="9067" w:type="dxa"/>
        <w:tblInd w:w="5" w:type="dxa"/>
        <w:tblLook w:val="04A0" w:firstRow="1" w:lastRow="0" w:firstColumn="1" w:lastColumn="0" w:noHBand="0" w:noVBand="1"/>
      </w:tblPr>
      <w:tblGrid>
        <w:gridCol w:w="4390"/>
        <w:gridCol w:w="1559"/>
        <w:gridCol w:w="1559"/>
        <w:gridCol w:w="1559"/>
      </w:tblGrid>
      <w:tr w:rsidR="006D7653" w:rsidRPr="00B00D41" w14:paraId="0020756F" w14:textId="77777777" w:rsidTr="007E1C0A">
        <w:tc>
          <w:tcPr>
            <w:tcW w:w="4390" w:type="dxa"/>
            <w:tcBorders>
              <w:top w:val="nil"/>
              <w:left w:val="nil"/>
              <w:bottom w:val="single" w:sz="12" w:space="0" w:color="auto"/>
              <w:right w:val="nil"/>
            </w:tcBorders>
          </w:tcPr>
          <w:p w14:paraId="4E37DC9C"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p>
        </w:tc>
        <w:tc>
          <w:tcPr>
            <w:tcW w:w="1559" w:type="dxa"/>
            <w:tcBorders>
              <w:top w:val="nil"/>
              <w:left w:val="nil"/>
              <w:bottom w:val="single" w:sz="12" w:space="0" w:color="auto"/>
              <w:right w:val="nil"/>
            </w:tcBorders>
            <w:vAlign w:val="bottom"/>
          </w:tcPr>
          <w:p w14:paraId="501738B8"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2024</w:t>
            </w:r>
          </w:p>
        </w:tc>
        <w:tc>
          <w:tcPr>
            <w:tcW w:w="1559" w:type="dxa"/>
            <w:tcBorders>
              <w:top w:val="nil"/>
              <w:left w:val="nil"/>
              <w:bottom w:val="single" w:sz="12" w:space="0" w:color="auto"/>
              <w:right w:val="nil"/>
            </w:tcBorders>
            <w:vAlign w:val="bottom"/>
          </w:tcPr>
          <w:p w14:paraId="25E7C1D6"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2025</w:t>
            </w:r>
          </w:p>
        </w:tc>
        <w:tc>
          <w:tcPr>
            <w:tcW w:w="1559" w:type="dxa"/>
            <w:tcBorders>
              <w:top w:val="nil"/>
              <w:left w:val="nil"/>
              <w:bottom w:val="single" w:sz="12" w:space="0" w:color="auto"/>
              <w:right w:val="nil"/>
            </w:tcBorders>
            <w:vAlign w:val="bottom"/>
          </w:tcPr>
          <w:p w14:paraId="47040429"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2026</w:t>
            </w:r>
          </w:p>
        </w:tc>
      </w:tr>
      <w:tr w:rsidR="006D7653" w:rsidRPr="00B00D41" w14:paraId="58E77A95" w14:textId="77777777" w:rsidTr="007E1C0A">
        <w:tc>
          <w:tcPr>
            <w:tcW w:w="4390" w:type="dxa"/>
            <w:tcBorders>
              <w:top w:val="single" w:sz="12" w:space="0" w:color="auto"/>
            </w:tcBorders>
          </w:tcPr>
          <w:p w14:paraId="7845E34F" w14:textId="77777777" w:rsidR="006D7653" w:rsidRPr="00B00D41" w:rsidRDefault="006D7653" w:rsidP="007E1C0A">
            <w:pPr>
              <w:pStyle w:val="ListParagraph"/>
              <w:spacing w:before="0" w:after="0"/>
              <w:ind w:left="0" w:firstLine="0"/>
              <w:contextualSpacing w:val="0"/>
              <w:rPr>
                <w:rFonts w:ascii="Times New Roman" w:hAnsi="Times New Roman"/>
                <w:sz w:val="20"/>
                <w:szCs w:val="20"/>
              </w:rPr>
            </w:pPr>
            <w:r w:rsidRPr="00B00D41">
              <w:rPr>
                <w:rFonts w:ascii="Times New Roman" w:hAnsi="Times New Roman"/>
                <w:sz w:val="20"/>
                <w:szCs w:val="20"/>
              </w:rPr>
              <w:t>PVN ieņēmumi</w:t>
            </w:r>
          </w:p>
        </w:tc>
        <w:tc>
          <w:tcPr>
            <w:tcW w:w="1559" w:type="dxa"/>
            <w:tcBorders>
              <w:top w:val="single" w:sz="12" w:space="0" w:color="auto"/>
            </w:tcBorders>
          </w:tcPr>
          <w:p w14:paraId="2C2E528D"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hAnsi="Times New Roman"/>
                <w:sz w:val="20"/>
                <w:szCs w:val="20"/>
              </w:rPr>
              <w:t>-0,6</w:t>
            </w:r>
          </w:p>
        </w:tc>
        <w:tc>
          <w:tcPr>
            <w:tcW w:w="1559" w:type="dxa"/>
            <w:tcBorders>
              <w:top w:val="single" w:sz="12" w:space="0" w:color="auto"/>
            </w:tcBorders>
          </w:tcPr>
          <w:p w14:paraId="0821AF09"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hAnsi="Times New Roman"/>
                <w:sz w:val="20"/>
                <w:szCs w:val="20"/>
              </w:rPr>
              <w:t>-0,6</w:t>
            </w:r>
          </w:p>
        </w:tc>
        <w:tc>
          <w:tcPr>
            <w:tcW w:w="1559" w:type="dxa"/>
            <w:tcBorders>
              <w:top w:val="single" w:sz="12" w:space="0" w:color="auto"/>
            </w:tcBorders>
          </w:tcPr>
          <w:p w14:paraId="0F44AE82"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hAnsi="Times New Roman"/>
                <w:sz w:val="20"/>
                <w:szCs w:val="20"/>
              </w:rPr>
              <w:t>-0,1</w:t>
            </w:r>
          </w:p>
        </w:tc>
      </w:tr>
      <w:tr w:rsidR="006D7653" w:rsidRPr="00B00D41" w14:paraId="5484B053" w14:textId="77777777" w:rsidTr="007E1C0A">
        <w:tc>
          <w:tcPr>
            <w:tcW w:w="4390" w:type="dxa"/>
          </w:tcPr>
          <w:p w14:paraId="4356794D" w14:textId="77777777" w:rsidR="006D7653" w:rsidRPr="00B00D41" w:rsidRDefault="006D7653" w:rsidP="007E1C0A">
            <w:pPr>
              <w:pStyle w:val="ListParagraph"/>
              <w:spacing w:before="0" w:after="0"/>
              <w:ind w:left="0" w:firstLine="0"/>
              <w:contextualSpacing w:val="0"/>
              <w:rPr>
                <w:rFonts w:ascii="Times New Roman" w:hAnsi="Times New Roman"/>
                <w:sz w:val="20"/>
                <w:szCs w:val="20"/>
              </w:rPr>
            </w:pPr>
            <w:r w:rsidRPr="00B00D41">
              <w:rPr>
                <w:rFonts w:ascii="Times New Roman" w:hAnsi="Times New Roman"/>
                <w:sz w:val="20"/>
                <w:szCs w:val="20"/>
              </w:rPr>
              <w:t>UIN ieņēmumi</w:t>
            </w:r>
          </w:p>
        </w:tc>
        <w:tc>
          <w:tcPr>
            <w:tcW w:w="1559" w:type="dxa"/>
          </w:tcPr>
          <w:p w14:paraId="67784A46"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hAnsi="Times New Roman"/>
                <w:sz w:val="20"/>
                <w:szCs w:val="20"/>
              </w:rPr>
              <w:t>-2,3</w:t>
            </w:r>
          </w:p>
        </w:tc>
        <w:tc>
          <w:tcPr>
            <w:tcW w:w="1559" w:type="dxa"/>
          </w:tcPr>
          <w:p w14:paraId="0CC64E54"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hAnsi="Times New Roman"/>
                <w:sz w:val="20"/>
                <w:szCs w:val="20"/>
              </w:rPr>
              <w:t>-2,2</w:t>
            </w:r>
          </w:p>
        </w:tc>
        <w:tc>
          <w:tcPr>
            <w:tcW w:w="1559" w:type="dxa"/>
          </w:tcPr>
          <w:p w14:paraId="2EB79966"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hAnsi="Times New Roman"/>
                <w:sz w:val="20"/>
                <w:szCs w:val="20"/>
              </w:rPr>
              <w:t>-0,5</w:t>
            </w:r>
          </w:p>
        </w:tc>
      </w:tr>
      <w:tr w:rsidR="006D7653" w:rsidRPr="00B00D41" w14:paraId="274BC6AC" w14:textId="77777777" w:rsidTr="007E1C0A">
        <w:tc>
          <w:tcPr>
            <w:tcW w:w="4390" w:type="dxa"/>
            <w:shd w:val="clear" w:color="auto" w:fill="F2F2F2" w:themeFill="background1" w:themeFillShade="F2"/>
          </w:tcPr>
          <w:p w14:paraId="016D4AEE" w14:textId="77777777" w:rsidR="006D7653" w:rsidRPr="00B00D41" w:rsidRDefault="006D7653" w:rsidP="007E1C0A">
            <w:pPr>
              <w:pStyle w:val="ListParagraph"/>
              <w:spacing w:before="0" w:after="0"/>
              <w:ind w:left="0" w:firstLine="0"/>
              <w:contextualSpacing w:val="0"/>
              <w:jc w:val="right"/>
              <w:rPr>
                <w:rFonts w:ascii="Times New Roman" w:hAnsi="Times New Roman"/>
                <w:b/>
                <w:bCs/>
                <w:sz w:val="20"/>
                <w:szCs w:val="20"/>
              </w:rPr>
            </w:pPr>
            <w:r w:rsidRPr="00B00D41">
              <w:rPr>
                <w:rFonts w:ascii="Times New Roman" w:hAnsi="Times New Roman"/>
                <w:b/>
                <w:bCs/>
                <w:sz w:val="20"/>
                <w:szCs w:val="20"/>
              </w:rPr>
              <w:t>Kopā:</w:t>
            </w:r>
          </w:p>
        </w:tc>
        <w:tc>
          <w:tcPr>
            <w:tcW w:w="1559" w:type="dxa"/>
            <w:shd w:val="clear" w:color="auto" w:fill="F2F2F2" w:themeFill="background1" w:themeFillShade="F2"/>
          </w:tcPr>
          <w:p w14:paraId="58E039B7"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-2,9</w:t>
            </w:r>
          </w:p>
        </w:tc>
        <w:tc>
          <w:tcPr>
            <w:tcW w:w="1559" w:type="dxa"/>
            <w:shd w:val="clear" w:color="auto" w:fill="F2F2F2" w:themeFill="background1" w:themeFillShade="F2"/>
          </w:tcPr>
          <w:p w14:paraId="2D131699"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-2,8</w:t>
            </w:r>
          </w:p>
        </w:tc>
        <w:tc>
          <w:tcPr>
            <w:tcW w:w="1559" w:type="dxa"/>
            <w:shd w:val="clear" w:color="auto" w:fill="F2F2F2" w:themeFill="background1" w:themeFillShade="F2"/>
          </w:tcPr>
          <w:p w14:paraId="5056A6DA"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-0,6</w:t>
            </w:r>
          </w:p>
        </w:tc>
      </w:tr>
    </w:tbl>
    <w:p w14:paraId="21118748" w14:textId="77777777" w:rsidR="006D7653" w:rsidRDefault="006D7653" w:rsidP="006D7653">
      <w:pPr>
        <w:tabs>
          <w:tab w:val="left" w:pos="426"/>
        </w:tabs>
        <w:spacing w:after="120"/>
        <w:ind w:firstLine="0"/>
        <w:rPr>
          <w:rFonts w:cs="Times New Roman"/>
          <w:i/>
          <w:sz w:val="20"/>
          <w:szCs w:val="24"/>
        </w:rPr>
      </w:pPr>
      <w:r w:rsidRPr="00B00D41">
        <w:rPr>
          <w:rFonts w:cs="Times New Roman"/>
          <w:b/>
          <w:bCs/>
          <w:i/>
          <w:sz w:val="20"/>
          <w:szCs w:val="24"/>
        </w:rPr>
        <w:t>Avots</w:t>
      </w:r>
      <w:r w:rsidRPr="00B00D41">
        <w:rPr>
          <w:rFonts w:cs="Times New Roman"/>
          <w:i/>
          <w:sz w:val="20"/>
          <w:szCs w:val="24"/>
        </w:rPr>
        <w:t>: FM aprēķini.</w:t>
      </w:r>
    </w:p>
    <w:p w14:paraId="5729C7B9" w14:textId="77777777" w:rsidR="006A6889" w:rsidRDefault="006A6889" w:rsidP="006D7653">
      <w:pPr>
        <w:tabs>
          <w:tab w:val="left" w:pos="426"/>
        </w:tabs>
        <w:spacing w:after="120"/>
        <w:ind w:firstLine="0"/>
        <w:rPr>
          <w:rFonts w:cs="Times New Roman"/>
          <w:i/>
          <w:sz w:val="20"/>
          <w:szCs w:val="24"/>
        </w:rPr>
      </w:pPr>
    </w:p>
    <w:p w14:paraId="6236F52E" w14:textId="77777777" w:rsidR="006A6889" w:rsidRPr="00404692" w:rsidRDefault="006A6889" w:rsidP="00404692">
      <w:pPr>
        <w:spacing w:after="0"/>
        <w:ind w:firstLine="0"/>
        <w:rPr>
          <w:rFonts w:cs="Times New Roman"/>
          <w:b/>
          <w:bCs/>
          <w:i/>
          <w:iCs/>
          <w:u w:val="single"/>
        </w:rPr>
      </w:pPr>
      <w:r w:rsidRPr="00404692">
        <w:rPr>
          <w:rFonts w:cs="Times New Roman"/>
          <w:b/>
          <w:bCs/>
          <w:i/>
          <w:iCs/>
          <w:u w:val="single"/>
        </w:rPr>
        <w:t>PVN reģistrācijas sliekšņa palielināšana no 40 000 euro uz 50 000 euro</w:t>
      </w:r>
    </w:p>
    <w:p w14:paraId="7168D859" w14:textId="3F245EAD" w:rsidR="006A6889" w:rsidRPr="002249B5" w:rsidRDefault="006A6889" w:rsidP="006A6889">
      <w:pPr>
        <w:rPr>
          <w:rFonts w:cs="Times New Roman"/>
          <w:szCs w:val="24"/>
        </w:rPr>
      </w:pPr>
      <w:r w:rsidRPr="002249B5">
        <w:rPr>
          <w:rFonts w:cs="Times New Roman"/>
          <w:szCs w:val="24"/>
          <w:shd w:val="clear" w:color="auto" w:fill="FFFFFF"/>
        </w:rPr>
        <w:t xml:space="preserve">Iekšzemes nodokļa maksātājs ir tiesīgs nereģistrēties </w:t>
      </w:r>
      <w:r w:rsidR="00404692">
        <w:rPr>
          <w:rFonts w:cs="Times New Roman"/>
          <w:szCs w:val="24"/>
          <w:shd w:val="clear" w:color="auto" w:fill="FFFFFF"/>
        </w:rPr>
        <w:t>VID</w:t>
      </w:r>
      <w:r w:rsidRPr="002249B5">
        <w:rPr>
          <w:rFonts w:cs="Times New Roman"/>
          <w:szCs w:val="24"/>
          <w:shd w:val="clear" w:color="auto" w:fill="FFFFFF"/>
        </w:rPr>
        <w:t xml:space="preserve"> </w:t>
      </w:r>
      <w:r w:rsidR="00404692">
        <w:rPr>
          <w:rFonts w:cs="Times New Roman"/>
          <w:szCs w:val="24"/>
          <w:shd w:val="clear" w:color="auto" w:fill="FFFFFF"/>
        </w:rPr>
        <w:t>PVN</w:t>
      </w:r>
      <w:r w:rsidRPr="002249B5">
        <w:rPr>
          <w:rFonts w:cs="Times New Roman"/>
          <w:szCs w:val="24"/>
          <w:shd w:val="clear" w:color="auto" w:fill="FFFFFF"/>
        </w:rPr>
        <w:t xml:space="preserve"> maksātāju reģistrā, ja tā veikto ar nodokli apliekamo preču piegāžu un sniegto pakalpojumu kopējā vērtība iepriekšējo 12 mēnešu laikā nav pārsni</w:t>
      </w:r>
      <w:r w:rsidR="00404692">
        <w:rPr>
          <w:rFonts w:cs="Times New Roman"/>
          <w:szCs w:val="24"/>
          <w:shd w:val="clear" w:color="auto" w:fill="FFFFFF"/>
        </w:rPr>
        <w:t>egusi 50 </w:t>
      </w:r>
      <w:r w:rsidRPr="002249B5">
        <w:rPr>
          <w:rFonts w:cs="Times New Roman"/>
          <w:szCs w:val="24"/>
          <w:shd w:val="clear" w:color="auto" w:fill="FFFFFF"/>
        </w:rPr>
        <w:t>000 </w:t>
      </w:r>
      <w:r w:rsidRPr="002249B5">
        <w:rPr>
          <w:rFonts w:cs="Times New Roman"/>
          <w:i/>
          <w:iCs/>
          <w:szCs w:val="24"/>
          <w:shd w:val="clear" w:color="auto" w:fill="FFFFFF"/>
        </w:rPr>
        <w:t>euro</w:t>
      </w:r>
      <w:r>
        <w:rPr>
          <w:rFonts w:cs="Times New Roman"/>
          <w:i/>
          <w:iCs/>
          <w:szCs w:val="24"/>
          <w:shd w:val="clear" w:color="auto" w:fill="FFFFFF"/>
        </w:rPr>
        <w:t>.</w:t>
      </w:r>
    </w:p>
    <w:p w14:paraId="3D8A5FEA" w14:textId="6859712F" w:rsidR="00404692" w:rsidRPr="00B00D41" w:rsidRDefault="009E3CC5" w:rsidP="00404692">
      <w:pPr>
        <w:spacing w:after="120"/>
        <w:ind w:firstLine="709"/>
        <w:jc w:val="center"/>
        <w:rPr>
          <w:rFonts w:cs="Times New Roman"/>
          <w:sz w:val="22"/>
          <w:szCs w:val="24"/>
        </w:rPr>
      </w:pPr>
      <w:r>
        <w:rPr>
          <w:rFonts w:cs="Times New Roman"/>
          <w:sz w:val="22"/>
          <w:szCs w:val="24"/>
        </w:rPr>
        <w:t>19</w:t>
      </w:r>
      <w:r w:rsidR="00404692" w:rsidRPr="00B00D41">
        <w:rPr>
          <w:rFonts w:cs="Times New Roman"/>
          <w:sz w:val="22"/>
          <w:szCs w:val="24"/>
        </w:rPr>
        <w:t>. tab</w:t>
      </w:r>
      <w:r w:rsidR="00404692" w:rsidRPr="00B00D41">
        <w:rPr>
          <w:rFonts w:cs="Times New Roman"/>
          <w:bCs/>
          <w:sz w:val="22"/>
          <w:szCs w:val="24"/>
        </w:rPr>
        <w:t xml:space="preserve">. </w:t>
      </w:r>
      <w:r w:rsidR="00404692" w:rsidRPr="00B00D41">
        <w:rPr>
          <w:rFonts w:cs="Times New Roman"/>
          <w:b/>
          <w:sz w:val="22"/>
          <w:szCs w:val="24"/>
        </w:rPr>
        <w:t>Priekšlikuma indikatīva fiskālā ietekme</w:t>
      </w:r>
      <w:r w:rsidR="00404692" w:rsidRPr="00B00D41">
        <w:rPr>
          <w:rFonts w:cs="Times New Roman"/>
          <w:bCs/>
          <w:sz w:val="22"/>
          <w:szCs w:val="24"/>
        </w:rPr>
        <w:t xml:space="preserve">, </w:t>
      </w:r>
      <w:r w:rsidR="00404692" w:rsidRPr="00B00D41">
        <w:rPr>
          <w:rFonts w:cs="Times New Roman"/>
          <w:bCs/>
          <w:i/>
          <w:iCs/>
          <w:sz w:val="22"/>
          <w:szCs w:val="24"/>
        </w:rPr>
        <w:t>milj. euro</w:t>
      </w:r>
    </w:p>
    <w:tbl>
      <w:tblPr>
        <w:tblStyle w:val="TableGrid"/>
        <w:tblW w:w="9067" w:type="dxa"/>
        <w:tblInd w:w="5" w:type="dxa"/>
        <w:tblLook w:val="04A0" w:firstRow="1" w:lastRow="0" w:firstColumn="1" w:lastColumn="0" w:noHBand="0" w:noVBand="1"/>
      </w:tblPr>
      <w:tblGrid>
        <w:gridCol w:w="4390"/>
        <w:gridCol w:w="1559"/>
        <w:gridCol w:w="1559"/>
        <w:gridCol w:w="1559"/>
      </w:tblGrid>
      <w:tr w:rsidR="00404692" w:rsidRPr="00B00D41" w14:paraId="53F5AE7C" w14:textId="77777777" w:rsidTr="008525A1">
        <w:tc>
          <w:tcPr>
            <w:tcW w:w="4390" w:type="dxa"/>
            <w:tcBorders>
              <w:top w:val="nil"/>
              <w:left w:val="nil"/>
              <w:bottom w:val="single" w:sz="12" w:space="0" w:color="auto"/>
              <w:right w:val="nil"/>
            </w:tcBorders>
          </w:tcPr>
          <w:p w14:paraId="008E666F" w14:textId="77777777" w:rsidR="00404692" w:rsidRPr="00B00D41" w:rsidRDefault="00404692" w:rsidP="008525A1">
            <w:pPr>
              <w:pStyle w:val="ListParagraph"/>
              <w:spacing w:before="0" w:after="0"/>
              <w:ind w:left="0" w:firstLine="0"/>
              <w:contextualSpacing w:val="0"/>
              <w:jc w:val="center"/>
              <w:rPr>
                <w:rFonts w:ascii="Times New Roman" w:hAnsi="Times New Roman"/>
                <w:b/>
                <w:bCs/>
                <w:sz w:val="20"/>
                <w:szCs w:val="20"/>
              </w:rPr>
            </w:pPr>
          </w:p>
        </w:tc>
        <w:tc>
          <w:tcPr>
            <w:tcW w:w="1559" w:type="dxa"/>
            <w:tcBorders>
              <w:top w:val="nil"/>
              <w:left w:val="nil"/>
              <w:bottom w:val="single" w:sz="12" w:space="0" w:color="auto"/>
              <w:right w:val="nil"/>
            </w:tcBorders>
            <w:vAlign w:val="bottom"/>
          </w:tcPr>
          <w:p w14:paraId="71FC5C4E" w14:textId="77777777" w:rsidR="00404692" w:rsidRPr="00B00D41" w:rsidRDefault="00404692" w:rsidP="008525A1">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2024</w:t>
            </w:r>
          </w:p>
        </w:tc>
        <w:tc>
          <w:tcPr>
            <w:tcW w:w="1559" w:type="dxa"/>
            <w:tcBorders>
              <w:top w:val="nil"/>
              <w:left w:val="nil"/>
              <w:bottom w:val="single" w:sz="12" w:space="0" w:color="auto"/>
              <w:right w:val="nil"/>
            </w:tcBorders>
            <w:vAlign w:val="bottom"/>
          </w:tcPr>
          <w:p w14:paraId="796E0E13" w14:textId="77777777" w:rsidR="00404692" w:rsidRPr="00B00D41" w:rsidRDefault="00404692" w:rsidP="008525A1">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2025</w:t>
            </w:r>
          </w:p>
        </w:tc>
        <w:tc>
          <w:tcPr>
            <w:tcW w:w="1559" w:type="dxa"/>
            <w:tcBorders>
              <w:top w:val="nil"/>
              <w:left w:val="nil"/>
              <w:bottom w:val="single" w:sz="12" w:space="0" w:color="auto"/>
              <w:right w:val="nil"/>
            </w:tcBorders>
            <w:vAlign w:val="bottom"/>
          </w:tcPr>
          <w:p w14:paraId="0E1EF04F" w14:textId="77777777" w:rsidR="00404692" w:rsidRPr="00B00D41" w:rsidRDefault="00404692" w:rsidP="008525A1">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2026</w:t>
            </w:r>
          </w:p>
        </w:tc>
      </w:tr>
      <w:tr w:rsidR="00404692" w:rsidRPr="00B00D41" w14:paraId="65D79742" w14:textId="77777777" w:rsidTr="008525A1">
        <w:tc>
          <w:tcPr>
            <w:tcW w:w="4390" w:type="dxa"/>
            <w:tcBorders>
              <w:top w:val="single" w:sz="12" w:space="0" w:color="auto"/>
            </w:tcBorders>
          </w:tcPr>
          <w:p w14:paraId="1333B633" w14:textId="77777777" w:rsidR="00404692" w:rsidRPr="00B00D41" w:rsidRDefault="00404692" w:rsidP="008525A1">
            <w:pPr>
              <w:pStyle w:val="ListParagraph"/>
              <w:spacing w:before="0" w:after="0"/>
              <w:ind w:left="0" w:firstLine="0"/>
              <w:contextualSpacing w:val="0"/>
              <w:rPr>
                <w:rFonts w:ascii="Times New Roman" w:hAnsi="Times New Roman"/>
                <w:sz w:val="20"/>
                <w:szCs w:val="20"/>
              </w:rPr>
            </w:pPr>
            <w:r w:rsidRPr="00B00D41">
              <w:rPr>
                <w:rFonts w:ascii="Times New Roman" w:hAnsi="Times New Roman"/>
                <w:sz w:val="20"/>
                <w:szCs w:val="20"/>
              </w:rPr>
              <w:t>PVN ieņēmumi</w:t>
            </w:r>
          </w:p>
        </w:tc>
        <w:tc>
          <w:tcPr>
            <w:tcW w:w="1559" w:type="dxa"/>
            <w:tcBorders>
              <w:top w:val="single" w:sz="12" w:space="0" w:color="auto"/>
            </w:tcBorders>
          </w:tcPr>
          <w:p w14:paraId="41E16C43" w14:textId="75F0279B" w:rsidR="00404692" w:rsidRPr="00B00D41" w:rsidRDefault="00404692" w:rsidP="008525A1">
            <w:pPr>
              <w:pStyle w:val="ListParagraph"/>
              <w:spacing w:before="0" w:after="0"/>
              <w:ind w:left="0" w:firstLine="0"/>
              <w:contextualSpacing w:val="0"/>
              <w:jc w:val="center"/>
              <w:rPr>
                <w:rFonts w:ascii="Times New Roman" w:hAnsi="Times New Roman"/>
                <w:sz w:val="20"/>
                <w:szCs w:val="20"/>
              </w:rPr>
            </w:pPr>
            <w:r>
              <w:rPr>
                <w:rFonts w:ascii="Times New Roman" w:hAnsi="Times New Roman"/>
                <w:sz w:val="20"/>
                <w:szCs w:val="20"/>
              </w:rPr>
              <w:t>-4,6</w:t>
            </w:r>
          </w:p>
        </w:tc>
        <w:tc>
          <w:tcPr>
            <w:tcW w:w="1559" w:type="dxa"/>
            <w:tcBorders>
              <w:top w:val="single" w:sz="12" w:space="0" w:color="auto"/>
            </w:tcBorders>
          </w:tcPr>
          <w:p w14:paraId="000326DA" w14:textId="2761EA93" w:rsidR="00404692" w:rsidRPr="00B00D41" w:rsidRDefault="00404692" w:rsidP="008525A1">
            <w:pPr>
              <w:pStyle w:val="ListParagraph"/>
              <w:spacing w:before="0" w:after="0"/>
              <w:ind w:left="0" w:firstLine="0"/>
              <w:contextualSpacing w:val="0"/>
              <w:jc w:val="center"/>
              <w:rPr>
                <w:rFonts w:ascii="Times New Roman" w:hAnsi="Times New Roman"/>
                <w:sz w:val="20"/>
                <w:szCs w:val="20"/>
              </w:rPr>
            </w:pPr>
            <w:r>
              <w:rPr>
                <w:rFonts w:ascii="Times New Roman" w:hAnsi="Times New Roman"/>
                <w:sz w:val="20"/>
                <w:szCs w:val="20"/>
              </w:rPr>
              <w:t>-4,6</w:t>
            </w:r>
          </w:p>
        </w:tc>
        <w:tc>
          <w:tcPr>
            <w:tcW w:w="1559" w:type="dxa"/>
            <w:tcBorders>
              <w:top w:val="single" w:sz="12" w:space="0" w:color="auto"/>
            </w:tcBorders>
          </w:tcPr>
          <w:p w14:paraId="13F62AE0" w14:textId="0BB11D33" w:rsidR="00404692" w:rsidRPr="00B00D41" w:rsidRDefault="00404692" w:rsidP="008525A1">
            <w:pPr>
              <w:pStyle w:val="ListParagraph"/>
              <w:spacing w:before="0" w:after="0"/>
              <w:ind w:left="0" w:firstLine="0"/>
              <w:contextualSpacing w:val="0"/>
              <w:jc w:val="center"/>
              <w:rPr>
                <w:rFonts w:ascii="Times New Roman" w:hAnsi="Times New Roman"/>
                <w:sz w:val="20"/>
                <w:szCs w:val="20"/>
              </w:rPr>
            </w:pPr>
            <w:r>
              <w:rPr>
                <w:rFonts w:ascii="Times New Roman" w:hAnsi="Times New Roman"/>
                <w:sz w:val="20"/>
                <w:szCs w:val="20"/>
              </w:rPr>
              <w:t>-4,6</w:t>
            </w:r>
          </w:p>
        </w:tc>
      </w:tr>
      <w:tr w:rsidR="00404692" w:rsidRPr="00B00D41" w14:paraId="2168814E" w14:textId="77777777" w:rsidTr="008525A1">
        <w:tc>
          <w:tcPr>
            <w:tcW w:w="4390" w:type="dxa"/>
            <w:shd w:val="clear" w:color="auto" w:fill="F2F2F2" w:themeFill="background1" w:themeFillShade="F2"/>
          </w:tcPr>
          <w:p w14:paraId="77D581E9" w14:textId="77777777" w:rsidR="00404692" w:rsidRPr="00B00D41" w:rsidRDefault="00404692" w:rsidP="008525A1">
            <w:pPr>
              <w:pStyle w:val="ListParagraph"/>
              <w:spacing w:before="0" w:after="0"/>
              <w:ind w:left="0" w:firstLine="0"/>
              <w:contextualSpacing w:val="0"/>
              <w:jc w:val="right"/>
              <w:rPr>
                <w:rFonts w:ascii="Times New Roman" w:hAnsi="Times New Roman"/>
                <w:b/>
                <w:bCs/>
                <w:sz w:val="20"/>
                <w:szCs w:val="20"/>
              </w:rPr>
            </w:pPr>
            <w:r w:rsidRPr="00B00D41">
              <w:rPr>
                <w:rFonts w:ascii="Times New Roman" w:hAnsi="Times New Roman"/>
                <w:b/>
                <w:bCs/>
                <w:sz w:val="20"/>
                <w:szCs w:val="20"/>
              </w:rPr>
              <w:t>Kopā:</w:t>
            </w:r>
          </w:p>
        </w:tc>
        <w:tc>
          <w:tcPr>
            <w:tcW w:w="1559" w:type="dxa"/>
            <w:shd w:val="clear" w:color="auto" w:fill="F2F2F2" w:themeFill="background1" w:themeFillShade="F2"/>
          </w:tcPr>
          <w:p w14:paraId="54E5CC7E" w14:textId="7B106D73" w:rsidR="00404692" w:rsidRPr="00404692" w:rsidRDefault="00404692" w:rsidP="008525A1">
            <w:pPr>
              <w:pStyle w:val="ListParagraph"/>
              <w:spacing w:before="0" w:after="0"/>
              <w:ind w:left="0" w:firstLine="0"/>
              <w:contextualSpacing w:val="0"/>
              <w:jc w:val="center"/>
              <w:rPr>
                <w:rFonts w:ascii="Times New Roman" w:hAnsi="Times New Roman"/>
                <w:b/>
                <w:bCs/>
                <w:sz w:val="20"/>
                <w:szCs w:val="20"/>
              </w:rPr>
            </w:pPr>
            <w:r w:rsidRPr="00404692">
              <w:rPr>
                <w:rFonts w:ascii="Times New Roman" w:hAnsi="Times New Roman"/>
                <w:b/>
                <w:sz w:val="20"/>
                <w:szCs w:val="20"/>
              </w:rPr>
              <w:t>-4,6</w:t>
            </w:r>
          </w:p>
        </w:tc>
        <w:tc>
          <w:tcPr>
            <w:tcW w:w="1559" w:type="dxa"/>
            <w:shd w:val="clear" w:color="auto" w:fill="F2F2F2" w:themeFill="background1" w:themeFillShade="F2"/>
          </w:tcPr>
          <w:p w14:paraId="0EE2D990" w14:textId="153BA45E" w:rsidR="00404692" w:rsidRPr="00404692" w:rsidRDefault="00404692" w:rsidP="008525A1">
            <w:pPr>
              <w:pStyle w:val="ListParagraph"/>
              <w:spacing w:before="0" w:after="0"/>
              <w:ind w:left="0" w:firstLine="0"/>
              <w:contextualSpacing w:val="0"/>
              <w:jc w:val="center"/>
              <w:rPr>
                <w:rFonts w:ascii="Times New Roman" w:hAnsi="Times New Roman"/>
                <w:b/>
                <w:bCs/>
                <w:sz w:val="20"/>
                <w:szCs w:val="20"/>
              </w:rPr>
            </w:pPr>
            <w:r w:rsidRPr="00404692">
              <w:rPr>
                <w:rFonts w:ascii="Times New Roman" w:hAnsi="Times New Roman"/>
                <w:b/>
                <w:sz w:val="20"/>
                <w:szCs w:val="20"/>
              </w:rPr>
              <w:t>-4,6</w:t>
            </w:r>
          </w:p>
        </w:tc>
        <w:tc>
          <w:tcPr>
            <w:tcW w:w="1559" w:type="dxa"/>
            <w:shd w:val="clear" w:color="auto" w:fill="F2F2F2" w:themeFill="background1" w:themeFillShade="F2"/>
          </w:tcPr>
          <w:p w14:paraId="2FC13059" w14:textId="6B2795C9" w:rsidR="00404692" w:rsidRPr="00404692" w:rsidRDefault="00404692" w:rsidP="008525A1">
            <w:pPr>
              <w:pStyle w:val="ListParagraph"/>
              <w:spacing w:before="0" w:after="0"/>
              <w:ind w:left="0" w:firstLine="0"/>
              <w:contextualSpacing w:val="0"/>
              <w:jc w:val="center"/>
              <w:rPr>
                <w:rFonts w:ascii="Times New Roman" w:hAnsi="Times New Roman"/>
                <w:b/>
                <w:bCs/>
                <w:sz w:val="20"/>
                <w:szCs w:val="20"/>
              </w:rPr>
            </w:pPr>
            <w:r w:rsidRPr="00404692">
              <w:rPr>
                <w:rFonts w:ascii="Times New Roman" w:hAnsi="Times New Roman"/>
                <w:b/>
                <w:sz w:val="20"/>
                <w:szCs w:val="20"/>
              </w:rPr>
              <w:t>-4,6</w:t>
            </w:r>
          </w:p>
        </w:tc>
      </w:tr>
    </w:tbl>
    <w:p w14:paraId="41353EF0" w14:textId="77777777" w:rsidR="00404692" w:rsidRDefault="00404692" w:rsidP="00404692">
      <w:pPr>
        <w:tabs>
          <w:tab w:val="left" w:pos="426"/>
        </w:tabs>
        <w:spacing w:after="120"/>
        <w:ind w:firstLine="0"/>
        <w:rPr>
          <w:rFonts w:cs="Times New Roman"/>
          <w:i/>
          <w:sz w:val="20"/>
          <w:szCs w:val="24"/>
        </w:rPr>
      </w:pPr>
      <w:r w:rsidRPr="00B00D41">
        <w:rPr>
          <w:rFonts w:cs="Times New Roman"/>
          <w:b/>
          <w:bCs/>
          <w:i/>
          <w:sz w:val="20"/>
          <w:szCs w:val="24"/>
        </w:rPr>
        <w:t>Avots</w:t>
      </w:r>
      <w:r w:rsidRPr="00B00D41">
        <w:rPr>
          <w:rFonts w:cs="Times New Roman"/>
          <w:i/>
          <w:sz w:val="20"/>
          <w:szCs w:val="24"/>
        </w:rPr>
        <w:t>: FM aprēķini.</w:t>
      </w:r>
    </w:p>
    <w:p w14:paraId="387FA3FB" w14:textId="77777777" w:rsidR="006D7653" w:rsidRDefault="006D7653" w:rsidP="006D7653">
      <w:pPr>
        <w:ind w:firstLine="0"/>
        <w:rPr>
          <w:rFonts w:cs="Times New Roman"/>
          <w:b/>
          <w:bCs/>
          <w:i/>
          <w:iCs/>
        </w:rPr>
      </w:pPr>
    </w:p>
    <w:p w14:paraId="159CAAA3" w14:textId="77777777" w:rsidR="00963C97" w:rsidRPr="00B00D41" w:rsidRDefault="00963C97" w:rsidP="00404692">
      <w:pPr>
        <w:pStyle w:val="Heading2"/>
      </w:pPr>
      <w:bookmarkStart w:id="78" w:name="_Toc142897063"/>
      <w:r w:rsidRPr="00B00D41">
        <w:t>Uzņēmumu ienākuma nodoklis</w:t>
      </w:r>
      <w:bookmarkEnd w:id="78"/>
    </w:p>
    <w:p w14:paraId="364ADE45" w14:textId="0F702952" w:rsidR="00963C97" w:rsidRPr="00B00D41" w:rsidRDefault="00963C97" w:rsidP="00963C97">
      <w:pPr>
        <w:ind w:firstLine="0"/>
        <w:rPr>
          <w:rFonts w:cs="Times New Roman"/>
        </w:rPr>
      </w:pPr>
      <w:r w:rsidRPr="00B00D41">
        <w:rPr>
          <w:rFonts w:cs="Times New Roman"/>
          <w:b/>
          <w:bCs/>
          <w:i/>
          <w:iCs/>
          <w:u w:val="single"/>
        </w:rPr>
        <w:t>Reprezentatīvo automobiļu degvielas un ekspluatācijas izdevumu ierobežojumu pārskatīšana</w:t>
      </w:r>
    </w:p>
    <w:p w14:paraId="713DD99A" w14:textId="6362501A" w:rsidR="00963C97" w:rsidRPr="00B00D41" w:rsidRDefault="00963C97" w:rsidP="00963C97">
      <w:r w:rsidRPr="00B00D41">
        <w:t xml:space="preserve">Saistībā ar Saeimā 2023. gada 27. aprīlī apstiprinātajiem grozījumiem UIN likumā par  reprezentatīvā automobiļiem noteikto sliekšņa maiņu, </w:t>
      </w:r>
      <w:r w:rsidRPr="00B00D41">
        <w:rPr>
          <w:i/>
          <w:iCs/>
          <w:szCs w:val="24"/>
        </w:rPr>
        <w:t>Valsts nodokļu pamatnostādņu 2024. - 2027. gadam</w:t>
      </w:r>
      <w:r w:rsidRPr="00B00D41">
        <w:rPr>
          <w:szCs w:val="24"/>
        </w:rPr>
        <w:t xml:space="preserve"> izstrādes ietvaros ir izvērtēta iespēja</w:t>
      </w:r>
      <w:r w:rsidRPr="00B00D41">
        <w:t xml:space="preserve"> arī papildus noteikt, ka degvielas un ekspluatācijas izdevumi, kas rodas izmantojot reprezentatīvos automobiļus, kuri ir reģistrēti uzņēmuma valdījumā vai turējumā vairāk kā 60 mēnešus, neveido ar UIN apliekamu objektu.</w:t>
      </w:r>
      <w:r>
        <w:t xml:space="preserve"> Priekšlikuma </w:t>
      </w:r>
      <w:r w:rsidRPr="00972BB6">
        <w:t xml:space="preserve">indikatīvā fiskālā ietekme </w:t>
      </w:r>
      <w:r w:rsidR="00972BB6">
        <w:t xml:space="preserve">parādīta </w:t>
      </w:r>
      <w:r w:rsidR="0072041A" w:rsidRPr="00972BB6">
        <w:t>2</w:t>
      </w:r>
      <w:r w:rsidR="00972BB6">
        <w:t>0</w:t>
      </w:r>
      <w:r w:rsidRPr="00972BB6">
        <w:t>.</w:t>
      </w:r>
      <w:r w:rsidR="0072041A" w:rsidRPr="00972BB6">
        <w:t> </w:t>
      </w:r>
      <w:r w:rsidRPr="00972BB6">
        <w:t>tab</w:t>
      </w:r>
      <w:r w:rsidR="00972BB6">
        <w:t>ulā.</w:t>
      </w:r>
    </w:p>
    <w:p w14:paraId="2BC10847" w14:textId="77777777" w:rsidR="00963C97" w:rsidRPr="00B00D41" w:rsidRDefault="00963C97" w:rsidP="00963C97">
      <w:pPr>
        <w:spacing w:after="0"/>
        <w:ind w:firstLine="709"/>
        <w:rPr>
          <w:rFonts w:cs="Times New Roman"/>
        </w:rPr>
      </w:pPr>
    </w:p>
    <w:p w14:paraId="55CFE98A" w14:textId="77777777" w:rsidR="006D7653" w:rsidRPr="00B00D41" w:rsidRDefault="006D7653" w:rsidP="00BE417A">
      <w:pPr>
        <w:pStyle w:val="Heading2"/>
      </w:pPr>
      <w:bookmarkStart w:id="79" w:name="_Toc142897064"/>
      <w:r w:rsidRPr="00B00D41">
        <w:t>Dabas resursu nodoklis</w:t>
      </w:r>
      <w:bookmarkEnd w:id="79"/>
      <w:r w:rsidRPr="00B00D41">
        <w:t xml:space="preserve"> </w:t>
      </w:r>
    </w:p>
    <w:p w14:paraId="243F2BC6" w14:textId="77777777" w:rsidR="006D7653" w:rsidRPr="00B00D41" w:rsidRDefault="006D7653" w:rsidP="006D7653">
      <w:r w:rsidRPr="00B00D41">
        <w:t xml:space="preserve">DRN mērķis ir veicināt dabas resursu ekonomiski efektīvu izmantošanu, ierobežot vides piesārņošanu, samazināt vidi piesārņojošas produkcijas ražošanu un realizāciju, veicināt jaunu, vidi saudzējošu tehnoloģiju ieviešanu, atbalstīt tautsaimniecības ilgtspējīgu attīstību, kā arī finansiāli nodrošināt vides aizsardzības pasākumus. </w:t>
      </w:r>
    </w:p>
    <w:p w14:paraId="267F2033" w14:textId="77777777" w:rsidR="006D7653" w:rsidRPr="00B00D41" w:rsidRDefault="006D7653" w:rsidP="006D7653">
      <w:pPr>
        <w:rPr>
          <w:rFonts w:cs="Times New Roman"/>
          <w:szCs w:val="24"/>
        </w:rPr>
      </w:pPr>
      <w:r w:rsidRPr="00B00D41">
        <w:rPr>
          <w:rFonts w:cs="Times New Roman"/>
          <w:szCs w:val="24"/>
        </w:rPr>
        <w:t>Dabas resursu nodokļa likumā ir plānoti grozījumi (</w:t>
      </w:r>
      <w:r w:rsidRPr="00B00D41">
        <w:rPr>
          <w:rFonts w:cs="Times New Roman"/>
          <w:b/>
          <w:bCs/>
          <w:szCs w:val="24"/>
        </w:rPr>
        <w:t>22-TA-2444</w:t>
      </w:r>
      <w:r w:rsidRPr="00B00D41">
        <w:rPr>
          <w:rFonts w:cs="Times New Roman"/>
          <w:szCs w:val="24"/>
        </w:rPr>
        <w:t>), kas paredz gan pārskatīt DRN likmes, gan paplašināt DRN apliekamo bāzi. Likumprojekta “</w:t>
      </w:r>
      <w:r w:rsidRPr="00B00D41">
        <w:rPr>
          <w:rFonts w:cs="Times New Roman"/>
          <w:i/>
          <w:iCs/>
          <w:szCs w:val="24"/>
        </w:rPr>
        <w:t>Grozījumi Dabas resursu nodokļa likumā</w:t>
      </w:r>
      <w:r w:rsidRPr="00B00D41">
        <w:rPr>
          <w:rFonts w:cs="Times New Roman"/>
          <w:szCs w:val="24"/>
        </w:rPr>
        <w:t>” mērķis ir veicināt dabas resursu ekonomiski efektīvu izmantošanu un ierobežot vides piesārņošanu.</w:t>
      </w:r>
    </w:p>
    <w:p w14:paraId="76031320" w14:textId="77777777" w:rsidR="006D7653" w:rsidRPr="00B00D41" w:rsidRDefault="006D7653" w:rsidP="006D7653">
      <w:pPr>
        <w:rPr>
          <w:rFonts w:cs="Times New Roman"/>
          <w:szCs w:val="24"/>
        </w:rPr>
      </w:pPr>
      <w:r w:rsidRPr="00B00D41">
        <w:rPr>
          <w:rFonts w:cs="Times New Roman"/>
          <w:szCs w:val="24"/>
        </w:rPr>
        <w:t>Likumprojekts “</w:t>
      </w:r>
      <w:r w:rsidRPr="00B00D41">
        <w:rPr>
          <w:rFonts w:cs="Times New Roman"/>
          <w:i/>
          <w:iCs/>
          <w:szCs w:val="24"/>
        </w:rPr>
        <w:t>Grozījumi Dabas resursu nodokļa likumā</w:t>
      </w:r>
      <w:r w:rsidRPr="00B00D41">
        <w:rPr>
          <w:rFonts w:cs="Times New Roman"/>
          <w:szCs w:val="24"/>
        </w:rPr>
        <w:t xml:space="preserve">” salīdzinājumā ar spēkā esošo paredz: </w:t>
      </w:r>
    </w:p>
    <w:p w14:paraId="6F01A137" w14:textId="77777777" w:rsidR="006D7653" w:rsidRPr="00B00D41" w:rsidRDefault="006D7653" w:rsidP="006D7653">
      <w:pPr>
        <w:pStyle w:val="ListParagraph"/>
        <w:numPr>
          <w:ilvl w:val="0"/>
          <w:numId w:val="12"/>
        </w:numPr>
        <w:ind w:left="470" w:hanging="357"/>
        <w:contextualSpacing w:val="0"/>
        <w:rPr>
          <w:rFonts w:ascii="Times New Roman" w:hAnsi="Times New Roman"/>
          <w:sz w:val="24"/>
          <w:szCs w:val="24"/>
        </w:rPr>
      </w:pPr>
      <w:r w:rsidRPr="00B00D41">
        <w:rPr>
          <w:rFonts w:ascii="Times New Roman" w:hAnsi="Times New Roman"/>
          <w:sz w:val="24"/>
          <w:szCs w:val="24"/>
        </w:rPr>
        <w:t>noteikt jaunus DRN objektus:</w:t>
      </w:r>
    </w:p>
    <w:p w14:paraId="2C92BF15" w14:textId="77777777" w:rsidR="006D7653" w:rsidRPr="00B00D41" w:rsidRDefault="006D7653" w:rsidP="006D7653">
      <w:pPr>
        <w:pStyle w:val="ListParagraph"/>
        <w:numPr>
          <w:ilvl w:val="0"/>
          <w:numId w:val="7"/>
        </w:numPr>
        <w:ind w:left="924" w:hanging="357"/>
        <w:contextualSpacing w:val="0"/>
        <w:rPr>
          <w:rFonts w:ascii="Times New Roman" w:hAnsi="Times New Roman"/>
          <w:sz w:val="24"/>
          <w:szCs w:val="24"/>
        </w:rPr>
      </w:pPr>
      <w:r w:rsidRPr="00B00D41">
        <w:rPr>
          <w:rFonts w:ascii="Times New Roman" w:hAnsi="Times New Roman"/>
          <w:sz w:val="24"/>
          <w:szCs w:val="24"/>
        </w:rPr>
        <w:t>ogļūdeņražu ieguve;</w:t>
      </w:r>
    </w:p>
    <w:p w14:paraId="14B94519" w14:textId="77777777" w:rsidR="006D7653" w:rsidRPr="00B00D41" w:rsidRDefault="006D7653" w:rsidP="006D7653">
      <w:pPr>
        <w:pStyle w:val="ListParagraph"/>
        <w:numPr>
          <w:ilvl w:val="0"/>
          <w:numId w:val="7"/>
        </w:numPr>
        <w:ind w:left="924" w:hanging="357"/>
        <w:contextualSpacing w:val="0"/>
        <w:rPr>
          <w:rFonts w:ascii="Times New Roman" w:hAnsi="Times New Roman"/>
          <w:sz w:val="24"/>
          <w:szCs w:val="24"/>
        </w:rPr>
      </w:pPr>
      <w:r w:rsidRPr="00B00D41">
        <w:rPr>
          <w:rFonts w:ascii="Times New Roman" w:hAnsi="Times New Roman"/>
          <w:sz w:val="24"/>
          <w:szCs w:val="24"/>
        </w:rPr>
        <w:t>tekstilizstrādājumi;</w:t>
      </w:r>
    </w:p>
    <w:p w14:paraId="229C99F7" w14:textId="77777777" w:rsidR="006D7653" w:rsidRPr="00B00D41" w:rsidRDefault="006D7653" w:rsidP="006D7653">
      <w:pPr>
        <w:pStyle w:val="ListParagraph"/>
        <w:numPr>
          <w:ilvl w:val="0"/>
          <w:numId w:val="7"/>
        </w:numPr>
        <w:ind w:left="924" w:hanging="357"/>
        <w:contextualSpacing w:val="0"/>
        <w:rPr>
          <w:rFonts w:ascii="Times New Roman" w:hAnsi="Times New Roman"/>
          <w:sz w:val="24"/>
          <w:szCs w:val="24"/>
        </w:rPr>
      </w:pPr>
      <w:r w:rsidRPr="00B00D41">
        <w:rPr>
          <w:rFonts w:ascii="Times New Roman" w:hAnsi="Times New Roman"/>
          <w:sz w:val="24"/>
          <w:szCs w:val="24"/>
        </w:rPr>
        <w:lastRenderedPageBreak/>
        <w:t>plastmasu saturoši izstrādājumi un plastmasu saturoši zvejas rīki, kam nepiemēro ražotāja paplašinātās atbildības sistēmu;</w:t>
      </w:r>
    </w:p>
    <w:p w14:paraId="6CCB4FF3" w14:textId="77777777" w:rsidR="006D7653" w:rsidRPr="00B00D41" w:rsidRDefault="006D7653" w:rsidP="006D7653">
      <w:pPr>
        <w:pStyle w:val="ListParagraph"/>
        <w:numPr>
          <w:ilvl w:val="0"/>
          <w:numId w:val="7"/>
        </w:numPr>
        <w:ind w:left="924" w:hanging="357"/>
        <w:contextualSpacing w:val="0"/>
        <w:rPr>
          <w:rFonts w:ascii="Times New Roman" w:hAnsi="Times New Roman"/>
          <w:sz w:val="24"/>
          <w:szCs w:val="24"/>
        </w:rPr>
      </w:pPr>
      <w:r w:rsidRPr="00B00D41">
        <w:rPr>
          <w:rFonts w:ascii="Times New Roman" w:hAnsi="Times New Roman"/>
          <w:sz w:val="24"/>
          <w:szCs w:val="24"/>
        </w:rPr>
        <w:t xml:space="preserve">riepas, ar ko ir aprīkoti transportlīdzekļi </w:t>
      </w:r>
    </w:p>
    <w:p w14:paraId="4EC71875" w14:textId="77777777" w:rsidR="006D7653" w:rsidRPr="00B00D41" w:rsidRDefault="006D7653" w:rsidP="006D7653">
      <w:pPr>
        <w:pStyle w:val="ListParagraph"/>
        <w:numPr>
          <w:ilvl w:val="0"/>
          <w:numId w:val="7"/>
        </w:numPr>
        <w:ind w:left="924" w:hanging="357"/>
        <w:contextualSpacing w:val="0"/>
        <w:rPr>
          <w:rFonts w:ascii="Times New Roman" w:hAnsi="Times New Roman"/>
          <w:sz w:val="24"/>
          <w:szCs w:val="24"/>
        </w:rPr>
      </w:pPr>
      <w:r w:rsidRPr="00B00D41">
        <w:rPr>
          <w:rFonts w:ascii="Times New Roman" w:hAnsi="Times New Roman"/>
          <w:sz w:val="24"/>
          <w:szCs w:val="24"/>
        </w:rPr>
        <w:t>plastmasas iepakojums un kompozīta iepakojuma sastāvā esošās plastmasas daudzums, kas pārskata periodā nav pārstrādāts vai reģenerēts;</w:t>
      </w:r>
    </w:p>
    <w:p w14:paraId="47023205" w14:textId="77777777" w:rsidR="006D7653" w:rsidRPr="00B00D41" w:rsidRDefault="006D7653" w:rsidP="006D7653">
      <w:pPr>
        <w:pStyle w:val="ListParagraph"/>
        <w:numPr>
          <w:ilvl w:val="0"/>
          <w:numId w:val="12"/>
        </w:numPr>
        <w:ind w:left="470" w:hanging="357"/>
        <w:contextualSpacing w:val="0"/>
        <w:rPr>
          <w:rFonts w:ascii="Times New Roman" w:hAnsi="Times New Roman"/>
          <w:sz w:val="24"/>
          <w:szCs w:val="24"/>
        </w:rPr>
      </w:pPr>
      <w:r w:rsidRPr="00B00D41">
        <w:rPr>
          <w:rFonts w:ascii="Times New Roman" w:hAnsi="Times New Roman"/>
          <w:sz w:val="24"/>
          <w:szCs w:val="24"/>
        </w:rPr>
        <w:t>papildināt nosacījumus atbrīvojuma no DRN samaksas piemērošanai attiecībā uz iepakojumu no plastmasas un kompozīta iepakojumu, noteikt paaugstinātas DRN likmes iepakojumam no putu polistirola  un  putuplasta izejmateriāliem, kā arī noteikt DRN likmi kompozīta kartona iepakojumam kā plastmasas iepakojumam;</w:t>
      </w:r>
    </w:p>
    <w:p w14:paraId="3A45CAC6" w14:textId="77777777" w:rsidR="006D7653" w:rsidRPr="00B00D41" w:rsidRDefault="006D7653" w:rsidP="006D7653">
      <w:pPr>
        <w:pStyle w:val="ListParagraph"/>
        <w:numPr>
          <w:ilvl w:val="0"/>
          <w:numId w:val="12"/>
        </w:numPr>
        <w:ind w:left="470" w:hanging="357"/>
        <w:contextualSpacing w:val="0"/>
        <w:rPr>
          <w:rFonts w:ascii="Times New Roman" w:hAnsi="Times New Roman"/>
          <w:sz w:val="24"/>
          <w:szCs w:val="24"/>
        </w:rPr>
      </w:pPr>
      <w:r w:rsidRPr="00B00D41">
        <w:rPr>
          <w:rFonts w:ascii="Times New Roman" w:hAnsi="Times New Roman"/>
          <w:sz w:val="24"/>
          <w:szCs w:val="24"/>
        </w:rPr>
        <w:t>paaugstināt DRN likmes par:</w:t>
      </w:r>
    </w:p>
    <w:p w14:paraId="2280E96B" w14:textId="77777777" w:rsidR="006D7653" w:rsidRPr="00B00D41" w:rsidRDefault="006D7653" w:rsidP="006D7653">
      <w:pPr>
        <w:pStyle w:val="ListParagraph"/>
        <w:numPr>
          <w:ilvl w:val="0"/>
          <w:numId w:val="7"/>
        </w:numPr>
        <w:ind w:left="924" w:hanging="357"/>
        <w:contextualSpacing w:val="0"/>
        <w:rPr>
          <w:rFonts w:ascii="Times New Roman" w:hAnsi="Times New Roman"/>
          <w:sz w:val="24"/>
          <w:szCs w:val="24"/>
        </w:rPr>
      </w:pPr>
      <w:r w:rsidRPr="00B00D41">
        <w:rPr>
          <w:rFonts w:ascii="Times New Roman" w:hAnsi="Times New Roman"/>
          <w:sz w:val="24"/>
          <w:szCs w:val="24"/>
        </w:rPr>
        <w:t>transportlīdzekļiem;</w:t>
      </w:r>
    </w:p>
    <w:p w14:paraId="46877F65" w14:textId="77777777" w:rsidR="006D7653" w:rsidRPr="00B00D41" w:rsidRDefault="006D7653" w:rsidP="006D7653">
      <w:pPr>
        <w:pStyle w:val="ListParagraph"/>
        <w:numPr>
          <w:ilvl w:val="0"/>
          <w:numId w:val="7"/>
        </w:numPr>
        <w:ind w:left="924" w:hanging="357"/>
        <w:contextualSpacing w:val="0"/>
        <w:rPr>
          <w:rFonts w:ascii="Times New Roman" w:hAnsi="Times New Roman"/>
          <w:sz w:val="24"/>
          <w:szCs w:val="24"/>
        </w:rPr>
      </w:pPr>
      <w:r w:rsidRPr="00B00D41">
        <w:rPr>
          <w:rFonts w:ascii="Times New Roman" w:hAnsi="Times New Roman"/>
          <w:sz w:val="24"/>
          <w:szCs w:val="24"/>
        </w:rPr>
        <w:t>sadzīves un bīstamo atkritumu apglabāšanu;</w:t>
      </w:r>
    </w:p>
    <w:p w14:paraId="572F1125" w14:textId="77777777" w:rsidR="006D7653" w:rsidRPr="00B00D41" w:rsidRDefault="006D7653" w:rsidP="006D7653">
      <w:pPr>
        <w:pStyle w:val="ListParagraph"/>
        <w:numPr>
          <w:ilvl w:val="0"/>
          <w:numId w:val="7"/>
        </w:numPr>
        <w:ind w:left="924" w:hanging="357"/>
        <w:contextualSpacing w:val="0"/>
        <w:rPr>
          <w:rFonts w:ascii="Times New Roman" w:hAnsi="Times New Roman"/>
          <w:sz w:val="24"/>
          <w:szCs w:val="24"/>
        </w:rPr>
      </w:pPr>
      <w:r w:rsidRPr="00B00D41">
        <w:rPr>
          <w:rFonts w:ascii="Times New Roman" w:hAnsi="Times New Roman"/>
          <w:sz w:val="24"/>
          <w:szCs w:val="24"/>
        </w:rPr>
        <w:t>dabas resursu ieguvi;</w:t>
      </w:r>
    </w:p>
    <w:p w14:paraId="43B18EE9" w14:textId="77777777" w:rsidR="006D7653" w:rsidRPr="00B00D41" w:rsidRDefault="006D7653" w:rsidP="006D7653">
      <w:pPr>
        <w:pStyle w:val="ListParagraph"/>
        <w:numPr>
          <w:ilvl w:val="0"/>
          <w:numId w:val="12"/>
        </w:numPr>
        <w:ind w:left="470" w:hanging="357"/>
        <w:contextualSpacing w:val="0"/>
        <w:rPr>
          <w:rFonts w:ascii="Times New Roman" w:hAnsi="Times New Roman"/>
          <w:sz w:val="24"/>
          <w:szCs w:val="24"/>
        </w:rPr>
      </w:pPr>
      <w:r w:rsidRPr="00B00D41">
        <w:rPr>
          <w:rFonts w:ascii="Times New Roman" w:hAnsi="Times New Roman"/>
          <w:sz w:val="24"/>
          <w:szCs w:val="24"/>
        </w:rPr>
        <w:t>precizēt DRN piemērošanas kārtību par:</w:t>
      </w:r>
    </w:p>
    <w:p w14:paraId="0DC44BA7" w14:textId="77777777" w:rsidR="006D7653" w:rsidRPr="00B00D41" w:rsidRDefault="006D7653" w:rsidP="006D7653">
      <w:pPr>
        <w:pStyle w:val="ListParagraph"/>
        <w:numPr>
          <w:ilvl w:val="0"/>
          <w:numId w:val="7"/>
        </w:numPr>
        <w:ind w:left="924" w:hanging="357"/>
        <w:contextualSpacing w:val="0"/>
        <w:rPr>
          <w:rFonts w:ascii="Times New Roman" w:hAnsi="Times New Roman"/>
          <w:sz w:val="24"/>
          <w:szCs w:val="24"/>
        </w:rPr>
      </w:pPr>
      <w:r w:rsidRPr="00B00D41">
        <w:rPr>
          <w:rFonts w:ascii="Times New Roman" w:hAnsi="Times New Roman"/>
          <w:sz w:val="24"/>
          <w:szCs w:val="24"/>
        </w:rPr>
        <w:t>daļiņu PM10 emisiju gaisā, nosakot DRN piemērošanu kopējām putekļu emisijām (PM);</w:t>
      </w:r>
    </w:p>
    <w:p w14:paraId="3E96F253" w14:textId="77777777" w:rsidR="006D7653" w:rsidRPr="00B00D41" w:rsidRDefault="006D7653" w:rsidP="006D7653">
      <w:pPr>
        <w:pStyle w:val="ListParagraph"/>
        <w:numPr>
          <w:ilvl w:val="0"/>
          <w:numId w:val="7"/>
        </w:numPr>
        <w:ind w:left="924" w:hanging="357"/>
        <w:contextualSpacing w:val="0"/>
        <w:rPr>
          <w:rFonts w:ascii="Times New Roman" w:hAnsi="Times New Roman"/>
          <w:sz w:val="24"/>
          <w:szCs w:val="24"/>
        </w:rPr>
      </w:pPr>
      <w:r w:rsidRPr="00B00D41">
        <w:rPr>
          <w:rFonts w:ascii="Times New Roman" w:hAnsi="Times New Roman"/>
          <w:sz w:val="24"/>
          <w:szCs w:val="24"/>
        </w:rPr>
        <w:t>baterijām un akumulatoriem, ievērojot jaunos veidus un formulējumus;</w:t>
      </w:r>
    </w:p>
    <w:p w14:paraId="3FDB3DE2" w14:textId="77777777" w:rsidR="006D7653" w:rsidRPr="00B00D41" w:rsidRDefault="006D7653" w:rsidP="006D7653">
      <w:pPr>
        <w:pStyle w:val="ListParagraph"/>
        <w:numPr>
          <w:ilvl w:val="0"/>
          <w:numId w:val="12"/>
        </w:numPr>
        <w:spacing w:after="120"/>
        <w:ind w:left="470" w:hanging="357"/>
        <w:contextualSpacing w:val="0"/>
        <w:rPr>
          <w:rFonts w:ascii="Times New Roman" w:hAnsi="Times New Roman"/>
          <w:sz w:val="24"/>
          <w:szCs w:val="24"/>
        </w:rPr>
      </w:pPr>
      <w:r w:rsidRPr="00B00D41">
        <w:rPr>
          <w:rFonts w:ascii="Times New Roman" w:hAnsi="Times New Roman"/>
          <w:sz w:val="24"/>
          <w:szCs w:val="24"/>
        </w:rPr>
        <w:t>atcelt atbrīvojumu vienreiz lietojamām plastmasu saturošām glāzēm.</w:t>
      </w:r>
    </w:p>
    <w:p w14:paraId="58E1D7E0" w14:textId="77777777" w:rsidR="006D7653" w:rsidRDefault="006D7653" w:rsidP="006D7653">
      <w:pPr>
        <w:rPr>
          <w:rFonts w:cs="Times New Roman"/>
          <w:szCs w:val="24"/>
        </w:rPr>
      </w:pPr>
      <w:r w:rsidRPr="00B00D41">
        <w:rPr>
          <w:rFonts w:cs="Times New Roman"/>
          <w:szCs w:val="24"/>
        </w:rPr>
        <w:t>DRN izmaiņas, paaugstinot likmes un nosakot jaunus nodokļa</w:t>
      </w:r>
      <w:r w:rsidRPr="00B00D41">
        <w:rPr>
          <w:rFonts w:cs="Times New Roman"/>
          <w:b/>
          <w:bCs/>
          <w:color w:val="FF0000"/>
          <w:szCs w:val="24"/>
        </w:rPr>
        <w:t xml:space="preserve"> </w:t>
      </w:r>
      <w:r w:rsidRPr="00B00D41">
        <w:rPr>
          <w:rFonts w:cs="Times New Roman"/>
          <w:szCs w:val="24"/>
        </w:rPr>
        <w:t>objektus, palielina ieņēmumus budžetā par aptuveni 6 - 26 milj. </w:t>
      </w:r>
      <w:r w:rsidRPr="00B00D41">
        <w:rPr>
          <w:rFonts w:cs="Times New Roman"/>
          <w:i/>
          <w:iCs/>
          <w:szCs w:val="24"/>
        </w:rPr>
        <w:t>euro</w:t>
      </w:r>
      <w:r w:rsidRPr="00B00D41">
        <w:rPr>
          <w:rFonts w:cs="Times New Roman"/>
          <w:szCs w:val="24"/>
        </w:rPr>
        <w:t xml:space="preserve"> jeb 0,01% - 0,05% no IKP.</w:t>
      </w:r>
    </w:p>
    <w:p w14:paraId="7F6A4210" w14:textId="77777777" w:rsidR="002D27A7" w:rsidRPr="00B00D41" w:rsidRDefault="002D27A7" w:rsidP="006D7653">
      <w:pPr>
        <w:rPr>
          <w:rFonts w:cs="Times New Roman"/>
          <w:szCs w:val="24"/>
        </w:rPr>
      </w:pPr>
    </w:p>
    <w:p w14:paraId="6B237EDE" w14:textId="77777777" w:rsidR="006D7653" w:rsidRPr="00B00D41" w:rsidRDefault="006D7653" w:rsidP="006D7653">
      <w:pPr>
        <w:rPr>
          <w:rFonts w:cs="Times New Roman"/>
        </w:rPr>
      </w:pPr>
    </w:p>
    <w:p w14:paraId="6AF962F7" w14:textId="77777777" w:rsidR="0072041A" w:rsidRDefault="0072041A">
      <w:pPr>
        <w:spacing w:before="0" w:after="160" w:line="259" w:lineRule="auto"/>
        <w:ind w:firstLine="0"/>
        <w:jc w:val="left"/>
        <w:rPr>
          <w:rFonts w:eastAsiaTheme="majorEastAsia" w:cstheme="majorBidi"/>
          <w:b/>
          <w:sz w:val="40"/>
          <w:szCs w:val="32"/>
        </w:rPr>
      </w:pPr>
      <w:bookmarkStart w:id="80" w:name="_Toc142477438"/>
      <w:r>
        <w:br w:type="page"/>
      </w:r>
    </w:p>
    <w:p w14:paraId="5A19137A" w14:textId="1809E2B0" w:rsidR="002D27A7" w:rsidRDefault="002D27A7" w:rsidP="00F377B6">
      <w:pPr>
        <w:pStyle w:val="Heading1"/>
      </w:pPr>
      <w:bookmarkStart w:id="81" w:name="_Toc142897065"/>
      <w:r>
        <w:lastRenderedPageBreak/>
        <w:t xml:space="preserve">Banku </w:t>
      </w:r>
      <w:r w:rsidR="009E3CC5">
        <w:t xml:space="preserve">peļņas </w:t>
      </w:r>
      <w:r>
        <w:t>nodoklis</w:t>
      </w:r>
      <w:bookmarkEnd w:id="80"/>
      <w:bookmarkEnd w:id="81"/>
    </w:p>
    <w:p w14:paraId="4B0F1DE1" w14:textId="62FA1F0C" w:rsidR="00963C97" w:rsidRDefault="008F3C5E" w:rsidP="002D27A7">
      <w:pPr>
        <w:rPr>
          <w:rFonts w:cs="Times New Roman"/>
        </w:rPr>
      </w:pPr>
      <w:r>
        <w:t xml:space="preserve">Ņemot vērā </w:t>
      </w:r>
      <w:r w:rsidRPr="003A6501">
        <w:t>netipisku likvīdo līdzekļu pārpalikumu kredītiestādē</w:t>
      </w:r>
      <w:r>
        <w:t>s</w:t>
      </w:r>
      <w:r w:rsidRPr="003A6501">
        <w:t xml:space="preserve"> un kreditēšanas pakalpojumu sniedzējiem, </w:t>
      </w:r>
      <w:r>
        <w:t xml:space="preserve">kā arī nepieciešamību </w:t>
      </w:r>
      <w:r w:rsidRPr="003A6501">
        <w:t>rast papildus valsts budžeta ieņēmumus valsts drošības apdraudējuma novēršanas pasākumu veikšanai</w:t>
      </w:r>
      <w:r>
        <w:rPr>
          <w:rFonts w:cs="Times New Roman"/>
        </w:rPr>
        <w:t>, ir izvērtēti divi i</w:t>
      </w:r>
      <w:r w:rsidR="00963C97" w:rsidRPr="003A6501">
        <w:rPr>
          <w:rFonts w:cs="Times New Roman"/>
        </w:rPr>
        <w:t xml:space="preserve">espējamie nodokļu risinājumi </w:t>
      </w:r>
      <w:r w:rsidR="00F77E31">
        <w:rPr>
          <w:rFonts w:cs="Times New Roman"/>
        </w:rPr>
        <w:t xml:space="preserve">attiecībā uz </w:t>
      </w:r>
      <w:r w:rsidR="00963C97" w:rsidRPr="003A6501">
        <w:rPr>
          <w:rFonts w:cs="Times New Roman"/>
        </w:rPr>
        <w:t>Latvij</w:t>
      </w:r>
      <w:r w:rsidR="00F77E31">
        <w:rPr>
          <w:rFonts w:cs="Times New Roman"/>
        </w:rPr>
        <w:t>as</w:t>
      </w:r>
      <w:r w:rsidR="00963C97" w:rsidRPr="003A6501">
        <w:rPr>
          <w:rFonts w:cs="Times New Roman"/>
        </w:rPr>
        <w:t xml:space="preserve"> </w:t>
      </w:r>
      <w:r w:rsidR="00963C97">
        <w:rPr>
          <w:rFonts w:cs="Times New Roman"/>
        </w:rPr>
        <w:t>finanšu sektor</w:t>
      </w:r>
      <w:r w:rsidR="00F77E31">
        <w:rPr>
          <w:rFonts w:cs="Times New Roman"/>
        </w:rPr>
        <w:t>u</w:t>
      </w:r>
      <w:r w:rsidR="00963C97">
        <w:rPr>
          <w:rFonts w:cs="Times New Roman"/>
        </w:rPr>
        <w:t>:</w:t>
      </w:r>
    </w:p>
    <w:p w14:paraId="1344DD33" w14:textId="498AFDA8" w:rsidR="00963C97" w:rsidRPr="0072041A" w:rsidRDefault="00963C97" w:rsidP="0072041A">
      <w:pPr>
        <w:pStyle w:val="ListParagraph"/>
        <w:numPr>
          <w:ilvl w:val="0"/>
          <w:numId w:val="7"/>
        </w:numPr>
        <w:ind w:left="924" w:hanging="357"/>
        <w:contextualSpacing w:val="0"/>
        <w:rPr>
          <w:rFonts w:ascii="Times New Roman" w:hAnsi="Times New Roman"/>
          <w:sz w:val="24"/>
          <w:szCs w:val="24"/>
        </w:rPr>
      </w:pPr>
      <w:r w:rsidRPr="0072041A">
        <w:rPr>
          <w:rFonts w:ascii="Times New Roman" w:hAnsi="Times New Roman"/>
          <w:sz w:val="24"/>
          <w:szCs w:val="24"/>
        </w:rPr>
        <w:t>A</w:t>
      </w:r>
      <w:r w:rsidR="00BE417A" w:rsidRPr="0072041A">
        <w:rPr>
          <w:rFonts w:ascii="Times New Roman" w:hAnsi="Times New Roman"/>
          <w:sz w:val="24"/>
          <w:szCs w:val="24"/>
        </w:rPr>
        <w:t xml:space="preserve"> variants</w:t>
      </w:r>
      <w:r w:rsidRPr="0072041A">
        <w:rPr>
          <w:rFonts w:ascii="Times New Roman" w:hAnsi="Times New Roman"/>
          <w:sz w:val="24"/>
          <w:szCs w:val="24"/>
        </w:rPr>
        <w:t xml:space="preserve"> – UIN avansa maksājum</w:t>
      </w:r>
      <w:r w:rsidR="00F77E31" w:rsidRPr="0072041A">
        <w:rPr>
          <w:rFonts w:ascii="Times New Roman" w:hAnsi="Times New Roman"/>
          <w:sz w:val="24"/>
          <w:szCs w:val="24"/>
        </w:rPr>
        <w:t>u ieviešanu finanšu sektoram</w:t>
      </w:r>
      <w:r w:rsidRPr="0072041A">
        <w:rPr>
          <w:rFonts w:ascii="Times New Roman" w:hAnsi="Times New Roman"/>
          <w:sz w:val="24"/>
          <w:szCs w:val="24"/>
        </w:rPr>
        <w:t>, vai</w:t>
      </w:r>
    </w:p>
    <w:p w14:paraId="418F5658" w14:textId="5F48F30E" w:rsidR="00963C97" w:rsidRPr="0072041A" w:rsidRDefault="00963C97" w:rsidP="0072041A">
      <w:pPr>
        <w:pStyle w:val="ListParagraph"/>
        <w:numPr>
          <w:ilvl w:val="0"/>
          <w:numId w:val="7"/>
        </w:numPr>
        <w:ind w:left="924" w:hanging="357"/>
        <w:contextualSpacing w:val="0"/>
        <w:rPr>
          <w:rFonts w:ascii="Times New Roman" w:hAnsi="Times New Roman"/>
          <w:sz w:val="24"/>
          <w:szCs w:val="24"/>
        </w:rPr>
      </w:pPr>
      <w:r w:rsidRPr="0072041A">
        <w:rPr>
          <w:rFonts w:ascii="Times New Roman" w:hAnsi="Times New Roman"/>
          <w:sz w:val="24"/>
          <w:szCs w:val="24"/>
        </w:rPr>
        <w:t>B</w:t>
      </w:r>
      <w:r w:rsidR="00BE417A" w:rsidRPr="0072041A">
        <w:rPr>
          <w:rFonts w:ascii="Times New Roman" w:hAnsi="Times New Roman"/>
          <w:sz w:val="24"/>
          <w:szCs w:val="24"/>
        </w:rPr>
        <w:t xml:space="preserve"> variants</w:t>
      </w:r>
      <w:r w:rsidRPr="0072041A">
        <w:rPr>
          <w:rFonts w:ascii="Times New Roman" w:hAnsi="Times New Roman"/>
          <w:sz w:val="24"/>
          <w:szCs w:val="24"/>
        </w:rPr>
        <w:t xml:space="preserve"> </w:t>
      </w:r>
      <w:r w:rsidR="00F77E31" w:rsidRPr="0072041A">
        <w:rPr>
          <w:rFonts w:ascii="Times New Roman" w:hAnsi="Times New Roman"/>
          <w:sz w:val="24"/>
          <w:szCs w:val="24"/>
        </w:rPr>
        <w:t>–</w:t>
      </w:r>
      <w:r w:rsidRPr="0072041A">
        <w:rPr>
          <w:rFonts w:ascii="Times New Roman" w:hAnsi="Times New Roman"/>
          <w:sz w:val="24"/>
          <w:szCs w:val="24"/>
        </w:rPr>
        <w:t xml:space="preserve"> virspeļņas solidaritātes iemaksas noteikšana kredītiestādēm un citiem aizdevējiem.</w:t>
      </w:r>
    </w:p>
    <w:p w14:paraId="0F0D19E0" w14:textId="422CEB53" w:rsidR="002D27A7" w:rsidRPr="006D7653" w:rsidRDefault="002D27A7" w:rsidP="002D27A7">
      <w:pPr>
        <w:rPr>
          <w:szCs w:val="24"/>
        </w:rPr>
      </w:pPr>
      <w:r w:rsidRPr="005E364D">
        <w:rPr>
          <w:rFonts w:cs="Times New Roman"/>
          <w:b/>
          <w:szCs w:val="24"/>
        </w:rPr>
        <w:t>A</w:t>
      </w:r>
      <w:r w:rsidR="00BE417A">
        <w:rPr>
          <w:rFonts w:cs="Times New Roman"/>
          <w:b/>
          <w:szCs w:val="24"/>
        </w:rPr>
        <w:t xml:space="preserve"> variants</w:t>
      </w:r>
      <w:r w:rsidRPr="005E364D">
        <w:rPr>
          <w:rFonts w:cs="Times New Roman"/>
          <w:b/>
          <w:szCs w:val="24"/>
        </w:rPr>
        <w:t xml:space="preserve"> </w:t>
      </w:r>
      <w:r w:rsidR="00963C97">
        <w:rPr>
          <w:rFonts w:cs="Times New Roman"/>
          <w:b/>
          <w:szCs w:val="24"/>
        </w:rPr>
        <w:t>–</w:t>
      </w:r>
      <w:r>
        <w:rPr>
          <w:rFonts w:cs="Times New Roman"/>
          <w:bCs/>
          <w:szCs w:val="24"/>
        </w:rPr>
        <w:t xml:space="preserve"> </w:t>
      </w:r>
      <w:r w:rsidR="008F3C5E">
        <w:rPr>
          <w:rFonts w:cs="Times New Roman"/>
          <w:bCs/>
          <w:szCs w:val="24"/>
        </w:rPr>
        <w:t>g</w:t>
      </w:r>
      <w:r w:rsidR="00963C97">
        <w:rPr>
          <w:rFonts w:cs="Times New Roman"/>
          <w:bCs/>
          <w:szCs w:val="24"/>
        </w:rPr>
        <w:t xml:space="preserve">rozījumi </w:t>
      </w:r>
      <w:r w:rsidR="00963C97" w:rsidRPr="0072041A">
        <w:rPr>
          <w:rFonts w:cs="Times New Roman"/>
          <w:bCs/>
          <w:i/>
          <w:iCs/>
          <w:szCs w:val="24"/>
        </w:rPr>
        <w:t>Uzņēmumu ienākuma nodokļa likumā</w:t>
      </w:r>
      <w:r w:rsidR="00963C97">
        <w:rPr>
          <w:rFonts w:cs="Times New Roman"/>
          <w:bCs/>
          <w:szCs w:val="24"/>
        </w:rPr>
        <w:t xml:space="preserve">, </w:t>
      </w:r>
      <w:r w:rsidR="008F3C5E">
        <w:rPr>
          <w:rFonts w:cs="Times New Roman"/>
          <w:bCs/>
          <w:szCs w:val="24"/>
        </w:rPr>
        <w:t xml:space="preserve">ieviešot </w:t>
      </w:r>
      <w:r w:rsidRPr="006D7653">
        <w:rPr>
          <w:szCs w:val="24"/>
        </w:rPr>
        <w:t xml:space="preserve">UIN avansa maksājumu finanšu sektoram </w:t>
      </w:r>
      <w:r>
        <w:rPr>
          <w:szCs w:val="24"/>
        </w:rPr>
        <w:t>20</w:t>
      </w:r>
      <w:r w:rsidRPr="006D7653">
        <w:rPr>
          <w:szCs w:val="24"/>
        </w:rPr>
        <w:t xml:space="preserve">% </w:t>
      </w:r>
      <w:r>
        <w:rPr>
          <w:szCs w:val="24"/>
        </w:rPr>
        <w:t xml:space="preserve">(20/80) </w:t>
      </w:r>
      <w:r w:rsidRPr="006D7653">
        <w:rPr>
          <w:szCs w:val="24"/>
        </w:rPr>
        <w:t>apmērā no pirmstaksācijas  gadā gūtās peļņas</w:t>
      </w:r>
      <w:r w:rsidR="008F3C5E">
        <w:rPr>
          <w:szCs w:val="24"/>
        </w:rPr>
        <w:t>.</w:t>
      </w:r>
    </w:p>
    <w:p w14:paraId="04A64D1E" w14:textId="63699755" w:rsidR="002D27A7" w:rsidRPr="00BE417A" w:rsidRDefault="002D27A7" w:rsidP="002D27A7">
      <w:r w:rsidRPr="006D7653">
        <w:t xml:space="preserve">Tiek paredzēts noteikt, ka kredītiestādes un kreditēšanas pakalpojumu sniedzēji veic UIN avansa maksājumus  </w:t>
      </w:r>
      <w:r>
        <w:rPr>
          <w:b/>
          <w:bCs/>
        </w:rPr>
        <w:t>20</w:t>
      </w:r>
      <w:r w:rsidRPr="006D7653">
        <w:rPr>
          <w:b/>
          <w:bCs/>
        </w:rPr>
        <w:t>%</w:t>
      </w:r>
      <w:r w:rsidRPr="006D7653">
        <w:t xml:space="preserve"> (</w:t>
      </w:r>
      <w:r>
        <w:t>20/80</w:t>
      </w:r>
      <w:r w:rsidRPr="006D7653">
        <w:t>) apmērā no pirmstaksācijas gadā gūtās peļņas, kas tiek ņemts vērā rezumējošā kārtībā aprēķinot UIN veicot dividenžu sadali</w:t>
      </w:r>
      <w:r>
        <w:t>, saglabājot līdzšinējo FIFO metodi</w:t>
      </w:r>
      <w:r w:rsidRPr="006D7653">
        <w:t>. Tādējādi tiktu nodrošināti regulāri UIN ieņēmumi valsts budžetā, kā arī ieviesti līdzvērtīgi nosacījumi finanšu sektoram starp Baltijas valstīm, ņemot vērā, ka Igaunijā kredītiestādes veic UIN avansa maksājumus 14% (14/86) apmērā, savukārt Lietuvā, sākot ar 2020. gadu, kredītiestādes, ja to ar nodokli apliekamais ienākums pārsniedz 2</w:t>
      </w:r>
      <w:r w:rsidR="0072041A">
        <w:t> </w:t>
      </w:r>
      <w:r w:rsidRPr="006D7653">
        <w:t>miljonus, šim pārsniegumam piemēro papildu 5% likmi (tātad - vispārējai likmei 15% +5%).</w:t>
      </w:r>
      <w:r w:rsidR="00BE417A">
        <w:t xml:space="preserve"> </w:t>
      </w:r>
      <w:r w:rsidR="00BE417A" w:rsidRPr="00BE417A">
        <w:rPr>
          <w:szCs w:val="24"/>
        </w:rPr>
        <w:t>Priekšlikumu indikatīva fiskālā ietekme 2024. gads ~ 140,0 </w:t>
      </w:r>
      <w:r w:rsidR="00BE417A" w:rsidRPr="00BE417A">
        <w:rPr>
          <w:bCs/>
          <w:i/>
          <w:iCs/>
          <w:szCs w:val="24"/>
        </w:rPr>
        <w:t>milj. euro</w:t>
      </w:r>
      <w:r w:rsidR="00BE417A" w:rsidRPr="00BE417A">
        <w:rPr>
          <w:szCs w:val="24"/>
        </w:rPr>
        <w:t>.</w:t>
      </w:r>
      <w:r w:rsidR="007A1257">
        <w:rPr>
          <w:szCs w:val="24"/>
        </w:rPr>
        <w:t xml:space="preserve"> Fiskālais efekts nākamajos gados var samazināties, ņemot vērā banku peļņas potenciālu samazināšanos nākotnē. </w:t>
      </w:r>
    </w:p>
    <w:p w14:paraId="303E6A68" w14:textId="408E276D" w:rsidR="002D27A7" w:rsidRDefault="002D27A7" w:rsidP="002D27A7">
      <w:r w:rsidRPr="005E364D">
        <w:rPr>
          <w:b/>
          <w:bCs/>
        </w:rPr>
        <w:t>B</w:t>
      </w:r>
      <w:r w:rsidR="00BE417A">
        <w:rPr>
          <w:b/>
          <w:bCs/>
        </w:rPr>
        <w:t xml:space="preserve"> variants</w:t>
      </w:r>
      <w:r>
        <w:rPr>
          <w:b/>
          <w:bCs/>
        </w:rPr>
        <w:t xml:space="preserve"> </w:t>
      </w:r>
      <w:r w:rsidR="008F3C5E">
        <w:rPr>
          <w:b/>
          <w:bCs/>
        </w:rPr>
        <w:t>–</w:t>
      </w:r>
      <w:r>
        <w:t xml:space="preserve"> </w:t>
      </w:r>
      <w:r w:rsidR="00BE417A">
        <w:t>i</w:t>
      </w:r>
      <w:r w:rsidR="00F77E31">
        <w:t>zstrādāts j</w:t>
      </w:r>
      <w:r w:rsidR="008F3C5E">
        <w:t xml:space="preserve">auns likums, ar kuru tiek </w:t>
      </w:r>
      <w:r>
        <w:t>i</w:t>
      </w:r>
      <w:r w:rsidRPr="003A6501">
        <w:t>eviest</w:t>
      </w:r>
      <w:r w:rsidR="008F3C5E">
        <w:t>a</w:t>
      </w:r>
      <w:r w:rsidRPr="003A6501">
        <w:t xml:space="preserve"> </w:t>
      </w:r>
      <w:r w:rsidRPr="008D5375">
        <w:rPr>
          <w:u w:val="single"/>
        </w:rPr>
        <w:t>virspeļņas solidaritātes iemaks</w:t>
      </w:r>
      <w:r w:rsidR="008F3C5E">
        <w:rPr>
          <w:u w:val="single"/>
        </w:rPr>
        <w:t>a</w:t>
      </w:r>
      <w:r w:rsidRPr="008D5375">
        <w:rPr>
          <w:u w:val="single"/>
        </w:rPr>
        <w:t xml:space="preserve"> kredītiestādēm un citiem aizdevējiem</w:t>
      </w:r>
      <w:r w:rsidRPr="003A6501">
        <w:t>.</w:t>
      </w:r>
    </w:p>
    <w:p w14:paraId="6584E93A" w14:textId="77777777" w:rsidR="002D27A7" w:rsidRDefault="002D27A7" w:rsidP="002D27A7">
      <w:r>
        <w:t xml:space="preserve">Lietuvā </w:t>
      </w:r>
      <w:r w:rsidRPr="00207DE8">
        <w:t>2023.</w:t>
      </w:r>
      <w:r>
        <w:t> </w:t>
      </w:r>
      <w:r w:rsidRPr="00207DE8">
        <w:t>gada 16.</w:t>
      </w:r>
      <w:r>
        <w:t> </w:t>
      </w:r>
      <w:r w:rsidRPr="00207DE8">
        <w:t>maijā stāj</w:t>
      </w:r>
      <w:r>
        <w:t>ās</w:t>
      </w:r>
      <w:r w:rsidRPr="00207DE8">
        <w:t xml:space="preserve"> spēkā pagaidu solidaritātes iemaksu likums, kas paredz, ka iemaksu bāzei (aprēķināta kā neto procentu ienākumu summa, kas vairāk nekā par 50% pārsniedz iepriekšējo 4 finanšu gadu vidējo neto procentu ienākumu summu) piemēro 60% likmi (veicot avansa maksājumus). Regulējums piemērojams no 2023.</w:t>
      </w:r>
      <w:r>
        <w:t> </w:t>
      </w:r>
      <w:r w:rsidRPr="00207DE8">
        <w:t>gada otrā ceturkšņa līdz 2025.</w:t>
      </w:r>
      <w:r>
        <w:t> </w:t>
      </w:r>
      <w:r w:rsidRPr="00207DE8">
        <w:t>gada 15.</w:t>
      </w:r>
      <w:r>
        <w:t> </w:t>
      </w:r>
      <w:r w:rsidRPr="00207DE8">
        <w:t>jūnijam. Maksājumu veic kredītiestādes un filiāles, kurās Lietuvas rezidentu klientu noguldījumu apjoms ir vismaz 400</w:t>
      </w:r>
      <w:r>
        <w:t> </w:t>
      </w:r>
      <w:r w:rsidRPr="00207DE8">
        <w:t>milj.</w:t>
      </w:r>
      <w:r>
        <w:t> </w:t>
      </w:r>
      <w:r w:rsidRPr="007611E6">
        <w:rPr>
          <w:i/>
          <w:iCs/>
        </w:rPr>
        <w:t>euro</w:t>
      </w:r>
      <w:r w:rsidRPr="00207DE8">
        <w:t xml:space="preserve"> (t.i., 1% no kopējiem iedzīvotāju noguldījumiem)</w:t>
      </w:r>
      <w:r>
        <w:t>.</w:t>
      </w:r>
    </w:p>
    <w:p w14:paraId="36F440EB" w14:textId="77777777" w:rsidR="002D27A7" w:rsidRPr="00860BFF" w:rsidRDefault="002D27A7" w:rsidP="002D27A7">
      <w:pPr>
        <w:rPr>
          <w:bCs/>
          <w:szCs w:val="24"/>
        </w:rPr>
      </w:pPr>
      <w:r w:rsidRPr="00207DE8">
        <w:t>Līdzīgi kā Lietuvas piemērā</w:t>
      </w:r>
      <w:r>
        <w:t xml:space="preserve">, arī Latvijā </w:t>
      </w:r>
      <w:r w:rsidRPr="00207DE8">
        <w:t>nacionālais regulējums paredzētu 60% likmes piemērošanu virspeļņas solidaritātes iemaksu bāzei, kas aprēķināta kā iepriekšējā taksācijas perioda neto procentu ienākums, kas vairāk nekā par 50% pārsniedz vidējo neto procentu ienākumu par laika posmu no 2018.</w:t>
      </w:r>
      <w:r>
        <w:t> </w:t>
      </w:r>
      <w:r w:rsidRPr="00207DE8">
        <w:t>gada 1.</w:t>
      </w:r>
      <w:r>
        <w:t> </w:t>
      </w:r>
      <w:r w:rsidRPr="00207DE8">
        <w:t>janvāra līdz 2022.</w:t>
      </w:r>
      <w:r>
        <w:t> </w:t>
      </w:r>
      <w:r w:rsidRPr="00207DE8">
        <w:t>gada 31.</w:t>
      </w:r>
      <w:r>
        <w:t> </w:t>
      </w:r>
      <w:r w:rsidRPr="00207DE8">
        <w:t xml:space="preserve">decembrim. Minētā </w:t>
      </w:r>
      <w:r>
        <w:t>regulējuma darbības laiks</w:t>
      </w:r>
      <w:r w:rsidRPr="00207DE8">
        <w:t xml:space="preserve"> trīs gadi (2024</w:t>
      </w:r>
      <w:r>
        <w:t xml:space="preserve">. gada 1. janvāris līdz </w:t>
      </w:r>
      <w:r w:rsidRPr="00207DE8">
        <w:t>2026</w:t>
      </w:r>
      <w:r>
        <w:t>. gada 31. decembris</w:t>
      </w:r>
      <w:r w:rsidRPr="00207DE8">
        <w:t>)</w:t>
      </w:r>
      <w:r>
        <w:t xml:space="preserve">, jo banku virspeļņas apmērs, pieaugot depozītu procentu likmēm, sagaidāms, ka varētu būtiski samazināties. </w:t>
      </w:r>
      <w:r w:rsidRPr="00BE417A">
        <w:rPr>
          <w:szCs w:val="24"/>
        </w:rPr>
        <w:t>Priekšlikumu indikatīva fiskālā ietekme 2024. gads ~ 100 - 153 </w:t>
      </w:r>
      <w:r w:rsidRPr="00BE417A">
        <w:rPr>
          <w:bCs/>
          <w:i/>
          <w:iCs/>
          <w:szCs w:val="24"/>
        </w:rPr>
        <w:t>milj. euro,</w:t>
      </w:r>
      <w:r w:rsidRPr="00BE417A">
        <w:rPr>
          <w:szCs w:val="24"/>
        </w:rPr>
        <w:t xml:space="preserve"> 2025. gads ~ 50 - 83</w:t>
      </w:r>
      <w:r w:rsidRPr="00BE417A">
        <w:rPr>
          <w:bCs/>
          <w:szCs w:val="24"/>
        </w:rPr>
        <w:t> milj. </w:t>
      </w:r>
      <w:r w:rsidRPr="00BE417A">
        <w:rPr>
          <w:bCs/>
          <w:i/>
          <w:iCs/>
          <w:szCs w:val="24"/>
        </w:rPr>
        <w:t>euro</w:t>
      </w:r>
      <w:r w:rsidRPr="00BE417A">
        <w:rPr>
          <w:szCs w:val="24"/>
        </w:rPr>
        <w:t>.</w:t>
      </w:r>
      <w:r>
        <w:rPr>
          <w:b/>
          <w:szCs w:val="24"/>
        </w:rPr>
        <w:t xml:space="preserve"> </w:t>
      </w:r>
    </w:p>
    <w:p w14:paraId="1B9E87D4" w14:textId="3EC794FC" w:rsidR="006D7653" w:rsidRPr="006D7653" w:rsidRDefault="00B26954" w:rsidP="00B26954">
      <w:pPr>
        <w:rPr>
          <w:rFonts w:cs="Times New Roman"/>
        </w:rPr>
      </w:pPr>
      <w:r>
        <w:rPr>
          <w:rFonts w:cs="Times New Roman"/>
        </w:rPr>
        <w:t xml:space="preserve">Darba grupa </w:t>
      </w:r>
      <w:r w:rsidR="001861F5">
        <w:rPr>
          <w:rFonts w:cs="Times New Roman"/>
        </w:rPr>
        <w:t>konceptuāli</w:t>
      </w:r>
      <w:r>
        <w:rPr>
          <w:rFonts w:cs="Times New Roman"/>
        </w:rPr>
        <w:t xml:space="preserve"> atbalstīja A varianta virzību. </w:t>
      </w:r>
    </w:p>
    <w:p w14:paraId="5D686CF0" w14:textId="1659839B" w:rsidR="00331D62" w:rsidRPr="006D7653" w:rsidRDefault="00B26954" w:rsidP="00331D62">
      <w:pPr>
        <w:tabs>
          <w:tab w:val="left" w:pos="6946"/>
        </w:tabs>
        <w:rPr>
          <w:rFonts w:cs="Times New Roman"/>
          <w:color w:val="000000"/>
          <w:sz w:val="26"/>
          <w:szCs w:val="26"/>
        </w:rPr>
      </w:pPr>
      <w:bookmarkStart w:id="82" w:name="_Toc49763690"/>
      <w:bookmarkStart w:id="83" w:name="_Toc49763774"/>
      <w:bookmarkStart w:id="84" w:name="_Toc49769213"/>
      <w:bookmarkEnd w:id="82"/>
      <w:bookmarkEnd w:id="83"/>
      <w:bookmarkEnd w:id="84"/>
      <w:r w:rsidRPr="00B26954">
        <w:rPr>
          <w:rFonts w:cs="Times New Roman"/>
        </w:rPr>
        <w:t>Kā jau tika minēts</w:t>
      </w:r>
      <w:r>
        <w:rPr>
          <w:rFonts w:cs="Times New Roman"/>
          <w:i/>
          <w:iCs/>
        </w:rPr>
        <w:t xml:space="preserve">, </w:t>
      </w:r>
      <w:r w:rsidRPr="006D7653">
        <w:rPr>
          <w:rFonts w:cs="Times New Roman"/>
          <w:i/>
          <w:iCs/>
        </w:rPr>
        <w:t>Nodokļu politikas pilnveidošanas koordinēšanas grupa</w:t>
      </w:r>
      <w:r w:rsidRPr="006D7653">
        <w:rPr>
          <w:rFonts w:cs="Times New Roman"/>
        </w:rPr>
        <w:t xml:space="preserve"> turpinās detalizēti izvērtēt iespējamās</w:t>
      </w:r>
      <w:r>
        <w:rPr>
          <w:rFonts w:cs="Times New Roman"/>
        </w:rPr>
        <w:t xml:space="preserve"> nodokļu politikas priekšlikumu</w:t>
      </w:r>
      <w:r w:rsidRPr="006D7653">
        <w:rPr>
          <w:rFonts w:cs="Times New Roman"/>
        </w:rPr>
        <w:t xml:space="preserve"> alternatīvas, lai izaugsmi atbalstošas nodokļu sistēmas izmaiņas varētu iesniegt apstiprināšanai Ministru kabinetā </w:t>
      </w:r>
      <w:r>
        <w:rPr>
          <w:rFonts w:cs="Times New Roman"/>
        </w:rPr>
        <w:t xml:space="preserve">līdz </w:t>
      </w:r>
      <w:r w:rsidRPr="006D7653">
        <w:rPr>
          <w:rFonts w:cs="Times New Roman"/>
        </w:rPr>
        <w:t xml:space="preserve">šā gada </w:t>
      </w:r>
      <w:r>
        <w:rPr>
          <w:rFonts w:cs="Times New Roman"/>
        </w:rPr>
        <w:t>beigām</w:t>
      </w:r>
      <w:r w:rsidRPr="006D7653">
        <w:rPr>
          <w:rFonts w:cs="Times New Roman"/>
        </w:rPr>
        <w:t>.</w:t>
      </w:r>
    </w:p>
    <w:p w14:paraId="2A1FA1C9" w14:textId="77777777" w:rsidR="0072041A" w:rsidRDefault="0072041A" w:rsidP="00331D62">
      <w:pPr>
        <w:tabs>
          <w:tab w:val="left" w:pos="6946"/>
        </w:tabs>
        <w:rPr>
          <w:rFonts w:cs="Times New Roman"/>
          <w:color w:val="000000"/>
          <w:sz w:val="26"/>
          <w:szCs w:val="26"/>
        </w:rPr>
      </w:pPr>
    </w:p>
    <w:p w14:paraId="0A282395" w14:textId="0107FA72" w:rsidR="00331D62" w:rsidRPr="006D7653" w:rsidRDefault="00331D62" w:rsidP="00331D62">
      <w:pPr>
        <w:tabs>
          <w:tab w:val="left" w:pos="6946"/>
        </w:tabs>
        <w:rPr>
          <w:rFonts w:cs="Times New Roman"/>
          <w:color w:val="000000"/>
          <w:sz w:val="26"/>
          <w:szCs w:val="26"/>
        </w:rPr>
      </w:pPr>
      <w:r w:rsidRPr="006D7653">
        <w:rPr>
          <w:rFonts w:cs="Times New Roman"/>
          <w:color w:val="000000"/>
          <w:sz w:val="26"/>
          <w:szCs w:val="26"/>
        </w:rPr>
        <w:t>Finanšu ministrs</w:t>
      </w:r>
      <w:r w:rsidRPr="006D7653">
        <w:rPr>
          <w:rFonts w:cs="Times New Roman"/>
          <w:color w:val="000000"/>
          <w:sz w:val="26"/>
          <w:szCs w:val="26"/>
        </w:rPr>
        <w:tab/>
        <w:t>Arvils Ašeradens</w:t>
      </w:r>
    </w:p>
    <w:p w14:paraId="40E9D04A" w14:textId="77777777" w:rsidR="00331D62" w:rsidRDefault="00331D62" w:rsidP="00331D62">
      <w:pPr>
        <w:ind w:firstLine="0"/>
        <w:rPr>
          <w:rFonts w:eastAsia="Calibri" w:cs="Times New Roman"/>
          <w:b/>
          <w:sz w:val="20"/>
          <w:szCs w:val="20"/>
        </w:rPr>
      </w:pPr>
    </w:p>
    <w:p w14:paraId="362BFBB5" w14:textId="77777777" w:rsidR="000D133D" w:rsidRDefault="000D133D" w:rsidP="00331D62">
      <w:pPr>
        <w:ind w:firstLine="0"/>
        <w:rPr>
          <w:rFonts w:eastAsia="Calibri" w:cs="Times New Roman"/>
          <w:b/>
          <w:sz w:val="14"/>
          <w:szCs w:val="14"/>
        </w:rPr>
      </w:pPr>
    </w:p>
    <w:p w14:paraId="68E46451" w14:textId="77777777" w:rsidR="000D133D" w:rsidRPr="000D133D" w:rsidRDefault="000D133D" w:rsidP="00331D62">
      <w:pPr>
        <w:ind w:firstLine="0"/>
        <w:rPr>
          <w:rFonts w:eastAsia="Calibri" w:cs="Times New Roman"/>
          <w:b/>
          <w:sz w:val="14"/>
          <w:szCs w:val="14"/>
        </w:rPr>
      </w:pPr>
    </w:p>
    <w:p w14:paraId="45D8ADE6" w14:textId="29AF5155" w:rsidR="00604CAD" w:rsidRPr="000D133D" w:rsidRDefault="00604CAD" w:rsidP="000D133D">
      <w:pPr>
        <w:spacing w:before="0" w:after="0"/>
        <w:rPr>
          <w:sz w:val="18"/>
          <w:szCs w:val="18"/>
        </w:rPr>
      </w:pPr>
      <w:r w:rsidRPr="000D133D">
        <w:rPr>
          <w:sz w:val="18"/>
          <w:szCs w:val="18"/>
        </w:rPr>
        <w:t>M.Jaunzeme 27333865</w:t>
      </w:r>
    </w:p>
    <w:p w14:paraId="7BCFC134" w14:textId="2B72265F" w:rsidR="00604CAD" w:rsidRPr="000D133D" w:rsidRDefault="00A66AA4" w:rsidP="000D133D">
      <w:pPr>
        <w:spacing w:before="0" w:after="0"/>
        <w:rPr>
          <w:rFonts w:cs="Times New Roman"/>
          <w:sz w:val="18"/>
          <w:szCs w:val="18"/>
        </w:rPr>
      </w:pPr>
      <w:hyperlink r:id="rId18" w:history="1">
        <w:r w:rsidR="00604CAD" w:rsidRPr="000D133D">
          <w:rPr>
            <w:rStyle w:val="Hyperlink"/>
            <w:sz w:val="18"/>
            <w:szCs w:val="18"/>
          </w:rPr>
          <w:t>madara.jaunzeme@fm.gov.lv</w:t>
        </w:r>
      </w:hyperlink>
      <w:r w:rsidR="00604CAD" w:rsidRPr="000D133D">
        <w:rPr>
          <w:sz w:val="18"/>
          <w:szCs w:val="18"/>
        </w:rPr>
        <w:t xml:space="preserve"> </w:t>
      </w:r>
    </w:p>
    <w:sectPr w:rsidR="00604CAD" w:rsidRPr="000D133D" w:rsidSect="007E1C0A">
      <w:headerReference w:type="first" r:id="rId1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D2590" w14:textId="77777777" w:rsidR="007E1C0A" w:rsidRDefault="007E1C0A" w:rsidP="00331D62">
      <w:pPr>
        <w:spacing w:before="0" w:after="0"/>
      </w:pPr>
      <w:r>
        <w:separator/>
      </w:r>
    </w:p>
  </w:endnote>
  <w:endnote w:type="continuationSeparator" w:id="0">
    <w:p w14:paraId="178174B1" w14:textId="77777777" w:rsidR="007E1C0A" w:rsidRDefault="007E1C0A" w:rsidP="00331D6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1193748"/>
      <w:docPartObj>
        <w:docPartGallery w:val="Page Numbers (Bottom of Page)"/>
        <w:docPartUnique/>
      </w:docPartObj>
    </w:sdtPr>
    <w:sdtEndPr>
      <w:rPr>
        <w:noProof/>
        <w:sz w:val="20"/>
        <w:szCs w:val="20"/>
      </w:rPr>
    </w:sdtEndPr>
    <w:sdtContent>
      <w:p w14:paraId="5B9CC339" w14:textId="14457742" w:rsidR="007E1C0A" w:rsidRPr="001D7C88" w:rsidRDefault="007E1C0A">
        <w:pPr>
          <w:pStyle w:val="Footer"/>
          <w:jc w:val="center"/>
          <w:rPr>
            <w:sz w:val="20"/>
            <w:szCs w:val="20"/>
          </w:rPr>
        </w:pPr>
        <w:r w:rsidRPr="001D7C88">
          <w:rPr>
            <w:sz w:val="20"/>
            <w:szCs w:val="20"/>
          </w:rPr>
          <w:fldChar w:fldCharType="begin"/>
        </w:r>
        <w:r w:rsidRPr="001D7C88">
          <w:rPr>
            <w:sz w:val="20"/>
            <w:szCs w:val="20"/>
          </w:rPr>
          <w:instrText xml:space="preserve"> PAGE   \* MERGEFORMAT </w:instrText>
        </w:r>
        <w:r w:rsidRPr="001D7C88">
          <w:rPr>
            <w:sz w:val="20"/>
            <w:szCs w:val="20"/>
          </w:rPr>
          <w:fldChar w:fldCharType="separate"/>
        </w:r>
        <w:r w:rsidR="003C6679">
          <w:rPr>
            <w:noProof/>
            <w:sz w:val="20"/>
            <w:szCs w:val="20"/>
          </w:rPr>
          <w:t>18</w:t>
        </w:r>
        <w:r w:rsidRPr="001D7C88">
          <w:rPr>
            <w:noProof/>
            <w:sz w:val="20"/>
            <w:szCs w:val="20"/>
          </w:rPr>
          <w:fldChar w:fldCharType="end"/>
        </w:r>
      </w:p>
    </w:sdtContent>
  </w:sdt>
  <w:p w14:paraId="27FA5BEB" w14:textId="77777777" w:rsidR="007E1C0A" w:rsidRPr="00354D24" w:rsidRDefault="007E1C0A" w:rsidP="007E1C0A">
    <w:pPr>
      <w:pStyle w:val="Footer"/>
      <w:rPr>
        <w:sz w:val="18"/>
        <w:szCs w:val="18"/>
      </w:rPr>
    </w:pPr>
    <w:r>
      <w:rPr>
        <w:sz w:val="18"/>
        <w:szCs w:val="18"/>
      </w:rPr>
      <w:t>FMzin_NPP_1508</w:t>
    </w:r>
    <w:r w:rsidRPr="00C96E5C">
      <w:rPr>
        <w:sz w:val="18"/>
        <w:szCs w:val="18"/>
      </w:rPr>
      <w:t>2</w:t>
    </w:r>
    <w:r>
      <w:rPr>
        <w:sz w:val="18"/>
        <w:szCs w:val="18"/>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5A90" w14:textId="77777777" w:rsidR="007E1C0A" w:rsidRPr="00BF2DC1" w:rsidRDefault="007E1C0A" w:rsidP="007E1C0A">
    <w:pPr>
      <w:pStyle w:val="Footer"/>
      <w:ind w:firstLine="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FFD7D" w14:textId="77777777" w:rsidR="007E1C0A" w:rsidRDefault="007E1C0A" w:rsidP="00331D62">
      <w:pPr>
        <w:spacing w:before="0" w:after="0"/>
      </w:pPr>
      <w:r>
        <w:separator/>
      </w:r>
    </w:p>
  </w:footnote>
  <w:footnote w:type="continuationSeparator" w:id="0">
    <w:p w14:paraId="4846F458" w14:textId="77777777" w:rsidR="007E1C0A" w:rsidRDefault="007E1C0A" w:rsidP="00331D62">
      <w:pPr>
        <w:spacing w:before="0" w:after="0"/>
      </w:pPr>
      <w:r>
        <w:continuationSeparator/>
      </w:r>
    </w:p>
  </w:footnote>
  <w:footnote w:id="1">
    <w:p w14:paraId="7B499C82" w14:textId="77777777" w:rsidR="007E1C0A" w:rsidRPr="00FA27EB" w:rsidRDefault="007E1C0A" w:rsidP="00331D62">
      <w:pPr>
        <w:pStyle w:val="FootnoteText"/>
        <w:ind w:firstLine="0"/>
        <w:rPr>
          <w:sz w:val="18"/>
          <w:szCs w:val="18"/>
        </w:rPr>
      </w:pPr>
      <w:r w:rsidRPr="00016C30">
        <w:rPr>
          <w:rStyle w:val="FootnoteReference"/>
          <w:sz w:val="18"/>
          <w:szCs w:val="18"/>
        </w:rPr>
        <w:footnoteRef/>
      </w:r>
      <w:r>
        <w:t xml:space="preserve"> </w:t>
      </w:r>
      <w:r w:rsidRPr="00016C30">
        <w:rPr>
          <w:sz w:val="18"/>
          <w:szCs w:val="18"/>
        </w:rPr>
        <w:t>Vispārējās valdības budžeta izdevumi atbilstoši funkcionālajām kategorijām (</w:t>
      </w:r>
      <w:r w:rsidRPr="00016C30">
        <w:rPr>
          <w:i/>
          <w:iCs/>
          <w:sz w:val="18"/>
          <w:szCs w:val="18"/>
        </w:rPr>
        <w:t>COFOG</w:t>
      </w:r>
      <w:r w:rsidRPr="00016C30">
        <w:rPr>
          <w:sz w:val="18"/>
          <w:szCs w:val="18"/>
        </w:rPr>
        <w:t xml:space="preserve">) nodrošina vienotu valdības izdevumu sistematizēšanu un apkopošanu, kā arī valdības izdevumu salīdzināmību valstu starpā (funkciju griezumā). </w:t>
      </w:r>
    </w:p>
  </w:footnote>
  <w:footnote w:id="2">
    <w:p w14:paraId="2DBED40F" w14:textId="3752687F" w:rsidR="00D62D31" w:rsidRPr="004A541E" w:rsidRDefault="00D62D31" w:rsidP="00D62D31">
      <w:pPr>
        <w:pStyle w:val="FootnoteText"/>
        <w:ind w:firstLine="0"/>
        <w:rPr>
          <w:sz w:val="18"/>
          <w:szCs w:val="18"/>
        </w:rPr>
      </w:pPr>
      <w:r w:rsidRPr="005F6FA5">
        <w:rPr>
          <w:rStyle w:val="FootnoteReference"/>
          <w:sz w:val="18"/>
          <w:szCs w:val="18"/>
        </w:rPr>
        <w:footnoteRef/>
      </w:r>
      <w:r w:rsidRPr="005F6FA5">
        <w:rPr>
          <w:sz w:val="18"/>
          <w:szCs w:val="18"/>
        </w:rPr>
        <w:t xml:space="preserve"> </w:t>
      </w:r>
      <w:r w:rsidR="00643528" w:rsidRPr="004A541E">
        <w:rPr>
          <w:sz w:val="18"/>
          <w:szCs w:val="18"/>
        </w:rPr>
        <w:t>Kompozītā efektīvā vidējā nodokļa likme (EATR) tiek veidota kā vidējais svērtais rādītājs starp dažādiem EATR. Tas ir sintētisks nodokļu politikas</w:t>
      </w:r>
      <w:r w:rsidR="00643528">
        <w:rPr>
          <w:rStyle w:val="rynqvb"/>
          <w:rFonts w:ascii="Roboto" w:hAnsi="Roboto"/>
          <w:color w:val="3C4043"/>
          <w:sz w:val="27"/>
          <w:szCs w:val="27"/>
          <w:shd w:val="clear" w:color="auto" w:fill="F5F5F5"/>
        </w:rPr>
        <w:t xml:space="preserve"> </w:t>
      </w:r>
      <w:r w:rsidR="00643528" w:rsidRPr="004A541E">
        <w:rPr>
          <w:sz w:val="18"/>
          <w:szCs w:val="18"/>
        </w:rPr>
        <w:t>rādītājs, kas atspoguļo vidējo nodokļu iemaksu, ko uzņēmums veic investīciju projektā, gūstot peļņu. Šis</w:t>
      </w:r>
      <w:r w:rsidR="00643528">
        <w:rPr>
          <w:rStyle w:val="rynqvb"/>
          <w:rFonts w:ascii="Roboto" w:hAnsi="Roboto"/>
          <w:color w:val="3C4043"/>
          <w:sz w:val="27"/>
          <w:szCs w:val="27"/>
          <w:shd w:val="clear" w:color="auto" w:fill="F5F5F5"/>
        </w:rPr>
        <w:t xml:space="preserve"> </w:t>
      </w:r>
      <w:r w:rsidR="00643528" w:rsidRPr="004A541E">
        <w:rPr>
          <w:sz w:val="18"/>
          <w:szCs w:val="18"/>
        </w:rPr>
        <w:t>rādītājs tiek izmantots, lai analizētu atsevišķus investīciju lēmumus starp diviem vai vairākiem alternatīviem projektiem.</w:t>
      </w:r>
    </w:p>
  </w:footnote>
  <w:footnote w:id="3">
    <w:p w14:paraId="39D4FB24" w14:textId="7CE3D4AA" w:rsidR="00D30D81" w:rsidRPr="002C4FE5" w:rsidRDefault="00D30D81" w:rsidP="006F407B">
      <w:pPr>
        <w:pStyle w:val="FootnoteText"/>
        <w:ind w:firstLine="0"/>
        <w:rPr>
          <w:rFonts w:eastAsia="Calibri" w:cs="Times New Roman"/>
          <w:color w:val="000000"/>
          <w:kern w:val="2"/>
          <w14:ligatures w14:val="standardContextual"/>
        </w:rPr>
      </w:pPr>
      <w:r w:rsidRPr="006F407B">
        <w:rPr>
          <w:rStyle w:val="FootnoteReference"/>
          <w:sz w:val="18"/>
          <w:szCs w:val="18"/>
        </w:rPr>
        <w:footnoteRef/>
      </w:r>
      <w:r w:rsidRPr="006F407B">
        <w:rPr>
          <w:sz w:val="18"/>
          <w:szCs w:val="18"/>
        </w:rPr>
        <w:t xml:space="preserve"> </w:t>
      </w:r>
      <w:r w:rsidRPr="006F407B">
        <w:rPr>
          <w:rFonts w:eastAsia="Calibri" w:cs="Times New Roman"/>
          <w:color w:val="000000"/>
          <w:kern w:val="2"/>
          <w:sz w:val="18"/>
          <w:szCs w:val="18"/>
          <w14:ligatures w14:val="standardContextual"/>
        </w:rPr>
        <w:t>2023. gada 28. jūlijā iesniegts vienotā tiesību aktu projektu izstrādes un saskaņošanas portālā turpmākai saskaņošanai</w:t>
      </w:r>
      <w:r w:rsidR="003C496E" w:rsidRPr="006F407B">
        <w:rPr>
          <w:rFonts w:eastAsia="Calibri" w:cs="Times New Roman"/>
          <w:color w:val="000000"/>
          <w:kern w:val="2"/>
          <w:sz w:val="18"/>
          <w:szCs w:val="18"/>
          <w14:ligatures w14:val="standardContextual"/>
        </w:rPr>
        <w:t xml:space="preserve"> (23-TA-1903)</w:t>
      </w:r>
    </w:p>
  </w:footnote>
  <w:footnote w:id="4">
    <w:p w14:paraId="525FB8DE" w14:textId="77777777" w:rsidR="007E1C0A" w:rsidRPr="006F407B" w:rsidRDefault="007E1C0A" w:rsidP="00331D62">
      <w:pPr>
        <w:pStyle w:val="FootnoteText"/>
        <w:ind w:firstLine="0"/>
        <w:rPr>
          <w:sz w:val="18"/>
          <w:szCs w:val="18"/>
        </w:rPr>
      </w:pPr>
      <w:r w:rsidRPr="006F407B">
        <w:rPr>
          <w:rStyle w:val="FootnoteReference"/>
          <w:sz w:val="18"/>
          <w:szCs w:val="18"/>
        </w:rPr>
        <w:footnoteRef/>
      </w:r>
      <w:r w:rsidRPr="006F407B">
        <w:rPr>
          <w:sz w:val="18"/>
          <w:szCs w:val="18"/>
        </w:rPr>
        <w:t xml:space="preserve"> </w:t>
      </w:r>
      <w:r w:rsidRPr="006F407B">
        <w:rPr>
          <w:b/>
          <w:bCs/>
          <w:sz w:val="18"/>
          <w:szCs w:val="18"/>
        </w:rPr>
        <w:t>Pieejams</w:t>
      </w:r>
      <w:r w:rsidRPr="006F407B">
        <w:rPr>
          <w:sz w:val="18"/>
          <w:szCs w:val="18"/>
        </w:rPr>
        <w:t xml:space="preserve">: </w:t>
      </w:r>
      <w:hyperlink r:id="rId1" w:history="1">
        <w:r w:rsidRPr="006F407B">
          <w:rPr>
            <w:rStyle w:val="Hyperlink"/>
            <w:sz w:val="18"/>
            <w:szCs w:val="18"/>
          </w:rPr>
          <w:t>https://tapportals.mk.gov.lv/legal_acts/086161d4-4660-4d55-a4e3-def0d860b745</w:t>
        </w:r>
      </w:hyperlink>
      <w:r w:rsidRPr="006F407B">
        <w:rPr>
          <w:sz w:val="18"/>
          <w:szCs w:val="18"/>
        </w:rPr>
        <w:t xml:space="preserve"> </w:t>
      </w:r>
    </w:p>
  </w:footnote>
  <w:footnote w:id="5">
    <w:p w14:paraId="7673DF79" w14:textId="3F673C04" w:rsidR="006A7FAC" w:rsidRDefault="006A7FAC" w:rsidP="009B2656">
      <w:pPr>
        <w:pStyle w:val="FootnoteText"/>
        <w:ind w:firstLine="0"/>
      </w:pPr>
      <w:r w:rsidRPr="009B2656">
        <w:rPr>
          <w:rStyle w:val="FootnoteReference"/>
          <w:sz w:val="18"/>
          <w:szCs w:val="18"/>
        </w:rPr>
        <w:footnoteRef/>
      </w:r>
      <w:r w:rsidRPr="009B2656">
        <w:rPr>
          <w:sz w:val="18"/>
          <w:szCs w:val="18"/>
        </w:rPr>
        <w:t xml:space="preserve"> Pasākumu norādītās fiskālās ietekmes ir indikatīvas un var mainīties atbilstoši faktiskajiem lēmumiem par priekšlikumiem. </w:t>
      </w:r>
    </w:p>
  </w:footnote>
  <w:footnote w:id="6">
    <w:p w14:paraId="0B3A07F0" w14:textId="77777777" w:rsidR="007E1C0A" w:rsidRPr="00974FDA" w:rsidRDefault="007E1C0A" w:rsidP="006D7653">
      <w:pPr>
        <w:pStyle w:val="FootnoteText"/>
        <w:ind w:firstLine="0"/>
        <w:rPr>
          <w:sz w:val="18"/>
          <w:szCs w:val="18"/>
        </w:rPr>
      </w:pPr>
      <w:r w:rsidRPr="00974FDA">
        <w:rPr>
          <w:rStyle w:val="FootnoteReference"/>
          <w:sz w:val="18"/>
          <w:szCs w:val="18"/>
        </w:rPr>
        <w:footnoteRef/>
      </w:r>
      <w:r w:rsidRPr="00974FDA">
        <w:rPr>
          <w:sz w:val="18"/>
          <w:szCs w:val="18"/>
        </w:rPr>
        <w:t xml:space="preserve"> </w:t>
      </w:r>
      <w:r w:rsidRPr="00016C30">
        <w:rPr>
          <w:i/>
          <w:iCs/>
          <w:sz w:val="18"/>
          <w:szCs w:val="18"/>
        </w:rPr>
        <w:t>WHO. „</w:t>
      </w:r>
      <w:r w:rsidRPr="00016C30">
        <w:rPr>
          <w:i/>
          <w:iCs/>
          <w:sz w:val="18"/>
          <w:szCs w:val="18"/>
          <w:lang w:val="en-GB"/>
        </w:rPr>
        <w:t>Best Buys” and other recommended interventions for the prevention and control of noncommunicable diseases</w:t>
      </w:r>
      <w:r>
        <w:rPr>
          <w:sz w:val="18"/>
          <w:szCs w:val="18"/>
        </w:rPr>
        <w:t xml:space="preserve">. </w:t>
      </w:r>
      <w:r w:rsidRPr="00974FDA">
        <w:rPr>
          <w:sz w:val="18"/>
          <w:szCs w:val="18"/>
        </w:rPr>
        <w:t>PVO „</w:t>
      </w:r>
      <w:r w:rsidRPr="00AE2596">
        <w:rPr>
          <w:i/>
          <w:iCs/>
          <w:sz w:val="18"/>
          <w:szCs w:val="18"/>
        </w:rPr>
        <w:t>Labākie pirkumi</w:t>
      </w:r>
      <w:r w:rsidRPr="00974FDA">
        <w:rPr>
          <w:sz w:val="18"/>
          <w:szCs w:val="18"/>
        </w:rPr>
        <w:t>” un citi ieteicamie intervences pasākumi neinfekcijas slimību profilaksei un kontrolei.</w:t>
      </w:r>
    </w:p>
  </w:footnote>
  <w:footnote w:id="7">
    <w:p w14:paraId="18B02B11" w14:textId="77777777" w:rsidR="007E1C0A" w:rsidRPr="009D3541" w:rsidRDefault="007E1C0A" w:rsidP="006D7653">
      <w:pPr>
        <w:pStyle w:val="FootnoteText"/>
        <w:spacing w:before="0" w:after="0"/>
        <w:ind w:firstLine="0"/>
        <w:rPr>
          <w:sz w:val="18"/>
          <w:szCs w:val="18"/>
        </w:rPr>
      </w:pPr>
      <w:r w:rsidRPr="009D3541">
        <w:rPr>
          <w:rStyle w:val="FootnoteReference"/>
          <w:sz w:val="18"/>
          <w:szCs w:val="18"/>
        </w:rPr>
        <w:footnoteRef/>
      </w:r>
      <w:r w:rsidRPr="009D3541">
        <w:rPr>
          <w:sz w:val="18"/>
          <w:szCs w:val="18"/>
        </w:rPr>
        <w:t xml:space="preserve"> </w:t>
      </w:r>
      <w:r w:rsidRPr="009D3541">
        <w:rPr>
          <w:i/>
          <w:iCs/>
          <w:sz w:val="18"/>
          <w:szCs w:val="18"/>
        </w:rPr>
        <w:t>Mikrouzņēmumu nodokļa likuma</w:t>
      </w:r>
      <w:r w:rsidRPr="009D3541">
        <w:rPr>
          <w:sz w:val="18"/>
          <w:szCs w:val="18"/>
        </w:rPr>
        <w:t xml:space="preserve"> 6. panta pirmā daļa. </w:t>
      </w:r>
    </w:p>
  </w:footnote>
  <w:footnote w:id="8">
    <w:p w14:paraId="23F5AE56" w14:textId="77777777" w:rsidR="007E1C0A" w:rsidRDefault="007E1C0A" w:rsidP="008D0D3F">
      <w:pPr>
        <w:pStyle w:val="FootnoteText"/>
        <w:spacing w:before="0" w:after="0"/>
        <w:ind w:firstLine="0"/>
      </w:pPr>
      <w:r w:rsidRPr="00C61B88">
        <w:rPr>
          <w:rStyle w:val="FootnoteReference"/>
          <w:sz w:val="18"/>
          <w:szCs w:val="18"/>
        </w:rPr>
        <w:footnoteRef/>
      </w:r>
      <w:r w:rsidRPr="00C61B88">
        <w:rPr>
          <w:sz w:val="18"/>
          <w:szCs w:val="18"/>
        </w:rPr>
        <w:t xml:space="preserve"> Likuma “</w:t>
      </w:r>
      <w:r w:rsidRPr="00C61B88">
        <w:rPr>
          <w:i/>
          <w:iCs/>
          <w:sz w:val="18"/>
          <w:szCs w:val="18"/>
        </w:rPr>
        <w:t>Par iedzīvotāju ienākuma nodokli</w:t>
      </w:r>
      <w:r w:rsidRPr="00C61B88">
        <w:rPr>
          <w:sz w:val="18"/>
          <w:szCs w:val="18"/>
        </w:rPr>
        <w:t>” 8. panta otrā daļa.</w:t>
      </w:r>
    </w:p>
  </w:footnote>
  <w:footnote w:id="9">
    <w:p w14:paraId="0CDC8C2E" w14:textId="77777777" w:rsidR="007E1C0A" w:rsidRDefault="007E1C0A" w:rsidP="006D7653">
      <w:pPr>
        <w:pStyle w:val="FootnoteText"/>
        <w:spacing w:before="0" w:after="0"/>
        <w:ind w:firstLine="0"/>
      </w:pPr>
      <w:r w:rsidRPr="00C61B88">
        <w:rPr>
          <w:rStyle w:val="FootnoteReference"/>
          <w:sz w:val="18"/>
          <w:szCs w:val="18"/>
        </w:rPr>
        <w:footnoteRef/>
      </w:r>
      <w:r w:rsidRPr="00C61B88">
        <w:rPr>
          <w:sz w:val="18"/>
          <w:szCs w:val="18"/>
        </w:rPr>
        <w:t xml:space="preserve"> Likuma “</w:t>
      </w:r>
      <w:r w:rsidRPr="00C61B88">
        <w:rPr>
          <w:i/>
          <w:iCs/>
          <w:sz w:val="18"/>
          <w:szCs w:val="18"/>
        </w:rPr>
        <w:t>Par iedzīvotāju ienākuma nodokli</w:t>
      </w:r>
      <w:r w:rsidRPr="00C61B88">
        <w:rPr>
          <w:sz w:val="18"/>
          <w:szCs w:val="18"/>
        </w:rPr>
        <w:t>” 8. panta piektā daļa.</w:t>
      </w:r>
    </w:p>
  </w:footnote>
  <w:footnote w:id="10">
    <w:p w14:paraId="2F37F49A" w14:textId="77777777" w:rsidR="007E1C0A" w:rsidRDefault="007E1C0A" w:rsidP="008D0D3F">
      <w:pPr>
        <w:pStyle w:val="FootnoteText"/>
        <w:spacing w:before="0" w:after="0"/>
        <w:ind w:firstLine="0"/>
      </w:pPr>
      <w:r w:rsidRPr="00707A00">
        <w:rPr>
          <w:rStyle w:val="FootnoteReference"/>
          <w:sz w:val="18"/>
          <w:szCs w:val="18"/>
        </w:rPr>
        <w:footnoteRef/>
      </w:r>
      <w:r w:rsidRPr="00707A00">
        <w:rPr>
          <w:sz w:val="18"/>
          <w:szCs w:val="18"/>
        </w:rPr>
        <w:t xml:space="preserve"> Likuma “</w:t>
      </w:r>
      <w:r w:rsidRPr="00707A00">
        <w:rPr>
          <w:i/>
          <w:iCs/>
          <w:sz w:val="18"/>
          <w:szCs w:val="18"/>
        </w:rPr>
        <w:t>Par iedzīvotāju ienākuma nodokli</w:t>
      </w:r>
      <w:r w:rsidRPr="00707A00">
        <w:rPr>
          <w:sz w:val="18"/>
          <w:szCs w:val="18"/>
        </w:rPr>
        <w:t>” 12. panta septītā daļa un 13. panta trešā daļa.</w:t>
      </w:r>
    </w:p>
  </w:footnote>
  <w:footnote w:id="11">
    <w:p w14:paraId="03FA8B58" w14:textId="77777777" w:rsidR="007E1C0A" w:rsidRPr="00C61B88" w:rsidRDefault="007E1C0A" w:rsidP="006D7653">
      <w:pPr>
        <w:pStyle w:val="FootnoteText"/>
        <w:spacing w:before="0" w:after="0"/>
        <w:ind w:firstLine="0"/>
        <w:rPr>
          <w:sz w:val="18"/>
          <w:szCs w:val="18"/>
        </w:rPr>
      </w:pPr>
      <w:r w:rsidRPr="00C61B88">
        <w:rPr>
          <w:rStyle w:val="FootnoteReference"/>
          <w:sz w:val="18"/>
          <w:szCs w:val="18"/>
        </w:rPr>
        <w:footnoteRef/>
      </w:r>
      <w:r w:rsidRPr="00C61B88">
        <w:rPr>
          <w:sz w:val="18"/>
          <w:szCs w:val="18"/>
        </w:rPr>
        <w:t xml:space="preserve"> </w:t>
      </w:r>
      <w:r w:rsidRPr="00C61B88">
        <w:rPr>
          <w:i/>
          <w:iCs/>
          <w:sz w:val="18"/>
          <w:szCs w:val="18"/>
        </w:rPr>
        <w:t>Darba likuma</w:t>
      </w:r>
      <w:r w:rsidRPr="00C61B88">
        <w:rPr>
          <w:sz w:val="18"/>
          <w:szCs w:val="18"/>
        </w:rPr>
        <w:t xml:space="preserve"> 76. panta ceturtā daļa.</w:t>
      </w:r>
    </w:p>
  </w:footnote>
  <w:footnote w:id="12">
    <w:p w14:paraId="3DC05F26" w14:textId="77777777" w:rsidR="007E1C0A" w:rsidRPr="00C61B88" w:rsidRDefault="007E1C0A" w:rsidP="006D7653">
      <w:pPr>
        <w:pStyle w:val="FootnoteText"/>
        <w:spacing w:before="0" w:after="0"/>
        <w:ind w:firstLine="0"/>
        <w:rPr>
          <w:sz w:val="18"/>
          <w:szCs w:val="18"/>
        </w:rPr>
      </w:pPr>
      <w:r w:rsidRPr="00C61B88">
        <w:rPr>
          <w:rStyle w:val="FootnoteReference"/>
          <w:sz w:val="18"/>
          <w:szCs w:val="18"/>
        </w:rPr>
        <w:footnoteRef/>
      </w:r>
      <w:r w:rsidRPr="00C61B88">
        <w:rPr>
          <w:sz w:val="18"/>
          <w:szCs w:val="18"/>
        </w:rPr>
        <w:t xml:space="preserve"> Likuma “</w:t>
      </w:r>
      <w:r w:rsidRPr="00C61B88">
        <w:rPr>
          <w:i/>
          <w:iCs/>
          <w:sz w:val="18"/>
          <w:szCs w:val="18"/>
        </w:rPr>
        <w:t>Par iedzīvotāju ienākuma nodokli</w:t>
      </w:r>
      <w:r w:rsidRPr="00C61B88">
        <w:rPr>
          <w:sz w:val="18"/>
          <w:szCs w:val="18"/>
        </w:rPr>
        <w:t xml:space="preserve">” pārejas noteikumu 159., 160. un 161. punkts. </w:t>
      </w:r>
    </w:p>
  </w:footnote>
  <w:footnote w:id="13">
    <w:p w14:paraId="263047C9" w14:textId="77777777" w:rsidR="007E1C0A" w:rsidRDefault="007E1C0A" w:rsidP="008D0D3F">
      <w:pPr>
        <w:pStyle w:val="FootnoteText"/>
        <w:ind w:firstLine="0"/>
      </w:pPr>
      <w:r w:rsidRPr="00C61B88">
        <w:rPr>
          <w:rStyle w:val="FootnoteReference"/>
          <w:sz w:val="18"/>
          <w:szCs w:val="18"/>
        </w:rPr>
        <w:footnoteRef/>
      </w:r>
      <w:r w:rsidRPr="00C61B88">
        <w:rPr>
          <w:sz w:val="18"/>
          <w:szCs w:val="18"/>
        </w:rPr>
        <w:t xml:space="preserve"> Likuma “</w:t>
      </w:r>
      <w:r w:rsidRPr="00C61B88">
        <w:rPr>
          <w:i/>
          <w:iCs/>
          <w:sz w:val="18"/>
          <w:szCs w:val="18"/>
        </w:rPr>
        <w:t>Par iedzīvotāju ienākuma nodokli</w:t>
      </w:r>
      <w:r w:rsidRPr="00C61B88">
        <w:rPr>
          <w:sz w:val="18"/>
          <w:szCs w:val="18"/>
        </w:rPr>
        <w:t>” 9. panta pirmās daļas 20., 25. un 27. punkts.</w:t>
      </w:r>
    </w:p>
  </w:footnote>
  <w:footnote w:id="14">
    <w:p w14:paraId="253EA717" w14:textId="77777777" w:rsidR="007E1C0A" w:rsidRDefault="007E1C0A" w:rsidP="008D0D3F">
      <w:pPr>
        <w:pStyle w:val="FootnoteText"/>
        <w:spacing w:before="0" w:after="0"/>
        <w:ind w:firstLine="0"/>
      </w:pPr>
      <w:r w:rsidRPr="00C61B88">
        <w:rPr>
          <w:rStyle w:val="FootnoteReference"/>
          <w:sz w:val="18"/>
          <w:szCs w:val="18"/>
        </w:rPr>
        <w:footnoteRef/>
      </w:r>
      <w:r w:rsidRPr="00C61B88">
        <w:rPr>
          <w:sz w:val="18"/>
          <w:szCs w:val="18"/>
        </w:rPr>
        <w:t xml:space="preserve"> Latvijas Brīvo arodbiedrību savienības 2022. gada 8. augusta vēstule Nr. 122/1.</w:t>
      </w:r>
    </w:p>
  </w:footnote>
  <w:footnote w:id="15">
    <w:p w14:paraId="1383CF32" w14:textId="77777777" w:rsidR="007E1C0A" w:rsidRPr="00C61B88" w:rsidRDefault="007E1C0A" w:rsidP="006D7653">
      <w:pPr>
        <w:pStyle w:val="FootnoteText"/>
        <w:spacing w:before="0" w:after="0"/>
        <w:ind w:firstLine="0"/>
        <w:rPr>
          <w:sz w:val="18"/>
          <w:szCs w:val="18"/>
        </w:rPr>
      </w:pPr>
      <w:r w:rsidRPr="00C61B88">
        <w:rPr>
          <w:rStyle w:val="FootnoteReference"/>
          <w:sz w:val="18"/>
          <w:szCs w:val="18"/>
        </w:rPr>
        <w:footnoteRef/>
      </w:r>
      <w:r w:rsidRPr="00C61B88">
        <w:rPr>
          <w:sz w:val="18"/>
          <w:szCs w:val="18"/>
        </w:rPr>
        <w:t xml:space="preserve"> Likuma “</w:t>
      </w:r>
      <w:r w:rsidRPr="00C61B88">
        <w:rPr>
          <w:i/>
          <w:iCs/>
          <w:sz w:val="18"/>
          <w:szCs w:val="18"/>
        </w:rPr>
        <w:t>Par iedzīvotāju ienākuma nodokli</w:t>
      </w:r>
      <w:r w:rsidRPr="00C61B88">
        <w:rPr>
          <w:sz w:val="18"/>
          <w:szCs w:val="18"/>
        </w:rPr>
        <w:t>” 10. panta pirmās daļas 5.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3FF41" w14:textId="77777777" w:rsidR="007E1C0A" w:rsidRPr="008B6757" w:rsidRDefault="007E1C0A">
    <w:pPr>
      <w:pStyle w:val="Header"/>
      <w:rPr>
        <w:b/>
      </w:rPr>
    </w:pPr>
    <w:r w:rsidRPr="008B6757">
      <w:rPr>
        <w:b/>
      </w:rPr>
      <w:ptab w:relativeTo="margin" w:alignment="center" w:leader="none"/>
    </w:r>
    <w:r w:rsidRPr="008B6757">
      <w:rPr>
        <w:b/>
      </w:rP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FAF66" w14:textId="77777777" w:rsidR="007E1C0A" w:rsidRDefault="007E1C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19D9"/>
    <w:multiLevelType w:val="hybridMultilevel"/>
    <w:tmpl w:val="819E147A"/>
    <w:lvl w:ilvl="0" w:tplc="2CDEAD64">
      <w:start w:val="1"/>
      <w:numFmt w:val="bullet"/>
      <w:lvlText w:val="–"/>
      <w:lvlJc w:val="left"/>
      <w:pPr>
        <w:ind w:left="1800" w:hanging="360"/>
      </w:pPr>
      <w:rPr>
        <w:rFonts w:ascii="Calibri" w:hAnsi="Calibri"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 w15:restartNumberingAfterBreak="0">
    <w:nsid w:val="02AC24E3"/>
    <w:multiLevelType w:val="hybridMultilevel"/>
    <w:tmpl w:val="D0BE809E"/>
    <w:lvl w:ilvl="0" w:tplc="28BC0C92">
      <w:start w:val="4"/>
      <w:numFmt w:val="bullet"/>
      <w:lvlText w:val="-"/>
      <w:lvlJc w:val="left"/>
      <w:pPr>
        <w:ind w:left="1080" w:hanging="360"/>
      </w:pPr>
      <w:rPr>
        <w:rFonts w:ascii="Times New Roman" w:eastAsiaTheme="minorHAnsi"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30E5DAE"/>
    <w:multiLevelType w:val="hybridMultilevel"/>
    <w:tmpl w:val="66A8BCBE"/>
    <w:lvl w:ilvl="0" w:tplc="2CDEAD64">
      <w:start w:val="1"/>
      <w:numFmt w:val="bullet"/>
      <w:lvlText w:val="–"/>
      <w:lvlJc w:val="left"/>
      <w:pPr>
        <w:ind w:left="1440" w:hanging="360"/>
      </w:pPr>
      <w:rPr>
        <w:rFonts w:ascii="Calibri" w:hAnsi="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2567115E"/>
    <w:multiLevelType w:val="hybridMultilevel"/>
    <w:tmpl w:val="02328084"/>
    <w:lvl w:ilvl="0" w:tplc="C93806DC">
      <w:numFmt w:val="bullet"/>
      <w:lvlText w:val="–"/>
      <w:lvlJc w:val="left"/>
      <w:pPr>
        <w:ind w:left="777" w:hanging="360"/>
      </w:pPr>
      <w:rPr>
        <w:rFonts w:ascii="Verdana" w:hAnsi="Verdana"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4" w15:restartNumberingAfterBreak="0">
    <w:nsid w:val="27B50688"/>
    <w:multiLevelType w:val="hybridMultilevel"/>
    <w:tmpl w:val="ED8CB74A"/>
    <w:lvl w:ilvl="0" w:tplc="DAB01B5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0B00EFC"/>
    <w:multiLevelType w:val="hybridMultilevel"/>
    <w:tmpl w:val="79FAEB38"/>
    <w:lvl w:ilvl="0" w:tplc="28BC0C92">
      <w:start w:val="4"/>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37160004"/>
    <w:multiLevelType w:val="hybridMultilevel"/>
    <w:tmpl w:val="1A883844"/>
    <w:lvl w:ilvl="0" w:tplc="7BBC76D8">
      <w:start w:val="1"/>
      <w:numFmt w:val="decimal"/>
      <w:pStyle w:val="Heading1"/>
      <w:lvlText w:val="%1."/>
      <w:lvlJc w:val="left"/>
      <w:pPr>
        <w:ind w:left="1211"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04F2458"/>
    <w:multiLevelType w:val="hybridMultilevel"/>
    <w:tmpl w:val="EAE02E54"/>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545D4ABE"/>
    <w:multiLevelType w:val="hybridMultilevel"/>
    <w:tmpl w:val="5D863FC2"/>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55D87C50"/>
    <w:multiLevelType w:val="hybridMultilevel"/>
    <w:tmpl w:val="D0CA8EB6"/>
    <w:lvl w:ilvl="0" w:tplc="28BACC72">
      <w:start w:val="1"/>
      <w:numFmt w:val="decimal"/>
      <w:pStyle w:val="Heading2"/>
      <w:lvlText w:val="6.%1."/>
      <w:lvlJc w:val="left"/>
      <w:pPr>
        <w:ind w:left="53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5F39640F"/>
    <w:multiLevelType w:val="hybridMultilevel"/>
    <w:tmpl w:val="FEDCE72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6620C22"/>
    <w:multiLevelType w:val="hybridMultilevel"/>
    <w:tmpl w:val="2ECEF9C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744D0723"/>
    <w:multiLevelType w:val="hybridMultilevel"/>
    <w:tmpl w:val="E944699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7EE438EF"/>
    <w:multiLevelType w:val="hybridMultilevel"/>
    <w:tmpl w:val="C4A6B196"/>
    <w:lvl w:ilvl="0" w:tplc="2CDEAD64">
      <w:start w:val="1"/>
      <w:numFmt w:val="bullet"/>
      <w:lvlText w:val="–"/>
      <w:lvlJc w:val="left"/>
      <w:pPr>
        <w:ind w:left="1440" w:hanging="360"/>
      </w:pPr>
      <w:rPr>
        <w:rFonts w:ascii="Calibri" w:hAnsi="Calibri"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2128234627">
    <w:abstractNumId w:val="6"/>
  </w:num>
  <w:num w:numId="2" w16cid:durableId="1983381824">
    <w:abstractNumId w:val="6"/>
    <w:lvlOverride w:ilvl="0">
      <w:startOverride w:val="1"/>
    </w:lvlOverride>
  </w:num>
  <w:num w:numId="3" w16cid:durableId="96558907">
    <w:abstractNumId w:val="7"/>
  </w:num>
  <w:num w:numId="4" w16cid:durableId="277223682">
    <w:abstractNumId w:val="3"/>
  </w:num>
  <w:num w:numId="5" w16cid:durableId="2032607222">
    <w:abstractNumId w:val="9"/>
  </w:num>
  <w:num w:numId="6" w16cid:durableId="930890376">
    <w:abstractNumId w:val="4"/>
  </w:num>
  <w:num w:numId="7" w16cid:durableId="1417168088">
    <w:abstractNumId w:val="13"/>
  </w:num>
  <w:num w:numId="8" w16cid:durableId="1540894454">
    <w:abstractNumId w:val="0"/>
  </w:num>
  <w:num w:numId="9" w16cid:durableId="519784080">
    <w:abstractNumId w:val="2"/>
  </w:num>
  <w:num w:numId="10" w16cid:durableId="2112580926">
    <w:abstractNumId w:val="12"/>
  </w:num>
  <w:num w:numId="11" w16cid:durableId="208035297">
    <w:abstractNumId w:val="8"/>
  </w:num>
  <w:num w:numId="12" w16cid:durableId="674386695">
    <w:abstractNumId w:val="10"/>
  </w:num>
  <w:num w:numId="13" w16cid:durableId="405882688">
    <w:abstractNumId w:val="11"/>
  </w:num>
  <w:num w:numId="14" w16cid:durableId="1085760834">
    <w:abstractNumId w:val="5"/>
  </w:num>
  <w:num w:numId="15" w16cid:durableId="1256742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D62"/>
    <w:rsid w:val="00000EA8"/>
    <w:rsid w:val="00046C4F"/>
    <w:rsid w:val="0006342A"/>
    <w:rsid w:val="0007157C"/>
    <w:rsid w:val="00090632"/>
    <w:rsid w:val="000C0776"/>
    <w:rsid w:val="000C1957"/>
    <w:rsid w:val="000D133D"/>
    <w:rsid w:val="000F18DE"/>
    <w:rsid w:val="00117A22"/>
    <w:rsid w:val="00141DDD"/>
    <w:rsid w:val="001861F5"/>
    <w:rsid w:val="00196D9A"/>
    <w:rsid w:val="00215A1B"/>
    <w:rsid w:val="0024284C"/>
    <w:rsid w:val="00246A3F"/>
    <w:rsid w:val="002776DB"/>
    <w:rsid w:val="00295746"/>
    <w:rsid w:val="002B2EF6"/>
    <w:rsid w:val="002B619A"/>
    <w:rsid w:val="002C4FE5"/>
    <w:rsid w:val="002D27A7"/>
    <w:rsid w:val="002D4B86"/>
    <w:rsid w:val="002E49E6"/>
    <w:rsid w:val="00320EDC"/>
    <w:rsid w:val="00324419"/>
    <w:rsid w:val="003250BF"/>
    <w:rsid w:val="00331D62"/>
    <w:rsid w:val="00344D59"/>
    <w:rsid w:val="00370B47"/>
    <w:rsid w:val="00392982"/>
    <w:rsid w:val="003C496E"/>
    <w:rsid w:val="003C6679"/>
    <w:rsid w:val="00404692"/>
    <w:rsid w:val="00425991"/>
    <w:rsid w:val="00434E45"/>
    <w:rsid w:val="004835CE"/>
    <w:rsid w:val="004A541E"/>
    <w:rsid w:val="004B1BC6"/>
    <w:rsid w:val="004B3E1B"/>
    <w:rsid w:val="0050142B"/>
    <w:rsid w:val="00541B8A"/>
    <w:rsid w:val="00557336"/>
    <w:rsid w:val="00573C75"/>
    <w:rsid w:val="005905FC"/>
    <w:rsid w:val="005E364D"/>
    <w:rsid w:val="005F6FA5"/>
    <w:rsid w:val="00604CAD"/>
    <w:rsid w:val="00643528"/>
    <w:rsid w:val="006508F3"/>
    <w:rsid w:val="00683840"/>
    <w:rsid w:val="006A2CC3"/>
    <w:rsid w:val="006A6889"/>
    <w:rsid w:val="006A7FAC"/>
    <w:rsid w:val="006B0BAF"/>
    <w:rsid w:val="006D399D"/>
    <w:rsid w:val="006D7653"/>
    <w:rsid w:val="006F39C1"/>
    <w:rsid w:val="006F407B"/>
    <w:rsid w:val="0072041A"/>
    <w:rsid w:val="007611E6"/>
    <w:rsid w:val="00761AB8"/>
    <w:rsid w:val="00762428"/>
    <w:rsid w:val="007771F4"/>
    <w:rsid w:val="007A1257"/>
    <w:rsid w:val="007A7A84"/>
    <w:rsid w:val="007B0A1D"/>
    <w:rsid w:val="007E1C0A"/>
    <w:rsid w:val="00807B02"/>
    <w:rsid w:val="00810CD1"/>
    <w:rsid w:val="008415B7"/>
    <w:rsid w:val="00847E5E"/>
    <w:rsid w:val="00857AE7"/>
    <w:rsid w:val="00860BFF"/>
    <w:rsid w:val="00867C06"/>
    <w:rsid w:val="008721CC"/>
    <w:rsid w:val="00882079"/>
    <w:rsid w:val="0089734A"/>
    <w:rsid w:val="008D0D3F"/>
    <w:rsid w:val="008D148A"/>
    <w:rsid w:val="008E076F"/>
    <w:rsid w:val="008F3C5E"/>
    <w:rsid w:val="00927EB7"/>
    <w:rsid w:val="00943F45"/>
    <w:rsid w:val="0096050B"/>
    <w:rsid w:val="00963C97"/>
    <w:rsid w:val="0096551B"/>
    <w:rsid w:val="009663DF"/>
    <w:rsid w:val="00972BB6"/>
    <w:rsid w:val="009804A0"/>
    <w:rsid w:val="009A2634"/>
    <w:rsid w:val="009B2656"/>
    <w:rsid w:val="009C214D"/>
    <w:rsid w:val="009D78EA"/>
    <w:rsid w:val="009E3CC5"/>
    <w:rsid w:val="009F1252"/>
    <w:rsid w:val="00A57DC5"/>
    <w:rsid w:val="00A60CD4"/>
    <w:rsid w:val="00A60D5B"/>
    <w:rsid w:val="00A66AA4"/>
    <w:rsid w:val="00AA3A7D"/>
    <w:rsid w:val="00AD6F84"/>
    <w:rsid w:val="00AE24D3"/>
    <w:rsid w:val="00AE2C0E"/>
    <w:rsid w:val="00B00D41"/>
    <w:rsid w:val="00B05C6C"/>
    <w:rsid w:val="00B062E3"/>
    <w:rsid w:val="00B26954"/>
    <w:rsid w:val="00B51AB2"/>
    <w:rsid w:val="00B858F3"/>
    <w:rsid w:val="00BE417A"/>
    <w:rsid w:val="00BE70B6"/>
    <w:rsid w:val="00C61B88"/>
    <w:rsid w:val="00C745C0"/>
    <w:rsid w:val="00C76394"/>
    <w:rsid w:val="00C853BD"/>
    <w:rsid w:val="00CD387B"/>
    <w:rsid w:val="00D11F88"/>
    <w:rsid w:val="00D12F92"/>
    <w:rsid w:val="00D30D81"/>
    <w:rsid w:val="00D520C4"/>
    <w:rsid w:val="00D62D31"/>
    <w:rsid w:val="00D64413"/>
    <w:rsid w:val="00DF7F86"/>
    <w:rsid w:val="00E07D39"/>
    <w:rsid w:val="00E62AB9"/>
    <w:rsid w:val="00E80F93"/>
    <w:rsid w:val="00E910FA"/>
    <w:rsid w:val="00EA023D"/>
    <w:rsid w:val="00EB7188"/>
    <w:rsid w:val="00ED0C6C"/>
    <w:rsid w:val="00EF1368"/>
    <w:rsid w:val="00EF78B7"/>
    <w:rsid w:val="00F20F0A"/>
    <w:rsid w:val="00F377B6"/>
    <w:rsid w:val="00F53BA5"/>
    <w:rsid w:val="00F77E31"/>
    <w:rsid w:val="00F80293"/>
    <w:rsid w:val="00F80CAB"/>
    <w:rsid w:val="00F865CF"/>
    <w:rsid w:val="00FB002A"/>
    <w:rsid w:val="00FC1639"/>
    <w:rsid w:val="00FE44DB"/>
    <w:rsid w:val="00FF51A7"/>
    <w:rsid w:val="00FF77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4B0B8"/>
  <w15:chartTrackingRefBased/>
  <w15:docId w15:val="{C5BE674C-E621-47ED-8600-A65E30011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8B7"/>
    <w:pPr>
      <w:spacing w:before="60" w:after="60" w:line="240" w:lineRule="auto"/>
      <w:ind w:firstLine="720"/>
      <w:jc w:val="both"/>
    </w:pPr>
    <w:rPr>
      <w:rFonts w:ascii="Times New Roman" w:hAnsi="Times New Roman"/>
      <w:kern w:val="0"/>
      <w:sz w:val="24"/>
      <w14:ligatures w14:val="none"/>
    </w:rPr>
  </w:style>
  <w:style w:type="paragraph" w:styleId="Heading1">
    <w:name w:val="heading 1"/>
    <w:basedOn w:val="Normal"/>
    <w:next w:val="Normal"/>
    <w:link w:val="Heading1Char"/>
    <w:uiPriority w:val="9"/>
    <w:qFormat/>
    <w:rsid w:val="00331D62"/>
    <w:pPr>
      <w:keepNext/>
      <w:keepLines/>
      <w:numPr>
        <w:numId w:val="1"/>
      </w:numPr>
      <w:spacing w:after="120"/>
      <w:ind w:left="717"/>
      <w:jc w:val="center"/>
      <w:outlineLvl w:val="0"/>
    </w:pPr>
    <w:rPr>
      <w:rFonts w:eastAsiaTheme="majorEastAsia" w:cstheme="majorBidi"/>
      <w:b/>
      <w:sz w:val="40"/>
      <w:szCs w:val="32"/>
    </w:rPr>
  </w:style>
  <w:style w:type="paragraph" w:styleId="Heading2">
    <w:name w:val="heading 2"/>
    <w:basedOn w:val="Normal"/>
    <w:next w:val="Normal"/>
    <w:link w:val="Heading2Char"/>
    <w:uiPriority w:val="9"/>
    <w:unhideWhenUsed/>
    <w:qFormat/>
    <w:rsid w:val="00FB002A"/>
    <w:pPr>
      <w:keepNext/>
      <w:keepLines/>
      <w:numPr>
        <w:numId w:val="5"/>
      </w:numPr>
      <w:spacing w:before="120" w:after="120"/>
      <w:jc w:val="center"/>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331D62"/>
    <w:pPr>
      <w:keepNext/>
      <w:keepLines/>
      <w:ind w:firstLine="0"/>
      <w:jc w:val="left"/>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D62"/>
    <w:rPr>
      <w:rFonts w:ascii="Times New Roman" w:eastAsiaTheme="majorEastAsia" w:hAnsi="Times New Roman" w:cstheme="majorBidi"/>
      <w:b/>
      <w:kern w:val="0"/>
      <w:sz w:val="40"/>
      <w:szCs w:val="32"/>
      <w14:ligatures w14:val="none"/>
    </w:rPr>
  </w:style>
  <w:style w:type="character" w:customStyle="1" w:styleId="Heading2Char">
    <w:name w:val="Heading 2 Char"/>
    <w:basedOn w:val="DefaultParagraphFont"/>
    <w:link w:val="Heading2"/>
    <w:uiPriority w:val="9"/>
    <w:rsid w:val="00331D62"/>
    <w:rPr>
      <w:rFonts w:ascii="Times New Roman" w:eastAsiaTheme="majorEastAsia" w:hAnsi="Times New Roman" w:cstheme="majorBidi"/>
      <w:b/>
      <w:kern w:val="0"/>
      <w:sz w:val="28"/>
      <w:szCs w:val="26"/>
      <w14:ligatures w14:val="none"/>
    </w:rPr>
  </w:style>
  <w:style w:type="character" w:customStyle="1" w:styleId="Heading3Char">
    <w:name w:val="Heading 3 Char"/>
    <w:basedOn w:val="DefaultParagraphFont"/>
    <w:link w:val="Heading3"/>
    <w:uiPriority w:val="9"/>
    <w:rsid w:val="00331D62"/>
    <w:rPr>
      <w:rFonts w:ascii="Times New Roman" w:eastAsiaTheme="majorEastAsia" w:hAnsi="Times New Roman" w:cstheme="majorBidi"/>
      <w:b/>
      <w:kern w:val="0"/>
      <w:sz w:val="24"/>
      <w:szCs w:val="24"/>
      <w14:ligatures w14:val="none"/>
    </w:rPr>
  </w:style>
  <w:style w:type="character" w:customStyle="1" w:styleId="ListParagraphChar">
    <w:name w:val="List Paragraph Char"/>
    <w:aliases w:val="2 Char,Normal bullet 2 Char,Bullet list Char,List Paragraph1 Char,Numbered Para 1 Char,Dot pt Char,No Spacing1 Char,List Paragraph Char Char Char Char,Indicator Text Char,Bullet 1 Char,Bullet Points Char,MAIN CONTENT Char,Strip Char"/>
    <w:link w:val="ListParagraph"/>
    <w:uiPriority w:val="34"/>
    <w:qFormat/>
    <w:locked/>
    <w:rsid w:val="00331D62"/>
    <w:rPr>
      <w:rFonts w:eastAsia="Calibri" w:cs="Times New Roman"/>
    </w:rPr>
  </w:style>
  <w:style w:type="paragraph" w:styleId="ListParagraph">
    <w:name w:val="List Paragraph"/>
    <w:aliases w:val="2,Normal bullet 2,Bullet list,List Paragraph1,Numbered Para 1,Dot pt,No Spacing1,List Paragraph Char Char Char,Indicator Text,Bullet 1,Bullet Points,MAIN CONTENT,IFCL - List Paragraph,List Paragraph12,OBC Bullet,F5 List Paragraph,Strip"/>
    <w:basedOn w:val="Normal"/>
    <w:link w:val="ListParagraphChar"/>
    <w:uiPriority w:val="34"/>
    <w:qFormat/>
    <w:rsid w:val="00331D62"/>
    <w:pPr>
      <w:ind w:left="720"/>
      <w:contextualSpacing/>
    </w:pPr>
    <w:rPr>
      <w:rFonts w:asciiTheme="minorHAnsi" w:eastAsia="Calibri" w:hAnsiTheme="minorHAnsi" w:cs="Times New Roman"/>
      <w:kern w:val="2"/>
      <w:sz w:val="22"/>
      <w14:ligatures w14:val="standardContextual"/>
    </w:rPr>
  </w:style>
  <w:style w:type="table" w:styleId="TableGrid">
    <w:name w:val="Table Grid"/>
    <w:basedOn w:val="TableNormal"/>
    <w:uiPriority w:val="39"/>
    <w:rsid w:val="00331D62"/>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31D62"/>
    <w:rPr>
      <w:sz w:val="16"/>
      <w:szCs w:val="16"/>
    </w:rPr>
  </w:style>
  <w:style w:type="paragraph" w:styleId="CommentText">
    <w:name w:val="annotation text"/>
    <w:basedOn w:val="Normal"/>
    <w:link w:val="CommentTextChar"/>
    <w:uiPriority w:val="99"/>
    <w:unhideWhenUsed/>
    <w:rsid w:val="00331D62"/>
    <w:rPr>
      <w:sz w:val="20"/>
      <w:szCs w:val="20"/>
    </w:rPr>
  </w:style>
  <w:style w:type="character" w:customStyle="1" w:styleId="CommentTextChar">
    <w:name w:val="Comment Text Char"/>
    <w:basedOn w:val="DefaultParagraphFont"/>
    <w:link w:val="CommentText"/>
    <w:uiPriority w:val="99"/>
    <w:rsid w:val="00331D62"/>
    <w:rPr>
      <w:rFonts w:ascii="Times New Roman" w:hAnsi="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31D62"/>
    <w:rPr>
      <w:b/>
      <w:bCs/>
    </w:rPr>
  </w:style>
  <w:style w:type="character" w:customStyle="1" w:styleId="CommentSubjectChar">
    <w:name w:val="Comment Subject Char"/>
    <w:basedOn w:val="CommentTextChar"/>
    <w:link w:val="CommentSubject"/>
    <w:uiPriority w:val="99"/>
    <w:semiHidden/>
    <w:rsid w:val="00331D62"/>
    <w:rPr>
      <w:rFonts w:ascii="Times New Roman" w:hAnsi="Times New Roman"/>
      <w:b/>
      <w:bCs/>
      <w:kern w:val="0"/>
      <w:sz w:val="20"/>
      <w:szCs w:val="20"/>
      <w14:ligatures w14:val="none"/>
    </w:rPr>
  </w:style>
  <w:style w:type="paragraph" w:styleId="BalloonText">
    <w:name w:val="Balloon Text"/>
    <w:basedOn w:val="Normal"/>
    <w:link w:val="BalloonTextChar"/>
    <w:uiPriority w:val="99"/>
    <w:semiHidden/>
    <w:unhideWhenUsed/>
    <w:rsid w:val="00331D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1D62"/>
    <w:rPr>
      <w:rFonts w:ascii="Segoe UI" w:hAnsi="Segoe UI" w:cs="Segoe UI"/>
      <w:kern w:val="0"/>
      <w:sz w:val="18"/>
      <w:szCs w:val="18"/>
      <w14:ligatures w14:val="none"/>
    </w:rPr>
  </w:style>
  <w:style w:type="paragraph" w:styleId="Header">
    <w:name w:val="header"/>
    <w:basedOn w:val="Normal"/>
    <w:link w:val="HeaderChar"/>
    <w:uiPriority w:val="99"/>
    <w:unhideWhenUsed/>
    <w:rsid w:val="00331D62"/>
    <w:pPr>
      <w:tabs>
        <w:tab w:val="center" w:pos="4153"/>
        <w:tab w:val="right" w:pos="8306"/>
      </w:tabs>
    </w:pPr>
  </w:style>
  <w:style w:type="character" w:customStyle="1" w:styleId="HeaderChar">
    <w:name w:val="Header Char"/>
    <w:basedOn w:val="DefaultParagraphFont"/>
    <w:link w:val="Header"/>
    <w:uiPriority w:val="99"/>
    <w:rsid w:val="00331D62"/>
    <w:rPr>
      <w:rFonts w:ascii="Times New Roman" w:hAnsi="Times New Roman"/>
      <w:kern w:val="0"/>
      <w:sz w:val="24"/>
      <w14:ligatures w14:val="none"/>
    </w:rPr>
  </w:style>
  <w:style w:type="paragraph" w:styleId="Footer">
    <w:name w:val="footer"/>
    <w:basedOn w:val="Normal"/>
    <w:link w:val="FooterChar"/>
    <w:uiPriority w:val="99"/>
    <w:unhideWhenUsed/>
    <w:rsid w:val="00331D62"/>
    <w:pPr>
      <w:tabs>
        <w:tab w:val="center" w:pos="4153"/>
        <w:tab w:val="right" w:pos="8306"/>
      </w:tabs>
    </w:pPr>
  </w:style>
  <w:style w:type="character" w:customStyle="1" w:styleId="FooterChar">
    <w:name w:val="Footer Char"/>
    <w:basedOn w:val="DefaultParagraphFont"/>
    <w:link w:val="Footer"/>
    <w:uiPriority w:val="99"/>
    <w:rsid w:val="00331D62"/>
    <w:rPr>
      <w:rFonts w:ascii="Times New Roman" w:hAnsi="Times New Roman"/>
      <w:kern w:val="0"/>
      <w:sz w:val="24"/>
      <w14:ligatures w14:val="none"/>
    </w:rPr>
  </w:style>
  <w:style w:type="paragraph" w:styleId="NormalWeb">
    <w:name w:val="Normal (Web)"/>
    <w:basedOn w:val="Normal"/>
    <w:uiPriority w:val="99"/>
    <w:unhideWhenUsed/>
    <w:rsid w:val="00331D62"/>
    <w:pPr>
      <w:spacing w:before="100" w:beforeAutospacing="1" w:after="100" w:afterAutospacing="1"/>
    </w:pPr>
    <w:rPr>
      <w:rFonts w:eastAsia="Times New Roman" w:cs="Times New Roman"/>
      <w:szCs w:val="24"/>
      <w:lang w:eastAsia="lv-LV"/>
    </w:rPr>
  </w:style>
  <w:style w:type="paragraph" w:styleId="FootnoteText">
    <w:name w:val="footnote text"/>
    <w:aliases w:val="Vēres teksts Rakstz.1 Char,Vēres teksts Rakstz. Rakstz. Char,Vēres teksts Rakstz.1 Rakstz. Rakstz. Char,Vēres teksts Rakstz. Rakstz. Rakstz. Rakstz. Char,Vēres teksts Rakstz.1 Rakstz. Rakstz. Rakstz. Rakstz. Char,Footnote,Fußnote,Char,f,ft"/>
    <w:basedOn w:val="Normal"/>
    <w:link w:val="FootnoteTextChar"/>
    <w:uiPriority w:val="99"/>
    <w:unhideWhenUsed/>
    <w:qFormat/>
    <w:rsid w:val="00331D62"/>
    <w:rPr>
      <w:sz w:val="20"/>
      <w:szCs w:val="20"/>
    </w:rPr>
  </w:style>
  <w:style w:type="character" w:customStyle="1" w:styleId="FootnoteTextChar">
    <w:name w:val="Footnote Text Char"/>
    <w:aliases w:val="Vēres teksts Rakstz.1 Char Char,Vēres teksts Rakstz. Rakstz. Char Char,Vēres teksts Rakstz.1 Rakstz. Rakstz. Char Char,Vēres teksts Rakstz. Rakstz. Rakstz. Rakstz. Char Char,Footnote Char,Fußnote Char,Char Char,f Char,ft Char"/>
    <w:basedOn w:val="DefaultParagraphFont"/>
    <w:link w:val="FootnoteText"/>
    <w:uiPriority w:val="99"/>
    <w:qFormat/>
    <w:rsid w:val="00331D62"/>
    <w:rPr>
      <w:rFonts w:ascii="Times New Roman" w:hAnsi="Times New Roman"/>
      <w:kern w:val="0"/>
      <w:sz w:val="20"/>
      <w:szCs w:val="20"/>
      <w14:ligatures w14:val="none"/>
    </w:rPr>
  </w:style>
  <w:style w:type="character" w:styleId="FootnoteReference">
    <w:name w:val="footnote reference"/>
    <w:aliases w:val="Footnote Reference Number,Footnote symbol,Footnote Reference Superscript,SUPERS,ftref,Footnote Refernece,stylish,BVI fnr,Fußnotenzeichen_Raxen,callout,Stinking Styles22,number,Footnote symboFußnotenzeichen,Footnote sign,Times 10 Point"/>
    <w:basedOn w:val="DefaultParagraphFont"/>
    <w:link w:val="Char2"/>
    <w:uiPriority w:val="99"/>
    <w:unhideWhenUsed/>
    <w:qFormat/>
    <w:rsid w:val="00331D62"/>
    <w:rPr>
      <w:vertAlign w:val="superscript"/>
    </w:rPr>
  </w:style>
  <w:style w:type="paragraph" w:customStyle="1" w:styleId="Char2">
    <w:name w:val="Char2"/>
    <w:aliases w:val="Char Char Char Char"/>
    <w:basedOn w:val="Normal"/>
    <w:next w:val="Normal"/>
    <w:link w:val="FootnoteReference"/>
    <w:uiPriority w:val="99"/>
    <w:qFormat/>
    <w:rsid w:val="00331D62"/>
    <w:pPr>
      <w:spacing w:after="160" w:line="240" w:lineRule="exact"/>
      <w:textAlignment w:val="baseline"/>
    </w:pPr>
    <w:rPr>
      <w:rFonts w:asciiTheme="minorHAnsi" w:hAnsiTheme="minorHAnsi"/>
      <w:kern w:val="2"/>
      <w:sz w:val="22"/>
      <w:vertAlign w:val="superscript"/>
      <w14:ligatures w14:val="standardContextual"/>
    </w:rPr>
  </w:style>
  <w:style w:type="paragraph" w:customStyle="1" w:styleId="Default">
    <w:name w:val="Default"/>
    <w:rsid w:val="00331D62"/>
    <w:pPr>
      <w:autoSpaceDE w:val="0"/>
      <w:autoSpaceDN w:val="0"/>
      <w:adjustRightInd w:val="0"/>
      <w:spacing w:after="0" w:line="240" w:lineRule="auto"/>
    </w:pPr>
    <w:rPr>
      <w:rFonts w:ascii="Arial" w:hAnsi="Arial" w:cs="Arial"/>
      <w:color w:val="000000"/>
      <w:kern w:val="0"/>
      <w:sz w:val="24"/>
      <w:szCs w:val="24"/>
      <w14:ligatures w14:val="none"/>
    </w:rPr>
  </w:style>
  <w:style w:type="paragraph" w:styleId="TOCHeading">
    <w:name w:val="TOC Heading"/>
    <w:basedOn w:val="Heading1"/>
    <w:next w:val="Normal"/>
    <w:uiPriority w:val="39"/>
    <w:unhideWhenUsed/>
    <w:qFormat/>
    <w:rsid w:val="00331D62"/>
    <w:pPr>
      <w:spacing w:line="259" w:lineRule="auto"/>
      <w:outlineLvl w:val="9"/>
    </w:pPr>
    <w:rPr>
      <w:lang w:val="en-US"/>
    </w:rPr>
  </w:style>
  <w:style w:type="paragraph" w:styleId="TOC1">
    <w:name w:val="toc 1"/>
    <w:basedOn w:val="Normal"/>
    <w:next w:val="Normal"/>
    <w:autoRedefine/>
    <w:uiPriority w:val="39"/>
    <w:unhideWhenUsed/>
    <w:rsid w:val="008721CC"/>
    <w:pPr>
      <w:tabs>
        <w:tab w:val="left" w:pos="480"/>
        <w:tab w:val="left" w:pos="1134"/>
        <w:tab w:val="right" w:leader="dot" w:pos="8777"/>
      </w:tabs>
      <w:spacing w:after="100"/>
    </w:pPr>
    <w:rPr>
      <w:b/>
      <w:noProof/>
    </w:rPr>
  </w:style>
  <w:style w:type="paragraph" w:styleId="TOC2">
    <w:name w:val="toc 2"/>
    <w:basedOn w:val="Normal"/>
    <w:next w:val="Normal"/>
    <w:autoRedefine/>
    <w:uiPriority w:val="39"/>
    <w:unhideWhenUsed/>
    <w:rsid w:val="00331D62"/>
    <w:pPr>
      <w:spacing w:after="100"/>
      <w:ind w:left="240"/>
    </w:pPr>
  </w:style>
  <w:style w:type="character" w:styleId="Hyperlink">
    <w:name w:val="Hyperlink"/>
    <w:basedOn w:val="DefaultParagraphFont"/>
    <w:uiPriority w:val="99"/>
    <w:unhideWhenUsed/>
    <w:rsid w:val="00331D62"/>
    <w:rPr>
      <w:color w:val="0563C1" w:themeColor="hyperlink"/>
      <w:u w:val="single"/>
    </w:rPr>
  </w:style>
  <w:style w:type="paragraph" w:styleId="TOC3">
    <w:name w:val="toc 3"/>
    <w:basedOn w:val="Normal"/>
    <w:next w:val="Normal"/>
    <w:autoRedefine/>
    <w:uiPriority w:val="39"/>
    <w:unhideWhenUsed/>
    <w:rsid w:val="00331D62"/>
    <w:pPr>
      <w:tabs>
        <w:tab w:val="right" w:leader="dot" w:pos="8777"/>
      </w:tabs>
      <w:spacing w:after="100"/>
      <w:ind w:left="480"/>
    </w:pPr>
    <w:rPr>
      <w:i/>
      <w:noProof/>
    </w:rPr>
  </w:style>
  <w:style w:type="character" w:customStyle="1" w:styleId="spelle">
    <w:name w:val="spelle"/>
    <w:rsid w:val="00331D62"/>
  </w:style>
  <w:style w:type="table" w:customStyle="1" w:styleId="TableGrid1">
    <w:name w:val="Table Grid1"/>
    <w:basedOn w:val="TableNormal"/>
    <w:next w:val="TableGrid"/>
    <w:uiPriority w:val="39"/>
    <w:rsid w:val="00331D62"/>
    <w:pPr>
      <w:spacing w:after="0" w:line="240" w:lineRule="auto"/>
    </w:pPr>
    <w:rPr>
      <w:rFonts w:ascii="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31D62"/>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c">
    <w:name w:val="naisc"/>
    <w:basedOn w:val="Normal"/>
    <w:rsid w:val="00331D62"/>
    <w:pPr>
      <w:spacing w:before="75" w:after="75"/>
      <w:jc w:val="center"/>
    </w:pPr>
    <w:rPr>
      <w:rFonts w:eastAsia="Times New Roman" w:cs="Times New Roman"/>
      <w:szCs w:val="24"/>
      <w:lang w:eastAsia="lv-LV"/>
    </w:rPr>
  </w:style>
  <w:style w:type="paragraph" w:styleId="Revision">
    <w:name w:val="Revision"/>
    <w:hidden/>
    <w:uiPriority w:val="99"/>
    <w:semiHidden/>
    <w:rsid w:val="00331D62"/>
    <w:pPr>
      <w:spacing w:after="0" w:line="240" w:lineRule="auto"/>
    </w:pPr>
    <w:rPr>
      <w:rFonts w:ascii="Times New Roman" w:hAnsi="Times New Roman"/>
      <w:kern w:val="0"/>
      <w:sz w:val="24"/>
      <w14:ligatures w14:val="none"/>
    </w:rPr>
  </w:style>
  <w:style w:type="paragraph" w:customStyle="1" w:styleId="liknoteik">
    <w:name w:val="lik_noteik"/>
    <w:basedOn w:val="Normal"/>
    <w:rsid w:val="00331D62"/>
    <w:pPr>
      <w:spacing w:before="100" w:beforeAutospacing="1" w:after="100" w:afterAutospacing="1"/>
    </w:pPr>
    <w:rPr>
      <w:rFonts w:eastAsia="Times New Roman" w:cs="Times New Roman"/>
      <w:szCs w:val="24"/>
      <w:lang w:eastAsia="lv-LV"/>
    </w:rPr>
  </w:style>
  <w:style w:type="paragraph" w:customStyle="1" w:styleId="likdat">
    <w:name w:val="lik_dat"/>
    <w:basedOn w:val="Normal"/>
    <w:rsid w:val="00331D62"/>
    <w:pPr>
      <w:spacing w:before="100" w:beforeAutospacing="1" w:after="100" w:afterAutospacing="1"/>
    </w:pPr>
    <w:rPr>
      <w:rFonts w:eastAsia="Times New Roman" w:cs="Times New Roman"/>
      <w:szCs w:val="24"/>
      <w:lang w:eastAsia="lv-LV"/>
    </w:rPr>
  </w:style>
  <w:style w:type="character" w:customStyle="1" w:styleId="UnresolvedMention1">
    <w:name w:val="Unresolved Mention1"/>
    <w:basedOn w:val="DefaultParagraphFont"/>
    <w:uiPriority w:val="99"/>
    <w:semiHidden/>
    <w:unhideWhenUsed/>
    <w:rsid w:val="00331D62"/>
    <w:rPr>
      <w:color w:val="605E5C"/>
      <w:shd w:val="clear" w:color="auto" w:fill="E1DFDD"/>
    </w:rPr>
  </w:style>
  <w:style w:type="character" w:customStyle="1" w:styleId="normalchar1">
    <w:name w:val="normal__char1"/>
    <w:basedOn w:val="DefaultParagraphFont"/>
    <w:rsid w:val="00331D62"/>
    <w:rPr>
      <w:rFonts w:ascii="Calibri" w:hAnsi="Calibri" w:hint="default"/>
      <w:strike w:val="0"/>
      <w:dstrike w:val="0"/>
      <w:sz w:val="22"/>
      <w:szCs w:val="22"/>
      <w:u w:val="none"/>
      <w:effect w:val="none"/>
    </w:rPr>
  </w:style>
  <w:style w:type="table" w:styleId="TableGridLight">
    <w:name w:val="Grid Table Light"/>
    <w:basedOn w:val="TableNormal"/>
    <w:uiPriority w:val="40"/>
    <w:rsid w:val="00331D62"/>
    <w:pPr>
      <w:spacing w:after="0" w:line="240" w:lineRule="auto"/>
    </w:pPr>
    <w:rPr>
      <w:rFonts w:ascii="Times New Roman" w:hAnsi="Times New Roman"/>
      <w:kern w:val="0"/>
      <w:sz w:val="24"/>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basedOn w:val="Normal"/>
    <w:uiPriority w:val="1"/>
    <w:qFormat/>
    <w:rsid w:val="00331D62"/>
    <w:pPr>
      <w:spacing w:before="0" w:after="0"/>
      <w:ind w:firstLine="0"/>
      <w:jc w:val="left"/>
    </w:pPr>
    <w:rPr>
      <w:rFonts w:ascii="Calibri" w:hAnsi="Calibri" w:cs="Calibri"/>
      <w:sz w:val="22"/>
    </w:rPr>
  </w:style>
  <w:style w:type="table" w:customStyle="1" w:styleId="TableGrid611">
    <w:name w:val="Table Grid611"/>
    <w:basedOn w:val="TableNormal"/>
    <w:next w:val="TableGrid"/>
    <w:uiPriority w:val="39"/>
    <w:rsid w:val="00331D6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331D62"/>
    <w:pPr>
      <w:spacing w:before="100" w:beforeAutospacing="1" w:after="100" w:afterAutospacing="1"/>
      <w:ind w:firstLine="0"/>
      <w:jc w:val="left"/>
    </w:pPr>
    <w:rPr>
      <w:rFonts w:eastAsia="Times New Roman" w:cs="Times New Roman"/>
      <w:szCs w:val="24"/>
      <w:lang w:eastAsia="lv-LV"/>
    </w:rPr>
  </w:style>
  <w:style w:type="table" w:customStyle="1" w:styleId="TableGrid2">
    <w:name w:val="Table Grid2"/>
    <w:basedOn w:val="TableNormal"/>
    <w:next w:val="TableGrid"/>
    <w:uiPriority w:val="39"/>
    <w:rsid w:val="00331D62"/>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31D62"/>
    <w:rPr>
      <w:color w:val="954F72" w:themeColor="followedHyperlink"/>
      <w:u w:val="single"/>
    </w:rPr>
  </w:style>
  <w:style w:type="character" w:styleId="UnresolvedMention">
    <w:name w:val="Unresolved Mention"/>
    <w:basedOn w:val="DefaultParagraphFont"/>
    <w:uiPriority w:val="99"/>
    <w:semiHidden/>
    <w:unhideWhenUsed/>
    <w:rsid w:val="00604CAD"/>
    <w:rPr>
      <w:color w:val="605E5C"/>
      <w:shd w:val="clear" w:color="auto" w:fill="E1DFDD"/>
    </w:rPr>
  </w:style>
  <w:style w:type="character" w:customStyle="1" w:styleId="rynqvb">
    <w:name w:val="rynqvb"/>
    <w:basedOn w:val="DefaultParagraphFont"/>
    <w:rsid w:val="006435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9290">
      <w:bodyDiv w:val="1"/>
      <w:marLeft w:val="0"/>
      <w:marRight w:val="0"/>
      <w:marTop w:val="0"/>
      <w:marBottom w:val="0"/>
      <w:divBdr>
        <w:top w:val="none" w:sz="0" w:space="0" w:color="auto"/>
        <w:left w:val="none" w:sz="0" w:space="0" w:color="auto"/>
        <w:bottom w:val="none" w:sz="0" w:space="0" w:color="auto"/>
        <w:right w:val="none" w:sz="0" w:space="0" w:color="auto"/>
      </w:divBdr>
    </w:div>
    <w:div w:id="443619576">
      <w:bodyDiv w:val="1"/>
      <w:marLeft w:val="0"/>
      <w:marRight w:val="0"/>
      <w:marTop w:val="0"/>
      <w:marBottom w:val="0"/>
      <w:divBdr>
        <w:top w:val="none" w:sz="0" w:space="0" w:color="auto"/>
        <w:left w:val="none" w:sz="0" w:space="0" w:color="auto"/>
        <w:bottom w:val="none" w:sz="0" w:space="0" w:color="auto"/>
        <w:right w:val="none" w:sz="0" w:space="0" w:color="auto"/>
      </w:divBdr>
    </w:div>
    <w:div w:id="476724430">
      <w:bodyDiv w:val="1"/>
      <w:marLeft w:val="0"/>
      <w:marRight w:val="0"/>
      <w:marTop w:val="0"/>
      <w:marBottom w:val="0"/>
      <w:divBdr>
        <w:top w:val="none" w:sz="0" w:space="0" w:color="auto"/>
        <w:left w:val="none" w:sz="0" w:space="0" w:color="auto"/>
        <w:bottom w:val="none" w:sz="0" w:space="0" w:color="auto"/>
        <w:right w:val="none" w:sz="0" w:space="0" w:color="auto"/>
      </w:divBdr>
    </w:div>
    <w:div w:id="775291374">
      <w:bodyDiv w:val="1"/>
      <w:marLeft w:val="0"/>
      <w:marRight w:val="0"/>
      <w:marTop w:val="0"/>
      <w:marBottom w:val="0"/>
      <w:divBdr>
        <w:top w:val="none" w:sz="0" w:space="0" w:color="auto"/>
        <w:left w:val="none" w:sz="0" w:space="0" w:color="auto"/>
        <w:bottom w:val="none" w:sz="0" w:space="0" w:color="auto"/>
        <w:right w:val="none" w:sz="0" w:space="0" w:color="auto"/>
      </w:divBdr>
    </w:div>
    <w:div w:id="1029333588">
      <w:bodyDiv w:val="1"/>
      <w:marLeft w:val="0"/>
      <w:marRight w:val="0"/>
      <w:marTop w:val="0"/>
      <w:marBottom w:val="0"/>
      <w:divBdr>
        <w:top w:val="none" w:sz="0" w:space="0" w:color="auto"/>
        <w:left w:val="none" w:sz="0" w:space="0" w:color="auto"/>
        <w:bottom w:val="none" w:sz="0" w:space="0" w:color="auto"/>
        <w:right w:val="none" w:sz="0" w:space="0" w:color="auto"/>
      </w:divBdr>
    </w:div>
    <w:div w:id="1295941529">
      <w:bodyDiv w:val="1"/>
      <w:marLeft w:val="0"/>
      <w:marRight w:val="0"/>
      <w:marTop w:val="0"/>
      <w:marBottom w:val="0"/>
      <w:divBdr>
        <w:top w:val="none" w:sz="0" w:space="0" w:color="auto"/>
        <w:left w:val="none" w:sz="0" w:space="0" w:color="auto"/>
        <w:bottom w:val="none" w:sz="0" w:space="0" w:color="auto"/>
        <w:right w:val="none" w:sz="0" w:space="0" w:color="auto"/>
      </w:divBdr>
    </w:div>
    <w:div w:id="1675182549">
      <w:bodyDiv w:val="1"/>
      <w:marLeft w:val="0"/>
      <w:marRight w:val="0"/>
      <w:marTop w:val="0"/>
      <w:marBottom w:val="0"/>
      <w:divBdr>
        <w:top w:val="none" w:sz="0" w:space="0" w:color="auto"/>
        <w:left w:val="none" w:sz="0" w:space="0" w:color="auto"/>
        <w:bottom w:val="none" w:sz="0" w:space="0" w:color="auto"/>
        <w:right w:val="none" w:sz="0" w:space="0" w:color="auto"/>
      </w:divBdr>
    </w:div>
    <w:div w:id="1973056688">
      <w:bodyDiv w:val="1"/>
      <w:marLeft w:val="0"/>
      <w:marRight w:val="0"/>
      <w:marTop w:val="0"/>
      <w:marBottom w:val="0"/>
      <w:divBdr>
        <w:top w:val="none" w:sz="0" w:space="0" w:color="auto"/>
        <w:left w:val="none" w:sz="0" w:space="0" w:color="auto"/>
        <w:bottom w:val="none" w:sz="0" w:space="0" w:color="auto"/>
        <w:right w:val="none" w:sz="0" w:space="0" w:color="auto"/>
      </w:divBdr>
    </w:div>
    <w:div w:id="2010402490">
      <w:bodyDiv w:val="1"/>
      <w:marLeft w:val="0"/>
      <w:marRight w:val="0"/>
      <w:marTop w:val="0"/>
      <w:marBottom w:val="0"/>
      <w:divBdr>
        <w:top w:val="none" w:sz="0" w:space="0" w:color="auto"/>
        <w:left w:val="none" w:sz="0" w:space="0" w:color="auto"/>
        <w:bottom w:val="none" w:sz="0" w:space="0" w:color="auto"/>
        <w:right w:val="none" w:sz="0" w:space="0" w:color="auto"/>
      </w:divBdr>
    </w:div>
    <w:div w:id="2026710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3.xml"/><Relationship Id="rId18" Type="http://schemas.openxmlformats.org/officeDocument/2006/relationships/hyperlink" Target="mailto:madara.jaunzeme@fm.gov.l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footer" Target="footer2.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4.xml"/></Relationships>
</file>

<file path=word/_rels/footnotes.xml.rels><?xml version="1.0" encoding="UTF-8" standalone="yes"?>
<Relationships xmlns="http://schemas.openxmlformats.org/package/2006/relationships"><Relationship Id="rId1" Type="http://schemas.openxmlformats.org/officeDocument/2006/relationships/hyperlink" Target="https://tapportals.mk.gov.lv/legal_acts/086161d4-4660-4d55-a4e3-def0d860b745"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 1'!$B$18</c:f>
              <c:strCache>
                <c:ptCount val="1"/>
                <c:pt idx="0">
                  <c:v>EU 27</c:v>
                </c:pt>
              </c:strCache>
            </c:strRef>
          </c:tx>
          <c:spPr>
            <a:ln w="28575" cap="rnd">
              <a:noFill/>
              <a:prstDash val="dash"/>
              <a:round/>
            </a:ln>
            <a:effectLst/>
          </c:spPr>
          <c:marker>
            <c:symbol val="square"/>
            <c:size val="5"/>
            <c:spPr>
              <a:solidFill>
                <a:schemeClr val="tx1">
                  <a:lumMod val="50000"/>
                  <a:lumOff val="50000"/>
                </a:schemeClr>
              </a:solidFill>
              <a:ln w="9525">
                <a:noFill/>
              </a:ln>
              <a:effectLst/>
            </c:spPr>
          </c:marker>
          <c:dLbls>
            <c:dLbl>
              <c:idx val="0"/>
              <c:layout>
                <c:manualLayout>
                  <c:x val="-5.2770492402712445E-3"/>
                  <c:y val="-3.49344978165938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221-4121-B1DC-A09C45C0B521}"/>
                </c:ext>
              </c:extLst>
            </c:dLbl>
            <c:dLbl>
              <c:idx val="1"/>
              <c:delete val="1"/>
              <c:extLst>
                <c:ext xmlns:c15="http://schemas.microsoft.com/office/drawing/2012/chart" uri="{CE6537A1-D6FC-4f65-9D91-7224C49458BB}"/>
                <c:ext xmlns:c16="http://schemas.microsoft.com/office/drawing/2014/chart" uri="{C3380CC4-5D6E-409C-BE32-E72D297353CC}">
                  <c16:uniqueId val="{00000001-3221-4121-B1DC-A09C45C0B521}"/>
                </c:ext>
              </c:extLst>
            </c:dLbl>
            <c:dLbl>
              <c:idx val="2"/>
              <c:delete val="1"/>
              <c:extLst>
                <c:ext xmlns:c15="http://schemas.microsoft.com/office/drawing/2012/chart" uri="{CE6537A1-D6FC-4f65-9D91-7224C49458BB}"/>
                <c:ext xmlns:c16="http://schemas.microsoft.com/office/drawing/2014/chart" uri="{C3380CC4-5D6E-409C-BE32-E72D297353CC}">
                  <c16:uniqueId val="{00000002-3221-4121-B1DC-A09C45C0B521}"/>
                </c:ext>
              </c:extLst>
            </c:dLbl>
            <c:dLbl>
              <c:idx val="3"/>
              <c:layout>
                <c:manualLayout>
                  <c:x val="-2.1628436949936269E-2"/>
                  <c:y val="-3.85590036539550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221-4121-B1DC-A09C45C0B521}"/>
                </c:ext>
              </c:extLst>
            </c:dLbl>
            <c:dLbl>
              <c:idx val="4"/>
              <c:delete val="1"/>
              <c:extLst>
                <c:ext xmlns:c15="http://schemas.microsoft.com/office/drawing/2012/chart" uri="{CE6537A1-D6FC-4f65-9D91-7224C49458BB}"/>
                <c:ext xmlns:c16="http://schemas.microsoft.com/office/drawing/2014/chart" uri="{C3380CC4-5D6E-409C-BE32-E72D297353CC}">
                  <c16:uniqueId val="{00000004-3221-4121-B1DC-A09C45C0B521}"/>
                </c:ext>
              </c:extLst>
            </c:dLbl>
            <c:dLbl>
              <c:idx val="5"/>
              <c:delete val="1"/>
              <c:extLst>
                <c:ext xmlns:c15="http://schemas.microsoft.com/office/drawing/2012/chart" uri="{CE6537A1-D6FC-4f65-9D91-7224C49458BB}"/>
                <c:ext xmlns:c16="http://schemas.microsoft.com/office/drawing/2014/chart" uri="{C3380CC4-5D6E-409C-BE32-E72D297353CC}">
                  <c16:uniqueId val="{00000005-3221-4121-B1DC-A09C45C0B521}"/>
                </c:ext>
              </c:extLst>
            </c:dLbl>
            <c:dLbl>
              <c:idx val="6"/>
              <c:layout>
                <c:manualLayout>
                  <c:x val="-5.1011475989287451E-2"/>
                  <c:y val="-3.78457059679767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221-4121-B1DC-A09C45C0B521}"/>
                </c:ext>
              </c:extLst>
            </c:dLbl>
            <c:spPr>
              <a:noFill/>
              <a:ln>
                <a:noFill/>
              </a:ln>
              <a:effectLst/>
            </c:spPr>
            <c:txPr>
              <a:bodyPr rot="0" spcFirstLastPara="1" vertOverflow="ellipsis" vert="horz" wrap="square" anchor="ctr" anchorCtr="1"/>
              <a:lstStyle/>
              <a:p>
                <a:pPr>
                  <a:defRPr sz="80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 1'!$M$10:$X$10</c:f>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strCache>
              <c:extLst/>
            </c:strRef>
          </c:cat>
          <c:val>
            <c:numRef>
              <c:f>'Sheet 1'!$M$18:$X$18</c:f>
              <c:numCache>
                <c:formatCode>#,##0.0</c:formatCode>
                <c:ptCount val="12"/>
                <c:pt idx="0" formatCode="#,##0.##########">
                  <c:v>7.1</c:v>
                </c:pt>
                <c:pt idx="1">
                  <c:v>7</c:v>
                </c:pt>
                <c:pt idx="2" formatCode="#,##0.##########">
                  <c:v>6.9</c:v>
                </c:pt>
                <c:pt idx="3" formatCode="#,##0.##########">
                  <c:v>6.9</c:v>
                </c:pt>
                <c:pt idx="4">
                  <c:v>7</c:v>
                </c:pt>
                <c:pt idx="5">
                  <c:v>8</c:v>
                </c:pt>
                <c:pt idx="6" formatCode="#,##0.##########">
                  <c:v>8.1</c:v>
                </c:pt>
              </c:numCache>
              <c:extLst/>
            </c:numRef>
          </c:val>
          <c:smooth val="0"/>
          <c:extLst>
            <c:ext xmlns:c16="http://schemas.microsoft.com/office/drawing/2014/chart" uri="{C3380CC4-5D6E-409C-BE32-E72D297353CC}">
              <c16:uniqueId val="{00000007-3221-4121-B1DC-A09C45C0B521}"/>
            </c:ext>
          </c:extLst>
        </c:ser>
        <c:ser>
          <c:idx val="1"/>
          <c:order val="1"/>
          <c:tx>
            <c:strRef>
              <c:f>'Sheet 1'!$B$19</c:f>
              <c:strCache>
                <c:ptCount val="1"/>
                <c:pt idx="0">
                  <c:v>EE</c:v>
                </c:pt>
              </c:strCache>
            </c:strRef>
          </c:tx>
          <c:spPr>
            <a:ln w="15875" cap="rnd">
              <a:solidFill>
                <a:srgbClr val="002060"/>
              </a:solidFill>
              <a:prstDash val="solid"/>
              <a:round/>
            </a:ln>
            <a:effectLst/>
          </c:spPr>
          <c:marker>
            <c:symbol val="none"/>
          </c:marker>
          <c:dPt>
            <c:idx val="8"/>
            <c:marker>
              <c:symbol val="none"/>
            </c:marker>
            <c:bubble3D val="0"/>
            <c:spPr>
              <a:ln w="15875" cap="rnd">
                <a:solidFill>
                  <a:srgbClr val="002060"/>
                </a:solidFill>
                <a:prstDash val="sysDash"/>
                <a:round/>
              </a:ln>
              <a:effectLst/>
            </c:spPr>
            <c:extLst>
              <c:ext xmlns:c16="http://schemas.microsoft.com/office/drawing/2014/chart" uri="{C3380CC4-5D6E-409C-BE32-E72D297353CC}">
                <c16:uniqueId val="{00000009-3221-4121-B1DC-A09C45C0B521}"/>
              </c:ext>
            </c:extLst>
          </c:dPt>
          <c:dPt>
            <c:idx val="9"/>
            <c:marker>
              <c:symbol val="none"/>
            </c:marker>
            <c:bubble3D val="0"/>
            <c:spPr>
              <a:ln w="15875" cap="rnd">
                <a:solidFill>
                  <a:srgbClr val="002060"/>
                </a:solidFill>
                <a:prstDash val="sysDash"/>
                <a:round/>
              </a:ln>
              <a:effectLst/>
            </c:spPr>
            <c:extLst>
              <c:ext xmlns:c16="http://schemas.microsoft.com/office/drawing/2014/chart" uri="{C3380CC4-5D6E-409C-BE32-E72D297353CC}">
                <c16:uniqueId val="{0000000B-3221-4121-B1DC-A09C45C0B521}"/>
              </c:ext>
            </c:extLst>
          </c:dPt>
          <c:dPt>
            <c:idx val="10"/>
            <c:marker>
              <c:symbol val="none"/>
            </c:marker>
            <c:bubble3D val="0"/>
            <c:spPr>
              <a:ln w="15875" cap="rnd">
                <a:solidFill>
                  <a:srgbClr val="002060"/>
                </a:solidFill>
                <a:prstDash val="sysDash"/>
                <a:round/>
              </a:ln>
              <a:effectLst/>
            </c:spPr>
            <c:extLst>
              <c:ext xmlns:c16="http://schemas.microsoft.com/office/drawing/2014/chart" uri="{C3380CC4-5D6E-409C-BE32-E72D297353CC}">
                <c16:uniqueId val="{0000000D-3221-4121-B1DC-A09C45C0B521}"/>
              </c:ext>
            </c:extLst>
          </c:dPt>
          <c:dPt>
            <c:idx val="11"/>
            <c:marker>
              <c:symbol val="none"/>
            </c:marker>
            <c:bubble3D val="0"/>
            <c:spPr>
              <a:ln w="15875" cap="rnd">
                <a:solidFill>
                  <a:srgbClr val="002060"/>
                </a:solidFill>
                <a:prstDash val="sysDash"/>
                <a:round/>
              </a:ln>
              <a:effectLst/>
            </c:spPr>
            <c:extLst>
              <c:ext xmlns:c16="http://schemas.microsoft.com/office/drawing/2014/chart" uri="{C3380CC4-5D6E-409C-BE32-E72D297353CC}">
                <c16:uniqueId val="{0000000F-3221-4121-B1DC-A09C45C0B521}"/>
              </c:ext>
            </c:extLst>
          </c:dPt>
          <c:dLbls>
            <c:dLbl>
              <c:idx val="0"/>
              <c:layout>
                <c:manualLayout>
                  <c:x val="-1.4072131307389771E-2"/>
                  <c:y val="-2.32896652110625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3221-4121-B1DC-A09C45C0B521}"/>
                </c:ext>
              </c:extLst>
            </c:dLbl>
            <c:dLbl>
              <c:idx val="1"/>
              <c:delete val="1"/>
              <c:extLst>
                <c:ext xmlns:c15="http://schemas.microsoft.com/office/drawing/2012/chart" uri="{CE6537A1-D6FC-4f65-9D91-7224C49458BB}"/>
                <c:ext xmlns:c16="http://schemas.microsoft.com/office/drawing/2014/chart" uri="{C3380CC4-5D6E-409C-BE32-E72D297353CC}">
                  <c16:uniqueId val="{00000011-3221-4121-B1DC-A09C45C0B521}"/>
                </c:ext>
              </c:extLst>
            </c:dLbl>
            <c:dLbl>
              <c:idx val="2"/>
              <c:layout>
                <c:manualLayout>
                  <c:x val="0"/>
                  <c:y val="-4.36681222707423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3221-4121-B1DC-A09C45C0B521}"/>
                </c:ext>
              </c:extLst>
            </c:dLbl>
            <c:dLbl>
              <c:idx val="3"/>
              <c:delete val="1"/>
              <c:extLst>
                <c:ext xmlns:c15="http://schemas.microsoft.com/office/drawing/2012/chart" uri="{CE6537A1-D6FC-4f65-9D91-7224C49458BB}"/>
                <c:ext xmlns:c16="http://schemas.microsoft.com/office/drawing/2014/chart" uri="{C3380CC4-5D6E-409C-BE32-E72D297353CC}">
                  <c16:uniqueId val="{00000013-3221-4121-B1DC-A09C45C0B521}"/>
                </c:ext>
              </c:extLst>
            </c:dLbl>
            <c:dLbl>
              <c:idx val="4"/>
              <c:delete val="1"/>
              <c:extLst>
                <c:ext xmlns:c15="http://schemas.microsoft.com/office/drawing/2012/chart" uri="{CE6537A1-D6FC-4f65-9D91-7224C49458BB}"/>
                <c:ext xmlns:c16="http://schemas.microsoft.com/office/drawing/2014/chart" uri="{C3380CC4-5D6E-409C-BE32-E72D297353CC}">
                  <c16:uniqueId val="{00000014-3221-4121-B1DC-A09C45C0B521}"/>
                </c:ext>
              </c:extLst>
            </c:dLbl>
            <c:dLbl>
              <c:idx val="5"/>
              <c:layout>
                <c:manualLayout>
                  <c:x val="-1.0554098480542231E-2"/>
                  <c:y val="-2.32896652110625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3221-4121-B1DC-A09C45C0B521}"/>
                </c:ext>
              </c:extLst>
            </c:dLbl>
            <c:dLbl>
              <c:idx val="6"/>
              <c:delete val="1"/>
              <c:extLst>
                <c:ext xmlns:c15="http://schemas.microsoft.com/office/drawing/2012/chart" uri="{CE6537A1-D6FC-4f65-9D91-7224C49458BB}"/>
                <c:ext xmlns:c16="http://schemas.microsoft.com/office/drawing/2014/chart" uri="{C3380CC4-5D6E-409C-BE32-E72D297353CC}">
                  <c16:uniqueId val="{00000016-3221-4121-B1DC-A09C45C0B521}"/>
                </c:ext>
              </c:extLst>
            </c:dLbl>
            <c:dLbl>
              <c:idx val="7"/>
              <c:delete val="1"/>
              <c:extLst>
                <c:ext xmlns:c15="http://schemas.microsoft.com/office/drawing/2012/chart" uri="{CE6537A1-D6FC-4f65-9D91-7224C49458BB}"/>
                <c:ext xmlns:c16="http://schemas.microsoft.com/office/drawing/2014/chart" uri="{C3380CC4-5D6E-409C-BE32-E72D297353CC}">
                  <c16:uniqueId val="{00000017-3221-4121-B1DC-A09C45C0B521}"/>
                </c:ext>
              </c:extLst>
            </c:dLbl>
            <c:dLbl>
              <c:idx val="8"/>
              <c:layout>
                <c:manualLayout>
                  <c:x val="4.0457377508745222E-2"/>
                  <c:y val="-3.75628532394573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221-4121-B1DC-A09C45C0B521}"/>
                </c:ext>
              </c:extLst>
            </c:dLbl>
            <c:dLbl>
              <c:idx val="9"/>
              <c:delete val="1"/>
              <c:extLst>
                <c:ext xmlns:c15="http://schemas.microsoft.com/office/drawing/2012/chart" uri="{CE6537A1-D6FC-4f65-9D91-7224C49458BB}"/>
                <c:ext xmlns:c16="http://schemas.microsoft.com/office/drawing/2014/chart" uri="{C3380CC4-5D6E-409C-BE32-E72D297353CC}">
                  <c16:uniqueId val="{0000000B-3221-4121-B1DC-A09C45C0B521}"/>
                </c:ext>
              </c:extLst>
            </c:dLbl>
            <c:dLbl>
              <c:idx val="10"/>
              <c:delete val="1"/>
              <c:extLst>
                <c:ext xmlns:c15="http://schemas.microsoft.com/office/drawing/2012/chart" uri="{CE6537A1-D6FC-4f65-9D91-7224C49458BB}"/>
                <c:ext xmlns:c16="http://schemas.microsoft.com/office/drawing/2014/chart" uri="{C3380CC4-5D6E-409C-BE32-E72D297353CC}">
                  <c16:uniqueId val="{0000000D-3221-4121-B1DC-A09C45C0B521}"/>
                </c:ext>
              </c:extLst>
            </c:dLbl>
            <c:dLbl>
              <c:idx val="11"/>
              <c:layout>
                <c:manualLayout>
                  <c:x val="-5.2770492402712445E-3"/>
                  <c:y val="-3.45572354211663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221-4121-B1DC-A09C45C0B521}"/>
                </c:ext>
              </c:extLst>
            </c:dLbl>
            <c:spPr>
              <a:noFill/>
              <a:ln>
                <a:noFill/>
              </a:ln>
              <a:effectLst/>
            </c:spPr>
            <c:txPr>
              <a:bodyPr rot="0" spcFirstLastPara="1" vertOverflow="ellipsis" vert="horz" wrap="square" anchor="ctr" anchorCtr="1"/>
              <a:lstStyle/>
              <a:p>
                <a:pPr>
                  <a:defRPr sz="8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 1'!$M$10:$X$10</c:f>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strCache>
              <c:extLst/>
            </c:strRef>
          </c:cat>
          <c:val>
            <c:numRef>
              <c:f>'Sheet 1'!$M$19:$X$19</c:f>
              <c:numCache>
                <c:formatCode>#,##0.##########</c:formatCode>
                <c:ptCount val="12"/>
                <c:pt idx="0">
                  <c:v>5.7</c:v>
                </c:pt>
                <c:pt idx="1">
                  <c:v>5.4</c:v>
                </c:pt>
                <c:pt idx="2">
                  <c:v>5.2</c:v>
                </c:pt>
                <c:pt idx="3">
                  <c:v>5.4</c:v>
                </c:pt>
                <c:pt idx="4">
                  <c:v>5.7</c:v>
                </c:pt>
                <c:pt idx="5">
                  <c:v>6.6</c:v>
                </c:pt>
                <c:pt idx="6">
                  <c:v>6.5</c:v>
                </c:pt>
                <c:pt idx="7">
                  <c:v>5.9</c:v>
                </c:pt>
                <c:pt idx="8">
                  <c:v>6.4</c:v>
                </c:pt>
                <c:pt idx="9">
                  <c:v>6.3</c:v>
                </c:pt>
                <c:pt idx="10">
                  <c:v>6.4</c:v>
                </c:pt>
                <c:pt idx="11">
                  <c:v>6.5</c:v>
                </c:pt>
              </c:numCache>
              <c:extLst/>
            </c:numRef>
          </c:val>
          <c:smooth val="0"/>
          <c:extLst>
            <c:ext xmlns:c16="http://schemas.microsoft.com/office/drawing/2014/chart" uri="{C3380CC4-5D6E-409C-BE32-E72D297353CC}">
              <c16:uniqueId val="{00000018-3221-4121-B1DC-A09C45C0B521}"/>
            </c:ext>
          </c:extLst>
        </c:ser>
        <c:ser>
          <c:idx val="2"/>
          <c:order val="2"/>
          <c:tx>
            <c:strRef>
              <c:f>'Sheet 1'!$B$20</c:f>
              <c:strCache>
                <c:ptCount val="1"/>
                <c:pt idx="0">
                  <c:v>LV</c:v>
                </c:pt>
              </c:strCache>
            </c:strRef>
          </c:tx>
          <c:spPr>
            <a:ln w="15875" cap="rnd">
              <a:solidFill>
                <a:srgbClr val="C00000"/>
              </a:solidFill>
              <a:round/>
            </a:ln>
            <a:effectLst/>
          </c:spPr>
          <c:marker>
            <c:symbol val="none"/>
          </c:marker>
          <c:dPt>
            <c:idx val="9"/>
            <c:marker>
              <c:symbol val="none"/>
            </c:marker>
            <c:bubble3D val="0"/>
            <c:spPr>
              <a:ln w="15875" cap="rnd">
                <a:solidFill>
                  <a:srgbClr val="C00000"/>
                </a:solidFill>
                <a:prstDash val="solid"/>
                <a:round/>
              </a:ln>
              <a:effectLst/>
            </c:spPr>
            <c:extLst>
              <c:ext xmlns:c16="http://schemas.microsoft.com/office/drawing/2014/chart" uri="{C3380CC4-5D6E-409C-BE32-E72D297353CC}">
                <c16:uniqueId val="{0000001A-3221-4121-B1DC-A09C45C0B521}"/>
              </c:ext>
            </c:extLst>
          </c:dPt>
          <c:dPt>
            <c:idx val="10"/>
            <c:marker>
              <c:symbol val="none"/>
            </c:marker>
            <c:bubble3D val="0"/>
            <c:spPr>
              <a:ln w="15875" cap="rnd">
                <a:solidFill>
                  <a:srgbClr val="C00000"/>
                </a:solidFill>
                <a:prstDash val="solid"/>
                <a:round/>
              </a:ln>
              <a:effectLst/>
            </c:spPr>
            <c:extLst>
              <c:ext xmlns:c16="http://schemas.microsoft.com/office/drawing/2014/chart" uri="{C3380CC4-5D6E-409C-BE32-E72D297353CC}">
                <c16:uniqueId val="{0000001C-3221-4121-B1DC-A09C45C0B521}"/>
              </c:ext>
            </c:extLst>
          </c:dPt>
          <c:dPt>
            <c:idx val="11"/>
            <c:marker>
              <c:symbol val="none"/>
            </c:marker>
            <c:bubble3D val="0"/>
            <c:spPr>
              <a:ln w="15875" cap="rnd">
                <a:solidFill>
                  <a:srgbClr val="C00000"/>
                </a:solidFill>
                <a:prstDash val="solid"/>
                <a:round/>
              </a:ln>
              <a:effectLst/>
            </c:spPr>
            <c:extLst>
              <c:ext xmlns:c16="http://schemas.microsoft.com/office/drawing/2014/chart" uri="{C3380CC4-5D6E-409C-BE32-E72D297353CC}">
                <c16:uniqueId val="{0000001E-3221-4121-B1DC-A09C45C0B521}"/>
              </c:ext>
            </c:extLst>
          </c:dPt>
          <c:dLbls>
            <c:dLbl>
              <c:idx val="0"/>
              <c:delete val="1"/>
              <c:extLst>
                <c:ext xmlns:c15="http://schemas.microsoft.com/office/drawing/2012/chart" uri="{CE6537A1-D6FC-4f65-9D91-7224C49458BB}"/>
                <c:ext xmlns:c16="http://schemas.microsoft.com/office/drawing/2014/chart" uri="{C3380CC4-5D6E-409C-BE32-E72D297353CC}">
                  <c16:uniqueId val="{0000001F-3221-4121-B1DC-A09C45C0B521}"/>
                </c:ext>
              </c:extLst>
            </c:dLbl>
            <c:dLbl>
              <c:idx val="1"/>
              <c:delete val="1"/>
              <c:extLst>
                <c:ext xmlns:c15="http://schemas.microsoft.com/office/drawing/2012/chart" uri="{CE6537A1-D6FC-4f65-9D91-7224C49458BB}"/>
                <c:ext xmlns:c16="http://schemas.microsoft.com/office/drawing/2014/chart" uri="{C3380CC4-5D6E-409C-BE32-E72D297353CC}">
                  <c16:uniqueId val="{00000020-3221-4121-B1DC-A09C45C0B521}"/>
                </c:ext>
              </c:extLst>
            </c:dLbl>
            <c:dLbl>
              <c:idx val="3"/>
              <c:delete val="1"/>
              <c:extLst>
                <c:ext xmlns:c15="http://schemas.microsoft.com/office/drawing/2012/chart" uri="{CE6537A1-D6FC-4f65-9D91-7224C49458BB}"/>
                <c:ext xmlns:c16="http://schemas.microsoft.com/office/drawing/2014/chart" uri="{C3380CC4-5D6E-409C-BE32-E72D297353CC}">
                  <c16:uniqueId val="{00000021-3221-4121-B1DC-A09C45C0B521}"/>
                </c:ext>
              </c:extLst>
            </c:dLbl>
            <c:dLbl>
              <c:idx val="4"/>
              <c:delete val="1"/>
              <c:extLst>
                <c:ext xmlns:c15="http://schemas.microsoft.com/office/drawing/2012/chart" uri="{CE6537A1-D6FC-4f65-9D91-7224C49458BB}"/>
                <c:ext xmlns:c16="http://schemas.microsoft.com/office/drawing/2014/chart" uri="{C3380CC4-5D6E-409C-BE32-E72D297353CC}">
                  <c16:uniqueId val="{00000022-3221-4121-B1DC-A09C45C0B521}"/>
                </c:ext>
              </c:extLst>
            </c:dLbl>
            <c:dLbl>
              <c:idx val="5"/>
              <c:layout>
                <c:manualLayout>
                  <c:x val="-1.1678833190765825E-2"/>
                  <c:y val="5.22875816993464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3221-4121-B1DC-A09C45C0B521}"/>
                </c:ext>
              </c:extLst>
            </c:dLbl>
            <c:dLbl>
              <c:idx val="6"/>
              <c:layout>
                <c:manualLayout>
                  <c:x val="-2.1108196961084461E-2"/>
                  <c:y val="7.27802037845705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3221-4121-B1DC-A09C45C0B521}"/>
                </c:ext>
              </c:extLst>
            </c:dLbl>
            <c:dLbl>
              <c:idx val="7"/>
              <c:delete val="1"/>
              <c:extLst>
                <c:ext xmlns:c15="http://schemas.microsoft.com/office/drawing/2012/chart" uri="{CE6537A1-D6FC-4f65-9D91-7224C49458BB}"/>
                <c:ext xmlns:c16="http://schemas.microsoft.com/office/drawing/2014/chart" uri="{C3380CC4-5D6E-409C-BE32-E72D297353CC}">
                  <c16:uniqueId val="{00000025-3221-4121-B1DC-A09C45C0B521}"/>
                </c:ext>
              </c:extLst>
            </c:dLbl>
            <c:dLbl>
              <c:idx val="8"/>
              <c:layout>
                <c:manualLayout>
                  <c:x val="3.5180328268472815E-3"/>
                  <c:y val="-3.20232896652110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3221-4121-B1DC-A09C45C0B521}"/>
                </c:ext>
              </c:extLst>
            </c:dLbl>
            <c:dLbl>
              <c:idx val="9"/>
              <c:layout>
                <c:manualLayout>
                  <c:x val="0"/>
                  <c:y val="-3.49344978165938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3221-4121-B1DC-A09C45C0B521}"/>
                </c:ext>
              </c:extLst>
            </c:dLbl>
            <c:dLbl>
              <c:idx val="10"/>
              <c:delete val="1"/>
              <c:extLst>
                <c:ext xmlns:c15="http://schemas.microsoft.com/office/drawing/2012/chart" uri="{CE6537A1-D6FC-4f65-9D91-7224C49458BB}"/>
                <c:ext xmlns:c16="http://schemas.microsoft.com/office/drawing/2014/chart" uri="{C3380CC4-5D6E-409C-BE32-E72D297353CC}">
                  <c16:uniqueId val="{0000001C-3221-4121-B1DC-A09C45C0B521}"/>
                </c:ext>
              </c:extLst>
            </c:dLbl>
            <c:dLbl>
              <c:idx val="11"/>
              <c:layout>
                <c:manualLayout>
                  <c:x val="-1.5831147720813347E-2"/>
                  <c:y val="-3.20232896652110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3221-4121-B1DC-A09C45C0B521}"/>
                </c:ext>
              </c:extLst>
            </c:dLbl>
            <c:spPr>
              <a:noFill/>
              <a:ln>
                <a:noFill/>
              </a:ln>
              <a:effectLst/>
            </c:spPr>
            <c:txPr>
              <a:bodyPr rot="0" spcFirstLastPara="1" vertOverflow="ellipsis" vert="horz" wrap="square" anchor="ctr" anchorCtr="1"/>
              <a:lstStyle/>
              <a:p>
                <a:pPr>
                  <a:defRPr sz="8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 1'!$M$10:$X$10</c:f>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strCache>
              <c:extLst/>
            </c:strRef>
          </c:cat>
          <c:val>
            <c:numRef>
              <c:f>'Sheet 1'!$M$20:$X$20</c:f>
              <c:numCache>
                <c:formatCode>#,##0.##########</c:formatCode>
                <c:ptCount val="12"/>
                <c:pt idx="0">
                  <c:v>3.7</c:v>
                </c:pt>
                <c:pt idx="1">
                  <c:v>3.7</c:v>
                </c:pt>
                <c:pt idx="2">
                  <c:v>3.5</c:v>
                </c:pt>
                <c:pt idx="3" formatCode="#,##0.0">
                  <c:v>4</c:v>
                </c:pt>
                <c:pt idx="4">
                  <c:v>4.2</c:v>
                </c:pt>
                <c:pt idx="5">
                  <c:v>4.7</c:v>
                </c:pt>
                <c:pt idx="6">
                  <c:v>6.2</c:v>
                </c:pt>
                <c:pt idx="7" formatCode="#,##0.#">
                  <c:v>5.5533581523107332</c:v>
                </c:pt>
                <c:pt idx="8" formatCode="#,##0.#">
                  <c:v>4.3020611092447449</c:v>
                </c:pt>
                <c:pt idx="9" formatCode="0.0">
                  <c:v>3.9443625722894504</c:v>
                </c:pt>
                <c:pt idx="10" formatCode="0.0">
                  <c:v>3.7349088410508746</c:v>
                </c:pt>
                <c:pt idx="11" formatCode="0.0">
                  <c:v>3.5806016328934156</c:v>
                </c:pt>
              </c:numCache>
              <c:extLst/>
            </c:numRef>
          </c:val>
          <c:smooth val="0"/>
          <c:extLst>
            <c:ext xmlns:c16="http://schemas.microsoft.com/office/drawing/2014/chart" uri="{C3380CC4-5D6E-409C-BE32-E72D297353CC}">
              <c16:uniqueId val="{00000027-3221-4121-B1DC-A09C45C0B521}"/>
            </c:ext>
          </c:extLst>
        </c:ser>
        <c:ser>
          <c:idx val="3"/>
          <c:order val="3"/>
          <c:tx>
            <c:strRef>
              <c:f>'Sheet 1'!$B$21</c:f>
              <c:strCache>
                <c:ptCount val="1"/>
                <c:pt idx="0">
                  <c:v>LT</c:v>
                </c:pt>
              </c:strCache>
            </c:strRef>
          </c:tx>
          <c:spPr>
            <a:ln w="15875" cap="rnd">
              <a:solidFill>
                <a:srgbClr val="9C9AB4"/>
              </a:solidFill>
              <a:prstDash val="solid"/>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28-3221-4121-B1DC-A09C45C0B521}"/>
                </c:ext>
              </c:extLst>
            </c:dLbl>
            <c:dLbl>
              <c:idx val="1"/>
              <c:delete val="1"/>
              <c:extLst>
                <c:ext xmlns:c15="http://schemas.microsoft.com/office/drawing/2012/chart" uri="{CE6537A1-D6FC-4f65-9D91-7224C49458BB}"/>
                <c:ext xmlns:c16="http://schemas.microsoft.com/office/drawing/2014/chart" uri="{C3380CC4-5D6E-409C-BE32-E72D297353CC}">
                  <c16:uniqueId val="{00000029-3221-4121-B1DC-A09C45C0B521}"/>
                </c:ext>
              </c:extLst>
            </c:dLbl>
            <c:dLbl>
              <c:idx val="2"/>
              <c:delete val="1"/>
              <c:extLst>
                <c:ext xmlns:c15="http://schemas.microsoft.com/office/drawing/2012/chart" uri="{CE6537A1-D6FC-4f65-9D91-7224C49458BB}"/>
                <c:ext xmlns:c16="http://schemas.microsoft.com/office/drawing/2014/chart" uri="{C3380CC4-5D6E-409C-BE32-E72D297353CC}">
                  <c16:uniqueId val="{0000002A-3221-4121-B1DC-A09C45C0B521}"/>
                </c:ext>
              </c:extLst>
            </c:dLbl>
            <c:dLbl>
              <c:idx val="4"/>
              <c:delete val="1"/>
              <c:extLst>
                <c:ext xmlns:c15="http://schemas.microsoft.com/office/drawing/2012/chart" uri="{CE6537A1-D6FC-4f65-9D91-7224C49458BB}"/>
                <c:ext xmlns:c16="http://schemas.microsoft.com/office/drawing/2014/chart" uri="{C3380CC4-5D6E-409C-BE32-E72D297353CC}">
                  <c16:uniqueId val="{0000002B-3221-4121-B1DC-A09C45C0B521}"/>
                </c:ext>
              </c:extLst>
            </c:dLbl>
            <c:dLbl>
              <c:idx val="5"/>
              <c:layout>
                <c:manualLayout>
                  <c:x val="-1.0554098480542231E-2"/>
                  <c:y val="-2.62008733624454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C-3221-4121-B1DC-A09C45C0B521}"/>
                </c:ext>
              </c:extLst>
            </c:dLbl>
            <c:dLbl>
              <c:idx val="6"/>
              <c:delete val="1"/>
              <c:extLst>
                <c:ext xmlns:c15="http://schemas.microsoft.com/office/drawing/2012/chart" uri="{CE6537A1-D6FC-4f65-9D91-7224C49458BB}"/>
                <c:ext xmlns:c16="http://schemas.microsoft.com/office/drawing/2014/chart" uri="{C3380CC4-5D6E-409C-BE32-E72D297353CC}">
                  <c16:uniqueId val="{0000002D-3221-4121-B1DC-A09C45C0B521}"/>
                </c:ext>
              </c:extLst>
            </c:dLbl>
            <c:spPr>
              <a:noFill/>
              <a:ln>
                <a:noFill/>
              </a:ln>
              <a:effectLst/>
            </c:spPr>
            <c:txPr>
              <a:bodyPr rot="0" spcFirstLastPara="1" vertOverflow="ellipsis" vert="horz" wrap="square" anchor="ctr" anchorCtr="1"/>
              <a:lstStyle/>
              <a:p>
                <a:pPr>
                  <a:defRPr sz="900" b="1" i="0" u="none" strike="noStrike" kern="1200" baseline="0">
                    <a:solidFill>
                      <a:srgbClr val="9C9AB4"/>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 1'!$M$10:$X$10</c:f>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strCache>
              <c:extLst/>
            </c:strRef>
          </c:cat>
          <c:val>
            <c:numRef>
              <c:f>'Sheet 1'!$M$21:$X$21</c:f>
              <c:numCache>
                <c:formatCode>#,##0.##########</c:formatCode>
                <c:ptCount val="12"/>
                <c:pt idx="0">
                  <c:v>4.7</c:v>
                </c:pt>
                <c:pt idx="1">
                  <c:v>4.8</c:v>
                </c:pt>
                <c:pt idx="2">
                  <c:v>4.5999999999999996</c:v>
                </c:pt>
                <c:pt idx="3">
                  <c:v>4.8</c:v>
                </c:pt>
                <c:pt idx="4">
                  <c:v>5.0999999999999996</c:v>
                </c:pt>
                <c:pt idx="5">
                  <c:v>5.9</c:v>
                </c:pt>
                <c:pt idx="6">
                  <c:v>5.9</c:v>
                </c:pt>
              </c:numCache>
              <c:extLst/>
            </c:numRef>
          </c:val>
          <c:smooth val="0"/>
          <c:extLst>
            <c:ext xmlns:c16="http://schemas.microsoft.com/office/drawing/2014/chart" uri="{C3380CC4-5D6E-409C-BE32-E72D297353CC}">
              <c16:uniqueId val="{0000002E-3221-4121-B1DC-A09C45C0B521}"/>
            </c:ext>
          </c:extLst>
        </c:ser>
        <c:ser>
          <c:idx val="4"/>
          <c:order val="4"/>
          <c:tx>
            <c:strRef>
              <c:f>'Sheet 1'!$B$22</c:f>
              <c:strCache>
                <c:ptCount val="1"/>
                <c:pt idx="0">
                  <c:v>SE</c:v>
                </c:pt>
              </c:strCache>
            </c:strRef>
          </c:tx>
          <c:spPr>
            <a:ln w="15875" cap="rnd">
              <a:solidFill>
                <a:schemeClr val="tx1"/>
              </a:solidFill>
              <a:prstDash val="sysDot"/>
              <a:round/>
            </a:ln>
            <a:effectLst/>
          </c:spPr>
          <c:marker>
            <c:symbol val="none"/>
          </c:marker>
          <c:cat>
            <c:strRef>
              <c:f>'Sheet 1'!$M$10:$X$10</c:f>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strCache>
              <c:extLst/>
            </c:strRef>
          </c:cat>
          <c:val>
            <c:numRef>
              <c:f>'Sheet 1'!$M$22:$X$22</c:f>
              <c:numCache>
                <c:formatCode>#,##0.##########</c:formatCode>
                <c:ptCount val="12"/>
                <c:pt idx="0">
                  <c:v>6.8</c:v>
                </c:pt>
                <c:pt idx="1">
                  <c:v>6.9</c:v>
                </c:pt>
                <c:pt idx="2">
                  <c:v>6.8</c:v>
                </c:pt>
                <c:pt idx="3" formatCode="#,##0.0">
                  <c:v>7</c:v>
                </c:pt>
                <c:pt idx="4" formatCode="#,##0.0">
                  <c:v>7</c:v>
                </c:pt>
                <c:pt idx="5">
                  <c:v>7.3</c:v>
                </c:pt>
                <c:pt idx="6">
                  <c:v>7.5</c:v>
                </c:pt>
              </c:numCache>
              <c:extLst/>
            </c:numRef>
          </c:val>
          <c:smooth val="0"/>
          <c:extLst>
            <c:ext xmlns:c16="http://schemas.microsoft.com/office/drawing/2014/chart" uri="{C3380CC4-5D6E-409C-BE32-E72D297353CC}">
              <c16:uniqueId val="{0000002F-3221-4121-B1DC-A09C45C0B521}"/>
            </c:ext>
          </c:extLst>
        </c:ser>
        <c:ser>
          <c:idx val="5"/>
          <c:order val="5"/>
          <c:tx>
            <c:strRef>
              <c:f>'Sheet 1'!$B$23</c:f>
              <c:strCache>
                <c:ptCount val="1"/>
                <c:pt idx="0">
                  <c:v>LV mērķis</c:v>
                </c:pt>
              </c:strCache>
            </c:strRef>
          </c:tx>
          <c:spPr>
            <a:ln w="15875" cap="rnd">
              <a:solidFill>
                <a:srgbClr val="C00000"/>
              </a:solidFill>
              <a:prstDash val="sysDot"/>
              <a:round/>
            </a:ln>
            <a:effectLst/>
          </c:spPr>
          <c:marker>
            <c:symbol val="none"/>
          </c:marker>
          <c:dLbls>
            <c:dLbl>
              <c:idx val="1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0-3221-4121-B1DC-A09C45C0B521}"/>
                </c:ext>
              </c:extLst>
            </c:dLbl>
            <c:numFmt formatCode="#,##0.0" sourceLinked="0"/>
            <c:spPr>
              <a:noFill/>
              <a:ln>
                <a:noFill/>
              </a:ln>
              <a:effectLst/>
            </c:spPr>
            <c:txPr>
              <a:bodyPr rot="0" spcFirstLastPara="1" vertOverflow="ellipsis" vert="horz" wrap="square" anchor="ctr" anchorCtr="1"/>
              <a:lstStyle/>
              <a:p>
                <a:pPr>
                  <a:defRPr sz="9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extLst>
                <c:ext xmlns:c15="http://schemas.microsoft.com/office/drawing/2012/chart" uri="{02D57815-91ED-43cb-92C2-25804820EDAC}">
                  <c15:autoCat val="1"/>
                </c:ext>
              </c:extLst>
            </c:strLit>
          </c:cat>
          <c:val>
            <c:numRef>
              <c:f>'Sheet 1'!$M$23:$X$23</c:f>
              <c:numCache>
                <c:formatCode>#,##0.##########</c:formatCode>
                <c:ptCount val="12"/>
                <c:pt idx="0">
                  <c:v>3.7</c:v>
                </c:pt>
                <c:pt idx="1">
                  <c:v>3.7</c:v>
                </c:pt>
                <c:pt idx="2">
                  <c:v>3.5</c:v>
                </c:pt>
                <c:pt idx="3">
                  <c:v>4</c:v>
                </c:pt>
                <c:pt idx="4">
                  <c:v>4.2</c:v>
                </c:pt>
                <c:pt idx="5">
                  <c:v>4.7</c:v>
                </c:pt>
                <c:pt idx="6">
                  <c:v>6.2</c:v>
                </c:pt>
                <c:pt idx="7" formatCode="#,##0.#">
                  <c:v>5.5533581523107332</c:v>
                </c:pt>
                <c:pt idx="8" formatCode="#,##0.#">
                  <c:v>4.3020611092447449</c:v>
                </c:pt>
                <c:pt idx="9" formatCode="#,##0.#">
                  <c:v>5.4443625722894504</c:v>
                </c:pt>
                <c:pt idx="10" formatCode="#,##0.#">
                  <c:v>5.2349088410508742</c:v>
                </c:pt>
                <c:pt idx="11" formatCode="#,##0.#">
                  <c:v>5.0806016328934156</c:v>
                </c:pt>
              </c:numCache>
              <c:extLst/>
            </c:numRef>
          </c:val>
          <c:smooth val="0"/>
          <c:extLst>
            <c:ext xmlns:c16="http://schemas.microsoft.com/office/drawing/2014/chart" uri="{C3380CC4-5D6E-409C-BE32-E72D297353CC}">
              <c16:uniqueId val="{00000031-3221-4121-B1DC-A09C45C0B521}"/>
            </c:ext>
          </c:extLst>
        </c:ser>
        <c:dLbls>
          <c:showLegendKey val="0"/>
          <c:showVal val="0"/>
          <c:showCatName val="0"/>
          <c:showSerName val="0"/>
          <c:showPercent val="0"/>
          <c:showBubbleSize val="0"/>
        </c:dLbls>
        <c:marker val="1"/>
        <c:smooth val="0"/>
        <c:axId val="381745136"/>
        <c:axId val="381758096"/>
      </c:lineChart>
      <c:catAx>
        <c:axId val="381745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81758096"/>
        <c:crosses val="autoZero"/>
        <c:auto val="1"/>
        <c:lblAlgn val="ctr"/>
        <c:lblOffset val="100"/>
        <c:noMultiLvlLbl val="0"/>
      </c:catAx>
      <c:valAx>
        <c:axId val="381758096"/>
        <c:scaling>
          <c:orientation val="minMax"/>
          <c:min val="2"/>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81745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 1'!$B$35</c:f>
              <c:strCache>
                <c:ptCount val="1"/>
                <c:pt idx="0">
                  <c:v>EU 27</c:v>
                </c:pt>
              </c:strCache>
            </c:strRef>
          </c:tx>
          <c:spPr>
            <a:ln w="28575" cap="rnd">
              <a:noFill/>
              <a:prstDash val="dash"/>
              <a:round/>
            </a:ln>
            <a:effectLst/>
          </c:spPr>
          <c:marker>
            <c:symbol val="square"/>
            <c:size val="5"/>
            <c:spPr>
              <a:solidFill>
                <a:schemeClr val="tx1">
                  <a:lumMod val="50000"/>
                  <a:lumOff val="50000"/>
                </a:schemeClr>
              </a:solidFill>
              <a:ln w="9525">
                <a:no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0-2986-4249-96E0-0FA911FFAC3E}"/>
                </c:ext>
              </c:extLst>
            </c:dLbl>
            <c:dLbl>
              <c:idx val="1"/>
              <c:delete val="1"/>
              <c:extLst>
                <c:ext xmlns:c15="http://schemas.microsoft.com/office/drawing/2012/chart" uri="{CE6537A1-D6FC-4f65-9D91-7224C49458BB}"/>
                <c:ext xmlns:c16="http://schemas.microsoft.com/office/drawing/2014/chart" uri="{C3380CC4-5D6E-409C-BE32-E72D297353CC}">
                  <c16:uniqueId val="{00000001-2986-4249-96E0-0FA911FFAC3E}"/>
                </c:ext>
              </c:extLst>
            </c:dLbl>
            <c:dLbl>
              <c:idx val="2"/>
              <c:delete val="1"/>
              <c:extLst>
                <c:ext xmlns:c15="http://schemas.microsoft.com/office/drawing/2012/chart" uri="{CE6537A1-D6FC-4f65-9D91-7224C49458BB}"/>
                <c:ext xmlns:c16="http://schemas.microsoft.com/office/drawing/2014/chart" uri="{C3380CC4-5D6E-409C-BE32-E72D297353CC}">
                  <c16:uniqueId val="{00000002-2986-4249-96E0-0FA911FFAC3E}"/>
                </c:ext>
              </c:extLst>
            </c:dLbl>
            <c:dLbl>
              <c:idx val="3"/>
              <c:delete val="1"/>
              <c:extLst>
                <c:ext xmlns:c15="http://schemas.microsoft.com/office/drawing/2012/chart" uri="{CE6537A1-D6FC-4f65-9D91-7224C49458BB}"/>
                <c:ext xmlns:c16="http://schemas.microsoft.com/office/drawing/2014/chart" uri="{C3380CC4-5D6E-409C-BE32-E72D297353CC}">
                  <c16:uniqueId val="{00000003-2986-4249-96E0-0FA911FFAC3E}"/>
                </c:ext>
              </c:extLst>
            </c:dLbl>
            <c:dLbl>
              <c:idx val="4"/>
              <c:delete val="1"/>
              <c:extLst>
                <c:ext xmlns:c15="http://schemas.microsoft.com/office/drawing/2012/chart" uri="{CE6537A1-D6FC-4f65-9D91-7224C49458BB}"/>
                <c:ext xmlns:c16="http://schemas.microsoft.com/office/drawing/2014/chart" uri="{C3380CC4-5D6E-409C-BE32-E72D297353CC}">
                  <c16:uniqueId val="{00000004-2986-4249-96E0-0FA911FFAC3E}"/>
                </c:ext>
              </c:extLst>
            </c:dLbl>
            <c:dLbl>
              <c:idx val="5"/>
              <c:delete val="1"/>
              <c:extLst>
                <c:ext xmlns:c15="http://schemas.microsoft.com/office/drawing/2012/chart" uri="{CE6537A1-D6FC-4f65-9D91-7224C49458BB}"/>
                <c:ext xmlns:c16="http://schemas.microsoft.com/office/drawing/2014/chart" uri="{C3380CC4-5D6E-409C-BE32-E72D297353CC}">
                  <c16:uniqueId val="{00000005-2986-4249-96E0-0FA911FFAC3E}"/>
                </c:ext>
              </c:extLst>
            </c:dLbl>
            <c:dLbl>
              <c:idx val="6"/>
              <c:spPr>
                <a:noFill/>
                <a:ln>
                  <a:noFill/>
                </a:ln>
                <a:effectLst/>
              </c:spPr>
              <c:txPr>
                <a:bodyPr rot="0" spcFirstLastPara="1" vertOverflow="ellipsis" vert="horz" wrap="square" anchor="ctr" anchorCtr="1"/>
                <a:lstStyle/>
                <a:p>
                  <a:pPr>
                    <a:defRPr sz="80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6-2986-4249-96E0-0FA911FFAC3E}"/>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 1'!$M$10:$X$10</c:f>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strCache>
              <c:extLst/>
            </c:strRef>
          </c:cat>
          <c:val>
            <c:numRef>
              <c:f>'Sheet 1'!$M$35:$S$35</c:f>
              <c:numCache>
                <c:formatCode>#\ ##0.##########</c:formatCode>
                <c:ptCount val="7"/>
                <c:pt idx="0">
                  <c:v>1.2</c:v>
                </c:pt>
                <c:pt idx="1">
                  <c:v>1.2</c:v>
                </c:pt>
                <c:pt idx="2" formatCode="#\ ##0.0">
                  <c:v>1.2</c:v>
                </c:pt>
                <c:pt idx="3">
                  <c:v>1.2</c:v>
                </c:pt>
                <c:pt idx="4" formatCode="#\ ##0.0">
                  <c:v>1.2</c:v>
                </c:pt>
                <c:pt idx="5">
                  <c:v>1.3</c:v>
                </c:pt>
                <c:pt idx="6">
                  <c:v>1.3</c:v>
                </c:pt>
              </c:numCache>
              <c:extLst/>
            </c:numRef>
          </c:val>
          <c:smooth val="0"/>
          <c:extLst>
            <c:ext xmlns:c16="http://schemas.microsoft.com/office/drawing/2014/chart" uri="{C3380CC4-5D6E-409C-BE32-E72D297353CC}">
              <c16:uniqueId val="{00000007-2986-4249-96E0-0FA911FFAC3E}"/>
            </c:ext>
          </c:extLst>
        </c:ser>
        <c:ser>
          <c:idx val="1"/>
          <c:order val="1"/>
          <c:tx>
            <c:strRef>
              <c:f>'Sheet 1'!$B$36</c:f>
              <c:strCache>
                <c:ptCount val="1"/>
                <c:pt idx="0">
                  <c:v>EE</c:v>
                </c:pt>
              </c:strCache>
            </c:strRef>
          </c:tx>
          <c:spPr>
            <a:ln w="15875" cap="rnd">
              <a:solidFill>
                <a:srgbClr val="002060"/>
              </a:solidFill>
              <a:prstDash val="solid"/>
              <a:round/>
            </a:ln>
            <a:effectLst/>
          </c:spPr>
          <c:marker>
            <c:symbol val="none"/>
          </c:marker>
          <c:dPt>
            <c:idx val="8"/>
            <c:marker>
              <c:symbol val="none"/>
            </c:marker>
            <c:bubble3D val="0"/>
            <c:spPr>
              <a:ln w="15875" cap="rnd">
                <a:solidFill>
                  <a:srgbClr val="002060"/>
                </a:solidFill>
                <a:prstDash val="solid"/>
                <a:round/>
              </a:ln>
              <a:effectLst/>
            </c:spPr>
            <c:extLst>
              <c:ext xmlns:c16="http://schemas.microsoft.com/office/drawing/2014/chart" uri="{C3380CC4-5D6E-409C-BE32-E72D297353CC}">
                <c16:uniqueId val="{00000009-2986-4249-96E0-0FA911FFAC3E}"/>
              </c:ext>
            </c:extLst>
          </c:dPt>
          <c:dPt>
            <c:idx val="9"/>
            <c:marker>
              <c:symbol val="none"/>
            </c:marker>
            <c:bubble3D val="0"/>
            <c:spPr>
              <a:ln w="15875" cap="rnd">
                <a:solidFill>
                  <a:srgbClr val="002060"/>
                </a:solidFill>
                <a:prstDash val="solid"/>
                <a:round/>
              </a:ln>
              <a:effectLst/>
            </c:spPr>
            <c:extLst>
              <c:ext xmlns:c16="http://schemas.microsoft.com/office/drawing/2014/chart" uri="{C3380CC4-5D6E-409C-BE32-E72D297353CC}">
                <c16:uniqueId val="{0000000B-2986-4249-96E0-0FA911FFAC3E}"/>
              </c:ext>
            </c:extLst>
          </c:dPt>
          <c:dPt>
            <c:idx val="10"/>
            <c:marker>
              <c:symbol val="none"/>
            </c:marker>
            <c:bubble3D val="0"/>
            <c:spPr>
              <a:ln w="15875" cap="rnd">
                <a:solidFill>
                  <a:srgbClr val="002060"/>
                </a:solidFill>
                <a:prstDash val="solid"/>
                <a:round/>
              </a:ln>
              <a:effectLst/>
            </c:spPr>
            <c:extLst>
              <c:ext xmlns:c16="http://schemas.microsoft.com/office/drawing/2014/chart" uri="{C3380CC4-5D6E-409C-BE32-E72D297353CC}">
                <c16:uniqueId val="{0000000D-2986-4249-96E0-0FA911FFAC3E}"/>
              </c:ext>
            </c:extLst>
          </c:dPt>
          <c:dPt>
            <c:idx val="11"/>
            <c:marker>
              <c:symbol val="none"/>
            </c:marker>
            <c:bubble3D val="0"/>
            <c:spPr>
              <a:ln w="15875" cap="rnd">
                <a:solidFill>
                  <a:srgbClr val="002060"/>
                </a:solidFill>
                <a:prstDash val="solid"/>
                <a:round/>
              </a:ln>
              <a:effectLst/>
            </c:spPr>
            <c:extLst>
              <c:ext xmlns:c16="http://schemas.microsoft.com/office/drawing/2014/chart" uri="{C3380CC4-5D6E-409C-BE32-E72D297353CC}">
                <c16:uniqueId val="{0000000F-2986-4249-96E0-0FA911FFAC3E}"/>
              </c:ext>
            </c:extLst>
          </c:dPt>
          <c:dLbls>
            <c:dLbl>
              <c:idx val="0"/>
              <c:delete val="1"/>
              <c:extLst>
                <c:ext xmlns:c15="http://schemas.microsoft.com/office/drawing/2012/chart" uri="{CE6537A1-D6FC-4f65-9D91-7224C49458BB}"/>
                <c:ext xmlns:c16="http://schemas.microsoft.com/office/drawing/2014/chart" uri="{C3380CC4-5D6E-409C-BE32-E72D297353CC}">
                  <c16:uniqueId val="{00000010-2986-4249-96E0-0FA911FFAC3E}"/>
                </c:ext>
              </c:extLst>
            </c:dLbl>
            <c:dLbl>
              <c:idx val="1"/>
              <c:delete val="1"/>
              <c:extLst>
                <c:ext xmlns:c15="http://schemas.microsoft.com/office/drawing/2012/chart" uri="{CE6537A1-D6FC-4f65-9D91-7224C49458BB}"/>
                <c:ext xmlns:c16="http://schemas.microsoft.com/office/drawing/2014/chart" uri="{C3380CC4-5D6E-409C-BE32-E72D297353CC}">
                  <c16:uniqueId val="{00000011-2986-4249-96E0-0FA911FFAC3E}"/>
                </c:ext>
              </c:extLst>
            </c:dLbl>
            <c:dLbl>
              <c:idx val="2"/>
              <c:delete val="1"/>
              <c:extLst>
                <c:ext xmlns:c15="http://schemas.microsoft.com/office/drawing/2012/chart" uri="{CE6537A1-D6FC-4f65-9D91-7224C49458BB}"/>
                <c:ext xmlns:c16="http://schemas.microsoft.com/office/drawing/2014/chart" uri="{C3380CC4-5D6E-409C-BE32-E72D297353CC}">
                  <c16:uniqueId val="{00000012-2986-4249-96E0-0FA911FFAC3E}"/>
                </c:ext>
              </c:extLst>
            </c:dLbl>
            <c:dLbl>
              <c:idx val="3"/>
              <c:delete val="1"/>
              <c:extLst>
                <c:ext xmlns:c15="http://schemas.microsoft.com/office/drawing/2012/chart" uri="{CE6537A1-D6FC-4f65-9D91-7224C49458BB}"/>
                <c:ext xmlns:c16="http://schemas.microsoft.com/office/drawing/2014/chart" uri="{C3380CC4-5D6E-409C-BE32-E72D297353CC}">
                  <c16:uniqueId val="{00000013-2986-4249-96E0-0FA911FFAC3E}"/>
                </c:ext>
              </c:extLst>
            </c:dLbl>
            <c:dLbl>
              <c:idx val="4"/>
              <c:delete val="1"/>
              <c:extLst>
                <c:ext xmlns:c15="http://schemas.microsoft.com/office/drawing/2012/chart" uri="{CE6537A1-D6FC-4f65-9D91-7224C49458BB}"/>
                <c:ext xmlns:c16="http://schemas.microsoft.com/office/drawing/2014/chart" uri="{C3380CC4-5D6E-409C-BE32-E72D297353CC}">
                  <c16:uniqueId val="{00000014-2986-4249-96E0-0FA911FFAC3E}"/>
                </c:ext>
              </c:extLst>
            </c:dLbl>
            <c:dLbl>
              <c:idx val="5"/>
              <c:layout>
                <c:manualLayout>
                  <c:x val="-1.1655011655011656E-2"/>
                  <c:y val="-4.750744117011865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2986-4249-96E0-0FA911FFAC3E}"/>
                </c:ext>
              </c:extLst>
            </c:dLbl>
            <c:dLbl>
              <c:idx val="6"/>
              <c:delete val="1"/>
              <c:extLst>
                <c:ext xmlns:c15="http://schemas.microsoft.com/office/drawing/2012/chart" uri="{CE6537A1-D6FC-4f65-9D91-7224C49458BB}"/>
                <c:ext xmlns:c16="http://schemas.microsoft.com/office/drawing/2014/chart" uri="{C3380CC4-5D6E-409C-BE32-E72D297353CC}">
                  <c16:uniqueId val="{00000016-2986-4249-96E0-0FA911FFAC3E}"/>
                </c:ext>
              </c:extLst>
            </c:dLbl>
            <c:dLbl>
              <c:idx val="7"/>
              <c:delete val="1"/>
              <c:extLst>
                <c:ext xmlns:c15="http://schemas.microsoft.com/office/drawing/2012/chart" uri="{CE6537A1-D6FC-4f65-9D91-7224C49458BB}"/>
                <c:ext xmlns:c16="http://schemas.microsoft.com/office/drawing/2014/chart" uri="{C3380CC4-5D6E-409C-BE32-E72D297353CC}">
                  <c16:uniqueId val="{00000017-2986-4249-96E0-0FA911FFAC3E}"/>
                </c:ext>
              </c:extLst>
            </c:dLbl>
            <c:dLbl>
              <c:idx val="8"/>
              <c:layout>
                <c:manualLayout>
                  <c:x val="-7.563770577721933E-2"/>
                  <c:y val="-1.45560407569141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986-4249-96E0-0FA911FFAC3E}"/>
                </c:ext>
              </c:extLst>
            </c:dLbl>
            <c:dLbl>
              <c:idx val="10"/>
              <c:layout>
                <c:manualLayout>
                  <c:x val="-5.4529508816134865E-2"/>
                  <c:y val="5.82241630276564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986-4249-96E0-0FA911FFAC3E}"/>
                </c:ext>
              </c:extLst>
            </c:dLbl>
            <c:dLbl>
              <c:idx val="11"/>
              <c:layout>
                <c:manualLayout>
                  <c:x val="-2.564102564102564E-2"/>
                  <c:y val="4.57516339869281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2986-4249-96E0-0FA911FFAC3E}"/>
                </c:ext>
              </c:extLst>
            </c:dLbl>
            <c:spPr>
              <a:noFill/>
              <a:ln>
                <a:noFill/>
              </a:ln>
              <a:effectLst/>
            </c:spPr>
            <c:txPr>
              <a:bodyPr rot="0" spcFirstLastPara="1" vertOverflow="ellipsis" vert="horz" wrap="square" anchor="ctr" anchorCtr="1"/>
              <a:lstStyle/>
              <a:p>
                <a:pPr>
                  <a:defRPr sz="8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 1'!$M$10:$X$10</c:f>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strCache>
              <c:extLst/>
            </c:strRef>
          </c:cat>
          <c:val>
            <c:numRef>
              <c:f>'Sheet 1'!$M$36:$X$36</c:f>
              <c:numCache>
                <c:formatCode>#\ ##0.##########</c:formatCode>
                <c:ptCount val="12"/>
                <c:pt idx="0">
                  <c:v>1.9</c:v>
                </c:pt>
                <c:pt idx="1">
                  <c:v>2.4</c:v>
                </c:pt>
                <c:pt idx="2" formatCode="#\ ##0.0">
                  <c:v>2</c:v>
                </c:pt>
                <c:pt idx="3">
                  <c:v>2</c:v>
                </c:pt>
                <c:pt idx="4" formatCode="#\ ##0.0">
                  <c:v>2.1</c:v>
                </c:pt>
                <c:pt idx="5">
                  <c:v>2.4</c:v>
                </c:pt>
                <c:pt idx="6" formatCode="0.0">
                  <c:v>2</c:v>
                </c:pt>
                <c:pt idx="7" formatCode="General">
                  <c:v>2.4</c:v>
                </c:pt>
                <c:pt idx="8" formatCode="General">
                  <c:v>2.9</c:v>
                </c:pt>
                <c:pt idx="9" formatCode="General">
                  <c:v>3.3</c:v>
                </c:pt>
                <c:pt idx="10" formatCode="General">
                  <c:v>2.7</c:v>
                </c:pt>
                <c:pt idx="11" formatCode="General">
                  <c:v>2.4</c:v>
                </c:pt>
              </c:numCache>
              <c:extLst/>
            </c:numRef>
          </c:val>
          <c:smooth val="0"/>
          <c:extLst>
            <c:ext xmlns:c16="http://schemas.microsoft.com/office/drawing/2014/chart" uri="{C3380CC4-5D6E-409C-BE32-E72D297353CC}">
              <c16:uniqueId val="{00000018-2986-4249-96E0-0FA911FFAC3E}"/>
            </c:ext>
          </c:extLst>
        </c:ser>
        <c:ser>
          <c:idx val="2"/>
          <c:order val="2"/>
          <c:tx>
            <c:strRef>
              <c:f>'Sheet 1'!$B$37</c:f>
              <c:strCache>
                <c:ptCount val="1"/>
                <c:pt idx="0">
                  <c:v>LV</c:v>
                </c:pt>
              </c:strCache>
            </c:strRef>
          </c:tx>
          <c:spPr>
            <a:ln w="15875" cap="rnd">
              <a:solidFill>
                <a:srgbClr val="C00000"/>
              </a:solidFill>
              <a:prstDash val="solid"/>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19-2986-4249-96E0-0FA911FFAC3E}"/>
                </c:ext>
              </c:extLst>
            </c:dLbl>
            <c:dLbl>
              <c:idx val="1"/>
              <c:delete val="1"/>
              <c:extLst>
                <c:ext xmlns:c15="http://schemas.microsoft.com/office/drawing/2012/chart" uri="{CE6537A1-D6FC-4f65-9D91-7224C49458BB}"/>
                <c:ext xmlns:c16="http://schemas.microsoft.com/office/drawing/2014/chart" uri="{C3380CC4-5D6E-409C-BE32-E72D297353CC}">
                  <c16:uniqueId val="{0000001A-2986-4249-96E0-0FA911FFAC3E}"/>
                </c:ext>
              </c:extLst>
            </c:dLbl>
            <c:dLbl>
              <c:idx val="3"/>
              <c:delete val="1"/>
              <c:extLst>
                <c:ext xmlns:c15="http://schemas.microsoft.com/office/drawing/2012/chart" uri="{CE6537A1-D6FC-4f65-9D91-7224C49458BB}"/>
                <c:ext xmlns:c16="http://schemas.microsoft.com/office/drawing/2014/chart" uri="{C3380CC4-5D6E-409C-BE32-E72D297353CC}">
                  <c16:uniqueId val="{0000001B-2986-4249-96E0-0FA911FFAC3E}"/>
                </c:ext>
              </c:extLst>
            </c:dLbl>
            <c:dLbl>
              <c:idx val="4"/>
              <c:delete val="1"/>
              <c:extLst>
                <c:ext xmlns:c15="http://schemas.microsoft.com/office/drawing/2012/chart" uri="{CE6537A1-D6FC-4f65-9D91-7224C49458BB}"/>
                <c:ext xmlns:c16="http://schemas.microsoft.com/office/drawing/2014/chart" uri="{C3380CC4-5D6E-409C-BE32-E72D297353CC}">
                  <c16:uniqueId val="{0000001C-2986-4249-96E0-0FA911FFAC3E}"/>
                </c:ext>
              </c:extLst>
            </c:dLbl>
            <c:dLbl>
              <c:idx val="5"/>
              <c:delete val="1"/>
              <c:extLst>
                <c:ext xmlns:c15="http://schemas.microsoft.com/office/drawing/2012/chart" uri="{CE6537A1-D6FC-4f65-9D91-7224C49458BB}"/>
                <c:ext xmlns:c16="http://schemas.microsoft.com/office/drawing/2014/chart" uri="{C3380CC4-5D6E-409C-BE32-E72D297353CC}">
                  <c16:uniqueId val="{0000001D-2986-4249-96E0-0FA911FFAC3E}"/>
                </c:ext>
              </c:extLst>
            </c:dLbl>
            <c:dLbl>
              <c:idx val="6"/>
              <c:delete val="1"/>
              <c:extLst>
                <c:ext xmlns:c15="http://schemas.microsoft.com/office/drawing/2012/chart" uri="{CE6537A1-D6FC-4f65-9D91-7224C49458BB}"/>
                <c:ext xmlns:c16="http://schemas.microsoft.com/office/drawing/2014/chart" uri="{C3380CC4-5D6E-409C-BE32-E72D297353CC}">
                  <c16:uniqueId val="{0000001E-2986-4249-96E0-0FA911FFAC3E}"/>
                </c:ext>
              </c:extLst>
            </c:dLbl>
            <c:dLbl>
              <c:idx val="8"/>
              <c:layout>
                <c:manualLayout>
                  <c:x val="1.7590164134237052E-3"/>
                  <c:y val="1.74672489082969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2986-4249-96E0-0FA911FFAC3E}"/>
                </c:ext>
              </c:extLst>
            </c:dLbl>
            <c:dLbl>
              <c:idx val="9"/>
              <c:delete val="1"/>
              <c:extLst>
                <c:ext xmlns:c15="http://schemas.microsoft.com/office/drawing/2012/chart" uri="{CE6537A1-D6FC-4f65-9D91-7224C49458BB}"/>
                <c:ext xmlns:c16="http://schemas.microsoft.com/office/drawing/2014/chart" uri="{C3380CC4-5D6E-409C-BE32-E72D297353CC}">
                  <c16:uniqueId val="{00000020-2986-4249-96E0-0FA911FFAC3E}"/>
                </c:ext>
              </c:extLst>
            </c:dLbl>
            <c:dLbl>
              <c:idx val="10"/>
              <c:delete val="1"/>
              <c:extLst>
                <c:ext xmlns:c15="http://schemas.microsoft.com/office/drawing/2012/chart" uri="{CE6537A1-D6FC-4f65-9D91-7224C49458BB}"/>
                <c:ext xmlns:c16="http://schemas.microsoft.com/office/drawing/2014/chart" uri="{C3380CC4-5D6E-409C-BE32-E72D297353CC}">
                  <c16:uniqueId val="{00000021-2986-4249-96E0-0FA911FFAC3E}"/>
                </c:ext>
              </c:extLst>
            </c:dLbl>
            <c:dLbl>
              <c:idx val="11"/>
              <c:layout>
                <c:manualLayout>
                  <c:x val="-2.331002331002331E-3"/>
                  <c:y val="1.96078431372549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2986-4249-96E0-0FA911FFAC3E}"/>
                </c:ext>
              </c:extLst>
            </c:dLbl>
            <c:spPr>
              <a:noFill/>
              <a:ln>
                <a:noFill/>
              </a:ln>
              <a:effectLst/>
            </c:spPr>
            <c:txPr>
              <a:bodyPr rot="0" spcFirstLastPara="1" vertOverflow="ellipsis" vert="horz" wrap="square" anchor="ctr" anchorCtr="1"/>
              <a:lstStyle/>
              <a:p>
                <a:pPr>
                  <a:defRPr sz="8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 1'!$M$10:$X$10</c:f>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strCache>
              <c:extLst/>
            </c:strRef>
          </c:cat>
          <c:val>
            <c:numRef>
              <c:f>'Sheet 1'!$M$37:$X$37</c:f>
              <c:numCache>
                <c:formatCode>#\ ##0.##########</c:formatCode>
                <c:ptCount val="12"/>
                <c:pt idx="0">
                  <c:v>1</c:v>
                </c:pt>
                <c:pt idx="1">
                  <c:v>1.6</c:v>
                </c:pt>
                <c:pt idx="2" formatCode="#\ ##0.0">
                  <c:v>1.7</c:v>
                </c:pt>
                <c:pt idx="3">
                  <c:v>2.1</c:v>
                </c:pt>
                <c:pt idx="4" formatCode="#\ ##0.0">
                  <c:v>1.9</c:v>
                </c:pt>
                <c:pt idx="5">
                  <c:v>2.5</c:v>
                </c:pt>
                <c:pt idx="6">
                  <c:v>2.2999999999999998</c:v>
                </c:pt>
                <c:pt idx="7" formatCode="0.0">
                  <c:v>2.2367826114981009</c:v>
                </c:pt>
                <c:pt idx="8" formatCode="0.0">
                  <c:v>2.7458960484931634</c:v>
                </c:pt>
                <c:pt idx="9" formatCode="0.0">
                  <c:v>2.9027298025266748</c:v>
                </c:pt>
                <c:pt idx="10" formatCode="0.0">
                  <c:v>2.9721978655702799</c:v>
                </c:pt>
                <c:pt idx="11" formatCode="0.0">
                  <c:v>2.5549583894056309</c:v>
                </c:pt>
              </c:numCache>
              <c:extLst/>
            </c:numRef>
          </c:val>
          <c:smooth val="0"/>
          <c:extLst>
            <c:ext xmlns:c16="http://schemas.microsoft.com/office/drawing/2014/chart" uri="{C3380CC4-5D6E-409C-BE32-E72D297353CC}">
              <c16:uniqueId val="{00000023-2986-4249-96E0-0FA911FFAC3E}"/>
            </c:ext>
          </c:extLst>
        </c:ser>
        <c:ser>
          <c:idx val="3"/>
          <c:order val="3"/>
          <c:tx>
            <c:strRef>
              <c:f>'Sheet 1'!$B$38</c:f>
              <c:strCache>
                <c:ptCount val="1"/>
                <c:pt idx="0">
                  <c:v>LT</c:v>
                </c:pt>
              </c:strCache>
            </c:strRef>
          </c:tx>
          <c:spPr>
            <a:ln w="15875" cap="rnd">
              <a:solidFill>
                <a:srgbClr val="9C9AB4"/>
              </a:solidFill>
              <a:prstDash val="solid"/>
              <a:round/>
            </a:ln>
            <a:effectLst/>
          </c:spPr>
          <c:marker>
            <c:symbol val="none"/>
          </c:marker>
          <c:dLbls>
            <c:dLbl>
              <c:idx val="0"/>
              <c:layout>
                <c:manualLayout>
                  <c:x val="-3.729603729603731E-2"/>
                  <c:y val="-3.10961388960871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2986-4249-96E0-0FA911FFAC3E}"/>
                </c:ext>
              </c:extLst>
            </c:dLbl>
            <c:dLbl>
              <c:idx val="1"/>
              <c:layout>
                <c:manualLayout>
                  <c:x val="-9.2379274269038057E-3"/>
                  <c:y val="1.0487397289902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2986-4249-96E0-0FA911FFAC3E}"/>
                </c:ext>
              </c:extLst>
            </c:dLbl>
            <c:dLbl>
              <c:idx val="2"/>
              <c:delete val="1"/>
              <c:extLst>
                <c:ext xmlns:c15="http://schemas.microsoft.com/office/drawing/2012/chart" uri="{CE6537A1-D6FC-4f65-9D91-7224C49458BB}"/>
                <c:ext xmlns:c16="http://schemas.microsoft.com/office/drawing/2014/chart" uri="{C3380CC4-5D6E-409C-BE32-E72D297353CC}">
                  <c16:uniqueId val="{00000026-2986-4249-96E0-0FA911FFAC3E}"/>
                </c:ext>
              </c:extLst>
            </c:dLbl>
            <c:dLbl>
              <c:idx val="3"/>
              <c:delete val="1"/>
              <c:extLst>
                <c:ext xmlns:c15="http://schemas.microsoft.com/office/drawing/2012/chart" uri="{CE6537A1-D6FC-4f65-9D91-7224C49458BB}"/>
                <c:ext xmlns:c16="http://schemas.microsoft.com/office/drawing/2014/chart" uri="{C3380CC4-5D6E-409C-BE32-E72D297353CC}">
                  <c16:uniqueId val="{00000027-2986-4249-96E0-0FA911FFAC3E}"/>
                </c:ext>
              </c:extLst>
            </c:dLbl>
            <c:dLbl>
              <c:idx val="4"/>
              <c:delete val="1"/>
              <c:extLst>
                <c:ext xmlns:c15="http://schemas.microsoft.com/office/drawing/2012/chart" uri="{CE6537A1-D6FC-4f65-9D91-7224C49458BB}"/>
                <c:ext xmlns:c16="http://schemas.microsoft.com/office/drawing/2014/chart" uri="{C3380CC4-5D6E-409C-BE32-E72D297353CC}">
                  <c16:uniqueId val="{00000028-2986-4249-96E0-0FA911FFAC3E}"/>
                </c:ext>
              </c:extLst>
            </c:dLbl>
            <c:dLbl>
              <c:idx val="5"/>
              <c:delete val="1"/>
              <c:extLst>
                <c:ext xmlns:c15="http://schemas.microsoft.com/office/drawing/2012/chart" uri="{CE6537A1-D6FC-4f65-9D91-7224C49458BB}"/>
                <c:ext xmlns:c16="http://schemas.microsoft.com/office/drawing/2014/chart" uri="{C3380CC4-5D6E-409C-BE32-E72D297353CC}">
                  <c16:uniqueId val="{00000029-2986-4249-96E0-0FA911FFAC3E}"/>
                </c:ext>
              </c:extLst>
            </c:dLbl>
            <c:spPr>
              <a:noFill/>
              <a:ln>
                <a:noFill/>
              </a:ln>
              <a:effectLst/>
            </c:spPr>
            <c:txPr>
              <a:bodyPr rot="0" spcFirstLastPara="1" vertOverflow="ellipsis" vert="horz" wrap="square" anchor="ctr" anchorCtr="1"/>
              <a:lstStyle/>
              <a:p>
                <a:pPr>
                  <a:defRPr sz="800" b="1" i="0" u="none" strike="noStrike" kern="1200" baseline="0">
                    <a:solidFill>
                      <a:srgbClr val="9C9AB4"/>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 1'!$M$10:$X$10</c:f>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strCache>
              <c:extLst/>
            </c:strRef>
          </c:cat>
          <c:val>
            <c:numRef>
              <c:f>'Sheet 1'!$M$38:$X$38</c:f>
              <c:numCache>
                <c:formatCode>#\ ##0.##########</c:formatCode>
                <c:ptCount val="12"/>
                <c:pt idx="0">
                  <c:v>1.3</c:v>
                </c:pt>
                <c:pt idx="1">
                  <c:v>1.5</c:v>
                </c:pt>
                <c:pt idx="2" formatCode="#\ ##0.0">
                  <c:v>1.6</c:v>
                </c:pt>
                <c:pt idx="3">
                  <c:v>1.7</c:v>
                </c:pt>
                <c:pt idx="4" formatCode="#\ ##0.0">
                  <c:v>1.6</c:v>
                </c:pt>
                <c:pt idx="5">
                  <c:v>2.2999999999999998</c:v>
                </c:pt>
                <c:pt idx="6">
                  <c:v>1.8</c:v>
                </c:pt>
              </c:numCache>
              <c:extLst/>
            </c:numRef>
          </c:val>
          <c:smooth val="0"/>
          <c:extLst>
            <c:ext xmlns:c16="http://schemas.microsoft.com/office/drawing/2014/chart" uri="{C3380CC4-5D6E-409C-BE32-E72D297353CC}">
              <c16:uniqueId val="{0000002A-2986-4249-96E0-0FA911FFAC3E}"/>
            </c:ext>
          </c:extLst>
        </c:ser>
        <c:ser>
          <c:idx val="4"/>
          <c:order val="4"/>
          <c:tx>
            <c:strRef>
              <c:f>'Sheet 1'!$B$39</c:f>
              <c:strCache>
                <c:ptCount val="1"/>
                <c:pt idx="0">
                  <c:v>SE</c:v>
                </c:pt>
              </c:strCache>
            </c:strRef>
          </c:tx>
          <c:spPr>
            <a:ln w="15875" cap="rnd">
              <a:solidFill>
                <a:schemeClr val="tx1"/>
              </a:solidFill>
              <a:prstDash val="sysDot"/>
              <a:round/>
            </a:ln>
            <a:effectLst/>
          </c:spPr>
          <c:marker>
            <c:symbol val="none"/>
          </c:marker>
          <c:cat>
            <c:strRef>
              <c:f>'Sheet 1'!$M$10:$X$10</c:f>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strCache>
              <c:extLst/>
            </c:strRef>
          </c:cat>
          <c:val>
            <c:numRef>
              <c:f>'Sheet 1'!$M$39:$X$39</c:f>
              <c:numCache>
                <c:formatCode>#\ ##0.##########</c:formatCode>
                <c:ptCount val="12"/>
                <c:pt idx="0">
                  <c:v>1.2</c:v>
                </c:pt>
                <c:pt idx="1">
                  <c:v>1.2</c:v>
                </c:pt>
                <c:pt idx="2" formatCode="#\ ##0.0">
                  <c:v>1.2</c:v>
                </c:pt>
                <c:pt idx="3">
                  <c:v>1.2</c:v>
                </c:pt>
                <c:pt idx="4" formatCode="#\ ##0.0">
                  <c:v>1.2</c:v>
                </c:pt>
                <c:pt idx="5">
                  <c:v>1.4</c:v>
                </c:pt>
                <c:pt idx="6">
                  <c:v>1.3</c:v>
                </c:pt>
              </c:numCache>
              <c:extLst/>
            </c:numRef>
          </c:val>
          <c:smooth val="0"/>
          <c:extLst>
            <c:ext xmlns:c16="http://schemas.microsoft.com/office/drawing/2014/chart" uri="{C3380CC4-5D6E-409C-BE32-E72D297353CC}">
              <c16:uniqueId val="{0000002B-2986-4249-96E0-0FA911FFAC3E}"/>
            </c:ext>
          </c:extLst>
        </c:ser>
        <c:ser>
          <c:idx val="5"/>
          <c:order val="5"/>
          <c:tx>
            <c:strRef>
              <c:f>'Sheet 1'!$B$40</c:f>
              <c:strCache>
                <c:ptCount val="1"/>
                <c:pt idx="0">
                  <c:v>LV mērķis</c:v>
                </c:pt>
              </c:strCache>
            </c:strRef>
          </c:tx>
          <c:spPr>
            <a:ln w="15875" cap="rnd">
              <a:solidFill>
                <a:srgbClr val="C00000"/>
              </a:solidFill>
              <a:prstDash val="sysDot"/>
              <a:round/>
            </a:ln>
            <a:effectLst/>
          </c:spPr>
          <c:marker>
            <c:symbol val="none"/>
          </c:marker>
          <c:dPt>
            <c:idx val="1"/>
            <c:marker>
              <c:symbol val="none"/>
            </c:marker>
            <c:bubble3D val="0"/>
            <c:spPr>
              <a:ln w="15875" cap="rnd">
                <a:solidFill>
                  <a:srgbClr val="C00000"/>
                </a:solidFill>
                <a:prstDash val="solid"/>
                <a:round/>
              </a:ln>
              <a:effectLst/>
            </c:spPr>
            <c:extLst>
              <c:ext xmlns:c16="http://schemas.microsoft.com/office/drawing/2014/chart" uri="{C3380CC4-5D6E-409C-BE32-E72D297353CC}">
                <c16:uniqueId val="{0000002D-2986-4249-96E0-0FA911FFAC3E}"/>
              </c:ext>
            </c:extLst>
          </c:dPt>
          <c:dPt>
            <c:idx val="2"/>
            <c:marker>
              <c:symbol val="none"/>
            </c:marker>
            <c:bubble3D val="0"/>
            <c:spPr>
              <a:ln w="15875" cap="rnd">
                <a:solidFill>
                  <a:srgbClr val="C00000"/>
                </a:solidFill>
                <a:prstDash val="solid"/>
                <a:round/>
              </a:ln>
              <a:effectLst/>
            </c:spPr>
            <c:extLst>
              <c:ext xmlns:c16="http://schemas.microsoft.com/office/drawing/2014/chart" uri="{C3380CC4-5D6E-409C-BE32-E72D297353CC}">
                <c16:uniqueId val="{0000002F-2986-4249-96E0-0FA911FFAC3E}"/>
              </c:ext>
            </c:extLst>
          </c:dPt>
          <c:dPt>
            <c:idx val="3"/>
            <c:marker>
              <c:symbol val="none"/>
            </c:marker>
            <c:bubble3D val="0"/>
            <c:spPr>
              <a:ln w="15875" cap="rnd">
                <a:solidFill>
                  <a:srgbClr val="C00000"/>
                </a:solidFill>
                <a:prstDash val="solid"/>
                <a:round/>
              </a:ln>
              <a:effectLst/>
            </c:spPr>
            <c:extLst>
              <c:ext xmlns:c16="http://schemas.microsoft.com/office/drawing/2014/chart" uri="{C3380CC4-5D6E-409C-BE32-E72D297353CC}">
                <c16:uniqueId val="{00000031-2986-4249-96E0-0FA911FFAC3E}"/>
              </c:ext>
            </c:extLst>
          </c:dPt>
          <c:dPt>
            <c:idx val="4"/>
            <c:marker>
              <c:symbol val="none"/>
            </c:marker>
            <c:bubble3D val="0"/>
            <c:spPr>
              <a:ln w="15875" cap="rnd">
                <a:solidFill>
                  <a:srgbClr val="C00000"/>
                </a:solidFill>
                <a:prstDash val="solid"/>
                <a:round/>
              </a:ln>
              <a:effectLst/>
            </c:spPr>
            <c:extLst>
              <c:ext xmlns:c16="http://schemas.microsoft.com/office/drawing/2014/chart" uri="{C3380CC4-5D6E-409C-BE32-E72D297353CC}">
                <c16:uniqueId val="{00000033-2986-4249-96E0-0FA911FFAC3E}"/>
              </c:ext>
            </c:extLst>
          </c:dPt>
          <c:dPt>
            <c:idx val="5"/>
            <c:marker>
              <c:symbol val="none"/>
            </c:marker>
            <c:bubble3D val="0"/>
            <c:spPr>
              <a:ln w="15875" cap="rnd">
                <a:solidFill>
                  <a:srgbClr val="C00000"/>
                </a:solidFill>
                <a:prstDash val="solid"/>
                <a:round/>
              </a:ln>
              <a:effectLst/>
            </c:spPr>
            <c:extLst>
              <c:ext xmlns:c16="http://schemas.microsoft.com/office/drawing/2014/chart" uri="{C3380CC4-5D6E-409C-BE32-E72D297353CC}">
                <c16:uniqueId val="{00000035-2986-4249-96E0-0FA911FFAC3E}"/>
              </c:ext>
            </c:extLst>
          </c:dPt>
          <c:dPt>
            <c:idx val="6"/>
            <c:marker>
              <c:symbol val="none"/>
            </c:marker>
            <c:bubble3D val="0"/>
            <c:spPr>
              <a:ln w="15875" cap="rnd">
                <a:solidFill>
                  <a:srgbClr val="C00000"/>
                </a:solidFill>
                <a:prstDash val="solid"/>
                <a:round/>
              </a:ln>
              <a:effectLst/>
            </c:spPr>
            <c:extLst>
              <c:ext xmlns:c16="http://schemas.microsoft.com/office/drawing/2014/chart" uri="{C3380CC4-5D6E-409C-BE32-E72D297353CC}">
                <c16:uniqueId val="{00000037-2986-4249-96E0-0FA911FFAC3E}"/>
              </c:ext>
            </c:extLst>
          </c:dPt>
          <c:dPt>
            <c:idx val="7"/>
            <c:marker>
              <c:symbol val="none"/>
            </c:marker>
            <c:bubble3D val="0"/>
            <c:spPr>
              <a:ln w="15875" cap="rnd">
                <a:solidFill>
                  <a:srgbClr val="C00000"/>
                </a:solidFill>
                <a:prstDash val="solid"/>
                <a:round/>
              </a:ln>
              <a:effectLst/>
            </c:spPr>
            <c:extLst>
              <c:ext xmlns:c16="http://schemas.microsoft.com/office/drawing/2014/chart" uri="{C3380CC4-5D6E-409C-BE32-E72D297353CC}">
                <c16:uniqueId val="{00000039-2986-4249-96E0-0FA911FFAC3E}"/>
              </c:ext>
            </c:extLst>
          </c:dPt>
          <c:dPt>
            <c:idx val="8"/>
            <c:marker>
              <c:symbol val="none"/>
            </c:marker>
            <c:bubble3D val="0"/>
            <c:spPr>
              <a:ln w="15875" cap="rnd">
                <a:solidFill>
                  <a:srgbClr val="C00000"/>
                </a:solidFill>
                <a:prstDash val="solid"/>
                <a:round/>
              </a:ln>
              <a:effectLst/>
            </c:spPr>
            <c:extLst>
              <c:ext xmlns:c16="http://schemas.microsoft.com/office/drawing/2014/chart" uri="{C3380CC4-5D6E-409C-BE32-E72D297353CC}">
                <c16:uniqueId val="{0000003B-2986-4249-96E0-0FA911FFAC3E}"/>
              </c:ext>
            </c:extLst>
          </c:dPt>
          <c:dPt>
            <c:idx val="10"/>
            <c:marker>
              <c:symbol val="none"/>
            </c:marker>
            <c:bubble3D val="0"/>
            <c:spPr>
              <a:ln w="15875" cap="rnd">
                <a:solidFill>
                  <a:srgbClr val="C00000"/>
                </a:solidFill>
                <a:prstDash val="dash"/>
                <a:round/>
              </a:ln>
              <a:effectLst/>
            </c:spPr>
            <c:extLst>
              <c:ext xmlns:c16="http://schemas.microsoft.com/office/drawing/2014/chart" uri="{C3380CC4-5D6E-409C-BE32-E72D297353CC}">
                <c16:uniqueId val="{0000003D-2986-4249-96E0-0FA911FFAC3E}"/>
              </c:ext>
            </c:extLst>
          </c:dPt>
          <c:dLbls>
            <c:dLbl>
              <c:idx val="0"/>
              <c:numFmt formatCode="#,##0.0" sourceLinked="0"/>
              <c:spPr>
                <a:noFill/>
                <a:ln>
                  <a:noFill/>
                </a:ln>
                <a:effectLst/>
              </c:spPr>
              <c:txPr>
                <a:bodyPr rot="0" spcFirstLastPara="1" vertOverflow="ellipsis" vert="horz" wrap="square" anchor="ctr" anchorCtr="1"/>
                <a:lstStyle/>
                <a:p>
                  <a:pPr>
                    <a:defRPr sz="8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E-2986-4249-96E0-0FA911FFAC3E}"/>
                </c:ext>
              </c:extLst>
            </c:dLbl>
            <c:dLbl>
              <c:idx val="3"/>
              <c:layout>
                <c:manualLayout>
                  <c:x val="-3.4965034965034968E-2"/>
                  <c:y val="-4.1461518528116137E-2"/>
                </c:manualLayout>
              </c:layout>
              <c:spPr>
                <a:noFill/>
                <a:ln>
                  <a:noFill/>
                </a:ln>
                <a:effectLst/>
              </c:spPr>
              <c:txPr>
                <a:bodyPr rot="0" spcFirstLastPara="1" vertOverflow="ellipsis" vert="horz" wrap="square" anchor="ctr" anchorCtr="1"/>
                <a:lstStyle/>
                <a:p>
                  <a:pPr>
                    <a:defRPr sz="8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1-2986-4249-96E0-0FA911FFAC3E}"/>
                </c:ext>
              </c:extLst>
            </c:dLbl>
            <c:dLbl>
              <c:idx val="11"/>
              <c:layout>
                <c:manualLayout>
                  <c:x val="-1.1655011655011656E-2"/>
                  <c:y val="-4.84581497797357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F-2986-4249-96E0-0FA911FFAC3E}"/>
                </c:ext>
              </c:extLst>
            </c:dLbl>
            <c:spPr>
              <a:noFill/>
              <a:ln>
                <a:noFill/>
              </a:ln>
              <a:effectLst/>
            </c:spPr>
            <c:txPr>
              <a:bodyPr rot="0" spcFirstLastPara="1" vertOverflow="ellipsis" vert="horz" wrap="square" anchor="ctr" anchorCtr="1"/>
              <a:lstStyle/>
              <a:p>
                <a:pPr>
                  <a:defRPr sz="9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extLst>
                <c:ext xmlns:c15="http://schemas.microsoft.com/office/drawing/2012/chart" uri="{02D57815-91ED-43cb-92C2-25804820EDAC}">
                  <c15:autoCat val="1"/>
                </c:ext>
              </c:extLst>
            </c:strLit>
          </c:cat>
          <c:val>
            <c:numRef>
              <c:f>'Sheet 1'!$M$40:$X$40</c:f>
              <c:numCache>
                <c:formatCode>#\ ##0.##########</c:formatCode>
                <c:ptCount val="12"/>
                <c:pt idx="0">
                  <c:v>1</c:v>
                </c:pt>
                <c:pt idx="1">
                  <c:v>1.6</c:v>
                </c:pt>
                <c:pt idx="2">
                  <c:v>1.7</c:v>
                </c:pt>
                <c:pt idx="3">
                  <c:v>2.1</c:v>
                </c:pt>
                <c:pt idx="4">
                  <c:v>1.9</c:v>
                </c:pt>
                <c:pt idx="5">
                  <c:v>2.5</c:v>
                </c:pt>
                <c:pt idx="6">
                  <c:v>2.2999999999999998</c:v>
                </c:pt>
                <c:pt idx="7" formatCode="0.0">
                  <c:v>2.2367826114981009</c:v>
                </c:pt>
                <c:pt idx="8" formatCode="0.0">
                  <c:v>2.7458960484931634</c:v>
                </c:pt>
                <c:pt idx="9" formatCode="0.0">
                  <c:v>2.9027298025266748</c:v>
                </c:pt>
                <c:pt idx="10" formatCode="0.0">
                  <c:v>2.9721978655702799</c:v>
                </c:pt>
                <c:pt idx="11" formatCode="General">
                  <c:v>2.75</c:v>
                </c:pt>
              </c:numCache>
              <c:extLst/>
            </c:numRef>
          </c:val>
          <c:smooth val="0"/>
          <c:extLst>
            <c:ext xmlns:c16="http://schemas.microsoft.com/office/drawing/2014/chart" uri="{C3380CC4-5D6E-409C-BE32-E72D297353CC}">
              <c16:uniqueId val="{00000040-2986-4249-96E0-0FA911FFAC3E}"/>
            </c:ext>
          </c:extLst>
        </c:ser>
        <c:dLbls>
          <c:showLegendKey val="0"/>
          <c:showVal val="0"/>
          <c:showCatName val="0"/>
          <c:showSerName val="0"/>
          <c:showPercent val="0"/>
          <c:showBubbleSize val="0"/>
        </c:dLbls>
        <c:marker val="1"/>
        <c:smooth val="0"/>
        <c:axId val="381745136"/>
        <c:axId val="381758096"/>
      </c:lineChart>
      <c:catAx>
        <c:axId val="381745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81758096"/>
        <c:crosses val="autoZero"/>
        <c:auto val="1"/>
        <c:lblAlgn val="ctr"/>
        <c:lblOffset val="100"/>
        <c:noMultiLvlLbl val="0"/>
      </c:catAx>
      <c:valAx>
        <c:axId val="381758096"/>
        <c:scaling>
          <c:orientation val="minMax"/>
          <c:min val="0.8"/>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81745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 1'!$B$12</c:f>
              <c:strCache>
                <c:ptCount val="1"/>
                <c:pt idx="0">
                  <c:v>EU 27</c:v>
                </c:pt>
              </c:strCache>
            </c:strRef>
          </c:tx>
          <c:spPr>
            <a:ln w="15875" cap="rnd">
              <a:noFill/>
              <a:prstDash val="dash"/>
              <a:round/>
            </a:ln>
            <a:effectLst/>
          </c:spPr>
          <c:marker>
            <c:symbol val="square"/>
            <c:size val="5"/>
            <c:spPr>
              <a:solidFill>
                <a:schemeClr val="tx1">
                  <a:lumMod val="50000"/>
                  <a:lumOff val="50000"/>
                </a:schemeClr>
              </a:solidFill>
              <a:ln w="9525">
                <a:no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0-D9C6-417A-996B-53255B79EA18}"/>
                </c:ext>
              </c:extLst>
            </c:dLbl>
            <c:dLbl>
              <c:idx val="1"/>
              <c:layout>
                <c:manualLayout>
                  <c:x val="0"/>
                  <c:y val="-2.62008733624454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9C6-417A-996B-53255B79EA18}"/>
                </c:ext>
              </c:extLst>
            </c:dLbl>
            <c:dLbl>
              <c:idx val="2"/>
              <c:delete val="1"/>
              <c:extLst>
                <c:ext xmlns:c15="http://schemas.microsoft.com/office/drawing/2012/chart" uri="{CE6537A1-D6FC-4f65-9D91-7224C49458BB}"/>
                <c:ext xmlns:c16="http://schemas.microsoft.com/office/drawing/2014/chart" uri="{C3380CC4-5D6E-409C-BE32-E72D297353CC}">
                  <c16:uniqueId val="{00000002-D9C6-417A-996B-53255B79EA18}"/>
                </c:ext>
              </c:extLst>
            </c:dLbl>
            <c:dLbl>
              <c:idx val="3"/>
              <c:delete val="1"/>
              <c:extLst>
                <c:ext xmlns:c15="http://schemas.microsoft.com/office/drawing/2012/chart" uri="{CE6537A1-D6FC-4f65-9D91-7224C49458BB}"/>
                <c:ext xmlns:c16="http://schemas.microsoft.com/office/drawing/2014/chart" uri="{C3380CC4-5D6E-409C-BE32-E72D297353CC}">
                  <c16:uniqueId val="{00000003-D9C6-417A-996B-53255B79EA18}"/>
                </c:ext>
              </c:extLst>
            </c:dLbl>
            <c:dLbl>
              <c:idx val="4"/>
              <c:delete val="1"/>
              <c:extLst>
                <c:ext xmlns:c15="http://schemas.microsoft.com/office/drawing/2012/chart" uri="{CE6537A1-D6FC-4f65-9D91-7224C49458BB}"/>
                <c:ext xmlns:c16="http://schemas.microsoft.com/office/drawing/2014/chart" uri="{C3380CC4-5D6E-409C-BE32-E72D297353CC}">
                  <c16:uniqueId val="{00000004-D9C6-417A-996B-53255B79EA18}"/>
                </c:ext>
              </c:extLst>
            </c:dLbl>
            <c:spPr>
              <a:noFill/>
              <a:ln>
                <a:noFill/>
              </a:ln>
              <a:effectLst/>
            </c:spPr>
            <c:txPr>
              <a:bodyPr rot="0" spcFirstLastPara="1" vertOverflow="ellipsis" vert="horz" wrap="square" anchor="ctr" anchorCtr="1"/>
              <a:lstStyle/>
              <a:p>
                <a:pPr>
                  <a:defRPr sz="90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 1'!$M$10:$X$10</c:f>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strCache>
              <c:extLst/>
            </c:strRef>
          </c:cat>
          <c:val>
            <c:numRef>
              <c:f>'Sheet 1'!$M$12:$X$12</c:f>
              <c:numCache>
                <c:formatCode>#,##0.##########</c:formatCode>
                <c:ptCount val="12"/>
                <c:pt idx="0">
                  <c:v>1.7</c:v>
                </c:pt>
                <c:pt idx="1">
                  <c:v>1.7</c:v>
                </c:pt>
                <c:pt idx="2">
                  <c:v>1.7</c:v>
                </c:pt>
                <c:pt idx="3">
                  <c:v>1.7</c:v>
                </c:pt>
                <c:pt idx="4">
                  <c:v>1.7</c:v>
                </c:pt>
                <c:pt idx="5">
                  <c:v>1.8</c:v>
                </c:pt>
                <c:pt idx="6">
                  <c:v>1.7</c:v>
                </c:pt>
              </c:numCache>
              <c:extLst/>
            </c:numRef>
          </c:val>
          <c:smooth val="0"/>
          <c:extLst>
            <c:ext xmlns:c16="http://schemas.microsoft.com/office/drawing/2014/chart" uri="{C3380CC4-5D6E-409C-BE32-E72D297353CC}">
              <c16:uniqueId val="{00000005-D9C6-417A-996B-53255B79EA18}"/>
            </c:ext>
          </c:extLst>
        </c:ser>
        <c:ser>
          <c:idx val="1"/>
          <c:order val="1"/>
          <c:tx>
            <c:strRef>
              <c:f>'Sheet 1'!$B$13</c:f>
              <c:strCache>
                <c:ptCount val="1"/>
                <c:pt idx="0">
                  <c:v>EE</c:v>
                </c:pt>
              </c:strCache>
            </c:strRef>
          </c:tx>
          <c:spPr>
            <a:ln w="15875" cap="rnd">
              <a:solidFill>
                <a:srgbClr val="002060"/>
              </a:solidFill>
              <a:prstDash val="solid"/>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6-D9C6-417A-996B-53255B79EA18}"/>
                </c:ext>
              </c:extLst>
            </c:dLbl>
            <c:dLbl>
              <c:idx val="1"/>
              <c:delete val="1"/>
              <c:extLst>
                <c:ext xmlns:c15="http://schemas.microsoft.com/office/drawing/2012/chart" uri="{CE6537A1-D6FC-4f65-9D91-7224C49458BB}"/>
                <c:ext xmlns:c16="http://schemas.microsoft.com/office/drawing/2014/chart" uri="{C3380CC4-5D6E-409C-BE32-E72D297353CC}">
                  <c16:uniqueId val="{00000007-D9C6-417A-996B-53255B79EA18}"/>
                </c:ext>
              </c:extLst>
            </c:dLbl>
            <c:dLbl>
              <c:idx val="3"/>
              <c:delete val="1"/>
              <c:extLst>
                <c:ext xmlns:c15="http://schemas.microsoft.com/office/drawing/2012/chart" uri="{CE6537A1-D6FC-4f65-9D91-7224C49458BB}"/>
                <c:ext xmlns:c16="http://schemas.microsoft.com/office/drawing/2014/chart" uri="{C3380CC4-5D6E-409C-BE32-E72D297353CC}">
                  <c16:uniqueId val="{00000008-D9C6-417A-996B-53255B79EA18}"/>
                </c:ext>
              </c:extLst>
            </c:dLbl>
            <c:dLbl>
              <c:idx val="4"/>
              <c:delete val="1"/>
              <c:extLst>
                <c:ext xmlns:c15="http://schemas.microsoft.com/office/drawing/2012/chart" uri="{CE6537A1-D6FC-4f65-9D91-7224C49458BB}"/>
                <c:ext xmlns:c16="http://schemas.microsoft.com/office/drawing/2014/chart" uri="{C3380CC4-5D6E-409C-BE32-E72D297353CC}">
                  <c16:uniqueId val="{00000009-D9C6-417A-996B-53255B79EA18}"/>
                </c:ext>
              </c:extLst>
            </c:dLbl>
            <c:dLbl>
              <c:idx val="6"/>
              <c:delete val="1"/>
              <c:extLst>
                <c:ext xmlns:c15="http://schemas.microsoft.com/office/drawing/2012/chart" uri="{CE6537A1-D6FC-4f65-9D91-7224C49458BB}"/>
                <c:ext xmlns:c16="http://schemas.microsoft.com/office/drawing/2014/chart" uri="{C3380CC4-5D6E-409C-BE32-E72D297353CC}">
                  <c16:uniqueId val="{0000000A-D9C6-417A-996B-53255B79EA18}"/>
                </c:ext>
              </c:extLst>
            </c:dLbl>
            <c:dLbl>
              <c:idx val="7"/>
              <c:delete val="1"/>
              <c:extLst>
                <c:ext xmlns:c15="http://schemas.microsoft.com/office/drawing/2012/chart" uri="{CE6537A1-D6FC-4f65-9D91-7224C49458BB}"/>
                <c:ext xmlns:c16="http://schemas.microsoft.com/office/drawing/2014/chart" uri="{C3380CC4-5D6E-409C-BE32-E72D297353CC}">
                  <c16:uniqueId val="{0000000B-D9C6-417A-996B-53255B79EA18}"/>
                </c:ext>
              </c:extLst>
            </c:dLbl>
            <c:dLbl>
              <c:idx val="8"/>
              <c:layout>
                <c:manualLayout>
                  <c:x val="-1.7590164134237052E-3"/>
                  <c:y val="-2.91120815138282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9C6-417A-996B-53255B79EA18}"/>
                </c:ext>
              </c:extLst>
            </c:dLbl>
            <c:dLbl>
              <c:idx val="9"/>
              <c:delete val="1"/>
              <c:extLst>
                <c:ext xmlns:c15="http://schemas.microsoft.com/office/drawing/2012/chart" uri="{CE6537A1-D6FC-4f65-9D91-7224C49458BB}"/>
                <c:ext xmlns:c16="http://schemas.microsoft.com/office/drawing/2014/chart" uri="{C3380CC4-5D6E-409C-BE32-E72D297353CC}">
                  <c16:uniqueId val="{0000000D-D9C6-417A-996B-53255B79EA18}"/>
                </c:ext>
              </c:extLst>
            </c:dLbl>
            <c:dLbl>
              <c:idx val="10"/>
              <c:delete val="1"/>
              <c:extLst>
                <c:ext xmlns:c15="http://schemas.microsoft.com/office/drawing/2012/chart" uri="{CE6537A1-D6FC-4f65-9D91-7224C49458BB}"/>
                <c:ext xmlns:c16="http://schemas.microsoft.com/office/drawing/2014/chart" uri="{C3380CC4-5D6E-409C-BE32-E72D297353CC}">
                  <c16:uniqueId val="{0000000E-D9C6-417A-996B-53255B79EA18}"/>
                </c:ext>
              </c:extLst>
            </c:dLbl>
            <c:dLbl>
              <c:idx val="11"/>
              <c:layout>
                <c:manualLayout>
                  <c:x val="0"/>
                  <c:y val="-5.16308725073992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9C6-417A-996B-53255B79EA18}"/>
                </c:ext>
              </c:extLst>
            </c:dLbl>
            <c:spPr>
              <a:noFill/>
              <a:ln>
                <a:noFill/>
              </a:ln>
              <a:effectLst/>
            </c:spPr>
            <c:txPr>
              <a:bodyPr rot="0" spcFirstLastPara="1" vertOverflow="ellipsis" vert="horz" wrap="square" anchor="ctr" anchorCtr="1"/>
              <a:lstStyle/>
              <a:p>
                <a:pPr>
                  <a:defRPr sz="8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 1'!$M$10:$X$10</c:f>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strCache>
              <c:extLst/>
            </c:strRef>
          </c:cat>
          <c:val>
            <c:numRef>
              <c:f>'Sheet 1'!$M$13:$X$13</c:f>
              <c:numCache>
                <c:formatCode>#,##0.##########</c:formatCode>
                <c:ptCount val="12"/>
                <c:pt idx="0">
                  <c:v>1.8</c:v>
                </c:pt>
                <c:pt idx="1">
                  <c:v>1.9</c:v>
                </c:pt>
                <c:pt idx="2">
                  <c:v>1.9</c:v>
                </c:pt>
                <c:pt idx="3">
                  <c:v>1.9</c:v>
                </c:pt>
                <c:pt idx="4">
                  <c:v>1.8</c:v>
                </c:pt>
                <c:pt idx="5" formatCode="#,##0.0">
                  <c:v>2</c:v>
                </c:pt>
                <c:pt idx="6">
                  <c:v>1.8</c:v>
                </c:pt>
                <c:pt idx="7">
                  <c:v>1.8</c:v>
                </c:pt>
                <c:pt idx="8">
                  <c:v>1.8</c:v>
                </c:pt>
                <c:pt idx="9">
                  <c:v>1.8</c:v>
                </c:pt>
                <c:pt idx="10">
                  <c:v>1.8</c:v>
                </c:pt>
                <c:pt idx="11">
                  <c:v>1.8</c:v>
                </c:pt>
              </c:numCache>
              <c:extLst/>
            </c:numRef>
          </c:val>
          <c:smooth val="0"/>
          <c:extLst>
            <c:ext xmlns:c16="http://schemas.microsoft.com/office/drawing/2014/chart" uri="{C3380CC4-5D6E-409C-BE32-E72D297353CC}">
              <c16:uniqueId val="{00000010-D9C6-417A-996B-53255B79EA18}"/>
            </c:ext>
          </c:extLst>
        </c:ser>
        <c:ser>
          <c:idx val="2"/>
          <c:order val="2"/>
          <c:tx>
            <c:strRef>
              <c:f>'Sheet 1'!$B$14</c:f>
              <c:strCache>
                <c:ptCount val="1"/>
                <c:pt idx="0">
                  <c:v>LV</c:v>
                </c:pt>
              </c:strCache>
            </c:strRef>
          </c:tx>
          <c:spPr>
            <a:ln w="15875" cap="rnd">
              <a:solidFill>
                <a:srgbClr val="C00000"/>
              </a:solidFill>
              <a:round/>
            </a:ln>
            <a:effectLst/>
          </c:spPr>
          <c:marker>
            <c:symbol val="none"/>
          </c:marker>
          <c:dPt>
            <c:idx val="10"/>
            <c:marker>
              <c:symbol val="none"/>
            </c:marker>
            <c:bubble3D val="0"/>
            <c:spPr>
              <a:ln w="15875" cap="rnd">
                <a:solidFill>
                  <a:srgbClr val="C00000"/>
                </a:solidFill>
                <a:prstDash val="solid"/>
                <a:round/>
              </a:ln>
              <a:effectLst/>
            </c:spPr>
            <c:extLst>
              <c:ext xmlns:c16="http://schemas.microsoft.com/office/drawing/2014/chart" uri="{C3380CC4-5D6E-409C-BE32-E72D297353CC}">
                <c16:uniqueId val="{00000012-D9C6-417A-996B-53255B79EA18}"/>
              </c:ext>
            </c:extLst>
          </c:dPt>
          <c:dPt>
            <c:idx val="11"/>
            <c:marker>
              <c:symbol val="none"/>
            </c:marker>
            <c:bubble3D val="0"/>
            <c:spPr>
              <a:ln w="15875" cap="rnd">
                <a:solidFill>
                  <a:srgbClr val="C00000"/>
                </a:solidFill>
                <a:prstDash val="solid"/>
                <a:round/>
              </a:ln>
              <a:effectLst/>
            </c:spPr>
            <c:extLst>
              <c:ext xmlns:c16="http://schemas.microsoft.com/office/drawing/2014/chart" uri="{C3380CC4-5D6E-409C-BE32-E72D297353CC}">
                <c16:uniqueId val="{00000014-D9C6-417A-996B-53255B79EA18}"/>
              </c:ext>
            </c:extLst>
          </c:dPt>
          <c:dLbls>
            <c:dLbl>
              <c:idx val="0"/>
              <c:delete val="1"/>
              <c:extLst>
                <c:ext xmlns:c15="http://schemas.microsoft.com/office/drawing/2012/chart" uri="{CE6537A1-D6FC-4f65-9D91-7224C49458BB}"/>
                <c:ext xmlns:c16="http://schemas.microsoft.com/office/drawing/2014/chart" uri="{C3380CC4-5D6E-409C-BE32-E72D297353CC}">
                  <c16:uniqueId val="{00000015-D9C6-417A-996B-53255B79EA18}"/>
                </c:ext>
              </c:extLst>
            </c:dLbl>
            <c:dLbl>
              <c:idx val="1"/>
              <c:delete val="1"/>
              <c:extLst>
                <c:ext xmlns:c15="http://schemas.microsoft.com/office/drawing/2012/chart" uri="{CE6537A1-D6FC-4f65-9D91-7224C49458BB}"/>
                <c:ext xmlns:c16="http://schemas.microsoft.com/office/drawing/2014/chart" uri="{C3380CC4-5D6E-409C-BE32-E72D297353CC}">
                  <c16:uniqueId val="{00000016-D9C6-417A-996B-53255B79EA18}"/>
                </c:ext>
              </c:extLst>
            </c:dLbl>
            <c:dLbl>
              <c:idx val="2"/>
              <c:delete val="1"/>
              <c:extLst>
                <c:ext xmlns:c15="http://schemas.microsoft.com/office/drawing/2012/chart" uri="{CE6537A1-D6FC-4f65-9D91-7224C49458BB}"/>
                <c:ext xmlns:c16="http://schemas.microsoft.com/office/drawing/2014/chart" uri="{C3380CC4-5D6E-409C-BE32-E72D297353CC}">
                  <c16:uniqueId val="{00000017-D9C6-417A-996B-53255B79EA18}"/>
                </c:ext>
              </c:extLst>
            </c:dLbl>
            <c:dLbl>
              <c:idx val="3"/>
              <c:layout>
                <c:manualLayout>
                  <c:x val="-2.3604390416617489E-3"/>
                  <c:y val="-3.26797385620915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D9C6-417A-996B-53255B79EA18}"/>
                </c:ext>
              </c:extLst>
            </c:dLbl>
            <c:dLbl>
              <c:idx val="4"/>
              <c:delete val="1"/>
              <c:extLst>
                <c:ext xmlns:c15="http://schemas.microsoft.com/office/drawing/2012/chart" uri="{CE6537A1-D6FC-4f65-9D91-7224C49458BB}"/>
                <c:ext xmlns:c16="http://schemas.microsoft.com/office/drawing/2014/chart" uri="{C3380CC4-5D6E-409C-BE32-E72D297353CC}">
                  <c16:uniqueId val="{00000019-D9C6-417A-996B-53255B79EA18}"/>
                </c:ext>
              </c:extLst>
            </c:dLbl>
            <c:dLbl>
              <c:idx val="5"/>
              <c:delete val="1"/>
              <c:extLst>
                <c:ext xmlns:c15="http://schemas.microsoft.com/office/drawing/2012/chart" uri="{CE6537A1-D6FC-4f65-9D91-7224C49458BB}"/>
                <c:ext xmlns:c16="http://schemas.microsoft.com/office/drawing/2014/chart" uri="{C3380CC4-5D6E-409C-BE32-E72D297353CC}">
                  <c16:uniqueId val="{0000001A-D9C6-417A-996B-53255B79EA18}"/>
                </c:ext>
              </c:extLst>
            </c:dLbl>
            <c:dLbl>
              <c:idx val="6"/>
              <c:layout>
                <c:manualLayout>
                  <c:x val="-1.3269932544509647E-2"/>
                  <c:y val="-2.6143890780071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D9C6-417A-996B-53255B79EA18}"/>
                </c:ext>
              </c:extLst>
            </c:dLbl>
            <c:dLbl>
              <c:idx val="7"/>
              <c:delete val="1"/>
              <c:extLst>
                <c:ext xmlns:c15="http://schemas.microsoft.com/office/drawing/2012/chart" uri="{CE6537A1-D6FC-4f65-9D91-7224C49458BB}"/>
                <c:ext xmlns:c16="http://schemas.microsoft.com/office/drawing/2014/chart" uri="{C3380CC4-5D6E-409C-BE32-E72D297353CC}">
                  <c16:uniqueId val="{0000001C-D9C6-417A-996B-53255B79EA18}"/>
                </c:ext>
              </c:extLst>
            </c:dLbl>
            <c:dLbl>
              <c:idx val="8"/>
              <c:layout>
                <c:manualLayout>
                  <c:x val="-2.8325268499940989E-2"/>
                  <c:y val="-4.42102825382121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D9C6-417A-996B-53255B79EA18}"/>
                </c:ext>
              </c:extLst>
            </c:dLbl>
            <c:dLbl>
              <c:idx val="9"/>
              <c:layout>
                <c:manualLayout>
                  <c:x val="-2.7165120706096228E-2"/>
                  <c:y val="-2.96541456156936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D9C6-417A-996B-53255B79EA18}"/>
                </c:ext>
              </c:extLst>
            </c:dLbl>
            <c:spPr>
              <a:noFill/>
              <a:ln>
                <a:noFill/>
              </a:ln>
              <a:effectLst/>
            </c:spPr>
            <c:txPr>
              <a:bodyPr rot="0" spcFirstLastPara="1" vertOverflow="ellipsis" vert="horz" wrap="square" anchor="ctr" anchorCtr="1"/>
              <a:lstStyle/>
              <a:p>
                <a:pPr>
                  <a:defRPr sz="8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 1'!$M$10:$X$10</c:f>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strCache>
              <c:extLst/>
            </c:strRef>
          </c:cat>
          <c:val>
            <c:numRef>
              <c:f>'Sheet 1'!$M$14:$X$14</c:f>
              <c:numCache>
                <c:formatCode>#,##0.##########</c:formatCode>
                <c:ptCount val="12"/>
                <c:pt idx="0" formatCode="#,##0.0">
                  <c:v>2</c:v>
                </c:pt>
                <c:pt idx="1">
                  <c:v>2.1</c:v>
                </c:pt>
                <c:pt idx="2">
                  <c:v>2.2999999999999998</c:v>
                </c:pt>
                <c:pt idx="3">
                  <c:v>2.2000000000000002</c:v>
                </c:pt>
                <c:pt idx="4">
                  <c:v>2.2000000000000002</c:v>
                </c:pt>
                <c:pt idx="5">
                  <c:v>2.2000000000000002</c:v>
                </c:pt>
                <c:pt idx="6">
                  <c:v>2.2000000000000002</c:v>
                </c:pt>
                <c:pt idx="7" formatCode="#,##0.#">
                  <c:v>2.106212253055745</c:v>
                </c:pt>
                <c:pt idx="8" formatCode="#,##0.#">
                  <c:v>2.4028645648493421</c:v>
                </c:pt>
                <c:pt idx="9" formatCode="0.0">
                  <c:v>2.5969819155794505</c:v>
                </c:pt>
                <c:pt idx="10" formatCode="0.0">
                  <c:v>2.17007001706008</c:v>
                </c:pt>
                <c:pt idx="11" formatCode="0.0">
                  <c:v>1.7431380580703562</c:v>
                </c:pt>
              </c:numCache>
              <c:extLst/>
            </c:numRef>
          </c:val>
          <c:smooth val="0"/>
          <c:extLst>
            <c:ext xmlns:c16="http://schemas.microsoft.com/office/drawing/2014/chart" uri="{C3380CC4-5D6E-409C-BE32-E72D297353CC}">
              <c16:uniqueId val="{0000001F-D9C6-417A-996B-53255B79EA18}"/>
            </c:ext>
          </c:extLst>
        </c:ser>
        <c:ser>
          <c:idx val="3"/>
          <c:order val="3"/>
          <c:tx>
            <c:strRef>
              <c:f>'Sheet 1'!$B$15</c:f>
              <c:strCache>
                <c:ptCount val="1"/>
                <c:pt idx="0">
                  <c:v>LT</c:v>
                </c:pt>
              </c:strCache>
            </c:strRef>
          </c:tx>
          <c:spPr>
            <a:ln w="15875" cap="rnd">
              <a:solidFill>
                <a:srgbClr val="9C9AB4"/>
              </a:solidFill>
              <a:prstDash val="solid"/>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20-D9C6-417A-996B-53255B79EA18}"/>
                </c:ext>
              </c:extLst>
            </c:dLbl>
            <c:dLbl>
              <c:idx val="1"/>
              <c:delete val="1"/>
              <c:extLst>
                <c:ext xmlns:c15="http://schemas.microsoft.com/office/drawing/2012/chart" uri="{CE6537A1-D6FC-4f65-9D91-7224C49458BB}"/>
                <c:ext xmlns:c16="http://schemas.microsoft.com/office/drawing/2014/chart" uri="{C3380CC4-5D6E-409C-BE32-E72D297353CC}">
                  <c16:uniqueId val="{00000021-D9C6-417A-996B-53255B79EA18}"/>
                </c:ext>
              </c:extLst>
            </c:dLbl>
            <c:dLbl>
              <c:idx val="2"/>
              <c:delete val="1"/>
              <c:extLst>
                <c:ext xmlns:c15="http://schemas.microsoft.com/office/drawing/2012/chart" uri="{CE6537A1-D6FC-4f65-9D91-7224C49458BB}"/>
                <c:ext xmlns:c16="http://schemas.microsoft.com/office/drawing/2014/chart" uri="{C3380CC4-5D6E-409C-BE32-E72D297353CC}">
                  <c16:uniqueId val="{00000022-D9C6-417A-996B-53255B79EA18}"/>
                </c:ext>
              </c:extLst>
            </c:dLbl>
            <c:dLbl>
              <c:idx val="3"/>
              <c:delete val="1"/>
              <c:extLst>
                <c:ext xmlns:c15="http://schemas.microsoft.com/office/drawing/2012/chart" uri="{CE6537A1-D6FC-4f65-9D91-7224C49458BB}"/>
                <c:ext xmlns:c16="http://schemas.microsoft.com/office/drawing/2014/chart" uri="{C3380CC4-5D6E-409C-BE32-E72D297353CC}">
                  <c16:uniqueId val="{00000023-D9C6-417A-996B-53255B79EA18}"/>
                </c:ext>
              </c:extLst>
            </c:dLbl>
            <c:dLbl>
              <c:idx val="4"/>
              <c:delete val="1"/>
              <c:extLst>
                <c:ext xmlns:c15="http://schemas.microsoft.com/office/drawing/2012/chart" uri="{CE6537A1-D6FC-4f65-9D91-7224C49458BB}"/>
                <c:ext xmlns:c16="http://schemas.microsoft.com/office/drawing/2014/chart" uri="{C3380CC4-5D6E-409C-BE32-E72D297353CC}">
                  <c16:uniqueId val="{00000024-D9C6-417A-996B-53255B79EA18}"/>
                </c:ext>
              </c:extLst>
            </c:dLbl>
            <c:spPr>
              <a:noFill/>
              <a:ln>
                <a:noFill/>
              </a:ln>
              <a:effectLst/>
            </c:spPr>
            <c:txPr>
              <a:bodyPr rot="0" spcFirstLastPara="1" vertOverflow="ellipsis" vert="horz" wrap="square" anchor="ctr" anchorCtr="1"/>
              <a:lstStyle/>
              <a:p>
                <a:pPr>
                  <a:defRPr sz="800" b="1" i="0" u="none" strike="noStrike" kern="1200" baseline="0">
                    <a:solidFill>
                      <a:srgbClr val="9C9AB4"/>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 1'!$M$10:$X$10</c:f>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strCache>
              <c:extLst/>
            </c:strRef>
          </c:cat>
          <c:val>
            <c:numRef>
              <c:f>'Sheet 1'!$M$15:$X$15</c:f>
              <c:numCache>
                <c:formatCode>#,##0.##########</c:formatCode>
                <c:ptCount val="12"/>
                <c:pt idx="0">
                  <c:v>1.6</c:v>
                </c:pt>
                <c:pt idx="1">
                  <c:v>1.5</c:v>
                </c:pt>
                <c:pt idx="2">
                  <c:v>1.5</c:v>
                </c:pt>
                <c:pt idx="3">
                  <c:v>1.4</c:v>
                </c:pt>
                <c:pt idx="4">
                  <c:v>1.4</c:v>
                </c:pt>
                <c:pt idx="5">
                  <c:v>1.5</c:v>
                </c:pt>
                <c:pt idx="6">
                  <c:v>1.3</c:v>
                </c:pt>
              </c:numCache>
              <c:extLst/>
            </c:numRef>
          </c:val>
          <c:smooth val="0"/>
          <c:extLst>
            <c:ext xmlns:c16="http://schemas.microsoft.com/office/drawing/2014/chart" uri="{C3380CC4-5D6E-409C-BE32-E72D297353CC}">
              <c16:uniqueId val="{00000025-D9C6-417A-996B-53255B79EA18}"/>
            </c:ext>
          </c:extLst>
        </c:ser>
        <c:ser>
          <c:idx val="4"/>
          <c:order val="4"/>
          <c:tx>
            <c:strRef>
              <c:f>'Sheet 1'!$B$16</c:f>
              <c:strCache>
                <c:ptCount val="1"/>
                <c:pt idx="0">
                  <c:v>SE</c:v>
                </c:pt>
              </c:strCache>
            </c:strRef>
          </c:tx>
          <c:spPr>
            <a:ln w="15875" cap="rnd">
              <a:solidFill>
                <a:schemeClr val="tx1"/>
              </a:solidFill>
              <a:prstDash val="sysDot"/>
              <a:round/>
            </a:ln>
            <a:effectLst/>
          </c:spPr>
          <c:marker>
            <c:symbol val="none"/>
          </c:marker>
          <c:cat>
            <c:strRef>
              <c:f>'Sheet 1'!$M$10:$X$10</c:f>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strCache>
              <c:extLst/>
            </c:strRef>
          </c:cat>
          <c:val>
            <c:numRef>
              <c:f>'Sheet 1'!$M$16:$X$16</c:f>
              <c:numCache>
                <c:formatCode>#,##0.##########</c:formatCode>
                <c:ptCount val="12"/>
                <c:pt idx="0">
                  <c:v>1.3</c:v>
                </c:pt>
                <c:pt idx="1">
                  <c:v>1.3</c:v>
                </c:pt>
                <c:pt idx="2">
                  <c:v>1.3</c:v>
                </c:pt>
                <c:pt idx="3">
                  <c:v>1.3</c:v>
                </c:pt>
                <c:pt idx="4">
                  <c:v>1.3</c:v>
                </c:pt>
                <c:pt idx="5">
                  <c:v>1.4</c:v>
                </c:pt>
                <c:pt idx="6">
                  <c:v>1.3</c:v>
                </c:pt>
              </c:numCache>
              <c:extLst/>
            </c:numRef>
          </c:val>
          <c:smooth val="0"/>
          <c:extLst>
            <c:ext xmlns:c16="http://schemas.microsoft.com/office/drawing/2014/chart" uri="{C3380CC4-5D6E-409C-BE32-E72D297353CC}">
              <c16:uniqueId val="{00000026-D9C6-417A-996B-53255B79EA18}"/>
            </c:ext>
          </c:extLst>
        </c:ser>
        <c:ser>
          <c:idx val="5"/>
          <c:order val="5"/>
          <c:tx>
            <c:strRef>
              <c:f>'Sheet 1'!$B$17</c:f>
              <c:strCache>
                <c:ptCount val="1"/>
                <c:pt idx="0">
                  <c:v>LV mērķis</c:v>
                </c:pt>
              </c:strCache>
            </c:strRef>
          </c:tx>
          <c:spPr>
            <a:ln w="15875" cap="rnd">
              <a:solidFill>
                <a:srgbClr val="C00000"/>
              </a:solidFill>
              <a:prstDash val="sysDot"/>
              <a:round/>
            </a:ln>
            <a:effectLst/>
          </c:spPr>
          <c:marker>
            <c:symbol val="none"/>
          </c:marker>
          <c:dLbls>
            <c:dLbl>
              <c:idx val="11"/>
              <c:numFmt formatCode="#,##0.0" sourceLinked="0"/>
              <c:spPr>
                <a:noFill/>
                <a:ln>
                  <a:noFill/>
                </a:ln>
                <a:effectLst/>
              </c:spPr>
              <c:txPr>
                <a:bodyPr rot="0" spcFirstLastPara="1" vertOverflow="ellipsis" vert="horz" wrap="square" anchor="ctr" anchorCtr="1"/>
                <a:lstStyle/>
                <a:p>
                  <a:pPr>
                    <a:defRPr sz="9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D9C6-417A-996B-53255B79EA18}"/>
                </c:ext>
              </c:extLst>
            </c:dLbl>
            <c:spPr>
              <a:noFill/>
              <a:ln>
                <a:noFill/>
              </a:ln>
              <a:effectLst/>
            </c:spPr>
            <c:txPr>
              <a:bodyPr rot="0" spcFirstLastPara="1" vertOverflow="ellipsis" vert="horz" wrap="square" anchor="ctr" anchorCtr="1"/>
              <a:lstStyle/>
              <a:p>
                <a:pPr>
                  <a:defRPr sz="9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extLst>
                <c:ext xmlns:c15="http://schemas.microsoft.com/office/drawing/2012/chart" uri="{02D57815-91ED-43cb-92C2-25804820EDAC}">
                  <c15:autoCat val="1"/>
                </c:ext>
              </c:extLst>
            </c:strLit>
          </c:cat>
          <c:val>
            <c:numRef>
              <c:f>'Sheet 1'!$M$17:$X$17</c:f>
              <c:numCache>
                <c:formatCode>#,##0.##########</c:formatCode>
                <c:ptCount val="12"/>
                <c:pt idx="0">
                  <c:v>2</c:v>
                </c:pt>
                <c:pt idx="1">
                  <c:v>2.1</c:v>
                </c:pt>
                <c:pt idx="2">
                  <c:v>2.2999999999999998</c:v>
                </c:pt>
                <c:pt idx="3">
                  <c:v>2.2000000000000002</c:v>
                </c:pt>
                <c:pt idx="4">
                  <c:v>2.2000000000000002</c:v>
                </c:pt>
                <c:pt idx="5">
                  <c:v>2.2000000000000002</c:v>
                </c:pt>
                <c:pt idx="6">
                  <c:v>2.2000000000000002</c:v>
                </c:pt>
                <c:pt idx="7" formatCode="#,##0.#">
                  <c:v>2.106212253055745</c:v>
                </c:pt>
                <c:pt idx="8" formatCode="#,##0.##">
                  <c:v>2.4028645648493421</c:v>
                </c:pt>
                <c:pt idx="9" formatCode="#,##0.#">
                  <c:v>2.5969819155794505</c:v>
                </c:pt>
                <c:pt idx="10" formatCode="#,##0.##">
                  <c:v>2.5</c:v>
                </c:pt>
                <c:pt idx="11" formatCode="#,##0.#">
                  <c:v>2.5</c:v>
                </c:pt>
              </c:numCache>
              <c:extLst/>
            </c:numRef>
          </c:val>
          <c:smooth val="0"/>
          <c:extLst>
            <c:ext xmlns:c16="http://schemas.microsoft.com/office/drawing/2014/chart" uri="{C3380CC4-5D6E-409C-BE32-E72D297353CC}">
              <c16:uniqueId val="{00000028-D9C6-417A-996B-53255B79EA18}"/>
            </c:ext>
          </c:extLst>
        </c:ser>
        <c:dLbls>
          <c:showLegendKey val="0"/>
          <c:showVal val="0"/>
          <c:showCatName val="0"/>
          <c:showSerName val="0"/>
          <c:showPercent val="0"/>
          <c:showBubbleSize val="0"/>
        </c:dLbls>
        <c:marker val="1"/>
        <c:smooth val="0"/>
        <c:axId val="381745136"/>
        <c:axId val="381758096"/>
      </c:lineChart>
      <c:catAx>
        <c:axId val="381745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81758096"/>
        <c:crosses val="autoZero"/>
        <c:auto val="1"/>
        <c:lblAlgn val="ctr"/>
        <c:lblOffset val="100"/>
        <c:noMultiLvlLbl val="0"/>
      </c:catAx>
      <c:valAx>
        <c:axId val="381758096"/>
        <c:scaling>
          <c:orientation val="minMax"/>
          <c:min val="1.2"/>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81745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 1'!$B$24</c:f>
              <c:strCache>
                <c:ptCount val="1"/>
                <c:pt idx="0">
                  <c:v>EU 27</c:v>
                </c:pt>
              </c:strCache>
            </c:strRef>
          </c:tx>
          <c:spPr>
            <a:ln w="28575" cap="rnd">
              <a:noFill/>
              <a:prstDash val="dash"/>
              <a:round/>
            </a:ln>
            <a:effectLst/>
          </c:spPr>
          <c:marker>
            <c:symbol val="square"/>
            <c:size val="5"/>
            <c:spPr>
              <a:solidFill>
                <a:sysClr val="windowText" lastClr="000000">
                  <a:lumMod val="50000"/>
                  <a:lumOff val="50000"/>
                </a:sysClr>
              </a:solidFill>
              <a:ln w="9525">
                <a:no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0-AC2C-4EC5-8E2B-DDE25C0E132E}"/>
                </c:ext>
              </c:extLst>
            </c:dLbl>
            <c:dLbl>
              <c:idx val="1"/>
              <c:layout>
                <c:manualLayout>
                  <c:x val="-2.3359028264424223E-2"/>
                  <c:y val="4.81563037835817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C2C-4EC5-8E2B-DDE25C0E132E}"/>
                </c:ext>
              </c:extLst>
            </c:dLbl>
            <c:dLbl>
              <c:idx val="2"/>
              <c:delete val="1"/>
              <c:extLst>
                <c:ext xmlns:c15="http://schemas.microsoft.com/office/drawing/2012/chart" uri="{CE6537A1-D6FC-4f65-9D91-7224C49458BB}"/>
                <c:ext xmlns:c16="http://schemas.microsoft.com/office/drawing/2014/chart" uri="{C3380CC4-5D6E-409C-BE32-E72D297353CC}">
                  <c16:uniqueId val="{00000002-AC2C-4EC5-8E2B-DDE25C0E132E}"/>
                </c:ext>
              </c:extLst>
            </c:dLbl>
            <c:dLbl>
              <c:idx val="3"/>
              <c:delete val="1"/>
              <c:extLst>
                <c:ext xmlns:c15="http://schemas.microsoft.com/office/drawing/2012/chart" uri="{CE6537A1-D6FC-4f65-9D91-7224C49458BB}"/>
                <c:ext xmlns:c16="http://schemas.microsoft.com/office/drawing/2014/chart" uri="{C3380CC4-5D6E-409C-BE32-E72D297353CC}">
                  <c16:uniqueId val="{00000003-AC2C-4EC5-8E2B-DDE25C0E132E}"/>
                </c:ext>
              </c:extLst>
            </c:dLbl>
            <c:dLbl>
              <c:idx val="4"/>
              <c:delete val="1"/>
              <c:extLst>
                <c:ext xmlns:c15="http://schemas.microsoft.com/office/drawing/2012/chart" uri="{CE6537A1-D6FC-4f65-9D91-7224C49458BB}"/>
                <c:ext xmlns:c16="http://schemas.microsoft.com/office/drawing/2014/chart" uri="{C3380CC4-5D6E-409C-BE32-E72D297353CC}">
                  <c16:uniqueId val="{00000004-AC2C-4EC5-8E2B-DDE25C0E132E}"/>
                </c:ext>
              </c:extLst>
            </c:dLbl>
            <c:dLbl>
              <c:idx val="5"/>
              <c:layout>
                <c:manualLayout>
                  <c:x val="-3.0366813904359517E-2"/>
                  <c:y val="4.13555125658594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C2C-4EC5-8E2B-DDE25C0E132E}"/>
                </c:ext>
              </c:extLst>
            </c:dLbl>
            <c:dLbl>
              <c:idx val="6"/>
              <c:layout>
                <c:manualLayout>
                  <c:x val="-9.343611305769765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C2C-4EC5-8E2B-DDE25C0E132E}"/>
                </c:ext>
              </c:extLst>
            </c:dLbl>
            <c:spPr>
              <a:noFill/>
              <a:ln>
                <a:noFill/>
              </a:ln>
              <a:effectLst/>
            </c:spPr>
            <c:txPr>
              <a:bodyPr rot="0" spcFirstLastPara="1" vertOverflow="ellipsis" vert="horz" wrap="square" anchor="ctr" anchorCtr="1"/>
              <a:lstStyle/>
              <a:p>
                <a:pPr>
                  <a:defRPr sz="80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 1'!$M$10:$X$10</c:f>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strCache>
              <c:extLst/>
            </c:strRef>
          </c:cat>
          <c:val>
            <c:numRef>
              <c:f>'Sheet 1'!$M$24:$X$24</c:f>
              <c:numCache>
                <c:formatCode>#,##0.##########</c:formatCode>
                <c:ptCount val="12"/>
                <c:pt idx="0">
                  <c:v>4.8</c:v>
                </c:pt>
                <c:pt idx="1">
                  <c:v>4.7</c:v>
                </c:pt>
                <c:pt idx="2">
                  <c:v>4.7</c:v>
                </c:pt>
                <c:pt idx="3">
                  <c:v>4.7</c:v>
                </c:pt>
                <c:pt idx="4">
                  <c:v>4.7</c:v>
                </c:pt>
                <c:pt idx="5" formatCode="#,##0.0">
                  <c:v>5</c:v>
                </c:pt>
                <c:pt idx="6">
                  <c:v>4.8</c:v>
                </c:pt>
              </c:numCache>
              <c:extLst/>
            </c:numRef>
          </c:val>
          <c:smooth val="0"/>
          <c:extLst>
            <c:ext xmlns:c16="http://schemas.microsoft.com/office/drawing/2014/chart" uri="{C3380CC4-5D6E-409C-BE32-E72D297353CC}">
              <c16:uniqueId val="{00000007-AC2C-4EC5-8E2B-DDE25C0E132E}"/>
            </c:ext>
          </c:extLst>
        </c:ser>
        <c:ser>
          <c:idx val="1"/>
          <c:order val="1"/>
          <c:tx>
            <c:strRef>
              <c:f>'Sheet 1'!$B$25</c:f>
              <c:strCache>
                <c:ptCount val="1"/>
                <c:pt idx="0">
                  <c:v>EE</c:v>
                </c:pt>
              </c:strCache>
            </c:strRef>
          </c:tx>
          <c:spPr>
            <a:ln w="15875" cap="rnd">
              <a:solidFill>
                <a:srgbClr val="002060"/>
              </a:solidFill>
              <a:prstDash val="solid"/>
              <a:round/>
            </a:ln>
            <a:effectLst/>
          </c:spPr>
          <c:marker>
            <c:symbol val="none"/>
          </c:marker>
          <c:dPt>
            <c:idx val="8"/>
            <c:marker>
              <c:symbol val="none"/>
            </c:marker>
            <c:bubble3D val="0"/>
            <c:spPr>
              <a:ln w="15875" cap="rnd">
                <a:solidFill>
                  <a:srgbClr val="002060"/>
                </a:solidFill>
                <a:prstDash val="sysDash"/>
                <a:round/>
              </a:ln>
              <a:effectLst/>
            </c:spPr>
            <c:extLst>
              <c:ext xmlns:c16="http://schemas.microsoft.com/office/drawing/2014/chart" uri="{C3380CC4-5D6E-409C-BE32-E72D297353CC}">
                <c16:uniqueId val="{00000009-AC2C-4EC5-8E2B-DDE25C0E132E}"/>
              </c:ext>
            </c:extLst>
          </c:dPt>
          <c:dPt>
            <c:idx val="9"/>
            <c:marker>
              <c:symbol val="none"/>
            </c:marker>
            <c:bubble3D val="0"/>
            <c:spPr>
              <a:ln w="15875" cap="rnd">
                <a:solidFill>
                  <a:srgbClr val="002060"/>
                </a:solidFill>
                <a:prstDash val="sysDash"/>
                <a:round/>
              </a:ln>
              <a:effectLst/>
            </c:spPr>
            <c:extLst>
              <c:ext xmlns:c16="http://schemas.microsoft.com/office/drawing/2014/chart" uri="{C3380CC4-5D6E-409C-BE32-E72D297353CC}">
                <c16:uniqueId val="{0000000B-AC2C-4EC5-8E2B-DDE25C0E132E}"/>
              </c:ext>
            </c:extLst>
          </c:dPt>
          <c:dPt>
            <c:idx val="10"/>
            <c:marker>
              <c:symbol val="none"/>
            </c:marker>
            <c:bubble3D val="0"/>
            <c:spPr>
              <a:ln w="15875" cap="rnd">
                <a:solidFill>
                  <a:srgbClr val="002060"/>
                </a:solidFill>
                <a:prstDash val="sysDash"/>
                <a:round/>
              </a:ln>
              <a:effectLst/>
            </c:spPr>
            <c:extLst>
              <c:ext xmlns:c16="http://schemas.microsoft.com/office/drawing/2014/chart" uri="{C3380CC4-5D6E-409C-BE32-E72D297353CC}">
                <c16:uniqueId val="{0000000D-AC2C-4EC5-8E2B-DDE25C0E132E}"/>
              </c:ext>
            </c:extLst>
          </c:dPt>
          <c:dPt>
            <c:idx val="11"/>
            <c:marker>
              <c:symbol val="none"/>
            </c:marker>
            <c:bubble3D val="0"/>
            <c:spPr>
              <a:ln w="15875" cap="rnd">
                <a:solidFill>
                  <a:srgbClr val="002060"/>
                </a:solidFill>
                <a:prstDash val="sysDash"/>
                <a:round/>
              </a:ln>
              <a:effectLst/>
            </c:spPr>
            <c:extLst>
              <c:ext xmlns:c16="http://schemas.microsoft.com/office/drawing/2014/chart" uri="{C3380CC4-5D6E-409C-BE32-E72D297353CC}">
                <c16:uniqueId val="{0000000F-AC2C-4EC5-8E2B-DDE25C0E132E}"/>
              </c:ext>
            </c:extLst>
          </c:dPt>
          <c:dLbls>
            <c:dLbl>
              <c:idx val="0"/>
              <c:layout>
                <c:manualLayout>
                  <c:x val="-2.3359028264424413E-3"/>
                  <c:y val="-1.51438667339727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C2C-4EC5-8E2B-DDE25C0E132E}"/>
                </c:ext>
              </c:extLst>
            </c:dLbl>
            <c:dLbl>
              <c:idx val="1"/>
              <c:delete val="1"/>
              <c:extLst>
                <c:ext xmlns:c15="http://schemas.microsoft.com/office/drawing/2012/chart" uri="{CE6537A1-D6FC-4f65-9D91-7224C49458BB}"/>
                <c:ext xmlns:c16="http://schemas.microsoft.com/office/drawing/2014/chart" uri="{C3380CC4-5D6E-409C-BE32-E72D297353CC}">
                  <c16:uniqueId val="{00000011-AC2C-4EC5-8E2B-DDE25C0E132E}"/>
                </c:ext>
              </c:extLst>
            </c:dLbl>
            <c:dLbl>
              <c:idx val="2"/>
              <c:delete val="1"/>
              <c:extLst>
                <c:ext xmlns:c15="http://schemas.microsoft.com/office/drawing/2012/chart" uri="{CE6537A1-D6FC-4f65-9D91-7224C49458BB}"/>
                <c:ext xmlns:c16="http://schemas.microsoft.com/office/drawing/2014/chart" uri="{C3380CC4-5D6E-409C-BE32-E72D297353CC}">
                  <c16:uniqueId val="{00000012-AC2C-4EC5-8E2B-DDE25C0E132E}"/>
                </c:ext>
              </c:extLst>
            </c:dLbl>
            <c:dLbl>
              <c:idx val="3"/>
              <c:delete val="1"/>
              <c:extLst>
                <c:ext xmlns:c15="http://schemas.microsoft.com/office/drawing/2012/chart" uri="{CE6537A1-D6FC-4f65-9D91-7224C49458BB}"/>
                <c:ext xmlns:c16="http://schemas.microsoft.com/office/drawing/2014/chart" uri="{C3380CC4-5D6E-409C-BE32-E72D297353CC}">
                  <c16:uniqueId val="{00000013-AC2C-4EC5-8E2B-DDE25C0E132E}"/>
                </c:ext>
              </c:extLst>
            </c:dLbl>
            <c:dLbl>
              <c:idx val="4"/>
              <c:delete val="1"/>
              <c:extLst>
                <c:ext xmlns:c15="http://schemas.microsoft.com/office/drawing/2012/chart" uri="{CE6537A1-D6FC-4f65-9D91-7224C49458BB}"/>
                <c:ext xmlns:c16="http://schemas.microsoft.com/office/drawing/2014/chart" uri="{C3380CC4-5D6E-409C-BE32-E72D297353CC}">
                  <c16:uniqueId val="{00000014-AC2C-4EC5-8E2B-DDE25C0E132E}"/>
                </c:ext>
              </c:extLst>
            </c:dLbl>
            <c:dLbl>
              <c:idx val="6"/>
              <c:layout>
                <c:manualLayout>
                  <c:x val="0"/>
                  <c:y val="-1.51438667339727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C2C-4EC5-8E2B-DDE25C0E132E}"/>
                </c:ext>
              </c:extLst>
            </c:dLbl>
            <c:dLbl>
              <c:idx val="7"/>
              <c:delete val="1"/>
              <c:extLst>
                <c:ext xmlns:c15="http://schemas.microsoft.com/office/drawing/2012/chart" uri="{CE6537A1-D6FC-4f65-9D91-7224C49458BB}"/>
                <c:ext xmlns:c16="http://schemas.microsoft.com/office/drawing/2014/chart" uri="{C3380CC4-5D6E-409C-BE32-E72D297353CC}">
                  <c16:uniqueId val="{00000016-AC2C-4EC5-8E2B-DDE25C0E132E}"/>
                </c:ext>
              </c:extLst>
            </c:dLbl>
            <c:dLbl>
              <c:idx val="8"/>
              <c:layout>
                <c:manualLayout>
                  <c:x val="-1.2899304684572049E-16"/>
                  <c:y val="-2.62008733624454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C2C-4EC5-8E2B-DDE25C0E132E}"/>
                </c:ext>
              </c:extLst>
            </c:dLbl>
            <c:dLbl>
              <c:idx val="9"/>
              <c:delete val="1"/>
              <c:extLst>
                <c:ext xmlns:c15="http://schemas.microsoft.com/office/drawing/2012/chart" uri="{CE6537A1-D6FC-4f65-9D91-7224C49458BB}"/>
                <c:ext xmlns:c16="http://schemas.microsoft.com/office/drawing/2014/chart" uri="{C3380CC4-5D6E-409C-BE32-E72D297353CC}">
                  <c16:uniqueId val="{0000000B-AC2C-4EC5-8E2B-DDE25C0E132E}"/>
                </c:ext>
              </c:extLst>
            </c:dLbl>
            <c:dLbl>
              <c:idx val="10"/>
              <c:delete val="1"/>
              <c:extLst>
                <c:ext xmlns:c15="http://schemas.microsoft.com/office/drawing/2012/chart" uri="{CE6537A1-D6FC-4f65-9D91-7224C49458BB}"/>
                <c:ext xmlns:c16="http://schemas.microsoft.com/office/drawing/2014/chart" uri="{C3380CC4-5D6E-409C-BE32-E72D297353CC}">
                  <c16:uniqueId val="{0000000D-AC2C-4EC5-8E2B-DDE25C0E132E}"/>
                </c:ext>
              </c:extLst>
            </c:dLbl>
            <c:dLbl>
              <c:idx val="11"/>
              <c:layout>
                <c:manualLayout>
                  <c:x val="-9.3430665526127634E-3"/>
                  <c:y val="-5.87754950922719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C2C-4EC5-8E2B-DDE25C0E132E}"/>
                </c:ext>
              </c:extLst>
            </c:dLbl>
            <c:spPr>
              <a:noFill/>
              <a:ln>
                <a:noFill/>
              </a:ln>
              <a:effectLst/>
            </c:spPr>
            <c:txPr>
              <a:bodyPr rot="0" spcFirstLastPara="1" vertOverflow="ellipsis" vert="horz" wrap="square" anchor="ctr" anchorCtr="1"/>
              <a:lstStyle/>
              <a:p>
                <a:pPr>
                  <a:defRPr sz="8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 1'!$M$10:$X$10</c:f>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strCache>
              <c:extLst/>
            </c:strRef>
          </c:cat>
          <c:val>
            <c:numRef>
              <c:f>'Sheet 1'!$M$25:$X$25</c:f>
              <c:numCache>
                <c:formatCode>#,##0.##########</c:formatCode>
                <c:ptCount val="12"/>
                <c:pt idx="0">
                  <c:v>5.9</c:v>
                </c:pt>
                <c:pt idx="1">
                  <c:v>5.7</c:v>
                </c:pt>
                <c:pt idx="2">
                  <c:v>5.7</c:v>
                </c:pt>
                <c:pt idx="3">
                  <c:v>6.2</c:v>
                </c:pt>
                <c:pt idx="4">
                  <c:v>6.1</c:v>
                </c:pt>
                <c:pt idx="5">
                  <c:v>6.4</c:v>
                </c:pt>
                <c:pt idx="6">
                  <c:v>5.9</c:v>
                </c:pt>
                <c:pt idx="7">
                  <c:v>5.6</c:v>
                </c:pt>
                <c:pt idx="8">
                  <c:v>6.1</c:v>
                </c:pt>
                <c:pt idx="9" formatCode="0.0">
                  <c:v>6</c:v>
                </c:pt>
                <c:pt idx="10">
                  <c:v>5.9</c:v>
                </c:pt>
                <c:pt idx="11">
                  <c:v>5.9</c:v>
                </c:pt>
              </c:numCache>
              <c:extLst/>
            </c:numRef>
          </c:val>
          <c:smooth val="0"/>
          <c:extLst>
            <c:ext xmlns:c16="http://schemas.microsoft.com/office/drawing/2014/chart" uri="{C3380CC4-5D6E-409C-BE32-E72D297353CC}">
              <c16:uniqueId val="{00000017-AC2C-4EC5-8E2B-DDE25C0E132E}"/>
            </c:ext>
          </c:extLst>
        </c:ser>
        <c:ser>
          <c:idx val="2"/>
          <c:order val="2"/>
          <c:tx>
            <c:strRef>
              <c:f>'Sheet 1'!$B$26</c:f>
              <c:strCache>
                <c:ptCount val="1"/>
                <c:pt idx="0">
                  <c:v>LV</c:v>
                </c:pt>
              </c:strCache>
            </c:strRef>
          </c:tx>
          <c:spPr>
            <a:ln w="15875" cap="rnd">
              <a:solidFill>
                <a:srgbClr val="C00000"/>
              </a:solidFill>
              <a:round/>
            </a:ln>
            <a:effectLst/>
          </c:spPr>
          <c:marker>
            <c:symbol val="none"/>
          </c:marker>
          <c:dPt>
            <c:idx val="9"/>
            <c:marker>
              <c:symbol val="none"/>
            </c:marker>
            <c:bubble3D val="0"/>
            <c:spPr>
              <a:ln w="15875" cap="rnd">
                <a:solidFill>
                  <a:srgbClr val="C00000"/>
                </a:solidFill>
                <a:prstDash val="solid"/>
                <a:round/>
              </a:ln>
              <a:effectLst/>
            </c:spPr>
            <c:extLst>
              <c:ext xmlns:c16="http://schemas.microsoft.com/office/drawing/2014/chart" uri="{C3380CC4-5D6E-409C-BE32-E72D297353CC}">
                <c16:uniqueId val="{00000019-AC2C-4EC5-8E2B-DDE25C0E132E}"/>
              </c:ext>
            </c:extLst>
          </c:dPt>
          <c:dPt>
            <c:idx val="10"/>
            <c:marker>
              <c:symbol val="none"/>
            </c:marker>
            <c:bubble3D val="0"/>
            <c:spPr>
              <a:ln w="15875" cap="rnd">
                <a:solidFill>
                  <a:srgbClr val="C00000"/>
                </a:solidFill>
                <a:prstDash val="solid"/>
                <a:round/>
              </a:ln>
              <a:effectLst/>
            </c:spPr>
            <c:extLst>
              <c:ext xmlns:c16="http://schemas.microsoft.com/office/drawing/2014/chart" uri="{C3380CC4-5D6E-409C-BE32-E72D297353CC}">
                <c16:uniqueId val="{0000001B-AC2C-4EC5-8E2B-DDE25C0E132E}"/>
              </c:ext>
            </c:extLst>
          </c:dPt>
          <c:dPt>
            <c:idx val="11"/>
            <c:marker>
              <c:symbol val="none"/>
            </c:marker>
            <c:bubble3D val="0"/>
            <c:spPr>
              <a:ln w="15875" cap="rnd">
                <a:solidFill>
                  <a:srgbClr val="C00000"/>
                </a:solidFill>
                <a:prstDash val="solid"/>
                <a:round/>
              </a:ln>
              <a:effectLst/>
            </c:spPr>
            <c:extLst>
              <c:ext xmlns:c16="http://schemas.microsoft.com/office/drawing/2014/chart" uri="{C3380CC4-5D6E-409C-BE32-E72D297353CC}">
                <c16:uniqueId val="{0000001D-AC2C-4EC5-8E2B-DDE25C0E132E}"/>
              </c:ext>
            </c:extLst>
          </c:dPt>
          <c:dLbls>
            <c:dLbl>
              <c:idx val="0"/>
              <c:layout>
                <c:manualLayout>
                  <c:x val="-3.2994719388177399E-2"/>
                  <c:y val="5.63983830643077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AC2C-4EC5-8E2B-DDE25C0E132E}"/>
                </c:ext>
              </c:extLst>
            </c:dLbl>
            <c:dLbl>
              <c:idx val="1"/>
              <c:layout>
                <c:manualLayout>
                  <c:x val="-3.2994719388177392E-2"/>
                  <c:y val="3.62065607523440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AC2C-4EC5-8E2B-DDE25C0E132E}"/>
                </c:ext>
              </c:extLst>
            </c:dLbl>
            <c:dLbl>
              <c:idx val="2"/>
              <c:delete val="1"/>
              <c:extLst>
                <c:ext xmlns:c15="http://schemas.microsoft.com/office/drawing/2012/chart" uri="{CE6537A1-D6FC-4f65-9D91-7224C49458BB}"/>
                <c:ext xmlns:c16="http://schemas.microsoft.com/office/drawing/2014/chart" uri="{C3380CC4-5D6E-409C-BE32-E72D297353CC}">
                  <c16:uniqueId val="{00000020-AC2C-4EC5-8E2B-DDE25C0E132E}"/>
                </c:ext>
              </c:extLst>
            </c:dLbl>
            <c:dLbl>
              <c:idx val="3"/>
              <c:delete val="1"/>
              <c:extLst>
                <c:ext xmlns:c15="http://schemas.microsoft.com/office/drawing/2012/chart" uri="{CE6537A1-D6FC-4f65-9D91-7224C49458BB}"/>
                <c:ext xmlns:c16="http://schemas.microsoft.com/office/drawing/2014/chart" uri="{C3380CC4-5D6E-409C-BE32-E72D297353CC}">
                  <c16:uniqueId val="{00000021-AC2C-4EC5-8E2B-DDE25C0E132E}"/>
                </c:ext>
              </c:extLst>
            </c:dLbl>
            <c:dLbl>
              <c:idx val="4"/>
              <c:delete val="1"/>
              <c:extLst>
                <c:ext xmlns:c15="http://schemas.microsoft.com/office/drawing/2012/chart" uri="{CE6537A1-D6FC-4f65-9D91-7224C49458BB}"/>
                <c:ext xmlns:c16="http://schemas.microsoft.com/office/drawing/2014/chart" uri="{C3380CC4-5D6E-409C-BE32-E72D297353CC}">
                  <c16:uniqueId val="{00000022-AC2C-4EC5-8E2B-DDE25C0E132E}"/>
                </c:ext>
              </c:extLst>
            </c:dLbl>
            <c:dLbl>
              <c:idx val="5"/>
              <c:delete val="1"/>
              <c:extLst>
                <c:ext xmlns:c15="http://schemas.microsoft.com/office/drawing/2012/chart" uri="{CE6537A1-D6FC-4f65-9D91-7224C49458BB}"/>
                <c:ext xmlns:c16="http://schemas.microsoft.com/office/drawing/2014/chart" uri="{C3380CC4-5D6E-409C-BE32-E72D297353CC}">
                  <c16:uniqueId val="{00000023-AC2C-4EC5-8E2B-DDE25C0E132E}"/>
                </c:ext>
              </c:extLst>
            </c:dLbl>
            <c:dLbl>
              <c:idx val="6"/>
              <c:layout>
                <c:manualLayout>
                  <c:x val="-3.5330622214619807E-2"/>
                  <c:y val="4.12545163303350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AC2C-4EC5-8E2B-DDE25C0E132E}"/>
                </c:ext>
              </c:extLst>
            </c:dLbl>
            <c:dLbl>
              <c:idx val="7"/>
              <c:delete val="1"/>
              <c:extLst>
                <c:ext xmlns:c15="http://schemas.microsoft.com/office/drawing/2012/chart" uri="{CE6537A1-D6FC-4f65-9D91-7224C49458BB}"/>
                <c:ext xmlns:c16="http://schemas.microsoft.com/office/drawing/2014/chart" uri="{C3380CC4-5D6E-409C-BE32-E72D297353CC}">
                  <c16:uniqueId val="{00000025-AC2C-4EC5-8E2B-DDE25C0E132E}"/>
                </c:ext>
              </c:extLst>
            </c:dLbl>
            <c:dLbl>
              <c:idx val="9"/>
              <c:delete val="1"/>
              <c:extLst>
                <c:ext xmlns:c15="http://schemas.microsoft.com/office/drawing/2012/chart" uri="{CE6537A1-D6FC-4f65-9D91-7224C49458BB}"/>
                <c:ext xmlns:c16="http://schemas.microsoft.com/office/drawing/2014/chart" uri="{C3380CC4-5D6E-409C-BE32-E72D297353CC}">
                  <c16:uniqueId val="{00000019-AC2C-4EC5-8E2B-DDE25C0E132E}"/>
                </c:ext>
              </c:extLst>
            </c:dLbl>
            <c:spPr>
              <a:noFill/>
              <a:ln>
                <a:noFill/>
              </a:ln>
              <a:effectLst/>
            </c:spPr>
            <c:txPr>
              <a:bodyPr rot="0" spcFirstLastPara="1" vertOverflow="ellipsis" vert="horz" wrap="square" anchor="ctr" anchorCtr="1"/>
              <a:lstStyle/>
              <a:p>
                <a:pPr>
                  <a:defRPr sz="8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 1'!$M$10:$X$10</c:f>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strCache>
              <c:extLst/>
            </c:strRef>
          </c:cat>
          <c:val>
            <c:numRef>
              <c:f>'Sheet 1'!$M$26:$X$26</c:f>
              <c:numCache>
                <c:formatCode>#,##0.##########</c:formatCode>
                <c:ptCount val="12"/>
                <c:pt idx="0">
                  <c:v>5.9</c:v>
                </c:pt>
                <c:pt idx="1">
                  <c:v>5.5</c:v>
                </c:pt>
                <c:pt idx="2">
                  <c:v>5.8</c:v>
                </c:pt>
                <c:pt idx="3">
                  <c:v>5.8</c:v>
                </c:pt>
                <c:pt idx="4">
                  <c:v>5.7</c:v>
                </c:pt>
                <c:pt idx="5">
                  <c:v>5.8</c:v>
                </c:pt>
                <c:pt idx="6">
                  <c:v>5.6</c:v>
                </c:pt>
                <c:pt idx="7" formatCode="#,##0.#">
                  <c:v>5.1374693418436141</c:v>
                </c:pt>
                <c:pt idx="8" formatCode="#,##0.#">
                  <c:v>5.102524893463551</c:v>
                </c:pt>
                <c:pt idx="9" formatCode="0.0">
                  <c:v>4.9497071059676889</c:v>
                </c:pt>
                <c:pt idx="10" formatCode="0.0">
                  <c:v>4.7834893133173777</c:v>
                </c:pt>
                <c:pt idx="11" formatCode="0.0">
                  <c:v>4.6761224464006395</c:v>
                </c:pt>
              </c:numCache>
              <c:extLst/>
            </c:numRef>
          </c:val>
          <c:smooth val="0"/>
          <c:extLst>
            <c:ext xmlns:c16="http://schemas.microsoft.com/office/drawing/2014/chart" uri="{C3380CC4-5D6E-409C-BE32-E72D297353CC}">
              <c16:uniqueId val="{00000026-AC2C-4EC5-8E2B-DDE25C0E132E}"/>
            </c:ext>
          </c:extLst>
        </c:ser>
        <c:ser>
          <c:idx val="3"/>
          <c:order val="3"/>
          <c:tx>
            <c:strRef>
              <c:f>'Sheet 1'!$B$27</c:f>
              <c:strCache>
                <c:ptCount val="1"/>
                <c:pt idx="0">
                  <c:v>LT</c:v>
                </c:pt>
              </c:strCache>
            </c:strRef>
          </c:tx>
          <c:spPr>
            <a:ln w="15875" cap="rnd">
              <a:solidFill>
                <a:srgbClr val="9C9AB4"/>
              </a:solidFill>
              <a:prstDash val="solid"/>
              <a:round/>
            </a:ln>
            <a:effectLst/>
          </c:spPr>
          <c:marker>
            <c:symbol val="none"/>
          </c:marker>
          <c:dLbls>
            <c:dLbl>
              <c:idx val="0"/>
              <c:layout>
                <c:manualLayout>
                  <c:x val="-3.5476718403547679E-2"/>
                  <c:y val="2.19118049849356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AC2C-4EC5-8E2B-DDE25C0E132E}"/>
                </c:ext>
              </c:extLst>
            </c:dLbl>
            <c:dLbl>
              <c:idx val="1"/>
              <c:delete val="1"/>
              <c:extLst>
                <c:ext xmlns:c15="http://schemas.microsoft.com/office/drawing/2012/chart" uri="{CE6537A1-D6FC-4f65-9D91-7224C49458BB}"/>
                <c:ext xmlns:c16="http://schemas.microsoft.com/office/drawing/2014/chart" uri="{C3380CC4-5D6E-409C-BE32-E72D297353CC}">
                  <c16:uniqueId val="{00000028-AC2C-4EC5-8E2B-DDE25C0E132E}"/>
                </c:ext>
              </c:extLst>
            </c:dLbl>
            <c:dLbl>
              <c:idx val="2"/>
              <c:delete val="1"/>
              <c:extLst>
                <c:ext xmlns:c15="http://schemas.microsoft.com/office/drawing/2012/chart" uri="{CE6537A1-D6FC-4f65-9D91-7224C49458BB}"/>
                <c:ext xmlns:c16="http://schemas.microsoft.com/office/drawing/2014/chart" uri="{C3380CC4-5D6E-409C-BE32-E72D297353CC}">
                  <c16:uniqueId val="{00000029-AC2C-4EC5-8E2B-DDE25C0E132E}"/>
                </c:ext>
              </c:extLst>
            </c:dLbl>
            <c:dLbl>
              <c:idx val="3"/>
              <c:layout>
                <c:manualLayout>
                  <c:x val="0"/>
                  <c:y val="1.74672489082969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A-AC2C-4EC5-8E2B-DDE25C0E132E}"/>
                </c:ext>
              </c:extLst>
            </c:dLbl>
            <c:dLbl>
              <c:idx val="4"/>
              <c:delete val="1"/>
              <c:extLst>
                <c:ext xmlns:c15="http://schemas.microsoft.com/office/drawing/2012/chart" uri="{CE6537A1-D6FC-4f65-9D91-7224C49458BB}"/>
                <c:ext xmlns:c16="http://schemas.microsoft.com/office/drawing/2014/chart" uri="{C3380CC4-5D6E-409C-BE32-E72D297353CC}">
                  <c16:uniqueId val="{0000002B-AC2C-4EC5-8E2B-DDE25C0E132E}"/>
                </c:ext>
              </c:extLst>
            </c:dLbl>
            <c:dLbl>
              <c:idx val="5"/>
              <c:delete val="1"/>
              <c:extLst>
                <c:ext xmlns:c15="http://schemas.microsoft.com/office/drawing/2012/chart" uri="{CE6537A1-D6FC-4f65-9D91-7224C49458BB}"/>
                <c:ext xmlns:c16="http://schemas.microsoft.com/office/drawing/2014/chart" uri="{C3380CC4-5D6E-409C-BE32-E72D297353CC}">
                  <c16:uniqueId val="{0000002C-AC2C-4EC5-8E2B-DDE25C0E132E}"/>
                </c:ext>
              </c:extLst>
            </c:dLbl>
            <c:dLbl>
              <c:idx val="6"/>
              <c:layout>
                <c:manualLayout>
                  <c:x val="-1.4015416958654606E-2"/>
                  <c:y val="6.05754669358908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D-AC2C-4EC5-8E2B-DDE25C0E132E}"/>
                </c:ext>
              </c:extLst>
            </c:dLbl>
            <c:spPr>
              <a:noFill/>
              <a:ln>
                <a:noFill/>
              </a:ln>
              <a:effectLst/>
            </c:spPr>
            <c:txPr>
              <a:bodyPr rot="0" spcFirstLastPara="1" vertOverflow="ellipsis" vert="horz" wrap="square" anchor="ctr" anchorCtr="1"/>
              <a:lstStyle/>
              <a:p>
                <a:pPr>
                  <a:defRPr sz="800" b="1" i="0" u="none" strike="noStrike" kern="1200" baseline="0">
                    <a:solidFill>
                      <a:srgbClr val="9C9AB4"/>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 1'!$M$10:$X$10</c:f>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strCache>
              <c:extLst/>
            </c:strRef>
          </c:cat>
          <c:val>
            <c:numRef>
              <c:f>'Sheet 1'!$M$27:$X$27</c:f>
              <c:numCache>
                <c:formatCode>#,##0.##########</c:formatCode>
                <c:ptCount val="12"/>
                <c:pt idx="0">
                  <c:v>5.0999999999999996</c:v>
                </c:pt>
                <c:pt idx="1">
                  <c:v>4.8</c:v>
                </c:pt>
                <c:pt idx="2">
                  <c:v>4.5</c:v>
                </c:pt>
                <c:pt idx="3">
                  <c:v>4.5</c:v>
                </c:pt>
                <c:pt idx="4">
                  <c:v>4.5999999999999996</c:v>
                </c:pt>
                <c:pt idx="5">
                  <c:v>5.2</c:v>
                </c:pt>
                <c:pt idx="6">
                  <c:v>4.8</c:v>
                </c:pt>
              </c:numCache>
              <c:extLst/>
            </c:numRef>
          </c:val>
          <c:smooth val="0"/>
          <c:extLst>
            <c:ext xmlns:c16="http://schemas.microsoft.com/office/drawing/2014/chart" uri="{C3380CC4-5D6E-409C-BE32-E72D297353CC}">
              <c16:uniqueId val="{0000002E-AC2C-4EC5-8E2B-DDE25C0E132E}"/>
            </c:ext>
          </c:extLst>
        </c:ser>
        <c:ser>
          <c:idx val="4"/>
          <c:order val="4"/>
          <c:tx>
            <c:strRef>
              <c:f>'Sheet 1'!$B$28</c:f>
              <c:strCache>
                <c:ptCount val="1"/>
                <c:pt idx="0">
                  <c:v>SE</c:v>
                </c:pt>
              </c:strCache>
            </c:strRef>
          </c:tx>
          <c:spPr>
            <a:ln w="15875" cap="rnd">
              <a:solidFill>
                <a:sysClr val="windowText" lastClr="000000"/>
              </a:solidFill>
              <a:prstDash val="sysDot"/>
              <a:round/>
            </a:ln>
            <a:effectLst/>
          </c:spPr>
          <c:marker>
            <c:symbol val="none"/>
          </c:marker>
          <c:cat>
            <c:strRef>
              <c:f>'Sheet 1'!$M$10:$X$10</c:f>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strCache>
              <c:extLst/>
            </c:strRef>
          </c:cat>
          <c:val>
            <c:numRef>
              <c:f>'Sheet 1'!$M$28:$X$28</c:f>
              <c:numCache>
                <c:formatCode>#,##0.##########</c:formatCode>
                <c:ptCount val="12"/>
                <c:pt idx="0">
                  <c:v>6.4</c:v>
                </c:pt>
                <c:pt idx="1">
                  <c:v>6.6</c:v>
                </c:pt>
                <c:pt idx="2">
                  <c:v>6.7</c:v>
                </c:pt>
                <c:pt idx="3">
                  <c:v>6.9</c:v>
                </c:pt>
                <c:pt idx="4">
                  <c:v>6.9</c:v>
                </c:pt>
                <c:pt idx="5" formatCode="#,##0.0">
                  <c:v>7</c:v>
                </c:pt>
                <c:pt idx="6">
                  <c:v>6.7</c:v>
                </c:pt>
              </c:numCache>
              <c:extLst/>
            </c:numRef>
          </c:val>
          <c:smooth val="0"/>
          <c:extLst>
            <c:ext xmlns:c16="http://schemas.microsoft.com/office/drawing/2014/chart" uri="{C3380CC4-5D6E-409C-BE32-E72D297353CC}">
              <c16:uniqueId val="{0000002F-AC2C-4EC5-8E2B-DDE25C0E132E}"/>
            </c:ext>
          </c:extLst>
        </c:ser>
        <c:ser>
          <c:idx val="5"/>
          <c:order val="5"/>
          <c:tx>
            <c:strRef>
              <c:f>'Sheet 1'!$B$29</c:f>
              <c:strCache>
                <c:ptCount val="1"/>
                <c:pt idx="0">
                  <c:v>LV mērķis</c:v>
                </c:pt>
              </c:strCache>
            </c:strRef>
          </c:tx>
          <c:spPr>
            <a:ln w="15875" cap="rnd">
              <a:solidFill>
                <a:srgbClr val="C00000"/>
              </a:solidFill>
              <a:prstDash val="sysDot"/>
              <a:round/>
            </a:ln>
            <a:effectLst/>
          </c:spPr>
          <c:marker>
            <c:symbol val="none"/>
          </c:marker>
          <c:dLbls>
            <c:dLbl>
              <c:idx val="11"/>
              <c:layout>
                <c:manualLayout>
                  <c:x val="-1.3303769401330377E-2"/>
                  <c:y val="7.583296130711630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0-AC2C-4EC5-8E2B-DDE25C0E132E}"/>
                </c:ext>
              </c:extLst>
            </c:dLbl>
            <c:numFmt formatCode="#,##0.0" sourceLinked="0"/>
            <c:spPr>
              <a:noFill/>
              <a:ln>
                <a:noFill/>
              </a:ln>
              <a:effectLst/>
            </c:spPr>
            <c:txPr>
              <a:bodyPr rot="0" spcFirstLastPara="1" vertOverflow="ellipsis" vert="horz" wrap="square" anchor="ctr" anchorCtr="1"/>
              <a:lstStyle/>
              <a:p>
                <a:pPr>
                  <a:defRPr sz="9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extLst>
                <c:ext xmlns:c15="http://schemas.microsoft.com/office/drawing/2012/chart" uri="{02D57815-91ED-43cb-92C2-25804820EDAC}">
                  <c15:autoCat val="1"/>
                </c:ext>
              </c:extLst>
            </c:strLit>
          </c:cat>
          <c:val>
            <c:numRef>
              <c:f>'Sheet 1'!$M$29:$X$29</c:f>
              <c:numCache>
                <c:formatCode>#,##0.##########</c:formatCode>
                <c:ptCount val="12"/>
                <c:pt idx="0">
                  <c:v>5.9</c:v>
                </c:pt>
                <c:pt idx="1">
                  <c:v>5.5</c:v>
                </c:pt>
                <c:pt idx="2">
                  <c:v>5.8</c:v>
                </c:pt>
                <c:pt idx="3">
                  <c:v>5.8</c:v>
                </c:pt>
                <c:pt idx="4">
                  <c:v>5.7</c:v>
                </c:pt>
                <c:pt idx="5">
                  <c:v>5.8</c:v>
                </c:pt>
                <c:pt idx="6">
                  <c:v>5.6</c:v>
                </c:pt>
                <c:pt idx="7" formatCode="#,##0.##">
                  <c:v>5.1374693418436141</c:v>
                </c:pt>
                <c:pt idx="8" formatCode="#,##0.##">
                  <c:v>5.102524893463551</c:v>
                </c:pt>
                <c:pt idx="9" formatCode="#,##0.#">
                  <c:v>5.9497071059676889</c:v>
                </c:pt>
                <c:pt idx="10" formatCode="#,##0.#">
                  <c:v>5.7834893133173777</c:v>
                </c:pt>
                <c:pt idx="11" formatCode="#,##0.#">
                  <c:v>5.6761224464006395</c:v>
                </c:pt>
              </c:numCache>
              <c:extLst/>
            </c:numRef>
          </c:val>
          <c:smooth val="0"/>
          <c:extLst>
            <c:ext xmlns:c16="http://schemas.microsoft.com/office/drawing/2014/chart" uri="{C3380CC4-5D6E-409C-BE32-E72D297353CC}">
              <c16:uniqueId val="{00000031-AC2C-4EC5-8E2B-DDE25C0E132E}"/>
            </c:ext>
          </c:extLst>
        </c:ser>
        <c:dLbls>
          <c:showLegendKey val="0"/>
          <c:showVal val="0"/>
          <c:showCatName val="0"/>
          <c:showSerName val="0"/>
          <c:showPercent val="0"/>
          <c:showBubbleSize val="0"/>
        </c:dLbls>
        <c:marker val="1"/>
        <c:smooth val="0"/>
        <c:axId val="381745136"/>
        <c:axId val="381758096"/>
      </c:lineChart>
      <c:catAx>
        <c:axId val="381745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81758096"/>
        <c:crosses val="autoZero"/>
        <c:auto val="1"/>
        <c:lblAlgn val="ctr"/>
        <c:lblOffset val="100"/>
        <c:noMultiLvlLbl val="0"/>
      </c:catAx>
      <c:valAx>
        <c:axId val="381758096"/>
        <c:scaling>
          <c:orientation val="minMax"/>
          <c:min val="4.2"/>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81745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505417516710808E-2"/>
          <c:y val="7.6406848688231291E-2"/>
          <c:w val="0.91591344310836376"/>
          <c:h val="0.78919621624478153"/>
        </c:manualLayout>
      </c:layout>
      <c:lineChart>
        <c:grouping val="standard"/>
        <c:varyColors val="0"/>
        <c:ser>
          <c:idx val="1"/>
          <c:order val="0"/>
          <c:tx>
            <c:strRef>
              <c:f>Sheet1!$B$1</c:f>
              <c:strCache>
                <c:ptCount val="1"/>
                <c:pt idx="0">
                  <c:v>Nodokļu ieņēmumi, % no IKP</c:v>
                </c:pt>
              </c:strCache>
            </c:strRef>
          </c:tx>
          <c:spPr>
            <a:ln w="19050" cap="rnd">
              <a:solidFill>
                <a:srgbClr val="4472C4">
                  <a:lumMod val="75000"/>
                </a:srgbClr>
              </a:solidFill>
              <a:round/>
            </a:ln>
            <a:effectLst/>
          </c:spPr>
          <c:marker>
            <c:symbol val="none"/>
          </c:marker>
          <c:dPt>
            <c:idx val="10"/>
            <c:marker>
              <c:symbol val="none"/>
            </c:marker>
            <c:bubble3D val="0"/>
            <c:spPr>
              <a:ln w="19050" cap="rnd">
                <a:solidFill>
                  <a:srgbClr val="4472C4">
                    <a:lumMod val="75000"/>
                  </a:srgbClr>
                </a:solidFill>
                <a:prstDash val="sysDash"/>
                <a:round/>
              </a:ln>
              <a:effectLst/>
            </c:spPr>
            <c:extLst>
              <c:ext xmlns:c16="http://schemas.microsoft.com/office/drawing/2014/chart" uri="{C3380CC4-5D6E-409C-BE32-E72D297353CC}">
                <c16:uniqueId val="{00000001-861D-456F-B134-3CF606550B64}"/>
              </c:ext>
            </c:extLst>
          </c:dPt>
          <c:dPt>
            <c:idx val="11"/>
            <c:marker>
              <c:symbol val="none"/>
            </c:marker>
            <c:bubble3D val="0"/>
            <c:spPr>
              <a:ln w="19050" cap="rnd">
                <a:solidFill>
                  <a:srgbClr val="4472C4">
                    <a:lumMod val="75000"/>
                  </a:srgbClr>
                </a:solidFill>
                <a:prstDash val="sysDash"/>
                <a:round/>
              </a:ln>
              <a:effectLst/>
            </c:spPr>
            <c:extLst>
              <c:ext xmlns:c16="http://schemas.microsoft.com/office/drawing/2014/chart" uri="{C3380CC4-5D6E-409C-BE32-E72D297353CC}">
                <c16:uniqueId val="{00000003-861D-456F-B134-3CF606550B64}"/>
              </c:ext>
            </c:extLst>
          </c:dPt>
          <c:dPt>
            <c:idx val="12"/>
            <c:marker>
              <c:symbol val="none"/>
            </c:marker>
            <c:bubble3D val="0"/>
            <c:spPr>
              <a:ln w="19050" cap="rnd">
                <a:solidFill>
                  <a:srgbClr val="4472C4">
                    <a:lumMod val="75000"/>
                  </a:srgbClr>
                </a:solidFill>
                <a:prstDash val="sysDash"/>
                <a:round/>
              </a:ln>
              <a:effectLst/>
            </c:spPr>
            <c:extLst>
              <c:ext xmlns:c16="http://schemas.microsoft.com/office/drawing/2014/chart" uri="{C3380CC4-5D6E-409C-BE32-E72D297353CC}">
                <c16:uniqueId val="{00000005-861D-456F-B134-3CF606550B64}"/>
              </c:ext>
            </c:extLst>
          </c:dPt>
          <c:dPt>
            <c:idx val="13"/>
            <c:marker>
              <c:symbol val="none"/>
            </c:marker>
            <c:bubble3D val="0"/>
            <c:spPr>
              <a:ln w="19050" cap="rnd">
                <a:solidFill>
                  <a:srgbClr val="4472C4">
                    <a:lumMod val="75000"/>
                  </a:srgbClr>
                </a:solidFill>
                <a:prstDash val="dash"/>
                <a:round/>
              </a:ln>
              <a:effectLst/>
            </c:spPr>
            <c:extLst>
              <c:ext xmlns:c16="http://schemas.microsoft.com/office/drawing/2014/chart" uri="{C3380CC4-5D6E-409C-BE32-E72D297353CC}">
                <c16:uniqueId val="{00000007-861D-456F-B134-3CF606550B64}"/>
              </c:ext>
            </c:extLst>
          </c:dPt>
          <c:dLbls>
            <c:dLbl>
              <c:idx val="0"/>
              <c:layout>
                <c:manualLayout>
                  <c:x val="-5.3773949644810672E-2"/>
                  <c:y val="5.80758163499889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61D-456F-B134-3CF606550B64}"/>
                </c:ext>
              </c:extLst>
            </c:dLbl>
            <c:dLbl>
              <c:idx val="1"/>
              <c:layout>
                <c:manualLayout>
                  <c:x val="-8.3553573710393084E-2"/>
                  <c:y val="-5.31215885837148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61D-456F-B134-3CF606550B64}"/>
                </c:ext>
              </c:extLst>
            </c:dLbl>
            <c:dLbl>
              <c:idx val="2"/>
              <c:layout>
                <c:manualLayout>
                  <c:x val="-8.1259199328766393E-2"/>
                  <c:y val="-5.46062864258703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61D-456F-B134-3CF606550B64}"/>
                </c:ext>
              </c:extLst>
            </c:dLbl>
            <c:dLbl>
              <c:idx val="3"/>
              <c:layout>
                <c:manualLayout>
                  <c:x val="-0.10198031453266033"/>
                  <c:y val="-2.55879957631337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61D-456F-B134-3CF606550B64}"/>
                </c:ext>
              </c:extLst>
            </c:dLbl>
            <c:dLbl>
              <c:idx val="4"/>
              <c:layout>
                <c:manualLayout>
                  <c:x val="-0.1068086662642268"/>
                  <c:y val="-2.7737409501664641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7.8426120045849382E-2"/>
                      <c:h val="4.6840734755579302E-2"/>
                    </c:manualLayout>
                  </c15:layout>
                </c:ext>
                <c:ext xmlns:c16="http://schemas.microsoft.com/office/drawing/2014/chart" uri="{C3380CC4-5D6E-409C-BE32-E72D297353CC}">
                  <c16:uniqueId val="{0000000C-861D-456F-B134-3CF606550B64}"/>
                </c:ext>
              </c:extLst>
            </c:dLbl>
            <c:dLbl>
              <c:idx val="5"/>
              <c:delete val="1"/>
              <c:extLst>
                <c:ext xmlns:c15="http://schemas.microsoft.com/office/drawing/2012/chart" uri="{CE6537A1-D6FC-4f65-9D91-7224C49458BB}"/>
                <c:ext xmlns:c16="http://schemas.microsoft.com/office/drawing/2014/chart" uri="{C3380CC4-5D6E-409C-BE32-E72D297353CC}">
                  <c16:uniqueId val="{0000000D-861D-456F-B134-3CF606550B64}"/>
                </c:ext>
              </c:extLst>
            </c:dLbl>
            <c:dLbl>
              <c:idx val="6"/>
              <c:layout>
                <c:manualLayout>
                  <c:x val="-9.005247875073262E-2"/>
                  <c:y val="-3.63562860011626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61D-456F-B134-3CF606550B64}"/>
                </c:ext>
              </c:extLst>
            </c:dLbl>
            <c:dLbl>
              <c:idx val="7"/>
              <c:layout>
                <c:manualLayout>
                  <c:x val="-5.1523117528607748E-2"/>
                  <c:y val="-3.65090101992284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61D-456F-B134-3CF606550B64}"/>
                </c:ext>
              </c:extLst>
            </c:dLbl>
            <c:dLbl>
              <c:idx val="8"/>
              <c:layout>
                <c:manualLayout>
                  <c:x val="-5.7093717704880587E-2"/>
                  <c:y val="2.32992011461526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61D-456F-B134-3CF606550B64}"/>
                </c:ext>
              </c:extLst>
            </c:dLbl>
            <c:dLbl>
              <c:idx val="9"/>
              <c:layout>
                <c:manualLayout>
                  <c:x val="-4.8964833508850003E-2"/>
                  <c:y val="-5.48491254029487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61D-456F-B134-3CF606550B64}"/>
                </c:ext>
              </c:extLst>
            </c:dLbl>
            <c:dLbl>
              <c:idx val="10"/>
              <c:layout>
                <c:manualLayout>
                  <c:x val="-2.7160680070888888E-2"/>
                  <c:y val="-4.39749092695718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61D-456F-B134-3CF606550B64}"/>
                </c:ext>
              </c:extLst>
            </c:dLbl>
            <c:dLbl>
              <c:idx val="11"/>
              <c:delete val="1"/>
              <c:extLst>
                <c:ext xmlns:c15="http://schemas.microsoft.com/office/drawing/2012/chart" uri="{CE6537A1-D6FC-4f65-9D91-7224C49458BB}"/>
                <c:ext xmlns:c16="http://schemas.microsoft.com/office/drawing/2014/chart" uri="{C3380CC4-5D6E-409C-BE32-E72D297353CC}">
                  <c16:uniqueId val="{00000003-861D-456F-B134-3CF606550B64}"/>
                </c:ext>
              </c:extLst>
            </c:dLbl>
            <c:dLbl>
              <c:idx val="12"/>
              <c:layout>
                <c:manualLayout>
                  <c:x val="-5.4322593788904104E-2"/>
                  <c:y val="-3.82139653624357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61D-456F-B134-3CF606550B64}"/>
                </c:ext>
              </c:extLst>
            </c:dLbl>
            <c:dLbl>
              <c:idx val="13"/>
              <c:layout>
                <c:manualLayout>
                  <c:x val="-2.1199344686646583E-3"/>
                  <c:y val="-2.38564326619777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61D-456F-B134-3CF606550B64}"/>
                </c:ext>
              </c:extLst>
            </c:dLbl>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accent1">
                        <a:lumMod val="50000"/>
                      </a:schemeClr>
                    </a:solidFill>
                    <a:latin typeface="Times New Roman" panose="02020603050405020304" pitchFamily="18" charset="0"/>
                    <a:ea typeface="Open Sans" panose="020B060603050402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2013</c:v>
                </c:pt>
                <c:pt idx="1">
                  <c:v>2014</c:v>
                </c:pt>
                <c:pt idx="2">
                  <c:v>2015</c:v>
                </c:pt>
                <c:pt idx="3">
                  <c:v>2016</c:v>
                </c:pt>
                <c:pt idx="4">
                  <c:v>2017</c:v>
                </c:pt>
                <c:pt idx="5">
                  <c:v>2018</c:v>
                </c:pt>
                <c:pt idx="6">
                  <c:v>2019</c:v>
                </c:pt>
                <c:pt idx="7">
                  <c:v>2020</c:v>
                </c:pt>
                <c:pt idx="8">
                  <c:v>2021</c:v>
                </c:pt>
                <c:pt idx="9">
                  <c:v>2022</c:v>
                </c:pt>
                <c:pt idx="10">
                  <c:v>2023 prognoze*</c:v>
                </c:pt>
                <c:pt idx="11">
                  <c:v>2024 prognoze*</c:v>
                </c:pt>
                <c:pt idx="12">
                  <c:v>2025 prognoze*</c:v>
                </c:pt>
                <c:pt idx="13">
                  <c:v>2026 prognoze*</c:v>
                </c:pt>
              </c:strCache>
            </c:strRef>
          </c:cat>
          <c:val>
            <c:numRef>
              <c:f>Sheet1!$B$2:$B$15</c:f>
              <c:numCache>
                <c:formatCode>General</c:formatCode>
                <c:ptCount val="14"/>
                <c:pt idx="0">
                  <c:v>0.2911111478277687</c:v>
                </c:pt>
                <c:pt idx="1">
                  <c:v>0.29336967062917069</c:v>
                </c:pt>
                <c:pt idx="2">
                  <c:v>0.29801329151860928</c:v>
                </c:pt>
                <c:pt idx="3">
                  <c:v>0.30875017232762469</c:v>
                </c:pt>
                <c:pt idx="4">
                  <c:v>0.31465355538098572</c:v>
                </c:pt>
                <c:pt idx="5">
                  <c:v>0.31524248291083257</c:v>
                </c:pt>
                <c:pt idx="6">
                  <c:v>0.31461899790065695</c:v>
                </c:pt>
                <c:pt idx="7">
                  <c:v>0.31639096528016164</c:v>
                </c:pt>
                <c:pt idx="8">
                  <c:v>0.30589373781503654</c:v>
                </c:pt>
                <c:pt idx="9" formatCode="0.0000000">
                  <c:v>0.31299708002592153</c:v>
                </c:pt>
                <c:pt idx="10">
                  <c:v>0.3099995872820912</c:v>
                </c:pt>
                <c:pt idx="11">
                  <c:v>0.31438742483207521</c:v>
                </c:pt>
                <c:pt idx="12">
                  <c:v>0.31396902607409677</c:v>
                </c:pt>
                <c:pt idx="13">
                  <c:v>0.31465376990083316</c:v>
                </c:pt>
              </c:numCache>
            </c:numRef>
          </c:val>
          <c:smooth val="0"/>
          <c:extLst>
            <c:ext xmlns:c16="http://schemas.microsoft.com/office/drawing/2014/chart" uri="{C3380CC4-5D6E-409C-BE32-E72D297353CC}">
              <c16:uniqueId val="{00000012-861D-456F-B134-3CF606550B64}"/>
            </c:ext>
          </c:extLst>
        </c:ser>
        <c:ser>
          <c:idx val="0"/>
          <c:order val="1"/>
          <c:tx>
            <c:strRef>
              <c:f>Sheet1!$C$1</c:f>
              <c:strCache>
                <c:ptCount val="1"/>
                <c:pt idx="0">
                  <c:v>Nodokļu ieņēmumu potenciāls, % no IKP</c:v>
                </c:pt>
              </c:strCache>
            </c:strRef>
          </c:tx>
          <c:spPr>
            <a:ln w="19050" cap="rnd">
              <a:solidFill>
                <a:srgbClr val="70AD47">
                  <a:lumMod val="75000"/>
                </a:srgbClr>
              </a:solidFill>
              <a:prstDash val="lgDash"/>
              <a:round/>
            </a:ln>
            <a:effectLst/>
          </c:spPr>
          <c:marker>
            <c:symbol val="none"/>
          </c:marker>
          <c:dLbls>
            <c:dLbl>
              <c:idx val="12"/>
              <c:layout>
                <c:manualLayout>
                  <c:x val="-3.8660315753759653E-2"/>
                  <c:y val="-8.0230935898113406E-2"/>
                </c:manualLayout>
              </c:layout>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Open Sans" panose="020B0606030504020204" pitchFamily="34" charset="0"/>
                        <a:cs typeface="Times New Roman" panose="02020603050405020304" pitchFamily="18" charset="0"/>
                      </a:defRPr>
                    </a:pPr>
                    <a:r>
                      <a:rPr lang="lv-LV" sz="1100" dirty="0"/>
                      <a:t>Nodokļu ieņēmumu potenciāls - 32,75% no IKP</a:t>
                    </a:r>
                  </a:p>
                </c:rich>
              </c:tx>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Open Sans" panose="020B0606030504020204" pitchFamily="34" charset="0"/>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0.86733587911104082"/>
                      <c:h val="9.5175409202331182E-2"/>
                    </c:manualLayout>
                  </c15:layout>
                  <c15:showDataLabelsRange val="0"/>
                </c:ext>
                <c:ext xmlns:c16="http://schemas.microsoft.com/office/drawing/2014/chart" uri="{C3380CC4-5D6E-409C-BE32-E72D297353CC}">
                  <c16:uniqueId val="{00000013-861D-456F-B134-3CF606550B64}"/>
                </c:ext>
              </c:extLst>
            </c:dLbl>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Open Sans" panose="020B0606030504020204" pitchFamily="34" charset="0"/>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Sheet1!$A$2:$A$15</c:f>
              <c:strCache>
                <c:ptCount val="14"/>
                <c:pt idx="0">
                  <c:v>2013</c:v>
                </c:pt>
                <c:pt idx="1">
                  <c:v>2014</c:v>
                </c:pt>
                <c:pt idx="2">
                  <c:v>2015</c:v>
                </c:pt>
                <c:pt idx="3">
                  <c:v>2016</c:v>
                </c:pt>
                <c:pt idx="4">
                  <c:v>2017</c:v>
                </c:pt>
                <c:pt idx="5">
                  <c:v>2018</c:v>
                </c:pt>
                <c:pt idx="6">
                  <c:v>2019</c:v>
                </c:pt>
                <c:pt idx="7">
                  <c:v>2020</c:v>
                </c:pt>
                <c:pt idx="8">
                  <c:v>2021</c:v>
                </c:pt>
                <c:pt idx="9">
                  <c:v>2022</c:v>
                </c:pt>
                <c:pt idx="10">
                  <c:v>2023 prognoze*</c:v>
                </c:pt>
                <c:pt idx="11">
                  <c:v>2024 prognoze*</c:v>
                </c:pt>
                <c:pt idx="12">
                  <c:v>2025 prognoze*</c:v>
                </c:pt>
                <c:pt idx="13">
                  <c:v>2026 prognoze*</c:v>
                </c:pt>
              </c:strCache>
            </c:strRef>
          </c:cat>
          <c:val>
            <c:numRef>
              <c:f>Sheet1!$C$2:$C$15</c:f>
              <c:numCache>
                <c:formatCode>General</c:formatCode>
                <c:ptCount val="14"/>
                <c:pt idx="0">
                  <c:v>0.32750000000000001</c:v>
                </c:pt>
                <c:pt idx="1">
                  <c:v>0.32750000000000001</c:v>
                </c:pt>
                <c:pt idx="2">
                  <c:v>0.32750000000000001</c:v>
                </c:pt>
                <c:pt idx="3">
                  <c:v>0.32750000000000001</c:v>
                </c:pt>
                <c:pt idx="4">
                  <c:v>0.32750000000000001</c:v>
                </c:pt>
                <c:pt idx="5">
                  <c:v>0.32750000000000001</c:v>
                </c:pt>
                <c:pt idx="6">
                  <c:v>0.32750000000000001</c:v>
                </c:pt>
                <c:pt idx="7">
                  <c:v>0.32750000000000001</c:v>
                </c:pt>
                <c:pt idx="8">
                  <c:v>0.32750000000000001</c:v>
                </c:pt>
                <c:pt idx="9">
                  <c:v>0.32750000000000001</c:v>
                </c:pt>
                <c:pt idx="10">
                  <c:v>0.32750000000000001</c:v>
                </c:pt>
                <c:pt idx="11">
                  <c:v>0.32750000000000001</c:v>
                </c:pt>
                <c:pt idx="12">
                  <c:v>0.32750000000000001</c:v>
                </c:pt>
                <c:pt idx="13">
                  <c:v>0.32750000000000001</c:v>
                </c:pt>
              </c:numCache>
            </c:numRef>
          </c:val>
          <c:smooth val="0"/>
          <c:extLst>
            <c:ext xmlns:c16="http://schemas.microsoft.com/office/drawing/2014/chart" uri="{C3380CC4-5D6E-409C-BE32-E72D297353CC}">
              <c16:uniqueId val="{00000014-861D-456F-B134-3CF606550B64}"/>
            </c:ext>
          </c:extLst>
        </c:ser>
        <c:dLbls>
          <c:showLegendKey val="0"/>
          <c:showVal val="0"/>
          <c:showCatName val="0"/>
          <c:showSerName val="0"/>
          <c:showPercent val="0"/>
          <c:showBubbleSize val="0"/>
        </c:dLbls>
        <c:smooth val="0"/>
        <c:axId val="222283904"/>
        <c:axId val="222284296"/>
      </c:lineChart>
      <c:catAx>
        <c:axId val="22228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50" b="0" i="0" u="none" strike="noStrike" kern="1200" baseline="0">
                <a:solidFill>
                  <a:sysClr val="windowText" lastClr="000000"/>
                </a:solidFill>
                <a:latin typeface="Times New Roman" panose="02020603050405020304" pitchFamily="18" charset="0"/>
                <a:ea typeface="Open Sans" panose="020B0606030504020204" pitchFamily="34" charset="0"/>
                <a:cs typeface="Times New Roman" panose="02020603050405020304" pitchFamily="18" charset="0"/>
              </a:defRPr>
            </a:pPr>
            <a:endParaRPr lang="lv-LV"/>
          </a:p>
        </c:txPr>
        <c:crossAx val="222284296"/>
        <c:crosses val="autoZero"/>
        <c:auto val="1"/>
        <c:lblAlgn val="ctr"/>
        <c:lblOffset val="100"/>
        <c:noMultiLvlLbl val="0"/>
      </c:catAx>
      <c:valAx>
        <c:axId val="222284296"/>
        <c:scaling>
          <c:orientation val="minMax"/>
          <c:min val="0.28000000000000003"/>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Open Sans" panose="020B0606030504020204" pitchFamily="34" charset="0"/>
                <a:cs typeface="Times New Roman" panose="02020603050405020304" pitchFamily="18" charset="0"/>
              </a:defRPr>
            </a:pPr>
            <a:endParaRPr lang="lv-LV"/>
          </a:p>
        </c:txPr>
        <c:crossAx val="222283904"/>
        <c:crosses val="autoZero"/>
        <c:crossBetween val="between"/>
        <c:majorUnit val="1.0000000000000002E-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ea typeface="Open Sans" panose="020B0606030504020204" pitchFamily="34" charset="0"/>
          <a:cs typeface="Times New Roman" panose="02020603050405020304" pitchFamily="18" charset="0"/>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534122172296919E-2"/>
          <c:y val="2.5478799999999999E-2"/>
          <c:w val="0.9419228812170658"/>
          <c:h val="0.78864316392269151"/>
        </c:manualLayout>
      </c:layout>
      <c:barChart>
        <c:barDir val="col"/>
        <c:grouping val="stacked"/>
        <c:varyColors val="0"/>
        <c:ser>
          <c:idx val="0"/>
          <c:order val="0"/>
          <c:tx>
            <c:strRef>
              <c:f>Sheet1!$A$2</c:f>
              <c:strCache>
                <c:ptCount val="1"/>
                <c:pt idx="0">
                  <c:v>VSAOI</c:v>
                </c:pt>
              </c:strCache>
            </c:strRef>
          </c:tx>
          <c:spPr>
            <a:solidFill>
              <a:schemeClr val="bg1">
                <a:lumMod val="65000"/>
              </a:schemeClr>
            </a:solidFill>
            <a:ln>
              <a:solidFill>
                <a:schemeClr val="bg1">
                  <a:lumMod val="65000"/>
                </a:schemeClr>
              </a:solidFill>
            </a:ln>
            <a:effectLst/>
          </c:spPr>
          <c:invertIfNegative val="0"/>
          <c:dLbls>
            <c:numFmt formatCode="&quot; &quot;###0.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Sheet1!$B$1:$I$1</c:f>
              <c:strCache>
                <c:ptCount val="8"/>
                <c:pt idx="0">
                  <c:v>Polija 36,8%</c:v>
                </c:pt>
                <c:pt idx="1">
                  <c:v>Horvātija 35,6%</c:v>
                </c:pt>
                <c:pt idx="2">
                  <c:v>Ungārija 33,9%</c:v>
                </c:pt>
                <c:pt idx="3">
                  <c:v>Igaunija 33,5%</c:v>
                </c:pt>
                <c:pt idx="4">
                  <c:v>Lietuva 32,2%</c:v>
                </c:pt>
                <c:pt idx="5">
                  <c:v>Bulgārija 30,7%</c:v>
                </c:pt>
                <c:pt idx="6">
                  <c:v>Latvija 30,4%</c:v>
                </c:pt>
                <c:pt idx="7">
                  <c:v>Rumānija 26,5%</c:v>
                </c:pt>
              </c:strCache>
            </c:strRef>
          </c:cat>
          <c:val>
            <c:numRef>
              <c:f>Sheet1!$B$2:$I$2</c:f>
              <c:numCache>
                <c:formatCode>General</c:formatCode>
                <c:ptCount val="8"/>
                <c:pt idx="0">
                  <c:v>14</c:v>
                </c:pt>
                <c:pt idx="1">
                  <c:v>11.1</c:v>
                </c:pt>
                <c:pt idx="2">
                  <c:v>10.5</c:v>
                </c:pt>
                <c:pt idx="3">
                  <c:v>11.9</c:v>
                </c:pt>
                <c:pt idx="4">
                  <c:v>10.6</c:v>
                </c:pt>
                <c:pt idx="5">
                  <c:v>8.9</c:v>
                </c:pt>
                <c:pt idx="6">
                  <c:v>10.1</c:v>
                </c:pt>
                <c:pt idx="7">
                  <c:v>11.3</c:v>
                </c:pt>
              </c:numCache>
            </c:numRef>
          </c:val>
          <c:extLst>
            <c:ext xmlns:c16="http://schemas.microsoft.com/office/drawing/2014/chart" uri="{C3380CC4-5D6E-409C-BE32-E72D297353CC}">
              <c16:uniqueId val="{00000000-DFED-4999-84B2-9D3BB5889E54}"/>
            </c:ext>
          </c:extLst>
        </c:ser>
        <c:ser>
          <c:idx val="1"/>
          <c:order val="1"/>
          <c:tx>
            <c:strRef>
              <c:f>Sheet1!$A$3</c:f>
              <c:strCache>
                <c:ptCount val="1"/>
                <c:pt idx="0">
                  <c:v>IIN</c:v>
                </c:pt>
              </c:strCache>
            </c:strRef>
          </c:tx>
          <c:spPr>
            <a:solidFill>
              <a:schemeClr val="accent2">
                <a:lumMod val="60000"/>
                <a:lumOff val="40000"/>
              </a:schemeClr>
            </a:solidFill>
            <a:ln>
              <a:solidFill>
                <a:schemeClr val="accent2">
                  <a:lumMod val="60000"/>
                  <a:lumOff val="40000"/>
                </a:schemeClr>
              </a:solidFill>
            </a:ln>
            <a:effectLst/>
          </c:spPr>
          <c:invertIfNegative val="0"/>
          <c:dLbls>
            <c:numFmt formatCode="#,##0.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Sheet1!$B$1:$I$1</c:f>
              <c:strCache>
                <c:ptCount val="8"/>
                <c:pt idx="0">
                  <c:v>Polija 36,8%</c:v>
                </c:pt>
                <c:pt idx="1">
                  <c:v>Horvātija 35,6%</c:v>
                </c:pt>
                <c:pt idx="2">
                  <c:v>Ungārija 33,9%</c:v>
                </c:pt>
                <c:pt idx="3">
                  <c:v>Igaunija 33,5%</c:v>
                </c:pt>
                <c:pt idx="4">
                  <c:v>Lietuva 32,2%</c:v>
                </c:pt>
                <c:pt idx="5">
                  <c:v>Bulgārija 30,7%</c:v>
                </c:pt>
                <c:pt idx="6">
                  <c:v>Latvija 30,4%</c:v>
                </c:pt>
                <c:pt idx="7">
                  <c:v>Rumānija 26,5%</c:v>
                </c:pt>
              </c:strCache>
            </c:strRef>
          </c:cat>
          <c:val>
            <c:numRef>
              <c:f>Sheet1!$B$3:$I$3</c:f>
              <c:numCache>
                <c:formatCode>General</c:formatCode>
                <c:ptCount val="8"/>
                <c:pt idx="0">
                  <c:v>5.4</c:v>
                </c:pt>
                <c:pt idx="1">
                  <c:v>3</c:v>
                </c:pt>
                <c:pt idx="2">
                  <c:v>4.0999999999999996</c:v>
                </c:pt>
                <c:pt idx="3">
                  <c:v>6.8</c:v>
                </c:pt>
                <c:pt idx="4">
                  <c:v>7.6</c:v>
                </c:pt>
                <c:pt idx="5">
                  <c:v>3.3</c:v>
                </c:pt>
                <c:pt idx="6">
                  <c:v>6</c:v>
                </c:pt>
                <c:pt idx="7">
                  <c:v>2.4</c:v>
                </c:pt>
              </c:numCache>
            </c:numRef>
          </c:val>
          <c:extLst>
            <c:ext xmlns:c16="http://schemas.microsoft.com/office/drawing/2014/chart" uri="{C3380CC4-5D6E-409C-BE32-E72D297353CC}">
              <c16:uniqueId val="{00000001-DFED-4999-84B2-9D3BB5889E54}"/>
            </c:ext>
          </c:extLst>
        </c:ser>
        <c:ser>
          <c:idx val="2"/>
          <c:order val="2"/>
          <c:tx>
            <c:strRef>
              <c:f>Sheet1!$A$4</c:f>
              <c:strCache>
                <c:ptCount val="1"/>
                <c:pt idx="0">
                  <c:v>AN</c:v>
                </c:pt>
              </c:strCache>
            </c:strRef>
          </c:tx>
          <c:spPr>
            <a:solidFill>
              <a:schemeClr val="tx1">
                <a:lumMod val="65000"/>
                <a:lumOff val="35000"/>
              </a:schemeClr>
            </a:solidFill>
            <a:ln>
              <a:solidFill>
                <a:schemeClr val="tx1">
                  <a:lumMod val="65000"/>
                  <a:lumOff val="35000"/>
                </a:schemeClr>
              </a:solidFill>
            </a:ln>
            <a:effectLst/>
          </c:spPr>
          <c:invertIfNegative val="0"/>
          <c:dLbls>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Sheet1!$B$1:$I$1</c:f>
              <c:strCache>
                <c:ptCount val="8"/>
                <c:pt idx="0">
                  <c:v>Polija 36,8%</c:v>
                </c:pt>
                <c:pt idx="1">
                  <c:v>Horvātija 35,6%</c:v>
                </c:pt>
                <c:pt idx="2">
                  <c:v>Ungārija 33,9%</c:v>
                </c:pt>
                <c:pt idx="3">
                  <c:v>Igaunija 33,5%</c:v>
                </c:pt>
                <c:pt idx="4">
                  <c:v>Lietuva 32,2%</c:v>
                </c:pt>
                <c:pt idx="5">
                  <c:v>Bulgārija 30,7%</c:v>
                </c:pt>
                <c:pt idx="6">
                  <c:v>Latvija 30,4%</c:v>
                </c:pt>
                <c:pt idx="7">
                  <c:v>Rumānija 26,5%</c:v>
                </c:pt>
              </c:strCache>
            </c:strRef>
          </c:cat>
          <c:val>
            <c:numRef>
              <c:f>Sheet1!$B$4:$I$4</c:f>
              <c:numCache>
                <c:formatCode>General</c:formatCode>
                <c:ptCount val="8"/>
                <c:pt idx="0">
                  <c:v>3.7</c:v>
                </c:pt>
                <c:pt idx="1">
                  <c:v>4.2</c:v>
                </c:pt>
                <c:pt idx="2">
                  <c:v>2.4</c:v>
                </c:pt>
                <c:pt idx="3">
                  <c:v>3.1</c:v>
                </c:pt>
                <c:pt idx="4">
                  <c:v>3</c:v>
                </c:pt>
                <c:pt idx="5">
                  <c:v>4.2</c:v>
                </c:pt>
                <c:pt idx="6">
                  <c:v>3.3</c:v>
                </c:pt>
                <c:pt idx="7">
                  <c:v>3</c:v>
                </c:pt>
              </c:numCache>
            </c:numRef>
          </c:val>
          <c:extLst>
            <c:ext xmlns:c16="http://schemas.microsoft.com/office/drawing/2014/chart" uri="{C3380CC4-5D6E-409C-BE32-E72D297353CC}">
              <c16:uniqueId val="{00000002-DFED-4999-84B2-9D3BB5889E54}"/>
            </c:ext>
          </c:extLst>
        </c:ser>
        <c:ser>
          <c:idx val="3"/>
          <c:order val="3"/>
          <c:tx>
            <c:strRef>
              <c:f>Sheet1!$A$5</c:f>
              <c:strCache>
                <c:ptCount val="1"/>
                <c:pt idx="0">
                  <c:v>UIN</c:v>
                </c:pt>
              </c:strCache>
            </c:strRef>
          </c:tx>
          <c:spPr>
            <a:solidFill>
              <a:schemeClr val="accent4"/>
            </a:solidFill>
            <a:ln>
              <a:solidFill>
                <a:schemeClr val="accent4"/>
              </a:solidFill>
            </a:ln>
            <a:effectLst/>
          </c:spPr>
          <c:invertIfNegative val="0"/>
          <c:dLbls>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Sheet1!$B$1:$I$1</c:f>
              <c:strCache>
                <c:ptCount val="8"/>
                <c:pt idx="0">
                  <c:v>Polija 36,8%</c:v>
                </c:pt>
                <c:pt idx="1">
                  <c:v>Horvātija 35,6%</c:v>
                </c:pt>
                <c:pt idx="2">
                  <c:v>Ungārija 33,9%</c:v>
                </c:pt>
                <c:pt idx="3">
                  <c:v>Igaunija 33,5%</c:v>
                </c:pt>
                <c:pt idx="4">
                  <c:v>Lietuva 32,2%</c:v>
                </c:pt>
                <c:pt idx="5">
                  <c:v>Bulgārija 30,7%</c:v>
                </c:pt>
                <c:pt idx="6">
                  <c:v>Latvija 30,4%</c:v>
                </c:pt>
                <c:pt idx="7">
                  <c:v>Rumānija 26,5%</c:v>
                </c:pt>
              </c:strCache>
            </c:strRef>
          </c:cat>
          <c:val>
            <c:numRef>
              <c:f>Sheet1!$B$5:$I$5</c:f>
              <c:numCache>
                <c:formatCode>General</c:formatCode>
                <c:ptCount val="8"/>
                <c:pt idx="0">
                  <c:v>2.6</c:v>
                </c:pt>
                <c:pt idx="1">
                  <c:v>2.1</c:v>
                </c:pt>
                <c:pt idx="2">
                  <c:v>1.2</c:v>
                </c:pt>
                <c:pt idx="3">
                  <c:v>1.5</c:v>
                </c:pt>
                <c:pt idx="4">
                  <c:v>2.1</c:v>
                </c:pt>
                <c:pt idx="5">
                  <c:v>2.8</c:v>
                </c:pt>
                <c:pt idx="6">
                  <c:v>0.8</c:v>
                </c:pt>
                <c:pt idx="7">
                  <c:v>2.2000000000000002</c:v>
                </c:pt>
              </c:numCache>
            </c:numRef>
          </c:val>
          <c:extLst>
            <c:ext xmlns:c16="http://schemas.microsoft.com/office/drawing/2014/chart" uri="{C3380CC4-5D6E-409C-BE32-E72D297353CC}">
              <c16:uniqueId val="{00000003-DFED-4999-84B2-9D3BB5889E54}"/>
            </c:ext>
          </c:extLst>
        </c:ser>
        <c:ser>
          <c:idx val="4"/>
          <c:order val="4"/>
          <c:tx>
            <c:strRef>
              <c:f>Sheet1!$A$6</c:f>
              <c:strCache>
                <c:ptCount val="1"/>
                <c:pt idx="0">
                  <c:v>NĪN</c:v>
                </c:pt>
              </c:strCache>
            </c:strRef>
          </c:tx>
          <c:spPr>
            <a:solidFill>
              <a:schemeClr val="accent5">
                <a:lumMod val="75000"/>
              </a:schemeClr>
            </a:solidFill>
            <a:ln>
              <a:solidFill>
                <a:schemeClr val="accent5">
                  <a:lumMod val="75000"/>
                </a:schemeClr>
              </a:solidFill>
            </a:ln>
            <a:effectLst/>
          </c:spPr>
          <c:invertIfNegative val="0"/>
          <c:dLbls>
            <c:dLbl>
              <c:idx val="0"/>
              <c:layout>
                <c:manualLayout>
                  <c:x val="-1.7524644030668127E-2"/>
                  <c:y val="-4.5454545454545452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638-4AB8-9C82-D9A419CD1693}"/>
                </c:ext>
              </c:extLst>
            </c:dLbl>
            <c:dLbl>
              <c:idx val="1"/>
              <c:layout>
                <c:manualLayout>
                  <c:x val="-1.5334063526834651E-2"/>
                  <c:y val="-4.5454545454545869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638-4AB8-9C82-D9A419CD1693}"/>
                </c:ext>
              </c:extLst>
            </c:dLbl>
            <c:dLbl>
              <c:idx val="2"/>
              <c:layout>
                <c:manualLayout>
                  <c:x val="-1.9715224534501682E-2"/>
                  <c:y val="-4.5454545454545452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638-4AB8-9C82-D9A419CD1693}"/>
                </c:ext>
              </c:extLst>
            </c:dLbl>
            <c:dLbl>
              <c:idx val="3"/>
              <c:layout>
                <c:manualLayout>
                  <c:x val="-2.1905805038335158E-2"/>
                  <c:y val="4.1666185335338155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638-4AB8-9C82-D9A419CD1693}"/>
                </c:ext>
              </c:extLst>
            </c:dLbl>
            <c:dLbl>
              <c:idx val="4"/>
              <c:layout>
                <c:manualLayout>
                  <c:x val="-2.4096385542168756E-2"/>
                  <c:y val="-4.1666185335338155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638-4AB8-9C82-D9A419CD1693}"/>
                </c:ext>
              </c:extLst>
            </c:dLbl>
            <c:dLbl>
              <c:idx val="5"/>
              <c:layout>
                <c:manualLayout>
                  <c:x val="-2.4096385542168836E-2"/>
                  <c:y val="-8.3332370670676311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638-4AB8-9C82-D9A419CD1693}"/>
                </c:ext>
              </c:extLst>
            </c:dLbl>
            <c:dLbl>
              <c:idx val="6"/>
              <c:layout>
                <c:manualLayout>
                  <c:x val="-2.628696604600219E-2"/>
                  <c:y val="-4.5454545454545452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638-4AB8-9C82-D9A419CD1693}"/>
                </c:ext>
              </c:extLst>
            </c:dLbl>
            <c:dLbl>
              <c:idx val="7"/>
              <c:layout>
                <c:manualLayout>
                  <c:x val="-1.7524644030668127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638-4AB8-9C82-D9A419CD1693}"/>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Sheet1!$B$1:$I$1</c:f>
              <c:strCache>
                <c:ptCount val="8"/>
                <c:pt idx="0">
                  <c:v>Polija 36,8%</c:v>
                </c:pt>
                <c:pt idx="1">
                  <c:v>Horvātija 35,6%</c:v>
                </c:pt>
                <c:pt idx="2">
                  <c:v>Ungārija 33,9%</c:v>
                </c:pt>
                <c:pt idx="3">
                  <c:v>Igaunija 33,5%</c:v>
                </c:pt>
                <c:pt idx="4">
                  <c:v>Lietuva 32,2%</c:v>
                </c:pt>
                <c:pt idx="5">
                  <c:v>Bulgārija 30,7%</c:v>
                </c:pt>
                <c:pt idx="6">
                  <c:v>Latvija 30,4%</c:v>
                </c:pt>
                <c:pt idx="7">
                  <c:v>Rumānija 26,5%</c:v>
                </c:pt>
              </c:strCache>
            </c:strRef>
          </c:cat>
          <c:val>
            <c:numRef>
              <c:f>Sheet1!$B$6:$I$6</c:f>
              <c:numCache>
                <c:formatCode>General</c:formatCode>
                <c:ptCount val="8"/>
                <c:pt idx="0">
                  <c:v>1.1000000000000001</c:v>
                </c:pt>
                <c:pt idx="1">
                  <c:v>0.6</c:v>
                </c:pt>
                <c:pt idx="2">
                  <c:v>0.4</c:v>
                </c:pt>
                <c:pt idx="3">
                  <c:v>0.2</c:v>
                </c:pt>
                <c:pt idx="4">
                  <c:v>0.3</c:v>
                </c:pt>
                <c:pt idx="5">
                  <c:v>0.3</c:v>
                </c:pt>
                <c:pt idx="6">
                  <c:v>0.7</c:v>
                </c:pt>
                <c:pt idx="7">
                  <c:v>0.5</c:v>
                </c:pt>
              </c:numCache>
            </c:numRef>
          </c:val>
          <c:extLst>
            <c:ext xmlns:c16="http://schemas.microsoft.com/office/drawing/2014/chart" uri="{C3380CC4-5D6E-409C-BE32-E72D297353CC}">
              <c16:uniqueId val="{00000004-DFED-4999-84B2-9D3BB5889E54}"/>
            </c:ext>
          </c:extLst>
        </c:ser>
        <c:ser>
          <c:idx val="5"/>
          <c:order val="5"/>
          <c:tx>
            <c:strRef>
              <c:f>Sheet1!$A$7</c:f>
              <c:strCache>
                <c:ptCount val="1"/>
                <c:pt idx="0">
                  <c:v>pārējie nodokļi</c:v>
                </c:pt>
              </c:strCache>
            </c:strRef>
          </c:tx>
          <c:spPr>
            <a:solidFill>
              <a:schemeClr val="accent6">
                <a:lumMod val="60000"/>
                <a:lumOff val="40000"/>
              </a:schemeClr>
            </a:solidFill>
            <a:ln>
              <a:solidFill>
                <a:schemeClr val="accent6">
                  <a:lumMod val="40000"/>
                  <a:lumOff val="60000"/>
                </a:schemeClr>
              </a:solidFill>
            </a:ln>
            <a:effectLst/>
          </c:spPr>
          <c:invertIfNegative val="0"/>
          <c:dLbls>
            <c:dLbl>
              <c:idx val="0"/>
              <c:layout>
                <c:manualLayout>
                  <c:x val="1.5334063526834611E-2"/>
                  <c:y val="-1.847136721546170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638-4AB8-9C82-D9A419CD1693}"/>
                </c:ext>
              </c:extLst>
            </c:dLbl>
            <c:dLbl>
              <c:idx val="1"/>
              <c:layout>
                <c:manualLayout>
                  <c:x val="1.9715224534501644E-2"/>
                  <c:y val="-2.657659269863994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638-4AB8-9C82-D9A419CD1693}"/>
                </c:ext>
              </c:extLst>
            </c:dLbl>
            <c:dLbl>
              <c:idx val="4"/>
              <c:layout>
                <c:manualLayout>
                  <c:x val="2.4096385542168676E-2"/>
                  <c:y val="-1.211918396564065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638-4AB8-9C82-D9A419CD1693}"/>
                </c:ext>
              </c:extLst>
            </c:dLbl>
            <c:dLbl>
              <c:idx val="5"/>
              <c:layout>
                <c:manualLayout>
                  <c:x val="1.3143483023001015E-2"/>
                  <c:y val="-1.45282748747316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638-4AB8-9C82-D9A419CD1693}"/>
                </c:ext>
              </c:extLst>
            </c:dLbl>
            <c:dLbl>
              <c:idx val="6"/>
              <c:layout>
                <c:manualLayout>
                  <c:x val="1.7524644030668127E-2"/>
                  <c:y val="-1.688332140300644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638-4AB8-9C82-D9A419CD1693}"/>
                </c:ext>
              </c:extLst>
            </c:dLbl>
            <c:dLbl>
              <c:idx val="7"/>
              <c:layout>
                <c:manualLayout>
                  <c:x val="1.5334063526834451E-2"/>
                  <c:y val="-1.726664280601288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638-4AB8-9C82-D9A419CD1693}"/>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Sheet1!$B$1:$I$1</c:f>
              <c:strCache>
                <c:ptCount val="8"/>
                <c:pt idx="0">
                  <c:v>Polija 36,8%</c:v>
                </c:pt>
                <c:pt idx="1">
                  <c:v>Horvātija 35,6%</c:v>
                </c:pt>
                <c:pt idx="2">
                  <c:v>Ungārija 33,9%</c:v>
                </c:pt>
                <c:pt idx="3">
                  <c:v>Igaunija 33,5%</c:v>
                </c:pt>
                <c:pt idx="4">
                  <c:v>Lietuva 32,2%</c:v>
                </c:pt>
                <c:pt idx="5">
                  <c:v>Bulgārija 30,7%</c:v>
                </c:pt>
                <c:pt idx="6">
                  <c:v>Latvija 30,4%</c:v>
                </c:pt>
                <c:pt idx="7">
                  <c:v>Rumānija 26,5%</c:v>
                </c:pt>
              </c:strCache>
            </c:strRef>
          </c:cat>
          <c:val>
            <c:numRef>
              <c:f>Sheet1!$B$7:$I$7</c:f>
              <c:numCache>
                <c:formatCode>General</c:formatCode>
                <c:ptCount val="8"/>
                <c:pt idx="0">
                  <c:v>1.399999999999999</c:v>
                </c:pt>
                <c:pt idx="1">
                  <c:v>1.5</c:v>
                </c:pt>
                <c:pt idx="2">
                  <c:v>5.4000000000000021</c:v>
                </c:pt>
                <c:pt idx="3">
                  <c:v>0.89999999999999147</c:v>
                </c:pt>
                <c:pt idx="4">
                  <c:v>0.20000000000000279</c:v>
                </c:pt>
                <c:pt idx="5">
                  <c:v>1.7999999999999969</c:v>
                </c:pt>
                <c:pt idx="6">
                  <c:v>1.0999999999999981</c:v>
                </c:pt>
                <c:pt idx="7">
                  <c:v>0.60000000000000142</c:v>
                </c:pt>
              </c:numCache>
            </c:numRef>
          </c:val>
          <c:extLst>
            <c:ext xmlns:c16="http://schemas.microsoft.com/office/drawing/2014/chart" uri="{C3380CC4-5D6E-409C-BE32-E72D297353CC}">
              <c16:uniqueId val="{00000005-DFED-4999-84B2-9D3BB5889E54}"/>
            </c:ext>
          </c:extLst>
        </c:ser>
        <c:ser>
          <c:idx val="6"/>
          <c:order val="6"/>
          <c:tx>
            <c:strRef>
              <c:f>Sheet1!$A$8</c:f>
              <c:strCache>
                <c:ptCount val="1"/>
                <c:pt idx="0">
                  <c:v>PVN</c:v>
                </c:pt>
              </c:strCache>
            </c:strRef>
          </c:tx>
          <c:spPr>
            <a:solidFill>
              <a:schemeClr val="accent1">
                <a:lumMod val="40000"/>
                <a:lumOff val="60000"/>
              </a:schemeClr>
            </a:solidFill>
            <a:ln>
              <a:solidFill>
                <a:schemeClr val="accent1">
                  <a:lumMod val="40000"/>
                  <a:lumOff val="60000"/>
                </a:schemeClr>
              </a:solidFill>
            </a:ln>
            <a:effectLst/>
          </c:spPr>
          <c:invertIfNegative val="0"/>
          <c:dLbls>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Sheet1!$B$1:$I$1</c:f>
              <c:strCache>
                <c:ptCount val="8"/>
                <c:pt idx="0">
                  <c:v>Polija 36,8%</c:v>
                </c:pt>
                <c:pt idx="1">
                  <c:v>Horvātija 35,6%</c:v>
                </c:pt>
                <c:pt idx="2">
                  <c:v>Ungārija 33,9%</c:v>
                </c:pt>
                <c:pt idx="3">
                  <c:v>Igaunija 33,5%</c:v>
                </c:pt>
                <c:pt idx="4">
                  <c:v>Lietuva 32,2%</c:v>
                </c:pt>
                <c:pt idx="5">
                  <c:v>Bulgārija 30,7%</c:v>
                </c:pt>
                <c:pt idx="6">
                  <c:v>Latvija 30,4%</c:v>
                </c:pt>
                <c:pt idx="7">
                  <c:v>Rumānija 26,5%</c:v>
                </c:pt>
              </c:strCache>
            </c:strRef>
          </c:cat>
          <c:val>
            <c:numRef>
              <c:f>Sheet1!$B$8:$I$8</c:f>
              <c:numCache>
                <c:formatCode>General</c:formatCode>
                <c:ptCount val="8"/>
                <c:pt idx="0">
                  <c:v>8.6</c:v>
                </c:pt>
                <c:pt idx="1">
                  <c:v>13.1</c:v>
                </c:pt>
                <c:pt idx="2">
                  <c:v>9.9</c:v>
                </c:pt>
                <c:pt idx="3">
                  <c:v>9.1</c:v>
                </c:pt>
                <c:pt idx="4">
                  <c:v>8.4</c:v>
                </c:pt>
                <c:pt idx="5">
                  <c:v>9.4</c:v>
                </c:pt>
                <c:pt idx="6">
                  <c:v>8.4</c:v>
                </c:pt>
                <c:pt idx="7">
                  <c:v>6.5</c:v>
                </c:pt>
              </c:numCache>
            </c:numRef>
          </c:val>
          <c:extLst>
            <c:ext xmlns:c16="http://schemas.microsoft.com/office/drawing/2014/chart" uri="{C3380CC4-5D6E-409C-BE32-E72D297353CC}">
              <c16:uniqueId val="{00000006-DFED-4999-84B2-9D3BB5889E54}"/>
            </c:ext>
          </c:extLst>
        </c:ser>
        <c:dLbls>
          <c:showLegendKey val="0"/>
          <c:showVal val="0"/>
          <c:showCatName val="0"/>
          <c:showSerName val="0"/>
          <c:showPercent val="0"/>
          <c:showBubbleSize val="0"/>
        </c:dLbls>
        <c:gapWidth val="50"/>
        <c:overlap val="100"/>
        <c:axId val="2094734552"/>
        <c:axId val="2094734553"/>
      </c:barChart>
      <c:catAx>
        <c:axId val="2094734552"/>
        <c:scaling>
          <c:orientation val="minMax"/>
        </c:scaling>
        <c:delete val="0"/>
        <c:axPos val="b"/>
        <c:numFmt formatCode="General" sourceLinked="0"/>
        <c:majorTickMark val="none"/>
        <c:minorTickMark val="none"/>
        <c:tickLblPos val="low"/>
        <c:spPr>
          <a:noFill/>
          <a:ln w="9525" cap="flat" cmpd="sng" algn="ctr">
            <a:solidFill>
              <a:schemeClr val="tx1">
                <a:lumMod val="25000"/>
                <a:lumOff val="75000"/>
              </a:schemeClr>
            </a:solidFill>
            <a:round/>
            <a:headEnd type="none" w="sm" len="sm"/>
            <a:tailEnd type="none" w="sm" len="sm"/>
          </a:ln>
          <a:effectLst/>
        </c:spPr>
        <c:txPr>
          <a:bodyPr rot="0" spcFirstLastPara="1" vertOverflow="ellipsis"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4734553"/>
        <c:crosses val="autoZero"/>
        <c:auto val="1"/>
        <c:lblAlgn val="ctr"/>
        <c:lblOffset val="100"/>
        <c:noMultiLvlLbl val="1"/>
      </c:catAx>
      <c:valAx>
        <c:axId val="2094734553"/>
        <c:scaling>
          <c:orientation val="minMax"/>
        </c:scaling>
        <c:delete val="0"/>
        <c:axPos val="l"/>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0" sourceLinked="0"/>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4734552"/>
        <c:crosses val="autoZero"/>
        <c:crossBetween val="between"/>
        <c:majorUnit val="10"/>
        <c:min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1"/>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Theme">
    <a:dk1>
      <a:srgbClr val="000000"/>
    </a:dk1>
    <a:lt1>
      <a:srgbClr val="FFFFFF"/>
    </a:lt1>
    <a:dk2>
      <a:srgbClr val="A7A7A7"/>
    </a:dk2>
    <a:lt2>
      <a:srgbClr val="535353"/>
    </a:lt2>
    <a:accent1>
      <a:srgbClr val="3494BA"/>
    </a:accent1>
    <a:accent2>
      <a:srgbClr val="58B6C0"/>
    </a:accent2>
    <a:accent3>
      <a:srgbClr val="75BDA7"/>
    </a:accent3>
    <a:accent4>
      <a:srgbClr val="7A8C8E"/>
    </a:accent4>
    <a:accent5>
      <a:srgbClr val="84ACB6"/>
    </a:accent5>
    <a:accent6>
      <a:srgbClr val="2683C6"/>
    </a:accent6>
    <a:hlink>
      <a:srgbClr val="0000FF"/>
    </a:hlink>
    <a:folHlink>
      <a:srgbClr val="FF00FF"/>
    </a:folHlink>
  </a:clrScheme>
  <a:fontScheme name="Office Theme">
    <a:majorFont>
      <a:latin typeface="Helvetica"/>
      <a:ea typeface="Helvetica"/>
      <a:cs typeface="Helvetica"/>
    </a:majorFont>
    <a:minorFont>
      <a:latin typeface="Calibri"/>
      <a:ea typeface="Calibri"/>
      <a:cs typeface="Calibri"/>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F813F-1183-460A-B5C6-AE2E8A591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28</Pages>
  <Words>36664</Words>
  <Characters>20900</Characters>
  <Application>Microsoft Office Word</Application>
  <DocSecurity>0</DocSecurity>
  <Lines>174</Lines>
  <Paragraphs>114</Paragraphs>
  <ScaleCrop>false</ScaleCrop>
  <HeadingPairs>
    <vt:vector size="2" baseType="variant">
      <vt:variant>
        <vt:lpstr>Title</vt:lpstr>
      </vt:variant>
      <vt:variant>
        <vt:i4>1</vt:i4>
      </vt:variant>
    </vt:vector>
  </HeadingPairs>
  <TitlesOfParts>
    <vt:vector size="1" baseType="lpstr">
      <vt:lpstr>Par Valsts nodokļu politikas pamatnostādņu 2024. – 2027. gadam izstrādes virzību</vt:lpstr>
    </vt:vector>
  </TitlesOfParts>
  <Manager>A.Ašerādens</Manager>
  <Company>Finanšu ministrija</Company>
  <LinksUpToDate>false</LinksUpToDate>
  <CharactersWithSpaces>57450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Valsts nodokļu politikas pamatnostādņu 2024. – 2027. gadam izstrādes virzību</dc:title>
  <dc:subject>Informatīvais ziņojums</dc:subject>
  <dc:creator>Madara Jaunzeme</dc:creator>
  <cp:keywords/>
  <dc:description>Jaunzeme 27333865, madara.jaunzeme@fm.gov.lv</dc:description>
  <cp:lastModifiedBy>Līga Gudēvica-Liepiņa</cp:lastModifiedBy>
  <cp:revision>3</cp:revision>
  <cp:lastPrinted>2023-08-10T14:58:00Z</cp:lastPrinted>
  <dcterms:created xsi:type="dcterms:W3CDTF">2023-09-26T07:32:00Z</dcterms:created>
  <dcterms:modified xsi:type="dcterms:W3CDTF">2023-09-26T07:38:00Z</dcterms:modified>
  <cp:category>Informatīvais ziņojums</cp:category>
</cp:coreProperties>
</file>