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3FFE4" w14:textId="37CD9F83" w:rsidR="007C6E64" w:rsidRPr="008C7CFC" w:rsidRDefault="007200DE" w:rsidP="00D84F84">
      <w:pPr>
        <w:spacing w:after="0" w:line="240" w:lineRule="auto"/>
        <w:jc w:val="center"/>
        <w:rPr>
          <w:rFonts w:ascii="Times New Roman" w:hAnsi="Times New Roman"/>
          <w:b/>
          <w:sz w:val="28"/>
          <w:szCs w:val="28"/>
        </w:rPr>
      </w:pPr>
      <w:r>
        <w:rPr>
          <w:rFonts w:ascii="Times New Roman" w:hAnsi="Times New Roman"/>
          <w:b/>
          <w:sz w:val="28"/>
          <w:szCs w:val="28"/>
        </w:rPr>
        <w:t>Pielikums i</w:t>
      </w:r>
      <w:r w:rsidR="00547946" w:rsidRPr="008C7CFC">
        <w:rPr>
          <w:rFonts w:ascii="Times New Roman" w:hAnsi="Times New Roman"/>
          <w:b/>
          <w:sz w:val="28"/>
          <w:szCs w:val="28"/>
        </w:rPr>
        <w:t>nformatīva</w:t>
      </w:r>
      <w:r>
        <w:rPr>
          <w:rFonts w:ascii="Times New Roman" w:hAnsi="Times New Roman"/>
          <w:b/>
          <w:sz w:val="28"/>
          <w:szCs w:val="28"/>
        </w:rPr>
        <w:t>jam</w:t>
      </w:r>
      <w:r w:rsidR="00547946" w:rsidRPr="008C7CFC">
        <w:rPr>
          <w:rFonts w:ascii="Times New Roman" w:hAnsi="Times New Roman"/>
          <w:b/>
          <w:sz w:val="28"/>
          <w:szCs w:val="28"/>
        </w:rPr>
        <w:t xml:space="preserve"> ziņo</w:t>
      </w:r>
      <w:r w:rsidR="00A4751F" w:rsidRPr="008C7CFC">
        <w:rPr>
          <w:rFonts w:ascii="Times New Roman" w:hAnsi="Times New Roman"/>
          <w:b/>
          <w:sz w:val="28"/>
          <w:szCs w:val="28"/>
        </w:rPr>
        <w:t>jum</w:t>
      </w:r>
      <w:r>
        <w:rPr>
          <w:rFonts w:ascii="Times New Roman" w:hAnsi="Times New Roman"/>
          <w:b/>
          <w:sz w:val="28"/>
          <w:szCs w:val="28"/>
        </w:rPr>
        <w:t>am</w:t>
      </w:r>
      <w:r w:rsidR="00A4751F" w:rsidRPr="008C7CFC">
        <w:rPr>
          <w:rFonts w:ascii="Times New Roman" w:hAnsi="Times New Roman"/>
          <w:b/>
          <w:sz w:val="28"/>
          <w:szCs w:val="28"/>
        </w:rPr>
        <w:t xml:space="preserve"> </w:t>
      </w:r>
    </w:p>
    <w:p w14:paraId="1856466B" w14:textId="77777777" w:rsidR="00C521E1" w:rsidRDefault="00A4751F" w:rsidP="00D84F84">
      <w:pPr>
        <w:spacing w:after="0" w:line="240" w:lineRule="auto"/>
        <w:jc w:val="center"/>
        <w:rPr>
          <w:rFonts w:ascii="Times New Roman" w:hAnsi="Times New Roman"/>
          <w:b/>
          <w:sz w:val="28"/>
          <w:szCs w:val="28"/>
        </w:rPr>
      </w:pPr>
      <w:r w:rsidRPr="000F0101">
        <w:rPr>
          <w:rFonts w:ascii="Times New Roman" w:hAnsi="Times New Roman"/>
          <w:b/>
          <w:sz w:val="28"/>
          <w:szCs w:val="28"/>
        </w:rPr>
        <w:t>“</w:t>
      </w:r>
      <w:r w:rsidR="00C521E1" w:rsidRPr="000F0101">
        <w:rPr>
          <w:rFonts w:ascii="Times New Roman" w:hAnsi="Times New Roman"/>
          <w:b/>
          <w:sz w:val="28"/>
          <w:szCs w:val="28"/>
        </w:rPr>
        <w:t>Par nepieciešamību apgriezto jeb reverso</w:t>
      </w:r>
      <w:r w:rsidR="000065CE" w:rsidRPr="000F0101">
        <w:rPr>
          <w:rFonts w:ascii="Times New Roman" w:hAnsi="Times New Roman"/>
          <w:b/>
          <w:sz w:val="28"/>
          <w:szCs w:val="28"/>
        </w:rPr>
        <w:t xml:space="preserve"> pievienotās vērt</w:t>
      </w:r>
      <w:r w:rsidR="00C521E1" w:rsidRPr="000F0101">
        <w:rPr>
          <w:rFonts w:ascii="Times New Roman" w:hAnsi="Times New Roman"/>
          <w:b/>
          <w:sz w:val="28"/>
          <w:szCs w:val="28"/>
        </w:rPr>
        <w:t>ības nodokļa maksāšanas kārtību ieviest citās nozarēs”</w:t>
      </w:r>
    </w:p>
    <w:p w14:paraId="671A8BF4" w14:textId="6DD5A9F0" w:rsidR="001A766A" w:rsidRDefault="001A766A" w:rsidP="009517E2">
      <w:pPr>
        <w:autoSpaceDE w:val="0"/>
        <w:autoSpaceDN w:val="0"/>
        <w:adjustRightInd w:val="0"/>
        <w:spacing w:after="0" w:line="240" w:lineRule="auto"/>
        <w:ind w:right="132"/>
        <w:jc w:val="both"/>
        <w:rPr>
          <w:rFonts w:ascii="Times New Roman" w:hAnsi="Times New Roman" w:cs="Times New Roman"/>
          <w:sz w:val="28"/>
          <w:szCs w:val="28"/>
          <w:highlight w:val="cyan"/>
        </w:rPr>
      </w:pPr>
    </w:p>
    <w:p w14:paraId="2E16930E" w14:textId="646AD045" w:rsidR="001A766A" w:rsidRPr="009517E2" w:rsidRDefault="001A766A" w:rsidP="009517E2">
      <w:pPr>
        <w:widowControl w:val="0"/>
        <w:tabs>
          <w:tab w:val="left" w:pos="4678"/>
        </w:tabs>
        <w:spacing w:after="0" w:line="240" w:lineRule="auto"/>
        <w:jc w:val="both"/>
        <w:rPr>
          <w:rFonts w:ascii="Times New Roman" w:hAnsi="Times New Roman"/>
          <w:b/>
          <w:bCs/>
          <w:sz w:val="28"/>
          <w:szCs w:val="28"/>
        </w:rPr>
      </w:pPr>
      <w:r>
        <w:rPr>
          <w:rFonts w:ascii="Times New Roman" w:hAnsi="Times New Roman"/>
          <w:b/>
          <w:bCs/>
          <w:sz w:val="28"/>
          <w:szCs w:val="28"/>
        </w:rPr>
        <w:t>Valsts ieņēmumu dienesta n</w:t>
      </w:r>
      <w:r w:rsidRPr="009517E2">
        <w:rPr>
          <w:rFonts w:ascii="Times New Roman" w:hAnsi="Times New Roman"/>
          <w:b/>
          <w:bCs/>
          <w:sz w:val="28"/>
          <w:szCs w:val="28"/>
        </w:rPr>
        <w:t>ozaru risku novērtējums</w:t>
      </w:r>
    </w:p>
    <w:p w14:paraId="33144EEA" w14:textId="08D2B816" w:rsidR="001A766A" w:rsidRPr="00297E0B" w:rsidRDefault="001A766A" w:rsidP="001A766A">
      <w:pPr>
        <w:spacing w:before="120" w:after="0" w:line="240" w:lineRule="auto"/>
        <w:ind w:firstLine="720"/>
        <w:jc w:val="both"/>
        <w:rPr>
          <w:rFonts w:ascii="Times New Roman" w:hAnsi="Times New Roman"/>
          <w:sz w:val="28"/>
          <w:szCs w:val="28"/>
        </w:rPr>
      </w:pPr>
      <w:r w:rsidRPr="00297E0B">
        <w:rPr>
          <w:rFonts w:ascii="Times New Roman" w:hAnsi="Times New Roman"/>
          <w:sz w:val="28"/>
          <w:szCs w:val="28"/>
        </w:rPr>
        <w:t xml:space="preserve">Ņemot vērā to, ka </w:t>
      </w:r>
      <w:r w:rsidR="00F03817">
        <w:rPr>
          <w:rFonts w:ascii="Times New Roman" w:hAnsi="Times New Roman"/>
          <w:sz w:val="28"/>
          <w:szCs w:val="28"/>
        </w:rPr>
        <w:t xml:space="preserve">Valsts ieņēmumu dienesta (turpmāk – </w:t>
      </w:r>
      <w:r w:rsidRPr="00297E0B">
        <w:rPr>
          <w:rFonts w:ascii="Times New Roman" w:hAnsi="Times New Roman"/>
          <w:sz w:val="28"/>
          <w:szCs w:val="28"/>
        </w:rPr>
        <w:t>VID</w:t>
      </w:r>
      <w:r w:rsidR="00F03817">
        <w:rPr>
          <w:rFonts w:ascii="Times New Roman" w:hAnsi="Times New Roman"/>
          <w:sz w:val="28"/>
          <w:szCs w:val="28"/>
        </w:rPr>
        <w:t>)</w:t>
      </w:r>
      <w:r w:rsidRPr="00297E0B">
        <w:rPr>
          <w:rFonts w:ascii="Times New Roman" w:hAnsi="Times New Roman"/>
          <w:sz w:val="28"/>
          <w:szCs w:val="28"/>
        </w:rPr>
        <w:t xml:space="preserve"> iesniegtajos nodokļu pārskatos nav saskatāmas darījumos iekļautās preces vai pakalpojumi, tad</w:t>
      </w:r>
      <w:r w:rsidR="00F03817">
        <w:rPr>
          <w:rFonts w:ascii="Times New Roman" w:hAnsi="Times New Roman"/>
          <w:sz w:val="28"/>
          <w:szCs w:val="28"/>
        </w:rPr>
        <w:t xml:space="preserve"> apgrieztās jeb</w:t>
      </w:r>
      <w:r w:rsidRPr="00297E0B">
        <w:rPr>
          <w:rFonts w:ascii="Times New Roman" w:hAnsi="Times New Roman"/>
          <w:sz w:val="28"/>
          <w:szCs w:val="28"/>
        </w:rPr>
        <w:t xml:space="preserve"> reversās </w:t>
      </w:r>
      <w:r w:rsidR="00F03817">
        <w:rPr>
          <w:rFonts w:ascii="Times New Roman" w:hAnsi="Times New Roman"/>
          <w:sz w:val="28"/>
          <w:szCs w:val="28"/>
        </w:rPr>
        <w:t xml:space="preserve">pievienotās vērtības nodokļa (turpmāk – </w:t>
      </w:r>
      <w:r w:rsidRPr="00297E0B">
        <w:rPr>
          <w:rFonts w:ascii="Times New Roman" w:hAnsi="Times New Roman"/>
          <w:sz w:val="28"/>
          <w:szCs w:val="28"/>
        </w:rPr>
        <w:t>PVN</w:t>
      </w:r>
      <w:r w:rsidR="00F03817">
        <w:rPr>
          <w:rFonts w:ascii="Times New Roman" w:hAnsi="Times New Roman"/>
          <w:sz w:val="28"/>
          <w:szCs w:val="28"/>
        </w:rPr>
        <w:t>)</w:t>
      </w:r>
      <w:r w:rsidRPr="00297E0B">
        <w:rPr>
          <w:rFonts w:ascii="Times New Roman" w:hAnsi="Times New Roman"/>
          <w:sz w:val="28"/>
          <w:szCs w:val="28"/>
        </w:rPr>
        <w:t xml:space="preserve"> maksāšanas kārtības ieviešanas novērtējumā tiek apskatītas visas tautsaimniecības nozares, kas tiek vērtētas pēc trīs kritērijiem: </w:t>
      </w:r>
    </w:p>
    <w:p w14:paraId="2D2434C9" w14:textId="77777777" w:rsidR="001A766A" w:rsidRPr="00297E0B" w:rsidRDefault="001A766A" w:rsidP="001A766A">
      <w:pPr>
        <w:pStyle w:val="ListParagraph"/>
        <w:widowControl w:val="0"/>
        <w:numPr>
          <w:ilvl w:val="0"/>
          <w:numId w:val="14"/>
        </w:numPr>
        <w:spacing w:after="0" w:line="240" w:lineRule="auto"/>
        <w:ind w:left="1077" w:hanging="357"/>
        <w:jc w:val="both"/>
        <w:rPr>
          <w:rFonts w:ascii="Times New Roman" w:hAnsi="Times New Roman"/>
          <w:sz w:val="28"/>
          <w:szCs w:val="28"/>
        </w:rPr>
      </w:pPr>
      <w:r w:rsidRPr="00297E0B">
        <w:rPr>
          <w:rFonts w:ascii="Times New Roman" w:hAnsi="Times New Roman"/>
          <w:sz w:val="28"/>
          <w:szCs w:val="28"/>
        </w:rPr>
        <w:t xml:space="preserve">nozares starppatēriņa un kopējā pamatkapitāla veidošanas īpatsvars kopējā izlietojumā ir virs 70 % un kopējais starppatēriņš ir virs 200 </w:t>
      </w:r>
      <w:r w:rsidRPr="009517E2">
        <w:rPr>
          <w:rFonts w:ascii="Times New Roman" w:hAnsi="Times New Roman"/>
          <w:i/>
          <w:sz w:val="28"/>
          <w:szCs w:val="28"/>
        </w:rPr>
        <w:t>milj. EUR</w:t>
      </w:r>
      <w:r w:rsidRPr="00297E0B">
        <w:rPr>
          <w:rFonts w:ascii="Times New Roman" w:hAnsi="Times New Roman"/>
          <w:sz w:val="28"/>
          <w:szCs w:val="28"/>
        </w:rPr>
        <w:t>;</w:t>
      </w:r>
    </w:p>
    <w:p w14:paraId="6109CB53" w14:textId="77777777" w:rsidR="001A766A" w:rsidRPr="00297E0B" w:rsidRDefault="001A766A" w:rsidP="001A766A">
      <w:pPr>
        <w:pStyle w:val="ListParagraph"/>
        <w:widowControl w:val="0"/>
        <w:numPr>
          <w:ilvl w:val="0"/>
          <w:numId w:val="14"/>
        </w:numPr>
        <w:spacing w:after="0" w:line="240" w:lineRule="auto"/>
        <w:jc w:val="both"/>
        <w:rPr>
          <w:rFonts w:ascii="Times New Roman" w:hAnsi="Times New Roman"/>
          <w:color w:val="000000" w:themeColor="text1"/>
          <w:sz w:val="28"/>
          <w:szCs w:val="28"/>
        </w:rPr>
      </w:pPr>
      <w:r w:rsidRPr="00297E0B">
        <w:rPr>
          <w:rFonts w:ascii="Times New Roman" w:hAnsi="Times New Roman"/>
          <w:sz w:val="28"/>
          <w:szCs w:val="28"/>
        </w:rPr>
        <w:t xml:space="preserve">nozarēs ir pietiekami liels PVN maksātāju skaits (līdz ar to var rasties problēmas ierobežot riskus ar </w:t>
      </w:r>
      <w:r w:rsidRPr="00297E0B">
        <w:rPr>
          <w:rFonts w:ascii="Times New Roman" w:hAnsi="Times New Roman"/>
          <w:color w:val="000000" w:themeColor="text1"/>
          <w:sz w:val="28"/>
          <w:szCs w:val="28"/>
        </w:rPr>
        <w:t xml:space="preserve">nodokļu administrēšanas metodēm); </w:t>
      </w:r>
    </w:p>
    <w:p w14:paraId="4FCA13DB" w14:textId="77777777" w:rsidR="001A766A" w:rsidRPr="00297E0B" w:rsidRDefault="001A766A" w:rsidP="001A766A">
      <w:pPr>
        <w:pStyle w:val="ListParagraph"/>
        <w:widowControl w:val="0"/>
        <w:numPr>
          <w:ilvl w:val="0"/>
          <w:numId w:val="14"/>
        </w:numPr>
        <w:spacing w:after="0" w:line="240" w:lineRule="auto"/>
        <w:ind w:left="1077" w:hanging="357"/>
        <w:jc w:val="both"/>
        <w:rPr>
          <w:rFonts w:ascii="Times New Roman" w:hAnsi="Times New Roman"/>
          <w:sz w:val="28"/>
          <w:szCs w:val="28"/>
        </w:rPr>
      </w:pPr>
      <w:r w:rsidRPr="00297E0B">
        <w:rPr>
          <w:rFonts w:ascii="Times New Roman" w:hAnsi="Times New Roman"/>
          <w:sz w:val="28"/>
          <w:szCs w:val="28"/>
        </w:rPr>
        <w:t xml:space="preserve">nozarēs ir augsts nodokļu saistību risku līmenis. </w:t>
      </w:r>
    </w:p>
    <w:p w14:paraId="16689732" w14:textId="5283D942"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 xml:space="preserve">Izmantojot jaunākās Centrālās statistikas pārvaldes veidotās produktu piedāvājuma-izlietojuma un </w:t>
      </w:r>
      <w:proofErr w:type="spellStart"/>
      <w:r w:rsidRPr="00297E0B">
        <w:rPr>
          <w:rFonts w:ascii="Times New Roman" w:hAnsi="Times New Roman"/>
          <w:sz w:val="28"/>
          <w:szCs w:val="28"/>
        </w:rPr>
        <w:t>ielaides</w:t>
      </w:r>
      <w:proofErr w:type="spellEnd"/>
      <w:r w:rsidRPr="00297E0B">
        <w:rPr>
          <w:rFonts w:ascii="Times New Roman" w:hAnsi="Times New Roman"/>
          <w:sz w:val="28"/>
          <w:szCs w:val="28"/>
        </w:rPr>
        <w:t>-izlaides tabulas, noskaidrotas nozares, kurās dominē darījumu modelis B2B</w:t>
      </w:r>
      <w:r w:rsidR="00FF5C1E" w:rsidRPr="00FF5C1E">
        <w:t xml:space="preserve"> </w:t>
      </w:r>
      <w:r w:rsidR="00FF5C1E" w:rsidRPr="00FF5C1E">
        <w:rPr>
          <w:rFonts w:ascii="Times New Roman" w:hAnsi="Times New Roman"/>
          <w:sz w:val="28"/>
          <w:szCs w:val="28"/>
        </w:rPr>
        <w:t>(</w:t>
      </w:r>
      <w:proofErr w:type="spellStart"/>
      <w:r w:rsidR="00FF5C1E" w:rsidRPr="009517E2">
        <w:rPr>
          <w:rFonts w:ascii="Times New Roman" w:hAnsi="Times New Roman"/>
          <w:i/>
          <w:sz w:val="28"/>
          <w:szCs w:val="28"/>
        </w:rPr>
        <w:t>Business</w:t>
      </w:r>
      <w:proofErr w:type="spellEnd"/>
      <w:r w:rsidR="00FF5C1E" w:rsidRPr="009517E2">
        <w:rPr>
          <w:rFonts w:ascii="Times New Roman" w:hAnsi="Times New Roman"/>
          <w:i/>
          <w:sz w:val="28"/>
          <w:szCs w:val="28"/>
        </w:rPr>
        <w:t xml:space="preserve"> to </w:t>
      </w:r>
      <w:proofErr w:type="spellStart"/>
      <w:r w:rsidR="00FF5C1E" w:rsidRPr="009517E2">
        <w:rPr>
          <w:rFonts w:ascii="Times New Roman" w:hAnsi="Times New Roman"/>
          <w:i/>
          <w:sz w:val="28"/>
          <w:szCs w:val="28"/>
        </w:rPr>
        <w:t>Business</w:t>
      </w:r>
      <w:proofErr w:type="spellEnd"/>
      <w:r w:rsidR="00FF5C1E" w:rsidRPr="00FF5C1E">
        <w:rPr>
          <w:rFonts w:ascii="Times New Roman" w:hAnsi="Times New Roman"/>
          <w:sz w:val="28"/>
          <w:szCs w:val="28"/>
        </w:rPr>
        <w:t>)</w:t>
      </w:r>
      <w:r w:rsidRPr="00297E0B">
        <w:rPr>
          <w:rFonts w:ascii="Times New Roman" w:hAnsi="Times New Roman"/>
          <w:sz w:val="28"/>
          <w:szCs w:val="28"/>
        </w:rPr>
        <w:t>. Nozares (kopā 1</w:t>
      </w:r>
      <w:r>
        <w:rPr>
          <w:rFonts w:ascii="Times New Roman" w:hAnsi="Times New Roman"/>
          <w:sz w:val="28"/>
          <w:szCs w:val="28"/>
        </w:rPr>
        <w:t>6</w:t>
      </w:r>
      <w:r w:rsidRPr="00297E0B">
        <w:rPr>
          <w:rFonts w:ascii="Times New Roman" w:hAnsi="Times New Roman"/>
          <w:sz w:val="28"/>
          <w:szCs w:val="28"/>
        </w:rPr>
        <w:t xml:space="preserve"> nozares atbilstoši NACE</w:t>
      </w:r>
      <w:r>
        <w:rPr>
          <w:rFonts w:ascii="Times New Roman" w:hAnsi="Times New Roman"/>
          <w:sz w:val="28"/>
          <w:szCs w:val="28"/>
        </w:rPr>
        <w:t> </w:t>
      </w:r>
      <w:r w:rsidRPr="00297E0B">
        <w:rPr>
          <w:rFonts w:ascii="Times New Roman" w:hAnsi="Times New Roman"/>
          <w:sz w:val="28"/>
          <w:szCs w:val="28"/>
        </w:rPr>
        <w:t xml:space="preserve">2 klasifikatoram), kurām starppatēriņa un kopējā pamatkapitāla veidošanas īpatsvars kopējā izlietojumā ir virs 70 % un kopējais starppatēriņš ir virs 200 </w:t>
      </w:r>
      <w:r w:rsidRPr="009517E2">
        <w:rPr>
          <w:rFonts w:ascii="Times New Roman" w:hAnsi="Times New Roman"/>
          <w:i/>
          <w:sz w:val="28"/>
          <w:szCs w:val="28"/>
        </w:rPr>
        <w:t>milj. EUR</w:t>
      </w:r>
      <w:r w:rsidRPr="00297E0B">
        <w:rPr>
          <w:rFonts w:ascii="Times New Roman" w:hAnsi="Times New Roman"/>
          <w:sz w:val="28"/>
          <w:szCs w:val="28"/>
        </w:rPr>
        <w:t xml:space="preserve"> ir attēlotas 1.tabulā.</w:t>
      </w:r>
    </w:p>
    <w:p w14:paraId="457D1C73" w14:textId="77777777" w:rsidR="001A766A" w:rsidRPr="00297E0B" w:rsidRDefault="001A766A" w:rsidP="001A766A">
      <w:pPr>
        <w:spacing w:after="0" w:line="240" w:lineRule="auto"/>
        <w:jc w:val="right"/>
        <w:rPr>
          <w:rFonts w:ascii="Times New Roman" w:hAnsi="Times New Roman"/>
          <w:iCs/>
          <w:sz w:val="28"/>
          <w:szCs w:val="24"/>
        </w:rPr>
      </w:pPr>
      <w:r w:rsidRPr="00297E0B">
        <w:rPr>
          <w:rFonts w:ascii="Times New Roman" w:hAnsi="Times New Roman"/>
          <w:iCs/>
          <w:sz w:val="28"/>
          <w:szCs w:val="24"/>
        </w:rPr>
        <w:t>1.tabula</w:t>
      </w:r>
    </w:p>
    <w:p w14:paraId="6BB945F6" w14:textId="77777777" w:rsidR="001A766A" w:rsidRPr="00297E0B" w:rsidRDefault="001A766A" w:rsidP="001A766A">
      <w:pPr>
        <w:spacing w:after="120" w:line="240" w:lineRule="auto"/>
        <w:jc w:val="center"/>
        <w:rPr>
          <w:rFonts w:ascii="Times New Roman" w:hAnsi="Times New Roman"/>
          <w:b/>
          <w:bCs/>
          <w:sz w:val="28"/>
          <w:szCs w:val="24"/>
        </w:rPr>
      </w:pPr>
      <w:r w:rsidRPr="00297E0B">
        <w:rPr>
          <w:rFonts w:ascii="Times New Roman" w:hAnsi="Times New Roman"/>
          <w:b/>
          <w:bCs/>
          <w:sz w:val="28"/>
          <w:szCs w:val="24"/>
        </w:rPr>
        <w:t xml:space="preserve">Starppatēriņa īpatsvars kopējā produktu izlietojuma tabulā pircēju cenās par 2017.gadu, </w:t>
      </w:r>
      <w:r w:rsidRPr="0009149F">
        <w:rPr>
          <w:rFonts w:ascii="Times New Roman" w:hAnsi="Times New Roman"/>
          <w:b/>
          <w:bCs/>
          <w:i/>
          <w:sz w:val="28"/>
          <w:szCs w:val="24"/>
        </w:rPr>
        <w:t>milj. EUR</w:t>
      </w:r>
      <w:r w:rsidRPr="00297E0B">
        <w:rPr>
          <w:rFonts w:ascii="Times New Roman" w:hAnsi="Times New Roman"/>
          <w:b/>
          <w:bCs/>
          <w:sz w:val="28"/>
          <w:szCs w:val="24"/>
        </w:rPr>
        <w:t xml:space="preserve"> iepriekšējā gada cenās</w:t>
      </w:r>
    </w:p>
    <w:tbl>
      <w:tblPr>
        <w:tblW w:w="9571" w:type="dxa"/>
        <w:tblLook w:val="04A0" w:firstRow="1" w:lastRow="0" w:firstColumn="1" w:lastColumn="0" w:noHBand="0" w:noVBand="1"/>
      </w:tblPr>
      <w:tblGrid>
        <w:gridCol w:w="507"/>
        <w:gridCol w:w="5019"/>
        <w:gridCol w:w="727"/>
        <w:gridCol w:w="1291"/>
        <w:gridCol w:w="1056"/>
        <w:gridCol w:w="1337"/>
        <w:gridCol w:w="236"/>
      </w:tblGrid>
      <w:tr w:rsidR="001A766A" w:rsidRPr="00F37A70" w14:paraId="79EF7EE7" w14:textId="77777777" w:rsidTr="00C6729F">
        <w:trPr>
          <w:gridAfter w:val="1"/>
          <w:wAfter w:w="236" w:type="dxa"/>
          <w:trHeight w:val="2000"/>
        </w:trPr>
        <w:tc>
          <w:tcPr>
            <w:tcW w:w="4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BDD492"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Nr. p.k.</w:t>
            </w:r>
          </w:p>
        </w:tc>
        <w:tc>
          <w:tcPr>
            <w:tcW w:w="50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90B596"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Produkta nosaukums saskaņā ar preču statistisko klasifikāciju pēc saimniecības nozarēm (CPA)</w:t>
            </w:r>
          </w:p>
        </w:tc>
        <w:tc>
          <w:tcPr>
            <w:tcW w:w="6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931F72"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NACE 2.red. kods</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F2A3E17"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Kopējais starppatēriņš, milj. EUR</w:t>
            </w:r>
          </w:p>
        </w:tc>
        <w:tc>
          <w:tcPr>
            <w:tcW w:w="8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9CE4DA"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Pavisam izlietojums pircēju cenās, milj. EUR</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80459A3"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r w:rsidRPr="00C217FC">
              <w:rPr>
                <w:rFonts w:ascii="Times New Roman" w:eastAsia="Times New Roman" w:hAnsi="Times New Roman"/>
                <w:b/>
                <w:bCs/>
                <w:color w:val="000000"/>
                <w:sz w:val="18"/>
                <w:szCs w:val="18"/>
                <w:lang w:eastAsia="lv-LV"/>
              </w:rPr>
              <w:t>Starppatēriņa un kopējā pamatkapitāla veidošanas īpatsvars kopējā izlietojumā</w:t>
            </w:r>
          </w:p>
        </w:tc>
      </w:tr>
      <w:tr w:rsidR="001A766A" w:rsidRPr="00F37A70" w14:paraId="7A978CEF" w14:textId="77777777" w:rsidTr="00C6729F">
        <w:trPr>
          <w:trHeight w:val="300"/>
        </w:trPr>
        <w:tc>
          <w:tcPr>
            <w:tcW w:w="445" w:type="dxa"/>
            <w:vMerge/>
            <w:tcBorders>
              <w:top w:val="single" w:sz="8" w:space="0" w:color="auto"/>
              <w:left w:val="single" w:sz="8" w:space="0" w:color="auto"/>
              <w:bottom w:val="single" w:sz="8" w:space="0" w:color="000000"/>
              <w:right w:val="single" w:sz="8" w:space="0" w:color="auto"/>
            </w:tcBorders>
            <w:vAlign w:val="center"/>
            <w:hideMark/>
          </w:tcPr>
          <w:p w14:paraId="73E46910"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5019" w:type="dxa"/>
            <w:vMerge/>
            <w:tcBorders>
              <w:top w:val="single" w:sz="8" w:space="0" w:color="auto"/>
              <w:left w:val="single" w:sz="8" w:space="0" w:color="auto"/>
              <w:bottom w:val="single" w:sz="8" w:space="0" w:color="000000"/>
              <w:right w:val="single" w:sz="8" w:space="0" w:color="auto"/>
            </w:tcBorders>
            <w:vAlign w:val="center"/>
            <w:hideMark/>
          </w:tcPr>
          <w:p w14:paraId="1C9F827A"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617" w:type="dxa"/>
            <w:vMerge/>
            <w:tcBorders>
              <w:top w:val="single" w:sz="8" w:space="0" w:color="auto"/>
              <w:left w:val="single" w:sz="8" w:space="0" w:color="auto"/>
              <w:bottom w:val="single" w:sz="8" w:space="0" w:color="000000"/>
              <w:right w:val="single" w:sz="8" w:space="0" w:color="auto"/>
            </w:tcBorders>
            <w:vAlign w:val="center"/>
            <w:hideMark/>
          </w:tcPr>
          <w:p w14:paraId="2E5D38F2"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495E5F59"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876" w:type="dxa"/>
            <w:vMerge/>
            <w:tcBorders>
              <w:top w:val="single" w:sz="8" w:space="0" w:color="auto"/>
              <w:left w:val="single" w:sz="8" w:space="0" w:color="auto"/>
              <w:bottom w:val="single" w:sz="8" w:space="0" w:color="000000"/>
              <w:right w:val="single" w:sz="8" w:space="0" w:color="auto"/>
            </w:tcBorders>
            <w:vAlign w:val="center"/>
            <w:hideMark/>
          </w:tcPr>
          <w:p w14:paraId="447CC574"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1318" w:type="dxa"/>
            <w:vMerge/>
            <w:tcBorders>
              <w:top w:val="single" w:sz="8" w:space="0" w:color="auto"/>
              <w:left w:val="single" w:sz="8" w:space="0" w:color="auto"/>
              <w:bottom w:val="single" w:sz="8" w:space="0" w:color="000000"/>
              <w:right w:val="single" w:sz="8" w:space="0" w:color="auto"/>
            </w:tcBorders>
            <w:vAlign w:val="center"/>
            <w:hideMark/>
          </w:tcPr>
          <w:p w14:paraId="01AFD11B" w14:textId="77777777" w:rsidR="001A766A" w:rsidRPr="00C217FC" w:rsidRDefault="001A766A" w:rsidP="00C6729F">
            <w:pPr>
              <w:spacing w:after="0" w:line="240" w:lineRule="auto"/>
              <w:rPr>
                <w:rFonts w:ascii="Times New Roman" w:eastAsia="Times New Roman" w:hAnsi="Times New Roman"/>
                <w:b/>
                <w:bCs/>
                <w:color w:val="000000"/>
                <w:sz w:val="18"/>
                <w:szCs w:val="18"/>
                <w:lang w:eastAsia="lv-LV"/>
              </w:rPr>
            </w:pPr>
          </w:p>
        </w:tc>
        <w:tc>
          <w:tcPr>
            <w:tcW w:w="236" w:type="dxa"/>
            <w:tcBorders>
              <w:top w:val="nil"/>
              <w:left w:val="nil"/>
              <w:bottom w:val="nil"/>
              <w:right w:val="nil"/>
            </w:tcBorders>
            <w:shd w:val="clear" w:color="auto" w:fill="auto"/>
            <w:noWrap/>
            <w:vAlign w:val="bottom"/>
            <w:hideMark/>
          </w:tcPr>
          <w:p w14:paraId="50F5A3BE" w14:textId="77777777" w:rsidR="001A766A" w:rsidRPr="00C217FC" w:rsidRDefault="001A766A" w:rsidP="00C6729F">
            <w:pPr>
              <w:spacing w:after="0" w:line="240" w:lineRule="auto"/>
              <w:jc w:val="center"/>
              <w:rPr>
                <w:rFonts w:ascii="Times New Roman" w:eastAsia="Times New Roman" w:hAnsi="Times New Roman"/>
                <w:b/>
                <w:bCs/>
                <w:color w:val="000000"/>
                <w:sz w:val="18"/>
                <w:szCs w:val="18"/>
                <w:lang w:eastAsia="lv-LV"/>
              </w:rPr>
            </w:pPr>
          </w:p>
        </w:tc>
      </w:tr>
      <w:tr w:rsidR="001A766A" w14:paraId="75569DD2"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2306A6A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1</w:t>
            </w:r>
          </w:p>
        </w:tc>
        <w:tc>
          <w:tcPr>
            <w:tcW w:w="5019" w:type="dxa"/>
            <w:tcBorders>
              <w:top w:val="nil"/>
              <w:left w:val="nil"/>
              <w:bottom w:val="single" w:sz="8" w:space="0" w:color="auto"/>
              <w:right w:val="single" w:sz="8" w:space="0" w:color="auto"/>
            </w:tcBorders>
            <w:shd w:val="clear" w:color="auto" w:fill="auto"/>
            <w:noWrap/>
            <w:vAlign w:val="center"/>
            <w:hideMark/>
          </w:tcPr>
          <w:p w14:paraId="5134625B"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 xml:space="preserve">Uzglabāšanas pakalpojumi un transporta </w:t>
            </w:r>
            <w:proofErr w:type="spellStart"/>
            <w:r w:rsidRPr="00C217FC">
              <w:rPr>
                <w:rFonts w:ascii="Times New Roman" w:eastAsia="Times New Roman" w:hAnsi="Times New Roman"/>
                <w:color w:val="000000"/>
                <w:sz w:val="18"/>
                <w:szCs w:val="18"/>
                <w:lang w:eastAsia="lv-LV"/>
              </w:rPr>
              <w:t>palīgpakalpojumi</w:t>
            </w:r>
            <w:proofErr w:type="spellEnd"/>
          </w:p>
        </w:tc>
        <w:tc>
          <w:tcPr>
            <w:tcW w:w="617" w:type="dxa"/>
            <w:tcBorders>
              <w:top w:val="nil"/>
              <w:left w:val="nil"/>
              <w:bottom w:val="single" w:sz="8" w:space="0" w:color="auto"/>
              <w:right w:val="single" w:sz="8" w:space="0" w:color="auto"/>
            </w:tcBorders>
            <w:shd w:val="clear" w:color="auto" w:fill="auto"/>
            <w:noWrap/>
            <w:vAlign w:val="center"/>
            <w:hideMark/>
          </w:tcPr>
          <w:p w14:paraId="61AE2967"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52</w:t>
            </w:r>
          </w:p>
        </w:tc>
        <w:tc>
          <w:tcPr>
            <w:tcW w:w="1060" w:type="dxa"/>
            <w:tcBorders>
              <w:top w:val="nil"/>
              <w:left w:val="nil"/>
              <w:bottom w:val="single" w:sz="8" w:space="0" w:color="auto"/>
              <w:right w:val="single" w:sz="8" w:space="0" w:color="auto"/>
            </w:tcBorders>
            <w:shd w:val="clear" w:color="auto" w:fill="auto"/>
            <w:noWrap/>
            <w:vAlign w:val="center"/>
            <w:hideMark/>
          </w:tcPr>
          <w:p w14:paraId="7177474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2 584,35</w:t>
            </w:r>
          </w:p>
        </w:tc>
        <w:tc>
          <w:tcPr>
            <w:tcW w:w="876" w:type="dxa"/>
            <w:tcBorders>
              <w:top w:val="nil"/>
              <w:left w:val="nil"/>
              <w:bottom w:val="single" w:sz="8" w:space="0" w:color="auto"/>
              <w:right w:val="single" w:sz="8" w:space="0" w:color="auto"/>
            </w:tcBorders>
            <w:shd w:val="clear" w:color="auto" w:fill="auto"/>
            <w:noWrap/>
            <w:vAlign w:val="center"/>
            <w:hideMark/>
          </w:tcPr>
          <w:p w14:paraId="07F68075"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3 053,35</w:t>
            </w:r>
          </w:p>
        </w:tc>
        <w:tc>
          <w:tcPr>
            <w:tcW w:w="1318" w:type="dxa"/>
            <w:tcBorders>
              <w:top w:val="nil"/>
              <w:left w:val="nil"/>
              <w:bottom w:val="single" w:sz="8" w:space="0" w:color="auto"/>
              <w:right w:val="single" w:sz="8" w:space="0" w:color="auto"/>
            </w:tcBorders>
            <w:shd w:val="clear" w:color="auto" w:fill="auto"/>
            <w:noWrap/>
            <w:vAlign w:val="center"/>
            <w:hideMark/>
          </w:tcPr>
          <w:p w14:paraId="16AAC02E"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84,7 %</w:t>
            </w:r>
          </w:p>
        </w:tc>
        <w:tc>
          <w:tcPr>
            <w:tcW w:w="236" w:type="dxa"/>
            <w:vAlign w:val="center"/>
            <w:hideMark/>
          </w:tcPr>
          <w:p w14:paraId="2F9B569D"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565D3522"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16F18ADC"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w:t>
            </w:r>
          </w:p>
        </w:tc>
        <w:tc>
          <w:tcPr>
            <w:tcW w:w="5019" w:type="dxa"/>
            <w:tcBorders>
              <w:top w:val="nil"/>
              <w:left w:val="nil"/>
              <w:bottom w:val="single" w:sz="8" w:space="0" w:color="auto"/>
              <w:right w:val="single" w:sz="8" w:space="0" w:color="auto"/>
            </w:tcBorders>
            <w:shd w:val="clear" w:color="auto" w:fill="auto"/>
            <w:noWrap/>
            <w:vAlign w:val="center"/>
            <w:hideMark/>
          </w:tcPr>
          <w:p w14:paraId="4B68E047"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Būves un būvdarbi</w:t>
            </w:r>
          </w:p>
        </w:tc>
        <w:tc>
          <w:tcPr>
            <w:tcW w:w="617" w:type="dxa"/>
            <w:tcBorders>
              <w:top w:val="nil"/>
              <w:left w:val="nil"/>
              <w:bottom w:val="single" w:sz="8" w:space="0" w:color="auto"/>
              <w:right w:val="single" w:sz="8" w:space="0" w:color="auto"/>
            </w:tcBorders>
            <w:shd w:val="clear" w:color="auto" w:fill="auto"/>
            <w:noWrap/>
            <w:vAlign w:val="center"/>
            <w:hideMark/>
          </w:tcPr>
          <w:p w14:paraId="1170F324"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41-43</w:t>
            </w:r>
          </w:p>
        </w:tc>
        <w:tc>
          <w:tcPr>
            <w:tcW w:w="1060" w:type="dxa"/>
            <w:tcBorders>
              <w:top w:val="nil"/>
              <w:left w:val="nil"/>
              <w:bottom w:val="single" w:sz="8" w:space="0" w:color="auto"/>
              <w:right w:val="single" w:sz="8" w:space="0" w:color="auto"/>
            </w:tcBorders>
            <w:shd w:val="clear" w:color="auto" w:fill="auto"/>
            <w:noWrap/>
            <w:vAlign w:val="center"/>
            <w:hideMark/>
          </w:tcPr>
          <w:p w14:paraId="352C5C6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2 102,64</w:t>
            </w:r>
          </w:p>
        </w:tc>
        <w:tc>
          <w:tcPr>
            <w:tcW w:w="876" w:type="dxa"/>
            <w:tcBorders>
              <w:top w:val="nil"/>
              <w:left w:val="nil"/>
              <w:bottom w:val="single" w:sz="8" w:space="0" w:color="auto"/>
              <w:right w:val="single" w:sz="8" w:space="0" w:color="auto"/>
            </w:tcBorders>
            <w:shd w:val="clear" w:color="auto" w:fill="auto"/>
            <w:noWrap/>
            <w:vAlign w:val="center"/>
            <w:hideMark/>
          </w:tcPr>
          <w:p w14:paraId="01E1E1B2"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4 850,73</w:t>
            </w:r>
          </w:p>
        </w:tc>
        <w:tc>
          <w:tcPr>
            <w:tcW w:w="1318" w:type="dxa"/>
            <w:tcBorders>
              <w:top w:val="nil"/>
              <w:left w:val="nil"/>
              <w:bottom w:val="single" w:sz="8" w:space="0" w:color="auto"/>
              <w:right w:val="single" w:sz="8" w:space="0" w:color="auto"/>
            </w:tcBorders>
            <w:shd w:val="clear" w:color="auto" w:fill="auto"/>
            <w:noWrap/>
            <w:vAlign w:val="center"/>
            <w:hideMark/>
          </w:tcPr>
          <w:p w14:paraId="519C09F5"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94,8 %</w:t>
            </w:r>
          </w:p>
        </w:tc>
        <w:tc>
          <w:tcPr>
            <w:tcW w:w="236" w:type="dxa"/>
            <w:vAlign w:val="center"/>
            <w:hideMark/>
          </w:tcPr>
          <w:p w14:paraId="6A36E0DC"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12C2FCF7"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50CC31B1"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w:t>
            </w:r>
          </w:p>
        </w:tc>
        <w:tc>
          <w:tcPr>
            <w:tcW w:w="5019" w:type="dxa"/>
            <w:tcBorders>
              <w:top w:val="nil"/>
              <w:left w:val="nil"/>
              <w:bottom w:val="single" w:sz="8" w:space="0" w:color="auto"/>
              <w:right w:val="single" w:sz="8" w:space="0" w:color="auto"/>
            </w:tcBorders>
            <w:shd w:val="clear" w:color="auto" w:fill="auto"/>
            <w:noWrap/>
            <w:vAlign w:val="center"/>
            <w:hideMark/>
          </w:tcPr>
          <w:p w14:paraId="449B330F"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Ar nekustamo īpašumu saistītie pakalpojumi (izņemot nosacīto īri)</w:t>
            </w:r>
          </w:p>
        </w:tc>
        <w:tc>
          <w:tcPr>
            <w:tcW w:w="617" w:type="dxa"/>
            <w:tcBorders>
              <w:top w:val="nil"/>
              <w:left w:val="nil"/>
              <w:bottom w:val="single" w:sz="8" w:space="0" w:color="auto"/>
              <w:right w:val="single" w:sz="8" w:space="0" w:color="auto"/>
            </w:tcBorders>
            <w:shd w:val="clear" w:color="auto" w:fill="auto"/>
            <w:noWrap/>
            <w:vAlign w:val="center"/>
            <w:hideMark/>
          </w:tcPr>
          <w:p w14:paraId="1102A58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68</w:t>
            </w:r>
          </w:p>
        </w:tc>
        <w:tc>
          <w:tcPr>
            <w:tcW w:w="1060" w:type="dxa"/>
            <w:tcBorders>
              <w:top w:val="nil"/>
              <w:left w:val="nil"/>
              <w:bottom w:val="single" w:sz="8" w:space="0" w:color="auto"/>
              <w:right w:val="single" w:sz="8" w:space="0" w:color="auto"/>
            </w:tcBorders>
            <w:shd w:val="clear" w:color="auto" w:fill="auto"/>
            <w:noWrap/>
            <w:vAlign w:val="center"/>
            <w:hideMark/>
          </w:tcPr>
          <w:p w14:paraId="2D953F81"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1 382,45</w:t>
            </w:r>
          </w:p>
        </w:tc>
        <w:tc>
          <w:tcPr>
            <w:tcW w:w="876" w:type="dxa"/>
            <w:tcBorders>
              <w:top w:val="nil"/>
              <w:left w:val="nil"/>
              <w:bottom w:val="single" w:sz="8" w:space="0" w:color="auto"/>
              <w:right w:val="single" w:sz="8" w:space="0" w:color="auto"/>
            </w:tcBorders>
            <w:shd w:val="clear" w:color="auto" w:fill="auto"/>
            <w:noWrap/>
            <w:vAlign w:val="center"/>
            <w:hideMark/>
          </w:tcPr>
          <w:p w14:paraId="51B1FD52"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1 823,61</w:t>
            </w:r>
          </w:p>
        </w:tc>
        <w:tc>
          <w:tcPr>
            <w:tcW w:w="1318" w:type="dxa"/>
            <w:tcBorders>
              <w:top w:val="nil"/>
              <w:left w:val="nil"/>
              <w:bottom w:val="single" w:sz="8" w:space="0" w:color="auto"/>
              <w:right w:val="single" w:sz="8" w:space="0" w:color="auto"/>
            </w:tcBorders>
            <w:shd w:val="clear" w:color="auto" w:fill="auto"/>
            <w:noWrap/>
            <w:vAlign w:val="center"/>
            <w:hideMark/>
          </w:tcPr>
          <w:p w14:paraId="34501B3D"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89,1 %</w:t>
            </w:r>
          </w:p>
        </w:tc>
        <w:tc>
          <w:tcPr>
            <w:tcW w:w="236" w:type="dxa"/>
            <w:vAlign w:val="center"/>
            <w:hideMark/>
          </w:tcPr>
          <w:p w14:paraId="0031D4F2"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430E966A"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5D6F5A4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4</w:t>
            </w:r>
          </w:p>
        </w:tc>
        <w:tc>
          <w:tcPr>
            <w:tcW w:w="5019" w:type="dxa"/>
            <w:tcBorders>
              <w:top w:val="nil"/>
              <w:left w:val="nil"/>
              <w:bottom w:val="single" w:sz="8" w:space="0" w:color="auto"/>
              <w:right w:val="single" w:sz="8" w:space="0" w:color="auto"/>
            </w:tcBorders>
            <w:shd w:val="clear" w:color="auto" w:fill="auto"/>
            <w:noWrap/>
            <w:vAlign w:val="center"/>
            <w:hideMark/>
          </w:tcPr>
          <w:p w14:paraId="13E78077"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Mežkopības un mežizstrādes produkti un saistītie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3338080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w:t>
            </w:r>
          </w:p>
        </w:tc>
        <w:tc>
          <w:tcPr>
            <w:tcW w:w="1060" w:type="dxa"/>
            <w:tcBorders>
              <w:top w:val="nil"/>
              <w:left w:val="nil"/>
              <w:bottom w:val="single" w:sz="8" w:space="0" w:color="auto"/>
              <w:right w:val="single" w:sz="8" w:space="0" w:color="auto"/>
            </w:tcBorders>
            <w:shd w:val="clear" w:color="auto" w:fill="auto"/>
            <w:noWrap/>
            <w:vAlign w:val="center"/>
            <w:hideMark/>
          </w:tcPr>
          <w:p w14:paraId="0798FA9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914,72</w:t>
            </w:r>
          </w:p>
        </w:tc>
        <w:tc>
          <w:tcPr>
            <w:tcW w:w="876" w:type="dxa"/>
            <w:tcBorders>
              <w:top w:val="nil"/>
              <w:left w:val="nil"/>
              <w:bottom w:val="single" w:sz="8" w:space="0" w:color="auto"/>
              <w:right w:val="single" w:sz="8" w:space="0" w:color="auto"/>
            </w:tcBorders>
            <w:shd w:val="clear" w:color="auto" w:fill="auto"/>
            <w:noWrap/>
            <w:vAlign w:val="center"/>
            <w:hideMark/>
          </w:tcPr>
          <w:p w14:paraId="12D24AF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1 264,67</w:t>
            </w:r>
          </w:p>
        </w:tc>
        <w:tc>
          <w:tcPr>
            <w:tcW w:w="1318" w:type="dxa"/>
            <w:tcBorders>
              <w:top w:val="nil"/>
              <w:left w:val="nil"/>
              <w:bottom w:val="single" w:sz="8" w:space="0" w:color="auto"/>
              <w:right w:val="single" w:sz="8" w:space="0" w:color="auto"/>
            </w:tcBorders>
            <w:shd w:val="clear" w:color="auto" w:fill="auto"/>
            <w:noWrap/>
            <w:vAlign w:val="center"/>
            <w:hideMark/>
          </w:tcPr>
          <w:p w14:paraId="2892FD50"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73,5 %</w:t>
            </w:r>
          </w:p>
        </w:tc>
        <w:tc>
          <w:tcPr>
            <w:tcW w:w="236" w:type="dxa"/>
            <w:vAlign w:val="center"/>
            <w:hideMark/>
          </w:tcPr>
          <w:p w14:paraId="2A0CAB26"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5512ED4A"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21AD308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5</w:t>
            </w:r>
          </w:p>
        </w:tc>
        <w:tc>
          <w:tcPr>
            <w:tcW w:w="5019" w:type="dxa"/>
            <w:tcBorders>
              <w:top w:val="nil"/>
              <w:left w:val="nil"/>
              <w:bottom w:val="single" w:sz="8" w:space="0" w:color="auto"/>
              <w:right w:val="single" w:sz="8" w:space="0" w:color="auto"/>
            </w:tcBorders>
            <w:shd w:val="clear" w:color="auto" w:fill="auto"/>
            <w:noWrap/>
            <w:vAlign w:val="center"/>
            <w:hideMark/>
          </w:tcPr>
          <w:p w14:paraId="0C2BAAF3"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 xml:space="preserve">Apsardzes un izmeklēšanas pakalpojumi; ēku un ainavu uzturēšanas pakalpojumi; biroju administrēšanas, biroju atbalsta un citi profesionālie </w:t>
            </w:r>
            <w:proofErr w:type="spellStart"/>
            <w:r w:rsidRPr="00C217FC">
              <w:rPr>
                <w:rFonts w:ascii="Times New Roman" w:eastAsia="Times New Roman" w:hAnsi="Times New Roman"/>
                <w:color w:val="000000"/>
                <w:sz w:val="18"/>
                <w:szCs w:val="18"/>
                <w:lang w:eastAsia="lv-LV"/>
              </w:rPr>
              <w:t>palīgpakalpojumi</w:t>
            </w:r>
            <w:proofErr w:type="spellEnd"/>
          </w:p>
        </w:tc>
        <w:tc>
          <w:tcPr>
            <w:tcW w:w="617" w:type="dxa"/>
            <w:tcBorders>
              <w:top w:val="nil"/>
              <w:left w:val="nil"/>
              <w:bottom w:val="single" w:sz="8" w:space="0" w:color="auto"/>
              <w:right w:val="single" w:sz="8" w:space="0" w:color="auto"/>
            </w:tcBorders>
            <w:shd w:val="clear" w:color="auto" w:fill="auto"/>
            <w:noWrap/>
            <w:vAlign w:val="center"/>
            <w:hideMark/>
          </w:tcPr>
          <w:p w14:paraId="0249E214"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80-82</w:t>
            </w:r>
          </w:p>
        </w:tc>
        <w:tc>
          <w:tcPr>
            <w:tcW w:w="1060" w:type="dxa"/>
            <w:tcBorders>
              <w:top w:val="nil"/>
              <w:left w:val="nil"/>
              <w:bottom w:val="single" w:sz="8" w:space="0" w:color="auto"/>
              <w:right w:val="single" w:sz="8" w:space="0" w:color="auto"/>
            </w:tcBorders>
            <w:shd w:val="clear" w:color="auto" w:fill="auto"/>
            <w:noWrap/>
            <w:vAlign w:val="center"/>
            <w:hideMark/>
          </w:tcPr>
          <w:p w14:paraId="6772DCC6"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687,1</w:t>
            </w:r>
          </w:p>
        </w:tc>
        <w:tc>
          <w:tcPr>
            <w:tcW w:w="876" w:type="dxa"/>
            <w:tcBorders>
              <w:top w:val="nil"/>
              <w:left w:val="nil"/>
              <w:bottom w:val="single" w:sz="8" w:space="0" w:color="auto"/>
              <w:right w:val="single" w:sz="8" w:space="0" w:color="auto"/>
            </w:tcBorders>
            <w:shd w:val="clear" w:color="auto" w:fill="auto"/>
            <w:noWrap/>
            <w:vAlign w:val="center"/>
            <w:hideMark/>
          </w:tcPr>
          <w:p w14:paraId="3C8C8B06"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824,54</w:t>
            </w:r>
          </w:p>
        </w:tc>
        <w:tc>
          <w:tcPr>
            <w:tcW w:w="1318" w:type="dxa"/>
            <w:tcBorders>
              <w:top w:val="nil"/>
              <w:left w:val="nil"/>
              <w:bottom w:val="single" w:sz="8" w:space="0" w:color="auto"/>
              <w:right w:val="single" w:sz="8" w:space="0" w:color="auto"/>
            </w:tcBorders>
            <w:shd w:val="clear" w:color="auto" w:fill="auto"/>
            <w:noWrap/>
            <w:vAlign w:val="center"/>
            <w:hideMark/>
          </w:tcPr>
          <w:p w14:paraId="76BE2FA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83,7</w:t>
            </w:r>
            <w:r w:rsidRPr="00C217FC">
              <w:rPr>
                <w:rFonts w:eastAsia="Times New Roman" w:cs="Calibri"/>
                <w:color w:val="000000"/>
                <w:lang w:eastAsia="lv-LV"/>
              </w:rPr>
              <w:t> </w:t>
            </w:r>
            <w:r w:rsidRPr="00C217FC">
              <w:rPr>
                <w:rFonts w:ascii="Times New Roman" w:eastAsia="Times New Roman" w:hAnsi="Times New Roman"/>
                <w:color w:val="000000"/>
                <w:sz w:val="18"/>
                <w:szCs w:val="18"/>
                <w:lang w:eastAsia="lv-LV"/>
              </w:rPr>
              <w:t>%</w:t>
            </w:r>
          </w:p>
        </w:tc>
        <w:tc>
          <w:tcPr>
            <w:tcW w:w="236" w:type="dxa"/>
            <w:vAlign w:val="center"/>
            <w:hideMark/>
          </w:tcPr>
          <w:p w14:paraId="79372EFF"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23C32F5A"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52260513"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6</w:t>
            </w:r>
          </w:p>
        </w:tc>
        <w:tc>
          <w:tcPr>
            <w:tcW w:w="5019" w:type="dxa"/>
            <w:tcBorders>
              <w:top w:val="nil"/>
              <w:left w:val="nil"/>
              <w:bottom w:val="single" w:sz="8" w:space="0" w:color="auto"/>
              <w:right w:val="single" w:sz="8" w:space="0" w:color="auto"/>
            </w:tcBorders>
            <w:shd w:val="clear" w:color="auto" w:fill="auto"/>
            <w:noWrap/>
            <w:vAlign w:val="center"/>
            <w:hideMark/>
          </w:tcPr>
          <w:p w14:paraId="179D97E6"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Juridiskie un grāmatvedības pakalpojumi; centrālo biroju pakalpojumi; vadības konsultāciju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13D91EE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69-70</w:t>
            </w:r>
          </w:p>
        </w:tc>
        <w:tc>
          <w:tcPr>
            <w:tcW w:w="1060" w:type="dxa"/>
            <w:tcBorders>
              <w:top w:val="nil"/>
              <w:left w:val="nil"/>
              <w:bottom w:val="single" w:sz="8" w:space="0" w:color="auto"/>
              <w:right w:val="single" w:sz="8" w:space="0" w:color="auto"/>
            </w:tcBorders>
            <w:shd w:val="clear" w:color="auto" w:fill="auto"/>
            <w:noWrap/>
            <w:vAlign w:val="center"/>
            <w:hideMark/>
          </w:tcPr>
          <w:p w14:paraId="0B8387A5"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593,11</w:t>
            </w:r>
          </w:p>
        </w:tc>
        <w:tc>
          <w:tcPr>
            <w:tcW w:w="876" w:type="dxa"/>
            <w:tcBorders>
              <w:top w:val="nil"/>
              <w:left w:val="nil"/>
              <w:bottom w:val="single" w:sz="8" w:space="0" w:color="auto"/>
              <w:right w:val="single" w:sz="8" w:space="0" w:color="auto"/>
            </w:tcBorders>
            <w:shd w:val="clear" w:color="auto" w:fill="auto"/>
            <w:noWrap/>
            <w:vAlign w:val="center"/>
            <w:hideMark/>
          </w:tcPr>
          <w:p w14:paraId="4FF784DB"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712,49</w:t>
            </w:r>
          </w:p>
        </w:tc>
        <w:tc>
          <w:tcPr>
            <w:tcW w:w="1318" w:type="dxa"/>
            <w:tcBorders>
              <w:top w:val="nil"/>
              <w:left w:val="nil"/>
              <w:bottom w:val="single" w:sz="8" w:space="0" w:color="auto"/>
              <w:right w:val="single" w:sz="8" w:space="0" w:color="auto"/>
            </w:tcBorders>
            <w:shd w:val="clear" w:color="auto" w:fill="auto"/>
            <w:noWrap/>
            <w:vAlign w:val="center"/>
            <w:hideMark/>
          </w:tcPr>
          <w:p w14:paraId="65B09D13"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85,1 %</w:t>
            </w:r>
          </w:p>
        </w:tc>
        <w:tc>
          <w:tcPr>
            <w:tcW w:w="236" w:type="dxa"/>
            <w:vAlign w:val="center"/>
            <w:hideMark/>
          </w:tcPr>
          <w:p w14:paraId="4386C1BC"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08BAB67C"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11FC524F"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w:t>
            </w:r>
          </w:p>
        </w:tc>
        <w:tc>
          <w:tcPr>
            <w:tcW w:w="5019" w:type="dxa"/>
            <w:tcBorders>
              <w:top w:val="nil"/>
              <w:left w:val="nil"/>
              <w:bottom w:val="single" w:sz="8" w:space="0" w:color="auto"/>
              <w:right w:val="single" w:sz="8" w:space="0" w:color="auto"/>
            </w:tcBorders>
            <w:shd w:val="clear" w:color="auto" w:fill="auto"/>
            <w:noWrap/>
            <w:vAlign w:val="center"/>
            <w:hideMark/>
          </w:tcPr>
          <w:p w14:paraId="17EE6689"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Reklāmas un tirgus izpētes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2FE05456"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73</w:t>
            </w:r>
          </w:p>
        </w:tc>
        <w:tc>
          <w:tcPr>
            <w:tcW w:w="1060" w:type="dxa"/>
            <w:tcBorders>
              <w:top w:val="nil"/>
              <w:left w:val="nil"/>
              <w:bottom w:val="single" w:sz="8" w:space="0" w:color="auto"/>
              <w:right w:val="single" w:sz="8" w:space="0" w:color="auto"/>
            </w:tcBorders>
            <w:shd w:val="clear" w:color="auto" w:fill="auto"/>
            <w:noWrap/>
            <w:vAlign w:val="center"/>
            <w:hideMark/>
          </w:tcPr>
          <w:p w14:paraId="4C10346B"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536,55</w:t>
            </w:r>
          </w:p>
        </w:tc>
        <w:tc>
          <w:tcPr>
            <w:tcW w:w="876" w:type="dxa"/>
            <w:tcBorders>
              <w:top w:val="nil"/>
              <w:left w:val="nil"/>
              <w:bottom w:val="single" w:sz="8" w:space="0" w:color="auto"/>
              <w:right w:val="single" w:sz="8" w:space="0" w:color="auto"/>
            </w:tcBorders>
            <w:shd w:val="clear" w:color="auto" w:fill="auto"/>
            <w:noWrap/>
            <w:vAlign w:val="center"/>
            <w:hideMark/>
          </w:tcPr>
          <w:p w14:paraId="24B7CA29"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703,51</w:t>
            </w:r>
          </w:p>
        </w:tc>
        <w:tc>
          <w:tcPr>
            <w:tcW w:w="1318" w:type="dxa"/>
            <w:tcBorders>
              <w:top w:val="nil"/>
              <w:left w:val="nil"/>
              <w:bottom w:val="single" w:sz="8" w:space="0" w:color="auto"/>
              <w:right w:val="single" w:sz="8" w:space="0" w:color="auto"/>
            </w:tcBorders>
            <w:shd w:val="clear" w:color="auto" w:fill="auto"/>
            <w:noWrap/>
            <w:vAlign w:val="center"/>
            <w:hideMark/>
          </w:tcPr>
          <w:p w14:paraId="39D33FD7"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76,3 %</w:t>
            </w:r>
          </w:p>
        </w:tc>
        <w:tc>
          <w:tcPr>
            <w:tcW w:w="236" w:type="dxa"/>
            <w:vAlign w:val="center"/>
            <w:hideMark/>
          </w:tcPr>
          <w:p w14:paraId="7844F6BD"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7AA6A9E8"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7DF77667"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w:t>
            </w:r>
          </w:p>
        </w:tc>
        <w:tc>
          <w:tcPr>
            <w:tcW w:w="5019" w:type="dxa"/>
            <w:tcBorders>
              <w:top w:val="nil"/>
              <w:left w:val="nil"/>
              <w:bottom w:val="single" w:sz="8" w:space="0" w:color="auto"/>
              <w:right w:val="single" w:sz="8" w:space="0" w:color="auto"/>
            </w:tcBorders>
            <w:shd w:val="clear" w:color="auto" w:fill="auto"/>
            <w:noWrap/>
            <w:vAlign w:val="center"/>
            <w:hideMark/>
          </w:tcPr>
          <w:p w14:paraId="198658F0"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Iznomāšanas un ekspluatācijas līzinga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520EAB0E"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77</w:t>
            </w:r>
          </w:p>
        </w:tc>
        <w:tc>
          <w:tcPr>
            <w:tcW w:w="1060" w:type="dxa"/>
            <w:tcBorders>
              <w:top w:val="nil"/>
              <w:left w:val="nil"/>
              <w:bottom w:val="single" w:sz="8" w:space="0" w:color="auto"/>
              <w:right w:val="single" w:sz="8" w:space="0" w:color="auto"/>
            </w:tcBorders>
            <w:shd w:val="clear" w:color="auto" w:fill="auto"/>
            <w:noWrap/>
            <w:vAlign w:val="center"/>
            <w:hideMark/>
          </w:tcPr>
          <w:p w14:paraId="17C516F3"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506,84</w:t>
            </w:r>
          </w:p>
        </w:tc>
        <w:tc>
          <w:tcPr>
            <w:tcW w:w="876" w:type="dxa"/>
            <w:tcBorders>
              <w:top w:val="nil"/>
              <w:left w:val="nil"/>
              <w:bottom w:val="single" w:sz="8" w:space="0" w:color="auto"/>
              <w:right w:val="single" w:sz="8" w:space="0" w:color="auto"/>
            </w:tcBorders>
            <w:shd w:val="clear" w:color="auto" w:fill="auto"/>
            <w:noWrap/>
            <w:vAlign w:val="center"/>
            <w:hideMark/>
          </w:tcPr>
          <w:p w14:paraId="7F0E1A1A"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600,47</w:t>
            </w:r>
          </w:p>
        </w:tc>
        <w:tc>
          <w:tcPr>
            <w:tcW w:w="1318" w:type="dxa"/>
            <w:tcBorders>
              <w:top w:val="nil"/>
              <w:left w:val="nil"/>
              <w:bottom w:val="single" w:sz="8" w:space="0" w:color="auto"/>
              <w:right w:val="single" w:sz="8" w:space="0" w:color="auto"/>
            </w:tcBorders>
            <w:shd w:val="clear" w:color="auto" w:fill="auto"/>
            <w:noWrap/>
            <w:vAlign w:val="center"/>
            <w:hideMark/>
          </w:tcPr>
          <w:p w14:paraId="5B0C4FA1"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84,5 %</w:t>
            </w:r>
          </w:p>
        </w:tc>
        <w:tc>
          <w:tcPr>
            <w:tcW w:w="236" w:type="dxa"/>
            <w:vAlign w:val="center"/>
            <w:hideMark/>
          </w:tcPr>
          <w:p w14:paraId="0257BAD2"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6523BA6B"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66D11C26"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9</w:t>
            </w:r>
          </w:p>
        </w:tc>
        <w:tc>
          <w:tcPr>
            <w:tcW w:w="5019" w:type="dxa"/>
            <w:tcBorders>
              <w:top w:val="nil"/>
              <w:left w:val="nil"/>
              <w:bottom w:val="single" w:sz="8" w:space="0" w:color="auto"/>
              <w:right w:val="single" w:sz="8" w:space="0" w:color="auto"/>
            </w:tcBorders>
            <w:shd w:val="clear" w:color="auto" w:fill="auto"/>
            <w:noWrap/>
            <w:vAlign w:val="center"/>
            <w:hideMark/>
          </w:tcPr>
          <w:p w14:paraId="7F31B9BD"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Arhitektūras un inženiertehniskie pakalpojumi; tehnisko pārbaužu un analīžu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31AF82FE"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71</w:t>
            </w:r>
          </w:p>
        </w:tc>
        <w:tc>
          <w:tcPr>
            <w:tcW w:w="1060" w:type="dxa"/>
            <w:tcBorders>
              <w:top w:val="nil"/>
              <w:left w:val="nil"/>
              <w:bottom w:val="single" w:sz="8" w:space="0" w:color="auto"/>
              <w:right w:val="single" w:sz="8" w:space="0" w:color="auto"/>
            </w:tcBorders>
            <w:shd w:val="clear" w:color="auto" w:fill="auto"/>
            <w:noWrap/>
            <w:vAlign w:val="center"/>
            <w:hideMark/>
          </w:tcPr>
          <w:p w14:paraId="35412384"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300,02</w:t>
            </w:r>
          </w:p>
        </w:tc>
        <w:tc>
          <w:tcPr>
            <w:tcW w:w="876" w:type="dxa"/>
            <w:tcBorders>
              <w:top w:val="nil"/>
              <w:left w:val="nil"/>
              <w:bottom w:val="single" w:sz="8" w:space="0" w:color="auto"/>
              <w:right w:val="single" w:sz="8" w:space="0" w:color="auto"/>
            </w:tcBorders>
            <w:shd w:val="clear" w:color="auto" w:fill="auto"/>
            <w:noWrap/>
            <w:vAlign w:val="center"/>
            <w:hideMark/>
          </w:tcPr>
          <w:p w14:paraId="1EFC3F3E"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376,05</w:t>
            </w:r>
          </w:p>
        </w:tc>
        <w:tc>
          <w:tcPr>
            <w:tcW w:w="1318" w:type="dxa"/>
            <w:tcBorders>
              <w:top w:val="nil"/>
              <w:left w:val="nil"/>
              <w:bottom w:val="single" w:sz="8" w:space="0" w:color="auto"/>
              <w:right w:val="single" w:sz="8" w:space="0" w:color="auto"/>
            </w:tcBorders>
            <w:shd w:val="clear" w:color="auto" w:fill="auto"/>
            <w:noWrap/>
            <w:vAlign w:val="center"/>
            <w:hideMark/>
          </w:tcPr>
          <w:p w14:paraId="4E130184"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91,7 %</w:t>
            </w:r>
          </w:p>
        </w:tc>
        <w:tc>
          <w:tcPr>
            <w:tcW w:w="236" w:type="dxa"/>
            <w:vAlign w:val="center"/>
            <w:hideMark/>
          </w:tcPr>
          <w:p w14:paraId="4A2E168B"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5B017880"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26B3989A"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10</w:t>
            </w:r>
          </w:p>
        </w:tc>
        <w:tc>
          <w:tcPr>
            <w:tcW w:w="5019" w:type="dxa"/>
            <w:tcBorders>
              <w:top w:val="nil"/>
              <w:left w:val="nil"/>
              <w:bottom w:val="single" w:sz="8" w:space="0" w:color="auto"/>
              <w:right w:val="single" w:sz="8" w:space="0" w:color="auto"/>
            </w:tcBorders>
            <w:shd w:val="clear" w:color="auto" w:fill="auto"/>
            <w:noWrap/>
            <w:vAlign w:val="center"/>
            <w:hideMark/>
          </w:tcPr>
          <w:p w14:paraId="52F21DD7"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Ierīču un iekārtu remonta un uzstādīšanas pakalpojumi</w:t>
            </w:r>
          </w:p>
        </w:tc>
        <w:tc>
          <w:tcPr>
            <w:tcW w:w="617" w:type="dxa"/>
            <w:tcBorders>
              <w:top w:val="nil"/>
              <w:left w:val="nil"/>
              <w:bottom w:val="single" w:sz="8" w:space="0" w:color="auto"/>
              <w:right w:val="single" w:sz="8" w:space="0" w:color="auto"/>
            </w:tcBorders>
            <w:shd w:val="clear" w:color="auto" w:fill="auto"/>
            <w:noWrap/>
            <w:vAlign w:val="center"/>
            <w:hideMark/>
          </w:tcPr>
          <w:p w14:paraId="2D6FAF67"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33</w:t>
            </w:r>
          </w:p>
        </w:tc>
        <w:tc>
          <w:tcPr>
            <w:tcW w:w="1060" w:type="dxa"/>
            <w:tcBorders>
              <w:top w:val="nil"/>
              <w:left w:val="nil"/>
              <w:bottom w:val="single" w:sz="8" w:space="0" w:color="auto"/>
              <w:right w:val="single" w:sz="8" w:space="0" w:color="auto"/>
            </w:tcBorders>
            <w:shd w:val="clear" w:color="auto" w:fill="auto"/>
            <w:noWrap/>
            <w:vAlign w:val="center"/>
            <w:hideMark/>
          </w:tcPr>
          <w:p w14:paraId="30A8C44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288,69</w:t>
            </w:r>
          </w:p>
        </w:tc>
        <w:tc>
          <w:tcPr>
            <w:tcW w:w="876" w:type="dxa"/>
            <w:tcBorders>
              <w:top w:val="nil"/>
              <w:left w:val="nil"/>
              <w:bottom w:val="single" w:sz="8" w:space="0" w:color="auto"/>
              <w:right w:val="single" w:sz="8" w:space="0" w:color="auto"/>
            </w:tcBorders>
            <w:shd w:val="clear" w:color="auto" w:fill="auto"/>
            <w:noWrap/>
            <w:vAlign w:val="center"/>
            <w:hideMark/>
          </w:tcPr>
          <w:p w14:paraId="557ECB08"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301,2</w:t>
            </w:r>
          </w:p>
        </w:tc>
        <w:tc>
          <w:tcPr>
            <w:tcW w:w="1318" w:type="dxa"/>
            <w:tcBorders>
              <w:top w:val="nil"/>
              <w:left w:val="nil"/>
              <w:bottom w:val="single" w:sz="8" w:space="0" w:color="auto"/>
              <w:right w:val="single" w:sz="8" w:space="0" w:color="auto"/>
            </w:tcBorders>
            <w:shd w:val="clear" w:color="auto" w:fill="auto"/>
            <w:noWrap/>
            <w:vAlign w:val="center"/>
            <w:hideMark/>
          </w:tcPr>
          <w:p w14:paraId="7C3FD9AE"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95,8 %</w:t>
            </w:r>
          </w:p>
        </w:tc>
        <w:tc>
          <w:tcPr>
            <w:tcW w:w="236" w:type="dxa"/>
            <w:vAlign w:val="center"/>
            <w:hideMark/>
          </w:tcPr>
          <w:p w14:paraId="388ED801"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r w:rsidR="001A766A" w14:paraId="5EEAD451" w14:textId="77777777" w:rsidTr="00C6729F">
        <w:trPr>
          <w:trHeight w:val="300"/>
        </w:trPr>
        <w:tc>
          <w:tcPr>
            <w:tcW w:w="445" w:type="dxa"/>
            <w:tcBorders>
              <w:top w:val="nil"/>
              <w:left w:val="single" w:sz="8" w:space="0" w:color="auto"/>
              <w:bottom w:val="single" w:sz="8" w:space="0" w:color="auto"/>
              <w:right w:val="single" w:sz="8" w:space="0" w:color="auto"/>
            </w:tcBorders>
            <w:shd w:val="clear" w:color="auto" w:fill="auto"/>
            <w:noWrap/>
            <w:vAlign w:val="center"/>
            <w:hideMark/>
          </w:tcPr>
          <w:p w14:paraId="6278B40B"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lastRenderedPageBreak/>
              <w:t>11</w:t>
            </w:r>
          </w:p>
        </w:tc>
        <w:tc>
          <w:tcPr>
            <w:tcW w:w="5019" w:type="dxa"/>
            <w:tcBorders>
              <w:top w:val="nil"/>
              <w:left w:val="nil"/>
              <w:bottom w:val="single" w:sz="8" w:space="0" w:color="auto"/>
              <w:right w:val="single" w:sz="8" w:space="0" w:color="auto"/>
            </w:tcBorders>
            <w:shd w:val="clear" w:color="auto" w:fill="auto"/>
            <w:noWrap/>
            <w:vAlign w:val="center"/>
            <w:hideMark/>
          </w:tcPr>
          <w:p w14:paraId="4B9FF944" w14:textId="77777777" w:rsidR="001A766A" w:rsidRPr="00C217FC" w:rsidRDefault="001A766A" w:rsidP="00C6729F">
            <w:pPr>
              <w:spacing w:after="0" w:line="240" w:lineRule="auto"/>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Vairumtirdzniecības pakalpojumi, izņemot mehānisko transportlīdzekļu un motociklu vairumtirdzniecību</w:t>
            </w:r>
          </w:p>
        </w:tc>
        <w:tc>
          <w:tcPr>
            <w:tcW w:w="617" w:type="dxa"/>
            <w:tcBorders>
              <w:top w:val="nil"/>
              <w:left w:val="nil"/>
              <w:bottom w:val="single" w:sz="8" w:space="0" w:color="auto"/>
              <w:right w:val="single" w:sz="8" w:space="0" w:color="auto"/>
            </w:tcBorders>
            <w:shd w:val="clear" w:color="auto" w:fill="auto"/>
            <w:noWrap/>
            <w:vAlign w:val="center"/>
            <w:hideMark/>
          </w:tcPr>
          <w:p w14:paraId="532A756D"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46</w:t>
            </w:r>
          </w:p>
        </w:tc>
        <w:tc>
          <w:tcPr>
            <w:tcW w:w="1060" w:type="dxa"/>
            <w:tcBorders>
              <w:top w:val="nil"/>
              <w:left w:val="nil"/>
              <w:bottom w:val="single" w:sz="8" w:space="0" w:color="auto"/>
              <w:right w:val="single" w:sz="8" w:space="0" w:color="auto"/>
            </w:tcBorders>
            <w:shd w:val="clear" w:color="auto" w:fill="auto"/>
            <w:noWrap/>
            <w:vAlign w:val="center"/>
            <w:hideMark/>
          </w:tcPr>
          <w:p w14:paraId="1EE7BAA1"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245,85</w:t>
            </w:r>
          </w:p>
        </w:tc>
        <w:tc>
          <w:tcPr>
            <w:tcW w:w="876" w:type="dxa"/>
            <w:tcBorders>
              <w:top w:val="nil"/>
              <w:left w:val="nil"/>
              <w:bottom w:val="single" w:sz="8" w:space="0" w:color="auto"/>
              <w:right w:val="single" w:sz="8" w:space="0" w:color="auto"/>
            </w:tcBorders>
            <w:shd w:val="clear" w:color="auto" w:fill="auto"/>
            <w:noWrap/>
            <w:vAlign w:val="center"/>
            <w:hideMark/>
          </w:tcPr>
          <w:p w14:paraId="3AEF78C6"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300,04</w:t>
            </w:r>
          </w:p>
        </w:tc>
        <w:tc>
          <w:tcPr>
            <w:tcW w:w="1318" w:type="dxa"/>
            <w:tcBorders>
              <w:top w:val="nil"/>
              <w:left w:val="nil"/>
              <w:bottom w:val="single" w:sz="8" w:space="0" w:color="auto"/>
              <w:right w:val="single" w:sz="8" w:space="0" w:color="auto"/>
            </w:tcBorders>
            <w:shd w:val="clear" w:color="auto" w:fill="auto"/>
            <w:noWrap/>
            <w:vAlign w:val="center"/>
            <w:hideMark/>
          </w:tcPr>
          <w:p w14:paraId="0FF905F2" w14:textId="77777777" w:rsidR="001A766A" w:rsidRPr="00C217FC" w:rsidRDefault="001A766A" w:rsidP="00C6729F">
            <w:pPr>
              <w:spacing w:after="0" w:line="240" w:lineRule="auto"/>
              <w:jc w:val="center"/>
              <w:rPr>
                <w:rFonts w:ascii="Times New Roman" w:eastAsia="Times New Roman" w:hAnsi="Times New Roman"/>
                <w:color w:val="000000"/>
                <w:sz w:val="18"/>
                <w:szCs w:val="18"/>
                <w:lang w:eastAsia="lv-LV"/>
              </w:rPr>
            </w:pPr>
            <w:r w:rsidRPr="00C217FC">
              <w:rPr>
                <w:rFonts w:ascii="Times New Roman" w:eastAsia="Times New Roman" w:hAnsi="Times New Roman"/>
                <w:color w:val="000000"/>
                <w:sz w:val="18"/>
                <w:szCs w:val="18"/>
                <w:lang w:eastAsia="lv-LV"/>
              </w:rPr>
              <w:t>81,90%</w:t>
            </w:r>
          </w:p>
        </w:tc>
        <w:tc>
          <w:tcPr>
            <w:tcW w:w="236" w:type="dxa"/>
            <w:vAlign w:val="center"/>
            <w:hideMark/>
          </w:tcPr>
          <w:p w14:paraId="5F65C95D" w14:textId="77777777" w:rsidR="001A766A" w:rsidRPr="00C217FC" w:rsidRDefault="001A766A" w:rsidP="00C6729F">
            <w:pPr>
              <w:spacing w:after="0" w:line="240" w:lineRule="auto"/>
              <w:rPr>
                <w:rFonts w:ascii="Times New Roman" w:eastAsia="Times New Roman" w:hAnsi="Times New Roman"/>
                <w:sz w:val="20"/>
                <w:szCs w:val="20"/>
                <w:lang w:eastAsia="lv-LV"/>
              </w:rPr>
            </w:pPr>
          </w:p>
        </w:tc>
      </w:tr>
    </w:tbl>
    <w:p w14:paraId="71E017F7" w14:textId="77777777" w:rsidR="001A766A" w:rsidRPr="000E2147" w:rsidRDefault="001A766A" w:rsidP="001A766A">
      <w:pPr>
        <w:spacing w:after="0" w:line="240" w:lineRule="auto"/>
        <w:jc w:val="both"/>
        <w:rPr>
          <w:rFonts w:ascii="Times New Roman" w:hAnsi="Times New Roman"/>
          <w:i/>
          <w:iCs/>
          <w:sz w:val="24"/>
          <w:szCs w:val="24"/>
        </w:rPr>
      </w:pPr>
      <w:r w:rsidRPr="000E2147">
        <w:rPr>
          <w:rFonts w:ascii="Times New Roman" w:hAnsi="Times New Roman"/>
          <w:i/>
          <w:iCs/>
          <w:sz w:val="24"/>
          <w:szCs w:val="24"/>
        </w:rPr>
        <w:t>Avots: CSP dati</w:t>
      </w:r>
    </w:p>
    <w:p w14:paraId="3D045831" w14:textId="77777777" w:rsidR="001A766A" w:rsidRPr="00297E0B" w:rsidRDefault="001A766A" w:rsidP="001A766A">
      <w:pPr>
        <w:spacing w:after="0" w:line="240" w:lineRule="auto"/>
        <w:ind w:firstLine="720"/>
        <w:jc w:val="both"/>
        <w:rPr>
          <w:rFonts w:ascii="Times New Roman" w:hAnsi="Times New Roman"/>
          <w:color w:val="000000" w:themeColor="text1"/>
          <w:sz w:val="28"/>
          <w:szCs w:val="28"/>
        </w:rPr>
      </w:pPr>
    </w:p>
    <w:p w14:paraId="6AB81435" w14:textId="77777777"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color w:val="000000" w:themeColor="text1"/>
          <w:sz w:val="28"/>
          <w:szCs w:val="28"/>
        </w:rPr>
        <w:t>Iep</w:t>
      </w:r>
      <w:r w:rsidRPr="00297E0B">
        <w:rPr>
          <w:rFonts w:ascii="Times New Roman" w:hAnsi="Times New Roman"/>
          <w:sz w:val="28"/>
          <w:szCs w:val="28"/>
        </w:rPr>
        <w:t xml:space="preserve">riekšminēto nozaru risku līmeņa noteikšanai izmantots nozares nodokļu maksātāju risku </w:t>
      </w:r>
      <w:proofErr w:type="spellStart"/>
      <w:r w:rsidRPr="00297E0B">
        <w:rPr>
          <w:rFonts w:ascii="Times New Roman" w:hAnsi="Times New Roman"/>
          <w:sz w:val="28"/>
          <w:szCs w:val="28"/>
        </w:rPr>
        <w:t>izvērtējums</w:t>
      </w:r>
      <w:proofErr w:type="spellEnd"/>
      <w:r w:rsidRPr="00297E0B">
        <w:rPr>
          <w:rFonts w:ascii="Times New Roman" w:hAnsi="Times New Roman"/>
          <w:sz w:val="28"/>
          <w:szCs w:val="28"/>
        </w:rPr>
        <w:t xml:space="preserve">, ar kura palīdzību tika noteikts nozares nodokļu saistību neizpildes risku līmenis. Risku izvērtēšanas pieeja paredz nodokļu saistību risku aplēses visās nodokļu saistību izpildes fāzēs: reģistrācijas, pārskatu un deklarāciju iesniegšanas, deklarēšanas pilnīguma un nodokļu nomaksas. PVN iespējamās </w:t>
      </w:r>
      <w:proofErr w:type="spellStart"/>
      <w:r w:rsidRPr="00297E0B">
        <w:rPr>
          <w:rFonts w:ascii="Times New Roman" w:hAnsi="Times New Roman"/>
          <w:sz w:val="28"/>
          <w:szCs w:val="28"/>
        </w:rPr>
        <w:t>krāpniecības</w:t>
      </w:r>
      <w:proofErr w:type="spellEnd"/>
      <w:r w:rsidRPr="00297E0B">
        <w:rPr>
          <w:rFonts w:ascii="Times New Roman" w:hAnsi="Times New Roman"/>
          <w:sz w:val="28"/>
          <w:szCs w:val="28"/>
        </w:rPr>
        <w:t xml:space="preserve"> kontekstā īpaša uzmanība pievērsta riskiem, kas ir saistīti ar reģistrācijas, deklarēšanas un maksāšanas fāzēm.</w:t>
      </w:r>
    </w:p>
    <w:p w14:paraId="32EC2F3D" w14:textId="77777777"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 xml:space="preserve">Nozaru risku </w:t>
      </w:r>
      <w:proofErr w:type="spellStart"/>
      <w:r w:rsidRPr="00297E0B">
        <w:rPr>
          <w:rFonts w:ascii="Times New Roman" w:hAnsi="Times New Roman"/>
          <w:sz w:val="28"/>
          <w:szCs w:val="28"/>
        </w:rPr>
        <w:t>izvērtējumā</w:t>
      </w:r>
      <w:proofErr w:type="spellEnd"/>
      <w:r w:rsidRPr="00297E0B">
        <w:rPr>
          <w:rFonts w:ascii="Times New Roman" w:hAnsi="Times New Roman"/>
          <w:sz w:val="28"/>
          <w:szCs w:val="28"/>
        </w:rPr>
        <w:t xml:space="preserve"> augsts reģistrācijas un maksāšanas risku līmenis liecina, ka nodokļu maksātāji izvairās no nodokļu nomaksas, dibinot jaunus uzņēmumus to uzņēmumu vietā, kuriem jau ir uzkrāti nodokļu parādi. Līdzīga uzvedība ir vērojama arī PVN krāpniecisko darījumu shēmās, tā saucamā “pazudušā komersanta” posmā.</w:t>
      </w:r>
    </w:p>
    <w:p w14:paraId="29DD05E9" w14:textId="6A00CDB5"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Savukārt deklarēšanas risku novērtējumā būtiska ietekme ir nodokļu maksātāju īpatsvaram ar būtiskiem PVN riskiem, kā arī VID aplēsēm par nozaru “aplokšņu” algas apmēru 2020.gadā, ko novērtē, salīdzinot profesiju atalgojumu uzņēmumā ar analoģiska tipa uzņēmumiem un šis rādītājs atspoguļo neuzska</w:t>
      </w:r>
      <w:r w:rsidR="0009149F">
        <w:rPr>
          <w:rFonts w:ascii="Times New Roman" w:hAnsi="Times New Roman"/>
          <w:sz w:val="28"/>
          <w:szCs w:val="28"/>
        </w:rPr>
        <w:t>i</w:t>
      </w:r>
      <w:r w:rsidRPr="00297E0B">
        <w:rPr>
          <w:rFonts w:ascii="Times New Roman" w:hAnsi="Times New Roman"/>
          <w:sz w:val="28"/>
          <w:szCs w:val="28"/>
        </w:rPr>
        <w:t xml:space="preserve">tītās naudas esamību nozares ietvaros. PVN risku būtiskumu nosaka riska kritēriji, kas raksturo gan uzņēmuma iespējamo iesaisti ieņēmumu nedeklarēšanā, gan iespējamo iesaistīšanos PVN krāpnieciskās shēmās. </w:t>
      </w:r>
    </w:p>
    <w:p w14:paraId="1F3891D0" w14:textId="03494170" w:rsidR="001A766A" w:rsidRDefault="001A766A" w:rsidP="001A766A">
      <w:pPr>
        <w:spacing w:after="0" w:line="240" w:lineRule="auto"/>
        <w:ind w:firstLine="709"/>
        <w:jc w:val="both"/>
        <w:rPr>
          <w:rFonts w:ascii="Times New Roman" w:hAnsi="Times New Roman"/>
          <w:sz w:val="28"/>
          <w:szCs w:val="28"/>
        </w:rPr>
      </w:pPr>
      <w:r w:rsidRPr="00297E0B">
        <w:rPr>
          <w:rFonts w:ascii="Times New Roman" w:hAnsi="Times New Roman"/>
          <w:sz w:val="28"/>
          <w:szCs w:val="28"/>
        </w:rPr>
        <w:t xml:space="preserve">Ņemot vērā apkopoto informāciju par nozaru risku </w:t>
      </w:r>
      <w:proofErr w:type="spellStart"/>
      <w:r w:rsidRPr="00297E0B">
        <w:rPr>
          <w:rFonts w:ascii="Times New Roman" w:hAnsi="Times New Roman"/>
          <w:sz w:val="28"/>
          <w:szCs w:val="28"/>
        </w:rPr>
        <w:t>izvērtējumu</w:t>
      </w:r>
      <w:proofErr w:type="spellEnd"/>
      <w:r w:rsidRPr="00297E0B">
        <w:rPr>
          <w:rFonts w:ascii="Times New Roman" w:hAnsi="Times New Roman"/>
          <w:sz w:val="28"/>
          <w:szCs w:val="28"/>
        </w:rPr>
        <w:t xml:space="preserve"> (skatīt 2.tabulu), jāsecina, ka ar PVN deklarēšanu saistītajiem riskiem vidējs un augsts līmenis konstatējams četrām nozarēm – vairumtirdzniecībai, būvniecībai, mežsaimniecībai un meži</w:t>
      </w:r>
      <w:r w:rsidR="0009149F">
        <w:rPr>
          <w:rFonts w:ascii="Times New Roman" w:hAnsi="Times New Roman"/>
          <w:sz w:val="28"/>
          <w:szCs w:val="28"/>
        </w:rPr>
        <w:t>z</w:t>
      </w:r>
      <w:r w:rsidRPr="00297E0B">
        <w:rPr>
          <w:rFonts w:ascii="Times New Roman" w:hAnsi="Times New Roman"/>
          <w:sz w:val="28"/>
          <w:szCs w:val="28"/>
        </w:rPr>
        <w:t xml:space="preserve">strādei un operācijām ar nekustamo īpašumu. Ņemot vērā, ka darījumiem ar būvniecības pakalpojumiem, kokmateriālu piegādi un ar to saistītiem pakalpojumiem šobrīd tiek piemērota </w:t>
      </w:r>
      <w:r w:rsidR="0009149F">
        <w:rPr>
          <w:rFonts w:ascii="Times New Roman" w:hAnsi="Times New Roman"/>
          <w:sz w:val="28"/>
          <w:szCs w:val="28"/>
        </w:rPr>
        <w:t xml:space="preserve">apgrieztā jeb </w:t>
      </w:r>
      <w:r w:rsidRPr="00297E0B">
        <w:rPr>
          <w:rFonts w:ascii="Times New Roman" w:hAnsi="Times New Roman"/>
          <w:sz w:val="28"/>
          <w:szCs w:val="28"/>
        </w:rPr>
        <w:t xml:space="preserve">reversā PVN maksāšanas kārtība, detalizētāk vērtējamas divas nozares ar ievērojamu starppatēriņa īpatsvaru un būtiskiem nodokļu saistību izpildes riskiem, kurās vienlaicīgi ir pietiekami liels PVN maksātāju skaits un kurām ir izvērtējama nepieciešamība ieviest </w:t>
      </w:r>
      <w:r w:rsidR="0009149F">
        <w:rPr>
          <w:rFonts w:ascii="Times New Roman" w:hAnsi="Times New Roman"/>
          <w:sz w:val="28"/>
          <w:szCs w:val="28"/>
        </w:rPr>
        <w:t xml:space="preserve">apgriezto jeb </w:t>
      </w:r>
      <w:r w:rsidRPr="00297E0B">
        <w:rPr>
          <w:rFonts w:ascii="Times New Roman" w:hAnsi="Times New Roman"/>
          <w:sz w:val="28"/>
          <w:szCs w:val="28"/>
        </w:rPr>
        <w:t xml:space="preserve">reverso PVN maksāšanas kārtību – vairumtirdzniecība un operācijas ar nekustamo īpašumu. </w:t>
      </w:r>
    </w:p>
    <w:p w14:paraId="3DAD45E5" w14:textId="196548ED" w:rsidR="00FF5C1E" w:rsidRPr="00297E0B" w:rsidRDefault="00FF5C1E" w:rsidP="007A5C7C">
      <w:pPr>
        <w:spacing w:after="0" w:line="240" w:lineRule="auto"/>
        <w:jc w:val="both"/>
        <w:rPr>
          <w:rFonts w:ascii="Times New Roman" w:hAnsi="Times New Roman"/>
          <w:sz w:val="28"/>
          <w:szCs w:val="28"/>
        </w:rPr>
      </w:pPr>
    </w:p>
    <w:p w14:paraId="583EAE0E" w14:textId="77777777" w:rsidR="001A766A" w:rsidRPr="00297E0B" w:rsidRDefault="001A766A" w:rsidP="001A766A">
      <w:pPr>
        <w:spacing w:after="0" w:line="240" w:lineRule="auto"/>
        <w:ind w:firstLine="720"/>
        <w:jc w:val="right"/>
        <w:rPr>
          <w:rFonts w:ascii="Times New Roman" w:hAnsi="Times New Roman"/>
          <w:iCs/>
          <w:sz w:val="28"/>
          <w:szCs w:val="26"/>
        </w:rPr>
      </w:pPr>
      <w:r w:rsidRPr="00297E0B">
        <w:rPr>
          <w:rFonts w:ascii="Times New Roman" w:hAnsi="Times New Roman"/>
          <w:iCs/>
          <w:sz w:val="28"/>
          <w:szCs w:val="26"/>
        </w:rPr>
        <w:t>2.tabula</w:t>
      </w:r>
    </w:p>
    <w:p w14:paraId="77A83296" w14:textId="77777777" w:rsidR="001A766A" w:rsidRPr="00297E0B" w:rsidRDefault="001A766A" w:rsidP="001A766A">
      <w:pPr>
        <w:spacing w:after="120" w:line="240" w:lineRule="auto"/>
        <w:ind w:firstLine="720"/>
        <w:jc w:val="center"/>
        <w:rPr>
          <w:rFonts w:ascii="Times New Roman" w:hAnsi="Times New Roman"/>
          <w:b/>
          <w:bCs/>
          <w:sz w:val="28"/>
          <w:szCs w:val="26"/>
        </w:rPr>
      </w:pPr>
      <w:r w:rsidRPr="00297E0B">
        <w:rPr>
          <w:rFonts w:ascii="Times New Roman" w:hAnsi="Times New Roman"/>
          <w:b/>
          <w:bCs/>
          <w:sz w:val="28"/>
          <w:szCs w:val="26"/>
        </w:rPr>
        <w:t>Nozaru risku karte ar novērtēto nozaru risku novērtējumu un PVN maksātāju skaitu uz 2021.gada 1.janvāri</w:t>
      </w:r>
    </w:p>
    <w:tbl>
      <w:tblPr>
        <w:tblW w:w="9649" w:type="dxa"/>
        <w:tblLayout w:type="fixed"/>
        <w:tblLook w:val="04A0" w:firstRow="1" w:lastRow="0" w:firstColumn="1" w:lastColumn="0" w:noHBand="0" w:noVBand="1"/>
      </w:tblPr>
      <w:tblGrid>
        <w:gridCol w:w="562"/>
        <w:gridCol w:w="2694"/>
        <w:gridCol w:w="850"/>
        <w:gridCol w:w="992"/>
        <w:gridCol w:w="1135"/>
        <w:gridCol w:w="850"/>
        <w:gridCol w:w="851"/>
        <w:gridCol w:w="850"/>
        <w:gridCol w:w="857"/>
        <w:gridCol w:w="8"/>
      </w:tblGrid>
      <w:tr w:rsidR="001A766A" w14:paraId="162911D6" w14:textId="77777777" w:rsidTr="00C6729F">
        <w:trPr>
          <w:trHeight w:val="260"/>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A9AD17"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Nr. p.k.</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6203EE"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Nozares nosaukums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3D7A43"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9A65D7">
              <w:rPr>
                <w:rFonts w:ascii="Times New Roman" w:eastAsia="Times New Roman" w:hAnsi="Times New Roman"/>
                <w:b/>
                <w:color w:val="000000"/>
                <w:sz w:val="18"/>
                <w:szCs w:val="18"/>
                <w:lang w:eastAsia="lv-LV"/>
              </w:rPr>
              <w:t>NACE 2.red. kods</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803AE"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B2B darījumu apjoma īpatsvars, %</w:t>
            </w:r>
          </w:p>
        </w:tc>
        <w:tc>
          <w:tcPr>
            <w:tcW w:w="11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1EB8D"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PVN maksātāju skaits uz 2021. gada 1.janvāri</w:t>
            </w:r>
          </w:p>
        </w:tc>
        <w:tc>
          <w:tcPr>
            <w:tcW w:w="3416" w:type="dxa"/>
            <w:gridSpan w:val="5"/>
            <w:tcBorders>
              <w:top w:val="single" w:sz="4" w:space="0" w:color="auto"/>
              <w:left w:val="nil"/>
              <w:bottom w:val="single" w:sz="4" w:space="0" w:color="auto"/>
              <w:right w:val="single" w:sz="4" w:space="0" w:color="auto"/>
            </w:tcBorders>
            <w:shd w:val="clear" w:color="auto" w:fill="auto"/>
            <w:noWrap/>
            <w:vAlign w:val="center"/>
            <w:hideMark/>
          </w:tcPr>
          <w:p w14:paraId="27B642B0"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Risku novērtējums</w:t>
            </w:r>
          </w:p>
        </w:tc>
      </w:tr>
      <w:tr w:rsidR="001A766A" w14:paraId="1F415692" w14:textId="77777777" w:rsidTr="00C6729F">
        <w:trPr>
          <w:gridAfter w:val="1"/>
          <w:wAfter w:w="8" w:type="dxa"/>
          <w:trHeight w:val="1530"/>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09E058D" w14:textId="77777777" w:rsidR="001A766A" w:rsidRPr="00297E0B" w:rsidRDefault="001A766A" w:rsidP="00C6729F">
            <w:pPr>
              <w:spacing w:after="0" w:line="240" w:lineRule="auto"/>
              <w:rPr>
                <w:rFonts w:ascii="Times New Roman" w:eastAsia="Times New Roman" w:hAnsi="Times New Roman"/>
                <w:b/>
                <w:color w:val="000000"/>
                <w:sz w:val="18"/>
                <w:szCs w:val="18"/>
                <w:lang w:eastAsia="lv-LV"/>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947BEA7" w14:textId="77777777" w:rsidR="001A766A" w:rsidRPr="00297E0B" w:rsidRDefault="001A766A" w:rsidP="00C6729F">
            <w:pPr>
              <w:spacing w:after="0" w:line="240" w:lineRule="auto"/>
              <w:rPr>
                <w:rFonts w:ascii="Times New Roman" w:eastAsia="Times New Roman" w:hAnsi="Times New Roman"/>
                <w:b/>
                <w:color w:val="000000"/>
                <w:sz w:val="18"/>
                <w:szCs w:val="18"/>
                <w:lang w:eastAsia="lv-LV"/>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069CAA3" w14:textId="77777777" w:rsidR="001A766A" w:rsidRPr="00297E0B" w:rsidRDefault="001A766A" w:rsidP="00C6729F">
            <w:pPr>
              <w:spacing w:after="0" w:line="240" w:lineRule="auto"/>
              <w:rPr>
                <w:rFonts w:ascii="Times New Roman" w:eastAsia="Times New Roman" w:hAnsi="Times New Roman"/>
                <w:b/>
                <w:color w:val="000000"/>
                <w:sz w:val="18"/>
                <w:szCs w:val="18"/>
                <w:lang w:eastAsia="lv-LV"/>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58F8B03" w14:textId="77777777" w:rsidR="001A766A" w:rsidRPr="00297E0B" w:rsidRDefault="001A766A" w:rsidP="00C6729F">
            <w:pPr>
              <w:spacing w:after="0" w:line="240" w:lineRule="auto"/>
              <w:rPr>
                <w:rFonts w:ascii="Times New Roman" w:eastAsia="Times New Roman" w:hAnsi="Times New Roman"/>
                <w:b/>
                <w:color w:val="000000"/>
                <w:sz w:val="18"/>
                <w:szCs w:val="18"/>
                <w:lang w:eastAsia="lv-LV"/>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3ED4A39E" w14:textId="77777777" w:rsidR="001A766A" w:rsidRPr="00297E0B" w:rsidRDefault="001A766A" w:rsidP="00C6729F">
            <w:pPr>
              <w:spacing w:after="0" w:line="240" w:lineRule="auto"/>
              <w:rPr>
                <w:rFonts w:ascii="Times New Roman" w:eastAsia="Times New Roman" w:hAnsi="Times New Roman"/>
                <w:b/>
                <w:color w:val="000000"/>
                <w:sz w:val="18"/>
                <w:szCs w:val="18"/>
                <w:lang w:eastAsia="lv-LV"/>
              </w:rPr>
            </w:pP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95C0B5"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Reģistrācijas riski</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0ED790"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Deklarēšanas riski (+PVN ietekme)</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709A3D"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Nodokļu samaksas riski</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D9D15A" w14:textId="77777777" w:rsidR="001A766A" w:rsidRPr="00297E0B" w:rsidRDefault="001A766A" w:rsidP="00C6729F">
            <w:pPr>
              <w:spacing w:after="0" w:line="240" w:lineRule="auto"/>
              <w:jc w:val="center"/>
              <w:rPr>
                <w:rFonts w:ascii="Times New Roman" w:eastAsia="Times New Roman" w:hAnsi="Times New Roman"/>
                <w:b/>
                <w:color w:val="000000"/>
                <w:sz w:val="18"/>
                <w:szCs w:val="18"/>
                <w:lang w:eastAsia="lv-LV"/>
              </w:rPr>
            </w:pPr>
            <w:r w:rsidRPr="00297E0B">
              <w:rPr>
                <w:rFonts w:ascii="Times New Roman" w:eastAsia="Times New Roman" w:hAnsi="Times New Roman"/>
                <w:b/>
                <w:color w:val="000000"/>
                <w:sz w:val="18"/>
                <w:szCs w:val="18"/>
                <w:lang w:eastAsia="lv-LV"/>
              </w:rPr>
              <w:t>Kopējais riska novērtējums</w:t>
            </w:r>
          </w:p>
        </w:tc>
      </w:tr>
      <w:tr w:rsidR="001A766A" w14:paraId="0ECD5897"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8A2CF9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w:t>
            </w:r>
          </w:p>
        </w:tc>
        <w:tc>
          <w:tcPr>
            <w:tcW w:w="2694" w:type="dxa"/>
            <w:tcBorders>
              <w:top w:val="nil"/>
              <w:left w:val="nil"/>
              <w:bottom w:val="single" w:sz="4" w:space="0" w:color="auto"/>
              <w:right w:val="single" w:sz="4" w:space="0" w:color="auto"/>
            </w:tcBorders>
            <w:shd w:val="clear" w:color="auto" w:fill="auto"/>
            <w:noWrap/>
            <w:vAlign w:val="center"/>
            <w:hideMark/>
          </w:tcPr>
          <w:p w14:paraId="0902C8AC"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Vairumtirdzniecība, izņemot automobiļus un motociklus</w:t>
            </w:r>
          </w:p>
        </w:tc>
        <w:tc>
          <w:tcPr>
            <w:tcW w:w="850" w:type="dxa"/>
            <w:tcBorders>
              <w:top w:val="nil"/>
              <w:left w:val="nil"/>
              <w:bottom w:val="single" w:sz="4" w:space="0" w:color="auto"/>
              <w:right w:val="single" w:sz="4" w:space="0" w:color="auto"/>
            </w:tcBorders>
            <w:shd w:val="clear" w:color="auto" w:fill="auto"/>
            <w:noWrap/>
            <w:vAlign w:val="center"/>
            <w:hideMark/>
          </w:tcPr>
          <w:p w14:paraId="4AD928C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46</w:t>
            </w:r>
          </w:p>
        </w:tc>
        <w:tc>
          <w:tcPr>
            <w:tcW w:w="992" w:type="dxa"/>
            <w:tcBorders>
              <w:top w:val="nil"/>
              <w:left w:val="nil"/>
              <w:bottom w:val="single" w:sz="4" w:space="0" w:color="auto"/>
              <w:right w:val="single" w:sz="4" w:space="0" w:color="auto"/>
            </w:tcBorders>
            <w:shd w:val="clear" w:color="auto" w:fill="auto"/>
            <w:noWrap/>
            <w:vAlign w:val="center"/>
            <w:hideMark/>
          </w:tcPr>
          <w:p w14:paraId="07FE404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81,9 %</w:t>
            </w:r>
          </w:p>
        </w:tc>
        <w:tc>
          <w:tcPr>
            <w:tcW w:w="1135" w:type="dxa"/>
            <w:tcBorders>
              <w:top w:val="nil"/>
              <w:left w:val="nil"/>
              <w:bottom w:val="single" w:sz="4" w:space="0" w:color="auto"/>
              <w:right w:val="single" w:sz="4" w:space="0" w:color="auto"/>
            </w:tcBorders>
            <w:shd w:val="clear" w:color="auto" w:fill="auto"/>
            <w:noWrap/>
            <w:vAlign w:val="center"/>
            <w:hideMark/>
          </w:tcPr>
          <w:p w14:paraId="3FF4791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7 061</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20D597D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single" w:sz="4" w:space="0" w:color="auto"/>
              <w:left w:val="nil"/>
              <w:bottom w:val="single" w:sz="4" w:space="0" w:color="auto"/>
              <w:right w:val="single" w:sz="4" w:space="0" w:color="auto"/>
            </w:tcBorders>
            <w:shd w:val="clear" w:color="000000" w:fill="FF0000"/>
            <w:noWrap/>
            <w:vAlign w:val="center"/>
            <w:hideMark/>
          </w:tcPr>
          <w:p w14:paraId="3D2F911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0" w:type="dxa"/>
            <w:tcBorders>
              <w:top w:val="single" w:sz="4" w:space="0" w:color="auto"/>
              <w:left w:val="nil"/>
              <w:bottom w:val="single" w:sz="4" w:space="0" w:color="auto"/>
              <w:right w:val="single" w:sz="4" w:space="0" w:color="auto"/>
            </w:tcBorders>
            <w:shd w:val="clear" w:color="000000" w:fill="FF0000"/>
            <w:noWrap/>
            <w:vAlign w:val="center"/>
            <w:hideMark/>
          </w:tcPr>
          <w:p w14:paraId="64DED63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single" w:sz="4" w:space="0" w:color="auto"/>
              <w:left w:val="nil"/>
              <w:bottom w:val="single" w:sz="4" w:space="0" w:color="auto"/>
              <w:right w:val="single" w:sz="4" w:space="0" w:color="auto"/>
            </w:tcBorders>
            <w:shd w:val="clear" w:color="000000" w:fill="FF0000"/>
            <w:noWrap/>
            <w:vAlign w:val="center"/>
            <w:hideMark/>
          </w:tcPr>
          <w:p w14:paraId="53CD875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r>
      <w:tr w:rsidR="001A766A" w14:paraId="5C49A323"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6CC5FB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lastRenderedPageBreak/>
              <w:t>2</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1981A90F"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6"/>
                <w:lang w:eastAsia="lv-LV"/>
              </w:rPr>
              <w:t>Būvniecība</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E3F5E5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8"/>
                <w:lang w:eastAsia="lv-LV"/>
              </w:rPr>
              <w:t>41-43</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01425A7" w14:textId="77777777" w:rsidR="001A766A" w:rsidRPr="009A65D7"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6"/>
                <w:lang w:eastAsia="lv-LV"/>
              </w:rPr>
              <w:t>94,8 %</w:t>
            </w:r>
          </w:p>
        </w:tc>
        <w:tc>
          <w:tcPr>
            <w:tcW w:w="1135" w:type="dxa"/>
            <w:tcBorders>
              <w:top w:val="single" w:sz="4" w:space="0" w:color="auto"/>
              <w:left w:val="nil"/>
              <w:bottom w:val="single" w:sz="4" w:space="0" w:color="auto"/>
              <w:right w:val="single" w:sz="4" w:space="0" w:color="auto"/>
            </w:tcBorders>
            <w:shd w:val="clear" w:color="auto" w:fill="auto"/>
            <w:noWrap/>
            <w:vAlign w:val="center"/>
          </w:tcPr>
          <w:p w14:paraId="1FF5218E" w14:textId="77777777" w:rsidR="001A766A" w:rsidRPr="009A65D7"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sz w:val="18"/>
                <w:szCs w:val="18"/>
                <w:lang w:eastAsia="lv-LV"/>
              </w:rPr>
              <w:t>6 743</w:t>
            </w:r>
          </w:p>
        </w:tc>
        <w:tc>
          <w:tcPr>
            <w:tcW w:w="850" w:type="dxa"/>
            <w:tcBorders>
              <w:top w:val="single" w:sz="4" w:space="0" w:color="auto"/>
              <w:left w:val="nil"/>
              <w:bottom w:val="single" w:sz="4" w:space="0" w:color="auto"/>
              <w:right w:val="single" w:sz="4" w:space="0" w:color="auto"/>
            </w:tcBorders>
            <w:shd w:val="clear" w:color="auto" w:fill="FFC000"/>
            <w:noWrap/>
            <w:vAlign w:val="center"/>
          </w:tcPr>
          <w:p w14:paraId="1A150CA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single" w:sz="4" w:space="0" w:color="auto"/>
              <w:left w:val="nil"/>
              <w:bottom w:val="single" w:sz="4" w:space="0" w:color="auto"/>
              <w:right w:val="single" w:sz="4" w:space="0" w:color="auto"/>
            </w:tcBorders>
            <w:shd w:val="clear" w:color="auto" w:fill="FFC000"/>
            <w:noWrap/>
            <w:vAlign w:val="center"/>
          </w:tcPr>
          <w:p w14:paraId="3493D98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0" w:type="dxa"/>
            <w:tcBorders>
              <w:top w:val="single" w:sz="4" w:space="0" w:color="auto"/>
              <w:left w:val="nil"/>
              <w:bottom w:val="single" w:sz="4" w:space="0" w:color="auto"/>
              <w:right w:val="single" w:sz="4" w:space="0" w:color="auto"/>
            </w:tcBorders>
            <w:shd w:val="clear" w:color="auto" w:fill="FF0000"/>
            <w:noWrap/>
            <w:vAlign w:val="center"/>
          </w:tcPr>
          <w:p w14:paraId="270E09D5"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Ļoti augsts</w:t>
            </w:r>
          </w:p>
        </w:tc>
        <w:tc>
          <w:tcPr>
            <w:tcW w:w="857" w:type="dxa"/>
            <w:tcBorders>
              <w:top w:val="single" w:sz="4" w:space="0" w:color="auto"/>
              <w:left w:val="nil"/>
              <w:bottom w:val="single" w:sz="4" w:space="0" w:color="auto"/>
              <w:right w:val="single" w:sz="4" w:space="0" w:color="auto"/>
            </w:tcBorders>
            <w:shd w:val="clear" w:color="auto" w:fill="FF0000"/>
            <w:noWrap/>
            <w:vAlign w:val="center"/>
          </w:tcPr>
          <w:p w14:paraId="609C03C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r>
      <w:tr w:rsidR="001A766A" w14:paraId="0946844F"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0045840"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3</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11BA3D42" w14:textId="77777777" w:rsidR="001A766A" w:rsidRPr="009A65D7" w:rsidRDefault="001A766A" w:rsidP="00C6729F">
            <w:pPr>
              <w:spacing w:after="0" w:line="240" w:lineRule="auto"/>
              <w:rPr>
                <w:rFonts w:ascii="Times New Roman" w:eastAsia="Times New Roman" w:hAnsi="Times New Roman"/>
                <w:color w:val="000000" w:themeColor="text1"/>
                <w:sz w:val="18"/>
                <w:szCs w:val="16"/>
                <w:lang w:eastAsia="lv-LV"/>
              </w:rPr>
            </w:pPr>
            <w:r w:rsidRPr="009A65D7">
              <w:rPr>
                <w:rFonts w:ascii="Times New Roman" w:eastAsia="Times New Roman" w:hAnsi="Times New Roman"/>
                <w:color w:val="000000" w:themeColor="text1"/>
                <w:sz w:val="18"/>
                <w:szCs w:val="18"/>
                <w:lang w:eastAsia="lv-LV"/>
              </w:rPr>
              <w:t>Mežsaimniecība un mežizstrāde</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0CCD4AF" w14:textId="77777777" w:rsidR="001A766A" w:rsidRPr="009A65D7" w:rsidRDefault="001A766A" w:rsidP="00C6729F">
            <w:pPr>
              <w:spacing w:after="0" w:line="240" w:lineRule="auto"/>
              <w:jc w:val="center"/>
              <w:rPr>
                <w:rFonts w:ascii="Times New Roman" w:eastAsia="Times New Roman" w:hAnsi="Times New Roman"/>
                <w:color w:val="000000" w:themeColor="text1"/>
                <w:sz w:val="18"/>
                <w:szCs w:val="18"/>
                <w:lang w:eastAsia="lv-LV"/>
              </w:rPr>
            </w:pPr>
            <w:r w:rsidRPr="009A65D7">
              <w:rPr>
                <w:rFonts w:ascii="Times New Roman" w:eastAsia="Times New Roman" w:hAnsi="Times New Roman"/>
                <w:color w:val="000000" w:themeColor="text1"/>
                <w:sz w:val="18"/>
                <w:szCs w:val="18"/>
                <w:lang w:eastAsia="lv-LV"/>
              </w:rPr>
              <w:t>02</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D0810E5" w14:textId="77777777" w:rsidR="001A766A" w:rsidRPr="009A65D7" w:rsidRDefault="001A766A" w:rsidP="00C6729F">
            <w:pPr>
              <w:spacing w:after="0" w:line="240" w:lineRule="auto"/>
              <w:jc w:val="center"/>
              <w:rPr>
                <w:rFonts w:ascii="Times New Roman" w:eastAsia="Times New Roman" w:hAnsi="Times New Roman"/>
                <w:color w:val="000000" w:themeColor="text1"/>
                <w:sz w:val="18"/>
                <w:szCs w:val="16"/>
                <w:lang w:eastAsia="lv-LV"/>
              </w:rPr>
            </w:pPr>
            <w:r w:rsidRPr="009A65D7">
              <w:rPr>
                <w:rFonts w:ascii="Times New Roman" w:eastAsia="Times New Roman" w:hAnsi="Times New Roman"/>
                <w:color w:val="000000" w:themeColor="text1"/>
                <w:sz w:val="18"/>
                <w:szCs w:val="16"/>
                <w:lang w:eastAsia="lv-LV"/>
              </w:rPr>
              <w:t>73,5 %</w:t>
            </w:r>
          </w:p>
        </w:tc>
        <w:tc>
          <w:tcPr>
            <w:tcW w:w="1135" w:type="dxa"/>
            <w:tcBorders>
              <w:top w:val="single" w:sz="4" w:space="0" w:color="auto"/>
              <w:left w:val="nil"/>
              <w:bottom w:val="single" w:sz="4" w:space="0" w:color="auto"/>
              <w:right w:val="single" w:sz="4" w:space="0" w:color="auto"/>
            </w:tcBorders>
            <w:shd w:val="clear" w:color="auto" w:fill="auto"/>
            <w:noWrap/>
            <w:vAlign w:val="center"/>
          </w:tcPr>
          <w:p w14:paraId="797CFA6E" w14:textId="77777777" w:rsidR="001A766A" w:rsidRPr="009A65D7"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sz w:val="18"/>
                <w:szCs w:val="18"/>
                <w:lang w:eastAsia="lv-LV"/>
              </w:rPr>
              <w:t>3 038</w:t>
            </w:r>
          </w:p>
        </w:tc>
        <w:tc>
          <w:tcPr>
            <w:tcW w:w="850" w:type="dxa"/>
            <w:tcBorders>
              <w:top w:val="single" w:sz="4" w:space="0" w:color="auto"/>
              <w:left w:val="nil"/>
              <w:bottom w:val="single" w:sz="4" w:space="0" w:color="auto"/>
              <w:right w:val="single" w:sz="4" w:space="0" w:color="auto"/>
            </w:tcBorders>
            <w:shd w:val="clear" w:color="auto" w:fill="FFC000"/>
            <w:noWrap/>
            <w:vAlign w:val="center"/>
          </w:tcPr>
          <w:p w14:paraId="4AA0349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single" w:sz="4" w:space="0" w:color="auto"/>
              <w:left w:val="nil"/>
              <w:bottom w:val="single" w:sz="4" w:space="0" w:color="auto"/>
              <w:right w:val="single" w:sz="4" w:space="0" w:color="auto"/>
            </w:tcBorders>
            <w:shd w:val="clear" w:color="auto" w:fill="FFC000"/>
            <w:noWrap/>
            <w:vAlign w:val="center"/>
          </w:tcPr>
          <w:p w14:paraId="7F0F3F2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0" w:type="dxa"/>
            <w:tcBorders>
              <w:top w:val="single" w:sz="4" w:space="0" w:color="auto"/>
              <w:left w:val="nil"/>
              <w:bottom w:val="single" w:sz="4" w:space="0" w:color="auto"/>
              <w:right w:val="single" w:sz="4" w:space="0" w:color="auto"/>
            </w:tcBorders>
            <w:shd w:val="clear" w:color="auto" w:fill="FF0000"/>
            <w:noWrap/>
            <w:vAlign w:val="center"/>
          </w:tcPr>
          <w:p w14:paraId="06F7A0E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Ļoti augsts</w:t>
            </w:r>
          </w:p>
        </w:tc>
        <w:tc>
          <w:tcPr>
            <w:tcW w:w="857" w:type="dxa"/>
            <w:tcBorders>
              <w:top w:val="single" w:sz="4" w:space="0" w:color="auto"/>
              <w:left w:val="nil"/>
              <w:bottom w:val="single" w:sz="4" w:space="0" w:color="auto"/>
              <w:right w:val="single" w:sz="4" w:space="0" w:color="auto"/>
            </w:tcBorders>
            <w:shd w:val="clear" w:color="auto" w:fill="FF0000"/>
            <w:noWrap/>
            <w:vAlign w:val="center"/>
          </w:tcPr>
          <w:p w14:paraId="64E39135"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r>
      <w:tr w:rsidR="001A766A" w14:paraId="758FC0FC"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14E8D4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4</w:t>
            </w:r>
          </w:p>
        </w:tc>
        <w:tc>
          <w:tcPr>
            <w:tcW w:w="2694" w:type="dxa"/>
            <w:tcBorders>
              <w:top w:val="nil"/>
              <w:left w:val="nil"/>
              <w:bottom w:val="single" w:sz="4" w:space="0" w:color="auto"/>
              <w:right w:val="single" w:sz="4" w:space="0" w:color="auto"/>
            </w:tcBorders>
            <w:shd w:val="clear" w:color="auto" w:fill="auto"/>
            <w:noWrap/>
            <w:vAlign w:val="center"/>
            <w:hideMark/>
          </w:tcPr>
          <w:p w14:paraId="6D8FFBE5"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Operācijas ar nekustamo īpašumu</w:t>
            </w:r>
          </w:p>
        </w:tc>
        <w:tc>
          <w:tcPr>
            <w:tcW w:w="850" w:type="dxa"/>
            <w:tcBorders>
              <w:top w:val="nil"/>
              <w:left w:val="nil"/>
              <w:bottom w:val="single" w:sz="4" w:space="0" w:color="auto"/>
              <w:right w:val="single" w:sz="4" w:space="0" w:color="auto"/>
            </w:tcBorders>
            <w:shd w:val="clear" w:color="auto" w:fill="auto"/>
            <w:noWrap/>
            <w:vAlign w:val="center"/>
            <w:hideMark/>
          </w:tcPr>
          <w:p w14:paraId="47BF651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68</w:t>
            </w:r>
          </w:p>
        </w:tc>
        <w:tc>
          <w:tcPr>
            <w:tcW w:w="992" w:type="dxa"/>
            <w:tcBorders>
              <w:top w:val="nil"/>
              <w:left w:val="nil"/>
              <w:bottom w:val="single" w:sz="4" w:space="0" w:color="auto"/>
              <w:right w:val="single" w:sz="4" w:space="0" w:color="auto"/>
            </w:tcBorders>
            <w:shd w:val="clear" w:color="auto" w:fill="auto"/>
            <w:noWrap/>
            <w:vAlign w:val="center"/>
            <w:hideMark/>
          </w:tcPr>
          <w:p w14:paraId="14972384"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78,2 %</w:t>
            </w:r>
          </w:p>
        </w:tc>
        <w:tc>
          <w:tcPr>
            <w:tcW w:w="1135" w:type="dxa"/>
            <w:tcBorders>
              <w:top w:val="nil"/>
              <w:left w:val="nil"/>
              <w:bottom w:val="single" w:sz="4" w:space="0" w:color="auto"/>
              <w:right w:val="single" w:sz="4" w:space="0" w:color="auto"/>
            </w:tcBorders>
            <w:shd w:val="clear" w:color="auto" w:fill="auto"/>
            <w:noWrap/>
            <w:vAlign w:val="center"/>
            <w:hideMark/>
          </w:tcPr>
          <w:p w14:paraId="053A3CD9"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5 727</w:t>
            </w:r>
          </w:p>
        </w:tc>
        <w:tc>
          <w:tcPr>
            <w:tcW w:w="850" w:type="dxa"/>
            <w:tcBorders>
              <w:top w:val="nil"/>
              <w:left w:val="nil"/>
              <w:bottom w:val="single" w:sz="4" w:space="0" w:color="auto"/>
              <w:right w:val="single" w:sz="4" w:space="0" w:color="auto"/>
            </w:tcBorders>
            <w:shd w:val="clear" w:color="000000" w:fill="92D050"/>
            <w:noWrap/>
            <w:vAlign w:val="center"/>
            <w:hideMark/>
          </w:tcPr>
          <w:p w14:paraId="263D05A9"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1" w:type="dxa"/>
            <w:tcBorders>
              <w:top w:val="nil"/>
              <w:left w:val="nil"/>
              <w:bottom w:val="single" w:sz="4" w:space="0" w:color="auto"/>
              <w:right w:val="single" w:sz="4" w:space="0" w:color="auto"/>
            </w:tcBorders>
            <w:shd w:val="clear" w:color="000000" w:fill="FFC000"/>
            <w:noWrap/>
            <w:vAlign w:val="center"/>
            <w:hideMark/>
          </w:tcPr>
          <w:p w14:paraId="0E0EDA0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0" w:type="dxa"/>
            <w:tcBorders>
              <w:top w:val="nil"/>
              <w:left w:val="nil"/>
              <w:bottom w:val="single" w:sz="4" w:space="0" w:color="auto"/>
              <w:right w:val="single" w:sz="4" w:space="0" w:color="auto"/>
            </w:tcBorders>
            <w:shd w:val="clear" w:color="000000" w:fill="FFC000"/>
            <w:noWrap/>
            <w:vAlign w:val="center"/>
            <w:hideMark/>
          </w:tcPr>
          <w:p w14:paraId="6ACFB3E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7" w:type="dxa"/>
            <w:tcBorders>
              <w:top w:val="nil"/>
              <w:left w:val="nil"/>
              <w:bottom w:val="single" w:sz="4" w:space="0" w:color="auto"/>
              <w:right w:val="single" w:sz="4" w:space="0" w:color="auto"/>
            </w:tcBorders>
            <w:shd w:val="clear" w:color="000000" w:fill="FFC000"/>
            <w:noWrap/>
            <w:vAlign w:val="center"/>
            <w:hideMark/>
          </w:tcPr>
          <w:p w14:paraId="3D36ACC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73F059CF"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6EB6A3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5</w:t>
            </w:r>
          </w:p>
        </w:tc>
        <w:tc>
          <w:tcPr>
            <w:tcW w:w="2694" w:type="dxa"/>
            <w:tcBorders>
              <w:top w:val="nil"/>
              <w:left w:val="nil"/>
              <w:bottom w:val="single" w:sz="4" w:space="0" w:color="auto"/>
              <w:right w:val="single" w:sz="4" w:space="0" w:color="auto"/>
            </w:tcBorders>
            <w:shd w:val="clear" w:color="auto" w:fill="auto"/>
            <w:noWrap/>
            <w:vAlign w:val="center"/>
            <w:hideMark/>
          </w:tcPr>
          <w:p w14:paraId="3055FAAC"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Iekārtu un ierīču remonts un uzstādīšana</w:t>
            </w:r>
          </w:p>
        </w:tc>
        <w:tc>
          <w:tcPr>
            <w:tcW w:w="850" w:type="dxa"/>
            <w:tcBorders>
              <w:top w:val="nil"/>
              <w:left w:val="nil"/>
              <w:bottom w:val="single" w:sz="4" w:space="0" w:color="auto"/>
              <w:right w:val="single" w:sz="4" w:space="0" w:color="auto"/>
            </w:tcBorders>
            <w:shd w:val="clear" w:color="auto" w:fill="auto"/>
            <w:noWrap/>
            <w:vAlign w:val="center"/>
            <w:hideMark/>
          </w:tcPr>
          <w:p w14:paraId="6D7E71A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33</w:t>
            </w:r>
          </w:p>
        </w:tc>
        <w:tc>
          <w:tcPr>
            <w:tcW w:w="992" w:type="dxa"/>
            <w:tcBorders>
              <w:top w:val="nil"/>
              <w:left w:val="nil"/>
              <w:bottom w:val="single" w:sz="4" w:space="0" w:color="auto"/>
              <w:right w:val="single" w:sz="4" w:space="0" w:color="auto"/>
            </w:tcBorders>
            <w:shd w:val="clear" w:color="auto" w:fill="auto"/>
            <w:noWrap/>
            <w:vAlign w:val="center"/>
            <w:hideMark/>
          </w:tcPr>
          <w:p w14:paraId="26DACCF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95,8 %</w:t>
            </w:r>
          </w:p>
        </w:tc>
        <w:tc>
          <w:tcPr>
            <w:tcW w:w="1135" w:type="dxa"/>
            <w:tcBorders>
              <w:top w:val="nil"/>
              <w:left w:val="nil"/>
              <w:bottom w:val="single" w:sz="4" w:space="0" w:color="auto"/>
              <w:right w:val="single" w:sz="4" w:space="0" w:color="auto"/>
            </w:tcBorders>
            <w:shd w:val="clear" w:color="auto" w:fill="auto"/>
            <w:noWrap/>
            <w:vAlign w:val="center"/>
            <w:hideMark/>
          </w:tcPr>
          <w:p w14:paraId="32F6DE1A"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720</w:t>
            </w:r>
          </w:p>
        </w:tc>
        <w:tc>
          <w:tcPr>
            <w:tcW w:w="850" w:type="dxa"/>
            <w:tcBorders>
              <w:top w:val="nil"/>
              <w:left w:val="nil"/>
              <w:bottom w:val="single" w:sz="4" w:space="0" w:color="auto"/>
              <w:right w:val="single" w:sz="4" w:space="0" w:color="auto"/>
            </w:tcBorders>
            <w:shd w:val="clear" w:color="000000" w:fill="FFC000"/>
            <w:noWrap/>
            <w:vAlign w:val="center"/>
            <w:hideMark/>
          </w:tcPr>
          <w:p w14:paraId="43B35D44"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nil"/>
              <w:left w:val="nil"/>
              <w:bottom w:val="single" w:sz="4" w:space="0" w:color="auto"/>
              <w:right w:val="single" w:sz="4" w:space="0" w:color="auto"/>
            </w:tcBorders>
            <w:shd w:val="clear" w:color="000000" w:fill="92D050"/>
            <w:noWrap/>
            <w:vAlign w:val="center"/>
            <w:hideMark/>
          </w:tcPr>
          <w:p w14:paraId="530DE10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567EB5E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Ļoti augsts</w:t>
            </w:r>
          </w:p>
        </w:tc>
        <w:tc>
          <w:tcPr>
            <w:tcW w:w="857" w:type="dxa"/>
            <w:tcBorders>
              <w:top w:val="nil"/>
              <w:left w:val="nil"/>
              <w:bottom w:val="single" w:sz="4" w:space="0" w:color="auto"/>
              <w:right w:val="single" w:sz="4" w:space="0" w:color="auto"/>
            </w:tcBorders>
            <w:shd w:val="clear" w:color="000000" w:fill="FFC000"/>
            <w:noWrap/>
            <w:vAlign w:val="center"/>
            <w:hideMark/>
          </w:tcPr>
          <w:p w14:paraId="5614B854"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48004164"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6B25E9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6</w:t>
            </w:r>
          </w:p>
        </w:tc>
        <w:tc>
          <w:tcPr>
            <w:tcW w:w="2694" w:type="dxa"/>
            <w:tcBorders>
              <w:top w:val="nil"/>
              <w:left w:val="nil"/>
              <w:bottom w:val="single" w:sz="4" w:space="0" w:color="auto"/>
              <w:right w:val="single" w:sz="4" w:space="0" w:color="auto"/>
            </w:tcBorders>
            <w:shd w:val="clear" w:color="auto" w:fill="auto"/>
            <w:noWrap/>
            <w:vAlign w:val="center"/>
          </w:tcPr>
          <w:p w14:paraId="63E3EBEC"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Apsardzes pakalpojumi un izmeklēšana</w:t>
            </w:r>
          </w:p>
        </w:tc>
        <w:tc>
          <w:tcPr>
            <w:tcW w:w="850" w:type="dxa"/>
            <w:tcBorders>
              <w:top w:val="nil"/>
              <w:left w:val="nil"/>
              <w:bottom w:val="single" w:sz="4" w:space="0" w:color="auto"/>
              <w:right w:val="single" w:sz="4" w:space="0" w:color="auto"/>
            </w:tcBorders>
            <w:shd w:val="clear" w:color="auto" w:fill="auto"/>
            <w:noWrap/>
            <w:vAlign w:val="center"/>
          </w:tcPr>
          <w:p w14:paraId="39DE9C7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80</w:t>
            </w:r>
          </w:p>
        </w:tc>
        <w:tc>
          <w:tcPr>
            <w:tcW w:w="992" w:type="dxa"/>
            <w:tcBorders>
              <w:top w:val="nil"/>
              <w:left w:val="nil"/>
              <w:bottom w:val="single" w:sz="4" w:space="0" w:color="auto"/>
              <w:right w:val="single" w:sz="4" w:space="0" w:color="auto"/>
            </w:tcBorders>
            <w:shd w:val="clear" w:color="auto" w:fill="auto"/>
            <w:noWrap/>
            <w:vAlign w:val="center"/>
          </w:tcPr>
          <w:p w14:paraId="2C266CD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83,7 %</w:t>
            </w:r>
          </w:p>
        </w:tc>
        <w:tc>
          <w:tcPr>
            <w:tcW w:w="1135" w:type="dxa"/>
            <w:tcBorders>
              <w:top w:val="nil"/>
              <w:left w:val="nil"/>
              <w:bottom w:val="single" w:sz="4" w:space="0" w:color="auto"/>
              <w:right w:val="single" w:sz="4" w:space="0" w:color="auto"/>
            </w:tcBorders>
            <w:shd w:val="clear" w:color="auto" w:fill="auto"/>
            <w:noWrap/>
            <w:vAlign w:val="center"/>
          </w:tcPr>
          <w:p w14:paraId="592AFAA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393</w:t>
            </w:r>
          </w:p>
        </w:tc>
        <w:tc>
          <w:tcPr>
            <w:tcW w:w="850" w:type="dxa"/>
            <w:tcBorders>
              <w:top w:val="nil"/>
              <w:left w:val="nil"/>
              <w:bottom w:val="single" w:sz="4" w:space="0" w:color="auto"/>
              <w:right w:val="single" w:sz="4" w:space="0" w:color="auto"/>
            </w:tcBorders>
            <w:shd w:val="clear" w:color="000000" w:fill="FFC000"/>
            <w:noWrap/>
            <w:vAlign w:val="center"/>
          </w:tcPr>
          <w:p w14:paraId="60DEC47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nil"/>
              <w:left w:val="nil"/>
              <w:bottom w:val="single" w:sz="4" w:space="0" w:color="auto"/>
              <w:right w:val="single" w:sz="4" w:space="0" w:color="auto"/>
            </w:tcBorders>
            <w:shd w:val="clear" w:color="000000" w:fill="92D050"/>
            <w:noWrap/>
            <w:vAlign w:val="center"/>
          </w:tcPr>
          <w:p w14:paraId="5D24D7D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tcPr>
          <w:p w14:paraId="6979F4B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Ļoti augsts</w:t>
            </w:r>
          </w:p>
        </w:tc>
        <w:tc>
          <w:tcPr>
            <w:tcW w:w="857" w:type="dxa"/>
            <w:tcBorders>
              <w:top w:val="nil"/>
              <w:left w:val="nil"/>
              <w:bottom w:val="single" w:sz="4" w:space="0" w:color="auto"/>
              <w:right w:val="single" w:sz="4" w:space="0" w:color="auto"/>
            </w:tcBorders>
            <w:shd w:val="clear" w:color="000000" w:fill="FFC000"/>
            <w:noWrap/>
            <w:vAlign w:val="center"/>
          </w:tcPr>
          <w:p w14:paraId="06AD78C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4E8BEE72" w14:textId="77777777" w:rsidTr="00C6729F">
        <w:trPr>
          <w:gridAfter w:val="1"/>
          <w:wAfter w:w="8" w:type="dxa"/>
          <w:trHeight w:val="32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CD968E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w:t>
            </w:r>
          </w:p>
        </w:tc>
        <w:tc>
          <w:tcPr>
            <w:tcW w:w="2694" w:type="dxa"/>
            <w:tcBorders>
              <w:top w:val="nil"/>
              <w:left w:val="nil"/>
              <w:bottom w:val="single" w:sz="4" w:space="0" w:color="auto"/>
              <w:right w:val="single" w:sz="4" w:space="0" w:color="auto"/>
            </w:tcBorders>
            <w:shd w:val="clear" w:color="auto" w:fill="auto"/>
            <w:noWrap/>
            <w:vAlign w:val="center"/>
            <w:hideMark/>
          </w:tcPr>
          <w:p w14:paraId="4B9A3C03"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Uzglabāšanas un transporta palīgdarbības</w:t>
            </w:r>
          </w:p>
        </w:tc>
        <w:tc>
          <w:tcPr>
            <w:tcW w:w="850" w:type="dxa"/>
            <w:tcBorders>
              <w:top w:val="nil"/>
              <w:left w:val="nil"/>
              <w:bottom w:val="single" w:sz="4" w:space="0" w:color="auto"/>
              <w:right w:val="single" w:sz="4" w:space="0" w:color="auto"/>
            </w:tcBorders>
            <w:shd w:val="clear" w:color="auto" w:fill="auto"/>
            <w:noWrap/>
            <w:vAlign w:val="center"/>
            <w:hideMark/>
          </w:tcPr>
          <w:p w14:paraId="76FD0D9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52</w:t>
            </w:r>
          </w:p>
        </w:tc>
        <w:tc>
          <w:tcPr>
            <w:tcW w:w="992" w:type="dxa"/>
            <w:tcBorders>
              <w:top w:val="nil"/>
              <w:left w:val="nil"/>
              <w:bottom w:val="single" w:sz="4" w:space="0" w:color="auto"/>
              <w:right w:val="single" w:sz="4" w:space="0" w:color="auto"/>
            </w:tcBorders>
            <w:shd w:val="clear" w:color="auto" w:fill="auto"/>
            <w:noWrap/>
            <w:vAlign w:val="center"/>
            <w:hideMark/>
          </w:tcPr>
          <w:p w14:paraId="650027A9"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84,7 %</w:t>
            </w:r>
          </w:p>
        </w:tc>
        <w:tc>
          <w:tcPr>
            <w:tcW w:w="1135" w:type="dxa"/>
            <w:tcBorders>
              <w:top w:val="nil"/>
              <w:left w:val="nil"/>
              <w:bottom w:val="single" w:sz="4" w:space="0" w:color="auto"/>
              <w:right w:val="single" w:sz="4" w:space="0" w:color="auto"/>
            </w:tcBorders>
            <w:shd w:val="clear" w:color="auto" w:fill="auto"/>
            <w:noWrap/>
            <w:vAlign w:val="center"/>
            <w:hideMark/>
          </w:tcPr>
          <w:p w14:paraId="51FE605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1 559</w:t>
            </w:r>
          </w:p>
        </w:tc>
        <w:tc>
          <w:tcPr>
            <w:tcW w:w="850" w:type="dxa"/>
            <w:tcBorders>
              <w:top w:val="nil"/>
              <w:left w:val="nil"/>
              <w:bottom w:val="single" w:sz="4" w:space="0" w:color="auto"/>
              <w:right w:val="single" w:sz="4" w:space="0" w:color="auto"/>
            </w:tcBorders>
            <w:shd w:val="clear" w:color="000000" w:fill="FFC000"/>
            <w:noWrap/>
            <w:vAlign w:val="center"/>
            <w:hideMark/>
          </w:tcPr>
          <w:p w14:paraId="26C2398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nil"/>
              <w:left w:val="nil"/>
              <w:bottom w:val="single" w:sz="4" w:space="0" w:color="auto"/>
              <w:right w:val="single" w:sz="4" w:space="0" w:color="auto"/>
            </w:tcBorders>
            <w:shd w:val="clear" w:color="000000" w:fill="92D050"/>
            <w:noWrap/>
            <w:vAlign w:val="center"/>
            <w:hideMark/>
          </w:tcPr>
          <w:p w14:paraId="0424CC2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12B9AAA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77D5578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47599DC4" w14:textId="77777777" w:rsidTr="00C6729F">
        <w:trPr>
          <w:gridAfter w:val="1"/>
          <w:wAfter w:w="8" w:type="dxa"/>
          <w:trHeight w:val="32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94776E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w:t>
            </w:r>
          </w:p>
        </w:tc>
        <w:tc>
          <w:tcPr>
            <w:tcW w:w="2694" w:type="dxa"/>
            <w:tcBorders>
              <w:top w:val="single" w:sz="4" w:space="0" w:color="auto"/>
              <w:left w:val="nil"/>
              <w:bottom w:val="single" w:sz="4" w:space="0" w:color="auto"/>
              <w:right w:val="single" w:sz="4" w:space="0" w:color="auto"/>
            </w:tcBorders>
            <w:shd w:val="clear" w:color="auto" w:fill="auto"/>
            <w:noWrap/>
            <w:vAlign w:val="bottom"/>
          </w:tcPr>
          <w:p w14:paraId="75AAA1C3"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6"/>
                <w:lang w:eastAsia="lv-LV"/>
              </w:rPr>
              <w:t>Reklāmas un tirgus izpētes pakalpojumi</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E0CA81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8"/>
                <w:lang w:eastAsia="lv-LV"/>
              </w:rPr>
              <w:t>73</w:t>
            </w:r>
          </w:p>
        </w:tc>
        <w:tc>
          <w:tcPr>
            <w:tcW w:w="992" w:type="dxa"/>
            <w:tcBorders>
              <w:top w:val="nil"/>
              <w:left w:val="nil"/>
              <w:bottom w:val="single" w:sz="4" w:space="0" w:color="auto"/>
              <w:right w:val="single" w:sz="4" w:space="0" w:color="auto"/>
            </w:tcBorders>
            <w:shd w:val="clear" w:color="auto" w:fill="auto"/>
            <w:noWrap/>
            <w:vAlign w:val="center"/>
          </w:tcPr>
          <w:p w14:paraId="3699EDCC" w14:textId="77777777" w:rsidR="001A766A" w:rsidRPr="009A65D7"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themeColor="text1"/>
                <w:sz w:val="18"/>
                <w:szCs w:val="16"/>
                <w:lang w:eastAsia="lv-LV"/>
              </w:rPr>
              <w:t>76,3 %</w:t>
            </w:r>
          </w:p>
        </w:tc>
        <w:tc>
          <w:tcPr>
            <w:tcW w:w="1135" w:type="dxa"/>
            <w:tcBorders>
              <w:top w:val="single" w:sz="4" w:space="0" w:color="auto"/>
              <w:left w:val="nil"/>
              <w:bottom w:val="single" w:sz="4" w:space="0" w:color="auto"/>
              <w:right w:val="single" w:sz="4" w:space="0" w:color="auto"/>
            </w:tcBorders>
            <w:shd w:val="clear" w:color="auto" w:fill="auto"/>
            <w:noWrap/>
            <w:vAlign w:val="center"/>
          </w:tcPr>
          <w:p w14:paraId="4A448AB8" w14:textId="77777777" w:rsidR="001A766A" w:rsidRPr="009A65D7" w:rsidRDefault="001A766A" w:rsidP="00C6729F">
            <w:pPr>
              <w:spacing w:after="0" w:line="240" w:lineRule="auto"/>
              <w:jc w:val="center"/>
              <w:rPr>
                <w:rFonts w:ascii="Times New Roman" w:eastAsia="Times New Roman" w:hAnsi="Times New Roman"/>
                <w:color w:val="000000"/>
                <w:sz w:val="18"/>
                <w:szCs w:val="18"/>
                <w:lang w:eastAsia="lv-LV"/>
              </w:rPr>
            </w:pPr>
            <w:r w:rsidRPr="009A65D7">
              <w:rPr>
                <w:rFonts w:ascii="Times New Roman" w:eastAsia="Times New Roman" w:hAnsi="Times New Roman"/>
                <w:color w:val="000000"/>
                <w:sz w:val="18"/>
                <w:szCs w:val="18"/>
                <w:lang w:eastAsia="lv-LV"/>
              </w:rPr>
              <w:t>1 438</w:t>
            </w:r>
          </w:p>
        </w:tc>
        <w:tc>
          <w:tcPr>
            <w:tcW w:w="850" w:type="dxa"/>
            <w:tcBorders>
              <w:top w:val="single" w:sz="4" w:space="0" w:color="auto"/>
              <w:left w:val="nil"/>
              <w:bottom w:val="single" w:sz="4" w:space="0" w:color="auto"/>
              <w:right w:val="single" w:sz="4" w:space="0" w:color="auto"/>
            </w:tcBorders>
            <w:shd w:val="clear" w:color="auto" w:fill="FFC000"/>
            <w:noWrap/>
            <w:vAlign w:val="center"/>
          </w:tcPr>
          <w:p w14:paraId="428A85F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single" w:sz="4" w:space="0" w:color="auto"/>
              <w:left w:val="nil"/>
              <w:bottom w:val="single" w:sz="4" w:space="0" w:color="auto"/>
              <w:right w:val="single" w:sz="4" w:space="0" w:color="auto"/>
            </w:tcBorders>
            <w:shd w:val="clear" w:color="000000" w:fill="92D050"/>
            <w:noWrap/>
            <w:vAlign w:val="center"/>
          </w:tcPr>
          <w:p w14:paraId="5743303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single" w:sz="4" w:space="0" w:color="auto"/>
              <w:left w:val="nil"/>
              <w:bottom w:val="single" w:sz="4" w:space="0" w:color="auto"/>
              <w:right w:val="single" w:sz="4" w:space="0" w:color="auto"/>
            </w:tcBorders>
            <w:shd w:val="clear" w:color="auto" w:fill="FF0000"/>
            <w:noWrap/>
            <w:vAlign w:val="center"/>
          </w:tcPr>
          <w:p w14:paraId="479ECBF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single" w:sz="4" w:space="0" w:color="auto"/>
              <w:left w:val="nil"/>
              <w:bottom w:val="single" w:sz="4" w:space="0" w:color="auto"/>
              <w:right w:val="single" w:sz="4" w:space="0" w:color="auto"/>
            </w:tcBorders>
            <w:shd w:val="clear" w:color="auto" w:fill="FFC000"/>
            <w:noWrap/>
            <w:vAlign w:val="center"/>
          </w:tcPr>
          <w:p w14:paraId="32036580"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7D3D0C88" w14:textId="77777777" w:rsidTr="00C6729F">
        <w:trPr>
          <w:gridAfter w:val="1"/>
          <w:wAfter w:w="8" w:type="dxa"/>
          <w:trHeight w:val="26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4063FD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9</w:t>
            </w:r>
          </w:p>
        </w:tc>
        <w:tc>
          <w:tcPr>
            <w:tcW w:w="2694" w:type="dxa"/>
            <w:tcBorders>
              <w:top w:val="nil"/>
              <w:left w:val="nil"/>
              <w:bottom w:val="single" w:sz="4" w:space="0" w:color="auto"/>
              <w:right w:val="single" w:sz="4" w:space="0" w:color="auto"/>
            </w:tcBorders>
            <w:shd w:val="clear" w:color="auto" w:fill="auto"/>
            <w:noWrap/>
            <w:vAlign w:val="center"/>
            <w:hideMark/>
          </w:tcPr>
          <w:p w14:paraId="0ECD156C"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Iznomāšana un ekspluatācijas līzings</w:t>
            </w:r>
          </w:p>
        </w:tc>
        <w:tc>
          <w:tcPr>
            <w:tcW w:w="850" w:type="dxa"/>
            <w:tcBorders>
              <w:top w:val="nil"/>
              <w:left w:val="nil"/>
              <w:bottom w:val="single" w:sz="4" w:space="0" w:color="auto"/>
              <w:right w:val="single" w:sz="4" w:space="0" w:color="auto"/>
            </w:tcBorders>
            <w:shd w:val="clear" w:color="auto" w:fill="auto"/>
            <w:noWrap/>
            <w:vAlign w:val="center"/>
            <w:hideMark/>
          </w:tcPr>
          <w:p w14:paraId="6CBB87A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77</w:t>
            </w:r>
          </w:p>
        </w:tc>
        <w:tc>
          <w:tcPr>
            <w:tcW w:w="992" w:type="dxa"/>
            <w:tcBorders>
              <w:top w:val="nil"/>
              <w:left w:val="nil"/>
              <w:bottom w:val="single" w:sz="4" w:space="0" w:color="auto"/>
              <w:right w:val="single" w:sz="4" w:space="0" w:color="auto"/>
            </w:tcBorders>
            <w:shd w:val="clear" w:color="auto" w:fill="auto"/>
            <w:noWrap/>
            <w:vAlign w:val="center"/>
            <w:hideMark/>
          </w:tcPr>
          <w:p w14:paraId="715107E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84,5 %</w:t>
            </w:r>
          </w:p>
        </w:tc>
        <w:tc>
          <w:tcPr>
            <w:tcW w:w="1135" w:type="dxa"/>
            <w:tcBorders>
              <w:top w:val="nil"/>
              <w:left w:val="nil"/>
              <w:bottom w:val="single" w:sz="4" w:space="0" w:color="auto"/>
              <w:right w:val="single" w:sz="4" w:space="0" w:color="auto"/>
            </w:tcBorders>
            <w:shd w:val="clear" w:color="auto" w:fill="auto"/>
            <w:noWrap/>
            <w:vAlign w:val="center"/>
            <w:hideMark/>
          </w:tcPr>
          <w:p w14:paraId="4CAA410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1 124</w:t>
            </w:r>
          </w:p>
        </w:tc>
        <w:tc>
          <w:tcPr>
            <w:tcW w:w="850" w:type="dxa"/>
            <w:tcBorders>
              <w:top w:val="nil"/>
              <w:left w:val="nil"/>
              <w:bottom w:val="single" w:sz="4" w:space="0" w:color="auto"/>
              <w:right w:val="single" w:sz="4" w:space="0" w:color="auto"/>
            </w:tcBorders>
            <w:shd w:val="clear" w:color="000000" w:fill="FFC000"/>
            <w:noWrap/>
            <w:vAlign w:val="center"/>
            <w:hideMark/>
          </w:tcPr>
          <w:p w14:paraId="3A8E78D9"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nil"/>
              <w:left w:val="nil"/>
              <w:bottom w:val="single" w:sz="4" w:space="0" w:color="auto"/>
              <w:right w:val="single" w:sz="4" w:space="0" w:color="auto"/>
            </w:tcBorders>
            <w:shd w:val="clear" w:color="000000" w:fill="92D050"/>
            <w:noWrap/>
            <w:vAlign w:val="center"/>
            <w:hideMark/>
          </w:tcPr>
          <w:p w14:paraId="06BEF09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662120A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1FEDB4C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46D7FDBC" w14:textId="77777777" w:rsidTr="00C6729F">
        <w:trPr>
          <w:gridAfter w:val="1"/>
          <w:wAfter w:w="8" w:type="dxa"/>
          <w:trHeight w:val="26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16C03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10</w:t>
            </w:r>
          </w:p>
        </w:tc>
        <w:tc>
          <w:tcPr>
            <w:tcW w:w="2694" w:type="dxa"/>
            <w:tcBorders>
              <w:top w:val="nil"/>
              <w:left w:val="nil"/>
              <w:bottom w:val="single" w:sz="4" w:space="0" w:color="auto"/>
              <w:right w:val="single" w:sz="4" w:space="0" w:color="auto"/>
            </w:tcBorders>
            <w:shd w:val="clear" w:color="auto" w:fill="auto"/>
            <w:noWrap/>
            <w:vAlign w:val="center"/>
            <w:hideMark/>
          </w:tcPr>
          <w:p w14:paraId="45D976F8" w14:textId="77777777" w:rsidR="001A766A" w:rsidRPr="00297E0B" w:rsidRDefault="001A766A" w:rsidP="00C6729F">
            <w:pPr>
              <w:spacing w:after="0" w:line="240" w:lineRule="auto"/>
              <w:rPr>
                <w:rFonts w:ascii="Times New Roman" w:eastAsia="Times New Roman" w:hAnsi="Times New Roman"/>
                <w:sz w:val="18"/>
                <w:szCs w:val="18"/>
                <w:lang w:eastAsia="lv-LV"/>
              </w:rPr>
            </w:pPr>
            <w:r w:rsidRPr="00297E0B">
              <w:rPr>
                <w:rFonts w:ascii="Times New Roman" w:eastAsia="Times New Roman" w:hAnsi="Times New Roman"/>
                <w:sz w:val="18"/>
                <w:szCs w:val="18"/>
                <w:lang w:eastAsia="lv-LV"/>
              </w:rPr>
              <w:t>Ēku uzturēšanas un ainavu kopšanas pakalpojumi</w:t>
            </w:r>
          </w:p>
        </w:tc>
        <w:tc>
          <w:tcPr>
            <w:tcW w:w="850" w:type="dxa"/>
            <w:tcBorders>
              <w:top w:val="nil"/>
              <w:left w:val="nil"/>
              <w:bottom w:val="single" w:sz="4" w:space="0" w:color="auto"/>
              <w:right w:val="single" w:sz="4" w:space="0" w:color="auto"/>
            </w:tcBorders>
            <w:shd w:val="clear" w:color="auto" w:fill="auto"/>
            <w:noWrap/>
            <w:vAlign w:val="center"/>
            <w:hideMark/>
          </w:tcPr>
          <w:p w14:paraId="42B5D246" w14:textId="77777777" w:rsidR="001A766A" w:rsidRPr="00297E0B" w:rsidRDefault="001A766A" w:rsidP="00C6729F">
            <w:pPr>
              <w:spacing w:after="0" w:line="240" w:lineRule="auto"/>
              <w:jc w:val="center"/>
              <w:rPr>
                <w:rFonts w:ascii="Times New Roman" w:eastAsia="Times New Roman" w:hAnsi="Times New Roman"/>
                <w:sz w:val="18"/>
                <w:szCs w:val="18"/>
                <w:lang w:eastAsia="lv-LV"/>
              </w:rPr>
            </w:pPr>
            <w:r w:rsidRPr="00297E0B">
              <w:rPr>
                <w:rFonts w:ascii="Times New Roman" w:eastAsia="Times New Roman" w:hAnsi="Times New Roman"/>
                <w:sz w:val="18"/>
                <w:szCs w:val="18"/>
                <w:lang w:eastAsia="lv-LV"/>
              </w:rPr>
              <w:t>81</w:t>
            </w:r>
          </w:p>
        </w:tc>
        <w:tc>
          <w:tcPr>
            <w:tcW w:w="992" w:type="dxa"/>
            <w:tcBorders>
              <w:top w:val="nil"/>
              <w:left w:val="nil"/>
              <w:bottom w:val="single" w:sz="4" w:space="0" w:color="auto"/>
              <w:right w:val="single" w:sz="4" w:space="0" w:color="auto"/>
            </w:tcBorders>
            <w:shd w:val="clear" w:color="auto" w:fill="auto"/>
            <w:noWrap/>
            <w:vAlign w:val="center"/>
            <w:hideMark/>
          </w:tcPr>
          <w:p w14:paraId="54509A8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83,7 %</w:t>
            </w:r>
          </w:p>
        </w:tc>
        <w:tc>
          <w:tcPr>
            <w:tcW w:w="1135" w:type="dxa"/>
            <w:tcBorders>
              <w:top w:val="nil"/>
              <w:left w:val="nil"/>
              <w:bottom w:val="single" w:sz="4" w:space="0" w:color="auto"/>
              <w:right w:val="single" w:sz="4" w:space="0" w:color="auto"/>
            </w:tcBorders>
            <w:shd w:val="clear" w:color="auto" w:fill="auto"/>
            <w:noWrap/>
            <w:vAlign w:val="center"/>
            <w:hideMark/>
          </w:tcPr>
          <w:p w14:paraId="3344F16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806</w:t>
            </w:r>
          </w:p>
        </w:tc>
        <w:tc>
          <w:tcPr>
            <w:tcW w:w="850" w:type="dxa"/>
            <w:tcBorders>
              <w:top w:val="nil"/>
              <w:left w:val="nil"/>
              <w:bottom w:val="single" w:sz="4" w:space="0" w:color="auto"/>
              <w:right w:val="single" w:sz="4" w:space="0" w:color="auto"/>
            </w:tcBorders>
            <w:shd w:val="clear" w:color="auto" w:fill="FFC000"/>
            <w:noWrap/>
            <w:vAlign w:val="center"/>
            <w:hideMark/>
          </w:tcPr>
          <w:p w14:paraId="76ECE2E3"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c>
          <w:tcPr>
            <w:tcW w:w="851" w:type="dxa"/>
            <w:tcBorders>
              <w:top w:val="nil"/>
              <w:left w:val="nil"/>
              <w:bottom w:val="single" w:sz="4" w:space="0" w:color="auto"/>
              <w:right w:val="single" w:sz="4" w:space="0" w:color="auto"/>
            </w:tcBorders>
            <w:shd w:val="clear" w:color="000000" w:fill="92D050"/>
            <w:noWrap/>
            <w:vAlign w:val="center"/>
            <w:hideMark/>
          </w:tcPr>
          <w:p w14:paraId="78C917B2"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559F03F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5068281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226C5C71"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72DF24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11</w:t>
            </w:r>
          </w:p>
        </w:tc>
        <w:tc>
          <w:tcPr>
            <w:tcW w:w="2694" w:type="dxa"/>
            <w:tcBorders>
              <w:top w:val="nil"/>
              <w:left w:val="nil"/>
              <w:bottom w:val="single" w:sz="4" w:space="0" w:color="auto"/>
              <w:right w:val="single" w:sz="4" w:space="0" w:color="auto"/>
            </w:tcBorders>
            <w:shd w:val="clear" w:color="auto" w:fill="auto"/>
            <w:noWrap/>
            <w:vAlign w:val="center"/>
            <w:hideMark/>
          </w:tcPr>
          <w:p w14:paraId="68B49DF4"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Juridiskie un grāmatvedības pakalpojumi</w:t>
            </w:r>
          </w:p>
        </w:tc>
        <w:tc>
          <w:tcPr>
            <w:tcW w:w="850" w:type="dxa"/>
            <w:tcBorders>
              <w:top w:val="nil"/>
              <w:left w:val="nil"/>
              <w:bottom w:val="single" w:sz="4" w:space="0" w:color="auto"/>
              <w:right w:val="single" w:sz="4" w:space="0" w:color="auto"/>
            </w:tcBorders>
            <w:shd w:val="clear" w:color="auto" w:fill="auto"/>
            <w:noWrap/>
            <w:vAlign w:val="center"/>
            <w:hideMark/>
          </w:tcPr>
          <w:p w14:paraId="741C85C2"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69</w:t>
            </w:r>
          </w:p>
        </w:tc>
        <w:tc>
          <w:tcPr>
            <w:tcW w:w="992" w:type="dxa"/>
            <w:tcBorders>
              <w:top w:val="nil"/>
              <w:left w:val="nil"/>
              <w:bottom w:val="single" w:sz="4" w:space="0" w:color="auto"/>
              <w:right w:val="single" w:sz="4" w:space="0" w:color="auto"/>
            </w:tcBorders>
            <w:shd w:val="clear" w:color="auto" w:fill="auto"/>
            <w:noWrap/>
            <w:vAlign w:val="center"/>
            <w:hideMark/>
          </w:tcPr>
          <w:p w14:paraId="054467CE"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83,2 %</w:t>
            </w:r>
          </w:p>
        </w:tc>
        <w:tc>
          <w:tcPr>
            <w:tcW w:w="1135" w:type="dxa"/>
            <w:tcBorders>
              <w:top w:val="nil"/>
              <w:left w:val="nil"/>
              <w:bottom w:val="single" w:sz="4" w:space="0" w:color="auto"/>
              <w:right w:val="single" w:sz="4" w:space="0" w:color="auto"/>
            </w:tcBorders>
            <w:shd w:val="clear" w:color="auto" w:fill="auto"/>
            <w:noWrap/>
            <w:vAlign w:val="center"/>
            <w:hideMark/>
          </w:tcPr>
          <w:p w14:paraId="2C4EF4E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1 861</w:t>
            </w:r>
          </w:p>
        </w:tc>
        <w:tc>
          <w:tcPr>
            <w:tcW w:w="850" w:type="dxa"/>
            <w:tcBorders>
              <w:top w:val="nil"/>
              <w:left w:val="nil"/>
              <w:bottom w:val="single" w:sz="4" w:space="0" w:color="auto"/>
              <w:right w:val="single" w:sz="4" w:space="0" w:color="auto"/>
            </w:tcBorders>
            <w:shd w:val="clear" w:color="000000" w:fill="92D050"/>
            <w:noWrap/>
            <w:vAlign w:val="center"/>
            <w:hideMark/>
          </w:tcPr>
          <w:p w14:paraId="6C16C637"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1" w:type="dxa"/>
            <w:tcBorders>
              <w:top w:val="nil"/>
              <w:left w:val="nil"/>
              <w:bottom w:val="single" w:sz="4" w:space="0" w:color="auto"/>
              <w:right w:val="single" w:sz="4" w:space="0" w:color="auto"/>
            </w:tcBorders>
            <w:shd w:val="clear" w:color="000000" w:fill="92D050"/>
            <w:noWrap/>
            <w:vAlign w:val="center"/>
            <w:hideMark/>
          </w:tcPr>
          <w:p w14:paraId="40BF2CE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012B9788"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0060F38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118291A3"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2230F7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12</w:t>
            </w:r>
          </w:p>
        </w:tc>
        <w:tc>
          <w:tcPr>
            <w:tcW w:w="2694" w:type="dxa"/>
            <w:tcBorders>
              <w:top w:val="nil"/>
              <w:left w:val="nil"/>
              <w:bottom w:val="single" w:sz="4" w:space="0" w:color="auto"/>
              <w:right w:val="single" w:sz="4" w:space="0" w:color="auto"/>
            </w:tcBorders>
            <w:shd w:val="clear" w:color="auto" w:fill="auto"/>
            <w:noWrap/>
            <w:vAlign w:val="center"/>
            <w:hideMark/>
          </w:tcPr>
          <w:p w14:paraId="0614FCFC"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Centrālo biroju darbība; konsultēšana komercdarbībā un vadībzinībās</w:t>
            </w:r>
          </w:p>
        </w:tc>
        <w:tc>
          <w:tcPr>
            <w:tcW w:w="850" w:type="dxa"/>
            <w:tcBorders>
              <w:top w:val="nil"/>
              <w:left w:val="nil"/>
              <w:bottom w:val="single" w:sz="4" w:space="0" w:color="auto"/>
              <w:right w:val="single" w:sz="4" w:space="0" w:color="auto"/>
            </w:tcBorders>
            <w:shd w:val="clear" w:color="auto" w:fill="auto"/>
            <w:noWrap/>
            <w:vAlign w:val="center"/>
            <w:hideMark/>
          </w:tcPr>
          <w:p w14:paraId="6E39FE3A"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70</w:t>
            </w:r>
          </w:p>
        </w:tc>
        <w:tc>
          <w:tcPr>
            <w:tcW w:w="992" w:type="dxa"/>
            <w:tcBorders>
              <w:top w:val="nil"/>
              <w:left w:val="nil"/>
              <w:bottom w:val="single" w:sz="4" w:space="0" w:color="auto"/>
              <w:right w:val="single" w:sz="4" w:space="0" w:color="auto"/>
            </w:tcBorders>
            <w:shd w:val="clear" w:color="auto" w:fill="auto"/>
            <w:noWrap/>
            <w:vAlign w:val="center"/>
            <w:hideMark/>
          </w:tcPr>
          <w:p w14:paraId="41DAD72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83,2 %</w:t>
            </w:r>
          </w:p>
        </w:tc>
        <w:tc>
          <w:tcPr>
            <w:tcW w:w="1135" w:type="dxa"/>
            <w:tcBorders>
              <w:top w:val="nil"/>
              <w:left w:val="nil"/>
              <w:bottom w:val="single" w:sz="4" w:space="0" w:color="auto"/>
              <w:right w:val="single" w:sz="4" w:space="0" w:color="auto"/>
            </w:tcBorders>
            <w:shd w:val="clear" w:color="auto" w:fill="auto"/>
            <w:noWrap/>
            <w:vAlign w:val="center"/>
            <w:hideMark/>
          </w:tcPr>
          <w:p w14:paraId="037BE1B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1 480</w:t>
            </w:r>
          </w:p>
        </w:tc>
        <w:tc>
          <w:tcPr>
            <w:tcW w:w="850" w:type="dxa"/>
            <w:tcBorders>
              <w:top w:val="nil"/>
              <w:left w:val="nil"/>
              <w:bottom w:val="single" w:sz="4" w:space="0" w:color="auto"/>
              <w:right w:val="single" w:sz="4" w:space="0" w:color="auto"/>
            </w:tcBorders>
            <w:shd w:val="clear" w:color="000000" w:fill="92D050"/>
            <w:noWrap/>
            <w:vAlign w:val="center"/>
            <w:hideMark/>
          </w:tcPr>
          <w:p w14:paraId="428FAD7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1" w:type="dxa"/>
            <w:tcBorders>
              <w:top w:val="nil"/>
              <w:left w:val="nil"/>
              <w:bottom w:val="single" w:sz="4" w:space="0" w:color="auto"/>
              <w:right w:val="single" w:sz="4" w:space="0" w:color="auto"/>
            </w:tcBorders>
            <w:shd w:val="clear" w:color="000000" w:fill="92D050"/>
            <w:noWrap/>
            <w:vAlign w:val="center"/>
            <w:hideMark/>
          </w:tcPr>
          <w:p w14:paraId="1CFF2CC4"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04650FF5"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3421D8A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3819F2D3" w14:textId="77777777" w:rsidTr="00C6729F">
        <w:trPr>
          <w:gridAfter w:val="1"/>
          <w:wAfter w:w="8" w:type="dxa"/>
          <w:trHeight w:val="250"/>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919C872"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13</w:t>
            </w:r>
          </w:p>
        </w:tc>
        <w:tc>
          <w:tcPr>
            <w:tcW w:w="2694" w:type="dxa"/>
            <w:tcBorders>
              <w:top w:val="nil"/>
              <w:left w:val="nil"/>
              <w:bottom w:val="single" w:sz="4" w:space="0" w:color="auto"/>
              <w:right w:val="single" w:sz="4" w:space="0" w:color="auto"/>
            </w:tcBorders>
            <w:shd w:val="clear" w:color="auto" w:fill="auto"/>
            <w:noWrap/>
            <w:vAlign w:val="center"/>
            <w:hideMark/>
          </w:tcPr>
          <w:p w14:paraId="4D2B9A06"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Biroju administratīvās darbības un citas uzņēmumu palīgdarbības</w:t>
            </w:r>
          </w:p>
        </w:tc>
        <w:tc>
          <w:tcPr>
            <w:tcW w:w="850" w:type="dxa"/>
            <w:tcBorders>
              <w:top w:val="nil"/>
              <w:left w:val="nil"/>
              <w:bottom w:val="single" w:sz="4" w:space="0" w:color="auto"/>
              <w:right w:val="single" w:sz="4" w:space="0" w:color="auto"/>
            </w:tcBorders>
            <w:shd w:val="clear" w:color="auto" w:fill="auto"/>
            <w:noWrap/>
            <w:vAlign w:val="center"/>
            <w:hideMark/>
          </w:tcPr>
          <w:p w14:paraId="1CC0C58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82</w:t>
            </w:r>
          </w:p>
        </w:tc>
        <w:tc>
          <w:tcPr>
            <w:tcW w:w="992" w:type="dxa"/>
            <w:tcBorders>
              <w:top w:val="nil"/>
              <w:left w:val="nil"/>
              <w:bottom w:val="single" w:sz="4" w:space="0" w:color="auto"/>
              <w:right w:val="single" w:sz="4" w:space="0" w:color="auto"/>
            </w:tcBorders>
            <w:shd w:val="clear" w:color="auto" w:fill="auto"/>
            <w:noWrap/>
            <w:vAlign w:val="center"/>
            <w:hideMark/>
          </w:tcPr>
          <w:p w14:paraId="2A6599DD"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83,7 %</w:t>
            </w:r>
          </w:p>
        </w:tc>
        <w:tc>
          <w:tcPr>
            <w:tcW w:w="1135" w:type="dxa"/>
            <w:tcBorders>
              <w:top w:val="nil"/>
              <w:left w:val="nil"/>
              <w:bottom w:val="single" w:sz="4" w:space="0" w:color="auto"/>
              <w:right w:val="single" w:sz="4" w:space="0" w:color="auto"/>
            </w:tcBorders>
            <w:shd w:val="clear" w:color="auto" w:fill="auto"/>
            <w:noWrap/>
            <w:vAlign w:val="center"/>
            <w:hideMark/>
          </w:tcPr>
          <w:p w14:paraId="16CC8F60"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403</w:t>
            </w:r>
          </w:p>
        </w:tc>
        <w:tc>
          <w:tcPr>
            <w:tcW w:w="850" w:type="dxa"/>
            <w:tcBorders>
              <w:top w:val="nil"/>
              <w:left w:val="nil"/>
              <w:bottom w:val="single" w:sz="4" w:space="0" w:color="auto"/>
              <w:right w:val="single" w:sz="4" w:space="0" w:color="auto"/>
            </w:tcBorders>
            <w:shd w:val="clear" w:color="000000" w:fill="92D050"/>
            <w:noWrap/>
            <w:vAlign w:val="center"/>
            <w:hideMark/>
          </w:tcPr>
          <w:p w14:paraId="40A5126B"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1" w:type="dxa"/>
            <w:tcBorders>
              <w:top w:val="nil"/>
              <w:left w:val="nil"/>
              <w:bottom w:val="single" w:sz="4" w:space="0" w:color="auto"/>
              <w:right w:val="single" w:sz="4" w:space="0" w:color="auto"/>
            </w:tcBorders>
            <w:shd w:val="clear" w:color="000000" w:fill="92D050"/>
            <w:noWrap/>
            <w:vAlign w:val="center"/>
            <w:hideMark/>
          </w:tcPr>
          <w:p w14:paraId="17C063B9"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nil"/>
              <w:left w:val="nil"/>
              <w:bottom w:val="single" w:sz="4" w:space="0" w:color="auto"/>
              <w:right w:val="single" w:sz="4" w:space="0" w:color="auto"/>
            </w:tcBorders>
            <w:shd w:val="clear" w:color="000000" w:fill="FF0000"/>
            <w:noWrap/>
            <w:vAlign w:val="center"/>
            <w:hideMark/>
          </w:tcPr>
          <w:p w14:paraId="4ABE634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nil"/>
              <w:left w:val="nil"/>
              <w:bottom w:val="single" w:sz="4" w:space="0" w:color="auto"/>
              <w:right w:val="single" w:sz="4" w:space="0" w:color="auto"/>
            </w:tcBorders>
            <w:shd w:val="clear" w:color="000000" w:fill="FFC000"/>
            <w:noWrap/>
            <w:vAlign w:val="center"/>
            <w:hideMark/>
          </w:tcPr>
          <w:p w14:paraId="04F4A2E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Vidējs</w:t>
            </w:r>
          </w:p>
        </w:tc>
      </w:tr>
      <w:tr w:rsidR="001A766A" w14:paraId="744621C6" w14:textId="77777777" w:rsidTr="00C6729F">
        <w:trPr>
          <w:gridAfter w:val="1"/>
          <w:wAfter w:w="8" w:type="dxa"/>
          <w:trHeight w:val="25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5550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14</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541AE4B9" w14:textId="77777777" w:rsidR="001A766A" w:rsidRPr="00297E0B" w:rsidRDefault="001A766A" w:rsidP="00C6729F">
            <w:pPr>
              <w:spacing w:after="0" w:line="240" w:lineRule="auto"/>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Arhitektūras un inženiertehniskie pakalpojumi; tehniskā pārbaude un analīze</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6C5737C"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71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FEC338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82,9 %</w:t>
            </w:r>
          </w:p>
        </w:tc>
        <w:tc>
          <w:tcPr>
            <w:tcW w:w="1135" w:type="dxa"/>
            <w:tcBorders>
              <w:top w:val="single" w:sz="4" w:space="0" w:color="auto"/>
              <w:left w:val="nil"/>
              <w:bottom w:val="single" w:sz="4" w:space="0" w:color="auto"/>
              <w:right w:val="single" w:sz="4" w:space="0" w:color="auto"/>
            </w:tcBorders>
            <w:shd w:val="clear" w:color="auto" w:fill="auto"/>
            <w:noWrap/>
            <w:vAlign w:val="center"/>
          </w:tcPr>
          <w:p w14:paraId="2382FB26"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1 483</w:t>
            </w:r>
          </w:p>
        </w:tc>
        <w:tc>
          <w:tcPr>
            <w:tcW w:w="850" w:type="dxa"/>
            <w:tcBorders>
              <w:top w:val="single" w:sz="4" w:space="0" w:color="auto"/>
              <w:left w:val="nil"/>
              <w:bottom w:val="single" w:sz="4" w:space="0" w:color="auto"/>
              <w:right w:val="single" w:sz="4" w:space="0" w:color="auto"/>
            </w:tcBorders>
            <w:shd w:val="clear" w:color="000000" w:fill="92D050"/>
            <w:noWrap/>
            <w:vAlign w:val="center"/>
          </w:tcPr>
          <w:p w14:paraId="72E9A091"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Ļoti zems</w:t>
            </w:r>
          </w:p>
        </w:tc>
        <w:tc>
          <w:tcPr>
            <w:tcW w:w="851" w:type="dxa"/>
            <w:tcBorders>
              <w:top w:val="single" w:sz="4" w:space="0" w:color="auto"/>
              <w:left w:val="nil"/>
              <w:bottom w:val="single" w:sz="4" w:space="0" w:color="auto"/>
              <w:right w:val="single" w:sz="4" w:space="0" w:color="auto"/>
            </w:tcBorders>
            <w:shd w:val="clear" w:color="000000" w:fill="92D050"/>
            <w:noWrap/>
            <w:vAlign w:val="center"/>
          </w:tcPr>
          <w:p w14:paraId="07C1CA9F"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c>
          <w:tcPr>
            <w:tcW w:w="850" w:type="dxa"/>
            <w:tcBorders>
              <w:top w:val="single" w:sz="4" w:space="0" w:color="auto"/>
              <w:left w:val="nil"/>
              <w:bottom w:val="single" w:sz="4" w:space="0" w:color="auto"/>
              <w:right w:val="single" w:sz="4" w:space="0" w:color="auto"/>
            </w:tcBorders>
            <w:shd w:val="clear" w:color="000000" w:fill="FF0000"/>
            <w:noWrap/>
            <w:vAlign w:val="center"/>
          </w:tcPr>
          <w:p w14:paraId="3086F7A0"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Augsts</w:t>
            </w:r>
          </w:p>
        </w:tc>
        <w:tc>
          <w:tcPr>
            <w:tcW w:w="857" w:type="dxa"/>
            <w:tcBorders>
              <w:top w:val="single" w:sz="4" w:space="0" w:color="auto"/>
              <w:left w:val="nil"/>
              <w:bottom w:val="single" w:sz="4" w:space="0" w:color="auto"/>
              <w:right w:val="single" w:sz="4" w:space="0" w:color="auto"/>
            </w:tcBorders>
            <w:shd w:val="clear" w:color="000000" w:fill="FFC000"/>
            <w:noWrap/>
            <w:vAlign w:val="center"/>
          </w:tcPr>
          <w:p w14:paraId="44D68200" w14:textId="77777777" w:rsidR="001A766A" w:rsidRPr="00297E0B" w:rsidRDefault="001A766A" w:rsidP="00C6729F">
            <w:pPr>
              <w:spacing w:after="0" w:line="240" w:lineRule="auto"/>
              <w:jc w:val="center"/>
              <w:rPr>
                <w:rFonts w:ascii="Times New Roman" w:eastAsia="Times New Roman" w:hAnsi="Times New Roman"/>
                <w:color w:val="000000"/>
                <w:sz w:val="18"/>
                <w:szCs w:val="18"/>
                <w:lang w:eastAsia="lv-LV"/>
              </w:rPr>
            </w:pPr>
            <w:r w:rsidRPr="00297E0B">
              <w:rPr>
                <w:rFonts w:ascii="Times New Roman" w:eastAsia="Times New Roman" w:hAnsi="Times New Roman"/>
                <w:color w:val="000000"/>
                <w:sz w:val="18"/>
                <w:szCs w:val="18"/>
                <w:lang w:eastAsia="lv-LV"/>
              </w:rPr>
              <w:t>Zems</w:t>
            </w:r>
          </w:p>
        </w:tc>
      </w:tr>
    </w:tbl>
    <w:p w14:paraId="418A98B9" w14:textId="77777777" w:rsidR="001A766A" w:rsidRPr="009A65D7" w:rsidRDefault="001A766A" w:rsidP="001A766A">
      <w:pPr>
        <w:spacing w:after="0" w:line="240" w:lineRule="auto"/>
        <w:jc w:val="both"/>
        <w:rPr>
          <w:rFonts w:ascii="Times New Roman" w:hAnsi="Times New Roman"/>
          <w:i/>
          <w:iCs/>
          <w:sz w:val="24"/>
          <w:szCs w:val="24"/>
        </w:rPr>
      </w:pPr>
      <w:r w:rsidRPr="009A65D7">
        <w:rPr>
          <w:rFonts w:ascii="Times New Roman" w:hAnsi="Times New Roman"/>
          <w:i/>
          <w:iCs/>
          <w:sz w:val="24"/>
          <w:szCs w:val="24"/>
        </w:rPr>
        <w:t>Avots: VID dati</w:t>
      </w:r>
    </w:p>
    <w:p w14:paraId="7D11CB58" w14:textId="269385FF" w:rsidR="001A766A" w:rsidRPr="00297E0B" w:rsidRDefault="001A766A" w:rsidP="001A766A">
      <w:pPr>
        <w:spacing w:before="200" w:after="0" w:line="240" w:lineRule="auto"/>
        <w:ind w:firstLine="720"/>
        <w:jc w:val="both"/>
        <w:rPr>
          <w:rFonts w:ascii="Times New Roman" w:hAnsi="Times New Roman"/>
          <w:sz w:val="28"/>
          <w:szCs w:val="28"/>
        </w:rPr>
      </w:pPr>
      <w:r w:rsidRPr="00297E0B">
        <w:rPr>
          <w:rFonts w:ascii="Times New Roman" w:hAnsi="Times New Roman"/>
          <w:sz w:val="28"/>
          <w:szCs w:val="28"/>
        </w:rPr>
        <w:t>Vairumtirdzniecības nozarē (NACE 2.red. 46</w:t>
      </w:r>
      <w:r>
        <w:rPr>
          <w:rFonts w:ascii="Times New Roman" w:hAnsi="Times New Roman"/>
          <w:sz w:val="28"/>
          <w:szCs w:val="28"/>
        </w:rPr>
        <w:t xml:space="preserve"> </w:t>
      </w:r>
      <w:r w:rsidRPr="00297E0B">
        <w:rPr>
          <w:rFonts w:ascii="Times New Roman" w:hAnsi="Times New Roman"/>
          <w:sz w:val="28"/>
          <w:szCs w:val="28"/>
        </w:rPr>
        <w:t xml:space="preserve">kods) kopējais risku līmenis ir vērtējams kā augsts. </w:t>
      </w:r>
      <w:r w:rsidRPr="007F5343">
        <w:rPr>
          <w:rFonts w:ascii="Times New Roman" w:hAnsi="Times New Roman"/>
          <w:sz w:val="28"/>
          <w:szCs w:val="28"/>
        </w:rPr>
        <w:t>Nozares nodokļu maksātājiem reģistrācijas riski vērtējami ar vidēju prioritāti, jo 10,2 % no nozares jaundibinātajiem uzņēmumiem ir tādi, par kuru īpašniekiem vai amatpersonām VID rīcībā ir negatīva rakstura informācija attiecībā uz iespējamo nodokļu saistību izpildi. Kā arī 3,6 % no nozares PVN maksātājiem 2020.gadā pēc VID iniciatīvas izslēgti no VID PVN maksātāju reģistra. Šo risku uzraudzību VID var nodrošināt pašu spēkiem, veicot nodokļu administrēšanas pasākumus nodokļu maksātājiem ar reģistrācijas riskiem.</w:t>
      </w:r>
      <w:r w:rsidRPr="00297E0B">
        <w:rPr>
          <w:rFonts w:ascii="Times New Roman" w:hAnsi="Times New Roman"/>
          <w:sz w:val="28"/>
          <w:szCs w:val="28"/>
        </w:rPr>
        <w:t xml:space="preserve"> Kopumā šo risku novērtējumu nosaka netiešas indikācijas, kas var norādīt uz nodokļu maksātājiem, kuri potenciāli varētu tikt iesaistīti PVN </w:t>
      </w:r>
      <w:proofErr w:type="spellStart"/>
      <w:r w:rsidRPr="00297E0B">
        <w:rPr>
          <w:rFonts w:ascii="Times New Roman" w:hAnsi="Times New Roman"/>
          <w:sz w:val="28"/>
          <w:szCs w:val="28"/>
        </w:rPr>
        <w:t>krāpniecības</w:t>
      </w:r>
      <w:proofErr w:type="spellEnd"/>
      <w:r w:rsidRPr="00297E0B">
        <w:rPr>
          <w:rFonts w:ascii="Times New Roman" w:hAnsi="Times New Roman"/>
          <w:sz w:val="28"/>
          <w:szCs w:val="28"/>
        </w:rPr>
        <w:t xml:space="preserve"> shēmās. Papildus reģistrācijas riskiem ir konstatēti arī nodokļu deklarēšanas riski, kur novērots augsts “aplokšņu” algu plaisas īpatsvars (2020.gadā – 16,7 %), kā arī būtiski ar PVN deklarēšanu saistīti riski konstatēti 10,6 % no nozares juridiskajām personām.</w:t>
      </w:r>
    </w:p>
    <w:p w14:paraId="2EB2DC84" w14:textId="77777777" w:rsidR="001A766A" w:rsidRDefault="001A766A" w:rsidP="001A766A">
      <w:pPr>
        <w:spacing w:after="0" w:line="240" w:lineRule="auto"/>
        <w:ind w:firstLine="720"/>
        <w:jc w:val="both"/>
        <w:rPr>
          <w:rFonts w:ascii="Times New Roman" w:hAnsi="Times New Roman"/>
          <w:sz w:val="28"/>
          <w:szCs w:val="28"/>
        </w:rPr>
      </w:pPr>
    </w:p>
    <w:p w14:paraId="1EC27D03" w14:textId="77777777"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Vairumtirdzniecības nozares nodokļu maksātājiem visbiežāk novēroti riski par, iespējams, neatbilstoši uzrādītajiem ES darījumiem, par darījumiem ar riskantiem darījumu partneriem, kā arī par nodokļu maksātāju neatbilstoši mazu realizācijas uzcenojumu u.c. Šādi riski varētu būt saistīti ar nodokļu maksātāju iespējamo iesaistīšanos PVN krāpnieciskajās shēmas.</w:t>
      </w:r>
    </w:p>
    <w:p w14:paraId="26429364" w14:textId="7E809D74"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lastRenderedPageBreak/>
        <w:t xml:space="preserve">Detalizētāk vērtējot vairumtirdzniecības </w:t>
      </w:r>
      <w:proofErr w:type="spellStart"/>
      <w:r w:rsidRPr="00297E0B">
        <w:rPr>
          <w:rFonts w:ascii="Times New Roman" w:hAnsi="Times New Roman"/>
          <w:sz w:val="28"/>
          <w:szCs w:val="28"/>
        </w:rPr>
        <w:t>apakšnozares</w:t>
      </w:r>
      <w:proofErr w:type="spellEnd"/>
      <w:r w:rsidRPr="00297E0B">
        <w:rPr>
          <w:rFonts w:ascii="Times New Roman" w:hAnsi="Times New Roman"/>
          <w:sz w:val="28"/>
          <w:szCs w:val="28"/>
        </w:rPr>
        <w:t xml:space="preserve"> pārstāvošo nodokļu maksātāju riskus, secināms, ka visriskantākās ir </w:t>
      </w:r>
      <w:proofErr w:type="spellStart"/>
      <w:r w:rsidRPr="00297E0B">
        <w:rPr>
          <w:rFonts w:ascii="Times New Roman" w:hAnsi="Times New Roman"/>
          <w:sz w:val="28"/>
          <w:szCs w:val="28"/>
        </w:rPr>
        <w:t>apakšnozares</w:t>
      </w:r>
      <w:proofErr w:type="spellEnd"/>
      <w:r w:rsidRPr="00297E0B">
        <w:rPr>
          <w:rFonts w:ascii="Times New Roman" w:hAnsi="Times New Roman"/>
          <w:sz w:val="28"/>
          <w:szCs w:val="28"/>
        </w:rPr>
        <w:t xml:space="preserve">, kuras saistītas ar tādām preču grupām, kurām </w:t>
      </w:r>
      <w:r w:rsidR="00850915">
        <w:rPr>
          <w:rFonts w:ascii="Times New Roman" w:hAnsi="Times New Roman"/>
          <w:sz w:val="28"/>
          <w:szCs w:val="28"/>
        </w:rPr>
        <w:t xml:space="preserve">apgrieztā jeb </w:t>
      </w:r>
      <w:r w:rsidRPr="00297E0B">
        <w:rPr>
          <w:rFonts w:ascii="Times New Roman" w:hAnsi="Times New Roman"/>
          <w:sz w:val="28"/>
          <w:szCs w:val="28"/>
        </w:rPr>
        <w:t xml:space="preserve">reversā PVN maksāšanas kārtība jau ir ieviesta vai kādreiz tikusi piemērota (piemēram, </w:t>
      </w:r>
      <w:r w:rsidR="00850915">
        <w:rPr>
          <w:rFonts w:ascii="Times New Roman" w:hAnsi="Times New Roman"/>
          <w:sz w:val="28"/>
          <w:szCs w:val="28"/>
        </w:rPr>
        <w:t>k</w:t>
      </w:r>
      <w:r w:rsidRPr="00297E0B">
        <w:rPr>
          <w:rFonts w:ascii="Times New Roman" w:hAnsi="Times New Roman"/>
          <w:sz w:val="28"/>
          <w:szCs w:val="28"/>
        </w:rPr>
        <w:t xml:space="preserve">okmateriālu, būvmateriālu un sanitārtehnikas ierīču vairumtirdzniecība, </w:t>
      </w:r>
      <w:r w:rsidR="00850915">
        <w:rPr>
          <w:rFonts w:ascii="Times New Roman" w:hAnsi="Times New Roman"/>
          <w:sz w:val="28"/>
          <w:szCs w:val="28"/>
        </w:rPr>
        <w:t>e</w:t>
      </w:r>
      <w:r w:rsidRPr="00297E0B">
        <w:rPr>
          <w:rFonts w:ascii="Times New Roman" w:hAnsi="Times New Roman"/>
          <w:sz w:val="28"/>
          <w:szCs w:val="28"/>
        </w:rPr>
        <w:t xml:space="preserve">lektronisko ierīču, telekomunikāciju iekārtu un to daļu vairumtirdzniecība). </w:t>
      </w:r>
    </w:p>
    <w:p w14:paraId="631D18C0" w14:textId="77777777" w:rsidR="001A766A" w:rsidRPr="00297E0B" w:rsidRDefault="001A766A" w:rsidP="001A766A">
      <w:pPr>
        <w:spacing w:before="200" w:after="0" w:line="240" w:lineRule="auto"/>
        <w:ind w:firstLine="720"/>
        <w:jc w:val="both"/>
        <w:rPr>
          <w:rFonts w:ascii="Times New Roman" w:hAnsi="Times New Roman"/>
          <w:sz w:val="28"/>
          <w:szCs w:val="28"/>
        </w:rPr>
      </w:pPr>
      <w:r>
        <w:rPr>
          <w:rFonts w:ascii="Times New Roman" w:hAnsi="Times New Roman"/>
          <w:sz w:val="28"/>
          <w:szCs w:val="28"/>
        </w:rPr>
        <w:t>Operāciju ar n</w:t>
      </w:r>
      <w:r w:rsidRPr="00297E0B">
        <w:rPr>
          <w:rFonts w:ascii="Times New Roman" w:hAnsi="Times New Roman"/>
          <w:sz w:val="28"/>
          <w:szCs w:val="28"/>
        </w:rPr>
        <w:t>ekustamo īpašumu nozarē</w:t>
      </w:r>
      <w:r w:rsidRPr="00297E0B">
        <w:t xml:space="preserve"> </w:t>
      </w:r>
      <w:r w:rsidRPr="00297E0B">
        <w:rPr>
          <w:rFonts w:ascii="Times New Roman" w:hAnsi="Times New Roman"/>
          <w:sz w:val="28"/>
          <w:szCs w:val="28"/>
        </w:rPr>
        <w:t>(NACE 2.red. kods 68) identificēti riski, kuri saistīti ar neuzskaitītiem ieņēmumiem, kā arī ar mākslīgi palielinātu saimniecisko izdevumu daļu.</w:t>
      </w:r>
    </w:p>
    <w:p w14:paraId="6E4B6B25" w14:textId="77777777"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 xml:space="preserve">Šīs nozares nodokļu maksātājiem visbiežāk novēroti riski par, iespējams, nepamatotu darījumu uzrādīšanu priekšnodoklī vai arī nepilnīgi deklarēto kopējo darījumu vērtību, uz ko norāda neatbilstības PVN deklarāciju </w:t>
      </w:r>
      <w:r>
        <w:rPr>
          <w:rFonts w:ascii="Times New Roman" w:hAnsi="Times New Roman"/>
          <w:sz w:val="28"/>
          <w:szCs w:val="28"/>
        </w:rPr>
        <w:t>datos</w:t>
      </w:r>
      <w:r w:rsidRPr="00297E0B">
        <w:rPr>
          <w:rFonts w:ascii="Times New Roman" w:hAnsi="Times New Roman"/>
          <w:sz w:val="28"/>
          <w:szCs w:val="28"/>
        </w:rPr>
        <w:t xml:space="preserve"> (priekšnodokļa, kopējās darījumu vērtības vai PVN pārmaksu summās). </w:t>
      </w:r>
    </w:p>
    <w:p w14:paraId="5E5A4BC6" w14:textId="77777777" w:rsidR="001A766A" w:rsidRPr="00297E0B" w:rsidRDefault="001A766A" w:rsidP="001A766A">
      <w:pPr>
        <w:pStyle w:val="ListParagraph"/>
        <w:spacing w:after="0" w:line="240" w:lineRule="auto"/>
        <w:ind w:left="0" w:firstLine="720"/>
        <w:jc w:val="both"/>
        <w:rPr>
          <w:rFonts w:ascii="Times New Roman" w:hAnsi="Times New Roman"/>
          <w:sz w:val="28"/>
          <w:szCs w:val="28"/>
        </w:rPr>
      </w:pPr>
      <w:r w:rsidRPr="00297E0B">
        <w:rPr>
          <w:rFonts w:ascii="Times New Roman" w:hAnsi="Times New Roman"/>
          <w:sz w:val="28"/>
          <w:szCs w:val="28"/>
        </w:rPr>
        <w:t xml:space="preserve">Tomēr uzskatām, ka šīs nozares nodokļu maksātāju iesaiste krāpnieciskās PVN darījumu shēmās jau ir ierobežota biznesa specifikas dēļ, jo saimnieciskā darbība lielā mērā saistīta ar virkni juridisku procedūru. PVN krāpnieciskās shēmas </w:t>
      </w:r>
      <w:r>
        <w:rPr>
          <w:rFonts w:ascii="Times New Roman" w:hAnsi="Times New Roman"/>
          <w:sz w:val="28"/>
          <w:szCs w:val="28"/>
        </w:rPr>
        <w:t xml:space="preserve">galvenokārt </w:t>
      </w:r>
      <w:r w:rsidRPr="00297E0B">
        <w:rPr>
          <w:rFonts w:ascii="Times New Roman" w:hAnsi="Times New Roman"/>
          <w:sz w:val="28"/>
          <w:szCs w:val="28"/>
        </w:rPr>
        <w:t>paredz ātru un lētu īpašuma tiesību nodošanu starp darījuma partneriem, kas savukārt darījumos ar nekustamo īpašumu nav iespējams, jo nepieciešams veikt juridiskas un finanšu pakalpojumu procedūras, kas saistītas ar darījumu reģistrāciju.</w:t>
      </w:r>
    </w:p>
    <w:p w14:paraId="4919C2F8" w14:textId="77777777" w:rsidR="001A766A" w:rsidRPr="00297E0B" w:rsidRDefault="001A766A" w:rsidP="001A766A">
      <w:pPr>
        <w:spacing w:before="200" w:after="0" w:line="240" w:lineRule="auto"/>
        <w:ind w:firstLine="720"/>
        <w:jc w:val="both"/>
        <w:rPr>
          <w:rFonts w:ascii="Times New Roman" w:hAnsi="Times New Roman"/>
          <w:sz w:val="28"/>
          <w:szCs w:val="28"/>
        </w:rPr>
      </w:pPr>
      <w:r w:rsidRPr="00297E0B">
        <w:rPr>
          <w:rFonts w:ascii="Times New Roman" w:hAnsi="Times New Roman"/>
          <w:sz w:val="28"/>
          <w:szCs w:val="28"/>
        </w:rPr>
        <w:t>Pārējām nozarēm ar pietiekami augstu B2B modeļa darījumu īpatsvaru</w:t>
      </w:r>
      <w:r>
        <w:rPr>
          <w:rFonts w:ascii="Times New Roman" w:hAnsi="Times New Roman"/>
          <w:sz w:val="28"/>
          <w:szCs w:val="28"/>
        </w:rPr>
        <w:t xml:space="preserve"> un darījumu apjomu</w:t>
      </w:r>
      <w:r w:rsidRPr="00297E0B">
        <w:rPr>
          <w:rFonts w:ascii="Times New Roman" w:hAnsi="Times New Roman"/>
          <w:sz w:val="28"/>
          <w:szCs w:val="28"/>
        </w:rPr>
        <w:t xml:space="preserve"> PVN riski kopumā vērtējami ar zemu prioritāti. </w:t>
      </w:r>
      <w:r w:rsidRPr="00BC44F8">
        <w:rPr>
          <w:rFonts w:ascii="Times New Roman" w:hAnsi="Times New Roman"/>
          <w:sz w:val="28"/>
          <w:szCs w:val="28"/>
        </w:rPr>
        <w:t xml:space="preserve">Daļai no 2.tabulā minētajām nozarēm </w:t>
      </w:r>
      <w:r w:rsidRPr="00297E0B">
        <w:rPr>
          <w:rFonts w:ascii="Times New Roman" w:hAnsi="Times New Roman"/>
          <w:sz w:val="28"/>
          <w:szCs w:val="28"/>
        </w:rPr>
        <w:t>attiecīgās nozares riska profils liecina par to, ka tajā dominē neuzskaitītie ieņēmumi no saimnieciskās darbības un aplokšņu algas, nevis būtiski PVN riski. Piemēram, apsardzes pakalpojumu nozarē (NACE 2.red. kods 80) un ēku uzturēšanas un ainavu kopšanas pakalpojumu nozarē (NACE 2.red. kods 81) lielākoties ir identificēti riski, kas saistīti ar neuzskaitītiem ieņēmumiem un “aplokšņu” algām, bet ne būtiski PVN riski.</w:t>
      </w:r>
    </w:p>
    <w:p w14:paraId="7C598E57" w14:textId="77777777"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 xml:space="preserve">Daļai no nozarēm, piemēram, </w:t>
      </w:r>
      <w:r>
        <w:rPr>
          <w:rFonts w:ascii="Times New Roman" w:hAnsi="Times New Roman"/>
          <w:sz w:val="28"/>
          <w:szCs w:val="28"/>
        </w:rPr>
        <w:t xml:space="preserve">operāciju ar </w:t>
      </w:r>
      <w:r w:rsidRPr="00297E0B">
        <w:rPr>
          <w:rFonts w:ascii="Times New Roman" w:hAnsi="Times New Roman"/>
          <w:sz w:val="28"/>
          <w:szCs w:val="28"/>
        </w:rPr>
        <w:t>nekustamo īpašumu (NACE 2.red. kods 68) un iznomāšanas un līzinga nozarē (NACE 2.red. kods 77)</w:t>
      </w:r>
      <w:r>
        <w:rPr>
          <w:rFonts w:ascii="Times New Roman" w:hAnsi="Times New Roman"/>
          <w:sz w:val="28"/>
          <w:szCs w:val="28"/>
        </w:rPr>
        <w:t>,</w:t>
      </w:r>
      <w:r w:rsidRPr="00297E0B">
        <w:rPr>
          <w:rFonts w:ascii="Times New Roman" w:hAnsi="Times New Roman"/>
          <w:sz w:val="28"/>
          <w:szCs w:val="28"/>
        </w:rPr>
        <w:t xml:space="preserve"> pastāv objektīvi ierobežojumi, kas ir saistīti ar juridiskām un finanšu pakalpojumu procedūrām un kuru dēļ nozares komersanti nepiedalīsies PVN krāpniecisko darījumu shēmās, jo ir apgrūtinātas tiesības nodot īpašumu, piemēram, kas atrodas līzingā vai </w:t>
      </w:r>
      <w:r w:rsidRPr="00297E0B">
        <w:rPr>
          <w:rFonts w:ascii="Times New Roman" w:hAnsi="Times New Roman"/>
          <w:color w:val="000000" w:themeColor="text1"/>
          <w:sz w:val="28"/>
          <w:szCs w:val="28"/>
        </w:rPr>
        <w:t>nekustamo īpašumu</w:t>
      </w:r>
      <w:r w:rsidRPr="00297E0B">
        <w:rPr>
          <w:rFonts w:ascii="Times New Roman" w:hAnsi="Times New Roman"/>
          <w:sz w:val="28"/>
          <w:szCs w:val="28"/>
        </w:rPr>
        <w:t>, jo tas prasa papildus finanšu resursus. Turklāt, apsardzes nozarē (NACE 2.red. kods 80) publisko iepirkumu jomā darījumu ķēdes jau ir ierobežotas ar apakšuzņēmēju piesaistes ierobežojumu.</w:t>
      </w:r>
    </w:p>
    <w:p w14:paraId="12B68F2D" w14:textId="6C77DB54" w:rsidR="001A766A" w:rsidRPr="00297E0B" w:rsidRDefault="001A766A" w:rsidP="001A766A">
      <w:pPr>
        <w:spacing w:after="0" w:line="240" w:lineRule="auto"/>
        <w:ind w:firstLine="720"/>
        <w:jc w:val="both"/>
        <w:rPr>
          <w:rFonts w:ascii="Times New Roman" w:hAnsi="Times New Roman"/>
          <w:sz w:val="28"/>
          <w:szCs w:val="28"/>
        </w:rPr>
      </w:pPr>
      <w:r w:rsidRPr="00297E0B">
        <w:rPr>
          <w:rFonts w:ascii="Times New Roman" w:hAnsi="Times New Roman"/>
          <w:sz w:val="28"/>
          <w:szCs w:val="28"/>
        </w:rPr>
        <w:t>Ņemot vērā iepriekš minēto</w:t>
      </w:r>
      <w:r w:rsidR="009A3BAE">
        <w:rPr>
          <w:rFonts w:ascii="Times New Roman" w:hAnsi="Times New Roman"/>
          <w:sz w:val="28"/>
          <w:szCs w:val="28"/>
        </w:rPr>
        <w:t>,</w:t>
      </w:r>
      <w:r>
        <w:rPr>
          <w:rFonts w:ascii="Times New Roman" w:hAnsi="Times New Roman"/>
          <w:sz w:val="28"/>
          <w:szCs w:val="28"/>
        </w:rPr>
        <w:t xml:space="preserve"> </w:t>
      </w:r>
      <w:r w:rsidRPr="00B80CC3">
        <w:rPr>
          <w:rFonts w:ascii="Times New Roman" w:hAnsi="Times New Roman"/>
          <w:b/>
          <w:sz w:val="28"/>
          <w:szCs w:val="28"/>
        </w:rPr>
        <w:t>varam</w:t>
      </w:r>
      <w:r w:rsidRPr="00297E0B">
        <w:rPr>
          <w:rFonts w:ascii="Times New Roman" w:hAnsi="Times New Roman"/>
          <w:sz w:val="28"/>
          <w:szCs w:val="28"/>
        </w:rPr>
        <w:t xml:space="preserve"> </w:t>
      </w:r>
      <w:r w:rsidRPr="00B80CC3">
        <w:rPr>
          <w:rFonts w:ascii="Times New Roman" w:hAnsi="Times New Roman"/>
          <w:b/>
          <w:sz w:val="28"/>
          <w:szCs w:val="28"/>
        </w:rPr>
        <w:t>secināt</w:t>
      </w:r>
      <w:r w:rsidRPr="00297E0B">
        <w:rPr>
          <w:rFonts w:ascii="Times New Roman" w:hAnsi="Times New Roman"/>
          <w:sz w:val="28"/>
          <w:szCs w:val="28"/>
        </w:rPr>
        <w:t xml:space="preserve">, ka pārējās nozarēs nav konstatēti būtiski PVN </w:t>
      </w:r>
      <w:r w:rsidR="009A3BAE" w:rsidRPr="006D51E3">
        <w:rPr>
          <w:rFonts w:ascii="Times New Roman" w:hAnsi="Times New Roman"/>
          <w:sz w:val="28"/>
          <w:szCs w:val="28"/>
          <w:u w:val="single"/>
        </w:rPr>
        <w:t>izkrāpšanas</w:t>
      </w:r>
      <w:r w:rsidR="009A3BAE">
        <w:rPr>
          <w:rFonts w:ascii="Times New Roman" w:hAnsi="Times New Roman"/>
          <w:sz w:val="28"/>
          <w:szCs w:val="28"/>
        </w:rPr>
        <w:t xml:space="preserve"> </w:t>
      </w:r>
      <w:r w:rsidRPr="00297E0B">
        <w:rPr>
          <w:rFonts w:ascii="Times New Roman" w:hAnsi="Times New Roman"/>
          <w:sz w:val="28"/>
          <w:szCs w:val="28"/>
        </w:rPr>
        <w:t>riski</w:t>
      </w:r>
      <w:r w:rsidR="009A3BAE">
        <w:rPr>
          <w:rFonts w:ascii="Times New Roman" w:hAnsi="Times New Roman"/>
          <w:sz w:val="28"/>
          <w:szCs w:val="28"/>
        </w:rPr>
        <w:t>.</w:t>
      </w:r>
      <w:r w:rsidRPr="00297E0B">
        <w:rPr>
          <w:rFonts w:ascii="Times New Roman" w:hAnsi="Times New Roman"/>
          <w:sz w:val="28"/>
          <w:szCs w:val="28"/>
        </w:rPr>
        <w:t xml:space="preserve"> </w:t>
      </w:r>
      <w:r>
        <w:rPr>
          <w:rFonts w:ascii="Times New Roman" w:hAnsi="Times New Roman"/>
          <w:color w:val="000000" w:themeColor="text1"/>
          <w:sz w:val="28"/>
          <w:szCs w:val="28"/>
        </w:rPr>
        <w:t xml:space="preserve">Kā arī </w:t>
      </w:r>
      <w:r w:rsidRPr="00297E0B">
        <w:rPr>
          <w:rFonts w:ascii="Times New Roman" w:hAnsi="Times New Roman"/>
          <w:sz w:val="28"/>
          <w:szCs w:val="28"/>
        </w:rPr>
        <w:t xml:space="preserve">VID, veicot nozaru risku analīzi, nav konstatējis būtiskus riskus, kas saistīti ar PVN krāpšanu kādā konkrētā nozarē, tādējādi nav pamatojuma ieviest apgriezto jeb reverso PVN maksāšanas kārtību vēl kādā no nozarēm. </w:t>
      </w:r>
      <w:r>
        <w:rPr>
          <w:rFonts w:ascii="Times New Roman" w:hAnsi="Times New Roman"/>
          <w:sz w:val="28"/>
          <w:szCs w:val="28"/>
        </w:rPr>
        <w:t>Pie tam</w:t>
      </w:r>
      <w:r w:rsidRPr="00297E0B">
        <w:rPr>
          <w:rFonts w:ascii="Times New Roman" w:hAnsi="Times New Roman"/>
          <w:sz w:val="28"/>
          <w:szCs w:val="28"/>
        </w:rPr>
        <w:t xml:space="preserve"> </w:t>
      </w:r>
      <w:r>
        <w:rPr>
          <w:rFonts w:ascii="Times New Roman" w:hAnsi="Times New Roman"/>
          <w:sz w:val="28"/>
          <w:szCs w:val="28"/>
        </w:rPr>
        <w:t>valsts iestāžu “Ē</w:t>
      </w:r>
      <w:r w:rsidRPr="00297E0B">
        <w:rPr>
          <w:rFonts w:ascii="Times New Roman" w:hAnsi="Times New Roman"/>
          <w:sz w:val="28"/>
          <w:szCs w:val="28"/>
        </w:rPr>
        <w:t>nu ekonomikas ierobežošanas plāna</w:t>
      </w:r>
      <w:r w:rsidR="006D51E3">
        <w:rPr>
          <w:rFonts w:ascii="Times New Roman" w:hAnsi="Times New Roman"/>
          <w:sz w:val="28"/>
          <w:szCs w:val="28"/>
        </w:rPr>
        <w:br/>
      </w:r>
      <w:bookmarkStart w:id="0" w:name="_Hlk63256804"/>
      <w:r w:rsidR="006D51E3">
        <w:rPr>
          <w:rFonts w:ascii="Times New Roman" w:hAnsi="Times New Roman"/>
          <w:sz w:val="28"/>
          <w:szCs w:val="28"/>
        </w:rPr>
        <w:t>2021. – 2022.</w:t>
      </w:r>
      <w:r w:rsidRPr="00297E0B">
        <w:rPr>
          <w:rFonts w:ascii="Times New Roman" w:hAnsi="Times New Roman"/>
          <w:sz w:val="28"/>
          <w:szCs w:val="28"/>
        </w:rPr>
        <w:t>gadam</w:t>
      </w:r>
      <w:bookmarkEnd w:id="0"/>
      <w:r>
        <w:rPr>
          <w:rFonts w:ascii="Times New Roman" w:hAnsi="Times New Roman"/>
          <w:sz w:val="28"/>
          <w:szCs w:val="28"/>
        </w:rPr>
        <w:t>”</w:t>
      </w:r>
      <w:r w:rsidRPr="00297E0B">
        <w:rPr>
          <w:rFonts w:ascii="Times New Roman" w:hAnsi="Times New Roman"/>
          <w:sz w:val="28"/>
          <w:szCs w:val="28"/>
        </w:rPr>
        <w:t xml:space="preserve"> projekt</w:t>
      </w:r>
      <w:r>
        <w:rPr>
          <w:rFonts w:ascii="Times New Roman" w:hAnsi="Times New Roman"/>
          <w:sz w:val="28"/>
          <w:szCs w:val="28"/>
        </w:rPr>
        <w:t xml:space="preserve">a </w:t>
      </w:r>
      <w:r w:rsidRPr="00297E0B">
        <w:rPr>
          <w:rFonts w:ascii="Times New Roman" w:hAnsi="Times New Roman"/>
          <w:sz w:val="28"/>
          <w:szCs w:val="28"/>
        </w:rPr>
        <w:t>izstrādes ietvaros</w:t>
      </w:r>
      <w:r>
        <w:rPr>
          <w:rFonts w:ascii="Times New Roman" w:hAnsi="Times New Roman"/>
          <w:sz w:val="28"/>
          <w:szCs w:val="28"/>
        </w:rPr>
        <w:t xml:space="preserve"> sniegtie priekšlikumi</w:t>
      </w:r>
      <w:r w:rsidRPr="00297E0B">
        <w:rPr>
          <w:rFonts w:ascii="Times New Roman" w:hAnsi="Times New Roman"/>
          <w:sz w:val="28"/>
          <w:szCs w:val="28"/>
        </w:rPr>
        <w:t xml:space="preserve"> </w:t>
      </w:r>
      <w:r>
        <w:rPr>
          <w:rFonts w:ascii="Times New Roman" w:hAnsi="Times New Roman"/>
          <w:sz w:val="28"/>
          <w:szCs w:val="28"/>
        </w:rPr>
        <w:t xml:space="preserve">un </w:t>
      </w:r>
      <w:r w:rsidRPr="00297E0B">
        <w:rPr>
          <w:rFonts w:ascii="Times New Roman" w:hAnsi="Times New Roman"/>
          <w:sz w:val="28"/>
          <w:szCs w:val="28"/>
        </w:rPr>
        <w:t xml:space="preserve">identificētie riski neliecina par to, ka kādā no nozarēm ir konstatētas indikācijas par </w:t>
      </w:r>
      <w:r>
        <w:rPr>
          <w:rFonts w:ascii="Times New Roman" w:hAnsi="Times New Roman"/>
          <w:sz w:val="28"/>
          <w:szCs w:val="28"/>
        </w:rPr>
        <w:lastRenderedPageBreak/>
        <w:t xml:space="preserve">masveida </w:t>
      </w:r>
      <w:r w:rsidRPr="00297E0B">
        <w:rPr>
          <w:rFonts w:ascii="Times New Roman" w:hAnsi="Times New Roman"/>
          <w:sz w:val="28"/>
          <w:szCs w:val="28"/>
        </w:rPr>
        <w:t>krāpniecisko shēmu piemērošanu konkrētās nozarēs</w:t>
      </w:r>
      <w:r>
        <w:rPr>
          <w:rFonts w:ascii="Times New Roman" w:hAnsi="Times New Roman"/>
          <w:sz w:val="28"/>
          <w:szCs w:val="28"/>
        </w:rPr>
        <w:t xml:space="preserve"> vai konkrētām precēm, pakalpojumiem</w:t>
      </w:r>
      <w:r w:rsidRPr="00297E0B">
        <w:rPr>
          <w:rFonts w:ascii="Times New Roman" w:hAnsi="Times New Roman"/>
          <w:sz w:val="28"/>
          <w:szCs w:val="28"/>
        </w:rPr>
        <w:t xml:space="preserve">. </w:t>
      </w:r>
    </w:p>
    <w:p w14:paraId="50C06C09" w14:textId="0BFC06D4" w:rsidR="001A766A" w:rsidRDefault="001A766A" w:rsidP="009517E2">
      <w:pPr>
        <w:autoSpaceDE w:val="0"/>
        <w:autoSpaceDN w:val="0"/>
        <w:adjustRightInd w:val="0"/>
        <w:spacing w:after="0" w:line="240" w:lineRule="auto"/>
        <w:ind w:right="132"/>
        <w:jc w:val="both"/>
        <w:rPr>
          <w:rFonts w:ascii="Times New Roman" w:hAnsi="Times New Roman" w:cs="Times New Roman"/>
          <w:sz w:val="28"/>
          <w:szCs w:val="28"/>
          <w:highlight w:val="cyan"/>
        </w:rPr>
      </w:pPr>
    </w:p>
    <w:p w14:paraId="5E9EA015" w14:textId="6060D5CE" w:rsidR="001A766A" w:rsidRDefault="001A766A" w:rsidP="009517E2">
      <w:pPr>
        <w:autoSpaceDE w:val="0"/>
        <w:autoSpaceDN w:val="0"/>
        <w:adjustRightInd w:val="0"/>
        <w:spacing w:after="0" w:line="240" w:lineRule="auto"/>
        <w:ind w:right="132"/>
        <w:jc w:val="both"/>
        <w:rPr>
          <w:rFonts w:ascii="Times New Roman" w:hAnsi="Times New Roman" w:cs="Times New Roman"/>
          <w:sz w:val="28"/>
          <w:szCs w:val="28"/>
          <w:highlight w:val="cyan"/>
        </w:rPr>
      </w:pPr>
    </w:p>
    <w:p w14:paraId="7DF7213D" w14:textId="77777777" w:rsidR="003E4562" w:rsidRDefault="003E4562" w:rsidP="009517E2">
      <w:pPr>
        <w:autoSpaceDE w:val="0"/>
        <w:autoSpaceDN w:val="0"/>
        <w:adjustRightInd w:val="0"/>
        <w:spacing w:after="0" w:line="240" w:lineRule="auto"/>
        <w:ind w:right="132"/>
        <w:jc w:val="both"/>
        <w:rPr>
          <w:rFonts w:ascii="Times New Roman" w:hAnsi="Times New Roman" w:cs="Times New Roman"/>
          <w:sz w:val="28"/>
          <w:szCs w:val="28"/>
          <w:highlight w:val="cyan"/>
        </w:rPr>
      </w:pPr>
    </w:p>
    <w:p w14:paraId="74A88B6C" w14:textId="5FBAAC18" w:rsidR="00142FA2" w:rsidRDefault="003E4562" w:rsidP="00C11AC0">
      <w:pPr>
        <w:autoSpaceDE w:val="0"/>
        <w:autoSpaceDN w:val="0"/>
        <w:adjustRightInd w:val="0"/>
        <w:spacing w:after="0" w:line="240" w:lineRule="auto"/>
        <w:ind w:right="132" w:firstLine="720"/>
        <w:jc w:val="both"/>
        <w:rPr>
          <w:rFonts w:ascii="Times New Roman" w:hAnsi="Times New Roman" w:cs="Times New Roman"/>
          <w:sz w:val="28"/>
          <w:szCs w:val="28"/>
          <w:highlight w:val="cyan"/>
        </w:rPr>
      </w:pPr>
      <w:r w:rsidRPr="003E4562">
        <w:rPr>
          <w:rFonts w:ascii="Times New Roman" w:hAnsi="Times New Roman" w:cs="Times New Roman"/>
          <w:sz w:val="28"/>
          <w:szCs w:val="28"/>
        </w:rPr>
        <w:t>Finanšu ministrs</w:t>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r>
      <w:r w:rsidRPr="003E4562">
        <w:rPr>
          <w:rFonts w:ascii="Times New Roman" w:hAnsi="Times New Roman" w:cs="Times New Roman"/>
          <w:sz w:val="28"/>
          <w:szCs w:val="28"/>
        </w:rPr>
        <w:tab/>
        <w:t>Jānis Reirs</w:t>
      </w:r>
    </w:p>
    <w:p w14:paraId="2C1F3E43" w14:textId="24F19371" w:rsidR="009779E9" w:rsidRDefault="009779E9" w:rsidP="00D84F84">
      <w:pPr>
        <w:spacing w:after="0" w:line="240" w:lineRule="auto"/>
        <w:jc w:val="both"/>
        <w:rPr>
          <w:rFonts w:ascii="Times New Roman" w:hAnsi="Times New Roman"/>
          <w:sz w:val="20"/>
          <w:szCs w:val="20"/>
        </w:rPr>
      </w:pPr>
    </w:p>
    <w:p w14:paraId="3A5645BE" w14:textId="258EA1D7" w:rsidR="009779E9" w:rsidRDefault="009779E9" w:rsidP="00D84F84">
      <w:pPr>
        <w:spacing w:after="0" w:line="240" w:lineRule="auto"/>
        <w:jc w:val="both"/>
        <w:rPr>
          <w:rFonts w:ascii="Times New Roman" w:hAnsi="Times New Roman"/>
          <w:sz w:val="20"/>
          <w:szCs w:val="20"/>
        </w:rPr>
      </w:pPr>
    </w:p>
    <w:p w14:paraId="6BE36DD3" w14:textId="60BC79BC" w:rsidR="003E4562" w:rsidRDefault="003E4562" w:rsidP="00D84F84">
      <w:pPr>
        <w:spacing w:after="0" w:line="240" w:lineRule="auto"/>
        <w:jc w:val="both"/>
        <w:rPr>
          <w:rFonts w:ascii="Times New Roman" w:hAnsi="Times New Roman"/>
          <w:sz w:val="20"/>
          <w:szCs w:val="20"/>
        </w:rPr>
      </w:pPr>
      <w:bookmarkStart w:id="1" w:name="_GoBack"/>
      <w:bookmarkEnd w:id="1"/>
    </w:p>
    <w:p w14:paraId="39971A3B" w14:textId="77777777" w:rsidR="003E4562" w:rsidRDefault="003E4562" w:rsidP="00D84F84">
      <w:pPr>
        <w:spacing w:after="0" w:line="240" w:lineRule="auto"/>
        <w:jc w:val="both"/>
        <w:rPr>
          <w:rFonts w:ascii="Times New Roman" w:hAnsi="Times New Roman"/>
          <w:sz w:val="20"/>
          <w:szCs w:val="20"/>
        </w:rPr>
      </w:pPr>
    </w:p>
    <w:p w14:paraId="57667481" w14:textId="3F6DD4C9" w:rsidR="009779E9" w:rsidRDefault="009779E9" w:rsidP="00D84F84">
      <w:pPr>
        <w:spacing w:after="0" w:line="240" w:lineRule="auto"/>
        <w:jc w:val="both"/>
        <w:rPr>
          <w:rFonts w:ascii="Times New Roman" w:hAnsi="Times New Roman"/>
          <w:sz w:val="20"/>
          <w:szCs w:val="20"/>
        </w:rPr>
      </w:pPr>
    </w:p>
    <w:p w14:paraId="062CA975" w14:textId="4E766AB9" w:rsidR="0048290B" w:rsidRPr="00151C2E" w:rsidRDefault="00DF0C88" w:rsidP="00D84F84">
      <w:pPr>
        <w:spacing w:after="0" w:line="240" w:lineRule="auto"/>
        <w:jc w:val="both"/>
        <w:rPr>
          <w:rFonts w:ascii="Times New Roman" w:hAnsi="Times New Roman"/>
          <w:sz w:val="20"/>
          <w:szCs w:val="20"/>
        </w:rPr>
      </w:pPr>
      <w:r w:rsidRPr="00DF0C88">
        <w:rPr>
          <w:rFonts w:ascii="Times New Roman" w:hAnsi="Times New Roman"/>
          <w:sz w:val="20"/>
          <w:szCs w:val="20"/>
        </w:rPr>
        <w:t>Roja</w:t>
      </w:r>
      <w:r w:rsidR="0048290B" w:rsidRPr="00151C2E">
        <w:rPr>
          <w:rFonts w:ascii="Times New Roman" w:hAnsi="Times New Roman"/>
          <w:sz w:val="20"/>
          <w:szCs w:val="20"/>
        </w:rPr>
        <w:t xml:space="preserve"> 671220</w:t>
      </w:r>
      <w:r w:rsidRPr="00DF0C88">
        <w:rPr>
          <w:rFonts w:ascii="Times New Roman" w:hAnsi="Times New Roman"/>
          <w:sz w:val="20"/>
          <w:szCs w:val="20"/>
        </w:rPr>
        <w:t>37</w:t>
      </w:r>
    </w:p>
    <w:p w14:paraId="3223DBF5" w14:textId="6744B8AF" w:rsidR="009779E9" w:rsidRPr="00F37A34" w:rsidRDefault="00C11AC0" w:rsidP="00D84F84">
      <w:pPr>
        <w:spacing w:after="0" w:line="240" w:lineRule="auto"/>
        <w:jc w:val="both"/>
        <w:rPr>
          <w:rFonts w:ascii="Times New Roman" w:hAnsi="Times New Roman"/>
          <w:sz w:val="20"/>
          <w:szCs w:val="20"/>
        </w:rPr>
      </w:pPr>
      <w:hyperlink r:id="rId8" w:history="1">
        <w:r w:rsidR="00F37A34" w:rsidRPr="003E6A9A">
          <w:rPr>
            <w:rStyle w:val="Hyperlink"/>
            <w:rFonts w:ascii="Times New Roman" w:hAnsi="Times New Roman"/>
            <w:sz w:val="20"/>
            <w:szCs w:val="20"/>
          </w:rPr>
          <w:t>Marina.Roja@vid.gov.lv</w:t>
        </w:r>
      </w:hyperlink>
    </w:p>
    <w:sectPr w:rsidR="009779E9" w:rsidRPr="00F37A34" w:rsidSect="00721BC1">
      <w:headerReference w:type="default" r:id="rId9"/>
      <w:footerReference w:type="default" r:id="rId10"/>
      <w:footerReference w:type="first" r:id="rId11"/>
      <w:pgSz w:w="11906" w:h="16838" w:code="9"/>
      <w:pgMar w:top="1134" w:right="849" w:bottom="1134" w:left="1701" w:header="425" w:footer="32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026E0" w14:textId="77777777" w:rsidR="006E43E8" w:rsidRDefault="006E43E8" w:rsidP="00547946">
      <w:pPr>
        <w:spacing w:after="0" w:line="240" w:lineRule="auto"/>
      </w:pPr>
      <w:r>
        <w:separator/>
      </w:r>
    </w:p>
    <w:p w14:paraId="3BA05683" w14:textId="77777777" w:rsidR="006E43E8" w:rsidRDefault="006E43E8"/>
    <w:p w14:paraId="1123B217" w14:textId="77777777" w:rsidR="006E43E8" w:rsidRDefault="006E43E8"/>
    <w:p w14:paraId="609B324C" w14:textId="77777777" w:rsidR="006E43E8" w:rsidRDefault="006E43E8"/>
  </w:endnote>
  <w:endnote w:type="continuationSeparator" w:id="0">
    <w:p w14:paraId="72E4D0F4" w14:textId="77777777" w:rsidR="006E43E8" w:rsidRDefault="006E43E8" w:rsidP="00547946">
      <w:pPr>
        <w:spacing w:after="0" w:line="240" w:lineRule="auto"/>
      </w:pPr>
      <w:r>
        <w:continuationSeparator/>
      </w:r>
    </w:p>
    <w:p w14:paraId="4F3116E0" w14:textId="77777777" w:rsidR="006E43E8" w:rsidRDefault="006E43E8"/>
    <w:p w14:paraId="2947817E" w14:textId="77777777" w:rsidR="006E43E8" w:rsidRDefault="006E43E8"/>
    <w:p w14:paraId="12D7EA2A" w14:textId="77777777" w:rsidR="006E43E8" w:rsidRDefault="006E4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11251" w14:textId="0450F0A1" w:rsidR="006E43E8" w:rsidRPr="00DC1DF4" w:rsidRDefault="006E43E8" w:rsidP="00F5667C">
    <w:pPr>
      <w:pStyle w:val="Footer"/>
      <w:rPr>
        <w:sz w:val="20"/>
        <w:szCs w:val="20"/>
      </w:rPr>
    </w:pPr>
    <w:r w:rsidRPr="00DC1DF4">
      <w:rPr>
        <w:sz w:val="20"/>
        <w:szCs w:val="20"/>
      </w:rPr>
      <w:fldChar w:fldCharType="begin"/>
    </w:r>
    <w:r w:rsidRPr="00DC1DF4">
      <w:rPr>
        <w:sz w:val="20"/>
        <w:szCs w:val="20"/>
      </w:rPr>
      <w:instrText xml:space="preserve"> FILENAME   \* MERGEFORMAT </w:instrText>
    </w:r>
    <w:r w:rsidRPr="00DC1DF4">
      <w:rPr>
        <w:sz w:val="20"/>
        <w:szCs w:val="20"/>
      </w:rPr>
      <w:fldChar w:fldCharType="separate"/>
    </w:r>
    <w:r w:rsidR="0079049C">
      <w:rPr>
        <w:noProof/>
        <w:sz w:val="20"/>
        <w:szCs w:val="20"/>
      </w:rPr>
      <w:t>FM</w:t>
    </w:r>
    <w:r w:rsidR="007436B9">
      <w:rPr>
        <w:noProof/>
        <w:sz w:val="20"/>
        <w:szCs w:val="20"/>
      </w:rPr>
      <w:t>Zin_</w:t>
    </w:r>
    <w:r w:rsidR="0079049C">
      <w:rPr>
        <w:noProof/>
        <w:sz w:val="20"/>
        <w:szCs w:val="20"/>
      </w:rPr>
      <w:t>piel</w:t>
    </w:r>
    <w:r w:rsidR="007436B9">
      <w:rPr>
        <w:noProof/>
        <w:sz w:val="20"/>
        <w:szCs w:val="20"/>
      </w:rPr>
      <w:t>ikums_reverss_</w:t>
    </w:r>
    <w:r w:rsidR="0079049C">
      <w:rPr>
        <w:noProof/>
        <w:sz w:val="20"/>
        <w:szCs w:val="20"/>
      </w:rPr>
      <w:t>PVN_</w:t>
    </w:r>
    <w:r w:rsidR="00CB022E">
      <w:rPr>
        <w:noProof/>
        <w:sz w:val="20"/>
        <w:szCs w:val="20"/>
      </w:rPr>
      <w:t>1</w:t>
    </w:r>
    <w:r w:rsidR="00446669">
      <w:rPr>
        <w:noProof/>
        <w:sz w:val="20"/>
        <w:szCs w:val="20"/>
      </w:rPr>
      <w:t>9</w:t>
    </w:r>
    <w:r w:rsidR="00B73F4F">
      <w:rPr>
        <w:noProof/>
        <w:sz w:val="20"/>
        <w:szCs w:val="20"/>
      </w:rPr>
      <w:t>08</w:t>
    </w:r>
    <w:r w:rsidR="0079049C">
      <w:rPr>
        <w:noProof/>
        <w:sz w:val="20"/>
        <w:szCs w:val="20"/>
      </w:rPr>
      <w:t>2</w:t>
    </w:r>
    <w:r>
      <w:rPr>
        <w:noProof/>
        <w:sz w:val="20"/>
        <w:szCs w:val="20"/>
      </w:rPr>
      <w:t>2</w:t>
    </w:r>
    <w:r w:rsidRPr="00DC1DF4">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891E" w14:textId="27EC4F96" w:rsidR="006E43E8" w:rsidRPr="00DC1DF4" w:rsidRDefault="006E43E8" w:rsidP="00687AB1">
    <w:pPr>
      <w:pStyle w:val="Footer"/>
      <w:rPr>
        <w:sz w:val="20"/>
        <w:szCs w:val="20"/>
      </w:rPr>
    </w:pPr>
    <w:r w:rsidRPr="00DC1DF4">
      <w:rPr>
        <w:sz w:val="20"/>
        <w:szCs w:val="20"/>
      </w:rPr>
      <w:fldChar w:fldCharType="begin"/>
    </w:r>
    <w:r w:rsidRPr="00DC1DF4">
      <w:rPr>
        <w:sz w:val="20"/>
        <w:szCs w:val="20"/>
      </w:rPr>
      <w:instrText xml:space="preserve"> FILENAME   \* MERGEFORMAT </w:instrText>
    </w:r>
    <w:r w:rsidRPr="00DC1DF4">
      <w:rPr>
        <w:sz w:val="20"/>
        <w:szCs w:val="20"/>
      </w:rPr>
      <w:fldChar w:fldCharType="separate"/>
    </w:r>
    <w:r w:rsidR="007436B9">
      <w:rPr>
        <w:noProof/>
        <w:sz w:val="20"/>
        <w:szCs w:val="20"/>
      </w:rPr>
      <w:t>FMZ</w:t>
    </w:r>
    <w:r>
      <w:rPr>
        <w:noProof/>
        <w:sz w:val="20"/>
        <w:szCs w:val="20"/>
      </w:rPr>
      <w:t>in_</w:t>
    </w:r>
    <w:r w:rsidR="007436B9">
      <w:rPr>
        <w:noProof/>
        <w:sz w:val="20"/>
        <w:szCs w:val="20"/>
      </w:rPr>
      <w:t>pielikums_reverss_</w:t>
    </w:r>
    <w:r>
      <w:rPr>
        <w:noProof/>
        <w:sz w:val="20"/>
        <w:szCs w:val="20"/>
      </w:rPr>
      <w:t>PVN_</w:t>
    </w:r>
    <w:r w:rsidR="00CB022E">
      <w:rPr>
        <w:noProof/>
        <w:sz w:val="20"/>
        <w:szCs w:val="20"/>
      </w:rPr>
      <w:t>1</w:t>
    </w:r>
    <w:r w:rsidR="00446669">
      <w:rPr>
        <w:noProof/>
        <w:sz w:val="20"/>
        <w:szCs w:val="20"/>
      </w:rPr>
      <w:t>9</w:t>
    </w:r>
    <w:r w:rsidR="00B73F4F">
      <w:rPr>
        <w:noProof/>
        <w:sz w:val="20"/>
        <w:szCs w:val="20"/>
      </w:rPr>
      <w:t>08</w:t>
    </w:r>
    <w:r w:rsidR="0079049C">
      <w:rPr>
        <w:noProof/>
        <w:sz w:val="20"/>
        <w:szCs w:val="20"/>
      </w:rPr>
      <w:t>2</w:t>
    </w:r>
    <w:r>
      <w:rPr>
        <w:noProof/>
        <w:sz w:val="20"/>
        <w:szCs w:val="20"/>
      </w:rPr>
      <w:t>2</w:t>
    </w:r>
    <w:r w:rsidRPr="00DC1DF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7D7F4" w14:textId="77777777" w:rsidR="006E43E8" w:rsidRDefault="006E43E8" w:rsidP="00547946">
      <w:pPr>
        <w:spacing w:after="0" w:line="240" w:lineRule="auto"/>
      </w:pPr>
      <w:r>
        <w:separator/>
      </w:r>
    </w:p>
    <w:p w14:paraId="41248F25" w14:textId="77777777" w:rsidR="006E43E8" w:rsidRDefault="006E43E8"/>
    <w:p w14:paraId="329460AC" w14:textId="77777777" w:rsidR="006E43E8" w:rsidRDefault="006E43E8"/>
    <w:p w14:paraId="2C0FE387" w14:textId="77777777" w:rsidR="006E43E8" w:rsidRDefault="006E43E8"/>
  </w:footnote>
  <w:footnote w:type="continuationSeparator" w:id="0">
    <w:p w14:paraId="1601592A" w14:textId="77777777" w:rsidR="006E43E8" w:rsidRDefault="006E43E8" w:rsidP="00547946">
      <w:pPr>
        <w:spacing w:after="0" w:line="240" w:lineRule="auto"/>
      </w:pPr>
      <w:r>
        <w:continuationSeparator/>
      </w:r>
    </w:p>
    <w:p w14:paraId="4CC64BB8" w14:textId="77777777" w:rsidR="006E43E8" w:rsidRDefault="006E43E8"/>
    <w:p w14:paraId="6E539E4E" w14:textId="77777777" w:rsidR="006E43E8" w:rsidRDefault="006E43E8"/>
    <w:p w14:paraId="670476FF" w14:textId="77777777" w:rsidR="006E43E8" w:rsidRDefault="006E43E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481508"/>
      <w:docPartObj>
        <w:docPartGallery w:val="Page Numbers (Top of Page)"/>
        <w:docPartUnique/>
      </w:docPartObj>
    </w:sdtPr>
    <w:sdtEndPr>
      <w:rPr>
        <w:noProof/>
        <w:sz w:val="24"/>
        <w:szCs w:val="24"/>
      </w:rPr>
    </w:sdtEndPr>
    <w:sdtContent>
      <w:p w14:paraId="1CDF1624" w14:textId="518B2D0B" w:rsidR="006E43E8" w:rsidRPr="001F76C6" w:rsidRDefault="006E43E8" w:rsidP="001F76C6">
        <w:pPr>
          <w:pStyle w:val="Header"/>
          <w:jc w:val="center"/>
          <w:rPr>
            <w:sz w:val="24"/>
            <w:szCs w:val="24"/>
          </w:rPr>
        </w:pPr>
        <w:r w:rsidRPr="008F2D7E">
          <w:rPr>
            <w:sz w:val="24"/>
            <w:szCs w:val="24"/>
          </w:rPr>
          <w:fldChar w:fldCharType="begin"/>
        </w:r>
        <w:r w:rsidRPr="008F2D7E">
          <w:rPr>
            <w:sz w:val="24"/>
            <w:szCs w:val="24"/>
          </w:rPr>
          <w:instrText xml:space="preserve"> PAGE   \* MERGEFORMAT </w:instrText>
        </w:r>
        <w:r w:rsidRPr="008F2D7E">
          <w:rPr>
            <w:sz w:val="24"/>
            <w:szCs w:val="24"/>
          </w:rPr>
          <w:fldChar w:fldCharType="separate"/>
        </w:r>
        <w:r w:rsidR="00C11AC0">
          <w:rPr>
            <w:noProof/>
            <w:sz w:val="24"/>
            <w:szCs w:val="24"/>
          </w:rPr>
          <w:t>5</w:t>
        </w:r>
        <w:r w:rsidRPr="008F2D7E">
          <w:rPr>
            <w:noProof/>
            <w:sz w:val="24"/>
            <w:szCs w:val="24"/>
          </w:rPr>
          <w:fldChar w:fldCharType="end"/>
        </w:r>
      </w:p>
    </w:sdtContent>
  </w:sdt>
  <w:p w14:paraId="29513CAB" w14:textId="77777777" w:rsidR="006E43E8" w:rsidRDefault="006E43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0B69"/>
    <w:multiLevelType w:val="hybridMultilevel"/>
    <w:tmpl w:val="4C500C62"/>
    <w:lvl w:ilvl="0" w:tplc="CFAC79C8">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 w15:restartNumberingAfterBreak="1">
    <w:nsid w:val="0D657C91"/>
    <w:multiLevelType w:val="hybridMultilevel"/>
    <w:tmpl w:val="4DE49FC0"/>
    <w:lvl w:ilvl="0" w:tplc="2C7C0DFC">
      <w:start w:val="1"/>
      <w:numFmt w:val="upperRoman"/>
      <w:lvlText w:val="%1."/>
      <w:lvlJc w:val="left"/>
      <w:pPr>
        <w:ind w:left="1080" w:hanging="720"/>
      </w:pPr>
      <w:rPr>
        <w:rFonts w:hint="default"/>
      </w:rPr>
    </w:lvl>
    <w:lvl w:ilvl="1" w:tplc="E714AD0C">
      <w:start w:val="1"/>
      <w:numFmt w:val="lowerLetter"/>
      <w:lvlText w:val="%2."/>
      <w:lvlJc w:val="left"/>
      <w:pPr>
        <w:ind w:left="1440" w:hanging="360"/>
      </w:pPr>
    </w:lvl>
    <w:lvl w:ilvl="2" w:tplc="21EE196A" w:tentative="1">
      <w:start w:val="1"/>
      <w:numFmt w:val="lowerRoman"/>
      <w:lvlText w:val="%3."/>
      <w:lvlJc w:val="right"/>
      <w:pPr>
        <w:ind w:left="2160" w:hanging="180"/>
      </w:pPr>
    </w:lvl>
    <w:lvl w:ilvl="3" w:tplc="7D4AF6D2" w:tentative="1">
      <w:start w:val="1"/>
      <w:numFmt w:val="decimal"/>
      <w:lvlText w:val="%4."/>
      <w:lvlJc w:val="left"/>
      <w:pPr>
        <w:ind w:left="2880" w:hanging="360"/>
      </w:pPr>
    </w:lvl>
    <w:lvl w:ilvl="4" w:tplc="90F47462" w:tentative="1">
      <w:start w:val="1"/>
      <w:numFmt w:val="lowerLetter"/>
      <w:lvlText w:val="%5."/>
      <w:lvlJc w:val="left"/>
      <w:pPr>
        <w:ind w:left="3600" w:hanging="360"/>
      </w:pPr>
    </w:lvl>
    <w:lvl w:ilvl="5" w:tplc="354895D8" w:tentative="1">
      <w:start w:val="1"/>
      <w:numFmt w:val="lowerRoman"/>
      <w:lvlText w:val="%6."/>
      <w:lvlJc w:val="right"/>
      <w:pPr>
        <w:ind w:left="4320" w:hanging="180"/>
      </w:pPr>
    </w:lvl>
    <w:lvl w:ilvl="6" w:tplc="00FE71B6" w:tentative="1">
      <w:start w:val="1"/>
      <w:numFmt w:val="decimal"/>
      <w:lvlText w:val="%7."/>
      <w:lvlJc w:val="left"/>
      <w:pPr>
        <w:ind w:left="5040" w:hanging="360"/>
      </w:pPr>
    </w:lvl>
    <w:lvl w:ilvl="7" w:tplc="AFE45F16" w:tentative="1">
      <w:start w:val="1"/>
      <w:numFmt w:val="lowerLetter"/>
      <w:lvlText w:val="%8."/>
      <w:lvlJc w:val="left"/>
      <w:pPr>
        <w:ind w:left="5760" w:hanging="360"/>
      </w:pPr>
    </w:lvl>
    <w:lvl w:ilvl="8" w:tplc="4D9CBE2A" w:tentative="1">
      <w:start w:val="1"/>
      <w:numFmt w:val="lowerRoman"/>
      <w:lvlText w:val="%9."/>
      <w:lvlJc w:val="right"/>
      <w:pPr>
        <w:ind w:left="6480" w:hanging="180"/>
      </w:pPr>
    </w:lvl>
  </w:abstractNum>
  <w:abstractNum w:abstractNumId="2" w15:restartNumberingAfterBreak="0">
    <w:nsid w:val="198F261A"/>
    <w:multiLevelType w:val="hybridMultilevel"/>
    <w:tmpl w:val="BA3C22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308A3"/>
    <w:multiLevelType w:val="hybridMultilevel"/>
    <w:tmpl w:val="8752F1A2"/>
    <w:lvl w:ilvl="0" w:tplc="04260011">
      <w:start w:val="1"/>
      <w:numFmt w:val="decimal"/>
      <w:lvlText w:val="%1)"/>
      <w:lvlJc w:val="left"/>
      <w:pPr>
        <w:ind w:left="1353" w:hanging="360"/>
      </w:pPr>
    </w:lvl>
    <w:lvl w:ilvl="1" w:tplc="E346AB7C" w:tentative="1">
      <w:start w:val="1"/>
      <w:numFmt w:val="lowerLetter"/>
      <w:lvlText w:val="%2."/>
      <w:lvlJc w:val="left"/>
      <w:pPr>
        <w:ind w:left="2073" w:hanging="360"/>
      </w:pPr>
    </w:lvl>
    <w:lvl w:ilvl="2" w:tplc="31AE2798" w:tentative="1">
      <w:start w:val="1"/>
      <w:numFmt w:val="lowerRoman"/>
      <w:lvlText w:val="%3."/>
      <w:lvlJc w:val="right"/>
      <w:pPr>
        <w:ind w:left="2793" w:hanging="180"/>
      </w:pPr>
    </w:lvl>
    <w:lvl w:ilvl="3" w:tplc="75E075DA" w:tentative="1">
      <w:start w:val="1"/>
      <w:numFmt w:val="decimal"/>
      <w:lvlText w:val="%4."/>
      <w:lvlJc w:val="left"/>
      <w:pPr>
        <w:ind w:left="3513" w:hanging="360"/>
      </w:pPr>
    </w:lvl>
    <w:lvl w:ilvl="4" w:tplc="CCAA19AA" w:tentative="1">
      <w:start w:val="1"/>
      <w:numFmt w:val="lowerLetter"/>
      <w:lvlText w:val="%5."/>
      <w:lvlJc w:val="left"/>
      <w:pPr>
        <w:ind w:left="4233" w:hanging="360"/>
      </w:pPr>
    </w:lvl>
    <w:lvl w:ilvl="5" w:tplc="0CB039BE" w:tentative="1">
      <w:start w:val="1"/>
      <w:numFmt w:val="lowerRoman"/>
      <w:lvlText w:val="%6."/>
      <w:lvlJc w:val="right"/>
      <w:pPr>
        <w:ind w:left="4953" w:hanging="180"/>
      </w:pPr>
    </w:lvl>
    <w:lvl w:ilvl="6" w:tplc="8690A0EC" w:tentative="1">
      <w:start w:val="1"/>
      <w:numFmt w:val="decimal"/>
      <w:lvlText w:val="%7."/>
      <w:lvlJc w:val="left"/>
      <w:pPr>
        <w:ind w:left="5673" w:hanging="360"/>
      </w:pPr>
    </w:lvl>
    <w:lvl w:ilvl="7" w:tplc="2800D81A" w:tentative="1">
      <w:start w:val="1"/>
      <w:numFmt w:val="lowerLetter"/>
      <w:lvlText w:val="%8."/>
      <w:lvlJc w:val="left"/>
      <w:pPr>
        <w:ind w:left="6393" w:hanging="360"/>
      </w:pPr>
    </w:lvl>
    <w:lvl w:ilvl="8" w:tplc="DCB22D1E" w:tentative="1">
      <w:start w:val="1"/>
      <w:numFmt w:val="lowerRoman"/>
      <w:lvlText w:val="%9."/>
      <w:lvlJc w:val="right"/>
      <w:pPr>
        <w:ind w:left="7113" w:hanging="180"/>
      </w:pPr>
    </w:lvl>
  </w:abstractNum>
  <w:abstractNum w:abstractNumId="4" w15:restartNumberingAfterBreak="0">
    <w:nsid w:val="3164003A"/>
    <w:multiLevelType w:val="hybridMultilevel"/>
    <w:tmpl w:val="C3D0B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5E64E9"/>
    <w:multiLevelType w:val="hybridMultilevel"/>
    <w:tmpl w:val="66AC49C2"/>
    <w:lvl w:ilvl="0" w:tplc="04260011">
      <w:start w:val="1"/>
      <w:numFmt w:val="decimal"/>
      <w:lvlText w:val="%1)"/>
      <w:lvlJc w:val="left"/>
      <w:pPr>
        <w:ind w:left="2204" w:hanging="360"/>
      </w:pPr>
      <w:rPr>
        <w:rFonts w:hint="default"/>
      </w:rPr>
    </w:lvl>
    <w:lvl w:ilvl="1" w:tplc="04260003" w:tentative="1">
      <w:start w:val="1"/>
      <w:numFmt w:val="bullet"/>
      <w:lvlText w:val="o"/>
      <w:lvlJc w:val="left"/>
      <w:pPr>
        <w:ind w:left="2924" w:hanging="360"/>
      </w:pPr>
      <w:rPr>
        <w:rFonts w:ascii="Courier New" w:hAnsi="Courier New" w:cs="Courier New" w:hint="default"/>
      </w:rPr>
    </w:lvl>
    <w:lvl w:ilvl="2" w:tplc="04260005" w:tentative="1">
      <w:start w:val="1"/>
      <w:numFmt w:val="bullet"/>
      <w:lvlText w:val=""/>
      <w:lvlJc w:val="left"/>
      <w:pPr>
        <w:ind w:left="3644" w:hanging="360"/>
      </w:pPr>
      <w:rPr>
        <w:rFonts w:ascii="Wingdings" w:hAnsi="Wingdings" w:hint="default"/>
      </w:rPr>
    </w:lvl>
    <w:lvl w:ilvl="3" w:tplc="04260001" w:tentative="1">
      <w:start w:val="1"/>
      <w:numFmt w:val="bullet"/>
      <w:lvlText w:val=""/>
      <w:lvlJc w:val="left"/>
      <w:pPr>
        <w:ind w:left="4364" w:hanging="360"/>
      </w:pPr>
      <w:rPr>
        <w:rFonts w:ascii="Symbol" w:hAnsi="Symbol" w:hint="default"/>
      </w:rPr>
    </w:lvl>
    <w:lvl w:ilvl="4" w:tplc="04260003" w:tentative="1">
      <w:start w:val="1"/>
      <w:numFmt w:val="bullet"/>
      <w:lvlText w:val="o"/>
      <w:lvlJc w:val="left"/>
      <w:pPr>
        <w:ind w:left="5084" w:hanging="360"/>
      </w:pPr>
      <w:rPr>
        <w:rFonts w:ascii="Courier New" w:hAnsi="Courier New" w:cs="Courier New" w:hint="default"/>
      </w:rPr>
    </w:lvl>
    <w:lvl w:ilvl="5" w:tplc="04260005" w:tentative="1">
      <w:start w:val="1"/>
      <w:numFmt w:val="bullet"/>
      <w:lvlText w:val=""/>
      <w:lvlJc w:val="left"/>
      <w:pPr>
        <w:ind w:left="5804" w:hanging="360"/>
      </w:pPr>
      <w:rPr>
        <w:rFonts w:ascii="Wingdings" w:hAnsi="Wingdings" w:hint="default"/>
      </w:rPr>
    </w:lvl>
    <w:lvl w:ilvl="6" w:tplc="04260001" w:tentative="1">
      <w:start w:val="1"/>
      <w:numFmt w:val="bullet"/>
      <w:lvlText w:val=""/>
      <w:lvlJc w:val="left"/>
      <w:pPr>
        <w:ind w:left="6524" w:hanging="360"/>
      </w:pPr>
      <w:rPr>
        <w:rFonts w:ascii="Symbol" w:hAnsi="Symbol" w:hint="default"/>
      </w:rPr>
    </w:lvl>
    <w:lvl w:ilvl="7" w:tplc="04260003" w:tentative="1">
      <w:start w:val="1"/>
      <w:numFmt w:val="bullet"/>
      <w:lvlText w:val="o"/>
      <w:lvlJc w:val="left"/>
      <w:pPr>
        <w:ind w:left="7244" w:hanging="360"/>
      </w:pPr>
      <w:rPr>
        <w:rFonts w:ascii="Courier New" w:hAnsi="Courier New" w:cs="Courier New" w:hint="default"/>
      </w:rPr>
    </w:lvl>
    <w:lvl w:ilvl="8" w:tplc="04260005" w:tentative="1">
      <w:start w:val="1"/>
      <w:numFmt w:val="bullet"/>
      <w:lvlText w:val=""/>
      <w:lvlJc w:val="left"/>
      <w:pPr>
        <w:ind w:left="7964" w:hanging="360"/>
      </w:pPr>
      <w:rPr>
        <w:rFonts w:ascii="Wingdings" w:hAnsi="Wingdings" w:hint="default"/>
      </w:rPr>
    </w:lvl>
  </w:abstractNum>
  <w:abstractNum w:abstractNumId="6" w15:restartNumberingAfterBreak="0">
    <w:nsid w:val="340F5F9F"/>
    <w:multiLevelType w:val="multilevel"/>
    <w:tmpl w:val="3E34D9FC"/>
    <w:lvl w:ilvl="0">
      <w:start w:val="1"/>
      <w:numFmt w:val="decimal"/>
      <w:lvlText w:val="%1."/>
      <w:lvlJc w:val="left"/>
      <w:pPr>
        <w:ind w:left="928" w:hanging="360"/>
      </w:pPr>
    </w:lvl>
    <w:lvl w:ilvl="1">
      <w:start w:val="2"/>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7" w15:restartNumberingAfterBreak="0">
    <w:nsid w:val="41773E7B"/>
    <w:multiLevelType w:val="hybridMultilevel"/>
    <w:tmpl w:val="3588ED76"/>
    <w:lvl w:ilvl="0" w:tplc="26C6C9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41B8745A"/>
    <w:multiLevelType w:val="hybridMultilevel"/>
    <w:tmpl w:val="E42E3FB6"/>
    <w:lvl w:ilvl="0" w:tplc="0426000F">
      <w:start w:val="1"/>
      <w:numFmt w:val="decimal"/>
      <w:lvlText w:val="%1."/>
      <w:lvlJc w:val="left"/>
      <w:pPr>
        <w:ind w:left="643"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56497F8A"/>
    <w:multiLevelType w:val="hybridMultilevel"/>
    <w:tmpl w:val="3B2EB322"/>
    <w:lvl w:ilvl="0" w:tplc="04260017">
      <w:start w:val="1"/>
      <w:numFmt w:val="lowerLetter"/>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0" w15:restartNumberingAfterBreak="1">
    <w:nsid w:val="5E250DC7"/>
    <w:multiLevelType w:val="hybridMultilevel"/>
    <w:tmpl w:val="C25E3C80"/>
    <w:lvl w:ilvl="0" w:tplc="995874C0">
      <w:start w:val="3"/>
      <w:numFmt w:val="bullet"/>
      <w:lvlText w:val="-"/>
      <w:lvlJc w:val="left"/>
      <w:pPr>
        <w:ind w:left="1080" w:hanging="360"/>
      </w:pPr>
      <w:rPr>
        <w:rFonts w:ascii="Times New Roman" w:eastAsia="Calibri" w:hAnsi="Times New Roman" w:cs="Times New Roman" w:hint="default"/>
      </w:rPr>
    </w:lvl>
    <w:lvl w:ilvl="1" w:tplc="78DE715C" w:tentative="1">
      <w:start w:val="1"/>
      <w:numFmt w:val="bullet"/>
      <w:lvlText w:val="o"/>
      <w:lvlJc w:val="left"/>
      <w:pPr>
        <w:ind w:left="1800" w:hanging="360"/>
      </w:pPr>
      <w:rPr>
        <w:rFonts w:ascii="Courier New" w:hAnsi="Courier New" w:cs="Courier New" w:hint="default"/>
      </w:rPr>
    </w:lvl>
    <w:lvl w:ilvl="2" w:tplc="625CC9BE" w:tentative="1">
      <w:start w:val="1"/>
      <w:numFmt w:val="bullet"/>
      <w:lvlText w:val=""/>
      <w:lvlJc w:val="left"/>
      <w:pPr>
        <w:ind w:left="2520" w:hanging="360"/>
      </w:pPr>
      <w:rPr>
        <w:rFonts w:ascii="Wingdings" w:hAnsi="Wingdings" w:hint="default"/>
      </w:rPr>
    </w:lvl>
    <w:lvl w:ilvl="3" w:tplc="1EF4EF38" w:tentative="1">
      <w:start w:val="1"/>
      <w:numFmt w:val="bullet"/>
      <w:lvlText w:val=""/>
      <w:lvlJc w:val="left"/>
      <w:pPr>
        <w:ind w:left="3240" w:hanging="360"/>
      </w:pPr>
      <w:rPr>
        <w:rFonts w:ascii="Symbol" w:hAnsi="Symbol" w:hint="default"/>
      </w:rPr>
    </w:lvl>
    <w:lvl w:ilvl="4" w:tplc="B8CE6D50" w:tentative="1">
      <w:start w:val="1"/>
      <w:numFmt w:val="bullet"/>
      <w:lvlText w:val="o"/>
      <w:lvlJc w:val="left"/>
      <w:pPr>
        <w:ind w:left="3960" w:hanging="360"/>
      </w:pPr>
      <w:rPr>
        <w:rFonts w:ascii="Courier New" w:hAnsi="Courier New" w:cs="Courier New" w:hint="default"/>
      </w:rPr>
    </w:lvl>
    <w:lvl w:ilvl="5" w:tplc="FDF44464" w:tentative="1">
      <w:start w:val="1"/>
      <w:numFmt w:val="bullet"/>
      <w:lvlText w:val=""/>
      <w:lvlJc w:val="left"/>
      <w:pPr>
        <w:ind w:left="4680" w:hanging="360"/>
      </w:pPr>
      <w:rPr>
        <w:rFonts w:ascii="Wingdings" w:hAnsi="Wingdings" w:hint="default"/>
      </w:rPr>
    </w:lvl>
    <w:lvl w:ilvl="6" w:tplc="3CCA8D1A" w:tentative="1">
      <w:start w:val="1"/>
      <w:numFmt w:val="bullet"/>
      <w:lvlText w:val=""/>
      <w:lvlJc w:val="left"/>
      <w:pPr>
        <w:ind w:left="5400" w:hanging="360"/>
      </w:pPr>
      <w:rPr>
        <w:rFonts w:ascii="Symbol" w:hAnsi="Symbol" w:hint="default"/>
      </w:rPr>
    </w:lvl>
    <w:lvl w:ilvl="7" w:tplc="AC583BB6" w:tentative="1">
      <w:start w:val="1"/>
      <w:numFmt w:val="bullet"/>
      <w:lvlText w:val="o"/>
      <w:lvlJc w:val="left"/>
      <w:pPr>
        <w:ind w:left="6120" w:hanging="360"/>
      </w:pPr>
      <w:rPr>
        <w:rFonts w:ascii="Courier New" w:hAnsi="Courier New" w:cs="Courier New" w:hint="default"/>
      </w:rPr>
    </w:lvl>
    <w:lvl w:ilvl="8" w:tplc="2D44F41A" w:tentative="1">
      <w:start w:val="1"/>
      <w:numFmt w:val="bullet"/>
      <w:lvlText w:val=""/>
      <w:lvlJc w:val="left"/>
      <w:pPr>
        <w:ind w:left="6840" w:hanging="360"/>
      </w:pPr>
      <w:rPr>
        <w:rFonts w:ascii="Wingdings" w:hAnsi="Wingdings" w:hint="default"/>
      </w:rPr>
    </w:lvl>
  </w:abstractNum>
  <w:abstractNum w:abstractNumId="11" w15:restartNumberingAfterBreak="0">
    <w:nsid w:val="610E2AE7"/>
    <w:multiLevelType w:val="hybridMultilevel"/>
    <w:tmpl w:val="5C6037F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780E045E"/>
    <w:multiLevelType w:val="hybridMultilevel"/>
    <w:tmpl w:val="70A04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5183B"/>
    <w:multiLevelType w:val="hybridMultilevel"/>
    <w:tmpl w:val="E4FE6F06"/>
    <w:lvl w:ilvl="0" w:tplc="21ECC72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6"/>
  </w:num>
  <w:num w:numId="2">
    <w:abstractNumId w:val="2"/>
  </w:num>
  <w:num w:numId="3">
    <w:abstractNumId w:val="9"/>
  </w:num>
  <w:num w:numId="4">
    <w:abstractNumId w:val="0"/>
  </w:num>
  <w:num w:numId="5">
    <w:abstractNumId w:val="5"/>
  </w:num>
  <w:num w:numId="6">
    <w:abstractNumId w:val="3"/>
  </w:num>
  <w:num w:numId="7">
    <w:abstractNumId w:val="7"/>
  </w:num>
  <w:num w:numId="8">
    <w:abstractNumId w:val="1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2"/>
  </w:num>
  <w:num w:numId="12">
    <w:abstractNumId w:val="1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46"/>
    <w:rsid w:val="000021A9"/>
    <w:rsid w:val="000035DB"/>
    <w:rsid w:val="00004BF3"/>
    <w:rsid w:val="0000519E"/>
    <w:rsid w:val="000065CE"/>
    <w:rsid w:val="00006F03"/>
    <w:rsid w:val="00010DD5"/>
    <w:rsid w:val="00013E0E"/>
    <w:rsid w:val="00013F8C"/>
    <w:rsid w:val="00016DEE"/>
    <w:rsid w:val="00020029"/>
    <w:rsid w:val="00020B02"/>
    <w:rsid w:val="00023135"/>
    <w:rsid w:val="0002383B"/>
    <w:rsid w:val="00034191"/>
    <w:rsid w:val="000347FB"/>
    <w:rsid w:val="00035055"/>
    <w:rsid w:val="000358E1"/>
    <w:rsid w:val="00035C0E"/>
    <w:rsid w:val="000371C0"/>
    <w:rsid w:val="00045760"/>
    <w:rsid w:val="000558EF"/>
    <w:rsid w:val="00056E9F"/>
    <w:rsid w:val="00060995"/>
    <w:rsid w:val="0006204E"/>
    <w:rsid w:val="000645AD"/>
    <w:rsid w:val="00074AC6"/>
    <w:rsid w:val="00082BDD"/>
    <w:rsid w:val="00090423"/>
    <w:rsid w:val="0009149F"/>
    <w:rsid w:val="00092069"/>
    <w:rsid w:val="000924FD"/>
    <w:rsid w:val="00094523"/>
    <w:rsid w:val="0009680D"/>
    <w:rsid w:val="0009737A"/>
    <w:rsid w:val="000A0B6F"/>
    <w:rsid w:val="000A28CD"/>
    <w:rsid w:val="000A6C05"/>
    <w:rsid w:val="000B69A5"/>
    <w:rsid w:val="000C2FBE"/>
    <w:rsid w:val="000C3B86"/>
    <w:rsid w:val="000D1122"/>
    <w:rsid w:val="000D230E"/>
    <w:rsid w:val="000D24CE"/>
    <w:rsid w:val="000D3DB8"/>
    <w:rsid w:val="000D4647"/>
    <w:rsid w:val="000D4773"/>
    <w:rsid w:val="000D4D30"/>
    <w:rsid w:val="000D62E8"/>
    <w:rsid w:val="000D79EB"/>
    <w:rsid w:val="000E434C"/>
    <w:rsid w:val="000F0101"/>
    <w:rsid w:val="000F3BC6"/>
    <w:rsid w:val="000F7DAC"/>
    <w:rsid w:val="0010318B"/>
    <w:rsid w:val="00111B50"/>
    <w:rsid w:val="00113D47"/>
    <w:rsid w:val="00115185"/>
    <w:rsid w:val="00117EFF"/>
    <w:rsid w:val="0012079F"/>
    <w:rsid w:val="00127D6A"/>
    <w:rsid w:val="0013255E"/>
    <w:rsid w:val="001347F4"/>
    <w:rsid w:val="00135FD1"/>
    <w:rsid w:val="001363DE"/>
    <w:rsid w:val="00142FA2"/>
    <w:rsid w:val="001444EF"/>
    <w:rsid w:val="0014703C"/>
    <w:rsid w:val="00151C2E"/>
    <w:rsid w:val="0015206F"/>
    <w:rsid w:val="00153EAC"/>
    <w:rsid w:val="00162245"/>
    <w:rsid w:val="0016482F"/>
    <w:rsid w:val="001711A6"/>
    <w:rsid w:val="00172030"/>
    <w:rsid w:val="00182B52"/>
    <w:rsid w:val="00185B27"/>
    <w:rsid w:val="00193FE0"/>
    <w:rsid w:val="001979D6"/>
    <w:rsid w:val="001A042E"/>
    <w:rsid w:val="001A0AB7"/>
    <w:rsid w:val="001A42AA"/>
    <w:rsid w:val="001A50D4"/>
    <w:rsid w:val="001A6E62"/>
    <w:rsid w:val="001A766A"/>
    <w:rsid w:val="001B5B89"/>
    <w:rsid w:val="001B77C3"/>
    <w:rsid w:val="001C5361"/>
    <w:rsid w:val="001D2A42"/>
    <w:rsid w:val="001D3F50"/>
    <w:rsid w:val="001D4487"/>
    <w:rsid w:val="001E2E29"/>
    <w:rsid w:val="001E351F"/>
    <w:rsid w:val="001E4333"/>
    <w:rsid w:val="001E5AF5"/>
    <w:rsid w:val="001E738D"/>
    <w:rsid w:val="001F76C6"/>
    <w:rsid w:val="0020104B"/>
    <w:rsid w:val="00202235"/>
    <w:rsid w:val="00203298"/>
    <w:rsid w:val="0020378F"/>
    <w:rsid w:val="00205787"/>
    <w:rsid w:val="00205AF8"/>
    <w:rsid w:val="00205C4C"/>
    <w:rsid w:val="00206F82"/>
    <w:rsid w:val="00211C2A"/>
    <w:rsid w:val="00211F1B"/>
    <w:rsid w:val="00217A8D"/>
    <w:rsid w:val="00221449"/>
    <w:rsid w:val="00223D9F"/>
    <w:rsid w:val="00225E5F"/>
    <w:rsid w:val="0022792C"/>
    <w:rsid w:val="002308ED"/>
    <w:rsid w:val="0023165F"/>
    <w:rsid w:val="0023716A"/>
    <w:rsid w:val="00240082"/>
    <w:rsid w:val="00240A1D"/>
    <w:rsid w:val="002419C1"/>
    <w:rsid w:val="002422CD"/>
    <w:rsid w:val="00243D90"/>
    <w:rsid w:val="00247871"/>
    <w:rsid w:val="002502E6"/>
    <w:rsid w:val="00254D05"/>
    <w:rsid w:val="002629DD"/>
    <w:rsid w:val="00264E27"/>
    <w:rsid w:val="00271708"/>
    <w:rsid w:val="0027291F"/>
    <w:rsid w:val="00274572"/>
    <w:rsid w:val="00274800"/>
    <w:rsid w:val="002759A6"/>
    <w:rsid w:val="002807A2"/>
    <w:rsid w:val="00282246"/>
    <w:rsid w:val="00283F5D"/>
    <w:rsid w:val="00285473"/>
    <w:rsid w:val="00285C54"/>
    <w:rsid w:val="00286BF2"/>
    <w:rsid w:val="002919B4"/>
    <w:rsid w:val="002940E7"/>
    <w:rsid w:val="0029526D"/>
    <w:rsid w:val="00295A05"/>
    <w:rsid w:val="00297EEF"/>
    <w:rsid w:val="002A3E76"/>
    <w:rsid w:val="002A42DF"/>
    <w:rsid w:val="002B0ACC"/>
    <w:rsid w:val="002B1488"/>
    <w:rsid w:val="002B6521"/>
    <w:rsid w:val="002B6738"/>
    <w:rsid w:val="002C2B09"/>
    <w:rsid w:val="002C38D9"/>
    <w:rsid w:val="002C5954"/>
    <w:rsid w:val="002C62FA"/>
    <w:rsid w:val="002C6BE7"/>
    <w:rsid w:val="002D1928"/>
    <w:rsid w:val="002D2C38"/>
    <w:rsid w:val="002D6AE4"/>
    <w:rsid w:val="002D7336"/>
    <w:rsid w:val="002E501F"/>
    <w:rsid w:val="002F4AE3"/>
    <w:rsid w:val="002F583F"/>
    <w:rsid w:val="002F58A9"/>
    <w:rsid w:val="002F783F"/>
    <w:rsid w:val="003028E7"/>
    <w:rsid w:val="00303A5D"/>
    <w:rsid w:val="003113E3"/>
    <w:rsid w:val="00322E7D"/>
    <w:rsid w:val="00326D16"/>
    <w:rsid w:val="00332D88"/>
    <w:rsid w:val="00332F16"/>
    <w:rsid w:val="003337DB"/>
    <w:rsid w:val="0033547B"/>
    <w:rsid w:val="00343A6D"/>
    <w:rsid w:val="00345245"/>
    <w:rsid w:val="00345EFE"/>
    <w:rsid w:val="00346F63"/>
    <w:rsid w:val="00352FFC"/>
    <w:rsid w:val="00353FA2"/>
    <w:rsid w:val="00355A0D"/>
    <w:rsid w:val="003568EC"/>
    <w:rsid w:val="00360061"/>
    <w:rsid w:val="003616DA"/>
    <w:rsid w:val="00361EDA"/>
    <w:rsid w:val="00362E5B"/>
    <w:rsid w:val="00365A13"/>
    <w:rsid w:val="00367F21"/>
    <w:rsid w:val="0037026F"/>
    <w:rsid w:val="00373E5E"/>
    <w:rsid w:val="00374793"/>
    <w:rsid w:val="00375661"/>
    <w:rsid w:val="00384198"/>
    <w:rsid w:val="00387E67"/>
    <w:rsid w:val="00390E30"/>
    <w:rsid w:val="00391035"/>
    <w:rsid w:val="0039159C"/>
    <w:rsid w:val="003974DD"/>
    <w:rsid w:val="003A2030"/>
    <w:rsid w:val="003A2125"/>
    <w:rsid w:val="003A33D1"/>
    <w:rsid w:val="003C096E"/>
    <w:rsid w:val="003C2391"/>
    <w:rsid w:val="003C32A4"/>
    <w:rsid w:val="003C4674"/>
    <w:rsid w:val="003C5F10"/>
    <w:rsid w:val="003C676D"/>
    <w:rsid w:val="003C69B8"/>
    <w:rsid w:val="003C7569"/>
    <w:rsid w:val="003D11BC"/>
    <w:rsid w:val="003D2921"/>
    <w:rsid w:val="003D2E0D"/>
    <w:rsid w:val="003D4395"/>
    <w:rsid w:val="003D67DE"/>
    <w:rsid w:val="003E0D58"/>
    <w:rsid w:val="003E1068"/>
    <w:rsid w:val="003E117C"/>
    <w:rsid w:val="003E2014"/>
    <w:rsid w:val="003E26B8"/>
    <w:rsid w:val="003E4113"/>
    <w:rsid w:val="003E4562"/>
    <w:rsid w:val="003E54D7"/>
    <w:rsid w:val="003E592F"/>
    <w:rsid w:val="003E7E70"/>
    <w:rsid w:val="003F521C"/>
    <w:rsid w:val="00404FAE"/>
    <w:rsid w:val="00407A03"/>
    <w:rsid w:val="00416EF1"/>
    <w:rsid w:val="00416F86"/>
    <w:rsid w:val="00416FE9"/>
    <w:rsid w:val="00416FF5"/>
    <w:rsid w:val="00417C5B"/>
    <w:rsid w:val="00424A37"/>
    <w:rsid w:val="004258F1"/>
    <w:rsid w:val="00427AC4"/>
    <w:rsid w:val="00431C84"/>
    <w:rsid w:val="004413B2"/>
    <w:rsid w:val="00444051"/>
    <w:rsid w:val="00444E07"/>
    <w:rsid w:val="00444EFB"/>
    <w:rsid w:val="00446669"/>
    <w:rsid w:val="00447AD1"/>
    <w:rsid w:val="00451A63"/>
    <w:rsid w:val="0046588E"/>
    <w:rsid w:val="0046592A"/>
    <w:rsid w:val="0047675E"/>
    <w:rsid w:val="00477A60"/>
    <w:rsid w:val="0048290B"/>
    <w:rsid w:val="00483E02"/>
    <w:rsid w:val="00490DCF"/>
    <w:rsid w:val="00490F37"/>
    <w:rsid w:val="004924AC"/>
    <w:rsid w:val="00497269"/>
    <w:rsid w:val="004A00D1"/>
    <w:rsid w:val="004B05E9"/>
    <w:rsid w:val="004B49C4"/>
    <w:rsid w:val="004B5439"/>
    <w:rsid w:val="004B5C22"/>
    <w:rsid w:val="004B76FB"/>
    <w:rsid w:val="004B7E6D"/>
    <w:rsid w:val="004C233A"/>
    <w:rsid w:val="004C3130"/>
    <w:rsid w:val="004C3258"/>
    <w:rsid w:val="004C5B62"/>
    <w:rsid w:val="004C630F"/>
    <w:rsid w:val="004C74BA"/>
    <w:rsid w:val="004D0F35"/>
    <w:rsid w:val="004D2132"/>
    <w:rsid w:val="004D3E4B"/>
    <w:rsid w:val="004D65AB"/>
    <w:rsid w:val="004E2245"/>
    <w:rsid w:val="004E36A9"/>
    <w:rsid w:val="004E39BE"/>
    <w:rsid w:val="004E6767"/>
    <w:rsid w:val="004E6D05"/>
    <w:rsid w:val="004E6D84"/>
    <w:rsid w:val="004F173D"/>
    <w:rsid w:val="004F23B2"/>
    <w:rsid w:val="004F53B7"/>
    <w:rsid w:val="004F7458"/>
    <w:rsid w:val="00501489"/>
    <w:rsid w:val="00505BDF"/>
    <w:rsid w:val="0051121C"/>
    <w:rsid w:val="00512818"/>
    <w:rsid w:val="00521038"/>
    <w:rsid w:val="005211C4"/>
    <w:rsid w:val="00523EB8"/>
    <w:rsid w:val="00540095"/>
    <w:rsid w:val="00540A20"/>
    <w:rsid w:val="00540CE3"/>
    <w:rsid w:val="005411FB"/>
    <w:rsid w:val="00542221"/>
    <w:rsid w:val="00542893"/>
    <w:rsid w:val="00547946"/>
    <w:rsid w:val="005500A7"/>
    <w:rsid w:val="00552C72"/>
    <w:rsid w:val="00552DCE"/>
    <w:rsid w:val="00563893"/>
    <w:rsid w:val="005657C9"/>
    <w:rsid w:val="00573BF5"/>
    <w:rsid w:val="00576BAB"/>
    <w:rsid w:val="0058190B"/>
    <w:rsid w:val="00582601"/>
    <w:rsid w:val="00585642"/>
    <w:rsid w:val="00587E7D"/>
    <w:rsid w:val="0059391B"/>
    <w:rsid w:val="00593954"/>
    <w:rsid w:val="005A0DA3"/>
    <w:rsid w:val="005C404E"/>
    <w:rsid w:val="005C5A6B"/>
    <w:rsid w:val="005D15E0"/>
    <w:rsid w:val="005D48BE"/>
    <w:rsid w:val="005D72A9"/>
    <w:rsid w:val="005E1A43"/>
    <w:rsid w:val="005E50FC"/>
    <w:rsid w:val="005E67D0"/>
    <w:rsid w:val="005E7141"/>
    <w:rsid w:val="005F0602"/>
    <w:rsid w:val="005F08A6"/>
    <w:rsid w:val="005F3D62"/>
    <w:rsid w:val="00601882"/>
    <w:rsid w:val="00607743"/>
    <w:rsid w:val="0062232C"/>
    <w:rsid w:val="0062286B"/>
    <w:rsid w:val="00625123"/>
    <w:rsid w:val="0063090C"/>
    <w:rsid w:val="00634176"/>
    <w:rsid w:val="00636342"/>
    <w:rsid w:val="00640C96"/>
    <w:rsid w:val="00641CE7"/>
    <w:rsid w:val="0064323A"/>
    <w:rsid w:val="006434DC"/>
    <w:rsid w:val="00646083"/>
    <w:rsid w:val="00647D91"/>
    <w:rsid w:val="00650BCF"/>
    <w:rsid w:val="00651BE0"/>
    <w:rsid w:val="006529C7"/>
    <w:rsid w:val="006612C0"/>
    <w:rsid w:val="00661AEB"/>
    <w:rsid w:val="00663604"/>
    <w:rsid w:val="006638BA"/>
    <w:rsid w:val="00675692"/>
    <w:rsid w:val="006756CE"/>
    <w:rsid w:val="00676F72"/>
    <w:rsid w:val="0067707F"/>
    <w:rsid w:val="006812DE"/>
    <w:rsid w:val="00684AA6"/>
    <w:rsid w:val="00684B7A"/>
    <w:rsid w:val="00685020"/>
    <w:rsid w:val="0068797F"/>
    <w:rsid w:val="00687AB1"/>
    <w:rsid w:val="00693639"/>
    <w:rsid w:val="0069369A"/>
    <w:rsid w:val="00695027"/>
    <w:rsid w:val="00696A60"/>
    <w:rsid w:val="006972BF"/>
    <w:rsid w:val="006A1912"/>
    <w:rsid w:val="006A621D"/>
    <w:rsid w:val="006B0D31"/>
    <w:rsid w:val="006B1198"/>
    <w:rsid w:val="006B219B"/>
    <w:rsid w:val="006B3E98"/>
    <w:rsid w:val="006C6950"/>
    <w:rsid w:val="006C71C1"/>
    <w:rsid w:val="006D05EA"/>
    <w:rsid w:val="006D20E2"/>
    <w:rsid w:val="006D3336"/>
    <w:rsid w:val="006D4840"/>
    <w:rsid w:val="006D51E3"/>
    <w:rsid w:val="006D6E2E"/>
    <w:rsid w:val="006D7285"/>
    <w:rsid w:val="006E3B14"/>
    <w:rsid w:val="006E43E8"/>
    <w:rsid w:val="006E564D"/>
    <w:rsid w:val="006E56A0"/>
    <w:rsid w:val="006E6C44"/>
    <w:rsid w:val="006F1513"/>
    <w:rsid w:val="006F50D5"/>
    <w:rsid w:val="00700C9F"/>
    <w:rsid w:val="0070299E"/>
    <w:rsid w:val="00705079"/>
    <w:rsid w:val="00706C3F"/>
    <w:rsid w:val="00706C8E"/>
    <w:rsid w:val="007110A5"/>
    <w:rsid w:val="00712DE0"/>
    <w:rsid w:val="0071604F"/>
    <w:rsid w:val="00716B7F"/>
    <w:rsid w:val="007200DE"/>
    <w:rsid w:val="00721BC1"/>
    <w:rsid w:val="00726C51"/>
    <w:rsid w:val="00727304"/>
    <w:rsid w:val="00733A81"/>
    <w:rsid w:val="0073406A"/>
    <w:rsid w:val="00734A63"/>
    <w:rsid w:val="00740342"/>
    <w:rsid w:val="007422D5"/>
    <w:rsid w:val="00742D16"/>
    <w:rsid w:val="007436B9"/>
    <w:rsid w:val="0074443F"/>
    <w:rsid w:val="00745480"/>
    <w:rsid w:val="00750D0A"/>
    <w:rsid w:val="00752E79"/>
    <w:rsid w:val="00756A57"/>
    <w:rsid w:val="0076067D"/>
    <w:rsid w:val="00761E23"/>
    <w:rsid w:val="00763239"/>
    <w:rsid w:val="007743C4"/>
    <w:rsid w:val="007766FA"/>
    <w:rsid w:val="00777BD7"/>
    <w:rsid w:val="00777DF1"/>
    <w:rsid w:val="0078409D"/>
    <w:rsid w:val="0079049C"/>
    <w:rsid w:val="00791394"/>
    <w:rsid w:val="00793497"/>
    <w:rsid w:val="00794212"/>
    <w:rsid w:val="00797E62"/>
    <w:rsid w:val="007A5C7C"/>
    <w:rsid w:val="007B02FD"/>
    <w:rsid w:val="007B1116"/>
    <w:rsid w:val="007B2B2D"/>
    <w:rsid w:val="007B2F94"/>
    <w:rsid w:val="007B334D"/>
    <w:rsid w:val="007B4C97"/>
    <w:rsid w:val="007B7E95"/>
    <w:rsid w:val="007C015B"/>
    <w:rsid w:val="007C0DFE"/>
    <w:rsid w:val="007C114C"/>
    <w:rsid w:val="007C16AA"/>
    <w:rsid w:val="007C17D2"/>
    <w:rsid w:val="007C3F91"/>
    <w:rsid w:val="007C4F2F"/>
    <w:rsid w:val="007C6E64"/>
    <w:rsid w:val="007C7474"/>
    <w:rsid w:val="007E2577"/>
    <w:rsid w:val="007E2BAC"/>
    <w:rsid w:val="007F02C6"/>
    <w:rsid w:val="007F12AA"/>
    <w:rsid w:val="007F7E78"/>
    <w:rsid w:val="008026AD"/>
    <w:rsid w:val="008031AA"/>
    <w:rsid w:val="00803D09"/>
    <w:rsid w:val="0080401E"/>
    <w:rsid w:val="00805BE0"/>
    <w:rsid w:val="008071E4"/>
    <w:rsid w:val="00807B3F"/>
    <w:rsid w:val="00816918"/>
    <w:rsid w:val="00817004"/>
    <w:rsid w:val="0082064E"/>
    <w:rsid w:val="00821C19"/>
    <w:rsid w:val="008222A3"/>
    <w:rsid w:val="0082363E"/>
    <w:rsid w:val="00830163"/>
    <w:rsid w:val="00830953"/>
    <w:rsid w:val="00830E4D"/>
    <w:rsid w:val="00831BE6"/>
    <w:rsid w:val="008325DD"/>
    <w:rsid w:val="008326C4"/>
    <w:rsid w:val="00836FC3"/>
    <w:rsid w:val="00841CD9"/>
    <w:rsid w:val="00850915"/>
    <w:rsid w:val="008516DD"/>
    <w:rsid w:val="00853454"/>
    <w:rsid w:val="00855E33"/>
    <w:rsid w:val="00856B98"/>
    <w:rsid w:val="00857F3E"/>
    <w:rsid w:val="00860D81"/>
    <w:rsid w:val="00861CE4"/>
    <w:rsid w:val="00870EFA"/>
    <w:rsid w:val="00871E29"/>
    <w:rsid w:val="008771C6"/>
    <w:rsid w:val="008804AA"/>
    <w:rsid w:val="00880C84"/>
    <w:rsid w:val="00882E18"/>
    <w:rsid w:val="00885907"/>
    <w:rsid w:val="008955E5"/>
    <w:rsid w:val="008964D4"/>
    <w:rsid w:val="008A121D"/>
    <w:rsid w:val="008A3767"/>
    <w:rsid w:val="008A48C3"/>
    <w:rsid w:val="008A7CFE"/>
    <w:rsid w:val="008C3622"/>
    <w:rsid w:val="008C68F3"/>
    <w:rsid w:val="008C7CFC"/>
    <w:rsid w:val="008D08FC"/>
    <w:rsid w:val="008D1E1F"/>
    <w:rsid w:val="008D3CD2"/>
    <w:rsid w:val="008D4269"/>
    <w:rsid w:val="008D5D79"/>
    <w:rsid w:val="008D5EA2"/>
    <w:rsid w:val="008E19D0"/>
    <w:rsid w:val="008E6CF1"/>
    <w:rsid w:val="008F0483"/>
    <w:rsid w:val="008F0B29"/>
    <w:rsid w:val="008F0C76"/>
    <w:rsid w:val="008F1258"/>
    <w:rsid w:val="008F20E1"/>
    <w:rsid w:val="008F2D7E"/>
    <w:rsid w:val="008F2E60"/>
    <w:rsid w:val="008F6607"/>
    <w:rsid w:val="008F7A51"/>
    <w:rsid w:val="0090337A"/>
    <w:rsid w:val="00906082"/>
    <w:rsid w:val="00913B91"/>
    <w:rsid w:val="00914506"/>
    <w:rsid w:val="00914AD8"/>
    <w:rsid w:val="00920F19"/>
    <w:rsid w:val="00922E0A"/>
    <w:rsid w:val="0092371C"/>
    <w:rsid w:val="00931079"/>
    <w:rsid w:val="009441CF"/>
    <w:rsid w:val="00945A0E"/>
    <w:rsid w:val="00946558"/>
    <w:rsid w:val="009501B7"/>
    <w:rsid w:val="009517E2"/>
    <w:rsid w:val="009538D1"/>
    <w:rsid w:val="00954068"/>
    <w:rsid w:val="0095553B"/>
    <w:rsid w:val="00956F6D"/>
    <w:rsid w:val="00961791"/>
    <w:rsid w:val="00964A4A"/>
    <w:rsid w:val="00966861"/>
    <w:rsid w:val="009679B1"/>
    <w:rsid w:val="00972B6C"/>
    <w:rsid w:val="00973A8E"/>
    <w:rsid w:val="0097415C"/>
    <w:rsid w:val="00976C62"/>
    <w:rsid w:val="00977102"/>
    <w:rsid w:val="009779E9"/>
    <w:rsid w:val="00984C14"/>
    <w:rsid w:val="00985770"/>
    <w:rsid w:val="00986712"/>
    <w:rsid w:val="00986CCE"/>
    <w:rsid w:val="009878C2"/>
    <w:rsid w:val="00994A18"/>
    <w:rsid w:val="00995249"/>
    <w:rsid w:val="009A12EC"/>
    <w:rsid w:val="009A18A3"/>
    <w:rsid w:val="009A3BAE"/>
    <w:rsid w:val="009A5505"/>
    <w:rsid w:val="009A5783"/>
    <w:rsid w:val="009A59FA"/>
    <w:rsid w:val="009B2DCB"/>
    <w:rsid w:val="009B3CC4"/>
    <w:rsid w:val="009B44F6"/>
    <w:rsid w:val="009C1C33"/>
    <w:rsid w:val="009C5DBC"/>
    <w:rsid w:val="009C6172"/>
    <w:rsid w:val="009C61DF"/>
    <w:rsid w:val="009E5E03"/>
    <w:rsid w:val="009F3E08"/>
    <w:rsid w:val="009F6846"/>
    <w:rsid w:val="009F7374"/>
    <w:rsid w:val="009F74FD"/>
    <w:rsid w:val="00A02863"/>
    <w:rsid w:val="00A04522"/>
    <w:rsid w:val="00A128BC"/>
    <w:rsid w:val="00A2080D"/>
    <w:rsid w:val="00A22BA9"/>
    <w:rsid w:val="00A313A3"/>
    <w:rsid w:val="00A335B9"/>
    <w:rsid w:val="00A344B7"/>
    <w:rsid w:val="00A34952"/>
    <w:rsid w:val="00A428D6"/>
    <w:rsid w:val="00A4751F"/>
    <w:rsid w:val="00A52665"/>
    <w:rsid w:val="00A55C0D"/>
    <w:rsid w:val="00A567DD"/>
    <w:rsid w:val="00A632E5"/>
    <w:rsid w:val="00A6401E"/>
    <w:rsid w:val="00A755F3"/>
    <w:rsid w:val="00A764E6"/>
    <w:rsid w:val="00A82578"/>
    <w:rsid w:val="00A82F3A"/>
    <w:rsid w:val="00A838FC"/>
    <w:rsid w:val="00A83C5F"/>
    <w:rsid w:val="00A915D4"/>
    <w:rsid w:val="00A96B15"/>
    <w:rsid w:val="00A96BA8"/>
    <w:rsid w:val="00AA3E84"/>
    <w:rsid w:val="00AA6949"/>
    <w:rsid w:val="00AB135C"/>
    <w:rsid w:val="00AB2292"/>
    <w:rsid w:val="00AB2E31"/>
    <w:rsid w:val="00AB34ED"/>
    <w:rsid w:val="00AC22D5"/>
    <w:rsid w:val="00AC2748"/>
    <w:rsid w:val="00AD4C73"/>
    <w:rsid w:val="00AE012F"/>
    <w:rsid w:val="00AE3A59"/>
    <w:rsid w:val="00AE504C"/>
    <w:rsid w:val="00AF02B3"/>
    <w:rsid w:val="00AF42A2"/>
    <w:rsid w:val="00AF42A3"/>
    <w:rsid w:val="00AF5AA9"/>
    <w:rsid w:val="00AF6246"/>
    <w:rsid w:val="00AF626E"/>
    <w:rsid w:val="00B025BF"/>
    <w:rsid w:val="00B03474"/>
    <w:rsid w:val="00B04935"/>
    <w:rsid w:val="00B05D8A"/>
    <w:rsid w:val="00B06F33"/>
    <w:rsid w:val="00B07487"/>
    <w:rsid w:val="00B11173"/>
    <w:rsid w:val="00B156A3"/>
    <w:rsid w:val="00B169B8"/>
    <w:rsid w:val="00B20588"/>
    <w:rsid w:val="00B20CE8"/>
    <w:rsid w:val="00B2294F"/>
    <w:rsid w:val="00B24C81"/>
    <w:rsid w:val="00B264B7"/>
    <w:rsid w:val="00B26CD2"/>
    <w:rsid w:val="00B26D2B"/>
    <w:rsid w:val="00B27B8F"/>
    <w:rsid w:val="00B31009"/>
    <w:rsid w:val="00B31F58"/>
    <w:rsid w:val="00B41AF9"/>
    <w:rsid w:val="00B41C09"/>
    <w:rsid w:val="00B44335"/>
    <w:rsid w:val="00B4533A"/>
    <w:rsid w:val="00B476B9"/>
    <w:rsid w:val="00B5002F"/>
    <w:rsid w:val="00B501D6"/>
    <w:rsid w:val="00B524C0"/>
    <w:rsid w:val="00B52F9D"/>
    <w:rsid w:val="00B53C04"/>
    <w:rsid w:val="00B60172"/>
    <w:rsid w:val="00B60A5D"/>
    <w:rsid w:val="00B669E7"/>
    <w:rsid w:val="00B70FB1"/>
    <w:rsid w:val="00B717FE"/>
    <w:rsid w:val="00B73F4F"/>
    <w:rsid w:val="00B743AB"/>
    <w:rsid w:val="00B770BE"/>
    <w:rsid w:val="00B81F79"/>
    <w:rsid w:val="00B820A5"/>
    <w:rsid w:val="00B85AC4"/>
    <w:rsid w:val="00B85C47"/>
    <w:rsid w:val="00B87A74"/>
    <w:rsid w:val="00B927D0"/>
    <w:rsid w:val="00B9485D"/>
    <w:rsid w:val="00BA02BC"/>
    <w:rsid w:val="00BA1C86"/>
    <w:rsid w:val="00BA3F2D"/>
    <w:rsid w:val="00BA56D8"/>
    <w:rsid w:val="00BA5E21"/>
    <w:rsid w:val="00BB1789"/>
    <w:rsid w:val="00BB2AA2"/>
    <w:rsid w:val="00BB3E0A"/>
    <w:rsid w:val="00BB497D"/>
    <w:rsid w:val="00BB7541"/>
    <w:rsid w:val="00BC11FE"/>
    <w:rsid w:val="00BC13EE"/>
    <w:rsid w:val="00BC3A5F"/>
    <w:rsid w:val="00BC5AD9"/>
    <w:rsid w:val="00BC6C78"/>
    <w:rsid w:val="00BD2383"/>
    <w:rsid w:val="00BD6D30"/>
    <w:rsid w:val="00BE0B07"/>
    <w:rsid w:val="00BE0E2B"/>
    <w:rsid w:val="00BE3E69"/>
    <w:rsid w:val="00BE5039"/>
    <w:rsid w:val="00BF1E7F"/>
    <w:rsid w:val="00BF3500"/>
    <w:rsid w:val="00C00C9C"/>
    <w:rsid w:val="00C01008"/>
    <w:rsid w:val="00C11AC0"/>
    <w:rsid w:val="00C12AFC"/>
    <w:rsid w:val="00C171E6"/>
    <w:rsid w:val="00C2087A"/>
    <w:rsid w:val="00C235FF"/>
    <w:rsid w:val="00C25045"/>
    <w:rsid w:val="00C275FC"/>
    <w:rsid w:val="00C27702"/>
    <w:rsid w:val="00C2772B"/>
    <w:rsid w:val="00C320F1"/>
    <w:rsid w:val="00C367B2"/>
    <w:rsid w:val="00C37678"/>
    <w:rsid w:val="00C42843"/>
    <w:rsid w:val="00C4324F"/>
    <w:rsid w:val="00C4610E"/>
    <w:rsid w:val="00C521E1"/>
    <w:rsid w:val="00C523DA"/>
    <w:rsid w:val="00C53A4C"/>
    <w:rsid w:val="00C53E06"/>
    <w:rsid w:val="00C541CF"/>
    <w:rsid w:val="00C5486D"/>
    <w:rsid w:val="00C5640B"/>
    <w:rsid w:val="00C57169"/>
    <w:rsid w:val="00C57636"/>
    <w:rsid w:val="00C61178"/>
    <w:rsid w:val="00C61BEC"/>
    <w:rsid w:val="00C62B6E"/>
    <w:rsid w:val="00C662F5"/>
    <w:rsid w:val="00C709B1"/>
    <w:rsid w:val="00C72DCF"/>
    <w:rsid w:val="00C73CD4"/>
    <w:rsid w:val="00C75846"/>
    <w:rsid w:val="00C779B1"/>
    <w:rsid w:val="00C82902"/>
    <w:rsid w:val="00C83144"/>
    <w:rsid w:val="00C8496E"/>
    <w:rsid w:val="00C84B8F"/>
    <w:rsid w:val="00C85681"/>
    <w:rsid w:val="00C95E8B"/>
    <w:rsid w:val="00CA365A"/>
    <w:rsid w:val="00CA4526"/>
    <w:rsid w:val="00CA49E8"/>
    <w:rsid w:val="00CA5F11"/>
    <w:rsid w:val="00CB022E"/>
    <w:rsid w:val="00CB182E"/>
    <w:rsid w:val="00CB2176"/>
    <w:rsid w:val="00CB37C2"/>
    <w:rsid w:val="00CB3EE7"/>
    <w:rsid w:val="00CB3F96"/>
    <w:rsid w:val="00CC3567"/>
    <w:rsid w:val="00CC599F"/>
    <w:rsid w:val="00CC5E3F"/>
    <w:rsid w:val="00CC65EE"/>
    <w:rsid w:val="00CD1A54"/>
    <w:rsid w:val="00CD5839"/>
    <w:rsid w:val="00CD6053"/>
    <w:rsid w:val="00CD77CA"/>
    <w:rsid w:val="00CE184A"/>
    <w:rsid w:val="00CE29A5"/>
    <w:rsid w:val="00CE4847"/>
    <w:rsid w:val="00CE51C0"/>
    <w:rsid w:val="00CF2C56"/>
    <w:rsid w:val="00CF3983"/>
    <w:rsid w:val="00CF5737"/>
    <w:rsid w:val="00CF7695"/>
    <w:rsid w:val="00D000A2"/>
    <w:rsid w:val="00D00502"/>
    <w:rsid w:val="00D00BAB"/>
    <w:rsid w:val="00D0234A"/>
    <w:rsid w:val="00D05A55"/>
    <w:rsid w:val="00D07353"/>
    <w:rsid w:val="00D154FD"/>
    <w:rsid w:val="00D301D0"/>
    <w:rsid w:val="00D328E4"/>
    <w:rsid w:val="00D32B1B"/>
    <w:rsid w:val="00D34C79"/>
    <w:rsid w:val="00D35BB0"/>
    <w:rsid w:val="00D43DEC"/>
    <w:rsid w:val="00D53116"/>
    <w:rsid w:val="00D64E82"/>
    <w:rsid w:val="00D76620"/>
    <w:rsid w:val="00D7720B"/>
    <w:rsid w:val="00D808C7"/>
    <w:rsid w:val="00D848B6"/>
    <w:rsid w:val="00D84C8F"/>
    <w:rsid w:val="00D84F84"/>
    <w:rsid w:val="00D920DA"/>
    <w:rsid w:val="00D923CA"/>
    <w:rsid w:val="00D94EC0"/>
    <w:rsid w:val="00D972A9"/>
    <w:rsid w:val="00DA6A38"/>
    <w:rsid w:val="00DB0E05"/>
    <w:rsid w:val="00DB0F91"/>
    <w:rsid w:val="00DB562C"/>
    <w:rsid w:val="00DC1DF4"/>
    <w:rsid w:val="00DC23B4"/>
    <w:rsid w:val="00DC30F3"/>
    <w:rsid w:val="00DC3D33"/>
    <w:rsid w:val="00DC549F"/>
    <w:rsid w:val="00DE0881"/>
    <w:rsid w:val="00DE0DAC"/>
    <w:rsid w:val="00DE22BA"/>
    <w:rsid w:val="00DF0C88"/>
    <w:rsid w:val="00DF171B"/>
    <w:rsid w:val="00DF5707"/>
    <w:rsid w:val="00DF5DBB"/>
    <w:rsid w:val="00DF6219"/>
    <w:rsid w:val="00DF6EB4"/>
    <w:rsid w:val="00DF73E7"/>
    <w:rsid w:val="00E02D70"/>
    <w:rsid w:val="00E058B5"/>
    <w:rsid w:val="00E10625"/>
    <w:rsid w:val="00E11CF6"/>
    <w:rsid w:val="00E129AB"/>
    <w:rsid w:val="00E25050"/>
    <w:rsid w:val="00E30010"/>
    <w:rsid w:val="00E40D8C"/>
    <w:rsid w:val="00E44308"/>
    <w:rsid w:val="00E459B2"/>
    <w:rsid w:val="00E45C4B"/>
    <w:rsid w:val="00E47BB2"/>
    <w:rsid w:val="00E50C4F"/>
    <w:rsid w:val="00E50F17"/>
    <w:rsid w:val="00E52D36"/>
    <w:rsid w:val="00E53995"/>
    <w:rsid w:val="00E601A8"/>
    <w:rsid w:val="00E60898"/>
    <w:rsid w:val="00E638C8"/>
    <w:rsid w:val="00E64B4A"/>
    <w:rsid w:val="00E65011"/>
    <w:rsid w:val="00E650B4"/>
    <w:rsid w:val="00E666B8"/>
    <w:rsid w:val="00E66CF0"/>
    <w:rsid w:val="00E67CD9"/>
    <w:rsid w:val="00E737AA"/>
    <w:rsid w:val="00E7541C"/>
    <w:rsid w:val="00E75886"/>
    <w:rsid w:val="00E80232"/>
    <w:rsid w:val="00E86C46"/>
    <w:rsid w:val="00E92755"/>
    <w:rsid w:val="00E9383F"/>
    <w:rsid w:val="00EA0274"/>
    <w:rsid w:val="00EA02AD"/>
    <w:rsid w:val="00EA2430"/>
    <w:rsid w:val="00EA4517"/>
    <w:rsid w:val="00EA7134"/>
    <w:rsid w:val="00EA71E7"/>
    <w:rsid w:val="00EC077E"/>
    <w:rsid w:val="00EC0E90"/>
    <w:rsid w:val="00EC33ED"/>
    <w:rsid w:val="00EC73E2"/>
    <w:rsid w:val="00ED1B37"/>
    <w:rsid w:val="00ED2572"/>
    <w:rsid w:val="00ED420C"/>
    <w:rsid w:val="00ED48BB"/>
    <w:rsid w:val="00ED6C48"/>
    <w:rsid w:val="00EE07EF"/>
    <w:rsid w:val="00EE12BA"/>
    <w:rsid w:val="00EE2B42"/>
    <w:rsid w:val="00EE2D07"/>
    <w:rsid w:val="00EE2F08"/>
    <w:rsid w:val="00EE5DEF"/>
    <w:rsid w:val="00EE5F05"/>
    <w:rsid w:val="00EF05F9"/>
    <w:rsid w:val="00EF07C5"/>
    <w:rsid w:val="00EF09E8"/>
    <w:rsid w:val="00EF2438"/>
    <w:rsid w:val="00EF6682"/>
    <w:rsid w:val="00F011D2"/>
    <w:rsid w:val="00F03817"/>
    <w:rsid w:val="00F048A7"/>
    <w:rsid w:val="00F06B1C"/>
    <w:rsid w:val="00F11A5B"/>
    <w:rsid w:val="00F13BF8"/>
    <w:rsid w:val="00F13DED"/>
    <w:rsid w:val="00F175BE"/>
    <w:rsid w:val="00F1773A"/>
    <w:rsid w:val="00F2142B"/>
    <w:rsid w:val="00F2230F"/>
    <w:rsid w:val="00F23271"/>
    <w:rsid w:val="00F27552"/>
    <w:rsid w:val="00F32FAC"/>
    <w:rsid w:val="00F32FDF"/>
    <w:rsid w:val="00F35E64"/>
    <w:rsid w:val="00F36CDF"/>
    <w:rsid w:val="00F37A34"/>
    <w:rsid w:val="00F40517"/>
    <w:rsid w:val="00F47142"/>
    <w:rsid w:val="00F50FDD"/>
    <w:rsid w:val="00F52CBC"/>
    <w:rsid w:val="00F53F30"/>
    <w:rsid w:val="00F55921"/>
    <w:rsid w:val="00F55F7F"/>
    <w:rsid w:val="00F5667C"/>
    <w:rsid w:val="00F56CD6"/>
    <w:rsid w:val="00F60EDF"/>
    <w:rsid w:val="00F65C7D"/>
    <w:rsid w:val="00F70202"/>
    <w:rsid w:val="00F73B91"/>
    <w:rsid w:val="00F75A08"/>
    <w:rsid w:val="00F761AB"/>
    <w:rsid w:val="00F77F08"/>
    <w:rsid w:val="00F81F73"/>
    <w:rsid w:val="00F90BD9"/>
    <w:rsid w:val="00F914AF"/>
    <w:rsid w:val="00F945C3"/>
    <w:rsid w:val="00FA012E"/>
    <w:rsid w:val="00FA4322"/>
    <w:rsid w:val="00FA469C"/>
    <w:rsid w:val="00FB72DA"/>
    <w:rsid w:val="00FB7F08"/>
    <w:rsid w:val="00FC200F"/>
    <w:rsid w:val="00FD23FF"/>
    <w:rsid w:val="00FD3A18"/>
    <w:rsid w:val="00FD5B6F"/>
    <w:rsid w:val="00FE101F"/>
    <w:rsid w:val="00FE52DA"/>
    <w:rsid w:val="00FF0650"/>
    <w:rsid w:val="00FF0B26"/>
    <w:rsid w:val="00FF0D14"/>
    <w:rsid w:val="00FF400C"/>
    <w:rsid w:val="00FF4E9F"/>
    <w:rsid w:val="00FF5194"/>
    <w:rsid w:val="00FF5C1E"/>
    <w:rsid w:val="00FF6110"/>
    <w:rsid w:val="00FF7B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E9CFD29"/>
  <w15:chartTrackingRefBased/>
  <w15:docId w15:val="{E3190ECF-8F04-4B16-9E83-C5BAD57D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96E"/>
  </w:style>
  <w:style w:type="paragraph" w:styleId="Heading2">
    <w:name w:val="heading 2"/>
    <w:basedOn w:val="Normal"/>
    <w:next w:val="Normal"/>
    <w:link w:val="Heading2Char"/>
    <w:uiPriority w:val="9"/>
    <w:unhideWhenUsed/>
    <w:qFormat/>
    <w:rsid w:val="0092371C"/>
    <w:pPr>
      <w:keepNext/>
      <w:keepLines/>
      <w:widowControl w:val="0"/>
      <w:spacing w:before="40" w:after="0" w:line="276" w:lineRule="auto"/>
      <w:outlineLvl w:val="1"/>
    </w:pPr>
    <w:rPr>
      <w:rFonts w:asciiTheme="majorHAnsi" w:eastAsiaTheme="majorEastAsia" w:hAnsiTheme="majorHAnsi" w:cstheme="majorBidi"/>
      <w:noProof/>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47946"/>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547946"/>
    <w:rPr>
      <w:rFonts w:ascii="Times New Roman" w:hAnsi="Times New Roman"/>
      <w:sz w:val="20"/>
      <w:szCs w:val="20"/>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Ref"/>
    <w:basedOn w:val="DefaultParagraphFont"/>
    <w:uiPriority w:val="99"/>
    <w:unhideWhenUsed/>
    <w:rsid w:val="00547946"/>
    <w:rPr>
      <w:vertAlign w:val="superscript"/>
    </w:rPr>
  </w:style>
  <w:style w:type="paragraph" w:styleId="Header">
    <w:name w:val="header"/>
    <w:basedOn w:val="Normal"/>
    <w:link w:val="HeaderChar"/>
    <w:uiPriority w:val="99"/>
    <w:unhideWhenUsed/>
    <w:rsid w:val="00547946"/>
    <w:pPr>
      <w:tabs>
        <w:tab w:val="center" w:pos="4153"/>
        <w:tab w:val="right" w:pos="8306"/>
      </w:tabs>
      <w:spacing w:after="0" w:line="240" w:lineRule="auto"/>
    </w:pPr>
    <w:rPr>
      <w:rFonts w:ascii="Times New Roman" w:hAnsi="Times New Roman"/>
      <w:sz w:val="28"/>
    </w:rPr>
  </w:style>
  <w:style w:type="character" w:customStyle="1" w:styleId="HeaderChar">
    <w:name w:val="Header Char"/>
    <w:basedOn w:val="DefaultParagraphFont"/>
    <w:link w:val="Header"/>
    <w:uiPriority w:val="99"/>
    <w:rsid w:val="00547946"/>
    <w:rPr>
      <w:rFonts w:ascii="Times New Roman" w:hAnsi="Times New Roman"/>
      <w:sz w:val="28"/>
    </w:rPr>
  </w:style>
  <w:style w:type="paragraph" w:styleId="Footer">
    <w:name w:val="footer"/>
    <w:basedOn w:val="Normal"/>
    <w:link w:val="FooterChar"/>
    <w:uiPriority w:val="99"/>
    <w:unhideWhenUsed/>
    <w:rsid w:val="00547946"/>
    <w:pPr>
      <w:tabs>
        <w:tab w:val="center" w:pos="4153"/>
        <w:tab w:val="right" w:pos="8306"/>
      </w:tabs>
      <w:spacing w:after="0" w:line="240" w:lineRule="auto"/>
    </w:pPr>
    <w:rPr>
      <w:rFonts w:ascii="Times New Roman" w:hAnsi="Times New Roman"/>
      <w:sz w:val="28"/>
    </w:rPr>
  </w:style>
  <w:style w:type="character" w:customStyle="1" w:styleId="FooterChar">
    <w:name w:val="Footer Char"/>
    <w:basedOn w:val="DefaultParagraphFont"/>
    <w:link w:val="Footer"/>
    <w:uiPriority w:val="99"/>
    <w:rsid w:val="00547946"/>
    <w:rPr>
      <w:rFonts w:ascii="Times New Roman" w:hAnsi="Times New Roman"/>
      <w:sz w:val="28"/>
    </w:rPr>
  </w:style>
  <w:style w:type="character" w:styleId="Hyperlink">
    <w:name w:val="Hyperlink"/>
    <w:basedOn w:val="DefaultParagraphFont"/>
    <w:uiPriority w:val="99"/>
    <w:unhideWhenUsed/>
    <w:rsid w:val="00547946"/>
    <w:rPr>
      <w:color w:val="0563C1" w:themeColor="hyperlink"/>
      <w:u w:val="single"/>
    </w:rPr>
  </w:style>
  <w:style w:type="character" w:styleId="FollowedHyperlink">
    <w:name w:val="FollowedHyperlink"/>
    <w:basedOn w:val="DefaultParagraphFont"/>
    <w:uiPriority w:val="99"/>
    <w:semiHidden/>
    <w:unhideWhenUsed/>
    <w:rsid w:val="00DC1DF4"/>
    <w:rPr>
      <w:color w:val="954F72" w:themeColor="followedHyperlink"/>
      <w:u w:val="single"/>
    </w:rPr>
  </w:style>
  <w:style w:type="paragraph" w:styleId="ListParagraph">
    <w:name w:val="List Paragraph"/>
    <w:aliases w:val="2"/>
    <w:basedOn w:val="Normal"/>
    <w:link w:val="ListParagraphChar"/>
    <w:uiPriority w:val="34"/>
    <w:qFormat/>
    <w:rsid w:val="00BB2AA2"/>
    <w:pPr>
      <w:ind w:left="720"/>
      <w:contextualSpacing/>
    </w:pPr>
  </w:style>
  <w:style w:type="character" w:styleId="CommentReference">
    <w:name w:val="annotation reference"/>
    <w:basedOn w:val="DefaultParagraphFont"/>
    <w:uiPriority w:val="99"/>
    <w:semiHidden/>
    <w:unhideWhenUsed/>
    <w:rsid w:val="0023165F"/>
    <w:rPr>
      <w:sz w:val="16"/>
      <w:szCs w:val="16"/>
    </w:rPr>
  </w:style>
  <w:style w:type="paragraph" w:styleId="CommentText">
    <w:name w:val="annotation text"/>
    <w:basedOn w:val="Normal"/>
    <w:link w:val="CommentTextChar"/>
    <w:uiPriority w:val="99"/>
    <w:unhideWhenUsed/>
    <w:rsid w:val="0023165F"/>
    <w:pPr>
      <w:spacing w:line="240" w:lineRule="auto"/>
    </w:pPr>
    <w:rPr>
      <w:sz w:val="20"/>
      <w:szCs w:val="20"/>
    </w:rPr>
  </w:style>
  <w:style w:type="character" w:customStyle="1" w:styleId="CommentTextChar">
    <w:name w:val="Comment Text Char"/>
    <w:basedOn w:val="DefaultParagraphFont"/>
    <w:link w:val="CommentText"/>
    <w:uiPriority w:val="99"/>
    <w:rsid w:val="0023165F"/>
    <w:rPr>
      <w:sz w:val="20"/>
      <w:szCs w:val="20"/>
    </w:rPr>
  </w:style>
  <w:style w:type="paragraph" w:styleId="CommentSubject">
    <w:name w:val="annotation subject"/>
    <w:basedOn w:val="CommentText"/>
    <w:next w:val="CommentText"/>
    <w:link w:val="CommentSubjectChar"/>
    <w:uiPriority w:val="99"/>
    <w:semiHidden/>
    <w:unhideWhenUsed/>
    <w:rsid w:val="0023165F"/>
    <w:rPr>
      <w:b/>
      <w:bCs/>
    </w:rPr>
  </w:style>
  <w:style w:type="character" w:customStyle="1" w:styleId="CommentSubjectChar">
    <w:name w:val="Comment Subject Char"/>
    <w:basedOn w:val="CommentTextChar"/>
    <w:link w:val="CommentSubject"/>
    <w:uiPriority w:val="99"/>
    <w:semiHidden/>
    <w:rsid w:val="0023165F"/>
    <w:rPr>
      <w:b/>
      <w:bCs/>
      <w:sz w:val="20"/>
      <w:szCs w:val="20"/>
    </w:rPr>
  </w:style>
  <w:style w:type="paragraph" w:styleId="BalloonText">
    <w:name w:val="Balloon Text"/>
    <w:basedOn w:val="Normal"/>
    <w:link w:val="BalloonTextChar"/>
    <w:uiPriority w:val="99"/>
    <w:semiHidden/>
    <w:unhideWhenUsed/>
    <w:rsid w:val="002316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65F"/>
    <w:rPr>
      <w:rFonts w:ascii="Segoe UI" w:hAnsi="Segoe UI" w:cs="Segoe UI"/>
      <w:sz w:val="18"/>
      <w:szCs w:val="18"/>
    </w:rPr>
  </w:style>
  <w:style w:type="paragraph" w:customStyle="1" w:styleId="naiskr">
    <w:name w:val="naiskr"/>
    <w:basedOn w:val="Normal"/>
    <w:rsid w:val="00AE504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
    <w:link w:val="ListParagraph"/>
    <w:uiPriority w:val="34"/>
    <w:locked/>
    <w:rsid w:val="0095553B"/>
  </w:style>
  <w:style w:type="paragraph" w:styleId="NoSpacing">
    <w:name w:val="No Spacing"/>
    <w:uiPriority w:val="1"/>
    <w:qFormat/>
    <w:rsid w:val="00D84F84"/>
    <w:pPr>
      <w:spacing w:after="0" w:line="240" w:lineRule="auto"/>
    </w:pPr>
    <w:rPr>
      <w:rFonts w:ascii="Times New Roman" w:eastAsia="Times New Roman" w:hAnsi="Times New Roman" w:cs="Times New Roman"/>
      <w:sz w:val="24"/>
      <w:szCs w:val="24"/>
      <w:lang w:val="en-GB"/>
    </w:rPr>
  </w:style>
  <w:style w:type="paragraph" w:customStyle="1" w:styleId="Text2">
    <w:name w:val="Text 2"/>
    <w:basedOn w:val="Normal"/>
    <w:rsid w:val="007C114C"/>
    <w:pPr>
      <w:spacing w:before="120" w:after="120" w:line="240" w:lineRule="auto"/>
      <w:ind w:left="850"/>
      <w:jc w:val="both"/>
    </w:pPr>
    <w:rPr>
      <w:rFonts w:ascii="Times New Roman" w:eastAsia="Times New Roman" w:hAnsi="Times New Roman" w:cs="Times New Roman"/>
      <w:snapToGrid w:val="0"/>
      <w:sz w:val="24"/>
      <w:szCs w:val="24"/>
      <w:lang w:eastAsia="en-GB"/>
    </w:rPr>
  </w:style>
  <w:style w:type="paragraph" w:styleId="BodyTextIndent2">
    <w:name w:val="Body Text Indent 2"/>
    <w:basedOn w:val="Normal"/>
    <w:link w:val="BodyTextIndent2Char"/>
    <w:unhideWhenUsed/>
    <w:rsid w:val="007C114C"/>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C114C"/>
    <w:rPr>
      <w:rFonts w:ascii="Times New Roman" w:eastAsia="Times New Roman" w:hAnsi="Times New Roman" w:cs="Times New Roman"/>
      <w:sz w:val="24"/>
      <w:szCs w:val="20"/>
    </w:rPr>
  </w:style>
  <w:style w:type="paragraph" w:styleId="BodyText3">
    <w:name w:val="Body Text 3"/>
    <w:basedOn w:val="Normal"/>
    <w:link w:val="BodyText3Char"/>
    <w:uiPriority w:val="99"/>
    <w:unhideWhenUsed/>
    <w:rsid w:val="007C114C"/>
    <w:pPr>
      <w:widowControl w:val="0"/>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7C114C"/>
    <w:rPr>
      <w:rFonts w:ascii="Calibri" w:eastAsia="Calibri" w:hAnsi="Calibri" w:cs="Times New Roman"/>
      <w:sz w:val="16"/>
      <w:szCs w:val="16"/>
    </w:rPr>
  </w:style>
  <w:style w:type="paragraph" w:customStyle="1" w:styleId="BodySingle">
    <w:name w:val="Body Single"/>
    <w:basedOn w:val="BodyText"/>
    <w:link w:val="BodySingleChar"/>
    <w:uiPriority w:val="1"/>
    <w:qFormat/>
    <w:rsid w:val="007C114C"/>
    <w:pPr>
      <w:spacing w:before="240" w:after="0" w:line="23" w:lineRule="atLeast"/>
      <w:jc w:val="both"/>
    </w:pPr>
    <w:rPr>
      <w:rFonts w:ascii="Georgia" w:eastAsia="Arial" w:hAnsi="Georgia" w:cs="Times New Roman"/>
    </w:rPr>
  </w:style>
  <w:style w:type="character" w:customStyle="1" w:styleId="BodySingleChar">
    <w:name w:val="Body Single Char"/>
    <w:basedOn w:val="BodyTextChar"/>
    <w:link w:val="BodySingle"/>
    <w:uiPriority w:val="1"/>
    <w:rsid w:val="007C114C"/>
    <w:rPr>
      <w:rFonts w:ascii="Georgia" w:eastAsia="Arial" w:hAnsi="Georgia" w:cs="Times New Roman"/>
    </w:rPr>
  </w:style>
  <w:style w:type="paragraph" w:customStyle="1" w:styleId="tv2132">
    <w:name w:val="tv2132"/>
    <w:basedOn w:val="Normal"/>
    <w:rsid w:val="007C114C"/>
    <w:pPr>
      <w:spacing w:after="0" w:line="360" w:lineRule="auto"/>
      <w:ind w:firstLine="300"/>
    </w:pPr>
    <w:rPr>
      <w:rFonts w:ascii="Times New Roman" w:eastAsia="Times New Roman" w:hAnsi="Times New Roman" w:cs="Times New Roman"/>
      <w:color w:val="414142"/>
      <w:sz w:val="20"/>
      <w:szCs w:val="20"/>
      <w:lang w:eastAsia="lv-LV"/>
    </w:rPr>
  </w:style>
  <w:style w:type="paragraph" w:styleId="BodyText">
    <w:name w:val="Body Text"/>
    <w:basedOn w:val="Normal"/>
    <w:link w:val="BodyTextChar"/>
    <w:uiPriority w:val="99"/>
    <w:unhideWhenUsed/>
    <w:rsid w:val="007C114C"/>
    <w:pPr>
      <w:spacing w:after="120"/>
    </w:pPr>
  </w:style>
  <w:style w:type="character" w:customStyle="1" w:styleId="BodyTextChar">
    <w:name w:val="Body Text Char"/>
    <w:basedOn w:val="DefaultParagraphFont"/>
    <w:link w:val="BodyText"/>
    <w:uiPriority w:val="99"/>
    <w:rsid w:val="007C114C"/>
  </w:style>
  <w:style w:type="paragraph" w:customStyle="1" w:styleId="daaarnumuru">
    <w:name w:val="daaarnumuru"/>
    <w:basedOn w:val="Normal"/>
    <w:rsid w:val="00984C14"/>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Default">
    <w:name w:val="Default"/>
    <w:rsid w:val="003C32A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B44F6"/>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D05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92371C"/>
    <w:rPr>
      <w:rFonts w:asciiTheme="majorHAnsi" w:eastAsiaTheme="majorEastAsia" w:hAnsiTheme="majorHAnsi" w:cstheme="majorBidi"/>
      <w:noProof/>
      <w:color w:val="2E74B5" w:themeColor="accent1" w:themeShade="BF"/>
      <w:sz w:val="26"/>
      <w:szCs w:val="26"/>
    </w:rPr>
  </w:style>
  <w:style w:type="paragraph" w:styleId="Revision">
    <w:name w:val="Revision"/>
    <w:hidden/>
    <w:uiPriority w:val="99"/>
    <w:semiHidden/>
    <w:rsid w:val="008534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702">
      <w:bodyDiv w:val="1"/>
      <w:marLeft w:val="0"/>
      <w:marRight w:val="0"/>
      <w:marTop w:val="0"/>
      <w:marBottom w:val="0"/>
      <w:divBdr>
        <w:top w:val="none" w:sz="0" w:space="0" w:color="auto"/>
        <w:left w:val="none" w:sz="0" w:space="0" w:color="auto"/>
        <w:bottom w:val="none" w:sz="0" w:space="0" w:color="auto"/>
        <w:right w:val="none" w:sz="0" w:space="0" w:color="auto"/>
      </w:divBdr>
    </w:div>
    <w:div w:id="36781806">
      <w:bodyDiv w:val="1"/>
      <w:marLeft w:val="0"/>
      <w:marRight w:val="0"/>
      <w:marTop w:val="0"/>
      <w:marBottom w:val="0"/>
      <w:divBdr>
        <w:top w:val="none" w:sz="0" w:space="0" w:color="auto"/>
        <w:left w:val="none" w:sz="0" w:space="0" w:color="auto"/>
        <w:bottom w:val="none" w:sz="0" w:space="0" w:color="auto"/>
        <w:right w:val="none" w:sz="0" w:space="0" w:color="auto"/>
      </w:divBdr>
    </w:div>
    <w:div w:id="200410849">
      <w:bodyDiv w:val="1"/>
      <w:marLeft w:val="0"/>
      <w:marRight w:val="0"/>
      <w:marTop w:val="0"/>
      <w:marBottom w:val="0"/>
      <w:divBdr>
        <w:top w:val="none" w:sz="0" w:space="0" w:color="auto"/>
        <w:left w:val="none" w:sz="0" w:space="0" w:color="auto"/>
        <w:bottom w:val="none" w:sz="0" w:space="0" w:color="auto"/>
        <w:right w:val="none" w:sz="0" w:space="0" w:color="auto"/>
      </w:divBdr>
    </w:div>
    <w:div w:id="507255585">
      <w:bodyDiv w:val="1"/>
      <w:marLeft w:val="0"/>
      <w:marRight w:val="0"/>
      <w:marTop w:val="0"/>
      <w:marBottom w:val="0"/>
      <w:divBdr>
        <w:top w:val="none" w:sz="0" w:space="0" w:color="auto"/>
        <w:left w:val="none" w:sz="0" w:space="0" w:color="auto"/>
        <w:bottom w:val="none" w:sz="0" w:space="0" w:color="auto"/>
        <w:right w:val="none" w:sz="0" w:space="0" w:color="auto"/>
      </w:divBdr>
    </w:div>
    <w:div w:id="683359426">
      <w:bodyDiv w:val="1"/>
      <w:marLeft w:val="0"/>
      <w:marRight w:val="0"/>
      <w:marTop w:val="0"/>
      <w:marBottom w:val="0"/>
      <w:divBdr>
        <w:top w:val="none" w:sz="0" w:space="0" w:color="auto"/>
        <w:left w:val="none" w:sz="0" w:space="0" w:color="auto"/>
        <w:bottom w:val="none" w:sz="0" w:space="0" w:color="auto"/>
        <w:right w:val="none" w:sz="0" w:space="0" w:color="auto"/>
      </w:divBdr>
      <w:divsChild>
        <w:div w:id="1538202774">
          <w:marLeft w:val="0"/>
          <w:marRight w:val="0"/>
          <w:marTop w:val="0"/>
          <w:marBottom w:val="0"/>
          <w:divBdr>
            <w:top w:val="none" w:sz="0" w:space="0" w:color="auto"/>
            <w:left w:val="none" w:sz="0" w:space="0" w:color="auto"/>
            <w:bottom w:val="none" w:sz="0" w:space="0" w:color="auto"/>
            <w:right w:val="none" w:sz="0" w:space="0" w:color="auto"/>
          </w:divBdr>
          <w:divsChild>
            <w:div w:id="1987276423">
              <w:marLeft w:val="0"/>
              <w:marRight w:val="0"/>
              <w:marTop w:val="975"/>
              <w:marBottom w:val="0"/>
              <w:divBdr>
                <w:top w:val="none" w:sz="0" w:space="0" w:color="auto"/>
                <w:left w:val="none" w:sz="0" w:space="0" w:color="auto"/>
                <w:bottom w:val="none" w:sz="0" w:space="0" w:color="auto"/>
                <w:right w:val="none" w:sz="0" w:space="0" w:color="auto"/>
              </w:divBdr>
              <w:divsChild>
                <w:div w:id="682318253">
                  <w:marLeft w:val="0"/>
                  <w:marRight w:val="0"/>
                  <w:marTop w:val="0"/>
                  <w:marBottom w:val="0"/>
                  <w:divBdr>
                    <w:top w:val="none" w:sz="0" w:space="0" w:color="auto"/>
                    <w:left w:val="none" w:sz="0" w:space="0" w:color="auto"/>
                    <w:bottom w:val="none" w:sz="0" w:space="0" w:color="auto"/>
                    <w:right w:val="none" w:sz="0" w:space="0" w:color="auto"/>
                  </w:divBdr>
                  <w:divsChild>
                    <w:div w:id="3906222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847525406">
      <w:bodyDiv w:val="1"/>
      <w:marLeft w:val="0"/>
      <w:marRight w:val="0"/>
      <w:marTop w:val="0"/>
      <w:marBottom w:val="0"/>
      <w:divBdr>
        <w:top w:val="none" w:sz="0" w:space="0" w:color="auto"/>
        <w:left w:val="none" w:sz="0" w:space="0" w:color="auto"/>
        <w:bottom w:val="none" w:sz="0" w:space="0" w:color="auto"/>
        <w:right w:val="none" w:sz="0" w:space="0" w:color="auto"/>
      </w:divBdr>
      <w:divsChild>
        <w:div w:id="202791777">
          <w:marLeft w:val="0"/>
          <w:marRight w:val="0"/>
          <w:marTop w:val="0"/>
          <w:marBottom w:val="0"/>
          <w:divBdr>
            <w:top w:val="none" w:sz="0" w:space="0" w:color="auto"/>
            <w:left w:val="none" w:sz="0" w:space="0" w:color="auto"/>
            <w:bottom w:val="none" w:sz="0" w:space="0" w:color="auto"/>
            <w:right w:val="none" w:sz="0" w:space="0" w:color="auto"/>
          </w:divBdr>
          <w:divsChild>
            <w:div w:id="2034960031">
              <w:marLeft w:val="0"/>
              <w:marRight w:val="0"/>
              <w:marTop w:val="0"/>
              <w:marBottom w:val="0"/>
              <w:divBdr>
                <w:top w:val="none" w:sz="0" w:space="0" w:color="auto"/>
                <w:left w:val="none" w:sz="0" w:space="0" w:color="auto"/>
                <w:bottom w:val="none" w:sz="0" w:space="0" w:color="auto"/>
                <w:right w:val="none" w:sz="0" w:space="0" w:color="auto"/>
              </w:divBdr>
              <w:divsChild>
                <w:div w:id="1143497414">
                  <w:marLeft w:val="0"/>
                  <w:marRight w:val="0"/>
                  <w:marTop w:val="0"/>
                  <w:marBottom w:val="0"/>
                  <w:divBdr>
                    <w:top w:val="none" w:sz="0" w:space="0" w:color="auto"/>
                    <w:left w:val="none" w:sz="0" w:space="0" w:color="auto"/>
                    <w:bottom w:val="none" w:sz="0" w:space="0" w:color="auto"/>
                    <w:right w:val="none" w:sz="0" w:space="0" w:color="auto"/>
                  </w:divBdr>
                  <w:divsChild>
                    <w:div w:id="268778936">
                      <w:marLeft w:val="0"/>
                      <w:marRight w:val="0"/>
                      <w:marTop w:val="0"/>
                      <w:marBottom w:val="0"/>
                      <w:divBdr>
                        <w:top w:val="none" w:sz="0" w:space="0" w:color="auto"/>
                        <w:left w:val="none" w:sz="0" w:space="0" w:color="auto"/>
                        <w:bottom w:val="none" w:sz="0" w:space="0" w:color="auto"/>
                        <w:right w:val="none" w:sz="0" w:space="0" w:color="auto"/>
                      </w:divBdr>
                      <w:divsChild>
                        <w:div w:id="2127238668">
                          <w:marLeft w:val="0"/>
                          <w:marRight w:val="0"/>
                          <w:marTop w:val="0"/>
                          <w:marBottom w:val="0"/>
                          <w:divBdr>
                            <w:top w:val="none" w:sz="0" w:space="0" w:color="auto"/>
                            <w:left w:val="none" w:sz="0" w:space="0" w:color="auto"/>
                            <w:bottom w:val="none" w:sz="0" w:space="0" w:color="auto"/>
                            <w:right w:val="none" w:sz="0" w:space="0" w:color="auto"/>
                          </w:divBdr>
                          <w:divsChild>
                            <w:div w:id="93744814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389276">
      <w:bodyDiv w:val="1"/>
      <w:marLeft w:val="0"/>
      <w:marRight w:val="0"/>
      <w:marTop w:val="0"/>
      <w:marBottom w:val="0"/>
      <w:divBdr>
        <w:top w:val="none" w:sz="0" w:space="0" w:color="auto"/>
        <w:left w:val="none" w:sz="0" w:space="0" w:color="auto"/>
        <w:bottom w:val="none" w:sz="0" w:space="0" w:color="auto"/>
        <w:right w:val="none" w:sz="0" w:space="0" w:color="auto"/>
      </w:divBdr>
    </w:div>
    <w:div w:id="1045956579">
      <w:bodyDiv w:val="1"/>
      <w:marLeft w:val="0"/>
      <w:marRight w:val="0"/>
      <w:marTop w:val="0"/>
      <w:marBottom w:val="0"/>
      <w:divBdr>
        <w:top w:val="none" w:sz="0" w:space="0" w:color="auto"/>
        <w:left w:val="none" w:sz="0" w:space="0" w:color="auto"/>
        <w:bottom w:val="none" w:sz="0" w:space="0" w:color="auto"/>
        <w:right w:val="none" w:sz="0" w:space="0" w:color="auto"/>
      </w:divBdr>
    </w:div>
    <w:div w:id="1218279447">
      <w:bodyDiv w:val="1"/>
      <w:marLeft w:val="0"/>
      <w:marRight w:val="0"/>
      <w:marTop w:val="0"/>
      <w:marBottom w:val="0"/>
      <w:divBdr>
        <w:top w:val="none" w:sz="0" w:space="0" w:color="auto"/>
        <w:left w:val="none" w:sz="0" w:space="0" w:color="auto"/>
        <w:bottom w:val="none" w:sz="0" w:space="0" w:color="auto"/>
        <w:right w:val="none" w:sz="0" w:space="0" w:color="auto"/>
      </w:divBdr>
    </w:div>
    <w:div w:id="1233538234">
      <w:bodyDiv w:val="1"/>
      <w:marLeft w:val="0"/>
      <w:marRight w:val="0"/>
      <w:marTop w:val="0"/>
      <w:marBottom w:val="0"/>
      <w:divBdr>
        <w:top w:val="none" w:sz="0" w:space="0" w:color="auto"/>
        <w:left w:val="none" w:sz="0" w:space="0" w:color="auto"/>
        <w:bottom w:val="none" w:sz="0" w:space="0" w:color="auto"/>
        <w:right w:val="none" w:sz="0" w:space="0" w:color="auto"/>
      </w:divBdr>
      <w:divsChild>
        <w:div w:id="1897623602">
          <w:marLeft w:val="0"/>
          <w:marRight w:val="0"/>
          <w:marTop w:val="0"/>
          <w:marBottom w:val="0"/>
          <w:divBdr>
            <w:top w:val="none" w:sz="0" w:space="0" w:color="auto"/>
            <w:left w:val="none" w:sz="0" w:space="0" w:color="auto"/>
            <w:bottom w:val="none" w:sz="0" w:space="0" w:color="auto"/>
            <w:right w:val="none" w:sz="0" w:space="0" w:color="auto"/>
          </w:divBdr>
          <w:divsChild>
            <w:div w:id="1334718734">
              <w:marLeft w:val="0"/>
              <w:marRight w:val="0"/>
              <w:marTop w:val="0"/>
              <w:marBottom w:val="0"/>
              <w:divBdr>
                <w:top w:val="none" w:sz="0" w:space="0" w:color="auto"/>
                <w:left w:val="none" w:sz="0" w:space="0" w:color="auto"/>
                <w:bottom w:val="none" w:sz="0" w:space="0" w:color="auto"/>
                <w:right w:val="none" w:sz="0" w:space="0" w:color="auto"/>
              </w:divBdr>
              <w:divsChild>
                <w:div w:id="1063986698">
                  <w:marLeft w:val="0"/>
                  <w:marRight w:val="0"/>
                  <w:marTop w:val="0"/>
                  <w:marBottom w:val="0"/>
                  <w:divBdr>
                    <w:top w:val="none" w:sz="0" w:space="0" w:color="auto"/>
                    <w:left w:val="none" w:sz="0" w:space="0" w:color="auto"/>
                    <w:bottom w:val="none" w:sz="0" w:space="0" w:color="auto"/>
                    <w:right w:val="none" w:sz="0" w:space="0" w:color="auto"/>
                  </w:divBdr>
                  <w:divsChild>
                    <w:div w:id="62683990">
                      <w:marLeft w:val="0"/>
                      <w:marRight w:val="0"/>
                      <w:marTop w:val="0"/>
                      <w:marBottom w:val="0"/>
                      <w:divBdr>
                        <w:top w:val="none" w:sz="0" w:space="0" w:color="auto"/>
                        <w:left w:val="none" w:sz="0" w:space="0" w:color="auto"/>
                        <w:bottom w:val="none" w:sz="0" w:space="0" w:color="auto"/>
                        <w:right w:val="none" w:sz="0" w:space="0" w:color="auto"/>
                      </w:divBdr>
                      <w:divsChild>
                        <w:div w:id="561018219">
                          <w:marLeft w:val="0"/>
                          <w:marRight w:val="0"/>
                          <w:marTop w:val="0"/>
                          <w:marBottom w:val="0"/>
                          <w:divBdr>
                            <w:top w:val="none" w:sz="0" w:space="0" w:color="auto"/>
                            <w:left w:val="none" w:sz="0" w:space="0" w:color="auto"/>
                            <w:bottom w:val="none" w:sz="0" w:space="0" w:color="auto"/>
                            <w:right w:val="none" w:sz="0" w:space="0" w:color="auto"/>
                          </w:divBdr>
                          <w:divsChild>
                            <w:div w:id="1826895146">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115337">
      <w:bodyDiv w:val="1"/>
      <w:marLeft w:val="0"/>
      <w:marRight w:val="0"/>
      <w:marTop w:val="0"/>
      <w:marBottom w:val="0"/>
      <w:divBdr>
        <w:top w:val="none" w:sz="0" w:space="0" w:color="auto"/>
        <w:left w:val="none" w:sz="0" w:space="0" w:color="auto"/>
        <w:bottom w:val="none" w:sz="0" w:space="0" w:color="auto"/>
        <w:right w:val="none" w:sz="0" w:space="0" w:color="auto"/>
      </w:divBdr>
      <w:divsChild>
        <w:div w:id="1014766392">
          <w:marLeft w:val="0"/>
          <w:marRight w:val="0"/>
          <w:marTop w:val="0"/>
          <w:marBottom w:val="0"/>
          <w:divBdr>
            <w:top w:val="none" w:sz="0" w:space="0" w:color="auto"/>
            <w:left w:val="none" w:sz="0" w:space="0" w:color="auto"/>
            <w:bottom w:val="none" w:sz="0" w:space="0" w:color="auto"/>
            <w:right w:val="none" w:sz="0" w:space="0" w:color="auto"/>
          </w:divBdr>
          <w:divsChild>
            <w:div w:id="367798229">
              <w:marLeft w:val="0"/>
              <w:marRight w:val="0"/>
              <w:marTop w:val="0"/>
              <w:marBottom w:val="0"/>
              <w:divBdr>
                <w:top w:val="none" w:sz="0" w:space="0" w:color="auto"/>
                <w:left w:val="none" w:sz="0" w:space="0" w:color="auto"/>
                <w:bottom w:val="none" w:sz="0" w:space="0" w:color="auto"/>
                <w:right w:val="none" w:sz="0" w:space="0" w:color="auto"/>
              </w:divBdr>
              <w:divsChild>
                <w:div w:id="855772185">
                  <w:marLeft w:val="0"/>
                  <w:marRight w:val="0"/>
                  <w:marTop w:val="0"/>
                  <w:marBottom w:val="0"/>
                  <w:divBdr>
                    <w:top w:val="none" w:sz="0" w:space="0" w:color="auto"/>
                    <w:left w:val="none" w:sz="0" w:space="0" w:color="auto"/>
                    <w:bottom w:val="none" w:sz="0" w:space="0" w:color="auto"/>
                    <w:right w:val="none" w:sz="0" w:space="0" w:color="auto"/>
                  </w:divBdr>
                  <w:divsChild>
                    <w:div w:id="2612273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425763134">
      <w:bodyDiv w:val="1"/>
      <w:marLeft w:val="0"/>
      <w:marRight w:val="0"/>
      <w:marTop w:val="0"/>
      <w:marBottom w:val="0"/>
      <w:divBdr>
        <w:top w:val="none" w:sz="0" w:space="0" w:color="auto"/>
        <w:left w:val="none" w:sz="0" w:space="0" w:color="auto"/>
        <w:bottom w:val="none" w:sz="0" w:space="0" w:color="auto"/>
        <w:right w:val="none" w:sz="0" w:space="0" w:color="auto"/>
      </w:divBdr>
    </w:div>
    <w:div w:id="1443768106">
      <w:bodyDiv w:val="1"/>
      <w:marLeft w:val="0"/>
      <w:marRight w:val="0"/>
      <w:marTop w:val="0"/>
      <w:marBottom w:val="0"/>
      <w:divBdr>
        <w:top w:val="none" w:sz="0" w:space="0" w:color="auto"/>
        <w:left w:val="none" w:sz="0" w:space="0" w:color="auto"/>
        <w:bottom w:val="none" w:sz="0" w:space="0" w:color="auto"/>
        <w:right w:val="none" w:sz="0" w:space="0" w:color="auto"/>
      </w:divBdr>
      <w:divsChild>
        <w:div w:id="329597669">
          <w:marLeft w:val="0"/>
          <w:marRight w:val="0"/>
          <w:marTop w:val="0"/>
          <w:marBottom w:val="0"/>
          <w:divBdr>
            <w:top w:val="none" w:sz="0" w:space="0" w:color="auto"/>
            <w:left w:val="none" w:sz="0" w:space="0" w:color="auto"/>
            <w:bottom w:val="none" w:sz="0" w:space="0" w:color="auto"/>
            <w:right w:val="none" w:sz="0" w:space="0" w:color="auto"/>
          </w:divBdr>
          <w:divsChild>
            <w:div w:id="1554344441">
              <w:marLeft w:val="0"/>
              <w:marRight w:val="0"/>
              <w:marTop w:val="0"/>
              <w:marBottom w:val="0"/>
              <w:divBdr>
                <w:top w:val="none" w:sz="0" w:space="0" w:color="auto"/>
                <w:left w:val="none" w:sz="0" w:space="0" w:color="auto"/>
                <w:bottom w:val="none" w:sz="0" w:space="0" w:color="auto"/>
                <w:right w:val="none" w:sz="0" w:space="0" w:color="auto"/>
              </w:divBdr>
              <w:divsChild>
                <w:div w:id="6105864">
                  <w:marLeft w:val="0"/>
                  <w:marRight w:val="0"/>
                  <w:marTop w:val="0"/>
                  <w:marBottom w:val="0"/>
                  <w:divBdr>
                    <w:top w:val="none" w:sz="0" w:space="0" w:color="auto"/>
                    <w:left w:val="none" w:sz="0" w:space="0" w:color="auto"/>
                    <w:bottom w:val="none" w:sz="0" w:space="0" w:color="auto"/>
                    <w:right w:val="none" w:sz="0" w:space="0" w:color="auto"/>
                  </w:divBdr>
                  <w:divsChild>
                    <w:div w:id="806244584">
                      <w:marLeft w:val="0"/>
                      <w:marRight w:val="0"/>
                      <w:marTop w:val="0"/>
                      <w:marBottom w:val="0"/>
                      <w:divBdr>
                        <w:top w:val="none" w:sz="0" w:space="0" w:color="auto"/>
                        <w:left w:val="none" w:sz="0" w:space="0" w:color="auto"/>
                        <w:bottom w:val="none" w:sz="0" w:space="0" w:color="auto"/>
                        <w:right w:val="none" w:sz="0" w:space="0" w:color="auto"/>
                      </w:divBdr>
                      <w:divsChild>
                        <w:div w:id="1145851925">
                          <w:marLeft w:val="0"/>
                          <w:marRight w:val="0"/>
                          <w:marTop w:val="0"/>
                          <w:marBottom w:val="0"/>
                          <w:divBdr>
                            <w:top w:val="none" w:sz="0" w:space="0" w:color="auto"/>
                            <w:left w:val="none" w:sz="0" w:space="0" w:color="auto"/>
                            <w:bottom w:val="none" w:sz="0" w:space="0" w:color="auto"/>
                            <w:right w:val="none" w:sz="0" w:space="0" w:color="auto"/>
                          </w:divBdr>
                          <w:divsChild>
                            <w:div w:id="29957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039376">
      <w:bodyDiv w:val="1"/>
      <w:marLeft w:val="0"/>
      <w:marRight w:val="0"/>
      <w:marTop w:val="0"/>
      <w:marBottom w:val="0"/>
      <w:divBdr>
        <w:top w:val="none" w:sz="0" w:space="0" w:color="auto"/>
        <w:left w:val="none" w:sz="0" w:space="0" w:color="auto"/>
        <w:bottom w:val="none" w:sz="0" w:space="0" w:color="auto"/>
        <w:right w:val="none" w:sz="0" w:space="0" w:color="auto"/>
      </w:divBdr>
    </w:div>
    <w:div w:id="1463382852">
      <w:bodyDiv w:val="1"/>
      <w:marLeft w:val="0"/>
      <w:marRight w:val="0"/>
      <w:marTop w:val="0"/>
      <w:marBottom w:val="0"/>
      <w:divBdr>
        <w:top w:val="none" w:sz="0" w:space="0" w:color="auto"/>
        <w:left w:val="none" w:sz="0" w:space="0" w:color="auto"/>
        <w:bottom w:val="none" w:sz="0" w:space="0" w:color="auto"/>
        <w:right w:val="none" w:sz="0" w:space="0" w:color="auto"/>
      </w:divBdr>
    </w:div>
    <w:div w:id="1469516545">
      <w:bodyDiv w:val="1"/>
      <w:marLeft w:val="0"/>
      <w:marRight w:val="0"/>
      <w:marTop w:val="0"/>
      <w:marBottom w:val="0"/>
      <w:divBdr>
        <w:top w:val="none" w:sz="0" w:space="0" w:color="auto"/>
        <w:left w:val="none" w:sz="0" w:space="0" w:color="auto"/>
        <w:bottom w:val="none" w:sz="0" w:space="0" w:color="auto"/>
        <w:right w:val="none" w:sz="0" w:space="0" w:color="auto"/>
      </w:divBdr>
    </w:div>
    <w:div w:id="1508250662">
      <w:bodyDiv w:val="1"/>
      <w:marLeft w:val="0"/>
      <w:marRight w:val="0"/>
      <w:marTop w:val="0"/>
      <w:marBottom w:val="0"/>
      <w:divBdr>
        <w:top w:val="none" w:sz="0" w:space="0" w:color="auto"/>
        <w:left w:val="none" w:sz="0" w:space="0" w:color="auto"/>
        <w:bottom w:val="none" w:sz="0" w:space="0" w:color="auto"/>
        <w:right w:val="none" w:sz="0" w:space="0" w:color="auto"/>
      </w:divBdr>
    </w:div>
    <w:div w:id="1528131522">
      <w:bodyDiv w:val="1"/>
      <w:marLeft w:val="0"/>
      <w:marRight w:val="0"/>
      <w:marTop w:val="0"/>
      <w:marBottom w:val="0"/>
      <w:divBdr>
        <w:top w:val="none" w:sz="0" w:space="0" w:color="auto"/>
        <w:left w:val="none" w:sz="0" w:space="0" w:color="auto"/>
        <w:bottom w:val="none" w:sz="0" w:space="0" w:color="auto"/>
        <w:right w:val="none" w:sz="0" w:space="0" w:color="auto"/>
      </w:divBdr>
    </w:div>
    <w:div w:id="1768237120">
      <w:bodyDiv w:val="1"/>
      <w:marLeft w:val="0"/>
      <w:marRight w:val="0"/>
      <w:marTop w:val="0"/>
      <w:marBottom w:val="0"/>
      <w:divBdr>
        <w:top w:val="none" w:sz="0" w:space="0" w:color="auto"/>
        <w:left w:val="none" w:sz="0" w:space="0" w:color="auto"/>
        <w:bottom w:val="none" w:sz="0" w:space="0" w:color="auto"/>
        <w:right w:val="none" w:sz="0" w:space="0" w:color="auto"/>
      </w:divBdr>
    </w:div>
    <w:div w:id="1837525464">
      <w:bodyDiv w:val="1"/>
      <w:marLeft w:val="0"/>
      <w:marRight w:val="0"/>
      <w:marTop w:val="0"/>
      <w:marBottom w:val="0"/>
      <w:divBdr>
        <w:top w:val="none" w:sz="0" w:space="0" w:color="auto"/>
        <w:left w:val="none" w:sz="0" w:space="0" w:color="auto"/>
        <w:bottom w:val="none" w:sz="0" w:space="0" w:color="auto"/>
        <w:right w:val="none" w:sz="0" w:space="0" w:color="auto"/>
      </w:divBdr>
    </w:div>
    <w:div w:id="1867281276">
      <w:bodyDiv w:val="1"/>
      <w:marLeft w:val="0"/>
      <w:marRight w:val="0"/>
      <w:marTop w:val="0"/>
      <w:marBottom w:val="0"/>
      <w:divBdr>
        <w:top w:val="none" w:sz="0" w:space="0" w:color="auto"/>
        <w:left w:val="none" w:sz="0" w:space="0" w:color="auto"/>
        <w:bottom w:val="none" w:sz="0" w:space="0" w:color="auto"/>
        <w:right w:val="none" w:sz="0" w:space="0" w:color="auto"/>
      </w:divBdr>
    </w:div>
    <w:div w:id="1898320569">
      <w:bodyDiv w:val="1"/>
      <w:marLeft w:val="0"/>
      <w:marRight w:val="0"/>
      <w:marTop w:val="0"/>
      <w:marBottom w:val="0"/>
      <w:divBdr>
        <w:top w:val="none" w:sz="0" w:space="0" w:color="auto"/>
        <w:left w:val="none" w:sz="0" w:space="0" w:color="auto"/>
        <w:bottom w:val="none" w:sz="0" w:space="0" w:color="auto"/>
        <w:right w:val="none" w:sz="0" w:space="0" w:color="auto"/>
      </w:divBdr>
    </w:div>
    <w:div w:id="1942568271">
      <w:bodyDiv w:val="1"/>
      <w:marLeft w:val="0"/>
      <w:marRight w:val="0"/>
      <w:marTop w:val="0"/>
      <w:marBottom w:val="0"/>
      <w:divBdr>
        <w:top w:val="none" w:sz="0" w:space="0" w:color="auto"/>
        <w:left w:val="none" w:sz="0" w:space="0" w:color="auto"/>
        <w:bottom w:val="none" w:sz="0" w:space="0" w:color="auto"/>
        <w:right w:val="none" w:sz="0" w:space="0" w:color="auto"/>
      </w:divBdr>
    </w:div>
    <w:div w:id="1970090733">
      <w:bodyDiv w:val="1"/>
      <w:marLeft w:val="0"/>
      <w:marRight w:val="0"/>
      <w:marTop w:val="0"/>
      <w:marBottom w:val="0"/>
      <w:divBdr>
        <w:top w:val="none" w:sz="0" w:space="0" w:color="auto"/>
        <w:left w:val="none" w:sz="0" w:space="0" w:color="auto"/>
        <w:bottom w:val="none" w:sz="0" w:space="0" w:color="auto"/>
        <w:right w:val="none" w:sz="0" w:space="0" w:color="auto"/>
      </w:divBdr>
    </w:div>
    <w:div w:id="2036535171">
      <w:bodyDiv w:val="1"/>
      <w:marLeft w:val="0"/>
      <w:marRight w:val="0"/>
      <w:marTop w:val="0"/>
      <w:marBottom w:val="0"/>
      <w:divBdr>
        <w:top w:val="none" w:sz="0" w:space="0" w:color="auto"/>
        <w:left w:val="none" w:sz="0" w:space="0" w:color="auto"/>
        <w:bottom w:val="none" w:sz="0" w:space="0" w:color="auto"/>
        <w:right w:val="none" w:sz="0" w:space="0" w:color="auto"/>
      </w:divBdr>
      <w:divsChild>
        <w:div w:id="89350971">
          <w:marLeft w:val="0"/>
          <w:marRight w:val="0"/>
          <w:marTop w:val="0"/>
          <w:marBottom w:val="0"/>
          <w:divBdr>
            <w:top w:val="none" w:sz="0" w:space="0" w:color="auto"/>
            <w:left w:val="none" w:sz="0" w:space="0" w:color="auto"/>
            <w:bottom w:val="none" w:sz="0" w:space="0" w:color="auto"/>
            <w:right w:val="none" w:sz="0" w:space="0" w:color="auto"/>
          </w:divBdr>
          <w:divsChild>
            <w:div w:id="597954231">
              <w:marLeft w:val="0"/>
              <w:marRight w:val="0"/>
              <w:marTop w:val="0"/>
              <w:marBottom w:val="0"/>
              <w:divBdr>
                <w:top w:val="none" w:sz="0" w:space="0" w:color="auto"/>
                <w:left w:val="none" w:sz="0" w:space="0" w:color="auto"/>
                <w:bottom w:val="none" w:sz="0" w:space="0" w:color="auto"/>
                <w:right w:val="none" w:sz="0" w:space="0" w:color="auto"/>
              </w:divBdr>
              <w:divsChild>
                <w:div w:id="1405761748">
                  <w:marLeft w:val="0"/>
                  <w:marRight w:val="0"/>
                  <w:marTop w:val="0"/>
                  <w:marBottom w:val="0"/>
                  <w:divBdr>
                    <w:top w:val="none" w:sz="0" w:space="0" w:color="auto"/>
                    <w:left w:val="none" w:sz="0" w:space="0" w:color="auto"/>
                    <w:bottom w:val="none" w:sz="0" w:space="0" w:color="auto"/>
                    <w:right w:val="none" w:sz="0" w:space="0" w:color="auto"/>
                  </w:divBdr>
                  <w:divsChild>
                    <w:div w:id="1315910091">
                      <w:marLeft w:val="0"/>
                      <w:marRight w:val="0"/>
                      <w:marTop w:val="0"/>
                      <w:marBottom w:val="0"/>
                      <w:divBdr>
                        <w:top w:val="none" w:sz="0" w:space="0" w:color="auto"/>
                        <w:left w:val="none" w:sz="0" w:space="0" w:color="auto"/>
                        <w:bottom w:val="none" w:sz="0" w:space="0" w:color="auto"/>
                        <w:right w:val="none" w:sz="0" w:space="0" w:color="auto"/>
                      </w:divBdr>
                      <w:divsChild>
                        <w:div w:id="1296447709">
                          <w:marLeft w:val="0"/>
                          <w:marRight w:val="0"/>
                          <w:marTop w:val="0"/>
                          <w:marBottom w:val="0"/>
                          <w:divBdr>
                            <w:top w:val="none" w:sz="0" w:space="0" w:color="auto"/>
                            <w:left w:val="none" w:sz="0" w:space="0" w:color="auto"/>
                            <w:bottom w:val="none" w:sz="0" w:space="0" w:color="auto"/>
                            <w:right w:val="none" w:sz="0" w:space="0" w:color="auto"/>
                          </w:divBdr>
                          <w:divsChild>
                            <w:div w:id="2796462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Roja@vid.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62951-8FBB-4E11-81C6-638E2452A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7273</Words>
  <Characters>4147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Informatīvais ziņojums “Par nepieciešamību plašināt apgriezto jeb reverso pievienotās vērtības nodokļa maksāšanas kārtību citām nozarēm”</vt:lpstr>
    </vt:vector>
  </TitlesOfParts>
  <Company>Finanšu ministrija</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nepieciešamību plašināt apgriezto jeb reverso pievienotās vērtības nodokļa maksāšanas kārtību citām nozarēm”</dc:title>
  <dc:subject>Informatīvais ziņojums</dc:subject>
  <dc:creator>Dace Leimane</dc:creator>
  <cp:keywords/>
  <dc:description>Leimane, 67095513 Dace.Leimane@fm.gov.lv</dc:description>
  <cp:lastModifiedBy>Dace Leimane</cp:lastModifiedBy>
  <cp:revision>13</cp:revision>
  <cp:lastPrinted>2021-11-22T07:00:00Z</cp:lastPrinted>
  <dcterms:created xsi:type="dcterms:W3CDTF">2022-08-16T11:52:00Z</dcterms:created>
  <dcterms:modified xsi:type="dcterms:W3CDTF">2022-08-19T12:26:00Z</dcterms:modified>
</cp:coreProperties>
</file>