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7C986" w14:textId="77777777" w:rsidR="00BE057E" w:rsidRPr="0001115A" w:rsidRDefault="00BE057E" w:rsidP="00BE057E">
      <w:pPr>
        <w:spacing w:before="0" w:after="0" w:line="240" w:lineRule="auto"/>
        <w:jc w:val="center"/>
        <w:rPr>
          <w:rFonts w:ascii="Times New Roman" w:hAnsi="Times New Roman" w:cs="Times New Roman"/>
          <w:b/>
          <w:color w:val="000000" w:themeColor="text1"/>
          <w:sz w:val="28"/>
          <w:szCs w:val="28"/>
        </w:rPr>
      </w:pPr>
      <w:bookmarkStart w:id="0" w:name="_Hlk38881552"/>
      <w:bookmarkStart w:id="1" w:name="_Hlk38875332"/>
      <w:r w:rsidRPr="0001115A">
        <w:rPr>
          <w:rFonts w:ascii="Times New Roman" w:hAnsi="Times New Roman" w:cs="Times New Roman"/>
          <w:b/>
          <w:color w:val="000000" w:themeColor="text1"/>
          <w:sz w:val="28"/>
          <w:szCs w:val="28"/>
        </w:rPr>
        <w:t>Informatīvais ziņojums</w:t>
      </w:r>
    </w:p>
    <w:p w14:paraId="2B1631B6" w14:textId="1F819D73" w:rsidR="005A05CF" w:rsidRDefault="004D34AF" w:rsidP="00DC47A4">
      <w:pPr>
        <w:pStyle w:val="NoSpacing"/>
        <w:spacing w:before="0"/>
        <w:jc w:val="center"/>
        <w:rPr>
          <w:rFonts w:ascii="Times New Roman" w:hAnsi="Times New Roman" w:cs="Times New Roman"/>
          <w:b/>
          <w:color w:val="000000" w:themeColor="text1"/>
          <w:sz w:val="28"/>
          <w:szCs w:val="28"/>
        </w:rPr>
      </w:pPr>
      <w:r w:rsidRPr="0001115A">
        <w:rPr>
          <w:rFonts w:ascii="Times New Roman" w:hAnsi="Times New Roman" w:cs="Times New Roman"/>
          <w:b/>
          <w:color w:val="000000" w:themeColor="text1"/>
          <w:sz w:val="28"/>
          <w:szCs w:val="28"/>
        </w:rPr>
        <w:t>“P</w:t>
      </w:r>
      <w:r w:rsidR="005A05CF" w:rsidRPr="0001115A">
        <w:rPr>
          <w:rFonts w:ascii="Times New Roman" w:hAnsi="Times New Roman" w:cs="Times New Roman"/>
          <w:b/>
          <w:color w:val="000000" w:themeColor="text1"/>
          <w:sz w:val="28"/>
          <w:szCs w:val="28"/>
        </w:rPr>
        <w:t xml:space="preserve">ar </w:t>
      </w:r>
      <w:r w:rsidR="00DC47A4">
        <w:rPr>
          <w:rFonts w:ascii="Times New Roman" w:hAnsi="Times New Roman" w:cs="Times New Roman"/>
          <w:b/>
          <w:color w:val="000000" w:themeColor="text1"/>
          <w:sz w:val="28"/>
          <w:szCs w:val="28"/>
        </w:rPr>
        <w:t>elektroniskās darba laika uzskaites regulējuma efektivitāti un nepieciešamajiem pilnveidojumiem”</w:t>
      </w:r>
    </w:p>
    <w:p w14:paraId="0D7DD103" w14:textId="05C1A111" w:rsidR="00BE057E" w:rsidRPr="008E2F64" w:rsidRDefault="00BE057E" w:rsidP="00BE057E">
      <w:pPr>
        <w:pStyle w:val="NoSpacing"/>
        <w:spacing w:before="0"/>
        <w:jc w:val="center"/>
        <w:rPr>
          <w:rFonts w:ascii="Times New Roman" w:hAnsi="Times New Roman" w:cs="Times New Roman"/>
          <w:b/>
          <w:color w:val="000000" w:themeColor="text1"/>
          <w:sz w:val="28"/>
          <w:szCs w:val="28"/>
        </w:rPr>
      </w:pPr>
    </w:p>
    <w:p w14:paraId="2EC814EA" w14:textId="77777777" w:rsidR="00BE057E" w:rsidRPr="008E2F64" w:rsidRDefault="00BE057E" w:rsidP="00BE057E">
      <w:pPr>
        <w:pStyle w:val="NoSpacing"/>
        <w:spacing w:before="0"/>
        <w:ind w:firstLine="720"/>
        <w:jc w:val="both"/>
        <w:rPr>
          <w:rFonts w:ascii="Times New Roman" w:hAnsi="Times New Roman" w:cs="Times New Roman"/>
          <w:color w:val="000000" w:themeColor="text1"/>
          <w:sz w:val="28"/>
          <w:szCs w:val="28"/>
        </w:rPr>
      </w:pPr>
    </w:p>
    <w:p w14:paraId="4CD73105" w14:textId="77777777" w:rsidR="00BE057E" w:rsidRPr="008E2F64" w:rsidRDefault="00BE057E" w:rsidP="00BE057E">
      <w:pPr>
        <w:pStyle w:val="NoSpacing"/>
        <w:spacing w:before="0"/>
        <w:jc w:val="both"/>
        <w:rPr>
          <w:rFonts w:ascii="Times New Roman" w:hAnsi="Times New Roman" w:cs="Times New Roman"/>
          <w:color w:val="000000" w:themeColor="text1"/>
          <w:sz w:val="28"/>
          <w:szCs w:val="28"/>
        </w:rPr>
      </w:pPr>
      <w:r w:rsidRPr="008E2F64">
        <w:rPr>
          <w:rFonts w:ascii="Times New Roman" w:hAnsi="Times New Roman" w:cs="Times New Roman"/>
          <w:color w:val="000000" w:themeColor="text1"/>
          <w:sz w:val="28"/>
          <w:szCs w:val="28"/>
        </w:rPr>
        <w:t>Informatīvajā ziņojumā lietotie saīsinājumi:</w:t>
      </w:r>
    </w:p>
    <w:p w14:paraId="54F3BC58" w14:textId="616A9A33"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BVK</w:t>
      </w:r>
      <w:r w:rsidR="00E64282">
        <w:rPr>
          <w:rFonts w:ascii="Times New Roman" w:hAnsi="Times New Roman" w:cs="Times New Roman"/>
          <w:color w:val="000000" w:themeColor="text1"/>
          <w:sz w:val="28"/>
          <w:szCs w:val="28"/>
        </w:rPr>
        <w:t xml:space="preserve">B - </w:t>
      </w:r>
      <w:r w:rsidRPr="003C102E">
        <w:rPr>
          <w:rFonts w:ascii="Times New Roman" w:hAnsi="Times New Roman" w:cs="Times New Roman"/>
          <w:color w:val="000000" w:themeColor="text1"/>
          <w:sz w:val="28"/>
          <w:szCs w:val="28"/>
        </w:rPr>
        <w:t>Būvniecības valsts kontroles birojs</w:t>
      </w:r>
    </w:p>
    <w:p w14:paraId="258D62B3" w14:textId="7E9CC1AA"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VID</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Valsts ieņēmumu dienests</w:t>
      </w:r>
    </w:p>
    <w:p w14:paraId="51E6E498" w14:textId="0E0CB499"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EDLU</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elektroniskā darba laika uzskaite</w:t>
      </w:r>
    </w:p>
    <w:p w14:paraId="21DC8385" w14:textId="709E0FDD"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EDLUS</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elektroniskās darba laika uzskaites sistēma</w:t>
      </w:r>
    </w:p>
    <w:p w14:paraId="23AE592A" w14:textId="77082DFE"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VEDLUDB</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vienotā elektroniskās darba laika uzskaites datubāze</w:t>
      </w:r>
    </w:p>
    <w:p w14:paraId="729F5D8C" w14:textId="3517521C"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NM</w:t>
      </w:r>
      <w:r w:rsidRPr="003C102E">
        <w:rPr>
          <w:rFonts w:ascii="Times New Roman" w:hAnsi="Times New Roman" w:cs="Times New Roman"/>
          <w:color w:val="000000" w:themeColor="text1"/>
          <w:sz w:val="28"/>
          <w:szCs w:val="28"/>
        </w:rPr>
        <w:tab/>
      </w:r>
      <w:r w:rsidR="00E64282">
        <w:rPr>
          <w:rFonts w:ascii="Times New Roman" w:hAnsi="Times New Roman" w:cs="Times New Roman"/>
          <w:color w:val="000000" w:themeColor="text1"/>
          <w:sz w:val="28"/>
          <w:szCs w:val="28"/>
        </w:rPr>
        <w:t xml:space="preserve">- </w:t>
      </w:r>
      <w:r w:rsidRPr="003C102E">
        <w:rPr>
          <w:rFonts w:ascii="Times New Roman" w:hAnsi="Times New Roman" w:cs="Times New Roman"/>
          <w:color w:val="000000" w:themeColor="text1"/>
          <w:sz w:val="28"/>
          <w:szCs w:val="28"/>
        </w:rPr>
        <w:t xml:space="preserve"> nodokļu maksātājs</w:t>
      </w:r>
    </w:p>
    <w:p w14:paraId="66D4B406" w14:textId="3ACC35AF"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PVN</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pievienotās vērtības nodoklis</w:t>
      </w:r>
    </w:p>
    <w:p w14:paraId="090B473D" w14:textId="03AC1940"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DDZ</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darba devēja ziņojums</w:t>
      </w:r>
    </w:p>
    <w:p w14:paraId="10B8A8B5" w14:textId="1452FF5F" w:rsidR="003C102E" w:rsidRPr="003C102E"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VSAOI</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valsts sociālās apdrošināšanas obligātās iemaksas</w:t>
      </w:r>
    </w:p>
    <w:p w14:paraId="7423B6BA" w14:textId="0AA621F1" w:rsidR="006E266D" w:rsidRDefault="003C102E" w:rsidP="003C102E">
      <w:pPr>
        <w:pStyle w:val="NoSpacing"/>
        <w:spacing w:before="0"/>
        <w:jc w:val="both"/>
        <w:rPr>
          <w:rFonts w:ascii="Times New Roman" w:hAnsi="Times New Roman" w:cs="Times New Roman"/>
          <w:color w:val="000000" w:themeColor="text1"/>
          <w:sz w:val="28"/>
          <w:szCs w:val="28"/>
        </w:rPr>
      </w:pPr>
      <w:r w:rsidRPr="003C102E">
        <w:rPr>
          <w:rFonts w:ascii="Times New Roman" w:hAnsi="Times New Roman" w:cs="Times New Roman"/>
          <w:color w:val="000000" w:themeColor="text1"/>
          <w:sz w:val="28"/>
          <w:szCs w:val="28"/>
        </w:rPr>
        <w:t>IIN</w:t>
      </w:r>
      <w:r w:rsidR="00E64282">
        <w:rPr>
          <w:rFonts w:ascii="Times New Roman" w:hAnsi="Times New Roman" w:cs="Times New Roman"/>
          <w:color w:val="000000" w:themeColor="text1"/>
          <w:sz w:val="28"/>
          <w:szCs w:val="28"/>
        </w:rPr>
        <w:t xml:space="preserve"> - </w:t>
      </w:r>
      <w:r w:rsidRPr="003C102E">
        <w:rPr>
          <w:rFonts w:ascii="Times New Roman" w:hAnsi="Times New Roman" w:cs="Times New Roman"/>
          <w:color w:val="000000" w:themeColor="text1"/>
          <w:sz w:val="28"/>
          <w:szCs w:val="28"/>
        </w:rPr>
        <w:t>iedzīvotāju ienākuma nodoklis</w:t>
      </w:r>
    </w:p>
    <w:p w14:paraId="43F8F6C7" w14:textId="77777777" w:rsidR="006347BE" w:rsidRPr="008E2F64" w:rsidRDefault="006347BE" w:rsidP="003C102E">
      <w:pPr>
        <w:pStyle w:val="NoSpacing"/>
        <w:spacing w:before="0"/>
        <w:jc w:val="both"/>
        <w:rPr>
          <w:rFonts w:ascii="Times New Roman" w:hAnsi="Times New Roman" w:cs="Times New Roman"/>
          <w:color w:val="000000" w:themeColor="text1"/>
          <w:sz w:val="28"/>
          <w:szCs w:val="28"/>
        </w:rPr>
      </w:pPr>
    </w:p>
    <w:p w14:paraId="1925EBDE" w14:textId="77777777" w:rsidR="00BE057E" w:rsidRPr="008E2F64" w:rsidRDefault="009B73B0" w:rsidP="008E4101">
      <w:pPr>
        <w:pStyle w:val="Heading2"/>
      </w:pPr>
      <w:r>
        <w:t>1. </w:t>
      </w:r>
      <w:r w:rsidR="00BE057E" w:rsidRPr="008E2F64">
        <w:t>Informatīvā ziņojuma izstrādes nepieciešamības pamatojums</w:t>
      </w:r>
    </w:p>
    <w:p w14:paraId="5ED66582" w14:textId="77777777" w:rsidR="00BE057E" w:rsidRPr="008E2F64" w:rsidRDefault="00BE057E" w:rsidP="009B73B0">
      <w:pPr>
        <w:pStyle w:val="NoSpacing"/>
        <w:spacing w:before="0"/>
        <w:ind w:firstLine="720"/>
        <w:jc w:val="both"/>
        <w:rPr>
          <w:rFonts w:ascii="Times New Roman" w:hAnsi="Times New Roman" w:cs="Times New Roman"/>
          <w:sz w:val="28"/>
          <w:szCs w:val="28"/>
        </w:rPr>
      </w:pPr>
    </w:p>
    <w:p w14:paraId="60210001" w14:textId="75E5C07F" w:rsidR="006E266D" w:rsidRPr="008E2F64" w:rsidRDefault="00DC47A4" w:rsidP="00BE057E">
      <w:pPr>
        <w:pStyle w:val="NoSpacing"/>
        <w:spacing w:before="0"/>
        <w:ind w:firstLine="720"/>
        <w:jc w:val="both"/>
        <w:rPr>
          <w:rFonts w:ascii="Times New Roman" w:hAnsi="Times New Roman" w:cs="Times New Roman"/>
          <w:sz w:val="28"/>
          <w:szCs w:val="28"/>
        </w:rPr>
      </w:pPr>
      <w:bookmarkStart w:id="2" w:name="_Hlk39824278"/>
      <w:r>
        <w:rPr>
          <w:rFonts w:ascii="Times New Roman" w:hAnsi="Times New Roman" w:cs="Times New Roman"/>
          <w:sz w:val="28"/>
          <w:szCs w:val="28"/>
        </w:rPr>
        <w:t>Ministru kabinets 2020.gada 11.augustā izskatīja Finanšu ministrijas sagatavoto informatīvo ziņojumu “</w:t>
      </w:r>
      <w:r w:rsidRPr="00DC47A4">
        <w:rPr>
          <w:rFonts w:ascii="Times New Roman" w:hAnsi="Times New Roman" w:cs="Times New Roman"/>
          <w:sz w:val="28"/>
          <w:szCs w:val="28"/>
        </w:rPr>
        <w:t xml:space="preserve">Par Ministru kabineta 2019.gada 15.janvāra sēdes </w:t>
      </w:r>
      <w:proofErr w:type="spellStart"/>
      <w:r w:rsidRPr="00DC47A4">
        <w:rPr>
          <w:rFonts w:ascii="Times New Roman" w:hAnsi="Times New Roman" w:cs="Times New Roman"/>
          <w:sz w:val="28"/>
          <w:szCs w:val="28"/>
        </w:rPr>
        <w:t>protokollēmuma</w:t>
      </w:r>
      <w:proofErr w:type="spellEnd"/>
      <w:r w:rsidRPr="00DC47A4">
        <w:rPr>
          <w:rFonts w:ascii="Times New Roman" w:hAnsi="Times New Roman" w:cs="Times New Roman"/>
          <w:sz w:val="28"/>
          <w:szCs w:val="28"/>
        </w:rPr>
        <w:t xml:space="preserve"> (prot. Nr.2 62.§) "Informatīvais ziņojums "Par Valsts ieņēmumu dienesta un Valsts darba inspekcijas pārbaudēs saistībā ar elektroniskās darba laika uzskaites sistēmas ieviešanu būvniecībā konstatēto"" 3.punktā dotā uzdevuma izpildi</w:t>
      </w:r>
      <w:r>
        <w:rPr>
          <w:rFonts w:ascii="Times New Roman" w:hAnsi="Times New Roman" w:cs="Times New Roman"/>
          <w:sz w:val="28"/>
          <w:szCs w:val="28"/>
        </w:rPr>
        <w:t xml:space="preserve">” un </w:t>
      </w:r>
      <w:r w:rsidRPr="00DC47A4">
        <w:rPr>
          <w:rFonts w:ascii="Times New Roman" w:hAnsi="Times New Roman" w:cs="Times New Roman"/>
          <w:sz w:val="28"/>
          <w:szCs w:val="28"/>
        </w:rPr>
        <w:t xml:space="preserve"> </w:t>
      </w:r>
      <w:r>
        <w:rPr>
          <w:rFonts w:ascii="Times New Roman" w:hAnsi="Times New Roman" w:cs="Times New Roman"/>
          <w:sz w:val="28"/>
          <w:szCs w:val="28"/>
        </w:rPr>
        <w:t xml:space="preserve">uzdeva </w:t>
      </w:r>
      <w:r w:rsidRPr="00DC47A4">
        <w:rPr>
          <w:rFonts w:ascii="Times New Roman" w:hAnsi="Times New Roman" w:cs="Times New Roman"/>
          <w:sz w:val="28"/>
          <w:szCs w:val="28"/>
        </w:rPr>
        <w:t>Ekonomikas ministrijai sadarbībā ar Finanšu ministriju (</w:t>
      </w:r>
      <w:r>
        <w:rPr>
          <w:rFonts w:ascii="Times New Roman" w:hAnsi="Times New Roman" w:cs="Times New Roman"/>
          <w:sz w:val="28"/>
          <w:szCs w:val="28"/>
        </w:rPr>
        <w:t>VID</w:t>
      </w:r>
      <w:r w:rsidRPr="00DC47A4">
        <w:rPr>
          <w:rFonts w:ascii="Times New Roman" w:hAnsi="Times New Roman" w:cs="Times New Roman"/>
          <w:sz w:val="28"/>
          <w:szCs w:val="28"/>
        </w:rPr>
        <w:t>) un Labklājības ministriju (</w:t>
      </w:r>
      <w:r w:rsidR="00837DC7" w:rsidRPr="00DC47A4">
        <w:rPr>
          <w:rFonts w:ascii="Times New Roman" w:hAnsi="Times New Roman" w:cs="Times New Roman"/>
          <w:sz w:val="28"/>
          <w:szCs w:val="28"/>
        </w:rPr>
        <w:t>Valsts darba inspekcij</w:t>
      </w:r>
      <w:r w:rsidR="00837DC7">
        <w:rPr>
          <w:rFonts w:ascii="Times New Roman" w:hAnsi="Times New Roman" w:cs="Times New Roman"/>
          <w:sz w:val="28"/>
          <w:szCs w:val="28"/>
        </w:rPr>
        <w:t>u</w:t>
      </w:r>
      <w:r w:rsidR="00837DC7" w:rsidRPr="00DC47A4">
        <w:rPr>
          <w:rFonts w:ascii="Times New Roman" w:hAnsi="Times New Roman" w:cs="Times New Roman"/>
          <w:sz w:val="28"/>
          <w:szCs w:val="28"/>
        </w:rPr>
        <w:t xml:space="preserve"> </w:t>
      </w:r>
      <w:r w:rsidR="00837DC7">
        <w:rPr>
          <w:rFonts w:ascii="Times New Roman" w:hAnsi="Times New Roman" w:cs="Times New Roman"/>
          <w:sz w:val="28"/>
          <w:szCs w:val="28"/>
        </w:rPr>
        <w:t>(</w:t>
      </w:r>
      <w:r>
        <w:rPr>
          <w:rFonts w:ascii="Times New Roman" w:hAnsi="Times New Roman" w:cs="Times New Roman"/>
          <w:sz w:val="28"/>
          <w:szCs w:val="28"/>
        </w:rPr>
        <w:t>VDI</w:t>
      </w:r>
      <w:r w:rsidR="00837DC7">
        <w:rPr>
          <w:rFonts w:ascii="Times New Roman" w:hAnsi="Times New Roman" w:cs="Times New Roman"/>
          <w:sz w:val="28"/>
          <w:szCs w:val="28"/>
        </w:rPr>
        <w:t>)</w:t>
      </w:r>
      <w:r w:rsidRPr="00DC47A4">
        <w:rPr>
          <w:rFonts w:ascii="Times New Roman" w:hAnsi="Times New Roman" w:cs="Times New Roman"/>
          <w:sz w:val="28"/>
          <w:szCs w:val="28"/>
        </w:rPr>
        <w:t xml:space="preserve">) līdz 2021.gada 1.jūlijam iesniegt izskatīšanai Ministru kabinetā informatīvo ziņojumu </w:t>
      </w:r>
      <w:r w:rsidR="009E215E">
        <w:rPr>
          <w:rFonts w:ascii="Times New Roman" w:hAnsi="Times New Roman" w:cs="Times New Roman"/>
          <w:sz w:val="28"/>
          <w:szCs w:val="28"/>
        </w:rPr>
        <w:t>EDLU</w:t>
      </w:r>
      <w:r w:rsidRPr="00DC47A4">
        <w:rPr>
          <w:rFonts w:ascii="Times New Roman" w:hAnsi="Times New Roman" w:cs="Times New Roman"/>
          <w:sz w:val="28"/>
          <w:szCs w:val="28"/>
        </w:rPr>
        <w:t xml:space="preserve"> ieviešanas un </w:t>
      </w:r>
      <w:r w:rsidR="009E215E">
        <w:rPr>
          <w:rFonts w:ascii="Times New Roman" w:hAnsi="Times New Roman" w:cs="Times New Roman"/>
          <w:sz w:val="28"/>
          <w:szCs w:val="28"/>
        </w:rPr>
        <w:t>VEDLUDB</w:t>
      </w:r>
      <w:r w:rsidRPr="00DC47A4">
        <w:rPr>
          <w:rFonts w:ascii="Times New Roman" w:hAnsi="Times New Roman" w:cs="Times New Roman"/>
          <w:sz w:val="28"/>
          <w:szCs w:val="28"/>
        </w:rPr>
        <w:t xml:space="preserve"> datu izmantošanas efektivitāti un ietekmi uz būvniecības nozares attīstību un ēnu ekonomikas mazināšanos, ja nepieciešams, sniedzot priekšlikumus būvniecības politikas veidošanai vai nozares vispārīgās pārraudzības īstenošanai.</w:t>
      </w:r>
    </w:p>
    <w:bookmarkEnd w:id="2"/>
    <w:p w14:paraId="0C54696D" w14:textId="12F5DE13" w:rsidR="006319F4" w:rsidRDefault="006319F4" w:rsidP="007E08D4">
      <w:pPr>
        <w:pStyle w:val="NoSpacing"/>
        <w:spacing w:before="0"/>
        <w:ind w:firstLine="360"/>
        <w:jc w:val="both"/>
        <w:rPr>
          <w:rFonts w:ascii="Times New Roman" w:hAnsi="Times New Roman" w:cs="Times New Roman"/>
          <w:bCs/>
          <w:sz w:val="28"/>
          <w:szCs w:val="28"/>
        </w:rPr>
      </w:pPr>
    </w:p>
    <w:p w14:paraId="3DCD6565" w14:textId="77777777" w:rsidR="007E08D4" w:rsidRPr="00DE39CC" w:rsidRDefault="007E08D4" w:rsidP="00DE39CC">
      <w:pPr>
        <w:pStyle w:val="NoSpacing"/>
        <w:spacing w:before="0"/>
        <w:jc w:val="both"/>
        <w:rPr>
          <w:rFonts w:ascii="Times New Roman" w:hAnsi="Times New Roman" w:cs="Times New Roman"/>
          <w:bCs/>
          <w:sz w:val="28"/>
          <w:szCs w:val="28"/>
        </w:rPr>
      </w:pPr>
    </w:p>
    <w:p w14:paraId="48FE8AF1" w14:textId="0275A589" w:rsidR="00BE057E" w:rsidRPr="00F82004" w:rsidRDefault="0080622C" w:rsidP="008E4101">
      <w:pPr>
        <w:pStyle w:val="Heading2"/>
        <w:rPr>
          <w:color w:val="FF0000"/>
        </w:rPr>
      </w:pPr>
      <w:r>
        <w:t>2</w:t>
      </w:r>
      <w:r w:rsidR="00BE057E" w:rsidRPr="00F82004">
        <w:t xml:space="preserve">. VID pārbaudēs konstatētais </w:t>
      </w:r>
    </w:p>
    <w:p w14:paraId="68252A79" w14:textId="77777777" w:rsidR="00BE057E" w:rsidRPr="00F82004" w:rsidRDefault="00BE057E" w:rsidP="00BE057E">
      <w:pPr>
        <w:pStyle w:val="NoSpacing"/>
        <w:spacing w:before="0"/>
        <w:ind w:firstLine="720"/>
        <w:rPr>
          <w:rFonts w:ascii="Times New Roman" w:hAnsi="Times New Roman" w:cs="Times New Roman"/>
          <w:b/>
          <w:i/>
          <w:sz w:val="28"/>
          <w:szCs w:val="28"/>
        </w:rPr>
      </w:pPr>
    </w:p>
    <w:p w14:paraId="419C06C9" w14:textId="4859A73A" w:rsidR="00217F39" w:rsidRPr="008E4101" w:rsidRDefault="0080622C" w:rsidP="008E4101">
      <w:pPr>
        <w:pStyle w:val="Heading1"/>
      </w:pPr>
      <w:bookmarkStart w:id="3" w:name="_Toc72918247"/>
      <w:bookmarkStart w:id="4" w:name="_Hlk39133992"/>
      <w:r w:rsidRPr="008E4101">
        <w:t>2</w:t>
      </w:r>
      <w:r w:rsidR="00217F39" w:rsidRPr="008E4101">
        <w:t>.1. VID veikto kontroles pasākumu rezultātu apkopojums un konstatētās tendences</w:t>
      </w:r>
      <w:bookmarkEnd w:id="3"/>
      <w:r w:rsidR="00217F39" w:rsidRPr="008E4101">
        <w:t>.</w:t>
      </w:r>
    </w:p>
    <w:p w14:paraId="632ADDDD" w14:textId="77777777" w:rsidR="00217F39" w:rsidRPr="00217F39" w:rsidRDefault="00217F39" w:rsidP="00217F39">
      <w:pPr>
        <w:spacing w:before="12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Lai sasniegtu EDLU ieviešanas mērķus, sākot ar 2017.gada 1.oktobri, VID veica kontroles pasākumus būvlaukumos, tajā skaitā atklātā tipa būvlaukumos, galvenajiem būvdarbu veicējiem, kā arī apakšuzņēmējiem, kuri veic darbu būvlaukumā būvdarbu līguma izpildei vai nodrošina darbaspēku.</w:t>
      </w:r>
    </w:p>
    <w:p w14:paraId="7E8E47DD"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Veicot EDLU ieviešanas uzraudzību būvlaukumos, VID izmantoja reālā laika pārbaudes principu, kas ļāva pārliecināties par likumā “Par nodokļiem un nodevām” galvenajam būvdarbu veicējam un apakšuzņēmējam noteikto pienākumu ievērošanu </w:t>
      </w:r>
      <w:r w:rsidRPr="00217F39">
        <w:rPr>
          <w:rFonts w:ascii="Times New Roman" w:eastAsia="Century Gothic" w:hAnsi="Times New Roman" w:cs="Times New Roman"/>
          <w:color w:val="000000"/>
          <w:sz w:val="28"/>
          <w:szCs w:val="28"/>
        </w:rPr>
        <w:lastRenderedPageBreak/>
        <w:t xml:space="preserve">EDLUS ieviešanā un izmantošanā, kā arī darba laika reģistrācijas EDLUS disciplīnas ievērošanu nodarbināto vidū. </w:t>
      </w:r>
    </w:p>
    <w:p w14:paraId="7D2B2E2E" w14:textId="45853B21" w:rsidR="001F6839" w:rsidRDefault="00217F39" w:rsidP="001F68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2020.gadā salīdzinājumā ar 2019.gadu VID veikto kontroles pasākumu kopējais skaits</w:t>
      </w:r>
      <w:r w:rsidRPr="00217F39">
        <w:rPr>
          <w:rFonts w:ascii="Times New Roman" w:eastAsia="Century Gothic" w:hAnsi="Times New Roman" w:cs="Times New Roman"/>
          <w:color w:val="000000"/>
          <w:vertAlign w:val="superscript"/>
        </w:rPr>
        <w:footnoteReference w:id="1"/>
      </w:r>
      <w:r w:rsidRPr="00217F39">
        <w:rPr>
          <w:rFonts w:ascii="Times New Roman" w:eastAsia="Century Gothic" w:hAnsi="Times New Roman" w:cs="Times New Roman"/>
          <w:color w:val="000000"/>
          <w:sz w:val="28"/>
          <w:szCs w:val="28"/>
        </w:rPr>
        <w:t xml:space="preserve"> būvniecības nozarē strādājošiem uzņēmumiem samazinājies par 55,5 %, t.sk. kontroles pasākumi EDLU uzraudzībai par 54,6 % (skatīt </w:t>
      </w:r>
      <w:r w:rsidR="0080622C">
        <w:rPr>
          <w:rFonts w:ascii="Times New Roman" w:eastAsia="Century Gothic" w:hAnsi="Times New Roman" w:cs="Times New Roman"/>
          <w:color w:val="000000"/>
          <w:sz w:val="28"/>
          <w:szCs w:val="28"/>
        </w:rPr>
        <w:t>1</w:t>
      </w:r>
      <w:r w:rsidRPr="00217F39">
        <w:rPr>
          <w:rFonts w:ascii="Times New Roman" w:eastAsia="Century Gothic" w:hAnsi="Times New Roman" w:cs="Times New Roman"/>
          <w:color w:val="000000"/>
          <w:sz w:val="28"/>
          <w:szCs w:val="28"/>
        </w:rPr>
        <w:t xml:space="preserve">.attēlu). EDLU ieviešanas uzraudzības ietvaros veikto kontroles pasākumu īpatsvars 2020.gadā bija 86,4 %, kas, salīdzinot ar 2019.gadu, palielinājies par 1,7 procentpunktiem (2019.gadā – 84,7 %). </w:t>
      </w:r>
      <w:r w:rsidR="001F6839" w:rsidRPr="00C33C9F">
        <w:rPr>
          <w:rFonts w:ascii="Times New Roman" w:eastAsia="Century Gothic" w:hAnsi="Times New Roman" w:cs="Times New Roman"/>
          <w:color w:val="000000"/>
          <w:sz w:val="28"/>
          <w:szCs w:val="28"/>
        </w:rPr>
        <w:t>2021. gadā nodokļu kontroles skaita samazinājumu ietekmēja ārkārt</w:t>
      </w:r>
      <w:r w:rsidR="00A745CB">
        <w:rPr>
          <w:rFonts w:ascii="Times New Roman" w:eastAsia="Century Gothic" w:hAnsi="Times New Roman" w:cs="Times New Roman"/>
          <w:color w:val="000000"/>
          <w:sz w:val="28"/>
          <w:szCs w:val="28"/>
        </w:rPr>
        <w:t>ēj</w:t>
      </w:r>
      <w:r w:rsidR="001F6839" w:rsidRPr="00C33C9F">
        <w:rPr>
          <w:rFonts w:ascii="Times New Roman" w:eastAsia="Century Gothic" w:hAnsi="Times New Roman" w:cs="Times New Roman"/>
          <w:color w:val="000000"/>
          <w:sz w:val="28"/>
          <w:szCs w:val="28"/>
        </w:rPr>
        <w:t xml:space="preserve">ās situācijas izsludināšana valstī Covid-19 izplatības ierobežošanai. Lai mazinātu Covid-19 infekcijas izplatības risku, tika minimizētas tikšanās ar </w:t>
      </w:r>
      <w:r w:rsidR="009E215E">
        <w:rPr>
          <w:rFonts w:ascii="Times New Roman" w:eastAsia="Century Gothic" w:hAnsi="Times New Roman" w:cs="Times New Roman"/>
          <w:color w:val="000000"/>
          <w:sz w:val="28"/>
          <w:szCs w:val="28"/>
        </w:rPr>
        <w:t>NM</w:t>
      </w:r>
      <w:r w:rsidR="001F6839" w:rsidRPr="00C33C9F">
        <w:rPr>
          <w:rFonts w:ascii="Times New Roman" w:eastAsia="Century Gothic" w:hAnsi="Times New Roman" w:cs="Times New Roman"/>
          <w:color w:val="000000"/>
          <w:sz w:val="28"/>
          <w:szCs w:val="28"/>
        </w:rPr>
        <w:t xml:space="preserve"> un tādējādi veikts mazāk nodokļu kontroles pasākumu pie </w:t>
      </w:r>
      <w:r w:rsidR="009E215E">
        <w:rPr>
          <w:rFonts w:ascii="Times New Roman" w:eastAsia="Century Gothic" w:hAnsi="Times New Roman" w:cs="Times New Roman"/>
          <w:color w:val="000000"/>
          <w:sz w:val="28"/>
          <w:szCs w:val="28"/>
        </w:rPr>
        <w:t>NM</w:t>
      </w:r>
      <w:r w:rsidR="001F6839" w:rsidRPr="00C33C9F">
        <w:rPr>
          <w:rFonts w:ascii="Times New Roman" w:eastAsia="Century Gothic" w:hAnsi="Times New Roman" w:cs="Times New Roman"/>
          <w:color w:val="000000"/>
          <w:sz w:val="28"/>
          <w:szCs w:val="28"/>
        </w:rPr>
        <w:t>.</w:t>
      </w:r>
    </w:p>
    <w:p w14:paraId="16FFD20C" w14:textId="6F29DC7D" w:rsidR="009B01A0" w:rsidRDefault="009B01A0" w:rsidP="001F6839">
      <w:pPr>
        <w:spacing w:before="0" w:after="0" w:line="240" w:lineRule="auto"/>
        <w:ind w:firstLine="720"/>
        <w:jc w:val="both"/>
        <w:rPr>
          <w:rFonts w:ascii="Times New Roman" w:eastAsia="Century Gothic" w:hAnsi="Times New Roman" w:cs="Times New Roman"/>
          <w:color w:val="000000"/>
          <w:sz w:val="28"/>
          <w:szCs w:val="28"/>
        </w:rPr>
      </w:pPr>
    </w:p>
    <w:p w14:paraId="33FCA837" w14:textId="77777777" w:rsidR="009B01A0" w:rsidRDefault="009B01A0" w:rsidP="001F6839">
      <w:pPr>
        <w:spacing w:before="0" w:after="0" w:line="240" w:lineRule="auto"/>
        <w:ind w:firstLine="720"/>
        <w:jc w:val="both"/>
        <w:rPr>
          <w:rFonts w:ascii="Times New Roman" w:eastAsia="Century Gothic" w:hAnsi="Times New Roman" w:cs="Times New Roman"/>
          <w:color w:val="000000"/>
          <w:sz w:val="28"/>
          <w:szCs w:val="28"/>
        </w:rPr>
      </w:pPr>
    </w:p>
    <w:p w14:paraId="052FF500" w14:textId="1BD6B946" w:rsidR="009B01A0" w:rsidRPr="00C33C9F" w:rsidRDefault="009B01A0" w:rsidP="001F6839">
      <w:pPr>
        <w:spacing w:before="0" w:after="0" w:line="240" w:lineRule="auto"/>
        <w:ind w:firstLine="720"/>
        <w:jc w:val="both"/>
        <w:rPr>
          <w:rFonts w:ascii="Times New Roman" w:eastAsia="Century Gothic" w:hAnsi="Times New Roman" w:cs="Times New Roman"/>
          <w:color w:val="000000"/>
          <w:sz w:val="28"/>
          <w:szCs w:val="28"/>
        </w:rPr>
      </w:pPr>
      <w:r w:rsidRPr="00C33C9F">
        <w:rPr>
          <w:noProof/>
          <w:lang w:eastAsia="lv-LV"/>
        </w:rPr>
        <w:drawing>
          <wp:inline distT="0" distB="0" distL="0" distR="0" wp14:anchorId="178E75B8" wp14:editId="4F46CBAA">
            <wp:extent cx="5778500" cy="2689225"/>
            <wp:effectExtent l="0" t="0" r="0" b="0"/>
            <wp:docPr id="2" name="Chart 2">
              <a:extLst xmlns:a="http://schemas.openxmlformats.org/drawingml/2006/main">
                <a:ext uri="{FF2B5EF4-FFF2-40B4-BE49-F238E27FC236}">
                  <a16:creationId xmlns:a16="http://schemas.microsoft.com/office/drawing/2014/main" id="{00000000-0008-0000-08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371109" w14:textId="15198770" w:rsidR="00217F39" w:rsidRPr="00217F39" w:rsidRDefault="0080622C" w:rsidP="00217F39">
      <w:pPr>
        <w:spacing w:before="0" w:after="0" w:line="240" w:lineRule="auto"/>
        <w:jc w:val="center"/>
        <w:rPr>
          <w:rFonts w:ascii="Times New Roman" w:eastAsia="Century Gothic" w:hAnsi="Times New Roman" w:cs="Times New Roman"/>
          <w:b/>
          <w:sz w:val="28"/>
          <w:szCs w:val="28"/>
        </w:rPr>
      </w:pPr>
      <w:r>
        <w:rPr>
          <w:rFonts w:ascii="Times New Roman" w:eastAsia="Century Gothic" w:hAnsi="Times New Roman" w:cs="Times New Roman"/>
          <w:sz w:val="28"/>
          <w:szCs w:val="28"/>
        </w:rPr>
        <w:t>1</w:t>
      </w:r>
      <w:r w:rsidR="00217F39" w:rsidRPr="00217F39">
        <w:rPr>
          <w:rFonts w:ascii="Times New Roman" w:eastAsia="Century Gothic" w:hAnsi="Times New Roman" w:cs="Times New Roman"/>
          <w:sz w:val="28"/>
          <w:szCs w:val="28"/>
        </w:rPr>
        <w:t xml:space="preserve">.attēls. </w:t>
      </w:r>
      <w:r w:rsidR="00217F39" w:rsidRPr="00217F39">
        <w:rPr>
          <w:rFonts w:ascii="Times New Roman" w:eastAsia="Century Gothic" w:hAnsi="Times New Roman" w:cs="Times New Roman"/>
          <w:b/>
          <w:sz w:val="28"/>
          <w:szCs w:val="28"/>
        </w:rPr>
        <w:t>Kontroles pasākumu skaita dinamika</w:t>
      </w:r>
    </w:p>
    <w:p w14:paraId="56954535" w14:textId="77777777" w:rsidR="00217F39" w:rsidRPr="00217F39" w:rsidRDefault="00217F39" w:rsidP="00217F39">
      <w:pPr>
        <w:spacing w:before="0" w:after="0" w:line="240" w:lineRule="auto"/>
        <w:ind w:firstLine="720"/>
        <w:jc w:val="both"/>
        <w:rPr>
          <w:rFonts w:ascii="Times New Roman" w:eastAsia="Century Gothic" w:hAnsi="Times New Roman" w:cs="Times New Roman"/>
          <w:sz w:val="28"/>
          <w:szCs w:val="28"/>
        </w:rPr>
      </w:pPr>
    </w:p>
    <w:p w14:paraId="378CF246" w14:textId="77777777" w:rsidR="00217F39" w:rsidRPr="00217F39" w:rsidRDefault="00217F39" w:rsidP="00217F39">
      <w:pPr>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VID no 2017.gada 1.oktobra (EDLUS ieviešanas) līdz 2019.gada beigām veica kontroles pasākumus kopumā 213 būvlaukumos. 2020.gadā VID EDLUS ieviešanu būvniecībā pārbaudīja ģenerāluzņēmējiem 53 būvlaukumos, no tiem sadalījumā pēc būvdarbu izmaksām:</w:t>
      </w:r>
    </w:p>
    <w:p w14:paraId="3537301C" w14:textId="77777777" w:rsidR="00217F39" w:rsidRPr="00217F39" w:rsidRDefault="00217F39" w:rsidP="00217F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w:t>
      </w:r>
      <w:r w:rsidRPr="00217F39">
        <w:rPr>
          <w:rFonts w:ascii="Times New Roman" w:eastAsia="Century Gothic" w:hAnsi="Times New Roman" w:cs="Times New Roman"/>
          <w:color w:val="000000"/>
          <w:sz w:val="28"/>
          <w:szCs w:val="28"/>
        </w:rPr>
        <w:tab/>
        <w:t>vienā būvlaukumā, kura izmaksas no 350 tūkst. EUR līdz 499 tūkst. EUR;</w:t>
      </w:r>
    </w:p>
    <w:p w14:paraId="213D835B" w14:textId="77777777" w:rsidR="00217F39" w:rsidRPr="00217F39" w:rsidRDefault="00217F39" w:rsidP="00217F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w:t>
      </w:r>
      <w:r w:rsidRPr="00217F39">
        <w:rPr>
          <w:rFonts w:ascii="Times New Roman" w:eastAsia="Century Gothic" w:hAnsi="Times New Roman" w:cs="Times New Roman"/>
          <w:color w:val="000000"/>
          <w:sz w:val="28"/>
          <w:szCs w:val="28"/>
        </w:rPr>
        <w:tab/>
        <w:t>septiņos būvlaukumos, kuru izmaksas no 500 tūkst. EUR līdz 1 milj. EUR;</w:t>
      </w:r>
    </w:p>
    <w:p w14:paraId="4FE50416" w14:textId="3271AF5E" w:rsidR="00217F39" w:rsidRDefault="00217F39" w:rsidP="00217F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w:t>
      </w:r>
      <w:r w:rsidRPr="00217F39">
        <w:rPr>
          <w:rFonts w:ascii="Times New Roman" w:eastAsia="Century Gothic" w:hAnsi="Times New Roman" w:cs="Times New Roman"/>
          <w:color w:val="000000"/>
          <w:sz w:val="28"/>
          <w:szCs w:val="28"/>
        </w:rPr>
        <w:tab/>
        <w:t>45 būvlaukumos, kuru izmaksas virs 1 milj. EUR (tai skaitā astoņos būvlaukumos, kuru izmaksas no 10 milj. līdz 30 milj. EUR, un divos būvlaukumos, kuru izmaksas virs 30 milj. EUR).</w:t>
      </w:r>
    </w:p>
    <w:p w14:paraId="6AA1B752" w14:textId="77777777" w:rsidR="001F6839" w:rsidRPr="001F6839" w:rsidRDefault="001F6839" w:rsidP="001F68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1F6839">
        <w:rPr>
          <w:rFonts w:ascii="Times New Roman" w:eastAsia="Century Gothic" w:hAnsi="Times New Roman" w:cs="Times New Roman"/>
          <w:color w:val="000000"/>
          <w:sz w:val="28"/>
          <w:szCs w:val="28"/>
        </w:rPr>
        <w:t>2021. gadā VID EDLUS ieviešanu būvniecībā pārbaudīja ģenerāluzņēmējiem 12 būvlaukumos, no tiem sadalījumā pēc būvdarbu izmaksām:</w:t>
      </w:r>
    </w:p>
    <w:p w14:paraId="5902A931" w14:textId="77777777" w:rsidR="001F6839" w:rsidRPr="001F6839" w:rsidRDefault="001F6839" w:rsidP="001F68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1F6839">
        <w:rPr>
          <w:rFonts w:ascii="Times New Roman" w:eastAsia="Century Gothic" w:hAnsi="Times New Roman" w:cs="Times New Roman"/>
          <w:color w:val="000000"/>
          <w:sz w:val="28"/>
          <w:szCs w:val="28"/>
        </w:rPr>
        <w:t>-</w:t>
      </w:r>
      <w:r w:rsidRPr="001F6839">
        <w:rPr>
          <w:rFonts w:ascii="Times New Roman" w:eastAsia="Century Gothic" w:hAnsi="Times New Roman" w:cs="Times New Roman"/>
          <w:color w:val="000000"/>
          <w:sz w:val="28"/>
          <w:szCs w:val="28"/>
        </w:rPr>
        <w:tab/>
        <w:t>četros būvlaukumos, kuru izmaksas no 350 tūkst. EUR līdz 499 tūkst. EUR;</w:t>
      </w:r>
    </w:p>
    <w:p w14:paraId="5621A5ED" w14:textId="77777777" w:rsidR="001F6839" w:rsidRPr="001F6839" w:rsidRDefault="001F6839" w:rsidP="001F68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1F6839">
        <w:rPr>
          <w:rFonts w:ascii="Times New Roman" w:eastAsia="Century Gothic" w:hAnsi="Times New Roman" w:cs="Times New Roman"/>
          <w:color w:val="000000"/>
          <w:sz w:val="28"/>
          <w:szCs w:val="28"/>
        </w:rPr>
        <w:t>-</w:t>
      </w:r>
      <w:r w:rsidRPr="001F6839">
        <w:rPr>
          <w:rFonts w:ascii="Times New Roman" w:eastAsia="Century Gothic" w:hAnsi="Times New Roman" w:cs="Times New Roman"/>
          <w:color w:val="000000"/>
          <w:sz w:val="28"/>
          <w:szCs w:val="28"/>
        </w:rPr>
        <w:tab/>
        <w:t>četros būvlaukumos, kuru izmaksas no 500 tūkst. EUR līdz 1 milj. EUR;</w:t>
      </w:r>
    </w:p>
    <w:p w14:paraId="4E618802" w14:textId="3AE34956" w:rsidR="001F6839" w:rsidRDefault="001F6839" w:rsidP="001F68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1F6839">
        <w:rPr>
          <w:rFonts w:ascii="Times New Roman" w:eastAsia="Century Gothic" w:hAnsi="Times New Roman" w:cs="Times New Roman"/>
          <w:color w:val="000000"/>
          <w:sz w:val="28"/>
          <w:szCs w:val="28"/>
        </w:rPr>
        <w:lastRenderedPageBreak/>
        <w:t>-</w:t>
      </w:r>
      <w:r w:rsidRPr="001F6839">
        <w:rPr>
          <w:rFonts w:ascii="Times New Roman" w:eastAsia="Century Gothic" w:hAnsi="Times New Roman" w:cs="Times New Roman"/>
          <w:color w:val="000000"/>
          <w:sz w:val="28"/>
          <w:szCs w:val="28"/>
        </w:rPr>
        <w:tab/>
        <w:t>četros būvlaukumos, kuru izmaksas virs 1 milj. EUR.</w:t>
      </w:r>
    </w:p>
    <w:p w14:paraId="3C81362B" w14:textId="77777777" w:rsidR="001F6839" w:rsidRPr="00217F39" w:rsidRDefault="001F6839" w:rsidP="001F6839">
      <w:p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p>
    <w:p w14:paraId="1FDAAB84" w14:textId="4AA288E6" w:rsidR="00217F39" w:rsidRPr="00217F39" w:rsidRDefault="00217F39" w:rsidP="00217F39">
      <w:pPr>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Galvenajiem būvdarbu veicējiem laika periodā no 2017.gada līdz 202</w:t>
      </w:r>
      <w:r w:rsidR="001F6839">
        <w:rPr>
          <w:rFonts w:ascii="Times New Roman" w:eastAsia="Century Gothic" w:hAnsi="Times New Roman" w:cs="Times New Roman"/>
          <w:color w:val="000000"/>
          <w:sz w:val="28"/>
          <w:szCs w:val="28"/>
        </w:rPr>
        <w:t>1</w:t>
      </w:r>
      <w:r w:rsidRPr="00217F39">
        <w:rPr>
          <w:rFonts w:ascii="Times New Roman" w:eastAsia="Century Gothic" w:hAnsi="Times New Roman" w:cs="Times New Roman"/>
          <w:color w:val="000000"/>
          <w:sz w:val="28"/>
          <w:szCs w:val="28"/>
        </w:rPr>
        <w:t>.gadam veiktas kopumā 2</w:t>
      </w:r>
      <w:r w:rsidR="001F6839">
        <w:rPr>
          <w:rFonts w:ascii="Times New Roman" w:eastAsia="Century Gothic" w:hAnsi="Times New Roman" w:cs="Times New Roman"/>
          <w:color w:val="000000"/>
          <w:sz w:val="28"/>
          <w:szCs w:val="28"/>
        </w:rPr>
        <w:t>85</w:t>
      </w:r>
      <w:r w:rsidRPr="00217F39">
        <w:rPr>
          <w:rFonts w:ascii="Times New Roman" w:eastAsia="Century Gothic" w:hAnsi="Times New Roman" w:cs="Times New Roman"/>
          <w:color w:val="000000"/>
          <w:sz w:val="28"/>
          <w:szCs w:val="28"/>
        </w:rPr>
        <w:t xml:space="preserve"> tematiskās pārbaudes, apakšuzņēmējiem veiktas 10</w:t>
      </w:r>
      <w:r w:rsidR="001F6839">
        <w:rPr>
          <w:rFonts w:ascii="Times New Roman" w:eastAsia="Century Gothic" w:hAnsi="Times New Roman" w:cs="Times New Roman"/>
          <w:color w:val="000000"/>
          <w:sz w:val="28"/>
          <w:szCs w:val="28"/>
        </w:rPr>
        <w:t>6</w:t>
      </w:r>
      <w:r w:rsidRPr="00217F39">
        <w:rPr>
          <w:rFonts w:ascii="Times New Roman" w:eastAsia="Century Gothic" w:hAnsi="Times New Roman" w:cs="Times New Roman"/>
          <w:color w:val="000000"/>
          <w:sz w:val="28"/>
          <w:szCs w:val="28"/>
        </w:rPr>
        <w:t xml:space="preserve"> tematiskās pārbaudes (skatīt </w:t>
      </w:r>
      <w:r w:rsidR="0080622C">
        <w:rPr>
          <w:rFonts w:ascii="Times New Roman" w:eastAsia="Century Gothic" w:hAnsi="Times New Roman" w:cs="Times New Roman"/>
          <w:color w:val="000000"/>
          <w:sz w:val="28"/>
          <w:szCs w:val="28"/>
        </w:rPr>
        <w:t>1</w:t>
      </w:r>
      <w:r w:rsidRPr="00217F39">
        <w:rPr>
          <w:rFonts w:ascii="Times New Roman" w:eastAsia="Century Gothic" w:hAnsi="Times New Roman" w:cs="Times New Roman"/>
          <w:color w:val="000000"/>
          <w:sz w:val="28"/>
          <w:szCs w:val="28"/>
        </w:rPr>
        <w:t>.tabulu).</w:t>
      </w:r>
    </w:p>
    <w:p w14:paraId="10FD4131" w14:textId="77777777" w:rsidR="00031E6A" w:rsidRDefault="00031E6A" w:rsidP="00031E6A">
      <w:pPr>
        <w:spacing w:before="0" w:after="160" w:line="259" w:lineRule="auto"/>
        <w:rPr>
          <w:rFonts w:ascii="Times New Roman" w:eastAsia="Century Gothic" w:hAnsi="Times New Roman" w:cs="Times New Roman"/>
          <w:sz w:val="28"/>
          <w:szCs w:val="28"/>
        </w:rPr>
      </w:pPr>
    </w:p>
    <w:p w14:paraId="53DE344F" w14:textId="37569E22" w:rsidR="00217F39" w:rsidRPr="00217F39" w:rsidRDefault="0080622C" w:rsidP="00031E6A">
      <w:pPr>
        <w:spacing w:before="0" w:after="160" w:line="259" w:lineRule="auto"/>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1</w:t>
      </w:r>
      <w:r w:rsidR="00217F39" w:rsidRPr="00217F39">
        <w:rPr>
          <w:rFonts w:ascii="Times New Roman" w:eastAsia="Century Gothic" w:hAnsi="Times New Roman" w:cs="Times New Roman"/>
          <w:sz w:val="28"/>
          <w:szCs w:val="28"/>
        </w:rPr>
        <w:t>.tabula</w:t>
      </w:r>
    </w:p>
    <w:p w14:paraId="0E89949E" w14:textId="66A6FB83" w:rsidR="00217F39" w:rsidRPr="00217F39" w:rsidRDefault="00217F39" w:rsidP="00217F39">
      <w:pPr>
        <w:spacing w:before="0" w:after="0" w:line="240" w:lineRule="auto"/>
        <w:jc w:val="center"/>
        <w:rPr>
          <w:rFonts w:ascii="Times New Roman" w:eastAsia="Century Gothic" w:hAnsi="Times New Roman" w:cs="Times New Roman"/>
          <w:b/>
          <w:sz w:val="28"/>
          <w:szCs w:val="28"/>
        </w:rPr>
      </w:pPr>
      <w:r w:rsidRPr="00217F39">
        <w:rPr>
          <w:rFonts w:ascii="Times New Roman" w:eastAsia="Century Gothic" w:hAnsi="Times New Roman" w:cs="Times New Roman"/>
          <w:b/>
          <w:sz w:val="28"/>
          <w:szCs w:val="28"/>
        </w:rPr>
        <w:t xml:space="preserve"> EDLU ieviešanas pārbaužu īpatsvars no kopējā VID pārbaužu skaita būvniecības nozares </w:t>
      </w:r>
      <w:r w:rsidR="009E215E">
        <w:rPr>
          <w:rFonts w:ascii="Times New Roman" w:eastAsia="Century Gothic" w:hAnsi="Times New Roman" w:cs="Times New Roman"/>
          <w:b/>
          <w:sz w:val="28"/>
          <w:szCs w:val="28"/>
        </w:rPr>
        <w:t>NM</w:t>
      </w:r>
    </w:p>
    <w:tbl>
      <w:tblPr>
        <w:tblW w:w="10771" w:type="dxa"/>
        <w:jc w:val="center"/>
        <w:tblLayout w:type="fixed"/>
        <w:tblLook w:val="04A0" w:firstRow="1" w:lastRow="0" w:firstColumn="1" w:lastColumn="0" w:noHBand="0" w:noVBand="1"/>
      </w:tblPr>
      <w:tblGrid>
        <w:gridCol w:w="1696"/>
        <w:gridCol w:w="567"/>
        <w:gridCol w:w="567"/>
        <w:gridCol w:w="709"/>
        <w:gridCol w:w="567"/>
        <w:gridCol w:w="567"/>
        <w:gridCol w:w="709"/>
        <w:gridCol w:w="567"/>
        <w:gridCol w:w="567"/>
        <w:gridCol w:w="708"/>
        <w:gridCol w:w="570"/>
        <w:gridCol w:w="570"/>
        <w:gridCol w:w="712"/>
        <w:gridCol w:w="428"/>
        <w:gridCol w:w="567"/>
        <w:gridCol w:w="700"/>
      </w:tblGrid>
      <w:tr w:rsidR="00A02D37" w:rsidRPr="00C33C9F" w14:paraId="520E1B32" w14:textId="77777777" w:rsidTr="003D17DA">
        <w:trPr>
          <w:trHeight w:val="285"/>
          <w:tblHeader/>
          <w:jc w:val="center"/>
        </w:trPr>
        <w:tc>
          <w:tcPr>
            <w:tcW w:w="1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833B97"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Pārbaudes veids</w:t>
            </w:r>
          </w:p>
        </w:tc>
        <w:tc>
          <w:tcPr>
            <w:tcW w:w="184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791E893"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2017.gads</w:t>
            </w:r>
          </w:p>
        </w:tc>
        <w:tc>
          <w:tcPr>
            <w:tcW w:w="184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3940548"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2018.gads</w:t>
            </w:r>
          </w:p>
        </w:tc>
        <w:tc>
          <w:tcPr>
            <w:tcW w:w="184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09B3F45"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2019.gads</w:t>
            </w:r>
          </w:p>
        </w:tc>
        <w:tc>
          <w:tcPr>
            <w:tcW w:w="1852" w:type="dxa"/>
            <w:gridSpan w:val="3"/>
            <w:tcBorders>
              <w:top w:val="single" w:sz="4" w:space="0" w:color="auto"/>
              <w:left w:val="nil"/>
              <w:bottom w:val="single" w:sz="4" w:space="0" w:color="auto"/>
              <w:right w:val="single" w:sz="4" w:space="0" w:color="000000"/>
            </w:tcBorders>
            <w:vAlign w:val="center"/>
          </w:tcPr>
          <w:p w14:paraId="3ED72909"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2020.gads</w:t>
            </w:r>
          </w:p>
        </w:tc>
        <w:tc>
          <w:tcPr>
            <w:tcW w:w="1695" w:type="dxa"/>
            <w:gridSpan w:val="3"/>
            <w:tcBorders>
              <w:top w:val="single" w:sz="4" w:space="0" w:color="auto"/>
              <w:left w:val="nil"/>
              <w:bottom w:val="single" w:sz="4" w:space="0" w:color="auto"/>
              <w:right w:val="single" w:sz="4" w:space="0" w:color="000000"/>
            </w:tcBorders>
          </w:tcPr>
          <w:p w14:paraId="5F4E187B"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2021.gads</w:t>
            </w:r>
          </w:p>
        </w:tc>
      </w:tr>
      <w:tr w:rsidR="00A02D37" w:rsidRPr="00C33C9F" w14:paraId="43F47532" w14:textId="77777777" w:rsidTr="003D17DA">
        <w:trPr>
          <w:cantSplit/>
          <w:trHeight w:val="1594"/>
          <w:tblHeader/>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02363851" w14:textId="77777777" w:rsidR="00A02D37" w:rsidRPr="00C33C9F" w:rsidRDefault="00A02D37" w:rsidP="003D17DA">
            <w:pPr>
              <w:spacing w:before="0" w:after="0" w:line="240" w:lineRule="auto"/>
              <w:jc w:val="both"/>
              <w:rPr>
                <w:rFonts w:ascii="Times New Roman" w:eastAsia="Times New Roman" w:hAnsi="Times New Roman" w:cs="Times New Roman"/>
                <w:sz w:val="16"/>
                <w:szCs w:val="16"/>
                <w:lang w:eastAsia="lv-LV"/>
              </w:rPr>
            </w:pP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751B2528"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EDLU pārbaužu skaits</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2D6D7668"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kopējais pārbaužu skaits būvniecībā</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5B643C89"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īpatsvars no kopējā pārbaužu skaita būvniecībā,  (%)</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2F733BEC"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EDLU pārbaužu skaits</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72CE92A4"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kopējais pārbaužu skaits būvniecībā</w:t>
            </w: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79DC8979"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īpatsvars no kopējā pārbaužu skaita būvniecībā,  (%)</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1C92D661"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EDLU pārbaužu skaits</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4836FE9C"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kopējais pārbaužu skaits būvniecībā</w:t>
            </w:r>
          </w:p>
        </w:tc>
        <w:tc>
          <w:tcPr>
            <w:tcW w:w="708" w:type="dxa"/>
            <w:tcBorders>
              <w:top w:val="nil"/>
              <w:left w:val="nil"/>
              <w:bottom w:val="single" w:sz="4" w:space="0" w:color="auto"/>
              <w:right w:val="single" w:sz="4" w:space="0" w:color="auto"/>
            </w:tcBorders>
            <w:shd w:val="clear" w:color="auto" w:fill="auto"/>
            <w:textDirection w:val="btLr"/>
            <w:vAlign w:val="center"/>
            <w:hideMark/>
          </w:tcPr>
          <w:p w14:paraId="00D2896E"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īpatsvars no kopējā pārbaužu skaita būvniecībā,  (%)</w:t>
            </w:r>
          </w:p>
        </w:tc>
        <w:tc>
          <w:tcPr>
            <w:tcW w:w="570" w:type="dxa"/>
            <w:tcBorders>
              <w:top w:val="nil"/>
              <w:left w:val="nil"/>
              <w:bottom w:val="single" w:sz="4" w:space="0" w:color="auto"/>
              <w:right w:val="single" w:sz="4" w:space="0" w:color="auto"/>
            </w:tcBorders>
            <w:textDirection w:val="btLr"/>
            <w:vAlign w:val="center"/>
          </w:tcPr>
          <w:p w14:paraId="27EF03E0" w14:textId="77777777" w:rsidR="00A02D37" w:rsidRPr="00C33C9F" w:rsidRDefault="00A02D37" w:rsidP="003D17DA">
            <w:pPr>
              <w:spacing w:before="0" w:after="0" w:line="240" w:lineRule="auto"/>
              <w:ind w:left="113" w:right="113"/>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EDLU pārbaužu skaits</w:t>
            </w:r>
          </w:p>
        </w:tc>
        <w:tc>
          <w:tcPr>
            <w:tcW w:w="570" w:type="dxa"/>
            <w:tcBorders>
              <w:top w:val="nil"/>
              <w:left w:val="nil"/>
              <w:bottom w:val="single" w:sz="4" w:space="0" w:color="auto"/>
              <w:right w:val="single" w:sz="4" w:space="0" w:color="auto"/>
            </w:tcBorders>
            <w:textDirection w:val="btLr"/>
            <w:vAlign w:val="center"/>
          </w:tcPr>
          <w:p w14:paraId="177463B9"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kopējais pārbaužu skaits būvniecībā</w:t>
            </w:r>
          </w:p>
        </w:tc>
        <w:tc>
          <w:tcPr>
            <w:tcW w:w="712" w:type="dxa"/>
            <w:tcBorders>
              <w:top w:val="nil"/>
              <w:left w:val="nil"/>
              <w:bottom w:val="single" w:sz="4" w:space="0" w:color="auto"/>
              <w:right w:val="single" w:sz="4" w:space="0" w:color="auto"/>
            </w:tcBorders>
            <w:textDirection w:val="btLr"/>
            <w:vAlign w:val="center"/>
          </w:tcPr>
          <w:p w14:paraId="672269CA"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īpatsvars no kopējā pārbaužu skaita būvniecībā,  (%)</w:t>
            </w:r>
          </w:p>
        </w:tc>
        <w:tc>
          <w:tcPr>
            <w:tcW w:w="428" w:type="dxa"/>
            <w:tcBorders>
              <w:top w:val="nil"/>
              <w:left w:val="nil"/>
              <w:bottom w:val="single" w:sz="4" w:space="0" w:color="auto"/>
              <w:right w:val="single" w:sz="4" w:space="0" w:color="auto"/>
            </w:tcBorders>
            <w:textDirection w:val="btLr"/>
            <w:vAlign w:val="center"/>
          </w:tcPr>
          <w:p w14:paraId="2E4147B5"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EDLU pārbaužu skaits</w:t>
            </w:r>
          </w:p>
        </w:tc>
        <w:tc>
          <w:tcPr>
            <w:tcW w:w="567" w:type="dxa"/>
            <w:tcBorders>
              <w:top w:val="nil"/>
              <w:left w:val="nil"/>
              <w:bottom w:val="single" w:sz="4" w:space="0" w:color="auto"/>
              <w:right w:val="single" w:sz="4" w:space="0" w:color="auto"/>
            </w:tcBorders>
            <w:textDirection w:val="btLr"/>
            <w:vAlign w:val="center"/>
          </w:tcPr>
          <w:p w14:paraId="1968BA55"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kopējais pārbaužu skaits būvniecībā</w:t>
            </w:r>
          </w:p>
        </w:tc>
        <w:tc>
          <w:tcPr>
            <w:tcW w:w="700" w:type="dxa"/>
            <w:tcBorders>
              <w:top w:val="nil"/>
              <w:left w:val="nil"/>
              <w:bottom w:val="single" w:sz="4" w:space="0" w:color="auto"/>
              <w:right w:val="single" w:sz="4" w:space="0" w:color="auto"/>
            </w:tcBorders>
            <w:textDirection w:val="btLr"/>
            <w:vAlign w:val="center"/>
          </w:tcPr>
          <w:p w14:paraId="61C0FE9B" w14:textId="77777777" w:rsidR="00A02D37" w:rsidRPr="00C33C9F" w:rsidRDefault="00A02D37" w:rsidP="003D17DA">
            <w:pPr>
              <w:spacing w:before="0" w:after="0" w:line="240" w:lineRule="auto"/>
              <w:jc w:val="center"/>
              <w:rPr>
                <w:rFonts w:ascii="Times New Roman" w:eastAsia="Times New Roman" w:hAnsi="Times New Roman" w:cs="Times New Roman"/>
                <w:sz w:val="16"/>
                <w:szCs w:val="16"/>
                <w:lang w:eastAsia="lv-LV"/>
              </w:rPr>
            </w:pPr>
            <w:r w:rsidRPr="00C33C9F">
              <w:rPr>
                <w:rFonts w:ascii="Times New Roman" w:eastAsia="Times New Roman" w:hAnsi="Times New Roman" w:cs="Times New Roman"/>
                <w:sz w:val="16"/>
                <w:szCs w:val="16"/>
                <w:lang w:eastAsia="lv-LV"/>
              </w:rPr>
              <w:t>īpatsvars no kopējā pārbaužu skaita būvniecībā,  (%)</w:t>
            </w:r>
          </w:p>
        </w:tc>
      </w:tr>
      <w:tr w:rsidR="00A02D37" w:rsidRPr="00C33C9F" w14:paraId="3CEE0F0C" w14:textId="77777777" w:rsidTr="003D17DA">
        <w:trPr>
          <w:trHeight w:val="285"/>
          <w:jc w:val="center"/>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1440E6CB" w14:textId="77777777" w:rsidR="00A02D37" w:rsidRPr="00C33C9F" w:rsidRDefault="00A02D37" w:rsidP="003D17DA">
            <w:pPr>
              <w:spacing w:before="0" w:after="0" w:line="240" w:lineRule="auto"/>
              <w:jc w:val="both"/>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Tematiskās pārbaudes būvuzņēmējiem</w:t>
            </w:r>
          </w:p>
        </w:tc>
        <w:tc>
          <w:tcPr>
            <w:tcW w:w="567" w:type="dxa"/>
            <w:tcBorders>
              <w:top w:val="nil"/>
              <w:left w:val="nil"/>
              <w:bottom w:val="single" w:sz="4" w:space="0" w:color="auto"/>
              <w:right w:val="single" w:sz="4" w:space="0" w:color="auto"/>
            </w:tcBorders>
            <w:shd w:val="clear" w:color="auto" w:fill="auto"/>
            <w:vAlign w:val="center"/>
            <w:hideMark/>
          </w:tcPr>
          <w:p w14:paraId="18E2B53E" w14:textId="77777777" w:rsidR="00A02D37" w:rsidRPr="00C33C9F" w:rsidRDefault="00A02D37" w:rsidP="003D17DA">
            <w:pPr>
              <w:spacing w:before="0" w:after="0" w:line="240" w:lineRule="auto"/>
              <w:jc w:val="center"/>
              <w:rPr>
                <w:rFonts w:ascii="Times New Roman" w:eastAsia="Times New Roman" w:hAnsi="Times New Roman" w:cs="Times New Roman"/>
                <w:b/>
                <w:lang w:eastAsia="lv-LV"/>
              </w:rPr>
            </w:pPr>
            <w:r w:rsidRPr="00C33C9F">
              <w:rPr>
                <w:rFonts w:ascii="Times New Roman" w:eastAsia="Century Gothic" w:hAnsi="Times New Roman" w:cs="Times New Roman"/>
                <w:b/>
              </w:rPr>
              <w:t>16</w:t>
            </w:r>
          </w:p>
        </w:tc>
        <w:tc>
          <w:tcPr>
            <w:tcW w:w="567" w:type="dxa"/>
            <w:tcBorders>
              <w:top w:val="nil"/>
              <w:left w:val="nil"/>
              <w:bottom w:val="single" w:sz="4" w:space="0" w:color="auto"/>
              <w:right w:val="single" w:sz="4" w:space="0" w:color="auto"/>
            </w:tcBorders>
            <w:shd w:val="clear" w:color="auto" w:fill="auto"/>
            <w:vAlign w:val="center"/>
            <w:hideMark/>
          </w:tcPr>
          <w:p w14:paraId="4C4FC78A"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156</w:t>
            </w:r>
          </w:p>
        </w:tc>
        <w:tc>
          <w:tcPr>
            <w:tcW w:w="709" w:type="dxa"/>
            <w:tcBorders>
              <w:top w:val="nil"/>
              <w:left w:val="nil"/>
              <w:bottom w:val="single" w:sz="4" w:space="0" w:color="auto"/>
              <w:right w:val="single" w:sz="4" w:space="0" w:color="auto"/>
            </w:tcBorders>
            <w:shd w:val="clear" w:color="auto" w:fill="auto"/>
            <w:vAlign w:val="center"/>
          </w:tcPr>
          <w:p w14:paraId="2BA6E5EE" w14:textId="77777777" w:rsidR="00A02D37" w:rsidRPr="00C33C9F" w:rsidRDefault="00A02D37" w:rsidP="003D17DA">
            <w:pPr>
              <w:spacing w:before="0" w:after="0" w:line="240" w:lineRule="auto"/>
              <w:jc w:val="center"/>
              <w:rPr>
                <w:rFonts w:ascii="Times New Roman" w:eastAsia="Times New Roman" w:hAnsi="Times New Roman" w:cs="Times New Roman"/>
                <w:color w:val="FF0000"/>
                <w:lang w:eastAsia="lv-LV"/>
              </w:rPr>
            </w:pPr>
            <w:r w:rsidRPr="00C33C9F">
              <w:rPr>
                <w:rFonts w:ascii="Times New Roman" w:eastAsia="Times New Roman" w:hAnsi="Times New Roman" w:cs="Times New Roman"/>
                <w:lang w:eastAsia="lv-LV"/>
              </w:rPr>
              <w:t>10,3</w:t>
            </w:r>
          </w:p>
        </w:tc>
        <w:tc>
          <w:tcPr>
            <w:tcW w:w="567" w:type="dxa"/>
            <w:tcBorders>
              <w:top w:val="nil"/>
              <w:left w:val="nil"/>
              <w:bottom w:val="single" w:sz="4" w:space="0" w:color="auto"/>
              <w:right w:val="single" w:sz="4" w:space="0" w:color="auto"/>
            </w:tcBorders>
            <w:shd w:val="clear" w:color="auto" w:fill="auto"/>
            <w:vAlign w:val="center"/>
            <w:hideMark/>
          </w:tcPr>
          <w:p w14:paraId="3CCFAB69" w14:textId="77777777" w:rsidR="00A02D37" w:rsidRPr="00C33C9F" w:rsidRDefault="00A02D37" w:rsidP="003D17DA">
            <w:pPr>
              <w:spacing w:before="0" w:after="0" w:line="240" w:lineRule="auto"/>
              <w:jc w:val="center"/>
              <w:rPr>
                <w:rFonts w:ascii="Times New Roman" w:eastAsia="Times New Roman" w:hAnsi="Times New Roman" w:cs="Times New Roman"/>
                <w:b/>
                <w:lang w:eastAsia="lv-LV"/>
              </w:rPr>
            </w:pPr>
            <w:r w:rsidRPr="00C33C9F">
              <w:rPr>
                <w:rFonts w:ascii="Times New Roman" w:eastAsia="Century Gothic" w:hAnsi="Times New Roman" w:cs="Times New Roman"/>
                <w:b/>
              </w:rPr>
              <w:t>119</w:t>
            </w:r>
          </w:p>
        </w:tc>
        <w:tc>
          <w:tcPr>
            <w:tcW w:w="567" w:type="dxa"/>
            <w:tcBorders>
              <w:top w:val="nil"/>
              <w:left w:val="nil"/>
              <w:bottom w:val="single" w:sz="4" w:space="0" w:color="auto"/>
              <w:right w:val="single" w:sz="4" w:space="0" w:color="auto"/>
            </w:tcBorders>
            <w:shd w:val="clear" w:color="auto" w:fill="auto"/>
            <w:vAlign w:val="center"/>
            <w:hideMark/>
          </w:tcPr>
          <w:p w14:paraId="05EFADB8"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229</w:t>
            </w:r>
          </w:p>
        </w:tc>
        <w:tc>
          <w:tcPr>
            <w:tcW w:w="709" w:type="dxa"/>
            <w:tcBorders>
              <w:top w:val="nil"/>
              <w:left w:val="nil"/>
              <w:bottom w:val="single" w:sz="4" w:space="0" w:color="auto"/>
              <w:right w:val="single" w:sz="4" w:space="0" w:color="auto"/>
            </w:tcBorders>
            <w:shd w:val="clear" w:color="auto" w:fill="auto"/>
            <w:vAlign w:val="center"/>
            <w:hideMark/>
          </w:tcPr>
          <w:p w14:paraId="56E825C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52,0</w:t>
            </w:r>
          </w:p>
        </w:tc>
        <w:tc>
          <w:tcPr>
            <w:tcW w:w="567" w:type="dxa"/>
            <w:tcBorders>
              <w:top w:val="nil"/>
              <w:left w:val="nil"/>
              <w:bottom w:val="single" w:sz="4" w:space="0" w:color="auto"/>
              <w:right w:val="single" w:sz="4" w:space="0" w:color="auto"/>
            </w:tcBorders>
            <w:shd w:val="clear" w:color="auto" w:fill="auto"/>
            <w:vAlign w:val="center"/>
            <w:hideMark/>
          </w:tcPr>
          <w:p w14:paraId="22FD9357" w14:textId="77777777" w:rsidR="00A02D37" w:rsidRPr="00C33C9F" w:rsidRDefault="00A02D37" w:rsidP="003D17DA">
            <w:pPr>
              <w:spacing w:before="0" w:after="0" w:line="240" w:lineRule="auto"/>
              <w:jc w:val="center"/>
              <w:rPr>
                <w:rFonts w:ascii="Times New Roman" w:eastAsia="Times New Roman" w:hAnsi="Times New Roman" w:cs="Times New Roman"/>
                <w:b/>
                <w:lang w:eastAsia="lv-LV"/>
              </w:rPr>
            </w:pPr>
            <w:r w:rsidRPr="00C33C9F">
              <w:rPr>
                <w:rFonts w:ascii="Times New Roman" w:eastAsia="Century Gothic" w:hAnsi="Times New Roman" w:cs="Times New Roman"/>
                <w:b/>
              </w:rPr>
              <w:t>177</w:t>
            </w:r>
          </w:p>
        </w:tc>
        <w:tc>
          <w:tcPr>
            <w:tcW w:w="567" w:type="dxa"/>
            <w:tcBorders>
              <w:top w:val="nil"/>
              <w:left w:val="nil"/>
              <w:bottom w:val="single" w:sz="4" w:space="0" w:color="auto"/>
              <w:right w:val="single" w:sz="4" w:space="0" w:color="auto"/>
            </w:tcBorders>
            <w:shd w:val="clear" w:color="auto" w:fill="auto"/>
            <w:vAlign w:val="center"/>
            <w:hideMark/>
          </w:tcPr>
          <w:p w14:paraId="750A40DA"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235</w:t>
            </w:r>
          </w:p>
        </w:tc>
        <w:tc>
          <w:tcPr>
            <w:tcW w:w="708" w:type="dxa"/>
            <w:tcBorders>
              <w:top w:val="nil"/>
              <w:left w:val="nil"/>
              <w:bottom w:val="single" w:sz="4" w:space="0" w:color="auto"/>
              <w:right w:val="single" w:sz="4" w:space="0" w:color="auto"/>
            </w:tcBorders>
            <w:shd w:val="clear" w:color="auto" w:fill="auto"/>
            <w:vAlign w:val="center"/>
            <w:hideMark/>
          </w:tcPr>
          <w:p w14:paraId="2566D9A4"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75,3</w:t>
            </w:r>
          </w:p>
        </w:tc>
        <w:tc>
          <w:tcPr>
            <w:tcW w:w="570" w:type="dxa"/>
            <w:tcBorders>
              <w:top w:val="nil"/>
              <w:left w:val="nil"/>
              <w:bottom w:val="single" w:sz="4" w:space="0" w:color="auto"/>
              <w:right w:val="single" w:sz="4" w:space="0" w:color="auto"/>
            </w:tcBorders>
            <w:vAlign w:val="center"/>
          </w:tcPr>
          <w:p w14:paraId="75B83886"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66</w:t>
            </w:r>
          </w:p>
        </w:tc>
        <w:tc>
          <w:tcPr>
            <w:tcW w:w="570" w:type="dxa"/>
            <w:tcBorders>
              <w:top w:val="nil"/>
              <w:left w:val="nil"/>
              <w:bottom w:val="single" w:sz="4" w:space="0" w:color="auto"/>
              <w:right w:val="single" w:sz="4" w:space="0" w:color="auto"/>
            </w:tcBorders>
            <w:vAlign w:val="center"/>
          </w:tcPr>
          <w:p w14:paraId="375D659D"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98</w:t>
            </w:r>
          </w:p>
        </w:tc>
        <w:tc>
          <w:tcPr>
            <w:tcW w:w="712" w:type="dxa"/>
            <w:tcBorders>
              <w:top w:val="nil"/>
              <w:left w:val="nil"/>
              <w:bottom w:val="single" w:sz="4" w:space="0" w:color="auto"/>
              <w:right w:val="single" w:sz="4" w:space="0" w:color="auto"/>
            </w:tcBorders>
            <w:vAlign w:val="center"/>
          </w:tcPr>
          <w:p w14:paraId="15101879"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67,4</w:t>
            </w:r>
          </w:p>
        </w:tc>
        <w:tc>
          <w:tcPr>
            <w:tcW w:w="428" w:type="dxa"/>
            <w:tcBorders>
              <w:top w:val="nil"/>
              <w:left w:val="nil"/>
              <w:bottom w:val="single" w:sz="4" w:space="0" w:color="auto"/>
              <w:right w:val="single" w:sz="4" w:space="0" w:color="auto"/>
            </w:tcBorders>
            <w:vAlign w:val="center"/>
          </w:tcPr>
          <w:p w14:paraId="258784AB"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13</w:t>
            </w:r>
          </w:p>
        </w:tc>
        <w:tc>
          <w:tcPr>
            <w:tcW w:w="567" w:type="dxa"/>
            <w:tcBorders>
              <w:top w:val="nil"/>
              <w:left w:val="nil"/>
              <w:bottom w:val="single" w:sz="4" w:space="0" w:color="auto"/>
              <w:right w:val="single" w:sz="4" w:space="0" w:color="auto"/>
            </w:tcBorders>
            <w:vAlign w:val="center"/>
          </w:tcPr>
          <w:p w14:paraId="5AF95C20"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40</w:t>
            </w:r>
          </w:p>
        </w:tc>
        <w:tc>
          <w:tcPr>
            <w:tcW w:w="700" w:type="dxa"/>
            <w:tcBorders>
              <w:top w:val="nil"/>
              <w:left w:val="nil"/>
              <w:bottom w:val="single" w:sz="4" w:space="0" w:color="auto"/>
              <w:right w:val="single" w:sz="4" w:space="0" w:color="auto"/>
            </w:tcBorders>
            <w:vAlign w:val="center"/>
          </w:tcPr>
          <w:p w14:paraId="2B5026D2"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32,5</w:t>
            </w:r>
          </w:p>
        </w:tc>
      </w:tr>
      <w:tr w:rsidR="00A02D37" w:rsidRPr="00C33C9F" w14:paraId="0290B5E1" w14:textId="77777777" w:rsidTr="003D17DA">
        <w:trPr>
          <w:trHeight w:val="285"/>
          <w:jc w:val="center"/>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C40126" w14:textId="77777777" w:rsidR="00A02D37" w:rsidRPr="00C33C9F" w:rsidRDefault="00A02D37" w:rsidP="003D17DA">
            <w:pPr>
              <w:spacing w:before="0" w:after="0" w:line="240" w:lineRule="auto"/>
              <w:jc w:val="both"/>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 xml:space="preserve"> - t.sk. tematiskās pārbaudes galvenajiem būvdarbu veicējiem</w:t>
            </w:r>
          </w:p>
        </w:tc>
        <w:tc>
          <w:tcPr>
            <w:tcW w:w="567" w:type="dxa"/>
            <w:tcBorders>
              <w:top w:val="nil"/>
              <w:left w:val="nil"/>
              <w:bottom w:val="single" w:sz="4" w:space="0" w:color="auto"/>
              <w:right w:val="single" w:sz="4" w:space="0" w:color="auto"/>
            </w:tcBorders>
            <w:shd w:val="clear" w:color="auto" w:fill="auto"/>
            <w:noWrap/>
            <w:vAlign w:val="center"/>
            <w:hideMark/>
          </w:tcPr>
          <w:p w14:paraId="616CD4B6"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16</w:t>
            </w:r>
          </w:p>
        </w:tc>
        <w:tc>
          <w:tcPr>
            <w:tcW w:w="567" w:type="dxa"/>
            <w:tcBorders>
              <w:top w:val="nil"/>
              <w:left w:val="nil"/>
              <w:bottom w:val="single" w:sz="4" w:space="0" w:color="auto"/>
              <w:right w:val="single" w:sz="4" w:space="0" w:color="auto"/>
            </w:tcBorders>
            <w:shd w:val="clear" w:color="auto" w:fill="auto"/>
            <w:noWrap/>
            <w:vAlign w:val="center"/>
            <w:hideMark/>
          </w:tcPr>
          <w:p w14:paraId="27293604"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709" w:type="dxa"/>
            <w:tcBorders>
              <w:top w:val="nil"/>
              <w:left w:val="nil"/>
              <w:bottom w:val="single" w:sz="4" w:space="0" w:color="auto"/>
              <w:right w:val="single" w:sz="4" w:space="0" w:color="auto"/>
            </w:tcBorders>
            <w:shd w:val="clear" w:color="auto" w:fill="auto"/>
            <w:noWrap/>
            <w:vAlign w:val="center"/>
          </w:tcPr>
          <w:p w14:paraId="730A0081"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x</w:t>
            </w:r>
          </w:p>
        </w:tc>
        <w:tc>
          <w:tcPr>
            <w:tcW w:w="567" w:type="dxa"/>
            <w:tcBorders>
              <w:top w:val="nil"/>
              <w:left w:val="nil"/>
              <w:bottom w:val="single" w:sz="4" w:space="0" w:color="auto"/>
              <w:right w:val="single" w:sz="4" w:space="0" w:color="auto"/>
            </w:tcBorders>
            <w:shd w:val="clear" w:color="auto" w:fill="auto"/>
            <w:noWrap/>
            <w:vAlign w:val="center"/>
            <w:hideMark/>
          </w:tcPr>
          <w:p w14:paraId="61C258E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107</w:t>
            </w:r>
          </w:p>
        </w:tc>
        <w:tc>
          <w:tcPr>
            <w:tcW w:w="567" w:type="dxa"/>
            <w:tcBorders>
              <w:top w:val="nil"/>
              <w:left w:val="nil"/>
              <w:bottom w:val="single" w:sz="4" w:space="0" w:color="auto"/>
              <w:right w:val="single" w:sz="4" w:space="0" w:color="auto"/>
            </w:tcBorders>
            <w:shd w:val="clear" w:color="auto" w:fill="auto"/>
            <w:noWrap/>
            <w:vAlign w:val="center"/>
            <w:hideMark/>
          </w:tcPr>
          <w:p w14:paraId="77D8D866"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709" w:type="dxa"/>
            <w:tcBorders>
              <w:top w:val="nil"/>
              <w:left w:val="nil"/>
              <w:bottom w:val="single" w:sz="4" w:space="0" w:color="auto"/>
              <w:right w:val="single" w:sz="4" w:space="0" w:color="auto"/>
            </w:tcBorders>
            <w:shd w:val="clear" w:color="auto" w:fill="auto"/>
            <w:noWrap/>
            <w:vAlign w:val="center"/>
            <w:hideMark/>
          </w:tcPr>
          <w:p w14:paraId="54F2BC6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567" w:type="dxa"/>
            <w:tcBorders>
              <w:top w:val="nil"/>
              <w:left w:val="nil"/>
              <w:bottom w:val="single" w:sz="4" w:space="0" w:color="auto"/>
              <w:right w:val="single" w:sz="4" w:space="0" w:color="auto"/>
            </w:tcBorders>
            <w:shd w:val="clear" w:color="auto" w:fill="auto"/>
            <w:noWrap/>
            <w:vAlign w:val="center"/>
            <w:hideMark/>
          </w:tcPr>
          <w:p w14:paraId="7F31FB3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97</w:t>
            </w:r>
          </w:p>
        </w:tc>
        <w:tc>
          <w:tcPr>
            <w:tcW w:w="567" w:type="dxa"/>
            <w:tcBorders>
              <w:top w:val="nil"/>
              <w:left w:val="nil"/>
              <w:bottom w:val="single" w:sz="4" w:space="0" w:color="auto"/>
              <w:right w:val="single" w:sz="4" w:space="0" w:color="auto"/>
            </w:tcBorders>
            <w:shd w:val="clear" w:color="auto" w:fill="auto"/>
            <w:noWrap/>
            <w:vAlign w:val="center"/>
            <w:hideMark/>
          </w:tcPr>
          <w:p w14:paraId="3B7EE08B"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708" w:type="dxa"/>
            <w:tcBorders>
              <w:top w:val="nil"/>
              <w:left w:val="nil"/>
              <w:bottom w:val="single" w:sz="4" w:space="0" w:color="auto"/>
              <w:right w:val="single" w:sz="4" w:space="0" w:color="auto"/>
            </w:tcBorders>
            <w:shd w:val="clear" w:color="auto" w:fill="auto"/>
            <w:noWrap/>
            <w:vAlign w:val="center"/>
            <w:hideMark/>
          </w:tcPr>
          <w:p w14:paraId="0D7908A5"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570" w:type="dxa"/>
            <w:tcBorders>
              <w:top w:val="nil"/>
              <w:left w:val="nil"/>
              <w:bottom w:val="single" w:sz="4" w:space="0" w:color="auto"/>
              <w:right w:val="single" w:sz="4" w:space="0" w:color="auto"/>
            </w:tcBorders>
            <w:vAlign w:val="center"/>
          </w:tcPr>
          <w:p w14:paraId="774D54BD"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53</w:t>
            </w:r>
          </w:p>
        </w:tc>
        <w:tc>
          <w:tcPr>
            <w:tcW w:w="570" w:type="dxa"/>
            <w:tcBorders>
              <w:top w:val="nil"/>
              <w:left w:val="nil"/>
              <w:bottom w:val="single" w:sz="4" w:space="0" w:color="auto"/>
              <w:right w:val="single" w:sz="4" w:space="0" w:color="auto"/>
            </w:tcBorders>
            <w:vAlign w:val="center"/>
          </w:tcPr>
          <w:p w14:paraId="6CB8DCB4"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c>
          <w:tcPr>
            <w:tcW w:w="712" w:type="dxa"/>
            <w:tcBorders>
              <w:top w:val="nil"/>
              <w:left w:val="nil"/>
              <w:bottom w:val="single" w:sz="4" w:space="0" w:color="auto"/>
              <w:right w:val="single" w:sz="4" w:space="0" w:color="auto"/>
            </w:tcBorders>
            <w:vAlign w:val="center"/>
          </w:tcPr>
          <w:p w14:paraId="0AF7E3F3"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c>
          <w:tcPr>
            <w:tcW w:w="428" w:type="dxa"/>
            <w:tcBorders>
              <w:top w:val="nil"/>
              <w:left w:val="nil"/>
              <w:bottom w:val="single" w:sz="4" w:space="0" w:color="auto"/>
              <w:right w:val="single" w:sz="4" w:space="0" w:color="auto"/>
            </w:tcBorders>
            <w:vAlign w:val="center"/>
          </w:tcPr>
          <w:p w14:paraId="62F08CCF"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12</w:t>
            </w:r>
          </w:p>
        </w:tc>
        <w:tc>
          <w:tcPr>
            <w:tcW w:w="567" w:type="dxa"/>
            <w:tcBorders>
              <w:top w:val="nil"/>
              <w:left w:val="nil"/>
              <w:bottom w:val="single" w:sz="4" w:space="0" w:color="auto"/>
              <w:right w:val="single" w:sz="4" w:space="0" w:color="auto"/>
            </w:tcBorders>
            <w:vAlign w:val="center"/>
          </w:tcPr>
          <w:p w14:paraId="4156CF7E"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c>
          <w:tcPr>
            <w:tcW w:w="700" w:type="dxa"/>
            <w:tcBorders>
              <w:top w:val="nil"/>
              <w:left w:val="nil"/>
              <w:bottom w:val="single" w:sz="4" w:space="0" w:color="auto"/>
              <w:right w:val="single" w:sz="4" w:space="0" w:color="auto"/>
            </w:tcBorders>
            <w:vAlign w:val="center"/>
          </w:tcPr>
          <w:p w14:paraId="3A62FD00"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r>
      <w:tr w:rsidR="00A02D37" w:rsidRPr="00C33C9F" w14:paraId="39BB6CC2" w14:textId="77777777" w:rsidTr="003D17DA">
        <w:trPr>
          <w:trHeight w:val="285"/>
          <w:jc w:val="center"/>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9E3A28" w14:textId="77777777" w:rsidR="00A02D37" w:rsidRPr="00C33C9F" w:rsidRDefault="00A02D37" w:rsidP="003D17DA">
            <w:pPr>
              <w:spacing w:before="0" w:after="0" w:line="240" w:lineRule="auto"/>
              <w:jc w:val="both"/>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 xml:space="preserve"> - t.sk. tematiskās pārbaudes apakšuzņēmējiem</w:t>
            </w:r>
          </w:p>
        </w:tc>
        <w:tc>
          <w:tcPr>
            <w:tcW w:w="567" w:type="dxa"/>
            <w:tcBorders>
              <w:top w:val="nil"/>
              <w:left w:val="nil"/>
              <w:bottom w:val="single" w:sz="4" w:space="0" w:color="auto"/>
              <w:right w:val="single" w:sz="4" w:space="0" w:color="auto"/>
            </w:tcBorders>
            <w:shd w:val="clear" w:color="auto" w:fill="auto"/>
            <w:noWrap/>
            <w:vAlign w:val="center"/>
            <w:hideMark/>
          </w:tcPr>
          <w:p w14:paraId="4529B39A"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0</w:t>
            </w:r>
          </w:p>
        </w:tc>
        <w:tc>
          <w:tcPr>
            <w:tcW w:w="567" w:type="dxa"/>
            <w:tcBorders>
              <w:top w:val="nil"/>
              <w:left w:val="nil"/>
              <w:bottom w:val="single" w:sz="4" w:space="0" w:color="auto"/>
              <w:right w:val="single" w:sz="4" w:space="0" w:color="auto"/>
            </w:tcBorders>
            <w:shd w:val="clear" w:color="auto" w:fill="auto"/>
            <w:noWrap/>
            <w:vAlign w:val="center"/>
            <w:hideMark/>
          </w:tcPr>
          <w:p w14:paraId="6BDBE5B6"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709" w:type="dxa"/>
            <w:tcBorders>
              <w:top w:val="nil"/>
              <w:left w:val="nil"/>
              <w:bottom w:val="single" w:sz="4" w:space="0" w:color="auto"/>
              <w:right w:val="single" w:sz="4" w:space="0" w:color="auto"/>
            </w:tcBorders>
            <w:shd w:val="clear" w:color="auto" w:fill="auto"/>
            <w:noWrap/>
            <w:vAlign w:val="center"/>
          </w:tcPr>
          <w:p w14:paraId="6E0872AC"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x</w:t>
            </w:r>
          </w:p>
        </w:tc>
        <w:tc>
          <w:tcPr>
            <w:tcW w:w="567" w:type="dxa"/>
            <w:tcBorders>
              <w:top w:val="nil"/>
              <w:left w:val="nil"/>
              <w:bottom w:val="single" w:sz="4" w:space="0" w:color="auto"/>
              <w:right w:val="single" w:sz="4" w:space="0" w:color="auto"/>
            </w:tcBorders>
            <w:shd w:val="clear" w:color="auto" w:fill="auto"/>
            <w:noWrap/>
            <w:vAlign w:val="center"/>
            <w:hideMark/>
          </w:tcPr>
          <w:p w14:paraId="55241E8E"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12</w:t>
            </w:r>
          </w:p>
        </w:tc>
        <w:tc>
          <w:tcPr>
            <w:tcW w:w="567" w:type="dxa"/>
            <w:tcBorders>
              <w:top w:val="nil"/>
              <w:left w:val="nil"/>
              <w:bottom w:val="single" w:sz="4" w:space="0" w:color="auto"/>
              <w:right w:val="single" w:sz="4" w:space="0" w:color="auto"/>
            </w:tcBorders>
            <w:shd w:val="clear" w:color="auto" w:fill="auto"/>
            <w:noWrap/>
            <w:vAlign w:val="center"/>
            <w:hideMark/>
          </w:tcPr>
          <w:p w14:paraId="65B500FB"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709" w:type="dxa"/>
            <w:tcBorders>
              <w:top w:val="nil"/>
              <w:left w:val="nil"/>
              <w:bottom w:val="single" w:sz="4" w:space="0" w:color="auto"/>
              <w:right w:val="single" w:sz="4" w:space="0" w:color="auto"/>
            </w:tcBorders>
            <w:shd w:val="clear" w:color="auto" w:fill="auto"/>
            <w:noWrap/>
            <w:vAlign w:val="center"/>
            <w:hideMark/>
          </w:tcPr>
          <w:p w14:paraId="6BF37D64"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567" w:type="dxa"/>
            <w:tcBorders>
              <w:top w:val="nil"/>
              <w:left w:val="nil"/>
              <w:bottom w:val="single" w:sz="4" w:space="0" w:color="auto"/>
              <w:right w:val="single" w:sz="4" w:space="0" w:color="auto"/>
            </w:tcBorders>
            <w:shd w:val="clear" w:color="auto" w:fill="auto"/>
            <w:noWrap/>
            <w:vAlign w:val="center"/>
            <w:hideMark/>
          </w:tcPr>
          <w:p w14:paraId="771E47DB"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80</w:t>
            </w:r>
          </w:p>
        </w:tc>
        <w:tc>
          <w:tcPr>
            <w:tcW w:w="567" w:type="dxa"/>
            <w:tcBorders>
              <w:top w:val="nil"/>
              <w:left w:val="nil"/>
              <w:bottom w:val="single" w:sz="4" w:space="0" w:color="auto"/>
              <w:right w:val="single" w:sz="4" w:space="0" w:color="auto"/>
            </w:tcBorders>
            <w:shd w:val="clear" w:color="auto" w:fill="auto"/>
            <w:noWrap/>
            <w:vAlign w:val="center"/>
            <w:hideMark/>
          </w:tcPr>
          <w:p w14:paraId="5FB7975D"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708" w:type="dxa"/>
            <w:tcBorders>
              <w:top w:val="nil"/>
              <w:left w:val="nil"/>
              <w:bottom w:val="single" w:sz="4" w:space="0" w:color="auto"/>
              <w:right w:val="single" w:sz="4" w:space="0" w:color="auto"/>
            </w:tcBorders>
            <w:shd w:val="clear" w:color="auto" w:fill="auto"/>
            <w:noWrap/>
            <w:vAlign w:val="center"/>
            <w:hideMark/>
          </w:tcPr>
          <w:p w14:paraId="2136BFE6"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x</w:t>
            </w:r>
          </w:p>
        </w:tc>
        <w:tc>
          <w:tcPr>
            <w:tcW w:w="570" w:type="dxa"/>
            <w:tcBorders>
              <w:top w:val="nil"/>
              <w:left w:val="nil"/>
              <w:bottom w:val="single" w:sz="4" w:space="0" w:color="auto"/>
              <w:right w:val="single" w:sz="4" w:space="0" w:color="auto"/>
            </w:tcBorders>
            <w:vAlign w:val="center"/>
          </w:tcPr>
          <w:p w14:paraId="4C6CB0B9"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13</w:t>
            </w:r>
          </w:p>
        </w:tc>
        <w:tc>
          <w:tcPr>
            <w:tcW w:w="570" w:type="dxa"/>
            <w:tcBorders>
              <w:top w:val="nil"/>
              <w:left w:val="nil"/>
              <w:bottom w:val="single" w:sz="4" w:space="0" w:color="auto"/>
              <w:right w:val="single" w:sz="4" w:space="0" w:color="auto"/>
            </w:tcBorders>
            <w:vAlign w:val="center"/>
          </w:tcPr>
          <w:p w14:paraId="00C47EB4"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c>
          <w:tcPr>
            <w:tcW w:w="712" w:type="dxa"/>
            <w:tcBorders>
              <w:top w:val="nil"/>
              <w:left w:val="nil"/>
              <w:bottom w:val="single" w:sz="4" w:space="0" w:color="auto"/>
              <w:right w:val="single" w:sz="4" w:space="0" w:color="auto"/>
            </w:tcBorders>
            <w:vAlign w:val="center"/>
          </w:tcPr>
          <w:p w14:paraId="0D3D7C89"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c>
          <w:tcPr>
            <w:tcW w:w="428" w:type="dxa"/>
            <w:tcBorders>
              <w:top w:val="nil"/>
              <w:left w:val="nil"/>
              <w:bottom w:val="single" w:sz="4" w:space="0" w:color="auto"/>
              <w:right w:val="single" w:sz="4" w:space="0" w:color="auto"/>
            </w:tcBorders>
            <w:vAlign w:val="center"/>
          </w:tcPr>
          <w:p w14:paraId="0ADF4FA4"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1</w:t>
            </w:r>
          </w:p>
        </w:tc>
        <w:tc>
          <w:tcPr>
            <w:tcW w:w="567" w:type="dxa"/>
            <w:tcBorders>
              <w:top w:val="nil"/>
              <w:left w:val="nil"/>
              <w:bottom w:val="single" w:sz="4" w:space="0" w:color="auto"/>
              <w:right w:val="single" w:sz="4" w:space="0" w:color="auto"/>
            </w:tcBorders>
            <w:vAlign w:val="center"/>
          </w:tcPr>
          <w:p w14:paraId="33FF0A94"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c>
          <w:tcPr>
            <w:tcW w:w="700" w:type="dxa"/>
            <w:tcBorders>
              <w:top w:val="nil"/>
              <w:left w:val="nil"/>
              <w:bottom w:val="single" w:sz="4" w:space="0" w:color="auto"/>
              <w:right w:val="single" w:sz="4" w:space="0" w:color="auto"/>
            </w:tcBorders>
            <w:vAlign w:val="center"/>
          </w:tcPr>
          <w:p w14:paraId="5A45903D"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x</w:t>
            </w:r>
          </w:p>
        </w:tc>
      </w:tr>
      <w:tr w:rsidR="00A02D37" w:rsidRPr="00C33C9F" w14:paraId="2E29D596" w14:textId="77777777" w:rsidTr="003D17DA">
        <w:trPr>
          <w:trHeight w:val="285"/>
          <w:jc w:val="center"/>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648228B" w14:textId="77777777" w:rsidR="00A02D37" w:rsidRPr="00C33C9F" w:rsidRDefault="00A02D37" w:rsidP="003D17DA">
            <w:pPr>
              <w:spacing w:before="0" w:after="0" w:line="240" w:lineRule="auto"/>
              <w:jc w:val="both"/>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Apsekošanas būvuzņēmējiem</w:t>
            </w:r>
          </w:p>
        </w:tc>
        <w:tc>
          <w:tcPr>
            <w:tcW w:w="567" w:type="dxa"/>
            <w:tcBorders>
              <w:top w:val="nil"/>
              <w:left w:val="nil"/>
              <w:bottom w:val="single" w:sz="4" w:space="0" w:color="auto"/>
              <w:right w:val="single" w:sz="4" w:space="0" w:color="auto"/>
            </w:tcBorders>
            <w:shd w:val="clear" w:color="auto" w:fill="auto"/>
            <w:noWrap/>
            <w:vAlign w:val="center"/>
            <w:hideMark/>
          </w:tcPr>
          <w:p w14:paraId="7862270D" w14:textId="77777777" w:rsidR="00A02D37" w:rsidRPr="00C33C9F" w:rsidRDefault="00A02D37" w:rsidP="003D17DA">
            <w:pPr>
              <w:spacing w:before="0" w:after="0" w:line="240" w:lineRule="auto"/>
              <w:jc w:val="center"/>
              <w:rPr>
                <w:rFonts w:ascii="Times New Roman" w:eastAsia="Times New Roman" w:hAnsi="Times New Roman" w:cs="Times New Roman"/>
                <w:b/>
                <w:lang w:eastAsia="lv-LV"/>
              </w:rPr>
            </w:pPr>
            <w:r w:rsidRPr="00C33C9F">
              <w:rPr>
                <w:rFonts w:ascii="Times New Roman" w:eastAsia="Century Gothic" w:hAnsi="Times New Roman" w:cs="Times New Roman"/>
                <w:b/>
              </w:rPr>
              <w:t>190</w:t>
            </w:r>
          </w:p>
        </w:tc>
        <w:tc>
          <w:tcPr>
            <w:tcW w:w="567" w:type="dxa"/>
            <w:tcBorders>
              <w:top w:val="nil"/>
              <w:left w:val="nil"/>
              <w:bottom w:val="single" w:sz="4" w:space="0" w:color="auto"/>
              <w:right w:val="single" w:sz="4" w:space="0" w:color="auto"/>
            </w:tcBorders>
            <w:shd w:val="clear" w:color="auto" w:fill="auto"/>
            <w:noWrap/>
            <w:vAlign w:val="center"/>
            <w:hideMark/>
          </w:tcPr>
          <w:p w14:paraId="688127E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668</w:t>
            </w:r>
          </w:p>
        </w:tc>
        <w:tc>
          <w:tcPr>
            <w:tcW w:w="709" w:type="dxa"/>
            <w:tcBorders>
              <w:top w:val="nil"/>
              <w:left w:val="nil"/>
              <w:bottom w:val="single" w:sz="4" w:space="0" w:color="auto"/>
              <w:right w:val="single" w:sz="4" w:space="0" w:color="auto"/>
            </w:tcBorders>
            <w:shd w:val="clear" w:color="auto" w:fill="auto"/>
            <w:noWrap/>
            <w:vAlign w:val="center"/>
          </w:tcPr>
          <w:p w14:paraId="3DE42D92"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Times New Roman" w:hAnsi="Times New Roman" w:cs="Times New Roman"/>
                <w:lang w:eastAsia="lv-LV"/>
              </w:rPr>
              <w:t>28,4</w:t>
            </w:r>
          </w:p>
        </w:tc>
        <w:tc>
          <w:tcPr>
            <w:tcW w:w="567" w:type="dxa"/>
            <w:tcBorders>
              <w:top w:val="nil"/>
              <w:left w:val="nil"/>
              <w:bottom w:val="single" w:sz="4" w:space="0" w:color="auto"/>
              <w:right w:val="single" w:sz="4" w:space="0" w:color="auto"/>
            </w:tcBorders>
            <w:shd w:val="clear" w:color="auto" w:fill="auto"/>
            <w:noWrap/>
            <w:vAlign w:val="center"/>
            <w:hideMark/>
          </w:tcPr>
          <w:p w14:paraId="75B50869" w14:textId="77777777" w:rsidR="00A02D37" w:rsidRPr="00C33C9F" w:rsidRDefault="00A02D37" w:rsidP="003D17DA">
            <w:pPr>
              <w:spacing w:before="0" w:after="0" w:line="240" w:lineRule="auto"/>
              <w:jc w:val="center"/>
              <w:rPr>
                <w:rFonts w:ascii="Times New Roman" w:eastAsia="Times New Roman" w:hAnsi="Times New Roman" w:cs="Times New Roman"/>
                <w:b/>
                <w:lang w:eastAsia="lv-LV"/>
              </w:rPr>
            </w:pPr>
            <w:r w:rsidRPr="00C33C9F">
              <w:rPr>
                <w:rFonts w:ascii="Times New Roman" w:eastAsia="Century Gothic" w:hAnsi="Times New Roman" w:cs="Times New Roman"/>
                <w:b/>
              </w:rPr>
              <w:t>555</w:t>
            </w:r>
          </w:p>
        </w:tc>
        <w:tc>
          <w:tcPr>
            <w:tcW w:w="567" w:type="dxa"/>
            <w:tcBorders>
              <w:top w:val="nil"/>
              <w:left w:val="nil"/>
              <w:bottom w:val="single" w:sz="4" w:space="0" w:color="auto"/>
              <w:right w:val="single" w:sz="4" w:space="0" w:color="auto"/>
            </w:tcBorders>
            <w:shd w:val="clear" w:color="auto" w:fill="auto"/>
            <w:noWrap/>
            <w:vAlign w:val="center"/>
            <w:hideMark/>
          </w:tcPr>
          <w:p w14:paraId="3D10A43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854</w:t>
            </w:r>
          </w:p>
        </w:tc>
        <w:tc>
          <w:tcPr>
            <w:tcW w:w="709" w:type="dxa"/>
            <w:tcBorders>
              <w:top w:val="nil"/>
              <w:left w:val="nil"/>
              <w:bottom w:val="single" w:sz="4" w:space="0" w:color="auto"/>
              <w:right w:val="single" w:sz="4" w:space="0" w:color="auto"/>
            </w:tcBorders>
            <w:shd w:val="clear" w:color="auto" w:fill="auto"/>
            <w:noWrap/>
            <w:vAlign w:val="center"/>
            <w:hideMark/>
          </w:tcPr>
          <w:p w14:paraId="4277FC56"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65,0</w:t>
            </w:r>
          </w:p>
        </w:tc>
        <w:tc>
          <w:tcPr>
            <w:tcW w:w="567" w:type="dxa"/>
            <w:tcBorders>
              <w:top w:val="nil"/>
              <w:left w:val="nil"/>
              <w:bottom w:val="single" w:sz="4" w:space="0" w:color="auto"/>
              <w:right w:val="single" w:sz="4" w:space="0" w:color="auto"/>
            </w:tcBorders>
            <w:shd w:val="clear" w:color="auto" w:fill="auto"/>
            <w:noWrap/>
            <w:vAlign w:val="center"/>
            <w:hideMark/>
          </w:tcPr>
          <w:p w14:paraId="101857D8" w14:textId="77777777" w:rsidR="00A02D37" w:rsidRPr="00C33C9F" w:rsidRDefault="00A02D37" w:rsidP="003D17DA">
            <w:pPr>
              <w:spacing w:before="0" w:after="0" w:line="240" w:lineRule="auto"/>
              <w:jc w:val="center"/>
              <w:rPr>
                <w:rFonts w:ascii="Times New Roman" w:eastAsia="Times New Roman" w:hAnsi="Times New Roman" w:cs="Times New Roman"/>
                <w:b/>
                <w:lang w:eastAsia="lv-LV"/>
              </w:rPr>
            </w:pPr>
            <w:r w:rsidRPr="00C33C9F">
              <w:rPr>
                <w:rFonts w:ascii="Times New Roman" w:eastAsia="Century Gothic" w:hAnsi="Times New Roman" w:cs="Times New Roman"/>
                <w:b/>
              </w:rPr>
              <w:t>660</w:t>
            </w:r>
          </w:p>
        </w:tc>
        <w:tc>
          <w:tcPr>
            <w:tcW w:w="567" w:type="dxa"/>
            <w:tcBorders>
              <w:top w:val="nil"/>
              <w:left w:val="nil"/>
              <w:bottom w:val="single" w:sz="4" w:space="0" w:color="auto"/>
              <w:right w:val="single" w:sz="4" w:space="0" w:color="auto"/>
            </w:tcBorders>
            <w:shd w:val="clear" w:color="auto" w:fill="auto"/>
            <w:noWrap/>
            <w:vAlign w:val="center"/>
            <w:hideMark/>
          </w:tcPr>
          <w:p w14:paraId="10EEC2D4"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753</w:t>
            </w:r>
          </w:p>
        </w:tc>
        <w:tc>
          <w:tcPr>
            <w:tcW w:w="708" w:type="dxa"/>
            <w:tcBorders>
              <w:top w:val="nil"/>
              <w:left w:val="nil"/>
              <w:bottom w:val="single" w:sz="4" w:space="0" w:color="auto"/>
              <w:right w:val="single" w:sz="4" w:space="0" w:color="auto"/>
            </w:tcBorders>
            <w:shd w:val="clear" w:color="auto" w:fill="auto"/>
            <w:noWrap/>
            <w:vAlign w:val="center"/>
            <w:hideMark/>
          </w:tcPr>
          <w:p w14:paraId="32B4EBD3" w14:textId="77777777" w:rsidR="00A02D37" w:rsidRPr="00C33C9F" w:rsidRDefault="00A02D37" w:rsidP="003D17DA">
            <w:pPr>
              <w:spacing w:before="0" w:after="0" w:line="240" w:lineRule="auto"/>
              <w:jc w:val="center"/>
              <w:rPr>
                <w:rFonts w:ascii="Times New Roman" w:eastAsia="Times New Roman" w:hAnsi="Times New Roman" w:cs="Times New Roman"/>
                <w:lang w:eastAsia="lv-LV"/>
              </w:rPr>
            </w:pPr>
            <w:r w:rsidRPr="00C33C9F">
              <w:rPr>
                <w:rFonts w:ascii="Times New Roman" w:eastAsia="Century Gothic" w:hAnsi="Times New Roman" w:cs="Times New Roman"/>
              </w:rPr>
              <w:t>87,6</w:t>
            </w:r>
          </w:p>
        </w:tc>
        <w:tc>
          <w:tcPr>
            <w:tcW w:w="570" w:type="dxa"/>
            <w:tcBorders>
              <w:top w:val="nil"/>
              <w:left w:val="nil"/>
              <w:bottom w:val="single" w:sz="4" w:space="0" w:color="auto"/>
              <w:right w:val="single" w:sz="4" w:space="0" w:color="auto"/>
            </w:tcBorders>
            <w:vAlign w:val="center"/>
          </w:tcPr>
          <w:p w14:paraId="61C7C8F4"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314</w:t>
            </w:r>
          </w:p>
        </w:tc>
        <w:tc>
          <w:tcPr>
            <w:tcW w:w="570" w:type="dxa"/>
            <w:tcBorders>
              <w:top w:val="nil"/>
              <w:left w:val="nil"/>
              <w:bottom w:val="single" w:sz="4" w:space="0" w:color="auto"/>
              <w:right w:val="single" w:sz="4" w:space="0" w:color="auto"/>
            </w:tcBorders>
            <w:vAlign w:val="center"/>
          </w:tcPr>
          <w:p w14:paraId="48752789"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342</w:t>
            </w:r>
          </w:p>
        </w:tc>
        <w:tc>
          <w:tcPr>
            <w:tcW w:w="712" w:type="dxa"/>
            <w:tcBorders>
              <w:top w:val="nil"/>
              <w:left w:val="nil"/>
              <w:bottom w:val="single" w:sz="4" w:space="0" w:color="auto"/>
              <w:right w:val="single" w:sz="4" w:space="0" w:color="auto"/>
            </w:tcBorders>
            <w:vAlign w:val="center"/>
          </w:tcPr>
          <w:p w14:paraId="517A8604" w14:textId="77777777" w:rsidR="00A02D37" w:rsidRPr="00C33C9F" w:rsidRDefault="00A02D37" w:rsidP="003D17DA">
            <w:pPr>
              <w:spacing w:before="0" w:after="0" w:line="240" w:lineRule="auto"/>
              <w:jc w:val="center"/>
              <w:rPr>
                <w:rFonts w:ascii="Times New Roman" w:eastAsia="Century Gothic" w:hAnsi="Times New Roman" w:cs="Times New Roman"/>
              </w:rPr>
            </w:pPr>
            <w:r w:rsidRPr="00C33C9F">
              <w:rPr>
                <w:rFonts w:ascii="Times New Roman" w:eastAsia="Century Gothic" w:hAnsi="Times New Roman" w:cs="Times New Roman"/>
              </w:rPr>
              <w:t>91,8</w:t>
            </w:r>
          </w:p>
        </w:tc>
        <w:tc>
          <w:tcPr>
            <w:tcW w:w="428" w:type="dxa"/>
            <w:tcBorders>
              <w:top w:val="nil"/>
              <w:left w:val="nil"/>
              <w:bottom w:val="single" w:sz="4" w:space="0" w:color="auto"/>
              <w:right w:val="single" w:sz="4" w:space="0" w:color="auto"/>
            </w:tcBorders>
            <w:vAlign w:val="center"/>
          </w:tcPr>
          <w:p w14:paraId="647419B9"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14</w:t>
            </w:r>
          </w:p>
        </w:tc>
        <w:tc>
          <w:tcPr>
            <w:tcW w:w="567" w:type="dxa"/>
            <w:tcBorders>
              <w:top w:val="nil"/>
              <w:left w:val="nil"/>
              <w:bottom w:val="single" w:sz="4" w:space="0" w:color="auto"/>
              <w:right w:val="single" w:sz="4" w:space="0" w:color="auto"/>
            </w:tcBorders>
            <w:vAlign w:val="center"/>
          </w:tcPr>
          <w:p w14:paraId="550BB8FB"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39</w:t>
            </w:r>
          </w:p>
        </w:tc>
        <w:tc>
          <w:tcPr>
            <w:tcW w:w="700" w:type="dxa"/>
            <w:tcBorders>
              <w:top w:val="nil"/>
              <w:left w:val="nil"/>
              <w:bottom w:val="single" w:sz="4" w:space="0" w:color="auto"/>
              <w:right w:val="single" w:sz="4" w:space="0" w:color="auto"/>
            </w:tcBorders>
            <w:vAlign w:val="center"/>
          </w:tcPr>
          <w:p w14:paraId="3DC448CE" w14:textId="77777777" w:rsidR="00A02D37" w:rsidRPr="00C33C9F" w:rsidRDefault="00A02D37" w:rsidP="003D17DA">
            <w:pPr>
              <w:spacing w:before="0" w:after="0" w:line="240" w:lineRule="auto"/>
              <w:jc w:val="center"/>
              <w:rPr>
                <w:rFonts w:ascii="Times New Roman" w:eastAsia="Century Gothic" w:hAnsi="Times New Roman" w:cs="Times New Roman"/>
                <w:b/>
              </w:rPr>
            </w:pPr>
            <w:r w:rsidRPr="00C33C9F">
              <w:rPr>
                <w:rFonts w:ascii="Times New Roman" w:eastAsia="Century Gothic" w:hAnsi="Times New Roman" w:cs="Times New Roman"/>
                <w:b/>
              </w:rPr>
              <w:t>35,9</w:t>
            </w:r>
          </w:p>
        </w:tc>
      </w:tr>
    </w:tbl>
    <w:p w14:paraId="2836BA9E" w14:textId="77777777" w:rsidR="00217F39" w:rsidRPr="00217F39" w:rsidRDefault="00217F39" w:rsidP="00217F39">
      <w:pPr>
        <w:spacing w:before="0" w:after="0" w:line="240" w:lineRule="auto"/>
        <w:ind w:firstLine="709"/>
        <w:jc w:val="both"/>
        <w:rPr>
          <w:rFonts w:ascii="Times New Roman" w:eastAsia="Century Gothic" w:hAnsi="Times New Roman" w:cs="Times New Roman"/>
          <w:sz w:val="28"/>
          <w:szCs w:val="28"/>
        </w:rPr>
      </w:pPr>
    </w:p>
    <w:p w14:paraId="56A21916" w14:textId="77777777" w:rsidR="00217F39" w:rsidRPr="00217F39" w:rsidRDefault="00217F39" w:rsidP="00217F39">
      <w:pPr>
        <w:spacing w:before="0" w:after="0" w:line="240" w:lineRule="auto"/>
        <w:ind w:firstLine="709"/>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Saistībā ar EDLUS ieviešanu veikto nodokļu kontroles pasākumu rezultātā saimnieciskā darbība ir apturēta:</w:t>
      </w:r>
    </w:p>
    <w:p w14:paraId="23A94B18" w14:textId="6592E124" w:rsidR="00217F39" w:rsidRPr="00217F39" w:rsidRDefault="00217F39" w:rsidP="00217F39">
      <w:pPr>
        <w:numPr>
          <w:ilvl w:val="0"/>
          <w:numId w:val="24"/>
        </w:numPr>
        <w:tabs>
          <w:tab w:val="left" w:pos="993"/>
        </w:tabs>
        <w:spacing w:before="0" w:after="0" w:line="240" w:lineRule="auto"/>
        <w:ind w:hanging="11"/>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2018.gadā – septiņiem </w:t>
      </w:r>
      <w:r w:rsidR="009E215E">
        <w:rPr>
          <w:rFonts w:ascii="Times New Roman" w:eastAsia="Century Gothic" w:hAnsi="Times New Roman" w:cs="Times New Roman"/>
          <w:sz w:val="28"/>
          <w:szCs w:val="28"/>
        </w:rPr>
        <w:t>NM</w:t>
      </w:r>
      <w:r w:rsidRPr="00217F39">
        <w:rPr>
          <w:rFonts w:ascii="Times New Roman" w:eastAsia="Century Gothic" w:hAnsi="Times New Roman" w:cs="Times New Roman"/>
          <w:sz w:val="28"/>
          <w:szCs w:val="28"/>
        </w:rPr>
        <w:t>;</w:t>
      </w:r>
    </w:p>
    <w:p w14:paraId="30B292FD" w14:textId="4C4B8394" w:rsidR="00217F39" w:rsidRPr="00217F39" w:rsidRDefault="00217F39" w:rsidP="00217F39">
      <w:pPr>
        <w:numPr>
          <w:ilvl w:val="0"/>
          <w:numId w:val="24"/>
        </w:numPr>
        <w:tabs>
          <w:tab w:val="left" w:pos="993"/>
        </w:tabs>
        <w:spacing w:before="0" w:after="0" w:line="240" w:lineRule="auto"/>
        <w:ind w:hanging="11"/>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2019.gadā – 11 </w:t>
      </w:r>
      <w:r w:rsidR="009E215E">
        <w:rPr>
          <w:rFonts w:ascii="Times New Roman" w:eastAsia="Century Gothic" w:hAnsi="Times New Roman" w:cs="Times New Roman"/>
          <w:sz w:val="28"/>
          <w:szCs w:val="28"/>
        </w:rPr>
        <w:t>NM</w:t>
      </w:r>
      <w:r w:rsidRPr="00217F39">
        <w:rPr>
          <w:rFonts w:ascii="Times New Roman" w:eastAsia="Century Gothic" w:hAnsi="Times New Roman" w:cs="Times New Roman"/>
          <w:sz w:val="28"/>
          <w:szCs w:val="28"/>
        </w:rPr>
        <w:t>;</w:t>
      </w:r>
    </w:p>
    <w:p w14:paraId="4DBDC163" w14:textId="747AFB75" w:rsidR="00217F39" w:rsidRDefault="00217F39" w:rsidP="00217F39">
      <w:pPr>
        <w:numPr>
          <w:ilvl w:val="0"/>
          <w:numId w:val="24"/>
        </w:numPr>
        <w:tabs>
          <w:tab w:val="left" w:pos="993"/>
        </w:tabs>
        <w:spacing w:before="0" w:after="0" w:line="240" w:lineRule="auto"/>
        <w:ind w:hanging="11"/>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2020.gadā – pieciem </w:t>
      </w:r>
      <w:r w:rsidR="009E215E">
        <w:rPr>
          <w:rFonts w:ascii="Times New Roman" w:eastAsia="Century Gothic" w:hAnsi="Times New Roman" w:cs="Times New Roman"/>
          <w:sz w:val="28"/>
          <w:szCs w:val="28"/>
        </w:rPr>
        <w:t>NM</w:t>
      </w:r>
      <w:r w:rsidRPr="00217F39">
        <w:rPr>
          <w:rFonts w:ascii="Times New Roman" w:eastAsia="Century Gothic" w:hAnsi="Times New Roman" w:cs="Times New Roman"/>
          <w:sz w:val="28"/>
          <w:szCs w:val="28"/>
        </w:rPr>
        <w:t>.</w:t>
      </w:r>
    </w:p>
    <w:p w14:paraId="4C726C35" w14:textId="77777777" w:rsidR="00F75386" w:rsidRDefault="00F75386" w:rsidP="00F75386">
      <w:pPr>
        <w:tabs>
          <w:tab w:val="left" w:pos="993"/>
        </w:tabs>
        <w:spacing w:before="0" w:after="0" w:line="240" w:lineRule="auto"/>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ab/>
      </w:r>
    </w:p>
    <w:p w14:paraId="11C75302" w14:textId="2ED14D41" w:rsidR="00F75386" w:rsidRPr="00217F39" w:rsidRDefault="00F75386" w:rsidP="00031E6A">
      <w:pPr>
        <w:tabs>
          <w:tab w:val="left" w:pos="993"/>
        </w:tabs>
        <w:spacing w:before="0" w:after="0" w:line="240" w:lineRule="auto"/>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ab/>
      </w:r>
      <w:r w:rsidRPr="00F75386">
        <w:rPr>
          <w:rFonts w:ascii="Times New Roman" w:eastAsia="Century Gothic" w:hAnsi="Times New Roman" w:cs="Times New Roman"/>
          <w:sz w:val="28"/>
          <w:szCs w:val="28"/>
        </w:rPr>
        <w:t xml:space="preserve">Savukārt 2021. gadā netika apturēta saimnieciskā darbība nevienam </w:t>
      </w:r>
      <w:r w:rsidR="009E215E">
        <w:rPr>
          <w:rFonts w:ascii="Times New Roman" w:eastAsia="Century Gothic" w:hAnsi="Times New Roman" w:cs="Times New Roman"/>
          <w:sz w:val="28"/>
          <w:szCs w:val="28"/>
        </w:rPr>
        <w:t>NM</w:t>
      </w:r>
      <w:r w:rsidRPr="00F75386">
        <w:rPr>
          <w:rFonts w:ascii="Times New Roman" w:eastAsia="Century Gothic" w:hAnsi="Times New Roman" w:cs="Times New Roman"/>
          <w:sz w:val="28"/>
          <w:szCs w:val="28"/>
        </w:rPr>
        <w:t>.</w:t>
      </w:r>
    </w:p>
    <w:p w14:paraId="03B0C5C4" w14:textId="5F9222F3" w:rsidR="00217F39" w:rsidRPr="00217F39" w:rsidRDefault="00217F39" w:rsidP="00217F39">
      <w:pPr>
        <w:spacing w:before="0" w:after="0" w:line="240" w:lineRule="auto"/>
        <w:ind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Veicot pārbaudes 2017.gada beigās un 2018.gadā, VID kā galvenos uzdevumus izvirzīja konsultatīvā atbalsta sniegšanu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likuma “Par nodokļiem un nodevām” XIV nodaļā “Elektroniskās informācijas uzskaite būvlaukumā un tās izmantošana” ietverto normu piemērošanā, identificējot EDLUS informācijas tehnoloģiju risinājumu izplatības tendences, ieviešanas, izmantošanas un datu ticamības problēmas un kļūdas, vienlaikus stiprinot EDLUS izmantošanas paradumu būvlaukumā nodarbināto personu vidū.</w:t>
      </w:r>
    </w:p>
    <w:p w14:paraId="2F9F98AA"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Ar 2019.gadu VID uzdevums ir identificēt elektroniskās informācijas uzskaites būvlaukumā regulējuma neievērošanas gadījumus un neatbilstības būvlaukumā nodarbināto personu darba ienākumu aprēķināšanā un, īstenojot principu “Konsultē vispirms”, skaidrot EDLU ieviešanas reglamentējošās normas </w:t>
      </w:r>
      <w:r w:rsidRPr="00217F39">
        <w:rPr>
          <w:rFonts w:ascii="Times New Roman" w:eastAsia="Century Gothic" w:hAnsi="Times New Roman" w:cs="Times New Roman"/>
          <w:color w:val="000000"/>
          <w:sz w:val="28"/>
          <w:szCs w:val="28"/>
        </w:rPr>
        <w:lastRenderedPageBreak/>
        <w:t>subjektiem, uz kuriem attiecas EDLU regulējums, nosakot termiņus konstatēto neatbilstību novēršanai.</w:t>
      </w:r>
    </w:p>
    <w:p w14:paraId="18B08EE5"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Lai nodrošinātu normatīvo aktu regulējuma ievērošanu, EDLUS ieviešanas un izmantošanas uzraudzības ietvaros VID sniedza konsultācijas:</w:t>
      </w:r>
    </w:p>
    <w:p w14:paraId="4866B890" w14:textId="336BA61B" w:rsidR="00217F39" w:rsidRPr="00217F39" w:rsidRDefault="00217F39" w:rsidP="00217F39">
      <w:pPr>
        <w:numPr>
          <w:ilvl w:val="0"/>
          <w:numId w:val="3"/>
        </w:numPr>
        <w:tabs>
          <w:tab w:val="left" w:pos="993"/>
        </w:tabs>
        <w:spacing w:before="0" w:after="0" w:line="240" w:lineRule="auto"/>
        <w:ind w:left="0"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2019.gadā, veicot 177 EDLU tematiskās pārbaudes, sniedza 150 konsultācijas jeb 84,7 % no VID veiktajām EDLU tematiskajām pārbaudēm un,  apsekojot 660 EDLU, sniedza 244 konsultācijas jeb 37,0 % no VID veiktajām EDLU apsekošanām (skatīt </w:t>
      </w:r>
      <w:r w:rsidR="00762B45">
        <w:rPr>
          <w:rFonts w:ascii="Times New Roman" w:eastAsia="Century Gothic" w:hAnsi="Times New Roman" w:cs="Times New Roman"/>
          <w:color w:val="000000"/>
          <w:sz w:val="28"/>
          <w:szCs w:val="28"/>
        </w:rPr>
        <w:t>2</w:t>
      </w:r>
      <w:r w:rsidRPr="00217F39">
        <w:rPr>
          <w:rFonts w:ascii="Times New Roman" w:eastAsia="Century Gothic" w:hAnsi="Times New Roman" w:cs="Times New Roman"/>
          <w:color w:val="000000"/>
          <w:sz w:val="28"/>
          <w:szCs w:val="28"/>
        </w:rPr>
        <w:t>.</w:t>
      </w:r>
      <w:r w:rsidR="00FF1615">
        <w:rPr>
          <w:rFonts w:ascii="Times New Roman" w:eastAsia="Century Gothic" w:hAnsi="Times New Roman" w:cs="Times New Roman"/>
          <w:color w:val="000000"/>
          <w:sz w:val="28"/>
          <w:szCs w:val="28"/>
        </w:rPr>
        <w:t xml:space="preserve"> un 3. </w:t>
      </w:r>
      <w:r w:rsidRPr="00217F39">
        <w:rPr>
          <w:rFonts w:ascii="Times New Roman" w:eastAsia="Century Gothic" w:hAnsi="Times New Roman" w:cs="Times New Roman"/>
          <w:color w:val="000000"/>
          <w:sz w:val="28"/>
          <w:szCs w:val="28"/>
        </w:rPr>
        <w:t>tabulu);</w:t>
      </w:r>
    </w:p>
    <w:p w14:paraId="1C6B73AE" w14:textId="77777777" w:rsidR="00F75386" w:rsidRDefault="00217F39" w:rsidP="00217F39">
      <w:pPr>
        <w:numPr>
          <w:ilvl w:val="0"/>
          <w:numId w:val="3"/>
        </w:numPr>
        <w:tabs>
          <w:tab w:val="left" w:pos="993"/>
        </w:tabs>
        <w:spacing w:before="0" w:after="0" w:line="240" w:lineRule="auto"/>
        <w:ind w:left="0"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2020.gadā sniedza 80,3 % konsultāciju no VID veiktajām EDLU tematiskajām pārbaudēm un 31,21 % konsultāciju no VID veiktajām EDLU apsekošanām</w:t>
      </w:r>
      <w:r w:rsidR="00F75386">
        <w:rPr>
          <w:rFonts w:ascii="Times New Roman" w:eastAsia="Century Gothic" w:hAnsi="Times New Roman" w:cs="Times New Roman"/>
          <w:color w:val="000000"/>
          <w:sz w:val="28"/>
          <w:szCs w:val="28"/>
        </w:rPr>
        <w:t>;</w:t>
      </w:r>
    </w:p>
    <w:p w14:paraId="6141A74F" w14:textId="77777777" w:rsidR="00F75386" w:rsidRPr="00C33C9F" w:rsidRDefault="00F75386" w:rsidP="00F75386">
      <w:pPr>
        <w:numPr>
          <w:ilvl w:val="0"/>
          <w:numId w:val="3"/>
        </w:numPr>
        <w:tabs>
          <w:tab w:val="left" w:pos="993"/>
        </w:tabs>
        <w:spacing w:before="0" w:after="0" w:line="240" w:lineRule="auto"/>
        <w:ind w:left="0" w:firstLine="720"/>
        <w:jc w:val="both"/>
        <w:rPr>
          <w:rFonts w:ascii="Times New Roman" w:eastAsia="Century Gothic" w:hAnsi="Times New Roman" w:cs="Times New Roman"/>
          <w:color w:val="000000"/>
          <w:sz w:val="28"/>
          <w:szCs w:val="28"/>
        </w:rPr>
      </w:pPr>
      <w:r w:rsidRPr="00C33C9F">
        <w:rPr>
          <w:rFonts w:ascii="Times New Roman" w:eastAsia="Century Gothic" w:hAnsi="Times New Roman" w:cs="Times New Roman"/>
          <w:color w:val="000000"/>
          <w:sz w:val="28"/>
          <w:szCs w:val="28"/>
        </w:rPr>
        <w:t>2021. gadā sniedza 53,8 % konsultāciju no VID veiktajām EDLU tematiskajām pārbaudēm un 28,6 % konsultāciju no VID veiktajām EDLU apsekošanām.</w:t>
      </w:r>
    </w:p>
    <w:p w14:paraId="27C35032" w14:textId="3162BF6C" w:rsidR="00217F39" w:rsidRPr="00217F39" w:rsidRDefault="00217F39" w:rsidP="00031E6A">
      <w:pPr>
        <w:tabs>
          <w:tab w:val="left" w:pos="993"/>
        </w:tabs>
        <w:spacing w:before="0" w:after="0" w:line="240" w:lineRule="auto"/>
        <w:ind w:left="720"/>
        <w:jc w:val="both"/>
        <w:rPr>
          <w:rFonts w:ascii="Times New Roman" w:eastAsia="Century Gothic" w:hAnsi="Times New Roman" w:cs="Times New Roman"/>
          <w:color w:val="000000"/>
          <w:sz w:val="28"/>
          <w:szCs w:val="28"/>
        </w:rPr>
      </w:pPr>
    </w:p>
    <w:p w14:paraId="0AE84684" w14:textId="4F4D969F" w:rsidR="00217F39" w:rsidRPr="00217F39" w:rsidRDefault="006A2ABB" w:rsidP="00217F39">
      <w:pPr>
        <w:spacing w:before="0" w:after="0" w:line="259" w:lineRule="auto"/>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2</w:t>
      </w:r>
      <w:r w:rsidR="00217F39" w:rsidRPr="00217F39">
        <w:rPr>
          <w:rFonts w:ascii="Times New Roman" w:eastAsia="Century Gothic" w:hAnsi="Times New Roman" w:cs="Times New Roman"/>
          <w:sz w:val="28"/>
          <w:szCs w:val="28"/>
        </w:rPr>
        <w:t>.tabula</w:t>
      </w:r>
    </w:p>
    <w:p w14:paraId="0BE5D9D9" w14:textId="77777777" w:rsidR="00217F39" w:rsidRPr="00217F39" w:rsidRDefault="00217F39" w:rsidP="00217F39">
      <w:pPr>
        <w:tabs>
          <w:tab w:val="left" w:pos="1134"/>
        </w:tabs>
        <w:spacing w:before="0" w:after="120" w:line="240" w:lineRule="auto"/>
        <w:jc w:val="center"/>
        <w:rPr>
          <w:rFonts w:ascii="Times New Roman" w:eastAsia="Century Gothic" w:hAnsi="Times New Roman" w:cs="Times New Roman"/>
          <w:b/>
          <w:sz w:val="28"/>
          <w:szCs w:val="28"/>
        </w:rPr>
      </w:pPr>
      <w:r w:rsidRPr="00217F39">
        <w:rPr>
          <w:rFonts w:ascii="Times New Roman" w:eastAsia="Century Gothic" w:hAnsi="Times New Roman" w:cs="Times New Roman"/>
          <w:b/>
          <w:sz w:val="28"/>
          <w:szCs w:val="28"/>
        </w:rPr>
        <w:t>EDLUS ieviešanas uzraudzības ietvaros būvuzņēmējiem veikto tematisko pārbaužu skaits un to rezultāti</w:t>
      </w:r>
    </w:p>
    <w:tbl>
      <w:tblPr>
        <w:tblW w:w="9384" w:type="dxa"/>
        <w:tblLook w:val="04A0" w:firstRow="1" w:lastRow="0" w:firstColumn="1" w:lastColumn="0" w:noHBand="0" w:noVBand="1"/>
      </w:tblPr>
      <w:tblGrid>
        <w:gridCol w:w="846"/>
        <w:gridCol w:w="1039"/>
        <w:gridCol w:w="706"/>
        <w:gridCol w:w="1339"/>
        <w:gridCol w:w="1440"/>
        <w:gridCol w:w="1360"/>
        <w:gridCol w:w="1404"/>
        <w:gridCol w:w="1250"/>
      </w:tblGrid>
      <w:tr w:rsidR="00217F39" w:rsidRPr="00217F39" w14:paraId="63E4E664" w14:textId="77777777" w:rsidTr="006347BE">
        <w:trPr>
          <w:trHeight w:val="1386"/>
          <w:tblHead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30D89"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Gads</w:t>
            </w:r>
          </w:p>
        </w:tc>
        <w:tc>
          <w:tcPr>
            <w:tcW w:w="1039" w:type="dxa"/>
            <w:tcBorders>
              <w:top w:val="single" w:sz="4" w:space="0" w:color="auto"/>
              <w:left w:val="nil"/>
              <w:bottom w:val="single" w:sz="4" w:space="0" w:color="auto"/>
              <w:right w:val="single" w:sz="4" w:space="0" w:color="auto"/>
            </w:tcBorders>
            <w:shd w:val="clear" w:color="000000" w:fill="FFFFFF"/>
            <w:vAlign w:val="center"/>
            <w:hideMark/>
          </w:tcPr>
          <w:p w14:paraId="208B00FC"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 xml:space="preserve">EDLUS pārbaužu skaits </w:t>
            </w:r>
          </w:p>
        </w:tc>
        <w:tc>
          <w:tcPr>
            <w:tcW w:w="706" w:type="dxa"/>
            <w:tcBorders>
              <w:top w:val="single" w:sz="4" w:space="0" w:color="auto"/>
              <w:left w:val="single" w:sz="4" w:space="0" w:color="auto"/>
              <w:bottom w:val="single" w:sz="4" w:space="0" w:color="auto"/>
              <w:right w:val="single" w:sz="4" w:space="0" w:color="auto"/>
            </w:tcBorders>
            <w:shd w:val="clear" w:color="000000" w:fill="FFFFFF"/>
            <w:vAlign w:val="center"/>
          </w:tcPr>
          <w:p w14:paraId="0FB19094"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NM skaits</w:t>
            </w:r>
          </w:p>
        </w:tc>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14:paraId="2A0426C1"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Sniegtas konsultācijas</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4F7B4C"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Pārbaudes, kurās EDLUS pārkāpumi netika konstatēti</w:t>
            </w:r>
          </w:p>
        </w:tc>
        <w:tc>
          <w:tcPr>
            <w:tcW w:w="1360" w:type="dxa"/>
            <w:tcBorders>
              <w:top w:val="single" w:sz="4" w:space="0" w:color="auto"/>
              <w:left w:val="nil"/>
              <w:bottom w:val="single" w:sz="4" w:space="0" w:color="auto"/>
              <w:right w:val="single" w:sz="4" w:space="0" w:color="auto"/>
            </w:tcBorders>
            <w:shd w:val="clear" w:color="000000" w:fill="FFFFFF"/>
            <w:vAlign w:val="center"/>
            <w:hideMark/>
          </w:tcPr>
          <w:p w14:paraId="103A13DD"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Pārbaudes, kurās EDLUS pārkāpumi ir konstatēti</w:t>
            </w:r>
          </w:p>
        </w:tc>
        <w:tc>
          <w:tcPr>
            <w:tcW w:w="1404" w:type="dxa"/>
            <w:tcBorders>
              <w:top w:val="single" w:sz="4" w:space="0" w:color="auto"/>
              <w:left w:val="nil"/>
              <w:bottom w:val="single" w:sz="4" w:space="0" w:color="auto"/>
              <w:right w:val="single" w:sz="4" w:space="0" w:color="auto"/>
            </w:tcBorders>
            <w:shd w:val="clear" w:color="000000" w:fill="FFFFFF"/>
            <w:vAlign w:val="center"/>
            <w:hideMark/>
          </w:tcPr>
          <w:p w14:paraId="1F18C580"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NM skaits, kas pēc VID aicinājuma iesniedza deklarāciju precizējumus</w:t>
            </w:r>
          </w:p>
        </w:tc>
        <w:tc>
          <w:tcPr>
            <w:tcW w:w="1250" w:type="dxa"/>
            <w:tcBorders>
              <w:top w:val="single" w:sz="4" w:space="0" w:color="auto"/>
              <w:left w:val="nil"/>
              <w:bottom w:val="single" w:sz="4" w:space="0" w:color="auto"/>
              <w:right w:val="single" w:sz="4" w:space="0" w:color="auto"/>
            </w:tcBorders>
            <w:shd w:val="clear" w:color="000000" w:fill="FFFFFF"/>
            <w:vAlign w:val="center"/>
            <w:hideMark/>
          </w:tcPr>
          <w:p w14:paraId="145D8C87"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 xml:space="preserve">Papildus deklarētie maksājumi budžetā </w:t>
            </w:r>
            <w:r w:rsidRPr="00217F39">
              <w:rPr>
                <w:rFonts w:ascii="Times New Roman" w:eastAsia="Times New Roman" w:hAnsi="Times New Roman" w:cs="Times New Roman"/>
                <w:b/>
                <w:bCs/>
                <w:color w:val="000000"/>
                <w:lang w:eastAsia="lv-LV"/>
              </w:rPr>
              <w:br/>
              <w:t>(tūkst. EUR)</w:t>
            </w:r>
          </w:p>
        </w:tc>
      </w:tr>
      <w:tr w:rsidR="00217F39" w:rsidRPr="00217F39" w14:paraId="001DFBA0" w14:textId="77777777" w:rsidTr="006347BE">
        <w:trPr>
          <w:trHeight w:val="300"/>
        </w:trPr>
        <w:tc>
          <w:tcPr>
            <w:tcW w:w="8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6771E1"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2017</w:t>
            </w:r>
          </w:p>
        </w:tc>
        <w:tc>
          <w:tcPr>
            <w:tcW w:w="1039" w:type="dxa"/>
            <w:tcBorders>
              <w:top w:val="single" w:sz="4" w:space="0" w:color="auto"/>
              <w:left w:val="nil"/>
              <w:bottom w:val="single" w:sz="4" w:space="0" w:color="auto"/>
              <w:right w:val="single" w:sz="4" w:space="0" w:color="auto"/>
            </w:tcBorders>
            <w:shd w:val="clear" w:color="000000" w:fill="FFFFFF"/>
            <w:vAlign w:val="center"/>
            <w:hideMark/>
          </w:tcPr>
          <w:p w14:paraId="1E889FA1"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16</w:t>
            </w:r>
          </w:p>
        </w:tc>
        <w:tc>
          <w:tcPr>
            <w:tcW w:w="706" w:type="dxa"/>
            <w:tcBorders>
              <w:top w:val="single" w:sz="4" w:space="0" w:color="auto"/>
              <w:left w:val="single" w:sz="4" w:space="0" w:color="auto"/>
              <w:bottom w:val="single" w:sz="4" w:space="0" w:color="auto"/>
              <w:right w:val="single" w:sz="4" w:space="0" w:color="auto"/>
            </w:tcBorders>
            <w:shd w:val="clear" w:color="000000" w:fill="FFFFFF"/>
            <w:vAlign w:val="center"/>
          </w:tcPr>
          <w:p w14:paraId="7A60A3A0"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13</w:t>
            </w:r>
          </w:p>
        </w:tc>
        <w:tc>
          <w:tcPr>
            <w:tcW w:w="1339" w:type="dxa"/>
            <w:tcBorders>
              <w:top w:val="single" w:sz="4" w:space="0" w:color="auto"/>
              <w:left w:val="nil"/>
              <w:bottom w:val="single" w:sz="4" w:space="0" w:color="auto"/>
              <w:right w:val="single" w:sz="4" w:space="0" w:color="auto"/>
            </w:tcBorders>
            <w:shd w:val="clear" w:color="000000" w:fill="FFFFFF"/>
          </w:tcPr>
          <w:p w14:paraId="68721D8B"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14</w:t>
            </w:r>
          </w:p>
        </w:tc>
        <w:tc>
          <w:tcPr>
            <w:tcW w:w="1440" w:type="dxa"/>
            <w:tcBorders>
              <w:top w:val="nil"/>
              <w:left w:val="single" w:sz="4" w:space="0" w:color="auto"/>
              <w:bottom w:val="single" w:sz="4" w:space="0" w:color="auto"/>
              <w:right w:val="single" w:sz="4" w:space="0" w:color="auto"/>
            </w:tcBorders>
            <w:shd w:val="clear" w:color="000000" w:fill="FFFFFF"/>
            <w:vAlign w:val="center"/>
            <w:hideMark/>
          </w:tcPr>
          <w:p w14:paraId="7CE45767"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0</w:t>
            </w:r>
          </w:p>
        </w:tc>
        <w:tc>
          <w:tcPr>
            <w:tcW w:w="1360" w:type="dxa"/>
            <w:tcBorders>
              <w:top w:val="nil"/>
              <w:left w:val="nil"/>
              <w:bottom w:val="single" w:sz="4" w:space="0" w:color="auto"/>
              <w:right w:val="single" w:sz="4" w:space="0" w:color="auto"/>
            </w:tcBorders>
            <w:shd w:val="clear" w:color="000000" w:fill="FFFFFF"/>
            <w:vAlign w:val="center"/>
            <w:hideMark/>
          </w:tcPr>
          <w:p w14:paraId="5EF9F890"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16</w:t>
            </w:r>
          </w:p>
        </w:tc>
        <w:tc>
          <w:tcPr>
            <w:tcW w:w="1404" w:type="dxa"/>
            <w:tcBorders>
              <w:top w:val="nil"/>
              <w:left w:val="nil"/>
              <w:bottom w:val="single" w:sz="4" w:space="0" w:color="auto"/>
              <w:right w:val="single" w:sz="4" w:space="0" w:color="auto"/>
            </w:tcBorders>
            <w:shd w:val="clear" w:color="000000" w:fill="FFFFFF"/>
            <w:vAlign w:val="center"/>
            <w:hideMark/>
          </w:tcPr>
          <w:p w14:paraId="36C186C0"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w:t>
            </w:r>
          </w:p>
        </w:tc>
        <w:tc>
          <w:tcPr>
            <w:tcW w:w="1250" w:type="dxa"/>
            <w:tcBorders>
              <w:top w:val="nil"/>
              <w:left w:val="nil"/>
              <w:bottom w:val="single" w:sz="4" w:space="0" w:color="auto"/>
              <w:right w:val="single" w:sz="4" w:space="0" w:color="auto"/>
            </w:tcBorders>
            <w:shd w:val="clear" w:color="000000" w:fill="FFFFFF"/>
            <w:vAlign w:val="center"/>
            <w:hideMark/>
          </w:tcPr>
          <w:p w14:paraId="395B56CE"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0,01</w:t>
            </w:r>
          </w:p>
        </w:tc>
      </w:tr>
      <w:tr w:rsidR="00217F39" w:rsidRPr="00217F39" w14:paraId="68F4B4DE" w14:textId="77777777" w:rsidTr="006347BE">
        <w:trPr>
          <w:trHeight w:val="300"/>
        </w:trPr>
        <w:tc>
          <w:tcPr>
            <w:tcW w:w="846" w:type="dxa"/>
            <w:tcBorders>
              <w:top w:val="single" w:sz="4" w:space="0" w:color="auto"/>
              <w:left w:val="single" w:sz="4" w:space="0" w:color="auto"/>
              <w:bottom w:val="single" w:sz="4" w:space="0" w:color="auto"/>
              <w:right w:val="nil"/>
            </w:tcBorders>
            <w:shd w:val="clear" w:color="auto" w:fill="auto"/>
            <w:vAlign w:val="center"/>
            <w:hideMark/>
          </w:tcPr>
          <w:p w14:paraId="194AD3FD"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2018</w:t>
            </w:r>
          </w:p>
        </w:tc>
        <w:tc>
          <w:tcPr>
            <w:tcW w:w="1039" w:type="dxa"/>
            <w:tcBorders>
              <w:top w:val="nil"/>
              <w:left w:val="single" w:sz="4" w:space="0" w:color="auto"/>
              <w:bottom w:val="single" w:sz="4" w:space="0" w:color="auto"/>
              <w:right w:val="single" w:sz="4" w:space="0" w:color="auto"/>
            </w:tcBorders>
            <w:shd w:val="clear" w:color="000000" w:fill="FFFFFF"/>
            <w:vAlign w:val="center"/>
            <w:hideMark/>
          </w:tcPr>
          <w:p w14:paraId="66B3407D"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119</w:t>
            </w:r>
          </w:p>
        </w:tc>
        <w:tc>
          <w:tcPr>
            <w:tcW w:w="706" w:type="dxa"/>
            <w:tcBorders>
              <w:top w:val="single" w:sz="4" w:space="0" w:color="auto"/>
              <w:left w:val="nil"/>
              <w:bottom w:val="single" w:sz="4" w:space="0" w:color="auto"/>
              <w:right w:val="single" w:sz="4" w:space="0" w:color="auto"/>
            </w:tcBorders>
            <w:shd w:val="clear" w:color="000000" w:fill="FFFFFF"/>
            <w:vAlign w:val="center"/>
          </w:tcPr>
          <w:p w14:paraId="05BDF0BC"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68</w:t>
            </w:r>
          </w:p>
        </w:tc>
        <w:tc>
          <w:tcPr>
            <w:tcW w:w="1339" w:type="dxa"/>
            <w:tcBorders>
              <w:top w:val="single" w:sz="4" w:space="0" w:color="auto"/>
              <w:left w:val="nil"/>
              <w:bottom w:val="single" w:sz="4" w:space="0" w:color="auto"/>
              <w:right w:val="single" w:sz="4" w:space="0" w:color="auto"/>
            </w:tcBorders>
            <w:shd w:val="clear" w:color="000000" w:fill="FFFFFF"/>
          </w:tcPr>
          <w:p w14:paraId="62C90282"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95</w:t>
            </w:r>
          </w:p>
        </w:tc>
        <w:tc>
          <w:tcPr>
            <w:tcW w:w="1440" w:type="dxa"/>
            <w:tcBorders>
              <w:top w:val="nil"/>
              <w:left w:val="single" w:sz="4" w:space="0" w:color="auto"/>
              <w:bottom w:val="single" w:sz="4" w:space="0" w:color="auto"/>
              <w:right w:val="single" w:sz="4" w:space="0" w:color="auto"/>
            </w:tcBorders>
            <w:shd w:val="clear" w:color="000000" w:fill="FFFFFF"/>
            <w:vAlign w:val="center"/>
            <w:hideMark/>
          </w:tcPr>
          <w:p w14:paraId="5472277E"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28</w:t>
            </w:r>
          </w:p>
        </w:tc>
        <w:tc>
          <w:tcPr>
            <w:tcW w:w="1360" w:type="dxa"/>
            <w:tcBorders>
              <w:top w:val="nil"/>
              <w:left w:val="nil"/>
              <w:bottom w:val="single" w:sz="4" w:space="0" w:color="auto"/>
              <w:right w:val="single" w:sz="4" w:space="0" w:color="auto"/>
            </w:tcBorders>
            <w:shd w:val="clear" w:color="000000" w:fill="FFFFFF"/>
            <w:vAlign w:val="center"/>
            <w:hideMark/>
          </w:tcPr>
          <w:p w14:paraId="3A61E6B0"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91</w:t>
            </w:r>
          </w:p>
        </w:tc>
        <w:tc>
          <w:tcPr>
            <w:tcW w:w="1404" w:type="dxa"/>
            <w:tcBorders>
              <w:top w:val="nil"/>
              <w:left w:val="nil"/>
              <w:bottom w:val="single" w:sz="4" w:space="0" w:color="auto"/>
              <w:right w:val="single" w:sz="4" w:space="0" w:color="auto"/>
            </w:tcBorders>
            <w:shd w:val="clear" w:color="000000" w:fill="FFFFFF"/>
            <w:vAlign w:val="center"/>
            <w:hideMark/>
          </w:tcPr>
          <w:p w14:paraId="58DBC694"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14</w:t>
            </w:r>
          </w:p>
        </w:tc>
        <w:tc>
          <w:tcPr>
            <w:tcW w:w="1250" w:type="dxa"/>
            <w:tcBorders>
              <w:top w:val="nil"/>
              <w:left w:val="nil"/>
              <w:bottom w:val="single" w:sz="4" w:space="0" w:color="auto"/>
              <w:right w:val="single" w:sz="4" w:space="0" w:color="auto"/>
            </w:tcBorders>
            <w:shd w:val="clear" w:color="000000" w:fill="FFFFFF"/>
            <w:vAlign w:val="center"/>
            <w:hideMark/>
          </w:tcPr>
          <w:p w14:paraId="025DF10A"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48,8</w:t>
            </w:r>
          </w:p>
        </w:tc>
      </w:tr>
      <w:tr w:rsidR="00217F39" w:rsidRPr="00217F39" w14:paraId="2F742636" w14:textId="77777777" w:rsidTr="00031E6A">
        <w:trPr>
          <w:trHeight w:val="300"/>
        </w:trPr>
        <w:tc>
          <w:tcPr>
            <w:tcW w:w="846" w:type="dxa"/>
            <w:tcBorders>
              <w:top w:val="single" w:sz="4" w:space="0" w:color="auto"/>
              <w:left w:val="single" w:sz="4" w:space="0" w:color="auto"/>
              <w:bottom w:val="single" w:sz="4" w:space="0" w:color="auto"/>
              <w:right w:val="nil"/>
            </w:tcBorders>
            <w:shd w:val="clear" w:color="auto" w:fill="auto"/>
            <w:vAlign w:val="center"/>
            <w:hideMark/>
          </w:tcPr>
          <w:p w14:paraId="0ECB9740"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2019</w:t>
            </w:r>
          </w:p>
        </w:tc>
        <w:tc>
          <w:tcPr>
            <w:tcW w:w="1039" w:type="dxa"/>
            <w:tcBorders>
              <w:top w:val="nil"/>
              <w:left w:val="single" w:sz="4" w:space="0" w:color="auto"/>
              <w:bottom w:val="single" w:sz="4" w:space="0" w:color="auto"/>
              <w:right w:val="single" w:sz="4" w:space="0" w:color="auto"/>
            </w:tcBorders>
            <w:shd w:val="clear" w:color="000000" w:fill="FFFFFF"/>
            <w:vAlign w:val="center"/>
            <w:hideMark/>
          </w:tcPr>
          <w:p w14:paraId="33761A43"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177</w:t>
            </w:r>
          </w:p>
        </w:tc>
        <w:tc>
          <w:tcPr>
            <w:tcW w:w="706" w:type="dxa"/>
            <w:tcBorders>
              <w:top w:val="single" w:sz="4" w:space="0" w:color="auto"/>
              <w:left w:val="nil"/>
              <w:bottom w:val="single" w:sz="4" w:space="0" w:color="auto"/>
              <w:right w:val="single" w:sz="4" w:space="0" w:color="auto"/>
            </w:tcBorders>
            <w:shd w:val="clear" w:color="000000" w:fill="FFFFFF"/>
            <w:vAlign w:val="center"/>
          </w:tcPr>
          <w:p w14:paraId="54DA5607"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129</w:t>
            </w:r>
          </w:p>
        </w:tc>
        <w:tc>
          <w:tcPr>
            <w:tcW w:w="1339" w:type="dxa"/>
            <w:tcBorders>
              <w:top w:val="single" w:sz="4" w:space="0" w:color="auto"/>
              <w:left w:val="nil"/>
              <w:bottom w:val="single" w:sz="4" w:space="0" w:color="auto"/>
              <w:right w:val="single" w:sz="4" w:space="0" w:color="auto"/>
            </w:tcBorders>
            <w:shd w:val="clear" w:color="000000" w:fill="FFFFFF"/>
          </w:tcPr>
          <w:p w14:paraId="572334A4"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150</w:t>
            </w:r>
          </w:p>
        </w:tc>
        <w:tc>
          <w:tcPr>
            <w:tcW w:w="1440" w:type="dxa"/>
            <w:tcBorders>
              <w:top w:val="nil"/>
              <w:left w:val="single" w:sz="4" w:space="0" w:color="auto"/>
              <w:bottom w:val="single" w:sz="4" w:space="0" w:color="auto"/>
              <w:right w:val="single" w:sz="4" w:space="0" w:color="auto"/>
            </w:tcBorders>
            <w:shd w:val="clear" w:color="000000" w:fill="FFFFFF"/>
            <w:vAlign w:val="center"/>
            <w:hideMark/>
          </w:tcPr>
          <w:p w14:paraId="7CA75935"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84</w:t>
            </w:r>
          </w:p>
        </w:tc>
        <w:tc>
          <w:tcPr>
            <w:tcW w:w="1360" w:type="dxa"/>
            <w:tcBorders>
              <w:top w:val="nil"/>
              <w:left w:val="nil"/>
              <w:bottom w:val="single" w:sz="4" w:space="0" w:color="auto"/>
              <w:right w:val="single" w:sz="4" w:space="0" w:color="auto"/>
            </w:tcBorders>
            <w:shd w:val="clear" w:color="000000" w:fill="FFFFFF"/>
            <w:vAlign w:val="center"/>
            <w:hideMark/>
          </w:tcPr>
          <w:p w14:paraId="3B163A18"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93</w:t>
            </w:r>
          </w:p>
        </w:tc>
        <w:tc>
          <w:tcPr>
            <w:tcW w:w="1404" w:type="dxa"/>
            <w:tcBorders>
              <w:top w:val="nil"/>
              <w:left w:val="nil"/>
              <w:bottom w:val="single" w:sz="4" w:space="0" w:color="auto"/>
              <w:right w:val="single" w:sz="4" w:space="0" w:color="auto"/>
            </w:tcBorders>
            <w:shd w:val="clear" w:color="000000" w:fill="FFFFFF"/>
            <w:vAlign w:val="center"/>
            <w:hideMark/>
          </w:tcPr>
          <w:p w14:paraId="5EBF7DAA"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39</w:t>
            </w:r>
          </w:p>
        </w:tc>
        <w:tc>
          <w:tcPr>
            <w:tcW w:w="1250" w:type="dxa"/>
            <w:tcBorders>
              <w:top w:val="nil"/>
              <w:left w:val="nil"/>
              <w:bottom w:val="single" w:sz="4" w:space="0" w:color="auto"/>
              <w:right w:val="single" w:sz="4" w:space="0" w:color="auto"/>
            </w:tcBorders>
            <w:shd w:val="clear" w:color="000000" w:fill="FFFFFF"/>
            <w:vAlign w:val="center"/>
            <w:hideMark/>
          </w:tcPr>
          <w:p w14:paraId="7344BF84"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250,2</w:t>
            </w:r>
          </w:p>
        </w:tc>
      </w:tr>
      <w:tr w:rsidR="00217F39" w:rsidRPr="00217F39" w14:paraId="4DE155A1" w14:textId="77777777" w:rsidTr="00031E6A">
        <w:trPr>
          <w:trHeight w:val="300"/>
        </w:trPr>
        <w:tc>
          <w:tcPr>
            <w:tcW w:w="846" w:type="dxa"/>
            <w:tcBorders>
              <w:top w:val="single" w:sz="4" w:space="0" w:color="auto"/>
              <w:left w:val="single" w:sz="4" w:space="0" w:color="auto"/>
              <w:bottom w:val="single" w:sz="4" w:space="0" w:color="auto"/>
              <w:right w:val="nil"/>
            </w:tcBorders>
            <w:shd w:val="clear" w:color="auto" w:fill="auto"/>
            <w:vAlign w:val="center"/>
            <w:hideMark/>
          </w:tcPr>
          <w:p w14:paraId="15EAB7D1"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2020</w:t>
            </w:r>
          </w:p>
        </w:tc>
        <w:tc>
          <w:tcPr>
            <w:tcW w:w="10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9A8A5D"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66</w:t>
            </w:r>
          </w:p>
        </w:tc>
        <w:tc>
          <w:tcPr>
            <w:tcW w:w="706" w:type="dxa"/>
            <w:tcBorders>
              <w:top w:val="single" w:sz="4" w:space="0" w:color="auto"/>
              <w:left w:val="nil"/>
              <w:bottom w:val="single" w:sz="4" w:space="0" w:color="auto"/>
              <w:right w:val="single" w:sz="4" w:space="0" w:color="auto"/>
            </w:tcBorders>
            <w:shd w:val="clear" w:color="000000" w:fill="FFFFFF"/>
            <w:vAlign w:val="center"/>
          </w:tcPr>
          <w:p w14:paraId="0BBB0FE5"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57</w:t>
            </w:r>
          </w:p>
        </w:tc>
        <w:tc>
          <w:tcPr>
            <w:tcW w:w="1339" w:type="dxa"/>
            <w:tcBorders>
              <w:top w:val="single" w:sz="4" w:space="0" w:color="auto"/>
              <w:left w:val="nil"/>
              <w:bottom w:val="single" w:sz="4" w:space="0" w:color="auto"/>
              <w:right w:val="single" w:sz="4" w:space="0" w:color="auto"/>
            </w:tcBorders>
            <w:shd w:val="clear" w:color="000000" w:fill="FFFFFF"/>
          </w:tcPr>
          <w:p w14:paraId="225D6C35"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53</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0CE094"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38</w:t>
            </w:r>
          </w:p>
        </w:tc>
        <w:tc>
          <w:tcPr>
            <w:tcW w:w="1360" w:type="dxa"/>
            <w:tcBorders>
              <w:top w:val="single" w:sz="4" w:space="0" w:color="auto"/>
              <w:left w:val="nil"/>
              <w:bottom w:val="single" w:sz="4" w:space="0" w:color="auto"/>
              <w:right w:val="single" w:sz="4" w:space="0" w:color="auto"/>
            </w:tcBorders>
            <w:shd w:val="clear" w:color="000000" w:fill="FFFFFF"/>
            <w:vAlign w:val="center"/>
            <w:hideMark/>
          </w:tcPr>
          <w:p w14:paraId="0A1077DE"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28</w:t>
            </w:r>
          </w:p>
        </w:tc>
        <w:tc>
          <w:tcPr>
            <w:tcW w:w="1404" w:type="dxa"/>
            <w:tcBorders>
              <w:top w:val="single" w:sz="4" w:space="0" w:color="auto"/>
              <w:left w:val="nil"/>
              <w:bottom w:val="single" w:sz="4" w:space="0" w:color="auto"/>
              <w:right w:val="single" w:sz="4" w:space="0" w:color="auto"/>
            </w:tcBorders>
            <w:shd w:val="clear" w:color="000000" w:fill="FFFFFF"/>
            <w:vAlign w:val="center"/>
            <w:hideMark/>
          </w:tcPr>
          <w:p w14:paraId="34D33AEB"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20</w:t>
            </w:r>
          </w:p>
        </w:tc>
        <w:tc>
          <w:tcPr>
            <w:tcW w:w="1250" w:type="dxa"/>
            <w:tcBorders>
              <w:top w:val="single" w:sz="4" w:space="0" w:color="auto"/>
              <w:left w:val="nil"/>
              <w:bottom w:val="single" w:sz="4" w:space="0" w:color="auto"/>
              <w:right w:val="single" w:sz="4" w:space="0" w:color="auto"/>
            </w:tcBorders>
            <w:shd w:val="clear" w:color="000000" w:fill="FFFFFF"/>
            <w:vAlign w:val="center"/>
            <w:hideMark/>
          </w:tcPr>
          <w:p w14:paraId="268816D9"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87,4</w:t>
            </w:r>
          </w:p>
        </w:tc>
      </w:tr>
      <w:tr w:rsidR="003B38FF" w:rsidRPr="00217F39" w14:paraId="2F6FF306" w14:textId="77777777" w:rsidTr="00031E6A">
        <w:trPr>
          <w:trHeight w:val="300"/>
        </w:trPr>
        <w:tc>
          <w:tcPr>
            <w:tcW w:w="846" w:type="dxa"/>
            <w:tcBorders>
              <w:top w:val="single" w:sz="4" w:space="0" w:color="auto"/>
              <w:left w:val="single" w:sz="4" w:space="0" w:color="auto"/>
              <w:bottom w:val="single" w:sz="4" w:space="0" w:color="auto"/>
              <w:right w:val="nil"/>
            </w:tcBorders>
            <w:shd w:val="clear" w:color="auto" w:fill="auto"/>
            <w:vAlign w:val="center"/>
          </w:tcPr>
          <w:p w14:paraId="0F082990" w14:textId="6BCD71DE" w:rsidR="003B38FF" w:rsidRPr="00217F39" w:rsidRDefault="003B38FF" w:rsidP="00217F39">
            <w:pPr>
              <w:spacing w:before="0" w:after="0" w:line="240" w:lineRule="auto"/>
              <w:jc w:val="center"/>
              <w:rPr>
                <w:rFonts w:ascii="Times New Roman" w:eastAsia="Times New Roman" w:hAnsi="Times New Roman" w:cs="Times New Roman"/>
                <w:b/>
                <w:bCs/>
                <w:color w:val="000000"/>
                <w:sz w:val="22"/>
                <w:szCs w:val="22"/>
                <w:lang w:eastAsia="lv-LV"/>
              </w:rPr>
            </w:pPr>
            <w:r>
              <w:rPr>
                <w:rFonts w:ascii="Times New Roman" w:eastAsia="Times New Roman" w:hAnsi="Times New Roman" w:cs="Times New Roman"/>
                <w:b/>
                <w:bCs/>
                <w:color w:val="000000"/>
                <w:sz w:val="22"/>
                <w:szCs w:val="22"/>
                <w:lang w:eastAsia="lv-LV"/>
              </w:rPr>
              <w:t>2021</w:t>
            </w:r>
          </w:p>
        </w:tc>
        <w:tc>
          <w:tcPr>
            <w:tcW w:w="1039" w:type="dxa"/>
            <w:tcBorders>
              <w:top w:val="single" w:sz="4" w:space="0" w:color="auto"/>
              <w:left w:val="single" w:sz="4" w:space="0" w:color="auto"/>
              <w:bottom w:val="single" w:sz="4" w:space="0" w:color="auto"/>
              <w:right w:val="single" w:sz="4" w:space="0" w:color="auto"/>
            </w:tcBorders>
            <w:shd w:val="clear" w:color="000000" w:fill="FFFFFF"/>
            <w:vAlign w:val="center"/>
          </w:tcPr>
          <w:p w14:paraId="472F2D76" w14:textId="56966780"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13</w:t>
            </w:r>
          </w:p>
        </w:tc>
        <w:tc>
          <w:tcPr>
            <w:tcW w:w="706" w:type="dxa"/>
            <w:tcBorders>
              <w:top w:val="single" w:sz="4" w:space="0" w:color="auto"/>
              <w:left w:val="nil"/>
              <w:bottom w:val="single" w:sz="4" w:space="0" w:color="auto"/>
              <w:right w:val="single" w:sz="4" w:space="0" w:color="auto"/>
            </w:tcBorders>
            <w:shd w:val="clear" w:color="000000" w:fill="FFFFFF"/>
            <w:vAlign w:val="center"/>
          </w:tcPr>
          <w:p w14:paraId="77EFF1E3" w14:textId="18C13B31"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12</w:t>
            </w:r>
          </w:p>
        </w:tc>
        <w:tc>
          <w:tcPr>
            <w:tcW w:w="1339" w:type="dxa"/>
            <w:tcBorders>
              <w:top w:val="single" w:sz="4" w:space="0" w:color="auto"/>
              <w:left w:val="nil"/>
              <w:bottom w:val="single" w:sz="4" w:space="0" w:color="auto"/>
              <w:right w:val="single" w:sz="4" w:space="0" w:color="auto"/>
            </w:tcBorders>
            <w:shd w:val="clear" w:color="000000" w:fill="FFFFFF"/>
          </w:tcPr>
          <w:p w14:paraId="4B1F927E" w14:textId="48087F72"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7</w:t>
            </w:r>
          </w:p>
        </w:tc>
        <w:tc>
          <w:tcPr>
            <w:tcW w:w="1440" w:type="dxa"/>
            <w:tcBorders>
              <w:top w:val="single" w:sz="4" w:space="0" w:color="auto"/>
              <w:left w:val="single" w:sz="4" w:space="0" w:color="auto"/>
              <w:bottom w:val="single" w:sz="4" w:space="0" w:color="auto"/>
              <w:right w:val="single" w:sz="4" w:space="0" w:color="auto"/>
            </w:tcBorders>
            <w:shd w:val="clear" w:color="000000" w:fill="FFFFFF"/>
            <w:vAlign w:val="center"/>
          </w:tcPr>
          <w:p w14:paraId="1543BD86" w14:textId="2AEA03CC"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5</w:t>
            </w:r>
          </w:p>
        </w:tc>
        <w:tc>
          <w:tcPr>
            <w:tcW w:w="1360" w:type="dxa"/>
            <w:tcBorders>
              <w:top w:val="single" w:sz="4" w:space="0" w:color="auto"/>
              <w:left w:val="nil"/>
              <w:bottom w:val="single" w:sz="4" w:space="0" w:color="auto"/>
              <w:right w:val="single" w:sz="4" w:space="0" w:color="auto"/>
            </w:tcBorders>
            <w:shd w:val="clear" w:color="000000" w:fill="FFFFFF"/>
            <w:vAlign w:val="center"/>
          </w:tcPr>
          <w:p w14:paraId="62CA77AC" w14:textId="6EA07A7B"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8</w:t>
            </w:r>
          </w:p>
        </w:tc>
        <w:tc>
          <w:tcPr>
            <w:tcW w:w="1404" w:type="dxa"/>
            <w:tcBorders>
              <w:top w:val="single" w:sz="4" w:space="0" w:color="auto"/>
              <w:left w:val="nil"/>
              <w:bottom w:val="single" w:sz="4" w:space="0" w:color="auto"/>
              <w:right w:val="single" w:sz="4" w:space="0" w:color="auto"/>
            </w:tcBorders>
            <w:shd w:val="clear" w:color="000000" w:fill="FFFFFF"/>
            <w:vAlign w:val="center"/>
          </w:tcPr>
          <w:p w14:paraId="0C5DF1F5" w14:textId="1D87A491"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1</w:t>
            </w:r>
          </w:p>
        </w:tc>
        <w:tc>
          <w:tcPr>
            <w:tcW w:w="1250" w:type="dxa"/>
            <w:tcBorders>
              <w:top w:val="single" w:sz="4" w:space="0" w:color="auto"/>
              <w:left w:val="nil"/>
              <w:bottom w:val="single" w:sz="4" w:space="0" w:color="auto"/>
              <w:right w:val="single" w:sz="4" w:space="0" w:color="auto"/>
            </w:tcBorders>
            <w:shd w:val="clear" w:color="000000" w:fill="FFFFFF"/>
            <w:vAlign w:val="center"/>
          </w:tcPr>
          <w:p w14:paraId="0B17E9C5" w14:textId="27365548" w:rsidR="003B38FF" w:rsidRPr="00217F39" w:rsidRDefault="003B38FF" w:rsidP="00217F39">
            <w:pPr>
              <w:spacing w:before="0" w:after="0" w:line="240" w:lineRule="auto"/>
              <w:jc w:val="center"/>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5,9</w:t>
            </w:r>
          </w:p>
        </w:tc>
      </w:tr>
    </w:tbl>
    <w:p w14:paraId="589ED050" w14:textId="77777777" w:rsidR="00217F39" w:rsidRPr="00217F39" w:rsidRDefault="00217F39" w:rsidP="00217F39">
      <w:pPr>
        <w:tabs>
          <w:tab w:val="left" w:pos="1134"/>
        </w:tabs>
        <w:spacing w:before="0" w:after="0" w:line="240" w:lineRule="auto"/>
        <w:jc w:val="both"/>
        <w:rPr>
          <w:rFonts w:ascii="Times New Roman" w:eastAsia="Century Gothic" w:hAnsi="Times New Roman" w:cs="Times New Roman"/>
        </w:rPr>
      </w:pPr>
    </w:p>
    <w:p w14:paraId="5FAA6A32" w14:textId="3D772686" w:rsidR="00217F39" w:rsidRDefault="00217F39" w:rsidP="00217F39">
      <w:pPr>
        <w:tabs>
          <w:tab w:val="left" w:pos="1134"/>
        </w:tabs>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Lielākais konsultāciju skaits EDLU apsekošanas ietvaros bija sniegts 2019.gadā, savukārt Covid-19 krīzes situācijas ietekmē</w:t>
      </w:r>
      <w:r w:rsidR="00F75386">
        <w:rPr>
          <w:rFonts w:ascii="Times New Roman" w:eastAsia="Century Gothic" w:hAnsi="Times New Roman" w:cs="Times New Roman"/>
          <w:color w:val="000000"/>
          <w:sz w:val="28"/>
          <w:szCs w:val="28"/>
        </w:rPr>
        <w:t xml:space="preserve"> gan</w:t>
      </w:r>
      <w:r w:rsidRPr="00217F39">
        <w:rPr>
          <w:rFonts w:ascii="Times New Roman" w:eastAsia="Century Gothic" w:hAnsi="Times New Roman" w:cs="Times New Roman"/>
          <w:color w:val="000000"/>
          <w:sz w:val="28"/>
          <w:szCs w:val="28"/>
        </w:rPr>
        <w:t xml:space="preserve"> 2020.gadā</w:t>
      </w:r>
      <w:r w:rsidR="00F75386" w:rsidRPr="00C33C9F">
        <w:rPr>
          <w:rFonts w:ascii="Times New Roman" w:eastAsia="Century Gothic" w:hAnsi="Times New Roman" w:cs="Times New Roman"/>
          <w:color w:val="000000"/>
          <w:sz w:val="28"/>
          <w:szCs w:val="28"/>
        </w:rPr>
        <w:t>, gan 2021. gadā ir samazinājies apsekošanas laikā sniegto</w:t>
      </w:r>
      <w:r w:rsidRPr="00217F39">
        <w:rPr>
          <w:rFonts w:ascii="Times New Roman" w:eastAsia="Century Gothic" w:hAnsi="Times New Roman" w:cs="Times New Roman"/>
          <w:color w:val="000000"/>
          <w:sz w:val="28"/>
          <w:szCs w:val="28"/>
        </w:rPr>
        <w:t xml:space="preserve"> konsultāciju skaits. 2020.gadā, </w:t>
      </w:r>
      <w:r w:rsidR="00175CAC">
        <w:rPr>
          <w:rFonts w:ascii="Times New Roman" w:eastAsia="Century Gothic" w:hAnsi="Times New Roman" w:cs="Times New Roman"/>
          <w:color w:val="000000"/>
          <w:sz w:val="28"/>
          <w:szCs w:val="28"/>
        </w:rPr>
        <w:t>veicot</w:t>
      </w:r>
      <w:r w:rsidR="00175CAC" w:rsidRPr="00217F39">
        <w:rPr>
          <w:rFonts w:ascii="Times New Roman" w:eastAsia="Century Gothic" w:hAnsi="Times New Roman" w:cs="Times New Roman"/>
          <w:color w:val="000000"/>
          <w:sz w:val="28"/>
          <w:szCs w:val="28"/>
        </w:rPr>
        <w:t xml:space="preserve"> </w:t>
      </w:r>
      <w:r w:rsidRPr="00217F39">
        <w:rPr>
          <w:rFonts w:ascii="Times New Roman" w:eastAsia="Century Gothic" w:hAnsi="Times New Roman" w:cs="Times New Roman"/>
          <w:color w:val="000000"/>
          <w:sz w:val="28"/>
          <w:szCs w:val="28"/>
        </w:rPr>
        <w:t>314 EDLU</w:t>
      </w:r>
      <w:r w:rsidR="00175CAC">
        <w:rPr>
          <w:rFonts w:ascii="Times New Roman" w:eastAsia="Century Gothic" w:hAnsi="Times New Roman" w:cs="Times New Roman"/>
          <w:color w:val="000000"/>
          <w:sz w:val="28"/>
          <w:szCs w:val="28"/>
        </w:rPr>
        <w:t xml:space="preserve"> apsekošanas</w:t>
      </w:r>
      <w:r w:rsidRPr="00217F39">
        <w:rPr>
          <w:rFonts w:ascii="Times New Roman" w:eastAsia="Century Gothic" w:hAnsi="Times New Roman" w:cs="Times New Roman"/>
          <w:color w:val="000000"/>
          <w:sz w:val="28"/>
          <w:szCs w:val="28"/>
        </w:rPr>
        <w:t>, VID sniedza 98 konsultācijas jeb 31,2 % no VID veiktajām EDLU apsekošanām.</w:t>
      </w:r>
      <w:r w:rsidR="00175CAC">
        <w:rPr>
          <w:rFonts w:ascii="Times New Roman" w:eastAsia="Century Gothic" w:hAnsi="Times New Roman" w:cs="Times New Roman"/>
          <w:color w:val="000000"/>
          <w:sz w:val="28"/>
          <w:szCs w:val="28"/>
        </w:rPr>
        <w:t xml:space="preserve"> </w:t>
      </w:r>
      <w:r w:rsidR="00175CAC" w:rsidRPr="00C33C9F">
        <w:rPr>
          <w:rFonts w:ascii="Times New Roman" w:eastAsia="Century Gothic" w:hAnsi="Times New Roman" w:cs="Times New Roman"/>
          <w:color w:val="000000"/>
          <w:sz w:val="28"/>
          <w:szCs w:val="28"/>
        </w:rPr>
        <w:t>2021. gadā, apsekojot 14 EDLU, VID 28,6 % gadījumu sniedza konsultācijas.</w:t>
      </w:r>
    </w:p>
    <w:p w14:paraId="1DD70049" w14:textId="77777777" w:rsidR="00175CAC" w:rsidRPr="00217F39" w:rsidRDefault="00175CAC" w:rsidP="00217F39">
      <w:pPr>
        <w:tabs>
          <w:tab w:val="left" w:pos="1134"/>
        </w:tabs>
        <w:spacing w:before="0" w:after="0" w:line="240" w:lineRule="auto"/>
        <w:ind w:firstLine="720"/>
        <w:jc w:val="both"/>
        <w:rPr>
          <w:rFonts w:ascii="Times New Roman" w:eastAsia="Century Gothic" w:hAnsi="Times New Roman" w:cs="Times New Roman"/>
          <w:color w:val="000000"/>
          <w:sz w:val="28"/>
          <w:szCs w:val="28"/>
        </w:rPr>
      </w:pPr>
    </w:p>
    <w:p w14:paraId="27B8F7E7" w14:textId="28B24859" w:rsidR="00217F39" w:rsidRPr="00217F39" w:rsidRDefault="004016F1" w:rsidP="00217F39">
      <w:pPr>
        <w:spacing w:before="0" w:after="0" w:line="240" w:lineRule="auto"/>
        <w:ind w:left="720"/>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3</w:t>
      </w:r>
      <w:r w:rsidR="00217F39" w:rsidRPr="00217F39">
        <w:rPr>
          <w:rFonts w:ascii="Times New Roman" w:eastAsia="Century Gothic" w:hAnsi="Times New Roman" w:cs="Times New Roman"/>
          <w:sz w:val="28"/>
          <w:szCs w:val="28"/>
        </w:rPr>
        <w:t>.tabula</w:t>
      </w:r>
    </w:p>
    <w:p w14:paraId="7E0B166E" w14:textId="75C72661" w:rsidR="00217F39" w:rsidRPr="00217F39" w:rsidRDefault="00217F39" w:rsidP="00217F39">
      <w:pPr>
        <w:spacing w:before="0" w:after="120" w:line="240" w:lineRule="auto"/>
        <w:jc w:val="center"/>
        <w:rPr>
          <w:rFonts w:ascii="Times New Roman" w:eastAsia="Century Gothic" w:hAnsi="Times New Roman" w:cs="Times New Roman"/>
          <w:b/>
          <w:sz w:val="28"/>
          <w:szCs w:val="28"/>
        </w:rPr>
      </w:pPr>
      <w:r w:rsidRPr="00217F39">
        <w:rPr>
          <w:rFonts w:ascii="Times New Roman" w:eastAsia="Century Gothic" w:hAnsi="Times New Roman" w:cs="Times New Roman"/>
          <w:b/>
          <w:sz w:val="28"/>
          <w:szCs w:val="28"/>
        </w:rPr>
        <w:t xml:space="preserve">Informācija par būvniecības nozares </w:t>
      </w:r>
      <w:r w:rsidR="009E215E">
        <w:rPr>
          <w:rFonts w:ascii="Times New Roman" w:eastAsia="Century Gothic" w:hAnsi="Times New Roman" w:cs="Times New Roman"/>
          <w:b/>
          <w:sz w:val="28"/>
          <w:szCs w:val="28"/>
        </w:rPr>
        <w:t>NM</w:t>
      </w:r>
      <w:r w:rsidRPr="00217F39">
        <w:rPr>
          <w:rFonts w:ascii="Times New Roman" w:eastAsia="Century Gothic" w:hAnsi="Times New Roman" w:cs="Times New Roman"/>
          <w:b/>
          <w:sz w:val="28"/>
          <w:szCs w:val="28"/>
        </w:rPr>
        <w:t xml:space="preserve"> apsekošanām saistībā ar EDLUS </w:t>
      </w:r>
    </w:p>
    <w:tbl>
      <w:tblPr>
        <w:tblStyle w:val="TableGrid4"/>
        <w:tblW w:w="0" w:type="auto"/>
        <w:jc w:val="center"/>
        <w:tblLook w:val="04A0" w:firstRow="1" w:lastRow="0" w:firstColumn="1" w:lastColumn="0" w:noHBand="0" w:noVBand="1"/>
      </w:tblPr>
      <w:tblGrid>
        <w:gridCol w:w="1555"/>
        <w:gridCol w:w="1559"/>
        <w:gridCol w:w="1559"/>
        <w:gridCol w:w="1559"/>
      </w:tblGrid>
      <w:tr w:rsidR="00217F39" w:rsidRPr="00217F39" w14:paraId="1B445CBF" w14:textId="77777777" w:rsidTr="006347BE">
        <w:trPr>
          <w:jc w:val="center"/>
        </w:trPr>
        <w:tc>
          <w:tcPr>
            <w:tcW w:w="1555" w:type="dxa"/>
            <w:vMerge w:val="restart"/>
            <w:vAlign w:val="center"/>
          </w:tcPr>
          <w:p w14:paraId="0A687F0A"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Century Gothic" w:hAnsi="Times New Roman"/>
                <w:b/>
                <w:sz w:val="20"/>
                <w:szCs w:val="20"/>
              </w:rPr>
              <w:t>Gads</w:t>
            </w:r>
          </w:p>
        </w:tc>
        <w:tc>
          <w:tcPr>
            <w:tcW w:w="4677" w:type="dxa"/>
            <w:gridSpan w:val="3"/>
            <w:vAlign w:val="center"/>
          </w:tcPr>
          <w:p w14:paraId="65DE4686"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b/>
                <w:color w:val="000000"/>
                <w:sz w:val="20"/>
                <w:szCs w:val="20"/>
                <w:lang w:eastAsia="lv-LV"/>
              </w:rPr>
              <w:t>Apsekošanas ar iemeslu  “EDLUS”</w:t>
            </w:r>
          </w:p>
        </w:tc>
      </w:tr>
      <w:tr w:rsidR="00217F39" w:rsidRPr="00217F39" w14:paraId="435FE063" w14:textId="77777777" w:rsidTr="006347BE">
        <w:trPr>
          <w:jc w:val="center"/>
        </w:trPr>
        <w:tc>
          <w:tcPr>
            <w:tcW w:w="1555" w:type="dxa"/>
            <w:vMerge/>
            <w:vAlign w:val="center"/>
          </w:tcPr>
          <w:p w14:paraId="28A6CB9A" w14:textId="77777777" w:rsidR="00217F39" w:rsidRPr="00217F39" w:rsidRDefault="00217F39" w:rsidP="00217F39">
            <w:pPr>
              <w:jc w:val="center"/>
              <w:rPr>
                <w:rFonts w:ascii="Times New Roman" w:eastAsia="Century Gothic" w:hAnsi="Times New Roman"/>
                <w:sz w:val="20"/>
                <w:szCs w:val="20"/>
              </w:rPr>
            </w:pPr>
          </w:p>
        </w:tc>
        <w:tc>
          <w:tcPr>
            <w:tcW w:w="1559" w:type="dxa"/>
            <w:vMerge w:val="restart"/>
            <w:vAlign w:val="center"/>
          </w:tcPr>
          <w:p w14:paraId="21DD9FF9"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b/>
                <w:color w:val="000000"/>
                <w:sz w:val="20"/>
                <w:szCs w:val="20"/>
                <w:lang w:eastAsia="lv-LV"/>
              </w:rPr>
              <w:t>Apsekošanu skaits</w:t>
            </w:r>
          </w:p>
        </w:tc>
        <w:tc>
          <w:tcPr>
            <w:tcW w:w="3118" w:type="dxa"/>
            <w:gridSpan w:val="2"/>
            <w:vAlign w:val="center"/>
          </w:tcPr>
          <w:p w14:paraId="4E4EE2CE"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b/>
                <w:color w:val="000000"/>
                <w:sz w:val="20"/>
                <w:szCs w:val="20"/>
                <w:lang w:eastAsia="lv-LV"/>
              </w:rPr>
              <w:t>t.sk. sniegto konsultāciju</w:t>
            </w:r>
          </w:p>
        </w:tc>
      </w:tr>
      <w:tr w:rsidR="00217F39" w:rsidRPr="00217F39" w14:paraId="7B78DF0A" w14:textId="77777777" w:rsidTr="006347BE">
        <w:trPr>
          <w:jc w:val="center"/>
        </w:trPr>
        <w:tc>
          <w:tcPr>
            <w:tcW w:w="1555" w:type="dxa"/>
            <w:vMerge/>
            <w:tcBorders>
              <w:bottom w:val="single" w:sz="4" w:space="0" w:color="auto"/>
            </w:tcBorders>
            <w:shd w:val="clear" w:color="auto" w:fill="auto"/>
            <w:vAlign w:val="center"/>
          </w:tcPr>
          <w:p w14:paraId="503010DA" w14:textId="77777777" w:rsidR="00217F39" w:rsidRPr="00217F39" w:rsidRDefault="00217F39" w:rsidP="00217F39">
            <w:pPr>
              <w:jc w:val="center"/>
              <w:rPr>
                <w:rFonts w:ascii="Times New Roman" w:eastAsia="Times New Roman" w:hAnsi="Times New Roman"/>
                <w:color w:val="000000"/>
                <w:sz w:val="20"/>
                <w:szCs w:val="20"/>
                <w:lang w:eastAsia="lv-LV"/>
              </w:rPr>
            </w:pPr>
          </w:p>
        </w:tc>
        <w:tc>
          <w:tcPr>
            <w:tcW w:w="1559" w:type="dxa"/>
            <w:vMerge/>
            <w:tcBorders>
              <w:bottom w:val="single" w:sz="4" w:space="0" w:color="auto"/>
            </w:tcBorders>
            <w:shd w:val="clear" w:color="auto" w:fill="auto"/>
            <w:vAlign w:val="bottom"/>
          </w:tcPr>
          <w:p w14:paraId="5F0361B2" w14:textId="77777777" w:rsidR="00217F39" w:rsidRPr="00217F39" w:rsidRDefault="00217F39" w:rsidP="00217F39">
            <w:pPr>
              <w:jc w:val="center"/>
              <w:rPr>
                <w:rFonts w:ascii="Times New Roman" w:eastAsia="Times New Roman" w:hAnsi="Times New Roman"/>
                <w:color w:val="000000"/>
                <w:sz w:val="20"/>
                <w:szCs w:val="20"/>
                <w:lang w:eastAsia="lv-LV"/>
              </w:rPr>
            </w:pPr>
          </w:p>
        </w:tc>
        <w:tc>
          <w:tcPr>
            <w:tcW w:w="1559" w:type="dxa"/>
            <w:tcBorders>
              <w:top w:val="nil"/>
              <w:bottom w:val="single" w:sz="4" w:space="0" w:color="auto"/>
              <w:right w:val="single" w:sz="4" w:space="0" w:color="auto"/>
            </w:tcBorders>
            <w:shd w:val="clear" w:color="auto" w:fill="auto"/>
            <w:vAlign w:val="center"/>
          </w:tcPr>
          <w:p w14:paraId="1FC7D616" w14:textId="77777777" w:rsidR="00217F39" w:rsidRPr="00217F39" w:rsidRDefault="00217F39" w:rsidP="00217F39">
            <w:pPr>
              <w:jc w:val="center"/>
              <w:rPr>
                <w:rFonts w:ascii="Times New Roman" w:eastAsia="Times New Roman" w:hAnsi="Times New Roman"/>
                <w:color w:val="000000"/>
                <w:sz w:val="20"/>
                <w:szCs w:val="20"/>
                <w:lang w:eastAsia="lv-LV"/>
              </w:rPr>
            </w:pPr>
            <w:r w:rsidRPr="00217F39">
              <w:rPr>
                <w:rFonts w:ascii="Times New Roman" w:eastAsia="Times New Roman" w:hAnsi="Times New Roman"/>
                <w:b/>
                <w:color w:val="000000"/>
                <w:sz w:val="20"/>
                <w:szCs w:val="20"/>
                <w:lang w:eastAsia="lv-LV"/>
              </w:rPr>
              <w:t>skaits</w:t>
            </w:r>
          </w:p>
        </w:tc>
        <w:tc>
          <w:tcPr>
            <w:tcW w:w="1559" w:type="dxa"/>
            <w:vAlign w:val="center"/>
          </w:tcPr>
          <w:p w14:paraId="506CDD76"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Century Gothic" w:hAnsi="Times New Roman"/>
                <w:b/>
                <w:sz w:val="20"/>
                <w:szCs w:val="20"/>
              </w:rPr>
              <w:t>īpatsvars, %</w:t>
            </w:r>
          </w:p>
        </w:tc>
      </w:tr>
      <w:tr w:rsidR="00217F39" w:rsidRPr="00217F39" w14:paraId="3B578AEB" w14:textId="77777777" w:rsidTr="006347BE">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67118767"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Times New Roman" w:hAnsi="Times New Roman"/>
                <w:b/>
                <w:color w:val="000000"/>
                <w:sz w:val="20"/>
                <w:szCs w:val="20"/>
                <w:lang w:eastAsia="lv-LV"/>
              </w:rPr>
              <w:t>2017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6847587"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190</w:t>
            </w:r>
          </w:p>
        </w:tc>
        <w:tc>
          <w:tcPr>
            <w:tcW w:w="1559" w:type="dxa"/>
            <w:tcBorders>
              <w:top w:val="nil"/>
              <w:left w:val="nil"/>
              <w:bottom w:val="single" w:sz="4" w:space="0" w:color="auto"/>
              <w:right w:val="single" w:sz="4" w:space="0" w:color="auto"/>
            </w:tcBorders>
            <w:shd w:val="clear" w:color="auto" w:fill="auto"/>
            <w:vAlign w:val="center"/>
          </w:tcPr>
          <w:p w14:paraId="429D803A"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4</w:t>
            </w:r>
          </w:p>
        </w:tc>
        <w:tc>
          <w:tcPr>
            <w:tcW w:w="1559" w:type="dxa"/>
          </w:tcPr>
          <w:p w14:paraId="2F4D1626"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2,1</w:t>
            </w:r>
          </w:p>
        </w:tc>
      </w:tr>
      <w:tr w:rsidR="00217F39" w:rsidRPr="00217F39" w14:paraId="586C002B" w14:textId="77777777" w:rsidTr="006347BE">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8792E6B"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Times New Roman" w:hAnsi="Times New Roman"/>
                <w:b/>
                <w:color w:val="000000"/>
                <w:sz w:val="20"/>
                <w:szCs w:val="20"/>
                <w:lang w:eastAsia="lv-LV"/>
              </w:rPr>
              <w:t>2018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4BF67891"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555</w:t>
            </w:r>
          </w:p>
        </w:tc>
        <w:tc>
          <w:tcPr>
            <w:tcW w:w="1559" w:type="dxa"/>
            <w:tcBorders>
              <w:top w:val="nil"/>
              <w:left w:val="nil"/>
              <w:bottom w:val="single" w:sz="4" w:space="0" w:color="auto"/>
              <w:right w:val="single" w:sz="4" w:space="0" w:color="auto"/>
            </w:tcBorders>
            <w:shd w:val="clear" w:color="auto" w:fill="auto"/>
            <w:vAlign w:val="center"/>
          </w:tcPr>
          <w:p w14:paraId="497C2745"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158</w:t>
            </w:r>
          </w:p>
        </w:tc>
        <w:tc>
          <w:tcPr>
            <w:tcW w:w="1559" w:type="dxa"/>
          </w:tcPr>
          <w:p w14:paraId="3AFB5EAE"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28,5</w:t>
            </w:r>
          </w:p>
        </w:tc>
      </w:tr>
      <w:tr w:rsidR="00217F39" w:rsidRPr="00217F39" w14:paraId="1293479F" w14:textId="77777777" w:rsidTr="00031E6A">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24F4BFC"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Times New Roman" w:hAnsi="Times New Roman"/>
                <w:b/>
                <w:color w:val="000000"/>
                <w:sz w:val="20"/>
                <w:szCs w:val="20"/>
                <w:lang w:eastAsia="lv-LV"/>
              </w:rPr>
              <w:t>2019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722DEA1"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660</w:t>
            </w:r>
          </w:p>
        </w:tc>
        <w:tc>
          <w:tcPr>
            <w:tcW w:w="1559" w:type="dxa"/>
            <w:tcBorders>
              <w:top w:val="nil"/>
              <w:left w:val="nil"/>
              <w:bottom w:val="single" w:sz="4" w:space="0" w:color="auto"/>
              <w:right w:val="single" w:sz="4" w:space="0" w:color="auto"/>
            </w:tcBorders>
            <w:shd w:val="clear" w:color="auto" w:fill="auto"/>
            <w:vAlign w:val="center"/>
          </w:tcPr>
          <w:p w14:paraId="0FC3CFC3"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244</w:t>
            </w:r>
          </w:p>
        </w:tc>
        <w:tc>
          <w:tcPr>
            <w:tcW w:w="1559" w:type="dxa"/>
          </w:tcPr>
          <w:p w14:paraId="66061652"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37,0</w:t>
            </w:r>
          </w:p>
        </w:tc>
      </w:tr>
      <w:tr w:rsidR="00217F39" w:rsidRPr="00217F39" w14:paraId="3B38D4C5" w14:textId="77777777" w:rsidTr="00031E6A">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372F4D98"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Times New Roman" w:hAnsi="Times New Roman"/>
                <w:b/>
                <w:color w:val="000000"/>
                <w:sz w:val="20"/>
                <w:szCs w:val="20"/>
                <w:lang w:eastAsia="lv-LV"/>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CC087DA"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314</w:t>
            </w:r>
          </w:p>
        </w:tc>
        <w:tc>
          <w:tcPr>
            <w:tcW w:w="1559" w:type="dxa"/>
            <w:tcBorders>
              <w:top w:val="single" w:sz="4" w:space="0" w:color="auto"/>
              <w:left w:val="nil"/>
              <w:bottom w:val="single" w:sz="4" w:space="0" w:color="auto"/>
              <w:right w:val="single" w:sz="4" w:space="0" w:color="auto"/>
            </w:tcBorders>
            <w:shd w:val="clear" w:color="auto" w:fill="auto"/>
            <w:vAlign w:val="center"/>
          </w:tcPr>
          <w:p w14:paraId="7128828B"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Times New Roman" w:hAnsi="Times New Roman"/>
                <w:color w:val="000000"/>
                <w:sz w:val="20"/>
                <w:szCs w:val="20"/>
                <w:lang w:eastAsia="lv-LV"/>
              </w:rPr>
              <w:t>98</w:t>
            </w:r>
          </w:p>
        </w:tc>
        <w:tc>
          <w:tcPr>
            <w:tcW w:w="1559" w:type="dxa"/>
          </w:tcPr>
          <w:p w14:paraId="3A251239"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31,2</w:t>
            </w:r>
          </w:p>
        </w:tc>
      </w:tr>
      <w:tr w:rsidR="003B38FF" w:rsidRPr="00217F39" w14:paraId="178CB95D" w14:textId="77777777" w:rsidTr="00031E6A">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C4B4341" w14:textId="34E222C5" w:rsidR="003B38FF" w:rsidRPr="00217F39" w:rsidRDefault="003B38FF" w:rsidP="00217F39">
            <w:pPr>
              <w:jc w:val="center"/>
              <w:rPr>
                <w:rFonts w:ascii="Times New Roman" w:eastAsia="Times New Roman" w:hAnsi="Times New Roman"/>
                <w:b/>
                <w:color w:val="000000"/>
                <w:lang w:eastAsia="lv-LV"/>
              </w:rPr>
            </w:pPr>
            <w:r>
              <w:rPr>
                <w:rFonts w:ascii="Times New Roman" w:eastAsia="Times New Roman" w:hAnsi="Times New Roman"/>
                <w:b/>
                <w:color w:val="000000"/>
                <w:lang w:eastAsia="lv-LV"/>
              </w:rPr>
              <w:t>2021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E5FF664" w14:textId="1B894DB6" w:rsidR="003B38FF" w:rsidRPr="00217F39" w:rsidRDefault="003B38FF" w:rsidP="00217F39">
            <w:pPr>
              <w:jc w:val="center"/>
              <w:rPr>
                <w:rFonts w:ascii="Times New Roman" w:eastAsia="Times New Roman" w:hAnsi="Times New Roman"/>
                <w:color w:val="000000"/>
                <w:lang w:eastAsia="lv-LV"/>
              </w:rPr>
            </w:pPr>
            <w:r>
              <w:rPr>
                <w:rFonts w:ascii="Times New Roman" w:eastAsia="Times New Roman" w:hAnsi="Times New Roman"/>
                <w:color w:val="000000"/>
                <w:lang w:eastAsia="lv-LV"/>
              </w:rPr>
              <w:t>14</w:t>
            </w:r>
          </w:p>
        </w:tc>
        <w:tc>
          <w:tcPr>
            <w:tcW w:w="1559" w:type="dxa"/>
            <w:tcBorders>
              <w:top w:val="single" w:sz="4" w:space="0" w:color="auto"/>
              <w:left w:val="nil"/>
              <w:bottom w:val="single" w:sz="4" w:space="0" w:color="auto"/>
              <w:right w:val="single" w:sz="4" w:space="0" w:color="auto"/>
            </w:tcBorders>
            <w:shd w:val="clear" w:color="auto" w:fill="auto"/>
            <w:vAlign w:val="center"/>
          </w:tcPr>
          <w:p w14:paraId="427C5C1B" w14:textId="7D770F10" w:rsidR="003B38FF" w:rsidRPr="00217F39" w:rsidRDefault="003B38FF" w:rsidP="00217F39">
            <w:pPr>
              <w:jc w:val="center"/>
              <w:rPr>
                <w:rFonts w:ascii="Times New Roman" w:eastAsia="Times New Roman" w:hAnsi="Times New Roman"/>
                <w:color w:val="000000"/>
                <w:lang w:eastAsia="lv-LV"/>
              </w:rPr>
            </w:pPr>
            <w:r>
              <w:rPr>
                <w:rFonts w:ascii="Times New Roman" w:eastAsia="Times New Roman" w:hAnsi="Times New Roman"/>
                <w:color w:val="000000"/>
                <w:lang w:eastAsia="lv-LV"/>
              </w:rPr>
              <w:t>4</w:t>
            </w:r>
          </w:p>
        </w:tc>
        <w:tc>
          <w:tcPr>
            <w:tcW w:w="1559" w:type="dxa"/>
          </w:tcPr>
          <w:p w14:paraId="37E6425D" w14:textId="7C5808CA" w:rsidR="003B38FF" w:rsidRPr="00217F39" w:rsidRDefault="003B38FF" w:rsidP="00217F39">
            <w:pPr>
              <w:jc w:val="center"/>
              <w:rPr>
                <w:rFonts w:ascii="Times New Roman" w:eastAsia="Century Gothic" w:hAnsi="Times New Roman"/>
              </w:rPr>
            </w:pPr>
            <w:r>
              <w:rPr>
                <w:rFonts w:ascii="Times New Roman" w:eastAsia="Century Gothic" w:hAnsi="Times New Roman"/>
              </w:rPr>
              <w:t>28,6</w:t>
            </w:r>
          </w:p>
        </w:tc>
      </w:tr>
    </w:tbl>
    <w:p w14:paraId="0E476F06" w14:textId="77777777" w:rsidR="00217F39" w:rsidRPr="00217F39" w:rsidRDefault="00217F39" w:rsidP="00217F39">
      <w:pPr>
        <w:spacing w:before="0" w:after="0" w:line="240" w:lineRule="auto"/>
        <w:ind w:firstLine="709"/>
        <w:jc w:val="both"/>
        <w:rPr>
          <w:rFonts w:ascii="Times New Roman" w:eastAsia="Century Gothic" w:hAnsi="Times New Roman" w:cs="Times New Roman"/>
          <w:color w:val="0070C0"/>
        </w:rPr>
      </w:pPr>
    </w:p>
    <w:p w14:paraId="7CFFB294" w14:textId="77777777" w:rsidR="00175CAC" w:rsidRPr="00C33C9F" w:rsidRDefault="00217F39" w:rsidP="00175CAC">
      <w:pPr>
        <w:spacing w:before="0" w:after="0" w:line="240" w:lineRule="auto"/>
        <w:ind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lastRenderedPageBreak/>
        <w:t xml:space="preserve">2020.gadā, salīdzinot ar iepriekšējo gadu, par 10,1 procentpunktu ir palielinājies to pārbaužu īpatsvars EDLU tematisko pārbaužu kopējā skaitā, kurās EDLUS pārkāpumi netika konstatēti; 2020.gadā bija 57,6 % jeb 38 pārbaudes (skatīt </w:t>
      </w:r>
      <w:r w:rsidR="003275E7">
        <w:rPr>
          <w:rFonts w:ascii="Times New Roman" w:eastAsia="Century Gothic" w:hAnsi="Times New Roman" w:cs="Times New Roman"/>
          <w:color w:val="000000"/>
          <w:sz w:val="28"/>
          <w:szCs w:val="28"/>
        </w:rPr>
        <w:t>2</w:t>
      </w:r>
      <w:r w:rsidRPr="00217F39">
        <w:rPr>
          <w:rFonts w:ascii="Times New Roman" w:eastAsia="Century Gothic" w:hAnsi="Times New Roman" w:cs="Times New Roman"/>
          <w:color w:val="000000"/>
          <w:sz w:val="28"/>
          <w:szCs w:val="28"/>
        </w:rPr>
        <w:t>.tabulu).</w:t>
      </w:r>
      <w:r w:rsidR="00175CAC">
        <w:rPr>
          <w:rFonts w:ascii="Times New Roman" w:eastAsia="Century Gothic" w:hAnsi="Times New Roman" w:cs="Times New Roman"/>
          <w:color w:val="000000"/>
          <w:sz w:val="28"/>
          <w:szCs w:val="28"/>
        </w:rPr>
        <w:t xml:space="preserve"> </w:t>
      </w:r>
      <w:r w:rsidR="00175CAC" w:rsidRPr="00C33C9F">
        <w:rPr>
          <w:rFonts w:ascii="Times New Roman" w:eastAsia="Century Gothic" w:hAnsi="Times New Roman" w:cs="Times New Roman"/>
          <w:color w:val="000000"/>
          <w:sz w:val="28"/>
          <w:szCs w:val="28"/>
        </w:rPr>
        <w:t>2021. gadā EDLU pārbaudes skaita samazinājumu ietekmēja ārkārtējās situācijas izsludināšana valstī Covid-19 izplatības ierobežošanai.</w:t>
      </w:r>
    </w:p>
    <w:p w14:paraId="377F7E95" w14:textId="5411EA43" w:rsidR="00217F39" w:rsidRPr="00217F39" w:rsidRDefault="00217F39" w:rsidP="00217F39">
      <w:pPr>
        <w:spacing w:before="0" w:after="0" w:line="240" w:lineRule="auto"/>
        <w:ind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2020.gadā, salīdzinot ar 2019.gadu, par 4,9 procentpunktiem palielinājies to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skaita īpatsvars, kuri pēc VID aicinājuma iesniedza deklarāciju precizējumus, savukārt papildu deklarētie maksājumi budžetā samazinājās par 162,8 tūkst. EUR jeb 65,1 %.</w:t>
      </w:r>
    </w:p>
    <w:p w14:paraId="3127FC10" w14:textId="35443A42"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Informāciju par veiktajās tematiskajās pārbaudēs visbiežāk konstatētiem EDLUS pārkāpumiem būvlaukumos un to skaitu skatīt </w:t>
      </w:r>
      <w:r w:rsidR="003275E7">
        <w:rPr>
          <w:rFonts w:ascii="Times New Roman" w:eastAsia="Century Gothic" w:hAnsi="Times New Roman" w:cs="Times New Roman"/>
          <w:color w:val="000000"/>
          <w:sz w:val="28"/>
          <w:szCs w:val="28"/>
        </w:rPr>
        <w:t>4</w:t>
      </w:r>
      <w:r w:rsidRPr="00217F39">
        <w:rPr>
          <w:rFonts w:ascii="Times New Roman" w:eastAsia="Century Gothic" w:hAnsi="Times New Roman" w:cs="Times New Roman"/>
          <w:color w:val="000000"/>
          <w:sz w:val="28"/>
          <w:szCs w:val="28"/>
        </w:rPr>
        <w:t>.tabulā.</w:t>
      </w:r>
    </w:p>
    <w:p w14:paraId="65FDB4CC" w14:textId="77777777" w:rsidR="00217F39" w:rsidRPr="00217F39" w:rsidRDefault="00217F39" w:rsidP="00217F39">
      <w:pPr>
        <w:spacing w:before="0" w:after="160" w:line="259" w:lineRule="auto"/>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br w:type="page"/>
      </w:r>
    </w:p>
    <w:p w14:paraId="510DDEC9" w14:textId="4947FD74" w:rsidR="00217F39" w:rsidRPr="00217F39" w:rsidRDefault="003275E7" w:rsidP="00217F39">
      <w:pPr>
        <w:spacing w:before="120" w:after="0" w:line="259" w:lineRule="auto"/>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lastRenderedPageBreak/>
        <w:t>4</w:t>
      </w:r>
      <w:r w:rsidR="00217F39" w:rsidRPr="00217F39">
        <w:rPr>
          <w:rFonts w:ascii="Times New Roman" w:eastAsia="Century Gothic" w:hAnsi="Times New Roman" w:cs="Times New Roman"/>
          <w:sz w:val="28"/>
          <w:szCs w:val="28"/>
        </w:rPr>
        <w:t xml:space="preserve">.tabula </w:t>
      </w:r>
    </w:p>
    <w:p w14:paraId="1C289558" w14:textId="77777777" w:rsidR="00217F39" w:rsidRPr="00217F39" w:rsidRDefault="00217F39" w:rsidP="00217F39">
      <w:pPr>
        <w:spacing w:before="0" w:after="120" w:line="240" w:lineRule="auto"/>
        <w:jc w:val="center"/>
        <w:rPr>
          <w:rFonts w:ascii="Times New Roman" w:eastAsia="Century Gothic" w:hAnsi="Times New Roman" w:cs="Times New Roman"/>
          <w:b/>
          <w:sz w:val="28"/>
          <w:szCs w:val="28"/>
        </w:rPr>
      </w:pPr>
      <w:r w:rsidRPr="00217F39">
        <w:rPr>
          <w:rFonts w:ascii="Times New Roman" w:eastAsia="Century Gothic" w:hAnsi="Times New Roman" w:cs="Times New Roman"/>
          <w:b/>
          <w:sz w:val="28"/>
          <w:szCs w:val="28"/>
        </w:rPr>
        <w:t>EDLUS pārkāpumi būvlaukumos</w:t>
      </w:r>
    </w:p>
    <w:tbl>
      <w:tblPr>
        <w:tblW w:w="9312" w:type="dxa"/>
        <w:tblInd w:w="-408" w:type="dxa"/>
        <w:tblLook w:val="04A0" w:firstRow="1" w:lastRow="0" w:firstColumn="1" w:lastColumn="0" w:noHBand="0" w:noVBand="1"/>
      </w:tblPr>
      <w:tblGrid>
        <w:gridCol w:w="1475"/>
        <w:gridCol w:w="236"/>
        <w:gridCol w:w="656"/>
        <w:gridCol w:w="850"/>
        <w:gridCol w:w="851"/>
        <w:gridCol w:w="850"/>
        <w:gridCol w:w="709"/>
        <w:gridCol w:w="850"/>
        <w:gridCol w:w="2835"/>
      </w:tblGrid>
      <w:tr w:rsidR="00762B45" w:rsidRPr="00217F39" w14:paraId="151DAC73" w14:textId="77777777" w:rsidTr="00762B45">
        <w:trPr>
          <w:trHeight w:val="498"/>
          <w:tblHeader/>
        </w:trPr>
        <w:tc>
          <w:tcPr>
            <w:tcW w:w="14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F62004"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Konstatētie pārkāpumi</w:t>
            </w:r>
          </w:p>
        </w:tc>
        <w:tc>
          <w:tcPr>
            <w:tcW w:w="236" w:type="dxa"/>
            <w:tcBorders>
              <w:top w:val="single" w:sz="4" w:space="0" w:color="auto"/>
              <w:left w:val="nil"/>
              <w:bottom w:val="single" w:sz="4" w:space="0" w:color="auto"/>
              <w:right w:val="nil"/>
            </w:tcBorders>
          </w:tcPr>
          <w:p w14:paraId="485BDBA9"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p>
        </w:tc>
        <w:tc>
          <w:tcPr>
            <w:tcW w:w="3207" w:type="dxa"/>
            <w:gridSpan w:val="4"/>
            <w:tcBorders>
              <w:top w:val="single" w:sz="4" w:space="0" w:color="auto"/>
              <w:left w:val="nil"/>
              <w:bottom w:val="single" w:sz="4" w:space="0" w:color="auto"/>
              <w:right w:val="single" w:sz="4" w:space="0" w:color="auto"/>
            </w:tcBorders>
            <w:shd w:val="clear" w:color="auto" w:fill="auto"/>
            <w:noWrap/>
            <w:vAlign w:val="center"/>
            <w:hideMark/>
          </w:tcPr>
          <w:p w14:paraId="0C372B7F" w14:textId="6C3BACAA"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Gads</w:t>
            </w:r>
          </w:p>
        </w:tc>
        <w:tc>
          <w:tcPr>
            <w:tcW w:w="709" w:type="dxa"/>
            <w:tcBorders>
              <w:top w:val="single" w:sz="4" w:space="0" w:color="auto"/>
              <w:left w:val="nil"/>
              <w:bottom w:val="single" w:sz="4" w:space="0" w:color="auto"/>
              <w:right w:val="single" w:sz="4" w:space="0" w:color="auto"/>
            </w:tcBorders>
          </w:tcPr>
          <w:p w14:paraId="6DA5E58D"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p>
        </w:tc>
        <w:tc>
          <w:tcPr>
            <w:tcW w:w="3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8C6C25" w14:textId="37BF3E63"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Izmaiņas</w:t>
            </w:r>
            <w:r w:rsidRPr="00217F39">
              <w:rPr>
                <w:rFonts w:ascii="Times New Roman" w:eastAsia="Times New Roman" w:hAnsi="Times New Roman" w:cs="Times New Roman"/>
                <w:b/>
                <w:bCs/>
                <w:color w:val="000000"/>
                <w:lang w:eastAsia="lv-LV"/>
              </w:rPr>
              <w:br/>
              <w:t>(202</w:t>
            </w:r>
            <w:r>
              <w:rPr>
                <w:rFonts w:ascii="Times New Roman" w:eastAsia="Times New Roman" w:hAnsi="Times New Roman" w:cs="Times New Roman"/>
                <w:b/>
                <w:bCs/>
                <w:color w:val="000000"/>
                <w:lang w:eastAsia="lv-LV"/>
              </w:rPr>
              <w:t>1</w:t>
            </w:r>
            <w:r w:rsidRPr="00217F39">
              <w:rPr>
                <w:rFonts w:ascii="Times New Roman" w:eastAsia="Times New Roman" w:hAnsi="Times New Roman" w:cs="Times New Roman"/>
                <w:b/>
                <w:bCs/>
                <w:color w:val="000000"/>
                <w:lang w:eastAsia="lv-LV"/>
              </w:rPr>
              <w:t>.gads – 2019.gads)</w:t>
            </w:r>
          </w:p>
        </w:tc>
      </w:tr>
      <w:tr w:rsidR="00762B45" w:rsidRPr="00217F39" w14:paraId="2DDBB295" w14:textId="77777777" w:rsidTr="00762B45">
        <w:trPr>
          <w:trHeight w:val="256"/>
          <w:tblHeader/>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2E6D658F" w14:textId="77777777" w:rsidR="00762B45" w:rsidRPr="00217F39" w:rsidRDefault="00762B45" w:rsidP="00217F39">
            <w:pPr>
              <w:spacing w:before="0" w:after="0" w:line="240" w:lineRule="auto"/>
              <w:rPr>
                <w:rFonts w:ascii="Times New Roman" w:eastAsia="Times New Roman" w:hAnsi="Times New Roman" w:cs="Times New Roman"/>
                <w:b/>
                <w:bCs/>
                <w:color w:val="000000"/>
                <w:lang w:eastAsia="lv-LV"/>
              </w:rPr>
            </w:pPr>
          </w:p>
        </w:tc>
        <w:tc>
          <w:tcPr>
            <w:tcW w:w="236" w:type="dxa"/>
            <w:tcBorders>
              <w:top w:val="nil"/>
              <w:left w:val="nil"/>
              <w:bottom w:val="single" w:sz="4" w:space="0" w:color="auto"/>
              <w:right w:val="nil"/>
            </w:tcBorders>
          </w:tcPr>
          <w:p w14:paraId="289E1967"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sz w:val="22"/>
                <w:szCs w:val="22"/>
                <w:lang w:eastAsia="lv-LV"/>
              </w:rPr>
            </w:pPr>
          </w:p>
        </w:tc>
        <w:tc>
          <w:tcPr>
            <w:tcW w:w="656" w:type="dxa"/>
            <w:tcBorders>
              <w:top w:val="nil"/>
              <w:left w:val="nil"/>
              <w:bottom w:val="single" w:sz="4" w:space="0" w:color="auto"/>
              <w:right w:val="single" w:sz="4" w:space="0" w:color="auto"/>
            </w:tcBorders>
            <w:shd w:val="clear" w:color="auto" w:fill="auto"/>
            <w:noWrap/>
            <w:vAlign w:val="center"/>
            <w:hideMark/>
          </w:tcPr>
          <w:p w14:paraId="35DDF81D" w14:textId="0706BD70" w:rsidR="00762B45" w:rsidRPr="00217F39" w:rsidRDefault="00762B45"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2017</w:t>
            </w:r>
          </w:p>
        </w:tc>
        <w:tc>
          <w:tcPr>
            <w:tcW w:w="850" w:type="dxa"/>
            <w:tcBorders>
              <w:top w:val="nil"/>
              <w:left w:val="nil"/>
              <w:bottom w:val="single" w:sz="4" w:space="0" w:color="auto"/>
              <w:right w:val="single" w:sz="4" w:space="0" w:color="auto"/>
            </w:tcBorders>
            <w:shd w:val="clear" w:color="auto" w:fill="auto"/>
            <w:noWrap/>
            <w:vAlign w:val="center"/>
            <w:hideMark/>
          </w:tcPr>
          <w:p w14:paraId="1F845039"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2018</w:t>
            </w:r>
          </w:p>
        </w:tc>
        <w:tc>
          <w:tcPr>
            <w:tcW w:w="851" w:type="dxa"/>
            <w:tcBorders>
              <w:top w:val="nil"/>
              <w:left w:val="nil"/>
              <w:bottom w:val="single" w:sz="4" w:space="0" w:color="auto"/>
              <w:right w:val="single" w:sz="4" w:space="0" w:color="auto"/>
            </w:tcBorders>
            <w:shd w:val="clear" w:color="auto" w:fill="auto"/>
            <w:noWrap/>
            <w:vAlign w:val="center"/>
            <w:hideMark/>
          </w:tcPr>
          <w:p w14:paraId="32064C76"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2019</w:t>
            </w:r>
          </w:p>
        </w:tc>
        <w:tc>
          <w:tcPr>
            <w:tcW w:w="850" w:type="dxa"/>
            <w:tcBorders>
              <w:top w:val="nil"/>
              <w:left w:val="nil"/>
              <w:bottom w:val="single" w:sz="4" w:space="0" w:color="auto"/>
              <w:right w:val="single" w:sz="4" w:space="0" w:color="auto"/>
            </w:tcBorders>
            <w:shd w:val="clear" w:color="auto" w:fill="auto"/>
            <w:noWrap/>
            <w:vAlign w:val="center"/>
            <w:hideMark/>
          </w:tcPr>
          <w:p w14:paraId="36B015B9"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sz w:val="22"/>
                <w:szCs w:val="22"/>
                <w:lang w:eastAsia="lv-LV"/>
              </w:rPr>
            </w:pPr>
            <w:r w:rsidRPr="00217F39">
              <w:rPr>
                <w:rFonts w:ascii="Times New Roman" w:eastAsia="Times New Roman" w:hAnsi="Times New Roman" w:cs="Times New Roman"/>
                <w:b/>
                <w:bCs/>
                <w:color w:val="000000"/>
                <w:sz w:val="22"/>
                <w:szCs w:val="22"/>
                <w:lang w:eastAsia="lv-LV"/>
              </w:rPr>
              <w:t>2020</w:t>
            </w:r>
          </w:p>
        </w:tc>
        <w:tc>
          <w:tcPr>
            <w:tcW w:w="709" w:type="dxa"/>
            <w:tcBorders>
              <w:top w:val="single" w:sz="4" w:space="0" w:color="auto"/>
              <w:left w:val="nil"/>
              <w:bottom w:val="single" w:sz="4" w:space="0" w:color="auto"/>
              <w:right w:val="single" w:sz="4" w:space="0" w:color="auto"/>
            </w:tcBorders>
          </w:tcPr>
          <w:p w14:paraId="7014BB73" w14:textId="60D6162F" w:rsidR="00762B45" w:rsidRPr="007E5791" w:rsidRDefault="00762B45" w:rsidP="00217F39">
            <w:pPr>
              <w:spacing w:before="0" w:after="0" w:line="240" w:lineRule="auto"/>
              <w:jc w:val="center"/>
              <w:rPr>
                <w:rFonts w:ascii="Times New Roman" w:eastAsia="Times New Roman" w:hAnsi="Times New Roman" w:cs="Times New Roman"/>
                <w:b/>
                <w:bCs/>
                <w:color w:val="000000"/>
                <w:sz w:val="22"/>
                <w:szCs w:val="22"/>
                <w:lang w:eastAsia="lv-LV"/>
              </w:rPr>
            </w:pPr>
            <w:r w:rsidRPr="007E5791">
              <w:rPr>
                <w:rFonts w:ascii="Times New Roman" w:eastAsia="Times New Roman" w:hAnsi="Times New Roman" w:cs="Times New Roman"/>
                <w:b/>
                <w:bCs/>
                <w:color w:val="000000"/>
                <w:sz w:val="22"/>
                <w:szCs w:val="22"/>
                <w:lang w:eastAsia="lv-LV"/>
              </w:rPr>
              <w:t>2021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C3E1F4B" w14:textId="10643A14"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skaits</w:t>
            </w:r>
          </w:p>
        </w:tc>
        <w:tc>
          <w:tcPr>
            <w:tcW w:w="2835" w:type="dxa"/>
            <w:tcBorders>
              <w:top w:val="nil"/>
              <w:left w:val="nil"/>
              <w:bottom w:val="single" w:sz="4" w:space="0" w:color="auto"/>
              <w:right w:val="single" w:sz="4" w:space="0" w:color="auto"/>
            </w:tcBorders>
            <w:shd w:val="clear" w:color="auto" w:fill="auto"/>
            <w:noWrap/>
            <w:vAlign w:val="center"/>
            <w:hideMark/>
          </w:tcPr>
          <w:p w14:paraId="164345DB" w14:textId="77777777" w:rsidR="00762B45" w:rsidRPr="00217F39" w:rsidRDefault="00762B45"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w:t>
            </w:r>
          </w:p>
        </w:tc>
      </w:tr>
      <w:tr w:rsidR="00762B45" w:rsidRPr="00217F39" w14:paraId="0E1EB90F" w14:textId="77777777" w:rsidTr="00762B45">
        <w:trPr>
          <w:trHeight w:val="229"/>
        </w:trPr>
        <w:tc>
          <w:tcPr>
            <w:tcW w:w="1475" w:type="dxa"/>
            <w:tcBorders>
              <w:top w:val="nil"/>
              <w:left w:val="single" w:sz="4" w:space="0" w:color="auto"/>
              <w:bottom w:val="single" w:sz="4" w:space="0" w:color="auto"/>
              <w:right w:val="single" w:sz="4" w:space="0" w:color="auto"/>
            </w:tcBorders>
            <w:shd w:val="clear" w:color="auto" w:fill="auto"/>
            <w:vAlign w:val="center"/>
            <w:hideMark/>
          </w:tcPr>
          <w:p w14:paraId="605ED7AB" w14:textId="77777777" w:rsidR="00762B45" w:rsidRPr="00217F39" w:rsidRDefault="00762B45" w:rsidP="00217F39">
            <w:pPr>
              <w:spacing w:before="0" w:after="0" w:line="240" w:lineRule="auto"/>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Būvlaukumi, kuros nevarēja uzrādīt vai izsniegt EDLUS datus būvobjekta pārbaudes laikā</w:t>
            </w:r>
          </w:p>
        </w:tc>
        <w:tc>
          <w:tcPr>
            <w:tcW w:w="236" w:type="dxa"/>
            <w:tcBorders>
              <w:top w:val="nil"/>
              <w:left w:val="nil"/>
              <w:bottom w:val="single" w:sz="4" w:space="0" w:color="auto"/>
              <w:right w:val="nil"/>
            </w:tcBorders>
          </w:tcPr>
          <w:p w14:paraId="6696CC04"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p>
        </w:tc>
        <w:tc>
          <w:tcPr>
            <w:tcW w:w="656" w:type="dxa"/>
            <w:tcBorders>
              <w:top w:val="nil"/>
              <w:left w:val="nil"/>
              <w:bottom w:val="single" w:sz="4" w:space="0" w:color="auto"/>
              <w:right w:val="single" w:sz="4" w:space="0" w:color="auto"/>
            </w:tcBorders>
            <w:shd w:val="clear" w:color="auto" w:fill="auto"/>
            <w:vAlign w:val="center"/>
            <w:hideMark/>
          </w:tcPr>
          <w:p w14:paraId="31849749" w14:textId="5441423C"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w:t>
            </w:r>
          </w:p>
        </w:tc>
        <w:tc>
          <w:tcPr>
            <w:tcW w:w="850" w:type="dxa"/>
            <w:tcBorders>
              <w:top w:val="nil"/>
              <w:left w:val="nil"/>
              <w:bottom w:val="single" w:sz="4" w:space="0" w:color="auto"/>
              <w:right w:val="single" w:sz="4" w:space="0" w:color="auto"/>
            </w:tcBorders>
            <w:shd w:val="clear" w:color="auto" w:fill="auto"/>
            <w:vAlign w:val="center"/>
            <w:hideMark/>
          </w:tcPr>
          <w:p w14:paraId="46AC8F08"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19</w:t>
            </w:r>
          </w:p>
        </w:tc>
        <w:tc>
          <w:tcPr>
            <w:tcW w:w="851" w:type="dxa"/>
            <w:tcBorders>
              <w:top w:val="nil"/>
              <w:left w:val="nil"/>
              <w:bottom w:val="single" w:sz="4" w:space="0" w:color="auto"/>
              <w:right w:val="single" w:sz="4" w:space="0" w:color="auto"/>
            </w:tcBorders>
            <w:shd w:val="clear" w:color="auto" w:fill="auto"/>
            <w:vAlign w:val="center"/>
            <w:hideMark/>
          </w:tcPr>
          <w:p w14:paraId="64F7F2A2"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10</w:t>
            </w:r>
          </w:p>
        </w:tc>
        <w:tc>
          <w:tcPr>
            <w:tcW w:w="850" w:type="dxa"/>
            <w:tcBorders>
              <w:top w:val="nil"/>
              <w:left w:val="nil"/>
              <w:bottom w:val="single" w:sz="4" w:space="0" w:color="auto"/>
              <w:right w:val="single" w:sz="4" w:space="0" w:color="auto"/>
            </w:tcBorders>
            <w:shd w:val="clear" w:color="auto" w:fill="auto"/>
            <w:vAlign w:val="center"/>
            <w:hideMark/>
          </w:tcPr>
          <w:p w14:paraId="17240AB2"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6</w:t>
            </w:r>
          </w:p>
        </w:tc>
        <w:tc>
          <w:tcPr>
            <w:tcW w:w="709" w:type="dxa"/>
            <w:tcBorders>
              <w:top w:val="single" w:sz="4" w:space="0" w:color="auto"/>
              <w:left w:val="nil"/>
              <w:bottom w:val="single" w:sz="4" w:space="0" w:color="auto"/>
              <w:right w:val="single" w:sz="4" w:space="0" w:color="auto"/>
            </w:tcBorders>
          </w:tcPr>
          <w:p w14:paraId="410A01C3" w14:textId="101DE264"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CBAF9F9" w14:textId="531754C0"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9</w:t>
            </w:r>
          </w:p>
        </w:tc>
        <w:tc>
          <w:tcPr>
            <w:tcW w:w="2835" w:type="dxa"/>
            <w:tcBorders>
              <w:top w:val="nil"/>
              <w:left w:val="nil"/>
              <w:bottom w:val="single" w:sz="4" w:space="0" w:color="auto"/>
              <w:right w:val="single" w:sz="4" w:space="0" w:color="auto"/>
            </w:tcBorders>
            <w:shd w:val="clear" w:color="auto" w:fill="auto"/>
            <w:noWrap/>
            <w:vAlign w:val="center"/>
            <w:hideMark/>
          </w:tcPr>
          <w:p w14:paraId="0C149EDA" w14:textId="0B6BBA9F"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9</w:t>
            </w:r>
            <w:r w:rsidRPr="00217F39">
              <w:rPr>
                <w:rFonts w:ascii="Times New Roman" w:eastAsia="Times New Roman" w:hAnsi="Times New Roman" w:cs="Times New Roman"/>
                <w:color w:val="000000"/>
                <w:lang w:eastAsia="lv-LV"/>
              </w:rPr>
              <w:t>0,0 %</w:t>
            </w:r>
          </w:p>
        </w:tc>
      </w:tr>
      <w:tr w:rsidR="00762B45" w:rsidRPr="00217F39" w14:paraId="3F83494D" w14:textId="77777777" w:rsidTr="00762B45">
        <w:trPr>
          <w:trHeight w:val="229"/>
        </w:trPr>
        <w:tc>
          <w:tcPr>
            <w:tcW w:w="1475" w:type="dxa"/>
            <w:tcBorders>
              <w:top w:val="nil"/>
              <w:left w:val="single" w:sz="4" w:space="0" w:color="auto"/>
              <w:bottom w:val="single" w:sz="4" w:space="0" w:color="auto"/>
              <w:right w:val="single" w:sz="4" w:space="0" w:color="auto"/>
            </w:tcBorders>
            <w:shd w:val="clear" w:color="auto" w:fill="auto"/>
            <w:vAlign w:val="center"/>
            <w:hideMark/>
          </w:tcPr>
          <w:p w14:paraId="4BAE4034" w14:textId="77777777" w:rsidR="00762B45" w:rsidRPr="00217F39" w:rsidRDefault="00762B45" w:rsidP="00217F39">
            <w:pPr>
              <w:spacing w:before="0" w:after="0" w:line="240" w:lineRule="auto"/>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Būvlaukumi, kuros nebija ieviesta EDLUS</w:t>
            </w:r>
          </w:p>
        </w:tc>
        <w:tc>
          <w:tcPr>
            <w:tcW w:w="236" w:type="dxa"/>
            <w:tcBorders>
              <w:top w:val="nil"/>
              <w:left w:val="nil"/>
              <w:bottom w:val="single" w:sz="4" w:space="0" w:color="auto"/>
              <w:right w:val="nil"/>
            </w:tcBorders>
          </w:tcPr>
          <w:p w14:paraId="0400770F"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p>
        </w:tc>
        <w:tc>
          <w:tcPr>
            <w:tcW w:w="656" w:type="dxa"/>
            <w:tcBorders>
              <w:top w:val="nil"/>
              <w:left w:val="nil"/>
              <w:bottom w:val="single" w:sz="4" w:space="0" w:color="auto"/>
              <w:right w:val="single" w:sz="4" w:space="0" w:color="auto"/>
            </w:tcBorders>
            <w:shd w:val="clear" w:color="auto" w:fill="auto"/>
            <w:vAlign w:val="center"/>
            <w:hideMark/>
          </w:tcPr>
          <w:p w14:paraId="76E1D6DD" w14:textId="421D9596"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3</w:t>
            </w:r>
          </w:p>
        </w:tc>
        <w:tc>
          <w:tcPr>
            <w:tcW w:w="850" w:type="dxa"/>
            <w:tcBorders>
              <w:top w:val="nil"/>
              <w:left w:val="nil"/>
              <w:bottom w:val="single" w:sz="4" w:space="0" w:color="auto"/>
              <w:right w:val="single" w:sz="4" w:space="0" w:color="auto"/>
            </w:tcBorders>
            <w:shd w:val="clear" w:color="auto" w:fill="auto"/>
            <w:vAlign w:val="center"/>
            <w:hideMark/>
          </w:tcPr>
          <w:p w14:paraId="50FCE388"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6</w:t>
            </w:r>
          </w:p>
        </w:tc>
        <w:tc>
          <w:tcPr>
            <w:tcW w:w="851" w:type="dxa"/>
            <w:tcBorders>
              <w:top w:val="nil"/>
              <w:left w:val="nil"/>
              <w:bottom w:val="single" w:sz="4" w:space="0" w:color="auto"/>
              <w:right w:val="single" w:sz="4" w:space="0" w:color="auto"/>
            </w:tcBorders>
            <w:shd w:val="clear" w:color="auto" w:fill="auto"/>
            <w:vAlign w:val="center"/>
            <w:hideMark/>
          </w:tcPr>
          <w:p w14:paraId="10B1AD01"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7</w:t>
            </w:r>
          </w:p>
        </w:tc>
        <w:tc>
          <w:tcPr>
            <w:tcW w:w="850" w:type="dxa"/>
            <w:tcBorders>
              <w:top w:val="nil"/>
              <w:left w:val="nil"/>
              <w:bottom w:val="single" w:sz="4" w:space="0" w:color="auto"/>
              <w:right w:val="single" w:sz="4" w:space="0" w:color="auto"/>
            </w:tcBorders>
            <w:shd w:val="clear" w:color="auto" w:fill="auto"/>
            <w:vAlign w:val="center"/>
            <w:hideMark/>
          </w:tcPr>
          <w:p w14:paraId="0B46B59D"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w:t>
            </w:r>
          </w:p>
        </w:tc>
        <w:tc>
          <w:tcPr>
            <w:tcW w:w="709" w:type="dxa"/>
            <w:tcBorders>
              <w:top w:val="single" w:sz="4" w:space="0" w:color="auto"/>
              <w:left w:val="nil"/>
              <w:bottom w:val="single" w:sz="4" w:space="0" w:color="auto"/>
              <w:right w:val="single" w:sz="4" w:space="0" w:color="auto"/>
            </w:tcBorders>
          </w:tcPr>
          <w:p w14:paraId="69D5E1D7" w14:textId="6582DD95"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2B20EFE" w14:textId="27DFE315"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3</w:t>
            </w:r>
          </w:p>
        </w:tc>
        <w:tc>
          <w:tcPr>
            <w:tcW w:w="2835" w:type="dxa"/>
            <w:tcBorders>
              <w:top w:val="nil"/>
              <w:left w:val="nil"/>
              <w:bottom w:val="single" w:sz="4" w:space="0" w:color="auto"/>
              <w:right w:val="single" w:sz="4" w:space="0" w:color="auto"/>
            </w:tcBorders>
            <w:shd w:val="clear" w:color="auto" w:fill="auto"/>
            <w:noWrap/>
            <w:vAlign w:val="center"/>
            <w:hideMark/>
          </w:tcPr>
          <w:p w14:paraId="73F600A2" w14:textId="2B3D5476"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42</w:t>
            </w: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86</w:t>
            </w:r>
            <w:r w:rsidRPr="00217F39">
              <w:rPr>
                <w:rFonts w:ascii="Times New Roman" w:eastAsia="Times New Roman" w:hAnsi="Times New Roman" w:cs="Times New Roman"/>
                <w:color w:val="000000"/>
                <w:lang w:eastAsia="lv-LV"/>
              </w:rPr>
              <w:t> %</w:t>
            </w:r>
          </w:p>
        </w:tc>
      </w:tr>
      <w:tr w:rsidR="00762B45" w:rsidRPr="00217F39" w14:paraId="2F5EDF17" w14:textId="77777777" w:rsidTr="00762B45">
        <w:trPr>
          <w:trHeight w:val="229"/>
        </w:trPr>
        <w:tc>
          <w:tcPr>
            <w:tcW w:w="1475" w:type="dxa"/>
            <w:tcBorders>
              <w:top w:val="nil"/>
              <w:left w:val="single" w:sz="4" w:space="0" w:color="auto"/>
              <w:bottom w:val="single" w:sz="4" w:space="0" w:color="auto"/>
              <w:right w:val="single" w:sz="4" w:space="0" w:color="auto"/>
            </w:tcBorders>
            <w:shd w:val="clear" w:color="auto" w:fill="auto"/>
            <w:vAlign w:val="center"/>
            <w:hideMark/>
          </w:tcPr>
          <w:p w14:paraId="2A9FF1F4" w14:textId="77777777" w:rsidR="00762B45" w:rsidRPr="00217F39" w:rsidRDefault="00762B45" w:rsidP="00217F39">
            <w:pPr>
              <w:spacing w:before="0" w:after="0" w:line="240" w:lineRule="auto"/>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Būvlaukumi, kuros EDLUS nebija nodrošināta pilnīga informācijas reģistrēšana</w:t>
            </w:r>
          </w:p>
        </w:tc>
        <w:tc>
          <w:tcPr>
            <w:tcW w:w="236" w:type="dxa"/>
            <w:tcBorders>
              <w:top w:val="nil"/>
              <w:left w:val="nil"/>
              <w:bottom w:val="single" w:sz="4" w:space="0" w:color="auto"/>
              <w:right w:val="nil"/>
            </w:tcBorders>
          </w:tcPr>
          <w:p w14:paraId="6C8EF118"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p>
        </w:tc>
        <w:tc>
          <w:tcPr>
            <w:tcW w:w="656" w:type="dxa"/>
            <w:tcBorders>
              <w:top w:val="nil"/>
              <w:left w:val="nil"/>
              <w:bottom w:val="single" w:sz="4" w:space="0" w:color="auto"/>
              <w:right w:val="single" w:sz="4" w:space="0" w:color="auto"/>
            </w:tcBorders>
            <w:shd w:val="clear" w:color="auto" w:fill="auto"/>
            <w:vAlign w:val="center"/>
            <w:hideMark/>
          </w:tcPr>
          <w:p w14:paraId="5511F575" w14:textId="20E42C94"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w:t>
            </w:r>
          </w:p>
        </w:tc>
        <w:tc>
          <w:tcPr>
            <w:tcW w:w="850" w:type="dxa"/>
            <w:tcBorders>
              <w:top w:val="nil"/>
              <w:left w:val="nil"/>
              <w:bottom w:val="single" w:sz="4" w:space="0" w:color="auto"/>
              <w:right w:val="single" w:sz="4" w:space="0" w:color="auto"/>
            </w:tcBorders>
            <w:shd w:val="clear" w:color="auto" w:fill="auto"/>
            <w:vAlign w:val="center"/>
            <w:hideMark/>
          </w:tcPr>
          <w:p w14:paraId="2D025ED9"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15</w:t>
            </w:r>
          </w:p>
        </w:tc>
        <w:tc>
          <w:tcPr>
            <w:tcW w:w="851" w:type="dxa"/>
            <w:tcBorders>
              <w:top w:val="nil"/>
              <w:left w:val="nil"/>
              <w:bottom w:val="single" w:sz="4" w:space="0" w:color="auto"/>
              <w:right w:val="single" w:sz="4" w:space="0" w:color="auto"/>
            </w:tcBorders>
            <w:shd w:val="clear" w:color="auto" w:fill="auto"/>
            <w:vAlign w:val="center"/>
            <w:hideMark/>
          </w:tcPr>
          <w:p w14:paraId="4EFD8066"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13</w:t>
            </w:r>
          </w:p>
        </w:tc>
        <w:tc>
          <w:tcPr>
            <w:tcW w:w="850" w:type="dxa"/>
            <w:tcBorders>
              <w:top w:val="nil"/>
              <w:left w:val="nil"/>
              <w:bottom w:val="single" w:sz="4" w:space="0" w:color="auto"/>
              <w:right w:val="single" w:sz="4" w:space="0" w:color="auto"/>
            </w:tcBorders>
            <w:shd w:val="clear" w:color="auto" w:fill="auto"/>
            <w:vAlign w:val="center"/>
            <w:hideMark/>
          </w:tcPr>
          <w:p w14:paraId="6E33B386"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2</w:t>
            </w:r>
          </w:p>
        </w:tc>
        <w:tc>
          <w:tcPr>
            <w:tcW w:w="709" w:type="dxa"/>
            <w:tcBorders>
              <w:top w:val="single" w:sz="4" w:space="0" w:color="auto"/>
              <w:left w:val="nil"/>
              <w:bottom w:val="single" w:sz="4" w:space="0" w:color="auto"/>
              <w:right w:val="single" w:sz="4" w:space="0" w:color="auto"/>
            </w:tcBorders>
          </w:tcPr>
          <w:p w14:paraId="0B9F3A64" w14:textId="687B935D"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07B2027" w14:textId="411B2576"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w:t>
            </w:r>
            <w:r>
              <w:rPr>
                <w:rFonts w:ascii="Times New Roman" w:eastAsia="Times New Roman" w:hAnsi="Times New Roman" w:cs="Times New Roman"/>
                <w:color w:val="000000"/>
                <w:lang w:eastAsia="lv-LV"/>
              </w:rPr>
              <w:t>2</w:t>
            </w:r>
          </w:p>
        </w:tc>
        <w:tc>
          <w:tcPr>
            <w:tcW w:w="2835" w:type="dxa"/>
            <w:tcBorders>
              <w:top w:val="nil"/>
              <w:left w:val="nil"/>
              <w:bottom w:val="single" w:sz="4" w:space="0" w:color="auto"/>
              <w:right w:val="single" w:sz="4" w:space="0" w:color="auto"/>
            </w:tcBorders>
            <w:shd w:val="clear" w:color="auto" w:fill="auto"/>
            <w:noWrap/>
            <w:vAlign w:val="center"/>
            <w:hideMark/>
          </w:tcPr>
          <w:p w14:paraId="1E8D5767" w14:textId="602D94DE"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92</w:t>
            </w: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31</w:t>
            </w:r>
            <w:r w:rsidRPr="00217F39">
              <w:rPr>
                <w:rFonts w:ascii="Times New Roman" w:eastAsia="Times New Roman" w:hAnsi="Times New Roman" w:cs="Times New Roman"/>
                <w:color w:val="000000"/>
                <w:lang w:eastAsia="lv-LV"/>
              </w:rPr>
              <w:t> %</w:t>
            </w:r>
          </w:p>
        </w:tc>
      </w:tr>
      <w:tr w:rsidR="00762B45" w:rsidRPr="00217F39" w14:paraId="17D8E941" w14:textId="77777777" w:rsidTr="00762B45">
        <w:trPr>
          <w:trHeight w:val="458"/>
        </w:trPr>
        <w:tc>
          <w:tcPr>
            <w:tcW w:w="1475" w:type="dxa"/>
            <w:tcBorders>
              <w:top w:val="nil"/>
              <w:left w:val="single" w:sz="4" w:space="0" w:color="auto"/>
              <w:bottom w:val="single" w:sz="4" w:space="0" w:color="auto"/>
              <w:right w:val="single" w:sz="4" w:space="0" w:color="auto"/>
            </w:tcBorders>
            <w:shd w:val="clear" w:color="auto" w:fill="auto"/>
            <w:vAlign w:val="center"/>
            <w:hideMark/>
          </w:tcPr>
          <w:p w14:paraId="65A13292" w14:textId="77777777" w:rsidR="00762B45" w:rsidRPr="00217F39" w:rsidRDefault="00762B45" w:rsidP="00217F39">
            <w:pPr>
              <w:spacing w:before="0" w:after="0" w:line="240" w:lineRule="auto"/>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Būvlaukumi, kuros EDLUS nav reģistrēti vai reģistrēti nepilnīgi dati par līgumu ar būvniecības ierosinātāju</w:t>
            </w:r>
          </w:p>
        </w:tc>
        <w:tc>
          <w:tcPr>
            <w:tcW w:w="236" w:type="dxa"/>
            <w:tcBorders>
              <w:top w:val="nil"/>
              <w:left w:val="nil"/>
              <w:bottom w:val="single" w:sz="4" w:space="0" w:color="auto"/>
              <w:right w:val="nil"/>
            </w:tcBorders>
          </w:tcPr>
          <w:p w14:paraId="797CA5A7"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p>
        </w:tc>
        <w:tc>
          <w:tcPr>
            <w:tcW w:w="656" w:type="dxa"/>
            <w:tcBorders>
              <w:top w:val="nil"/>
              <w:left w:val="nil"/>
              <w:bottom w:val="single" w:sz="4" w:space="0" w:color="auto"/>
              <w:right w:val="single" w:sz="4" w:space="0" w:color="auto"/>
            </w:tcBorders>
            <w:shd w:val="clear" w:color="auto" w:fill="auto"/>
            <w:vAlign w:val="center"/>
            <w:hideMark/>
          </w:tcPr>
          <w:p w14:paraId="741DF43C" w14:textId="42C422ED"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10</w:t>
            </w:r>
          </w:p>
        </w:tc>
        <w:tc>
          <w:tcPr>
            <w:tcW w:w="850" w:type="dxa"/>
            <w:tcBorders>
              <w:top w:val="nil"/>
              <w:left w:val="nil"/>
              <w:bottom w:val="single" w:sz="4" w:space="0" w:color="auto"/>
              <w:right w:val="single" w:sz="4" w:space="0" w:color="auto"/>
            </w:tcBorders>
            <w:shd w:val="clear" w:color="auto" w:fill="auto"/>
            <w:vAlign w:val="center"/>
            <w:hideMark/>
          </w:tcPr>
          <w:p w14:paraId="3C2FA2E6"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31</w:t>
            </w:r>
          </w:p>
        </w:tc>
        <w:tc>
          <w:tcPr>
            <w:tcW w:w="851" w:type="dxa"/>
            <w:tcBorders>
              <w:top w:val="nil"/>
              <w:left w:val="nil"/>
              <w:bottom w:val="single" w:sz="4" w:space="0" w:color="auto"/>
              <w:right w:val="single" w:sz="4" w:space="0" w:color="auto"/>
            </w:tcBorders>
            <w:shd w:val="clear" w:color="auto" w:fill="auto"/>
            <w:vAlign w:val="center"/>
            <w:hideMark/>
          </w:tcPr>
          <w:p w14:paraId="0A892A33"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w:t>
            </w:r>
          </w:p>
        </w:tc>
        <w:tc>
          <w:tcPr>
            <w:tcW w:w="850" w:type="dxa"/>
            <w:tcBorders>
              <w:top w:val="nil"/>
              <w:left w:val="nil"/>
              <w:bottom w:val="single" w:sz="4" w:space="0" w:color="auto"/>
              <w:right w:val="single" w:sz="4" w:space="0" w:color="auto"/>
            </w:tcBorders>
            <w:shd w:val="clear" w:color="auto" w:fill="auto"/>
            <w:vAlign w:val="center"/>
            <w:hideMark/>
          </w:tcPr>
          <w:p w14:paraId="4B24956F"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3</w:t>
            </w:r>
          </w:p>
        </w:tc>
        <w:tc>
          <w:tcPr>
            <w:tcW w:w="709" w:type="dxa"/>
            <w:tcBorders>
              <w:top w:val="single" w:sz="4" w:space="0" w:color="auto"/>
              <w:left w:val="nil"/>
              <w:bottom w:val="single" w:sz="4" w:space="0" w:color="auto"/>
              <w:right w:val="single" w:sz="4" w:space="0" w:color="auto"/>
            </w:tcBorders>
          </w:tcPr>
          <w:p w14:paraId="0253014C" w14:textId="59FC799B"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x</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58591EC" w14:textId="4979064B"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8</w:t>
            </w:r>
          </w:p>
        </w:tc>
        <w:tc>
          <w:tcPr>
            <w:tcW w:w="2835" w:type="dxa"/>
            <w:tcBorders>
              <w:top w:val="nil"/>
              <w:left w:val="nil"/>
              <w:bottom w:val="single" w:sz="4" w:space="0" w:color="auto"/>
              <w:right w:val="single" w:sz="4" w:space="0" w:color="auto"/>
            </w:tcBorders>
            <w:shd w:val="clear" w:color="auto" w:fill="auto"/>
            <w:noWrap/>
            <w:vAlign w:val="center"/>
            <w:hideMark/>
          </w:tcPr>
          <w:p w14:paraId="003BF955" w14:textId="4FB4FF69"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100</w:t>
            </w:r>
            <w:r w:rsidRPr="00217F39">
              <w:rPr>
                <w:rFonts w:ascii="Times New Roman" w:eastAsia="Times New Roman" w:hAnsi="Times New Roman" w:cs="Times New Roman"/>
                <w:color w:val="000000"/>
                <w:lang w:eastAsia="lv-LV"/>
              </w:rPr>
              <w:t> %</w:t>
            </w:r>
          </w:p>
        </w:tc>
      </w:tr>
      <w:tr w:rsidR="00762B45" w:rsidRPr="00217F39" w14:paraId="2CFECDDB" w14:textId="77777777" w:rsidTr="00762B45">
        <w:trPr>
          <w:trHeight w:val="229"/>
        </w:trPr>
        <w:tc>
          <w:tcPr>
            <w:tcW w:w="1475" w:type="dxa"/>
            <w:tcBorders>
              <w:top w:val="nil"/>
              <w:left w:val="single" w:sz="4" w:space="0" w:color="auto"/>
              <w:bottom w:val="single" w:sz="4" w:space="0" w:color="auto"/>
              <w:right w:val="single" w:sz="4" w:space="0" w:color="auto"/>
            </w:tcBorders>
            <w:shd w:val="clear" w:color="auto" w:fill="auto"/>
            <w:vAlign w:val="center"/>
            <w:hideMark/>
          </w:tcPr>
          <w:p w14:paraId="77791F01" w14:textId="77777777" w:rsidR="00762B45" w:rsidRPr="00217F39" w:rsidRDefault="00762B45" w:rsidP="00217F39">
            <w:pPr>
              <w:spacing w:before="0" w:after="0" w:line="240" w:lineRule="auto"/>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Būvlaukumi, kuros EDLUS nebija reģistrēti darba ņēmēji</w:t>
            </w:r>
          </w:p>
        </w:tc>
        <w:tc>
          <w:tcPr>
            <w:tcW w:w="236" w:type="dxa"/>
            <w:tcBorders>
              <w:top w:val="nil"/>
              <w:left w:val="nil"/>
              <w:bottom w:val="single" w:sz="4" w:space="0" w:color="auto"/>
              <w:right w:val="nil"/>
            </w:tcBorders>
          </w:tcPr>
          <w:p w14:paraId="1D803B24"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p>
        </w:tc>
        <w:tc>
          <w:tcPr>
            <w:tcW w:w="656" w:type="dxa"/>
            <w:tcBorders>
              <w:top w:val="nil"/>
              <w:left w:val="nil"/>
              <w:bottom w:val="single" w:sz="4" w:space="0" w:color="auto"/>
              <w:right w:val="single" w:sz="4" w:space="0" w:color="auto"/>
            </w:tcBorders>
            <w:shd w:val="clear" w:color="auto" w:fill="auto"/>
            <w:vAlign w:val="center"/>
            <w:hideMark/>
          </w:tcPr>
          <w:p w14:paraId="7CA76100" w14:textId="3DEBE36A"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w:t>
            </w:r>
          </w:p>
        </w:tc>
        <w:tc>
          <w:tcPr>
            <w:tcW w:w="850" w:type="dxa"/>
            <w:tcBorders>
              <w:top w:val="nil"/>
              <w:left w:val="nil"/>
              <w:bottom w:val="single" w:sz="4" w:space="0" w:color="auto"/>
              <w:right w:val="single" w:sz="4" w:space="0" w:color="auto"/>
            </w:tcBorders>
            <w:shd w:val="clear" w:color="auto" w:fill="auto"/>
            <w:vAlign w:val="center"/>
            <w:hideMark/>
          </w:tcPr>
          <w:p w14:paraId="3C414824"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49</w:t>
            </w:r>
          </w:p>
        </w:tc>
        <w:tc>
          <w:tcPr>
            <w:tcW w:w="851" w:type="dxa"/>
            <w:tcBorders>
              <w:top w:val="nil"/>
              <w:left w:val="nil"/>
              <w:bottom w:val="single" w:sz="4" w:space="0" w:color="auto"/>
              <w:right w:val="single" w:sz="4" w:space="0" w:color="auto"/>
            </w:tcBorders>
            <w:shd w:val="clear" w:color="auto" w:fill="auto"/>
            <w:vAlign w:val="center"/>
            <w:hideMark/>
          </w:tcPr>
          <w:p w14:paraId="2F7972C2"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51</w:t>
            </w:r>
          </w:p>
        </w:tc>
        <w:tc>
          <w:tcPr>
            <w:tcW w:w="850" w:type="dxa"/>
            <w:tcBorders>
              <w:top w:val="nil"/>
              <w:left w:val="nil"/>
              <w:bottom w:val="single" w:sz="4" w:space="0" w:color="auto"/>
              <w:right w:val="single" w:sz="4" w:space="0" w:color="auto"/>
            </w:tcBorders>
            <w:shd w:val="clear" w:color="auto" w:fill="auto"/>
            <w:vAlign w:val="center"/>
            <w:hideMark/>
          </w:tcPr>
          <w:p w14:paraId="6134429C" w14:textId="77777777"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18</w:t>
            </w:r>
          </w:p>
        </w:tc>
        <w:tc>
          <w:tcPr>
            <w:tcW w:w="709" w:type="dxa"/>
            <w:tcBorders>
              <w:top w:val="single" w:sz="4" w:space="0" w:color="auto"/>
              <w:left w:val="nil"/>
              <w:bottom w:val="single" w:sz="4" w:space="0" w:color="auto"/>
              <w:right w:val="single" w:sz="4" w:space="0" w:color="auto"/>
            </w:tcBorders>
          </w:tcPr>
          <w:p w14:paraId="6295E579" w14:textId="45D20BC5"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CEC351D" w14:textId="42F350B3"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48</w:t>
            </w:r>
          </w:p>
        </w:tc>
        <w:tc>
          <w:tcPr>
            <w:tcW w:w="2835" w:type="dxa"/>
            <w:tcBorders>
              <w:top w:val="nil"/>
              <w:left w:val="nil"/>
              <w:bottom w:val="single" w:sz="4" w:space="0" w:color="auto"/>
              <w:right w:val="single" w:sz="4" w:space="0" w:color="auto"/>
            </w:tcBorders>
            <w:shd w:val="clear" w:color="auto" w:fill="auto"/>
            <w:noWrap/>
            <w:vAlign w:val="center"/>
            <w:hideMark/>
          </w:tcPr>
          <w:p w14:paraId="7CBE5639" w14:textId="287F53D1" w:rsidR="00762B45" w:rsidRPr="00217F39" w:rsidRDefault="00762B45"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w:t>
            </w:r>
            <w:r>
              <w:rPr>
                <w:rFonts w:ascii="Times New Roman" w:eastAsia="Times New Roman" w:hAnsi="Times New Roman" w:cs="Times New Roman"/>
                <w:color w:val="000000"/>
                <w:lang w:eastAsia="lv-LV"/>
              </w:rPr>
              <w:t>9</w:t>
            </w:r>
            <w:r w:rsidRPr="00217F39">
              <w:rPr>
                <w:rFonts w:ascii="Times New Roman" w:eastAsia="Times New Roman" w:hAnsi="Times New Roman" w:cs="Times New Roman"/>
                <w:color w:val="000000"/>
                <w:lang w:eastAsia="lv-LV"/>
              </w:rPr>
              <w:t>4,</w:t>
            </w:r>
            <w:r>
              <w:rPr>
                <w:rFonts w:ascii="Times New Roman" w:eastAsia="Times New Roman" w:hAnsi="Times New Roman" w:cs="Times New Roman"/>
                <w:color w:val="000000"/>
                <w:lang w:eastAsia="lv-LV"/>
              </w:rPr>
              <w:t>12</w:t>
            </w:r>
            <w:r w:rsidRPr="00217F39">
              <w:rPr>
                <w:rFonts w:ascii="Times New Roman" w:eastAsia="Times New Roman" w:hAnsi="Times New Roman" w:cs="Times New Roman"/>
                <w:color w:val="000000"/>
                <w:lang w:eastAsia="lv-LV"/>
              </w:rPr>
              <w:t> %</w:t>
            </w:r>
          </w:p>
        </w:tc>
      </w:tr>
    </w:tbl>
    <w:p w14:paraId="462C1BDB" w14:textId="77777777" w:rsidR="00217F39" w:rsidRPr="00217F39" w:rsidRDefault="00217F39" w:rsidP="00217F39">
      <w:pPr>
        <w:spacing w:before="0" w:after="0" w:line="240" w:lineRule="auto"/>
        <w:ind w:firstLine="720"/>
        <w:jc w:val="both"/>
        <w:rPr>
          <w:rFonts w:ascii="Times New Roman" w:eastAsia="Century Gothic" w:hAnsi="Times New Roman" w:cs="Times New Roman"/>
          <w:sz w:val="28"/>
          <w:szCs w:val="28"/>
        </w:rPr>
      </w:pPr>
    </w:p>
    <w:p w14:paraId="25357D79"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Pārbaužu rezultāti liecina, ka gan 2019., gan 2020.gadā, salīdzinot ar iepriekšējo periodu, ir samazinājies to pārkāpumu skaits, kuri attiecas uz būvlaukumā izmantojamo EDLUS risinājumu vai pašu būvuzņēmēju praktisko iemaņu apguvi EDLUS lietošanā. Piemēram, ir samazinājies to būvlaukumu skaits, kuros nevarēja uzrādīt vai izsniegt EDLUS datus, EDLUS nebija nodrošināta pilnīga informācijas reģistrēšana par darba devēju vai darba ņēmēju, kā arī EDLUS nebija reģistrēti vai bija reģistrēti nepilnīgi dati par līgumu ar būvniecības ierosinātāju.</w:t>
      </w:r>
    </w:p>
    <w:p w14:paraId="04F3A86F" w14:textId="77777777" w:rsidR="00175CAC" w:rsidRPr="00C33C9F" w:rsidRDefault="00217F39" w:rsidP="00175CAC">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Nodokļu kontroles pasākumu laikā 2020.gadā konstatēts viens gadījums (2020.gada februārī), kad būvlaukumā, kas atbilst EDLUS ieviešanas kritērijiem, EDLUS uz pārbaudes brīdi nebija ieviesta. Kontroles pasākumu rezultātā tas tika novērsts un EDLUS tika ieviesta.</w:t>
      </w:r>
      <w:r w:rsidR="00175CAC">
        <w:rPr>
          <w:rFonts w:ascii="Times New Roman" w:eastAsia="Century Gothic" w:hAnsi="Times New Roman" w:cs="Times New Roman"/>
          <w:color w:val="000000"/>
          <w:sz w:val="28"/>
          <w:szCs w:val="28"/>
        </w:rPr>
        <w:t xml:space="preserve"> </w:t>
      </w:r>
      <w:r w:rsidR="00175CAC" w:rsidRPr="00C33C9F">
        <w:rPr>
          <w:rFonts w:ascii="Times New Roman" w:eastAsia="Century Gothic" w:hAnsi="Times New Roman" w:cs="Times New Roman"/>
          <w:color w:val="000000"/>
          <w:sz w:val="28"/>
          <w:szCs w:val="28"/>
        </w:rPr>
        <w:t>2021. gadā konstatēti četri gadījumi, kad būvlaukumā, kas atbilst EDLUS ieviešanas kritērijiem, nebija ieviesta EDLUS. Pārbaudes rezultātā pārkāpums netika novērsts vienā gadījumā, jo būvniecības objektā būvniecības darbi tika pabeigti, savukārt trīs gadījumos kontroles pasākumu rezultātā EDLUS tika ieviesta un pārkāpums novērsts.</w:t>
      </w:r>
    </w:p>
    <w:p w14:paraId="018FEA7B" w14:textId="7A43706E"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Joprojām būvlaukumos konstatētas nodarbinātās personas, kuras nepilda likumā “Par nodokļiem un nodevām” noteikto pienākumu veikt darba laika </w:t>
      </w:r>
      <w:r w:rsidRPr="00217F39">
        <w:rPr>
          <w:rFonts w:ascii="Times New Roman" w:eastAsia="Century Gothic" w:hAnsi="Times New Roman" w:cs="Times New Roman"/>
          <w:color w:val="000000"/>
          <w:sz w:val="28"/>
          <w:szCs w:val="28"/>
        </w:rPr>
        <w:lastRenderedPageBreak/>
        <w:t xml:space="preserve">reģistrāciju EDLUS – ieejot būvlaukumā, reģistrēt darba laika sākumu un, izejot no būvlaukuma, reģistrēt darba laika beigas (skatīt </w:t>
      </w:r>
      <w:r w:rsidR="00E1398B">
        <w:rPr>
          <w:rFonts w:ascii="Times New Roman" w:eastAsia="Century Gothic" w:hAnsi="Times New Roman" w:cs="Times New Roman"/>
          <w:color w:val="000000"/>
          <w:sz w:val="28"/>
          <w:szCs w:val="28"/>
        </w:rPr>
        <w:t>5</w:t>
      </w:r>
      <w:r w:rsidRPr="00217F39">
        <w:rPr>
          <w:rFonts w:ascii="Times New Roman" w:eastAsia="Century Gothic" w:hAnsi="Times New Roman" w:cs="Times New Roman"/>
          <w:color w:val="000000"/>
          <w:sz w:val="28"/>
          <w:szCs w:val="28"/>
        </w:rPr>
        <w:t>.tabulu). Izvērtējot nereģistrēto nodarbināto personu vidējo skaitu uz vienu būvlaukumu, kuros konstatēti nodarbināto nereģistrēšanās gadījumi, konstatētas pozitīvas tendences, kas liecina par reģistrācijas EDLUS paraduma nostiprināšanu nodarbināto vidū.</w:t>
      </w:r>
    </w:p>
    <w:p w14:paraId="24BEC41A" w14:textId="2EAE8F2D" w:rsidR="00217F39" w:rsidRPr="00217F39" w:rsidRDefault="00E1398B" w:rsidP="00217F39">
      <w:pPr>
        <w:spacing w:before="0" w:after="0" w:line="259" w:lineRule="auto"/>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5</w:t>
      </w:r>
      <w:r w:rsidR="00217F39" w:rsidRPr="00217F39">
        <w:rPr>
          <w:rFonts w:ascii="Times New Roman" w:eastAsia="Century Gothic" w:hAnsi="Times New Roman" w:cs="Times New Roman"/>
          <w:sz w:val="28"/>
          <w:szCs w:val="28"/>
        </w:rPr>
        <w:t>.tabula</w:t>
      </w:r>
    </w:p>
    <w:p w14:paraId="4575F01A" w14:textId="77777777" w:rsidR="00217F39" w:rsidRPr="00217F39" w:rsidRDefault="00217F39" w:rsidP="00217F39">
      <w:pPr>
        <w:spacing w:before="0" w:after="120" w:line="240" w:lineRule="auto"/>
        <w:jc w:val="center"/>
        <w:rPr>
          <w:rFonts w:ascii="Times New Roman" w:eastAsia="Century Gothic" w:hAnsi="Times New Roman" w:cs="Times New Roman"/>
          <w:b/>
          <w:sz w:val="28"/>
          <w:szCs w:val="28"/>
        </w:rPr>
      </w:pPr>
      <w:r w:rsidRPr="00217F39">
        <w:rPr>
          <w:rFonts w:ascii="Times New Roman" w:eastAsia="Century Gothic" w:hAnsi="Times New Roman" w:cs="Times New Roman"/>
          <w:b/>
          <w:sz w:val="28"/>
          <w:szCs w:val="28"/>
        </w:rPr>
        <w:t>Informācija par darba ņēmēju nereģistrēšanos EDLUS</w:t>
      </w:r>
    </w:p>
    <w:tbl>
      <w:tblPr>
        <w:tblStyle w:val="TableGrid4"/>
        <w:tblW w:w="0" w:type="auto"/>
        <w:jc w:val="center"/>
        <w:tblLook w:val="04A0" w:firstRow="1" w:lastRow="0" w:firstColumn="1" w:lastColumn="0" w:noHBand="0" w:noVBand="1"/>
      </w:tblPr>
      <w:tblGrid>
        <w:gridCol w:w="1129"/>
        <w:gridCol w:w="3119"/>
      </w:tblGrid>
      <w:tr w:rsidR="00217F39" w:rsidRPr="00217F39" w14:paraId="7C8A4378" w14:textId="77777777" w:rsidTr="006347BE">
        <w:trPr>
          <w:tblHeader/>
          <w:jc w:val="center"/>
        </w:trPr>
        <w:tc>
          <w:tcPr>
            <w:tcW w:w="1129" w:type="dxa"/>
            <w:vAlign w:val="center"/>
          </w:tcPr>
          <w:p w14:paraId="5888DEB0"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Century Gothic" w:hAnsi="Times New Roman"/>
                <w:b/>
                <w:sz w:val="20"/>
                <w:szCs w:val="20"/>
              </w:rPr>
              <w:t>Gads</w:t>
            </w:r>
          </w:p>
        </w:tc>
        <w:tc>
          <w:tcPr>
            <w:tcW w:w="3119" w:type="dxa"/>
            <w:vAlign w:val="center"/>
          </w:tcPr>
          <w:p w14:paraId="15D3E1CD" w14:textId="77777777" w:rsidR="00217F39" w:rsidRPr="00217F39" w:rsidRDefault="00217F39" w:rsidP="00217F39">
            <w:pPr>
              <w:tabs>
                <w:tab w:val="left" w:pos="2593"/>
              </w:tabs>
              <w:jc w:val="center"/>
              <w:rPr>
                <w:rFonts w:ascii="Times New Roman" w:eastAsia="Century Gothic" w:hAnsi="Times New Roman"/>
                <w:b/>
                <w:sz w:val="20"/>
                <w:szCs w:val="20"/>
              </w:rPr>
            </w:pPr>
            <w:r w:rsidRPr="00217F39">
              <w:rPr>
                <w:rFonts w:ascii="Times New Roman" w:eastAsia="Century Gothic" w:hAnsi="Times New Roman"/>
                <w:b/>
                <w:sz w:val="20"/>
                <w:szCs w:val="20"/>
              </w:rPr>
              <w:t>Vidējais nereģistrēto nodarbināto skaits uz vienu būvlaukumu</w:t>
            </w:r>
          </w:p>
        </w:tc>
      </w:tr>
      <w:tr w:rsidR="00217F39" w:rsidRPr="00217F39" w14:paraId="68ADC820" w14:textId="77777777" w:rsidTr="006347BE">
        <w:trPr>
          <w:jc w:val="center"/>
        </w:trPr>
        <w:tc>
          <w:tcPr>
            <w:tcW w:w="1129" w:type="dxa"/>
          </w:tcPr>
          <w:p w14:paraId="5F4B562B"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2017</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bottom"/>
          </w:tcPr>
          <w:p w14:paraId="683587F6" w14:textId="77777777" w:rsidR="00217F39" w:rsidRPr="00217F39" w:rsidRDefault="00217F39" w:rsidP="00217F39">
            <w:pPr>
              <w:tabs>
                <w:tab w:val="left" w:pos="2593"/>
              </w:tabs>
              <w:jc w:val="center"/>
              <w:rPr>
                <w:rFonts w:ascii="Times New Roman" w:eastAsia="Century Gothic" w:hAnsi="Times New Roman"/>
                <w:b/>
                <w:sz w:val="20"/>
                <w:szCs w:val="20"/>
              </w:rPr>
            </w:pPr>
            <w:r w:rsidRPr="00217F39">
              <w:rPr>
                <w:rFonts w:ascii="Times New Roman" w:eastAsia="Century Gothic" w:hAnsi="Times New Roman"/>
                <w:color w:val="000000"/>
                <w:sz w:val="20"/>
                <w:szCs w:val="20"/>
              </w:rPr>
              <w:t>6</w:t>
            </w:r>
          </w:p>
        </w:tc>
      </w:tr>
      <w:tr w:rsidR="00217F39" w:rsidRPr="00217F39" w14:paraId="33872EA8" w14:textId="77777777" w:rsidTr="006347BE">
        <w:trPr>
          <w:jc w:val="center"/>
        </w:trPr>
        <w:tc>
          <w:tcPr>
            <w:tcW w:w="1129" w:type="dxa"/>
          </w:tcPr>
          <w:p w14:paraId="6DE352B5"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2018</w:t>
            </w:r>
          </w:p>
        </w:tc>
        <w:tc>
          <w:tcPr>
            <w:tcW w:w="3119" w:type="dxa"/>
            <w:tcBorders>
              <w:top w:val="nil"/>
              <w:left w:val="single" w:sz="4" w:space="0" w:color="auto"/>
              <w:bottom w:val="single" w:sz="4" w:space="0" w:color="auto"/>
              <w:right w:val="single" w:sz="4" w:space="0" w:color="auto"/>
            </w:tcBorders>
            <w:shd w:val="clear" w:color="000000" w:fill="FFFFFF"/>
            <w:vAlign w:val="bottom"/>
          </w:tcPr>
          <w:p w14:paraId="44E8D6D9"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Century Gothic" w:hAnsi="Times New Roman"/>
                <w:color w:val="000000"/>
                <w:sz w:val="20"/>
                <w:szCs w:val="20"/>
              </w:rPr>
              <w:t>5</w:t>
            </w:r>
          </w:p>
        </w:tc>
      </w:tr>
      <w:tr w:rsidR="00217F39" w:rsidRPr="00217F39" w14:paraId="2F865BA0" w14:textId="77777777" w:rsidTr="00830AA2">
        <w:trPr>
          <w:trHeight w:val="70"/>
          <w:jc w:val="center"/>
        </w:trPr>
        <w:tc>
          <w:tcPr>
            <w:tcW w:w="1129" w:type="dxa"/>
          </w:tcPr>
          <w:p w14:paraId="6415A51E"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2019</w:t>
            </w:r>
          </w:p>
        </w:tc>
        <w:tc>
          <w:tcPr>
            <w:tcW w:w="3119" w:type="dxa"/>
            <w:tcBorders>
              <w:top w:val="nil"/>
              <w:left w:val="single" w:sz="4" w:space="0" w:color="auto"/>
              <w:bottom w:val="single" w:sz="4" w:space="0" w:color="auto"/>
              <w:right w:val="single" w:sz="4" w:space="0" w:color="auto"/>
            </w:tcBorders>
            <w:shd w:val="clear" w:color="000000" w:fill="FFFFFF"/>
            <w:vAlign w:val="bottom"/>
          </w:tcPr>
          <w:p w14:paraId="2D6C51AE"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Century Gothic" w:hAnsi="Times New Roman"/>
                <w:color w:val="000000"/>
                <w:sz w:val="20"/>
                <w:szCs w:val="20"/>
              </w:rPr>
              <w:t>5</w:t>
            </w:r>
          </w:p>
        </w:tc>
      </w:tr>
      <w:tr w:rsidR="00217F39" w:rsidRPr="00217F39" w14:paraId="5420BA1C" w14:textId="77777777" w:rsidTr="00830AA2">
        <w:trPr>
          <w:jc w:val="center"/>
        </w:trPr>
        <w:tc>
          <w:tcPr>
            <w:tcW w:w="1129" w:type="dxa"/>
          </w:tcPr>
          <w:p w14:paraId="5075D3AE" w14:textId="77777777" w:rsidR="00217F39" w:rsidRPr="00217F39" w:rsidRDefault="00217F39" w:rsidP="00217F39">
            <w:pPr>
              <w:jc w:val="center"/>
              <w:rPr>
                <w:rFonts w:ascii="Times New Roman" w:eastAsia="Century Gothic" w:hAnsi="Times New Roman"/>
                <w:sz w:val="20"/>
                <w:szCs w:val="20"/>
              </w:rPr>
            </w:pPr>
            <w:r w:rsidRPr="00217F39">
              <w:rPr>
                <w:rFonts w:ascii="Times New Roman" w:eastAsia="Century Gothic" w:hAnsi="Times New Roman"/>
                <w:sz w:val="20"/>
                <w:szCs w:val="20"/>
              </w:rPr>
              <w:t>2020</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bottom"/>
          </w:tcPr>
          <w:p w14:paraId="534689C9" w14:textId="77777777" w:rsidR="00217F39" w:rsidRPr="00217F39" w:rsidRDefault="00217F39" w:rsidP="00217F39">
            <w:pPr>
              <w:jc w:val="center"/>
              <w:rPr>
                <w:rFonts w:ascii="Times New Roman" w:eastAsia="Century Gothic" w:hAnsi="Times New Roman"/>
                <w:b/>
                <w:sz w:val="20"/>
                <w:szCs w:val="20"/>
              </w:rPr>
            </w:pPr>
            <w:r w:rsidRPr="00217F39">
              <w:rPr>
                <w:rFonts w:ascii="Times New Roman" w:eastAsia="Century Gothic" w:hAnsi="Times New Roman"/>
                <w:color w:val="000000"/>
                <w:sz w:val="20"/>
                <w:szCs w:val="20"/>
              </w:rPr>
              <w:t>3</w:t>
            </w:r>
          </w:p>
        </w:tc>
      </w:tr>
      <w:tr w:rsidR="002D2A74" w:rsidRPr="00217F39" w14:paraId="0C4E6BF8" w14:textId="77777777" w:rsidTr="00830AA2">
        <w:trPr>
          <w:jc w:val="center"/>
        </w:trPr>
        <w:tc>
          <w:tcPr>
            <w:tcW w:w="1129" w:type="dxa"/>
          </w:tcPr>
          <w:p w14:paraId="7144BFF5" w14:textId="2FB3E093" w:rsidR="002D2A74" w:rsidRPr="00217F39" w:rsidRDefault="002D2A74" w:rsidP="00217F39">
            <w:pPr>
              <w:jc w:val="center"/>
              <w:rPr>
                <w:rFonts w:ascii="Times New Roman" w:eastAsia="Century Gothic" w:hAnsi="Times New Roman"/>
              </w:rPr>
            </w:pPr>
            <w:r>
              <w:rPr>
                <w:rFonts w:ascii="Times New Roman" w:eastAsia="Century Gothic" w:hAnsi="Times New Roman"/>
              </w:rPr>
              <w:t>2021</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bottom"/>
          </w:tcPr>
          <w:p w14:paraId="75850CF1" w14:textId="22BB2944" w:rsidR="002D2A74" w:rsidRPr="00217F39" w:rsidRDefault="002D2A74" w:rsidP="00217F39">
            <w:pPr>
              <w:jc w:val="center"/>
              <w:rPr>
                <w:rFonts w:ascii="Times New Roman" w:eastAsia="Century Gothic" w:hAnsi="Times New Roman"/>
                <w:color w:val="000000"/>
              </w:rPr>
            </w:pPr>
            <w:r>
              <w:rPr>
                <w:rFonts w:ascii="Times New Roman" w:eastAsia="Century Gothic" w:hAnsi="Times New Roman"/>
                <w:color w:val="000000"/>
              </w:rPr>
              <w:t>1</w:t>
            </w:r>
          </w:p>
        </w:tc>
      </w:tr>
    </w:tbl>
    <w:p w14:paraId="0690B910" w14:textId="77777777"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16"/>
          <w:szCs w:val="16"/>
        </w:rPr>
      </w:pPr>
    </w:p>
    <w:p w14:paraId="79185C12" w14:textId="58C1BFFE"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Lai novērtētu būvuzņēmēju EDLU regulējuma ievērošanu, tajā skaitā pienākumu reģistrēties EDLUS, ieejot būvlaukumā, apkopota informācija par 2017.–202</w:t>
      </w:r>
      <w:r w:rsidR="00175CAC">
        <w:rPr>
          <w:rFonts w:ascii="Times New Roman" w:eastAsia="Century Gothic" w:hAnsi="Times New Roman" w:cs="Times New Roman"/>
          <w:color w:val="000000"/>
          <w:sz w:val="28"/>
          <w:szCs w:val="28"/>
        </w:rPr>
        <w:t>1</w:t>
      </w:r>
      <w:r w:rsidRPr="00217F39">
        <w:rPr>
          <w:rFonts w:ascii="Times New Roman" w:eastAsia="Century Gothic" w:hAnsi="Times New Roman" w:cs="Times New Roman"/>
          <w:color w:val="000000"/>
          <w:sz w:val="28"/>
          <w:szCs w:val="28"/>
        </w:rPr>
        <w:t xml:space="preserve">.gadā būvobjektos konstatēto nereģistrēto nodarbināto personu skaitu uz pārbaudes uzsākšanas brīdi. Informāciju par to būvlaukumu skaitu, kuros tika konstatētas EDLUS nereģistrētas nodarbinātas personas, skatīt </w:t>
      </w:r>
      <w:r w:rsidR="008901AF">
        <w:rPr>
          <w:rFonts w:ascii="Times New Roman" w:eastAsia="Century Gothic" w:hAnsi="Times New Roman" w:cs="Times New Roman"/>
          <w:color w:val="000000"/>
          <w:sz w:val="28"/>
          <w:szCs w:val="28"/>
        </w:rPr>
        <w:t>6</w:t>
      </w:r>
      <w:r w:rsidRPr="00217F39">
        <w:rPr>
          <w:rFonts w:ascii="Times New Roman" w:eastAsia="Century Gothic" w:hAnsi="Times New Roman" w:cs="Times New Roman"/>
          <w:color w:val="000000"/>
          <w:sz w:val="28"/>
          <w:szCs w:val="28"/>
        </w:rPr>
        <w:t xml:space="preserve">. un </w:t>
      </w:r>
      <w:r w:rsidR="008901AF">
        <w:rPr>
          <w:rFonts w:ascii="Times New Roman" w:eastAsia="Century Gothic" w:hAnsi="Times New Roman" w:cs="Times New Roman"/>
          <w:color w:val="000000"/>
          <w:sz w:val="28"/>
          <w:szCs w:val="28"/>
        </w:rPr>
        <w:t>7</w:t>
      </w:r>
      <w:r w:rsidRPr="00217F39">
        <w:rPr>
          <w:rFonts w:ascii="Times New Roman" w:eastAsia="Century Gothic" w:hAnsi="Times New Roman" w:cs="Times New Roman"/>
          <w:color w:val="000000"/>
          <w:sz w:val="28"/>
          <w:szCs w:val="28"/>
        </w:rPr>
        <w:t>.tabulā.</w:t>
      </w:r>
    </w:p>
    <w:p w14:paraId="369126C2" w14:textId="77777777"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p>
    <w:p w14:paraId="7988C301" w14:textId="0F838A32" w:rsidR="00217F39" w:rsidRPr="00217F39" w:rsidRDefault="008901AF" w:rsidP="00217F39">
      <w:pPr>
        <w:spacing w:before="0" w:after="0" w:line="240" w:lineRule="auto"/>
        <w:ind w:firstLine="720"/>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6</w:t>
      </w:r>
      <w:r w:rsidR="00217F39" w:rsidRPr="00217F39">
        <w:rPr>
          <w:rFonts w:ascii="Times New Roman" w:eastAsia="Century Gothic" w:hAnsi="Times New Roman" w:cs="Times New Roman"/>
          <w:sz w:val="28"/>
          <w:szCs w:val="28"/>
        </w:rPr>
        <w:t>.tabula</w:t>
      </w:r>
    </w:p>
    <w:p w14:paraId="0EADF819" w14:textId="77777777" w:rsidR="00217F39" w:rsidRPr="00217F39" w:rsidRDefault="00217F39" w:rsidP="00217F39">
      <w:pPr>
        <w:spacing w:before="0" w:after="120" w:line="240" w:lineRule="auto"/>
        <w:jc w:val="center"/>
        <w:rPr>
          <w:rFonts w:ascii="Times New Roman" w:eastAsia="Century Gothic" w:hAnsi="Times New Roman" w:cs="Times New Roman"/>
          <w:b/>
          <w:color w:val="000000"/>
          <w:sz w:val="28"/>
          <w:szCs w:val="28"/>
        </w:rPr>
      </w:pPr>
      <w:r w:rsidRPr="00217F39">
        <w:rPr>
          <w:rFonts w:ascii="Times New Roman" w:eastAsia="Century Gothic" w:hAnsi="Times New Roman" w:cs="Times New Roman"/>
          <w:b/>
          <w:sz w:val="28"/>
          <w:szCs w:val="28"/>
        </w:rPr>
        <w:t>Informācija par būvlaukumiem, kuros tiek konstatētas nereģistrētās nodarbinātās personas EDLUS</w:t>
      </w:r>
    </w:p>
    <w:tbl>
      <w:tblPr>
        <w:tblW w:w="7552" w:type="dxa"/>
        <w:jc w:val="center"/>
        <w:tblLook w:val="04A0" w:firstRow="1" w:lastRow="0" w:firstColumn="1" w:lastColumn="0" w:noHBand="0" w:noVBand="1"/>
      </w:tblPr>
      <w:tblGrid>
        <w:gridCol w:w="1328"/>
        <w:gridCol w:w="1328"/>
        <w:gridCol w:w="1672"/>
        <w:gridCol w:w="1700"/>
        <w:gridCol w:w="1524"/>
      </w:tblGrid>
      <w:tr w:rsidR="00217F39" w:rsidRPr="00217F39" w14:paraId="52C0DF8B" w14:textId="77777777" w:rsidTr="006347BE">
        <w:trPr>
          <w:trHeight w:val="301"/>
          <w:tblHeader/>
          <w:jc w:val="center"/>
        </w:trPr>
        <w:tc>
          <w:tcPr>
            <w:tcW w:w="1328" w:type="dxa"/>
            <w:vMerge w:val="restart"/>
            <w:tcBorders>
              <w:top w:val="single" w:sz="4" w:space="0" w:color="auto"/>
              <w:left w:val="single" w:sz="4" w:space="0" w:color="auto"/>
              <w:right w:val="nil"/>
            </w:tcBorders>
            <w:vAlign w:val="center"/>
          </w:tcPr>
          <w:p w14:paraId="43139EF0"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Gads</w:t>
            </w:r>
          </w:p>
        </w:tc>
        <w:tc>
          <w:tcPr>
            <w:tcW w:w="1328" w:type="dxa"/>
            <w:vMerge w:val="restart"/>
            <w:tcBorders>
              <w:top w:val="single" w:sz="4" w:space="0" w:color="auto"/>
              <w:left w:val="single" w:sz="4" w:space="0" w:color="auto"/>
              <w:bottom w:val="single" w:sz="4" w:space="0" w:color="000000"/>
              <w:right w:val="nil"/>
            </w:tcBorders>
            <w:shd w:val="clear" w:color="auto" w:fill="auto"/>
            <w:vAlign w:val="center"/>
            <w:hideMark/>
          </w:tcPr>
          <w:p w14:paraId="62C53E71"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bCs/>
                <w:color w:val="000000"/>
                <w:lang w:eastAsia="lv-LV"/>
              </w:rPr>
              <w:t>Būvlaukumu skaits</w:t>
            </w:r>
          </w:p>
        </w:tc>
        <w:tc>
          <w:tcPr>
            <w:tcW w:w="4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96C69"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Darba ņēmēju skaits</w:t>
            </w:r>
          </w:p>
        </w:tc>
      </w:tr>
      <w:tr w:rsidR="00217F39" w:rsidRPr="00217F39" w14:paraId="58DC25CF" w14:textId="77777777" w:rsidTr="006347BE">
        <w:trPr>
          <w:trHeight w:val="548"/>
          <w:tblHeader/>
          <w:jc w:val="center"/>
        </w:trPr>
        <w:tc>
          <w:tcPr>
            <w:tcW w:w="1328" w:type="dxa"/>
            <w:vMerge/>
            <w:tcBorders>
              <w:left w:val="single" w:sz="4" w:space="0" w:color="auto"/>
              <w:bottom w:val="single" w:sz="4" w:space="0" w:color="000000"/>
              <w:right w:val="nil"/>
            </w:tcBorders>
          </w:tcPr>
          <w:p w14:paraId="4C4CCACF" w14:textId="77777777" w:rsidR="00217F39" w:rsidRPr="00217F39" w:rsidRDefault="00217F39" w:rsidP="00217F39">
            <w:pPr>
              <w:spacing w:before="0" w:after="0" w:line="240" w:lineRule="auto"/>
              <w:rPr>
                <w:rFonts w:ascii="Times New Roman" w:eastAsia="Times New Roman" w:hAnsi="Times New Roman" w:cs="Times New Roman"/>
                <w:b/>
                <w:color w:val="000000"/>
                <w:lang w:eastAsia="lv-LV"/>
              </w:rPr>
            </w:pPr>
          </w:p>
        </w:tc>
        <w:tc>
          <w:tcPr>
            <w:tcW w:w="1328" w:type="dxa"/>
            <w:vMerge/>
            <w:tcBorders>
              <w:top w:val="single" w:sz="4" w:space="0" w:color="auto"/>
              <w:left w:val="single" w:sz="4" w:space="0" w:color="auto"/>
              <w:bottom w:val="single" w:sz="4" w:space="0" w:color="000000"/>
              <w:right w:val="nil"/>
            </w:tcBorders>
            <w:shd w:val="clear" w:color="auto" w:fill="auto"/>
            <w:vAlign w:val="center"/>
            <w:hideMark/>
          </w:tcPr>
          <w:p w14:paraId="390D55F2" w14:textId="77777777" w:rsidR="00217F39" w:rsidRPr="00217F39" w:rsidRDefault="00217F39" w:rsidP="00217F39">
            <w:pPr>
              <w:spacing w:before="0" w:after="0" w:line="240" w:lineRule="auto"/>
              <w:rPr>
                <w:rFonts w:ascii="Times New Roman" w:eastAsia="Times New Roman" w:hAnsi="Times New Roman" w:cs="Times New Roman"/>
                <w:b/>
                <w:color w:val="000000"/>
                <w:lang w:eastAsia="lv-LV"/>
              </w:rPr>
            </w:pPr>
          </w:p>
        </w:tc>
        <w:tc>
          <w:tcPr>
            <w:tcW w:w="1672" w:type="dxa"/>
            <w:tcBorders>
              <w:top w:val="nil"/>
              <w:left w:val="single" w:sz="4" w:space="0" w:color="auto"/>
              <w:bottom w:val="single" w:sz="4" w:space="0" w:color="auto"/>
              <w:right w:val="single" w:sz="4" w:space="0" w:color="auto"/>
            </w:tcBorders>
            <w:shd w:val="clear" w:color="auto" w:fill="auto"/>
            <w:vAlign w:val="center"/>
            <w:hideMark/>
          </w:tcPr>
          <w:p w14:paraId="4FA6EA39"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ģenerāluzņēmēja darba ņēmēji</w:t>
            </w:r>
          </w:p>
        </w:tc>
        <w:tc>
          <w:tcPr>
            <w:tcW w:w="1700" w:type="dxa"/>
            <w:tcBorders>
              <w:top w:val="nil"/>
              <w:left w:val="single" w:sz="4" w:space="0" w:color="auto"/>
              <w:bottom w:val="single" w:sz="4" w:space="0" w:color="auto"/>
              <w:right w:val="single" w:sz="4" w:space="0" w:color="auto"/>
            </w:tcBorders>
            <w:shd w:val="clear" w:color="auto" w:fill="auto"/>
            <w:vAlign w:val="center"/>
            <w:hideMark/>
          </w:tcPr>
          <w:p w14:paraId="51746738"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apakšuzņēmēja  darba ņēmēji</w:t>
            </w:r>
          </w:p>
        </w:tc>
        <w:tc>
          <w:tcPr>
            <w:tcW w:w="1524" w:type="dxa"/>
            <w:tcBorders>
              <w:top w:val="single" w:sz="4" w:space="0" w:color="auto"/>
              <w:left w:val="single" w:sz="4" w:space="0" w:color="auto"/>
              <w:right w:val="single" w:sz="4" w:space="0" w:color="auto"/>
            </w:tcBorders>
            <w:shd w:val="clear" w:color="auto" w:fill="auto"/>
            <w:vAlign w:val="center"/>
          </w:tcPr>
          <w:p w14:paraId="79A8B95D"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kopā</w:t>
            </w:r>
          </w:p>
        </w:tc>
      </w:tr>
      <w:tr w:rsidR="00217F39" w:rsidRPr="00217F39" w14:paraId="6581FC76" w14:textId="77777777" w:rsidTr="006347BE">
        <w:trPr>
          <w:trHeight w:val="299"/>
          <w:jc w:val="center"/>
        </w:trPr>
        <w:tc>
          <w:tcPr>
            <w:tcW w:w="1328" w:type="dxa"/>
            <w:tcBorders>
              <w:top w:val="nil"/>
              <w:left w:val="single" w:sz="4" w:space="0" w:color="auto"/>
              <w:bottom w:val="single" w:sz="4" w:space="0" w:color="auto"/>
              <w:right w:val="single" w:sz="4" w:space="0" w:color="auto"/>
            </w:tcBorders>
            <w:vAlign w:val="center"/>
          </w:tcPr>
          <w:p w14:paraId="10A36E50"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2017</w:t>
            </w:r>
          </w:p>
        </w:tc>
        <w:tc>
          <w:tcPr>
            <w:tcW w:w="1328" w:type="dxa"/>
            <w:tcBorders>
              <w:top w:val="nil"/>
              <w:left w:val="single" w:sz="4" w:space="0" w:color="auto"/>
              <w:bottom w:val="single" w:sz="4" w:space="0" w:color="auto"/>
              <w:right w:val="single" w:sz="4" w:space="0" w:color="auto"/>
            </w:tcBorders>
            <w:shd w:val="clear" w:color="auto" w:fill="auto"/>
            <w:vAlign w:val="center"/>
            <w:hideMark/>
          </w:tcPr>
          <w:p w14:paraId="68CBAD0E"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w:t>
            </w:r>
          </w:p>
        </w:tc>
        <w:tc>
          <w:tcPr>
            <w:tcW w:w="1672" w:type="dxa"/>
            <w:tcBorders>
              <w:top w:val="nil"/>
              <w:left w:val="nil"/>
              <w:bottom w:val="single" w:sz="4" w:space="0" w:color="auto"/>
              <w:right w:val="single" w:sz="4" w:space="0" w:color="auto"/>
            </w:tcBorders>
            <w:shd w:val="clear" w:color="auto" w:fill="auto"/>
            <w:vAlign w:val="center"/>
            <w:hideMark/>
          </w:tcPr>
          <w:p w14:paraId="68BAE28D"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w:t>
            </w:r>
          </w:p>
        </w:tc>
        <w:tc>
          <w:tcPr>
            <w:tcW w:w="1700" w:type="dxa"/>
            <w:tcBorders>
              <w:top w:val="nil"/>
              <w:left w:val="nil"/>
              <w:bottom w:val="single" w:sz="4" w:space="0" w:color="auto"/>
              <w:right w:val="single" w:sz="4" w:space="0" w:color="auto"/>
            </w:tcBorders>
            <w:shd w:val="clear" w:color="auto" w:fill="auto"/>
            <w:noWrap/>
            <w:vAlign w:val="center"/>
            <w:hideMark/>
          </w:tcPr>
          <w:p w14:paraId="64922DB6"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46</w:t>
            </w:r>
          </w:p>
        </w:tc>
        <w:tc>
          <w:tcPr>
            <w:tcW w:w="1524" w:type="dxa"/>
            <w:tcBorders>
              <w:top w:val="single" w:sz="4" w:space="0" w:color="auto"/>
              <w:left w:val="nil"/>
              <w:bottom w:val="single" w:sz="4" w:space="0" w:color="auto"/>
              <w:right w:val="single" w:sz="4" w:space="0" w:color="auto"/>
            </w:tcBorders>
            <w:shd w:val="clear" w:color="auto" w:fill="auto"/>
            <w:vAlign w:val="center"/>
          </w:tcPr>
          <w:p w14:paraId="56F08DEF"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50</w:t>
            </w:r>
          </w:p>
        </w:tc>
      </w:tr>
      <w:tr w:rsidR="00217F39" w:rsidRPr="00217F39" w14:paraId="01A2D6FA" w14:textId="77777777" w:rsidTr="006347BE">
        <w:trPr>
          <w:trHeight w:val="300"/>
          <w:jc w:val="center"/>
        </w:trPr>
        <w:tc>
          <w:tcPr>
            <w:tcW w:w="1328" w:type="dxa"/>
            <w:tcBorders>
              <w:top w:val="nil"/>
              <w:left w:val="single" w:sz="4" w:space="0" w:color="auto"/>
              <w:bottom w:val="single" w:sz="4" w:space="0" w:color="auto"/>
              <w:right w:val="single" w:sz="4" w:space="0" w:color="auto"/>
            </w:tcBorders>
            <w:vAlign w:val="center"/>
          </w:tcPr>
          <w:p w14:paraId="46BF379F"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2018</w:t>
            </w:r>
          </w:p>
        </w:tc>
        <w:tc>
          <w:tcPr>
            <w:tcW w:w="1328" w:type="dxa"/>
            <w:tcBorders>
              <w:top w:val="nil"/>
              <w:left w:val="single" w:sz="4" w:space="0" w:color="auto"/>
              <w:bottom w:val="single" w:sz="4" w:space="0" w:color="auto"/>
              <w:right w:val="single" w:sz="4" w:space="0" w:color="auto"/>
            </w:tcBorders>
            <w:shd w:val="clear" w:color="auto" w:fill="auto"/>
            <w:vAlign w:val="center"/>
            <w:hideMark/>
          </w:tcPr>
          <w:p w14:paraId="30C5B929"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49</w:t>
            </w:r>
          </w:p>
        </w:tc>
        <w:tc>
          <w:tcPr>
            <w:tcW w:w="1672" w:type="dxa"/>
            <w:tcBorders>
              <w:top w:val="nil"/>
              <w:left w:val="nil"/>
              <w:bottom w:val="single" w:sz="4" w:space="0" w:color="auto"/>
              <w:right w:val="single" w:sz="4" w:space="0" w:color="auto"/>
            </w:tcBorders>
            <w:shd w:val="clear" w:color="auto" w:fill="auto"/>
            <w:vAlign w:val="center"/>
            <w:hideMark/>
          </w:tcPr>
          <w:p w14:paraId="2C5D310A"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6</w:t>
            </w:r>
          </w:p>
        </w:tc>
        <w:tc>
          <w:tcPr>
            <w:tcW w:w="1700" w:type="dxa"/>
            <w:tcBorders>
              <w:top w:val="nil"/>
              <w:left w:val="nil"/>
              <w:bottom w:val="single" w:sz="4" w:space="0" w:color="auto"/>
              <w:right w:val="single" w:sz="4" w:space="0" w:color="auto"/>
            </w:tcBorders>
            <w:shd w:val="clear" w:color="auto" w:fill="auto"/>
            <w:noWrap/>
            <w:vAlign w:val="center"/>
            <w:hideMark/>
          </w:tcPr>
          <w:p w14:paraId="0E2F09A1"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236</w:t>
            </w:r>
          </w:p>
        </w:tc>
        <w:tc>
          <w:tcPr>
            <w:tcW w:w="1524" w:type="dxa"/>
            <w:tcBorders>
              <w:top w:val="single" w:sz="4" w:space="0" w:color="auto"/>
              <w:left w:val="nil"/>
              <w:bottom w:val="single" w:sz="4" w:space="0" w:color="auto"/>
              <w:right w:val="single" w:sz="4" w:space="0" w:color="auto"/>
            </w:tcBorders>
            <w:shd w:val="clear" w:color="auto" w:fill="auto"/>
            <w:vAlign w:val="center"/>
          </w:tcPr>
          <w:p w14:paraId="3D91136B"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242</w:t>
            </w:r>
          </w:p>
        </w:tc>
      </w:tr>
      <w:tr w:rsidR="00217F39" w:rsidRPr="00217F39" w14:paraId="7E1F6561" w14:textId="77777777" w:rsidTr="001C551E">
        <w:trPr>
          <w:trHeight w:val="300"/>
          <w:jc w:val="center"/>
        </w:trPr>
        <w:tc>
          <w:tcPr>
            <w:tcW w:w="1328" w:type="dxa"/>
            <w:tcBorders>
              <w:top w:val="nil"/>
              <w:left w:val="single" w:sz="4" w:space="0" w:color="auto"/>
              <w:bottom w:val="single" w:sz="4" w:space="0" w:color="auto"/>
              <w:right w:val="single" w:sz="4" w:space="0" w:color="auto"/>
            </w:tcBorders>
            <w:vAlign w:val="center"/>
          </w:tcPr>
          <w:p w14:paraId="5F1DE5E6"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2019</w:t>
            </w:r>
          </w:p>
        </w:tc>
        <w:tc>
          <w:tcPr>
            <w:tcW w:w="1328" w:type="dxa"/>
            <w:tcBorders>
              <w:top w:val="nil"/>
              <w:left w:val="single" w:sz="4" w:space="0" w:color="auto"/>
              <w:bottom w:val="single" w:sz="4" w:space="0" w:color="auto"/>
              <w:right w:val="single" w:sz="4" w:space="0" w:color="auto"/>
            </w:tcBorders>
            <w:shd w:val="clear" w:color="auto" w:fill="auto"/>
            <w:vAlign w:val="center"/>
            <w:hideMark/>
          </w:tcPr>
          <w:p w14:paraId="1909816C"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51</w:t>
            </w:r>
          </w:p>
        </w:tc>
        <w:tc>
          <w:tcPr>
            <w:tcW w:w="1672" w:type="dxa"/>
            <w:tcBorders>
              <w:top w:val="nil"/>
              <w:left w:val="nil"/>
              <w:bottom w:val="single" w:sz="4" w:space="0" w:color="auto"/>
              <w:right w:val="single" w:sz="4" w:space="0" w:color="auto"/>
            </w:tcBorders>
            <w:shd w:val="clear" w:color="auto" w:fill="auto"/>
            <w:vAlign w:val="center"/>
            <w:hideMark/>
          </w:tcPr>
          <w:p w14:paraId="1CB6DB83"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14</w:t>
            </w:r>
          </w:p>
        </w:tc>
        <w:tc>
          <w:tcPr>
            <w:tcW w:w="1700" w:type="dxa"/>
            <w:tcBorders>
              <w:top w:val="nil"/>
              <w:left w:val="nil"/>
              <w:bottom w:val="single" w:sz="4" w:space="0" w:color="auto"/>
              <w:right w:val="single" w:sz="4" w:space="0" w:color="auto"/>
            </w:tcBorders>
            <w:shd w:val="clear" w:color="auto" w:fill="auto"/>
            <w:noWrap/>
            <w:vAlign w:val="center"/>
            <w:hideMark/>
          </w:tcPr>
          <w:p w14:paraId="2E0FEAD0"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216</w:t>
            </w:r>
          </w:p>
        </w:tc>
        <w:tc>
          <w:tcPr>
            <w:tcW w:w="1524" w:type="dxa"/>
            <w:tcBorders>
              <w:top w:val="single" w:sz="4" w:space="0" w:color="auto"/>
              <w:left w:val="nil"/>
              <w:bottom w:val="single" w:sz="4" w:space="0" w:color="auto"/>
              <w:right w:val="single" w:sz="4" w:space="0" w:color="auto"/>
            </w:tcBorders>
            <w:shd w:val="clear" w:color="auto" w:fill="auto"/>
            <w:vAlign w:val="center"/>
          </w:tcPr>
          <w:p w14:paraId="33AFE636"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230</w:t>
            </w:r>
          </w:p>
        </w:tc>
      </w:tr>
      <w:tr w:rsidR="00217F39" w:rsidRPr="00217F39" w14:paraId="454DE387" w14:textId="77777777" w:rsidTr="001C551E">
        <w:trPr>
          <w:trHeight w:val="300"/>
          <w:jc w:val="center"/>
        </w:trPr>
        <w:tc>
          <w:tcPr>
            <w:tcW w:w="1328" w:type="dxa"/>
            <w:tcBorders>
              <w:top w:val="single" w:sz="4" w:space="0" w:color="auto"/>
              <w:left w:val="single" w:sz="4" w:space="0" w:color="auto"/>
              <w:bottom w:val="single" w:sz="4" w:space="0" w:color="auto"/>
              <w:right w:val="single" w:sz="4" w:space="0" w:color="auto"/>
            </w:tcBorders>
            <w:vAlign w:val="center"/>
          </w:tcPr>
          <w:p w14:paraId="15812A2F"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2020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C0EF0"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18</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7615DA10"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25</w:t>
            </w:r>
          </w:p>
        </w:tc>
        <w:tc>
          <w:tcPr>
            <w:tcW w:w="1700" w:type="dxa"/>
            <w:tcBorders>
              <w:top w:val="single" w:sz="4" w:space="0" w:color="auto"/>
              <w:left w:val="nil"/>
              <w:bottom w:val="single" w:sz="4" w:space="0" w:color="auto"/>
              <w:right w:val="single" w:sz="4" w:space="0" w:color="auto"/>
            </w:tcBorders>
            <w:shd w:val="clear" w:color="auto" w:fill="auto"/>
            <w:noWrap/>
            <w:vAlign w:val="center"/>
            <w:hideMark/>
          </w:tcPr>
          <w:p w14:paraId="3F5B7F97"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31</w:t>
            </w:r>
          </w:p>
        </w:tc>
        <w:tc>
          <w:tcPr>
            <w:tcW w:w="1524" w:type="dxa"/>
            <w:tcBorders>
              <w:top w:val="single" w:sz="4" w:space="0" w:color="auto"/>
              <w:left w:val="nil"/>
              <w:bottom w:val="single" w:sz="4" w:space="0" w:color="auto"/>
              <w:right w:val="single" w:sz="4" w:space="0" w:color="auto"/>
            </w:tcBorders>
            <w:shd w:val="clear" w:color="auto" w:fill="auto"/>
            <w:vAlign w:val="center"/>
          </w:tcPr>
          <w:p w14:paraId="343A8D5C" w14:textId="77777777" w:rsidR="00217F39" w:rsidRPr="00217F39" w:rsidRDefault="00217F39" w:rsidP="00217F39">
            <w:pPr>
              <w:spacing w:before="0" w:after="0" w:line="240" w:lineRule="auto"/>
              <w:jc w:val="center"/>
              <w:rPr>
                <w:rFonts w:ascii="Times New Roman" w:eastAsia="Times New Roman" w:hAnsi="Times New Roman" w:cs="Times New Roman"/>
                <w:b/>
                <w:color w:val="000000"/>
                <w:lang w:eastAsia="lv-LV"/>
              </w:rPr>
            </w:pPr>
            <w:r w:rsidRPr="00217F39">
              <w:rPr>
                <w:rFonts w:ascii="Times New Roman" w:eastAsia="Times New Roman" w:hAnsi="Times New Roman" w:cs="Times New Roman"/>
                <w:b/>
                <w:color w:val="000000"/>
                <w:lang w:eastAsia="lv-LV"/>
              </w:rPr>
              <w:t>56</w:t>
            </w:r>
          </w:p>
        </w:tc>
      </w:tr>
      <w:tr w:rsidR="002D2A74" w:rsidRPr="00217F39" w14:paraId="1E1376D8" w14:textId="77777777" w:rsidTr="001C551E">
        <w:trPr>
          <w:trHeight w:val="300"/>
          <w:jc w:val="center"/>
        </w:trPr>
        <w:tc>
          <w:tcPr>
            <w:tcW w:w="1328" w:type="dxa"/>
            <w:tcBorders>
              <w:top w:val="single" w:sz="4" w:space="0" w:color="auto"/>
              <w:left w:val="single" w:sz="4" w:space="0" w:color="auto"/>
              <w:bottom w:val="single" w:sz="4" w:space="0" w:color="auto"/>
              <w:right w:val="single" w:sz="4" w:space="0" w:color="auto"/>
            </w:tcBorders>
            <w:vAlign w:val="center"/>
          </w:tcPr>
          <w:p w14:paraId="298164B4" w14:textId="623173C4" w:rsidR="002D2A74" w:rsidRPr="00217F39" w:rsidRDefault="002D2A74" w:rsidP="00217F39">
            <w:pPr>
              <w:spacing w:before="0" w:after="0" w:line="240" w:lineRule="auto"/>
              <w:jc w:val="center"/>
              <w:rPr>
                <w:rFonts w:ascii="Times New Roman" w:eastAsia="Times New Roman" w:hAnsi="Times New Roman" w:cs="Times New Roman"/>
                <w:b/>
                <w:color w:val="000000"/>
                <w:lang w:eastAsia="lv-LV"/>
              </w:rPr>
            </w:pPr>
            <w:r>
              <w:rPr>
                <w:rFonts w:ascii="Times New Roman" w:eastAsia="Times New Roman" w:hAnsi="Times New Roman" w:cs="Times New Roman"/>
                <w:b/>
                <w:color w:val="000000"/>
                <w:lang w:eastAsia="lv-LV"/>
              </w:rPr>
              <w:t>2021</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tcPr>
          <w:p w14:paraId="6401085B" w14:textId="1E331BC5" w:rsidR="002D2A74" w:rsidRPr="00217F39" w:rsidRDefault="002D2A74"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1672" w:type="dxa"/>
            <w:tcBorders>
              <w:top w:val="single" w:sz="4" w:space="0" w:color="auto"/>
              <w:left w:val="nil"/>
              <w:bottom w:val="single" w:sz="4" w:space="0" w:color="auto"/>
              <w:right w:val="single" w:sz="4" w:space="0" w:color="auto"/>
            </w:tcBorders>
            <w:shd w:val="clear" w:color="auto" w:fill="auto"/>
            <w:vAlign w:val="center"/>
          </w:tcPr>
          <w:p w14:paraId="16AA8964" w14:textId="29BD07D2" w:rsidR="002D2A74" w:rsidRPr="00217F39" w:rsidRDefault="002D2A74"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x</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27657E3F" w14:textId="53E1C00E" w:rsidR="002D2A74" w:rsidRPr="00217F39" w:rsidRDefault="002D2A74"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1524" w:type="dxa"/>
            <w:tcBorders>
              <w:top w:val="single" w:sz="4" w:space="0" w:color="auto"/>
              <w:left w:val="nil"/>
              <w:bottom w:val="single" w:sz="4" w:space="0" w:color="auto"/>
              <w:right w:val="single" w:sz="4" w:space="0" w:color="auto"/>
            </w:tcBorders>
            <w:shd w:val="clear" w:color="auto" w:fill="auto"/>
            <w:vAlign w:val="center"/>
          </w:tcPr>
          <w:p w14:paraId="7BA90436" w14:textId="1691BED7" w:rsidR="002D2A74" w:rsidRPr="00217F39" w:rsidRDefault="002D2A74" w:rsidP="00217F39">
            <w:pPr>
              <w:spacing w:before="0" w:after="0" w:line="240" w:lineRule="auto"/>
              <w:jc w:val="center"/>
              <w:rPr>
                <w:rFonts w:ascii="Times New Roman" w:eastAsia="Times New Roman" w:hAnsi="Times New Roman" w:cs="Times New Roman"/>
                <w:b/>
                <w:color w:val="000000"/>
                <w:lang w:eastAsia="lv-LV"/>
              </w:rPr>
            </w:pPr>
            <w:r>
              <w:rPr>
                <w:rFonts w:ascii="Times New Roman" w:eastAsia="Times New Roman" w:hAnsi="Times New Roman" w:cs="Times New Roman"/>
                <w:b/>
                <w:color w:val="000000"/>
                <w:lang w:eastAsia="lv-LV"/>
              </w:rPr>
              <w:t>1</w:t>
            </w:r>
          </w:p>
        </w:tc>
      </w:tr>
    </w:tbl>
    <w:p w14:paraId="581E9B77"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p>
    <w:p w14:paraId="293F13E0" w14:textId="0E759DFA" w:rsidR="00217F39" w:rsidRPr="00217F39" w:rsidRDefault="00217F39" w:rsidP="00217F39">
      <w:pPr>
        <w:spacing w:before="0" w:after="0" w:line="240" w:lineRule="auto"/>
        <w:ind w:firstLine="720"/>
        <w:jc w:val="both"/>
        <w:rPr>
          <w:rFonts w:ascii="Times New Roman" w:eastAsia="Century Gothic" w:hAnsi="Times New Roman" w:cs="Times New Roman"/>
          <w:sz w:val="28"/>
          <w:szCs w:val="28"/>
        </w:rPr>
      </w:pPr>
      <w:r w:rsidRPr="00217F39">
        <w:rPr>
          <w:rFonts w:ascii="Times New Roman" w:eastAsia="Century Gothic" w:hAnsi="Times New Roman" w:cs="Times New Roman"/>
          <w:color w:val="000000"/>
          <w:sz w:val="28"/>
          <w:szCs w:val="28"/>
        </w:rPr>
        <w:t xml:space="preserve">Pozitīvi vērtējams fakts, ka 2020.gadā, salīdzinot ar 2019.gadu, ir samazinājies to būvlaukumu skaits, kuros EDLUS nebija reģistrēti darba ņēmēji, attiecīgi 2020.gadā tādu būvlaukumu bija 18 un 2019.gadā – 51 (skatīt </w:t>
      </w:r>
      <w:r w:rsidR="00532926">
        <w:rPr>
          <w:rFonts w:ascii="Times New Roman" w:eastAsia="Century Gothic" w:hAnsi="Times New Roman" w:cs="Times New Roman"/>
          <w:color w:val="000000"/>
          <w:sz w:val="28"/>
          <w:szCs w:val="28"/>
        </w:rPr>
        <w:t>6</w:t>
      </w:r>
      <w:r w:rsidRPr="00217F39">
        <w:rPr>
          <w:rFonts w:ascii="Times New Roman" w:eastAsia="Century Gothic" w:hAnsi="Times New Roman" w:cs="Times New Roman"/>
          <w:color w:val="000000"/>
          <w:sz w:val="28"/>
          <w:szCs w:val="28"/>
        </w:rPr>
        <w:t>. tabulu).</w:t>
      </w:r>
    </w:p>
    <w:p w14:paraId="73EA4493" w14:textId="402803C8"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2020.gadā, salīdzinot ar 2019.gadu, ir konstatētas pozitīvas tendences darba laika reģistrēšanā EDLUS, par 18,6 procentpunktiem palielinājies to būvlaukumu īpatsvars, kuros EDLUS nereģistrētās nodarbinātās personas netika konstatētas</w:t>
      </w:r>
      <w:r w:rsidR="009655A3">
        <w:rPr>
          <w:rFonts w:ascii="Times New Roman" w:eastAsia="Century Gothic" w:hAnsi="Times New Roman" w:cs="Times New Roman"/>
          <w:color w:val="000000"/>
          <w:sz w:val="28"/>
          <w:szCs w:val="28"/>
        </w:rPr>
        <w:t xml:space="preserve"> </w:t>
      </w:r>
      <w:r w:rsidRPr="00217F39">
        <w:rPr>
          <w:rFonts w:ascii="Times New Roman" w:eastAsia="Century Gothic" w:hAnsi="Times New Roman" w:cs="Times New Roman"/>
          <w:color w:val="000000"/>
          <w:sz w:val="28"/>
          <w:szCs w:val="28"/>
        </w:rPr>
        <w:t xml:space="preserve">(skatīt </w:t>
      </w:r>
      <w:r w:rsidR="00532926">
        <w:rPr>
          <w:rFonts w:ascii="Times New Roman" w:eastAsia="Century Gothic" w:hAnsi="Times New Roman" w:cs="Times New Roman"/>
          <w:color w:val="000000"/>
          <w:sz w:val="28"/>
          <w:szCs w:val="28"/>
        </w:rPr>
        <w:t>7</w:t>
      </w:r>
      <w:r w:rsidRPr="00217F39">
        <w:rPr>
          <w:rFonts w:ascii="Times New Roman" w:eastAsia="Century Gothic" w:hAnsi="Times New Roman" w:cs="Times New Roman"/>
          <w:color w:val="000000"/>
          <w:sz w:val="28"/>
          <w:szCs w:val="28"/>
        </w:rPr>
        <w:t>. tabulu).</w:t>
      </w:r>
    </w:p>
    <w:p w14:paraId="7D55B130" w14:textId="77777777" w:rsidR="00217F39" w:rsidRPr="00217F39" w:rsidRDefault="00217F39" w:rsidP="00217F39">
      <w:pPr>
        <w:spacing w:before="0" w:after="0" w:line="240" w:lineRule="auto"/>
        <w:ind w:firstLine="720"/>
        <w:jc w:val="right"/>
        <w:rPr>
          <w:rFonts w:ascii="Times New Roman" w:eastAsia="Century Gothic" w:hAnsi="Times New Roman" w:cs="Times New Roman"/>
          <w:sz w:val="28"/>
          <w:szCs w:val="28"/>
        </w:rPr>
      </w:pPr>
    </w:p>
    <w:p w14:paraId="5B7B6CF5" w14:textId="3BC3506C" w:rsidR="00217F39" w:rsidRPr="00217F39" w:rsidRDefault="008901AF" w:rsidP="00217F39">
      <w:pPr>
        <w:spacing w:before="0" w:after="0" w:line="240" w:lineRule="auto"/>
        <w:ind w:firstLine="720"/>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7</w:t>
      </w:r>
      <w:r w:rsidR="00217F39" w:rsidRPr="00217F39">
        <w:rPr>
          <w:rFonts w:ascii="Times New Roman" w:eastAsia="Century Gothic" w:hAnsi="Times New Roman" w:cs="Times New Roman"/>
          <w:sz w:val="28"/>
          <w:szCs w:val="28"/>
        </w:rPr>
        <w:t>.tabula</w:t>
      </w:r>
    </w:p>
    <w:p w14:paraId="290FC9D9" w14:textId="77777777" w:rsidR="00217F39" w:rsidRPr="00217F39" w:rsidRDefault="00217F39" w:rsidP="00217F39">
      <w:pPr>
        <w:spacing w:before="0" w:after="120" w:line="240" w:lineRule="auto"/>
        <w:jc w:val="center"/>
        <w:rPr>
          <w:rFonts w:ascii="Times New Roman" w:eastAsia="Century Gothic" w:hAnsi="Times New Roman" w:cs="Times New Roman"/>
          <w:b/>
          <w:sz w:val="28"/>
          <w:szCs w:val="28"/>
        </w:rPr>
      </w:pPr>
      <w:bookmarkStart w:id="5" w:name="_Hlk72690530"/>
      <w:r w:rsidRPr="00217F39">
        <w:rPr>
          <w:rFonts w:ascii="Times New Roman" w:eastAsia="Century Gothic" w:hAnsi="Times New Roman" w:cs="Times New Roman"/>
          <w:b/>
          <w:sz w:val="28"/>
          <w:szCs w:val="28"/>
        </w:rPr>
        <w:t>Informācija par būvlaukumiem, kuros tiek konstatētas nereģistrētās nodarbinātās personas EDLUS</w:t>
      </w:r>
    </w:p>
    <w:tbl>
      <w:tblPr>
        <w:tblW w:w="9977" w:type="dxa"/>
        <w:jc w:val="center"/>
        <w:tblLook w:val="04A0" w:firstRow="1" w:lastRow="0" w:firstColumn="1" w:lastColumn="0" w:noHBand="0" w:noVBand="1"/>
      </w:tblPr>
      <w:tblGrid>
        <w:gridCol w:w="661"/>
        <w:gridCol w:w="706"/>
        <w:gridCol w:w="994"/>
        <w:gridCol w:w="706"/>
        <w:gridCol w:w="994"/>
        <w:gridCol w:w="706"/>
        <w:gridCol w:w="1227"/>
        <w:gridCol w:w="706"/>
        <w:gridCol w:w="1227"/>
        <w:gridCol w:w="715"/>
        <w:gridCol w:w="1335"/>
      </w:tblGrid>
      <w:tr w:rsidR="00217F39" w:rsidRPr="00217F39" w14:paraId="3E40C4CB" w14:textId="77777777" w:rsidTr="006347BE">
        <w:trPr>
          <w:trHeight w:val="553"/>
          <w:tblHeader/>
          <w:jc w:val="center"/>
        </w:trPr>
        <w:tc>
          <w:tcPr>
            <w:tcW w:w="6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F5150"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lastRenderedPageBreak/>
              <w:t>Gads</w:t>
            </w:r>
          </w:p>
        </w:tc>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F9F4ED8" w14:textId="77777777" w:rsidR="00217F39" w:rsidRPr="00217F39" w:rsidRDefault="00217F39" w:rsidP="00217F39">
            <w:pPr>
              <w:spacing w:before="0" w:after="0" w:line="240" w:lineRule="auto"/>
              <w:ind w:right="-145"/>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Būvlaukumi, kuros EDLUS nereģistrētās nodarbinātās personas netika konstatētas</w:t>
            </w:r>
          </w:p>
        </w:tc>
        <w:tc>
          <w:tcPr>
            <w:tcW w:w="1700"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DA073B5"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 xml:space="preserve">Būvlaukumi, kuros tika konstatētas EDLUS  nereģistrētas nodarbinātas personas </w:t>
            </w:r>
          </w:p>
        </w:tc>
        <w:tc>
          <w:tcPr>
            <w:tcW w:w="5916"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3F83CC48"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Būvlaukumi, kuros tiek konstatētas nodarbinātās personas, kas netika reģistrētās EDLUS</w:t>
            </w:r>
          </w:p>
        </w:tc>
      </w:tr>
      <w:tr w:rsidR="00217F39" w:rsidRPr="00217F39" w14:paraId="0AEAD968" w14:textId="77777777" w:rsidTr="006347BE">
        <w:trPr>
          <w:trHeight w:val="750"/>
          <w:tblHeader/>
          <w:jc w:val="center"/>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55CA6308" w14:textId="77777777" w:rsidR="00217F39" w:rsidRPr="00217F39" w:rsidRDefault="00217F39" w:rsidP="00217F39">
            <w:pPr>
              <w:spacing w:before="0" w:after="0" w:line="240" w:lineRule="auto"/>
              <w:rPr>
                <w:rFonts w:ascii="Times New Roman" w:eastAsia="Times New Roman" w:hAnsi="Times New Roman" w:cs="Times New Roman"/>
                <w:b/>
                <w:bCs/>
                <w:color w:val="000000"/>
                <w:lang w:eastAsia="lv-LV"/>
              </w:rPr>
            </w:pPr>
          </w:p>
        </w:tc>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14:paraId="50460817" w14:textId="77777777" w:rsidR="00217F39" w:rsidRPr="00217F39" w:rsidRDefault="00217F39" w:rsidP="00217F39">
            <w:pPr>
              <w:spacing w:before="0" w:after="0" w:line="240" w:lineRule="auto"/>
              <w:rPr>
                <w:rFonts w:ascii="Times New Roman" w:eastAsia="Times New Roman" w:hAnsi="Times New Roman" w:cs="Times New Roman"/>
                <w:b/>
                <w:bCs/>
                <w:color w:val="000000"/>
                <w:lang w:eastAsia="lv-LV"/>
              </w:rPr>
            </w:pPr>
          </w:p>
        </w:tc>
        <w:tc>
          <w:tcPr>
            <w:tcW w:w="1700" w:type="dxa"/>
            <w:gridSpan w:val="2"/>
            <w:vMerge/>
            <w:tcBorders>
              <w:top w:val="single" w:sz="4" w:space="0" w:color="auto"/>
              <w:left w:val="single" w:sz="4" w:space="0" w:color="auto"/>
              <w:bottom w:val="single" w:sz="4" w:space="0" w:color="000000"/>
              <w:right w:val="single" w:sz="4" w:space="0" w:color="000000"/>
            </w:tcBorders>
            <w:vAlign w:val="center"/>
            <w:hideMark/>
          </w:tcPr>
          <w:p w14:paraId="29B1408F" w14:textId="77777777" w:rsidR="00217F39" w:rsidRPr="00217F39" w:rsidRDefault="00217F39" w:rsidP="00217F39">
            <w:pPr>
              <w:spacing w:before="0" w:after="0" w:line="240" w:lineRule="auto"/>
              <w:rPr>
                <w:rFonts w:ascii="Times New Roman" w:eastAsia="Times New Roman" w:hAnsi="Times New Roman" w:cs="Times New Roman"/>
                <w:b/>
                <w:bCs/>
                <w:color w:val="000000"/>
                <w:lang w:eastAsia="lv-LV"/>
              </w:rPr>
            </w:pPr>
          </w:p>
        </w:tc>
        <w:tc>
          <w:tcPr>
            <w:tcW w:w="193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067E80"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Būvlaukumi, kuros EDLUS sistēmā nav reģistrēts no 1 līdz 10 būvlaukumā nodarbinātās personas</w:t>
            </w:r>
          </w:p>
        </w:tc>
        <w:tc>
          <w:tcPr>
            <w:tcW w:w="1933" w:type="dxa"/>
            <w:gridSpan w:val="2"/>
            <w:tcBorders>
              <w:top w:val="single" w:sz="4" w:space="0" w:color="auto"/>
              <w:left w:val="nil"/>
              <w:bottom w:val="single" w:sz="4" w:space="0" w:color="auto"/>
              <w:right w:val="single" w:sz="4" w:space="0" w:color="auto"/>
            </w:tcBorders>
            <w:shd w:val="clear" w:color="000000" w:fill="FFFFFF"/>
            <w:vAlign w:val="center"/>
            <w:hideMark/>
          </w:tcPr>
          <w:p w14:paraId="642FB217"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Būvlaukumi, kuros EDLUS sistēmā nav reģistrēts no 11 līdz 20 būvlaukumā nodarbinātās personas</w:t>
            </w:r>
          </w:p>
        </w:tc>
        <w:tc>
          <w:tcPr>
            <w:tcW w:w="2050" w:type="dxa"/>
            <w:gridSpan w:val="2"/>
            <w:tcBorders>
              <w:top w:val="single" w:sz="4" w:space="0" w:color="auto"/>
              <w:left w:val="nil"/>
              <w:bottom w:val="single" w:sz="4" w:space="0" w:color="auto"/>
              <w:right w:val="single" w:sz="4" w:space="0" w:color="auto"/>
            </w:tcBorders>
            <w:shd w:val="clear" w:color="000000" w:fill="FFFFFF"/>
            <w:vAlign w:val="center"/>
            <w:hideMark/>
          </w:tcPr>
          <w:p w14:paraId="14D00209"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Būvlaukumi, kuros EDLUS sistēmā nav reģistrēts vairāk par 21 būvlaukumā nodarbināto personu</w:t>
            </w:r>
          </w:p>
        </w:tc>
      </w:tr>
      <w:tr w:rsidR="00217F39" w:rsidRPr="00217F39" w14:paraId="39CD28B2" w14:textId="77777777" w:rsidTr="006347BE">
        <w:trPr>
          <w:trHeight w:val="1831"/>
          <w:tblHeader/>
          <w:jc w:val="center"/>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6EA31EDB" w14:textId="77777777" w:rsidR="00217F39" w:rsidRPr="00217F39" w:rsidRDefault="00217F39" w:rsidP="00217F39">
            <w:pPr>
              <w:spacing w:before="0" w:after="0" w:line="240" w:lineRule="auto"/>
              <w:rPr>
                <w:rFonts w:ascii="Times New Roman" w:eastAsia="Times New Roman" w:hAnsi="Times New Roman" w:cs="Times New Roman"/>
                <w:b/>
                <w:bCs/>
                <w:color w:val="000000"/>
                <w:lang w:eastAsia="lv-LV"/>
              </w:rPr>
            </w:pPr>
          </w:p>
        </w:tc>
        <w:tc>
          <w:tcPr>
            <w:tcW w:w="706" w:type="dxa"/>
            <w:tcBorders>
              <w:top w:val="single" w:sz="4" w:space="0" w:color="auto"/>
              <w:left w:val="nil"/>
              <w:bottom w:val="single" w:sz="4" w:space="0" w:color="auto"/>
              <w:right w:val="single" w:sz="4" w:space="0" w:color="auto"/>
            </w:tcBorders>
            <w:shd w:val="clear" w:color="auto" w:fill="auto"/>
            <w:vAlign w:val="center"/>
            <w:hideMark/>
          </w:tcPr>
          <w:p w14:paraId="02E39A9E"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skaits</w:t>
            </w:r>
          </w:p>
        </w:tc>
        <w:tc>
          <w:tcPr>
            <w:tcW w:w="994" w:type="dxa"/>
            <w:tcBorders>
              <w:top w:val="single" w:sz="4" w:space="0" w:color="auto"/>
              <w:left w:val="nil"/>
              <w:bottom w:val="single" w:sz="4" w:space="0" w:color="auto"/>
              <w:right w:val="single" w:sz="4" w:space="0" w:color="auto"/>
            </w:tcBorders>
            <w:shd w:val="clear" w:color="auto" w:fill="auto"/>
            <w:vAlign w:val="center"/>
            <w:hideMark/>
          </w:tcPr>
          <w:p w14:paraId="70AF57F7"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īpatsvars</w:t>
            </w:r>
          </w:p>
        </w:tc>
        <w:tc>
          <w:tcPr>
            <w:tcW w:w="706" w:type="dxa"/>
            <w:tcBorders>
              <w:top w:val="single" w:sz="4" w:space="0" w:color="auto"/>
              <w:left w:val="nil"/>
              <w:bottom w:val="single" w:sz="4" w:space="0" w:color="auto"/>
              <w:right w:val="nil"/>
            </w:tcBorders>
            <w:shd w:val="clear" w:color="000000" w:fill="FFFFFF"/>
            <w:vAlign w:val="center"/>
            <w:hideMark/>
          </w:tcPr>
          <w:p w14:paraId="11CEA442"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skaits</w:t>
            </w:r>
          </w:p>
        </w:tc>
        <w:tc>
          <w:tcPr>
            <w:tcW w:w="994" w:type="dxa"/>
            <w:tcBorders>
              <w:top w:val="single" w:sz="4" w:space="0" w:color="auto"/>
              <w:left w:val="single" w:sz="4" w:space="0" w:color="auto"/>
              <w:bottom w:val="single" w:sz="4" w:space="0" w:color="auto"/>
              <w:right w:val="nil"/>
            </w:tcBorders>
            <w:shd w:val="clear" w:color="000000" w:fill="FFFFFF"/>
            <w:vAlign w:val="center"/>
            <w:hideMark/>
          </w:tcPr>
          <w:p w14:paraId="3F803664"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īpatsvars</w:t>
            </w:r>
          </w:p>
        </w:tc>
        <w:tc>
          <w:tcPr>
            <w:tcW w:w="706" w:type="dxa"/>
            <w:tcBorders>
              <w:top w:val="nil"/>
              <w:left w:val="single" w:sz="4" w:space="0" w:color="auto"/>
              <w:bottom w:val="single" w:sz="4" w:space="0" w:color="auto"/>
              <w:right w:val="single" w:sz="4" w:space="0" w:color="auto"/>
            </w:tcBorders>
            <w:shd w:val="clear" w:color="000000" w:fill="FFFFFF"/>
            <w:vAlign w:val="center"/>
            <w:hideMark/>
          </w:tcPr>
          <w:p w14:paraId="34B37FEF"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skaits</w:t>
            </w:r>
          </w:p>
        </w:tc>
        <w:tc>
          <w:tcPr>
            <w:tcW w:w="1227" w:type="dxa"/>
            <w:tcBorders>
              <w:top w:val="nil"/>
              <w:left w:val="nil"/>
              <w:bottom w:val="single" w:sz="4" w:space="0" w:color="auto"/>
              <w:right w:val="single" w:sz="4" w:space="0" w:color="auto"/>
            </w:tcBorders>
            <w:shd w:val="clear" w:color="000000" w:fill="FFFFFF"/>
            <w:vAlign w:val="center"/>
            <w:hideMark/>
          </w:tcPr>
          <w:p w14:paraId="653FB2FD"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 xml:space="preserve">īpatsvars </w:t>
            </w:r>
            <w:r w:rsidRPr="00217F39">
              <w:rPr>
                <w:rFonts w:ascii="Times New Roman" w:eastAsia="Times New Roman" w:hAnsi="Times New Roman" w:cs="Times New Roman"/>
                <w:b/>
                <w:bCs/>
                <w:color w:val="000000"/>
                <w:lang w:eastAsia="lv-LV"/>
              </w:rPr>
              <w:br/>
            </w:r>
            <w:r w:rsidRPr="00217F39">
              <w:rPr>
                <w:rFonts w:ascii="Times New Roman" w:eastAsia="Times New Roman" w:hAnsi="Times New Roman" w:cs="Times New Roman"/>
                <w:color w:val="000000"/>
                <w:lang w:eastAsia="lv-LV"/>
              </w:rPr>
              <w:t>(no būvlaukumu skaita, kuros konstatētas EDLUS nereģistrētas personas)</w:t>
            </w:r>
          </w:p>
        </w:tc>
        <w:tc>
          <w:tcPr>
            <w:tcW w:w="706" w:type="dxa"/>
            <w:tcBorders>
              <w:top w:val="nil"/>
              <w:left w:val="nil"/>
              <w:bottom w:val="single" w:sz="4" w:space="0" w:color="auto"/>
              <w:right w:val="single" w:sz="4" w:space="0" w:color="auto"/>
            </w:tcBorders>
            <w:shd w:val="clear" w:color="000000" w:fill="FFFFFF"/>
            <w:vAlign w:val="center"/>
            <w:hideMark/>
          </w:tcPr>
          <w:p w14:paraId="57C27278"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skaits</w:t>
            </w:r>
          </w:p>
        </w:tc>
        <w:tc>
          <w:tcPr>
            <w:tcW w:w="1227" w:type="dxa"/>
            <w:tcBorders>
              <w:top w:val="nil"/>
              <w:left w:val="nil"/>
              <w:bottom w:val="single" w:sz="4" w:space="0" w:color="auto"/>
              <w:right w:val="single" w:sz="4" w:space="0" w:color="auto"/>
            </w:tcBorders>
            <w:shd w:val="clear" w:color="000000" w:fill="FFFFFF"/>
            <w:vAlign w:val="center"/>
            <w:hideMark/>
          </w:tcPr>
          <w:p w14:paraId="59AE4846"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 xml:space="preserve">īpatsvars </w:t>
            </w:r>
            <w:r w:rsidRPr="00217F39">
              <w:rPr>
                <w:rFonts w:ascii="Times New Roman" w:eastAsia="Times New Roman" w:hAnsi="Times New Roman" w:cs="Times New Roman"/>
                <w:b/>
                <w:bCs/>
                <w:color w:val="000000"/>
                <w:lang w:eastAsia="lv-LV"/>
              </w:rPr>
              <w:br/>
            </w:r>
            <w:r w:rsidRPr="00217F39">
              <w:rPr>
                <w:rFonts w:ascii="Times New Roman" w:eastAsia="Times New Roman" w:hAnsi="Times New Roman" w:cs="Times New Roman"/>
                <w:color w:val="000000"/>
                <w:lang w:eastAsia="lv-LV"/>
              </w:rPr>
              <w:t>(no būvlaukumu skaita, kuros konstatētas EDLUS nereģistrētas personas)</w:t>
            </w:r>
          </w:p>
        </w:tc>
        <w:tc>
          <w:tcPr>
            <w:tcW w:w="715" w:type="dxa"/>
            <w:tcBorders>
              <w:top w:val="nil"/>
              <w:left w:val="nil"/>
              <w:bottom w:val="single" w:sz="4" w:space="0" w:color="auto"/>
              <w:right w:val="single" w:sz="4" w:space="0" w:color="auto"/>
            </w:tcBorders>
            <w:shd w:val="clear" w:color="000000" w:fill="FFFFFF"/>
            <w:vAlign w:val="center"/>
            <w:hideMark/>
          </w:tcPr>
          <w:p w14:paraId="0E1787BD"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skaits</w:t>
            </w:r>
          </w:p>
        </w:tc>
        <w:tc>
          <w:tcPr>
            <w:tcW w:w="1335" w:type="dxa"/>
            <w:tcBorders>
              <w:top w:val="nil"/>
              <w:left w:val="nil"/>
              <w:bottom w:val="single" w:sz="4" w:space="0" w:color="auto"/>
              <w:right w:val="single" w:sz="4" w:space="0" w:color="auto"/>
            </w:tcBorders>
            <w:shd w:val="clear" w:color="000000" w:fill="FFFFFF"/>
            <w:vAlign w:val="center"/>
            <w:hideMark/>
          </w:tcPr>
          <w:p w14:paraId="37BF1D20"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 xml:space="preserve">īpatsvars </w:t>
            </w:r>
            <w:r w:rsidRPr="00217F39">
              <w:rPr>
                <w:rFonts w:ascii="Times New Roman" w:eastAsia="Times New Roman" w:hAnsi="Times New Roman" w:cs="Times New Roman"/>
                <w:b/>
                <w:bCs/>
                <w:color w:val="000000"/>
                <w:lang w:eastAsia="lv-LV"/>
              </w:rPr>
              <w:br/>
            </w:r>
            <w:r w:rsidRPr="00217F39">
              <w:rPr>
                <w:rFonts w:ascii="Times New Roman" w:eastAsia="Times New Roman" w:hAnsi="Times New Roman" w:cs="Times New Roman"/>
                <w:color w:val="000000"/>
                <w:lang w:eastAsia="lv-LV"/>
              </w:rPr>
              <w:t>(no būvlaukumu skaita, kuros konstatētas EDLUS nereģistrētas personas)</w:t>
            </w:r>
          </w:p>
        </w:tc>
      </w:tr>
      <w:tr w:rsidR="00217F39" w:rsidRPr="00217F39" w14:paraId="7BAE6000" w14:textId="77777777" w:rsidTr="006347BE">
        <w:trPr>
          <w:trHeight w:val="300"/>
          <w:jc w:val="center"/>
        </w:trPr>
        <w:tc>
          <w:tcPr>
            <w:tcW w:w="661" w:type="dxa"/>
            <w:tcBorders>
              <w:top w:val="nil"/>
              <w:left w:val="single" w:sz="4" w:space="0" w:color="auto"/>
              <w:bottom w:val="single" w:sz="4" w:space="0" w:color="auto"/>
              <w:right w:val="single" w:sz="4" w:space="0" w:color="auto"/>
            </w:tcBorders>
            <w:shd w:val="clear" w:color="auto" w:fill="auto"/>
            <w:vAlign w:val="center"/>
            <w:hideMark/>
          </w:tcPr>
          <w:p w14:paraId="0E9F06DD"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2017</w:t>
            </w:r>
          </w:p>
        </w:tc>
        <w:tc>
          <w:tcPr>
            <w:tcW w:w="706" w:type="dxa"/>
            <w:tcBorders>
              <w:top w:val="nil"/>
              <w:left w:val="nil"/>
              <w:bottom w:val="single" w:sz="4" w:space="0" w:color="auto"/>
              <w:right w:val="single" w:sz="4" w:space="0" w:color="auto"/>
            </w:tcBorders>
            <w:shd w:val="clear" w:color="auto" w:fill="auto"/>
            <w:vAlign w:val="center"/>
            <w:hideMark/>
          </w:tcPr>
          <w:p w14:paraId="05D709BB"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w:t>
            </w:r>
          </w:p>
        </w:tc>
        <w:tc>
          <w:tcPr>
            <w:tcW w:w="994" w:type="dxa"/>
            <w:tcBorders>
              <w:top w:val="nil"/>
              <w:left w:val="nil"/>
              <w:bottom w:val="single" w:sz="4" w:space="0" w:color="auto"/>
              <w:right w:val="single" w:sz="4" w:space="0" w:color="auto"/>
            </w:tcBorders>
            <w:shd w:val="clear" w:color="auto" w:fill="auto"/>
            <w:vAlign w:val="center"/>
            <w:hideMark/>
          </w:tcPr>
          <w:p w14:paraId="259CFC50" w14:textId="77777777" w:rsidR="00217F39" w:rsidRPr="00217F39" w:rsidRDefault="00217F39" w:rsidP="00217F39">
            <w:pPr>
              <w:spacing w:before="0" w:after="0" w:line="240" w:lineRule="auto"/>
              <w:jc w:val="center"/>
              <w:rPr>
                <w:rFonts w:ascii="Times New Roman" w:eastAsia="Times New Roman" w:hAnsi="Times New Roman" w:cs="Times New Roman"/>
                <w:lang w:eastAsia="lv-LV"/>
              </w:rPr>
            </w:pPr>
            <w:r w:rsidRPr="00217F39">
              <w:rPr>
                <w:rFonts w:ascii="Times New Roman" w:eastAsia="Times New Roman" w:hAnsi="Times New Roman" w:cs="Times New Roman"/>
                <w:lang w:eastAsia="lv-LV"/>
              </w:rPr>
              <w:t>50,0 %</w:t>
            </w:r>
          </w:p>
        </w:tc>
        <w:tc>
          <w:tcPr>
            <w:tcW w:w="706" w:type="dxa"/>
            <w:tcBorders>
              <w:top w:val="nil"/>
              <w:left w:val="nil"/>
              <w:bottom w:val="single" w:sz="4" w:space="0" w:color="auto"/>
              <w:right w:val="nil"/>
            </w:tcBorders>
            <w:shd w:val="clear" w:color="000000" w:fill="FFFFFF"/>
            <w:vAlign w:val="center"/>
            <w:hideMark/>
          </w:tcPr>
          <w:p w14:paraId="12885771"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w:t>
            </w:r>
          </w:p>
        </w:tc>
        <w:tc>
          <w:tcPr>
            <w:tcW w:w="994" w:type="dxa"/>
            <w:tcBorders>
              <w:top w:val="nil"/>
              <w:left w:val="single" w:sz="4" w:space="0" w:color="auto"/>
              <w:bottom w:val="single" w:sz="4" w:space="0" w:color="auto"/>
              <w:right w:val="nil"/>
            </w:tcBorders>
            <w:shd w:val="clear" w:color="000000" w:fill="FFFFFF"/>
            <w:vAlign w:val="center"/>
            <w:hideMark/>
          </w:tcPr>
          <w:p w14:paraId="138F3D61"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50,0 %</w:t>
            </w:r>
          </w:p>
        </w:tc>
        <w:tc>
          <w:tcPr>
            <w:tcW w:w="706" w:type="dxa"/>
            <w:tcBorders>
              <w:top w:val="nil"/>
              <w:left w:val="single" w:sz="4" w:space="0" w:color="auto"/>
              <w:bottom w:val="single" w:sz="4" w:space="0" w:color="auto"/>
              <w:right w:val="single" w:sz="4" w:space="0" w:color="auto"/>
            </w:tcBorders>
            <w:shd w:val="clear" w:color="000000" w:fill="FFFFFF"/>
            <w:vAlign w:val="center"/>
            <w:hideMark/>
          </w:tcPr>
          <w:p w14:paraId="793275F8"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7</w:t>
            </w:r>
          </w:p>
        </w:tc>
        <w:tc>
          <w:tcPr>
            <w:tcW w:w="1227" w:type="dxa"/>
            <w:tcBorders>
              <w:top w:val="nil"/>
              <w:left w:val="nil"/>
              <w:bottom w:val="single" w:sz="4" w:space="0" w:color="auto"/>
              <w:right w:val="single" w:sz="4" w:space="0" w:color="auto"/>
            </w:tcBorders>
            <w:shd w:val="clear" w:color="000000" w:fill="FFFFFF"/>
            <w:vAlign w:val="center"/>
            <w:hideMark/>
          </w:tcPr>
          <w:p w14:paraId="1FE4B317"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87,5 %</w:t>
            </w:r>
          </w:p>
        </w:tc>
        <w:tc>
          <w:tcPr>
            <w:tcW w:w="706" w:type="dxa"/>
            <w:tcBorders>
              <w:top w:val="nil"/>
              <w:left w:val="nil"/>
              <w:bottom w:val="single" w:sz="4" w:space="0" w:color="auto"/>
              <w:right w:val="single" w:sz="4" w:space="0" w:color="auto"/>
            </w:tcBorders>
            <w:shd w:val="clear" w:color="000000" w:fill="FFFFFF"/>
            <w:vAlign w:val="center"/>
            <w:hideMark/>
          </w:tcPr>
          <w:p w14:paraId="23B746E9"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w:t>
            </w:r>
          </w:p>
        </w:tc>
        <w:tc>
          <w:tcPr>
            <w:tcW w:w="1227" w:type="dxa"/>
            <w:tcBorders>
              <w:top w:val="nil"/>
              <w:left w:val="nil"/>
              <w:bottom w:val="single" w:sz="4" w:space="0" w:color="auto"/>
              <w:right w:val="single" w:sz="4" w:space="0" w:color="auto"/>
            </w:tcBorders>
            <w:shd w:val="clear" w:color="000000" w:fill="FFFFFF"/>
            <w:vAlign w:val="center"/>
            <w:hideMark/>
          </w:tcPr>
          <w:p w14:paraId="49280C0C"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12,5 %</w:t>
            </w:r>
          </w:p>
        </w:tc>
        <w:tc>
          <w:tcPr>
            <w:tcW w:w="715" w:type="dxa"/>
            <w:tcBorders>
              <w:top w:val="nil"/>
              <w:left w:val="nil"/>
              <w:bottom w:val="single" w:sz="4" w:space="0" w:color="auto"/>
              <w:right w:val="single" w:sz="4" w:space="0" w:color="auto"/>
            </w:tcBorders>
            <w:shd w:val="clear" w:color="000000" w:fill="FFFFFF"/>
            <w:noWrap/>
            <w:vAlign w:val="bottom"/>
            <w:hideMark/>
          </w:tcPr>
          <w:p w14:paraId="2062F311"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X</w:t>
            </w:r>
          </w:p>
        </w:tc>
        <w:tc>
          <w:tcPr>
            <w:tcW w:w="1335" w:type="dxa"/>
            <w:tcBorders>
              <w:top w:val="nil"/>
              <w:left w:val="nil"/>
              <w:bottom w:val="single" w:sz="4" w:space="0" w:color="auto"/>
              <w:right w:val="single" w:sz="4" w:space="0" w:color="auto"/>
            </w:tcBorders>
            <w:shd w:val="clear" w:color="000000" w:fill="FFFFFF"/>
            <w:noWrap/>
            <w:vAlign w:val="bottom"/>
            <w:hideMark/>
          </w:tcPr>
          <w:p w14:paraId="0F138A54"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X</w:t>
            </w:r>
          </w:p>
        </w:tc>
      </w:tr>
      <w:tr w:rsidR="00217F39" w:rsidRPr="00217F39" w14:paraId="68764B9E" w14:textId="77777777" w:rsidTr="006347BE">
        <w:trPr>
          <w:trHeight w:val="300"/>
          <w:jc w:val="center"/>
        </w:trPr>
        <w:tc>
          <w:tcPr>
            <w:tcW w:w="661" w:type="dxa"/>
            <w:tcBorders>
              <w:top w:val="nil"/>
              <w:left w:val="single" w:sz="4" w:space="0" w:color="auto"/>
              <w:bottom w:val="single" w:sz="4" w:space="0" w:color="auto"/>
              <w:right w:val="single" w:sz="4" w:space="0" w:color="auto"/>
            </w:tcBorders>
            <w:shd w:val="clear" w:color="auto" w:fill="auto"/>
            <w:vAlign w:val="center"/>
            <w:hideMark/>
          </w:tcPr>
          <w:p w14:paraId="6BA5D5A3"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2018</w:t>
            </w:r>
          </w:p>
        </w:tc>
        <w:tc>
          <w:tcPr>
            <w:tcW w:w="706" w:type="dxa"/>
            <w:tcBorders>
              <w:top w:val="nil"/>
              <w:left w:val="nil"/>
              <w:bottom w:val="single" w:sz="4" w:space="0" w:color="auto"/>
              <w:right w:val="single" w:sz="4" w:space="0" w:color="auto"/>
            </w:tcBorders>
            <w:shd w:val="clear" w:color="auto" w:fill="auto"/>
            <w:vAlign w:val="center"/>
            <w:hideMark/>
          </w:tcPr>
          <w:p w14:paraId="5401AEF2"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58</w:t>
            </w:r>
          </w:p>
        </w:tc>
        <w:tc>
          <w:tcPr>
            <w:tcW w:w="994" w:type="dxa"/>
            <w:tcBorders>
              <w:top w:val="nil"/>
              <w:left w:val="nil"/>
              <w:bottom w:val="single" w:sz="4" w:space="0" w:color="auto"/>
              <w:right w:val="single" w:sz="4" w:space="0" w:color="auto"/>
            </w:tcBorders>
            <w:shd w:val="clear" w:color="auto" w:fill="auto"/>
            <w:vAlign w:val="center"/>
            <w:hideMark/>
          </w:tcPr>
          <w:p w14:paraId="5FA166EF"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54,2 %</w:t>
            </w:r>
          </w:p>
        </w:tc>
        <w:tc>
          <w:tcPr>
            <w:tcW w:w="706" w:type="dxa"/>
            <w:tcBorders>
              <w:top w:val="nil"/>
              <w:left w:val="nil"/>
              <w:bottom w:val="single" w:sz="4" w:space="0" w:color="auto"/>
              <w:right w:val="nil"/>
            </w:tcBorders>
            <w:shd w:val="clear" w:color="000000" w:fill="FFFFFF"/>
            <w:vAlign w:val="center"/>
            <w:hideMark/>
          </w:tcPr>
          <w:p w14:paraId="4DF6C3AD"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49</w:t>
            </w:r>
          </w:p>
        </w:tc>
        <w:tc>
          <w:tcPr>
            <w:tcW w:w="994" w:type="dxa"/>
            <w:tcBorders>
              <w:top w:val="nil"/>
              <w:left w:val="single" w:sz="4" w:space="0" w:color="auto"/>
              <w:bottom w:val="single" w:sz="4" w:space="0" w:color="auto"/>
              <w:right w:val="nil"/>
            </w:tcBorders>
            <w:shd w:val="clear" w:color="000000" w:fill="FFFFFF"/>
            <w:vAlign w:val="center"/>
            <w:hideMark/>
          </w:tcPr>
          <w:p w14:paraId="0EBDB06C"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45,8 %</w:t>
            </w:r>
          </w:p>
        </w:tc>
        <w:tc>
          <w:tcPr>
            <w:tcW w:w="706" w:type="dxa"/>
            <w:tcBorders>
              <w:top w:val="nil"/>
              <w:left w:val="single" w:sz="4" w:space="0" w:color="auto"/>
              <w:bottom w:val="single" w:sz="4" w:space="0" w:color="auto"/>
              <w:right w:val="single" w:sz="4" w:space="0" w:color="auto"/>
            </w:tcBorders>
            <w:shd w:val="clear" w:color="000000" w:fill="FFFFFF"/>
            <w:vAlign w:val="center"/>
            <w:hideMark/>
          </w:tcPr>
          <w:p w14:paraId="1E25DA48"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43</w:t>
            </w:r>
          </w:p>
        </w:tc>
        <w:tc>
          <w:tcPr>
            <w:tcW w:w="1227" w:type="dxa"/>
            <w:tcBorders>
              <w:top w:val="nil"/>
              <w:left w:val="nil"/>
              <w:bottom w:val="single" w:sz="4" w:space="0" w:color="auto"/>
              <w:right w:val="single" w:sz="4" w:space="0" w:color="auto"/>
            </w:tcBorders>
            <w:shd w:val="clear" w:color="000000" w:fill="FFFFFF"/>
            <w:vAlign w:val="center"/>
            <w:hideMark/>
          </w:tcPr>
          <w:p w14:paraId="2D33B4BB"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87,8 %</w:t>
            </w:r>
          </w:p>
        </w:tc>
        <w:tc>
          <w:tcPr>
            <w:tcW w:w="706" w:type="dxa"/>
            <w:tcBorders>
              <w:top w:val="nil"/>
              <w:left w:val="nil"/>
              <w:bottom w:val="single" w:sz="4" w:space="0" w:color="auto"/>
              <w:right w:val="single" w:sz="4" w:space="0" w:color="auto"/>
            </w:tcBorders>
            <w:shd w:val="clear" w:color="000000" w:fill="FFFFFF"/>
            <w:vAlign w:val="center"/>
            <w:hideMark/>
          </w:tcPr>
          <w:p w14:paraId="33A922BB"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w:t>
            </w:r>
          </w:p>
        </w:tc>
        <w:tc>
          <w:tcPr>
            <w:tcW w:w="1227" w:type="dxa"/>
            <w:tcBorders>
              <w:top w:val="nil"/>
              <w:left w:val="nil"/>
              <w:bottom w:val="single" w:sz="4" w:space="0" w:color="auto"/>
              <w:right w:val="single" w:sz="4" w:space="0" w:color="auto"/>
            </w:tcBorders>
            <w:shd w:val="clear" w:color="000000" w:fill="FFFFFF"/>
            <w:vAlign w:val="center"/>
            <w:hideMark/>
          </w:tcPr>
          <w:p w14:paraId="7AA62DA2"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8,2 %</w:t>
            </w:r>
          </w:p>
        </w:tc>
        <w:tc>
          <w:tcPr>
            <w:tcW w:w="715" w:type="dxa"/>
            <w:tcBorders>
              <w:top w:val="nil"/>
              <w:left w:val="nil"/>
              <w:bottom w:val="single" w:sz="4" w:space="0" w:color="auto"/>
              <w:right w:val="single" w:sz="4" w:space="0" w:color="auto"/>
            </w:tcBorders>
            <w:shd w:val="clear" w:color="000000" w:fill="FFFFFF"/>
            <w:noWrap/>
            <w:vAlign w:val="bottom"/>
            <w:hideMark/>
          </w:tcPr>
          <w:p w14:paraId="5431878D"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2</w:t>
            </w:r>
          </w:p>
        </w:tc>
        <w:tc>
          <w:tcPr>
            <w:tcW w:w="1335" w:type="dxa"/>
            <w:tcBorders>
              <w:top w:val="nil"/>
              <w:left w:val="nil"/>
              <w:bottom w:val="single" w:sz="4" w:space="0" w:color="auto"/>
              <w:right w:val="single" w:sz="4" w:space="0" w:color="auto"/>
            </w:tcBorders>
            <w:shd w:val="clear" w:color="000000" w:fill="FFFFFF"/>
            <w:noWrap/>
            <w:vAlign w:val="bottom"/>
            <w:hideMark/>
          </w:tcPr>
          <w:p w14:paraId="0B2A150D"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4,1 %</w:t>
            </w:r>
          </w:p>
        </w:tc>
      </w:tr>
      <w:tr w:rsidR="00217F39" w:rsidRPr="00217F39" w14:paraId="2CF2165B" w14:textId="77777777" w:rsidTr="001C551E">
        <w:trPr>
          <w:trHeight w:val="300"/>
          <w:jc w:val="center"/>
        </w:trPr>
        <w:tc>
          <w:tcPr>
            <w:tcW w:w="661" w:type="dxa"/>
            <w:tcBorders>
              <w:top w:val="nil"/>
              <w:left w:val="single" w:sz="4" w:space="0" w:color="auto"/>
              <w:bottom w:val="single" w:sz="4" w:space="0" w:color="auto"/>
              <w:right w:val="single" w:sz="4" w:space="0" w:color="auto"/>
            </w:tcBorders>
            <w:shd w:val="clear" w:color="auto" w:fill="auto"/>
            <w:vAlign w:val="center"/>
            <w:hideMark/>
          </w:tcPr>
          <w:p w14:paraId="1D3FD992"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2019</w:t>
            </w:r>
          </w:p>
        </w:tc>
        <w:tc>
          <w:tcPr>
            <w:tcW w:w="706" w:type="dxa"/>
            <w:tcBorders>
              <w:top w:val="nil"/>
              <w:left w:val="nil"/>
              <w:bottom w:val="single" w:sz="4" w:space="0" w:color="auto"/>
              <w:right w:val="single" w:sz="4" w:space="0" w:color="auto"/>
            </w:tcBorders>
            <w:shd w:val="clear" w:color="auto" w:fill="auto"/>
            <w:vAlign w:val="center"/>
            <w:hideMark/>
          </w:tcPr>
          <w:p w14:paraId="358A8278"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46</w:t>
            </w:r>
          </w:p>
        </w:tc>
        <w:tc>
          <w:tcPr>
            <w:tcW w:w="994" w:type="dxa"/>
            <w:tcBorders>
              <w:top w:val="nil"/>
              <w:left w:val="nil"/>
              <w:bottom w:val="single" w:sz="4" w:space="0" w:color="auto"/>
              <w:right w:val="single" w:sz="4" w:space="0" w:color="auto"/>
            </w:tcBorders>
            <w:shd w:val="clear" w:color="auto" w:fill="auto"/>
            <w:vAlign w:val="center"/>
            <w:hideMark/>
          </w:tcPr>
          <w:p w14:paraId="1DBBF390"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47,4 %</w:t>
            </w:r>
          </w:p>
        </w:tc>
        <w:tc>
          <w:tcPr>
            <w:tcW w:w="706" w:type="dxa"/>
            <w:tcBorders>
              <w:top w:val="nil"/>
              <w:left w:val="nil"/>
              <w:bottom w:val="single" w:sz="4" w:space="0" w:color="auto"/>
              <w:right w:val="nil"/>
            </w:tcBorders>
            <w:shd w:val="clear" w:color="000000" w:fill="FFFFFF"/>
            <w:vAlign w:val="center"/>
            <w:hideMark/>
          </w:tcPr>
          <w:p w14:paraId="4E7B971B"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51</w:t>
            </w:r>
          </w:p>
        </w:tc>
        <w:tc>
          <w:tcPr>
            <w:tcW w:w="994" w:type="dxa"/>
            <w:tcBorders>
              <w:top w:val="nil"/>
              <w:left w:val="single" w:sz="4" w:space="0" w:color="auto"/>
              <w:bottom w:val="single" w:sz="4" w:space="0" w:color="auto"/>
              <w:right w:val="nil"/>
            </w:tcBorders>
            <w:shd w:val="clear" w:color="000000" w:fill="FFFFFF"/>
            <w:vAlign w:val="center"/>
            <w:hideMark/>
          </w:tcPr>
          <w:p w14:paraId="7660BEB2"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52,6 %</w:t>
            </w:r>
          </w:p>
        </w:tc>
        <w:tc>
          <w:tcPr>
            <w:tcW w:w="706" w:type="dxa"/>
            <w:tcBorders>
              <w:top w:val="nil"/>
              <w:left w:val="single" w:sz="4" w:space="0" w:color="auto"/>
              <w:bottom w:val="single" w:sz="4" w:space="0" w:color="auto"/>
              <w:right w:val="single" w:sz="4" w:space="0" w:color="auto"/>
            </w:tcBorders>
            <w:shd w:val="clear" w:color="000000" w:fill="FFFFFF"/>
            <w:vAlign w:val="center"/>
            <w:hideMark/>
          </w:tcPr>
          <w:p w14:paraId="7880B556"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45</w:t>
            </w:r>
          </w:p>
        </w:tc>
        <w:tc>
          <w:tcPr>
            <w:tcW w:w="1227" w:type="dxa"/>
            <w:tcBorders>
              <w:top w:val="nil"/>
              <w:left w:val="nil"/>
              <w:bottom w:val="single" w:sz="4" w:space="0" w:color="auto"/>
              <w:right w:val="single" w:sz="4" w:space="0" w:color="auto"/>
            </w:tcBorders>
            <w:shd w:val="clear" w:color="000000" w:fill="FFFFFF"/>
            <w:vAlign w:val="center"/>
            <w:hideMark/>
          </w:tcPr>
          <w:p w14:paraId="7CB99C0D"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88,2 %</w:t>
            </w:r>
          </w:p>
        </w:tc>
        <w:tc>
          <w:tcPr>
            <w:tcW w:w="706" w:type="dxa"/>
            <w:tcBorders>
              <w:top w:val="nil"/>
              <w:left w:val="nil"/>
              <w:bottom w:val="single" w:sz="4" w:space="0" w:color="auto"/>
              <w:right w:val="single" w:sz="4" w:space="0" w:color="auto"/>
            </w:tcBorders>
            <w:shd w:val="clear" w:color="000000" w:fill="FFFFFF"/>
            <w:vAlign w:val="center"/>
            <w:hideMark/>
          </w:tcPr>
          <w:p w14:paraId="77A489A4"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w:t>
            </w:r>
          </w:p>
        </w:tc>
        <w:tc>
          <w:tcPr>
            <w:tcW w:w="1227" w:type="dxa"/>
            <w:tcBorders>
              <w:top w:val="nil"/>
              <w:left w:val="nil"/>
              <w:bottom w:val="single" w:sz="4" w:space="0" w:color="auto"/>
              <w:right w:val="single" w:sz="4" w:space="0" w:color="auto"/>
            </w:tcBorders>
            <w:shd w:val="clear" w:color="000000" w:fill="FFFFFF"/>
            <w:vAlign w:val="center"/>
            <w:hideMark/>
          </w:tcPr>
          <w:p w14:paraId="7E416092"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9,8 %</w:t>
            </w:r>
          </w:p>
        </w:tc>
        <w:tc>
          <w:tcPr>
            <w:tcW w:w="715" w:type="dxa"/>
            <w:tcBorders>
              <w:top w:val="nil"/>
              <w:left w:val="nil"/>
              <w:bottom w:val="single" w:sz="4" w:space="0" w:color="auto"/>
              <w:right w:val="single" w:sz="4" w:space="0" w:color="auto"/>
            </w:tcBorders>
            <w:shd w:val="clear" w:color="000000" w:fill="FFFFFF"/>
            <w:noWrap/>
            <w:vAlign w:val="center"/>
            <w:hideMark/>
          </w:tcPr>
          <w:p w14:paraId="2D22B4F4"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w:t>
            </w:r>
          </w:p>
        </w:tc>
        <w:tc>
          <w:tcPr>
            <w:tcW w:w="1335" w:type="dxa"/>
            <w:tcBorders>
              <w:top w:val="nil"/>
              <w:left w:val="nil"/>
              <w:bottom w:val="single" w:sz="4" w:space="0" w:color="auto"/>
              <w:right w:val="single" w:sz="4" w:space="0" w:color="auto"/>
            </w:tcBorders>
            <w:shd w:val="clear" w:color="000000" w:fill="FFFFFF"/>
            <w:noWrap/>
            <w:vAlign w:val="center"/>
            <w:hideMark/>
          </w:tcPr>
          <w:p w14:paraId="2784CE7B"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2,0 %</w:t>
            </w:r>
          </w:p>
        </w:tc>
      </w:tr>
      <w:tr w:rsidR="00217F39" w:rsidRPr="00217F39" w14:paraId="6B8E4A94" w14:textId="77777777" w:rsidTr="001C551E">
        <w:trPr>
          <w:trHeight w:val="300"/>
          <w:jc w:val="center"/>
        </w:trPr>
        <w:tc>
          <w:tcPr>
            <w:tcW w:w="6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07A72" w14:textId="77777777" w:rsidR="00217F39" w:rsidRPr="00217F39" w:rsidRDefault="00217F39" w:rsidP="00217F39">
            <w:pPr>
              <w:spacing w:before="0" w:after="0" w:line="240" w:lineRule="auto"/>
              <w:jc w:val="center"/>
              <w:rPr>
                <w:rFonts w:ascii="Times New Roman" w:eastAsia="Times New Roman" w:hAnsi="Times New Roman" w:cs="Times New Roman"/>
                <w:b/>
                <w:bCs/>
                <w:color w:val="000000"/>
                <w:lang w:eastAsia="lv-LV"/>
              </w:rPr>
            </w:pPr>
            <w:r w:rsidRPr="00217F39">
              <w:rPr>
                <w:rFonts w:ascii="Times New Roman" w:eastAsia="Times New Roman" w:hAnsi="Times New Roman" w:cs="Times New Roman"/>
                <w:b/>
                <w:bCs/>
                <w:color w:val="000000"/>
                <w:lang w:eastAsia="lv-LV"/>
              </w:rPr>
              <w:t>2020</w:t>
            </w:r>
          </w:p>
        </w:tc>
        <w:tc>
          <w:tcPr>
            <w:tcW w:w="706" w:type="dxa"/>
            <w:tcBorders>
              <w:top w:val="single" w:sz="4" w:space="0" w:color="auto"/>
              <w:left w:val="nil"/>
              <w:bottom w:val="single" w:sz="4" w:space="0" w:color="auto"/>
              <w:right w:val="single" w:sz="4" w:space="0" w:color="auto"/>
            </w:tcBorders>
            <w:shd w:val="clear" w:color="auto" w:fill="auto"/>
            <w:vAlign w:val="center"/>
            <w:hideMark/>
          </w:tcPr>
          <w:p w14:paraId="50765C00"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35</w:t>
            </w:r>
          </w:p>
        </w:tc>
        <w:tc>
          <w:tcPr>
            <w:tcW w:w="994" w:type="dxa"/>
            <w:tcBorders>
              <w:top w:val="single" w:sz="4" w:space="0" w:color="auto"/>
              <w:left w:val="nil"/>
              <w:bottom w:val="single" w:sz="4" w:space="0" w:color="auto"/>
              <w:right w:val="single" w:sz="4" w:space="0" w:color="auto"/>
            </w:tcBorders>
            <w:shd w:val="clear" w:color="auto" w:fill="auto"/>
            <w:vAlign w:val="center"/>
            <w:hideMark/>
          </w:tcPr>
          <w:p w14:paraId="67B45E1D"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66,0 %</w:t>
            </w:r>
          </w:p>
        </w:tc>
        <w:tc>
          <w:tcPr>
            <w:tcW w:w="706" w:type="dxa"/>
            <w:tcBorders>
              <w:top w:val="single" w:sz="4" w:space="0" w:color="auto"/>
              <w:left w:val="nil"/>
              <w:bottom w:val="single" w:sz="4" w:space="0" w:color="auto"/>
              <w:right w:val="nil"/>
            </w:tcBorders>
            <w:shd w:val="clear" w:color="000000" w:fill="FFFFFF"/>
            <w:vAlign w:val="center"/>
            <w:hideMark/>
          </w:tcPr>
          <w:p w14:paraId="0D8B70E1"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18</w:t>
            </w:r>
          </w:p>
        </w:tc>
        <w:tc>
          <w:tcPr>
            <w:tcW w:w="994" w:type="dxa"/>
            <w:tcBorders>
              <w:top w:val="single" w:sz="4" w:space="0" w:color="auto"/>
              <w:left w:val="single" w:sz="4" w:space="0" w:color="auto"/>
              <w:bottom w:val="single" w:sz="4" w:space="0" w:color="auto"/>
              <w:right w:val="nil"/>
            </w:tcBorders>
            <w:shd w:val="clear" w:color="000000" w:fill="FFFFFF"/>
            <w:vAlign w:val="center"/>
            <w:hideMark/>
          </w:tcPr>
          <w:p w14:paraId="39762242"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34,0 %</w:t>
            </w:r>
          </w:p>
        </w:tc>
        <w:tc>
          <w:tcPr>
            <w:tcW w:w="7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0D1280"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17</w:t>
            </w:r>
          </w:p>
        </w:tc>
        <w:tc>
          <w:tcPr>
            <w:tcW w:w="1227" w:type="dxa"/>
            <w:tcBorders>
              <w:top w:val="single" w:sz="4" w:space="0" w:color="auto"/>
              <w:left w:val="nil"/>
              <w:bottom w:val="single" w:sz="4" w:space="0" w:color="auto"/>
              <w:right w:val="single" w:sz="4" w:space="0" w:color="auto"/>
            </w:tcBorders>
            <w:shd w:val="clear" w:color="000000" w:fill="FFFFFF"/>
            <w:vAlign w:val="center"/>
            <w:hideMark/>
          </w:tcPr>
          <w:p w14:paraId="048B67C9"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94,4 %</w:t>
            </w:r>
          </w:p>
        </w:tc>
        <w:tc>
          <w:tcPr>
            <w:tcW w:w="706" w:type="dxa"/>
            <w:tcBorders>
              <w:top w:val="single" w:sz="4" w:space="0" w:color="auto"/>
              <w:left w:val="nil"/>
              <w:bottom w:val="single" w:sz="4" w:space="0" w:color="auto"/>
              <w:right w:val="single" w:sz="4" w:space="0" w:color="auto"/>
            </w:tcBorders>
            <w:shd w:val="clear" w:color="000000" w:fill="FFFFFF"/>
            <w:vAlign w:val="center"/>
            <w:hideMark/>
          </w:tcPr>
          <w:p w14:paraId="73192EBB"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X</w:t>
            </w:r>
          </w:p>
        </w:tc>
        <w:tc>
          <w:tcPr>
            <w:tcW w:w="1227" w:type="dxa"/>
            <w:tcBorders>
              <w:top w:val="single" w:sz="4" w:space="0" w:color="auto"/>
              <w:left w:val="nil"/>
              <w:bottom w:val="single" w:sz="4" w:space="0" w:color="auto"/>
              <w:right w:val="single" w:sz="4" w:space="0" w:color="auto"/>
            </w:tcBorders>
            <w:shd w:val="clear" w:color="000000" w:fill="FFFFFF"/>
            <w:vAlign w:val="center"/>
            <w:hideMark/>
          </w:tcPr>
          <w:p w14:paraId="2822BC4A"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X</w:t>
            </w:r>
          </w:p>
        </w:tc>
        <w:tc>
          <w:tcPr>
            <w:tcW w:w="715" w:type="dxa"/>
            <w:tcBorders>
              <w:top w:val="single" w:sz="4" w:space="0" w:color="auto"/>
              <w:left w:val="nil"/>
              <w:bottom w:val="single" w:sz="4" w:space="0" w:color="auto"/>
              <w:right w:val="single" w:sz="4" w:space="0" w:color="auto"/>
            </w:tcBorders>
            <w:shd w:val="clear" w:color="000000" w:fill="FFFFFF"/>
            <w:noWrap/>
            <w:vAlign w:val="bottom"/>
            <w:hideMark/>
          </w:tcPr>
          <w:p w14:paraId="579E1C34"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1</w:t>
            </w:r>
          </w:p>
        </w:tc>
        <w:tc>
          <w:tcPr>
            <w:tcW w:w="1335" w:type="dxa"/>
            <w:tcBorders>
              <w:top w:val="single" w:sz="4" w:space="0" w:color="auto"/>
              <w:left w:val="nil"/>
              <w:bottom w:val="single" w:sz="4" w:space="0" w:color="auto"/>
              <w:right w:val="single" w:sz="4" w:space="0" w:color="auto"/>
            </w:tcBorders>
            <w:shd w:val="clear" w:color="000000" w:fill="FFFFFF"/>
            <w:noWrap/>
            <w:vAlign w:val="bottom"/>
            <w:hideMark/>
          </w:tcPr>
          <w:p w14:paraId="67ACCF01" w14:textId="77777777" w:rsidR="00217F39" w:rsidRPr="00217F39" w:rsidRDefault="00217F39" w:rsidP="00217F39">
            <w:pPr>
              <w:spacing w:before="0" w:after="0" w:line="240" w:lineRule="auto"/>
              <w:jc w:val="center"/>
              <w:rPr>
                <w:rFonts w:ascii="Times New Roman" w:eastAsia="Times New Roman" w:hAnsi="Times New Roman" w:cs="Times New Roman"/>
                <w:color w:val="000000"/>
                <w:lang w:eastAsia="lv-LV"/>
              </w:rPr>
            </w:pPr>
            <w:r w:rsidRPr="00217F39">
              <w:rPr>
                <w:rFonts w:ascii="Times New Roman" w:eastAsia="Times New Roman" w:hAnsi="Times New Roman" w:cs="Times New Roman"/>
                <w:color w:val="000000"/>
                <w:lang w:eastAsia="lv-LV"/>
              </w:rPr>
              <w:t>5,6 %</w:t>
            </w:r>
          </w:p>
        </w:tc>
      </w:tr>
      <w:tr w:rsidR="00E120D5" w:rsidRPr="00217F39" w14:paraId="0B7A8FAC" w14:textId="77777777" w:rsidTr="001C551E">
        <w:trPr>
          <w:trHeight w:val="300"/>
          <w:jc w:val="center"/>
        </w:trPr>
        <w:tc>
          <w:tcPr>
            <w:tcW w:w="661" w:type="dxa"/>
            <w:tcBorders>
              <w:top w:val="single" w:sz="4" w:space="0" w:color="auto"/>
              <w:left w:val="single" w:sz="4" w:space="0" w:color="auto"/>
              <w:bottom w:val="single" w:sz="4" w:space="0" w:color="auto"/>
              <w:right w:val="single" w:sz="4" w:space="0" w:color="auto"/>
            </w:tcBorders>
            <w:shd w:val="clear" w:color="auto" w:fill="auto"/>
            <w:vAlign w:val="center"/>
          </w:tcPr>
          <w:p w14:paraId="40B52528" w14:textId="0DF3F3A2" w:rsidR="00E120D5" w:rsidRPr="00217F39" w:rsidRDefault="00E120D5" w:rsidP="00217F39">
            <w:pPr>
              <w:spacing w:before="0" w:after="0" w:line="240" w:lineRule="auto"/>
              <w:jc w:val="center"/>
              <w:rPr>
                <w:rFonts w:ascii="Times New Roman" w:eastAsia="Times New Roman" w:hAnsi="Times New Roman" w:cs="Times New Roman"/>
                <w:b/>
                <w:bCs/>
                <w:color w:val="000000"/>
                <w:lang w:eastAsia="lv-LV"/>
              </w:rPr>
            </w:pPr>
            <w:r>
              <w:rPr>
                <w:rFonts w:ascii="Times New Roman" w:eastAsia="Times New Roman" w:hAnsi="Times New Roman" w:cs="Times New Roman"/>
                <w:b/>
                <w:bCs/>
                <w:color w:val="000000"/>
                <w:lang w:eastAsia="lv-LV"/>
              </w:rPr>
              <w:t>2021</w:t>
            </w:r>
          </w:p>
        </w:tc>
        <w:tc>
          <w:tcPr>
            <w:tcW w:w="706" w:type="dxa"/>
            <w:tcBorders>
              <w:top w:val="single" w:sz="4" w:space="0" w:color="auto"/>
              <w:left w:val="nil"/>
              <w:bottom w:val="single" w:sz="4" w:space="0" w:color="auto"/>
              <w:right w:val="single" w:sz="4" w:space="0" w:color="auto"/>
            </w:tcBorders>
            <w:shd w:val="clear" w:color="auto" w:fill="auto"/>
            <w:vAlign w:val="center"/>
          </w:tcPr>
          <w:p w14:paraId="005F3631" w14:textId="63F64708"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11</w:t>
            </w:r>
          </w:p>
        </w:tc>
        <w:tc>
          <w:tcPr>
            <w:tcW w:w="994" w:type="dxa"/>
            <w:tcBorders>
              <w:top w:val="single" w:sz="4" w:space="0" w:color="auto"/>
              <w:left w:val="nil"/>
              <w:bottom w:val="single" w:sz="4" w:space="0" w:color="auto"/>
              <w:right w:val="single" w:sz="4" w:space="0" w:color="auto"/>
            </w:tcBorders>
            <w:shd w:val="clear" w:color="auto" w:fill="auto"/>
            <w:vAlign w:val="center"/>
          </w:tcPr>
          <w:p w14:paraId="5FAEB44A" w14:textId="59C7D35D"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91,7%</w:t>
            </w:r>
          </w:p>
        </w:tc>
        <w:tc>
          <w:tcPr>
            <w:tcW w:w="706" w:type="dxa"/>
            <w:tcBorders>
              <w:top w:val="single" w:sz="4" w:space="0" w:color="auto"/>
              <w:left w:val="nil"/>
              <w:bottom w:val="single" w:sz="4" w:space="0" w:color="auto"/>
              <w:right w:val="nil"/>
            </w:tcBorders>
            <w:shd w:val="clear" w:color="000000" w:fill="FFFFFF"/>
            <w:vAlign w:val="center"/>
          </w:tcPr>
          <w:p w14:paraId="4C476774" w14:textId="3B7F93F5"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994" w:type="dxa"/>
            <w:tcBorders>
              <w:top w:val="single" w:sz="4" w:space="0" w:color="auto"/>
              <w:left w:val="single" w:sz="4" w:space="0" w:color="auto"/>
              <w:bottom w:val="single" w:sz="4" w:space="0" w:color="auto"/>
              <w:right w:val="nil"/>
            </w:tcBorders>
            <w:shd w:val="clear" w:color="000000" w:fill="FFFFFF"/>
            <w:vAlign w:val="center"/>
          </w:tcPr>
          <w:p w14:paraId="6A58BCEE" w14:textId="341F9ABA"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8,3%</w:t>
            </w:r>
          </w:p>
        </w:tc>
        <w:tc>
          <w:tcPr>
            <w:tcW w:w="706" w:type="dxa"/>
            <w:tcBorders>
              <w:top w:val="single" w:sz="4" w:space="0" w:color="auto"/>
              <w:left w:val="single" w:sz="4" w:space="0" w:color="auto"/>
              <w:bottom w:val="single" w:sz="4" w:space="0" w:color="auto"/>
              <w:right w:val="single" w:sz="4" w:space="0" w:color="auto"/>
            </w:tcBorders>
            <w:shd w:val="clear" w:color="000000" w:fill="FFFFFF"/>
            <w:vAlign w:val="center"/>
          </w:tcPr>
          <w:p w14:paraId="6954F6F6" w14:textId="49DDCF28"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w:t>
            </w:r>
          </w:p>
        </w:tc>
        <w:tc>
          <w:tcPr>
            <w:tcW w:w="1227" w:type="dxa"/>
            <w:tcBorders>
              <w:top w:val="single" w:sz="4" w:space="0" w:color="auto"/>
              <w:left w:val="nil"/>
              <w:bottom w:val="single" w:sz="4" w:space="0" w:color="auto"/>
              <w:right w:val="single" w:sz="4" w:space="0" w:color="auto"/>
            </w:tcBorders>
            <w:shd w:val="clear" w:color="000000" w:fill="FFFFFF"/>
            <w:vAlign w:val="center"/>
          </w:tcPr>
          <w:p w14:paraId="7B9328E9" w14:textId="27462A9F"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100%</w:t>
            </w:r>
          </w:p>
        </w:tc>
        <w:tc>
          <w:tcPr>
            <w:tcW w:w="706" w:type="dxa"/>
            <w:tcBorders>
              <w:top w:val="single" w:sz="4" w:space="0" w:color="auto"/>
              <w:left w:val="nil"/>
              <w:bottom w:val="single" w:sz="4" w:space="0" w:color="auto"/>
              <w:right w:val="single" w:sz="4" w:space="0" w:color="auto"/>
            </w:tcBorders>
            <w:shd w:val="clear" w:color="000000" w:fill="FFFFFF"/>
            <w:vAlign w:val="center"/>
          </w:tcPr>
          <w:p w14:paraId="579561E9" w14:textId="7BF70534"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x</w:t>
            </w:r>
          </w:p>
        </w:tc>
        <w:tc>
          <w:tcPr>
            <w:tcW w:w="1227" w:type="dxa"/>
            <w:tcBorders>
              <w:top w:val="single" w:sz="4" w:space="0" w:color="auto"/>
              <w:left w:val="nil"/>
              <w:bottom w:val="single" w:sz="4" w:space="0" w:color="auto"/>
              <w:right w:val="single" w:sz="4" w:space="0" w:color="auto"/>
            </w:tcBorders>
            <w:shd w:val="clear" w:color="000000" w:fill="FFFFFF"/>
            <w:vAlign w:val="center"/>
          </w:tcPr>
          <w:p w14:paraId="18DA1DCF" w14:textId="35C259AD"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x</w:t>
            </w:r>
          </w:p>
        </w:tc>
        <w:tc>
          <w:tcPr>
            <w:tcW w:w="715" w:type="dxa"/>
            <w:tcBorders>
              <w:top w:val="single" w:sz="4" w:space="0" w:color="auto"/>
              <w:left w:val="nil"/>
              <w:bottom w:val="single" w:sz="4" w:space="0" w:color="auto"/>
              <w:right w:val="single" w:sz="4" w:space="0" w:color="auto"/>
            </w:tcBorders>
            <w:shd w:val="clear" w:color="000000" w:fill="FFFFFF"/>
            <w:noWrap/>
            <w:vAlign w:val="bottom"/>
          </w:tcPr>
          <w:p w14:paraId="02B652D6" w14:textId="3FDA5381"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x</w:t>
            </w:r>
          </w:p>
        </w:tc>
        <w:tc>
          <w:tcPr>
            <w:tcW w:w="1335" w:type="dxa"/>
            <w:tcBorders>
              <w:top w:val="single" w:sz="4" w:space="0" w:color="auto"/>
              <w:left w:val="nil"/>
              <w:bottom w:val="single" w:sz="4" w:space="0" w:color="auto"/>
              <w:right w:val="single" w:sz="4" w:space="0" w:color="auto"/>
            </w:tcBorders>
            <w:shd w:val="clear" w:color="000000" w:fill="FFFFFF"/>
            <w:noWrap/>
            <w:vAlign w:val="bottom"/>
          </w:tcPr>
          <w:p w14:paraId="27949DE8" w14:textId="6390AA18" w:rsidR="00E120D5" w:rsidRPr="00217F39" w:rsidRDefault="00E120D5" w:rsidP="00217F39">
            <w:pPr>
              <w:spacing w:before="0"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x</w:t>
            </w:r>
          </w:p>
        </w:tc>
      </w:tr>
    </w:tbl>
    <w:p w14:paraId="4CCFFB36" w14:textId="77777777" w:rsidR="00217F39" w:rsidRPr="00217F39" w:rsidRDefault="00217F39" w:rsidP="00217F39">
      <w:pPr>
        <w:spacing w:before="0" w:after="0" w:line="240" w:lineRule="auto"/>
        <w:ind w:firstLine="720"/>
        <w:jc w:val="both"/>
        <w:rPr>
          <w:rFonts w:ascii="Times New Roman" w:eastAsia="Century Gothic" w:hAnsi="Times New Roman" w:cs="Times New Roman"/>
          <w:sz w:val="28"/>
          <w:szCs w:val="28"/>
        </w:rPr>
      </w:pPr>
    </w:p>
    <w:bookmarkEnd w:id="5"/>
    <w:p w14:paraId="61E532BD" w14:textId="5AB80FE7" w:rsid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Apkopojot rādītājus par darba ņēmējiem būvlaukumos, kuri nav reģistrējuši darba laika uzsākšanu EDLUS, 2020.gadā konstatēts tikai viens būvobjekts no pārbaudītajiem 53 būvlaukumiem, kurā pārbaudes uzsākšanas brīdī EDLUS nebija reģistrēts vairāk nekā 21 nodarbinātais. Arī 2019.gadā tikai vienā no pārbaudītajiem 97 būvlaukumiem pienākumu reģistrēties EDLUS pārbaudes brīdī nebija izpildījuši vairāk par 20 nodarbinātajiem, kas vienlaikus bija vismaz 30 % no EDLUS reģistrētā darba ņēmēju skaita. </w:t>
      </w:r>
    </w:p>
    <w:p w14:paraId="5A630FB3" w14:textId="1E897275" w:rsidR="00073D6A" w:rsidRPr="000D0AD7" w:rsidRDefault="00073D6A" w:rsidP="00073D6A">
      <w:pPr>
        <w:spacing w:before="0" w:after="0" w:line="240" w:lineRule="auto"/>
        <w:ind w:firstLine="720"/>
        <w:jc w:val="both"/>
        <w:rPr>
          <w:rFonts w:ascii="Times New Roman" w:hAnsi="Times New Roman" w:cs="Times New Roman"/>
          <w:color w:val="000000" w:themeColor="text1"/>
          <w:sz w:val="28"/>
          <w:szCs w:val="28"/>
        </w:rPr>
      </w:pPr>
      <w:r w:rsidRPr="000D0AD7">
        <w:rPr>
          <w:rFonts w:ascii="Times New Roman" w:hAnsi="Times New Roman" w:cs="Times New Roman"/>
          <w:color w:val="000000" w:themeColor="text1"/>
          <w:sz w:val="28"/>
          <w:szCs w:val="28"/>
        </w:rPr>
        <w:t xml:space="preserve">Par konstatētajiem pārkāpumiem EDLUS normatīvā regulējuma neievērošanā saskaņā ar likuma “Par nodokļiem un nodevām” 144. pantu piemēroti naudas sodi:   </w:t>
      </w:r>
    </w:p>
    <w:p w14:paraId="255E3D2A" w14:textId="77D5885F" w:rsidR="00073D6A" w:rsidRPr="000D0AD7" w:rsidRDefault="00073D6A" w:rsidP="00073D6A">
      <w:pPr>
        <w:spacing w:before="0" w:after="0" w:line="240" w:lineRule="auto"/>
        <w:ind w:firstLine="720"/>
        <w:jc w:val="both"/>
        <w:rPr>
          <w:rFonts w:ascii="Times New Roman" w:hAnsi="Times New Roman" w:cs="Times New Roman"/>
          <w:color w:val="000000" w:themeColor="text1"/>
          <w:sz w:val="28"/>
          <w:szCs w:val="28"/>
        </w:rPr>
      </w:pPr>
      <w:r w:rsidRPr="000D0AD7">
        <w:rPr>
          <w:rFonts w:ascii="Times New Roman" w:hAnsi="Times New Roman" w:cs="Times New Roman"/>
          <w:color w:val="000000" w:themeColor="text1"/>
          <w:sz w:val="28"/>
          <w:szCs w:val="28"/>
        </w:rPr>
        <w:t>- 2020. gadā pēc apsekošan</w:t>
      </w:r>
      <w:r w:rsidR="00A745CB">
        <w:rPr>
          <w:rFonts w:ascii="Times New Roman" w:hAnsi="Times New Roman" w:cs="Times New Roman"/>
          <w:color w:val="000000" w:themeColor="text1"/>
          <w:sz w:val="28"/>
          <w:szCs w:val="28"/>
        </w:rPr>
        <w:t>as</w:t>
      </w:r>
      <w:r w:rsidRPr="000D0AD7">
        <w:rPr>
          <w:rFonts w:ascii="Times New Roman" w:hAnsi="Times New Roman" w:cs="Times New Roman"/>
          <w:color w:val="000000" w:themeColor="text1"/>
          <w:sz w:val="28"/>
          <w:szCs w:val="28"/>
        </w:rPr>
        <w:t xml:space="preserve"> par konstatētajiem pārkāpumiem naudas sods kopumā ir piemērots divos gadījumos 0,7 tūkst. EUR apmērā;</w:t>
      </w:r>
    </w:p>
    <w:p w14:paraId="2B5D46C1" w14:textId="19F8C620" w:rsidR="00073D6A" w:rsidRPr="00C33C9F" w:rsidRDefault="00073D6A" w:rsidP="00073D6A">
      <w:pPr>
        <w:spacing w:before="0" w:after="0" w:line="240" w:lineRule="auto"/>
        <w:ind w:firstLine="720"/>
        <w:jc w:val="both"/>
        <w:rPr>
          <w:rFonts w:ascii="Times New Roman" w:eastAsia="Century Gothic" w:hAnsi="Times New Roman" w:cs="Times New Roman"/>
          <w:color w:val="000000"/>
          <w:sz w:val="28"/>
          <w:szCs w:val="28"/>
        </w:rPr>
      </w:pPr>
      <w:r w:rsidRPr="000D0AD7">
        <w:rPr>
          <w:rFonts w:ascii="Times New Roman" w:hAnsi="Times New Roman" w:cs="Times New Roman"/>
          <w:color w:val="000000" w:themeColor="text1"/>
          <w:sz w:val="28"/>
          <w:szCs w:val="28"/>
        </w:rPr>
        <w:t>- 2021. gadā par tematiskajās pārbaudēs konstatētajiem pārkāpumiem naudas sods kopumā ir piemērots deviņos gadījumos 4,1 tūkst. EUR apmērā, t. sk. saskaņā ar 144. panta devīto daļu četros gadījumos 3,8 tūkst. EUR apmēra. Pēc apsekošan</w:t>
      </w:r>
      <w:r w:rsidR="00A745CB">
        <w:rPr>
          <w:rFonts w:ascii="Times New Roman" w:hAnsi="Times New Roman" w:cs="Times New Roman"/>
          <w:color w:val="000000" w:themeColor="text1"/>
          <w:sz w:val="28"/>
          <w:szCs w:val="28"/>
        </w:rPr>
        <w:t>as</w:t>
      </w:r>
      <w:r w:rsidRPr="000D0AD7">
        <w:rPr>
          <w:rFonts w:ascii="Times New Roman" w:hAnsi="Times New Roman" w:cs="Times New Roman"/>
          <w:color w:val="000000" w:themeColor="text1"/>
          <w:sz w:val="28"/>
          <w:szCs w:val="28"/>
        </w:rPr>
        <w:t xml:space="preserve"> vai saistībā ar preventīvām darbībām naudas sods kopumā ir piemērots 14 gadījumos 1,7 tūkst. EUR apmērā, t. sk. saskaņā ar 144. panta devīto daļu vienā gadījumā 0,8 tūkst. EUR apmērā.</w:t>
      </w:r>
    </w:p>
    <w:p w14:paraId="62470A4D" w14:textId="77777777" w:rsidR="00073D6A" w:rsidRPr="00217F39" w:rsidRDefault="00073D6A" w:rsidP="00217F39">
      <w:pPr>
        <w:spacing w:before="0" w:after="0" w:line="240" w:lineRule="auto"/>
        <w:ind w:firstLine="720"/>
        <w:jc w:val="both"/>
        <w:rPr>
          <w:rFonts w:ascii="Times New Roman" w:eastAsia="Century Gothic" w:hAnsi="Times New Roman" w:cs="Times New Roman"/>
          <w:color w:val="000000"/>
          <w:sz w:val="28"/>
          <w:szCs w:val="28"/>
        </w:rPr>
      </w:pPr>
    </w:p>
    <w:p w14:paraId="403FF26F" w14:textId="1B337DDF" w:rsidR="00217F39" w:rsidRPr="00217F39" w:rsidRDefault="00217F39" w:rsidP="00217F39">
      <w:pPr>
        <w:spacing w:before="0" w:after="0" w:line="240" w:lineRule="auto"/>
        <w:ind w:firstLine="720"/>
        <w:jc w:val="both"/>
        <w:rPr>
          <w:rFonts w:ascii="Times New Roman" w:eastAsia="Century Gothic" w:hAnsi="Times New Roman" w:cs="Times New Roman"/>
          <w:sz w:val="28"/>
          <w:szCs w:val="28"/>
        </w:rPr>
      </w:pPr>
    </w:p>
    <w:p w14:paraId="70445AEC" w14:textId="47084ADC" w:rsidR="00217F39" w:rsidRPr="0080622C" w:rsidRDefault="008E4101" w:rsidP="008E4101">
      <w:pPr>
        <w:pStyle w:val="Heading1"/>
      </w:pPr>
      <w:bookmarkStart w:id="6" w:name="_Toc72918249"/>
      <w:r>
        <w:t xml:space="preserve">2.2. </w:t>
      </w:r>
      <w:r w:rsidR="00217F39" w:rsidRPr="0080622C">
        <w:t>Preventīvie nodokļu administrēšanas pasākumi</w:t>
      </w:r>
      <w:bookmarkEnd w:id="6"/>
    </w:p>
    <w:p w14:paraId="0960FE55" w14:textId="5DD2E362"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bookmarkStart w:id="7" w:name="_Hlk70341501"/>
      <w:r w:rsidRPr="00217F39">
        <w:rPr>
          <w:rFonts w:ascii="Times New Roman" w:eastAsia="Century Gothic" w:hAnsi="Times New Roman" w:cs="Times New Roman"/>
          <w:color w:val="000000"/>
          <w:sz w:val="28"/>
          <w:szCs w:val="28"/>
        </w:rPr>
        <w:t xml:space="preserve">2020.gadā VID veiktas uz riska analīzi balstītas nodokļu nomaksas veicināšanas darbības būvniecības uzņēmumiem, apvienojot vairākus virzienus, t.i., darbs ar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kuru darba ņēmēji saņem atalgojumu, kurš neatbilst ģenerālvienošanās dokumentā noteiktajam attiecībā uz būvniecības nozarē nodarbinātajiem, VEDLUDB (EDLUS) informācijas izmantošana nedeklarēto darba ienākumu, kuri nav uzrādīti grāmatvedības uzskaitē un no kuriem nav nomaksāti nodokļi, </w:t>
      </w:r>
      <w:r w:rsidRPr="00217F39">
        <w:rPr>
          <w:rFonts w:ascii="Times New Roman" w:eastAsia="Century Gothic" w:hAnsi="Times New Roman" w:cs="Times New Roman"/>
          <w:color w:val="000000"/>
          <w:sz w:val="28"/>
          <w:szCs w:val="28"/>
        </w:rPr>
        <w:lastRenderedPageBreak/>
        <w:t>identificēšanā, un iegūtās informācijas izmantošana “aplokšņu algu” samazināšanas veicināšanā.</w:t>
      </w:r>
    </w:p>
    <w:bookmarkEnd w:id="7"/>
    <w:p w14:paraId="6909BA40" w14:textId="0F9DF6B0"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Nodokļu nomaksas veicināšana ietver preventīvas un uzraudzības darbības, tostarp sarakstē uzrunājot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un organizējot pārrunas ar mērķi informēt par neatbilstībām, iespējamajiem “aplokšņu algas” riskiem, lai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labprātīgi novērstu pieļautās kļūdas, pārkāpumus vai konstatētos riskus. </w:t>
      </w:r>
    </w:p>
    <w:p w14:paraId="746A80B7" w14:textId="25D979A4" w:rsidR="00073D6A" w:rsidRPr="003D17DA" w:rsidRDefault="00217F39" w:rsidP="00073D6A">
      <w:pPr>
        <w:spacing w:after="0" w:line="240" w:lineRule="auto"/>
        <w:ind w:firstLine="720"/>
        <w:contextualSpacing/>
        <w:jc w:val="both"/>
        <w:rPr>
          <w:rFonts w:ascii="Times New Roman" w:hAnsi="Times New Roman"/>
          <w:color w:val="000000" w:themeColor="text1"/>
          <w:sz w:val="28"/>
        </w:rPr>
      </w:pPr>
      <w:r w:rsidRPr="00217F39">
        <w:rPr>
          <w:rFonts w:ascii="Times New Roman" w:eastAsia="Century Gothic" w:hAnsi="Times New Roman" w:cs="Times New Roman"/>
          <w:color w:val="000000"/>
          <w:sz w:val="28"/>
          <w:szCs w:val="28"/>
        </w:rPr>
        <w:t xml:space="preserve">Lai ar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panāktu savstarpēju sapratni par godīgu uzņēmējdarbības vidi, 2020.gadā VID, konstatējot, ka būvkomersanta darba ņēmējiem darba samaksa neatbilst būvniecības nozares ģenerālvienošanās dokumentā noteiktajam, nodokļu nomaksas veicināšanas pasākumu ietvaros (sarakstē uzrunājot NM) aicināja būvkomersantu palielināt darba samaksu un iesniegt deklarāciju precizējumus. Rezultātā 2020.gadā 121 būvkomersants darba ņēmējiem palielināja darba samaksu un, iesniedzot deklarāciju precizējumus, iemaksai budžetā papildus aprēķināja VSAOI un IIN 169,8 tūkst. EUR. Turpinot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uzraudzību pēc veiktajiem veicināšanas pasākumiem 13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papildus ir deklarējuši VSAOI un IIN 83,8 tūkst. EUR. </w:t>
      </w:r>
      <w:r w:rsidR="00073D6A" w:rsidRPr="00C33C9F">
        <w:rPr>
          <w:rFonts w:ascii="Times New Roman" w:eastAsia="Century Gothic" w:hAnsi="Times New Roman" w:cs="Times New Roman"/>
          <w:color w:val="000000"/>
          <w:sz w:val="28"/>
          <w:szCs w:val="28"/>
        </w:rPr>
        <w:t xml:space="preserve">Savukārt 2021. gadā 41 būvkomersants darba ņēmējiem palielināja darba samaksu un, iesniedzot deklarāciju precizējumus, iemaksai budžetā papildus aprēķināja VSAOI un IIN 55,0 tūkst. EUR apmērā. Pēc veiktajiem veicināšanas pasākumiem tika turpināta </w:t>
      </w:r>
      <w:r w:rsidR="009E215E">
        <w:rPr>
          <w:rFonts w:ascii="Times New Roman" w:eastAsia="Century Gothic" w:hAnsi="Times New Roman" w:cs="Times New Roman"/>
          <w:color w:val="000000"/>
          <w:sz w:val="28"/>
          <w:szCs w:val="28"/>
        </w:rPr>
        <w:t>NM</w:t>
      </w:r>
      <w:r w:rsidR="00073D6A" w:rsidRPr="00C33C9F">
        <w:rPr>
          <w:rFonts w:ascii="Times New Roman" w:eastAsia="Century Gothic" w:hAnsi="Times New Roman" w:cs="Times New Roman"/>
          <w:color w:val="000000"/>
          <w:sz w:val="28"/>
          <w:szCs w:val="28"/>
        </w:rPr>
        <w:t xml:space="preserve"> uzraudzība, kā rezultātā </w:t>
      </w:r>
      <w:r w:rsidR="00073D6A" w:rsidRPr="00C33C9F">
        <w:rPr>
          <w:rFonts w:ascii="Times New Roman" w:eastAsia="Times New Roman" w:hAnsi="Times New Roman" w:cs="Times New Roman"/>
          <w:color w:val="000000" w:themeColor="text1"/>
          <w:sz w:val="28"/>
          <w:szCs w:val="28"/>
          <w:lang w:eastAsia="lv-LV"/>
        </w:rPr>
        <w:t>148 </w:t>
      </w:r>
      <w:r w:rsidR="009E215E">
        <w:rPr>
          <w:rFonts w:ascii="Times New Roman" w:eastAsia="Times New Roman" w:hAnsi="Times New Roman" w:cs="Times New Roman"/>
          <w:color w:val="000000" w:themeColor="text1"/>
          <w:sz w:val="28"/>
          <w:szCs w:val="28"/>
          <w:lang w:eastAsia="lv-LV"/>
        </w:rPr>
        <w:t>NM</w:t>
      </w:r>
      <w:r w:rsidR="00073D6A" w:rsidRPr="00C33C9F">
        <w:rPr>
          <w:rFonts w:ascii="Times New Roman" w:eastAsia="Times New Roman" w:hAnsi="Times New Roman" w:cs="Times New Roman"/>
          <w:color w:val="000000" w:themeColor="text1"/>
          <w:sz w:val="28"/>
          <w:szCs w:val="28"/>
          <w:lang w:eastAsia="lv-LV"/>
        </w:rPr>
        <w:t xml:space="preserve"> papildus ir deklarējuši VSAOI un IIN 1 134,7 tūkst. EUR apmērā. Turklāt </w:t>
      </w:r>
      <w:r w:rsidR="00073D6A" w:rsidRPr="00C33C9F">
        <w:rPr>
          <w:rFonts w:ascii="Times New Roman" w:hAnsi="Times New Roman"/>
          <w:sz w:val="28"/>
          <w:szCs w:val="28"/>
        </w:rPr>
        <w:t xml:space="preserve">2021. gadā bija izvērtēti 392 riskantie vispārējā nodokļu maksāšanas režīma </w:t>
      </w:r>
      <w:r w:rsidR="009E215E">
        <w:rPr>
          <w:rFonts w:ascii="Times New Roman" w:hAnsi="Times New Roman"/>
          <w:sz w:val="28"/>
          <w:szCs w:val="28"/>
        </w:rPr>
        <w:t>NM</w:t>
      </w:r>
      <w:r w:rsidR="00073D6A" w:rsidRPr="00C33C9F">
        <w:rPr>
          <w:rFonts w:ascii="Times New Roman" w:hAnsi="Times New Roman"/>
          <w:sz w:val="28"/>
          <w:szCs w:val="28"/>
        </w:rPr>
        <w:t xml:space="preserve"> un 183 mikrouzņēmumu </w:t>
      </w:r>
      <w:r w:rsidR="009E215E">
        <w:rPr>
          <w:rFonts w:ascii="Times New Roman" w:hAnsi="Times New Roman"/>
          <w:sz w:val="28"/>
          <w:szCs w:val="28"/>
        </w:rPr>
        <w:t>NM</w:t>
      </w:r>
      <w:r w:rsidR="00073D6A" w:rsidRPr="00C33C9F">
        <w:rPr>
          <w:rFonts w:ascii="Times New Roman" w:hAnsi="Times New Roman"/>
          <w:sz w:val="28"/>
          <w:szCs w:val="28"/>
        </w:rPr>
        <w:t>. Preventīvā darba rezultātā panākts, ka būvuzņēmēji labprātīgi papildus deklarēja VSAOI 55,54 </w:t>
      </w:r>
      <w:r w:rsidR="00073D6A" w:rsidRPr="00C33C9F">
        <w:rPr>
          <w:rFonts w:ascii="Times New Roman" w:eastAsia="Century Gothic" w:hAnsi="Times New Roman" w:cs="Times New Roman"/>
          <w:color w:val="000000"/>
          <w:sz w:val="28"/>
          <w:szCs w:val="28"/>
        </w:rPr>
        <w:t>tūkst. EUR</w:t>
      </w:r>
      <w:r w:rsidR="00073D6A" w:rsidRPr="00C33C9F">
        <w:rPr>
          <w:rFonts w:ascii="Times New Roman" w:hAnsi="Times New Roman"/>
          <w:sz w:val="28"/>
          <w:szCs w:val="28"/>
        </w:rPr>
        <w:t xml:space="preserve"> un IIN 33,04 </w:t>
      </w:r>
      <w:r w:rsidR="00073D6A" w:rsidRPr="00C33C9F">
        <w:rPr>
          <w:rFonts w:ascii="Times New Roman" w:eastAsia="Century Gothic" w:hAnsi="Times New Roman" w:cs="Times New Roman"/>
          <w:color w:val="000000"/>
          <w:sz w:val="28"/>
          <w:szCs w:val="28"/>
        </w:rPr>
        <w:t>tūkst. EUR</w:t>
      </w:r>
      <w:r w:rsidR="00073D6A" w:rsidRPr="00C33C9F">
        <w:rPr>
          <w:rFonts w:ascii="Times New Roman" w:hAnsi="Times New Roman"/>
          <w:sz w:val="28"/>
          <w:szCs w:val="28"/>
        </w:rPr>
        <w:t>, kā arī palielināja mikrouzņēmumu nodokļa maksātāju darbinieku ienākumus par 18,71 </w:t>
      </w:r>
      <w:r w:rsidR="00073D6A" w:rsidRPr="00C33C9F">
        <w:rPr>
          <w:rFonts w:ascii="Times New Roman" w:eastAsia="Century Gothic" w:hAnsi="Times New Roman" w:cs="Times New Roman"/>
          <w:color w:val="000000"/>
          <w:sz w:val="28"/>
          <w:szCs w:val="28"/>
        </w:rPr>
        <w:t>tūkst. EUR</w:t>
      </w:r>
      <w:r w:rsidR="00073D6A" w:rsidRPr="00C33C9F">
        <w:rPr>
          <w:rFonts w:ascii="Times New Roman" w:hAnsi="Times New Roman"/>
          <w:sz w:val="28"/>
          <w:szCs w:val="28"/>
        </w:rPr>
        <w:t>. Datu atbilstības pārbaužu rezultātā papildus nomaksai budžetā aprēķinātas VSAOI 0,37 tūkst. EUR apmērā un nokavējuma nauda 0,01 tūkst. EUR apmērā.</w:t>
      </w:r>
    </w:p>
    <w:p w14:paraId="35486BA3" w14:textId="725D5E9F" w:rsidR="00217F39" w:rsidRPr="00217F39" w:rsidRDefault="00217F39" w:rsidP="00217F39">
      <w:pPr>
        <w:tabs>
          <w:tab w:val="left" w:pos="993"/>
        </w:tabs>
        <w:spacing w:before="0" w:after="0" w:line="240" w:lineRule="auto"/>
        <w:ind w:right="-1"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Papildus tam 2020.gadā, ņemot vērā viena galvenā būvdarbu veicēja EDLU datus, bija veikti preventīvie nodokļu administrēšanas pasākumi 148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Preventīvā darba rezultātā papildus tika reģistrēts 41 darba ņēmējs, kā arī aprēķinātas VSAOI 19,95 tūkst. EUR. Jāatzīmē, ka 2020.gadā preventīvie pasākumi</w:t>
      </w:r>
      <w:r w:rsidRPr="00217F39">
        <w:rPr>
          <w:rFonts w:ascii="Times New Roman" w:eastAsia="Century Gothic" w:hAnsi="Times New Roman" w:cs="Times New Roman"/>
          <w:color w:val="000000"/>
          <w:sz w:val="28"/>
          <w:szCs w:val="28"/>
          <w:vertAlign w:val="superscript"/>
        </w:rPr>
        <w:footnoteReference w:id="2"/>
      </w:r>
      <w:r w:rsidRPr="00217F39">
        <w:rPr>
          <w:rFonts w:ascii="Times New Roman" w:eastAsia="Century Gothic" w:hAnsi="Times New Roman" w:cs="Times New Roman"/>
          <w:color w:val="000000"/>
          <w:sz w:val="28"/>
          <w:szCs w:val="28"/>
        </w:rPr>
        <w:t xml:space="preserve"> tika veikti 206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kam VSAOI zaudējuma summa bija vienāda vai lielāka par 300,00 EUR un VEDLUDB un DDZ deklarēto darba stundu atšķirība pārsniedza normatīvajos aktos</w:t>
      </w:r>
      <w:r w:rsidRPr="00217F39">
        <w:rPr>
          <w:rFonts w:ascii="Times New Roman" w:eastAsia="Century Gothic" w:hAnsi="Times New Roman" w:cs="Times New Roman"/>
          <w:color w:val="000000"/>
          <w:sz w:val="28"/>
          <w:szCs w:val="28"/>
          <w:vertAlign w:val="superscript"/>
        </w:rPr>
        <w:footnoteReference w:id="3"/>
      </w:r>
      <w:r w:rsidRPr="00217F39">
        <w:rPr>
          <w:rFonts w:ascii="Times New Roman" w:eastAsia="Century Gothic" w:hAnsi="Times New Roman" w:cs="Times New Roman"/>
          <w:color w:val="000000"/>
          <w:sz w:val="28"/>
          <w:szCs w:val="28"/>
          <w:vertAlign w:val="superscript"/>
        </w:rPr>
        <w:t xml:space="preserve"> </w:t>
      </w:r>
      <w:r w:rsidRPr="00217F39">
        <w:rPr>
          <w:rFonts w:ascii="Times New Roman" w:eastAsia="Century Gothic" w:hAnsi="Times New Roman" w:cs="Times New Roman"/>
          <w:color w:val="000000"/>
          <w:sz w:val="28"/>
          <w:szCs w:val="28"/>
        </w:rPr>
        <w:t>noteikto pieļaujamo novirzi – 20 %. VID veikto preventīvo pasākumu</w:t>
      </w:r>
      <w:r w:rsidRPr="00217F39">
        <w:rPr>
          <w:rFonts w:ascii="Times New Roman" w:eastAsia="Century Gothic" w:hAnsi="Times New Roman" w:cs="Times New Roman"/>
          <w:color w:val="000000"/>
          <w:sz w:val="28"/>
          <w:szCs w:val="28"/>
          <w:vertAlign w:val="superscript"/>
        </w:rPr>
        <w:t>14</w:t>
      </w:r>
      <w:r w:rsidRPr="00217F39">
        <w:rPr>
          <w:rFonts w:ascii="Times New Roman" w:eastAsia="Century Gothic" w:hAnsi="Times New Roman" w:cs="Times New Roman"/>
          <w:color w:val="000000"/>
          <w:sz w:val="28"/>
          <w:szCs w:val="28"/>
        </w:rPr>
        <w:t xml:space="preserve"> par 2020.gadu kopējais fiskālais ieguvums minētajiem 206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ir 28,80 tūkst. EUR (no tiem aprēķinātās VSAOI 20,69 tūkst. EUR un IIN – 7,89 tūkst. EUR).</w:t>
      </w:r>
    </w:p>
    <w:p w14:paraId="36562DEC" w14:textId="5FA36CDF" w:rsidR="00217F39" w:rsidRPr="00217F39" w:rsidRDefault="00217F39" w:rsidP="00217F39">
      <w:pPr>
        <w:spacing w:before="0" w:after="0" w:line="240" w:lineRule="auto"/>
        <w:ind w:right="-1"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Savukārt mikrouzņēmumu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preventīvie nodokļu administrēšanas pasākumi tika veikti par 2020.gada 4.ceturksni, ņemot vērā normatīvajos aktos noteiktos mikrouzņēmumu nodokļa deklarācijas precizēšanas ierobežojumus</w:t>
      </w:r>
      <w:r w:rsidRPr="00217F39">
        <w:rPr>
          <w:rFonts w:ascii="Times New Roman" w:eastAsia="Century Gothic" w:hAnsi="Times New Roman" w:cs="Times New Roman"/>
          <w:color w:val="000000"/>
          <w:sz w:val="28"/>
          <w:szCs w:val="22"/>
          <w:vertAlign w:val="superscript"/>
        </w:rPr>
        <w:footnoteReference w:id="4"/>
      </w:r>
      <w:r w:rsidRPr="00217F39">
        <w:rPr>
          <w:rFonts w:ascii="Times New Roman" w:eastAsia="Century Gothic" w:hAnsi="Times New Roman" w:cs="Times New Roman"/>
          <w:color w:val="000000"/>
          <w:sz w:val="28"/>
          <w:szCs w:val="28"/>
        </w:rPr>
        <w:t xml:space="preserve">. Preventīvie pasākumi veikti 88 mikrouzņēmumu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kuru rezultātā darbiniekiem papildus deklarēti darba ienākumi 20,52 tūkst. EUR.</w:t>
      </w:r>
    </w:p>
    <w:p w14:paraId="232C8B2E" w14:textId="6D9E26FA" w:rsidR="00217F39" w:rsidRPr="00217F39" w:rsidRDefault="00217F39" w:rsidP="00217F39">
      <w:pPr>
        <w:spacing w:before="0" w:after="0" w:line="240" w:lineRule="auto"/>
        <w:ind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lastRenderedPageBreak/>
        <w:t xml:space="preserve">Jāatzīmē, ka saistībā ar ģenerālvienošanās dokumentā noteikto prasību ievērošanu, ir konstatēts: kad VID informē par konstatēto neatbilstību, </w:t>
      </w:r>
      <w:r w:rsidR="009E215E">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bieži precizē </w:t>
      </w:r>
      <w:r w:rsidR="00104C45">
        <w:rPr>
          <w:rFonts w:ascii="Times New Roman" w:eastAsia="Century Gothic" w:hAnsi="Times New Roman" w:cs="Times New Roman"/>
          <w:color w:val="000000"/>
          <w:sz w:val="28"/>
          <w:szCs w:val="28"/>
        </w:rPr>
        <w:t>DDZ</w:t>
      </w:r>
      <w:r w:rsidRPr="00217F39">
        <w:rPr>
          <w:rFonts w:ascii="Times New Roman" w:eastAsia="Century Gothic" w:hAnsi="Times New Roman" w:cs="Times New Roman"/>
          <w:color w:val="000000"/>
          <w:sz w:val="28"/>
          <w:szCs w:val="28"/>
        </w:rPr>
        <w:t xml:space="preserve">, samazinot tajā iepriekš deklarēto stundu skaitu, nevis palielinot ienākumus, tādējādi pielīdzinot </w:t>
      </w:r>
      <w:r w:rsidR="00104C45">
        <w:rPr>
          <w:rFonts w:ascii="Times New Roman" w:eastAsia="Century Gothic" w:hAnsi="Times New Roman" w:cs="Times New Roman"/>
          <w:color w:val="000000"/>
          <w:sz w:val="28"/>
          <w:szCs w:val="28"/>
        </w:rPr>
        <w:t>DDZ</w:t>
      </w:r>
      <w:r w:rsidRPr="00217F39">
        <w:rPr>
          <w:rFonts w:ascii="Times New Roman" w:eastAsia="Century Gothic" w:hAnsi="Times New Roman" w:cs="Times New Roman"/>
          <w:color w:val="000000"/>
          <w:sz w:val="28"/>
          <w:szCs w:val="28"/>
        </w:rPr>
        <w:t xml:space="preserve"> deklarēto stundas tarifa likmi būvniecības nozarē noteiktajai stundas tarifa likmei.</w:t>
      </w:r>
    </w:p>
    <w:p w14:paraId="7EE43262" w14:textId="77777777" w:rsidR="00217F39" w:rsidRPr="00217F39" w:rsidRDefault="00217F39" w:rsidP="00217F39">
      <w:pPr>
        <w:spacing w:before="0" w:after="0" w:line="240" w:lineRule="auto"/>
        <w:ind w:firstLine="720"/>
        <w:jc w:val="both"/>
        <w:rPr>
          <w:rFonts w:ascii="Times New Roman" w:eastAsia="Century Gothic" w:hAnsi="Times New Roman" w:cs="Times New Roman"/>
          <w:sz w:val="28"/>
          <w:szCs w:val="28"/>
        </w:rPr>
      </w:pPr>
    </w:p>
    <w:p w14:paraId="136DCF2B" w14:textId="5FB3C7DE" w:rsidR="00217F39" w:rsidRPr="0080622C" w:rsidRDefault="008E4101" w:rsidP="008E4101">
      <w:pPr>
        <w:pStyle w:val="Heading1"/>
      </w:pPr>
      <w:bookmarkStart w:id="8" w:name="_Toc72918250"/>
      <w:r>
        <w:t xml:space="preserve">2.3. </w:t>
      </w:r>
      <w:r w:rsidR="00217F39" w:rsidRPr="0080622C">
        <w:t>Neatbilstības darba laika uzskaitē un konstatētās tendences</w:t>
      </w:r>
      <w:bookmarkEnd w:id="8"/>
    </w:p>
    <w:p w14:paraId="76B157F2"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Pārbaužu laikā būvlaukumos salīdzināts darba ņēmēju EDLUS reģistrētais diennakts summārais darba laiks ar darba devēja faktiski uzskaitītajām darba stundām, kuras izmantotas darba samaksas aprēķināšanai un ir deklarētas VID. </w:t>
      </w:r>
    </w:p>
    <w:p w14:paraId="0C87C904" w14:textId="560DA7DA"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Izvērtējot pārbaužu laikā iesniegtos EDLUS datus, konstatēts, ka tos var izmantot arī, lai atklātu pārkāpumus darba devējiem, kuri VID iesniegtajos </w:t>
      </w:r>
      <w:r w:rsidR="00104C45">
        <w:rPr>
          <w:rFonts w:ascii="Times New Roman" w:eastAsia="Century Gothic" w:hAnsi="Times New Roman" w:cs="Times New Roman"/>
          <w:color w:val="000000"/>
          <w:sz w:val="28"/>
          <w:szCs w:val="28"/>
        </w:rPr>
        <w:t>DDZ</w:t>
      </w:r>
      <w:r w:rsidRPr="00217F39">
        <w:rPr>
          <w:rFonts w:ascii="Times New Roman" w:eastAsia="Century Gothic" w:hAnsi="Times New Roman" w:cs="Times New Roman"/>
          <w:color w:val="000000"/>
          <w:sz w:val="28"/>
          <w:szCs w:val="28"/>
        </w:rPr>
        <w:t xml:space="preserve"> vispār nedeklarē darba ņēmējiem nostrādātās stundas un aprēķinātos nodokļus no darba algas. </w:t>
      </w:r>
    </w:p>
    <w:p w14:paraId="503759B9" w14:textId="77777777"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Veicot detalizētu VEDLUDB datu analīzi par nodarbinātajām personām, tika secināts, ka:</w:t>
      </w:r>
    </w:p>
    <w:p w14:paraId="7679DBAE" w14:textId="77777777" w:rsidR="00217F39" w:rsidRPr="00217F39" w:rsidRDefault="00217F39" w:rsidP="00217F39">
      <w:pPr>
        <w:numPr>
          <w:ilvl w:val="0"/>
          <w:numId w:val="32"/>
        </w:numPr>
        <w:tabs>
          <w:tab w:val="left" w:pos="709"/>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aizvien ir būvuzņēmēji, kuru nodarbinātās personas nenodrošina reģistrēšanos EDLUS, ieejot būvlaukumā vai atstājot objektu darbdienas beigās, tādējādi netiek veikta faktiski nostrādātā darba laika uzskaite un veidojas nepamatota novirze starp DDZ norādīto stundu skaitu un VEDLUDB informāciju, kā arī nav veikti likumdošanā pieļaujamie labojumi, iesniedzot datus VEDLUDB. Tas ietekmē VEDLUDB reģistrēto nodarbināto summārā darba laika apmēru kalendāra mēneša ietvaros un prasa detalizētāku izvērtējumu;</w:t>
      </w:r>
    </w:p>
    <w:p w14:paraId="3BED9B5F" w14:textId="78A270BC" w:rsidR="00217F39" w:rsidRPr="00217F39" w:rsidRDefault="00217F39" w:rsidP="00217F39">
      <w:pPr>
        <w:numPr>
          <w:ilvl w:val="0"/>
          <w:numId w:val="32"/>
        </w:numPr>
        <w:tabs>
          <w:tab w:val="left" w:pos="709"/>
          <w:tab w:val="left" w:pos="993"/>
        </w:tabs>
        <w:spacing w:before="0" w:after="0" w:line="240" w:lineRule="auto"/>
        <w:ind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galvenais iemesls </w:t>
      </w:r>
      <w:r w:rsidR="00104C45">
        <w:rPr>
          <w:rFonts w:ascii="Times New Roman" w:eastAsia="Century Gothic" w:hAnsi="Times New Roman" w:cs="Times New Roman"/>
          <w:color w:val="000000"/>
          <w:sz w:val="28"/>
          <w:szCs w:val="28"/>
        </w:rPr>
        <w:t>DDZ</w:t>
      </w:r>
      <w:r w:rsidRPr="00217F39">
        <w:rPr>
          <w:rFonts w:ascii="Times New Roman" w:eastAsia="Century Gothic" w:hAnsi="Times New Roman" w:cs="Times New Roman"/>
          <w:color w:val="000000"/>
          <w:sz w:val="28"/>
          <w:szCs w:val="28"/>
        </w:rPr>
        <w:t xml:space="preserve"> deklarēto un VEDLUDB reģistrēto darba stundu skaita atšķirībai ir darbinieku pusdienu pārtraukumam patērētais laiks, kas tiek atskaitīts no VEDLUDB reģistrēto stundu skaita, aprēķinot darba samaksu, lai gan parasti tas atbilst pieļaujamai stundu starpībai;</w:t>
      </w:r>
    </w:p>
    <w:p w14:paraId="256E5A6A" w14:textId="77777777" w:rsidR="00217F39" w:rsidRPr="00217F39" w:rsidRDefault="00217F39" w:rsidP="00217F39">
      <w:pPr>
        <w:numPr>
          <w:ilvl w:val="0"/>
          <w:numId w:val="32"/>
        </w:numPr>
        <w:tabs>
          <w:tab w:val="left" w:pos="993"/>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izbeidzot darba tiesiskās attiecības, darbinieks nav nodevis reģistrācijas kartīti, bet ierodas objektā pēc personiskajām mantām, reģistrējoties EDLUS.</w:t>
      </w:r>
    </w:p>
    <w:p w14:paraId="158F5240" w14:textId="77777777" w:rsidR="00217F39" w:rsidRPr="00217F39" w:rsidRDefault="00217F39" w:rsidP="00217F39">
      <w:pPr>
        <w:numPr>
          <w:ilvl w:val="0"/>
          <w:numId w:val="32"/>
        </w:numPr>
        <w:tabs>
          <w:tab w:val="left" w:pos="1134"/>
          <w:tab w:val="left" w:pos="2127"/>
          <w:tab w:val="left" w:pos="6096"/>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veicot pārbaudes būvobjektos, joprojām konstatēti atsevišķi gadījumi, kad nodarbinātā persona identificēšanai EDLUS izmanto citai personai izsniegto identificēšanas ierīci (karti), tādējādi EDLUS netiek reģistrēts konkrētās personas faktiskais darba laiks;</w:t>
      </w:r>
    </w:p>
    <w:p w14:paraId="36532E81" w14:textId="77777777" w:rsidR="00217F39" w:rsidRPr="00217F39" w:rsidRDefault="00217F39" w:rsidP="00217F39">
      <w:pPr>
        <w:numPr>
          <w:ilvl w:val="0"/>
          <w:numId w:val="32"/>
        </w:numPr>
        <w:tabs>
          <w:tab w:val="left" w:pos="1134"/>
          <w:tab w:val="left" w:pos="2127"/>
          <w:tab w:val="left" w:pos="6096"/>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izmantojot VEDLUDB informāciju uzņēmuma nodarbināto darba laika kontrolei un darījumu ķēdes dalībnieku identificēšanai, joprojām konstatēti atsevišķi gadījumi, kad būvuzņēmēji EDLUS reģistrē darbiem piesaistīto apakšuzņēmēju nodarbinātos kā sava uzņēmuma darbiniekus, tādējādi EDLUS netiek reģistrēts konkrēta nodarbinātā faktiskais darba devējs. </w:t>
      </w:r>
    </w:p>
    <w:p w14:paraId="302BC8C1" w14:textId="77777777" w:rsidR="00217F39" w:rsidRPr="00217F39" w:rsidRDefault="00217F39" w:rsidP="00217F39">
      <w:pPr>
        <w:spacing w:before="12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Tomēr kopumā secināts, ka pārbaudes ietvaros veiktais viena būvlaukuma EDLUS datu salīdzinājums ar darbinieku deklarēto darba laiku neļauj objektīvi novērtēt konkrētā būvuzņēmēja iespējamo faktiski nedeklarēto darba laika apmēru. </w:t>
      </w:r>
      <w:r w:rsidRPr="00217F39">
        <w:rPr>
          <w:rFonts w:ascii="Times New Roman" w:eastAsia="Century Gothic" w:hAnsi="Times New Roman" w:cs="Times New Roman"/>
          <w:color w:val="000000"/>
          <w:sz w:val="28"/>
          <w:szCs w:val="28"/>
        </w:rPr>
        <w:lastRenderedPageBreak/>
        <w:t>Iemesls tam ir darbinieku nodarbinātība vairākos būvlaukumos, tai skaitā tādos, kuri neatbilst EDLUS ieviešanas kritērijiem.</w:t>
      </w:r>
    </w:p>
    <w:p w14:paraId="1AC16F4E" w14:textId="77777777"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Konstatētas tendences, kad būvuzņēmēji EDLUS reģistrēto informāciju sāk izmantot kā primāru informācijas avotu nostrādāto stundu uzskaitei grāmatvedības uzskaitē un deklarēšanai, tādēļ VID tiek deklarētas nostrādātās darba ņēmēju stundas, kas kopumā sakrīt ar VEDLUDB datiem, savukārt pastāv risks par darbinieku nostrādātā laika uzskaiti un tā atspoguļošanu grāmatvedībā un deklarēšanu VID attiecībā uz būvobjektiem, kuros neizpildās prasības EDLUS uzstādīšanai (t.i., mazos objektos, kuros izmaksas ir līdz 350 tūkst. EUR).</w:t>
      </w:r>
    </w:p>
    <w:p w14:paraId="09D7B8FD"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Galvenie būvdarbu veicēji pievērš uzmanību EDLU tehniskiem un organizatoriskiem aspektiem, tajā skaitā būvlaukuma teritorijas plānošanai, kas ļauj samazināt darba laika reģistrēšanas neatbilstības. </w:t>
      </w:r>
    </w:p>
    <w:p w14:paraId="33E0777C"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2019.gada 13.jūnijā stājās spēkā likuma “Par nodokļiem un nodevām” grozījumi, nosakot, ka summārais darba laiks ietver darba tiesiskās attiecības reglamentējošos normatīvajos aktos noteiktos pārtraukumus darbā, vienlaikus likumā tika paredzēts labvēlīgāks nosacījums, kad pieļaujamā novirze starp nodarbināto personu EDLUS reģistrēto un faktiski uzskaitīto darba laiku ir līdz 20 %. </w:t>
      </w:r>
    </w:p>
    <w:p w14:paraId="4554A504"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2019.gada nogalē konstatēti būvlaukumi (ar norobežotu teritoriju), kuros EDLUS, pretēji likuma “Par nodokļiem un nodevām” 110.pantā noteiktajam, ieviests ne visā būvlaukuma teritorijā, proti, EDLUS uzskaite netiek veikta speciāli  izveidotā un nodalītā būvlaukuma teritorijā, kas tiek izmantota kā atpūtas un/vai administratīvā zona. </w:t>
      </w:r>
    </w:p>
    <w:p w14:paraId="5B4B638B" w14:textId="77777777"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Papildus atzīmējams, ka 2020.gadā ir saglabājusies 2019.gada nogalē konstatētā tendence nodrošināt nodarbināto EDLUS uzskaiti tikai teritorijā, kurā tika veikti būvdarbi, atstājot atpūtas un/vai administratīvo zonu ārpus EDLUS uzskaites. 2020.gadā no 53 būvobjektiem minētā elektroniskās uzskaites organizācija konstatēta septiņos būvobjektos. Minētajā gadījumā normatīvajos aktos noteiktā pieļaujamā novirze (20 %) var dod iespēju neuzskaitīt nodarbināto darba laiku pilnā apmērā, neiekļūstot VID redzeslokā.</w:t>
      </w:r>
    </w:p>
    <w:p w14:paraId="7636A435" w14:textId="121BCD17" w:rsidR="00217F39" w:rsidRPr="00217F39" w:rsidRDefault="00217F39" w:rsidP="00217F39">
      <w:pPr>
        <w:spacing w:before="0" w:after="0" w:line="240" w:lineRule="auto"/>
        <w:ind w:firstLine="720"/>
        <w:jc w:val="both"/>
        <w:rPr>
          <w:rFonts w:ascii="Times New Roman" w:eastAsia="Calibri" w:hAnsi="Times New Roman" w:cs="Times New Roman"/>
          <w:color w:val="000000"/>
          <w:sz w:val="28"/>
          <w:szCs w:val="28"/>
          <w:lang w:eastAsia="lv-LV"/>
        </w:rPr>
      </w:pPr>
      <w:r w:rsidRPr="00217F39">
        <w:rPr>
          <w:rFonts w:ascii="Times New Roman" w:eastAsia="Century Gothic" w:hAnsi="Times New Roman" w:cs="Times New Roman"/>
          <w:color w:val="000000"/>
          <w:sz w:val="28"/>
          <w:szCs w:val="28"/>
        </w:rPr>
        <w:t xml:space="preserve">VID secinājis, ka </w:t>
      </w:r>
      <w:r w:rsidR="00117796">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kas veic darbus būvlaukumos, kuru teritorijā ir nodalīta administratīvā un/vai atpūtas zona, var veidoties labvēlīgāki apstākļi darba laika uzskaitē, salīdzinot ar </w:t>
      </w:r>
      <w:r w:rsidR="00117796">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kuriem šāda teritorijas nodalīšana nav organizēta vai to nav iespējams ieviest, kā tas ir atklāta tipa būvlaukumos.</w:t>
      </w:r>
      <w:r w:rsidRPr="00217F39">
        <w:rPr>
          <w:rFonts w:ascii="Times New Roman" w:eastAsia="Calibri" w:hAnsi="Times New Roman" w:cs="Times New Roman"/>
          <w:color w:val="000000"/>
          <w:sz w:val="28"/>
          <w:szCs w:val="28"/>
          <w:lang w:eastAsia="lv-LV"/>
        </w:rPr>
        <w:t xml:space="preserve"> </w:t>
      </w:r>
    </w:p>
    <w:p w14:paraId="294687DB"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Veicot pārbaudes būvniecības nozarē strādājošiem uzņēmējiem, konstatētas nodarbinātības formas, kuras tiek izmantotas nodokļu optimizēšanas nolūkā, lai samazinātu algas nodokļus, tajā skaitā slēpjot vai legalizējot nereģistrēto nodarbinātību, piemēram, izmantojot </w:t>
      </w:r>
      <w:proofErr w:type="spellStart"/>
      <w:r w:rsidRPr="00217F39">
        <w:rPr>
          <w:rFonts w:ascii="Times New Roman" w:eastAsia="Century Gothic" w:hAnsi="Times New Roman" w:cs="Times New Roman"/>
          <w:color w:val="000000"/>
          <w:sz w:val="28"/>
          <w:szCs w:val="28"/>
        </w:rPr>
        <w:t>pašnodarbinātas</w:t>
      </w:r>
      <w:proofErr w:type="spellEnd"/>
      <w:r w:rsidRPr="00217F39">
        <w:rPr>
          <w:rFonts w:ascii="Times New Roman" w:eastAsia="Century Gothic" w:hAnsi="Times New Roman" w:cs="Times New Roman"/>
          <w:color w:val="000000"/>
          <w:sz w:val="28"/>
          <w:szCs w:val="28"/>
        </w:rPr>
        <w:t xml:space="preserve"> personas pakalpojumus, saņemot pakalpojumus no mikrouzņēmumu nodokļa maksātājiem un ārvalstu komersantiem, kuri nav reģistrējuši pastāvīgo pārstāvniecību Latvijā.</w:t>
      </w:r>
    </w:p>
    <w:p w14:paraId="11D6A71E"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Turklāt mikrouzņēmumu nodokļa maksātājiem vai </w:t>
      </w:r>
      <w:proofErr w:type="spellStart"/>
      <w:r w:rsidRPr="00217F39">
        <w:rPr>
          <w:rFonts w:ascii="Times New Roman" w:eastAsia="Century Gothic" w:hAnsi="Times New Roman" w:cs="Times New Roman"/>
          <w:color w:val="000000"/>
          <w:sz w:val="28"/>
          <w:szCs w:val="28"/>
        </w:rPr>
        <w:t>pašnodarbinātām</w:t>
      </w:r>
      <w:proofErr w:type="spellEnd"/>
      <w:r w:rsidRPr="00217F39">
        <w:rPr>
          <w:rFonts w:ascii="Times New Roman" w:eastAsia="Century Gothic" w:hAnsi="Times New Roman" w:cs="Times New Roman"/>
          <w:color w:val="000000"/>
          <w:sz w:val="28"/>
          <w:szCs w:val="28"/>
        </w:rPr>
        <w:t xml:space="preserve"> personām nostrādātais darba laiks VID nav jādeklarē un EDLUS informācijas izmantošana darba laika uzskaites datu salīdzināšanai par šiem būvuzņēmējiem ir ierobežota.</w:t>
      </w:r>
    </w:p>
    <w:p w14:paraId="72D5D31B"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p>
    <w:p w14:paraId="1010AF45" w14:textId="45BAF45A" w:rsidR="00217F39" w:rsidRPr="008E4101" w:rsidRDefault="008E4101" w:rsidP="008E4101">
      <w:pPr>
        <w:pStyle w:val="Heading1"/>
        <w:rPr>
          <w:sz w:val="24"/>
        </w:rPr>
      </w:pPr>
      <w:bookmarkStart w:id="9" w:name="_Toc72918251"/>
      <w:r>
        <w:lastRenderedPageBreak/>
        <w:t xml:space="preserve">2.4. </w:t>
      </w:r>
      <w:r w:rsidR="00217F39" w:rsidRPr="008E4101">
        <w:t>EDLUS un to datu ticamība</w:t>
      </w:r>
      <w:bookmarkEnd w:id="9"/>
    </w:p>
    <w:p w14:paraId="6B20924D"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Izvērtējot konkrēto EDLUS izplatību, konstatēts, ka lielākā daļa galveno būvdarbu veicēju izvēlas slēgt pakalpojuma līgumus par EDLUS izmantošanu, kas nodrošina attiecīgo EDLUS risinājumu ieviešanu būvlaukumā, datu glabāšanu un vēlāku nodošanu VEDLUDB, savukārt galvenais būvdarbu veicējs nodrošina nodarbināto personu un citu nepieciešamo datu reģistrēšanu un labošanu. </w:t>
      </w:r>
    </w:p>
    <w:p w14:paraId="5B998291"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2020.gadā VID kontroles pasākumu laikā būvlaukumos visbiežāk tika konstatēti EDLUS risinājumi, kurus būvuzņēmējiem piedāvā:</w:t>
      </w:r>
    </w:p>
    <w:p w14:paraId="2B32D26A" w14:textId="77777777" w:rsidR="00217F39" w:rsidRPr="00217F39" w:rsidRDefault="00217F39" w:rsidP="00217F39">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SIA “Latvijas Mobilais Telefons” (LMT EDLUS) – 29 būvlaukumos;</w:t>
      </w:r>
    </w:p>
    <w:p w14:paraId="57BEE8E6" w14:textId="77777777" w:rsidR="00217F39" w:rsidRPr="00217F39" w:rsidRDefault="00217F39" w:rsidP="00217F39">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Biedrība “Latvijas Būvuzņēmēju partnerība” (LBP EDLUS) – sešos būvlaukumos;</w:t>
      </w:r>
    </w:p>
    <w:p w14:paraId="51F9A8D4" w14:textId="77777777" w:rsidR="00217F39" w:rsidRPr="00217F39" w:rsidRDefault="00217F39" w:rsidP="00217F39">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SIA “Datu tehnoloģiju grupa” (DTG EDLUS) – piecos būvlaukumos;</w:t>
      </w:r>
    </w:p>
    <w:p w14:paraId="71CEAEB8" w14:textId="77777777" w:rsidR="00217F39" w:rsidRPr="00217F39" w:rsidRDefault="00217F39" w:rsidP="00217F39">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SIA “</w:t>
      </w:r>
      <w:proofErr w:type="spellStart"/>
      <w:r w:rsidRPr="00217F39">
        <w:rPr>
          <w:rFonts w:ascii="Times New Roman" w:eastAsia="Century Gothic" w:hAnsi="Times New Roman" w:cs="Times New Roman"/>
          <w:color w:val="000000"/>
          <w:sz w:val="28"/>
          <w:szCs w:val="28"/>
        </w:rPr>
        <w:t>Orocon</w:t>
      </w:r>
      <w:proofErr w:type="spellEnd"/>
      <w:r w:rsidRPr="00217F39">
        <w:rPr>
          <w:rFonts w:ascii="Times New Roman" w:eastAsia="Century Gothic" w:hAnsi="Times New Roman" w:cs="Times New Roman"/>
          <w:color w:val="000000"/>
          <w:sz w:val="28"/>
          <w:szCs w:val="28"/>
        </w:rPr>
        <w:t>” (OROCON DLU) – piecos būvlaukumos;</w:t>
      </w:r>
    </w:p>
    <w:p w14:paraId="2111C3A7" w14:textId="5F70A7F5" w:rsidR="00217F39" w:rsidRDefault="00217F39" w:rsidP="00217F39">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SIA INPASS (</w:t>
      </w:r>
      <w:proofErr w:type="spellStart"/>
      <w:r w:rsidRPr="00217F39">
        <w:rPr>
          <w:rFonts w:ascii="Times New Roman" w:eastAsia="Century Gothic" w:hAnsi="Times New Roman" w:cs="Times New Roman"/>
          <w:color w:val="000000"/>
          <w:sz w:val="28"/>
          <w:szCs w:val="28"/>
        </w:rPr>
        <w:t>InPass</w:t>
      </w:r>
      <w:proofErr w:type="spellEnd"/>
      <w:r w:rsidRPr="00217F39">
        <w:rPr>
          <w:rFonts w:ascii="Times New Roman" w:eastAsia="Century Gothic" w:hAnsi="Times New Roman" w:cs="Times New Roman"/>
          <w:color w:val="000000"/>
          <w:sz w:val="28"/>
          <w:szCs w:val="28"/>
        </w:rPr>
        <w:t xml:space="preserve"> EDLUS) – divos būvlaukumos</w:t>
      </w:r>
      <w:r w:rsidR="008E5DC2">
        <w:rPr>
          <w:rFonts w:ascii="Times New Roman" w:eastAsia="Century Gothic" w:hAnsi="Times New Roman" w:cs="Times New Roman"/>
          <w:color w:val="000000"/>
          <w:sz w:val="28"/>
          <w:szCs w:val="28"/>
        </w:rPr>
        <w:t>.</w:t>
      </w:r>
    </w:p>
    <w:p w14:paraId="563D544B" w14:textId="77777777" w:rsidR="00073D6A" w:rsidRPr="00C33C9F" w:rsidRDefault="00073D6A" w:rsidP="00073D6A">
      <w:pPr>
        <w:spacing w:before="0" w:after="0" w:line="240" w:lineRule="auto"/>
        <w:ind w:firstLine="720"/>
        <w:jc w:val="both"/>
        <w:rPr>
          <w:rFonts w:ascii="Times New Roman" w:eastAsia="Century Gothic" w:hAnsi="Times New Roman" w:cs="Times New Roman"/>
          <w:color w:val="000000"/>
          <w:sz w:val="28"/>
          <w:szCs w:val="28"/>
        </w:rPr>
      </w:pPr>
      <w:r w:rsidRPr="00C33C9F">
        <w:rPr>
          <w:rFonts w:ascii="Times New Roman" w:eastAsia="Century Gothic" w:hAnsi="Times New Roman" w:cs="Times New Roman"/>
          <w:color w:val="000000"/>
          <w:sz w:val="28"/>
          <w:szCs w:val="28"/>
        </w:rPr>
        <w:t>Savukārt 2021. gadā VID kontroles pasākumu laikā būvlaukumos visbiežāk tika konstatēti EDLUS risinājumi, kurus būvuzņēmējiem piedāvā:</w:t>
      </w:r>
    </w:p>
    <w:p w14:paraId="09D7AA99" w14:textId="77777777" w:rsidR="00073D6A" w:rsidRPr="00C33C9F" w:rsidRDefault="00073D6A" w:rsidP="00073D6A">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C33C9F">
        <w:rPr>
          <w:rFonts w:ascii="Times New Roman" w:eastAsia="Century Gothic" w:hAnsi="Times New Roman" w:cs="Times New Roman"/>
          <w:color w:val="000000"/>
          <w:sz w:val="28"/>
          <w:szCs w:val="28"/>
        </w:rPr>
        <w:t>SIA “Latvijas Mobilais Telefons” (LMT EDLUS) – piecos būvlaukumos;</w:t>
      </w:r>
    </w:p>
    <w:p w14:paraId="31B871E5" w14:textId="77777777" w:rsidR="00073D6A" w:rsidRPr="00C33C9F" w:rsidRDefault="00073D6A" w:rsidP="00073D6A">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C33C9F">
        <w:rPr>
          <w:rFonts w:ascii="Times New Roman" w:eastAsia="Century Gothic" w:hAnsi="Times New Roman" w:cs="Times New Roman"/>
          <w:color w:val="000000"/>
          <w:sz w:val="28"/>
          <w:szCs w:val="28"/>
        </w:rPr>
        <w:t>SIA “Datu tehnoloģiju grupa” (DTG EDLUS) – divos būvlaukumos;</w:t>
      </w:r>
    </w:p>
    <w:p w14:paraId="0BF62E85" w14:textId="77777777" w:rsidR="00073D6A" w:rsidRPr="00C33C9F" w:rsidRDefault="00073D6A" w:rsidP="00073D6A">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C33C9F">
        <w:rPr>
          <w:rFonts w:ascii="Times New Roman" w:eastAsia="Century Gothic" w:hAnsi="Times New Roman" w:cs="Times New Roman"/>
          <w:color w:val="000000"/>
          <w:sz w:val="28"/>
          <w:szCs w:val="28"/>
        </w:rPr>
        <w:t>SIA “</w:t>
      </w:r>
      <w:proofErr w:type="spellStart"/>
      <w:r w:rsidRPr="00C33C9F">
        <w:rPr>
          <w:rFonts w:ascii="Times New Roman" w:eastAsia="Century Gothic" w:hAnsi="Times New Roman" w:cs="Times New Roman"/>
          <w:color w:val="000000"/>
          <w:sz w:val="28"/>
          <w:szCs w:val="28"/>
        </w:rPr>
        <w:t>Orocon</w:t>
      </w:r>
      <w:proofErr w:type="spellEnd"/>
      <w:r w:rsidRPr="00C33C9F">
        <w:rPr>
          <w:rFonts w:ascii="Times New Roman" w:eastAsia="Century Gothic" w:hAnsi="Times New Roman" w:cs="Times New Roman"/>
          <w:color w:val="000000"/>
          <w:sz w:val="28"/>
          <w:szCs w:val="28"/>
        </w:rPr>
        <w:t>” (OROCON DLU) – divos būvlaukumos;</w:t>
      </w:r>
    </w:p>
    <w:p w14:paraId="7E634D00" w14:textId="77777777" w:rsidR="00073D6A" w:rsidRPr="00C33C9F" w:rsidRDefault="00073D6A" w:rsidP="00073D6A">
      <w:pPr>
        <w:numPr>
          <w:ilvl w:val="0"/>
          <w:numId w:val="36"/>
        </w:numPr>
        <w:spacing w:before="0" w:after="0" w:line="240" w:lineRule="auto"/>
        <w:ind w:left="1134" w:hanging="283"/>
        <w:contextualSpacing/>
        <w:jc w:val="both"/>
        <w:rPr>
          <w:rFonts w:ascii="Times New Roman" w:eastAsia="Century Gothic" w:hAnsi="Times New Roman" w:cs="Times New Roman"/>
          <w:color w:val="000000"/>
          <w:sz w:val="28"/>
          <w:szCs w:val="28"/>
        </w:rPr>
      </w:pPr>
      <w:r w:rsidRPr="00C33C9F">
        <w:rPr>
          <w:rFonts w:ascii="Times New Roman" w:eastAsia="Century Gothic" w:hAnsi="Times New Roman" w:cs="Times New Roman"/>
          <w:color w:val="000000"/>
          <w:sz w:val="28"/>
          <w:szCs w:val="28"/>
        </w:rPr>
        <w:t>SIA INPASS (</w:t>
      </w:r>
      <w:proofErr w:type="spellStart"/>
      <w:r w:rsidRPr="00C33C9F">
        <w:rPr>
          <w:rFonts w:ascii="Times New Roman" w:eastAsia="Century Gothic" w:hAnsi="Times New Roman" w:cs="Times New Roman"/>
          <w:color w:val="000000"/>
          <w:sz w:val="28"/>
          <w:szCs w:val="28"/>
        </w:rPr>
        <w:t>InPass</w:t>
      </w:r>
      <w:proofErr w:type="spellEnd"/>
      <w:r w:rsidRPr="00C33C9F">
        <w:rPr>
          <w:rFonts w:ascii="Times New Roman" w:eastAsia="Century Gothic" w:hAnsi="Times New Roman" w:cs="Times New Roman"/>
          <w:color w:val="000000"/>
          <w:sz w:val="28"/>
          <w:szCs w:val="28"/>
        </w:rPr>
        <w:t xml:space="preserve"> EDLUS) – divos būvlaukumos.</w:t>
      </w:r>
    </w:p>
    <w:p w14:paraId="22D4BC02" w14:textId="77777777" w:rsidR="00073D6A" w:rsidRPr="00217F39" w:rsidRDefault="00073D6A" w:rsidP="001C551E">
      <w:pPr>
        <w:spacing w:before="0" w:after="0" w:line="240" w:lineRule="auto"/>
        <w:ind w:left="1134"/>
        <w:contextualSpacing/>
        <w:jc w:val="both"/>
        <w:rPr>
          <w:rFonts w:ascii="Times New Roman" w:eastAsia="Century Gothic" w:hAnsi="Times New Roman" w:cs="Times New Roman"/>
          <w:color w:val="000000"/>
          <w:sz w:val="28"/>
          <w:szCs w:val="28"/>
        </w:rPr>
      </w:pPr>
    </w:p>
    <w:p w14:paraId="418BAC6B"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Konstatēti atsevišķi gadījumi, kad būvlaukumos uzstādīts EDLUS, kuru piedāvā SIA “SWH SETS” (ADLUS SETS), SIA “Baltijas informācijas un signalizācijas sistēmas” (</w:t>
      </w:r>
      <w:proofErr w:type="spellStart"/>
      <w:r w:rsidRPr="00217F39">
        <w:rPr>
          <w:rFonts w:ascii="Times New Roman" w:eastAsia="Century Gothic" w:hAnsi="Times New Roman" w:cs="Times New Roman"/>
          <w:color w:val="000000"/>
          <w:sz w:val="28"/>
          <w:szCs w:val="28"/>
        </w:rPr>
        <w:t>Daccess</w:t>
      </w:r>
      <w:proofErr w:type="spellEnd"/>
      <w:r w:rsidRPr="00217F39">
        <w:rPr>
          <w:rFonts w:ascii="Times New Roman" w:eastAsia="Century Gothic" w:hAnsi="Times New Roman" w:cs="Times New Roman"/>
          <w:color w:val="000000"/>
          <w:sz w:val="28"/>
          <w:szCs w:val="28"/>
        </w:rPr>
        <w:t xml:space="preserve"> </w:t>
      </w:r>
      <w:proofErr w:type="spellStart"/>
      <w:r w:rsidRPr="00217F39">
        <w:rPr>
          <w:rFonts w:ascii="Times New Roman" w:eastAsia="Century Gothic" w:hAnsi="Times New Roman" w:cs="Times New Roman"/>
          <w:color w:val="000000"/>
          <w:sz w:val="28"/>
          <w:szCs w:val="28"/>
        </w:rPr>
        <w:t>Report</w:t>
      </w:r>
      <w:proofErr w:type="spellEnd"/>
      <w:r w:rsidRPr="00217F39">
        <w:rPr>
          <w:rFonts w:ascii="Times New Roman" w:eastAsia="Century Gothic" w:hAnsi="Times New Roman" w:cs="Times New Roman"/>
          <w:color w:val="000000"/>
          <w:sz w:val="28"/>
          <w:szCs w:val="28"/>
        </w:rPr>
        <w:t>), SIA “Belam-Rīga” (</w:t>
      </w:r>
      <w:proofErr w:type="spellStart"/>
      <w:r w:rsidRPr="00217F39">
        <w:rPr>
          <w:rFonts w:ascii="Times New Roman" w:eastAsia="Century Gothic" w:hAnsi="Times New Roman" w:cs="Times New Roman"/>
          <w:color w:val="000000"/>
          <w:sz w:val="28"/>
          <w:szCs w:val="28"/>
        </w:rPr>
        <w:t>FoxSec</w:t>
      </w:r>
      <w:proofErr w:type="spellEnd"/>
      <w:r w:rsidRPr="00217F39">
        <w:rPr>
          <w:rFonts w:ascii="Times New Roman" w:eastAsia="Century Gothic" w:hAnsi="Times New Roman" w:cs="Times New Roman"/>
          <w:color w:val="000000"/>
          <w:sz w:val="28"/>
          <w:szCs w:val="28"/>
        </w:rPr>
        <w:t xml:space="preserve"> </w:t>
      </w:r>
      <w:proofErr w:type="spellStart"/>
      <w:r w:rsidRPr="00217F39">
        <w:rPr>
          <w:rFonts w:ascii="Times New Roman" w:eastAsia="Century Gothic" w:hAnsi="Times New Roman" w:cs="Times New Roman"/>
          <w:color w:val="000000"/>
          <w:sz w:val="28"/>
          <w:szCs w:val="28"/>
        </w:rPr>
        <w:t>Web</w:t>
      </w:r>
      <w:proofErr w:type="spellEnd"/>
      <w:r w:rsidRPr="00217F39">
        <w:rPr>
          <w:rFonts w:ascii="Times New Roman" w:eastAsia="Century Gothic" w:hAnsi="Times New Roman" w:cs="Times New Roman"/>
          <w:color w:val="000000"/>
          <w:sz w:val="28"/>
          <w:szCs w:val="28"/>
        </w:rPr>
        <w:t>).</w:t>
      </w:r>
    </w:p>
    <w:p w14:paraId="07B5A235"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EDLUS izplatītākās sistēmas nodrošina darbinieku reģistrēšanos, izmantojot viedtālruni, elektronisko (</w:t>
      </w:r>
      <w:r w:rsidRPr="00217F39">
        <w:rPr>
          <w:rFonts w:ascii="Times New Roman" w:eastAsia="Century Gothic" w:hAnsi="Times New Roman" w:cs="Times New Roman"/>
          <w:i/>
          <w:color w:val="000000"/>
          <w:sz w:val="28"/>
          <w:szCs w:val="28"/>
        </w:rPr>
        <w:t>NFC</w:t>
      </w:r>
      <w:r w:rsidRPr="00217F39">
        <w:rPr>
          <w:rFonts w:ascii="Times New Roman" w:eastAsia="Century Gothic" w:hAnsi="Times New Roman" w:cs="Times New Roman"/>
          <w:color w:val="000000"/>
          <w:sz w:val="28"/>
          <w:szCs w:val="28"/>
        </w:rPr>
        <w:t>) kartīti vai pirksta nospiedumu, nodrošina iespēju sistēmas lietotājiem pārvaldīt sistēmu interneta pārlūkā un viedtālrunī. Sistēmas dod iespēju pārraudzīt reāllaika datus par darbiniekiem un viesiem būvlaukumā, kontrolēt darbinieku plūsmu, iespēju identificēt personu atrašanās vietu EDLUS reģistrācijas brīdī, piedāvā atgādinājumu un paziņojumu nosūtīšanu par neatbilstībām atbildīgajai personai, kā arī iespēju operatīvi sniegt informāciju kontrolējošām iestādēm.</w:t>
      </w:r>
    </w:p>
    <w:p w14:paraId="5E1C7D14"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Normatīvajos aktos ietverts regulējums ierobežo EDLUS datu manuālu koriģēšanu, aizliedz darbības ieprogrammēšanu EDLUS attiecībā uz reģistrēto datu mainīšanu, nosaka rīcību gadījumos, kad EDLUS darbībā bijuši traucējumi, kā arī auditācijas pierakstos norādāmo informāciju. </w:t>
      </w:r>
    </w:p>
    <w:p w14:paraId="0F5F0403" w14:textId="77777777" w:rsidR="00D27072" w:rsidRDefault="00217F39" w:rsidP="00D27072">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2020.gadā, veicot pārbaudes būvlaukumā un analizējot pārbaudes laikā iegūto informāciju, nav konstatētas pazīmes, kas liecinātu par nepamatotu datu labošanu/dzēšanu un iejaukšanos EDLUS. </w:t>
      </w:r>
      <w:bookmarkStart w:id="10" w:name="_Toc72918252"/>
    </w:p>
    <w:p w14:paraId="15FBDFC6" w14:textId="77777777" w:rsidR="00D27072" w:rsidRDefault="00D27072" w:rsidP="00D27072">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p>
    <w:p w14:paraId="5F4FE8CA" w14:textId="4B2999BE" w:rsidR="00217F39" w:rsidRPr="00217F39" w:rsidRDefault="00D27072" w:rsidP="008E4101">
      <w:pPr>
        <w:pStyle w:val="Heading2"/>
        <w:rPr>
          <w:noProof/>
        </w:rPr>
      </w:pPr>
      <w:r>
        <w:rPr>
          <w:sz w:val="28"/>
          <w:szCs w:val="28"/>
        </w:rPr>
        <w:t>3</w:t>
      </w:r>
      <w:r w:rsidR="00147945">
        <w:rPr>
          <w:sz w:val="28"/>
          <w:szCs w:val="28"/>
        </w:rPr>
        <w:t xml:space="preserve">. </w:t>
      </w:r>
      <w:r w:rsidR="00217F39" w:rsidRPr="00217F39">
        <w:rPr>
          <w:noProof/>
        </w:rPr>
        <w:t>VEDLUDB informācijas izmantošana VID</w:t>
      </w:r>
      <w:bookmarkEnd w:id="10"/>
    </w:p>
    <w:p w14:paraId="17A28067" w14:textId="77777777" w:rsidR="00217F39" w:rsidRPr="00217F39" w:rsidRDefault="00217F39" w:rsidP="00217F39">
      <w:pPr>
        <w:spacing w:before="0" w:after="0" w:line="240" w:lineRule="auto"/>
        <w:ind w:firstLine="709"/>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2020.gada 1.februārī uzsāka darbu VEDLUDB. Pamatojoties uz BVKB un VID starpresoru vienošanos “Par Vienotās elektroniskās darba laika uzskaites datubāzes lietošanu”, VID ar 2020.gada augustu ir nodrošināta piekļuve VEDLUDB </w:t>
      </w:r>
      <w:r w:rsidRPr="00217F39">
        <w:rPr>
          <w:rFonts w:ascii="Times New Roman" w:eastAsia="Century Gothic" w:hAnsi="Times New Roman" w:cs="Times New Roman"/>
          <w:color w:val="000000"/>
          <w:sz w:val="28"/>
          <w:szCs w:val="28"/>
        </w:rPr>
        <w:lastRenderedPageBreak/>
        <w:t xml:space="preserve">visiem uzkrātajiem datiem, tādējādi VID ir iespēja veikt veicināšanas un uzraudzības pasākumiem nepieciešamo datu atlasi. VEDLUDB pieejamie dati ir nozīmīgs informācijas avots darbam ar būvniecības nozares komersantiem “aplokšņu algu” apkarošanā. </w:t>
      </w:r>
    </w:p>
    <w:p w14:paraId="50249BED" w14:textId="77777777" w:rsidR="00217F39" w:rsidRPr="00217F39" w:rsidRDefault="00217F39" w:rsidP="00217F39">
      <w:pPr>
        <w:spacing w:before="0" w:after="0" w:line="240" w:lineRule="auto"/>
        <w:ind w:firstLine="720"/>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VEDLUDB dati tiek izmantoti:</w:t>
      </w:r>
    </w:p>
    <w:p w14:paraId="277EA8E4" w14:textId="1C1BDCFC" w:rsidR="00217F39" w:rsidRPr="00217F39" w:rsidRDefault="00217F39" w:rsidP="00217F39">
      <w:pPr>
        <w:numPr>
          <w:ilvl w:val="0"/>
          <w:numId w:val="2"/>
        </w:numPr>
        <w:tabs>
          <w:tab w:val="left" w:pos="993"/>
        </w:tabs>
        <w:spacing w:before="0" w:after="0" w:line="240" w:lineRule="auto"/>
        <w:ind w:left="0"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nodarbināto personu EDLUS reģistrētā darba laika salīdzināšanai ar VID datubāzē pieejamo informāciju no iesniegtajiem ziņojumiem par valsts sociālās apdrošināšanas obligātajām iemaksām no darba ņēmēju darba ienākumiem, </w:t>
      </w:r>
      <w:r w:rsidR="00085955">
        <w:rPr>
          <w:rFonts w:ascii="Times New Roman" w:eastAsia="Century Gothic" w:hAnsi="Times New Roman" w:cs="Times New Roman"/>
          <w:color w:val="000000"/>
          <w:sz w:val="28"/>
          <w:szCs w:val="28"/>
        </w:rPr>
        <w:t>IIN</w:t>
      </w:r>
      <w:r w:rsidRPr="00217F39">
        <w:rPr>
          <w:rFonts w:ascii="Times New Roman" w:eastAsia="Century Gothic" w:hAnsi="Times New Roman" w:cs="Times New Roman"/>
          <w:color w:val="000000"/>
          <w:sz w:val="28"/>
          <w:szCs w:val="28"/>
        </w:rPr>
        <w:t xml:space="preserve"> un uzņēmējdarbības riska valsts nodevu pārskata mēnesī, lai konstatētu iespējamo nelegālo nodarbinātību vai iespējamo faktiski nostrādāto stundu skaita neatbilstību konkrētiem darba ņēmējiem;</w:t>
      </w:r>
    </w:p>
    <w:p w14:paraId="41220BD8" w14:textId="0AAE7DB9" w:rsidR="00217F39" w:rsidRPr="00217F39" w:rsidRDefault="00217F39" w:rsidP="00217F39">
      <w:pPr>
        <w:numPr>
          <w:ilvl w:val="0"/>
          <w:numId w:val="2"/>
        </w:numPr>
        <w:tabs>
          <w:tab w:val="left" w:pos="993"/>
        </w:tabs>
        <w:spacing w:before="0" w:after="0" w:line="240" w:lineRule="auto"/>
        <w:ind w:left="0"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informācijas par apakšuzņēmējiem iepriekšējā mēnesī noslēgtajiem būvdarbu līgumiem, kuru līguma summa ir 15 000 EUR vai vairāk,</w:t>
      </w:r>
      <w:r w:rsidRPr="00217F39">
        <w:rPr>
          <w:rFonts w:ascii="Times New Roman" w:eastAsia="Century Gothic" w:hAnsi="Times New Roman" w:cs="Times New Roman"/>
          <w:color w:val="000000"/>
          <w:sz w:val="28"/>
          <w:szCs w:val="22"/>
          <w:vertAlign w:val="superscript"/>
        </w:rPr>
        <w:footnoteReference w:id="5"/>
      </w:r>
      <w:r w:rsidRPr="00217F39">
        <w:rPr>
          <w:rFonts w:ascii="Times New Roman" w:eastAsia="Century Gothic" w:hAnsi="Times New Roman" w:cs="Times New Roman"/>
          <w:color w:val="000000"/>
          <w:sz w:val="28"/>
          <w:szCs w:val="28"/>
        </w:rPr>
        <w:t xml:space="preserve"> izvērtēšanai nodokļu administrēšanas procesos, salīdzinot ar uzņēmuma deklarēto informāciju, kura tiek norādīta gan </w:t>
      </w:r>
      <w:r w:rsidR="00104C45">
        <w:rPr>
          <w:rFonts w:ascii="Times New Roman" w:eastAsia="Century Gothic" w:hAnsi="Times New Roman" w:cs="Times New Roman"/>
          <w:color w:val="000000"/>
          <w:sz w:val="28"/>
          <w:szCs w:val="28"/>
        </w:rPr>
        <w:t>PVN</w:t>
      </w:r>
      <w:r w:rsidRPr="00217F39">
        <w:rPr>
          <w:rFonts w:ascii="Times New Roman" w:eastAsia="Century Gothic" w:hAnsi="Times New Roman" w:cs="Times New Roman"/>
          <w:color w:val="000000"/>
          <w:sz w:val="28"/>
          <w:szCs w:val="28"/>
        </w:rPr>
        <w:t xml:space="preserve"> deklarācijā un tās pielikumos, gan gada pārskatā, kā arī izvērtējot uzņēmuma sadarbības partnerus.</w:t>
      </w:r>
    </w:p>
    <w:p w14:paraId="522D2F37" w14:textId="0A019917"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VEDLUDB dati tiek izmantoti darbam ar konkrētu </w:t>
      </w:r>
      <w:r w:rsidR="004C2335">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nodokļu nomaksas veicināšanas, uzraudzības, monitoringa procesos un veicot kontroles pasākumus būvlaukumos:</w:t>
      </w:r>
    </w:p>
    <w:p w14:paraId="2A793157" w14:textId="77777777"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nodarbināto personu EDLUS reģistrētā darba laika salīdzināšana dienas un mēneša ietvaros ar VID datubāzē pieejamo informāciju par iesniegtajām ziņām par darbinieku darba uzsākšanu nelegālās nodarbinātības identificēšanai</w:t>
      </w:r>
      <w:r w:rsidRPr="00217F39">
        <w:rPr>
          <w:rFonts w:ascii="Times New Roman" w:eastAsia="Century Gothic" w:hAnsi="Times New Roman" w:cs="Times New Roman"/>
          <w:color w:val="000000"/>
          <w:sz w:val="28"/>
          <w:szCs w:val="22"/>
          <w:vertAlign w:val="superscript"/>
        </w:rPr>
        <w:footnoteReference w:id="6"/>
      </w:r>
      <w:r w:rsidRPr="00217F39">
        <w:rPr>
          <w:rFonts w:ascii="Times New Roman" w:eastAsia="Century Gothic" w:hAnsi="Times New Roman" w:cs="Times New Roman"/>
          <w:color w:val="000000"/>
          <w:sz w:val="28"/>
          <w:szCs w:val="28"/>
        </w:rPr>
        <w:t>;</w:t>
      </w:r>
    </w:p>
    <w:p w14:paraId="0666A0B7" w14:textId="7B9DC1CD"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nodarbināto personu EDLUS reģistrētā darba laika salīdzināšana ar VID datubāzē pieejamo informāciju no iesniegtajiem DDZ mēneša ietvaros, lai konstatētu iespējamo faktiski nostrādāto stundu skaita neatbilstību konkrētiem darba ņēmējiem, </w:t>
      </w:r>
      <w:r w:rsidR="00EF78F6" w:rsidRPr="00EF78F6">
        <w:rPr>
          <w:rFonts w:ascii="Times New Roman" w:eastAsia="Century Gothic" w:hAnsi="Times New Roman" w:cs="Times New Roman"/>
          <w:color w:val="000000"/>
          <w:sz w:val="28"/>
          <w:szCs w:val="28"/>
        </w:rPr>
        <w:t>kuriem attiecīgi nav deklarēti</w:t>
      </w:r>
      <w:r w:rsidR="00EF78F6">
        <w:rPr>
          <w:rFonts w:ascii="Times New Roman" w:eastAsia="Century Gothic" w:hAnsi="Times New Roman" w:cs="Times New Roman"/>
          <w:color w:val="000000"/>
          <w:sz w:val="28"/>
          <w:szCs w:val="28"/>
        </w:rPr>
        <w:t xml:space="preserve"> </w:t>
      </w:r>
      <w:r w:rsidRPr="00217F39">
        <w:rPr>
          <w:rFonts w:ascii="Times New Roman" w:eastAsia="Century Gothic" w:hAnsi="Times New Roman" w:cs="Times New Roman"/>
          <w:color w:val="000000"/>
          <w:sz w:val="28"/>
          <w:szCs w:val="28"/>
        </w:rPr>
        <w:t>algas nodokļ</w:t>
      </w:r>
      <w:r w:rsidR="00EF78F6">
        <w:rPr>
          <w:rFonts w:ascii="Times New Roman" w:eastAsia="Century Gothic" w:hAnsi="Times New Roman" w:cs="Times New Roman"/>
          <w:color w:val="000000"/>
          <w:sz w:val="28"/>
          <w:szCs w:val="28"/>
        </w:rPr>
        <w:t>i</w:t>
      </w:r>
      <w:r w:rsidRPr="00217F39">
        <w:rPr>
          <w:rFonts w:ascii="Times New Roman" w:eastAsia="Century Gothic" w:hAnsi="Times New Roman" w:cs="Times New Roman"/>
          <w:color w:val="000000"/>
          <w:sz w:val="28"/>
          <w:szCs w:val="28"/>
        </w:rPr>
        <w:t xml:space="preserve"> (VSAOI, IIN) pilnā apjomā, nosakot iespējamo nesamaksāto algas nodokļu apmēru</w:t>
      </w:r>
      <w:r w:rsidRPr="00217F39">
        <w:rPr>
          <w:rFonts w:ascii="Times New Roman" w:eastAsia="Century Gothic" w:hAnsi="Times New Roman" w:cs="Times New Roman"/>
          <w:color w:val="000000"/>
          <w:sz w:val="28"/>
          <w:szCs w:val="22"/>
          <w:vertAlign w:val="superscript"/>
        </w:rPr>
        <w:footnoteReference w:id="7"/>
      </w:r>
      <w:r w:rsidRPr="00217F39">
        <w:rPr>
          <w:rFonts w:ascii="Times New Roman" w:eastAsia="Century Gothic" w:hAnsi="Times New Roman" w:cs="Times New Roman"/>
          <w:color w:val="000000"/>
          <w:sz w:val="28"/>
          <w:szCs w:val="28"/>
        </w:rPr>
        <w:t xml:space="preserve">; </w:t>
      </w:r>
    </w:p>
    <w:p w14:paraId="2A30323F" w14:textId="79F03727"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nodarbināto personu EDLUS reģistrētā darba laika salīdzināšana, tajā skaitā darbinieku iereģistrēšanos un izreģistrēšanos no būvobjekta dienas ietvaros ar </w:t>
      </w:r>
      <w:r w:rsidR="004C2335">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darba laika uzskaites tabelē norādīto, darba līguma un atalgojuma aprēķina informāciju, pārbaudot darba ņēmēju nodarbinātības un aprēķinātā atalgojuma atbilstību normatīvo aktu prasībām, tajā skaitā iespējamo nodarbinātību virsstundās vai nakts darbā;</w:t>
      </w:r>
    </w:p>
    <w:p w14:paraId="16046358" w14:textId="0FA1A74B"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bookmarkStart w:id="11" w:name="_Hlk70002814"/>
      <w:r w:rsidRPr="00217F39">
        <w:rPr>
          <w:rFonts w:ascii="Times New Roman" w:eastAsia="Century Gothic" w:hAnsi="Times New Roman" w:cs="Times New Roman"/>
          <w:color w:val="000000"/>
          <w:sz w:val="28"/>
          <w:szCs w:val="28"/>
        </w:rPr>
        <w:lastRenderedPageBreak/>
        <w:t xml:space="preserve">datu par nodarbinātajām personām izmantošana nodarbinātības formas identificēšanai, kura, iespējams, tiek izmantota nodokļu optimizēšanas nolūkā, tajā skaitā būvdarbiem izmantojot </w:t>
      </w:r>
      <w:proofErr w:type="spellStart"/>
      <w:r w:rsidRPr="00217F39">
        <w:rPr>
          <w:rFonts w:ascii="Times New Roman" w:eastAsia="Century Gothic" w:hAnsi="Times New Roman" w:cs="Times New Roman"/>
          <w:color w:val="000000"/>
          <w:sz w:val="28"/>
          <w:szCs w:val="28"/>
        </w:rPr>
        <w:t>pašnodarbinātas</w:t>
      </w:r>
      <w:proofErr w:type="spellEnd"/>
      <w:r w:rsidRPr="00217F39">
        <w:rPr>
          <w:rFonts w:ascii="Times New Roman" w:eastAsia="Century Gothic" w:hAnsi="Times New Roman" w:cs="Times New Roman"/>
          <w:color w:val="000000"/>
          <w:sz w:val="28"/>
          <w:szCs w:val="28"/>
        </w:rPr>
        <w:t xml:space="preserve"> personas pakalpojumus, kā arī ārvalstu komersant</w:t>
      </w:r>
      <w:r w:rsidR="00DC1D00">
        <w:rPr>
          <w:rFonts w:ascii="Times New Roman" w:eastAsia="Century Gothic" w:hAnsi="Times New Roman" w:cs="Times New Roman"/>
          <w:color w:val="000000"/>
          <w:sz w:val="28"/>
          <w:szCs w:val="28"/>
        </w:rPr>
        <w:t>us</w:t>
      </w:r>
      <w:r w:rsidRPr="00217F39">
        <w:rPr>
          <w:rFonts w:ascii="Times New Roman" w:eastAsia="Century Gothic" w:hAnsi="Times New Roman" w:cs="Times New Roman"/>
          <w:color w:val="000000"/>
          <w:sz w:val="28"/>
          <w:szCs w:val="28"/>
        </w:rPr>
        <w:t>, kuri nav reģistrējuši pastāvīgo pārstāvniecību Latvijā;</w:t>
      </w:r>
    </w:p>
    <w:p w14:paraId="4163F33F" w14:textId="77777777"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attiecībā uz ārvalstu komersantu saimniecisko darbību Latvijas teritorijā VEDLUDB informācija dod iespēju kontrolēt ārvalstu komersantu pastāvīgo pārstāvniecības reģistrēšanas nosacījumu ievērošanu</w:t>
      </w:r>
      <w:r w:rsidRPr="00217F39">
        <w:rPr>
          <w:rFonts w:ascii="Times New Roman" w:eastAsia="Century Gothic" w:hAnsi="Times New Roman" w:cs="Times New Roman"/>
          <w:color w:val="000000"/>
          <w:sz w:val="28"/>
          <w:szCs w:val="22"/>
          <w:vertAlign w:val="superscript"/>
        </w:rPr>
        <w:footnoteReference w:id="8"/>
      </w:r>
      <w:r w:rsidRPr="00217F39">
        <w:rPr>
          <w:rFonts w:ascii="Times New Roman" w:eastAsia="Century Gothic" w:hAnsi="Times New Roman" w:cs="Times New Roman"/>
          <w:color w:val="000000"/>
          <w:sz w:val="28"/>
          <w:szCs w:val="28"/>
        </w:rPr>
        <w:t xml:space="preserve">; </w:t>
      </w:r>
    </w:p>
    <w:p w14:paraId="32778E48" w14:textId="77777777"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VEDLUDB datu izmantošana informācijas iegūšanai par darba devējiem, kuru darba ņēmēji ir bijuši nodarbināti konkrētos būvlaukumos un/vai būvobjektos, darījumu ķēdes dalībnieku identificēšanai, gadījumos, kad darījumu dalībnieki nav PVN maksātāji</w:t>
      </w:r>
      <w:bookmarkStart w:id="12" w:name="_Hlk70027721"/>
      <w:bookmarkEnd w:id="11"/>
      <w:r w:rsidRPr="00217F39">
        <w:rPr>
          <w:rFonts w:ascii="Times New Roman" w:eastAsia="Century Gothic" w:hAnsi="Times New Roman" w:cs="Times New Roman"/>
          <w:color w:val="000000"/>
          <w:sz w:val="28"/>
          <w:szCs w:val="28"/>
        </w:rPr>
        <w:t>;</w:t>
      </w:r>
    </w:p>
    <w:p w14:paraId="2F9A2431" w14:textId="4A49CE2B" w:rsidR="00217F39" w:rsidRPr="00217F39" w:rsidRDefault="00217F39" w:rsidP="00217F39">
      <w:pPr>
        <w:numPr>
          <w:ilvl w:val="0"/>
          <w:numId w:val="30"/>
        </w:numPr>
        <w:tabs>
          <w:tab w:val="left" w:pos="1134"/>
        </w:tabs>
        <w:spacing w:before="0" w:after="0" w:line="240" w:lineRule="auto"/>
        <w:ind w:firstLine="720"/>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informācija par apakšuzņēmēju iepriekšējā mēnesī noslēgtajiem būvdarbu </w:t>
      </w:r>
      <w:bookmarkEnd w:id="12"/>
      <w:r w:rsidRPr="00217F39">
        <w:rPr>
          <w:rFonts w:ascii="Times New Roman" w:eastAsia="Century Gothic" w:hAnsi="Times New Roman" w:cs="Times New Roman"/>
          <w:color w:val="000000"/>
          <w:sz w:val="28"/>
          <w:szCs w:val="28"/>
        </w:rPr>
        <w:t xml:space="preserve">līgumiem, kuru līguma summa ir 15 000 EUR vai vairāk, salīdzinot ar uzņēmuma deklarēto informāciju, kura tiek norādīta PVN deklarācijā un tās pielikumos, tiek izmantota darījumu dalībnieku sadarbības izvērtēšanai un deklarēto savstarpējo darījumu ticamības pārbaudei, kā arī kopsakarā ar konkrēto </w:t>
      </w:r>
      <w:r w:rsidR="004C2335">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VEDLUDB reģistrēto nodarbinātību, iespējamo nodokļu </w:t>
      </w:r>
      <w:proofErr w:type="spellStart"/>
      <w:r w:rsidRPr="00217F39">
        <w:rPr>
          <w:rFonts w:ascii="Times New Roman" w:eastAsia="Century Gothic" w:hAnsi="Times New Roman" w:cs="Times New Roman"/>
          <w:color w:val="000000"/>
          <w:sz w:val="28"/>
          <w:szCs w:val="28"/>
        </w:rPr>
        <w:t>nenomaksas</w:t>
      </w:r>
      <w:proofErr w:type="spellEnd"/>
      <w:r w:rsidRPr="00217F39">
        <w:rPr>
          <w:rFonts w:ascii="Times New Roman" w:eastAsia="Century Gothic" w:hAnsi="Times New Roman" w:cs="Times New Roman"/>
          <w:color w:val="000000"/>
          <w:sz w:val="28"/>
          <w:szCs w:val="28"/>
        </w:rPr>
        <w:t xml:space="preserve"> risku identificēšanai (piemēram, kad būvdarbu līgums tiek noslēgts ar komersantu, kas pašu spēkiem nevar nodrošināt būvdarbu izpildi, tai pat laikā EDLUS nav reģistrēta piesaistītu apakšuzņēmēju nodarbinātība konkrētajā būvobjektā). Tādējādi informācija par apakšuzņēmēju noslēgtajiem būvdarbu līgumiem kopsakarā ar datiem par būvuzņēmēju nodarbinātību dod iespēju pārliecināties par PVN deklarācijā atspoguļoto darījumu ticamību.</w:t>
      </w:r>
    </w:p>
    <w:p w14:paraId="476B42F1" w14:textId="77777777" w:rsidR="00217F39" w:rsidRPr="00217F39" w:rsidRDefault="00217F39" w:rsidP="00217F39">
      <w:pPr>
        <w:spacing w:before="0" w:after="160" w:line="259" w:lineRule="auto"/>
        <w:rPr>
          <w:rFonts w:ascii="Times New Roman" w:eastAsia="Century Gothic" w:hAnsi="Times New Roman" w:cs="Times New Roman"/>
          <w:color w:val="7D9532"/>
          <w:sz w:val="28"/>
          <w:szCs w:val="28"/>
        </w:rPr>
      </w:pPr>
    </w:p>
    <w:p w14:paraId="78F3FAE7" w14:textId="225F07C0" w:rsidR="00217F39" w:rsidRPr="00D27072" w:rsidRDefault="008E4101" w:rsidP="008E4101">
      <w:pPr>
        <w:pStyle w:val="Heading1"/>
      </w:pPr>
      <w:bookmarkStart w:id="13" w:name="_Toc72918253"/>
      <w:r>
        <w:t xml:space="preserve">3.1. </w:t>
      </w:r>
      <w:r w:rsidR="00217F39" w:rsidRPr="00D27072">
        <w:t>VEDLUDB un DDZ pārskatu neatbilstību analīze</w:t>
      </w:r>
      <w:bookmarkEnd w:id="13"/>
    </w:p>
    <w:p w14:paraId="42ED6A93" w14:textId="265F9F01" w:rsidR="00217F39" w:rsidRPr="00217F39" w:rsidRDefault="00217F39" w:rsidP="00217F39">
      <w:pPr>
        <w:spacing w:before="0" w:after="0" w:line="240" w:lineRule="auto"/>
        <w:ind w:firstLine="709"/>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Salīdzinot no VEDLUDB saņemtos datus ar </w:t>
      </w:r>
      <w:r w:rsidR="004C2335">
        <w:rPr>
          <w:rFonts w:ascii="Times New Roman" w:eastAsia="Century Gothic" w:hAnsi="Times New Roman" w:cs="Times New Roman"/>
          <w:sz w:val="28"/>
          <w:szCs w:val="28"/>
        </w:rPr>
        <w:t>NM</w:t>
      </w:r>
      <w:r w:rsidRPr="00217F39">
        <w:rPr>
          <w:rFonts w:ascii="Times New Roman" w:eastAsia="Century Gothic" w:hAnsi="Times New Roman" w:cs="Times New Roman"/>
          <w:sz w:val="28"/>
          <w:szCs w:val="28"/>
        </w:rPr>
        <w:t xml:space="preserve"> iesniegtajiem DDZ pārskatiem, esam konstatējuši informācijas nesakritības, kas norāda uz iespējamiem darba ņēmēju nedeklarēšanas vai nostrādāto stundu nepilnīgas deklarēšanas riskiem.</w:t>
      </w:r>
    </w:p>
    <w:p w14:paraId="291E7095" w14:textId="77777777" w:rsidR="00217F39" w:rsidRPr="00217F39" w:rsidRDefault="00217F39" w:rsidP="00217F39">
      <w:pPr>
        <w:numPr>
          <w:ilvl w:val="0"/>
          <w:numId w:val="25"/>
        </w:numPr>
        <w:tabs>
          <w:tab w:val="left" w:pos="993"/>
        </w:tabs>
        <w:spacing w:before="160" w:after="0" w:line="240" w:lineRule="auto"/>
        <w:ind w:firstLine="720"/>
        <w:contextualSpacing/>
        <w:jc w:val="both"/>
        <w:rPr>
          <w:rFonts w:ascii="Times New Roman" w:eastAsia="Century Gothic" w:hAnsi="Times New Roman" w:cs="Times New Roman"/>
          <w:i/>
          <w:sz w:val="28"/>
          <w:szCs w:val="28"/>
        </w:rPr>
      </w:pPr>
      <w:r w:rsidRPr="00217F39">
        <w:rPr>
          <w:rFonts w:ascii="Times New Roman" w:eastAsia="Century Gothic" w:hAnsi="Times New Roman" w:cs="Times New Roman"/>
          <w:i/>
          <w:sz w:val="28"/>
          <w:szCs w:val="28"/>
        </w:rPr>
        <w:t>DDZ pārskatos nedeklarētie darba ņēmēji</w:t>
      </w:r>
    </w:p>
    <w:p w14:paraId="613FB6ED" w14:textId="77777777" w:rsidR="004D55E0" w:rsidRDefault="00217F39" w:rsidP="00217F39">
      <w:pPr>
        <w:tabs>
          <w:tab w:val="left" w:pos="993"/>
        </w:tabs>
        <w:spacing w:before="0" w:after="0" w:line="240" w:lineRule="auto"/>
        <w:ind w:firstLine="720"/>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Analizējot VEDLUDB un DDZ informāciju, ir konstatēti darba ņēmēji, kuri saskaņā ar VEDLUDB datiem ir nodarbināti būvlaukumā pie konkrēta darba devēja, bet darba devēju iesniegtajos DDZ pārskatos par to pašu periodu nav iekļauti. </w:t>
      </w:r>
    </w:p>
    <w:p w14:paraId="493DD4CF" w14:textId="479BAAEF" w:rsidR="004D55E0" w:rsidRDefault="00217F39" w:rsidP="00217F39">
      <w:pPr>
        <w:tabs>
          <w:tab w:val="left" w:pos="993"/>
        </w:tabs>
        <w:spacing w:before="0" w:after="0" w:line="240" w:lineRule="auto"/>
        <w:ind w:firstLine="720"/>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Kopumā </w:t>
      </w:r>
      <w:r w:rsidR="004D55E0" w:rsidRPr="00C33C9F">
        <w:rPr>
          <w:rFonts w:ascii="Times New Roman" w:eastAsia="Century Gothic" w:hAnsi="Times New Roman" w:cs="Times New Roman"/>
          <w:sz w:val="28"/>
          <w:szCs w:val="28"/>
        </w:rPr>
        <w:t xml:space="preserve">2021. gadā tādi ir konstatēti 2 975 darba ņēmēji, kas nodarbināti pie 1 019 darba devējiem un nostrādājuši 321 735 stundas, jeb vidēji mēnesī – 490 darba ņēmēji, 26 811 stundas. Vislielākais nedeklarēto darba ņēmēju nostrādāto stundu skaits ir reģistrēts 2021. gada jūlijā. Secināms, ka viens “riskantais” darba devējs vidēji nodarbina divus darba ņēmējus, kas nav norādīti DDZ, septiņas darba dienas mēnesī.  </w:t>
      </w:r>
      <w:r w:rsidRPr="00217F39">
        <w:rPr>
          <w:rFonts w:ascii="Times New Roman" w:eastAsia="Century Gothic" w:hAnsi="Times New Roman" w:cs="Times New Roman"/>
          <w:sz w:val="28"/>
          <w:szCs w:val="28"/>
        </w:rPr>
        <w:t xml:space="preserve">2020.gadā ir konstatēti 3 463 darba ņēmēji pie 915 darba devējiem un 406 001 nostrādātās stundas – vidēji mēnesī: 606 darba ņēmēji, 33 833 stundas. Vislielākais “riskanto” darba ņēmēju un nostrādāto stundu skaits ir reģistrēts </w:t>
      </w:r>
      <w:r w:rsidRPr="00217F39">
        <w:rPr>
          <w:rFonts w:ascii="Times New Roman" w:eastAsia="Century Gothic" w:hAnsi="Times New Roman" w:cs="Times New Roman"/>
          <w:sz w:val="28"/>
          <w:szCs w:val="28"/>
        </w:rPr>
        <w:lastRenderedPageBreak/>
        <w:t>2020.gada jūlijā. Secināms, ka viens “riskantais” darba devējs vidēji nodarbina 2–3 darba ņēmējus, kuri nav norādīti DDZ, 6–8 darba dienas mēnesī.</w:t>
      </w:r>
    </w:p>
    <w:p w14:paraId="0FD1BC2E" w14:textId="2D62FAD7" w:rsidR="00217F39" w:rsidRPr="00217F39" w:rsidRDefault="00217F39" w:rsidP="00217F39">
      <w:pPr>
        <w:tabs>
          <w:tab w:val="left" w:pos="993"/>
        </w:tabs>
        <w:spacing w:before="0" w:after="0" w:line="240" w:lineRule="auto"/>
        <w:ind w:firstLine="720"/>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 Minēto risku ir iespējams novērtēt, tikai veicot noteiktus nodokļu nomaksas veicināšanas pasākumus un noskaidrojot, vai ir izdarīts pārkāpums, vai tomēr ir ieviesušās datu ievades kļūdas.</w:t>
      </w:r>
    </w:p>
    <w:p w14:paraId="7C2CDF17" w14:textId="77777777" w:rsidR="00217F39" w:rsidRPr="00217F39" w:rsidRDefault="00217F39" w:rsidP="00217F39">
      <w:pPr>
        <w:tabs>
          <w:tab w:val="left" w:pos="993"/>
        </w:tabs>
        <w:spacing w:before="0" w:after="0" w:line="240" w:lineRule="auto"/>
        <w:ind w:firstLine="720"/>
        <w:jc w:val="both"/>
        <w:rPr>
          <w:rFonts w:ascii="Times New Roman" w:eastAsia="Century Gothic" w:hAnsi="Times New Roman" w:cs="Times New Roman"/>
          <w:sz w:val="28"/>
          <w:szCs w:val="28"/>
        </w:rPr>
      </w:pPr>
    </w:p>
    <w:p w14:paraId="60775FE7" w14:textId="77777777" w:rsidR="00217F39" w:rsidRPr="00217F39" w:rsidRDefault="00217F39" w:rsidP="00217F39">
      <w:pPr>
        <w:numPr>
          <w:ilvl w:val="0"/>
          <w:numId w:val="25"/>
        </w:numPr>
        <w:tabs>
          <w:tab w:val="left" w:pos="993"/>
        </w:tabs>
        <w:spacing w:before="120" w:after="0" w:line="240" w:lineRule="auto"/>
        <w:ind w:firstLine="720"/>
        <w:contextualSpacing/>
        <w:jc w:val="both"/>
        <w:rPr>
          <w:rFonts w:ascii="Times New Roman" w:eastAsia="Century Gothic" w:hAnsi="Times New Roman" w:cs="Times New Roman"/>
          <w:i/>
          <w:sz w:val="28"/>
          <w:szCs w:val="28"/>
        </w:rPr>
      </w:pPr>
      <w:r w:rsidRPr="00217F39">
        <w:rPr>
          <w:rFonts w:ascii="Times New Roman" w:eastAsia="Century Gothic" w:hAnsi="Times New Roman" w:cs="Times New Roman"/>
          <w:i/>
          <w:sz w:val="28"/>
          <w:szCs w:val="28"/>
        </w:rPr>
        <w:t>VEDLUDB un DDZ stundu neatbilstības</w:t>
      </w:r>
    </w:p>
    <w:p w14:paraId="5EA70625" w14:textId="289C096F" w:rsidR="00217F39" w:rsidRPr="00217F39" w:rsidRDefault="00217F39" w:rsidP="00217F39">
      <w:pPr>
        <w:spacing w:before="0" w:after="0" w:line="240" w:lineRule="auto"/>
        <w:ind w:firstLine="709"/>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Salīdzinot VEDLUDB datus ar darba devēju iesniegtajiem DDZ pārskatiem, ir novērotas nostrādāto stundu starpības būvlaukumos nodarbinātajiem – VEDLUDB ir norādīts vairāk stundu nekā DDZ. Ņemot vērā, ka būvuzņēmēju darba ņēmēji viena mēneša ietvaros var tikt nodarbināti vairākos būvlaukumos, tai skaitā tādos, kas neatbilst EDLUS uzstādīšanas kritērijiem, tika analizēti darba ņēmēji, kam VEDLUDB norādīto nostrādāto stundu nav mazāk par normālā darba laika stundu skaitu katrā mēnesī </w:t>
      </w:r>
      <w:r w:rsidR="004D55E0" w:rsidRPr="00C33C9F">
        <w:rPr>
          <w:rFonts w:ascii="Times New Roman" w:eastAsia="Century Gothic" w:hAnsi="Times New Roman" w:cs="Times New Roman"/>
          <w:sz w:val="28"/>
          <w:szCs w:val="28"/>
        </w:rPr>
        <w:t xml:space="preserve">2021.gadā. Kopumā 2021. gadā būvlaukumos pie 1 034 darba devējiem ir konstatēts 8 521 darba ņēmējs, kam VEDLUDB normālā darba laikā nostrādātās stundas nesakrīt ar DDZ datiem par 657 tūkst. stundām (skatīt 8. tabulu). </w:t>
      </w:r>
      <w:r w:rsidRPr="00217F39">
        <w:rPr>
          <w:rFonts w:ascii="Times New Roman" w:eastAsia="Century Gothic" w:hAnsi="Times New Roman" w:cs="Times New Roman"/>
          <w:sz w:val="28"/>
          <w:szCs w:val="28"/>
        </w:rPr>
        <w:t>2020.gadā ir konstatēts 10 271 darba ņēmējs pie 1 150 darba devējiem būvlaukumos, kam VEDLUDB normālā darba laika nostrādātās stundas nesakrīt ar DDZ par 808 tūkst. stundām.</w:t>
      </w:r>
    </w:p>
    <w:p w14:paraId="48A3A27E" w14:textId="10DEE698" w:rsidR="00217F39" w:rsidRPr="00217F39" w:rsidRDefault="00217F39" w:rsidP="00217F39">
      <w:pPr>
        <w:spacing w:before="0" w:after="0" w:line="240" w:lineRule="auto"/>
        <w:ind w:firstLine="709"/>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Saskaņā ar likuma “Par nodokļiem un nodevām” 115.panta otro daļu </w:t>
      </w:r>
      <w:r w:rsidR="001E0BD0">
        <w:rPr>
          <w:rFonts w:ascii="Times New Roman" w:eastAsia="Century Gothic" w:hAnsi="Times New Roman" w:cs="Times New Roman"/>
          <w:sz w:val="28"/>
          <w:szCs w:val="28"/>
        </w:rPr>
        <w:t>EDLUS</w:t>
      </w:r>
      <w:r w:rsidRPr="00217F39">
        <w:rPr>
          <w:rFonts w:ascii="Times New Roman" w:eastAsia="Century Gothic" w:hAnsi="Times New Roman" w:cs="Times New Roman"/>
          <w:sz w:val="28"/>
          <w:szCs w:val="28"/>
        </w:rPr>
        <w:t xml:space="preserve"> reģistrētie dati par būvlaukumā nodarbinātas personas darba laiku kalendāra mēneša ietvaros ne vairāk kā par 20 % var atšķirties no faktiski uzskaitītajām darba stundām, kas izmantotas darba samaksas aprēķināšanai par darbu būvlaukumā. Ņemot vērā 20 % pieļaujamo starpību, 2020.gadā ir konstatēti 2 550 darba ņēmēji pie 625 darba devējiem, kam VEDLUDB nostrādātas stundas nesakrīt ar DDZ par vairāk nekā 20 %, un starpība veido 382 tūkst. stundas.</w:t>
      </w:r>
      <w:r w:rsidR="004D55E0">
        <w:rPr>
          <w:rFonts w:ascii="Times New Roman" w:eastAsia="Century Gothic" w:hAnsi="Times New Roman" w:cs="Times New Roman"/>
          <w:sz w:val="28"/>
          <w:szCs w:val="28"/>
        </w:rPr>
        <w:t xml:space="preserve"> Savukārt </w:t>
      </w:r>
      <w:r w:rsidR="004D55E0" w:rsidRPr="00C33C9F">
        <w:rPr>
          <w:rFonts w:ascii="Times New Roman" w:eastAsia="Century Gothic" w:hAnsi="Times New Roman" w:cs="Times New Roman"/>
          <w:sz w:val="28"/>
          <w:szCs w:val="28"/>
        </w:rPr>
        <w:t xml:space="preserve">2021. gadā pie 580 darba devējiem ir konstatēti 2025 darba ņēmēji, kam VEDLUDB nostrādātās stundas nesakrīt ar DDZ datiem par vairāk nekā 20 %, un starpība veido 283 tūkst. stundas. </w:t>
      </w:r>
      <w:r w:rsidRPr="00217F39">
        <w:rPr>
          <w:rFonts w:ascii="Times New Roman" w:eastAsia="Century Gothic" w:hAnsi="Times New Roman" w:cs="Times New Roman"/>
          <w:sz w:val="28"/>
          <w:szCs w:val="28"/>
        </w:rPr>
        <w:t xml:space="preserve"> </w:t>
      </w:r>
    </w:p>
    <w:p w14:paraId="09C9999C" w14:textId="77777777" w:rsidR="001C551E" w:rsidRDefault="001C551E" w:rsidP="00217F39">
      <w:pPr>
        <w:spacing w:before="0" w:after="160" w:line="259" w:lineRule="auto"/>
        <w:jc w:val="right"/>
        <w:rPr>
          <w:rFonts w:ascii="Times New Roman" w:eastAsia="Century Gothic" w:hAnsi="Times New Roman" w:cs="Times New Roman"/>
          <w:sz w:val="28"/>
          <w:szCs w:val="28"/>
        </w:rPr>
      </w:pPr>
    </w:p>
    <w:p w14:paraId="7DC2EFB7" w14:textId="77777777" w:rsidR="001C551E" w:rsidRDefault="001C551E" w:rsidP="00217F39">
      <w:pPr>
        <w:spacing w:before="0" w:after="160" w:line="259" w:lineRule="auto"/>
        <w:jc w:val="right"/>
        <w:rPr>
          <w:rFonts w:ascii="Times New Roman" w:eastAsia="Century Gothic" w:hAnsi="Times New Roman" w:cs="Times New Roman"/>
          <w:sz w:val="28"/>
          <w:szCs w:val="28"/>
        </w:rPr>
      </w:pPr>
    </w:p>
    <w:p w14:paraId="7264AE0F" w14:textId="77777777" w:rsidR="001C551E" w:rsidRDefault="001C551E" w:rsidP="00217F39">
      <w:pPr>
        <w:spacing w:before="0" w:after="160" w:line="259" w:lineRule="auto"/>
        <w:jc w:val="right"/>
        <w:rPr>
          <w:rFonts w:ascii="Times New Roman" w:eastAsia="Century Gothic" w:hAnsi="Times New Roman" w:cs="Times New Roman"/>
          <w:sz w:val="28"/>
          <w:szCs w:val="28"/>
        </w:rPr>
      </w:pPr>
    </w:p>
    <w:p w14:paraId="2A4A3C51" w14:textId="77777777" w:rsidR="001C551E" w:rsidRDefault="001C551E" w:rsidP="00217F39">
      <w:pPr>
        <w:spacing w:before="0" w:after="160" w:line="259" w:lineRule="auto"/>
        <w:jc w:val="right"/>
        <w:rPr>
          <w:rFonts w:ascii="Times New Roman" w:eastAsia="Century Gothic" w:hAnsi="Times New Roman" w:cs="Times New Roman"/>
          <w:sz w:val="28"/>
          <w:szCs w:val="28"/>
        </w:rPr>
      </w:pPr>
    </w:p>
    <w:p w14:paraId="6C31CB32" w14:textId="77777777" w:rsidR="001C551E" w:rsidRDefault="001C551E" w:rsidP="00217F39">
      <w:pPr>
        <w:spacing w:before="0" w:after="160" w:line="259" w:lineRule="auto"/>
        <w:jc w:val="right"/>
        <w:rPr>
          <w:rFonts w:ascii="Times New Roman" w:eastAsia="Century Gothic" w:hAnsi="Times New Roman" w:cs="Times New Roman"/>
          <w:sz w:val="28"/>
          <w:szCs w:val="28"/>
        </w:rPr>
      </w:pPr>
    </w:p>
    <w:p w14:paraId="489D8893" w14:textId="7CF8B482" w:rsidR="00217F39" w:rsidRPr="00217F39" w:rsidRDefault="00D27072" w:rsidP="00217F39">
      <w:pPr>
        <w:spacing w:before="0" w:after="160" w:line="259" w:lineRule="auto"/>
        <w:jc w:val="right"/>
        <w:rPr>
          <w:rFonts w:ascii="Times New Roman" w:eastAsia="Century Gothic" w:hAnsi="Times New Roman" w:cs="Times New Roman"/>
          <w:sz w:val="28"/>
          <w:szCs w:val="28"/>
        </w:rPr>
      </w:pPr>
      <w:r>
        <w:rPr>
          <w:rFonts w:ascii="Times New Roman" w:eastAsia="Century Gothic" w:hAnsi="Times New Roman" w:cs="Times New Roman"/>
          <w:sz w:val="28"/>
          <w:szCs w:val="28"/>
        </w:rPr>
        <w:t>8</w:t>
      </w:r>
      <w:r w:rsidR="00217F39" w:rsidRPr="00217F39">
        <w:rPr>
          <w:rFonts w:ascii="Times New Roman" w:eastAsia="Century Gothic" w:hAnsi="Times New Roman" w:cs="Times New Roman"/>
          <w:sz w:val="28"/>
          <w:szCs w:val="28"/>
        </w:rPr>
        <w:t>.tabula</w:t>
      </w:r>
    </w:p>
    <w:p w14:paraId="5E8D5035" w14:textId="0522AC69" w:rsidR="00217F39" w:rsidRPr="00217F39" w:rsidRDefault="00217F39" w:rsidP="00217F39">
      <w:pPr>
        <w:spacing w:before="0" w:after="120" w:line="259" w:lineRule="auto"/>
        <w:ind w:firstLine="426"/>
        <w:jc w:val="center"/>
        <w:rPr>
          <w:rFonts w:ascii="Times New Roman" w:eastAsia="Century Gothic" w:hAnsi="Times New Roman" w:cs="Times New Roman"/>
          <w:b/>
          <w:sz w:val="28"/>
          <w:szCs w:val="28"/>
        </w:rPr>
      </w:pPr>
      <w:r w:rsidRPr="00217F39">
        <w:rPr>
          <w:rFonts w:ascii="Times New Roman" w:eastAsia="Century Gothic" w:hAnsi="Times New Roman" w:cs="Times New Roman"/>
          <w:b/>
          <w:sz w:val="28"/>
          <w:szCs w:val="28"/>
        </w:rPr>
        <w:t>Informācija par VEDLUDB un DDZ stundu neatbilstībām 202</w:t>
      </w:r>
      <w:r w:rsidR="00E139B9">
        <w:rPr>
          <w:rFonts w:ascii="Times New Roman" w:eastAsia="Century Gothic" w:hAnsi="Times New Roman" w:cs="Times New Roman"/>
          <w:b/>
          <w:sz w:val="28"/>
          <w:szCs w:val="28"/>
        </w:rPr>
        <w:t>1</w:t>
      </w:r>
      <w:r w:rsidRPr="00217F39">
        <w:rPr>
          <w:rFonts w:ascii="Times New Roman" w:eastAsia="Century Gothic" w:hAnsi="Times New Roman" w:cs="Times New Roman"/>
          <w:b/>
          <w:sz w:val="28"/>
          <w:szCs w:val="28"/>
        </w:rPr>
        <w:t>.gadā</w:t>
      </w:r>
    </w:p>
    <w:tbl>
      <w:tblPr>
        <w:tblW w:w="9062" w:type="dxa"/>
        <w:tblLayout w:type="fixed"/>
        <w:tblLook w:val="04A0" w:firstRow="1" w:lastRow="0" w:firstColumn="1" w:lastColumn="0" w:noHBand="0" w:noVBand="1"/>
      </w:tblPr>
      <w:tblGrid>
        <w:gridCol w:w="983"/>
        <w:gridCol w:w="756"/>
        <w:gridCol w:w="999"/>
        <w:gridCol w:w="1221"/>
        <w:gridCol w:w="993"/>
        <w:gridCol w:w="1122"/>
        <w:gridCol w:w="990"/>
        <w:gridCol w:w="864"/>
        <w:gridCol w:w="1134"/>
      </w:tblGrid>
      <w:tr w:rsidR="00217F39" w:rsidRPr="00217F39" w14:paraId="1414D215" w14:textId="77777777" w:rsidTr="00217F39">
        <w:trPr>
          <w:trHeight w:val="1243"/>
        </w:trPr>
        <w:tc>
          <w:tcPr>
            <w:tcW w:w="98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E4AF52A"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 xml:space="preserve">Darba ņēmēju skaits (pilns darba laiks) ar </w:t>
            </w:r>
            <w:r w:rsidRPr="00217F39">
              <w:rPr>
                <w:rFonts w:ascii="Times New Roman" w:eastAsia="Times New Roman" w:hAnsi="Times New Roman" w:cs="Times New Roman"/>
                <w:color w:val="000000"/>
                <w:sz w:val="22"/>
                <w:szCs w:val="22"/>
                <w:lang w:eastAsia="lv-LV"/>
              </w:rPr>
              <w:lastRenderedPageBreak/>
              <w:t>stundu starpību</w:t>
            </w:r>
          </w:p>
        </w:tc>
        <w:tc>
          <w:tcPr>
            <w:tcW w:w="1755" w:type="dxa"/>
            <w:gridSpan w:val="2"/>
            <w:tcBorders>
              <w:top w:val="single" w:sz="8" w:space="0" w:color="auto"/>
              <w:left w:val="nil"/>
              <w:bottom w:val="single" w:sz="4" w:space="0" w:color="auto"/>
              <w:right w:val="single" w:sz="4" w:space="0" w:color="auto"/>
            </w:tcBorders>
            <w:shd w:val="clear" w:color="auto" w:fill="F2F2F2"/>
            <w:vAlign w:val="center"/>
            <w:hideMark/>
          </w:tcPr>
          <w:p w14:paraId="4CAC4C62"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shd w:val="clear" w:color="auto" w:fill="F2F2F2"/>
                <w:lang w:eastAsia="lv-LV"/>
              </w:rPr>
              <w:lastRenderedPageBreak/>
              <w:t>tai skaitā darba ņēmēji ar stundu starpību virs 20 </w:t>
            </w:r>
            <w:r w:rsidRPr="00217F39">
              <w:rPr>
                <w:rFonts w:ascii="Times New Roman" w:eastAsia="Times New Roman" w:hAnsi="Times New Roman" w:cs="Times New Roman"/>
                <w:color w:val="000000"/>
                <w:sz w:val="22"/>
                <w:szCs w:val="22"/>
                <w:lang w:eastAsia="lv-LV"/>
              </w:rPr>
              <w:t>%</w:t>
            </w:r>
          </w:p>
        </w:tc>
        <w:tc>
          <w:tcPr>
            <w:tcW w:w="122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8FB3CD2"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Nostrādāto stundu starpība</w:t>
            </w:r>
          </w:p>
        </w:tc>
        <w:tc>
          <w:tcPr>
            <w:tcW w:w="2115" w:type="dxa"/>
            <w:gridSpan w:val="2"/>
            <w:tcBorders>
              <w:top w:val="single" w:sz="8" w:space="0" w:color="auto"/>
              <w:left w:val="nil"/>
              <w:bottom w:val="single" w:sz="4" w:space="0" w:color="auto"/>
              <w:right w:val="single" w:sz="4" w:space="0" w:color="auto"/>
            </w:tcBorders>
            <w:shd w:val="clear" w:color="auto" w:fill="F2F2F2"/>
            <w:vAlign w:val="center"/>
            <w:hideMark/>
          </w:tcPr>
          <w:p w14:paraId="29590960"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tai skaitā nostrādāto stundu starpība virs 20 %</w:t>
            </w:r>
          </w:p>
        </w:tc>
        <w:tc>
          <w:tcPr>
            <w:tcW w:w="99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7C96D7B"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Darba devēju skaits ar stundu starpību</w:t>
            </w:r>
          </w:p>
        </w:tc>
        <w:tc>
          <w:tcPr>
            <w:tcW w:w="1998" w:type="dxa"/>
            <w:gridSpan w:val="2"/>
            <w:tcBorders>
              <w:top w:val="single" w:sz="8" w:space="0" w:color="auto"/>
              <w:left w:val="nil"/>
              <w:bottom w:val="single" w:sz="4" w:space="0" w:color="auto"/>
              <w:right w:val="single" w:sz="8" w:space="0" w:color="000000"/>
            </w:tcBorders>
            <w:shd w:val="clear" w:color="auto" w:fill="F2F2F2"/>
            <w:vAlign w:val="center"/>
            <w:hideMark/>
          </w:tcPr>
          <w:p w14:paraId="6579FE11"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tai skaitā darba devēji ar stundu starpību virs 20 %</w:t>
            </w:r>
          </w:p>
        </w:tc>
      </w:tr>
      <w:tr w:rsidR="00217F39" w:rsidRPr="00217F39" w14:paraId="4BB9FBFC" w14:textId="77777777" w:rsidTr="00217F39">
        <w:trPr>
          <w:trHeight w:val="366"/>
        </w:trPr>
        <w:tc>
          <w:tcPr>
            <w:tcW w:w="983" w:type="dxa"/>
            <w:vMerge/>
            <w:tcBorders>
              <w:top w:val="single" w:sz="8" w:space="0" w:color="auto"/>
              <w:left w:val="single" w:sz="8" w:space="0" w:color="auto"/>
              <w:bottom w:val="single" w:sz="8" w:space="0" w:color="000000"/>
              <w:right w:val="single" w:sz="4" w:space="0" w:color="auto"/>
            </w:tcBorders>
            <w:vAlign w:val="center"/>
            <w:hideMark/>
          </w:tcPr>
          <w:p w14:paraId="7DCC256D" w14:textId="77777777" w:rsidR="00217F39" w:rsidRPr="00217F39" w:rsidRDefault="00217F39" w:rsidP="00217F39">
            <w:pPr>
              <w:spacing w:before="0" w:after="0" w:line="240" w:lineRule="auto"/>
              <w:jc w:val="both"/>
              <w:rPr>
                <w:rFonts w:ascii="Times New Roman" w:eastAsia="Times New Roman" w:hAnsi="Times New Roman" w:cs="Times New Roman"/>
                <w:color w:val="000000"/>
                <w:sz w:val="24"/>
                <w:szCs w:val="22"/>
                <w:lang w:eastAsia="lv-LV"/>
              </w:rPr>
            </w:pPr>
          </w:p>
        </w:tc>
        <w:tc>
          <w:tcPr>
            <w:tcW w:w="756" w:type="dxa"/>
            <w:tcBorders>
              <w:top w:val="nil"/>
              <w:left w:val="nil"/>
              <w:bottom w:val="single" w:sz="8" w:space="0" w:color="auto"/>
              <w:right w:val="single" w:sz="4" w:space="0" w:color="auto"/>
            </w:tcBorders>
            <w:shd w:val="clear" w:color="auto" w:fill="FFFFFF"/>
            <w:vAlign w:val="center"/>
            <w:hideMark/>
          </w:tcPr>
          <w:p w14:paraId="1BC4B079"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skaits</w:t>
            </w:r>
          </w:p>
        </w:tc>
        <w:tc>
          <w:tcPr>
            <w:tcW w:w="999" w:type="dxa"/>
            <w:tcBorders>
              <w:top w:val="nil"/>
              <w:left w:val="nil"/>
              <w:bottom w:val="single" w:sz="8" w:space="0" w:color="auto"/>
              <w:right w:val="single" w:sz="4" w:space="0" w:color="auto"/>
            </w:tcBorders>
            <w:shd w:val="clear" w:color="auto" w:fill="FFFFFF"/>
            <w:vAlign w:val="center"/>
            <w:hideMark/>
          </w:tcPr>
          <w:p w14:paraId="63B2DEC2"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īpatsvars</w:t>
            </w:r>
          </w:p>
        </w:tc>
        <w:tc>
          <w:tcPr>
            <w:tcW w:w="1221" w:type="dxa"/>
            <w:vMerge/>
            <w:tcBorders>
              <w:top w:val="single" w:sz="8" w:space="0" w:color="auto"/>
              <w:left w:val="single" w:sz="4" w:space="0" w:color="auto"/>
              <w:bottom w:val="single" w:sz="8" w:space="0" w:color="000000"/>
              <w:right w:val="single" w:sz="4" w:space="0" w:color="auto"/>
            </w:tcBorders>
            <w:shd w:val="clear" w:color="auto" w:fill="FFFFFF"/>
            <w:vAlign w:val="center"/>
            <w:hideMark/>
          </w:tcPr>
          <w:p w14:paraId="60189948" w14:textId="77777777" w:rsidR="00217F39" w:rsidRPr="00217F39" w:rsidRDefault="00217F39" w:rsidP="00217F39">
            <w:pPr>
              <w:spacing w:before="0" w:after="0" w:line="240" w:lineRule="auto"/>
              <w:jc w:val="both"/>
              <w:rPr>
                <w:rFonts w:ascii="Times New Roman" w:eastAsia="Times New Roman" w:hAnsi="Times New Roman" w:cs="Times New Roman"/>
                <w:color w:val="000000"/>
                <w:sz w:val="22"/>
                <w:szCs w:val="22"/>
                <w:lang w:eastAsia="lv-LV"/>
              </w:rPr>
            </w:pPr>
          </w:p>
        </w:tc>
        <w:tc>
          <w:tcPr>
            <w:tcW w:w="993" w:type="dxa"/>
            <w:tcBorders>
              <w:top w:val="nil"/>
              <w:left w:val="nil"/>
              <w:bottom w:val="single" w:sz="8" w:space="0" w:color="auto"/>
              <w:right w:val="single" w:sz="4" w:space="0" w:color="auto"/>
            </w:tcBorders>
            <w:shd w:val="clear" w:color="auto" w:fill="FFFFFF"/>
            <w:vAlign w:val="center"/>
            <w:hideMark/>
          </w:tcPr>
          <w:p w14:paraId="2ABD5312"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skaits</w:t>
            </w:r>
          </w:p>
        </w:tc>
        <w:tc>
          <w:tcPr>
            <w:tcW w:w="1122" w:type="dxa"/>
            <w:tcBorders>
              <w:top w:val="nil"/>
              <w:left w:val="nil"/>
              <w:bottom w:val="single" w:sz="8" w:space="0" w:color="auto"/>
              <w:right w:val="single" w:sz="4" w:space="0" w:color="auto"/>
            </w:tcBorders>
            <w:shd w:val="clear" w:color="auto" w:fill="FFFFFF"/>
            <w:vAlign w:val="center"/>
            <w:hideMark/>
          </w:tcPr>
          <w:p w14:paraId="3C28B34E"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īpatsvars</w:t>
            </w:r>
          </w:p>
        </w:tc>
        <w:tc>
          <w:tcPr>
            <w:tcW w:w="990" w:type="dxa"/>
            <w:vMerge/>
            <w:tcBorders>
              <w:top w:val="single" w:sz="8" w:space="0" w:color="auto"/>
              <w:left w:val="single" w:sz="4" w:space="0" w:color="auto"/>
              <w:bottom w:val="single" w:sz="8" w:space="0" w:color="000000"/>
              <w:right w:val="single" w:sz="4" w:space="0" w:color="auto"/>
            </w:tcBorders>
            <w:shd w:val="clear" w:color="auto" w:fill="FFFFFF"/>
            <w:vAlign w:val="center"/>
            <w:hideMark/>
          </w:tcPr>
          <w:p w14:paraId="0073820B" w14:textId="77777777" w:rsidR="00217F39" w:rsidRPr="00217F39" w:rsidRDefault="00217F39" w:rsidP="00217F39">
            <w:pPr>
              <w:spacing w:before="0" w:after="0" w:line="240" w:lineRule="auto"/>
              <w:jc w:val="both"/>
              <w:rPr>
                <w:rFonts w:ascii="Times New Roman" w:eastAsia="Times New Roman" w:hAnsi="Times New Roman" w:cs="Times New Roman"/>
                <w:color w:val="000000"/>
                <w:sz w:val="22"/>
                <w:szCs w:val="22"/>
                <w:lang w:eastAsia="lv-LV"/>
              </w:rPr>
            </w:pPr>
          </w:p>
        </w:tc>
        <w:tc>
          <w:tcPr>
            <w:tcW w:w="864" w:type="dxa"/>
            <w:tcBorders>
              <w:top w:val="nil"/>
              <w:left w:val="nil"/>
              <w:bottom w:val="single" w:sz="8" w:space="0" w:color="auto"/>
              <w:right w:val="single" w:sz="4" w:space="0" w:color="auto"/>
            </w:tcBorders>
            <w:shd w:val="clear" w:color="auto" w:fill="FFFFFF"/>
            <w:vAlign w:val="center"/>
            <w:hideMark/>
          </w:tcPr>
          <w:p w14:paraId="6A509724"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skaits</w:t>
            </w:r>
          </w:p>
        </w:tc>
        <w:tc>
          <w:tcPr>
            <w:tcW w:w="1134" w:type="dxa"/>
            <w:tcBorders>
              <w:top w:val="nil"/>
              <w:left w:val="nil"/>
              <w:bottom w:val="single" w:sz="8" w:space="0" w:color="auto"/>
              <w:right w:val="single" w:sz="8" w:space="0" w:color="auto"/>
            </w:tcBorders>
            <w:shd w:val="clear" w:color="auto" w:fill="FFFFFF"/>
            <w:vAlign w:val="center"/>
            <w:hideMark/>
          </w:tcPr>
          <w:p w14:paraId="30C3344B" w14:textId="77777777" w:rsidR="00217F39" w:rsidRPr="00217F39" w:rsidRDefault="00217F39" w:rsidP="00217F39">
            <w:pPr>
              <w:spacing w:before="0" w:after="0" w:line="240" w:lineRule="auto"/>
              <w:jc w:val="center"/>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īpatsvars</w:t>
            </w:r>
          </w:p>
        </w:tc>
      </w:tr>
      <w:tr w:rsidR="00217F39" w:rsidRPr="00217F39" w14:paraId="1AB954F0" w14:textId="77777777" w:rsidTr="00217F39">
        <w:trPr>
          <w:trHeight w:val="332"/>
        </w:trPr>
        <w:tc>
          <w:tcPr>
            <w:tcW w:w="983" w:type="dxa"/>
            <w:tcBorders>
              <w:top w:val="nil"/>
              <w:left w:val="single" w:sz="8" w:space="0" w:color="auto"/>
              <w:bottom w:val="single" w:sz="8" w:space="0" w:color="auto"/>
              <w:right w:val="single" w:sz="4" w:space="0" w:color="auto"/>
            </w:tcBorders>
            <w:shd w:val="clear" w:color="auto" w:fill="auto"/>
            <w:noWrap/>
            <w:vAlign w:val="bottom"/>
            <w:hideMark/>
          </w:tcPr>
          <w:p w14:paraId="3904CB1D" w14:textId="1E3CFDC1" w:rsidR="00217F39" w:rsidRPr="00217F39" w:rsidRDefault="004C3EC6" w:rsidP="00217F39">
            <w:pPr>
              <w:spacing w:before="0" w:after="0" w:line="240" w:lineRule="auto"/>
              <w:jc w:val="right"/>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8 521</w:t>
            </w:r>
          </w:p>
        </w:tc>
        <w:tc>
          <w:tcPr>
            <w:tcW w:w="756" w:type="dxa"/>
            <w:tcBorders>
              <w:top w:val="nil"/>
              <w:left w:val="nil"/>
              <w:bottom w:val="single" w:sz="8" w:space="0" w:color="auto"/>
              <w:right w:val="single" w:sz="4" w:space="0" w:color="auto"/>
            </w:tcBorders>
            <w:shd w:val="clear" w:color="auto" w:fill="F2F2F2"/>
            <w:noWrap/>
            <w:vAlign w:val="bottom"/>
            <w:hideMark/>
          </w:tcPr>
          <w:p w14:paraId="07F0E5D7" w14:textId="24DFA524" w:rsidR="00217F39" w:rsidRPr="00217F39" w:rsidRDefault="00217F39" w:rsidP="00217F39">
            <w:pPr>
              <w:spacing w:before="0" w:after="0" w:line="240" w:lineRule="auto"/>
              <w:jc w:val="right"/>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2 0</w:t>
            </w:r>
            <w:r w:rsidR="004C3EC6">
              <w:rPr>
                <w:rFonts w:ascii="Times New Roman" w:eastAsia="Times New Roman" w:hAnsi="Times New Roman" w:cs="Times New Roman"/>
                <w:color w:val="000000"/>
                <w:sz w:val="22"/>
                <w:szCs w:val="22"/>
                <w:lang w:eastAsia="lv-LV"/>
              </w:rPr>
              <w:t>25</w:t>
            </w:r>
          </w:p>
        </w:tc>
        <w:tc>
          <w:tcPr>
            <w:tcW w:w="999" w:type="dxa"/>
            <w:tcBorders>
              <w:top w:val="nil"/>
              <w:left w:val="nil"/>
              <w:bottom w:val="single" w:sz="8" w:space="0" w:color="auto"/>
              <w:right w:val="single" w:sz="4" w:space="0" w:color="auto"/>
            </w:tcBorders>
            <w:shd w:val="clear" w:color="auto" w:fill="F2F2F2"/>
            <w:noWrap/>
            <w:vAlign w:val="bottom"/>
            <w:hideMark/>
          </w:tcPr>
          <w:p w14:paraId="3FAE1577" w14:textId="42493BCE" w:rsidR="00217F39" w:rsidRPr="00217F39" w:rsidRDefault="00217F39" w:rsidP="00217F39">
            <w:pPr>
              <w:spacing w:before="0" w:after="0" w:line="240" w:lineRule="auto"/>
              <w:jc w:val="right"/>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2</w:t>
            </w:r>
            <w:r w:rsidR="004C3EC6">
              <w:rPr>
                <w:rFonts w:ascii="Times New Roman" w:eastAsia="Times New Roman" w:hAnsi="Times New Roman" w:cs="Times New Roman"/>
                <w:color w:val="000000"/>
                <w:sz w:val="22"/>
                <w:szCs w:val="22"/>
                <w:lang w:eastAsia="lv-LV"/>
              </w:rPr>
              <w:t>3</w:t>
            </w:r>
            <w:r w:rsidRPr="00217F39">
              <w:rPr>
                <w:rFonts w:ascii="Times New Roman" w:eastAsia="Times New Roman" w:hAnsi="Times New Roman" w:cs="Times New Roman"/>
                <w:color w:val="000000"/>
                <w:sz w:val="22"/>
                <w:szCs w:val="22"/>
                <w:lang w:eastAsia="lv-LV"/>
              </w:rPr>
              <w:t>,8 %</w:t>
            </w:r>
          </w:p>
        </w:tc>
        <w:tc>
          <w:tcPr>
            <w:tcW w:w="1221" w:type="dxa"/>
            <w:tcBorders>
              <w:top w:val="nil"/>
              <w:left w:val="nil"/>
              <w:bottom w:val="single" w:sz="8" w:space="0" w:color="auto"/>
              <w:right w:val="single" w:sz="4" w:space="0" w:color="auto"/>
            </w:tcBorders>
            <w:shd w:val="clear" w:color="auto" w:fill="auto"/>
            <w:noWrap/>
            <w:vAlign w:val="bottom"/>
            <w:hideMark/>
          </w:tcPr>
          <w:p w14:paraId="147A3E17" w14:textId="4BA2DEC6" w:rsidR="00217F39" w:rsidRPr="00217F39" w:rsidRDefault="004C3EC6" w:rsidP="00217F39">
            <w:pPr>
              <w:spacing w:before="0" w:after="0" w:line="240" w:lineRule="auto"/>
              <w:jc w:val="right"/>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657 165</w:t>
            </w:r>
          </w:p>
        </w:tc>
        <w:tc>
          <w:tcPr>
            <w:tcW w:w="993" w:type="dxa"/>
            <w:tcBorders>
              <w:top w:val="nil"/>
              <w:left w:val="nil"/>
              <w:bottom w:val="single" w:sz="8" w:space="0" w:color="auto"/>
              <w:right w:val="single" w:sz="4" w:space="0" w:color="auto"/>
            </w:tcBorders>
            <w:shd w:val="clear" w:color="auto" w:fill="F2F2F2"/>
            <w:noWrap/>
            <w:vAlign w:val="bottom"/>
            <w:hideMark/>
          </w:tcPr>
          <w:p w14:paraId="30ACB340" w14:textId="0E881A91" w:rsidR="00217F39" w:rsidRPr="00217F39" w:rsidRDefault="004C3EC6" w:rsidP="00217F39">
            <w:pPr>
              <w:spacing w:before="0" w:after="0" w:line="240" w:lineRule="auto"/>
              <w:jc w:val="right"/>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283 483</w:t>
            </w:r>
          </w:p>
        </w:tc>
        <w:tc>
          <w:tcPr>
            <w:tcW w:w="1122" w:type="dxa"/>
            <w:tcBorders>
              <w:top w:val="nil"/>
              <w:left w:val="nil"/>
              <w:bottom w:val="single" w:sz="8" w:space="0" w:color="auto"/>
              <w:right w:val="single" w:sz="4" w:space="0" w:color="auto"/>
            </w:tcBorders>
            <w:shd w:val="clear" w:color="auto" w:fill="F2F2F2"/>
            <w:noWrap/>
            <w:vAlign w:val="bottom"/>
            <w:hideMark/>
          </w:tcPr>
          <w:p w14:paraId="6C656F3F" w14:textId="5CF709D7" w:rsidR="00217F39" w:rsidRPr="00217F39" w:rsidRDefault="00217F39" w:rsidP="00217F39">
            <w:pPr>
              <w:spacing w:before="0" w:after="0" w:line="240" w:lineRule="auto"/>
              <w:jc w:val="right"/>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4</w:t>
            </w:r>
            <w:r w:rsidR="004C3EC6">
              <w:rPr>
                <w:rFonts w:ascii="Times New Roman" w:eastAsia="Times New Roman" w:hAnsi="Times New Roman" w:cs="Times New Roman"/>
                <w:color w:val="000000"/>
                <w:sz w:val="22"/>
                <w:szCs w:val="22"/>
                <w:lang w:eastAsia="lv-LV"/>
              </w:rPr>
              <w:t>3</w:t>
            </w:r>
            <w:r w:rsidRPr="00217F39">
              <w:rPr>
                <w:rFonts w:ascii="Times New Roman" w:eastAsia="Times New Roman" w:hAnsi="Times New Roman" w:cs="Times New Roman"/>
                <w:color w:val="000000"/>
                <w:sz w:val="22"/>
                <w:szCs w:val="22"/>
                <w:lang w:eastAsia="lv-LV"/>
              </w:rPr>
              <w:t>,</w:t>
            </w:r>
            <w:r w:rsidR="004C3EC6">
              <w:rPr>
                <w:rFonts w:ascii="Times New Roman" w:eastAsia="Times New Roman" w:hAnsi="Times New Roman" w:cs="Times New Roman"/>
                <w:color w:val="000000"/>
                <w:sz w:val="22"/>
                <w:szCs w:val="22"/>
                <w:lang w:eastAsia="lv-LV"/>
              </w:rPr>
              <w:t>1</w:t>
            </w:r>
            <w:r w:rsidRPr="00217F39">
              <w:rPr>
                <w:rFonts w:ascii="Times New Roman" w:eastAsia="Times New Roman" w:hAnsi="Times New Roman" w:cs="Times New Roman"/>
                <w:color w:val="000000"/>
                <w:sz w:val="22"/>
                <w:szCs w:val="22"/>
                <w:lang w:eastAsia="lv-LV"/>
              </w:rPr>
              <w:t> %</w:t>
            </w:r>
          </w:p>
        </w:tc>
        <w:tc>
          <w:tcPr>
            <w:tcW w:w="990" w:type="dxa"/>
            <w:tcBorders>
              <w:top w:val="nil"/>
              <w:left w:val="nil"/>
              <w:bottom w:val="single" w:sz="8" w:space="0" w:color="auto"/>
              <w:right w:val="single" w:sz="4" w:space="0" w:color="auto"/>
            </w:tcBorders>
            <w:shd w:val="clear" w:color="auto" w:fill="auto"/>
            <w:noWrap/>
            <w:vAlign w:val="bottom"/>
            <w:hideMark/>
          </w:tcPr>
          <w:p w14:paraId="0A69AB4B" w14:textId="0C415680" w:rsidR="00217F39" w:rsidRPr="00217F39" w:rsidRDefault="00217F39" w:rsidP="00217F39">
            <w:pPr>
              <w:spacing w:before="0" w:after="0" w:line="240" w:lineRule="auto"/>
              <w:jc w:val="right"/>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1</w:t>
            </w:r>
            <w:r w:rsidR="00907A92">
              <w:rPr>
                <w:rFonts w:ascii="Times New Roman" w:eastAsia="Times New Roman" w:hAnsi="Times New Roman" w:cs="Times New Roman"/>
                <w:color w:val="000000"/>
                <w:sz w:val="22"/>
                <w:szCs w:val="22"/>
                <w:lang w:eastAsia="lv-LV"/>
              </w:rPr>
              <w:t xml:space="preserve"> </w:t>
            </w:r>
            <w:r w:rsidRPr="00217F39">
              <w:rPr>
                <w:rFonts w:ascii="Times New Roman" w:eastAsia="Times New Roman" w:hAnsi="Times New Roman" w:cs="Times New Roman"/>
                <w:color w:val="000000"/>
                <w:sz w:val="22"/>
                <w:szCs w:val="22"/>
                <w:lang w:eastAsia="lv-LV"/>
              </w:rPr>
              <w:t>0</w:t>
            </w:r>
            <w:r w:rsidR="004C3EC6">
              <w:rPr>
                <w:rFonts w:ascii="Times New Roman" w:eastAsia="Times New Roman" w:hAnsi="Times New Roman" w:cs="Times New Roman"/>
                <w:color w:val="000000"/>
                <w:sz w:val="22"/>
                <w:szCs w:val="22"/>
                <w:lang w:eastAsia="lv-LV"/>
              </w:rPr>
              <w:t>34</w:t>
            </w:r>
          </w:p>
        </w:tc>
        <w:tc>
          <w:tcPr>
            <w:tcW w:w="864" w:type="dxa"/>
            <w:tcBorders>
              <w:top w:val="nil"/>
              <w:left w:val="nil"/>
              <w:bottom w:val="single" w:sz="8" w:space="0" w:color="auto"/>
              <w:right w:val="single" w:sz="4" w:space="0" w:color="auto"/>
            </w:tcBorders>
            <w:shd w:val="clear" w:color="auto" w:fill="F2F2F2"/>
            <w:noWrap/>
            <w:vAlign w:val="bottom"/>
            <w:hideMark/>
          </w:tcPr>
          <w:p w14:paraId="12DD02D6" w14:textId="41A0145D" w:rsidR="00217F39" w:rsidRPr="00217F39" w:rsidRDefault="004C3EC6" w:rsidP="00217F39">
            <w:pPr>
              <w:spacing w:before="0" w:after="0" w:line="240" w:lineRule="auto"/>
              <w:jc w:val="right"/>
              <w:rPr>
                <w:rFonts w:ascii="Times New Roman" w:eastAsia="Times New Roman" w:hAnsi="Times New Roman" w:cs="Times New Roman"/>
                <w:color w:val="000000"/>
                <w:sz w:val="22"/>
                <w:szCs w:val="22"/>
                <w:lang w:eastAsia="lv-LV"/>
              </w:rPr>
            </w:pPr>
            <w:r>
              <w:rPr>
                <w:rFonts w:ascii="Times New Roman" w:eastAsia="Times New Roman" w:hAnsi="Times New Roman" w:cs="Times New Roman"/>
                <w:color w:val="000000"/>
                <w:sz w:val="22"/>
                <w:szCs w:val="22"/>
                <w:lang w:eastAsia="lv-LV"/>
              </w:rPr>
              <w:t>580</w:t>
            </w:r>
          </w:p>
        </w:tc>
        <w:tc>
          <w:tcPr>
            <w:tcW w:w="1134" w:type="dxa"/>
            <w:tcBorders>
              <w:top w:val="nil"/>
              <w:left w:val="nil"/>
              <w:bottom w:val="single" w:sz="8" w:space="0" w:color="auto"/>
              <w:right w:val="single" w:sz="8" w:space="0" w:color="auto"/>
            </w:tcBorders>
            <w:shd w:val="clear" w:color="auto" w:fill="F2F2F2"/>
            <w:noWrap/>
            <w:vAlign w:val="bottom"/>
            <w:hideMark/>
          </w:tcPr>
          <w:p w14:paraId="43C2941F" w14:textId="0D0D1D1D" w:rsidR="00217F39" w:rsidRPr="00217F39" w:rsidRDefault="00217F39" w:rsidP="00217F39">
            <w:pPr>
              <w:spacing w:before="0" w:after="0" w:line="240" w:lineRule="auto"/>
              <w:jc w:val="right"/>
              <w:rPr>
                <w:rFonts w:ascii="Times New Roman" w:eastAsia="Times New Roman" w:hAnsi="Times New Roman" w:cs="Times New Roman"/>
                <w:color w:val="000000"/>
                <w:sz w:val="22"/>
                <w:szCs w:val="22"/>
                <w:lang w:eastAsia="lv-LV"/>
              </w:rPr>
            </w:pPr>
            <w:r w:rsidRPr="00217F39">
              <w:rPr>
                <w:rFonts w:ascii="Times New Roman" w:eastAsia="Times New Roman" w:hAnsi="Times New Roman" w:cs="Times New Roman"/>
                <w:color w:val="000000"/>
                <w:sz w:val="22"/>
                <w:szCs w:val="22"/>
                <w:lang w:eastAsia="lv-LV"/>
              </w:rPr>
              <w:t>5</w:t>
            </w:r>
            <w:r w:rsidR="004C3EC6">
              <w:rPr>
                <w:rFonts w:ascii="Times New Roman" w:eastAsia="Times New Roman" w:hAnsi="Times New Roman" w:cs="Times New Roman"/>
                <w:color w:val="000000"/>
                <w:sz w:val="22"/>
                <w:szCs w:val="22"/>
                <w:lang w:eastAsia="lv-LV"/>
              </w:rPr>
              <w:t>6</w:t>
            </w:r>
            <w:r w:rsidRPr="00217F39">
              <w:rPr>
                <w:rFonts w:ascii="Times New Roman" w:eastAsia="Times New Roman" w:hAnsi="Times New Roman" w:cs="Times New Roman"/>
                <w:color w:val="000000"/>
                <w:sz w:val="22"/>
                <w:szCs w:val="22"/>
                <w:lang w:eastAsia="lv-LV"/>
              </w:rPr>
              <w:t>,</w:t>
            </w:r>
            <w:r w:rsidR="004C3EC6">
              <w:rPr>
                <w:rFonts w:ascii="Times New Roman" w:eastAsia="Times New Roman" w:hAnsi="Times New Roman" w:cs="Times New Roman"/>
                <w:color w:val="000000"/>
                <w:sz w:val="22"/>
                <w:szCs w:val="22"/>
                <w:lang w:eastAsia="lv-LV"/>
              </w:rPr>
              <w:t>1</w:t>
            </w:r>
            <w:r w:rsidRPr="00217F39">
              <w:rPr>
                <w:rFonts w:ascii="Times New Roman" w:eastAsia="Times New Roman" w:hAnsi="Times New Roman" w:cs="Times New Roman"/>
                <w:color w:val="000000"/>
                <w:sz w:val="22"/>
                <w:szCs w:val="22"/>
                <w:lang w:eastAsia="lv-LV"/>
              </w:rPr>
              <w:t> %</w:t>
            </w:r>
          </w:p>
        </w:tc>
      </w:tr>
    </w:tbl>
    <w:p w14:paraId="52FC2F56" w14:textId="77777777" w:rsidR="00217F39" w:rsidRPr="00217F39" w:rsidRDefault="00217F39" w:rsidP="00217F39">
      <w:pPr>
        <w:spacing w:before="0" w:after="0" w:line="240" w:lineRule="auto"/>
        <w:ind w:firstLine="720"/>
        <w:jc w:val="right"/>
        <w:rPr>
          <w:rFonts w:ascii="Times New Roman" w:eastAsia="Century Gothic" w:hAnsi="Times New Roman" w:cs="Times New Roman"/>
          <w:sz w:val="28"/>
          <w:szCs w:val="28"/>
        </w:rPr>
      </w:pPr>
    </w:p>
    <w:p w14:paraId="2FB0E044" w14:textId="25C261B6" w:rsidR="00217F39" w:rsidRPr="00217F39" w:rsidRDefault="00217F39" w:rsidP="00217F39">
      <w:pPr>
        <w:spacing w:before="120" w:after="0" w:line="240" w:lineRule="auto"/>
        <w:ind w:firstLine="425"/>
        <w:jc w:val="both"/>
        <w:rPr>
          <w:rFonts w:ascii="Times New Roman" w:eastAsia="Century Gothic" w:hAnsi="Times New Roman" w:cs="Times New Roman"/>
          <w:sz w:val="28"/>
          <w:szCs w:val="28"/>
        </w:rPr>
      </w:pPr>
      <w:r w:rsidRPr="00217F39">
        <w:rPr>
          <w:rFonts w:ascii="Times New Roman" w:eastAsia="Century Gothic" w:hAnsi="Times New Roman" w:cs="Times New Roman"/>
          <w:sz w:val="28"/>
          <w:szCs w:val="28"/>
        </w:rPr>
        <w:t xml:space="preserve">Secināms, ka vairāk nekā pusei darba devēju vispārējā nodokļu maksāšanas režīmā, kam konstatētas stundu starpības, kaut vienā periodā ir bijuši darba ņēmēji, kuru VEDLUDB un DDZ nostrādāto stundu starpība pārsniedz 20 %. </w:t>
      </w:r>
    </w:p>
    <w:p w14:paraId="2F986B5E" w14:textId="77777777" w:rsidR="00217F39" w:rsidRPr="00217F39" w:rsidRDefault="00217F39" w:rsidP="00217F39">
      <w:pPr>
        <w:spacing w:before="0" w:after="0" w:line="240" w:lineRule="auto"/>
        <w:ind w:firstLine="709"/>
        <w:contextualSpacing/>
        <w:jc w:val="both"/>
        <w:rPr>
          <w:rFonts w:ascii="Times New Roman" w:eastAsia="Times New Roman" w:hAnsi="Times New Roman" w:cs="Times New Roman"/>
          <w:color w:val="0070C0"/>
          <w:sz w:val="28"/>
          <w:szCs w:val="28"/>
        </w:rPr>
      </w:pPr>
    </w:p>
    <w:p w14:paraId="055BC6C0" w14:textId="1AFB6479" w:rsidR="00217F39" w:rsidRPr="008E4101" w:rsidRDefault="008E4101" w:rsidP="008E4101">
      <w:pPr>
        <w:pStyle w:val="Heading1"/>
      </w:pPr>
      <w:bookmarkStart w:id="14" w:name="_Toc72918254"/>
      <w:r>
        <w:t xml:space="preserve">3.2. </w:t>
      </w:r>
      <w:r w:rsidR="00217F39" w:rsidRPr="008E4101">
        <w:t>VEDLUDB datu kvalitāte</w:t>
      </w:r>
      <w:bookmarkEnd w:id="14"/>
      <w:r w:rsidR="00217F39" w:rsidRPr="008E4101">
        <w:t xml:space="preserve"> </w:t>
      </w:r>
    </w:p>
    <w:p w14:paraId="2CE45FCF" w14:textId="77777777" w:rsidR="00217F39" w:rsidRPr="00217F39" w:rsidRDefault="00217F39" w:rsidP="00217F39">
      <w:pPr>
        <w:spacing w:before="120" w:after="0" w:line="240" w:lineRule="auto"/>
        <w:ind w:firstLine="709"/>
        <w:jc w:val="both"/>
        <w:rPr>
          <w:rFonts w:ascii="Times New Roman" w:eastAsia="Times New Roman" w:hAnsi="Times New Roman" w:cs="Times New Roman"/>
          <w:color w:val="000000"/>
          <w:sz w:val="28"/>
          <w:szCs w:val="28"/>
        </w:rPr>
      </w:pPr>
      <w:r w:rsidRPr="00217F39">
        <w:rPr>
          <w:rFonts w:ascii="Times New Roman" w:eastAsia="Century Gothic" w:hAnsi="Times New Roman" w:cs="Times New Roman"/>
          <w:color w:val="000000"/>
          <w:sz w:val="28"/>
          <w:szCs w:val="28"/>
        </w:rPr>
        <w:t>Datu saņemšana no VEDLUDB VID tika uzsākta 2020.gada augustā. Sākotnēji tika konstatētas gan tehniskas problēmas, gan problēmas saistībā ar saņemto datu kvalitāti, kuras tika risinātas, veiksmīgi sadarbojoties VID un BVKB darbiniekiem, gan abu pušu sistēmu izstrādātājiem. Arī šobrīd sadarbība ar BVKB tiek veiksmīgi turpināta, jo datu kvalitātes problēmas vēl joprojām tiek konstatētas.</w:t>
      </w:r>
    </w:p>
    <w:p w14:paraId="503C5A8B" w14:textId="744727FC" w:rsidR="00217F39" w:rsidRPr="00217F39" w:rsidRDefault="00217F39" w:rsidP="00217F39">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Izmantojot VEDLUDB pieejamo informāciju par konkrēto </w:t>
      </w:r>
      <w:r w:rsidR="004C2335">
        <w:rPr>
          <w:rFonts w:ascii="Times New Roman" w:eastAsia="Century Gothic" w:hAnsi="Times New Roman" w:cs="Times New Roman"/>
          <w:color w:val="000000"/>
          <w:sz w:val="28"/>
          <w:szCs w:val="28"/>
        </w:rPr>
        <w:t>NM</w:t>
      </w:r>
      <w:r w:rsidRPr="00217F39">
        <w:rPr>
          <w:rFonts w:ascii="Times New Roman" w:eastAsia="Century Gothic" w:hAnsi="Times New Roman" w:cs="Times New Roman"/>
          <w:color w:val="000000"/>
          <w:sz w:val="28"/>
          <w:szCs w:val="28"/>
        </w:rPr>
        <w:t xml:space="preserve"> (būvuzņēmēju), ir identificētas šādas datu kvalitātes problēmas.</w:t>
      </w:r>
    </w:p>
    <w:p w14:paraId="366A783D" w14:textId="77777777" w:rsidR="00217F39" w:rsidRPr="00217F39" w:rsidRDefault="00217F39" w:rsidP="00962203">
      <w:pPr>
        <w:numPr>
          <w:ilvl w:val="0"/>
          <w:numId w:val="33"/>
        </w:numPr>
        <w:tabs>
          <w:tab w:val="left" w:pos="1134"/>
        </w:tabs>
        <w:spacing w:before="0" w:after="0" w:line="240" w:lineRule="auto"/>
        <w:ind w:hanging="51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Izvērtējot konkrēta būvuzņēmēja VEDLUDB datus par nodarbinātās personas ienākšanas būvlaukumā un iziešanas no tā laikiem viena mēneša laikā un matemātiski aprēķinot diennaktī nostrādāto laiku un kopā par mēnesi, pamatojoties uz minētajiem ienākšanas un iziešanas laikiem, konstatēts, ka VEDLUDB dati par darbinieku nostrādāto laiku summārā vērtība atšķiras no darbinieku faktiski diennaktī nostrādātā laika un kopā par mēnesi. </w:t>
      </w:r>
    </w:p>
    <w:p w14:paraId="2D938BA9" w14:textId="5E374AE5" w:rsidR="00217F39" w:rsidRPr="00217F39" w:rsidRDefault="00217F39" w:rsidP="00962203">
      <w:pPr>
        <w:tabs>
          <w:tab w:val="left" w:pos="1134"/>
        </w:tabs>
        <w:spacing w:before="0" w:after="0" w:line="240" w:lineRule="auto"/>
        <w:ind w:firstLine="709"/>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Veicot darbinieku nostrādāto summāro laiku detalizētāku analīzi, konstatēts, ka VEDLUDB datos nodarbināto diennaktī nostrādātais laiks summārā aprēķinā tiek noapļots līdz veselai stundai, proti, nostrādāto minūšu skaits, kas mazāks par 30 minūtēm, tiek noapaļots līdz veselai stundai ar iztrūkumu, ja lielāks par 30 minūtēm – līdz veselai stundai ar uzviju. Minētā datu aprēķināšanas kārtība var ietekmēt nodokļu aprēķināšanas salīdzināšanai izmantojamo nodarbināto summāro laiku, īpaši gadījumos, kad būvobjektā darba laika uzskaites organizācija paredz, ka nodarbinātā persona dienas laikā ir vairākas reizes iegājusi teritorijā vai izgājusi no teritorijas, kurā tiek nodrošināta elektroniskā uzskaite.</w:t>
      </w:r>
      <w:r w:rsidR="00E139B9">
        <w:rPr>
          <w:rFonts w:ascii="Times New Roman" w:eastAsia="Century Gothic" w:hAnsi="Times New Roman" w:cs="Times New Roman"/>
          <w:color w:val="000000"/>
          <w:sz w:val="28"/>
          <w:szCs w:val="28"/>
        </w:rPr>
        <w:t xml:space="preserve"> </w:t>
      </w:r>
      <w:r w:rsidR="00E139B9" w:rsidRPr="00C33C9F">
        <w:rPr>
          <w:rFonts w:ascii="Times New Roman" w:eastAsia="Century Gothic" w:hAnsi="Times New Roman" w:cs="Times New Roman"/>
          <w:color w:val="000000"/>
          <w:sz w:val="28"/>
          <w:szCs w:val="28"/>
        </w:rPr>
        <w:t>Turklāt joprojām konstatēti gadījumi, kad VEDLUDB atsevišķiem darbiniekiem parādās neizskaidrojami liels nostrādāto stundu skaits.</w:t>
      </w:r>
    </w:p>
    <w:p w14:paraId="1061A186" w14:textId="77777777" w:rsidR="00217F39" w:rsidRPr="00217F39" w:rsidRDefault="00217F39" w:rsidP="00962203">
      <w:pPr>
        <w:numPr>
          <w:ilvl w:val="0"/>
          <w:numId w:val="33"/>
        </w:numPr>
        <w:tabs>
          <w:tab w:val="left" w:pos="1134"/>
        </w:tabs>
        <w:spacing w:before="0" w:after="0" w:line="240" w:lineRule="auto"/>
        <w:ind w:hanging="51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Konstatēti atsevišķi gadījumi, ka darbiem piesaistītiem nerezidentiem EDLUS ir reģistrēta nekorekta identificējošā informācija, tādēļ, izmantojot VEDLUDB datus, nevar identificēt nodarbinātā faktisko darba devēju vai nosūtītāju, kā arī pārliecināties par viņa likumisku nodarbinātību Latvijā.</w:t>
      </w:r>
    </w:p>
    <w:p w14:paraId="0C7E3DF7" w14:textId="77777777" w:rsidR="00217F39" w:rsidRPr="00217F39" w:rsidRDefault="00217F39" w:rsidP="00962203">
      <w:pPr>
        <w:numPr>
          <w:ilvl w:val="0"/>
          <w:numId w:val="33"/>
        </w:numPr>
        <w:tabs>
          <w:tab w:val="left" w:pos="1134"/>
        </w:tabs>
        <w:spacing w:before="0" w:after="0" w:line="240" w:lineRule="auto"/>
        <w:ind w:hanging="51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Konstatēti gadījumi, kad arī rezidentiem – fiziskajām personām (gan darbiniekiem, gan darba devējiem) – ir reģistrēts nekorekts personas kods vai uzņēmumu reģistrācijas kods.</w:t>
      </w:r>
    </w:p>
    <w:p w14:paraId="621BED9E" w14:textId="2D2B3BC4" w:rsidR="00217F39" w:rsidRPr="00217F39" w:rsidRDefault="00217F39" w:rsidP="00962203">
      <w:pPr>
        <w:numPr>
          <w:ilvl w:val="0"/>
          <w:numId w:val="33"/>
        </w:numPr>
        <w:tabs>
          <w:tab w:val="left" w:pos="1134"/>
        </w:tabs>
        <w:spacing w:before="0" w:after="0" w:line="240" w:lineRule="auto"/>
        <w:ind w:hanging="513"/>
        <w:contextualSpacing/>
        <w:jc w:val="both"/>
        <w:rPr>
          <w:rFonts w:ascii="Times New Roman" w:eastAsia="Century Gothic" w:hAnsi="Times New Roman" w:cs="Times New Roman"/>
          <w:color w:val="000000"/>
          <w:sz w:val="28"/>
          <w:szCs w:val="28"/>
        </w:rPr>
      </w:pPr>
      <w:r w:rsidRPr="00217F39">
        <w:rPr>
          <w:rFonts w:ascii="Times New Roman" w:eastAsia="Century Gothic" w:hAnsi="Times New Roman" w:cs="Times New Roman"/>
          <w:color w:val="000000"/>
          <w:sz w:val="28"/>
          <w:szCs w:val="28"/>
        </w:rPr>
        <w:t xml:space="preserve">Konstatēti problēmu gadījumi, kad ir nepieciešams apkopot no VEDLUDB saņemto informāciju sadalījumā pa profesijām. EDLUS, ievadot datus par nodarbinātā profesiju, netiek izmantots saskaņā ar </w:t>
      </w:r>
      <w:r w:rsidRPr="00217F39">
        <w:rPr>
          <w:rFonts w:ascii="Times New Roman" w:eastAsia="Century Gothic" w:hAnsi="Times New Roman" w:cs="Times New Roman"/>
          <w:color w:val="000000"/>
          <w:sz w:val="28"/>
          <w:szCs w:val="28"/>
        </w:rPr>
        <w:lastRenderedPageBreak/>
        <w:t>Ministru kabineta 2017.</w:t>
      </w:r>
      <w:r w:rsidR="00D55BD3">
        <w:rPr>
          <w:rFonts w:ascii="Times New Roman" w:eastAsia="Century Gothic" w:hAnsi="Times New Roman" w:cs="Times New Roman"/>
          <w:color w:val="000000"/>
          <w:sz w:val="28"/>
          <w:szCs w:val="28"/>
        </w:rPr>
        <w:t>gada</w:t>
      </w:r>
      <w:r w:rsidRPr="00217F39">
        <w:rPr>
          <w:rFonts w:ascii="Times New Roman" w:eastAsia="Century Gothic" w:hAnsi="Times New Roman" w:cs="Times New Roman"/>
          <w:color w:val="000000"/>
          <w:sz w:val="28"/>
          <w:szCs w:val="28"/>
        </w:rPr>
        <w:t xml:space="preserve"> </w:t>
      </w:r>
      <w:r w:rsidR="00D55BD3" w:rsidRPr="00217F39">
        <w:rPr>
          <w:rFonts w:ascii="Times New Roman" w:eastAsia="Century Gothic" w:hAnsi="Times New Roman" w:cs="Times New Roman"/>
          <w:color w:val="000000"/>
          <w:sz w:val="28"/>
          <w:szCs w:val="28"/>
        </w:rPr>
        <w:t>23.</w:t>
      </w:r>
      <w:r w:rsidR="00D55BD3">
        <w:rPr>
          <w:rFonts w:ascii="Times New Roman" w:eastAsia="Century Gothic" w:hAnsi="Times New Roman" w:cs="Times New Roman"/>
          <w:color w:val="000000"/>
          <w:sz w:val="28"/>
          <w:szCs w:val="28"/>
        </w:rPr>
        <w:t xml:space="preserve">maija </w:t>
      </w:r>
      <w:r w:rsidRPr="00217F39">
        <w:rPr>
          <w:rFonts w:ascii="Times New Roman" w:eastAsia="Century Gothic" w:hAnsi="Times New Roman" w:cs="Times New Roman"/>
          <w:color w:val="000000"/>
          <w:sz w:val="28"/>
          <w:szCs w:val="28"/>
        </w:rPr>
        <w:t>noteikumiem Nr.264 “Noteikumi par Profesiju klasifikatoru, profesijai atbilstošiem pamatuzdevumiem un kvalifikācijas pamatprasībām” noteiktais Profesiju klasifikators. Tādējādi atlasīt nepieciešamo informāciju pēc viena vienota profesijas nosaukuma nav iespējams, jo VEDLUDB vienam profesijas nosaukumam ir vairākas redakcionālas versijas. Darba devēji, iesniedzot VID pārskatus par nodarbinātajiem, darbinieku profesiju var deklarēt, tikai izmantojot Profesiju klasifikatoru.</w:t>
      </w:r>
    </w:p>
    <w:p w14:paraId="6477ABC6" w14:textId="77777777" w:rsidR="00217F39" w:rsidRPr="00217F39" w:rsidRDefault="00217F39" w:rsidP="00217F39">
      <w:pPr>
        <w:tabs>
          <w:tab w:val="left" w:pos="2127"/>
          <w:tab w:val="left" w:pos="6096"/>
        </w:tabs>
        <w:spacing w:before="0" w:after="0" w:line="240" w:lineRule="auto"/>
        <w:ind w:firstLine="709"/>
        <w:jc w:val="both"/>
        <w:rPr>
          <w:rFonts w:ascii="Times New Roman" w:eastAsia="Century Gothic" w:hAnsi="Times New Roman" w:cs="Times New Roman"/>
          <w:color w:val="7D9532"/>
          <w:sz w:val="28"/>
          <w:szCs w:val="28"/>
        </w:rPr>
      </w:pPr>
    </w:p>
    <w:p w14:paraId="318B634B" w14:textId="42B4AFA3" w:rsidR="00962203" w:rsidRPr="008E4101" w:rsidRDefault="008E4101" w:rsidP="008E4101">
      <w:pPr>
        <w:pStyle w:val="ListParagraph"/>
        <w:spacing w:before="0" w:after="120" w:line="259" w:lineRule="auto"/>
        <w:ind w:left="0"/>
        <w:jc w:val="both"/>
        <w:outlineLvl w:val="0"/>
        <w:rPr>
          <w:rFonts w:ascii="Times New Roman" w:eastAsia="Century Gothic" w:hAnsi="Times New Roman" w:cs="Times New Roman"/>
          <w:b/>
          <w:bCs/>
          <w:iCs/>
          <w:noProof/>
          <w:sz w:val="24"/>
          <w:szCs w:val="24"/>
        </w:rPr>
      </w:pPr>
      <w:bookmarkStart w:id="15" w:name="_Toc72918255"/>
      <w:r w:rsidRPr="008E4101">
        <w:rPr>
          <w:rStyle w:val="Heading2Char"/>
          <w:sz w:val="24"/>
          <w:szCs w:val="24"/>
        </w:rPr>
        <w:t xml:space="preserve">4. </w:t>
      </w:r>
      <w:r w:rsidR="00962203" w:rsidRPr="008E4101">
        <w:rPr>
          <w:rStyle w:val="Heading2Char"/>
          <w:sz w:val="24"/>
          <w:szCs w:val="24"/>
        </w:rPr>
        <w:t>EDLUS ieviešanas ietekme uz būvniecības nozari</w:t>
      </w:r>
      <w:bookmarkEnd w:id="15"/>
    </w:p>
    <w:p w14:paraId="781F9E45" w14:textId="77777777" w:rsidR="00530135" w:rsidRDefault="00530135" w:rsidP="00E63375">
      <w:pPr>
        <w:pStyle w:val="NoSpacing"/>
        <w:spacing w:before="0"/>
        <w:ind w:firstLine="720"/>
        <w:jc w:val="both"/>
        <w:rPr>
          <w:rFonts w:ascii="Times New Roman" w:hAnsi="Times New Roman" w:cs="Times New Roman"/>
          <w:sz w:val="28"/>
          <w:szCs w:val="28"/>
        </w:rPr>
      </w:pPr>
    </w:p>
    <w:p w14:paraId="4C833C50" w14:textId="63F0B56D" w:rsidR="00530135" w:rsidRDefault="00530135" w:rsidP="00D55BD3">
      <w:pPr>
        <w:pStyle w:val="NoSpacing"/>
        <w:spacing w:before="0"/>
        <w:jc w:val="center"/>
        <w:rPr>
          <w:rFonts w:ascii="Times New Roman" w:hAnsi="Times New Roman" w:cs="Times New Roman"/>
          <w:sz w:val="28"/>
          <w:szCs w:val="28"/>
        </w:rPr>
      </w:pPr>
      <w:r>
        <w:rPr>
          <w:noProof/>
        </w:rPr>
        <w:drawing>
          <wp:inline distT="0" distB="0" distL="0" distR="0" wp14:anchorId="6405CB26" wp14:editId="09EE3F68">
            <wp:extent cx="5419725" cy="2619375"/>
            <wp:effectExtent l="0" t="0" r="0" b="0"/>
            <wp:docPr id="1" name="Chart 1">
              <a:extLst xmlns:a="http://schemas.openxmlformats.org/drawingml/2006/main">
                <a:ext uri="{FF2B5EF4-FFF2-40B4-BE49-F238E27FC236}">
                  <a16:creationId xmlns:a16="http://schemas.microsoft.com/office/drawing/2014/main" id="{E72F8488-3BC6-46AA-9AAB-D1EFE2BAC5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68E551" w14:textId="34DF170D" w:rsidR="00530135" w:rsidRPr="00530135" w:rsidRDefault="004F50A7" w:rsidP="00195A32">
      <w:pPr>
        <w:pStyle w:val="NoSpacing"/>
        <w:spacing w:before="0"/>
        <w:ind w:firstLine="720"/>
        <w:jc w:val="both"/>
        <w:rPr>
          <w:rFonts w:ascii="Times New Roman" w:hAnsi="Times New Roman" w:cs="Times New Roman"/>
          <w:b/>
          <w:sz w:val="28"/>
          <w:szCs w:val="28"/>
        </w:rPr>
      </w:pPr>
      <w:r>
        <w:rPr>
          <w:rFonts w:ascii="Times New Roman" w:eastAsia="+mn-ea" w:hAnsi="Times New Roman" w:cs="Times New Roman"/>
          <w:kern w:val="24"/>
          <w:sz w:val="28"/>
          <w:szCs w:val="28"/>
          <w:lang w:eastAsia="lv-LV"/>
        </w:rPr>
        <w:t>2</w:t>
      </w:r>
      <w:r w:rsidR="00530135" w:rsidRPr="00217F39">
        <w:rPr>
          <w:rFonts w:ascii="Times New Roman" w:eastAsia="+mn-ea" w:hAnsi="Times New Roman" w:cs="Times New Roman"/>
          <w:kern w:val="24"/>
          <w:sz w:val="28"/>
          <w:szCs w:val="28"/>
          <w:lang w:eastAsia="lv-LV"/>
        </w:rPr>
        <w:t>.attēls.</w:t>
      </w:r>
      <w:r w:rsidR="00530135" w:rsidRPr="00217F39">
        <w:rPr>
          <w:rFonts w:ascii="Times New Roman" w:eastAsia="Times New Roman" w:hAnsi="Times New Roman" w:cs="Times New Roman"/>
          <w:b/>
          <w:sz w:val="28"/>
          <w:szCs w:val="28"/>
          <w:lang w:eastAsia="lv-LV"/>
        </w:rPr>
        <w:t xml:space="preserve"> </w:t>
      </w:r>
      <w:r w:rsidR="00530135" w:rsidRPr="00530135">
        <w:rPr>
          <w:rFonts w:ascii="Times New Roman" w:eastAsia="+mn-ea" w:hAnsi="Times New Roman" w:cs="Times New Roman"/>
          <w:b/>
          <w:kern w:val="24"/>
          <w:sz w:val="28"/>
          <w:szCs w:val="28"/>
          <w:lang w:eastAsia="lv-LV"/>
        </w:rPr>
        <w:t xml:space="preserve">Ēnu ekonomikas </w:t>
      </w:r>
      <w:r w:rsidR="00530135" w:rsidRPr="00530135">
        <w:rPr>
          <w:rFonts w:ascii="Times New Roman" w:hAnsi="Times New Roman" w:cs="Times New Roman"/>
          <w:b/>
          <w:sz w:val="28"/>
          <w:szCs w:val="28"/>
        </w:rPr>
        <w:t>indekss Latvijā un būvniecības nozarē 2015.–</w:t>
      </w:r>
      <w:r w:rsidR="00BC246D">
        <w:rPr>
          <w:rFonts w:ascii="Times New Roman" w:hAnsi="Times New Roman" w:cs="Times New Roman"/>
          <w:b/>
          <w:sz w:val="28"/>
          <w:szCs w:val="28"/>
        </w:rPr>
        <w:t> </w:t>
      </w:r>
      <w:r w:rsidR="00530135" w:rsidRPr="00530135">
        <w:rPr>
          <w:rFonts w:ascii="Times New Roman" w:hAnsi="Times New Roman" w:cs="Times New Roman"/>
          <w:b/>
          <w:sz w:val="28"/>
          <w:szCs w:val="28"/>
        </w:rPr>
        <w:t>2020.</w:t>
      </w:r>
      <w:r w:rsidR="00BC246D">
        <w:rPr>
          <w:rFonts w:ascii="Times New Roman" w:hAnsi="Times New Roman" w:cs="Times New Roman"/>
          <w:b/>
          <w:sz w:val="28"/>
          <w:szCs w:val="28"/>
        </w:rPr>
        <w:t> </w:t>
      </w:r>
      <w:r w:rsidR="00530135" w:rsidRPr="00530135">
        <w:rPr>
          <w:rFonts w:ascii="Times New Roman" w:hAnsi="Times New Roman" w:cs="Times New Roman"/>
          <w:b/>
          <w:sz w:val="28"/>
          <w:szCs w:val="28"/>
        </w:rPr>
        <w:t>gadā, % no IKP</w:t>
      </w:r>
      <w:r w:rsidR="00653E1B">
        <w:rPr>
          <w:rStyle w:val="FootnoteReference"/>
          <w:rFonts w:ascii="Times New Roman" w:hAnsi="Times New Roman" w:cs="Times New Roman"/>
          <w:b/>
          <w:sz w:val="28"/>
          <w:szCs w:val="28"/>
        </w:rPr>
        <w:footnoteReference w:id="9"/>
      </w:r>
      <w:r w:rsidR="00530135" w:rsidRPr="00530135">
        <w:rPr>
          <w:rFonts w:ascii="Times New Roman" w:hAnsi="Times New Roman" w:cs="Times New Roman"/>
          <w:b/>
          <w:sz w:val="28"/>
          <w:szCs w:val="28"/>
        </w:rPr>
        <w:t>.</w:t>
      </w:r>
      <w:r w:rsidR="00195A32" w:rsidRPr="00195A32">
        <w:rPr>
          <w:rFonts w:ascii="Times New Roman" w:hAnsi="Times New Roman" w:cs="Times New Roman"/>
          <w:sz w:val="28"/>
          <w:szCs w:val="28"/>
        </w:rPr>
        <w:t xml:space="preserve"> </w:t>
      </w:r>
    </w:p>
    <w:p w14:paraId="7A2F9FD2" w14:textId="77777777" w:rsidR="0036408B" w:rsidRDefault="0036408B" w:rsidP="00530135">
      <w:pPr>
        <w:pStyle w:val="NoSpacing"/>
        <w:spacing w:before="0"/>
        <w:jc w:val="both"/>
        <w:rPr>
          <w:rFonts w:ascii="Times New Roman" w:hAnsi="Times New Roman" w:cs="Times New Roman"/>
          <w:sz w:val="28"/>
          <w:szCs w:val="28"/>
        </w:rPr>
      </w:pPr>
    </w:p>
    <w:p w14:paraId="1DC18DF0" w14:textId="57A112E7" w:rsidR="00F371A7" w:rsidRDefault="007E3BE1" w:rsidP="00BC246D">
      <w:pPr>
        <w:pStyle w:val="NoSpacing"/>
        <w:spacing w:before="0"/>
        <w:jc w:val="both"/>
        <w:rPr>
          <w:rFonts w:ascii="Times New Roman" w:hAnsi="Times New Roman" w:cs="Times New Roman"/>
          <w:sz w:val="28"/>
          <w:szCs w:val="28"/>
        </w:rPr>
      </w:pPr>
      <w:r>
        <w:rPr>
          <w:rFonts w:ascii="Times New Roman" w:hAnsi="Times New Roman" w:cs="Times New Roman"/>
          <w:sz w:val="28"/>
          <w:szCs w:val="28"/>
        </w:rPr>
        <w:tab/>
      </w:r>
      <w:r w:rsidR="00F371A7">
        <w:rPr>
          <w:rFonts w:ascii="Times New Roman" w:hAnsi="Times New Roman" w:cs="Times New Roman"/>
          <w:sz w:val="28"/>
          <w:szCs w:val="28"/>
        </w:rPr>
        <w:t xml:space="preserve">Vērtējot ēnu ekonomikas apjoma dinamiku Latvijā, var redzēt, ka </w:t>
      </w:r>
      <w:r w:rsidR="009A534F">
        <w:rPr>
          <w:rFonts w:ascii="Times New Roman" w:hAnsi="Times New Roman" w:cs="Times New Roman"/>
          <w:sz w:val="28"/>
          <w:szCs w:val="28"/>
        </w:rPr>
        <w:t>2015.</w:t>
      </w:r>
      <w:r w:rsidR="009A534F" w:rsidRPr="0080699B">
        <w:rPr>
          <w:rFonts w:ascii="Times New Roman" w:hAnsi="Times New Roman" w:cs="Times New Roman"/>
          <w:sz w:val="28"/>
          <w:szCs w:val="28"/>
        </w:rPr>
        <w:t>–</w:t>
      </w:r>
      <w:r w:rsidR="009A534F">
        <w:rPr>
          <w:rFonts w:ascii="Times New Roman" w:hAnsi="Times New Roman" w:cs="Times New Roman"/>
          <w:sz w:val="28"/>
          <w:szCs w:val="28"/>
        </w:rPr>
        <w:t xml:space="preserve"> 2020.gadā </w:t>
      </w:r>
      <w:r w:rsidR="00384948">
        <w:rPr>
          <w:rFonts w:ascii="Times New Roman" w:hAnsi="Times New Roman" w:cs="Times New Roman"/>
          <w:sz w:val="28"/>
          <w:szCs w:val="28"/>
        </w:rPr>
        <w:t xml:space="preserve">tās svārstības nebija </w:t>
      </w:r>
      <w:r w:rsidR="00F371A7">
        <w:rPr>
          <w:rFonts w:ascii="Times New Roman" w:hAnsi="Times New Roman" w:cs="Times New Roman"/>
          <w:sz w:val="28"/>
          <w:szCs w:val="28"/>
        </w:rPr>
        <w:t>būtisk</w:t>
      </w:r>
      <w:r w:rsidR="00384948">
        <w:rPr>
          <w:rFonts w:ascii="Times New Roman" w:hAnsi="Times New Roman" w:cs="Times New Roman"/>
          <w:sz w:val="28"/>
          <w:szCs w:val="28"/>
        </w:rPr>
        <w:t>as</w:t>
      </w:r>
      <w:r w:rsidR="00BC246D">
        <w:rPr>
          <w:rFonts w:ascii="Times New Roman" w:hAnsi="Times New Roman" w:cs="Times New Roman"/>
          <w:sz w:val="28"/>
          <w:szCs w:val="28"/>
        </w:rPr>
        <w:t xml:space="preserve"> un īpatsvars </w:t>
      </w:r>
      <w:r w:rsidR="00BC246D" w:rsidRPr="00E544CF">
        <w:rPr>
          <w:rFonts w:ascii="Times New Roman" w:hAnsi="Times New Roman" w:cs="Times New Roman"/>
          <w:sz w:val="28"/>
          <w:szCs w:val="28"/>
        </w:rPr>
        <w:t>joprojām</w:t>
      </w:r>
      <w:r w:rsidR="007D096E">
        <w:rPr>
          <w:rFonts w:ascii="Times New Roman" w:hAnsi="Times New Roman" w:cs="Times New Roman"/>
          <w:sz w:val="28"/>
          <w:szCs w:val="28"/>
        </w:rPr>
        <w:t xml:space="preserve"> ir</w:t>
      </w:r>
      <w:r w:rsidR="00BC246D" w:rsidRPr="00E544CF">
        <w:rPr>
          <w:rFonts w:ascii="Times New Roman" w:hAnsi="Times New Roman" w:cs="Times New Roman"/>
          <w:sz w:val="28"/>
          <w:szCs w:val="28"/>
        </w:rPr>
        <w:t xml:space="preserve"> </w:t>
      </w:r>
      <w:r w:rsidR="00E544CF" w:rsidRPr="00E544CF">
        <w:rPr>
          <w:rFonts w:ascii="Times New Roman" w:hAnsi="Times New Roman" w:cs="Times New Roman"/>
          <w:sz w:val="28"/>
          <w:szCs w:val="28"/>
        </w:rPr>
        <w:t>augsts</w:t>
      </w:r>
      <w:r w:rsidR="00BC246D">
        <w:rPr>
          <w:rFonts w:ascii="Times New Roman" w:hAnsi="Times New Roman" w:cs="Times New Roman"/>
          <w:sz w:val="28"/>
          <w:szCs w:val="28"/>
        </w:rPr>
        <w:t xml:space="preserve">. </w:t>
      </w:r>
      <w:r w:rsidR="00384948">
        <w:rPr>
          <w:rFonts w:ascii="Times New Roman" w:hAnsi="Times New Roman" w:cs="Times New Roman"/>
          <w:sz w:val="28"/>
          <w:szCs w:val="28"/>
        </w:rPr>
        <w:t xml:space="preserve">Rīgas Ekonomikas augstskolas (SSE </w:t>
      </w:r>
      <w:proofErr w:type="spellStart"/>
      <w:r w:rsidR="00384948">
        <w:rPr>
          <w:rFonts w:ascii="Times New Roman" w:hAnsi="Times New Roman" w:cs="Times New Roman"/>
          <w:sz w:val="28"/>
          <w:szCs w:val="28"/>
        </w:rPr>
        <w:t>Riga</w:t>
      </w:r>
      <w:proofErr w:type="spellEnd"/>
      <w:r w:rsidR="00384948">
        <w:rPr>
          <w:rFonts w:ascii="Times New Roman" w:hAnsi="Times New Roman" w:cs="Times New Roman"/>
          <w:sz w:val="28"/>
          <w:szCs w:val="28"/>
        </w:rPr>
        <w:t xml:space="preserve">) Ilgtspējīga biznesa centra </w:t>
      </w:r>
      <w:r w:rsidR="00195A32" w:rsidRPr="00530135">
        <w:rPr>
          <w:rFonts w:ascii="Times New Roman" w:hAnsi="Times New Roman" w:cs="Times New Roman"/>
          <w:sz w:val="28"/>
          <w:szCs w:val="28"/>
        </w:rPr>
        <w:t>A.</w:t>
      </w:r>
      <w:r w:rsidR="00195A32">
        <w:rPr>
          <w:rFonts w:ascii="Times New Roman" w:hAnsi="Times New Roman" w:cs="Times New Roman"/>
          <w:sz w:val="28"/>
          <w:szCs w:val="28"/>
        </w:rPr>
        <w:t> </w:t>
      </w:r>
      <w:r w:rsidR="00195A32" w:rsidRPr="00530135">
        <w:rPr>
          <w:rFonts w:ascii="Times New Roman" w:hAnsi="Times New Roman" w:cs="Times New Roman"/>
          <w:sz w:val="28"/>
          <w:szCs w:val="28"/>
        </w:rPr>
        <w:t>Sauka</w:t>
      </w:r>
      <w:r w:rsidR="00195A32">
        <w:rPr>
          <w:rFonts w:ascii="Times New Roman" w:hAnsi="Times New Roman" w:cs="Times New Roman"/>
          <w:sz w:val="28"/>
          <w:szCs w:val="28"/>
        </w:rPr>
        <w:t>s un</w:t>
      </w:r>
      <w:r w:rsidR="00195A32" w:rsidRPr="00530135">
        <w:rPr>
          <w:rFonts w:ascii="Times New Roman" w:hAnsi="Times New Roman" w:cs="Times New Roman"/>
          <w:sz w:val="28"/>
          <w:szCs w:val="28"/>
        </w:rPr>
        <w:t xml:space="preserve"> T. Putniņ</w:t>
      </w:r>
      <w:r w:rsidR="00195A32">
        <w:rPr>
          <w:rFonts w:ascii="Times New Roman" w:hAnsi="Times New Roman" w:cs="Times New Roman"/>
          <w:sz w:val="28"/>
          <w:szCs w:val="28"/>
        </w:rPr>
        <w:t xml:space="preserve">a </w:t>
      </w:r>
      <w:r w:rsidR="00384948">
        <w:rPr>
          <w:rFonts w:ascii="Times New Roman" w:hAnsi="Times New Roman" w:cs="Times New Roman"/>
          <w:sz w:val="28"/>
          <w:szCs w:val="28"/>
        </w:rPr>
        <w:t>pētījuma “</w:t>
      </w:r>
      <w:r w:rsidR="00384948" w:rsidRPr="00530135">
        <w:rPr>
          <w:rFonts w:ascii="Times New Roman" w:hAnsi="Times New Roman" w:cs="Times New Roman"/>
          <w:sz w:val="28"/>
          <w:szCs w:val="28"/>
        </w:rPr>
        <w:t>Ēnu ekonomikas indekss Baltijas valstīs 2009</w:t>
      </w:r>
      <w:r w:rsidR="00384948">
        <w:rPr>
          <w:rFonts w:ascii="Times New Roman" w:hAnsi="Times New Roman" w:cs="Times New Roman"/>
          <w:sz w:val="28"/>
          <w:szCs w:val="28"/>
        </w:rPr>
        <w:t>.–</w:t>
      </w:r>
      <w:r w:rsidR="009A534F">
        <w:rPr>
          <w:rFonts w:ascii="Times New Roman" w:hAnsi="Times New Roman" w:cs="Times New Roman"/>
          <w:sz w:val="28"/>
          <w:szCs w:val="28"/>
        </w:rPr>
        <w:t> </w:t>
      </w:r>
      <w:r w:rsidR="00384948" w:rsidRPr="00530135">
        <w:rPr>
          <w:rFonts w:ascii="Times New Roman" w:hAnsi="Times New Roman" w:cs="Times New Roman"/>
          <w:sz w:val="28"/>
          <w:szCs w:val="28"/>
        </w:rPr>
        <w:t>2020.gadā”</w:t>
      </w:r>
      <w:r w:rsidR="00384948">
        <w:rPr>
          <w:rFonts w:ascii="Times New Roman" w:hAnsi="Times New Roman" w:cs="Times New Roman"/>
          <w:sz w:val="28"/>
          <w:szCs w:val="28"/>
        </w:rPr>
        <w:t xml:space="preserve"> dati liecina</w:t>
      </w:r>
      <w:r w:rsidR="00E544CF">
        <w:rPr>
          <w:rFonts w:ascii="Times New Roman" w:hAnsi="Times New Roman" w:cs="Times New Roman"/>
          <w:sz w:val="28"/>
          <w:szCs w:val="28"/>
        </w:rPr>
        <w:t xml:space="preserve">, ka </w:t>
      </w:r>
      <w:r w:rsidR="00384948">
        <w:rPr>
          <w:rFonts w:ascii="Times New Roman" w:hAnsi="Times New Roman" w:cs="Times New Roman"/>
          <w:sz w:val="28"/>
          <w:szCs w:val="28"/>
        </w:rPr>
        <w:t>pēdējo sešu gadu garumā ēnu ekonomikas īpatsvars tautsaimniecībā ir palielinājies par 4,2</w:t>
      </w:r>
      <w:r w:rsidR="00E544CF">
        <w:rPr>
          <w:rFonts w:ascii="Times New Roman" w:hAnsi="Times New Roman" w:cs="Times New Roman"/>
          <w:sz w:val="28"/>
          <w:szCs w:val="28"/>
        </w:rPr>
        <w:t> </w:t>
      </w:r>
      <w:r w:rsidR="00384948">
        <w:rPr>
          <w:rFonts w:ascii="Times New Roman" w:hAnsi="Times New Roman" w:cs="Times New Roman"/>
          <w:sz w:val="28"/>
          <w:szCs w:val="28"/>
        </w:rPr>
        <w:t>procentpunktiem</w:t>
      </w:r>
      <w:r w:rsidR="0028747C">
        <w:rPr>
          <w:rFonts w:ascii="Times New Roman" w:hAnsi="Times New Roman" w:cs="Times New Roman"/>
          <w:sz w:val="28"/>
          <w:szCs w:val="28"/>
        </w:rPr>
        <w:t xml:space="preserve"> (</w:t>
      </w:r>
      <w:r w:rsidR="00A53E99">
        <w:rPr>
          <w:rFonts w:ascii="Times New Roman" w:hAnsi="Times New Roman" w:cs="Times New Roman"/>
          <w:sz w:val="28"/>
          <w:szCs w:val="28"/>
        </w:rPr>
        <w:t>2</w:t>
      </w:r>
      <w:r w:rsidR="0028747C">
        <w:rPr>
          <w:rFonts w:ascii="Times New Roman" w:hAnsi="Times New Roman" w:cs="Times New Roman"/>
          <w:sz w:val="28"/>
          <w:szCs w:val="28"/>
        </w:rPr>
        <w:t>.att</w:t>
      </w:r>
      <w:r w:rsidR="003B46E6">
        <w:rPr>
          <w:rFonts w:ascii="Times New Roman" w:hAnsi="Times New Roman" w:cs="Times New Roman"/>
          <w:sz w:val="28"/>
          <w:szCs w:val="28"/>
        </w:rPr>
        <w:t>ēls</w:t>
      </w:r>
      <w:r w:rsidR="0022546B">
        <w:rPr>
          <w:rFonts w:ascii="Times New Roman" w:hAnsi="Times New Roman" w:cs="Times New Roman"/>
          <w:sz w:val="28"/>
          <w:szCs w:val="28"/>
        </w:rPr>
        <w:t>). 20</w:t>
      </w:r>
      <w:r w:rsidR="00984436">
        <w:rPr>
          <w:rFonts w:ascii="Times New Roman" w:hAnsi="Times New Roman" w:cs="Times New Roman"/>
          <w:sz w:val="28"/>
          <w:szCs w:val="28"/>
        </w:rPr>
        <w:t>20.gad</w:t>
      </w:r>
      <w:r w:rsidR="00344F4F">
        <w:rPr>
          <w:rFonts w:ascii="Times New Roman" w:hAnsi="Times New Roman" w:cs="Times New Roman"/>
          <w:sz w:val="28"/>
          <w:szCs w:val="28"/>
        </w:rPr>
        <w:t>ā</w:t>
      </w:r>
      <w:r w:rsidR="00984436">
        <w:rPr>
          <w:rFonts w:ascii="Times New Roman" w:hAnsi="Times New Roman" w:cs="Times New Roman"/>
          <w:sz w:val="28"/>
          <w:szCs w:val="28"/>
        </w:rPr>
        <w:t xml:space="preserve"> </w:t>
      </w:r>
      <w:r w:rsidR="00384948">
        <w:rPr>
          <w:rFonts w:ascii="Times New Roman" w:hAnsi="Times New Roman" w:cs="Times New Roman"/>
          <w:sz w:val="28"/>
          <w:szCs w:val="28"/>
        </w:rPr>
        <w:t>ēnu ekonomikas apjoms Latvijā bija</w:t>
      </w:r>
      <w:r w:rsidR="00984436">
        <w:rPr>
          <w:rFonts w:ascii="Times New Roman" w:hAnsi="Times New Roman" w:cs="Times New Roman"/>
          <w:sz w:val="28"/>
          <w:szCs w:val="28"/>
        </w:rPr>
        <w:t xml:space="preserve"> </w:t>
      </w:r>
      <w:r w:rsidR="00384948">
        <w:rPr>
          <w:rFonts w:ascii="Times New Roman" w:hAnsi="Times New Roman" w:cs="Times New Roman"/>
          <w:sz w:val="28"/>
          <w:szCs w:val="28"/>
        </w:rPr>
        <w:t>25,5% no IKP, kas ir par 1,6 procentpunktiem vairāk nekā</w:t>
      </w:r>
      <w:r w:rsidR="0022546B">
        <w:rPr>
          <w:rFonts w:ascii="Times New Roman" w:hAnsi="Times New Roman" w:cs="Times New Roman"/>
          <w:sz w:val="28"/>
          <w:szCs w:val="28"/>
        </w:rPr>
        <w:t xml:space="preserve"> 2019.gadā.</w:t>
      </w:r>
      <w:r w:rsidR="00384948">
        <w:rPr>
          <w:rStyle w:val="FootnoteReference"/>
          <w:rFonts w:ascii="Times New Roman" w:hAnsi="Times New Roman" w:cs="Times New Roman"/>
          <w:sz w:val="28"/>
          <w:szCs w:val="28"/>
        </w:rPr>
        <w:footnoteReference w:id="10"/>
      </w:r>
      <w:r w:rsidR="00984436">
        <w:rPr>
          <w:rFonts w:ascii="Times New Roman" w:hAnsi="Times New Roman" w:cs="Times New Roman"/>
          <w:sz w:val="28"/>
          <w:szCs w:val="28"/>
        </w:rPr>
        <w:t xml:space="preserve"> Ņ</w:t>
      </w:r>
      <w:r w:rsidR="00984436" w:rsidRPr="00984436">
        <w:rPr>
          <w:rFonts w:ascii="Times New Roman" w:hAnsi="Times New Roman" w:cs="Times New Roman"/>
          <w:sz w:val="28"/>
          <w:szCs w:val="28"/>
        </w:rPr>
        <w:t>emot vērā ēnu ekonomikas dinamiku iepriekšējos gad</w:t>
      </w:r>
      <w:r w:rsidR="007D096E">
        <w:rPr>
          <w:rFonts w:ascii="Times New Roman" w:hAnsi="Times New Roman" w:cs="Times New Roman"/>
          <w:sz w:val="28"/>
          <w:szCs w:val="28"/>
        </w:rPr>
        <w:t>o</w:t>
      </w:r>
      <w:r w:rsidR="00984436" w:rsidRPr="00984436">
        <w:rPr>
          <w:rFonts w:ascii="Times New Roman" w:hAnsi="Times New Roman" w:cs="Times New Roman"/>
          <w:sz w:val="28"/>
          <w:szCs w:val="28"/>
        </w:rPr>
        <w:t>s un pa</w:t>
      </w:r>
      <w:r w:rsidR="00A745CB">
        <w:rPr>
          <w:rFonts w:ascii="Times New Roman" w:hAnsi="Times New Roman" w:cs="Times New Roman"/>
          <w:sz w:val="28"/>
          <w:szCs w:val="28"/>
        </w:rPr>
        <w:t>š</w:t>
      </w:r>
      <w:r w:rsidR="00984436" w:rsidRPr="00984436">
        <w:rPr>
          <w:rFonts w:ascii="Times New Roman" w:hAnsi="Times New Roman" w:cs="Times New Roman"/>
          <w:sz w:val="28"/>
          <w:szCs w:val="28"/>
        </w:rPr>
        <w:t xml:space="preserve">reizējo situāciju ekonomikā, ar lielu varbūtību var sagaidīt, ka </w:t>
      </w:r>
      <w:r w:rsidR="00984436">
        <w:rPr>
          <w:rFonts w:ascii="Times New Roman" w:hAnsi="Times New Roman" w:cs="Times New Roman"/>
          <w:sz w:val="28"/>
          <w:szCs w:val="28"/>
        </w:rPr>
        <w:t>tās</w:t>
      </w:r>
      <w:r w:rsidR="00984436" w:rsidRPr="00984436">
        <w:rPr>
          <w:rFonts w:ascii="Times New Roman" w:hAnsi="Times New Roman" w:cs="Times New Roman"/>
          <w:sz w:val="28"/>
          <w:szCs w:val="28"/>
        </w:rPr>
        <w:t xml:space="preserve"> apjoms</w:t>
      </w:r>
      <w:r w:rsidR="007D096E">
        <w:rPr>
          <w:rFonts w:ascii="Times New Roman" w:hAnsi="Times New Roman" w:cs="Times New Roman"/>
          <w:sz w:val="28"/>
          <w:szCs w:val="28"/>
        </w:rPr>
        <w:t xml:space="preserve"> tuvākos gados</w:t>
      </w:r>
      <w:r w:rsidR="00984436" w:rsidRPr="00984436">
        <w:rPr>
          <w:rFonts w:ascii="Times New Roman" w:hAnsi="Times New Roman" w:cs="Times New Roman"/>
          <w:sz w:val="28"/>
          <w:szCs w:val="28"/>
        </w:rPr>
        <w:t xml:space="preserve"> </w:t>
      </w:r>
      <w:r w:rsidR="00984436">
        <w:rPr>
          <w:rFonts w:ascii="Times New Roman" w:hAnsi="Times New Roman" w:cs="Times New Roman"/>
          <w:sz w:val="28"/>
          <w:szCs w:val="28"/>
        </w:rPr>
        <w:t>nesamazināsies</w:t>
      </w:r>
      <w:r w:rsidR="00984436" w:rsidRPr="00984436">
        <w:rPr>
          <w:rFonts w:ascii="Times New Roman" w:hAnsi="Times New Roman" w:cs="Times New Roman"/>
          <w:sz w:val="28"/>
          <w:szCs w:val="28"/>
        </w:rPr>
        <w:t>.</w:t>
      </w:r>
    </w:p>
    <w:p w14:paraId="67408661" w14:textId="711CE7DD" w:rsidR="006E16B0" w:rsidRDefault="00E63375" w:rsidP="00C40083">
      <w:pPr>
        <w:pStyle w:val="NoSpacing"/>
        <w:spacing w:before="0"/>
        <w:ind w:firstLine="720"/>
        <w:jc w:val="both"/>
        <w:rPr>
          <w:rFonts w:ascii="Times New Roman" w:hAnsi="Times New Roman" w:cs="Times New Roman"/>
          <w:sz w:val="28"/>
          <w:szCs w:val="28"/>
        </w:rPr>
      </w:pPr>
      <w:r>
        <w:rPr>
          <w:rFonts w:ascii="Times New Roman" w:hAnsi="Times New Roman" w:cs="Times New Roman"/>
          <w:sz w:val="28"/>
          <w:szCs w:val="28"/>
        </w:rPr>
        <w:t xml:space="preserve">Būvniecības nozarē vēsturiski pastāvēja augsts ēnu ekonomikas īpatsvars. </w:t>
      </w:r>
      <w:r w:rsidR="009A534F">
        <w:rPr>
          <w:rFonts w:ascii="Times New Roman" w:hAnsi="Times New Roman" w:cs="Times New Roman"/>
          <w:sz w:val="28"/>
          <w:szCs w:val="28"/>
        </w:rPr>
        <w:t xml:space="preserve">SSE </w:t>
      </w:r>
      <w:proofErr w:type="spellStart"/>
      <w:r w:rsidR="009A534F">
        <w:rPr>
          <w:rFonts w:ascii="Times New Roman" w:hAnsi="Times New Roman" w:cs="Times New Roman"/>
          <w:sz w:val="28"/>
          <w:szCs w:val="28"/>
        </w:rPr>
        <w:t>Riga</w:t>
      </w:r>
      <w:proofErr w:type="spellEnd"/>
      <w:r w:rsidR="009A534F">
        <w:rPr>
          <w:rFonts w:ascii="Times New Roman" w:hAnsi="Times New Roman" w:cs="Times New Roman"/>
          <w:sz w:val="28"/>
          <w:szCs w:val="28"/>
        </w:rPr>
        <w:t xml:space="preserve"> Ilgtspējīga biznesa centra </w:t>
      </w:r>
      <w:r w:rsidR="007D096E">
        <w:rPr>
          <w:rFonts w:ascii="Times New Roman" w:hAnsi="Times New Roman" w:cs="Times New Roman"/>
          <w:sz w:val="28"/>
          <w:szCs w:val="28"/>
        </w:rPr>
        <w:t>p</w:t>
      </w:r>
      <w:r w:rsidRPr="00997E8F">
        <w:rPr>
          <w:rFonts w:ascii="Times New Roman" w:hAnsi="Times New Roman" w:cs="Times New Roman"/>
          <w:sz w:val="28"/>
          <w:szCs w:val="28"/>
        </w:rPr>
        <w:t>ētījum</w:t>
      </w:r>
      <w:r>
        <w:rPr>
          <w:rFonts w:ascii="Times New Roman" w:hAnsi="Times New Roman" w:cs="Times New Roman"/>
          <w:sz w:val="28"/>
          <w:szCs w:val="28"/>
        </w:rPr>
        <w:t>a</w:t>
      </w:r>
      <w:r w:rsidRPr="00997E8F">
        <w:rPr>
          <w:rFonts w:ascii="Times New Roman" w:hAnsi="Times New Roman" w:cs="Times New Roman"/>
          <w:sz w:val="28"/>
          <w:szCs w:val="28"/>
        </w:rPr>
        <w:t xml:space="preserve"> “Ēnu ekonomika Latvijas būvniecības nozarē 2015</w:t>
      </w:r>
      <w:r w:rsidR="007D096E">
        <w:rPr>
          <w:rFonts w:ascii="Times New Roman" w:hAnsi="Times New Roman" w:cs="Times New Roman"/>
          <w:sz w:val="28"/>
          <w:szCs w:val="28"/>
        </w:rPr>
        <w:t>.</w:t>
      </w:r>
      <w:r w:rsidR="007D096E" w:rsidRPr="0080699B">
        <w:rPr>
          <w:rFonts w:ascii="Times New Roman" w:hAnsi="Times New Roman" w:cs="Times New Roman"/>
          <w:sz w:val="28"/>
          <w:szCs w:val="28"/>
        </w:rPr>
        <w:t>–</w:t>
      </w:r>
      <w:r w:rsidRPr="00997E8F">
        <w:rPr>
          <w:rFonts w:ascii="Times New Roman" w:hAnsi="Times New Roman" w:cs="Times New Roman"/>
          <w:sz w:val="28"/>
          <w:szCs w:val="28"/>
        </w:rPr>
        <w:t>201</w:t>
      </w:r>
      <w:r w:rsidR="009372BA">
        <w:rPr>
          <w:rFonts w:ascii="Times New Roman" w:hAnsi="Times New Roman" w:cs="Times New Roman"/>
          <w:sz w:val="28"/>
          <w:szCs w:val="28"/>
        </w:rPr>
        <w:t>9</w:t>
      </w:r>
      <w:r w:rsidRPr="00997E8F">
        <w:rPr>
          <w:rFonts w:ascii="Times New Roman" w:hAnsi="Times New Roman" w:cs="Times New Roman"/>
          <w:sz w:val="28"/>
          <w:szCs w:val="28"/>
        </w:rPr>
        <w:t>”</w:t>
      </w:r>
      <w:r w:rsidR="009372BA">
        <w:rPr>
          <w:rStyle w:val="FootnoteReference"/>
          <w:rFonts w:ascii="Times New Roman" w:hAnsi="Times New Roman" w:cs="Times New Roman"/>
          <w:sz w:val="28"/>
          <w:szCs w:val="28"/>
        </w:rPr>
        <w:footnoteReference w:id="11"/>
      </w:r>
      <w:r>
        <w:rPr>
          <w:rFonts w:ascii="Times New Roman" w:hAnsi="Times New Roman" w:cs="Times New Roman"/>
          <w:sz w:val="28"/>
          <w:szCs w:val="28"/>
        </w:rPr>
        <w:t xml:space="preserve"> dati </w:t>
      </w:r>
      <w:r w:rsidR="009372BA">
        <w:rPr>
          <w:rFonts w:ascii="Times New Roman" w:hAnsi="Times New Roman" w:cs="Times New Roman"/>
          <w:sz w:val="28"/>
          <w:szCs w:val="28"/>
        </w:rPr>
        <w:t>parāda</w:t>
      </w:r>
      <w:r>
        <w:rPr>
          <w:rFonts w:ascii="Times New Roman" w:hAnsi="Times New Roman" w:cs="Times New Roman"/>
          <w:sz w:val="28"/>
          <w:szCs w:val="28"/>
        </w:rPr>
        <w:t xml:space="preserve">, ka </w:t>
      </w:r>
      <w:r w:rsidRPr="00997E8F">
        <w:rPr>
          <w:rFonts w:ascii="Times New Roman" w:hAnsi="Times New Roman" w:cs="Times New Roman"/>
          <w:sz w:val="28"/>
          <w:szCs w:val="28"/>
        </w:rPr>
        <w:t>ēnu ekonomikas apjoms nozarē</w:t>
      </w:r>
      <w:r w:rsidR="00291E3D">
        <w:rPr>
          <w:rFonts w:ascii="Times New Roman" w:hAnsi="Times New Roman" w:cs="Times New Roman"/>
          <w:sz w:val="28"/>
          <w:szCs w:val="28"/>
        </w:rPr>
        <w:t xml:space="preserve"> turpina </w:t>
      </w:r>
      <w:r w:rsidR="00291E3D">
        <w:rPr>
          <w:rFonts w:ascii="Times New Roman" w:hAnsi="Times New Roman" w:cs="Times New Roman"/>
          <w:sz w:val="28"/>
          <w:szCs w:val="28"/>
        </w:rPr>
        <w:lastRenderedPageBreak/>
        <w:t xml:space="preserve">samazināties, tomēr tās īpatsvars </w:t>
      </w:r>
      <w:r w:rsidR="007D096E">
        <w:rPr>
          <w:rFonts w:ascii="Times New Roman" w:hAnsi="Times New Roman" w:cs="Times New Roman"/>
          <w:sz w:val="28"/>
          <w:szCs w:val="28"/>
        </w:rPr>
        <w:t>saglabājās</w:t>
      </w:r>
      <w:r w:rsidRPr="00997E8F">
        <w:rPr>
          <w:rFonts w:ascii="Times New Roman" w:hAnsi="Times New Roman" w:cs="Times New Roman"/>
          <w:sz w:val="28"/>
          <w:szCs w:val="28"/>
        </w:rPr>
        <w:t xml:space="preserve"> salīdzinoši liels</w:t>
      </w:r>
      <w:r w:rsidR="00291E3D">
        <w:rPr>
          <w:rFonts w:ascii="Times New Roman" w:hAnsi="Times New Roman" w:cs="Times New Roman"/>
          <w:sz w:val="28"/>
          <w:szCs w:val="28"/>
        </w:rPr>
        <w:t>.</w:t>
      </w:r>
      <w:r w:rsidR="00BA6C4E">
        <w:rPr>
          <w:rFonts w:ascii="Times New Roman" w:hAnsi="Times New Roman" w:cs="Times New Roman"/>
          <w:sz w:val="28"/>
          <w:szCs w:val="28"/>
        </w:rPr>
        <w:t xml:space="preserve"> </w:t>
      </w:r>
      <w:r w:rsidR="00344F4F">
        <w:rPr>
          <w:rFonts w:ascii="Times New Roman" w:hAnsi="Times New Roman" w:cs="Times New Roman"/>
          <w:sz w:val="28"/>
          <w:szCs w:val="28"/>
        </w:rPr>
        <w:t xml:space="preserve">Ēnu </w:t>
      </w:r>
      <w:r w:rsidR="00344F4F" w:rsidRPr="0080699B">
        <w:rPr>
          <w:rFonts w:ascii="Times New Roman" w:hAnsi="Times New Roman" w:cs="Times New Roman"/>
          <w:sz w:val="28"/>
          <w:szCs w:val="28"/>
        </w:rPr>
        <w:t xml:space="preserve">ekonomikas apjoms </w:t>
      </w:r>
      <w:r w:rsidR="001432E3" w:rsidRPr="0080699B">
        <w:rPr>
          <w:rFonts w:ascii="Times New Roman" w:hAnsi="Times New Roman" w:cs="Times New Roman"/>
          <w:sz w:val="28"/>
          <w:szCs w:val="28"/>
        </w:rPr>
        <w:t>būvniecības nozarē</w:t>
      </w:r>
      <w:r w:rsidR="001432E3">
        <w:rPr>
          <w:rFonts w:ascii="Times New Roman" w:hAnsi="Times New Roman" w:cs="Times New Roman"/>
          <w:sz w:val="28"/>
          <w:szCs w:val="28"/>
        </w:rPr>
        <w:t xml:space="preserve"> pēdējo </w:t>
      </w:r>
      <w:r w:rsidR="001432E3" w:rsidRPr="0080699B">
        <w:rPr>
          <w:rFonts w:ascii="Times New Roman" w:hAnsi="Times New Roman" w:cs="Times New Roman"/>
          <w:sz w:val="28"/>
          <w:szCs w:val="28"/>
        </w:rPr>
        <w:t xml:space="preserve">piecu gadu laikā </w:t>
      </w:r>
      <w:r w:rsidR="00BA6C4E">
        <w:rPr>
          <w:rFonts w:ascii="Times New Roman" w:hAnsi="Times New Roman" w:cs="Times New Roman"/>
          <w:sz w:val="28"/>
          <w:szCs w:val="28"/>
        </w:rPr>
        <w:t>samazināj</w:t>
      </w:r>
      <w:r w:rsidR="003107D0">
        <w:rPr>
          <w:rFonts w:ascii="Times New Roman" w:hAnsi="Times New Roman" w:cs="Times New Roman"/>
          <w:sz w:val="28"/>
          <w:szCs w:val="28"/>
        </w:rPr>
        <w:t>ies</w:t>
      </w:r>
      <w:r w:rsidR="00BA6C4E">
        <w:rPr>
          <w:rFonts w:ascii="Times New Roman" w:hAnsi="Times New Roman" w:cs="Times New Roman"/>
          <w:sz w:val="28"/>
          <w:szCs w:val="28"/>
        </w:rPr>
        <w:t xml:space="preserve"> </w:t>
      </w:r>
      <w:r w:rsidR="001432E3" w:rsidRPr="0080699B">
        <w:rPr>
          <w:rFonts w:ascii="Times New Roman" w:hAnsi="Times New Roman" w:cs="Times New Roman"/>
          <w:sz w:val="28"/>
          <w:szCs w:val="28"/>
        </w:rPr>
        <w:t>par 9,3</w:t>
      </w:r>
      <w:r w:rsidR="001432E3">
        <w:rPr>
          <w:rFonts w:ascii="Times New Roman" w:hAnsi="Times New Roman" w:cs="Times New Roman"/>
          <w:sz w:val="28"/>
          <w:szCs w:val="28"/>
        </w:rPr>
        <w:t> procentpunktiem</w:t>
      </w:r>
      <w:r w:rsidR="00C40083">
        <w:rPr>
          <w:rFonts w:ascii="Times New Roman" w:hAnsi="Times New Roman" w:cs="Times New Roman"/>
          <w:sz w:val="28"/>
          <w:szCs w:val="28"/>
        </w:rPr>
        <w:t>,</w:t>
      </w:r>
      <w:r w:rsidR="001432E3">
        <w:rPr>
          <w:rFonts w:ascii="Times New Roman" w:hAnsi="Times New Roman" w:cs="Times New Roman"/>
          <w:sz w:val="28"/>
          <w:szCs w:val="28"/>
        </w:rPr>
        <w:t xml:space="preserve"> </w:t>
      </w:r>
      <w:r w:rsidR="003107D0">
        <w:rPr>
          <w:rFonts w:ascii="Times New Roman" w:hAnsi="Times New Roman" w:cs="Times New Roman"/>
          <w:sz w:val="28"/>
          <w:szCs w:val="28"/>
        </w:rPr>
        <w:t xml:space="preserve">2019.gadā </w:t>
      </w:r>
      <w:r w:rsidR="00BA6C4E" w:rsidRPr="0080699B">
        <w:rPr>
          <w:rFonts w:ascii="Times New Roman" w:hAnsi="Times New Roman" w:cs="Times New Roman"/>
          <w:sz w:val="28"/>
          <w:szCs w:val="28"/>
        </w:rPr>
        <w:t>sarūkot</w:t>
      </w:r>
      <w:r w:rsidR="00BA6C4E">
        <w:rPr>
          <w:rFonts w:ascii="Times New Roman" w:hAnsi="Times New Roman" w:cs="Times New Roman"/>
          <w:sz w:val="28"/>
          <w:szCs w:val="28"/>
        </w:rPr>
        <w:t xml:space="preserve"> </w:t>
      </w:r>
      <w:r w:rsidR="001432E3">
        <w:rPr>
          <w:rFonts w:ascii="Times New Roman" w:hAnsi="Times New Roman" w:cs="Times New Roman"/>
          <w:sz w:val="28"/>
          <w:szCs w:val="28"/>
        </w:rPr>
        <w:t xml:space="preserve">līdz </w:t>
      </w:r>
      <w:r w:rsidR="001432E3" w:rsidRPr="0080699B">
        <w:rPr>
          <w:rFonts w:ascii="Times New Roman" w:hAnsi="Times New Roman" w:cs="Times New Roman"/>
          <w:sz w:val="28"/>
          <w:szCs w:val="28"/>
        </w:rPr>
        <w:t>30,7</w:t>
      </w:r>
      <w:r w:rsidR="001432E3">
        <w:rPr>
          <w:rFonts w:ascii="Times New Roman" w:hAnsi="Times New Roman" w:cs="Times New Roman"/>
          <w:sz w:val="28"/>
          <w:szCs w:val="28"/>
        </w:rPr>
        <w:t> </w:t>
      </w:r>
      <w:r w:rsidR="001432E3" w:rsidRPr="0080699B">
        <w:rPr>
          <w:rFonts w:ascii="Times New Roman" w:hAnsi="Times New Roman" w:cs="Times New Roman"/>
          <w:sz w:val="28"/>
          <w:szCs w:val="28"/>
        </w:rPr>
        <w:t>%</w:t>
      </w:r>
      <w:r w:rsidR="001432E3">
        <w:rPr>
          <w:rFonts w:ascii="Times New Roman" w:hAnsi="Times New Roman" w:cs="Times New Roman"/>
          <w:sz w:val="28"/>
          <w:szCs w:val="28"/>
        </w:rPr>
        <w:t xml:space="preserve"> no IKP. </w:t>
      </w:r>
      <w:r w:rsidR="00C40083">
        <w:rPr>
          <w:rFonts w:ascii="Times New Roman" w:hAnsi="Times New Roman" w:cs="Times New Roman"/>
          <w:sz w:val="28"/>
          <w:szCs w:val="28"/>
        </w:rPr>
        <w:t xml:space="preserve">Pozitīvā </w:t>
      </w:r>
      <w:r w:rsidR="003107D0" w:rsidRPr="006266E9">
        <w:rPr>
          <w:rFonts w:ascii="Times New Roman" w:hAnsi="Times New Roman" w:cs="Times New Roman"/>
          <w:sz w:val="28"/>
          <w:szCs w:val="28"/>
        </w:rPr>
        <w:t xml:space="preserve">ēnu ekonomikas </w:t>
      </w:r>
      <w:r w:rsidR="00C40083">
        <w:rPr>
          <w:rFonts w:ascii="Times New Roman" w:hAnsi="Times New Roman" w:cs="Times New Roman"/>
          <w:sz w:val="28"/>
          <w:szCs w:val="28"/>
        </w:rPr>
        <w:t>samazinājuma tendence b</w:t>
      </w:r>
      <w:r w:rsidR="00C40083" w:rsidRPr="006266E9">
        <w:rPr>
          <w:rFonts w:ascii="Times New Roman" w:hAnsi="Times New Roman" w:cs="Times New Roman"/>
          <w:sz w:val="28"/>
          <w:szCs w:val="28"/>
        </w:rPr>
        <w:t>ūvniecībā</w:t>
      </w:r>
      <w:r w:rsidR="00C40083">
        <w:rPr>
          <w:rFonts w:ascii="Times New Roman" w:hAnsi="Times New Roman" w:cs="Times New Roman"/>
          <w:sz w:val="28"/>
          <w:szCs w:val="28"/>
        </w:rPr>
        <w:t xml:space="preserve"> turpinājās arī </w:t>
      </w:r>
      <w:r w:rsidR="00C40083" w:rsidRPr="006266E9">
        <w:rPr>
          <w:rFonts w:ascii="Times New Roman" w:hAnsi="Times New Roman" w:cs="Times New Roman"/>
          <w:sz w:val="28"/>
          <w:szCs w:val="28"/>
        </w:rPr>
        <w:t>2020.gadā</w:t>
      </w:r>
      <w:r w:rsidR="00081422">
        <w:rPr>
          <w:rFonts w:ascii="Times New Roman" w:hAnsi="Times New Roman" w:cs="Times New Roman"/>
          <w:sz w:val="28"/>
          <w:szCs w:val="28"/>
        </w:rPr>
        <w:t>,</w:t>
      </w:r>
      <w:r w:rsidR="00DF66DA">
        <w:rPr>
          <w:rFonts w:ascii="Times New Roman" w:hAnsi="Times New Roman" w:cs="Times New Roman"/>
          <w:sz w:val="28"/>
          <w:szCs w:val="28"/>
        </w:rPr>
        <w:t xml:space="preserve"> </w:t>
      </w:r>
      <w:r w:rsidR="00DF66DA" w:rsidRPr="00DF66DA">
        <w:rPr>
          <w:rFonts w:ascii="Times New Roman" w:hAnsi="Times New Roman" w:cs="Times New Roman"/>
          <w:sz w:val="28"/>
          <w:szCs w:val="28"/>
        </w:rPr>
        <w:t>sarūkot vēl par 2 procentpunktiem</w:t>
      </w:r>
      <w:r w:rsidR="00DF66DA">
        <w:rPr>
          <w:rFonts w:ascii="Times New Roman" w:hAnsi="Times New Roman" w:cs="Times New Roman"/>
          <w:sz w:val="28"/>
          <w:szCs w:val="28"/>
        </w:rPr>
        <w:t xml:space="preserve"> – s</w:t>
      </w:r>
      <w:r w:rsidR="00DF66DA" w:rsidRPr="00DF66DA">
        <w:rPr>
          <w:rFonts w:ascii="Times New Roman" w:hAnsi="Times New Roman" w:cs="Times New Roman"/>
          <w:sz w:val="28"/>
          <w:szCs w:val="28"/>
        </w:rPr>
        <w:t>asniedzot 28,7 % no IKP, un tādējādi</w:t>
      </w:r>
      <w:r w:rsidR="00081422">
        <w:rPr>
          <w:rFonts w:ascii="Times New Roman" w:hAnsi="Times New Roman" w:cs="Times New Roman"/>
          <w:sz w:val="28"/>
          <w:szCs w:val="28"/>
        </w:rPr>
        <w:t xml:space="preserve"> </w:t>
      </w:r>
      <w:r w:rsidR="003107D0" w:rsidRPr="006266E9">
        <w:rPr>
          <w:rFonts w:ascii="Times New Roman" w:hAnsi="Times New Roman" w:cs="Times New Roman"/>
          <w:sz w:val="28"/>
          <w:szCs w:val="28"/>
        </w:rPr>
        <w:t>tuvojoties vidējam ēnu ekonomikas rādītājam tautsaimniecībā</w:t>
      </w:r>
      <w:r w:rsidR="00DF66DA">
        <w:rPr>
          <w:rFonts w:ascii="Times New Roman" w:hAnsi="Times New Roman" w:cs="Times New Roman"/>
          <w:sz w:val="28"/>
          <w:szCs w:val="28"/>
        </w:rPr>
        <w:t xml:space="preserve"> </w:t>
      </w:r>
      <w:r w:rsidR="006E16B0">
        <w:rPr>
          <w:rFonts w:ascii="Times New Roman" w:hAnsi="Times New Roman" w:cs="Times New Roman"/>
          <w:sz w:val="28"/>
          <w:szCs w:val="28"/>
        </w:rPr>
        <w:t>(</w:t>
      </w:r>
      <w:r w:rsidR="00987544">
        <w:rPr>
          <w:rFonts w:ascii="Times New Roman" w:hAnsi="Times New Roman" w:cs="Times New Roman"/>
          <w:sz w:val="28"/>
          <w:szCs w:val="28"/>
        </w:rPr>
        <w:t>2</w:t>
      </w:r>
      <w:r w:rsidR="006E16B0">
        <w:rPr>
          <w:rFonts w:ascii="Times New Roman" w:hAnsi="Times New Roman" w:cs="Times New Roman"/>
          <w:sz w:val="28"/>
          <w:szCs w:val="28"/>
        </w:rPr>
        <w:t>.att</w:t>
      </w:r>
      <w:r w:rsidR="003B46E6">
        <w:rPr>
          <w:rFonts w:ascii="Times New Roman" w:hAnsi="Times New Roman" w:cs="Times New Roman"/>
          <w:sz w:val="28"/>
          <w:szCs w:val="28"/>
        </w:rPr>
        <w:t>ēls</w:t>
      </w:r>
      <w:r w:rsidR="006E16B0">
        <w:rPr>
          <w:rFonts w:ascii="Times New Roman" w:hAnsi="Times New Roman" w:cs="Times New Roman"/>
          <w:sz w:val="28"/>
          <w:szCs w:val="28"/>
        </w:rPr>
        <w:t>)</w:t>
      </w:r>
      <w:r w:rsidR="0028747C">
        <w:rPr>
          <w:rFonts w:ascii="Times New Roman" w:hAnsi="Times New Roman" w:cs="Times New Roman"/>
          <w:sz w:val="28"/>
          <w:szCs w:val="28"/>
        </w:rPr>
        <w:t>.</w:t>
      </w:r>
    </w:p>
    <w:p w14:paraId="51DEC507" w14:textId="02754B50" w:rsidR="006E16B0" w:rsidRDefault="0028747C" w:rsidP="006E16B0">
      <w:pPr>
        <w:pStyle w:val="NoSpacing"/>
        <w:spacing w:before="0"/>
        <w:ind w:firstLine="720"/>
        <w:jc w:val="both"/>
        <w:rPr>
          <w:rFonts w:ascii="Times New Roman" w:hAnsi="Times New Roman" w:cs="Times New Roman"/>
          <w:sz w:val="28"/>
          <w:szCs w:val="28"/>
        </w:rPr>
      </w:pPr>
      <w:r>
        <w:rPr>
          <w:rFonts w:ascii="Times New Roman" w:hAnsi="Times New Roman" w:cs="Times New Roman"/>
          <w:sz w:val="28"/>
          <w:szCs w:val="28"/>
        </w:rPr>
        <w:t>Būvniecības nozarē s</w:t>
      </w:r>
      <w:r w:rsidR="006E16B0" w:rsidRPr="00997E8F">
        <w:rPr>
          <w:rFonts w:ascii="Times New Roman" w:hAnsi="Times New Roman" w:cs="Times New Roman"/>
          <w:sz w:val="28"/>
          <w:szCs w:val="28"/>
        </w:rPr>
        <w:t xml:space="preserve">amazinājies arī ēnu ekonomikas </w:t>
      </w:r>
      <w:r>
        <w:rPr>
          <w:rFonts w:ascii="Times New Roman" w:hAnsi="Times New Roman" w:cs="Times New Roman"/>
          <w:sz w:val="28"/>
          <w:szCs w:val="28"/>
        </w:rPr>
        <w:t>īpatsvars</w:t>
      </w:r>
      <w:r w:rsidR="006E16B0" w:rsidRPr="00997E8F">
        <w:rPr>
          <w:rFonts w:ascii="Times New Roman" w:hAnsi="Times New Roman" w:cs="Times New Roman"/>
          <w:sz w:val="28"/>
          <w:szCs w:val="28"/>
        </w:rPr>
        <w:t xml:space="preserve"> visās tās komponentēs</w:t>
      </w:r>
      <w:r w:rsidR="00EA4293">
        <w:rPr>
          <w:rFonts w:ascii="Times New Roman" w:hAnsi="Times New Roman" w:cs="Times New Roman"/>
          <w:sz w:val="28"/>
          <w:szCs w:val="28"/>
        </w:rPr>
        <w:t>, p</w:t>
      </w:r>
      <w:r w:rsidR="006E16B0" w:rsidRPr="00997E8F">
        <w:rPr>
          <w:rFonts w:ascii="Times New Roman" w:hAnsi="Times New Roman" w:cs="Times New Roman"/>
          <w:sz w:val="28"/>
          <w:szCs w:val="28"/>
        </w:rPr>
        <w:t xml:space="preserve">roti, </w:t>
      </w:r>
      <w:r w:rsidR="006E16B0">
        <w:rPr>
          <w:rFonts w:ascii="Times New Roman" w:hAnsi="Times New Roman" w:cs="Times New Roman"/>
          <w:sz w:val="28"/>
          <w:szCs w:val="28"/>
        </w:rPr>
        <w:t>“</w:t>
      </w:r>
      <w:r w:rsidR="006E16B0" w:rsidRPr="00997E8F">
        <w:rPr>
          <w:rFonts w:ascii="Times New Roman" w:hAnsi="Times New Roman" w:cs="Times New Roman"/>
          <w:sz w:val="28"/>
          <w:szCs w:val="28"/>
        </w:rPr>
        <w:t>aplokšņu algas</w:t>
      </w:r>
      <w:r w:rsidR="006E16B0">
        <w:rPr>
          <w:rFonts w:ascii="Times New Roman" w:hAnsi="Times New Roman" w:cs="Times New Roman"/>
          <w:sz w:val="28"/>
          <w:szCs w:val="28"/>
        </w:rPr>
        <w:t>”</w:t>
      </w:r>
      <w:r w:rsidR="006E16B0" w:rsidRPr="00997E8F">
        <w:rPr>
          <w:rFonts w:ascii="Times New Roman" w:hAnsi="Times New Roman" w:cs="Times New Roman"/>
          <w:sz w:val="28"/>
          <w:szCs w:val="28"/>
        </w:rPr>
        <w:t xml:space="preserve"> </w:t>
      </w:r>
      <w:r w:rsidR="00BC609C" w:rsidRPr="00997E8F">
        <w:rPr>
          <w:rFonts w:ascii="Times New Roman" w:hAnsi="Times New Roman" w:cs="Times New Roman"/>
          <w:sz w:val="28"/>
          <w:szCs w:val="28"/>
        </w:rPr>
        <w:t>samazinājušās</w:t>
      </w:r>
      <w:r w:rsidR="00BC609C">
        <w:rPr>
          <w:rFonts w:ascii="Times New Roman" w:hAnsi="Times New Roman" w:cs="Times New Roman"/>
          <w:sz w:val="28"/>
          <w:szCs w:val="28"/>
        </w:rPr>
        <w:t xml:space="preserve"> par</w:t>
      </w:r>
      <w:r w:rsidR="0022296B">
        <w:rPr>
          <w:rFonts w:ascii="Times New Roman" w:hAnsi="Times New Roman" w:cs="Times New Roman"/>
          <w:sz w:val="28"/>
          <w:szCs w:val="28"/>
        </w:rPr>
        <w:t xml:space="preserve"> 9 </w:t>
      </w:r>
      <w:r w:rsidR="00BC609C" w:rsidRPr="0022296B">
        <w:rPr>
          <w:rFonts w:ascii="Times New Roman" w:hAnsi="Times New Roman" w:cs="Times New Roman"/>
          <w:sz w:val="28"/>
          <w:szCs w:val="28"/>
        </w:rPr>
        <w:t>pr</w:t>
      </w:r>
      <w:r w:rsidR="00BC609C">
        <w:rPr>
          <w:rFonts w:ascii="Times New Roman" w:hAnsi="Times New Roman" w:cs="Times New Roman"/>
          <w:sz w:val="28"/>
          <w:szCs w:val="28"/>
        </w:rPr>
        <w:t xml:space="preserve">ocentpunktiem </w:t>
      </w:r>
      <w:r w:rsidR="006E16B0" w:rsidRPr="00997E8F">
        <w:rPr>
          <w:rFonts w:ascii="Times New Roman" w:hAnsi="Times New Roman" w:cs="Times New Roman"/>
          <w:sz w:val="28"/>
          <w:szCs w:val="28"/>
        </w:rPr>
        <w:t>(</w:t>
      </w:r>
      <w:r w:rsidR="00BC609C">
        <w:rPr>
          <w:rFonts w:ascii="Times New Roman" w:hAnsi="Times New Roman" w:cs="Times New Roman"/>
          <w:sz w:val="28"/>
          <w:szCs w:val="28"/>
        </w:rPr>
        <w:t xml:space="preserve">no </w:t>
      </w:r>
      <w:r w:rsidR="00BC609C" w:rsidRPr="00997E8F">
        <w:rPr>
          <w:rFonts w:ascii="Times New Roman" w:hAnsi="Times New Roman" w:cs="Times New Roman"/>
          <w:sz w:val="28"/>
          <w:szCs w:val="28"/>
        </w:rPr>
        <w:t>36</w:t>
      </w:r>
      <w:r w:rsidR="00BC609C">
        <w:rPr>
          <w:rFonts w:ascii="Times New Roman" w:hAnsi="Times New Roman" w:cs="Times New Roman"/>
          <w:sz w:val="28"/>
          <w:szCs w:val="28"/>
        </w:rPr>
        <w:t> </w:t>
      </w:r>
      <w:r w:rsidR="00BC609C" w:rsidRPr="00997E8F">
        <w:rPr>
          <w:rFonts w:ascii="Times New Roman" w:hAnsi="Times New Roman" w:cs="Times New Roman"/>
          <w:sz w:val="28"/>
          <w:szCs w:val="28"/>
        </w:rPr>
        <w:t>%</w:t>
      </w:r>
      <w:r w:rsidR="00EA4293">
        <w:rPr>
          <w:rFonts w:ascii="Times New Roman" w:hAnsi="Times New Roman" w:cs="Times New Roman"/>
          <w:sz w:val="28"/>
          <w:szCs w:val="28"/>
        </w:rPr>
        <w:t> </w:t>
      </w:r>
      <w:r w:rsidR="00BC609C" w:rsidRPr="0080699B">
        <w:rPr>
          <w:rFonts w:ascii="Times New Roman" w:hAnsi="Times New Roman" w:cs="Times New Roman"/>
          <w:sz w:val="28"/>
          <w:szCs w:val="28"/>
        </w:rPr>
        <w:t>–</w:t>
      </w:r>
      <w:r w:rsidR="00EA4293">
        <w:rPr>
          <w:rFonts w:ascii="Times New Roman" w:hAnsi="Times New Roman" w:cs="Times New Roman"/>
          <w:sz w:val="28"/>
          <w:szCs w:val="28"/>
        </w:rPr>
        <w:t> </w:t>
      </w:r>
      <w:r w:rsidR="00BC609C" w:rsidRPr="00997E8F">
        <w:rPr>
          <w:rFonts w:ascii="Times New Roman" w:hAnsi="Times New Roman" w:cs="Times New Roman"/>
          <w:sz w:val="28"/>
          <w:szCs w:val="28"/>
        </w:rPr>
        <w:t xml:space="preserve">2015.gadā </w:t>
      </w:r>
      <w:r w:rsidR="00BC609C">
        <w:rPr>
          <w:rFonts w:ascii="Times New Roman" w:hAnsi="Times New Roman" w:cs="Times New Roman"/>
          <w:sz w:val="28"/>
          <w:szCs w:val="28"/>
        </w:rPr>
        <w:t>līdz 27</w:t>
      </w:r>
      <w:r w:rsidR="006E16B0">
        <w:rPr>
          <w:rFonts w:ascii="Times New Roman" w:hAnsi="Times New Roman" w:cs="Times New Roman"/>
          <w:sz w:val="28"/>
          <w:szCs w:val="28"/>
        </w:rPr>
        <w:t> </w:t>
      </w:r>
      <w:r w:rsidR="006E16B0" w:rsidRPr="00997E8F">
        <w:rPr>
          <w:rFonts w:ascii="Times New Roman" w:hAnsi="Times New Roman" w:cs="Times New Roman"/>
          <w:sz w:val="28"/>
          <w:szCs w:val="28"/>
        </w:rPr>
        <w:t>%</w:t>
      </w:r>
      <w:r w:rsidR="00EA4293">
        <w:rPr>
          <w:rFonts w:ascii="Times New Roman" w:hAnsi="Times New Roman" w:cs="Times New Roman"/>
          <w:sz w:val="28"/>
          <w:szCs w:val="28"/>
        </w:rPr>
        <w:t> </w:t>
      </w:r>
      <w:r w:rsidR="00BC609C">
        <w:rPr>
          <w:rFonts w:ascii="Times New Roman" w:hAnsi="Times New Roman" w:cs="Times New Roman"/>
          <w:sz w:val="28"/>
          <w:szCs w:val="28"/>
        </w:rPr>
        <w:softHyphen/>
      </w:r>
      <w:r w:rsidR="00BC609C" w:rsidRPr="0080699B">
        <w:rPr>
          <w:rFonts w:ascii="Times New Roman" w:hAnsi="Times New Roman" w:cs="Times New Roman"/>
          <w:sz w:val="28"/>
          <w:szCs w:val="28"/>
        </w:rPr>
        <w:t>–</w:t>
      </w:r>
      <w:r w:rsidR="00EA4293">
        <w:rPr>
          <w:rFonts w:ascii="Times New Roman" w:hAnsi="Times New Roman" w:cs="Times New Roman"/>
          <w:sz w:val="28"/>
          <w:szCs w:val="28"/>
        </w:rPr>
        <w:t> </w:t>
      </w:r>
      <w:r w:rsidR="006E16B0" w:rsidRPr="00997E8F">
        <w:rPr>
          <w:rFonts w:ascii="Times New Roman" w:hAnsi="Times New Roman" w:cs="Times New Roman"/>
          <w:sz w:val="28"/>
          <w:szCs w:val="28"/>
        </w:rPr>
        <w:t>201</w:t>
      </w:r>
      <w:r w:rsidR="00BC609C">
        <w:rPr>
          <w:rFonts w:ascii="Times New Roman" w:hAnsi="Times New Roman" w:cs="Times New Roman"/>
          <w:sz w:val="28"/>
          <w:szCs w:val="28"/>
        </w:rPr>
        <w:t>9.</w:t>
      </w:r>
      <w:r w:rsidR="006E16B0" w:rsidRPr="00997E8F">
        <w:rPr>
          <w:rFonts w:ascii="Times New Roman" w:hAnsi="Times New Roman" w:cs="Times New Roman"/>
          <w:sz w:val="28"/>
          <w:szCs w:val="28"/>
        </w:rPr>
        <w:t>gadā</w:t>
      </w:r>
      <w:r w:rsidR="00BC609C">
        <w:rPr>
          <w:rFonts w:ascii="Times New Roman" w:hAnsi="Times New Roman" w:cs="Times New Roman"/>
          <w:sz w:val="28"/>
          <w:szCs w:val="28"/>
        </w:rPr>
        <w:t>)</w:t>
      </w:r>
      <w:r w:rsidR="006E16B0" w:rsidRPr="00997E8F">
        <w:rPr>
          <w:rFonts w:ascii="Times New Roman" w:hAnsi="Times New Roman" w:cs="Times New Roman"/>
          <w:sz w:val="28"/>
          <w:szCs w:val="28"/>
        </w:rPr>
        <w:t xml:space="preserve">, uzņēmumu ienākumu neuzrādīšana </w:t>
      </w:r>
      <w:r w:rsidR="00BC609C">
        <w:rPr>
          <w:rFonts w:ascii="Times New Roman" w:hAnsi="Times New Roman" w:cs="Times New Roman"/>
          <w:sz w:val="28"/>
          <w:szCs w:val="28"/>
        </w:rPr>
        <w:t>par</w:t>
      </w:r>
      <w:r w:rsidR="0022296B">
        <w:rPr>
          <w:rFonts w:ascii="Times New Roman" w:hAnsi="Times New Roman" w:cs="Times New Roman"/>
          <w:sz w:val="28"/>
          <w:szCs w:val="28"/>
        </w:rPr>
        <w:t xml:space="preserve"> 9 </w:t>
      </w:r>
      <w:r w:rsidR="00BC609C" w:rsidRPr="00D55BD3">
        <w:rPr>
          <w:rFonts w:ascii="Times New Roman" w:hAnsi="Times New Roman" w:cs="Times New Roman"/>
          <w:sz w:val="28"/>
          <w:szCs w:val="28"/>
        </w:rPr>
        <w:t>pr</w:t>
      </w:r>
      <w:r w:rsidR="00BC609C">
        <w:rPr>
          <w:rFonts w:ascii="Times New Roman" w:hAnsi="Times New Roman" w:cs="Times New Roman"/>
          <w:sz w:val="28"/>
          <w:szCs w:val="28"/>
        </w:rPr>
        <w:t xml:space="preserve">ocentpunktiem </w:t>
      </w:r>
      <w:r w:rsidR="006E16B0" w:rsidRPr="00997E8F">
        <w:rPr>
          <w:rFonts w:ascii="Times New Roman" w:hAnsi="Times New Roman" w:cs="Times New Roman"/>
          <w:sz w:val="28"/>
          <w:szCs w:val="28"/>
        </w:rPr>
        <w:t>(</w:t>
      </w:r>
      <w:r w:rsidR="00EA4293">
        <w:rPr>
          <w:rFonts w:ascii="Times New Roman" w:hAnsi="Times New Roman" w:cs="Times New Roman"/>
          <w:sz w:val="28"/>
          <w:szCs w:val="28"/>
        </w:rPr>
        <w:t>no</w:t>
      </w:r>
      <w:r w:rsidR="0022296B">
        <w:rPr>
          <w:rFonts w:ascii="Times New Roman" w:hAnsi="Times New Roman" w:cs="Times New Roman"/>
          <w:sz w:val="28"/>
          <w:szCs w:val="28"/>
        </w:rPr>
        <w:t> </w:t>
      </w:r>
      <w:r w:rsidR="00EA4293" w:rsidRPr="00997E8F">
        <w:rPr>
          <w:rFonts w:ascii="Times New Roman" w:hAnsi="Times New Roman" w:cs="Times New Roman"/>
          <w:sz w:val="28"/>
          <w:szCs w:val="28"/>
        </w:rPr>
        <w:t>3</w:t>
      </w:r>
      <w:r w:rsidR="00EA4293">
        <w:rPr>
          <w:rFonts w:ascii="Times New Roman" w:hAnsi="Times New Roman" w:cs="Times New Roman"/>
          <w:sz w:val="28"/>
          <w:szCs w:val="28"/>
        </w:rPr>
        <w:t>2 </w:t>
      </w:r>
      <w:r w:rsidR="00EA4293" w:rsidRPr="00997E8F">
        <w:rPr>
          <w:rFonts w:ascii="Times New Roman" w:hAnsi="Times New Roman" w:cs="Times New Roman"/>
          <w:sz w:val="28"/>
          <w:szCs w:val="28"/>
        </w:rPr>
        <w:t xml:space="preserve">% </w:t>
      </w:r>
      <w:r w:rsidR="00EA4293" w:rsidRPr="0080699B">
        <w:rPr>
          <w:rFonts w:ascii="Times New Roman" w:hAnsi="Times New Roman" w:cs="Times New Roman"/>
          <w:sz w:val="28"/>
          <w:szCs w:val="28"/>
        </w:rPr>
        <w:t>–</w:t>
      </w:r>
      <w:r w:rsidR="00EA4293">
        <w:rPr>
          <w:rFonts w:ascii="Times New Roman" w:hAnsi="Times New Roman" w:cs="Times New Roman"/>
          <w:sz w:val="28"/>
          <w:szCs w:val="28"/>
        </w:rPr>
        <w:t> </w:t>
      </w:r>
      <w:r w:rsidR="00EA4293" w:rsidRPr="00997E8F">
        <w:rPr>
          <w:rFonts w:ascii="Times New Roman" w:hAnsi="Times New Roman" w:cs="Times New Roman"/>
          <w:sz w:val="28"/>
          <w:szCs w:val="28"/>
        </w:rPr>
        <w:t xml:space="preserve">2015.gadā </w:t>
      </w:r>
      <w:r w:rsidR="00EA4293">
        <w:rPr>
          <w:rFonts w:ascii="Times New Roman" w:hAnsi="Times New Roman" w:cs="Times New Roman"/>
          <w:sz w:val="28"/>
          <w:szCs w:val="28"/>
        </w:rPr>
        <w:t>līdz 23 </w:t>
      </w:r>
      <w:r w:rsidR="00EA4293" w:rsidRPr="00997E8F">
        <w:rPr>
          <w:rFonts w:ascii="Times New Roman" w:hAnsi="Times New Roman" w:cs="Times New Roman"/>
          <w:sz w:val="28"/>
          <w:szCs w:val="28"/>
        </w:rPr>
        <w:t>%</w:t>
      </w:r>
      <w:r w:rsidR="0022296B">
        <w:rPr>
          <w:rFonts w:ascii="Times New Roman" w:hAnsi="Times New Roman" w:cs="Times New Roman"/>
          <w:sz w:val="28"/>
          <w:szCs w:val="28"/>
        </w:rPr>
        <w:t> </w:t>
      </w:r>
      <w:r w:rsidR="00EA4293">
        <w:rPr>
          <w:rFonts w:ascii="Times New Roman" w:hAnsi="Times New Roman" w:cs="Times New Roman"/>
          <w:sz w:val="28"/>
          <w:szCs w:val="28"/>
        </w:rPr>
        <w:softHyphen/>
      </w:r>
      <w:r w:rsidR="00EA4293" w:rsidRPr="0080699B">
        <w:rPr>
          <w:rFonts w:ascii="Times New Roman" w:hAnsi="Times New Roman" w:cs="Times New Roman"/>
          <w:sz w:val="28"/>
          <w:szCs w:val="28"/>
        </w:rPr>
        <w:t>–</w:t>
      </w:r>
      <w:r w:rsidR="00EA4293">
        <w:rPr>
          <w:rFonts w:ascii="Times New Roman" w:hAnsi="Times New Roman" w:cs="Times New Roman"/>
          <w:sz w:val="28"/>
          <w:szCs w:val="28"/>
        </w:rPr>
        <w:t> </w:t>
      </w:r>
      <w:r w:rsidR="00EA4293" w:rsidRPr="00997E8F">
        <w:rPr>
          <w:rFonts w:ascii="Times New Roman" w:hAnsi="Times New Roman" w:cs="Times New Roman"/>
          <w:sz w:val="28"/>
          <w:szCs w:val="28"/>
        </w:rPr>
        <w:t>201</w:t>
      </w:r>
      <w:r w:rsidR="00EA4293">
        <w:rPr>
          <w:rFonts w:ascii="Times New Roman" w:hAnsi="Times New Roman" w:cs="Times New Roman"/>
          <w:sz w:val="28"/>
          <w:szCs w:val="28"/>
        </w:rPr>
        <w:t>9.</w:t>
      </w:r>
      <w:r w:rsidR="00EA4293" w:rsidRPr="00997E8F">
        <w:rPr>
          <w:rFonts w:ascii="Times New Roman" w:hAnsi="Times New Roman" w:cs="Times New Roman"/>
          <w:sz w:val="28"/>
          <w:szCs w:val="28"/>
        </w:rPr>
        <w:t>gadā</w:t>
      </w:r>
      <w:r w:rsidR="006E16B0" w:rsidRPr="00997E8F">
        <w:rPr>
          <w:rFonts w:ascii="Times New Roman" w:hAnsi="Times New Roman" w:cs="Times New Roman"/>
          <w:sz w:val="28"/>
          <w:szCs w:val="28"/>
        </w:rPr>
        <w:t>) un darbinieku skaita</w:t>
      </w:r>
      <w:r w:rsidR="0022296B">
        <w:rPr>
          <w:rFonts w:ascii="Times New Roman" w:hAnsi="Times New Roman" w:cs="Times New Roman"/>
          <w:sz w:val="28"/>
          <w:szCs w:val="28"/>
        </w:rPr>
        <w:t xml:space="preserve"> </w:t>
      </w:r>
      <w:r w:rsidR="006E16B0" w:rsidRPr="00997E8F">
        <w:rPr>
          <w:rFonts w:ascii="Times New Roman" w:hAnsi="Times New Roman" w:cs="Times New Roman"/>
          <w:sz w:val="28"/>
          <w:szCs w:val="28"/>
        </w:rPr>
        <w:t>neuzrādīšana</w:t>
      </w:r>
      <w:r w:rsidR="0022296B">
        <w:rPr>
          <w:rFonts w:ascii="Times New Roman" w:hAnsi="Times New Roman" w:cs="Times New Roman"/>
          <w:sz w:val="28"/>
          <w:szCs w:val="28"/>
        </w:rPr>
        <w:t xml:space="preserve"> </w:t>
      </w:r>
      <w:r w:rsidR="00EA4293">
        <w:rPr>
          <w:rFonts w:ascii="Times New Roman" w:hAnsi="Times New Roman" w:cs="Times New Roman"/>
          <w:sz w:val="28"/>
          <w:szCs w:val="28"/>
        </w:rPr>
        <w:t>–</w:t>
      </w:r>
      <w:r w:rsidR="0022296B">
        <w:rPr>
          <w:rFonts w:ascii="Times New Roman" w:hAnsi="Times New Roman" w:cs="Times New Roman"/>
          <w:sz w:val="28"/>
          <w:szCs w:val="28"/>
        </w:rPr>
        <w:t xml:space="preserve"> </w:t>
      </w:r>
      <w:r w:rsidR="00EA4293">
        <w:rPr>
          <w:rFonts w:ascii="Times New Roman" w:hAnsi="Times New Roman" w:cs="Times New Roman"/>
          <w:sz w:val="28"/>
          <w:szCs w:val="28"/>
        </w:rPr>
        <w:t>par</w:t>
      </w:r>
      <w:r w:rsidR="0022296B">
        <w:rPr>
          <w:rFonts w:ascii="Times New Roman" w:hAnsi="Times New Roman" w:cs="Times New Roman"/>
          <w:sz w:val="28"/>
          <w:szCs w:val="28"/>
        </w:rPr>
        <w:t xml:space="preserve"> 6 </w:t>
      </w:r>
      <w:r w:rsidR="00EA4293">
        <w:rPr>
          <w:rFonts w:ascii="Times New Roman" w:hAnsi="Times New Roman" w:cs="Times New Roman"/>
          <w:sz w:val="28"/>
          <w:szCs w:val="28"/>
        </w:rPr>
        <w:t>procentpunktiem</w:t>
      </w:r>
      <w:r w:rsidR="0022296B">
        <w:rPr>
          <w:rFonts w:ascii="Times New Roman" w:hAnsi="Times New Roman" w:cs="Times New Roman"/>
          <w:sz w:val="28"/>
          <w:szCs w:val="28"/>
        </w:rPr>
        <w:t xml:space="preserve"> </w:t>
      </w:r>
      <w:r w:rsidR="006E16B0" w:rsidRPr="00997E8F">
        <w:rPr>
          <w:rFonts w:ascii="Times New Roman" w:hAnsi="Times New Roman" w:cs="Times New Roman"/>
          <w:sz w:val="28"/>
          <w:szCs w:val="28"/>
        </w:rPr>
        <w:t>(</w:t>
      </w:r>
      <w:r w:rsidR="00EA4293">
        <w:rPr>
          <w:rFonts w:ascii="Times New Roman" w:hAnsi="Times New Roman" w:cs="Times New Roman"/>
          <w:sz w:val="28"/>
          <w:szCs w:val="28"/>
        </w:rPr>
        <w:t>no</w:t>
      </w:r>
      <w:r w:rsidR="0022296B">
        <w:rPr>
          <w:rFonts w:ascii="Times New Roman" w:hAnsi="Times New Roman" w:cs="Times New Roman"/>
          <w:sz w:val="28"/>
          <w:szCs w:val="28"/>
        </w:rPr>
        <w:t xml:space="preserve"> </w:t>
      </w:r>
      <w:r w:rsidR="00EA4293">
        <w:rPr>
          <w:rFonts w:ascii="Times New Roman" w:hAnsi="Times New Roman" w:cs="Times New Roman"/>
          <w:sz w:val="28"/>
          <w:szCs w:val="28"/>
        </w:rPr>
        <w:t>23 </w:t>
      </w:r>
      <w:r w:rsidR="00EA4293" w:rsidRPr="00997E8F">
        <w:rPr>
          <w:rFonts w:ascii="Times New Roman" w:hAnsi="Times New Roman" w:cs="Times New Roman"/>
          <w:sz w:val="28"/>
          <w:szCs w:val="28"/>
        </w:rPr>
        <w:t>%</w:t>
      </w:r>
      <w:r w:rsidR="0022296B">
        <w:rPr>
          <w:rFonts w:ascii="Times New Roman" w:hAnsi="Times New Roman" w:cs="Times New Roman"/>
          <w:sz w:val="28"/>
          <w:szCs w:val="28"/>
        </w:rPr>
        <w:t> </w:t>
      </w:r>
      <w:r w:rsidR="00EA4293" w:rsidRPr="0080699B">
        <w:rPr>
          <w:rFonts w:ascii="Times New Roman" w:hAnsi="Times New Roman" w:cs="Times New Roman"/>
          <w:sz w:val="28"/>
          <w:szCs w:val="28"/>
        </w:rPr>
        <w:t>–</w:t>
      </w:r>
      <w:r w:rsidR="00EA4293">
        <w:rPr>
          <w:rFonts w:ascii="Times New Roman" w:hAnsi="Times New Roman" w:cs="Times New Roman"/>
          <w:sz w:val="28"/>
          <w:szCs w:val="28"/>
        </w:rPr>
        <w:t> </w:t>
      </w:r>
      <w:r w:rsidR="00EA4293" w:rsidRPr="00997E8F">
        <w:rPr>
          <w:rFonts w:ascii="Times New Roman" w:hAnsi="Times New Roman" w:cs="Times New Roman"/>
          <w:sz w:val="28"/>
          <w:szCs w:val="28"/>
        </w:rPr>
        <w:t>2015.gadā</w:t>
      </w:r>
      <w:r w:rsidR="0022296B">
        <w:rPr>
          <w:rFonts w:ascii="Times New Roman" w:hAnsi="Times New Roman" w:cs="Times New Roman"/>
          <w:sz w:val="28"/>
          <w:szCs w:val="28"/>
        </w:rPr>
        <w:t xml:space="preserve"> </w:t>
      </w:r>
      <w:r w:rsidR="00EA4293">
        <w:rPr>
          <w:rFonts w:ascii="Times New Roman" w:hAnsi="Times New Roman" w:cs="Times New Roman"/>
          <w:sz w:val="28"/>
          <w:szCs w:val="28"/>
        </w:rPr>
        <w:t>līdz 16 </w:t>
      </w:r>
      <w:r w:rsidR="00EA4293" w:rsidRPr="00997E8F">
        <w:rPr>
          <w:rFonts w:ascii="Times New Roman" w:hAnsi="Times New Roman" w:cs="Times New Roman"/>
          <w:sz w:val="28"/>
          <w:szCs w:val="28"/>
        </w:rPr>
        <w:t>%</w:t>
      </w:r>
      <w:r w:rsidR="0022296B">
        <w:rPr>
          <w:rFonts w:ascii="Times New Roman" w:hAnsi="Times New Roman" w:cs="Times New Roman"/>
          <w:sz w:val="28"/>
          <w:szCs w:val="28"/>
        </w:rPr>
        <w:t> </w:t>
      </w:r>
      <w:r w:rsidR="00EA4293" w:rsidRPr="0080699B">
        <w:rPr>
          <w:rFonts w:ascii="Times New Roman" w:hAnsi="Times New Roman" w:cs="Times New Roman"/>
          <w:sz w:val="28"/>
          <w:szCs w:val="28"/>
        </w:rPr>
        <w:t>–</w:t>
      </w:r>
      <w:r w:rsidR="00EA4293">
        <w:rPr>
          <w:rFonts w:ascii="Times New Roman" w:hAnsi="Times New Roman" w:cs="Times New Roman"/>
          <w:sz w:val="28"/>
          <w:szCs w:val="28"/>
        </w:rPr>
        <w:t> </w:t>
      </w:r>
      <w:r w:rsidR="00EA4293" w:rsidRPr="00997E8F">
        <w:rPr>
          <w:rFonts w:ascii="Times New Roman" w:hAnsi="Times New Roman" w:cs="Times New Roman"/>
          <w:sz w:val="28"/>
          <w:szCs w:val="28"/>
        </w:rPr>
        <w:t>201</w:t>
      </w:r>
      <w:r w:rsidR="00EA4293">
        <w:rPr>
          <w:rFonts w:ascii="Times New Roman" w:hAnsi="Times New Roman" w:cs="Times New Roman"/>
          <w:sz w:val="28"/>
          <w:szCs w:val="28"/>
        </w:rPr>
        <w:t>9.</w:t>
      </w:r>
      <w:r w:rsidR="00EA4293" w:rsidRPr="00997E8F">
        <w:rPr>
          <w:rFonts w:ascii="Times New Roman" w:hAnsi="Times New Roman" w:cs="Times New Roman"/>
          <w:sz w:val="28"/>
          <w:szCs w:val="28"/>
        </w:rPr>
        <w:t>gadā</w:t>
      </w:r>
      <w:r w:rsidR="006E16B0" w:rsidRPr="00997E8F">
        <w:rPr>
          <w:rFonts w:ascii="Times New Roman" w:hAnsi="Times New Roman" w:cs="Times New Roman"/>
          <w:sz w:val="28"/>
          <w:szCs w:val="28"/>
        </w:rPr>
        <w:t>).</w:t>
      </w:r>
    </w:p>
    <w:p w14:paraId="010C1DB7" w14:textId="79843D0D" w:rsidR="00C40083" w:rsidRDefault="0022036D" w:rsidP="00C40083">
      <w:pPr>
        <w:pStyle w:val="NoSpacing"/>
        <w:spacing w:before="0"/>
        <w:ind w:firstLine="720"/>
        <w:jc w:val="both"/>
        <w:rPr>
          <w:rFonts w:ascii="Times New Roman" w:hAnsi="Times New Roman" w:cs="Times New Roman"/>
          <w:sz w:val="28"/>
          <w:szCs w:val="28"/>
        </w:rPr>
      </w:pPr>
      <w:r>
        <w:rPr>
          <w:rFonts w:ascii="Times New Roman" w:eastAsia="Century Gothic" w:hAnsi="Times New Roman" w:cs="Times New Roman"/>
          <w:sz w:val="28"/>
          <w:szCs w:val="28"/>
        </w:rPr>
        <w:t xml:space="preserve">Tas ļauj izdarīt pamatotus secinājumus, </w:t>
      </w:r>
      <w:r w:rsidR="00C40083" w:rsidRPr="00BA6C4E">
        <w:rPr>
          <w:rFonts w:ascii="Times New Roman" w:hAnsi="Times New Roman" w:cs="Times New Roman"/>
          <w:sz w:val="28"/>
          <w:szCs w:val="28"/>
        </w:rPr>
        <w:t>ka</w:t>
      </w:r>
      <w:r w:rsidR="00A745CB">
        <w:rPr>
          <w:rFonts w:ascii="Times New Roman" w:hAnsi="Times New Roman" w:cs="Times New Roman"/>
          <w:sz w:val="28"/>
          <w:szCs w:val="28"/>
        </w:rPr>
        <w:t>,</w:t>
      </w:r>
      <w:r w:rsidR="00C40083" w:rsidRPr="00BA6C4E">
        <w:rPr>
          <w:rFonts w:ascii="Times New Roman" w:hAnsi="Times New Roman" w:cs="Times New Roman"/>
          <w:sz w:val="28"/>
          <w:szCs w:val="28"/>
        </w:rPr>
        <w:t xml:space="preserve"> pateicoties pārdomātiem un kompleksiem ēnu ekonomikas ierobežošanas pasākumiem</w:t>
      </w:r>
      <w:r w:rsidR="005A5109" w:rsidRPr="005A5109">
        <w:rPr>
          <w:rFonts w:ascii="Times New Roman" w:hAnsi="Times New Roman" w:cs="Times New Roman"/>
          <w:sz w:val="28"/>
          <w:szCs w:val="28"/>
        </w:rPr>
        <w:t xml:space="preserve"> </w:t>
      </w:r>
      <w:r w:rsidR="005A5109" w:rsidRPr="00BA6C4E">
        <w:rPr>
          <w:rFonts w:ascii="Times New Roman" w:hAnsi="Times New Roman" w:cs="Times New Roman"/>
          <w:sz w:val="28"/>
          <w:szCs w:val="28"/>
        </w:rPr>
        <w:t>būvniecības nozarē</w:t>
      </w:r>
      <w:r>
        <w:rPr>
          <w:rFonts w:ascii="Times New Roman" w:hAnsi="Times New Roman" w:cs="Times New Roman"/>
          <w:sz w:val="28"/>
          <w:szCs w:val="28"/>
        </w:rPr>
        <w:t>,</w:t>
      </w:r>
      <w:r w:rsidR="00C40083" w:rsidRPr="00BA6C4E">
        <w:rPr>
          <w:rFonts w:ascii="Times New Roman" w:hAnsi="Times New Roman" w:cs="Times New Roman"/>
          <w:sz w:val="28"/>
          <w:szCs w:val="28"/>
        </w:rPr>
        <w:t xml:space="preserve"> </w:t>
      </w:r>
      <w:r>
        <w:rPr>
          <w:rFonts w:ascii="Times New Roman" w:eastAsia="Century Gothic" w:hAnsi="Times New Roman" w:cs="Times New Roman"/>
          <w:sz w:val="28"/>
          <w:szCs w:val="28"/>
        </w:rPr>
        <w:t xml:space="preserve">tai skaitā ieviešot EDLUS, </w:t>
      </w:r>
      <w:r w:rsidR="005A5109">
        <w:rPr>
          <w:rFonts w:ascii="Times New Roman" w:eastAsia="Century Gothic" w:hAnsi="Times New Roman" w:cs="Times New Roman"/>
          <w:sz w:val="28"/>
          <w:szCs w:val="28"/>
        </w:rPr>
        <w:t>sa</w:t>
      </w:r>
      <w:r>
        <w:rPr>
          <w:rFonts w:ascii="Times New Roman" w:eastAsia="Century Gothic" w:hAnsi="Times New Roman" w:cs="Times New Roman"/>
          <w:sz w:val="28"/>
          <w:szCs w:val="28"/>
        </w:rPr>
        <w:t>snie</w:t>
      </w:r>
      <w:r w:rsidR="005A5109">
        <w:rPr>
          <w:rFonts w:ascii="Times New Roman" w:eastAsia="Century Gothic" w:hAnsi="Times New Roman" w:cs="Times New Roman"/>
          <w:sz w:val="28"/>
          <w:szCs w:val="28"/>
        </w:rPr>
        <w:t xml:space="preserve">gts </w:t>
      </w:r>
      <w:r>
        <w:rPr>
          <w:rFonts w:ascii="Times New Roman" w:eastAsia="Century Gothic" w:hAnsi="Times New Roman" w:cs="Times New Roman"/>
          <w:sz w:val="28"/>
          <w:szCs w:val="28"/>
        </w:rPr>
        <w:t>pozitīv</w:t>
      </w:r>
      <w:r w:rsidR="005A5109">
        <w:rPr>
          <w:rFonts w:ascii="Times New Roman" w:eastAsia="Century Gothic" w:hAnsi="Times New Roman" w:cs="Times New Roman"/>
          <w:sz w:val="28"/>
          <w:szCs w:val="28"/>
        </w:rPr>
        <w:t>s</w:t>
      </w:r>
      <w:r>
        <w:rPr>
          <w:rFonts w:ascii="Times New Roman" w:eastAsia="Century Gothic" w:hAnsi="Times New Roman" w:cs="Times New Roman"/>
          <w:sz w:val="28"/>
          <w:szCs w:val="28"/>
        </w:rPr>
        <w:t xml:space="preserve"> efekt</w:t>
      </w:r>
      <w:r w:rsidR="005A5109">
        <w:rPr>
          <w:rFonts w:ascii="Times New Roman" w:eastAsia="Century Gothic" w:hAnsi="Times New Roman" w:cs="Times New Roman"/>
          <w:sz w:val="28"/>
          <w:szCs w:val="28"/>
        </w:rPr>
        <w:t xml:space="preserve">s, panākot </w:t>
      </w:r>
      <w:r w:rsidR="005A5109" w:rsidRPr="00BA6C4E">
        <w:rPr>
          <w:rFonts w:ascii="Times New Roman" w:hAnsi="Times New Roman" w:cs="Times New Roman"/>
          <w:sz w:val="28"/>
          <w:szCs w:val="28"/>
        </w:rPr>
        <w:t>sešu gadu laikā ēnu ekonomikas rādītāj</w:t>
      </w:r>
      <w:r w:rsidR="005A5109">
        <w:rPr>
          <w:rFonts w:ascii="Times New Roman" w:hAnsi="Times New Roman" w:cs="Times New Roman"/>
          <w:sz w:val="28"/>
          <w:szCs w:val="28"/>
        </w:rPr>
        <w:t>a samazinājumu</w:t>
      </w:r>
      <w:r w:rsidR="005A5109" w:rsidRPr="00BA6C4E">
        <w:rPr>
          <w:rFonts w:ascii="Times New Roman" w:hAnsi="Times New Roman" w:cs="Times New Roman"/>
          <w:sz w:val="28"/>
          <w:szCs w:val="28"/>
        </w:rPr>
        <w:t xml:space="preserve"> </w:t>
      </w:r>
      <w:r w:rsidR="00C40083" w:rsidRPr="00BA6C4E">
        <w:rPr>
          <w:rFonts w:ascii="Times New Roman" w:hAnsi="Times New Roman" w:cs="Times New Roman"/>
          <w:sz w:val="28"/>
          <w:szCs w:val="28"/>
        </w:rPr>
        <w:t>par 11,3 procentpunktiem, no 40 %</w:t>
      </w:r>
      <w:r w:rsidR="006E16B0">
        <w:rPr>
          <w:rFonts w:ascii="Times New Roman" w:hAnsi="Times New Roman" w:cs="Times New Roman"/>
          <w:sz w:val="28"/>
          <w:szCs w:val="28"/>
        </w:rPr>
        <w:t xml:space="preserve"> </w:t>
      </w:r>
      <w:r w:rsidR="006E16B0" w:rsidRPr="0080699B">
        <w:rPr>
          <w:rFonts w:ascii="Times New Roman" w:hAnsi="Times New Roman" w:cs="Times New Roman"/>
          <w:sz w:val="28"/>
          <w:szCs w:val="28"/>
        </w:rPr>
        <w:t>–</w:t>
      </w:r>
      <w:r w:rsidR="006E16B0">
        <w:rPr>
          <w:rFonts w:ascii="Times New Roman" w:hAnsi="Times New Roman" w:cs="Times New Roman"/>
          <w:sz w:val="28"/>
          <w:szCs w:val="28"/>
        </w:rPr>
        <w:t xml:space="preserve"> </w:t>
      </w:r>
      <w:r w:rsidR="00C40083" w:rsidRPr="00BA6C4E">
        <w:rPr>
          <w:rFonts w:ascii="Times New Roman" w:hAnsi="Times New Roman" w:cs="Times New Roman"/>
          <w:sz w:val="28"/>
          <w:szCs w:val="28"/>
        </w:rPr>
        <w:t xml:space="preserve">2015.gadā līdz 28,7 % </w:t>
      </w:r>
      <w:r w:rsidR="006E16B0" w:rsidRPr="0080699B">
        <w:rPr>
          <w:rFonts w:ascii="Times New Roman" w:hAnsi="Times New Roman" w:cs="Times New Roman"/>
          <w:sz w:val="28"/>
          <w:szCs w:val="28"/>
        </w:rPr>
        <w:t>–</w:t>
      </w:r>
      <w:r w:rsidR="006E16B0">
        <w:rPr>
          <w:rFonts w:ascii="Times New Roman" w:hAnsi="Times New Roman" w:cs="Times New Roman"/>
          <w:sz w:val="28"/>
          <w:szCs w:val="28"/>
        </w:rPr>
        <w:t xml:space="preserve"> </w:t>
      </w:r>
      <w:r w:rsidR="00C40083" w:rsidRPr="00BA6C4E">
        <w:rPr>
          <w:rFonts w:ascii="Times New Roman" w:hAnsi="Times New Roman" w:cs="Times New Roman"/>
          <w:sz w:val="28"/>
          <w:szCs w:val="28"/>
        </w:rPr>
        <w:t>202</w:t>
      </w:r>
      <w:r w:rsidR="006E16B0">
        <w:rPr>
          <w:rFonts w:ascii="Times New Roman" w:hAnsi="Times New Roman" w:cs="Times New Roman"/>
          <w:sz w:val="28"/>
          <w:szCs w:val="28"/>
        </w:rPr>
        <w:t>0</w:t>
      </w:r>
      <w:r w:rsidR="00C40083" w:rsidRPr="00BA6C4E">
        <w:rPr>
          <w:rFonts w:ascii="Times New Roman" w:hAnsi="Times New Roman" w:cs="Times New Roman"/>
          <w:sz w:val="28"/>
          <w:szCs w:val="28"/>
        </w:rPr>
        <w:t>.gadā.</w:t>
      </w:r>
      <w:r w:rsidRPr="0022036D">
        <w:rPr>
          <w:rFonts w:ascii="Times New Roman" w:eastAsia="Century Gothic" w:hAnsi="Times New Roman" w:cs="Times New Roman"/>
          <w:sz w:val="28"/>
          <w:szCs w:val="28"/>
        </w:rPr>
        <w:t xml:space="preserve"> </w:t>
      </w:r>
    </w:p>
    <w:p w14:paraId="6BB1A441" w14:textId="07681C45" w:rsidR="00BF173E" w:rsidRPr="00003FC5" w:rsidRDefault="00875E79" w:rsidP="00D76019">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Tomēr, l</w:t>
      </w:r>
      <w:r w:rsidR="009E70C5">
        <w:rPr>
          <w:rFonts w:ascii="Times New Roman" w:eastAsia="Century Gothic" w:hAnsi="Times New Roman" w:cs="Times New Roman"/>
          <w:sz w:val="28"/>
          <w:szCs w:val="28"/>
        </w:rPr>
        <w:t>ai pilnvē</w:t>
      </w:r>
      <w:r w:rsidR="00BF173E">
        <w:rPr>
          <w:rFonts w:ascii="Times New Roman" w:eastAsia="Century Gothic" w:hAnsi="Times New Roman" w:cs="Times New Roman"/>
          <w:sz w:val="28"/>
          <w:szCs w:val="28"/>
        </w:rPr>
        <w:t>r</w:t>
      </w:r>
      <w:r w:rsidR="009E70C5">
        <w:rPr>
          <w:rFonts w:ascii="Times New Roman" w:eastAsia="Century Gothic" w:hAnsi="Times New Roman" w:cs="Times New Roman"/>
          <w:sz w:val="28"/>
          <w:szCs w:val="28"/>
        </w:rPr>
        <w:t xml:space="preserve">tīgi novērtētu </w:t>
      </w:r>
      <w:r w:rsidR="00962203" w:rsidRPr="00962203">
        <w:rPr>
          <w:rFonts w:ascii="Times New Roman" w:eastAsia="Century Gothic" w:hAnsi="Times New Roman" w:cs="Times New Roman"/>
          <w:sz w:val="28"/>
          <w:szCs w:val="28"/>
        </w:rPr>
        <w:t xml:space="preserve">EDLUS ieviešanas ietekmi uz </w:t>
      </w:r>
      <w:r w:rsidR="00AC75DE">
        <w:rPr>
          <w:rFonts w:ascii="Times New Roman" w:eastAsia="Century Gothic" w:hAnsi="Times New Roman" w:cs="Times New Roman"/>
          <w:sz w:val="28"/>
          <w:szCs w:val="28"/>
        </w:rPr>
        <w:t xml:space="preserve">ēnu </w:t>
      </w:r>
      <w:r w:rsidR="009E70C5">
        <w:rPr>
          <w:rFonts w:ascii="Times New Roman" w:eastAsia="Century Gothic" w:hAnsi="Times New Roman" w:cs="Times New Roman"/>
          <w:sz w:val="28"/>
          <w:szCs w:val="28"/>
        </w:rPr>
        <w:t xml:space="preserve">ekonomikas </w:t>
      </w:r>
      <w:r w:rsidR="001A62C0">
        <w:rPr>
          <w:rFonts w:ascii="Times New Roman" w:eastAsia="Century Gothic" w:hAnsi="Times New Roman" w:cs="Times New Roman"/>
          <w:sz w:val="28"/>
          <w:szCs w:val="28"/>
        </w:rPr>
        <w:t xml:space="preserve">ierobežošanu </w:t>
      </w:r>
      <w:r w:rsidR="009E70C5" w:rsidRPr="00003FC5">
        <w:rPr>
          <w:rFonts w:ascii="Times New Roman" w:eastAsia="Century Gothic" w:hAnsi="Times New Roman" w:cs="Times New Roman"/>
          <w:sz w:val="28"/>
          <w:szCs w:val="28"/>
        </w:rPr>
        <w:t xml:space="preserve">konkrētos </w:t>
      </w:r>
      <w:r w:rsidR="00962203" w:rsidRPr="00003FC5">
        <w:rPr>
          <w:rFonts w:ascii="Times New Roman" w:eastAsia="Century Gothic" w:hAnsi="Times New Roman" w:cs="Times New Roman"/>
          <w:sz w:val="28"/>
          <w:szCs w:val="28"/>
        </w:rPr>
        <w:t xml:space="preserve">būvniecības </w:t>
      </w:r>
      <w:r w:rsidR="009E70C5" w:rsidRPr="00003FC5">
        <w:rPr>
          <w:rFonts w:ascii="Times New Roman" w:eastAsia="Century Gothic" w:hAnsi="Times New Roman" w:cs="Times New Roman"/>
          <w:sz w:val="28"/>
          <w:szCs w:val="28"/>
        </w:rPr>
        <w:t xml:space="preserve">objektos un </w:t>
      </w:r>
      <w:r w:rsidR="00962203" w:rsidRPr="00003FC5">
        <w:rPr>
          <w:rFonts w:ascii="Times New Roman" w:eastAsia="Century Gothic" w:hAnsi="Times New Roman" w:cs="Times New Roman"/>
          <w:sz w:val="28"/>
          <w:szCs w:val="28"/>
        </w:rPr>
        <w:t>nozar</w:t>
      </w:r>
      <w:r w:rsidR="009E70C5" w:rsidRPr="00003FC5">
        <w:rPr>
          <w:rFonts w:ascii="Times New Roman" w:eastAsia="Century Gothic" w:hAnsi="Times New Roman" w:cs="Times New Roman"/>
          <w:sz w:val="28"/>
          <w:szCs w:val="28"/>
        </w:rPr>
        <w:t>ē kopumā</w:t>
      </w:r>
      <w:r w:rsidR="00BF173E" w:rsidRPr="00003FC5">
        <w:rPr>
          <w:rFonts w:ascii="Times New Roman" w:eastAsia="Century Gothic" w:hAnsi="Times New Roman" w:cs="Times New Roman"/>
          <w:sz w:val="28"/>
          <w:szCs w:val="28"/>
        </w:rPr>
        <w:t>,</w:t>
      </w:r>
      <w:r w:rsidRPr="00003FC5">
        <w:rPr>
          <w:rFonts w:ascii="Times New Roman" w:eastAsia="Century Gothic" w:hAnsi="Times New Roman" w:cs="Times New Roman"/>
          <w:sz w:val="28"/>
          <w:szCs w:val="28"/>
        </w:rPr>
        <w:t xml:space="preserve"> ir jāveic papildus </w:t>
      </w:r>
      <w:proofErr w:type="spellStart"/>
      <w:r w:rsidRPr="00003FC5">
        <w:rPr>
          <w:rFonts w:ascii="Times New Roman" w:eastAsia="Century Gothic" w:hAnsi="Times New Roman" w:cs="Times New Roman"/>
          <w:sz w:val="28"/>
          <w:szCs w:val="28"/>
        </w:rPr>
        <w:t>izvērtējums</w:t>
      </w:r>
      <w:proofErr w:type="spellEnd"/>
      <w:r w:rsidRPr="00003FC5">
        <w:rPr>
          <w:rFonts w:ascii="Times New Roman" w:eastAsia="Century Gothic" w:hAnsi="Times New Roman" w:cs="Times New Roman"/>
          <w:sz w:val="28"/>
          <w:szCs w:val="28"/>
        </w:rPr>
        <w:t xml:space="preserve"> par š</w:t>
      </w:r>
      <w:r w:rsidR="00AE2A9C" w:rsidRPr="00003FC5">
        <w:rPr>
          <w:rFonts w:ascii="Times New Roman" w:eastAsia="Century Gothic" w:hAnsi="Times New Roman" w:cs="Times New Roman"/>
          <w:sz w:val="28"/>
          <w:szCs w:val="28"/>
        </w:rPr>
        <w:t>ād</w:t>
      </w:r>
      <w:r w:rsidRPr="00003FC5">
        <w:rPr>
          <w:rFonts w:ascii="Times New Roman" w:eastAsia="Century Gothic" w:hAnsi="Times New Roman" w:cs="Times New Roman"/>
          <w:sz w:val="28"/>
          <w:szCs w:val="28"/>
        </w:rPr>
        <w:t>iem aspektiem:</w:t>
      </w:r>
    </w:p>
    <w:p w14:paraId="513E71B8" w14:textId="7A2D6C5B" w:rsidR="00BF173E" w:rsidRDefault="00BF173E" w:rsidP="00D76019">
      <w:pPr>
        <w:pStyle w:val="ListParagraph"/>
        <w:numPr>
          <w:ilvl w:val="0"/>
          <w:numId w:val="39"/>
        </w:numPr>
        <w:spacing w:before="0" w:after="0" w:line="240" w:lineRule="auto"/>
        <w:ind w:left="567" w:firstLine="0"/>
        <w:jc w:val="both"/>
        <w:rPr>
          <w:rFonts w:ascii="Times New Roman" w:eastAsia="Century Gothic" w:hAnsi="Times New Roman" w:cs="Times New Roman"/>
          <w:sz w:val="28"/>
          <w:szCs w:val="28"/>
        </w:rPr>
      </w:pPr>
      <w:r w:rsidRPr="00003FC5">
        <w:rPr>
          <w:rFonts w:ascii="Times New Roman" w:eastAsia="Century Gothic" w:hAnsi="Times New Roman" w:cs="Times New Roman"/>
          <w:sz w:val="28"/>
          <w:szCs w:val="28"/>
        </w:rPr>
        <w:t>Ēnu ekonomikas esamība un</w:t>
      </w:r>
      <w:r w:rsidR="00C93C8C" w:rsidRPr="00003FC5">
        <w:rPr>
          <w:rFonts w:ascii="Times New Roman" w:eastAsia="Century Gothic" w:hAnsi="Times New Roman" w:cs="Times New Roman"/>
          <w:sz w:val="28"/>
          <w:szCs w:val="28"/>
        </w:rPr>
        <w:t xml:space="preserve"> tās</w:t>
      </w:r>
      <w:r w:rsidRPr="00003FC5">
        <w:rPr>
          <w:rFonts w:ascii="Times New Roman" w:eastAsia="Century Gothic" w:hAnsi="Times New Roman" w:cs="Times New Roman"/>
          <w:sz w:val="28"/>
          <w:szCs w:val="28"/>
        </w:rPr>
        <w:t xml:space="preserve"> iespējamās izpausmes objektos, kuros</w:t>
      </w:r>
      <w:r>
        <w:rPr>
          <w:rFonts w:ascii="Times New Roman" w:eastAsia="Century Gothic" w:hAnsi="Times New Roman" w:cs="Times New Roman"/>
          <w:sz w:val="28"/>
          <w:szCs w:val="28"/>
        </w:rPr>
        <w:t xml:space="preserve"> ir ieviesta </w:t>
      </w:r>
      <w:r w:rsidR="00E53556">
        <w:rPr>
          <w:rFonts w:ascii="Times New Roman" w:eastAsia="Century Gothic" w:hAnsi="Times New Roman" w:cs="Times New Roman"/>
          <w:sz w:val="28"/>
          <w:szCs w:val="28"/>
        </w:rPr>
        <w:t>EDLU</w:t>
      </w:r>
      <w:r w:rsidR="00066069">
        <w:rPr>
          <w:rFonts w:ascii="Times New Roman" w:eastAsia="Century Gothic" w:hAnsi="Times New Roman" w:cs="Times New Roman"/>
          <w:sz w:val="28"/>
          <w:szCs w:val="28"/>
        </w:rPr>
        <w:t>S</w:t>
      </w:r>
      <w:r w:rsidR="00D76019">
        <w:rPr>
          <w:rFonts w:ascii="Times New Roman" w:eastAsia="Century Gothic" w:hAnsi="Times New Roman" w:cs="Times New Roman"/>
          <w:sz w:val="28"/>
          <w:szCs w:val="28"/>
        </w:rPr>
        <w:t>.</w:t>
      </w:r>
    </w:p>
    <w:p w14:paraId="2ED8DCF8" w14:textId="437FD524" w:rsidR="00D76019" w:rsidRDefault="00D76019" w:rsidP="005F7DBA">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Lai gan</w:t>
      </w:r>
      <w:r w:rsidR="00AE2A9C">
        <w:rPr>
          <w:rFonts w:ascii="Times New Roman" w:eastAsia="Century Gothic" w:hAnsi="Times New Roman" w:cs="Times New Roman"/>
          <w:sz w:val="28"/>
          <w:szCs w:val="28"/>
        </w:rPr>
        <w:t xml:space="preserve"> kopējie tautsaimniecības attīstības</w:t>
      </w:r>
      <w:r>
        <w:rPr>
          <w:rFonts w:ascii="Times New Roman" w:eastAsia="Century Gothic" w:hAnsi="Times New Roman" w:cs="Times New Roman"/>
          <w:sz w:val="28"/>
          <w:szCs w:val="28"/>
        </w:rPr>
        <w:t xml:space="preserve"> </w:t>
      </w:r>
      <w:r w:rsidRPr="00AE2A9C">
        <w:rPr>
          <w:rFonts w:ascii="Times New Roman" w:eastAsia="Century Gothic" w:hAnsi="Times New Roman" w:cs="Times New Roman"/>
          <w:sz w:val="28"/>
          <w:szCs w:val="28"/>
        </w:rPr>
        <w:t>rādītāji uzlabojas</w:t>
      </w:r>
      <w:r>
        <w:rPr>
          <w:rFonts w:ascii="Times New Roman" w:eastAsia="Century Gothic" w:hAnsi="Times New Roman" w:cs="Times New Roman"/>
          <w:sz w:val="28"/>
          <w:szCs w:val="28"/>
        </w:rPr>
        <w:t xml:space="preserve">, kā </w:t>
      </w:r>
      <w:r w:rsidRPr="000F2200">
        <w:rPr>
          <w:rFonts w:ascii="Times New Roman" w:eastAsia="Century Gothic" w:hAnsi="Times New Roman" w:cs="Times New Roman"/>
          <w:sz w:val="28"/>
          <w:szCs w:val="28"/>
        </w:rPr>
        <w:t xml:space="preserve">arī </w:t>
      </w:r>
      <w:r w:rsidR="00AE2A9C" w:rsidRPr="000F2200">
        <w:rPr>
          <w:rFonts w:ascii="Times New Roman" w:eastAsia="Century Gothic" w:hAnsi="Times New Roman" w:cs="Times New Roman"/>
          <w:sz w:val="28"/>
          <w:szCs w:val="28"/>
        </w:rPr>
        <w:t xml:space="preserve">palielinās </w:t>
      </w:r>
      <w:r w:rsidRPr="000F2200">
        <w:rPr>
          <w:rFonts w:ascii="Times New Roman" w:eastAsia="Century Gothic" w:hAnsi="Times New Roman" w:cs="Times New Roman"/>
          <w:sz w:val="28"/>
          <w:szCs w:val="28"/>
        </w:rPr>
        <w:t xml:space="preserve">iekasēto nodokļu apjomi, vispārējie </w:t>
      </w:r>
      <w:r w:rsidR="006E6F87" w:rsidRPr="000F2200">
        <w:rPr>
          <w:rFonts w:ascii="Times New Roman" w:eastAsia="Century Gothic" w:hAnsi="Times New Roman" w:cs="Times New Roman"/>
          <w:sz w:val="28"/>
          <w:szCs w:val="28"/>
        </w:rPr>
        <w:t xml:space="preserve">būvniecības </w:t>
      </w:r>
      <w:r w:rsidRPr="000F2200">
        <w:rPr>
          <w:rFonts w:ascii="Times New Roman" w:eastAsia="Century Gothic" w:hAnsi="Times New Roman" w:cs="Times New Roman"/>
          <w:sz w:val="28"/>
          <w:szCs w:val="28"/>
        </w:rPr>
        <w:t>nozares rādītāji nav pietiekami, lai izdarītu pamatotus secinājumus par EDLU efektivitāti</w:t>
      </w:r>
      <w:r w:rsidR="00D53FAB">
        <w:rPr>
          <w:rFonts w:ascii="Times New Roman" w:eastAsia="Century Gothic" w:hAnsi="Times New Roman" w:cs="Times New Roman"/>
          <w:sz w:val="28"/>
          <w:szCs w:val="28"/>
        </w:rPr>
        <w:t xml:space="preserve"> un par EDLU </w:t>
      </w:r>
      <w:r w:rsidRPr="00D53FAB">
        <w:rPr>
          <w:rFonts w:ascii="Times New Roman" w:eastAsia="Century Gothic" w:hAnsi="Times New Roman" w:cs="Times New Roman"/>
          <w:sz w:val="28"/>
          <w:szCs w:val="28"/>
        </w:rPr>
        <w:t>ietekmi uz ēnu ekonomikas</w:t>
      </w:r>
      <w:r w:rsidR="00003FC5" w:rsidRPr="00D53FAB">
        <w:rPr>
          <w:rFonts w:ascii="Times New Roman" w:eastAsia="Century Gothic" w:hAnsi="Times New Roman" w:cs="Times New Roman"/>
          <w:sz w:val="28"/>
          <w:szCs w:val="28"/>
        </w:rPr>
        <w:t xml:space="preserve"> </w:t>
      </w:r>
      <w:r w:rsidR="00D53FAB" w:rsidRPr="00D53FAB">
        <w:rPr>
          <w:rFonts w:ascii="Times New Roman" w:eastAsia="Century Gothic" w:hAnsi="Times New Roman" w:cs="Times New Roman"/>
          <w:sz w:val="28"/>
          <w:szCs w:val="28"/>
        </w:rPr>
        <w:t>komponenšu – “aplokšņu algu” un nelegālās nodarbinātības</w:t>
      </w:r>
      <w:r w:rsidRPr="00D53FAB">
        <w:rPr>
          <w:rFonts w:ascii="Times New Roman" w:eastAsia="Century Gothic" w:hAnsi="Times New Roman" w:cs="Times New Roman"/>
          <w:sz w:val="28"/>
          <w:szCs w:val="28"/>
        </w:rPr>
        <w:t xml:space="preserve"> </w:t>
      </w:r>
      <w:r w:rsidR="00D53FAB" w:rsidRPr="00D53FAB">
        <w:rPr>
          <w:rFonts w:ascii="Times New Roman" w:eastAsia="Century Gothic" w:hAnsi="Times New Roman" w:cs="Times New Roman"/>
          <w:sz w:val="28"/>
          <w:szCs w:val="28"/>
        </w:rPr>
        <w:t>samazināšanos</w:t>
      </w:r>
      <w:r w:rsidRPr="00D53FAB">
        <w:rPr>
          <w:rFonts w:ascii="Times New Roman" w:eastAsia="Century Gothic" w:hAnsi="Times New Roman" w:cs="Times New Roman"/>
          <w:sz w:val="28"/>
          <w:szCs w:val="28"/>
        </w:rPr>
        <w:t>,</w:t>
      </w:r>
      <w:r w:rsidRPr="000F2200">
        <w:rPr>
          <w:rFonts w:ascii="Times New Roman" w:eastAsia="Century Gothic" w:hAnsi="Times New Roman" w:cs="Times New Roman"/>
          <w:sz w:val="28"/>
          <w:szCs w:val="28"/>
        </w:rPr>
        <w:t xml:space="preserve"> kā arī vērtēt </w:t>
      </w:r>
      <w:r w:rsidR="005F7DBA" w:rsidRPr="000F2200">
        <w:rPr>
          <w:rFonts w:ascii="Times New Roman" w:eastAsia="Century Gothic" w:hAnsi="Times New Roman" w:cs="Times New Roman"/>
          <w:sz w:val="28"/>
          <w:szCs w:val="28"/>
        </w:rPr>
        <w:t xml:space="preserve">turpmāk </w:t>
      </w:r>
      <w:r w:rsidRPr="000F2200">
        <w:rPr>
          <w:rFonts w:ascii="Times New Roman" w:eastAsia="Century Gothic" w:hAnsi="Times New Roman" w:cs="Times New Roman"/>
          <w:sz w:val="28"/>
          <w:szCs w:val="28"/>
        </w:rPr>
        <w:t>nepieciešamos sistēmiskus uzlabojumus</w:t>
      </w:r>
      <w:r w:rsidR="005F7DBA" w:rsidRPr="000F2200">
        <w:rPr>
          <w:rFonts w:ascii="Times New Roman" w:eastAsia="Century Gothic" w:hAnsi="Times New Roman" w:cs="Times New Roman"/>
          <w:sz w:val="28"/>
          <w:szCs w:val="28"/>
        </w:rPr>
        <w:t xml:space="preserve"> EDLU sistēmā vai citus uz ēnu ekonomikas ierobežošanu vērstus pasākumus</w:t>
      </w:r>
      <w:r w:rsidRPr="000F2200">
        <w:rPr>
          <w:rFonts w:ascii="Times New Roman" w:eastAsia="Century Gothic" w:hAnsi="Times New Roman" w:cs="Times New Roman"/>
          <w:sz w:val="28"/>
          <w:szCs w:val="28"/>
        </w:rPr>
        <w:t xml:space="preserve">. </w:t>
      </w:r>
      <w:r w:rsidR="00C93C8C" w:rsidRPr="000F2200">
        <w:rPr>
          <w:rFonts w:ascii="Times New Roman" w:eastAsia="Century Gothic" w:hAnsi="Times New Roman" w:cs="Times New Roman"/>
          <w:sz w:val="28"/>
          <w:szCs w:val="28"/>
        </w:rPr>
        <w:t>Tāpat Ekonomikas ministrijas rīcībā esošā informācija neļauj</w:t>
      </w:r>
      <w:r w:rsidR="00C93C8C">
        <w:rPr>
          <w:rFonts w:ascii="Times New Roman" w:eastAsia="Century Gothic" w:hAnsi="Times New Roman" w:cs="Times New Roman"/>
          <w:sz w:val="28"/>
          <w:szCs w:val="28"/>
        </w:rPr>
        <w:t xml:space="preserve"> </w:t>
      </w:r>
      <w:r w:rsidR="005F7DBA">
        <w:rPr>
          <w:rFonts w:ascii="Times New Roman" w:eastAsia="Century Gothic" w:hAnsi="Times New Roman" w:cs="Times New Roman"/>
          <w:sz w:val="28"/>
          <w:szCs w:val="28"/>
        </w:rPr>
        <w:t>no</w:t>
      </w:r>
      <w:r w:rsidR="00C93C8C">
        <w:rPr>
          <w:rFonts w:ascii="Times New Roman" w:eastAsia="Century Gothic" w:hAnsi="Times New Roman" w:cs="Times New Roman"/>
          <w:sz w:val="28"/>
          <w:szCs w:val="28"/>
        </w:rPr>
        <w:t>vērtēt EDLU efektivitāti pret būvkomersantiem uzlikto administratīvo slogu</w:t>
      </w:r>
      <w:r w:rsidR="005F7DBA">
        <w:rPr>
          <w:rFonts w:ascii="Times New Roman" w:eastAsia="Century Gothic" w:hAnsi="Times New Roman" w:cs="Times New Roman"/>
          <w:sz w:val="28"/>
          <w:szCs w:val="28"/>
        </w:rPr>
        <w:t xml:space="preserve">, proti pieejamie dati neļauj novērtēt </w:t>
      </w:r>
      <w:r w:rsidR="00C822FC">
        <w:rPr>
          <w:rFonts w:ascii="Times New Roman" w:eastAsia="Century Gothic" w:hAnsi="Times New Roman" w:cs="Times New Roman"/>
          <w:sz w:val="28"/>
          <w:szCs w:val="28"/>
        </w:rPr>
        <w:t xml:space="preserve">nedeklarēto ienākumu </w:t>
      </w:r>
      <w:r w:rsidR="00961654">
        <w:rPr>
          <w:rFonts w:ascii="Times New Roman" w:eastAsia="Century Gothic" w:hAnsi="Times New Roman" w:cs="Times New Roman"/>
          <w:sz w:val="28"/>
          <w:szCs w:val="28"/>
        </w:rPr>
        <w:t xml:space="preserve">un nedeklarētas nodarbinātības </w:t>
      </w:r>
      <w:r w:rsidR="005F7DBA">
        <w:rPr>
          <w:rFonts w:ascii="Times New Roman" w:eastAsia="Century Gothic" w:hAnsi="Times New Roman" w:cs="Times New Roman"/>
          <w:sz w:val="28"/>
          <w:szCs w:val="28"/>
        </w:rPr>
        <w:t>rādītājus konkrēto objektu līmenī, t.i. salīdzināt rādītājus objektos, kur ir ieviesta EDLUS un objektos, kuros šāda sistēma nedarbojas un novērtēt vai prasības EDLU ir samērīgas un nepieciešamas mērķa sasniegšanai.</w:t>
      </w:r>
    </w:p>
    <w:p w14:paraId="64FAF8EA" w14:textId="1A20A923" w:rsidR="00C93C8C" w:rsidRPr="00D76019" w:rsidRDefault="00C93C8C" w:rsidP="00D76019">
      <w:pPr>
        <w:spacing w:before="0" w:after="0" w:line="240" w:lineRule="auto"/>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ab/>
        <w:t xml:space="preserve">Lai sniegtu vērtējumu par EDLU efektivitāti, </w:t>
      </w:r>
      <w:r w:rsidR="00C21B96">
        <w:rPr>
          <w:rFonts w:ascii="Times New Roman" w:eastAsia="Century Gothic" w:hAnsi="Times New Roman" w:cs="Times New Roman"/>
          <w:sz w:val="28"/>
          <w:szCs w:val="28"/>
        </w:rPr>
        <w:t>ir</w:t>
      </w:r>
      <w:r>
        <w:rPr>
          <w:rFonts w:ascii="Times New Roman" w:eastAsia="Century Gothic" w:hAnsi="Times New Roman" w:cs="Times New Roman"/>
          <w:sz w:val="28"/>
          <w:szCs w:val="28"/>
        </w:rPr>
        <w:t xml:space="preserve"> nepieciešams veikt padziļinātu vērtējumu </w:t>
      </w:r>
      <w:r w:rsidR="00C21B96">
        <w:rPr>
          <w:rFonts w:ascii="Times New Roman" w:eastAsia="Century Gothic" w:hAnsi="Times New Roman" w:cs="Times New Roman"/>
          <w:sz w:val="28"/>
          <w:szCs w:val="28"/>
        </w:rPr>
        <w:t xml:space="preserve">būvobjektu līmenī, analizējot </w:t>
      </w:r>
      <w:r w:rsidR="00BE399E">
        <w:rPr>
          <w:rFonts w:ascii="Times New Roman" w:eastAsia="Century Gothic" w:hAnsi="Times New Roman" w:cs="Times New Roman"/>
          <w:sz w:val="28"/>
          <w:szCs w:val="28"/>
        </w:rPr>
        <w:t xml:space="preserve">nedeklarēto ienākumu un nedeklarētas nodarbinātības </w:t>
      </w:r>
      <w:r w:rsidR="005F7DBA">
        <w:rPr>
          <w:rFonts w:ascii="Times New Roman" w:eastAsia="Century Gothic" w:hAnsi="Times New Roman" w:cs="Times New Roman"/>
          <w:sz w:val="28"/>
          <w:szCs w:val="28"/>
        </w:rPr>
        <w:t>rādītājus un iespējamās izpausmes objektu līmenī. Būtu jānovērtē</w:t>
      </w:r>
      <w:r w:rsidR="00D77B39">
        <w:rPr>
          <w:rFonts w:ascii="Times New Roman" w:eastAsia="Century Gothic" w:hAnsi="Times New Roman" w:cs="Times New Roman"/>
          <w:sz w:val="28"/>
          <w:szCs w:val="28"/>
        </w:rPr>
        <w:t>, piemēram,</w:t>
      </w:r>
      <w:r w:rsidR="005F7DBA">
        <w:rPr>
          <w:rFonts w:ascii="Times New Roman" w:eastAsia="Century Gothic" w:hAnsi="Times New Roman" w:cs="Times New Roman"/>
          <w:sz w:val="28"/>
          <w:szCs w:val="28"/>
        </w:rPr>
        <w:t xml:space="preserve"> rādītājus objekta nodarbināto darba stundām, atalgojuma likmēm, virsstundām,</w:t>
      </w:r>
      <w:r w:rsidR="00D77B39">
        <w:rPr>
          <w:rFonts w:ascii="Times New Roman" w:eastAsia="Century Gothic" w:hAnsi="Times New Roman" w:cs="Times New Roman"/>
          <w:sz w:val="28"/>
          <w:szCs w:val="28"/>
        </w:rPr>
        <w:t xml:space="preserve"> kā arī</w:t>
      </w:r>
      <w:r w:rsidR="005F7DBA">
        <w:rPr>
          <w:rFonts w:ascii="Times New Roman" w:eastAsia="Century Gothic" w:hAnsi="Times New Roman" w:cs="Times New Roman"/>
          <w:sz w:val="28"/>
          <w:szCs w:val="28"/>
        </w:rPr>
        <w:t xml:space="preserve"> VID pārbaudē </w:t>
      </w:r>
      <w:r w:rsidR="00D77B39">
        <w:rPr>
          <w:rFonts w:ascii="Times New Roman" w:eastAsia="Century Gothic" w:hAnsi="Times New Roman" w:cs="Times New Roman"/>
          <w:sz w:val="28"/>
          <w:szCs w:val="28"/>
        </w:rPr>
        <w:t xml:space="preserve">konstatēto attiecībā uz nereģistrēšanās gadījumiem, nelegālo nodarbinātību. </w:t>
      </w:r>
    </w:p>
    <w:p w14:paraId="2C6F97C6" w14:textId="253B3C7C" w:rsidR="00875E79" w:rsidRDefault="00875E79" w:rsidP="00D77B39">
      <w:pPr>
        <w:pStyle w:val="ListParagraph"/>
        <w:numPr>
          <w:ilvl w:val="0"/>
          <w:numId w:val="39"/>
        </w:numPr>
        <w:spacing w:before="0" w:after="0" w:line="240" w:lineRule="auto"/>
        <w:ind w:left="567" w:firstLine="0"/>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EDLUS datu kvalitātes un ticamības pārbaude, izlases kārtībā veicot</w:t>
      </w:r>
      <w:r w:rsidR="00D77B39">
        <w:rPr>
          <w:rFonts w:ascii="Times New Roman" w:eastAsia="Century Gothic" w:hAnsi="Times New Roman" w:cs="Times New Roman"/>
          <w:sz w:val="28"/>
          <w:szCs w:val="28"/>
        </w:rPr>
        <w:t xml:space="preserve"> </w:t>
      </w:r>
      <w:r>
        <w:rPr>
          <w:rFonts w:ascii="Times New Roman" w:eastAsia="Century Gothic" w:hAnsi="Times New Roman" w:cs="Times New Roman"/>
          <w:sz w:val="28"/>
          <w:szCs w:val="28"/>
        </w:rPr>
        <w:t xml:space="preserve">EDLUS integritātes pārbaudes būvniecības objektos un pārliecinoties, ka nav </w:t>
      </w:r>
      <w:r>
        <w:rPr>
          <w:rFonts w:ascii="Times New Roman" w:eastAsia="Century Gothic" w:hAnsi="Times New Roman" w:cs="Times New Roman"/>
          <w:sz w:val="28"/>
          <w:szCs w:val="28"/>
        </w:rPr>
        <w:lastRenderedPageBreak/>
        <w:t>konstatējama iejaukšanās EDLUS datos un šo datu labošana, t.sk. papildināšana</w:t>
      </w:r>
      <w:r w:rsidR="004E6392">
        <w:rPr>
          <w:rFonts w:ascii="Times New Roman" w:eastAsia="Century Gothic" w:hAnsi="Times New Roman" w:cs="Times New Roman"/>
          <w:sz w:val="28"/>
          <w:szCs w:val="28"/>
        </w:rPr>
        <w:t>.</w:t>
      </w:r>
    </w:p>
    <w:p w14:paraId="6C8C2D8C" w14:textId="62A92FC9" w:rsidR="004E6392" w:rsidRDefault="004E6392" w:rsidP="00D53FAB">
      <w:pPr>
        <w:pStyle w:val="ListParagraph"/>
        <w:spacing w:before="0" w:after="0" w:line="240" w:lineRule="auto"/>
        <w:ind w:left="0"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 xml:space="preserve">Ieviešot EDLUS un analizējot ar EDLU ieviešanu saistītus riskus, kas var būtiski mazināt EDLU efektivitāti, </w:t>
      </w:r>
      <w:r w:rsidR="00EA7A68">
        <w:rPr>
          <w:rFonts w:ascii="Times New Roman" w:eastAsia="Century Gothic" w:hAnsi="Times New Roman" w:cs="Times New Roman"/>
          <w:sz w:val="28"/>
          <w:szCs w:val="28"/>
        </w:rPr>
        <w:t xml:space="preserve">tika secināts, ka būtisks risks sistēmas pilnvērtīgai darbībai ir EDLU datu nepamatota labošana, samazinot darbinieka faktiski nostrādātas darba stundas objektā vai dzēšot informāciju par nodarbināto personu. Riska mazināšanai likuma “Par nodokļiem un nodevām” 110.pantā tika paredzēta prasība attiecībā uz sistēmas auditāciju – ārējo drošības pārbaudi ne retāk kā vienu reizi divos gados, iekļaujot </w:t>
      </w:r>
      <w:r w:rsidR="00EA7A68" w:rsidRPr="00EA7A68">
        <w:rPr>
          <w:rFonts w:ascii="Times New Roman" w:eastAsia="Century Gothic" w:hAnsi="Times New Roman" w:cs="Times New Roman"/>
          <w:sz w:val="28"/>
          <w:szCs w:val="28"/>
        </w:rPr>
        <w:t xml:space="preserve">arī ielaušanās testu un atbilstības šā likuma noteiktajām prasībām </w:t>
      </w:r>
      <w:r w:rsidR="00EA7A68">
        <w:rPr>
          <w:rFonts w:ascii="Times New Roman" w:eastAsia="Century Gothic" w:hAnsi="Times New Roman" w:cs="Times New Roman"/>
          <w:sz w:val="28"/>
          <w:szCs w:val="28"/>
        </w:rPr>
        <w:t>pārbaudi. Detalizētās prasības ārējai drošības pārbaudei ir iekļautas Ministru kabineta 2020. gada 7.janvāra noteikumos Nr. 21</w:t>
      </w:r>
      <w:r w:rsidR="00706812">
        <w:rPr>
          <w:rFonts w:ascii="Times New Roman" w:eastAsia="Century Gothic" w:hAnsi="Times New Roman" w:cs="Times New Roman"/>
          <w:sz w:val="28"/>
          <w:szCs w:val="28"/>
        </w:rPr>
        <w:t xml:space="preserve"> “</w:t>
      </w:r>
      <w:r w:rsidR="00706812" w:rsidRPr="00706812">
        <w:rPr>
          <w:rFonts w:ascii="Times New Roman" w:eastAsia="Century Gothic" w:hAnsi="Times New Roman" w:cs="Times New Roman"/>
          <w:sz w:val="28"/>
          <w:szCs w:val="28"/>
        </w:rPr>
        <w:t>Kārtība, kādā elektroniskās darba laika uzskaites sistēmas dati sniedzami iekļaušanai vienotajā elektroniskās darba laika uzskaites datubāzē, un prasības elektroniskās darba laika uzskaites sistēmas ārējai drošības pārbaudei un auditācijas pierakstiem</w:t>
      </w:r>
      <w:r w:rsidR="00706812">
        <w:rPr>
          <w:rFonts w:ascii="Times New Roman" w:eastAsia="Century Gothic" w:hAnsi="Times New Roman" w:cs="Times New Roman"/>
          <w:sz w:val="28"/>
          <w:szCs w:val="28"/>
        </w:rPr>
        <w:t xml:space="preserve">”. Normatīvajos aktos paredzētā ārējā drošības pārbaude būtiski samazina datu ielaušanas un datu kropļošanas risku, taču neizslēdz to. Lai pārliecinātos par regulējuma efektivitāti un samērīgumu, ņemot vērā, ka prasība vismaz vienu reizi divos gados veikt ārējo drošības pārbaudi uzliek komersantam birokrātisku slogu, būtu nepieciešams </w:t>
      </w:r>
      <w:r w:rsidR="000C25C9">
        <w:rPr>
          <w:rFonts w:ascii="Times New Roman" w:eastAsia="Century Gothic" w:hAnsi="Times New Roman" w:cs="Times New Roman"/>
          <w:sz w:val="28"/>
          <w:szCs w:val="28"/>
        </w:rPr>
        <w:t>izlases kārtībā novērtēt būvobjektos esošo sistēmu drošumu un atbilstību normatīvajos aktos izvirzītajām prasī</w:t>
      </w:r>
      <w:r w:rsidR="008D15B3">
        <w:rPr>
          <w:rFonts w:ascii="Times New Roman" w:eastAsia="Century Gothic" w:hAnsi="Times New Roman" w:cs="Times New Roman"/>
          <w:sz w:val="28"/>
          <w:szCs w:val="28"/>
        </w:rPr>
        <w:t>bām.</w:t>
      </w:r>
      <w:r w:rsidR="00706812">
        <w:rPr>
          <w:rFonts w:ascii="Times New Roman" w:eastAsia="Century Gothic" w:hAnsi="Times New Roman" w:cs="Times New Roman"/>
          <w:sz w:val="28"/>
          <w:szCs w:val="28"/>
        </w:rPr>
        <w:t xml:space="preserve"> </w:t>
      </w:r>
    </w:p>
    <w:p w14:paraId="5D4296C4" w14:textId="334D7185" w:rsidR="00875E79" w:rsidRDefault="00875E79" w:rsidP="00BF173E">
      <w:pPr>
        <w:pStyle w:val="ListParagraph"/>
        <w:numPr>
          <w:ilvl w:val="0"/>
          <w:numId w:val="39"/>
        </w:numPr>
        <w:spacing w:before="0" w:after="0" w:line="240" w:lineRule="auto"/>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VEDLUDB datu izmantošana</w:t>
      </w:r>
      <w:r w:rsidR="00692A79">
        <w:rPr>
          <w:rFonts w:ascii="Times New Roman" w:eastAsia="Century Gothic" w:hAnsi="Times New Roman" w:cs="Times New Roman"/>
          <w:sz w:val="28"/>
          <w:szCs w:val="28"/>
        </w:rPr>
        <w:t xml:space="preserve"> nodokļu administrēšana, t.i. likuma </w:t>
      </w:r>
      <w:r w:rsidR="00BE399E">
        <w:rPr>
          <w:rFonts w:ascii="Times New Roman" w:eastAsia="Century Gothic" w:hAnsi="Times New Roman" w:cs="Times New Roman"/>
          <w:sz w:val="28"/>
          <w:szCs w:val="28"/>
        </w:rPr>
        <w:t>“P</w:t>
      </w:r>
      <w:r w:rsidR="00692A79">
        <w:rPr>
          <w:rFonts w:ascii="Times New Roman" w:eastAsia="Century Gothic" w:hAnsi="Times New Roman" w:cs="Times New Roman"/>
          <w:sz w:val="28"/>
          <w:szCs w:val="28"/>
        </w:rPr>
        <w:t xml:space="preserve">ar </w:t>
      </w:r>
      <w:r w:rsidR="00BE399E">
        <w:rPr>
          <w:rFonts w:ascii="Times New Roman" w:eastAsia="Century Gothic" w:hAnsi="Times New Roman" w:cs="Times New Roman"/>
          <w:sz w:val="28"/>
          <w:szCs w:val="28"/>
        </w:rPr>
        <w:t>n</w:t>
      </w:r>
      <w:r w:rsidR="00692A79">
        <w:rPr>
          <w:rFonts w:ascii="Times New Roman" w:eastAsia="Century Gothic" w:hAnsi="Times New Roman" w:cs="Times New Roman"/>
          <w:sz w:val="28"/>
          <w:szCs w:val="28"/>
        </w:rPr>
        <w:t>odokļiem un nodevām” 115.panta trešajā daļā paredzēto tiesību izmantošana, kā arī datu izmantošanas problēmas, ja tādas ir konstatētas;</w:t>
      </w:r>
    </w:p>
    <w:p w14:paraId="3642F607" w14:textId="0361C4A3" w:rsidR="00846E40" w:rsidRDefault="00846E40" w:rsidP="00D53FAB">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 xml:space="preserve">EDLU ieviešanas mērķis ir </w:t>
      </w:r>
      <w:r w:rsidR="00F44E01">
        <w:rPr>
          <w:rFonts w:ascii="Times New Roman" w:eastAsia="Century Gothic" w:hAnsi="Times New Roman" w:cs="Times New Roman"/>
          <w:sz w:val="28"/>
          <w:szCs w:val="28"/>
        </w:rPr>
        <w:t xml:space="preserve">iegūt objektīvus un aktuālus datus par būvlaukumā nodarbināto faktiski nostrādātajam darba stundām darba spēka nodokļu administrēšanas vajadzībām. Saskaņā ar likuma “Par nodokļiem un nodevām” 115.panta pirmās daļas noteikumiem </w:t>
      </w:r>
      <w:r w:rsidR="001E0BD0">
        <w:rPr>
          <w:rFonts w:ascii="Times New Roman" w:eastAsia="Century Gothic" w:hAnsi="Times New Roman" w:cs="Times New Roman"/>
          <w:sz w:val="28"/>
          <w:szCs w:val="28"/>
        </w:rPr>
        <w:t>EDLUS</w:t>
      </w:r>
      <w:r w:rsidR="00F44E01" w:rsidRPr="00F44E01">
        <w:rPr>
          <w:rFonts w:ascii="Times New Roman" w:eastAsia="Century Gothic" w:hAnsi="Times New Roman" w:cs="Times New Roman"/>
          <w:sz w:val="28"/>
          <w:szCs w:val="28"/>
        </w:rPr>
        <w:t xml:space="preserve"> reģistrētos datus par būvlaukumā nodarbinātajām personām un to nostrādātajām darba stundām izmanto </w:t>
      </w:r>
      <w:r w:rsidR="00BE399E">
        <w:rPr>
          <w:rFonts w:ascii="Times New Roman" w:eastAsia="Century Gothic" w:hAnsi="Times New Roman" w:cs="Times New Roman"/>
          <w:sz w:val="28"/>
          <w:szCs w:val="28"/>
        </w:rPr>
        <w:t>VID</w:t>
      </w:r>
      <w:r w:rsidR="00F44E01" w:rsidRPr="00F44E01">
        <w:rPr>
          <w:rFonts w:ascii="Times New Roman" w:eastAsia="Century Gothic" w:hAnsi="Times New Roman" w:cs="Times New Roman"/>
          <w:sz w:val="28"/>
          <w:szCs w:val="28"/>
        </w:rPr>
        <w:t xml:space="preserve"> </w:t>
      </w:r>
      <w:r w:rsidR="00085955">
        <w:rPr>
          <w:rFonts w:ascii="Times New Roman" w:eastAsia="Century Gothic" w:hAnsi="Times New Roman" w:cs="Times New Roman"/>
          <w:sz w:val="28"/>
          <w:szCs w:val="28"/>
        </w:rPr>
        <w:t>IIN</w:t>
      </w:r>
      <w:r w:rsidR="00F44E01" w:rsidRPr="00F44E01">
        <w:rPr>
          <w:rFonts w:ascii="Times New Roman" w:eastAsia="Century Gothic" w:hAnsi="Times New Roman" w:cs="Times New Roman"/>
          <w:sz w:val="28"/>
          <w:szCs w:val="28"/>
        </w:rPr>
        <w:t xml:space="preserve">, </w:t>
      </w:r>
      <w:r w:rsidR="001E0BD0">
        <w:rPr>
          <w:rFonts w:ascii="Times New Roman" w:eastAsia="Century Gothic" w:hAnsi="Times New Roman" w:cs="Times New Roman"/>
          <w:sz w:val="28"/>
          <w:szCs w:val="28"/>
        </w:rPr>
        <w:t>VSAOI</w:t>
      </w:r>
      <w:r w:rsidR="00F44E01" w:rsidRPr="00F44E01">
        <w:rPr>
          <w:rFonts w:ascii="Times New Roman" w:eastAsia="Century Gothic" w:hAnsi="Times New Roman" w:cs="Times New Roman"/>
          <w:sz w:val="28"/>
          <w:szCs w:val="28"/>
        </w:rPr>
        <w:t xml:space="preserve"> un mikrouzņēmumu nodokļa administrēšanai</w:t>
      </w:r>
      <w:r w:rsidR="00F44E01">
        <w:rPr>
          <w:rFonts w:ascii="Times New Roman" w:eastAsia="Century Gothic" w:hAnsi="Times New Roman" w:cs="Times New Roman"/>
          <w:sz w:val="28"/>
          <w:szCs w:val="28"/>
        </w:rPr>
        <w:t xml:space="preserve">, savukārt šā panta trešā daļa nosaka, ka </w:t>
      </w:r>
      <w:r w:rsidR="009717A1">
        <w:rPr>
          <w:rFonts w:ascii="Times New Roman" w:eastAsia="Century Gothic" w:hAnsi="Times New Roman" w:cs="Times New Roman"/>
          <w:sz w:val="28"/>
          <w:szCs w:val="28"/>
        </w:rPr>
        <w:t>VID</w:t>
      </w:r>
      <w:r w:rsidR="00F44E01">
        <w:rPr>
          <w:rFonts w:ascii="Times New Roman" w:eastAsia="Century Gothic" w:hAnsi="Times New Roman" w:cs="Times New Roman"/>
          <w:sz w:val="28"/>
          <w:szCs w:val="28"/>
        </w:rPr>
        <w:t xml:space="preserve"> ir tiesīgs </w:t>
      </w:r>
      <w:r w:rsidR="00F44E01" w:rsidRPr="00F44E01">
        <w:rPr>
          <w:rFonts w:ascii="Times New Roman" w:eastAsia="Century Gothic" w:hAnsi="Times New Roman" w:cs="Times New Roman"/>
          <w:sz w:val="28"/>
          <w:szCs w:val="28"/>
        </w:rPr>
        <w:t xml:space="preserve">samazinātā ar nodokļiem un nodevām apliekamā objekta noteikšanai izmantot </w:t>
      </w:r>
      <w:r w:rsidR="001E0BD0">
        <w:rPr>
          <w:rFonts w:ascii="Times New Roman" w:eastAsia="Century Gothic" w:hAnsi="Times New Roman" w:cs="Times New Roman"/>
          <w:sz w:val="28"/>
          <w:szCs w:val="28"/>
        </w:rPr>
        <w:t>EDLUS</w:t>
      </w:r>
      <w:r w:rsidR="00F44E01" w:rsidRPr="00F44E01">
        <w:rPr>
          <w:rFonts w:ascii="Times New Roman" w:eastAsia="Century Gothic" w:hAnsi="Times New Roman" w:cs="Times New Roman"/>
          <w:sz w:val="28"/>
          <w:szCs w:val="28"/>
        </w:rPr>
        <w:t xml:space="preserve"> reģistrētos datus</w:t>
      </w:r>
      <w:r w:rsidR="00F44E01">
        <w:rPr>
          <w:rFonts w:ascii="Times New Roman" w:eastAsia="Century Gothic" w:hAnsi="Times New Roman" w:cs="Times New Roman"/>
          <w:sz w:val="28"/>
          <w:szCs w:val="28"/>
        </w:rPr>
        <w:t xml:space="preserve">, ja tas </w:t>
      </w:r>
      <w:r w:rsidR="00F44E01" w:rsidRPr="00F44E01">
        <w:rPr>
          <w:rFonts w:ascii="Times New Roman" w:eastAsia="Century Gothic" w:hAnsi="Times New Roman" w:cs="Times New Roman"/>
          <w:sz w:val="28"/>
          <w:szCs w:val="28"/>
        </w:rPr>
        <w:t xml:space="preserve">konstatē, ka </w:t>
      </w:r>
      <w:r w:rsidR="001E0BD0">
        <w:rPr>
          <w:rFonts w:ascii="Times New Roman" w:eastAsia="Century Gothic" w:hAnsi="Times New Roman" w:cs="Times New Roman"/>
          <w:sz w:val="28"/>
          <w:szCs w:val="28"/>
        </w:rPr>
        <w:t>EDLUS</w:t>
      </w:r>
      <w:r w:rsidR="00F44E01" w:rsidRPr="00F44E01">
        <w:rPr>
          <w:rFonts w:ascii="Times New Roman" w:eastAsia="Century Gothic" w:hAnsi="Times New Roman" w:cs="Times New Roman"/>
          <w:sz w:val="28"/>
          <w:szCs w:val="28"/>
        </w:rPr>
        <w:t xml:space="preserve"> reģistrētie dati par būvlaukumā nodarbinātas personas darba stundām kalendāra mēneša ietvaros atšķiras no faktiski uzskaitītajām darba stundām, kas izmantotas darba samaksas aprēķināšanai par darbu būvlaukumā, vairāk nekā </w:t>
      </w:r>
      <w:r w:rsidR="00F44E01">
        <w:rPr>
          <w:rFonts w:ascii="Times New Roman" w:eastAsia="Century Gothic" w:hAnsi="Times New Roman" w:cs="Times New Roman"/>
          <w:sz w:val="28"/>
          <w:szCs w:val="28"/>
        </w:rPr>
        <w:t>par 20%</w:t>
      </w:r>
      <w:r w:rsidR="00F44E01" w:rsidRPr="00F44E01">
        <w:rPr>
          <w:rFonts w:ascii="Times New Roman" w:eastAsia="Century Gothic" w:hAnsi="Times New Roman" w:cs="Times New Roman"/>
          <w:sz w:val="28"/>
          <w:szCs w:val="28"/>
        </w:rPr>
        <w:t>.</w:t>
      </w:r>
    </w:p>
    <w:p w14:paraId="4F63E962" w14:textId="7F0EAFAA" w:rsidR="000121F4" w:rsidRPr="00846E40" w:rsidRDefault="00511B0F" w:rsidP="00D651A7">
      <w:pPr>
        <w:spacing w:before="0" w:after="0" w:line="240" w:lineRule="auto"/>
        <w:ind w:firstLine="567"/>
        <w:jc w:val="both"/>
        <w:rPr>
          <w:rFonts w:ascii="Times New Roman" w:eastAsia="Century Gothic" w:hAnsi="Times New Roman" w:cs="Times New Roman"/>
          <w:sz w:val="28"/>
          <w:szCs w:val="28"/>
        </w:rPr>
      </w:pPr>
      <w:r w:rsidRPr="00511B0F">
        <w:rPr>
          <w:rFonts w:ascii="Times New Roman" w:eastAsia="Century Gothic" w:hAnsi="Times New Roman" w:cs="Times New Roman"/>
          <w:sz w:val="28"/>
          <w:szCs w:val="28"/>
        </w:rPr>
        <w:t xml:space="preserve">VID VEDLUDB pieejamie dati ir nozīmīgs informācijas avots darbam ar būvniecības nozares komersantiem “aplokšņu algu” apkarošanā. Ievērojot, ka EDLUS dati var tikt izmantoti kā pierādījums samazinātā ar nodokļiem un nodevām apliekamā objekta noteikšanā, tad datu izvērtēšanas procesā tiek vērsta liela uzmanība uz nostrādāto stundu skaita atšķirībām, kas tiek salīdzinātas ar VEDLUDB datiem un </w:t>
      </w:r>
      <w:r w:rsidR="00104C45">
        <w:rPr>
          <w:rFonts w:ascii="Times New Roman" w:eastAsia="Century Gothic" w:hAnsi="Times New Roman" w:cs="Times New Roman"/>
          <w:sz w:val="28"/>
          <w:szCs w:val="28"/>
        </w:rPr>
        <w:t>DDZ</w:t>
      </w:r>
      <w:r w:rsidRPr="00511B0F">
        <w:rPr>
          <w:rFonts w:ascii="Times New Roman" w:eastAsia="Century Gothic" w:hAnsi="Times New Roman" w:cs="Times New Roman"/>
          <w:sz w:val="28"/>
          <w:szCs w:val="28"/>
        </w:rPr>
        <w:t xml:space="preserve"> deklarētajiem datiem. VID VEDLUDB dati tiek izmantoti nodarbināto personu EDLUS reģistrētā darba laika salīdzināšanai ar VID datubāzē pieejamo informāciju, kas iegūta no iesniegtajiem darba devēju ziņojumiem, un risku identificēšanas gadījumā darbam ar konkrētu </w:t>
      </w:r>
      <w:r w:rsidR="00FC67B2">
        <w:rPr>
          <w:rFonts w:ascii="Times New Roman" w:eastAsia="Century Gothic" w:hAnsi="Times New Roman" w:cs="Times New Roman"/>
          <w:sz w:val="28"/>
          <w:szCs w:val="28"/>
        </w:rPr>
        <w:t>NM</w:t>
      </w:r>
      <w:r w:rsidRPr="00511B0F">
        <w:rPr>
          <w:rFonts w:ascii="Times New Roman" w:eastAsia="Century Gothic" w:hAnsi="Times New Roman" w:cs="Times New Roman"/>
          <w:sz w:val="28"/>
          <w:szCs w:val="28"/>
        </w:rPr>
        <w:t xml:space="preserve"> nodokļu nomaksas administrēšanas, uzraudzības, monitoringa procesā, kā arī kontroles pasākumu </w:t>
      </w:r>
      <w:r w:rsidRPr="00511B0F">
        <w:rPr>
          <w:rFonts w:ascii="Times New Roman" w:eastAsia="Century Gothic" w:hAnsi="Times New Roman" w:cs="Times New Roman"/>
          <w:sz w:val="28"/>
          <w:szCs w:val="28"/>
        </w:rPr>
        <w:lastRenderedPageBreak/>
        <w:t>veikšanai būvlaukumos</w:t>
      </w:r>
      <w:r>
        <w:rPr>
          <w:rFonts w:ascii="Times New Roman" w:eastAsia="Century Gothic" w:hAnsi="Times New Roman" w:cs="Times New Roman"/>
          <w:sz w:val="28"/>
          <w:szCs w:val="28"/>
        </w:rPr>
        <w:t xml:space="preserve">. </w:t>
      </w:r>
      <w:r w:rsidR="000121F4">
        <w:rPr>
          <w:rFonts w:ascii="Times New Roman" w:eastAsia="Century Gothic" w:hAnsi="Times New Roman" w:cs="Times New Roman"/>
          <w:sz w:val="28"/>
          <w:szCs w:val="28"/>
        </w:rPr>
        <w:t>Lai novērtētu EDLU darbības efektivitāti, būtu jāsaprot</w:t>
      </w:r>
      <w:r w:rsidR="00D26CB0">
        <w:rPr>
          <w:rFonts w:ascii="Times New Roman" w:eastAsia="Century Gothic" w:hAnsi="Times New Roman" w:cs="Times New Roman"/>
          <w:sz w:val="28"/>
          <w:szCs w:val="28"/>
        </w:rPr>
        <w:t xml:space="preserve"> cik gadījumos ir konstatētas atšķirības, kas </w:t>
      </w:r>
      <w:r w:rsidR="0087413A">
        <w:rPr>
          <w:rFonts w:ascii="Times New Roman" w:eastAsia="Century Gothic" w:hAnsi="Times New Roman" w:cs="Times New Roman"/>
          <w:sz w:val="28"/>
          <w:szCs w:val="28"/>
        </w:rPr>
        <w:t>atbilst likuma “Par nodokļiem un nodevām” 115.panta otrajā daļā paredzētai vērtībai. Tāpat būtu jāsaprot cik gadījumos atšķirība pārsniedz pieļaujamo vērtību un kādā veidā EDLU dati tika izmantoti darba spēka nodokļu administrēšanas procesā un vai VID bija radušās problēmas ar EDLU datu izmantošanu.</w:t>
      </w:r>
      <w:r w:rsidR="007A6D85">
        <w:rPr>
          <w:rFonts w:ascii="Times New Roman" w:eastAsia="Century Gothic" w:hAnsi="Times New Roman" w:cs="Times New Roman"/>
          <w:sz w:val="28"/>
          <w:szCs w:val="28"/>
        </w:rPr>
        <w:t xml:space="preserve"> </w:t>
      </w:r>
    </w:p>
    <w:p w14:paraId="2D107E4D" w14:textId="491BC1AF" w:rsidR="00692A79" w:rsidRDefault="00890571" w:rsidP="00BF173E">
      <w:pPr>
        <w:pStyle w:val="ListParagraph"/>
        <w:numPr>
          <w:ilvl w:val="0"/>
          <w:numId w:val="39"/>
        </w:numPr>
        <w:spacing w:before="0" w:after="0" w:line="240" w:lineRule="auto"/>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a</w:t>
      </w:r>
      <w:r w:rsidR="00692A79">
        <w:rPr>
          <w:rFonts w:ascii="Times New Roman" w:eastAsia="Century Gothic" w:hAnsi="Times New Roman" w:cs="Times New Roman"/>
          <w:sz w:val="28"/>
          <w:szCs w:val="28"/>
        </w:rPr>
        <w:t>dministratīvās atbildības piemērošana par EDLU regulējuma pārkāpumiem</w:t>
      </w:r>
      <w:r w:rsidR="00CF6F44">
        <w:rPr>
          <w:rFonts w:ascii="Times New Roman" w:eastAsia="Century Gothic" w:hAnsi="Times New Roman" w:cs="Times New Roman"/>
          <w:sz w:val="28"/>
          <w:szCs w:val="28"/>
        </w:rPr>
        <w:t>;</w:t>
      </w:r>
    </w:p>
    <w:p w14:paraId="26B3B114" w14:textId="0E58288A" w:rsidR="00BC36E7" w:rsidRDefault="00BC36E7" w:rsidP="00D651A7">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2020.gada 1.jūlijā stājās spēkā</w:t>
      </w:r>
      <w:r w:rsidR="000B5DCC">
        <w:rPr>
          <w:rFonts w:ascii="Times New Roman" w:eastAsia="Century Gothic" w:hAnsi="Times New Roman" w:cs="Times New Roman"/>
          <w:sz w:val="28"/>
          <w:szCs w:val="28"/>
        </w:rPr>
        <w:t xml:space="preserve"> grozījumi likumā “Par nodokļiem un nodevām”, kas </w:t>
      </w:r>
      <w:r w:rsidR="006E6F87">
        <w:rPr>
          <w:rFonts w:ascii="Times New Roman" w:eastAsia="Century Gothic" w:hAnsi="Times New Roman" w:cs="Times New Roman"/>
          <w:sz w:val="28"/>
          <w:szCs w:val="28"/>
        </w:rPr>
        <w:t>to</w:t>
      </w:r>
      <w:r w:rsidR="000B5DCC">
        <w:rPr>
          <w:rFonts w:ascii="Times New Roman" w:eastAsia="Century Gothic" w:hAnsi="Times New Roman" w:cs="Times New Roman"/>
          <w:sz w:val="28"/>
          <w:szCs w:val="28"/>
        </w:rPr>
        <w:t xml:space="preserve">starp paredz </w:t>
      </w:r>
      <w:r w:rsidR="00CF6F44">
        <w:rPr>
          <w:rFonts w:ascii="Times New Roman" w:eastAsia="Century Gothic" w:hAnsi="Times New Roman" w:cs="Times New Roman"/>
          <w:sz w:val="28"/>
          <w:szCs w:val="28"/>
        </w:rPr>
        <w:t xml:space="preserve">administratīvo atbildību par EDLU regulējuma </w:t>
      </w:r>
      <w:r w:rsidR="00FE09CA">
        <w:rPr>
          <w:rFonts w:ascii="Times New Roman" w:eastAsia="Century Gothic" w:hAnsi="Times New Roman" w:cs="Times New Roman"/>
          <w:sz w:val="28"/>
          <w:szCs w:val="28"/>
        </w:rPr>
        <w:t>neievērošanu, t.sk. a</w:t>
      </w:r>
      <w:r w:rsidR="00CF6F44">
        <w:rPr>
          <w:rFonts w:ascii="Times New Roman" w:eastAsia="Century Gothic" w:hAnsi="Times New Roman" w:cs="Times New Roman"/>
          <w:sz w:val="28"/>
          <w:szCs w:val="28"/>
        </w:rPr>
        <w:t xml:space="preserve">dministratīvā atbildība ir paredzēta galvenajam būvdarbu veicējam par EDLUS neieviešanu būvlaukumā, kā arī būvlaukumā nodarbinātajiem un to darba devējiem par reģistrēšanas pienākuma nepildīšanu vai nepienācīgu reģistrēšanos. </w:t>
      </w:r>
    </w:p>
    <w:p w14:paraId="75B3BFF0" w14:textId="6B79AAA1" w:rsidR="00523A8B" w:rsidRDefault="00CF6F44" w:rsidP="00D651A7">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Administratīvās atbildības mērķis ir atturēt būvkomersantus un nodarbinātos no EDLU regulējuma neievērošanas, šādi veicinot aktuālu un objektīvu darba laika datu iegūšanu nodokļu nomaksas kontrolei</w:t>
      </w:r>
      <w:r w:rsidR="00523A8B">
        <w:rPr>
          <w:rFonts w:ascii="Times New Roman" w:eastAsia="Century Gothic" w:hAnsi="Times New Roman" w:cs="Times New Roman"/>
          <w:sz w:val="28"/>
          <w:szCs w:val="28"/>
        </w:rPr>
        <w:t xml:space="preserve"> un šādi vēršoties pret ēnu ekonomikas lielāko komponenti – </w:t>
      </w:r>
      <w:r w:rsidR="00E53556">
        <w:rPr>
          <w:rFonts w:ascii="Times New Roman" w:eastAsia="Century Gothic" w:hAnsi="Times New Roman" w:cs="Times New Roman"/>
          <w:sz w:val="28"/>
          <w:szCs w:val="28"/>
        </w:rPr>
        <w:t>“</w:t>
      </w:r>
      <w:r w:rsidR="00523A8B">
        <w:rPr>
          <w:rFonts w:ascii="Times New Roman" w:eastAsia="Century Gothic" w:hAnsi="Times New Roman" w:cs="Times New Roman"/>
          <w:sz w:val="28"/>
          <w:szCs w:val="28"/>
        </w:rPr>
        <w:t>aplokšņu algām</w:t>
      </w:r>
      <w:r w:rsidR="00E53556">
        <w:rPr>
          <w:rFonts w:ascii="Times New Roman" w:eastAsia="Century Gothic" w:hAnsi="Times New Roman" w:cs="Times New Roman"/>
          <w:sz w:val="28"/>
          <w:szCs w:val="28"/>
        </w:rPr>
        <w:t>”</w:t>
      </w:r>
      <w:r>
        <w:rPr>
          <w:rFonts w:ascii="Times New Roman" w:eastAsia="Century Gothic" w:hAnsi="Times New Roman" w:cs="Times New Roman"/>
          <w:sz w:val="28"/>
          <w:szCs w:val="28"/>
        </w:rPr>
        <w:t xml:space="preserve">. Administratīvās atbildības regulējums ir efektīvs, ja tas tiek jēgpilni piemērots, </w:t>
      </w:r>
      <w:r w:rsidR="00B251B7">
        <w:rPr>
          <w:rFonts w:ascii="Times New Roman" w:eastAsia="Century Gothic" w:hAnsi="Times New Roman" w:cs="Times New Roman"/>
          <w:sz w:val="28"/>
          <w:szCs w:val="28"/>
        </w:rPr>
        <w:t xml:space="preserve">piemērots tā, ka būvkomersants apzinās, ka regulējuma pārkāpuma gadījumā tas tiks taisnīgi sodīts un sods ir neizbēgams. </w:t>
      </w:r>
      <w:r w:rsidR="00A65B44">
        <w:rPr>
          <w:rFonts w:ascii="Times New Roman" w:eastAsia="Century Gothic" w:hAnsi="Times New Roman" w:cs="Times New Roman"/>
          <w:sz w:val="28"/>
          <w:szCs w:val="28"/>
        </w:rPr>
        <w:t xml:space="preserve">Savukārt, ja administratīvās atbildības piemērošanas politika nav saprotama un rada nesodāmības sajūtu, </w:t>
      </w:r>
      <w:r w:rsidR="00523A8B">
        <w:rPr>
          <w:rFonts w:ascii="Times New Roman" w:eastAsia="Century Gothic" w:hAnsi="Times New Roman" w:cs="Times New Roman"/>
          <w:sz w:val="28"/>
          <w:szCs w:val="28"/>
        </w:rPr>
        <w:t xml:space="preserve">EDLU sistēmas darbība nebūs efektīva un nesniegs plānoto ietekmi ēnu ekonomikas apkarošanai būvniecības nozarē. </w:t>
      </w:r>
    </w:p>
    <w:p w14:paraId="2879980F" w14:textId="28F8D4C1" w:rsidR="00CF6F44" w:rsidRPr="00BC36E7" w:rsidRDefault="00523A8B" w:rsidP="00D651A7">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 xml:space="preserve">Lai kompleksi novērtētu </w:t>
      </w:r>
      <w:r w:rsidR="0068272D">
        <w:rPr>
          <w:rFonts w:ascii="Times New Roman" w:eastAsia="Century Gothic" w:hAnsi="Times New Roman" w:cs="Times New Roman"/>
          <w:sz w:val="28"/>
          <w:szCs w:val="28"/>
        </w:rPr>
        <w:t>EDLU sistēmas darbību</w:t>
      </w:r>
      <w:r w:rsidR="00AC75DE">
        <w:rPr>
          <w:rFonts w:ascii="Times New Roman" w:eastAsia="Century Gothic" w:hAnsi="Times New Roman" w:cs="Times New Roman"/>
          <w:sz w:val="28"/>
          <w:szCs w:val="28"/>
        </w:rPr>
        <w:t>,</w:t>
      </w:r>
      <w:r w:rsidR="0068272D">
        <w:rPr>
          <w:rFonts w:ascii="Times New Roman" w:eastAsia="Century Gothic" w:hAnsi="Times New Roman" w:cs="Times New Roman"/>
          <w:sz w:val="28"/>
          <w:szCs w:val="28"/>
        </w:rPr>
        <w:t xml:space="preserve"> ir nepieciešams </w:t>
      </w:r>
      <w:r w:rsidR="00983FD4">
        <w:rPr>
          <w:rFonts w:ascii="Times New Roman" w:eastAsia="Century Gothic" w:hAnsi="Times New Roman" w:cs="Times New Roman"/>
          <w:sz w:val="28"/>
          <w:szCs w:val="28"/>
        </w:rPr>
        <w:t xml:space="preserve">arī turpmāk </w:t>
      </w:r>
      <w:r w:rsidR="0068272D">
        <w:rPr>
          <w:rFonts w:ascii="Times New Roman" w:eastAsia="Century Gothic" w:hAnsi="Times New Roman" w:cs="Times New Roman"/>
          <w:sz w:val="28"/>
          <w:szCs w:val="28"/>
        </w:rPr>
        <w:t>analizēt un vērtēt VID konstatētos EDLU regulējuma pārkāpumus kopsakarā ar piemēroto administratīvo atbildību</w:t>
      </w:r>
      <w:r w:rsidR="00983FD4">
        <w:rPr>
          <w:rFonts w:ascii="Times New Roman" w:eastAsia="Century Gothic" w:hAnsi="Times New Roman" w:cs="Times New Roman"/>
          <w:sz w:val="28"/>
          <w:szCs w:val="28"/>
        </w:rPr>
        <w:t xml:space="preserve"> (t.i. pārkāpumu skaits, raksturs un piemērotie administratīvie sodi 2022.gadā).</w:t>
      </w:r>
      <w:r w:rsidR="0068272D">
        <w:rPr>
          <w:rFonts w:ascii="Times New Roman" w:eastAsia="Century Gothic" w:hAnsi="Times New Roman" w:cs="Times New Roman"/>
          <w:sz w:val="28"/>
          <w:szCs w:val="28"/>
        </w:rPr>
        <w:t xml:space="preserve"> </w:t>
      </w:r>
    </w:p>
    <w:p w14:paraId="72DE4328" w14:textId="41310E70" w:rsidR="00F61622" w:rsidRDefault="00890571" w:rsidP="00BF173E">
      <w:pPr>
        <w:pStyle w:val="ListParagraph"/>
        <w:numPr>
          <w:ilvl w:val="0"/>
          <w:numId w:val="39"/>
        </w:numPr>
        <w:spacing w:before="0" w:after="0" w:line="240" w:lineRule="auto"/>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apakšuzņēmēju ķēžu dalībniek</w:t>
      </w:r>
      <w:r w:rsidR="001A62C0">
        <w:rPr>
          <w:rFonts w:ascii="Times New Roman" w:eastAsia="Century Gothic" w:hAnsi="Times New Roman" w:cs="Times New Roman"/>
          <w:sz w:val="28"/>
          <w:szCs w:val="28"/>
        </w:rPr>
        <w:t xml:space="preserve">u </w:t>
      </w:r>
      <w:r>
        <w:rPr>
          <w:rFonts w:ascii="Times New Roman" w:eastAsia="Century Gothic" w:hAnsi="Times New Roman" w:cs="Times New Roman"/>
          <w:sz w:val="28"/>
          <w:szCs w:val="28"/>
        </w:rPr>
        <w:t>i</w:t>
      </w:r>
      <w:r w:rsidR="001A62C0">
        <w:rPr>
          <w:rFonts w:ascii="Times New Roman" w:eastAsia="Century Gothic" w:hAnsi="Times New Roman" w:cs="Times New Roman"/>
          <w:sz w:val="28"/>
          <w:szCs w:val="28"/>
        </w:rPr>
        <w:t>dentificēšana</w:t>
      </w:r>
      <w:r>
        <w:rPr>
          <w:rFonts w:ascii="Times New Roman" w:eastAsia="Century Gothic" w:hAnsi="Times New Roman" w:cs="Times New Roman"/>
          <w:sz w:val="28"/>
          <w:szCs w:val="28"/>
        </w:rPr>
        <w:t xml:space="preserve">, izvērtējot vai visu apakšuzņēmēju (būvkomersantu) nodarbinātie faktiski veic darbus būvlaukumā. </w:t>
      </w:r>
    </w:p>
    <w:p w14:paraId="6EA33468" w14:textId="3ED1086C" w:rsidR="0068272D" w:rsidRDefault="00E53556" w:rsidP="00D651A7">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S</w:t>
      </w:r>
      <w:r w:rsidR="0068272D">
        <w:rPr>
          <w:rFonts w:ascii="Times New Roman" w:eastAsia="Century Gothic" w:hAnsi="Times New Roman" w:cs="Times New Roman"/>
          <w:sz w:val="28"/>
          <w:szCs w:val="28"/>
        </w:rPr>
        <w:t>kaidr</w:t>
      </w:r>
      <w:r w:rsidR="00985735">
        <w:rPr>
          <w:rFonts w:ascii="Times New Roman" w:eastAsia="Century Gothic" w:hAnsi="Times New Roman" w:cs="Times New Roman"/>
          <w:sz w:val="28"/>
          <w:szCs w:val="28"/>
        </w:rPr>
        <w:t>a</w:t>
      </w:r>
      <w:r>
        <w:rPr>
          <w:rFonts w:ascii="Times New Roman" w:eastAsia="Century Gothic" w:hAnsi="Times New Roman" w:cs="Times New Roman"/>
          <w:sz w:val="28"/>
          <w:szCs w:val="28"/>
        </w:rPr>
        <w:t>s</w:t>
      </w:r>
      <w:r w:rsidR="0068272D">
        <w:rPr>
          <w:rFonts w:ascii="Times New Roman" w:eastAsia="Century Gothic" w:hAnsi="Times New Roman" w:cs="Times New Roman"/>
          <w:sz w:val="28"/>
          <w:szCs w:val="28"/>
        </w:rPr>
        <w:t xml:space="preserve"> naudas aprite</w:t>
      </w:r>
      <w:r w:rsidR="00837DC7">
        <w:rPr>
          <w:rFonts w:ascii="Times New Roman" w:eastAsia="Century Gothic" w:hAnsi="Times New Roman" w:cs="Times New Roman"/>
          <w:sz w:val="28"/>
          <w:szCs w:val="28"/>
        </w:rPr>
        <w:t xml:space="preserve"> </w:t>
      </w:r>
      <w:r w:rsidR="0068272D">
        <w:rPr>
          <w:rFonts w:ascii="Times New Roman" w:eastAsia="Century Gothic" w:hAnsi="Times New Roman" w:cs="Times New Roman"/>
          <w:sz w:val="28"/>
          <w:szCs w:val="28"/>
        </w:rPr>
        <w:t xml:space="preserve">ir </w:t>
      </w:r>
      <w:r w:rsidR="00C822FC">
        <w:rPr>
          <w:rFonts w:ascii="Times New Roman" w:eastAsia="Century Gothic" w:hAnsi="Times New Roman" w:cs="Times New Roman"/>
          <w:sz w:val="28"/>
          <w:szCs w:val="28"/>
        </w:rPr>
        <w:t xml:space="preserve">būtisks </w:t>
      </w:r>
      <w:r w:rsidR="0068272D">
        <w:rPr>
          <w:rFonts w:ascii="Times New Roman" w:eastAsia="Century Gothic" w:hAnsi="Times New Roman" w:cs="Times New Roman"/>
          <w:sz w:val="28"/>
          <w:szCs w:val="28"/>
        </w:rPr>
        <w:t xml:space="preserve">priekšnoteikums komersantu spējai maksāt “aplokšņu algas”. Nepieciešamība iegūt skaidru naudu izraisa arī pārējos pārkāpumus, piemēram, ieņēmumu slēpšana, fiktīvo līgumu slēgšana, un tml. Viens no apstākļiem, kas </w:t>
      </w:r>
      <w:proofErr w:type="spellStart"/>
      <w:r w:rsidR="0068272D">
        <w:rPr>
          <w:rFonts w:ascii="Times New Roman" w:eastAsia="Century Gothic" w:hAnsi="Times New Roman" w:cs="Times New Roman"/>
          <w:sz w:val="28"/>
          <w:szCs w:val="28"/>
        </w:rPr>
        <w:t>sarežģ</w:t>
      </w:r>
      <w:r w:rsidR="00E139B9">
        <w:rPr>
          <w:rFonts w:ascii="Times New Roman" w:eastAsia="Century Gothic" w:hAnsi="Times New Roman" w:cs="Times New Roman"/>
          <w:sz w:val="28"/>
          <w:szCs w:val="28"/>
        </w:rPr>
        <w:t>ī</w:t>
      </w:r>
      <w:proofErr w:type="spellEnd"/>
      <w:r w:rsidR="0068272D">
        <w:rPr>
          <w:rFonts w:ascii="Times New Roman" w:eastAsia="Century Gothic" w:hAnsi="Times New Roman" w:cs="Times New Roman"/>
          <w:sz w:val="28"/>
          <w:szCs w:val="28"/>
        </w:rPr>
        <w:t xml:space="preserve"> nodokļu administrēšanu ir garās apakšuzņēmēju ķēdes. Apakšuzņēmēju ķēdes, ņemot vērā būvniecības daudzšķautnaino procesu</w:t>
      </w:r>
      <w:r w:rsidR="0031020B">
        <w:rPr>
          <w:rFonts w:ascii="Times New Roman" w:eastAsia="Century Gothic" w:hAnsi="Times New Roman" w:cs="Times New Roman"/>
          <w:sz w:val="28"/>
          <w:szCs w:val="28"/>
        </w:rPr>
        <w:t>,</w:t>
      </w:r>
      <w:r w:rsidR="0068272D">
        <w:rPr>
          <w:rFonts w:ascii="Times New Roman" w:eastAsia="Century Gothic" w:hAnsi="Times New Roman" w:cs="Times New Roman"/>
          <w:sz w:val="28"/>
          <w:szCs w:val="28"/>
        </w:rPr>
        <w:t xml:space="preserve"> ir normāla</w:t>
      </w:r>
      <w:r w:rsidR="00EE1D82">
        <w:rPr>
          <w:rFonts w:ascii="Times New Roman" w:eastAsia="Century Gothic" w:hAnsi="Times New Roman" w:cs="Times New Roman"/>
          <w:sz w:val="28"/>
          <w:szCs w:val="28"/>
        </w:rPr>
        <w:t xml:space="preserve"> un pamatota</w:t>
      </w:r>
      <w:r w:rsidR="0068272D">
        <w:rPr>
          <w:rFonts w:ascii="Times New Roman" w:eastAsia="Century Gothic" w:hAnsi="Times New Roman" w:cs="Times New Roman"/>
          <w:sz w:val="28"/>
          <w:szCs w:val="28"/>
        </w:rPr>
        <w:t xml:space="preserve"> parādība visā pasaulē</w:t>
      </w:r>
      <w:r w:rsidR="0031020B">
        <w:rPr>
          <w:rFonts w:ascii="Times New Roman" w:eastAsia="Century Gothic" w:hAnsi="Times New Roman" w:cs="Times New Roman"/>
          <w:sz w:val="28"/>
          <w:szCs w:val="28"/>
        </w:rPr>
        <w:t>.</w:t>
      </w:r>
      <w:r w:rsidR="00EE1D82">
        <w:rPr>
          <w:rFonts w:ascii="Times New Roman" w:eastAsia="Century Gothic" w:hAnsi="Times New Roman" w:cs="Times New Roman"/>
          <w:sz w:val="28"/>
          <w:szCs w:val="28"/>
        </w:rPr>
        <w:t xml:space="preserve"> </w:t>
      </w:r>
      <w:r w:rsidR="0031020B">
        <w:rPr>
          <w:rFonts w:ascii="Times New Roman" w:eastAsia="Century Gothic" w:hAnsi="Times New Roman" w:cs="Times New Roman"/>
          <w:sz w:val="28"/>
          <w:szCs w:val="28"/>
        </w:rPr>
        <w:t>T</w:t>
      </w:r>
      <w:r w:rsidR="00EE1D82">
        <w:rPr>
          <w:rFonts w:ascii="Times New Roman" w:eastAsia="Century Gothic" w:hAnsi="Times New Roman" w:cs="Times New Roman"/>
          <w:sz w:val="28"/>
          <w:szCs w:val="28"/>
        </w:rPr>
        <w:t>aču tās var tikt izmantotas, lai procesā iekļautu tādus komersantus, kuri faktiski neveic darbus būvniecības līguma izpildei</w:t>
      </w:r>
      <w:r w:rsidR="0054728A">
        <w:rPr>
          <w:rFonts w:ascii="Times New Roman" w:eastAsia="Century Gothic" w:hAnsi="Times New Roman" w:cs="Times New Roman"/>
          <w:sz w:val="28"/>
          <w:szCs w:val="28"/>
        </w:rPr>
        <w:t>. T</w:t>
      </w:r>
      <w:r w:rsidR="00EE1D82">
        <w:rPr>
          <w:rFonts w:ascii="Times New Roman" w:eastAsia="Century Gothic" w:hAnsi="Times New Roman" w:cs="Times New Roman"/>
          <w:sz w:val="28"/>
          <w:szCs w:val="28"/>
        </w:rPr>
        <w:t>o uzdevums ir daļu no ģenerētiem ienākumiem caur fiktīviem līgumiem skaidr</w:t>
      </w:r>
      <w:r w:rsidR="00985735">
        <w:rPr>
          <w:rFonts w:ascii="Times New Roman" w:eastAsia="Century Gothic" w:hAnsi="Times New Roman" w:cs="Times New Roman"/>
          <w:sz w:val="28"/>
          <w:szCs w:val="28"/>
        </w:rPr>
        <w:t>a</w:t>
      </w:r>
      <w:r w:rsidR="00EE1D82">
        <w:rPr>
          <w:rFonts w:ascii="Times New Roman" w:eastAsia="Century Gothic" w:hAnsi="Times New Roman" w:cs="Times New Roman"/>
          <w:sz w:val="28"/>
          <w:szCs w:val="28"/>
        </w:rPr>
        <w:t>s naudas veidā atgriezt nozarē</w:t>
      </w:r>
      <w:r w:rsidR="009717A1">
        <w:rPr>
          <w:rFonts w:ascii="Times New Roman" w:eastAsia="Century Gothic" w:hAnsi="Times New Roman" w:cs="Times New Roman"/>
          <w:sz w:val="28"/>
          <w:szCs w:val="28"/>
        </w:rPr>
        <w:t>,</w:t>
      </w:r>
      <w:r w:rsidR="0031020B">
        <w:rPr>
          <w:rFonts w:ascii="Times New Roman" w:eastAsia="Century Gothic" w:hAnsi="Times New Roman" w:cs="Times New Roman"/>
          <w:sz w:val="28"/>
          <w:szCs w:val="28"/>
        </w:rPr>
        <w:t xml:space="preserve"> tādējādi </w:t>
      </w:r>
      <w:r w:rsidR="0054728A">
        <w:rPr>
          <w:rFonts w:ascii="Times New Roman" w:eastAsia="Century Gothic" w:hAnsi="Times New Roman" w:cs="Times New Roman"/>
          <w:sz w:val="28"/>
          <w:szCs w:val="28"/>
        </w:rPr>
        <w:t>palielinot</w:t>
      </w:r>
      <w:r w:rsidR="00EE1D82">
        <w:rPr>
          <w:rFonts w:ascii="Times New Roman" w:eastAsia="Century Gothic" w:hAnsi="Times New Roman" w:cs="Times New Roman"/>
          <w:sz w:val="28"/>
          <w:szCs w:val="28"/>
        </w:rPr>
        <w:t xml:space="preserve"> </w:t>
      </w:r>
      <w:r w:rsidR="0054728A">
        <w:rPr>
          <w:rFonts w:ascii="Times New Roman" w:eastAsia="Century Gothic" w:hAnsi="Times New Roman" w:cs="Times New Roman"/>
          <w:sz w:val="28"/>
          <w:szCs w:val="28"/>
        </w:rPr>
        <w:t xml:space="preserve">ēnu </w:t>
      </w:r>
      <w:r w:rsidR="00EE1D82">
        <w:rPr>
          <w:rFonts w:ascii="Times New Roman" w:eastAsia="Century Gothic" w:hAnsi="Times New Roman" w:cs="Times New Roman"/>
          <w:sz w:val="28"/>
          <w:szCs w:val="28"/>
        </w:rPr>
        <w:t>ekonomikas</w:t>
      </w:r>
      <w:r w:rsidR="00C251BC">
        <w:rPr>
          <w:rFonts w:ascii="Times New Roman" w:eastAsia="Century Gothic" w:hAnsi="Times New Roman" w:cs="Times New Roman"/>
          <w:sz w:val="28"/>
          <w:szCs w:val="28"/>
        </w:rPr>
        <w:t xml:space="preserve"> apjomu</w:t>
      </w:r>
      <w:r w:rsidR="00EE1D82">
        <w:rPr>
          <w:rFonts w:ascii="Times New Roman" w:eastAsia="Century Gothic" w:hAnsi="Times New Roman" w:cs="Times New Roman"/>
          <w:sz w:val="28"/>
          <w:szCs w:val="28"/>
        </w:rPr>
        <w:t xml:space="preserve">. </w:t>
      </w:r>
    </w:p>
    <w:p w14:paraId="55DD2BC3" w14:textId="0BA17FE5" w:rsidR="00EE1D82" w:rsidRDefault="00EE1D82" w:rsidP="00D651A7">
      <w:pPr>
        <w:spacing w:before="0" w:after="0" w:line="240" w:lineRule="auto"/>
        <w:ind w:firstLine="567"/>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Lai pārliecinātos par “fiktīvo” apakšuzņēmēju risku nopietnību, ir nepieciešams analizēt EDLU datus un pārliecināties vai visi apakšuzņēmēju ķēdē esoši būvkomersanti ar saviem darbiniekiem faktiski piedalās būvdarbu līguma izpildē</w:t>
      </w:r>
      <w:r w:rsidR="00BF1271">
        <w:rPr>
          <w:rFonts w:ascii="Times New Roman" w:eastAsia="Century Gothic" w:hAnsi="Times New Roman" w:cs="Times New Roman"/>
          <w:sz w:val="28"/>
          <w:szCs w:val="28"/>
        </w:rPr>
        <w:t>.</w:t>
      </w:r>
      <w:r>
        <w:rPr>
          <w:rFonts w:ascii="Times New Roman" w:eastAsia="Century Gothic" w:hAnsi="Times New Roman" w:cs="Times New Roman"/>
          <w:sz w:val="28"/>
          <w:szCs w:val="28"/>
        </w:rPr>
        <w:t xml:space="preserve"> </w:t>
      </w:r>
    </w:p>
    <w:p w14:paraId="37DACF41" w14:textId="7626BB56" w:rsidR="00890571" w:rsidRPr="00890571" w:rsidRDefault="00890571" w:rsidP="0068272D">
      <w:pPr>
        <w:spacing w:before="0" w:after="0" w:line="240" w:lineRule="auto"/>
        <w:ind w:firstLine="1134"/>
        <w:jc w:val="both"/>
        <w:rPr>
          <w:rFonts w:ascii="Times New Roman" w:eastAsia="Century Gothic" w:hAnsi="Times New Roman" w:cs="Times New Roman"/>
          <w:sz w:val="28"/>
          <w:szCs w:val="28"/>
        </w:rPr>
      </w:pPr>
      <w:r>
        <w:rPr>
          <w:rFonts w:ascii="Times New Roman" w:eastAsia="Century Gothic" w:hAnsi="Times New Roman" w:cs="Times New Roman"/>
          <w:sz w:val="28"/>
          <w:szCs w:val="28"/>
        </w:rPr>
        <w:t xml:space="preserve">Ekonomikas ministrija ierosina Finanšu ministrijai sadarbībā ar </w:t>
      </w:r>
      <w:r w:rsidR="009717A1">
        <w:rPr>
          <w:rFonts w:ascii="Times New Roman" w:eastAsia="Century Gothic" w:hAnsi="Times New Roman" w:cs="Times New Roman"/>
          <w:sz w:val="28"/>
          <w:szCs w:val="28"/>
        </w:rPr>
        <w:t>VID</w:t>
      </w:r>
      <w:r>
        <w:rPr>
          <w:rFonts w:ascii="Times New Roman" w:eastAsia="Century Gothic" w:hAnsi="Times New Roman" w:cs="Times New Roman"/>
          <w:sz w:val="28"/>
          <w:szCs w:val="28"/>
        </w:rPr>
        <w:t>, Ekonomikas ministriju, B</w:t>
      </w:r>
      <w:r w:rsidR="00FE09CA">
        <w:rPr>
          <w:rFonts w:ascii="Times New Roman" w:eastAsia="Century Gothic" w:hAnsi="Times New Roman" w:cs="Times New Roman"/>
          <w:sz w:val="28"/>
          <w:szCs w:val="28"/>
        </w:rPr>
        <w:t>VKB</w:t>
      </w:r>
      <w:r>
        <w:rPr>
          <w:rFonts w:ascii="Times New Roman" w:eastAsia="Century Gothic" w:hAnsi="Times New Roman" w:cs="Times New Roman"/>
          <w:sz w:val="28"/>
          <w:szCs w:val="28"/>
        </w:rPr>
        <w:t xml:space="preserve"> un V</w:t>
      </w:r>
      <w:r w:rsidR="00FE09CA">
        <w:rPr>
          <w:rFonts w:ascii="Times New Roman" w:eastAsia="Century Gothic" w:hAnsi="Times New Roman" w:cs="Times New Roman"/>
          <w:sz w:val="28"/>
          <w:szCs w:val="28"/>
        </w:rPr>
        <w:t>DI</w:t>
      </w:r>
      <w:r>
        <w:rPr>
          <w:rFonts w:ascii="Times New Roman" w:eastAsia="Century Gothic" w:hAnsi="Times New Roman" w:cs="Times New Roman"/>
          <w:sz w:val="28"/>
          <w:szCs w:val="28"/>
        </w:rPr>
        <w:t xml:space="preserve"> turpināt vērtēt EDLU efektivitāti</w:t>
      </w:r>
      <w:r w:rsidR="00FE09CA">
        <w:rPr>
          <w:rFonts w:ascii="Times New Roman" w:eastAsia="Century Gothic" w:hAnsi="Times New Roman" w:cs="Times New Roman"/>
          <w:sz w:val="28"/>
          <w:szCs w:val="28"/>
        </w:rPr>
        <w:t xml:space="preserve"> </w:t>
      </w:r>
      <w:r>
        <w:rPr>
          <w:rFonts w:ascii="Times New Roman" w:eastAsia="Century Gothic" w:hAnsi="Times New Roman" w:cs="Times New Roman"/>
          <w:sz w:val="28"/>
          <w:szCs w:val="28"/>
        </w:rPr>
        <w:t xml:space="preserve">, </w:t>
      </w:r>
      <w:r w:rsidR="00454AB3">
        <w:rPr>
          <w:rFonts w:ascii="Times New Roman" w:eastAsia="Century Gothic" w:hAnsi="Times New Roman" w:cs="Times New Roman"/>
          <w:sz w:val="28"/>
          <w:szCs w:val="28"/>
        </w:rPr>
        <w:t xml:space="preserve">īpašu uzmanību pievēršot </w:t>
      </w:r>
      <w:r>
        <w:rPr>
          <w:rFonts w:ascii="Times New Roman" w:eastAsia="Century Gothic" w:hAnsi="Times New Roman" w:cs="Times New Roman"/>
          <w:sz w:val="28"/>
          <w:szCs w:val="28"/>
        </w:rPr>
        <w:t>augstāk minētaj</w:t>
      </w:r>
      <w:r w:rsidR="00454AB3">
        <w:rPr>
          <w:rFonts w:ascii="Times New Roman" w:eastAsia="Century Gothic" w:hAnsi="Times New Roman" w:cs="Times New Roman"/>
          <w:sz w:val="28"/>
          <w:szCs w:val="28"/>
        </w:rPr>
        <w:t>iem</w:t>
      </w:r>
      <w:r>
        <w:rPr>
          <w:rFonts w:ascii="Times New Roman" w:eastAsia="Century Gothic" w:hAnsi="Times New Roman" w:cs="Times New Roman"/>
          <w:sz w:val="28"/>
          <w:szCs w:val="28"/>
        </w:rPr>
        <w:t xml:space="preserve"> aspekt</w:t>
      </w:r>
      <w:r w:rsidR="00454AB3">
        <w:rPr>
          <w:rFonts w:ascii="Times New Roman" w:eastAsia="Century Gothic" w:hAnsi="Times New Roman" w:cs="Times New Roman"/>
          <w:sz w:val="28"/>
          <w:szCs w:val="28"/>
        </w:rPr>
        <w:t>iem</w:t>
      </w:r>
      <w:r>
        <w:rPr>
          <w:rFonts w:ascii="Times New Roman" w:eastAsia="Century Gothic" w:hAnsi="Times New Roman" w:cs="Times New Roman"/>
          <w:sz w:val="28"/>
          <w:szCs w:val="28"/>
        </w:rPr>
        <w:t xml:space="preserve"> un </w:t>
      </w:r>
      <w:r w:rsidR="00D53FAB">
        <w:rPr>
          <w:rFonts w:ascii="Times New Roman" w:eastAsia="Century Gothic" w:hAnsi="Times New Roman" w:cs="Times New Roman"/>
          <w:sz w:val="28"/>
          <w:szCs w:val="28"/>
        </w:rPr>
        <w:t xml:space="preserve">līdz 2024.gada 1.martam </w:t>
      </w:r>
      <w:r>
        <w:rPr>
          <w:rFonts w:ascii="Times New Roman" w:eastAsia="Century Gothic" w:hAnsi="Times New Roman" w:cs="Times New Roman"/>
          <w:sz w:val="28"/>
          <w:szCs w:val="28"/>
        </w:rPr>
        <w:lastRenderedPageBreak/>
        <w:t>iesniegt Ministru kabinetā informatīvo ziņojumu</w:t>
      </w:r>
      <w:r w:rsidR="00F33889">
        <w:rPr>
          <w:rFonts w:ascii="Times New Roman" w:eastAsia="Century Gothic" w:hAnsi="Times New Roman" w:cs="Times New Roman"/>
          <w:sz w:val="28"/>
          <w:szCs w:val="28"/>
        </w:rPr>
        <w:t xml:space="preserve"> (</w:t>
      </w:r>
      <w:r w:rsidR="00FE09CA" w:rsidRPr="00FE09CA">
        <w:rPr>
          <w:rFonts w:ascii="Times New Roman" w:eastAsia="Century Gothic" w:hAnsi="Times New Roman" w:cs="Times New Roman"/>
          <w:sz w:val="28"/>
          <w:szCs w:val="28"/>
        </w:rPr>
        <w:t>novērtējumu</w:t>
      </w:r>
      <w:r w:rsidR="00F33889">
        <w:rPr>
          <w:rFonts w:ascii="Times New Roman" w:eastAsia="Century Gothic" w:hAnsi="Times New Roman" w:cs="Times New Roman"/>
          <w:sz w:val="28"/>
          <w:szCs w:val="28"/>
        </w:rPr>
        <w:t>)</w:t>
      </w:r>
      <w:r w:rsidR="00FE09CA" w:rsidRPr="00FE09CA">
        <w:rPr>
          <w:rFonts w:ascii="Times New Roman" w:eastAsia="Century Gothic" w:hAnsi="Times New Roman" w:cs="Times New Roman"/>
          <w:sz w:val="28"/>
          <w:szCs w:val="28"/>
        </w:rPr>
        <w:t xml:space="preserve"> par </w:t>
      </w:r>
      <w:r w:rsidR="001E0BD0">
        <w:rPr>
          <w:rFonts w:ascii="Times New Roman" w:eastAsia="Century Gothic" w:hAnsi="Times New Roman" w:cs="Times New Roman"/>
          <w:sz w:val="28"/>
          <w:szCs w:val="28"/>
        </w:rPr>
        <w:t>EDLU</w:t>
      </w:r>
      <w:r w:rsidR="00FE09CA" w:rsidRPr="00FE09CA">
        <w:rPr>
          <w:rFonts w:ascii="Times New Roman" w:eastAsia="Century Gothic" w:hAnsi="Times New Roman" w:cs="Times New Roman"/>
          <w:sz w:val="28"/>
          <w:szCs w:val="28"/>
        </w:rPr>
        <w:t xml:space="preserve"> ietekmi uz </w:t>
      </w:r>
      <w:r w:rsidR="00D53FAB">
        <w:rPr>
          <w:rFonts w:ascii="Times New Roman" w:eastAsia="Century Gothic" w:hAnsi="Times New Roman" w:cs="Times New Roman"/>
          <w:sz w:val="28"/>
          <w:szCs w:val="28"/>
        </w:rPr>
        <w:t xml:space="preserve">ēnu ekonomikas komponentēm – “aplokšņu algu” un nelegālo nodarbinātību, kā arī </w:t>
      </w:r>
      <w:r w:rsidR="00FE09CA" w:rsidRPr="00FE09CA">
        <w:rPr>
          <w:rFonts w:ascii="Times New Roman" w:eastAsia="Century Gothic" w:hAnsi="Times New Roman" w:cs="Times New Roman"/>
          <w:sz w:val="28"/>
          <w:szCs w:val="28"/>
        </w:rPr>
        <w:t xml:space="preserve">darbinieku atalgojumu pieaugumu, </w:t>
      </w:r>
      <w:r w:rsidR="00085955">
        <w:rPr>
          <w:rFonts w:ascii="Times New Roman" w:eastAsia="Century Gothic" w:hAnsi="Times New Roman" w:cs="Times New Roman"/>
          <w:sz w:val="28"/>
          <w:szCs w:val="28"/>
        </w:rPr>
        <w:t>IIN</w:t>
      </w:r>
      <w:r w:rsidR="00FE09CA" w:rsidRPr="00FE09CA">
        <w:rPr>
          <w:rFonts w:ascii="Times New Roman" w:eastAsia="Century Gothic" w:hAnsi="Times New Roman" w:cs="Times New Roman"/>
          <w:sz w:val="28"/>
          <w:szCs w:val="28"/>
        </w:rPr>
        <w:t xml:space="preserve"> un valsts sociālās apdrošināšanas obligāto iemaksu plaisu apmēra mazināšanos būvniecības nozarē, ņemot vērā informatīvajā ziņojumā identificētos aspektus</w:t>
      </w:r>
      <w:r>
        <w:rPr>
          <w:rFonts w:ascii="Times New Roman" w:eastAsia="Century Gothic" w:hAnsi="Times New Roman" w:cs="Times New Roman"/>
          <w:sz w:val="28"/>
          <w:szCs w:val="28"/>
        </w:rPr>
        <w:t xml:space="preserve">.  </w:t>
      </w:r>
    </w:p>
    <w:p w14:paraId="21D902CC" w14:textId="77777777" w:rsidR="009E70C5" w:rsidRDefault="009E70C5" w:rsidP="00962203">
      <w:pPr>
        <w:spacing w:before="0" w:after="0" w:line="240" w:lineRule="auto"/>
        <w:ind w:firstLine="720"/>
        <w:jc w:val="both"/>
        <w:rPr>
          <w:rFonts w:ascii="Times New Roman" w:eastAsia="Century Gothic" w:hAnsi="Times New Roman" w:cs="Times New Roman"/>
          <w:sz w:val="28"/>
          <w:szCs w:val="28"/>
        </w:rPr>
      </w:pPr>
    </w:p>
    <w:p w14:paraId="44D166D1" w14:textId="77777777" w:rsidR="00217F39" w:rsidRDefault="00217F39" w:rsidP="005E08CF">
      <w:pPr>
        <w:pStyle w:val="NoSpacing"/>
        <w:spacing w:before="0"/>
        <w:ind w:firstLine="720"/>
        <w:jc w:val="both"/>
        <w:rPr>
          <w:rFonts w:ascii="Times New Roman" w:hAnsi="Times New Roman" w:cs="Times New Roman"/>
          <w:b/>
          <w:i/>
          <w:sz w:val="28"/>
          <w:szCs w:val="28"/>
        </w:rPr>
      </w:pPr>
    </w:p>
    <w:bookmarkEnd w:id="0"/>
    <w:bookmarkEnd w:id="1"/>
    <w:bookmarkEnd w:id="4"/>
    <w:p w14:paraId="1C5DC1A3" w14:textId="48022158" w:rsidR="004B7CF4" w:rsidRPr="00550F94" w:rsidRDefault="00064FA3" w:rsidP="00550F94">
      <w:pPr>
        <w:tabs>
          <w:tab w:val="left" w:pos="7938"/>
        </w:tabs>
        <w:spacing w:before="0" w:after="0" w:line="240" w:lineRule="auto"/>
        <w:jc w:val="both"/>
        <w:rPr>
          <w:rFonts w:ascii="Times New Roman" w:hAnsi="Times New Roman" w:cs="Times New Roman"/>
          <w:sz w:val="28"/>
          <w:szCs w:val="28"/>
        </w:rPr>
      </w:pPr>
      <w:r>
        <w:rPr>
          <w:rFonts w:ascii="Times New Roman" w:hAnsi="Times New Roman" w:cs="Times New Roman"/>
          <w:sz w:val="28"/>
          <w:szCs w:val="28"/>
        </w:rPr>
        <w:t>Ekonomikas ministr</w:t>
      </w:r>
      <w:r w:rsidR="00CE6351">
        <w:rPr>
          <w:rFonts w:ascii="Times New Roman" w:hAnsi="Times New Roman" w:cs="Times New Roman"/>
          <w:sz w:val="28"/>
          <w:szCs w:val="28"/>
        </w:rPr>
        <w:t>e</w:t>
      </w:r>
      <w:r w:rsidR="0067345F">
        <w:rPr>
          <w:rFonts w:ascii="Times New Roman" w:hAnsi="Times New Roman" w:cs="Times New Roman"/>
          <w:sz w:val="28"/>
          <w:szCs w:val="28"/>
        </w:rPr>
        <w:tab/>
      </w:r>
      <w:proofErr w:type="spellStart"/>
      <w:r w:rsidR="00CE6351">
        <w:rPr>
          <w:rFonts w:ascii="Times New Roman" w:hAnsi="Times New Roman" w:cs="Times New Roman"/>
          <w:sz w:val="28"/>
          <w:szCs w:val="28"/>
        </w:rPr>
        <w:t>I.Indriksone</w:t>
      </w:r>
      <w:proofErr w:type="spellEnd"/>
    </w:p>
    <w:sectPr w:rsidR="004B7CF4" w:rsidRPr="00550F94" w:rsidSect="005E08CF">
      <w:headerReference w:type="default" r:id="rId10"/>
      <w:footerReference w:type="default" r:id="rId11"/>
      <w:headerReference w:type="first" r:id="rId12"/>
      <w:foot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A0FD6" w14:textId="77777777" w:rsidR="00033EC8" w:rsidRDefault="00033EC8" w:rsidP="002F056A">
      <w:pPr>
        <w:spacing w:before="0" w:after="0" w:line="240" w:lineRule="auto"/>
      </w:pPr>
      <w:r>
        <w:separator/>
      </w:r>
    </w:p>
  </w:endnote>
  <w:endnote w:type="continuationSeparator" w:id="0">
    <w:p w14:paraId="73AA298B" w14:textId="77777777" w:rsidR="00033EC8" w:rsidRDefault="00033EC8" w:rsidP="002F056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55380" w14:textId="74C15B32" w:rsidR="005F7DBA" w:rsidRPr="00014517" w:rsidRDefault="005F7DBA">
    <w:pPr>
      <w:pStyle w:val="Footer"/>
      <w:rPr>
        <w:rFonts w:ascii="Times New Roman" w:hAnsi="Times New Roman" w:cs="Times New Roman"/>
      </w:rPr>
    </w:pPr>
    <w:r w:rsidRPr="00014517">
      <w:rPr>
        <w:rFonts w:ascii="Times New Roman" w:hAnsi="Times New Roman" w:cs="Times New Roman"/>
      </w:rPr>
      <w:fldChar w:fldCharType="begin"/>
    </w:r>
    <w:r w:rsidRPr="00D20578">
      <w:rPr>
        <w:rFonts w:ascii="Times New Roman" w:hAnsi="Times New Roman" w:cs="Times New Roman"/>
      </w:rPr>
      <w:instrText xml:space="preserve"> FILENAME   \* MERGEFORMAT </w:instrText>
    </w:r>
    <w:r w:rsidRPr="00014517">
      <w:rPr>
        <w:rFonts w:ascii="Times New Roman" w:hAnsi="Times New Roman" w:cs="Times New Roman"/>
      </w:rPr>
      <w:fldChar w:fldCharType="separate"/>
    </w:r>
    <w:r>
      <w:rPr>
        <w:rFonts w:ascii="Times New Roman" w:hAnsi="Times New Roman" w:cs="Times New Roman"/>
        <w:noProof/>
      </w:rPr>
      <w:t>EMzin_05082021_EDLUS.docx</w:t>
    </w:r>
    <w:r w:rsidRPr="00014517">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4CC5" w14:textId="35803CB4" w:rsidR="005F7DBA" w:rsidRPr="0058674D" w:rsidRDefault="005F7DBA">
    <w:pPr>
      <w:pStyle w:val="Footer"/>
      <w:rPr>
        <w:rFonts w:ascii="Times New Roman" w:hAnsi="Times New Roman" w:cs="Times New Roman"/>
      </w:rPr>
    </w:pPr>
    <w:r>
      <w:rPr>
        <w:rFonts w:ascii="Times New Roman" w:hAnsi="Times New Roman" w:cs="Times New Roman"/>
        <w:noProof/>
      </w:rPr>
      <w:t>FMzin_060720_EDLUS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84010" w14:textId="77777777" w:rsidR="00033EC8" w:rsidRDefault="00033EC8" w:rsidP="002F056A">
      <w:pPr>
        <w:spacing w:before="0" w:after="0" w:line="240" w:lineRule="auto"/>
      </w:pPr>
      <w:r>
        <w:separator/>
      </w:r>
    </w:p>
  </w:footnote>
  <w:footnote w:type="continuationSeparator" w:id="0">
    <w:p w14:paraId="51C73CA2" w14:textId="77777777" w:rsidR="00033EC8" w:rsidRDefault="00033EC8" w:rsidP="002F056A">
      <w:pPr>
        <w:spacing w:before="0" w:after="0" w:line="240" w:lineRule="auto"/>
      </w:pPr>
      <w:r>
        <w:continuationSeparator/>
      </w:r>
    </w:p>
  </w:footnote>
  <w:footnote w:id="1">
    <w:p w14:paraId="2DC25912" w14:textId="77777777" w:rsidR="005F7DBA" w:rsidRPr="00217F39" w:rsidRDefault="005F7DBA" w:rsidP="00217F39">
      <w:pPr>
        <w:pStyle w:val="FootnoteText"/>
        <w:rPr>
          <w:rFonts w:ascii="Times New Roman" w:hAnsi="Times New Roman" w:cs="Times New Roman"/>
          <w:sz w:val="18"/>
          <w:szCs w:val="18"/>
        </w:rPr>
      </w:pPr>
      <w:r>
        <w:rPr>
          <w:rStyle w:val="FootnoteReference"/>
        </w:rPr>
        <w:footnoteRef/>
      </w:r>
      <w:r>
        <w:t xml:space="preserve"> </w:t>
      </w:r>
      <w:r w:rsidRPr="00217F39">
        <w:rPr>
          <w:rFonts w:ascii="Times New Roman" w:hAnsi="Times New Roman" w:cs="Times New Roman"/>
          <w:sz w:val="18"/>
          <w:szCs w:val="18"/>
        </w:rPr>
        <w:t xml:space="preserve">Apkopota informācija par VID veiktajām tematiskajām pārbaudēm un apsekošanām būvniecības nozarē strādājošiem uzņēmumiem ar </w:t>
      </w:r>
      <w:r w:rsidRPr="00217F39">
        <w:rPr>
          <w:rFonts w:ascii="Times New Roman" w:hAnsi="Times New Roman" w:cs="Times New Roman"/>
          <w:i/>
          <w:iCs/>
          <w:sz w:val="18"/>
          <w:szCs w:val="18"/>
        </w:rPr>
        <w:t>NACE</w:t>
      </w:r>
      <w:r w:rsidRPr="00217F39">
        <w:rPr>
          <w:rFonts w:ascii="Times New Roman" w:hAnsi="Times New Roman" w:cs="Times New Roman"/>
          <w:sz w:val="18"/>
          <w:szCs w:val="18"/>
        </w:rPr>
        <w:t xml:space="preserve"> 2.redakcijas apkopojošiem kodiem: 41 – Ēku būvniecība; 42 – </w:t>
      </w:r>
      <w:proofErr w:type="spellStart"/>
      <w:r w:rsidRPr="00217F39">
        <w:rPr>
          <w:rFonts w:ascii="Times New Roman" w:hAnsi="Times New Roman" w:cs="Times New Roman"/>
          <w:sz w:val="18"/>
          <w:szCs w:val="18"/>
        </w:rPr>
        <w:t>Inženierbūvniecība</w:t>
      </w:r>
      <w:proofErr w:type="spellEnd"/>
      <w:r w:rsidRPr="00217F39">
        <w:rPr>
          <w:rFonts w:ascii="Times New Roman" w:hAnsi="Times New Roman" w:cs="Times New Roman"/>
          <w:sz w:val="18"/>
          <w:szCs w:val="18"/>
        </w:rPr>
        <w:t>; 43 – Specializētie būvdarbi.</w:t>
      </w:r>
    </w:p>
  </w:footnote>
  <w:footnote w:id="2">
    <w:p w14:paraId="4C913FA7" w14:textId="77777777" w:rsidR="005F7DBA" w:rsidRPr="00962203" w:rsidRDefault="005F7DBA" w:rsidP="00217F39">
      <w:pPr>
        <w:pStyle w:val="FootnoteText"/>
        <w:rPr>
          <w:rFonts w:ascii="Times New Roman" w:hAnsi="Times New Roman" w:cs="Times New Roman"/>
          <w:sz w:val="18"/>
          <w:szCs w:val="18"/>
        </w:rPr>
      </w:pPr>
      <w:r>
        <w:rPr>
          <w:rStyle w:val="FootnoteReference"/>
        </w:rPr>
        <w:footnoteRef/>
      </w:r>
      <w:r>
        <w:t xml:space="preserve"> </w:t>
      </w:r>
      <w:r w:rsidRPr="00962203">
        <w:rPr>
          <w:rFonts w:ascii="Times New Roman" w:hAnsi="Times New Roman" w:cs="Times New Roman"/>
          <w:sz w:val="18"/>
          <w:szCs w:val="18"/>
        </w:rPr>
        <w:t>Preventīvie pasākumi par taksācijas periodiem nevis laika periodu, kad veikti preventīvie pasākumi.</w:t>
      </w:r>
    </w:p>
  </w:footnote>
  <w:footnote w:id="3">
    <w:p w14:paraId="7B43CBAC" w14:textId="77777777" w:rsidR="005F7DBA" w:rsidRPr="00962203" w:rsidRDefault="005F7DBA" w:rsidP="00217F39">
      <w:pPr>
        <w:pStyle w:val="FootnoteText"/>
        <w:rPr>
          <w:rFonts w:ascii="Times New Roman" w:hAnsi="Times New Roman" w:cs="Times New Roman"/>
          <w:sz w:val="18"/>
          <w:szCs w:val="18"/>
        </w:rPr>
      </w:pPr>
      <w:r w:rsidRPr="00962203">
        <w:rPr>
          <w:rStyle w:val="FootnoteReference"/>
          <w:rFonts w:ascii="Times New Roman" w:hAnsi="Times New Roman" w:cs="Times New Roman"/>
          <w:sz w:val="18"/>
          <w:szCs w:val="18"/>
        </w:rPr>
        <w:footnoteRef/>
      </w:r>
      <w:r w:rsidRPr="00962203">
        <w:rPr>
          <w:rFonts w:ascii="Times New Roman" w:hAnsi="Times New Roman" w:cs="Times New Roman"/>
          <w:sz w:val="18"/>
          <w:szCs w:val="18"/>
        </w:rPr>
        <w:t xml:space="preserve"> </w:t>
      </w:r>
      <w:r w:rsidRPr="00962203">
        <w:rPr>
          <w:rFonts w:ascii="Times New Roman" w:hAnsi="Times New Roman" w:cs="Times New Roman"/>
          <w:sz w:val="18"/>
          <w:szCs w:val="18"/>
        </w:rPr>
        <w:t>Likuma “Par nodokļiem un nodevām” 115.panta otrā daļa.</w:t>
      </w:r>
    </w:p>
  </w:footnote>
  <w:footnote w:id="4">
    <w:p w14:paraId="72E975CD" w14:textId="77777777" w:rsidR="005F7DBA" w:rsidRPr="00962203" w:rsidRDefault="005F7DBA" w:rsidP="00217F39">
      <w:pPr>
        <w:pStyle w:val="FootnoteText"/>
        <w:rPr>
          <w:rFonts w:ascii="Times New Roman" w:hAnsi="Times New Roman" w:cs="Times New Roman"/>
          <w:sz w:val="18"/>
          <w:szCs w:val="18"/>
        </w:rPr>
      </w:pPr>
      <w:r w:rsidRPr="00962203">
        <w:rPr>
          <w:rStyle w:val="FootnoteReference"/>
          <w:rFonts w:ascii="Times New Roman" w:hAnsi="Times New Roman" w:cs="Times New Roman"/>
          <w:sz w:val="18"/>
          <w:szCs w:val="18"/>
        </w:rPr>
        <w:footnoteRef/>
      </w:r>
      <w:r w:rsidRPr="00962203">
        <w:rPr>
          <w:rFonts w:ascii="Times New Roman" w:hAnsi="Times New Roman" w:cs="Times New Roman"/>
          <w:sz w:val="18"/>
          <w:szCs w:val="18"/>
        </w:rPr>
        <w:t xml:space="preserve"> </w:t>
      </w:r>
      <w:r w:rsidRPr="00962203">
        <w:rPr>
          <w:rFonts w:ascii="Times New Roman" w:hAnsi="Times New Roman" w:cs="Times New Roman"/>
          <w:sz w:val="18"/>
          <w:szCs w:val="18"/>
        </w:rPr>
        <w:t>Mikrouzņēmumu nodokļa likuma 7.panta sestā daļa (redakcija spēkā līdz 2020.gada 31.decembrim).</w:t>
      </w:r>
    </w:p>
  </w:footnote>
  <w:footnote w:id="5">
    <w:p w14:paraId="206A6C94" w14:textId="77777777" w:rsidR="00FE09CA" w:rsidRPr="002C7611" w:rsidRDefault="005F7DBA" w:rsidP="00FE09CA">
      <w:pPr>
        <w:rPr>
          <w:rFonts w:ascii="Times New Roman" w:hAnsi="Times New Roman" w:cs="Times New Roman"/>
        </w:rPr>
      </w:pPr>
      <w:r w:rsidRPr="00C64003">
        <w:rPr>
          <w:rStyle w:val="FootnoteReference"/>
          <w:rFonts w:cs="Times New Roman"/>
        </w:rPr>
        <w:footnoteRef/>
      </w:r>
      <w:r w:rsidRPr="00C64003">
        <w:rPr>
          <w:rFonts w:cs="Times New Roman"/>
        </w:rPr>
        <w:t xml:space="preserve"> </w:t>
      </w:r>
      <w:r w:rsidRPr="00147945">
        <w:rPr>
          <w:rFonts w:ascii="Times New Roman" w:hAnsi="Times New Roman" w:cs="Times New Roman"/>
        </w:rPr>
        <w:t>Likuma “Par nodokļiem un nodevām” 116.panta 9.punkts, 117.panta 4.punkts.</w:t>
      </w:r>
      <w:r w:rsidR="00FE09CA">
        <w:rPr>
          <w:rFonts w:ascii="Times New Roman" w:hAnsi="Times New Roman" w:cs="Times New Roman"/>
        </w:rPr>
        <w:t xml:space="preserve"> Turklāt Finanšu ministrija ir izstrādājusi grozījumus minētajā regulējumā, kas paredz izslēgt nosacījumu par </w:t>
      </w:r>
      <w:r w:rsidR="00FE09CA" w:rsidRPr="00F866D0">
        <w:rPr>
          <w:rFonts w:ascii="Times New Roman" w:hAnsi="Times New Roman" w:cs="Times New Roman"/>
        </w:rPr>
        <w:t>līguma summ</w:t>
      </w:r>
      <w:r w:rsidR="00FE09CA">
        <w:rPr>
          <w:rFonts w:ascii="Times New Roman" w:hAnsi="Times New Roman" w:cs="Times New Roman"/>
        </w:rPr>
        <w:t xml:space="preserve">u, kas </w:t>
      </w:r>
      <w:r w:rsidR="00FE09CA" w:rsidRPr="00902F1D">
        <w:rPr>
          <w:rFonts w:ascii="Times New Roman" w:hAnsi="Times New Roman" w:cs="Times New Roman"/>
        </w:rPr>
        <w:t>ļaus ne tikai novērst izvairīšanās no informācijas sniegšanas pienākuma pildīšanas iespēju, bet arī ļaus attiecīgajām valsts iestādēm kontroles vajadzībām veidot pilnvērtīgu analīzi par saistību monetāro apjomu un noslēgtajiem līgumiem, kā arī radīs iespēju veikt kontroli par līgumos noteikto saistību izpildi attiecībā pret apakšuzņēmumiem</w:t>
      </w:r>
      <w:r w:rsidR="00FE09CA">
        <w:rPr>
          <w:rFonts w:ascii="Times New Roman" w:hAnsi="Times New Roman" w:cs="Times New Roman"/>
        </w:rPr>
        <w:t xml:space="preserve"> (22-TA-368; </w:t>
      </w:r>
      <w:hyperlink r:id="rId1" w:history="1">
        <w:r w:rsidR="00FE09CA" w:rsidRPr="002C7611">
          <w:rPr>
            <w:rStyle w:val="Hyperlink"/>
            <w:rFonts w:ascii="Times New Roman" w:hAnsi="Times New Roman" w:cs="Times New Roman"/>
          </w:rPr>
          <w:t>https://tapportals.mk.gov.lv/legal_acts/28a1411f-c6bb-4775-a1d3-3ace54dbd238</w:t>
        </w:r>
      </w:hyperlink>
      <w:r w:rsidR="00FE09CA">
        <w:rPr>
          <w:rFonts w:ascii="Times New Roman" w:hAnsi="Times New Roman" w:cs="Times New Roman"/>
        </w:rPr>
        <w:t>).</w:t>
      </w:r>
    </w:p>
    <w:p w14:paraId="01591E1B" w14:textId="2DD43478" w:rsidR="005F7DBA" w:rsidRPr="00147945" w:rsidRDefault="005F7DBA" w:rsidP="00217F39">
      <w:pPr>
        <w:pStyle w:val="FootnoteText"/>
        <w:rPr>
          <w:rFonts w:ascii="Times New Roman" w:hAnsi="Times New Roman" w:cs="Times New Roman"/>
        </w:rPr>
      </w:pPr>
    </w:p>
  </w:footnote>
  <w:footnote w:id="6">
    <w:p w14:paraId="52E4A32F" w14:textId="77777777" w:rsidR="005F7DBA" w:rsidRPr="00147945" w:rsidRDefault="005F7DBA" w:rsidP="00217F39">
      <w:pPr>
        <w:pStyle w:val="FootnoteText"/>
        <w:rPr>
          <w:rFonts w:ascii="Times New Roman" w:hAnsi="Times New Roman" w:cs="Times New Roman"/>
        </w:rPr>
      </w:pPr>
      <w:r w:rsidRPr="00147945">
        <w:rPr>
          <w:rStyle w:val="FootnoteReference"/>
          <w:rFonts w:ascii="Times New Roman" w:hAnsi="Times New Roman" w:cs="Times New Roman"/>
        </w:rPr>
        <w:footnoteRef/>
      </w:r>
      <w:r w:rsidRPr="00147945">
        <w:rPr>
          <w:rFonts w:ascii="Times New Roman" w:hAnsi="Times New Roman" w:cs="Times New Roman"/>
        </w:rPr>
        <w:t xml:space="preserve"> </w:t>
      </w:r>
      <w:r w:rsidRPr="00147945">
        <w:rPr>
          <w:rFonts w:ascii="Times New Roman" w:hAnsi="Times New Roman" w:cs="Times New Roman"/>
        </w:rPr>
        <w:t>MK 07.09.2010. noteikumu Nr.827 “Noteikumi par valsts sociālās apdrošināšanas obligāto iemaksu veicēju reģistrāciju un ziņojumiem par valsts sociālās apdrošināšanas obligātajām iemaksām un iedzīvotāju ienākuma nodokli” 8.1.apakšpunkts.</w:t>
      </w:r>
    </w:p>
  </w:footnote>
  <w:footnote w:id="7">
    <w:p w14:paraId="285536D1" w14:textId="77777777" w:rsidR="005F7DBA" w:rsidRPr="00147945" w:rsidRDefault="005F7DBA" w:rsidP="00217F39">
      <w:pPr>
        <w:pStyle w:val="FootnoteText"/>
        <w:rPr>
          <w:rFonts w:ascii="Times New Roman" w:hAnsi="Times New Roman" w:cs="Times New Roman"/>
        </w:rPr>
      </w:pPr>
      <w:r w:rsidRPr="00147945">
        <w:rPr>
          <w:rStyle w:val="FootnoteReference"/>
          <w:rFonts w:ascii="Times New Roman" w:hAnsi="Times New Roman" w:cs="Times New Roman"/>
        </w:rPr>
        <w:footnoteRef/>
      </w:r>
      <w:r w:rsidRPr="00147945">
        <w:rPr>
          <w:rFonts w:ascii="Times New Roman" w:hAnsi="Times New Roman" w:cs="Times New Roman"/>
        </w:rPr>
        <w:t xml:space="preserve"> </w:t>
      </w:r>
      <w:r w:rsidRPr="00147945">
        <w:rPr>
          <w:rFonts w:ascii="Times New Roman" w:hAnsi="Times New Roman" w:cs="Times New Roman"/>
        </w:rPr>
        <w:t>Likuma “Par nodokļiem un nodevām” 115.pants.</w:t>
      </w:r>
    </w:p>
  </w:footnote>
  <w:footnote w:id="8">
    <w:p w14:paraId="6824AEB7" w14:textId="77777777" w:rsidR="005F7DBA" w:rsidRPr="005D0A79" w:rsidRDefault="005F7DBA" w:rsidP="00217F39">
      <w:pPr>
        <w:pStyle w:val="FootnoteText"/>
      </w:pPr>
      <w:r w:rsidRPr="005D0A79">
        <w:rPr>
          <w:rStyle w:val="FootnoteReference"/>
        </w:rPr>
        <w:footnoteRef/>
      </w:r>
      <w:r w:rsidRPr="005D0A79">
        <w:t xml:space="preserve"> </w:t>
      </w:r>
      <w:r w:rsidRPr="005D0A79">
        <w:t>Likuma “Par nodokļiem un nodevām”14.panta astotās daļ</w:t>
      </w:r>
      <w:r>
        <w:t>a</w:t>
      </w:r>
      <w:r w:rsidRPr="005D0A79">
        <w:t>s pirmais punkts</w:t>
      </w:r>
      <w:r>
        <w:t>.</w:t>
      </w:r>
    </w:p>
  </w:footnote>
  <w:footnote w:id="9">
    <w:p w14:paraId="337288AF" w14:textId="5826B092" w:rsidR="00653E1B" w:rsidRDefault="00653E1B" w:rsidP="00653E1B">
      <w:pPr>
        <w:pStyle w:val="FootnoteText"/>
      </w:pPr>
      <w:r>
        <w:rPr>
          <w:rStyle w:val="FootnoteReference"/>
        </w:rPr>
        <w:footnoteRef/>
      </w:r>
      <w:r>
        <w:t xml:space="preserve"> </w:t>
      </w:r>
      <w:r>
        <w:t>Ēnu ekonomikas indekss Baltijas valstīs 2009.–2020. gadā (</w:t>
      </w:r>
      <w:hyperlink r:id="rId2" w:history="1">
        <w:r w:rsidRPr="00F95571">
          <w:rPr>
            <w:rStyle w:val="Hyperlink"/>
          </w:rPr>
          <w:t>https://www.sseriga.edu/sites/default/files/2021-06/SSERiga_Enu_ekonomikas_indekss_2009-2020_1.pdf</w:t>
        </w:r>
      </w:hyperlink>
      <w:r>
        <w:t xml:space="preserve">). </w:t>
      </w:r>
    </w:p>
  </w:footnote>
  <w:footnote w:id="10">
    <w:p w14:paraId="4488318F" w14:textId="4C85A5CC" w:rsidR="00384948" w:rsidRPr="00FA2D08" w:rsidRDefault="00384948" w:rsidP="00384948">
      <w:pPr>
        <w:pStyle w:val="FootnoteText"/>
        <w:rPr>
          <w:rFonts w:ascii="Times New Roman" w:hAnsi="Times New Roman" w:cs="Times New Roman"/>
        </w:rPr>
      </w:pPr>
      <w:r w:rsidRPr="00FA2D08">
        <w:rPr>
          <w:rStyle w:val="FootnoteReference"/>
          <w:rFonts w:ascii="Times New Roman" w:hAnsi="Times New Roman" w:cs="Times New Roman"/>
        </w:rPr>
        <w:footnoteRef/>
      </w:r>
      <w:r w:rsidRPr="00FA2D08">
        <w:rPr>
          <w:rFonts w:ascii="Times New Roman" w:hAnsi="Times New Roman" w:cs="Times New Roman"/>
        </w:rPr>
        <w:t xml:space="preserve"> </w:t>
      </w:r>
      <w:hyperlink r:id="rId3" w:history="1">
        <w:r w:rsidRPr="00FA2D08">
          <w:rPr>
            <w:rStyle w:val="Hyperlink"/>
            <w:rFonts w:ascii="Times New Roman" w:hAnsi="Times New Roman" w:cs="Times New Roman"/>
          </w:rPr>
          <w:t>https://www.sseriga.edu/sites/default/files/2021-06/SSERiga_Enu_ekonomikas_indekss_2009-2020_1.pdf</w:t>
        </w:r>
      </w:hyperlink>
    </w:p>
  </w:footnote>
  <w:footnote w:id="11">
    <w:p w14:paraId="4CC76733" w14:textId="61CED835" w:rsidR="009372BA" w:rsidRDefault="009372BA">
      <w:pPr>
        <w:pStyle w:val="FootnoteText"/>
      </w:pPr>
      <w:r>
        <w:rPr>
          <w:rStyle w:val="FootnoteReference"/>
        </w:rPr>
        <w:footnoteRef/>
      </w:r>
      <w:r>
        <w:t xml:space="preserve"> </w:t>
      </w:r>
      <w:hyperlink r:id="rId4" w:history="1">
        <w:r w:rsidRPr="007B69BB">
          <w:rPr>
            <w:rStyle w:val="Hyperlink"/>
          </w:rPr>
          <w:t>https://www.sseriga.edu/sites/default/files/2020-05/Enu_ekonomika_buvnieciba_2015-2019_petijuma_kopsavilkums_prezentacija.pdf</w:t>
        </w:r>
      </w:hyperlink>
    </w:p>
    <w:p w14:paraId="2B4353EB" w14:textId="77777777" w:rsidR="009372BA" w:rsidRDefault="009372B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483580"/>
      <w:docPartObj>
        <w:docPartGallery w:val="Page Numbers (Top of Page)"/>
        <w:docPartUnique/>
      </w:docPartObj>
    </w:sdtPr>
    <w:sdtEndPr>
      <w:rPr>
        <w:rFonts w:ascii="Times New Roman" w:hAnsi="Times New Roman" w:cs="Times New Roman"/>
        <w:noProof/>
        <w:sz w:val="24"/>
        <w:szCs w:val="24"/>
      </w:rPr>
    </w:sdtEndPr>
    <w:sdtContent>
      <w:p w14:paraId="5E4FE5A6" w14:textId="7C24DB50" w:rsidR="005F7DBA" w:rsidRPr="006A6FE6" w:rsidRDefault="005F7DBA" w:rsidP="006A6FE6">
        <w:pPr>
          <w:pStyle w:val="Header"/>
          <w:jc w:val="center"/>
          <w:rPr>
            <w:rFonts w:ascii="Times New Roman" w:hAnsi="Times New Roman" w:cs="Times New Roman"/>
            <w:sz w:val="24"/>
            <w:szCs w:val="24"/>
          </w:rPr>
        </w:pPr>
        <w:r w:rsidRPr="006A6FE6">
          <w:rPr>
            <w:rFonts w:ascii="Times New Roman" w:hAnsi="Times New Roman" w:cs="Times New Roman"/>
            <w:sz w:val="24"/>
            <w:szCs w:val="24"/>
          </w:rPr>
          <w:fldChar w:fldCharType="begin"/>
        </w:r>
        <w:r w:rsidRPr="006A6FE6">
          <w:rPr>
            <w:rFonts w:ascii="Times New Roman" w:hAnsi="Times New Roman" w:cs="Times New Roman"/>
            <w:sz w:val="24"/>
            <w:szCs w:val="24"/>
          </w:rPr>
          <w:instrText xml:space="preserve"> PAGE   \* MERGEFORMAT </w:instrText>
        </w:r>
        <w:r w:rsidRPr="006A6FE6">
          <w:rPr>
            <w:rFonts w:ascii="Times New Roman" w:hAnsi="Times New Roman" w:cs="Times New Roman"/>
            <w:sz w:val="24"/>
            <w:szCs w:val="24"/>
          </w:rPr>
          <w:fldChar w:fldCharType="separate"/>
        </w:r>
        <w:r>
          <w:rPr>
            <w:rFonts w:ascii="Times New Roman" w:hAnsi="Times New Roman" w:cs="Times New Roman"/>
            <w:noProof/>
            <w:sz w:val="24"/>
            <w:szCs w:val="24"/>
          </w:rPr>
          <w:t>28</w:t>
        </w:r>
        <w:r w:rsidRPr="006A6FE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1B11" w14:textId="77777777" w:rsidR="005F7DBA" w:rsidRDefault="005F7DBA" w:rsidP="00D2057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D59"/>
    <w:multiLevelType w:val="hybridMultilevel"/>
    <w:tmpl w:val="AFD654BA"/>
    <w:lvl w:ilvl="0" w:tplc="FADECD1E">
      <w:start w:val="1"/>
      <w:numFmt w:val="decimal"/>
      <w:lvlText w:val="%1)"/>
      <w:lvlJc w:val="left"/>
      <w:pPr>
        <w:ind w:left="1440" w:hanging="360"/>
      </w:pPr>
      <w:rPr>
        <w:rFonts w:ascii="Times New Roman" w:eastAsia="Century Gothic"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65F23AD"/>
    <w:multiLevelType w:val="hybridMultilevel"/>
    <w:tmpl w:val="A27A8F42"/>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3F3034"/>
    <w:multiLevelType w:val="hybridMultilevel"/>
    <w:tmpl w:val="E32CCBD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A21188"/>
    <w:multiLevelType w:val="hybridMultilevel"/>
    <w:tmpl w:val="95542F72"/>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B367B0"/>
    <w:multiLevelType w:val="multilevel"/>
    <w:tmpl w:val="2A5A0F82"/>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5CE2CEB"/>
    <w:multiLevelType w:val="hybridMultilevel"/>
    <w:tmpl w:val="CB4468DC"/>
    <w:lvl w:ilvl="0" w:tplc="0ADC0100">
      <w:start w:val="2019"/>
      <w:numFmt w:val="bullet"/>
      <w:lvlText w:val="-"/>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4208BC"/>
    <w:multiLevelType w:val="multilevel"/>
    <w:tmpl w:val="7BCA6C50"/>
    <w:lvl w:ilvl="0">
      <w:start w:val="6"/>
      <w:numFmt w:val="decimal"/>
      <w:lvlText w:val="%1."/>
      <w:lvlJc w:val="left"/>
      <w:pPr>
        <w:ind w:left="420" w:hanging="420"/>
      </w:pPr>
      <w:rPr>
        <w:rFonts w:hint="default"/>
      </w:rPr>
    </w:lvl>
    <w:lvl w:ilvl="1">
      <w:start w:val="2"/>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7762FFA"/>
    <w:multiLevelType w:val="hybridMultilevel"/>
    <w:tmpl w:val="A784FC54"/>
    <w:lvl w:ilvl="0" w:tplc="2BDCE6E0">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A7C3365"/>
    <w:multiLevelType w:val="multilevel"/>
    <w:tmpl w:val="EA682BE0"/>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1">
    <w:nsid w:val="1D882D3D"/>
    <w:multiLevelType w:val="hybridMultilevel"/>
    <w:tmpl w:val="6C80082C"/>
    <w:lvl w:ilvl="0" w:tplc="BC708530">
      <w:start w:val="1"/>
      <w:numFmt w:val="decimal"/>
      <w:lvlText w:val="%1)"/>
      <w:lvlJc w:val="left"/>
      <w:pPr>
        <w:ind w:left="3621" w:hanging="360"/>
      </w:pPr>
      <w:rPr>
        <w:rFonts w:hint="default"/>
      </w:rPr>
    </w:lvl>
    <w:lvl w:ilvl="1" w:tplc="02C21F98" w:tentative="1">
      <w:start w:val="1"/>
      <w:numFmt w:val="lowerLetter"/>
      <w:lvlText w:val="%2."/>
      <w:lvlJc w:val="left"/>
      <w:pPr>
        <w:ind w:left="3561" w:hanging="360"/>
      </w:pPr>
    </w:lvl>
    <w:lvl w:ilvl="2" w:tplc="83CC989C" w:tentative="1">
      <w:start w:val="1"/>
      <w:numFmt w:val="lowerRoman"/>
      <w:lvlText w:val="%3."/>
      <w:lvlJc w:val="right"/>
      <w:pPr>
        <w:ind w:left="4281" w:hanging="180"/>
      </w:pPr>
    </w:lvl>
    <w:lvl w:ilvl="3" w:tplc="47366B76" w:tentative="1">
      <w:start w:val="1"/>
      <w:numFmt w:val="decimal"/>
      <w:lvlText w:val="%4."/>
      <w:lvlJc w:val="left"/>
      <w:pPr>
        <w:ind w:left="5001" w:hanging="360"/>
      </w:pPr>
    </w:lvl>
    <w:lvl w:ilvl="4" w:tplc="F8569E26" w:tentative="1">
      <w:start w:val="1"/>
      <w:numFmt w:val="lowerLetter"/>
      <w:lvlText w:val="%5."/>
      <w:lvlJc w:val="left"/>
      <w:pPr>
        <w:ind w:left="5721" w:hanging="360"/>
      </w:pPr>
    </w:lvl>
    <w:lvl w:ilvl="5" w:tplc="BCA6AA24" w:tentative="1">
      <w:start w:val="1"/>
      <w:numFmt w:val="lowerRoman"/>
      <w:lvlText w:val="%6."/>
      <w:lvlJc w:val="right"/>
      <w:pPr>
        <w:ind w:left="6441" w:hanging="180"/>
      </w:pPr>
    </w:lvl>
    <w:lvl w:ilvl="6" w:tplc="BE427D48" w:tentative="1">
      <w:start w:val="1"/>
      <w:numFmt w:val="decimal"/>
      <w:lvlText w:val="%7."/>
      <w:lvlJc w:val="left"/>
      <w:pPr>
        <w:ind w:left="7161" w:hanging="360"/>
      </w:pPr>
    </w:lvl>
    <w:lvl w:ilvl="7" w:tplc="CCDC8D00" w:tentative="1">
      <w:start w:val="1"/>
      <w:numFmt w:val="lowerLetter"/>
      <w:lvlText w:val="%8."/>
      <w:lvlJc w:val="left"/>
      <w:pPr>
        <w:ind w:left="7881" w:hanging="360"/>
      </w:pPr>
    </w:lvl>
    <w:lvl w:ilvl="8" w:tplc="C6B2220C" w:tentative="1">
      <w:start w:val="1"/>
      <w:numFmt w:val="lowerRoman"/>
      <w:lvlText w:val="%9."/>
      <w:lvlJc w:val="right"/>
      <w:pPr>
        <w:ind w:left="8601" w:hanging="180"/>
      </w:pPr>
    </w:lvl>
  </w:abstractNum>
  <w:abstractNum w:abstractNumId="10" w15:restartNumberingAfterBreak="1">
    <w:nsid w:val="232F7237"/>
    <w:multiLevelType w:val="hybridMultilevel"/>
    <w:tmpl w:val="4000AD24"/>
    <w:lvl w:ilvl="0" w:tplc="C09A73A8">
      <w:start w:val="1"/>
      <w:numFmt w:val="decimal"/>
      <w:lvlText w:val="%1)"/>
      <w:lvlJc w:val="left"/>
      <w:pPr>
        <w:ind w:left="928" w:hanging="360"/>
      </w:pPr>
      <w:rPr>
        <w:rFonts w:hint="default"/>
      </w:rPr>
    </w:lvl>
    <w:lvl w:ilvl="1" w:tplc="65D88040">
      <w:start w:val="1"/>
      <w:numFmt w:val="decimal"/>
      <w:lvlText w:val="%2)"/>
      <w:lvlJc w:val="left"/>
      <w:pPr>
        <w:ind w:left="1353" w:hanging="360"/>
      </w:pPr>
    </w:lvl>
    <w:lvl w:ilvl="2" w:tplc="7E1C6CCE">
      <w:start w:val="1"/>
      <w:numFmt w:val="lowerRoman"/>
      <w:lvlText w:val="%3."/>
      <w:lvlJc w:val="right"/>
      <w:pPr>
        <w:ind w:left="2160" w:hanging="180"/>
      </w:pPr>
    </w:lvl>
    <w:lvl w:ilvl="3" w:tplc="A8BA58DA">
      <w:start w:val="1"/>
      <w:numFmt w:val="decimal"/>
      <w:lvlText w:val="%4."/>
      <w:lvlJc w:val="left"/>
      <w:pPr>
        <w:ind w:left="2880" w:hanging="360"/>
      </w:pPr>
    </w:lvl>
    <w:lvl w:ilvl="4" w:tplc="1E20066A">
      <w:start w:val="1"/>
      <w:numFmt w:val="lowerLetter"/>
      <w:lvlText w:val="%5."/>
      <w:lvlJc w:val="left"/>
      <w:pPr>
        <w:ind w:left="3600" w:hanging="360"/>
      </w:pPr>
    </w:lvl>
    <w:lvl w:ilvl="5" w:tplc="5BFE9C1E">
      <w:start w:val="1"/>
      <w:numFmt w:val="lowerRoman"/>
      <w:lvlText w:val="%6."/>
      <w:lvlJc w:val="right"/>
      <w:pPr>
        <w:ind w:left="4320" w:hanging="180"/>
      </w:pPr>
    </w:lvl>
    <w:lvl w:ilvl="6" w:tplc="B52CE8F6">
      <w:start w:val="1"/>
      <w:numFmt w:val="decimal"/>
      <w:lvlText w:val="%7."/>
      <w:lvlJc w:val="left"/>
      <w:pPr>
        <w:ind w:left="5040" w:hanging="360"/>
      </w:pPr>
    </w:lvl>
    <w:lvl w:ilvl="7" w:tplc="B8DE8F18">
      <w:start w:val="1"/>
      <w:numFmt w:val="lowerLetter"/>
      <w:lvlText w:val="%8."/>
      <w:lvlJc w:val="left"/>
      <w:pPr>
        <w:ind w:left="5760" w:hanging="360"/>
      </w:pPr>
    </w:lvl>
    <w:lvl w:ilvl="8" w:tplc="204EB842">
      <w:start w:val="1"/>
      <w:numFmt w:val="lowerRoman"/>
      <w:lvlText w:val="%9."/>
      <w:lvlJc w:val="right"/>
      <w:pPr>
        <w:ind w:left="6480" w:hanging="180"/>
      </w:pPr>
    </w:lvl>
  </w:abstractNum>
  <w:abstractNum w:abstractNumId="11" w15:restartNumberingAfterBreak="1">
    <w:nsid w:val="24C3009F"/>
    <w:multiLevelType w:val="hybridMultilevel"/>
    <w:tmpl w:val="02B89646"/>
    <w:lvl w:ilvl="0" w:tplc="4CD61A3A">
      <w:start w:val="1"/>
      <w:numFmt w:val="decimal"/>
      <w:lvlText w:val="%1)"/>
      <w:lvlJc w:val="left"/>
      <w:pPr>
        <w:ind w:left="1500" w:hanging="360"/>
      </w:pPr>
    </w:lvl>
    <w:lvl w:ilvl="1" w:tplc="8612DF78" w:tentative="1">
      <w:start w:val="1"/>
      <w:numFmt w:val="lowerLetter"/>
      <w:lvlText w:val="%2."/>
      <w:lvlJc w:val="left"/>
      <w:pPr>
        <w:ind w:left="2220" w:hanging="360"/>
      </w:pPr>
    </w:lvl>
    <w:lvl w:ilvl="2" w:tplc="98C2EAB6" w:tentative="1">
      <w:start w:val="1"/>
      <w:numFmt w:val="lowerRoman"/>
      <w:lvlText w:val="%3."/>
      <w:lvlJc w:val="right"/>
      <w:pPr>
        <w:ind w:left="2940" w:hanging="180"/>
      </w:pPr>
    </w:lvl>
    <w:lvl w:ilvl="3" w:tplc="CEF081EA" w:tentative="1">
      <w:start w:val="1"/>
      <w:numFmt w:val="decimal"/>
      <w:lvlText w:val="%4."/>
      <w:lvlJc w:val="left"/>
      <w:pPr>
        <w:ind w:left="3660" w:hanging="360"/>
      </w:pPr>
    </w:lvl>
    <w:lvl w:ilvl="4" w:tplc="69A2F79E" w:tentative="1">
      <w:start w:val="1"/>
      <w:numFmt w:val="lowerLetter"/>
      <w:lvlText w:val="%5."/>
      <w:lvlJc w:val="left"/>
      <w:pPr>
        <w:ind w:left="4380" w:hanging="360"/>
      </w:pPr>
    </w:lvl>
    <w:lvl w:ilvl="5" w:tplc="1F42A43E" w:tentative="1">
      <w:start w:val="1"/>
      <w:numFmt w:val="lowerRoman"/>
      <w:lvlText w:val="%6."/>
      <w:lvlJc w:val="right"/>
      <w:pPr>
        <w:ind w:left="5100" w:hanging="180"/>
      </w:pPr>
    </w:lvl>
    <w:lvl w:ilvl="6" w:tplc="75245D68" w:tentative="1">
      <w:start w:val="1"/>
      <w:numFmt w:val="decimal"/>
      <w:lvlText w:val="%7."/>
      <w:lvlJc w:val="left"/>
      <w:pPr>
        <w:ind w:left="5820" w:hanging="360"/>
      </w:pPr>
    </w:lvl>
    <w:lvl w:ilvl="7" w:tplc="FA7AAFBC" w:tentative="1">
      <w:start w:val="1"/>
      <w:numFmt w:val="lowerLetter"/>
      <w:lvlText w:val="%8."/>
      <w:lvlJc w:val="left"/>
      <w:pPr>
        <w:ind w:left="6540" w:hanging="360"/>
      </w:pPr>
    </w:lvl>
    <w:lvl w:ilvl="8" w:tplc="6884099E" w:tentative="1">
      <w:start w:val="1"/>
      <w:numFmt w:val="lowerRoman"/>
      <w:lvlText w:val="%9."/>
      <w:lvlJc w:val="right"/>
      <w:pPr>
        <w:ind w:left="7260" w:hanging="180"/>
      </w:pPr>
    </w:lvl>
  </w:abstractNum>
  <w:abstractNum w:abstractNumId="12" w15:restartNumberingAfterBreak="0">
    <w:nsid w:val="2BFB6A3F"/>
    <w:multiLevelType w:val="hybridMultilevel"/>
    <w:tmpl w:val="FFD40AC0"/>
    <w:lvl w:ilvl="0" w:tplc="D7CC5D8C">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DD33BEB"/>
    <w:multiLevelType w:val="multilevel"/>
    <w:tmpl w:val="CFB624C0"/>
    <w:lvl w:ilvl="0">
      <w:start w:val="2"/>
      <w:numFmt w:val="decimal"/>
      <w:lvlText w:val="%1."/>
      <w:lvlJc w:val="left"/>
      <w:pPr>
        <w:ind w:left="420" w:hanging="420"/>
      </w:pPr>
      <w:rPr>
        <w:rFonts w:hint="default"/>
        <w:sz w:val="28"/>
      </w:rPr>
    </w:lvl>
    <w:lvl w:ilvl="1">
      <w:start w:val="4"/>
      <w:numFmt w:val="decimal"/>
      <w:lvlText w:val="%1.%2."/>
      <w:lvlJc w:val="left"/>
      <w:pPr>
        <w:ind w:left="1424" w:hanging="420"/>
      </w:pPr>
      <w:rPr>
        <w:rFonts w:hint="default"/>
        <w:sz w:val="28"/>
      </w:rPr>
    </w:lvl>
    <w:lvl w:ilvl="2">
      <w:start w:val="1"/>
      <w:numFmt w:val="decimal"/>
      <w:lvlText w:val="%1.%2.%3."/>
      <w:lvlJc w:val="left"/>
      <w:pPr>
        <w:ind w:left="2728" w:hanging="720"/>
      </w:pPr>
      <w:rPr>
        <w:rFonts w:hint="default"/>
        <w:sz w:val="28"/>
      </w:rPr>
    </w:lvl>
    <w:lvl w:ilvl="3">
      <w:start w:val="1"/>
      <w:numFmt w:val="decimal"/>
      <w:lvlText w:val="%1.%2.%3.%4."/>
      <w:lvlJc w:val="left"/>
      <w:pPr>
        <w:ind w:left="3732" w:hanging="720"/>
      </w:pPr>
      <w:rPr>
        <w:rFonts w:hint="default"/>
        <w:sz w:val="28"/>
      </w:rPr>
    </w:lvl>
    <w:lvl w:ilvl="4">
      <w:start w:val="1"/>
      <w:numFmt w:val="decimal"/>
      <w:lvlText w:val="%1.%2.%3.%4.%5."/>
      <w:lvlJc w:val="left"/>
      <w:pPr>
        <w:ind w:left="5096" w:hanging="1080"/>
      </w:pPr>
      <w:rPr>
        <w:rFonts w:hint="default"/>
        <w:sz w:val="28"/>
      </w:rPr>
    </w:lvl>
    <w:lvl w:ilvl="5">
      <w:start w:val="1"/>
      <w:numFmt w:val="decimal"/>
      <w:lvlText w:val="%1.%2.%3.%4.%5.%6."/>
      <w:lvlJc w:val="left"/>
      <w:pPr>
        <w:ind w:left="6100" w:hanging="1080"/>
      </w:pPr>
      <w:rPr>
        <w:rFonts w:hint="default"/>
        <w:sz w:val="28"/>
      </w:rPr>
    </w:lvl>
    <w:lvl w:ilvl="6">
      <w:start w:val="1"/>
      <w:numFmt w:val="decimal"/>
      <w:lvlText w:val="%1.%2.%3.%4.%5.%6.%7."/>
      <w:lvlJc w:val="left"/>
      <w:pPr>
        <w:ind w:left="7464" w:hanging="1440"/>
      </w:pPr>
      <w:rPr>
        <w:rFonts w:hint="default"/>
        <w:sz w:val="28"/>
      </w:rPr>
    </w:lvl>
    <w:lvl w:ilvl="7">
      <w:start w:val="1"/>
      <w:numFmt w:val="decimal"/>
      <w:lvlText w:val="%1.%2.%3.%4.%5.%6.%7.%8."/>
      <w:lvlJc w:val="left"/>
      <w:pPr>
        <w:ind w:left="8468" w:hanging="1440"/>
      </w:pPr>
      <w:rPr>
        <w:rFonts w:hint="default"/>
        <w:sz w:val="28"/>
      </w:rPr>
    </w:lvl>
    <w:lvl w:ilvl="8">
      <w:start w:val="1"/>
      <w:numFmt w:val="decimal"/>
      <w:lvlText w:val="%1.%2.%3.%4.%5.%6.%7.%8.%9."/>
      <w:lvlJc w:val="left"/>
      <w:pPr>
        <w:ind w:left="9832" w:hanging="1800"/>
      </w:pPr>
      <w:rPr>
        <w:rFonts w:hint="default"/>
        <w:sz w:val="28"/>
      </w:rPr>
    </w:lvl>
  </w:abstractNum>
  <w:abstractNum w:abstractNumId="14" w15:restartNumberingAfterBreak="0">
    <w:nsid w:val="2ECA2A50"/>
    <w:multiLevelType w:val="multilevel"/>
    <w:tmpl w:val="7DA0F16C"/>
    <w:lvl w:ilvl="0">
      <w:start w:val="1"/>
      <w:numFmt w:val="decimal"/>
      <w:lvlText w:val="%1."/>
      <w:lvlJc w:val="left"/>
      <w:pPr>
        <w:ind w:left="720" w:hanging="360"/>
      </w:pPr>
      <w:rPr>
        <w:rFonts w:ascii="Times New Roman" w:hAnsi="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0F854CC"/>
    <w:multiLevelType w:val="hybridMultilevel"/>
    <w:tmpl w:val="8A2C1ADA"/>
    <w:lvl w:ilvl="0" w:tplc="81D8997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2175982"/>
    <w:multiLevelType w:val="hybridMultilevel"/>
    <w:tmpl w:val="F07EBC72"/>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2800BD3"/>
    <w:multiLevelType w:val="hybridMultilevel"/>
    <w:tmpl w:val="647E9250"/>
    <w:lvl w:ilvl="0" w:tplc="6BEA7D1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15:restartNumberingAfterBreak="0">
    <w:nsid w:val="3B5F77F1"/>
    <w:multiLevelType w:val="multilevel"/>
    <w:tmpl w:val="39A24B04"/>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645428"/>
    <w:multiLevelType w:val="hybridMultilevel"/>
    <w:tmpl w:val="46CC90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1267F00"/>
    <w:multiLevelType w:val="hybridMultilevel"/>
    <w:tmpl w:val="CE484F3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56E57D4"/>
    <w:multiLevelType w:val="hybridMultilevel"/>
    <w:tmpl w:val="8B9207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8064B51"/>
    <w:multiLevelType w:val="hybridMultilevel"/>
    <w:tmpl w:val="D5D857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1">
    <w:nsid w:val="4A9B669C"/>
    <w:multiLevelType w:val="hybridMultilevel"/>
    <w:tmpl w:val="A53A20EA"/>
    <w:lvl w:ilvl="0" w:tplc="3D30E736">
      <w:start w:val="1"/>
      <w:numFmt w:val="bullet"/>
      <w:lvlText w:val=""/>
      <w:lvlJc w:val="left"/>
      <w:pPr>
        <w:ind w:left="1440" w:hanging="360"/>
      </w:pPr>
      <w:rPr>
        <w:rFonts w:ascii="Symbol" w:hAnsi="Symbol" w:hint="default"/>
        <w:sz w:val="16"/>
        <w:szCs w:val="16"/>
      </w:rPr>
    </w:lvl>
    <w:lvl w:ilvl="1" w:tplc="8558FFB8" w:tentative="1">
      <w:start w:val="1"/>
      <w:numFmt w:val="lowerLetter"/>
      <w:lvlText w:val="%2."/>
      <w:lvlJc w:val="left"/>
      <w:pPr>
        <w:ind w:left="2160" w:hanging="360"/>
      </w:pPr>
    </w:lvl>
    <w:lvl w:ilvl="2" w:tplc="CF046A68" w:tentative="1">
      <w:start w:val="1"/>
      <w:numFmt w:val="lowerRoman"/>
      <w:lvlText w:val="%3."/>
      <w:lvlJc w:val="right"/>
      <w:pPr>
        <w:ind w:left="2880" w:hanging="180"/>
      </w:pPr>
    </w:lvl>
    <w:lvl w:ilvl="3" w:tplc="78826F8C" w:tentative="1">
      <w:start w:val="1"/>
      <w:numFmt w:val="decimal"/>
      <w:lvlText w:val="%4."/>
      <w:lvlJc w:val="left"/>
      <w:pPr>
        <w:ind w:left="3600" w:hanging="360"/>
      </w:pPr>
    </w:lvl>
    <w:lvl w:ilvl="4" w:tplc="C4FC6D66" w:tentative="1">
      <w:start w:val="1"/>
      <w:numFmt w:val="lowerLetter"/>
      <w:lvlText w:val="%5."/>
      <w:lvlJc w:val="left"/>
      <w:pPr>
        <w:ind w:left="4320" w:hanging="360"/>
      </w:pPr>
    </w:lvl>
    <w:lvl w:ilvl="5" w:tplc="45C86368" w:tentative="1">
      <w:start w:val="1"/>
      <w:numFmt w:val="lowerRoman"/>
      <w:lvlText w:val="%6."/>
      <w:lvlJc w:val="right"/>
      <w:pPr>
        <w:ind w:left="5040" w:hanging="180"/>
      </w:pPr>
    </w:lvl>
    <w:lvl w:ilvl="6" w:tplc="F2B0F888" w:tentative="1">
      <w:start w:val="1"/>
      <w:numFmt w:val="decimal"/>
      <w:lvlText w:val="%7."/>
      <w:lvlJc w:val="left"/>
      <w:pPr>
        <w:ind w:left="5760" w:hanging="360"/>
      </w:pPr>
    </w:lvl>
    <w:lvl w:ilvl="7" w:tplc="422E5142" w:tentative="1">
      <w:start w:val="1"/>
      <w:numFmt w:val="lowerLetter"/>
      <w:lvlText w:val="%8."/>
      <w:lvlJc w:val="left"/>
      <w:pPr>
        <w:ind w:left="6480" w:hanging="360"/>
      </w:pPr>
    </w:lvl>
    <w:lvl w:ilvl="8" w:tplc="A71695F6" w:tentative="1">
      <w:start w:val="1"/>
      <w:numFmt w:val="lowerRoman"/>
      <w:lvlText w:val="%9."/>
      <w:lvlJc w:val="right"/>
      <w:pPr>
        <w:ind w:left="7200" w:hanging="180"/>
      </w:pPr>
    </w:lvl>
  </w:abstractNum>
  <w:abstractNum w:abstractNumId="24" w15:restartNumberingAfterBreak="0">
    <w:nsid w:val="51EC0626"/>
    <w:multiLevelType w:val="hybridMultilevel"/>
    <w:tmpl w:val="DD0CC3A4"/>
    <w:lvl w:ilvl="0" w:tplc="15D4ED5E">
      <w:numFmt w:val="bullet"/>
      <w:lvlText w:val="–"/>
      <w:lvlJc w:val="left"/>
      <w:pPr>
        <w:ind w:left="393" w:hanging="360"/>
      </w:pPr>
      <w:rPr>
        <w:rFonts w:ascii="Times New Roman" w:eastAsiaTheme="minorHAnsi" w:hAnsi="Times New Roman" w:cs="Times New Roman" w:hint="default"/>
      </w:rPr>
    </w:lvl>
    <w:lvl w:ilvl="1" w:tplc="04260003" w:tentative="1">
      <w:start w:val="1"/>
      <w:numFmt w:val="bullet"/>
      <w:lvlText w:val="o"/>
      <w:lvlJc w:val="left"/>
      <w:pPr>
        <w:ind w:left="1113" w:hanging="360"/>
      </w:pPr>
      <w:rPr>
        <w:rFonts w:ascii="Courier New" w:hAnsi="Courier New" w:cs="Courier New" w:hint="default"/>
      </w:rPr>
    </w:lvl>
    <w:lvl w:ilvl="2" w:tplc="04260005" w:tentative="1">
      <w:start w:val="1"/>
      <w:numFmt w:val="bullet"/>
      <w:lvlText w:val=""/>
      <w:lvlJc w:val="left"/>
      <w:pPr>
        <w:ind w:left="1833" w:hanging="360"/>
      </w:pPr>
      <w:rPr>
        <w:rFonts w:ascii="Wingdings" w:hAnsi="Wingdings" w:hint="default"/>
      </w:rPr>
    </w:lvl>
    <w:lvl w:ilvl="3" w:tplc="04260001" w:tentative="1">
      <w:start w:val="1"/>
      <w:numFmt w:val="bullet"/>
      <w:lvlText w:val=""/>
      <w:lvlJc w:val="left"/>
      <w:pPr>
        <w:ind w:left="2553" w:hanging="360"/>
      </w:pPr>
      <w:rPr>
        <w:rFonts w:ascii="Symbol" w:hAnsi="Symbol" w:hint="default"/>
      </w:rPr>
    </w:lvl>
    <w:lvl w:ilvl="4" w:tplc="04260003" w:tentative="1">
      <w:start w:val="1"/>
      <w:numFmt w:val="bullet"/>
      <w:lvlText w:val="o"/>
      <w:lvlJc w:val="left"/>
      <w:pPr>
        <w:ind w:left="3273" w:hanging="360"/>
      </w:pPr>
      <w:rPr>
        <w:rFonts w:ascii="Courier New" w:hAnsi="Courier New" w:cs="Courier New" w:hint="default"/>
      </w:rPr>
    </w:lvl>
    <w:lvl w:ilvl="5" w:tplc="04260005" w:tentative="1">
      <w:start w:val="1"/>
      <w:numFmt w:val="bullet"/>
      <w:lvlText w:val=""/>
      <w:lvlJc w:val="left"/>
      <w:pPr>
        <w:ind w:left="3993" w:hanging="360"/>
      </w:pPr>
      <w:rPr>
        <w:rFonts w:ascii="Wingdings" w:hAnsi="Wingdings" w:hint="default"/>
      </w:rPr>
    </w:lvl>
    <w:lvl w:ilvl="6" w:tplc="04260001" w:tentative="1">
      <w:start w:val="1"/>
      <w:numFmt w:val="bullet"/>
      <w:lvlText w:val=""/>
      <w:lvlJc w:val="left"/>
      <w:pPr>
        <w:ind w:left="4713" w:hanging="360"/>
      </w:pPr>
      <w:rPr>
        <w:rFonts w:ascii="Symbol" w:hAnsi="Symbol" w:hint="default"/>
      </w:rPr>
    </w:lvl>
    <w:lvl w:ilvl="7" w:tplc="04260003" w:tentative="1">
      <w:start w:val="1"/>
      <w:numFmt w:val="bullet"/>
      <w:lvlText w:val="o"/>
      <w:lvlJc w:val="left"/>
      <w:pPr>
        <w:ind w:left="5433" w:hanging="360"/>
      </w:pPr>
      <w:rPr>
        <w:rFonts w:ascii="Courier New" w:hAnsi="Courier New" w:cs="Courier New" w:hint="default"/>
      </w:rPr>
    </w:lvl>
    <w:lvl w:ilvl="8" w:tplc="04260005" w:tentative="1">
      <w:start w:val="1"/>
      <w:numFmt w:val="bullet"/>
      <w:lvlText w:val=""/>
      <w:lvlJc w:val="left"/>
      <w:pPr>
        <w:ind w:left="6153" w:hanging="360"/>
      </w:pPr>
      <w:rPr>
        <w:rFonts w:ascii="Wingdings" w:hAnsi="Wingdings" w:hint="default"/>
      </w:rPr>
    </w:lvl>
  </w:abstractNum>
  <w:abstractNum w:abstractNumId="25" w15:restartNumberingAfterBreak="0">
    <w:nsid w:val="53C91E86"/>
    <w:multiLevelType w:val="hybridMultilevel"/>
    <w:tmpl w:val="4446802E"/>
    <w:lvl w:ilvl="0" w:tplc="0ADC0100">
      <w:start w:val="2019"/>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563D36B7"/>
    <w:multiLevelType w:val="hybridMultilevel"/>
    <w:tmpl w:val="54A6D2DC"/>
    <w:lvl w:ilvl="0" w:tplc="1A42B976">
      <w:start w:val="2020"/>
      <w:numFmt w:val="bullet"/>
      <w:lvlText w:val="–"/>
      <w:lvlJc w:val="left"/>
      <w:pPr>
        <w:ind w:left="393" w:hanging="360"/>
      </w:pPr>
      <w:rPr>
        <w:rFonts w:ascii="Times New Roman" w:eastAsiaTheme="minorHAnsi" w:hAnsi="Times New Roman" w:cs="Times New Roman" w:hint="default"/>
      </w:rPr>
    </w:lvl>
    <w:lvl w:ilvl="1" w:tplc="04260003" w:tentative="1">
      <w:start w:val="1"/>
      <w:numFmt w:val="bullet"/>
      <w:lvlText w:val="o"/>
      <w:lvlJc w:val="left"/>
      <w:pPr>
        <w:ind w:left="1113" w:hanging="360"/>
      </w:pPr>
      <w:rPr>
        <w:rFonts w:ascii="Courier New" w:hAnsi="Courier New" w:cs="Courier New" w:hint="default"/>
      </w:rPr>
    </w:lvl>
    <w:lvl w:ilvl="2" w:tplc="04260005" w:tentative="1">
      <w:start w:val="1"/>
      <w:numFmt w:val="bullet"/>
      <w:lvlText w:val=""/>
      <w:lvlJc w:val="left"/>
      <w:pPr>
        <w:ind w:left="1833" w:hanging="360"/>
      </w:pPr>
      <w:rPr>
        <w:rFonts w:ascii="Wingdings" w:hAnsi="Wingdings" w:hint="default"/>
      </w:rPr>
    </w:lvl>
    <w:lvl w:ilvl="3" w:tplc="04260001" w:tentative="1">
      <w:start w:val="1"/>
      <w:numFmt w:val="bullet"/>
      <w:lvlText w:val=""/>
      <w:lvlJc w:val="left"/>
      <w:pPr>
        <w:ind w:left="2553" w:hanging="360"/>
      </w:pPr>
      <w:rPr>
        <w:rFonts w:ascii="Symbol" w:hAnsi="Symbol" w:hint="default"/>
      </w:rPr>
    </w:lvl>
    <w:lvl w:ilvl="4" w:tplc="04260003" w:tentative="1">
      <w:start w:val="1"/>
      <w:numFmt w:val="bullet"/>
      <w:lvlText w:val="o"/>
      <w:lvlJc w:val="left"/>
      <w:pPr>
        <w:ind w:left="3273" w:hanging="360"/>
      </w:pPr>
      <w:rPr>
        <w:rFonts w:ascii="Courier New" w:hAnsi="Courier New" w:cs="Courier New" w:hint="default"/>
      </w:rPr>
    </w:lvl>
    <w:lvl w:ilvl="5" w:tplc="04260005" w:tentative="1">
      <w:start w:val="1"/>
      <w:numFmt w:val="bullet"/>
      <w:lvlText w:val=""/>
      <w:lvlJc w:val="left"/>
      <w:pPr>
        <w:ind w:left="3993" w:hanging="360"/>
      </w:pPr>
      <w:rPr>
        <w:rFonts w:ascii="Wingdings" w:hAnsi="Wingdings" w:hint="default"/>
      </w:rPr>
    </w:lvl>
    <w:lvl w:ilvl="6" w:tplc="04260001" w:tentative="1">
      <w:start w:val="1"/>
      <w:numFmt w:val="bullet"/>
      <w:lvlText w:val=""/>
      <w:lvlJc w:val="left"/>
      <w:pPr>
        <w:ind w:left="4713" w:hanging="360"/>
      </w:pPr>
      <w:rPr>
        <w:rFonts w:ascii="Symbol" w:hAnsi="Symbol" w:hint="default"/>
      </w:rPr>
    </w:lvl>
    <w:lvl w:ilvl="7" w:tplc="04260003" w:tentative="1">
      <w:start w:val="1"/>
      <w:numFmt w:val="bullet"/>
      <w:lvlText w:val="o"/>
      <w:lvlJc w:val="left"/>
      <w:pPr>
        <w:ind w:left="5433" w:hanging="360"/>
      </w:pPr>
      <w:rPr>
        <w:rFonts w:ascii="Courier New" w:hAnsi="Courier New" w:cs="Courier New" w:hint="default"/>
      </w:rPr>
    </w:lvl>
    <w:lvl w:ilvl="8" w:tplc="04260005" w:tentative="1">
      <w:start w:val="1"/>
      <w:numFmt w:val="bullet"/>
      <w:lvlText w:val=""/>
      <w:lvlJc w:val="left"/>
      <w:pPr>
        <w:ind w:left="6153" w:hanging="360"/>
      </w:pPr>
      <w:rPr>
        <w:rFonts w:ascii="Wingdings" w:hAnsi="Wingdings" w:hint="default"/>
      </w:rPr>
    </w:lvl>
  </w:abstractNum>
  <w:abstractNum w:abstractNumId="27" w15:restartNumberingAfterBreak="0">
    <w:nsid w:val="57870FFC"/>
    <w:multiLevelType w:val="hybridMultilevel"/>
    <w:tmpl w:val="85DCEF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E24A95"/>
    <w:multiLevelType w:val="hybridMultilevel"/>
    <w:tmpl w:val="FE580448"/>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A65155A"/>
    <w:multiLevelType w:val="hybridMultilevel"/>
    <w:tmpl w:val="B156E65A"/>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B1E5156"/>
    <w:multiLevelType w:val="multilevel"/>
    <w:tmpl w:val="C72C9264"/>
    <w:lvl w:ilvl="0">
      <w:start w:val="3"/>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CA731CA"/>
    <w:multiLevelType w:val="hybridMultilevel"/>
    <w:tmpl w:val="DEE8028A"/>
    <w:lvl w:ilvl="0" w:tplc="865608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5FA100A8"/>
    <w:multiLevelType w:val="hybridMultilevel"/>
    <w:tmpl w:val="B7B8930E"/>
    <w:lvl w:ilvl="0" w:tplc="0ADC0100">
      <w:start w:val="2019"/>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401390D"/>
    <w:multiLevelType w:val="hybridMultilevel"/>
    <w:tmpl w:val="F44A46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8641842"/>
    <w:multiLevelType w:val="hybridMultilevel"/>
    <w:tmpl w:val="31AC1080"/>
    <w:lvl w:ilvl="0" w:tplc="0ADC0100">
      <w:start w:val="2019"/>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5" w15:restartNumberingAfterBreak="0">
    <w:nsid w:val="6A0E7776"/>
    <w:multiLevelType w:val="hybridMultilevel"/>
    <w:tmpl w:val="6E7877E8"/>
    <w:lvl w:ilvl="0" w:tplc="04260011">
      <w:start w:val="1"/>
      <w:numFmt w:val="decimal"/>
      <w:lvlText w:val="%1)"/>
      <w:lvlJc w:val="left"/>
      <w:pPr>
        <w:ind w:left="928"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6E9C1EA3"/>
    <w:multiLevelType w:val="hybridMultilevel"/>
    <w:tmpl w:val="D612ECFE"/>
    <w:lvl w:ilvl="0" w:tplc="56FA2442">
      <w:start w:val="1"/>
      <w:numFmt w:val="decimal"/>
      <w:lvlText w:val="%1)"/>
      <w:lvlJc w:val="left"/>
      <w:pPr>
        <w:ind w:left="1069" w:hanging="360"/>
      </w:pPr>
      <w:rPr>
        <w:rFonts w:ascii="Times New Roman" w:eastAsiaTheme="minorHAnsi" w:hAnsi="Times New Roman" w:cs="Times New Roman"/>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7" w15:restartNumberingAfterBreak="0">
    <w:nsid w:val="6F6719BB"/>
    <w:multiLevelType w:val="hybridMultilevel"/>
    <w:tmpl w:val="F17819F2"/>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16878CB"/>
    <w:multiLevelType w:val="multilevel"/>
    <w:tmpl w:val="5E10EC48"/>
    <w:lvl w:ilvl="0">
      <w:start w:val="1"/>
      <w:numFmt w:val="decimal"/>
      <w:lvlText w:val="%1."/>
      <w:lvlJc w:val="left"/>
      <w:pPr>
        <w:ind w:left="720" w:hanging="360"/>
      </w:pPr>
      <w:rPr>
        <w:rFonts w:hint="default"/>
        <w:b/>
        <w:sz w:val="32"/>
      </w:rPr>
    </w:lvl>
    <w:lvl w:ilvl="1">
      <w:start w:val="1"/>
      <w:numFmt w:val="decimal"/>
      <w:isLgl/>
      <w:lvlText w:val="%1.%2."/>
      <w:lvlJc w:val="left"/>
      <w:pPr>
        <w:ind w:left="1440" w:hanging="720"/>
      </w:pPr>
      <w:rPr>
        <w:rFonts w:hint="default"/>
        <w:i w:val="0"/>
        <w:sz w:val="28"/>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C1A407F"/>
    <w:multiLevelType w:val="hybridMultilevel"/>
    <w:tmpl w:val="6AF23E8C"/>
    <w:lvl w:ilvl="0" w:tplc="0ADC0100">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CA35EC3"/>
    <w:multiLevelType w:val="multilevel"/>
    <w:tmpl w:val="52E465C2"/>
    <w:lvl w:ilvl="0">
      <w:start w:val="2"/>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7E4B6758"/>
    <w:multiLevelType w:val="hybridMultilevel"/>
    <w:tmpl w:val="DCFE8F2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7EF5643B"/>
    <w:multiLevelType w:val="hybridMultilevel"/>
    <w:tmpl w:val="34FCF3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2"/>
  </w:num>
  <w:num w:numId="2">
    <w:abstractNumId w:val="34"/>
  </w:num>
  <w:num w:numId="3">
    <w:abstractNumId w:val="37"/>
  </w:num>
  <w:num w:numId="4">
    <w:abstractNumId w:val="39"/>
  </w:num>
  <w:num w:numId="5">
    <w:abstractNumId w:val="1"/>
  </w:num>
  <w:num w:numId="6">
    <w:abstractNumId w:val="16"/>
  </w:num>
  <w:num w:numId="7">
    <w:abstractNumId w:val="3"/>
  </w:num>
  <w:num w:numId="8">
    <w:abstractNumId w:val="19"/>
  </w:num>
  <w:num w:numId="9">
    <w:abstractNumId w:val="5"/>
  </w:num>
  <w:num w:numId="10">
    <w:abstractNumId w:val="29"/>
  </w:num>
  <w:num w:numId="11">
    <w:abstractNumId w:val="30"/>
  </w:num>
  <w:num w:numId="12">
    <w:abstractNumId w:val="38"/>
  </w:num>
  <w:num w:numId="13">
    <w:abstractNumId w:val="20"/>
  </w:num>
  <w:num w:numId="14">
    <w:abstractNumId w:val="14"/>
  </w:num>
  <w:num w:numId="15">
    <w:abstractNumId w:val="22"/>
  </w:num>
  <w:num w:numId="16">
    <w:abstractNumId w:val="41"/>
  </w:num>
  <w:num w:numId="17">
    <w:abstractNumId w:val="21"/>
  </w:num>
  <w:num w:numId="18">
    <w:abstractNumId w:val="33"/>
  </w:num>
  <w:num w:numId="19">
    <w:abstractNumId w:val="28"/>
  </w:num>
  <w:num w:numId="20">
    <w:abstractNumId w:val="10"/>
  </w:num>
  <w:num w:numId="21">
    <w:abstractNumId w:val="11"/>
  </w:num>
  <w:num w:numId="22">
    <w:abstractNumId w:val="9"/>
  </w:num>
  <w:num w:numId="23">
    <w:abstractNumId w:val="2"/>
  </w:num>
  <w:num w:numId="24">
    <w:abstractNumId w:val="7"/>
  </w:num>
  <w:num w:numId="25">
    <w:abstractNumId w:val="27"/>
  </w:num>
  <w:num w:numId="26">
    <w:abstractNumId w:val="24"/>
  </w:num>
  <w:num w:numId="27">
    <w:abstractNumId w:val="17"/>
  </w:num>
  <w:num w:numId="28">
    <w:abstractNumId w:val="42"/>
  </w:num>
  <w:num w:numId="29">
    <w:abstractNumId w:val="23"/>
  </w:num>
  <w:num w:numId="30">
    <w:abstractNumId w:val="12"/>
  </w:num>
  <w:num w:numId="31">
    <w:abstractNumId w:val="26"/>
  </w:num>
  <w:num w:numId="32">
    <w:abstractNumId w:val="36"/>
  </w:num>
  <w:num w:numId="33">
    <w:abstractNumId w:val="31"/>
  </w:num>
  <w:num w:numId="34">
    <w:abstractNumId w:val="35"/>
  </w:num>
  <w:num w:numId="35">
    <w:abstractNumId w:val="15"/>
  </w:num>
  <w:num w:numId="36">
    <w:abstractNumId w:val="25"/>
  </w:num>
  <w:num w:numId="37">
    <w:abstractNumId w:val="6"/>
  </w:num>
  <w:num w:numId="38">
    <w:abstractNumId w:val="4"/>
  </w:num>
  <w:num w:numId="39">
    <w:abstractNumId w:val="0"/>
  </w:num>
  <w:num w:numId="40">
    <w:abstractNumId w:val="40"/>
  </w:num>
  <w:num w:numId="41">
    <w:abstractNumId w:val="8"/>
  </w:num>
  <w:num w:numId="42">
    <w:abstractNumId w:val="13"/>
  </w:num>
  <w:num w:numId="43">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D55"/>
    <w:rsid w:val="0000077F"/>
    <w:rsid w:val="000007E1"/>
    <w:rsid w:val="0000088A"/>
    <w:rsid w:val="00000D4F"/>
    <w:rsid w:val="00000E70"/>
    <w:rsid w:val="00001076"/>
    <w:rsid w:val="00001647"/>
    <w:rsid w:val="00001C54"/>
    <w:rsid w:val="00002011"/>
    <w:rsid w:val="000022F8"/>
    <w:rsid w:val="000030E7"/>
    <w:rsid w:val="0000398B"/>
    <w:rsid w:val="00003FC5"/>
    <w:rsid w:val="00004E0D"/>
    <w:rsid w:val="00005694"/>
    <w:rsid w:val="00005AFC"/>
    <w:rsid w:val="00005DE6"/>
    <w:rsid w:val="00005EBD"/>
    <w:rsid w:val="000067E2"/>
    <w:rsid w:val="00006CDB"/>
    <w:rsid w:val="00007208"/>
    <w:rsid w:val="00007677"/>
    <w:rsid w:val="0000788A"/>
    <w:rsid w:val="00010FF5"/>
    <w:rsid w:val="0001115A"/>
    <w:rsid w:val="000118DE"/>
    <w:rsid w:val="00011E12"/>
    <w:rsid w:val="000121F4"/>
    <w:rsid w:val="000125D9"/>
    <w:rsid w:val="00012B86"/>
    <w:rsid w:val="00013715"/>
    <w:rsid w:val="0001398F"/>
    <w:rsid w:val="00013DAB"/>
    <w:rsid w:val="00014517"/>
    <w:rsid w:val="000146AC"/>
    <w:rsid w:val="00014EB4"/>
    <w:rsid w:val="00015EC6"/>
    <w:rsid w:val="00016043"/>
    <w:rsid w:val="00016697"/>
    <w:rsid w:val="00016D33"/>
    <w:rsid w:val="00017092"/>
    <w:rsid w:val="0001744E"/>
    <w:rsid w:val="00017B4E"/>
    <w:rsid w:val="00017B6C"/>
    <w:rsid w:val="00017B77"/>
    <w:rsid w:val="00017FC2"/>
    <w:rsid w:val="0002009A"/>
    <w:rsid w:val="0002060F"/>
    <w:rsid w:val="000207F4"/>
    <w:rsid w:val="000219E2"/>
    <w:rsid w:val="00021F10"/>
    <w:rsid w:val="0002211B"/>
    <w:rsid w:val="00022D83"/>
    <w:rsid w:val="000235F6"/>
    <w:rsid w:val="00023606"/>
    <w:rsid w:val="00023FF2"/>
    <w:rsid w:val="00024504"/>
    <w:rsid w:val="00024A51"/>
    <w:rsid w:val="0002541A"/>
    <w:rsid w:val="0002594A"/>
    <w:rsid w:val="00025C1A"/>
    <w:rsid w:val="00026429"/>
    <w:rsid w:val="00026AAB"/>
    <w:rsid w:val="00026E9E"/>
    <w:rsid w:val="000270EF"/>
    <w:rsid w:val="000300AF"/>
    <w:rsid w:val="0003120B"/>
    <w:rsid w:val="000319D7"/>
    <w:rsid w:val="00031BD1"/>
    <w:rsid w:val="00031E6A"/>
    <w:rsid w:val="00031E86"/>
    <w:rsid w:val="0003286B"/>
    <w:rsid w:val="00032EC3"/>
    <w:rsid w:val="00033391"/>
    <w:rsid w:val="000335A0"/>
    <w:rsid w:val="0003363F"/>
    <w:rsid w:val="00033E0C"/>
    <w:rsid w:val="00033EC8"/>
    <w:rsid w:val="00033F1E"/>
    <w:rsid w:val="0003433D"/>
    <w:rsid w:val="00034B06"/>
    <w:rsid w:val="0003501A"/>
    <w:rsid w:val="000350D8"/>
    <w:rsid w:val="00035A58"/>
    <w:rsid w:val="00036352"/>
    <w:rsid w:val="00036C08"/>
    <w:rsid w:val="00037596"/>
    <w:rsid w:val="0003786B"/>
    <w:rsid w:val="00037D5A"/>
    <w:rsid w:val="000412F9"/>
    <w:rsid w:val="00041330"/>
    <w:rsid w:val="00044BC7"/>
    <w:rsid w:val="00045495"/>
    <w:rsid w:val="000455A3"/>
    <w:rsid w:val="00045DA9"/>
    <w:rsid w:val="00045F40"/>
    <w:rsid w:val="00050337"/>
    <w:rsid w:val="000504FC"/>
    <w:rsid w:val="00051BBC"/>
    <w:rsid w:val="00052521"/>
    <w:rsid w:val="00053328"/>
    <w:rsid w:val="000536B1"/>
    <w:rsid w:val="00053BD4"/>
    <w:rsid w:val="000546B1"/>
    <w:rsid w:val="00055AAD"/>
    <w:rsid w:val="000565EE"/>
    <w:rsid w:val="00056778"/>
    <w:rsid w:val="000572C2"/>
    <w:rsid w:val="000602CA"/>
    <w:rsid w:val="000623F0"/>
    <w:rsid w:val="000632B9"/>
    <w:rsid w:val="00063D8E"/>
    <w:rsid w:val="000645EE"/>
    <w:rsid w:val="00064C90"/>
    <w:rsid w:val="00064FA3"/>
    <w:rsid w:val="00065B7E"/>
    <w:rsid w:val="00065DEB"/>
    <w:rsid w:val="00066069"/>
    <w:rsid w:val="000668EF"/>
    <w:rsid w:val="00066E0D"/>
    <w:rsid w:val="00066E33"/>
    <w:rsid w:val="00071220"/>
    <w:rsid w:val="0007139C"/>
    <w:rsid w:val="00071721"/>
    <w:rsid w:val="00071761"/>
    <w:rsid w:val="00071B13"/>
    <w:rsid w:val="000723AA"/>
    <w:rsid w:val="0007282A"/>
    <w:rsid w:val="00072EDC"/>
    <w:rsid w:val="000738C1"/>
    <w:rsid w:val="00073D6A"/>
    <w:rsid w:val="000746D0"/>
    <w:rsid w:val="000746E9"/>
    <w:rsid w:val="00074E7E"/>
    <w:rsid w:val="0007543C"/>
    <w:rsid w:val="00075A8D"/>
    <w:rsid w:val="000770E9"/>
    <w:rsid w:val="00081422"/>
    <w:rsid w:val="000814BA"/>
    <w:rsid w:val="00081739"/>
    <w:rsid w:val="00081871"/>
    <w:rsid w:val="00081C6F"/>
    <w:rsid w:val="00081F67"/>
    <w:rsid w:val="00081F9E"/>
    <w:rsid w:val="0008254C"/>
    <w:rsid w:val="00083087"/>
    <w:rsid w:val="0008338F"/>
    <w:rsid w:val="00083449"/>
    <w:rsid w:val="00083D4B"/>
    <w:rsid w:val="0008487C"/>
    <w:rsid w:val="000849A1"/>
    <w:rsid w:val="000856AB"/>
    <w:rsid w:val="00085955"/>
    <w:rsid w:val="00085E93"/>
    <w:rsid w:val="00086663"/>
    <w:rsid w:val="00086A5E"/>
    <w:rsid w:val="0008704D"/>
    <w:rsid w:val="00087213"/>
    <w:rsid w:val="0008750C"/>
    <w:rsid w:val="00087BE8"/>
    <w:rsid w:val="00090211"/>
    <w:rsid w:val="00090216"/>
    <w:rsid w:val="00090578"/>
    <w:rsid w:val="000905CA"/>
    <w:rsid w:val="00090668"/>
    <w:rsid w:val="00090A23"/>
    <w:rsid w:val="00090A78"/>
    <w:rsid w:val="00091E5C"/>
    <w:rsid w:val="00091EDE"/>
    <w:rsid w:val="0009268D"/>
    <w:rsid w:val="00092E44"/>
    <w:rsid w:val="00093B14"/>
    <w:rsid w:val="0009435B"/>
    <w:rsid w:val="00095869"/>
    <w:rsid w:val="0009654C"/>
    <w:rsid w:val="00097394"/>
    <w:rsid w:val="000975B0"/>
    <w:rsid w:val="000976E2"/>
    <w:rsid w:val="000A0981"/>
    <w:rsid w:val="000A0B87"/>
    <w:rsid w:val="000A131B"/>
    <w:rsid w:val="000A15B4"/>
    <w:rsid w:val="000A1DF0"/>
    <w:rsid w:val="000A2CA3"/>
    <w:rsid w:val="000A3AFD"/>
    <w:rsid w:val="000A4D33"/>
    <w:rsid w:val="000A4FE0"/>
    <w:rsid w:val="000A50D4"/>
    <w:rsid w:val="000A5AF8"/>
    <w:rsid w:val="000A5EE5"/>
    <w:rsid w:val="000A7445"/>
    <w:rsid w:val="000A78CD"/>
    <w:rsid w:val="000A7AE0"/>
    <w:rsid w:val="000B00DA"/>
    <w:rsid w:val="000B0644"/>
    <w:rsid w:val="000B07DE"/>
    <w:rsid w:val="000B103C"/>
    <w:rsid w:val="000B1622"/>
    <w:rsid w:val="000B20C2"/>
    <w:rsid w:val="000B2C92"/>
    <w:rsid w:val="000B2D89"/>
    <w:rsid w:val="000B2E09"/>
    <w:rsid w:val="000B3953"/>
    <w:rsid w:val="000B3F75"/>
    <w:rsid w:val="000B3F9C"/>
    <w:rsid w:val="000B4301"/>
    <w:rsid w:val="000B4F84"/>
    <w:rsid w:val="000B588E"/>
    <w:rsid w:val="000B5DCC"/>
    <w:rsid w:val="000B6082"/>
    <w:rsid w:val="000B744B"/>
    <w:rsid w:val="000B7B68"/>
    <w:rsid w:val="000C0CF8"/>
    <w:rsid w:val="000C2357"/>
    <w:rsid w:val="000C25C9"/>
    <w:rsid w:val="000C2A24"/>
    <w:rsid w:val="000C2C20"/>
    <w:rsid w:val="000C2D64"/>
    <w:rsid w:val="000C2FCB"/>
    <w:rsid w:val="000C31A3"/>
    <w:rsid w:val="000C3744"/>
    <w:rsid w:val="000C3D85"/>
    <w:rsid w:val="000C4239"/>
    <w:rsid w:val="000C49A2"/>
    <w:rsid w:val="000C5B08"/>
    <w:rsid w:val="000C5BBD"/>
    <w:rsid w:val="000C5BF5"/>
    <w:rsid w:val="000C6010"/>
    <w:rsid w:val="000C6108"/>
    <w:rsid w:val="000C6236"/>
    <w:rsid w:val="000C6AFA"/>
    <w:rsid w:val="000C6D8C"/>
    <w:rsid w:val="000C740F"/>
    <w:rsid w:val="000C7D5C"/>
    <w:rsid w:val="000C7EAD"/>
    <w:rsid w:val="000D0A0F"/>
    <w:rsid w:val="000D159B"/>
    <w:rsid w:val="000D18C7"/>
    <w:rsid w:val="000D1AC3"/>
    <w:rsid w:val="000D1CEE"/>
    <w:rsid w:val="000D21C3"/>
    <w:rsid w:val="000D24ED"/>
    <w:rsid w:val="000D2613"/>
    <w:rsid w:val="000D29B2"/>
    <w:rsid w:val="000D2D98"/>
    <w:rsid w:val="000D319C"/>
    <w:rsid w:val="000D48FC"/>
    <w:rsid w:val="000D58F2"/>
    <w:rsid w:val="000D6092"/>
    <w:rsid w:val="000D7189"/>
    <w:rsid w:val="000D75EC"/>
    <w:rsid w:val="000D7DF1"/>
    <w:rsid w:val="000E00FC"/>
    <w:rsid w:val="000E01CB"/>
    <w:rsid w:val="000E0E16"/>
    <w:rsid w:val="000E13F0"/>
    <w:rsid w:val="000E1BB1"/>
    <w:rsid w:val="000E2296"/>
    <w:rsid w:val="000E251B"/>
    <w:rsid w:val="000E2682"/>
    <w:rsid w:val="000E2C9D"/>
    <w:rsid w:val="000E3335"/>
    <w:rsid w:val="000E36D6"/>
    <w:rsid w:val="000E3B96"/>
    <w:rsid w:val="000E45D0"/>
    <w:rsid w:val="000E477C"/>
    <w:rsid w:val="000E48F9"/>
    <w:rsid w:val="000E4B1A"/>
    <w:rsid w:val="000E4C46"/>
    <w:rsid w:val="000E506A"/>
    <w:rsid w:val="000E51A7"/>
    <w:rsid w:val="000E5534"/>
    <w:rsid w:val="000E69E5"/>
    <w:rsid w:val="000E7E0E"/>
    <w:rsid w:val="000F03A9"/>
    <w:rsid w:val="000F05D6"/>
    <w:rsid w:val="000F1369"/>
    <w:rsid w:val="000F1C75"/>
    <w:rsid w:val="000F2200"/>
    <w:rsid w:val="000F2317"/>
    <w:rsid w:val="000F2382"/>
    <w:rsid w:val="000F2578"/>
    <w:rsid w:val="000F3A5C"/>
    <w:rsid w:val="000F4332"/>
    <w:rsid w:val="000F4447"/>
    <w:rsid w:val="000F445E"/>
    <w:rsid w:val="000F4570"/>
    <w:rsid w:val="000F532E"/>
    <w:rsid w:val="000F64DD"/>
    <w:rsid w:val="000F6853"/>
    <w:rsid w:val="000F7158"/>
    <w:rsid w:val="000F79B8"/>
    <w:rsid w:val="001005B1"/>
    <w:rsid w:val="0010078C"/>
    <w:rsid w:val="001015E5"/>
    <w:rsid w:val="00101B4F"/>
    <w:rsid w:val="001025D6"/>
    <w:rsid w:val="001028B6"/>
    <w:rsid w:val="00102A11"/>
    <w:rsid w:val="00102B07"/>
    <w:rsid w:val="001047C3"/>
    <w:rsid w:val="00104C45"/>
    <w:rsid w:val="00104D82"/>
    <w:rsid w:val="00105055"/>
    <w:rsid w:val="001050D6"/>
    <w:rsid w:val="001050ED"/>
    <w:rsid w:val="001056DA"/>
    <w:rsid w:val="00105D6D"/>
    <w:rsid w:val="001069DA"/>
    <w:rsid w:val="00107521"/>
    <w:rsid w:val="0011017B"/>
    <w:rsid w:val="001107CE"/>
    <w:rsid w:val="00111C7F"/>
    <w:rsid w:val="00111EC1"/>
    <w:rsid w:val="00111F64"/>
    <w:rsid w:val="00111F92"/>
    <w:rsid w:val="0011255B"/>
    <w:rsid w:val="0011263F"/>
    <w:rsid w:val="001127B5"/>
    <w:rsid w:val="00113420"/>
    <w:rsid w:val="00113EB1"/>
    <w:rsid w:val="00114FE8"/>
    <w:rsid w:val="001155D8"/>
    <w:rsid w:val="00116C7C"/>
    <w:rsid w:val="001170DE"/>
    <w:rsid w:val="00117796"/>
    <w:rsid w:val="00117D4A"/>
    <w:rsid w:val="001200A7"/>
    <w:rsid w:val="00120787"/>
    <w:rsid w:val="001218DE"/>
    <w:rsid w:val="0012295C"/>
    <w:rsid w:val="00124186"/>
    <w:rsid w:val="00124457"/>
    <w:rsid w:val="001246D2"/>
    <w:rsid w:val="0012478C"/>
    <w:rsid w:val="00124949"/>
    <w:rsid w:val="00125D90"/>
    <w:rsid w:val="00125DDC"/>
    <w:rsid w:val="00126107"/>
    <w:rsid w:val="001272A4"/>
    <w:rsid w:val="00127D6A"/>
    <w:rsid w:val="00127EB8"/>
    <w:rsid w:val="00131E89"/>
    <w:rsid w:val="00132500"/>
    <w:rsid w:val="001330A7"/>
    <w:rsid w:val="0013363E"/>
    <w:rsid w:val="00135BEF"/>
    <w:rsid w:val="00136A7C"/>
    <w:rsid w:val="00136D31"/>
    <w:rsid w:val="00140591"/>
    <w:rsid w:val="00140B63"/>
    <w:rsid w:val="00140F5C"/>
    <w:rsid w:val="0014187E"/>
    <w:rsid w:val="001423B3"/>
    <w:rsid w:val="00142D3F"/>
    <w:rsid w:val="00142ED9"/>
    <w:rsid w:val="001432E3"/>
    <w:rsid w:val="00143636"/>
    <w:rsid w:val="00143909"/>
    <w:rsid w:val="00143C57"/>
    <w:rsid w:val="00143D60"/>
    <w:rsid w:val="001445BC"/>
    <w:rsid w:val="00145756"/>
    <w:rsid w:val="00145996"/>
    <w:rsid w:val="00145DFD"/>
    <w:rsid w:val="001461D0"/>
    <w:rsid w:val="00146658"/>
    <w:rsid w:val="00146ECF"/>
    <w:rsid w:val="00147945"/>
    <w:rsid w:val="00147C8C"/>
    <w:rsid w:val="0015038D"/>
    <w:rsid w:val="00151BC8"/>
    <w:rsid w:val="0015251E"/>
    <w:rsid w:val="00152600"/>
    <w:rsid w:val="0015270E"/>
    <w:rsid w:val="00153D84"/>
    <w:rsid w:val="00154023"/>
    <w:rsid w:val="0015475B"/>
    <w:rsid w:val="00154804"/>
    <w:rsid w:val="001555A0"/>
    <w:rsid w:val="0015569A"/>
    <w:rsid w:val="00155A2C"/>
    <w:rsid w:val="00155EE5"/>
    <w:rsid w:val="001563BD"/>
    <w:rsid w:val="001564F8"/>
    <w:rsid w:val="0015671D"/>
    <w:rsid w:val="0015684E"/>
    <w:rsid w:val="00156FEB"/>
    <w:rsid w:val="00157607"/>
    <w:rsid w:val="00157DD4"/>
    <w:rsid w:val="00160703"/>
    <w:rsid w:val="00161318"/>
    <w:rsid w:val="001614B1"/>
    <w:rsid w:val="00161BD2"/>
    <w:rsid w:val="00161DE3"/>
    <w:rsid w:val="00161E5F"/>
    <w:rsid w:val="00162768"/>
    <w:rsid w:val="001635C1"/>
    <w:rsid w:val="00163D44"/>
    <w:rsid w:val="0016458B"/>
    <w:rsid w:val="00164B0A"/>
    <w:rsid w:val="00164C3C"/>
    <w:rsid w:val="00164CC1"/>
    <w:rsid w:val="00164F66"/>
    <w:rsid w:val="00164F88"/>
    <w:rsid w:val="001650ED"/>
    <w:rsid w:val="00165596"/>
    <w:rsid w:val="001659CD"/>
    <w:rsid w:val="00165B32"/>
    <w:rsid w:val="00165D2D"/>
    <w:rsid w:val="00165FCC"/>
    <w:rsid w:val="0016658D"/>
    <w:rsid w:val="00167218"/>
    <w:rsid w:val="0016790C"/>
    <w:rsid w:val="00167D02"/>
    <w:rsid w:val="001712A8"/>
    <w:rsid w:val="00172F78"/>
    <w:rsid w:val="001739BA"/>
    <w:rsid w:val="001740FE"/>
    <w:rsid w:val="00174301"/>
    <w:rsid w:val="001746BD"/>
    <w:rsid w:val="00174DC3"/>
    <w:rsid w:val="00174E76"/>
    <w:rsid w:val="001751B0"/>
    <w:rsid w:val="0017550A"/>
    <w:rsid w:val="001757A5"/>
    <w:rsid w:val="00175ADA"/>
    <w:rsid w:val="00175CAC"/>
    <w:rsid w:val="001768DE"/>
    <w:rsid w:val="00176AA5"/>
    <w:rsid w:val="001778B8"/>
    <w:rsid w:val="00177BCE"/>
    <w:rsid w:val="00177D8E"/>
    <w:rsid w:val="00177E58"/>
    <w:rsid w:val="0018037B"/>
    <w:rsid w:val="00180C82"/>
    <w:rsid w:val="00180EF7"/>
    <w:rsid w:val="001828E4"/>
    <w:rsid w:val="00182DBC"/>
    <w:rsid w:val="00183298"/>
    <w:rsid w:val="00183FFE"/>
    <w:rsid w:val="001841CA"/>
    <w:rsid w:val="0018481E"/>
    <w:rsid w:val="00185B87"/>
    <w:rsid w:val="00185F8B"/>
    <w:rsid w:val="00186BDC"/>
    <w:rsid w:val="0018714F"/>
    <w:rsid w:val="00190B3A"/>
    <w:rsid w:val="001914CD"/>
    <w:rsid w:val="00191D36"/>
    <w:rsid w:val="00191D80"/>
    <w:rsid w:val="00191E65"/>
    <w:rsid w:val="00192157"/>
    <w:rsid w:val="00192468"/>
    <w:rsid w:val="00194BFD"/>
    <w:rsid w:val="00194C5F"/>
    <w:rsid w:val="00194E66"/>
    <w:rsid w:val="00195173"/>
    <w:rsid w:val="00195713"/>
    <w:rsid w:val="0019583D"/>
    <w:rsid w:val="00195A32"/>
    <w:rsid w:val="001960E7"/>
    <w:rsid w:val="001963F8"/>
    <w:rsid w:val="00196BB4"/>
    <w:rsid w:val="00196D56"/>
    <w:rsid w:val="001971F6"/>
    <w:rsid w:val="001978B9"/>
    <w:rsid w:val="00197AF5"/>
    <w:rsid w:val="00197C1A"/>
    <w:rsid w:val="001A0049"/>
    <w:rsid w:val="001A05ED"/>
    <w:rsid w:val="001A0C72"/>
    <w:rsid w:val="001A1BE2"/>
    <w:rsid w:val="001A22B4"/>
    <w:rsid w:val="001A23BA"/>
    <w:rsid w:val="001A31D3"/>
    <w:rsid w:val="001A3B34"/>
    <w:rsid w:val="001A4216"/>
    <w:rsid w:val="001A5564"/>
    <w:rsid w:val="001A55F9"/>
    <w:rsid w:val="001A5BA6"/>
    <w:rsid w:val="001A6000"/>
    <w:rsid w:val="001A62C0"/>
    <w:rsid w:val="001A6331"/>
    <w:rsid w:val="001A6FEA"/>
    <w:rsid w:val="001A70B5"/>
    <w:rsid w:val="001A7F8A"/>
    <w:rsid w:val="001B10D5"/>
    <w:rsid w:val="001B1359"/>
    <w:rsid w:val="001B1CC4"/>
    <w:rsid w:val="001B21FD"/>
    <w:rsid w:val="001B262C"/>
    <w:rsid w:val="001B281A"/>
    <w:rsid w:val="001B2ED1"/>
    <w:rsid w:val="001B310F"/>
    <w:rsid w:val="001B39B1"/>
    <w:rsid w:val="001B3BFF"/>
    <w:rsid w:val="001B4234"/>
    <w:rsid w:val="001B5E3F"/>
    <w:rsid w:val="001B6B86"/>
    <w:rsid w:val="001B6E05"/>
    <w:rsid w:val="001B6E2E"/>
    <w:rsid w:val="001B7123"/>
    <w:rsid w:val="001B78E9"/>
    <w:rsid w:val="001B7D92"/>
    <w:rsid w:val="001C10C2"/>
    <w:rsid w:val="001C264A"/>
    <w:rsid w:val="001C2B46"/>
    <w:rsid w:val="001C33DB"/>
    <w:rsid w:val="001C3730"/>
    <w:rsid w:val="001C3752"/>
    <w:rsid w:val="001C4EA1"/>
    <w:rsid w:val="001C5418"/>
    <w:rsid w:val="001C551E"/>
    <w:rsid w:val="001C5626"/>
    <w:rsid w:val="001C5E59"/>
    <w:rsid w:val="001C616C"/>
    <w:rsid w:val="001C6297"/>
    <w:rsid w:val="001C6B10"/>
    <w:rsid w:val="001C7165"/>
    <w:rsid w:val="001C7341"/>
    <w:rsid w:val="001C7B77"/>
    <w:rsid w:val="001C7FD3"/>
    <w:rsid w:val="001D16FD"/>
    <w:rsid w:val="001D1947"/>
    <w:rsid w:val="001D2327"/>
    <w:rsid w:val="001D3CE6"/>
    <w:rsid w:val="001D4202"/>
    <w:rsid w:val="001D4FE6"/>
    <w:rsid w:val="001D50BD"/>
    <w:rsid w:val="001D585A"/>
    <w:rsid w:val="001D5C45"/>
    <w:rsid w:val="001D625A"/>
    <w:rsid w:val="001D6A7E"/>
    <w:rsid w:val="001D6F5F"/>
    <w:rsid w:val="001D7E9D"/>
    <w:rsid w:val="001E0BD0"/>
    <w:rsid w:val="001E0E6B"/>
    <w:rsid w:val="001E1C37"/>
    <w:rsid w:val="001E2515"/>
    <w:rsid w:val="001E2679"/>
    <w:rsid w:val="001E325B"/>
    <w:rsid w:val="001E32F8"/>
    <w:rsid w:val="001E3330"/>
    <w:rsid w:val="001E3A51"/>
    <w:rsid w:val="001E412E"/>
    <w:rsid w:val="001E4B46"/>
    <w:rsid w:val="001E53BD"/>
    <w:rsid w:val="001E6A2E"/>
    <w:rsid w:val="001E6F04"/>
    <w:rsid w:val="001E71C3"/>
    <w:rsid w:val="001E7FDF"/>
    <w:rsid w:val="001F0FC3"/>
    <w:rsid w:val="001F20C3"/>
    <w:rsid w:val="001F29FC"/>
    <w:rsid w:val="001F46F9"/>
    <w:rsid w:val="001F4DBF"/>
    <w:rsid w:val="001F5EFB"/>
    <w:rsid w:val="001F6839"/>
    <w:rsid w:val="001F6844"/>
    <w:rsid w:val="001F7166"/>
    <w:rsid w:val="001F7C78"/>
    <w:rsid w:val="001F7E87"/>
    <w:rsid w:val="00200947"/>
    <w:rsid w:val="00200F01"/>
    <w:rsid w:val="00201414"/>
    <w:rsid w:val="0020182F"/>
    <w:rsid w:val="00202017"/>
    <w:rsid w:val="00202058"/>
    <w:rsid w:val="00202294"/>
    <w:rsid w:val="0020237C"/>
    <w:rsid w:val="00202604"/>
    <w:rsid w:val="0020367B"/>
    <w:rsid w:val="002045AC"/>
    <w:rsid w:val="00204893"/>
    <w:rsid w:val="002049B4"/>
    <w:rsid w:val="002050BA"/>
    <w:rsid w:val="0020781A"/>
    <w:rsid w:val="00207ED8"/>
    <w:rsid w:val="002104DA"/>
    <w:rsid w:val="00210EBD"/>
    <w:rsid w:val="0021141B"/>
    <w:rsid w:val="00211E6A"/>
    <w:rsid w:val="0021223F"/>
    <w:rsid w:val="00212BC3"/>
    <w:rsid w:val="0021318C"/>
    <w:rsid w:val="002132B5"/>
    <w:rsid w:val="002134D1"/>
    <w:rsid w:val="00213803"/>
    <w:rsid w:val="002138FE"/>
    <w:rsid w:val="00214D4F"/>
    <w:rsid w:val="00215A40"/>
    <w:rsid w:val="00217405"/>
    <w:rsid w:val="00217F39"/>
    <w:rsid w:val="00220369"/>
    <w:rsid w:val="0022036D"/>
    <w:rsid w:val="0022169C"/>
    <w:rsid w:val="00222336"/>
    <w:rsid w:val="0022274B"/>
    <w:rsid w:val="0022296B"/>
    <w:rsid w:val="0022301E"/>
    <w:rsid w:val="00223603"/>
    <w:rsid w:val="00223980"/>
    <w:rsid w:val="00223F86"/>
    <w:rsid w:val="002240E8"/>
    <w:rsid w:val="002241B4"/>
    <w:rsid w:val="002243F2"/>
    <w:rsid w:val="0022481E"/>
    <w:rsid w:val="0022546B"/>
    <w:rsid w:val="00225A80"/>
    <w:rsid w:val="002262C2"/>
    <w:rsid w:val="00226530"/>
    <w:rsid w:val="0022666F"/>
    <w:rsid w:val="002272F7"/>
    <w:rsid w:val="002274F2"/>
    <w:rsid w:val="00227697"/>
    <w:rsid w:val="00227DE7"/>
    <w:rsid w:val="0023070F"/>
    <w:rsid w:val="002308BA"/>
    <w:rsid w:val="0023099D"/>
    <w:rsid w:val="00230AD2"/>
    <w:rsid w:val="00230E62"/>
    <w:rsid w:val="00232463"/>
    <w:rsid w:val="00232A2C"/>
    <w:rsid w:val="00232B0E"/>
    <w:rsid w:val="00232F98"/>
    <w:rsid w:val="002336FF"/>
    <w:rsid w:val="00233B2E"/>
    <w:rsid w:val="002346AC"/>
    <w:rsid w:val="0023489E"/>
    <w:rsid w:val="00235743"/>
    <w:rsid w:val="00235C2E"/>
    <w:rsid w:val="00235C55"/>
    <w:rsid w:val="00236340"/>
    <w:rsid w:val="0023654A"/>
    <w:rsid w:val="00237394"/>
    <w:rsid w:val="00237CD7"/>
    <w:rsid w:val="00240E74"/>
    <w:rsid w:val="0024110A"/>
    <w:rsid w:val="00241451"/>
    <w:rsid w:val="0024191C"/>
    <w:rsid w:val="0024195B"/>
    <w:rsid w:val="00241AD1"/>
    <w:rsid w:val="002426A9"/>
    <w:rsid w:val="00242CD8"/>
    <w:rsid w:val="002439B6"/>
    <w:rsid w:val="00243C92"/>
    <w:rsid w:val="0024433E"/>
    <w:rsid w:val="0024445F"/>
    <w:rsid w:val="00244F58"/>
    <w:rsid w:val="002467AF"/>
    <w:rsid w:val="00250263"/>
    <w:rsid w:val="00250F86"/>
    <w:rsid w:val="00251275"/>
    <w:rsid w:val="00251B9A"/>
    <w:rsid w:val="00251C09"/>
    <w:rsid w:val="00252106"/>
    <w:rsid w:val="00252C54"/>
    <w:rsid w:val="002536D7"/>
    <w:rsid w:val="00253F2D"/>
    <w:rsid w:val="00254025"/>
    <w:rsid w:val="002542ED"/>
    <w:rsid w:val="00254BCC"/>
    <w:rsid w:val="0025500A"/>
    <w:rsid w:val="00256118"/>
    <w:rsid w:val="00256153"/>
    <w:rsid w:val="00256677"/>
    <w:rsid w:val="00256748"/>
    <w:rsid w:val="00256BBC"/>
    <w:rsid w:val="002570F7"/>
    <w:rsid w:val="0025758C"/>
    <w:rsid w:val="00257A36"/>
    <w:rsid w:val="00260836"/>
    <w:rsid w:val="002609E9"/>
    <w:rsid w:val="00260E0B"/>
    <w:rsid w:val="002621C0"/>
    <w:rsid w:val="00262672"/>
    <w:rsid w:val="00262BD7"/>
    <w:rsid w:val="00262E5F"/>
    <w:rsid w:val="00263376"/>
    <w:rsid w:val="00263A9C"/>
    <w:rsid w:val="00264F7D"/>
    <w:rsid w:val="00265500"/>
    <w:rsid w:val="00265773"/>
    <w:rsid w:val="00266003"/>
    <w:rsid w:val="0026694A"/>
    <w:rsid w:val="00267BF7"/>
    <w:rsid w:val="00267CFE"/>
    <w:rsid w:val="00267DCD"/>
    <w:rsid w:val="002707EA"/>
    <w:rsid w:val="002724FC"/>
    <w:rsid w:val="00272B05"/>
    <w:rsid w:val="00272EEB"/>
    <w:rsid w:val="0027361A"/>
    <w:rsid w:val="0027450F"/>
    <w:rsid w:val="002745E0"/>
    <w:rsid w:val="00274D13"/>
    <w:rsid w:val="0027520F"/>
    <w:rsid w:val="002752D8"/>
    <w:rsid w:val="00275755"/>
    <w:rsid w:val="00276143"/>
    <w:rsid w:val="00276C76"/>
    <w:rsid w:val="0027799B"/>
    <w:rsid w:val="002810AA"/>
    <w:rsid w:val="00281824"/>
    <w:rsid w:val="00282988"/>
    <w:rsid w:val="00283B9A"/>
    <w:rsid w:val="00283CA9"/>
    <w:rsid w:val="002848DB"/>
    <w:rsid w:val="00284AFF"/>
    <w:rsid w:val="002856C0"/>
    <w:rsid w:val="0028624C"/>
    <w:rsid w:val="00286547"/>
    <w:rsid w:val="0028663F"/>
    <w:rsid w:val="00286662"/>
    <w:rsid w:val="0028747C"/>
    <w:rsid w:val="002900A4"/>
    <w:rsid w:val="002905BD"/>
    <w:rsid w:val="002916B7"/>
    <w:rsid w:val="002919E2"/>
    <w:rsid w:val="00291E3D"/>
    <w:rsid w:val="00291E86"/>
    <w:rsid w:val="0029206A"/>
    <w:rsid w:val="002924A4"/>
    <w:rsid w:val="00292DAA"/>
    <w:rsid w:val="00292E24"/>
    <w:rsid w:val="00292FC9"/>
    <w:rsid w:val="00293211"/>
    <w:rsid w:val="002932C1"/>
    <w:rsid w:val="0029365C"/>
    <w:rsid w:val="00294286"/>
    <w:rsid w:val="00294ADB"/>
    <w:rsid w:val="00294D20"/>
    <w:rsid w:val="00294FB3"/>
    <w:rsid w:val="0029535E"/>
    <w:rsid w:val="00295B22"/>
    <w:rsid w:val="00296104"/>
    <w:rsid w:val="00296827"/>
    <w:rsid w:val="002974C8"/>
    <w:rsid w:val="002A03E7"/>
    <w:rsid w:val="002A0A92"/>
    <w:rsid w:val="002A0DD3"/>
    <w:rsid w:val="002A152F"/>
    <w:rsid w:val="002A1611"/>
    <w:rsid w:val="002A182F"/>
    <w:rsid w:val="002A1945"/>
    <w:rsid w:val="002A2216"/>
    <w:rsid w:val="002A2CAD"/>
    <w:rsid w:val="002A3D39"/>
    <w:rsid w:val="002A3F9D"/>
    <w:rsid w:val="002A5711"/>
    <w:rsid w:val="002A5F17"/>
    <w:rsid w:val="002A67DF"/>
    <w:rsid w:val="002A7BCE"/>
    <w:rsid w:val="002A7EF1"/>
    <w:rsid w:val="002B0325"/>
    <w:rsid w:val="002B03CC"/>
    <w:rsid w:val="002B052E"/>
    <w:rsid w:val="002B1709"/>
    <w:rsid w:val="002B19BA"/>
    <w:rsid w:val="002B385C"/>
    <w:rsid w:val="002B426F"/>
    <w:rsid w:val="002B4276"/>
    <w:rsid w:val="002B5612"/>
    <w:rsid w:val="002B5DA2"/>
    <w:rsid w:val="002B6057"/>
    <w:rsid w:val="002B6149"/>
    <w:rsid w:val="002B6423"/>
    <w:rsid w:val="002B777F"/>
    <w:rsid w:val="002B7A80"/>
    <w:rsid w:val="002C00A4"/>
    <w:rsid w:val="002C0838"/>
    <w:rsid w:val="002C110D"/>
    <w:rsid w:val="002C1156"/>
    <w:rsid w:val="002C19EA"/>
    <w:rsid w:val="002C223C"/>
    <w:rsid w:val="002C2621"/>
    <w:rsid w:val="002C3773"/>
    <w:rsid w:val="002C3F41"/>
    <w:rsid w:val="002C4D60"/>
    <w:rsid w:val="002C504B"/>
    <w:rsid w:val="002C57F4"/>
    <w:rsid w:val="002C5BC6"/>
    <w:rsid w:val="002C5ECC"/>
    <w:rsid w:val="002C6E44"/>
    <w:rsid w:val="002D058E"/>
    <w:rsid w:val="002D0651"/>
    <w:rsid w:val="002D0BED"/>
    <w:rsid w:val="002D10A7"/>
    <w:rsid w:val="002D14B1"/>
    <w:rsid w:val="002D16F5"/>
    <w:rsid w:val="002D1847"/>
    <w:rsid w:val="002D1AE5"/>
    <w:rsid w:val="002D2630"/>
    <w:rsid w:val="002D26BA"/>
    <w:rsid w:val="002D27D6"/>
    <w:rsid w:val="002D2A74"/>
    <w:rsid w:val="002D2AF3"/>
    <w:rsid w:val="002D3332"/>
    <w:rsid w:val="002D452E"/>
    <w:rsid w:val="002D4A18"/>
    <w:rsid w:val="002D4B1E"/>
    <w:rsid w:val="002D50CB"/>
    <w:rsid w:val="002D53B5"/>
    <w:rsid w:val="002D5DD3"/>
    <w:rsid w:val="002D6570"/>
    <w:rsid w:val="002D73AE"/>
    <w:rsid w:val="002D7D78"/>
    <w:rsid w:val="002E06D5"/>
    <w:rsid w:val="002E0908"/>
    <w:rsid w:val="002E0C72"/>
    <w:rsid w:val="002E1D2F"/>
    <w:rsid w:val="002E1E5C"/>
    <w:rsid w:val="002E1EE1"/>
    <w:rsid w:val="002E2D97"/>
    <w:rsid w:val="002E43DD"/>
    <w:rsid w:val="002E520F"/>
    <w:rsid w:val="002E5586"/>
    <w:rsid w:val="002E5C5D"/>
    <w:rsid w:val="002E5D81"/>
    <w:rsid w:val="002E5E1D"/>
    <w:rsid w:val="002E634D"/>
    <w:rsid w:val="002E75B2"/>
    <w:rsid w:val="002E7B22"/>
    <w:rsid w:val="002E7CFE"/>
    <w:rsid w:val="002F04D2"/>
    <w:rsid w:val="002F056A"/>
    <w:rsid w:val="002F07D0"/>
    <w:rsid w:val="002F0967"/>
    <w:rsid w:val="002F0EA3"/>
    <w:rsid w:val="002F1253"/>
    <w:rsid w:val="002F189B"/>
    <w:rsid w:val="002F1BD5"/>
    <w:rsid w:val="002F1CB4"/>
    <w:rsid w:val="002F28D0"/>
    <w:rsid w:val="002F3304"/>
    <w:rsid w:val="002F37CA"/>
    <w:rsid w:val="002F3831"/>
    <w:rsid w:val="002F5613"/>
    <w:rsid w:val="002F580F"/>
    <w:rsid w:val="002F5F27"/>
    <w:rsid w:val="002F6B8A"/>
    <w:rsid w:val="002F7FD7"/>
    <w:rsid w:val="00300CD5"/>
    <w:rsid w:val="00300D8F"/>
    <w:rsid w:val="00301685"/>
    <w:rsid w:val="00301E81"/>
    <w:rsid w:val="00302568"/>
    <w:rsid w:val="003029AF"/>
    <w:rsid w:val="00302C66"/>
    <w:rsid w:val="00302CD3"/>
    <w:rsid w:val="003039F6"/>
    <w:rsid w:val="00303C1C"/>
    <w:rsid w:val="003044A3"/>
    <w:rsid w:val="00305251"/>
    <w:rsid w:val="0030526A"/>
    <w:rsid w:val="00305BB2"/>
    <w:rsid w:val="00306893"/>
    <w:rsid w:val="00306A47"/>
    <w:rsid w:val="00307E1D"/>
    <w:rsid w:val="00310043"/>
    <w:rsid w:val="0031020B"/>
    <w:rsid w:val="003107D0"/>
    <w:rsid w:val="00313708"/>
    <w:rsid w:val="00313E60"/>
    <w:rsid w:val="0031458C"/>
    <w:rsid w:val="003149D4"/>
    <w:rsid w:val="00314C44"/>
    <w:rsid w:val="00314C99"/>
    <w:rsid w:val="00315B64"/>
    <w:rsid w:val="00315D66"/>
    <w:rsid w:val="00317862"/>
    <w:rsid w:val="00317BDF"/>
    <w:rsid w:val="0032154B"/>
    <w:rsid w:val="0032210D"/>
    <w:rsid w:val="003224A9"/>
    <w:rsid w:val="00323062"/>
    <w:rsid w:val="0032465C"/>
    <w:rsid w:val="003247CB"/>
    <w:rsid w:val="00324D95"/>
    <w:rsid w:val="0032525C"/>
    <w:rsid w:val="00326030"/>
    <w:rsid w:val="0032609D"/>
    <w:rsid w:val="00326BF3"/>
    <w:rsid w:val="003275E7"/>
    <w:rsid w:val="00327971"/>
    <w:rsid w:val="00330902"/>
    <w:rsid w:val="00330D15"/>
    <w:rsid w:val="00331945"/>
    <w:rsid w:val="00331F0F"/>
    <w:rsid w:val="0033375E"/>
    <w:rsid w:val="00333B83"/>
    <w:rsid w:val="00333BFA"/>
    <w:rsid w:val="00333C58"/>
    <w:rsid w:val="0033405A"/>
    <w:rsid w:val="00334AFE"/>
    <w:rsid w:val="0033523E"/>
    <w:rsid w:val="003353FE"/>
    <w:rsid w:val="00336207"/>
    <w:rsid w:val="003364FF"/>
    <w:rsid w:val="00336B4F"/>
    <w:rsid w:val="003373F7"/>
    <w:rsid w:val="00337D2E"/>
    <w:rsid w:val="00337DA8"/>
    <w:rsid w:val="00342944"/>
    <w:rsid w:val="00342CC3"/>
    <w:rsid w:val="00343C34"/>
    <w:rsid w:val="00344799"/>
    <w:rsid w:val="00344AAF"/>
    <w:rsid w:val="00344D2F"/>
    <w:rsid w:val="00344F4F"/>
    <w:rsid w:val="00345047"/>
    <w:rsid w:val="0034585D"/>
    <w:rsid w:val="00345E18"/>
    <w:rsid w:val="00345FDB"/>
    <w:rsid w:val="003461D4"/>
    <w:rsid w:val="0034668E"/>
    <w:rsid w:val="00346D50"/>
    <w:rsid w:val="0034769C"/>
    <w:rsid w:val="00347956"/>
    <w:rsid w:val="00347CE3"/>
    <w:rsid w:val="0035013F"/>
    <w:rsid w:val="0035037D"/>
    <w:rsid w:val="00350545"/>
    <w:rsid w:val="00351C0F"/>
    <w:rsid w:val="00351EDD"/>
    <w:rsid w:val="0035294F"/>
    <w:rsid w:val="00352E4B"/>
    <w:rsid w:val="0035485A"/>
    <w:rsid w:val="00354C96"/>
    <w:rsid w:val="00355767"/>
    <w:rsid w:val="00355817"/>
    <w:rsid w:val="00356F28"/>
    <w:rsid w:val="003575BA"/>
    <w:rsid w:val="00357727"/>
    <w:rsid w:val="00360051"/>
    <w:rsid w:val="003603A0"/>
    <w:rsid w:val="00360BCF"/>
    <w:rsid w:val="0036102F"/>
    <w:rsid w:val="0036130A"/>
    <w:rsid w:val="00361B35"/>
    <w:rsid w:val="00361C53"/>
    <w:rsid w:val="00361EA8"/>
    <w:rsid w:val="0036233A"/>
    <w:rsid w:val="0036233B"/>
    <w:rsid w:val="00363777"/>
    <w:rsid w:val="00363BA3"/>
    <w:rsid w:val="00363F09"/>
    <w:rsid w:val="0036408B"/>
    <w:rsid w:val="00364B21"/>
    <w:rsid w:val="003651E2"/>
    <w:rsid w:val="0036563D"/>
    <w:rsid w:val="00366774"/>
    <w:rsid w:val="00366A0A"/>
    <w:rsid w:val="00366EAD"/>
    <w:rsid w:val="00367E82"/>
    <w:rsid w:val="003702E9"/>
    <w:rsid w:val="0037065C"/>
    <w:rsid w:val="00370C19"/>
    <w:rsid w:val="00370E47"/>
    <w:rsid w:val="003713BD"/>
    <w:rsid w:val="00372868"/>
    <w:rsid w:val="00373052"/>
    <w:rsid w:val="00373111"/>
    <w:rsid w:val="00373270"/>
    <w:rsid w:val="00373279"/>
    <w:rsid w:val="003738FD"/>
    <w:rsid w:val="00373C60"/>
    <w:rsid w:val="00373EC6"/>
    <w:rsid w:val="00374F8A"/>
    <w:rsid w:val="00375011"/>
    <w:rsid w:val="00375241"/>
    <w:rsid w:val="0038061E"/>
    <w:rsid w:val="00380659"/>
    <w:rsid w:val="00380687"/>
    <w:rsid w:val="003809AE"/>
    <w:rsid w:val="00380F78"/>
    <w:rsid w:val="00382276"/>
    <w:rsid w:val="003837E0"/>
    <w:rsid w:val="003842FE"/>
    <w:rsid w:val="0038465B"/>
    <w:rsid w:val="00384948"/>
    <w:rsid w:val="00384C2A"/>
    <w:rsid w:val="00386061"/>
    <w:rsid w:val="0038699B"/>
    <w:rsid w:val="00387CEB"/>
    <w:rsid w:val="0039080F"/>
    <w:rsid w:val="00390C69"/>
    <w:rsid w:val="00390FE2"/>
    <w:rsid w:val="0039262B"/>
    <w:rsid w:val="003929F0"/>
    <w:rsid w:val="00394E00"/>
    <w:rsid w:val="00395437"/>
    <w:rsid w:val="0039671C"/>
    <w:rsid w:val="00396BCD"/>
    <w:rsid w:val="00396CC2"/>
    <w:rsid w:val="003977E6"/>
    <w:rsid w:val="00397FC3"/>
    <w:rsid w:val="003A125E"/>
    <w:rsid w:val="003A1988"/>
    <w:rsid w:val="003A1C2A"/>
    <w:rsid w:val="003A23CE"/>
    <w:rsid w:val="003A44B1"/>
    <w:rsid w:val="003A4781"/>
    <w:rsid w:val="003A47DA"/>
    <w:rsid w:val="003A4A03"/>
    <w:rsid w:val="003A4A9A"/>
    <w:rsid w:val="003A5201"/>
    <w:rsid w:val="003A5A0D"/>
    <w:rsid w:val="003A5E37"/>
    <w:rsid w:val="003A6363"/>
    <w:rsid w:val="003A6A15"/>
    <w:rsid w:val="003A6D2C"/>
    <w:rsid w:val="003A7759"/>
    <w:rsid w:val="003B03FB"/>
    <w:rsid w:val="003B0EF4"/>
    <w:rsid w:val="003B0F4B"/>
    <w:rsid w:val="003B186D"/>
    <w:rsid w:val="003B268A"/>
    <w:rsid w:val="003B2FE5"/>
    <w:rsid w:val="003B327D"/>
    <w:rsid w:val="003B38FF"/>
    <w:rsid w:val="003B3A7F"/>
    <w:rsid w:val="003B443F"/>
    <w:rsid w:val="003B46E6"/>
    <w:rsid w:val="003B541C"/>
    <w:rsid w:val="003B624E"/>
    <w:rsid w:val="003B6458"/>
    <w:rsid w:val="003B655F"/>
    <w:rsid w:val="003B6F3A"/>
    <w:rsid w:val="003B772E"/>
    <w:rsid w:val="003B7731"/>
    <w:rsid w:val="003B779C"/>
    <w:rsid w:val="003B7CE5"/>
    <w:rsid w:val="003C010C"/>
    <w:rsid w:val="003C02F2"/>
    <w:rsid w:val="003C0410"/>
    <w:rsid w:val="003C07BE"/>
    <w:rsid w:val="003C0E58"/>
    <w:rsid w:val="003C0FE5"/>
    <w:rsid w:val="003C102E"/>
    <w:rsid w:val="003C144E"/>
    <w:rsid w:val="003C14A2"/>
    <w:rsid w:val="003C255E"/>
    <w:rsid w:val="003C25DF"/>
    <w:rsid w:val="003C355E"/>
    <w:rsid w:val="003C35DE"/>
    <w:rsid w:val="003C4986"/>
    <w:rsid w:val="003C5C0F"/>
    <w:rsid w:val="003C6667"/>
    <w:rsid w:val="003C6704"/>
    <w:rsid w:val="003C74B7"/>
    <w:rsid w:val="003D1A76"/>
    <w:rsid w:val="003D2076"/>
    <w:rsid w:val="003D21C3"/>
    <w:rsid w:val="003D2219"/>
    <w:rsid w:val="003D2413"/>
    <w:rsid w:val="003D2D68"/>
    <w:rsid w:val="003D2EFD"/>
    <w:rsid w:val="003D36FF"/>
    <w:rsid w:val="003D56CF"/>
    <w:rsid w:val="003D5F41"/>
    <w:rsid w:val="003D63A6"/>
    <w:rsid w:val="003D76A9"/>
    <w:rsid w:val="003E0322"/>
    <w:rsid w:val="003E0D68"/>
    <w:rsid w:val="003E12D1"/>
    <w:rsid w:val="003E1817"/>
    <w:rsid w:val="003E1BC6"/>
    <w:rsid w:val="003E1F1F"/>
    <w:rsid w:val="003E2993"/>
    <w:rsid w:val="003E2BE0"/>
    <w:rsid w:val="003E2D8B"/>
    <w:rsid w:val="003E2F1D"/>
    <w:rsid w:val="003E41F7"/>
    <w:rsid w:val="003E47DD"/>
    <w:rsid w:val="003E4943"/>
    <w:rsid w:val="003E4CC6"/>
    <w:rsid w:val="003E4E0A"/>
    <w:rsid w:val="003E5338"/>
    <w:rsid w:val="003E5A4A"/>
    <w:rsid w:val="003E5C7F"/>
    <w:rsid w:val="003E62C2"/>
    <w:rsid w:val="003E65E7"/>
    <w:rsid w:val="003E751F"/>
    <w:rsid w:val="003E77C3"/>
    <w:rsid w:val="003F0BD8"/>
    <w:rsid w:val="003F0BF3"/>
    <w:rsid w:val="003F0DE8"/>
    <w:rsid w:val="003F1325"/>
    <w:rsid w:val="003F3142"/>
    <w:rsid w:val="003F37AD"/>
    <w:rsid w:val="003F3883"/>
    <w:rsid w:val="003F3D83"/>
    <w:rsid w:val="003F4761"/>
    <w:rsid w:val="003F6EFA"/>
    <w:rsid w:val="003F7E40"/>
    <w:rsid w:val="00400104"/>
    <w:rsid w:val="004002AB"/>
    <w:rsid w:val="00401034"/>
    <w:rsid w:val="004016F1"/>
    <w:rsid w:val="0040199E"/>
    <w:rsid w:val="00402124"/>
    <w:rsid w:val="00402A11"/>
    <w:rsid w:val="004033CF"/>
    <w:rsid w:val="00403A1C"/>
    <w:rsid w:val="00404813"/>
    <w:rsid w:val="00404D17"/>
    <w:rsid w:val="00405969"/>
    <w:rsid w:val="00406104"/>
    <w:rsid w:val="004068BB"/>
    <w:rsid w:val="0040741A"/>
    <w:rsid w:val="00407A9C"/>
    <w:rsid w:val="00407FDE"/>
    <w:rsid w:val="004102E1"/>
    <w:rsid w:val="00410954"/>
    <w:rsid w:val="00411E3B"/>
    <w:rsid w:val="004120A2"/>
    <w:rsid w:val="00412605"/>
    <w:rsid w:val="00412C1C"/>
    <w:rsid w:val="00413080"/>
    <w:rsid w:val="00413A61"/>
    <w:rsid w:val="0041424C"/>
    <w:rsid w:val="00414EB3"/>
    <w:rsid w:val="00414FD4"/>
    <w:rsid w:val="004152A8"/>
    <w:rsid w:val="00415DD0"/>
    <w:rsid w:val="004168F8"/>
    <w:rsid w:val="00416AE2"/>
    <w:rsid w:val="00416E48"/>
    <w:rsid w:val="0041724B"/>
    <w:rsid w:val="0041724E"/>
    <w:rsid w:val="00420543"/>
    <w:rsid w:val="00420EBF"/>
    <w:rsid w:val="00421485"/>
    <w:rsid w:val="004216BF"/>
    <w:rsid w:val="004219B2"/>
    <w:rsid w:val="004220D3"/>
    <w:rsid w:val="00422291"/>
    <w:rsid w:val="0042259F"/>
    <w:rsid w:val="00422F60"/>
    <w:rsid w:val="0042332E"/>
    <w:rsid w:val="004233A3"/>
    <w:rsid w:val="0042375B"/>
    <w:rsid w:val="00423938"/>
    <w:rsid w:val="00423C0D"/>
    <w:rsid w:val="0042404C"/>
    <w:rsid w:val="00424631"/>
    <w:rsid w:val="004246E8"/>
    <w:rsid w:val="00425098"/>
    <w:rsid w:val="004253E2"/>
    <w:rsid w:val="00425995"/>
    <w:rsid w:val="00425C9E"/>
    <w:rsid w:val="004267A7"/>
    <w:rsid w:val="00426A48"/>
    <w:rsid w:val="00427946"/>
    <w:rsid w:val="00431302"/>
    <w:rsid w:val="0043158D"/>
    <w:rsid w:val="0043255B"/>
    <w:rsid w:val="00432EE2"/>
    <w:rsid w:val="0043385B"/>
    <w:rsid w:val="00433FB6"/>
    <w:rsid w:val="0043428F"/>
    <w:rsid w:val="00436E2C"/>
    <w:rsid w:val="004372A1"/>
    <w:rsid w:val="004378B0"/>
    <w:rsid w:val="00437F5F"/>
    <w:rsid w:val="00437F94"/>
    <w:rsid w:val="004406CD"/>
    <w:rsid w:val="00442246"/>
    <w:rsid w:val="00442E1A"/>
    <w:rsid w:val="0044391D"/>
    <w:rsid w:val="00443AC9"/>
    <w:rsid w:val="00443C18"/>
    <w:rsid w:val="00443E00"/>
    <w:rsid w:val="00444048"/>
    <w:rsid w:val="00444050"/>
    <w:rsid w:val="00444CD3"/>
    <w:rsid w:val="00444E86"/>
    <w:rsid w:val="0044582D"/>
    <w:rsid w:val="00445B18"/>
    <w:rsid w:val="00445D3D"/>
    <w:rsid w:val="00446BF2"/>
    <w:rsid w:val="004475B5"/>
    <w:rsid w:val="0045119E"/>
    <w:rsid w:val="004519C0"/>
    <w:rsid w:val="00451EA2"/>
    <w:rsid w:val="00453418"/>
    <w:rsid w:val="00453698"/>
    <w:rsid w:val="00453FDD"/>
    <w:rsid w:val="00454086"/>
    <w:rsid w:val="004543AB"/>
    <w:rsid w:val="00454AB3"/>
    <w:rsid w:val="00455132"/>
    <w:rsid w:val="004554EF"/>
    <w:rsid w:val="0045683E"/>
    <w:rsid w:val="00460243"/>
    <w:rsid w:val="0046072C"/>
    <w:rsid w:val="00460D61"/>
    <w:rsid w:val="00461598"/>
    <w:rsid w:val="0046175E"/>
    <w:rsid w:val="00462059"/>
    <w:rsid w:val="0046273F"/>
    <w:rsid w:val="004629FE"/>
    <w:rsid w:val="00462A17"/>
    <w:rsid w:val="00462A24"/>
    <w:rsid w:val="0046403C"/>
    <w:rsid w:val="00464AD2"/>
    <w:rsid w:val="00464C82"/>
    <w:rsid w:val="00465773"/>
    <w:rsid w:val="00465829"/>
    <w:rsid w:val="00465964"/>
    <w:rsid w:val="00465975"/>
    <w:rsid w:val="00466F43"/>
    <w:rsid w:val="00467EDC"/>
    <w:rsid w:val="004706DC"/>
    <w:rsid w:val="004711CA"/>
    <w:rsid w:val="004711DE"/>
    <w:rsid w:val="004715DE"/>
    <w:rsid w:val="00471777"/>
    <w:rsid w:val="004717D9"/>
    <w:rsid w:val="00471D3B"/>
    <w:rsid w:val="004720BE"/>
    <w:rsid w:val="0047225F"/>
    <w:rsid w:val="0047283C"/>
    <w:rsid w:val="00472F08"/>
    <w:rsid w:val="00475720"/>
    <w:rsid w:val="00475F34"/>
    <w:rsid w:val="00476AFE"/>
    <w:rsid w:val="00476EF8"/>
    <w:rsid w:val="00476F9D"/>
    <w:rsid w:val="00477222"/>
    <w:rsid w:val="004772CF"/>
    <w:rsid w:val="00477761"/>
    <w:rsid w:val="00477A29"/>
    <w:rsid w:val="0048095E"/>
    <w:rsid w:val="00480BB2"/>
    <w:rsid w:val="00480D9E"/>
    <w:rsid w:val="00481597"/>
    <w:rsid w:val="004815CB"/>
    <w:rsid w:val="004816BC"/>
    <w:rsid w:val="0048261E"/>
    <w:rsid w:val="004826D9"/>
    <w:rsid w:val="004837E7"/>
    <w:rsid w:val="00483873"/>
    <w:rsid w:val="00483C69"/>
    <w:rsid w:val="004842CE"/>
    <w:rsid w:val="0048457A"/>
    <w:rsid w:val="0048466B"/>
    <w:rsid w:val="00484DCC"/>
    <w:rsid w:val="00484F30"/>
    <w:rsid w:val="004857C4"/>
    <w:rsid w:val="00486DD9"/>
    <w:rsid w:val="004873D1"/>
    <w:rsid w:val="0048768D"/>
    <w:rsid w:val="00490060"/>
    <w:rsid w:val="004900B7"/>
    <w:rsid w:val="00490441"/>
    <w:rsid w:val="00490499"/>
    <w:rsid w:val="00490CF6"/>
    <w:rsid w:val="00490F2E"/>
    <w:rsid w:val="00492679"/>
    <w:rsid w:val="00493283"/>
    <w:rsid w:val="0049361C"/>
    <w:rsid w:val="004938E0"/>
    <w:rsid w:val="00493B8E"/>
    <w:rsid w:val="0049471A"/>
    <w:rsid w:val="00494815"/>
    <w:rsid w:val="004949F0"/>
    <w:rsid w:val="00494D13"/>
    <w:rsid w:val="004956DC"/>
    <w:rsid w:val="00495ABB"/>
    <w:rsid w:val="00495F90"/>
    <w:rsid w:val="004966AA"/>
    <w:rsid w:val="00497B66"/>
    <w:rsid w:val="004A0F21"/>
    <w:rsid w:val="004A1A35"/>
    <w:rsid w:val="004A1C4F"/>
    <w:rsid w:val="004A1CED"/>
    <w:rsid w:val="004A2F4D"/>
    <w:rsid w:val="004A3155"/>
    <w:rsid w:val="004A36CE"/>
    <w:rsid w:val="004A3A2F"/>
    <w:rsid w:val="004A40BC"/>
    <w:rsid w:val="004A49B5"/>
    <w:rsid w:val="004A5638"/>
    <w:rsid w:val="004A59B6"/>
    <w:rsid w:val="004A7B26"/>
    <w:rsid w:val="004B0E39"/>
    <w:rsid w:val="004B16F0"/>
    <w:rsid w:val="004B2045"/>
    <w:rsid w:val="004B26C6"/>
    <w:rsid w:val="004B2BEE"/>
    <w:rsid w:val="004B4B4F"/>
    <w:rsid w:val="004B4C50"/>
    <w:rsid w:val="004B5136"/>
    <w:rsid w:val="004B529E"/>
    <w:rsid w:val="004B5B65"/>
    <w:rsid w:val="004B5D70"/>
    <w:rsid w:val="004B5E00"/>
    <w:rsid w:val="004B6743"/>
    <w:rsid w:val="004B6B21"/>
    <w:rsid w:val="004B6B62"/>
    <w:rsid w:val="004B7014"/>
    <w:rsid w:val="004B76AC"/>
    <w:rsid w:val="004B7CF4"/>
    <w:rsid w:val="004B7D70"/>
    <w:rsid w:val="004C0265"/>
    <w:rsid w:val="004C03BD"/>
    <w:rsid w:val="004C05CA"/>
    <w:rsid w:val="004C087B"/>
    <w:rsid w:val="004C1221"/>
    <w:rsid w:val="004C1347"/>
    <w:rsid w:val="004C16EB"/>
    <w:rsid w:val="004C188D"/>
    <w:rsid w:val="004C2335"/>
    <w:rsid w:val="004C28D4"/>
    <w:rsid w:val="004C3231"/>
    <w:rsid w:val="004C33C4"/>
    <w:rsid w:val="004C35A1"/>
    <w:rsid w:val="004C35B4"/>
    <w:rsid w:val="004C3D98"/>
    <w:rsid w:val="004C3EC6"/>
    <w:rsid w:val="004C3F5A"/>
    <w:rsid w:val="004C5588"/>
    <w:rsid w:val="004C5B19"/>
    <w:rsid w:val="004C60DB"/>
    <w:rsid w:val="004C6395"/>
    <w:rsid w:val="004C6B9D"/>
    <w:rsid w:val="004C7646"/>
    <w:rsid w:val="004D0160"/>
    <w:rsid w:val="004D06DA"/>
    <w:rsid w:val="004D1F00"/>
    <w:rsid w:val="004D240C"/>
    <w:rsid w:val="004D25FE"/>
    <w:rsid w:val="004D27C6"/>
    <w:rsid w:val="004D34AF"/>
    <w:rsid w:val="004D3B7B"/>
    <w:rsid w:val="004D3EDE"/>
    <w:rsid w:val="004D46EA"/>
    <w:rsid w:val="004D4C78"/>
    <w:rsid w:val="004D4CF6"/>
    <w:rsid w:val="004D5078"/>
    <w:rsid w:val="004D50B7"/>
    <w:rsid w:val="004D53C5"/>
    <w:rsid w:val="004D55E0"/>
    <w:rsid w:val="004D5658"/>
    <w:rsid w:val="004D5A4D"/>
    <w:rsid w:val="004D5E59"/>
    <w:rsid w:val="004D6489"/>
    <w:rsid w:val="004D6D17"/>
    <w:rsid w:val="004D7546"/>
    <w:rsid w:val="004D7E0D"/>
    <w:rsid w:val="004E0BAD"/>
    <w:rsid w:val="004E0E5E"/>
    <w:rsid w:val="004E10CB"/>
    <w:rsid w:val="004E21DF"/>
    <w:rsid w:val="004E2288"/>
    <w:rsid w:val="004E2B75"/>
    <w:rsid w:val="004E2CCF"/>
    <w:rsid w:val="004E2E46"/>
    <w:rsid w:val="004E2FA6"/>
    <w:rsid w:val="004E314E"/>
    <w:rsid w:val="004E464C"/>
    <w:rsid w:val="004E4D82"/>
    <w:rsid w:val="004E5512"/>
    <w:rsid w:val="004E5939"/>
    <w:rsid w:val="004E6392"/>
    <w:rsid w:val="004E66A4"/>
    <w:rsid w:val="004E6E5E"/>
    <w:rsid w:val="004F0945"/>
    <w:rsid w:val="004F164D"/>
    <w:rsid w:val="004F1800"/>
    <w:rsid w:val="004F2022"/>
    <w:rsid w:val="004F306B"/>
    <w:rsid w:val="004F3232"/>
    <w:rsid w:val="004F397E"/>
    <w:rsid w:val="004F4C7D"/>
    <w:rsid w:val="004F4E34"/>
    <w:rsid w:val="004F50A7"/>
    <w:rsid w:val="004F519D"/>
    <w:rsid w:val="004F58B8"/>
    <w:rsid w:val="004F5983"/>
    <w:rsid w:val="004F64C4"/>
    <w:rsid w:val="004F6638"/>
    <w:rsid w:val="004F6997"/>
    <w:rsid w:val="004F759D"/>
    <w:rsid w:val="005004C4"/>
    <w:rsid w:val="00500AB7"/>
    <w:rsid w:val="00501576"/>
    <w:rsid w:val="00501C77"/>
    <w:rsid w:val="00501E4D"/>
    <w:rsid w:val="00502060"/>
    <w:rsid w:val="005024B0"/>
    <w:rsid w:val="0050251D"/>
    <w:rsid w:val="005025B0"/>
    <w:rsid w:val="00502D8E"/>
    <w:rsid w:val="00502F97"/>
    <w:rsid w:val="00503043"/>
    <w:rsid w:val="005034C8"/>
    <w:rsid w:val="0050356E"/>
    <w:rsid w:val="005056ED"/>
    <w:rsid w:val="0050599D"/>
    <w:rsid w:val="0050605A"/>
    <w:rsid w:val="0050679E"/>
    <w:rsid w:val="00506D07"/>
    <w:rsid w:val="00506EAE"/>
    <w:rsid w:val="00507E84"/>
    <w:rsid w:val="00507F98"/>
    <w:rsid w:val="00510BC3"/>
    <w:rsid w:val="005115D3"/>
    <w:rsid w:val="00511B0F"/>
    <w:rsid w:val="00512494"/>
    <w:rsid w:val="0051360E"/>
    <w:rsid w:val="005139C6"/>
    <w:rsid w:val="00514253"/>
    <w:rsid w:val="0051483B"/>
    <w:rsid w:val="00514E1E"/>
    <w:rsid w:val="0051509F"/>
    <w:rsid w:val="005152B7"/>
    <w:rsid w:val="005152D5"/>
    <w:rsid w:val="00515489"/>
    <w:rsid w:val="00516553"/>
    <w:rsid w:val="00517670"/>
    <w:rsid w:val="00517ED5"/>
    <w:rsid w:val="00520995"/>
    <w:rsid w:val="00520C0E"/>
    <w:rsid w:val="00522FA1"/>
    <w:rsid w:val="005233DD"/>
    <w:rsid w:val="00523A8B"/>
    <w:rsid w:val="00523F39"/>
    <w:rsid w:val="0052597C"/>
    <w:rsid w:val="00525BCD"/>
    <w:rsid w:val="005260C9"/>
    <w:rsid w:val="005260E0"/>
    <w:rsid w:val="00526374"/>
    <w:rsid w:val="0052680F"/>
    <w:rsid w:val="005275B2"/>
    <w:rsid w:val="00527ED9"/>
    <w:rsid w:val="00530135"/>
    <w:rsid w:val="005301A5"/>
    <w:rsid w:val="00531013"/>
    <w:rsid w:val="005312D6"/>
    <w:rsid w:val="00531F3E"/>
    <w:rsid w:val="005322D6"/>
    <w:rsid w:val="005325BF"/>
    <w:rsid w:val="00532926"/>
    <w:rsid w:val="005333B4"/>
    <w:rsid w:val="005339EE"/>
    <w:rsid w:val="00533E3F"/>
    <w:rsid w:val="00533EAE"/>
    <w:rsid w:val="00534414"/>
    <w:rsid w:val="0053473F"/>
    <w:rsid w:val="0053544D"/>
    <w:rsid w:val="0053619C"/>
    <w:rsid w:val="00536956"/>
    <w:rsid w:val="00536FC3"/>
    <w:rsid w:val="00537007"/>
    <w:rsid w:val="00537D38"/>
    <w:rsid w:val="00540949"/>
    <w:rsid w:val="00541097"/>
    <w:rsid w:val="005419C6"/>
    <w:rsid w:val="0054208C"/>
    <w:rsid w:val="00542F80"/>
    <w:rsid w:val="00543047"/>
    <w:rsid w:val="00543498"/>
    <w:rsid w:val="00543CA9"/>
    <w:rsid w:val="00544285"/>
    <w:rsid w:val="00544702"/>
    <w:rsid w:val="0054487F"/>
    <w:rsid w:val="00545CF3"/>
    <w:rsid w:val="00545FCD"/>
    <w:rsid w:val="005468DE"/>
    <w:rsid w:val="00546DD3"/>
    <w:rsid w:val="0054728A"/>
    <w:rsid w:val="00547838"/>
    <w:rsid w:val="00547DAC"/>
    <w:rsid w:val="00550D29"/>
    <w:rsid w:val="00550F94"/>
    <w:rsid w:val="00551CCC"/>
    <w:rsid w:val="00551E05"/>
    <w:rsid w:val="005522BC"/>
    <w:rsid w:val="00552650"/>
    <w:rsid w:val="005529D5"/>
    <w:rsid w:val="00552B69"/>
    <w:rsid w:val="00552C08"/>
    <w:rsid w:val="00553432"/>
    <w:rsid w:val="00553958"/>
    <w:rsid w:val="00553E49"/>
    <w:rsid w:val="0055504A"/>
    <w:rsid w:val="00555889"/>
    <w:rsid w:val="00555900"/>
    <w:rsid w:val="00556E3D"/>
    <w:rsid w:val="00557CE3"/>
    <w:rsid w:val="00560D5A"/>
    <w:rsid w:val="00560F09"/>
    <w:rsid w:val="00561ACB"/>
    <w:rsid w:val="005626B9"/>
    <w:rsid w:val="00562C69"/>
    <w:rsid w:val="00562F56"/>
    <w:rsid w:val="00563644"/>
    <w:rsid w:val="00563990"/>
    <w:rsid w:val="00563D81"/>
    <w:rsid w:val="00564838"/>
    <w:rsid w:val="005654C5"/>
    <w:rsid w:val="00565E33"/>
    <w:rsid w:val="005663C7"/>
    <w:rsid w:val="00566F41"/>
    <w:rsid w:val="00567C1C"/>
    <w:rsid w:val="005709B6"/>
    <w:rsid w:val="00570BD0"/>
    <w:rsid w:val="005719ED"/>
    <w:rsid w:val="00572ABF"/>
    <w:rsid w:val="00573459"/>
    <w:rsid w:val="00573BF1"/>
    <w:rsid w:val="00574ABA"/>
    <w:rsid w:val="00576B6D"/>
    <w:rsid w:val="00576C76"/>
    <w:rsid w:val="00576F51"/>
    <w:rsid w:val="00577227"/>
    <w:rsid w:val="00577D32"/>
    <w:rsid w:val="00577FFA"/>
    <w:rsid w:val="00580B09"/>
    <w:rsid w:val="00580B4C"/>
    <w:rsid w:val="00581075"/>
    <w:rsid w:val="005814CB"/>
    <w:rsid w:val="005814E4"/>
    <w:rsid w:val="00581711"/>
    <w:rsid w:val="00582115"/>
    <w:rsid w:val="0058435E"/>
    <w:rsid w:val="00584B42"/>
    <w:rsid w:val="00585BC5"/>
    <w:rsid w:val="0058674D"/>
    <w:rsid w:val="005867DE"/>
    <w:rsid w:val="00586C08"/>
    <w:rsid w:val="005876A6"/>
    <w:rsid w:val="005878CC"/>
    <w:rsid w:val="00587951"/>
    <w:rsid w:val="00587B5E"/>
    <w:rsid w:val="00590026"/>
    <w:rsid w:val="00590100"/>
    <w:rsid w:val="00590880"/>
    <w:rsid w:val="00590AF3"/>
    <w:rsid w:val="005916D4"/>
    <w:rsid w:val="005929D5"/>
    <w:rsid w:val="00592EE8"/>
    <w:rsid w:val="005935BA"/>
    <w:rsid w:val="00593B13"/>
    <w:rsid w:val="00593D68"/>
    <w:rsid w:val="00593E60"/>
    <w:rsid w:val="0059458D"/>
    <w:rsid w:val="00595039"/>
    <w:rsid w:val="00595553"/>
    <w:rsid w:val="00596305"/>
    <w:rsid w:val="005971B2"/>
    <w:rsid w:val="005975BF"/>
    <w:rsid w:val="00597706"/>
    <w:rsid w:val="005979A7"/>
    <w:rsid w:val="005A05CF"/>
    <w:rsid w:val="005A13D0"/>
    <w:rsid w:val="005A1449"/>
    <w:rsid w:val="005A1787"/>
    <w:rsid w:val="005A1D74"/>
    <w:rsid w:val="005A1FA8"/>
    <w:rsid w:val="005A1FC7"/>
    <w:rsid w:val="005A22B4"/>
    <w:rsid w:val="005A39A5"/>
    <w:rsid w:val="005A49A9"/>
    <w:rsid w:val="005A4D70"/>
    <w:rsid w:val="005A5109"/>
    <w:rsid w:val="005A55A1"/>
    <w:rsid w:val="005A5C38"/>
    <w:rsid w:val="005A5E16"/>
    <w:rsid w:val="005A60EC"/>
    <w:rsid w:val="005A6197"/>
    <w:rsid w:val="005A6200"/>
    <w:rsid w:val="005A6822"/>
    <w:rsid w:val="005A6D8F"/>
    <w:rsid w:val="005A6E45"/>
    <w:rsid w:val="005A72C6"/>
    <w:rsid w:val="005A7C85"/>
    <w:rsid w:val="005A7D42"/>
    <w:rsid w:val="005A7F67"/>
    <w:rsid w:val="005B008B"/>
    <w:rsid w:val="005B19A0"/>
    <w:rsid w:val="005B28A3"/>
    <w:rsid w:val="005B2CEB"/>
    <w:rsid w:val="005B3E0B"/>
    <w:rsid w:val="005B4131"/>
    <w:rsid w:val="005B429D"/>
    <w:rsid w:val="005B47B5"/>
    <w:rsid w:val="005B4A25"/>
    <w:rsid w:val="005B4AF5"/>
    <w:rsid w:val="005B618E"/>
    <w:rsid w:val="005B65B6"/>
    <w:rsid w:val="005B6648"/>
    <w:rsid w:val="005B70C4"/>
    <w:rsid w:val="005B716F"/>
    <w:rsid w:val="005B7B36"/>
    <w:rsid w:val="005C1524"/>
    <w:rsid w:val="005C176C"/>
    <w:rsid w:val="005C1C7D"/>
    <w:rsid w:val="005C2BAD"/>
    <w:rsid w:val="005C3B37"/>
    <w:rsid w:val="005C3D3A"/>
    <w:rsid w:val="005C4045"/>
    <w:rsid w:val="005C44D9"/>
    <w:rsid w:val="005C488C"/>
    <w:rsid w:val="005C4F9A"/>
    <w:rsid w:val="005C545E"/>
    <w:rsid w:val="005C5BFE"/>
    <w:rsid w:val="005C6115"/>
    <w:rsid w:val="005C6159"/>
    <w:rsid w:val="005C6BAD"/>
    <w:rsid w:val="005C7055"/>
    <w:rsid w:val="005C73D5"/>
    <w:rsid w:val="005D0543"/>
    <w:rsid w:val="005D059A"/>
    <w:rsid w:val="005D05EB"/>
    <w:rsid w:val="005D0830"/>
    <w:rsid w:val="005D0A5F"/>
    <w:rsid w:val="005D1F19"/>
    <w:rsid w:val="005D22C5"/>
    <w:rsid w:val="005D24FE"/>
    <w:rsid w:val="005D29E9"/>
    <w:rsid w:val="005D2F13"/>
    <w:rsid w:val="005D3A84"/>
    <w:rsid w:val="005D44BC"/>
    <w:rsid w:val="005D45BC"/>
    <w:rsid w:val="005D46DD"/>
    <w:rsid w:val="005D5561"/>
    <w:rsid w:val="005D5B86"/>
    <w:rsid w:val="005D68B2"/>
    <w:rsid w:val="005D7AFF"/>
    <w:rsid w:val="005E002D"/>
    <w:rsid w:val="005E0744"/>
    <w:rsid w:val="005E08CF"/>
    <w:rsid w:val="005E101A"/>
    <w:rsid w:val="005E1065"/>
    <w:rsid w:val="005E12D5"/>
    <w:rsid w:val="005E1348"/>
    <w:rsid w:val="005E1590"/>
    <w:rsid w:val="005E1774"/>
    <w:rsid w:val="005E2DB2"/>
    <w:rsid w:val="005E2E88"/>
    <w:rsid w:val="005E4D18"/>
    <w:rsid w:val="005E5108"/>
    <w:rsid w:val="005E547D"/>
    <w:rsid w:val="005E61AF"/>
    <w:rsid w:val="005E64F5"/>
    <w:rsid w:val="005E6616"/>
    <w:rsid w:val="005E680E"/>
    <w:rsid w:val="005E6CD2"/>
    <w:rsid w:val="005E7049"/>
    <w:rsid w:val="005E71F7"/>
    <w:rsid w:val="005F0128"/>
    <w:rsid w:val="005F067D"/>
    <w:rsid w:val="005F0BE9"/>
    <w:rsid w:val="005F0D4E"/>
    <w:rsid w:val="005F1765"/>
    <w:rsid w:val="005F181E"/>
    <w:rsid w:val="005F2019"/>
    <w:rsid w:val="005F27D2"/>
    <w:rsid w:val="005F2D37"/>
    <w:rsid w:val="005F3354"/>
    <w:rsid w:val="005F3D75"/>
    <w:rsid w:val="005F52EE"/>
    <w:rsid w:val="005F7DBA"/>
    <w:rsid w:val="0060050F"/>
    <w:rsid w:val="00600847"/>
    <w:rsid w:val="006024D7"/>
    <w:rsid w:val="006026BB"/>
    <w:rsid w:val="006027B2"/>
    <w:rsid w:val="00602817"/>
    <w:rsid w:val="00602929"/>
    <w:rsid w:val="00602E71"/>
    <w:rsid w:val="00603C01"/>
    <w:rsid w:val="006040A9"/>
    <w:rsid w:val="0060499D"/>
    <w:rsid w:val="0060559C"/>
    <w:rsid w:val="00605F54"/>
    <w:rsid w:val="00607F33"/>
    <w:rsid w:val="00610CF1"/>
    <w:rsid w:val="00612776"/>
    <w:rsid w:val="00612E6A"/>
    <w:rsid w:val="00613C7F"/>
    <w:rsid w:val="006143C1"/>
    <w:rsid w:val="0061475E"/>
    <w:rsid w:val="00614AF9"/>
    <w:rsid w:val="00616AF0"/>
    <w:rsid w:val="00617C23"/>
    <w:rsid w:val="00617F25"/>
    <w:rsid w:val="00617F2C"/>
    <w:rsid w:val="00620686"/>
    <w:rsid w:val="006215E7"/>
    <w:rsid w:val="006223C5"/>
    <w:rsid w:val="0062272A"/>
    <w:rsid w:val="00622B62"/>
    <w:rsid w:val="00623115"/>
    <w:rsid w:val="006234A1"/>
    <w:rsid w:val="00624AB4"/>
    <w:rsid w:val="00624E8E"/>
    <w:rsid w:val="0062623C"/>
    <w:rsid w:val="00626580"/>
    <w:rsid w:val="006266E9"/>
    <w:rsid w:val="00626FFA"/>
    <w:rsid w:val="0062708F"/>
    <w:rsid w:val="00630C57"/>
    <w:rsid w:val="00631605"/>
    <w:rsid w:val="006319F4"/>
    <w:rsid w:val="00631B52"/>
    <w:rsid w:val="00632132"/>
    <w:rsid w:val="00632C48"/>
    <w:rsid w:val="00632C7E"/>
    <w:rsid w:val="00633663"/>
    <w:rsid w:val="0063446D"/>
    <w:rsid w:val="006347BE"/>
    <w:rsid w:val="00634B9C"/>
    <w:rsid w:val="00634D4A"/>
    <w:rsid w:val="00634ED1"/>
    <w:rsid w:val="00635EAF"/>
    <w:rsid w:val="0063610C"/>
    <w:rsid w:val="0063671D"/>
    <w:rsid w:val="00641905"/>
    <w:rsid w:val="006420A9"/>
    <w:rsid w:val="0064217E"/>
    <w:rsid w:val="00643C71"/>
    <w:rsid w:val="00644169"/>
    <w:rsid w:val="00644207"/>
    <w:rsid w:val="006445CD"/>
    <w:rsid w:val="0064473A"/>
    <w:rsid w:val="006447A9"/>
    <w:rsid w:val="006450DE"/>
    <w:rsid w:val="00645123"/>
    <w:rsid w:val="006453A7"/>
    <w:rsid w:val="00645540"/>
    <w:rsid w:val="00645857"/>
    <w:rsid w:val="00645EF6"/>
    <w:rsid w:val="006465B2"/>
    <w:rsid w:val="00646CDE"/>
    <w:rsid w:val="00647B72"/>
    <w:rsid w:val="00647E4D"/>
    <w:rsid w:val="00647EB1"/>
    <w:rsid w:val="006508DA"/>
    <w:rsid w:val="00650C48"/>
    <w:rsid w:val="00650DDD"/>
    <w:rsid w:val="0065196D"/>
    <w:rsid w:val="006519E7"/>
    <w:rsid w:val="0065321C"/>
    <w:rsid w:val="006538E3"/>
    <w:rsid w:val="00653E1B"/>
    <w:rsid w:val="0065433D"/>
    <w:rsid w:val="00654648"/>
    <w:rsid w:val="00654C0D"/>
    <w:rsid w:val="00654DB9"/>
    <w:rsid w:val="006556A6"/>
    <w:rsid w:val="006558EF"/>
    <w:rsid w:val="00655A76"/>
    <w:rsid w:val="00655B82"/>
    <w:rsid w:val="00655E77"/>
    <w:rsid w:val="006561E2"/>
    <w:rsid w:val="0065663E"/>
    <w:rsid w:val="00657093"/>
    <w:rsid w:val="006605ED"/>
    <w:rsid w:val="00660D7D"/>
    <w:rsid w:val="00660DC0"/>
    <w:rsid w:val="006610D8"/>
    <w:rsid w:val="00661B12"/>
    <w:rsid w:val="00663466"/>
    <w:rsid w:val="0066416A"/>
    <w:rsid w:val="00664260"/>
    <w:rsid w:val="0066445C"/>
    <w:rsid w:val="00664E40"/>
    <w:rsid w:val="00666FE3"/>
    <w:rsid w:val="00667783"/>
    <w:rsid w:val="0067047B"/>
    <w:rsid w:val="0067056E"/>
    <w:rsid w:val="006708ED"/>
    <w:rsid w:val="00670FEA"/>
    <w:rsid w:val="006711D6"/>
    <w:rsid w:val="0067161F"/>
    <w:rsid w:val="00671AE0"/>
    <w:rsid w:val="00671D0D"/>
    <w:rsid w:val="0067241B"/>
    <w:rsid w:val="006725D4"/>
    <w:rsid w:val="006732A5"/>
    <w:rsid w:val="0067345F"/>
    <w:rsid w:val="00673F4A"/>
    <w:rsid w:val="00674177"/>
    <w:rsid w:val="00674F09"/>
    <w:rsid w:val="00674F2C"/>
    <w:rsid w:val="00675939"/>
    <w:rsid w:val="00675A3D"/>
    <w:rsid w:val="006773CD"/>
    <w:rsid w:val="00681BB6"/>
    <w:rsid w:val="0068272D"/>
    <w:rsid w:val="006829A3"/>
    <w:rsid w:val="006829B8"/>
    <w:rsid w:val="00683711"/>
    <w:rsid w:val="00683C07"/>
    <w:rsid w:val="00684055"/>
    <w:rsid w:val="006851B1"/>
    <w:rsid w:val="00685AF8"/>
    <w:rsid w:val="00685B6D"/>
    <w:rsid w:val="006863C0"/>
    <w:rsid w:val="00686F8A"/>
    <w:rsid w:val="006908C0"/>
    <w:rsid w:val="0069139C"/>
    <w:rsid w:val="0069190B"/>
    <w:rsid w:val="00691BF1"/>
    <w:rsid w:val="006925E0"/>
    <w:rsid w:val="00692A79"/>
    <w:rsid w:val="00692F47"/>
    <w:rsid w:val="0069304D"/>
    <w:rsid w:val="00693103"/>
    <w:rsid w:val="00693834"/>
    <w:rsid w:val="0069483E"/>
    <w:rsid w:val="0069493F"/>
    <w:rsid w:val="00694B52"/>
    <w:rsid w:val="00695633"/>
    <w:rsid w:val="006974C7"/>
    <w:rsid w:val="0069770B"/>
    <w:rsid w:val="006A07E1"/>
    <w:rsid w:val="006A0836"/>
    <w:rsid w:val="006A09AA"/>
    <w:rsid w:val="006A1083"/>
    <w:rsid w:val="006A1928"/>
    <w:rsid w:val="006A2749"/>
    <w:rsid w:val="006A2ABB"/>
    <w:rsid w:val="006A2B97"/>
    <w:rsid w:val="006A598F"/>
    <w:rsid w:val="006A643C"/>
    <w:rsid w:val="006A6B7A"/>
    <w:rsid w:val="006A6C09"/>
    <w:rsid w:val="006A6FE6"/>
    <w:rsid w:val="006A7564"/>
    <w:rsid w:val="006A7ABF"/>
    <w:rsid w:val="006B032A"/>
    <w:rsid w:val="006B0394"/>
    <w:rsid w:val="006B076E"/>
    <w:rsid w:val="006B0D5E"/>
    <w:rsid w:val="006B1042"/>
    <w:rsid w:val="006B1157"/>
    <w:rsid w:val="006B16AC"/>
    <w:rsid w:val="006B1882"/>
    <w:rsid w:val="006B2106"/>
    <w:rsid w:val="006B2353"/>
    <w:rsid w:val="006B2C4D"/>
    <w:rsid w:val="006B3279"/>
    <w:rsid w:val="006B385F"/>
    <w:rsid w:val="006B3D5B"/>
    <w:rsid w:val="006B4383"/>
    <w:rsid w:val="006B4FE1"/>
    <w:rsid w:val="006B7166"/>
    <w:rsid w:val="006B75E1"/>
    <w:rsid w:val="006B7660"/>
    <w:rsid w:val="006C015E"/>
    <w:rsid w:val="006C0C9A"/>
    <w:rsid w:val="006C211D"/>
    <w:rsid w:val="006C2689"/>
    <w:rsid w:val="006C2DDC"/>
    <w:rsid w:val="006C2E4A"/>
    <w:rsid w:val="006C3477"/>
    <w:rsid w:val="006C44BF"/>
    <w:rsid w:val="006C4F63"/>
    <w:rsid w:val="006C518B"/>
    <w:rsid w:val="006C560C"/>
    <w:rsid w:val="006C5CDD"/>
    <w:rsid w:val="006C7292"/>
    <w:rsid w:val="006C7D5B"/>
    <w:rsid w:val="006D0754"/>
    <w:rsid w:val="006D084E"/>
    <w:rsid w:val="006D153C"/>
    <w:rsid w:val="006D16D7"/>
    <w:rsid w:val="006D2555"/>
    <w:rsid w:val="006D283C"/>
    <w:rsid w:val="006D409D"/>
    <w:rsid w:val="006D464A"/>
    <w:rsid w:val="006D6403"/>
    <w:rsid w:val="006D6536"/>
    <w:rsid w:val="006D6A84"/>
    <w:rsid w:val="006D7C73"/>
    <w:rsid w:val="006E0D58"/>
    <w:rsid w:val="006E16B0"/>
    <w:rsid w:val="006E22AA"/>
    <w:rsid w:val="006E22E5"/>
    <w:rsid w:val="006E266D"/>
    <w:rsid w:val="006E2CDC"/>
    <w:rsid w:val="006E3DB7"/>
    <w:rsid w:val="006E56F9"/>
    <w:rsid w:val="006E58AD"/>
    <w:rsid w:val="006E60A0"/>
    <w:rsid w:val="006E63E5"/>
    <w:rsid w:val="006E6461"/>
    <w:rsid w:val="006E6B7F"/>
    <w:rsid w:val="006E6BEA"/>
    <w:rsid w:val="006E6F87"/>
    <w:rsid w:val="006E7AC6"/>
    <w:rsid w:val="006E7B1A"/>
    <w:rsid w:val="006E7F9C"/>
    <w:rsid w:val="006F0876"/>
    <w:rsid w:val="006F10B3"/>
    <w:rsid w:val="006F1539"/>
    <w:rsid w:val="006F17F1"/>
    <w:rsid w:val="006F18D6"/>
    <w:rsid w:val="006F19B5"/>
    <w:rsid w:val="006F21CC"/>
    <w:rsid w:val="006F2366"/>
    <w:rsid w:val="006F2DA1"/>
    <w:rsid w:val="006F2F8F"/>
    <w:rsid w:val="006F3FE0"/>
    <w:rsid w:val="006F42FD"/>
    <w:rsid w:val="006F4863"/>
    <w:rsid w:val="006F5350"/>
    <w:rsid w:val="006F57F8"/>
    <w:rsid w:val="006F5979"/>
    <w:rsid w:val="006F5C39"/>
    <w:rsid w:val="006F6ABD"/>
    <w:rsid w:val="006F6AD8"/>
    <w:rsid w:val="006F6D34"/>
    <w:rsid w:val="006F798A"/>
    <w:rsid w:val="006F7A8B"/>
    <w:rsid w:val="006F7D7D"/>
    <w:rsid w:val="0070010D"/>
    <w:rsid w:val="00702043"/>
    <w:rsid w:val="00703002"/>
    <w:rsid w:val="00703D48"/>
    <w:rsid w:val="00703EC3"/>
    <w:rsid w:val="0070557F"/>
    <w:rsid w:val="00705798"/>
    <w:rsid w:val="0070636E"/>
    <w:rsid w:val="00706812"/>
    <w:rsid w:val="0070744C"/>
    <w:rsid w:val="007075F2"/>
    <w:rsid w:val="00707D7F"/>
    <w:rsid w:val="00710381"/>
    <w:rsid w:val="007104EA"/>
    <w:rsid w:val="007126BB"/>
    <w:rsid w:val="00712913"/>
    <w:rsid w:val="00712B17"/>
    <w:rsid w:val="00712E2D"/>
    <w:rsid w:val="00714F3E"/>
    <w:rsid w:val="00715194"/>
    <w:rsid w:val="007151D9"/>
    <w:rsid w:val="0071566C"/>
    <w:rsid w:val="0071570C"/>
    <w:rsid w:val="00715F19"/>
    <w:rsid w:val="007165FE"/>
    <w:rsid w:val="00716628"/>
    <w:rsid w:val="00716D16"/>
    <w:rsid w:val="007172C6"/>
    <w:rsid w:val="007205B5"/>
    <w:rsid w:val="007207C2"/>
    <w:rsid w:val="0072080A"/>
    <w:rsid w:val="007208DD"/>
    <w:rsid w:val="00720C41"/>
    <w:rsid w:val="00721D0A"/>
    <w:rsid w:val="00721FC8"/>
    <w:rsid w:val="00724433"/>
    <w:rsid w:val="007253CD"/>
    <w:rsid w:val="007260E1"/>
    <w:rsid w:val="00726DAC"/>
    <w:rsid w:val="007275A6"/>
    <w:rsid w:val="00727CAF"/>
    <w:rsid w:val="007304DB"/>
    <w:rsid w:val="007310CF"/>
    <w:rsid w:val="007313B6"/>
    <w:rsid w:val="00731C6B"/>
    <w:rsid w:val="0073300B"/>
    <w:rsid w:val="00733534"/>
    <w:rsid w:val="0073397D"/>
    <w:rsid w:val="00733E67"/>
    <w:rsid w:val="007345B2"/>
    <w:rsid w:val="00734D43"/>
    <w:rsid w:val="007355AD"/>
    <w:rsid w:val="00735B3D"/>
    <w:rsid w:val="00736602"/>
    <w:rsid w:val="0073689D"/>
    <w:rsid w:val="0073697E"/>
    <w:rsid w:val="007375EE"/>
    <w:rsid w:val="00737FF9"/>
    <w:rsid w:val="007409BC"/>
    <w:rsid w:val="00740E6C"/>
    <w:rsid w:val="00741637"/>
    <w:rsid w:val="0074214D"/>
    <w:rsid w:val="0074294D"/>
    <w:rsid w:val="00742F8C"/>
    <w:rsid w:val="00742FFA"/>
    <w:rsid w:val="007435DD"/>
    <w:rsid w:val="0074390C"/>
    <w:rsid w:val="007445D1"/>
    <w:rsid w:val="0074471F"/>
    <w:rsid w:val="00744F04"/>
    <w:rsid w:val="0074564A"/>
    <w:rsid w:val="007456C9"/>
    <w:rsid w:val="0074645A"/>
    <w:rsid w:val="007465DB"/>
    <w:rsid w:val="00746971"/>
    <w:rsid w:val="007476B3"/>
    <w:rsid w:val="007476C3"/>
    <w:rsid w:val="007509D1"/>
    <w:rsid w:val="00750BD4"/>
    <w:rsid w:val="007517CC"/>
    <w:rsid w:val="00751888"/>
    <w:rsid w:val="00751B1B"/>
    <w:rsid w:val="007520A6"/>
    <w:rsid w:val="0075225E"/>
    <w:rsid w:val="007523D8"/>
    <w:rsid w:val="0075339A"/>
    <w:rsid w:val="00753551"/>
    <w:rsid w:val="00754BEB"/>
    <w:rsid w:val="007554E5"/>
    <w:rsid w:val="007562AE"/>
    <w:rsid w:val="00756A41"/>
    <w:rsid w:val="00757280"/>
    <w:rsid w:val="007604BB"/>
    <w:rsid w:val="00760755"/>
    <w:rsid w:val="0076112E"/>
    <w:rsid w:val="00761510"/>
    <w:rsid w:val="0076260D"/>
    <w:rsid w:val="00762B45"/>
    <w:rsid w:val="00762D63"/>
    <w:rsid w:val="0076342A"/>
    <w:rsid w:val="00764421"/>
    <w:rsid w:val="00764709"/>
    <w:rsid w:val="00764B7D"/>
    <w:rsid w:val="00764C5C"/>
    <w:rsid w:val="007650A2"/>
    <w:rsid w:val="0076518E"/>
    <w:rsid w:val="007653F9"/>
    <w:rsid w:val="0076569A"/>
    <w:rsid w:val="00765BC7"/>
    <w:rsid w:val="00767076"/>
    <w:rsid w:val="007673DB"/>
    <w:rsid w:val="0076773F"/>
    <w:rsid w:val="00767B6B"/>
    <w:rsid w:val="00770518"/>
    <w:rsid w:val="0077053C"/>
    <w:rsid w:val="0077063D"/>
    <w:rsid w:val="0077066A"/>
    <w:rsid w:val="00770AA4"/>
    <w:rsid w:val="00770E7E"/>
    <w:rsid w:val="00770ED2"/>
    <w:rsid w:val="00771F16"/>
    <w:rsid w:val="00771F40"/>
    <w:rsid w:val="0077209E"/>
    <w:rsid w:val="00773828"/>
    <w:rsid w:val="00773AAC"/>
    <w:rsid w:val="00773BAA"/>
    <w:rsid w:val="007740B6"/>
    <w:rsid w:val="00774D55"/>
    <w:rsid w:val="00774DAB"/>
    <w:rsid w:val="00775327"/>
    <w:rsid w:val="00775363"/>
    <w:rsid w:val="00776995"/>
    <w:rsid w:val="007775B7"/>
    <w:rsid w:val="007775D3"/>
    <w:rsid w:val="007776D9"/>
    <w:rsid w:val="0077772F"/>
    <w:rsid w:val="00777D58"/>
    <w:rsid w:val="007805BF"/>
    <w:rsid w:val="007807F8"/>
    <w:rsid w:val="00780CD7"/>
    <w:rsid w:val="00781234"/>
    <w:rsid w:val="0078194E"/>
    <w:rsid w:val="00782E57"/>
    <w:rsid w:val="00783234"/>
    <w:rsid w:val="0078375D"/>
    <w:rsid w:val="00783B24"/>
    <w:rsid w:val="00783C6F"/>
    <w:rsid w:val="00783ECE"/>
    <w:rsid w:val="007848F3"/>
    <w:rsid w:val="0078509B"/>
    <w:rsid w:val="0078545B"/>
    <w:rsid w:val="0078617B"/>
    <w:rsid w:val="00786455"/>
    <w:rsid w:val="007866E3"/>
    <w:rsid w:val="00786A72"/>
    <w:rsid w:val="00786C76"/>
    <w:rsid w:val="007877F1"/>
    <w:rsid w:val="00787D88"/>
    <w:rsid w:val="00790313"/>
    <w:rsid w:val="0079044E"/>
    <w:rsid w:val="00790C3C"/>
    <w:rsid w:val="00791093"/>
    <w:rsid w:val="007912E4"/>
    <w:rsid w:val="007919C1"/>
    <w:rsid w:val="00792038"/>
    <w:rsid w:val="00792116"/>
    <w:rsid w:val="00792926"/>
    <w:rsid w:val="0079296E"/>
    <w:rsid w:val="00793C5D"/>
    <w:rsid w:val="0079532A"/>
    <w:rsid w:val="00795679"/>
    <w:rsid w:val="0079568E"/>
    <w:rsid w:val="007957C8"/>
    <w:rsid w:val="00795AF2"/>
    <w:rsid w:val="00796022"/>
    <w:rsid w:val="00796365"/>
    <w:rsid w:val="007965A7"/>
    <w:rsid w:val="00796BEF"/>
    <w:rsid w:val="00796DF1"/>
    <w:rsid w:val="00797FF7"/>
    <w:rsid w:val="007A0110"/>
    <w:rsid w:val="007A03C3"/>
    <w:rsid w:val="007A0FE9"/>
    <w:rsid w:val="007A2264"/>
    <w:rsid w:val="007A23B8"/>
    <w:rsid w:val="007A2CF8"/>
    <w:rsid w:val="007A4387"/>
    <w:rsid w:val="007A5283"/>
    <w:rsid w:val="007A5662"/>
    <w:rsid w:val="007A56D8"/>
    <w:rsid w:val="007A58CC"/>
    <w:rsid w:val="007A5EF1"/>
    <w:rsid w:val="007A68BF"/>
    <w:rsid w:val="007A6A60"/>
    <w:rsid w:val="007A6A62"/>
    <w:rsid w:val="007A6CF8"/>
    <w:rsid w:val="007A6D85"/>
    <w:rsid w:val="007A6DA2"/>
    <w:rsid w:val="007A7978"/>
    <w:rsid w:val="007B01C5"/>
    <w:rsid w:val="007B08B4"/>
    <w:rsid w:val="007B0C92"/>
    <w:rsid w:val="007B2049"/>
    <w:rsid w:val="007B2E55"/>
    <w:rsid w:val="007B3AE1"/>
    <w:rsid w:val="007B4AAC"/>
    <w:rsid w:val="007B4DA9"/>
    <w:rsid w:val="007B51FF"/>
    <w:rsid w:val="007C059F"/>
    <w:rsid w:val="007C0824"/>
    <w:rsid w:val="007C13B6"/>
    <w:rsid w:val="007C160E"/>
    <w:rsid w:val="007C28FF"/>
    <w:rsid w:val="007C3EF7"/>
    <w:rsid w:val="007C4B00"/>
    <w:rsid w:val="007C4CB7"/>
    <w:rsid w:val="007C5059"/>
    <w:rsid w:val="007C7186"/>
    <w:rsid w:val="007C7D6C"/>
    <w:rsid w:val="007D096E"/>
    <w:rsid w:val="007D0CB2"/>
    <w:rsid w:val="007D0EB8"/>
    <w:rsid w:val="007D24BE"/>
    <w:rsid w:val="007D25EF"/>
    <w:rsid w:val="007D2695"/>
    <w:rsid w:val="007D3333"/>
    <w:rsid w:val="007D3356"/>
    <w:rsid w:val="007D3B95"/>
    <w:rsid w:val="007D3DEA"/>
    <w:rsid w:val="007D418B"/>
    <w:rsid w:val="007D419D"/>
    <w:rsid w:val="007D448A"/>
    <w:rsid w:val="007D45BD"/>
    <w:rsid w:val="007D5F42"/>
    <w:rsid w:val="007D6B6A"/>
    <w:rsid w:val="007D6B91"/>
    <w:rsid w:val="007D7200"/>
    <w:rsid w:val="007D76DE"/>
    <w:rsid w:val="007E08D4"/>
    <w:rsid w:val="007E112E"/>
    <w:rsid w:val="007E1670"/>
    <w:rsid w:val="007E1F03"/>
    <w:rsid w:val="007E20E6"/>
    <w:rsid w:val="007E2DF9"/>
    <w:rsid w:val="007E328F"/>
    <w:rsid w:val="007E3927"/>
    <w:rsid w:val="007E3BE1"/>
    <w:rsid w:val="007E40E6"/>
    <w:rsid w:val="007E410A"/>
    <w:rsid w:val="007E47DC"/>
    <w:rsid w:val="007E47EE"/>
    <w:rsid w:val="007E5791"/>
    <w:rsid w:val="007E66A3"/>
    <w:rsid w:val="007E6D58"/>
    <w:rsid w:val="007E7440"/>
    <w:rsid w:val="007E7875"/>
    <w:rsid w:val="007F0CE2"/>
    <w:rsid w:val="007F182D"/>
    <w:rsid w:val="007F1E92"/>
    <w:rsid w:val="007F1F75"/>
    <w:rsid w:val="007F2023"/>
    <w:rsid w:val="007F2182"/>
    <w:rsid w:val="007F2D87"/>
    <w:rsid w:val="007F31D0"/>
    <w:rsid w:val="007F34A7"/>
    <w:rsid w:val="007F360A"/>
    <w:rsid w:val="007F3B07"/>
    <w:rsid w:val="007F3FCB"/>
    <w:rsid w:val="007F4022"/>
    <w:rsid w:val="007F405F"/>
    <w:rsid w:val="007F4BC3"/>
    <w:rsid w:val="007F522D"/>
    <w:rsid w:val="007F5769"/>
    <w:rsid w:val="007F6613"/>
    <w:rsid w:val="007F6D43"/>
    <w:rsid w:val="007F79AD"/>
    <w:rsid w:val="00800AF0"/>
    <w:rsid w:val="0080182C"/>
    <w:rsid w:val="00801A96"/>
    <w:rsid w:val="008023D8"/>
    <w:rsid w:val="008025CC"/>
    <w:rsid w:val="00803130"/>
    <w:rsid w:val="008034D5"/>
    <w:rsid w:val="008035F6"/>
    <w:rsid w:val="00803F06"/>
    <w:rsid w:val="00803FD7"/>
    <w:rsid w:val="0080430D"/>
    <w:rsid w:val="00804402"/>
    <w:rsid w:val="00805ED2"/>
    <w:rsid w:val="00805F7C"/>
    <w:rsid w:val="0080622C"/>
    <w:rsid w:val="0080699B"/>
    <w:rsid w:val="00806A22"/>
    <w:rsid w:val="00807556"/>
    <w:rsid w:val="0081080E"/>
    <w:rsid w:val="0081093E"/>
    <w:rsid w:val="008109D5"/>
    <w:rsid w:val="00810EF4"/>
    <w:rsid w:val="00811C17"/>
    <w:rsid w:val="00811D4A"/>
    <w:rsid w:val="008135DF"/>
    <w:rsid w:val="0081388D"/>
    <w:rsid w:val="0081472D"/>
    <w:rsid w:val="00814779"/>
    <w:rsid w:val="00814C3C"/>
    <w:rsid w:val="0081560B"/>
    <w:rsid w:val="008156CB"/>
    <w:rsid w:val="0081649B"/>
    <w:rsid w:val="00816593"/>
    <w:rsid w:val="00817680"/>
    <w:rsid w:val="00817B99"/>
    <w:rsid w:val="00817EDA"/>
    <w:rsid w:val="00820CA5"/>
    <w:rsid w:val="00821558"/>
    <w:rsid w:val="00821849"/>
    <w:rsid w:val="008219BB"/>
    <w:rsid w:val="00821B8F"/>
    <w:rsid w:val="00822F8A"/>
    <w:rsid w:val="00824799"/>
    <w:rsid w:val="00824E48"/>
    <w:rsid w:val="00825655"/>
    <w:rsid w:val="00825D38"/>
    <w:rsid w:val="00826E3A"/>
    <w:rsid w:val="00826EF7"/>
    <w:rsid w:val="0083052A"/>
    <w:rsid w:val="00830AA2"/>
    <w:rsid w:val="00830F5C"/>
    <w:rsid w:val="0083122C"/>
    <w:rsid w:val="0083124A"/>
    <w:rsid w:val="008316FD"/>
    <w:rsid w:val="0083284E"/>
    <w:rsid w:val="00832B9E"/>
    <w:rsid w:val="0083325E"/>
    <w:rsid w:val="00833628"/>
    <w:rsid w:val="00833A0E"/>
    <w:rsid w:val="00833FEB"/>
    <w:rsid w:val="0083505D"/>
    <w:rsid w:val="008352B6"/>
    <w:rsid w:val="008357D8"/>
    <w:rsid w:val="00836072"/>
    <w:rsid w:val="00836399"/>
    <w:rsid w:val="0083740D"/>
    <w:rsid w:val="00837893"/>
    <w:rsid w:val="00837BE0"/>
    <w:rsid w:val="00837DC7"/>
    <w:rsid w:val="00837F8B"/>
    <w:rsid w:val="00840886"/>
    <w:rsid w:val="0084196A"/>
    <w:rsid w:val="00842710"/>
    <w:rsid w:val="008428D8"/>
    <w:rsid w:val="008450A3"/>
    <w:rsid w:val="00846AF0"/>
    <w:rsid w:val="00846E40"/>
    <w:rsid w:val="008474A0"/>
    <w:rsid w:val="0084790D"/>
    <w:rsid w:val="00847C7B"/>
    <w:rsid w:val="0085236B"/>
    <w:rsid w:val="00852531"/>
    <w:rsid w:val="00852A5B"/>
    <w:rsid w:val="00852CE1"/>
    <w:rsid w:val="00853542"/>
    <w:rsid w:val="00853CE8"/>
    <w:rsid w:val="00853D6F"/>
    <w:rsid w:val="00853F89"/>
    <w:rsid w:val="00854143"/>
    <w:rsid w:val="00855223"/>
    <w:rsid w:val="00856828"/>
    <w:rsid w:val="00857D7A"/>
    <w:rsid w:val="0086052E"/>
    <w:rsid w:val="008606DE"/>
    <w:rsid w:val="00860B2A"/>
    <w:rsid w:val="00860F5F"/>
    <w:rsid w:val="00861A13"/>
    <w:rsid w:val="0086286F"/>
    <w:rsid w:val="00862D19"/>
    <w:rsid w:val="0086361B"/>
    <w:rsid w:val="00865B29"/>
    <w:rsid w:val="00865F61"/>
    <w:rsid w:val="008661C2"/>
    <w:rsid w:val="008671E6"/>
    <w:rsid w:val="0086777D"/>
    <w:rsid w:val="00867BDE"/>
    <w:rsid w:val="008711FC"/>
    <w:rsid w:val="00871471"/>
    <w:rsid w:val="00871D3A"/>
    <w:rsid w:val="008726E7"/>
    <w:rsid w:val="008732FC"/>
    <w:rsid w:val="00873758"/>
    <w:rsid w:val="0087413A"/>
    <w:rsid w:val="008750A1"/>
    <w:rsid w:val="008751A9"/>
    <w:rsid w:val="00875350"/>
    <w:rsid w:val="00875E79"/>
    <w:rsid w:val="008760EE"/>
    <w:rsid w:val="00876157"/>
    <w:rsid w:val="00876394"/>
    <w:rsid w:val="0087706C"/>
    <w:rsid w:val="00877CBE"/>
    <w:rsid w:val="00880043"/>
    <w:rsid w:val="00880175"/>
    <w:rsid w:val="0088077F"/>
    <w:rsid w:val="00880F7A"/>
    <w:rsid w:val="008811BA"/>
    <w:rsid w:val="00881593"/>
    <w:rsid w:val="00881E1F"/>
    <w:rsid w:val="008821D3"/>
    <w:rsid w:val="00882383"/>
    <w:rsid w:val="00882B56"/>
    <w:rsid w:val="00882E73"/>
    <w:rsid w:val="00883123"/>
    <w:rsid w:val="00883CBC"/>
    <w:rsid w:val="00883E69"/>
    <w:rsid w:val="0088422B"/>
    <w:rsid w:val="008844D8"/>
    <w:rsid w:val="00884999"/>
    <w:rsid w:val="00884AC7"/>
    <w:rsid w:val="008856B9"/>
    <w:rsid w:val="00886268"/>
    <w:rsid w:val="008873AE"/>
    <w:rsid w:val="008873BC"/>
    <w:rsid w:val="00887E6C"/>
    <w:rsid w:val="008901AF"/>
    <w:rsid w:val="00890571"/>
    <w:rsid w:val="008908F7"/>
    <w:rsid w:val="00890CFE"/>
    <w:rsid w:val="008914F5"/>
    <w:rsid w:val="00891E8D"/>
    <w:rsid w:val="008926E0"/>
    <w:rsid w:val="0089525C"/>
    <w:rsid w:val="00895EAE"/>
    <w:rsid w:val="0089631A"/>
    <w:rsid w:val="008976D5"/>
    <w:rsid w:val="00897BBE"/>
    <w:rsid w:val="008A0102"/>
    <w:rsid w:val="008A04C9"/>
    <w:rsid w:val="008A05BF"/>
    <w:rsid w:val="008A0D4F"/>
    <w:rsid w:val="008A10BD"/>
    <w:rsid w:val="008A1EC9"/>
    <w:rsid w:val="008A21E8"/>
    <w:rsid w:val="008A275C"/>
    <w:rsid w:val="008A283D"/>
    <w:rsid w:val="008A2B0A"/>
    <w:rsid w:val="008A3327"/>
    <w:rsid w:val="008A348A"/>
    <w:rsid w:val="008A469D"/>
    <w:rsid w:val="008A4DE7"/>
    <w:rsid w:val="008A4F2A"/>
    <w:rsid w:val="008A52B5"/>
    <w:rsid w:val="008A533F"/>
    <w:rsid w:val="008A56DD"/>
    <w:rsid w:val="008A5C36"/>
    <w:rsid w:val="008A791A"/>
    <w:rsid w:val="008A79FC"/>
    <w:rsid w:val="008B0392"/>
    <w:rsid w:val="008B092C"/>
    <w:rsid w:val="008B1698"/>
    <w:rsid w:val="008B35C5"/>
    <w:rsid w:val="008B36B1"/>
    <w:rsid w:val="008B3ABF"/>
    <w:rsid w:val="008B3B31"/>
    <w:rsid w:val="008B672B"/>
    <w:rsid w:val="008B6920"/>
    <w:rsid w:val="008B7017"/>
    <w:rsid w:val="008B72E0"/>
    <w:rsid w:val="008C0008"/>
    <w:rsid w:val="008C0620"/>
    <w:rsid w:val="008C0921"/>
    <w:rsid w:val="008C1029"/>
    <w:rsid w:val="008C111A"/>
    <w:rsid w:val="008C2339"/>
    <w:rsid w:val="008C235D"/>
    <w:rsid w:val="008C36F0"/>
    <w:rsid w:val="008C469F"/>
    <w:rsid w:val="008C471F"/>
    <w:rsid w:val="008C4A37"/>
    <w:rsid w:val="008C5171"/>
    <w:rsid w:val="008C5235"/>
    <w:rsid w:val="008C5BCB"/>
    <w:rsid w:val="008C6AAB"/>
    <w:rsid w:val="008C73E3"/>
    <w:rsid w:val="008C757B"/>
    <w:rsid w:val="008D04CB"/>
    <w:rsid w:val="008D065C"/>
    <w:rsid w:val="008D0CCB"/>
    <w:rsid w:val="008D15B3"/>
    <w:rsid w:val="008D20C6"/>
    <w:rsid w:val="008D332B"/>
    <w:rsid w:val="008D33BB"/>
    <w:rsid w:val="008D344F"/>
    <w:rsid w:val="008D4383"/>
    <w:rsid w:val="008D4815"/>
    <w:rsid w:val="008D5E72"/>
    <w:rsid w:val="008D60A6"/>
    <w:rsid w:val="008D6D4D"/>
    <w:rsid w:val="008E0392"/>
    <w:rsid w:val="008E08F9"/>
    <w:rsid w:val="008E0BDF"/>
    <w:rsid w:val="008E0C6E"/>
    <w:rsid w:val="008E0FF6"/>
    <w:rsid w:val="008E1A2B"/>
    <w:rsid w:val="008E2CA3"/>
    <w:rsid w:val="008E2F59"/>
    <w:rsid w:val="008E2F64"/>
    <w:rsid w:val="008E2FD0"/>
    <w:rsid w:val="008E307E"/>
    <w:rsid w:val="008E3BB0"/>
    <w:rsid w:val="008E4101"/>
    <w:rsid w:val="008E4446"/>
    <w:rsid w:val="008E4FB8"/>
    <w:rsid w:val="008E5DC2"/>
    <w:rsid w:val="008E6304"/>
    <w:rsid w:val="008E6CF1"/>
    <w:rsid w:val="008F023E"/>
    <w:rsid w:val="008F120B"/>
    <w:rsid w:val="008F1276"/>
    <w:rsid w:val="008F12E8"/>
    <w:rsid w:val="008F236C"/>
    <w:rsid w:val="008F2806"/>
    <w:rsid w:val="008F287F"/>
    <w:rsid w:val="008F2D37"/>
    <w:rsid w:val="008F3012"/>
    <w:rsid w:val="008F3279"/>
    <w:rsid w:val="008F5EF5"/>
    <w:rsid w:val="008F5F5E"/>
    <w:rsid w:val="008F6826"/>
    <w:rsid w:val="008F6961"/>
    <w:rsid w:val="008F6AE3"/>
    <w:rsid w:val="0090137A"/>
    <w:rsid w:val="00901391"/>
    <w:rsid w:val="00902D71"/>
    <w:rsid w:val="00904E13"/>
    <w:rsid w:val="00904E19"/>
    <w:rsid w:val="00904EEB"/>
    <w:rsid w:val="00905595"/>
    <w:rsid w:val="009059D4"/>
    <w:rsid w:val="00907A92"/>
    <w:rsid w:val="00911A0F"/>
    <w:rsid w:val="00911DF3"/>
    <w:rsid w:val="00911EA8"/>
    <w:rsid w:val="0091283B"/>
    <w:rsid w:val="00912EBD"/>
    <w:rsid w:val="00913D28"/>
    <w:rsid w:val="00913E2A"/>
    <w:rsid w:val="00913E65"/>
    <w:rsid w:val="0091405B"/>
    <w:rsid w:val="00914422"/>
    <w:rsid w:val="00914F13"/>
    <w:rsid w:val="00914F72"/>
    <w:rsid w:val="00915C4E"/>
    <w:rsid w:val="009162BA"/>
    <w:rsid w:val="0091631A"/>
    <w:rsid w:val="00916708"/>
    <w:rsid w:val="00916920"/>
    <w:rsid w:val="0091693F"/>
    <w:rsid w:val="00916B77"/>
    <w:rsid w:val="00917892"/>
    <w:rsid w:val="009203D9"/>
    <w:rsid w:val="00920652"/>
    <w:rsid w:val="00920F34"/>
    <w:rsid w:val="009213DC"/>
    <w:rsid w:val="00921C4F"/>
    <w:rsid w:val="00922301"/>
    <w:rsid w:val="00922830"/>
    <w:rsid w:val="00923ED7"/>
    <w:rsid w:val="00924BBF"/>
    <w:rsid w:val="00924CEF"/>
    <w:rsid w:val="009250FB"/>
    <w:rsid w:val="009255C8"/>
    <w:rsid w:val="0092563F"/>
    <w:rsid w:val="00925FA5"/>
    <w:rsid w:val="00926250"/>
    <w:rsid w:val="0092626A"/>
    <w:rsid w:val="0092628C"/>
    <w:rsid w:val="00926C31"/>
    <w:rsid w:val="00926F38"/>
    <w:rsid w:val="009274C5"/>
    <w:rsid w:val="009302E0"/>
    <w:rsid w:val="009308B2"/>
    <w:rsid w:val="00930CEC"/>
    <w:rsid w:val="009312DE"/>
    <w:rsid w:val="009320E7"/>
    <w:rsid w:val="0093253A"/>
    <w:rsid w:val="009328F2"/>
    <w:rsid w:val="00933992"/>
    <w:rsid w:val="00934037"/>
    <w:rsid w:val="009355F2"/>
    <w:rsid w:val="009358C3"/>
    <w:rsid w:val="00935C80"/>
    <w:rsid w:val="00936447"/>
    <w:rsid w:val="0093677D"/>
    <w:rsid w:val="00936CDF"/>
    <w:rsid w:val="00936FA8"/>
    <w:rsid w:val="009372BA"/>
    <w:rsid w:val="00937DE8"/>
    <w:rsid w:val="00937E25"/>
    <w:rsid w:val="009409E6"/>
    <w:rsid w:val="00941DFE"/>
    <w:rsid w:val="009429F9"/>
    <w:rsid w:val="009432FE"/>
    <w:rsid w:val="00943870"/>
    <w:rsid w:val="00943C41"/>
    <w:rsid w:val="00943D22"/>
    <w:rsid w:val="009449CC"/>
    <w:rsid w:val="0094524D"/>
    <w:rsid w:val="0094626E"/>
    <w:rsid w:val="009463DE"/>
    <w:rsid w:val="009464DC"/>
    <w:rsid w:val="00946685"/>
    <w:rsid w:val="009500DA"/>
    <w:rsid w:val="009513EE"/>
    <w:rsid w:val="00952230"/>
    <w:rsid w:val="009526DF"/>
    <w:rsid w:val="00952AA8"/>
    <w:rsid w:val="0095415B"/>
    <w:rsid w:val="009554D5"/>
    <w:rsid w:val="00955D2A"/>
    <w:rsid w:val="0095635B"/>
    <w:rsid w:val="00956569"/>
    <w:rsid w:val="00956D39"/>
    <w:rsid w:val="00957189"/>
    <w:rsid w:val="00957476"/>
    <w:rsid w:val="0095752A"/>
    <w:rsid w:val="009579C2"/>
    <w:rsid w:val="00957BF5"/>
    <w:rsid w:val="00957E2A"/>
    <w:rsid w:val="009608A3"/>
    <w:rsid w:val="00960E59"/>
    <w:rsid w:val="009613C1"/>
    <w:rsid w:val="009613D5"/>
    <w:rsid w:val="00961654"/>
    <w:rsid w:val="00961BF8"/>
    <w:rsid w:val="00961C27"/>
    <w:rsid w:val="00961F18"/>
    <w:rsid w:val="0096204A"/>
    <w:rsid w:val="00962203"/>
    <w:rsid w:val="0096247B"/>
    <w:rsid w:val="0096292F"/>
    <w:rsid w:val="00963A93"/>
    <w:rsid w:val="00963E46"/>
    <w:rsid w:val="00964748"/>
    <w:rsid w:val="009655A3"/>
    <w:rsid w:val="0096628C"/>
    <w:rsid w:val="00966DEC"/>
    <w:rsid w:val="00967003"/>
    <w:rsid w:val="009670A8"/>
    <w:rsid w:val="00967463"/>
    <w:rsid w:val="00970400"/>
    <w:rsid w:val="0097053C"/>
    <w:rsid w:val="00970585"/>
    <w:rsid w:val="0097094D"/>
    <w:rsid w:val="00970B58"/>
    <w:rsid w:val="00970BDD"/>
    <w:rsid w:val="00971212"/>
    <w:rsid w:val="0097124B"/>
    <w:rsid w:val="00971777"/>
    <w:rsid w:val="009717A1"/>
    <w:rsid w:val="00972681"/>
    <w:rsid w:val="00972AD9"/>
    <w:rsid w:val="00973547"/>
    <w:rsid w:val="00973A13"/>
    <w:rsid w:val="009744F8"/>
    <w:rsid w:val="00974707"/>
    <w:rsid w:val="00974BA4"/>
    <w:rsid w:val="00974FAE"/>
    <w:rsid w:val="00975149"/>
    <w:rsid w:val="009762FA"/>
    <w:rsid w:val="009766A2"/>
    <w:rsid w:val="009767E8"/>
    <w:rsid w:val="00976E49"/>
    <w:rsid w:val="00977B46"/>
    <w:rsid w:val="009800B2"/>
    <w:rsid w:val="009809D9"/>
    <w:rsid w:val="00980B17"/>
    <w:rsid w:val="00980C23"/>
    <w:rsid w:val="0098143C"/>
    <w:rsid w:val="0098208F"/>
    <w:rsid w:val="00982C77"/>
    <w:rsid w:val="00983B91"/>
    <w:rsid w:val="00983FD4"/>
    <w:rsid w:val="00984436"/>
    <w:rsid w:val="009848DF"/>
    <w:rsid w:val="00985397"/>
    <w:rsid w:val="0098547C"/>
    <w:rsid w:val="00985735"/>
    <w:rsid w:val="009857B0"/>
    <w:rsid w:val="009863B6"/>
    <w:rsid w:val="009864D4"/>
    <w:rsid w:val="00987544"/>
    <w:rsid w:val="00990005"/>
    <w:rsid w:val="00991AE4"/>
    <w:rsid w:val="00991D1F"/>
    <w:rsid w:val="00992ABA"/>
    <w:rsid w:val="00993A0D"/>
    <w:rsid w:val="00993A27"/>
    <w:rsid w:val="00993F71"/>
    <w:rsid w:val="009941D6"/>
    <w:rsid w:val="009942F8"/>
    <w:rsid w:val="0099436E"/>
    <w:rsid w:val="00995708"/>
    <w:rsid w:val="00995E1A"/>
    <w:rsid w:val="009967E7"/>
    <w:rsid w:val="00996ED6"/>
    <w:rsid w:val="00997E8F"/>
    <w:rsid w:val="009A1204"/>
    <w:rsid w:val="009A1F7E"/>
    <w:rsid w:val="009A226A"/>
    <w:rsid w:val="009A26C2"/>
    <w:rsid w:val="009A29B0"/>
    <w:rsid w:val="009A2BA2"/>
    <w:rsid w:val="009A2E53"/>
    <w:rsid w:val="009A33F6"/>
    <w:rsid w:val="009A380D"/>
    <w:rsid w:val="009A38E6"/>
    <w:rsid w:val="009A3BE7"/>
    <w:rsid w:val="009A46A2"/>
    <w:rsid w:val="009A4C0C"/>
    <w:rsid w:val="009A534F"/>
    <w:rsid w:val="009A59EE"/>
    <w:rsid w:val="009A5F0A"/>
    <w:rsid w:val="009A621C"/>
    <w:rsid w:val="009A669D"/>
    <w:rsid w:val="009A73AA"/>
    <w:rsid w:val="009A7A73"/>
    <w:rsid w:val="009B01A0"/>
    <w:rsid w:val="009B26F5"/>
    <w:rsid w:val="009B33A1"/>
    <w:rsid w:val="009B3405"/>
    <w:rsid w:val="009B378F"/>
    <w:rsid w:val="009B3B3F"/>
    <w:rsid w:val="009B4874"/>
    <w:rsid w:val="009B4F58"/>
    <w:rsid w:val="009B53BB"/>
    <w:rsid w:val="009B53DD"/>
    <w:rsid w:val="009B54B5"/>
    <w:rsid w:val="009B6FEE"/>
    <w:rsid w:val="009B7042"/>
    <w:rsid w:val="009B73B0"/>
    <w:rsid w:val="009B7CDC"/>
    <w:rsid w:val="009C0C99"/>
    <w:rsid w:val="009C11E1"/>
    <w:rsid w:val="009C159F"/>
    <w:rsid w:val="009C1CF6"/>
    <w:rsid w:val="009C1EA1"/>
    <w:rsid w:val="009C2AAB"/>
    <w:rsid w:val="009C503C"/>
    <w:rsid w:val="009C53DA"/>
    <w:rsid w:val="009C5BD0"/>
    <w:rsid w:val="009C6B1E"/>
    <w:rsid w:val="009C76B4"/>
    <w:rsid w:val="009C76BD"/>
    <w:rsid w:val="009C7D2E"/>
    <w:rsid w:val="009C7E18"/>
    <w:rsid w:val="009D1521"/>
    <w:rsid w:val="009D1D43"/>
    <w:rsid w:val="009D21E2"/>
    <w:rsid w:val="009D2951"/>
    <w:rsid w:val="009D29E9"/>
    <w:rsid w:val="009D3728"/>
    <w:rsid w:val="009D3844"/>
    <w:rsid w:val="009D3BCA"/>
    <w:rsid w:val="009D4266"/>
    <w:rsid w:val="009D49E5"/>
    <w:rsid w:val="009D4C56"/>
    <w:rsid w:val="009D4D5E"/>
    <w:rsid w:val="009D4ED2"/>
    <w:rsid w:val="009D623A"/>
    <w:rsid w:val="009D6C76"/>
    <w:rsid w:val="009D73F7"/>
    <w:rsid w:val="009D78CF"/>
    <w:rsid w:val="009E03C3"/>
    <w:rsid w:val="009E0737"/>
    <w:rsid w:val="009E12DB"/>
    <w:rsid w:val="009E1C05"/>
    <w:rsid w:val="009E215E"/>
    <w:rsid w:val="009E2F39"/>
    <w:rsid w:val="009E3B7F"/>
    <w:rsid w:val="009E3C50"/>
    <w:rsid w:val="009E3CB6"/>
    <w:rsid w:val="009E425F"/>
    <w:rsid w:val="009E44F0"/>
    <w:rsid w:val="009E4664"/>
    <w:rsid w:val="009E4AA9"/>
    <w:rsid w:val="009E5435"/>
    <w:rsid w:val="009E6B9F"/>
    <w:rsid w:val="009E70C5"/>
    <w:rsid w:val="009E7933"/>
    <w:rsid w:val="009E7960"/>
    <w:rsid w:val="009F0130"/>
    <w:rsid w:val="009F05C9"/>
    <w:rsid w:val="009F0BF8"/>
    <w:rsid w:val="009F113B"/>
    <w:rsid w:val="009F11BF"/>
    <w:rsid w:val="009F121E"/>
    <w:rsid w:val="009F1796"/>
    <w:rsid w:val="009F1819"/>
    <w:rsid w:val="009F1A12"/>
    <w:rsid w:val="009F25E1"/>
    <w:rsid w:val="009F3381"/>
    <w:rsid w:val="009F3433"/>
    <w:rsid w:val="009F3A67"/>
    <w:rsid w:val="009F3A7B"/>
    <w:rsid w:val="009F440D"/>
    <w:rsid w:val="009F49C6"/>
    <w:rsid w:val="009F4B4B"/>
    <w:rsid w:val="009F5624"/>
    <w:rsid w:val="009F5976"/>
    <w:rsid w:val="009F7E3A"/>
    <w:rsid w:val="009F7F7A"/>
    <w:rsid w:val="00A00087"/>
    <w:rsid w:val="00A01205"/>
    <w:rsid w:val="00A0272C"/>
    <w:rsid w:val="00A02D37"/>
    <w:rsid w:val="00A03911"/>
    <w:rsid w:val="00A04C00"/>
    <w:rsid w:val="00A04E7A"/>
    <w:rsid w:val="00A0507C"/>
    <w:rsid w:val="00A05662"/>
    <w:rsid w:val="00A059CB"/>
    <w:rsid w:val="00A068A0"/>
    <w:rsid w:val="00A079B3"/>
    <w:rsid w:val="00A07EFB"/>
    <w:rsid w:val="00A1068A"/>
    <w:rsid w:val="00A11251"/>
    <w:rsid w:val="00A114C7"/>
    <w:rsid w:val="00A11753"/>
    <w:rsid w:val="00A1368F"/>
    <w:rsid w:val="00A145B9"/>
    <w:rsid w:val="00A15F65"/>
    <w:rsid w:val="00A16345"/>
    <w:rsid w:val="00A169EB"/>
    <w:rsid w:val="00A16BE3"/>
    <w:rsid w:val="00A16F7C"/>
    <w:rsid w:val="00A17017"/>
    <w:rsid w:val="00A174EF"/>
    <w:rsid w:val="00A203F0"/>
    <w:rsid w:val="00A20AE0"/>
    <w:rsid w:val="00A20EC7"/>
    <w:rsid w:val="00A22542"/>
    <w:rsid w:val="00A22A6E"/>
    <w:rsid w:val="00A230CE"/>
    <w:rsid w:val="00A2318A"/>
    <w:rsid w:val="00A234EB"/>
    <w:rsid w:val="00A23C9A"/>
    <w:rsid w:val="00A24250"/>
    <w:rsid w:val="00A25153"/>
    <w:rsid w:val="00A255AE"/>
    <w:rsid w:val="00A258EC"/>
    <w:rsid w:val="00A25A67"/>
    <w:rsid w:val="00A25E84"/>
    <w:rsid w:val="00A264A9"/>
    <w:rsid w:val="00A267A1"/>
    <w:rsid w:val="00A27347"/>
    <w:rsid w:val="00A301CB"/>
    <w:rsid w:val="00A3072F"/>
    <w:rsid w:val="00A3090E"/>
    <w:rsid w:val="00A30B3D"/>
    <w:rsid w:val="00A30FF8"/>
    <w:rsid w:val="00A31C6F"/>
    <w:rsid w:val="00A31F3D"/>
    <w:rsid w:val="00A33662"/>
    <w:rsid w:val="00A3382F"/>
    <w:rsid w:val="00A34133"/>
    <w:rsid w:val="00A35AFD"/>
    <w:rsid w:val="00A35D30"/>
    <w:rsid w:val="00A36C0A"/>
    <w:rsid w:val="00A37A90"/>
    <w:rsid w:val="00A402C0"/>
    <w:rsid w:val="00A402D6"/>
    <w:rsid w:val="00A40D04"/>
    <w:rsid w:val="00A4170E"/>
    <w:rsid w:val="00A4206D"/>
    <w:rsid w:val="00A4220D"/>
    <w:rsid w:val="00A436D2"/>
    <w:rsid w:val="00A43796"/>
    <w:rsid w:val="00A43D9C"/>
    <w:rsid w:val="00A43E3C"/>
    <w:rsid w:val="00A4413C"/>
    <w:rsid w:val="00A4569D"/>
    <w:rsid w:val="00A45E16"/>
    <w:rsid w:val="00A46316"/>
    <w:rsid w:val="00A46693"/>
    <w:rsid w:val="00A47F04"/>
    <w:rsid w:val="00A504FD"/>
    <w:rsid w:val="00A50A3C"/>
    <w:rsid w:val="00A50A42"/>
    <w:rsid w:val="00A50BBF"/>
    <w:rsid w:val="00A512DC"/>
    <w:rsid w:val="00A51C16"/>
    <w:rsid w:val="00A5224E"/>
    <w:rsid w:val="00A536A9"/>
    <w:rsid w:val="00A53A31"/>
    <w:rsid w:val="00A53E99"/>
    <w:rsid w:val="00A54561"/>
    <w:rsid w:val="00A54594"/>
    <w:rsid w:val="00A56ECC"/>
    <w:rsid w:val="00A57E6F"/>
    <w:rsid w:val="00A603B2"/>
    <w:rsid w:val="00A604CB"/>
    <w:rsid w:val="00A61082"/>
    <w:rsid w:val="00A613DA"/>
    <w:rsid w:val="00A61C22"/>
    <w:rsid w:val="00A629EA"/>
    <w:rsid w:val="00A62D89"/>
    <w:rsid w:val="00A630EA"/>
    <w:rsid w:val="00A639A9"/>
    <w:rsid w:val="00A63A70"/>
    <w:rsid w:val="00A64299"/>
    <w:rsid w:val="00A64958"/>
    <w:rsid w:val="00A64ACE"/>
    <w:rsid w:val="00A64E73"/>
    <w:rsid w:val="00A65015"/>
    <w:rsid w:val="00A65087"/>
    <w:rsid w:val="00A65465"/>
    <w:rsid w:val="00A65908"/>
    <w:rsid w:val="00A65B44"/>
    <w:rsid w:val="00A65B92"/>
    <w:rsid w:val="00A662FD"/>
    <w:rsid w:val="00A6681F"/>
    <w:rsid w:val="00A67AB0"/>
    <w:rsid w:val="00A67B4E"/>
    <w:rsid w:val="00A67B77"/>
    <w:rsid w:val="00A71603"/>
    <w:rsid w:val="00A73334"/>
    <w:rsid w:val="00A73583"/>
    <w:rsid w:val="00A73CE9"/>
    <w:rsid w:val="00A7416D"/>
    <w:rsid w:val="00A745CB"/>
    <w:rsid w:val="00A74C39"/>
    <w:rsid w:val="00A751B1"/>
    <w:rsid w:val="00A75320"/>
    <w:rsid w:val="00A75681"/>
    <w:rsid w:val="00A758E8"/>
    <w:rsid w:val="00A75E8C"/>
    <w:rsid w:val="00A760D8"/>
    <w:rsid w:val="00A7636B"/>
    <w:rsid w:val="00A768E6"/>
    <w:rsid w:val="00A76A6C"/>
    <w:rsid w:val="00A76C83"/>
    <w:rsid w:val="00A77992"/>
    <w:rsid w:val="00A77C3E"/>
    <w:rsid w:val="00A8016E"/>
    <w:rsid w:val="00A807C9"/>
    <w:rsid w:val="00A80885"/>
    <w:rsid w:val="00A80AA7"/>
    <w:rsid w:val="00A81246"/>
    <w:rsid w:val="00A82019"/>
    <w:rsid w:val="00A824A5"/>
    <w:rsid w:val="00A829B5"/>
    <w:rsid w:val="00A82D0D"/>
    <w:rsid w:val="00A84065"/>
    <w:rsid w:val="00A8430D"/>
    <w:rsid w:val="00A843F9"/>
    <w:rsid w:val="00A846DF"/>
    <w:rsid w:val="00A84714"/>
    <w:rsid w:val="00A84DCE"/>
    <w:rsid w:val="00A85399"/>
    <w:rsid w:val="00A85804"/>
    <w:rsid w:val="00A85B6E"/>
    <w:rsid w:val="00A8622F"/>
    <w:rsid w:val="00A90564"/>
    <w:rsid w:val="00A905FC"/>
    <w:rsid w:val="00A90D8A"/>
    <w:rsid w:val="00A915BB"/>
    <w:rsid w:val="00A91615"/>
    <w:rsid w:val="00A91D52"/>
    <w:rsid w:val="00A92328"/>
    <w:rsid w:val="00A9335A"/>
    <w:rsid w:val="00A93AE6"/>
    <w:rsid w:val="00A93B9A"/>
    <w:rsid w:val="00A941F5"/>
    <w:rsid w:val="00A94302"/>
    <w:rsid w:val="00A94970"/>
    <w:rsid w:val="00A9594A"/>
    <w:rsid w:val="00A95D13"/>
    <w:rsid w:val="00A9617D"/>
    <w:rsid w:val="00A9645C"/>
    <w:rsid w:val="00A965BC"/>
    <w:rsid w:val="00A9660F"/>
    <w:rsid w:val="00A9749A"/>
    <w:rsid w:val="00A97C86"/>
    <w:rsid w:val="00A97E18"/>
    <w:rsid w:val="00AA06BB"/>
    <w:rsid w:val="00AA06F2"/>
    <w:rsid w:val="00AA1402"/>
    <w:rsid w:val="00AA164A"/>
    <w:rsid w:val="00AA376E"/>
    <w:rsid w:val="00AA3AB8"/>
    <w:rsid w:val="00AA4404"/>
    <w:rsid w:val="00AA4ADE"/>
    <w:rsid w:val="00AA50B7"/>
    <w:rsid w:val="00AA5A8E"/>
    <w:rsid w:val="00AA624C"/>
    <w:rsid w:val="00AA6CB9"/>
    <w:rsid w:val="00AA768A"/>
    <w:rsid w:val="00AB0619"/>
    <w:rsid w:val="00AB0ACE"/>
    <w:rsid w:val="00AB3B55"/>
    <w:rsid w:val="00AB3D59"/>
    <w:rsid w:val="00AB4A35"/>
    <w:rsid w:val="00AB4BAF"/>
    <w:rsid w:val="00AB50B0"/>
    <w:rsid w:val="00AB5204"/>
    <w:rsid w:val="00AB5347"/>
    <w:rsid w:val="00AB5358"/>
    <w:rsid w:val="00AB54A4"/>
    <w:rsid w:val="00AB55F8"/>
    <w:rsid w:val="00AB60DB"/>
    <w:rsid w:val="00AB6B29"/>
    <w:rsid w:val="00AB7593"/>
    <w:rsid w:val="00AB7CA9"/>
    <w:rsid w:val="00AC1B58"/>
    <w:rsid w:val="00AC1E6D"/>
    <w:rsid w:val="00AC20F6"/>
    <w:rsid w:val="00AC2972"/>
    <w:rsid w:val="00AC2DBF"/>
    <w:rsid w:val="00AC3152"/>
    <w:rsid w:val="00AC3D48"/>
    <w:rsid w:val="00AC40A6"/>
    <w:rsid w:val="00AC447A"/>
    <w:rsid w:val="00AC4BBE"/>
    <w:rsid w:val="00AC4CB7"/>
    <w:rsid w:val="00AC5267"/>
    <w:rsid w:val="00AC545B"/>
    <w:rsid w:val="00AC572D"/>
    <w:rsid w:val="00AC5B93"/>
    <w:rsid w:val="00AC5DEF"/>
    <w:rsid w:val="00AC6C0D"/>
    <w:rsid w:val="00AC752A"/>
    <w:rsid w:val="00AC75CC"/>
    <w:rsid w:val="00AC75DE"/>
    <w:rsid w:val="00AC794A"/>
    <w:rsid w:val="00AC7C3B"/>
    <w:rsid w:val="00AC7C43"/>
    <w:rsid w:val="00AC7E55"/>
    <w:rsid w:val="00AD0D12"/>
    <w:rsid w:val="00AD18E8"/>
    <w:rsid w:val="00AD1A41"/>
    <w:rsid w:val="00AD1AFD"/>
    <w:rsid w:val="00AD1D8E"/>
    <w:rsid w:val="00AD2183"/>
    <w:rsid w:val="00AD24B9"/>
    <w:rsid w:val="00AD3BDD"/>
    <w:rsid w:val="00AD3DF2"/>
    <w:rsid w:val="00AD5C5C"/>
    <w:rsid w:val="00AD7F57"/>
    <w:rsid w:val="00AE06AF"/>
    <w:rsid w:val="00AE0A47"/>
    <w:rsid w:val="00AE1DE1"/>
    <w:rsid w:val="00AE2A9C"/>
    <w:rsid w:val="00AE3977"/>
    <w:rsid w:val="00AE3AC1"/>
    <w:rsid w:val="00AE3B6B"/>
    <w:rsid w:val="00AE424B"/>
    <w:rsid w:val="00AE4977"/>
    <w:rsid w:val="00AE4CA6"/>
    <w:rsid w:val="00AE5F20"/>
    <w:rsid w:val="00AE5F39"/>
    <w:rsid w:val="00AE67AF"/>
    <w:rsid w:val="00AE6B52"/>
    <w:rsid w:val="00AE6BA5"/>
    <w:rsid w:val="00AE7B52"/>
    <w:rsid w:val="00AF0F5E"/>
    <w:rsid w:val="00AF1629"/>
    <w:rsid w:val="00AF1720"/>
    <w:rsid w:val="00AF17B3"/>
    <w:rsid w:val="00AF1A0D"/>
    <w:rsid w:val="00AF1DE3"/>
    <w:rsid w:val="00AF21AB"/>
    <w:rsid w:val="00AF37F0"/>
    <w:rsid w:val="00AF479F"/>
    <w:rsid w:val="00AF4DB0"/>
    <w:rsid w:val="00AF68D8"/>
    <w:rsid w:val="00AF6AD0"/>
    <w:rsid w:val="00AF6B50"/>
    <w:rsid w:val="00AF6BE1"/>
    <w:rsid w:val="00AF78D0"/>
    <w:rsid w:val="00AF7D17"/>
    <w:rsid w:val="00B001EF"/>
    <w:rsid w:val="00B009CF"/>
    <w:rsid w:val="00B00D98"/>
    <w:rsid w:val="00B0131A"/>
    <w:rsid w:val="00B0472F"/>
    <w:rsid w:val="00B04B79"/>
    <w:rsid w:val="00B05078"/>
    <w:rsid w:val="00B05778"/>
    <w:rsid w:val="00B05B03"/>
    <w:rsid w:val="00B06063"/>
    <w:rsid w:val="00B06635"/>
    <w:rsid w:val="00B06C6F"/>
    <w:rsid w:val="00B07430"/>
    <w:rsid w:val="00B077F2"/>
    <w:rsid w:val="00B078B4"/>
    <w:rsid w:val="00B0792B"/>
    <w:rsid w:val="00B07BFF"/>
    <w:rsid w:val="00B07F72"/>
    <w:rsid w:val="00B10AE6"/>
    <w:rsid w:val="00B114E1"/>
    <w:rsid w:val="00B12852"/>
    <w:rsid w:val="00B1285A"/>
    <w:rsid w:val="00B12A5C"/>
    <w:rsid w:val="00B132A9"/>
    <w:rsid w:val="00B1350F"/>
    <w:rsid w:val="00B138C1"/>
    <w:rsid w:val="00B139E2"/>
    <w:rsid w:val="00B14110"/>
    <w:rsid w:val="00B14CB2"/>
    <w:rsid w:val="00B1548F"/>
    <w:rsid w:val="00B16085"/>
    <w:rsid w:val="00B16860"/>
    <w:rsid w:val="00B17E02"/>
    <w:rsid w:val="00B2052C"/>
    <w:rsid w:val="00B21730"/>
    <w:rsid w:val="00B23449"/>
    <w:rsid w:val="00B2356D"/>
    <w:rsid w:val="00B23ED1"/>
    <w:rsid w:val="00B23EDA"/>
    <w:rsid w:val="00B24CB8"/>
    <w:rsid w:val="00B251B7"/>
    <w:rsid w:val="00B25956"/>
    <w:rsid w:val="00B25D22"/>
    <w:rsid w:val="00B261E4"/>
    <w:rsid w:val="00B267A2"/>
    <w:rsid w:val="00B26800"/>
    <w:rsid w:val="00B268DE"/>
    <w:rsid w:val="00B26CF9"/>
    <w:rsid w:val="00B27B13"/>
    <w:rsid w:val="00B306C4"/>
    <w:rsid w:val="00B306D7"/>
    <w:rsid w:val="00B3123C"/>
    <w:rsid w:val="00B3158B"/>
    <w:rsid w:val="00B332C3"/>
    <w:rsid w:val="00B3352A"/>
    <w:rsid w:val="00B3353E"/>
    <w:rsid w:val="00B33980"/>
    <w:rsid w:val="00B340BA"/>
    <w:rsid w:val="00B34BA1"/>
    <w:rsid w:val="00B35542"/>
    <w:rsid w:val="00B35566"/>
    <w:rsid w:val="00B35975"/>
    <w:rsid w:val="00B35BD7"/>
    <w:rsid w:val="00B35CFE"/>
    <w:rsid w:val="00B360A7"/>
    <w:rsid w:val="00B36F7D"/>
    <w:rsid w:val="00B37182"/>
    <w:rsid w:val="00B37387"/>
    <w:rsid w:val="00B37F1B"/>
    <w:rsid w:val="00B400DB"/>
    <w:rsid w:val="00B418A4"/>
    <w:rsid w:val="00B41C87"/>
    <w:rsid w:val="00B426AA"/>
    <w:rsid w:val="00B42942"/>
    <w:rsid w:val="00B42D2D"/>
    <w:rsid w:val="00B44268"/>
    <w:rsid w:val="00B44BF8"/>
    <w:rsid w:val="00B44CB9"/>
    <w:rsid w:val="00B44E3C"/>
    <w:rsid w:val="00B4535E"/>
    <w:rsid w:val="00B4605C"/>
    <w:rsid w:val="00B46081"/>
    <w:rsid w:val="00B46095"/>
    <w:rsid w:val="00B463D2"/>
    <w:rsid w:val="00B4678F"/>
    <w:rsid w:val="00B47F17"/>
    <w:rsid w:val="00B50244"/>
    <w:rsid w:val="00B50472"/>
    <w:rsid w:val="00B5058A"/>
    <w:rsid w:val="00B507CA"/>
    <w:rsid w:val="00B50C0F"/>
    <w:rsid w:val="00B5201C"/>
    <w:rsid w:val="00B52683"/>
    <w:rsid w:val="00B52734"/>
    <w:rsid w:val="00B52A3E"/>
    <w:rsid w:val="00B532CE"/>
    <w:rsid w:val="00B539EB"/>
    <w:rsid w:val="00B53D79"/>
    <w:rsid w:val="00B54164"/>
    <w:rsid w:val="00B5470A"/>
    <w:rsid w:val="00B5499F"/>
    <w:rsid w:val="00B55581"/>
    <w:rsid w:val="00B5591C"/>
    <w:rsid w:val="00B55E84"/>
    <w:rsid w:val="00B609B6"/>
    <w:rsid w:val="00B6142B"/>
    <w:rsid w:val="00B61A54"/>
    <w:rsid w:val="00B61DC4"/>
    <w:rsid w:val="00B62F79"/>
    <w:rsid w:val="00B63431"/>
    <w:rsid w:val="00B6370C"/>
    <w:rsid w:val="00B646E6"/>
    <w:rsid w:val="00B64A94"/>
    <w:rsid w:val="00B65568"/>
    <w:rsid w:val="00B655ED"/>
    <w:rsid w:val="00B65846"/>
    <w:rsid w:val="00B658E1"/>
    <w:rsid w:val="00B67702"/>
    <w:rsid w:val="00B67733"/>
    <w:rsid w:val="00B678E0"/>
    <w:rsid w:val="00B67B27"/>
    <w:rsid w:val="00B67D93"/>
    <w:rsid w:val="00B67E99"/>
    <w:rsid w:val="00B67F0C"/>
    <w:rsid w:val="00B67FD4"/>
    <w:rsid w:val="00B706F2"/>
    <w:rsid w:val="00B70A57"/>
    <w:rsid w:val="00B70CC4"/>
    <w:rsid w:val="00B70D11"/>
    <w:rsid w:val="00B712C8"/>
    <w:rsid w:val="00B722D7"/>
    <w:rsid w:val="00B727B0"/>
    <w:rsid w:val="00B733EB"/>
    <w:rsid w:val="00B73538"/>
    <w:rsid w:val="00B739B9"/>
    <w:rsid w:val="00B7479E"/>
    <w:rsid w:val="00B74D73"/>
    <w:rsid w:val="00B752B3"/>
    <w:rsid w:val="00B7589E"/>
    <w:rsid w:val="00B75EAE"/>
    <w:rsid w:val="00B762B9"/>
    <w:rsid w:val="00B76BE4"/>
    <w:rsid w:val="00B76CB8"/>
    <w:rsid w:val="00B800F6"/>
    <w:rsid w:val="00B809D4"/>
    <w:rsid w:val="00B82397"/>
    <w:rsid w:val="00B82D6D"/>
    <w:rsid w:val="00B83C2D"/>
    <w:rsid w:val="00B83D1A"/>
    <w:rsid w:val="00B83DAC"/>
    <w:rsid w:val="00B85045"/>
    <w:rsid w:val="00B85426"/>
    <w:rsid w:val="00B86626"/>
    <w:rsid w:val="00B86BAF"/>
    <w:rsid w:val="00B86F68"/>
    <w:rsid w:val="00B90293"/>
    <w:rsid w:val="00B904F7"/>
    <w:rsid w:val="00B913E3"/>
    <w:rsid w:val="00B91CB1"/>
    <w:rsid w:val="00B9234A"/>
    <w:rsid w:val="00B94529"/>
    <w:rsid w:val="00B94E05"/>
    <w:rsid w:val="00B95F06"/>
    <w:rsid w:val="00B963A4"/>
    <w:rsid w:val="00B96B66"/>
    <w:rsid w:val="00B974A2"/>
    <w:rsid w:val="00B97F3D"/>
    <w:rsid w:val="00BA09C8"/>
    <w:rsid w:val="00BA0B20"/>
    <w:rsid w:val="00BA0CBF"/>
    <w:rsid w:val="00BA101C"/>
    <w:rsid w:val="00BA1641"/>
    <w:rsid w:val="00BA1C02"/>
    <w:rsid w:val="00BA234F"/>
    <w:rsid w:val="00BA2893"/>
    <w:rsid w:val="00BA3068"/>
    <w:rsid w:val="00BA3077"/>
    <w:rsid w:val="00BA36AA"/>
    <w:rsid w:val="00BA3A9F"/>
    <w:rsid w:val="00BA4568"/>
    <w:rsid w:val="00BA49DA"/>
    <w:rsid w:val="00BA4C86"/>
    <w:rsid w:val="00BA6C4E"/>
    <w:rsid w:val="00BA7887"/>
    <w:rsid w:val="00BA7903"/>
    <w:rsid w:val="00BB0BF7"/>
    <w:rsid w:val="00BB17B7"/>
    <w:rsid w:val="00BB1A28"/>
    <w:rsid w:val="00BB218F"/>
    <w:rsid w:val="00BB27B6"/>
    <w:rsid w:val="00BB30DB"/>
    <w:rsid w:val="00BB4D59"/>
    <w:rsid w:val="00BB4DCA"/>
    <w:rsid w:val="00BB4DFB"/>
    <w:rsid w:val="00BB5293"/>
    <w:rsid w:val="00BB5604"/>
    <w:rsid w:val="00BB586C"/>
    <w:rsid w:val="00BB5EE7"/>
    <w:rsid w:val="00BB6648"/>
    <w:rsid w:val="00BB68C9"/>
    <w:rsid w:val="00BB6963"/>
    <w:rsid w:val="00BB7548"/>
    <w:rsid w:val="00BB7550"/>
    <w:rsid w:val="00BB763C"/>
    <w:rsid w:val="00BB7CD1"/>
    <w:rsid w:val="00BB7E89"/>
    <w:rsid w:val="00BB7EBC"/>
    <w:rsid w:val="00BC01E5"/>
    <w:rsid w:val="00BC0281"/>
    <w:rsid w:val="00BC109A"/>
    <w:rsid w:val="00BC246D"/>
    <w:rsid w:val="00BC26C6"/>
    <w:rsid w:val="00BC331A"/>
    <w:rsid w:val="00BC35D5"/>
    <w:rsid w:val="00BC36E7"/>
    <w:rsid w:val="00BC3F81"/>
    <w:rsid w:val="00BC404C"/>
    <w:rsid w:val="00BC4B5F"/>
    <w:rsid w:val="00BC4F3B"/>
    <w:rsid w:val="00BC5442"/>
    <w:rsid w:val="00BC548C"/>
    <w:rsid w:val="00BC5590"/>
    <w:rsid w:val="00BC587D"/>
    <w:rsid w:val="00BC58D9"/>
    <w:rsid w:val="00BC5AE6"/>
    <w:rsid w:val="00BC609C"/>
    <w:rsid w:val="00BC61F2"/>
    <w:rsid w:val="00BC629D"/>
    <w:rsid w:val="00BC6428"/>
    <w:rsid w:val="00BC6A6B"/>
    <w:rsid w:val="00BC6B1F"/>
    <w:rsid w:val="00BD00B6"/>
    <w:rsid w:val="00BD0528"/>
    <w:rsid w:val="00BD06D6"/>
    <w:rsid w:val="00BD07E8"/>
    <w:rsid w:val="00BD1675"/>
    <w:rsid w:val="00BD1DD3"/>
    <w:rsid w:val="00BD2A32"/>
    <w:rsid w:val="00BD2BEC"/>
    <w:rsid w:val="00BD4FDE"/>
    <w:rsid w:val="00BD5CE2"/>
    <w:rsid w:val="00BD5DF2"/>
    <w:rsid w:val="00BD632C"/>
    <w:rsid w:val="00BD6AE4"/>
    <w:rsid w:val="00BD6BF2"/>
    <w:rsid w:val="00BD6D46"/>
    <w:rsid w:val="00BD7CD2"/>
    <w:rsid w:val="00BE057E"/>
    <w:rsid w:val="00BE060E"/>
    <w:rsid w:val="00BE0A2B"/>
    <w:rsid w:val="00BE0DD0"/>
    <w:rsid w:val="00BE15F3"/>
    <w:rsid w:val="00BE1973"/>
    <w:rsid w:val="00BE1D2E"/>
    <w:rsid w:val="00BE1DEC"/>
    <w:rsid w:val="00BE1E5E"/>
    <w:rsid w:val="00BE2281"/>
    <w:rsid w:val="00BE2499"/>
    <w:rsid w:val="00BE2E00"/>
    <w:rsid w:val="00BE399E"/>
    <w:rsid w:val="00BE3F8B"/>
    <w:rsid w:val="00BE429E"/>
    <w:rsid w:val="00BE42E6"/>
    <w:rsid w:val="00BE5D03"/>
    <w:rsid w:val="00BE660A"/>
    <w:rsid w:val="00BE7DB9"/>
    <w:rsid w:val="00BF0140"/>
    <w:rsid w:val="00BF0EF2"/>
    <w:rsid w:val="00BF1271"/>
    <w:rsid w:val="00BF173E"/>
    <w:rsid w:val="00BF17BD"/>
    <w:rsid w:val="00BF195C"/>
    <w:rsid w:val="00BF22CD"/>
    <w:rsid w:val="00BF23D2"/>
    <w:rsid w:val="00BF2D3F"/>
    <w:rsid w:val="00BF402A"/>
    <w:rsid w:val="00BF468B"/>
    <w:rsid w:val="00BF56C7"/>
    <w:rsid w:val="00BF7A3E"/>
    <w:rsid w:val="00BF7A61"/>
    <w:rsid w:val="00C00010"/>
    <w:rsid w:val="00C0150E"/>
    <w:rsid w:val="00C01B16"/>
    <w:rsid w:val="00C01BE0"/>
    <w:rsid w:val="00C0227E"/>
    <w:rsid w:val="00C02A8F"/>
    <w:rsid w:val="00C02AF1"/>
    <w:rsid w:val="00C03281"/>
    <w:rsid w:val="00C03704"/>
    <w:rsid w:val="00C03795"/>
    <w:rsid w:val="00C04222"/>
    <w:rsid w:val="00C045AC"/>
    <w:rsid w:val="00C04714"/>
    <w:rsid w:val="00C05C28"/>
    <w:rsid w:val="00C06B13"/>
    <w:rsid w:val="00C07221"/>
    <w:rsid w:val="00C109A2"/>
    <w:rsid w:val="00C10A8E"/>
    <w:rsid w:val="00C11DFD"/>
    <w:rsid w:val="00C12B5F"/>
    <w:rsid w:val="00C13556"/>
    <w:rsid w:val="00C13A61"/>
    <w:rsid w:val="00C13EAD"/>
    <w:rsid w:val="00C14131"/>
    <w:rsid w:val="00C14B3E"/>
    <w:rsid w:val="00C1555E"/>
    <w:rsid w:val="00C16245"/>
    <w:rsid w:val="00C17302"/>
    <w:rsid w:val="00C17375"/>
    <w:rsid w:val="00C1794A"/>
    <w:rsid w:val="00C208CA"/>
    <w:rsid w:val="00C20BF0"/>
    <w:rsid w:val="00C21AFB"/>
    <w:rsid w:val="00C21B96"/>
    <w:rsid w:val="00C23C91"/>
    <w:rsid w:val="00C2427D"/>
    <w:rsid w:val="00C24AC8"/>
    <w:rsid w:val="00C24BFC"/>
    <w:rsid w:val="00C24D2A"/>
    <w:rsid w:val="00C251BC"/>
    <w:rsid w:val="00C261AB"/>
    <w:rsid w:val="00C267B6"/>
    <w:rsid w:val="00C271B6"/>
    <w:rsid w:val="00C272A1"/>
    <w:rsid w:val="00C27963"/>
    <w:rsid w:val="00C27F8F"/>
    <w:rsid w:val="00C300AC"/>
    <w:rsid w:val="00C300ED"/>
    <w:rsid w:val="00C306BA"/>
    <w:rsid w:val="00C309B7"/>
    <w:rsid w:val="00C31521"/>
    <w:rsid w:val="00C31B9B"/>
    <w:rsid w:val="00C3211D"/>
    <w:rsid w:val="00C321A3"/>
    <w:rsid w:val="00C32429"/>
    <w:rsid w:val="00C32620"/>
    <w:rsid w:val="00C32730"/>
    <w:rsid w:val="00C32871"/>
    <w:rsid w:val="00C32A74"/>
    <w:rsid w:val="00C335A3"/>
    <w:rsid w:val="00C338EF"/>
    <w:rsid w:val="00C34197"/>
    <w:rsid w:val="00C34433"/>
    <w:rsid w:val="00C344D6"/>
    <w:rsid w:val="00C34518"/>
    <w:rsid w:val="00C3560A"/>
    <w:rsid w:val="00C3578B"/>
    <w:rsid w:val="00C36E34"/>
    <w:rsid w:val="00C37259"/>
    <w:rsid w:val="00C37839"/>
    <w:rsid w:val="00C37C39"/>
    <w:rsid w:val="00C40083"/>
    <w:rsid w:val="00C40497"/>
    <w:rsid w:val="00C4167B"/>
    <w:rsid w:val="00C42735"/>
    <w:rsid w:val="00C428CB"/>
    <w:rsid w:val="00C42FB1"/>
    <w:rsid w:val="00C43183"/>
    <w:rsid w:val="00C43324"/>
    <w:rsid w:val="00C4379B"/>
    <w:rsid w:val="00C441AC"/>
    <w:rsid w:val="00C443E6"/>
    <w:rsid w:val="00C4477B"/>
    <w:rsid w:val="00C45063"/>
    <w:rsid w:val="00C4564E"/>
    <w:rsid w:val="00C46E33"/>
    <w:rsid w:val="00C4703C"/>
    <w:rsid w:val="00C474CE"/>
    <w:rsid w:val="00C47685"/>
    <w:rsid w:val="00C47B50"/>
    <w:rsid w:val="00C50CAA"/>
    <w:rsid w:val="00C51051"/>
    <w:rsid w:val="00C51089"/>
    <w:rsid w:val="00C514C4"/>
    <w:rsid w:val="00C518C2"/>
    <w:rsid w:val="00C52A79"/>
    <w:rsid w:val="00C52D9D"/>
    <w:rsid w:val="00C52EDE"/>
    <w:rsid w:val="00C535A8"/>
    <w:rsid w:val="00C55DC1"/>
    <w:rsid w:val="00C55EFF"/>
    <w:rsid w:val="00C56954"/>
    <w:rsid w:val="00C571CE"/>
    <w:rsid w:val="00C575B7"/>
    <w:rsid w:val="00C576F0"/>
    <w:rsid w:val="00C60222"/>
    <w:rsid w:val="00C60618"/>
    <w:rsid w:val="00C60A2D"/>
    <w:rsid w:val="00C61103"/>
    <w:rsid w:val="00C6120C"/>
    <w:rsid w:val="00C61B98"/>
    <w:rsid w:val="00C61D8C"/>
    <w:rsid w:val="00C62439"/>
    <w:rsid w:val="00C62B9F"/>
    <w:rsid w:val="00C63144"/>
    <w:rsid w:val="00C63750"/>
    <w:rsid w:val="00C64003"/>
    <w:rsid w:val="00C648A7"/>
    <w:rsid w:val="00C648FD"/>
    <w:rsid w:val="00C64AEF"/>
    <w:rsid w:val="00C64D5D"/>
    <w:rsid w:val="00C64FF1"/>
    <w:rsid w:val="00C652C9"/>
    <w:rsid w:val="00C65D32"/>
    <w:rsid w:val="00C66FA2"/>
    <w:rsid w:val="00C70BE2"/>
    <w:rsid w:val="00C71A58"/>
    <w:rsid w:val="00C722BB"/>
    <w:rsid w:val="00C72CCC"/>
    <w:rsid w:val="00C732DB"/>
    <w:rsid w:val="00C735B0"/>
    <w:rsid w:val="00C73D4F"/>
    <w:rsid w:val="00C74FCF"/>
    <w:rsid w:val="00C7530A"/>
    <w:rsid w:val="00C754B9"/>
    <w:rsid w:val="00C7619D"/>
    <w:rsid w:val="00C76220"/>
    <w:rsid w:val="00C765A5"/>
    <w:rsid w:val="00C76D85"/>
    <w:rsid w:val="00C7727B"/>
    <w:rsid w:val="00C80F07"/>
    <w:rsid w:val="00C81245"/>
    <w:rsid w:val="00C81FD1"/>
    <w:rsid w:val="00C822FC"/>
    <w:rsid w:val="00C8233B"/>
    <w:rsid w:val="00C82EA9"/>
    <w:rsid w:val="00C8461E"/>
    <w:rsid w:val="00C84802"/>
    <w:rsid w:val="00C855FA"/>
    <w:rsid w:val="00C860C3"/>
    <w:rsid w:val="00C869CE"/>
    <w:rsid w:val="00C86B8F"/>
    <w:rsid w:val="00C86FA7"/>
    <w:rsid w:val="00C904EE"/>
    <w:rsid w:val="00C90B85"/>
    <w:rsid w:val="00C9168B"/>
    <w:rsid w:val="00C91D18"/>
    <w:rsid w:val="00C91E8B"/>
    <w:rsid w:val="00C92071"/>
    <w:rsid w:val="00C92149"/>
    <w:rsid w:val="00C926E2"/>
    <w:rsid w:val="00C92EDA"/>
    <w:rsid w:val="00C93209"/>
    <w:rsid w:val="00C93C8C"/>
    <w:rsid w:val="00C946A1"/>
    <w:rsid w:val="00C95C22"/>
    <w:rsid w:val="00C96497"/>
    <w:rsid w:val="00C967CB"/>
    <w:rsid w:val="00C9746C"/>
    <w:rsid w:val="00C977B8"/>
    <w:rsid w:val="00C9787F"/>
    <w:rsid w:val="00C978B0"/>
    <w:rsid w:val="00CA00A6"/>
    <w:rsid w:val="00CA0B64"/>
    <w:rsid w:val="00CA0EFF"/>
    <w:rsid w:val="00CA17BF"/>
    <w:rsid w:val="00CA1DE7"/>
    <w:rsid w:val="00CA234D"/>
    <w:rsid w:val="00CA2FF0"/>
    <w:rsid w:val="00CA3254"/>
    <w:rsid w:val="00CA3B38"/>
    <w:rsid w:val="00CA4299"/>
    <w:rsid w:val="00CA4347"/>
    <w:rsid w:val="00CA463E"/>
    <w:rsid w:val="00CA4988"/>
    <w:rsid w:val="00CA4D58"/>
    <w:rsid w:val="00CA5E1E"/>
    <w:rsid w:val="00CA60A7"/>
    <w:rsid w:val="00CA6333"/>
    <w:rsid w:val="00CA636D"/>
    <w:rsid w:val="00CB0431"/>
    <w:rsid w:val="00CB0A6F"/>
    <w:rsid w:val="00CB0BBC"/>
    <w:rsid w:val="00CB215B"/>
    <w:rsid w:val="00CB2324"/>
    <w:rsid w:val="00CB23DF"/>
    <w:rsid w:val="00CB43D1"/>
    <w:rsid w:val="00CB52D8"/>
    <w:rsid w:val="00CB7B76"/>
    <w:rsid w:val="00CB7CF6"/>
    <w:rsid w:val="00CC014E"/>
    <w:rsid w:val="00CC0298"/>
    <w:rsid w:val="00CC19D6"/>
    <w:rsid w:val="00CC2013"/>
    <w:rsid w:val="00CC2C0F"/>
    <w:rsid w:val="00CC33B1"/>
    <w:rsid w:val="00CC35A1"/>
    <w:rsid w:val="00CC453A"/>
    <w:rsid w:val="00CC4FFD"/>
    <w:rsid w:val="00CC5A6D"/>
    <w:rsid w:val="00CC6797"/>
    <w:rsid w:val="00CC697A"/>
    <w:rsid w:val="00CC6A79"/>
    <w:rsid w:val="00CC71A7"/>
    <w:rsid w:val="00CC7E69"/>
    <w:rsid w:val="00CC7E77"/>
    <w:rsid w:val="00CC7E7B"/>
    <w:rsid w:val="00CD001C"/>
    <w:rsid w:val="00CD132A"/>
    <w:rsid w:val="00CD1CBF"/>
    <w:rsid w:val="00CD1FC5"/>
    <w:rsid w:val="00CD26AD"/>
    <w:rsid w:val="00CD2EEE"/>
    <w:rsid w:val="00CD317E"/>
    <w:rsid w:val="00CD3AA4"/>
    <w:rsid w:val="00CD3F83"/>
    <w:rsid w:val="00CD449B"/>
    <w:rsid w:val="00CD461E"/>
    <w:rsid w:val="00CD46CE"/>
    <w:rsid w:val="00CD4A68"/>
    <w:rsid w:val="00CD5DBF"/>
    <w:rsid w:val="00CD660D"/>
    <w:rsid w:val="00CD6936"/>
    <w:rsid w:val="00CD6DD4"/>
    <w:rsid w:val="00CD7BA5"/>
    <w:rsid w:val="00CE0365"/>
    <w:rsid w:val="00CE14F5"/>
    <w:rsid w:val="00CE20B4"/>
    <w:rsid w:val="00CE2504"/>
    <w:rsid w:val="00CE3695"/>
    <w:rsid w:val="00CE43FE"/>
    <w:rsid w:val="00CE5551"/>
    <w:rsid w:val="00CE5C1D"/>
    <w:rsid w:val="00CE5FC8"/>
    <w:rsid w:val="00CE630A"/>
    <w:rsid w:val="00CE6351"/>
    <w:rsid w:val="00CE6E18"/>
    <w:rsid w:val="00CE6EAD"/>
    <w:rsid w:val="00CE6F13"/>
    <w:rsid w:val="00CE7110"/>
    <w:rsid w:val="00CF1928"/>
    <w:rsid w:val="00CF269F"/>
    <w:rsid w:val="00CF2FCC"/>
    <w:rsid w:val="00CF3122"/>
    <w:rsid w:val="00CF407C"/>
    <w:rsid w:val="00CF5589"/>
    <w:rsid w:val="00CF5CD0"/>
    <w:rsid w:val="00CF5D5F"/>
    <w:rsid w:val="00CF5E04"/>
    <w:rsid w:val="00CF6228"/>
    <w:rsid w:val="00CF64C6"/>
    <w:rsid w:val="00CF6BFC"/>
    <w:rsid w:val="00CF6D3F"/>
    <w:rsid w:val="00CF6F08"/>
    <w:rsid w:val="00CF6F44"/>
    <w:rsid w:val="00CF714C"/>
    <w:rsid w:val="00CF7905"/>
    <w:rsid w:val="00CF7DC7"/>
    <w:rsid w:val="00D0036E"/>
    <w:rsid w:val="00D00605"/>
    <w:rsid w:val="00D00C9E"/>
    <w:rsid w:val="00D00FFC"/>
    <w:rsid w:val="00D01710"/>
    <w:rsid w:val="00D01D96"/>
    <w:rsid w:val="00D0243E"/>
    <w:rsid w:val="00D026ED"/>
    <w:rsid w:val="00D0320A"/>
    <w:rsid w:val="00D049FC"/>
    <w:rsid w:val="00D050C7"/>
    <w:rsid w:val="00D052E0"/>
    <w:rsid w:val="00D05665"/>
    <w:rsid w:val="00D05F51"/>
    <w:rsid w:val="00D062A0"/>
    <w:rsid w:val="00D062D6"/>
    <w:rsid w:val="00D06664"/>
    <w:rsid w:val="00D066FF"/>
    <w:rsid w:val="00D06E5A"/>
    <w:rsid w:val="00D070DE"/>
    <w:rsid w:val="00D07D90"/>
    <w:rsid w:val="00D1057E"/>
    <w:rsid w:val="00D10A1D"/>
    <w:rsid w:val="00D1188C"/>
    <w:rsid w:val="00D125E4"/>
    <w:rsid w:val="00D12D77"/>
    <w:rsid w:val="00D13626"/>
    <w:rsid w:val="00D13FBD"/>
    <w:rsid w:val="00D1506A"/>
    <w:rsid w:val="00D16261"/>
    <w:rsid w:val="00D164CE"/>
    <w:rsid w:val="00D16510"/>
    <w:rsid w:val="00D17DBA"/>
    <w:rsid w:val="00D2001B"/>
    <w:rsid w:val="00D20578"/>
    <w:rsid w:val="00D20952"/>
    <w:rsid w:val="00D2119A"/>
    <w:rsid w:val="00D2134C"/>
    <w:rsid w:val="00D22DE0"/>
    <w:rsid w:val="00D2560F"/>
    <w:rsid w:val="00D26CB0"/>
    <w:rsid w:val="00D27072"/>
    <w:rsid w:val="00D31FE7"/>
    <w:rsid w:val="00D320C1"/>
    <w:rsid w:val="00D33339"/>
    <w:rsid w:val="00D34289"/>
    <w:rsid w:val="00D350E7"/>
    <w:rsid w:val="00D353D0"/>
    <w:rsid w:val="00D359F2"/>
    <w:rsid w:val="00D36447"/>
    <w:rsid w:val="00D3657E"/>
    <w:rsid w:val="00D36DE5"/>
    <w:rsid w:val="00D4093C"/>
    <w:rsid w:val="00D40D8E"/>
    <w:rsid w:val="00D40E00"/>
    <w:rsid w:val="00D41C71"/>
    <w:rsid w:val="00D42055"/>
    <w:rsid w:val="00D42336"/>
    <w:rsid w:val="00D43580"/>
    <w:rsid w:val="00D44260"/>
    <w:rsid w:val="00D446B2"/>
    <w:rsid w:val="00D446BE"/>
    <w:rsid w:val="00D44944"/>
    <w:rsid w:val="00D452E6"/>
    <w:rsid w:val="00D45794"/>
    <w:rsid w:val="00D46384"/>
    <w:rsid w:val="00D464C9"/>
    <w:rsid w:val="00D47B86"/>
    <w:rsid w:val="00D505E2"/>
    <w:rsid w:val="00D509F3"/>
    <w:rsid w:val="00D51B2E"/>
    <w:rsid w:val="00D52684"/>
    <w:rsid w:val="00D526FA"/>
    <w:rsid w:val="00D52A77"/>
    <w:rsid w:val="00D52EF9"/>
    <w:rsid w:val="00D53FAB"/>
    <w:rsid w:val="00D54315"/>
    <w:rsid w:val="00D544D3"/>
    <w:rsid w:val="00D54CF7"/>
    <w:rsid w:val="00D54DBF"/>
    <w:rsid w:val="00D54DE8"/>
    <w:rsid w:val="00D55009"/>
    <w:rsid w:val="00D55BD3"/>
    <w:rsid w:val="00D56D05"/>
    <w:rsid w:val="00D56EA8"/>
    <w:rsid w:val="00D57372"/>
    <w:rsid w:val="00D57633"/>
    <w:rsid w:val="00D57C8A"/>
    <w:rsid w:val="00D57DE7"/>
    <w:rsid w:val="00D60493"/>
    <w:rsid w:val="00D614BE"/>
    <w:rsid w:val="00D62877"/>
    <w:rsid w:val="00D62CC1"/>
    <w:rsid w:val="00D62F25"/>
    <w:rsid w:val="00D63A1F"/>
    <w:rsid w:val="00D64057"/>
    <w:rsid w:val="00D6425D"/>
    <w:rsid w:val="00D64834"/>
    <w:rsid w:val="00D649E8"/>
    <w:rsid w:val="00D651A7"/>
    <w:rsid w:val="00D660AF"/>
    <w:rsid w:val="00D66281"/>
    <w:rsid w:val="00D66E64"/>
    <w:rsid w:val="00D67E51"/>
    <w:rsid w:val="00D70384"/>
    <w:rsid w:val="00D70BA6"/>
    <w:rsid w:val="00D70E2D"/>
    <w:rsid w:val="00D711B5"/>
    <w:rsid w:val="00D714A9"/>
    <w:rsid w:val="00D72885"/>
    <w:rsid w:val="00D7376B"/>
    <w:rsid w:val="00D73958"/>
    <w:rsid w:val="00D73D88"/>
    <w:rsid w:val="00D7429A"/>
    <w:rsid w:val="00D748BE"/>
    <w:rsid w:val="00D7509F"/>
    <w:rsid w:val="00D7516D"/>
    <w:rsid w:val="00D752B0"/>
    <w:rsid w:val="00D75E36"/>
    <w:rsid w:val="00D76019"/>
    <w:rsid w:val="00D760F5"/>
    <w:rsid w:val="00D76931"/>
    <w:rsid w:val="00D77B39"/>
    <w:rsid w:val="00D804CC"/>
    <w:rsid w:val="00D8068E"/>
    <w:rsid w:val="00D8139F"/>
    <w:rsid w:val="00D8143A"/>
    <w:rsid w:val="00D8201B"/>
    <w:rsid w:val="00D820D3"/>
    <w:rsid w:val="00D82BE6"/>
    <w:rsid w:val="00D8579A"/>
    <w:rsid w:val="00D8581C"/>
    <w:rsid w:val="00D85B15"/>
    <w:rsid w:val="00D86189"/>
    <w:rsid w:val="00D87650"/>
    <w:rsid w:val="00D87D57"/>
    <w:rsid w:val="00D902A9"/>
    <w:rsid w:val="00D90A96"/>
    <w:rsid w:val="00D91EFD"/>
    <w:rsid w:val="00D91F51"/>
    <w:rsid w:val="00D9307F"/>
    <w:rsid w:val="00D93512"/>
    <w:rsid w:val="00D937B6"/>
    <w:rsid w:val="00D93C4C"/>
    <w:rsid w:val="00D94098"/>
    <w:rsid w:val="00D941F8"/>
    <w:rsid w:val="00D945AA"/>
    <w:rsid w:val="00D95735"/>
    <w:rsid w:val="00D95AAD"/>
    <w:rsid w:val="00D962BB"/>
    <w:rsid w:val="00D96322"/>
    <w:rsid w:val="00DA113E"/>
    <w:rsid w:val="00DA162E"/>
    <w:rsid w:val="00DA1CD9"/>
    <w:rsid w:val="00DA1D8E"/>
    <w:rsid w:val="00DA2445"/>
    <w:rsid w:val="00DA2BAD"/>
    <w:rsid w:val="00DA2BE2"/>
    <w:rsid w:val="00DA3395"/>
    <w:rsid w:val="00DA37EE"/>
    <w:rsid w:val="00DA4486"/>
    <w:rsid w:val="00DA4ECA"/>
    <w:rsid w:val="00DA503C"/>
    <w:rsid w:val="00DA51D9"/>
    <w:rsid w:val="00DA575B"/>
    <w:rsid w:val="00DA6CDB"/>
    <w:rsid w:val="00DA6EDB"/>
    <w:rsid w:val="00DA7345"/>
    <w:rsid w:val="00DB2158"/>
    <w:rsid w:val="00DB2826"/>
    <w:rsid w:val="00DB28A5"/>
    <w:rsid w:val="00DB36A6"/>
    <w:rsid w:val="00DB39B9"/>
    <w:rsid w:val="00DB3BA0"/>
    <w:rsid w:val="00DB3D0E"/>
    <w:rsid w:val="00DB4586"/>
    <w:rsid w:val="00DB6F26"/>
    <w:rsid w:val="00DB7324"/>
    <w:rsid w:val="00DB744A"/>
    <w:rsid w:val="00DB76F3"/>
    <w:rsid w:val="00DB7BA8"/>
    <w:rsid w:val="00DB7E63"/>
    <w:rsid w:val="00DB7EB8"/>
    <w:rsid w:val="00DC0C18"/>
    <w:rsid w:val="00DC18FD"/>
    <w:rsid w:val="00DC193A"/>
    <w:rsid w:val="00DC1BAE"/>
    <w:rsid w:val="00DC1D00"/>
    <w:rsid w:val="00DC1F34"/>
    <w:rsid w:val="00DC239B"/>
    <w:rsid w:val="00DC2837"/>
    <w:rsid w:val="00DC2EF4"/>
    <w:rsid w:val="00DC3810"/>
    <w:rsid w:val="00DC47A4"/>
    <w:rsid w:val="00DC4D1E"/>
    <w:rsid w:val="00DC5139"/>
    <w:rsid w:val="00DC54EB"/>
    <w:rsid w:val="00DC59B8"/>
    <w:rsid w:val="00DC5F7F"/>
    <w:rsid w:val="00DC6357"/>
    <w:rsid w:val="00DC6913"/>
    <w:rsid w:val="00DC6C73"/>
    <w:rsid w:val="00DD0B4D"/>
    <w:rsid w:val="00DD1715"/>
    <w:rsid w:val="00DD1E32"/>
    <w:rsid w:val="00DD1EE5"/>
    <w:rsid w:val="00DD261F"/>
    <w:rsid w:val="00DD28A1"/>
    <w:rsid w:val="00DD2B14"/>
    <w:rsid w:val="00DD2BF1"/>
    <w:rsid w:val="00DD2DFF"/>
    <w:rsid w:val="00DD2E93"/>
    <w:rsid w:val="00DD2F82"/>
    <w:rsid w:val="00DD3594"/>
    <w:rsid w:val="00DD454C"/>
    <w:rsid w:val="00DD4908"/>
    <w:rsid w:val="00DD4D47"/>
    <w:rsid w:val="00DD68B4"/>
    <w:rsid w:val="00DD6BEA"/>
    <w:rsid w:val="00DD6C89"/>
    <w:rsid w:val="00DD79A3"/>
    <w:rsid w:val="00DE07DA"/>
    <w:rsid w:val="00DE0D7B"/>
    <w:rsid w:val="00DE2ED0"/>
    <w:rsid w:val="00DE39CC"/>
    <w:rsid w:val="00DE3FFE"/>
    <w:rsid w:val="00DE4131"/>
    <w:rsid w:val="00DE4146"/>
    <w:rsid w:val="00DE563E"/>
    <w:rsid w:val="00DE5F10"/>
    <w:rsid w:val="00DF0106"/>
    <w:rsid w:val="00DF0CD3"/>
    <w:rsid w:val="00DF1675"/>
    <w:rsid w:val="00DF1896"/>
    <w:rsid w:val="00DF2F22"/>
    <w:rsid w:val="00DF3180"/>
    <w:rsid w:val="00DF3A62"/>
    <w:rsid w:val="00DF413D"/>
    <w:rsid w:val="00DF5001"/>
    <w:rsid w:val="00DF540A"/>
    <w:rsid w:val="00DF5BDF"/>
    <w:rsid w:val="00DF5F78"/>
    <w:rsid w:val="00DF66DA"/>
    <w:rsid w:val="00DF6988"/>
    <w:rsid w:val="00DF770D"/>
    <w:rsid w:val="00DF7B91"/>
    <w:rsid w:val="00E012C1"/>
    <w:rsid w:val="00E019FB"/>
    <w:rsid w:val="00E01D33"/>
    <w:rsid w:val="00E01F25"/>
    <w:rsid w:val="00E023A8"/>
    <w:rsid w:val="00E04210"/>
    <w:rsid w:val="00E04253"/>
    <w:rsid w:val="00E04AD7"/>
    <w:rsid w:val="00E04F25"/>
    <w:rsid w:val="00E0547A"/>
    <w:rsid w:val="00E055D8"/>
    <w:rsid w:val="00E05DDA"/>
    <w:rsid w:val="00E060BF"/>
    <w:rsid w:val="00E0667A"/>
    <w:rsid w:val="00E069B7"/>
    <w:rsid w:val="00E072B7"/>
    <w:rsid w:val="00E10431"/>
    <w:rsid w:val="00E10585"/>
    <w:rsid w:val="00E10968"/>
    <w:rsid w:val="00E10CC8"/>
    <w:rsid w:val="00E112E8"/>
    <w:rsid w:val="00E11BE8"/>
    <w:rsid w:val="00E11E99"/>
    <w:rsid w:val="00E120D5"/>
    <w:rsid w:val="00E128B0"/>
    <w:rsid w:val="00E1398B"/>
    <w:rsid w:val="00E139B9"/>
    <w:rsid w:val="00E142E9"/>
    <w:rsid w:val="00E148FF"/>
    <w:rsid w:val="00E14C9F"/>
    <w:rsid w:val="00E152B1"/>
    <w:rsid w:val="00E154FF"/>
    <w:rsid w:val="00E157E4"/>
    <w:rsid w:val="00E15902"/>
    <w:rsid w:val="00E15906"/>
    <w:rsid w:val="00E171FE"/>
    <w:rsid w:val="00E17317"/>
    <w:rsid w:val="00E17E12"/>
    <w:rsid w:val="00E20394"/>
    <w:rsid w:val="00E2088E"/>
    <w:rsid w:val="00E21608"/>
    <w:rsid w:val="00E21CA7"/>
    <w:rsid w:val="00E22468"/>
    <w:rsid w:val="00E22EAC"/>
    <w:rsid w:val="00E22FBA"/>
    <w:rsid w:val="00E23B85"/>
    <w:rsid w:val="00E23E40"/>
    <w:rsid w:val="00E244B1"/>
    <w:rsid w:val="00E25833"/>
    <w:rsid w:val="00E25A40"/>
    <w:rsid w:val="00E26061"/>
    <w:rsid w:val="00E26BBB"/>
    <w:rsid w:val="00E27777"/>
    <w:rsid w:val="00E278FC"/>
    <w:rsid w:val="00E31A5B"/>
    <w:rsid w:val="00E31B0A"/>
    <w:rsid w:val="00E322C3"/>
    <w:rsid w:val="00E3265B"/>
    <w:rsid w:val="00E32FAA"/>
    <w:rsid w:val="00E33084"/>
    <w:rsid w:val="00E33328"/>
    <w:rsid w:val="00E34195"/>
    <w:rsid w:val="00E344D7"/>
    <w:rsid w:val="00E3467E"/>
    <w:rsid w:val="00E34A45"/>
    <w:rsid w:val="00E362A6"/>
    <w:rsid w:val="00E40AF5"/>
    <w:rsid w:val="00E4178A"/>
    <w:rsid w:val="00E417E9"/>
    <w:rsid w:val="00E4190A"/>
    <w:rsid w:val="00E42025"/>
    <w:rsid w:val="00E4224C"/>
    <w:rsid w:val="00E431AD"/>
    <w:rsid w:val="00E43D87"/>
    <w:rsid w:val="00E44331"/>
    <w:rsid w:val="00E443AD"/>
    <w:rsid w:val="00E45B43"/>
    <w:rsid w:val="00E45D04"/>
    <w:rsid w:val="00E46BB0"/>
    <w:rsid w:val="00E46EBA"/>
    <w:rsid w:val="00E47864"/>
    <w:rsid w:val="00E5062D"/>
    <w:rsid w:val="00E52712"/>
    <w:rsid w:val="00E52F9C"/>
    <w:rsid w:val="00E53556"/>
    <w:rsid w:val="00E53912"/>
    <w:rsid w:val="00E53CFB"/>
    <w:rsid w:val="00E53F65"/>
    <w:rsid w:val="00E544CF"/>
    <w:rsid w:val="00E54580"/>
    <w:rsid w:val="00E55C22"/>
    <w:rsid w:val="00E55D03"/>
    <w:rsid w:val="00E566EF"/>
    <w:rsid w:val="00E568B0"/>
    <w:rsid w:val="00E570B7"/>
    <w:rsid w:val="00E57313"/>
    <w:rsid w:val="00E573E8"/>
    <w:rsid w:val="00E60E14"/>
    <w:rsid w:val="00E61417"/>
    <w:rsid w:val="00E6197F"/>
    <w:rsid w:val="00E622B7"/>
    <w:rsid w:val="00E628A9"/>
    <w:rsid w:val="00E63375"/>
    <w:rsid w:val="00E635AA"/>
    <w:rsid w:val="00E63ED4"/>
    <w:rsid w:val="00E64059"/>
    <w:rsid w:val="00E64235"/>
    <w:rsid w:val="00E64282"/>
    <w:rsid w:val="00E64A06"/>
    <w:rsid w:val="00E65335"/>
    <w:rsid w:val="00E6581E"/>
    <w:rsid w:val="00E6619F"/>
    <w:rsid w:val="00E66FCE"/>
    <w:rsid w:val="00E6784A"/>
    <w:rsid w:val="00E67F9F"/>
    <w:rsid w:val="00E704C1"/>
    <w:rsid w:val="00E70F37"/>
    <w:rsid w:val="00E715D9"/>
    <w:rsid w:val="00E716F3"/>
    <w:rsid w:val="00E7201F"/>
    <w:rsid w:val="00E725D2"/>
    <w:rsid w:val="00E73DD6"/>
    <w:rsid w:val="00E73E02"/>
    <w:rsid w:val="00E74134"/>
    <w:rsid w:val="00E742C4"/>
    <w:rsid w:val="00E74311"/>
    <w:rsid w:val="00E745AD"/>
    <w:rsid w:val="00E748DA"/>
    <w:rsid w:val="00E74FB2"/>
    <w:rsid w:val="00E75315"/>
    <w:rsid w:val="00E75658"/>
    <w:rsid w:val="00E76193"/>
    <w:rsid w:val="00E76E12"/>
    <w:rsid w:val="00E77396"/>
    <w:rsid w:val="00E7750F"/>
    <w:rsid w:val="00E803E8"/>
    <w:rsid w:val="00E804DD"/>
    <w:rsid w:val="00E80AA2"/>
    <w:rsid w:val="00E81E0A"/>
    <w:rsid w:val="00E82E32"/>
    <w:rsid w:val="00E8368A"/>
    <w:rsid w:val="00E83C87"/>
    <w:rsid w:val="00E84EAA"/>
    <w:rsid w:val="00E8511A"/>
    <w:rsid w:val="00E85D81"/>
    <w:rsid w:val="00E866C7"/>
    <w:rsid w:val="00E86FDD"/>
    <w:rsid w:val="00E919B5"/>
    <w:rsid w:val="00E91ABE"/>
    <w:rsid w:val="00E91B7D"/>
    <w:rsid w:val="00E9235A"/>
    <w:rsid w:val="00E92943"/>
    <w:rsid w:val="00E92F0E"/>
    <w:rsid w:val="00E92FE8"/>
    <w:rsid w:val="00E9352A"/>
    <w:rsid w:val="00E94373"/>
    <w:rsid w:val="00E95CEE"/>
    <w:rsid w:val="00E9626E"/>
    <w:rsid w:val="00EA0D15"/>
    <w:rsid w:val="00EA0D6A"/>
    <w:rsid w:val="00EA178D"/>
    <w:rsid w:val="00EA2A96"/>
    <w:rsid w:val="00EA365D"/>
    <w:rsid w:val="00EA390C"/>
    <w:rsid w:val="00EA3C25"/>
    <w:rsid w:val="00EA4293"/>
    <w:rsid w:val="00EA4B8D"/>
    <w:rsid w:val="00EA4DDB"/>
    <w:rsid w:val="00EA6285"/>
    <w:rsid w:val="00EA62AB"/>
    <w:rsid w:val="00EA645F"/>
    <w:rsid w:val="00EA65B2"/>
    <w:rsid w:val="00EA79D5"/>
    <w:rsid w:val="00EA7A68"/>
    <w:rsid w:val="00EA7B70"/>
    <w:rsid w:val="00EB088B"/>
    <w:rsid w:val="00EB08AA"/>
    <w:rsid w:val="00EB0E60"/>
    <w:rsid w:val="00EB0F26"/>
    <w:rsid w:val="00EB13D9"/>
    <w:rsid w:val="00EB17EF"/>
    <w:rsid w:val="00EB2375"/>
    <w:rsid w:val="00EB2B7D"/>
    <w:rsid w:val="00EB39FF"/>
    <w:rsid w:val="00EB3D86"/>
    <w:rsid w:val="00EB3F09"/>
    <w:rsid w:val="00EB5327"/>
    <w:rsid w:val="00EB5627"/>
    <w:rsid w:val="00EB682C"/>
    <w:rsid w:val="00EC0199"/>
    <w:rsid w:val="00EC06C4"/>
    <w:rsid w:val="00EC07F1"/>
    <w:rsid w:val="00EC1292"/>
    <w:rsid w:val="00EC1946"/>
    <w:rsid w:val="00EC1BB2"/>
    <w:rsid w:val="00EC25D9"/>
    <w:rsid w:val="00EC2B9F"/>
    <w:rsid w:val="00EC3DBE"/>
    <w:rsid w:val="00EC4002"/>
    <w:rsid w:val="00EC4D9B"/>
    <w:rsid w:val="00EC5EEB"/>
    <w:rsid w:val="00EC7465"/>
    <w:rsid w:val="00ED0207"/>
    <w:rsid w:val="00ED0BCD"/>
    <w:rsid w:val="00ED0CCA"/>
    <w:rsid w:val="00ED0D5B"/>
    <w:rsid w:val="00ED1074"/>
    <w:rsid w:val="00ED1649"/>
    <w:rsid w:val="00ED18A7"/>
    <w:rsid w:val="00ED1A33"/>
    <w:rsid w:val="00ED3026"/>
    <w:rsid w:val="00ED366B"/>
    <w:rsid w:val="00ED3706"/>
    <w:rsid w:val="00ED482E"/>
    <w:rsid w:val="00ED49F8"/>
    <w:rsid w:val="00ED4DE0"/>
    <w:rsid w:val="00ED5311"/>
    <w:rsid w:val="00ED56B0"/>
    <w:rsid w:val="00ED60AB"/>
    <w:rsid w:val="00ED7A33"/>
    <w:rsid w:val="00ED7A67"/>
    <w:rsid w:val="00EE00CB"/>
    <w:rsid w:val="00EE110C"/>
    <w:rsid w:val="00EE17B3"/>
    <w:rsid w:val="00EE1D82"/>
    <w:rsid w:val="00EE2557"/>
    <w:rsid w:val="00EE3654"/>
    <w:rsid w:val="00EE44E4"/>
    <w:rsid w:val="00EE4641"/>
    <w:rsid w:val="00EE5372"/>
    <w:rsid w:val="00EE5CB8"/>
    <w:rsid w:val="00EE65AE"/>
    <w:rsid w:val="00EE6952"/>
    <w:rsid w:val="00EE7AFE"/>
    <w:rsid w:val="00EF0CB0"/>
    <w:rsid w:val="00EF1752"/>
    <w:rsid w:val="00EF1E1D"/>
    <w:rsid w:val="00EF1F7D"/>
    <w:rsid w:val="00EF217B"/>
    <w:rsid w:val="00EF2CB9"/>
    <w:rsid w:val="00EF2FC0"/>
    <w:rsid w:val="00EF33F0"/>
    <w:rsid w:val="00EF3467"/>
    <w:rsid w:val="00EF3B2B"/>
    <w:rsid w:val="00EF3CDF"/>
    <w:rsid w:val="00EF4185"/>
    <w:rsid w:val="00EF4960"/>
    <w:rsid w:val="00EF4E15"/>
    <w:rsid w:val="00EF4E4C"/>
    <w:rsid w:val="00EF546E"/>
    <w:rsid w:val="00EF5512"/>
    <w:rsid w:val="00EF6447"/>
    <w:rsid w:val="00EF69FE"/>
    <w:rsid w:val="00EF6D73"/>
    <w:rsid w:val="00EF6F92"/>
    <w:rsid w:val="00EF78F6"/>
    <w:rsid w:val="00EF7C58"/>
    <w:rsid w:val="00EF7F5E"/>
    <w:rsid w:val="00F0015A"/>
    <w:rsid w:val="00F00374"/>
    <w:rsid w:val="00F0073B"/>
    <w:rsid w:val="00F00EAD"/>
    <w:rsid w:val="00F01857"/>
    <w:rsid w:val="00F02640"/>
    <w:rsid w:val="00F02908"/>
    <w:rsid w:val="00F02950"/>
    <w:rsid w:val="00F02BA3"/>
    <w:rsid w:val="00F02F92"/>
    <w:rsid w:val="00F031B7"/>
    <w:rsid w:val="00F05FAA"/>
    <w:rsid w:val="00F06596"/>
    <w:rsid w:val="00F06793"/>
    <w:rsid w:val="00F068BE"/>
    <w:rsid w:val="00F074DC"/>
    <w:rsid w:val="00F075D4"/>
    <w:rsid w:val="00F07B37"/>
    <w:rsid w:val="00F07BA9"/>
    <w:rsid w:val="00F102B5"/>
    <w:rsid w:val="00F102F9"/>
    <w:rsid w:val="00F108C9"/>
    <w:rsid w:val="00F10E5E"/>
    <w:rsid w:val="00F110A5"/>
    <w:rsid w:val="00F1183B"/>
    <w:rsid w:val="00F129E1"/>
    <w:rsid w:val="00F12C0E"/>
    <w:rsid w:val="00F130CE"/>
    <w:rsid w:val="00F131B5"/>
    <w:rsid w:val="00F13BC3"/>
    <w:rsid w:val="00F13F55"/>
    <w:rsid w:val="00F141B7"/>
    <w:rsid w:val="00F14825"/>
    <w:rsid w:val="00F15D57"/>
    <w:rsid w:val="00F16051"/>
    <w:rsid w:val="00F161B4"/>
    <w:rsid w:val="00F175DB"/>
    <w:rsid w:val="00F20B0D"/>
    <w:rsid w:val="00F20E11"/>
    <w:rsid w:val="00F2118B"/>
    <w:rsid w:val="00F222D8"/>
    <w:rsid w:val="00F22394"/>
    <w:rsid w:val="00F225FA"/>
    <w:rsid w:val="00F236FA"/>
    <w:rsid w:val="00F2377C"/>
    <w:rsid w:val="00F23B1C"/>
    <w:rsid w:val="00F242E1"/>
    <w:rsid w:val="00F24EF0"/>
    <w:rsid w:val="00F27139"/>
    <w:rsid w:val="00F27312"/>
    <w:rsid w:val="00F27A34"/>
    <w:rsid w:val="00F30009"/>
    <w:rsid w:val="00F3053B"/>
    <w:rsid w:val="00F310A6"/>
    <w:rsid w:val="00F31893"/>
    <w:rsid w:val="00F31A46"/>
    <w:rsid w:val="00F31C7F"/>
    <w:rsid w:val="00F31D27"/>
    <w:rsid w:val="00F328DB"/>
    <w:rsid w:val="00F32905"/>
    <w:rsid w:val="00F33889"/>
    <w:rsid w:val="00F33C67"/>
    <w:rsid w:val="00F34860"/>
    <w:rsid w:val="00F3497A"/>
    <w:rsid w:val="00F35923"/>
    <w:rsid w:val="00F367F4"/>
    <w:rsid w:val="00F36D7B"/>
    <w:rsid w:val="00F371A7"/>
    <w:rsid w:val="00F376BB"/>
    <w:rsid w:val="00F37A45"/>
    <w:rsid w:val="00F37F30"/>
    <w:rsid w:val="00F40508"/>
    <w:rsid w:val="00F4279A"/>
    <w:rsid w:val="00F42B3B"/>
    <w:rsid w:val="00F42F13"/>
    <w:rsid w:val="00F43610"/>
    <w:rsid w:val="00F438C1"/>
    <w:rsid w:val="00F44889"/>
    <w:rsid w:val="00F44B6D"/>
    <w:rsid w:val="00F44E01"/>
    <w:rsid w:val="00F44F33"/>
    <w:rsid w:val="00F45AA7"/>
    <w:rsid w:val="00F46CBC"/>
    <w:rsid w:val="00F472FA"/>
    <w:rsid w:val="00F47CD9"/>
    <w:rsid w:val="00F50688"/>
    <w:rsid w:val="00F50C1C"/>
    <w:rsid w:val="00F50E4D"/>
    <w:rsid w:val="00F50F36"/>
    <w:rsid w:val="00F51058"/>
    <w:rsid w:val="00F51F4E"/>
    <w:rsid w:val="00F52511"/>
    <w:rsid w:val="00F52AEB"/>
    <w:rsid w:val="00F52D4B"/>
    <w:rsid w:val="00F54146"/>
    <w:rsid w:val="00F545DE"/>
    <w:rsid w:val="00F553FE"/>
    <w:rsid w:val="00F55994"/>
    <w:rsid w:val="00F55E00"/>
    <w:rsid w:val="00F56456"/>
    <w:rsid w:val="00F5676D"/>
    <w:rsid w:val="00F56A49"/>
    <w:rsid w:val="00F56E56"/>
    <w:rsid w:val="00F57FEB"/>
    <w:rsid w:val="00F603EB"/>
    <w:rsid w:val="00F606B2"/>
    <w:rsid w:val="00F61192"/>
    <w:rsid w:val="00F61569"/>
    <w:rsid w:val="00F61622"/>
    <w:rsid w:val="00F617F5"/>
    <w:rsid w:val="00F61AA9"/>
    <w:rsid w:val="00F62010"/>
    <w:rsid w:val="00F6212C"/>
    <w:rsid w:val="00F623F8"/>
    <w:rsid w:val="00F632D5"/>
    <w:rsid w:val="00F63AD7"/>
    <w:rsid w:val="00F63C7E"/>
    <w:rsid w:val="00F63F2A"/>
    <w:rsid w:val="00F63FB9"/>
    <w:rsid w:val="00F644E2"/>
    <w:rsid w:val="00F64724"/>
    <w:rsid w:val="00F64E44"/>
    <w:rsid w:val="00F64F17"/>
    <w:rsid w:val="00F65B30"/>
    <w:rsid w:val="00F65FA5"/>
    <w:rsid w:val="00F66519"/>
    <w:rsid w:val="00F66733"/>
    <w:rsid w:val="00F67447"/>
    <w:rsid w:val="00F70066"/>
    <w:rsid w:val="00F70164"/>
    <w:rsid w:val="00F705EC"/>
    <w:rsid w:val="00F71B29"/>
    <w:rsid w:val="00F71DBF"/>
    <w:rsid w:val="00F72311"/>
    <w:rsid w:val="00F73AAE"/>
    <w:rsid w:val="00F73D1C"/>
    <w:rsid w:val="00F74452"/>
    <w:rsid w:val="00F745C6"/>
    <w:rsid w:val="00F747FB"/>
    <w:rsid w:val="00F74D95"/>
    <w:rsid w:val="00F752C4"/>
    <w:rsid w:val="00F75386"/>
    <w:rsid w:val="00F7571E"/>
    <w:rsid w:val="00F76325"/>
    <w:rsid w:val="00F7675C"/>
    <w:rsid w:val="00F767BF"/>
    <w:rsid w:val="00F7710C"/>
    <w:rsid w:val="00F80186"/>
    <w:rsid w:val="00F81806"/>
    <w:rsid w:val="00F819AB"/>
    <w:rsid w:val="00F82004"/>
    <w:rsid w:val="00F830F5"/>
    <w:rsid w:val="00F84354"/>
    <w:rsid w:val="00F844F0"/>
    <w:rsid w:val="00F84547"/>
    <w:rsid w:val="00F857A7"/>
    <w:rsid w:val="00F85D6E"/>
    <w:rsid w:val="00F861EE"/>
    <w:rsid w:val="00F86646"/>
    <w:rsid w:val="00F8705B"/>
    <w:rsid w:val="00F90132"/>
    <w:rsid w:val="00F90C1D"/>
    <w:rsid w:val="00F9337C"/>
    <w:rsid w:val="00F9406A"/>
    <w:rsid w:val="00F940BD"/>
    <w:rsid w:val="00F94162"/>
    <w:rsid w:val="00F94459"/>
    <w:rsid w:val="00F94914"/>
    <w:rsid w:val="00F962EF"/>
    <w:rsid w:val="00FA08C1"/>
    <w:rsid w:val="00FA0AE1"/>
    <w:rsid w:val="00FA0ECA"/>
    <w:rsid w:val="00FA12FC"/>
    <w:rsid w:val="00FA1313"/>
    <w:rsid w:val="00FA1B1F"/>
    <w:rsid w:val="00FA1B8D"/>
    <w:rsid w:val="00FA1C65"/>
    <w:rsid w:val="00FA23BD"/>
    <w:rsid w:val="00FA26D7"/>
    <w:rsid w:val="00FA2D08"/>
    <w:rsid w:val="00FA2E89"/>
    <w:rsid w:val="00FA3604"/>
    <w:rsid w:val="00FA3AC1"/>
    <w:rsid w:val="00FA4714"/>
    <w:rsid w:val="00FA58B5"/>
    <w:rsid w:val="00FA5A60"/>
    <w:rsid w:val="00FA6204"/>
    <w:rsid w:val="00FA62C8"/>
    <w:rsid w:val="00FA6CA0"/>
    <w:rsid w:val="00FA6E00"/>
    <w:rsid w:val="00FB0052"/>
    <w:rsid w:val="00FB05AF"/>
    <w:rsid w:val="00FB1EB3"/>
    <w:rsid w:val="00FB216A"/>
    <w:rsid w:val="00FB2498"/>
    <w:rsid w:val="00FB3A83"/>
    <w:rsid w:val="00FB3EC9"/>
    <w:rsid w:val="00FB46E7"/>
    <w:rsid w:val="00FB63A0"/>
    <w:rsid w:val="00FB7A5A"/>
    <w:rsid w:val="00FB7DA8"/>
    <w:rsid w:val="00FC15B7"/>
    <w:rsid w:val="00FC1A19"/>
    <w:rsid w:val="00FC1A9B"/>
    <w:rsid w:val="00FC2704"/>
    <w:rsid w:val="00FC3218"/>
    <w:rsid w:val="00FC3ECD"/>
    <w:rsid w:val="00FC3F45"/>
    <w:rsid w:val="00FC4E90"/>
    <w:rsid w:val="00FC4FA0"/>
    <w:rsid w:val="00FC60E0"/>
    <w:rsid w:val="00FC6422"/>
    <w:rsid w:val="00FC65D1"/>
    <w:rsid w:val="00FC67B2"/>
    <w:rsid w:val="00FC711B"/>
    <w:rsid w:val="00FC7F51"/>
    <w:rsid w:val="00FD0077"/>
    <w:rsid w:val="00FD23C9"/>
    <w:rsid w:val="00FD28F4"/>
    <w:rsid w:val="00FD2924"/>
    <w:rsid w:val="00FD2B88"/>
    <w:rsid w:val="00FD32AE"/>
    <w:rsid w:val="00FD3B55"/>
    <w:rsid w:val="00FD3CB3"/>
    <w:rsid w:val="00FD4209"/>
    <w:rsid w:val="00FD473A"/>
    <w:rsid w:val="00FD5B67"/>
    <w:rsid w:val="00FD6C7C"/>
    <w:rsid w:val="00FD7A82"/>
    <w:rsid w:val="00FE0531"/>
    <w:rsid w:val="00FE06B6"/>
    <w:rsid w:val="00FE09CA"/>
    <w:rsid w:val="00FE0B69"/>
    <w:rsid w:val="00FE0DEE"/>
    <w:rsid w:val="00FE0F3C"/>
    <w:rsid w:val="00FE149F"/>
    <w:rsid w:val="00FE14E0"/>
    <w:rsid w:val="00FE1D2D"/>
    <w:rsid w:val="00FE1E56"/>
    <w:rsid w:val="00FE367E"/>
    <w:rsid w:val="00FE4D20"/>
    <w:rsid w:val="00FE5BF9"/>
    <w:rsid w:val="00FE5CAD"/>
    <w:rsid w:val="00FE5DC8"/>
    <w:rsid w:val="00FE6374"/>
    <w:rsid w:val="00FE7CD2"/>
    <w:rsid w:val="00FF1615"/>
    <w:rsid w:val="00FF1735"/>
    <w:rsid w:val="00FF1B3F"/>
    <w:rsid w:val="00FF2395"/>
    <w:rsid w:val="00FF23E9"/>
    <w:rsid w:val="00FF28E6"/>
    <w:rsid w:val="00FF2F2B"/>
    <w:rsid w:val="00FF348C"/>
    <w:rsid w:val="00FF34B6"/>
    <w:rsid w:val="00FF359B"/>
    <w:rsid w:val="00FF39FF"/>
    <w:rsid w:val="00FF3C26"/>
    <w:rsid w:val="00FF438B"/>
    <w:rsid w:val="00FF5B6B"/>
    <w:rsid w:val="00FF6559"/>
    <w:rsid w:val="00FF7223"/>
    <w:rsid w:val="00FF7461"/>
    <w:rsid w:val="00FF77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89C0F"/>
  <w15:docId w15:val="{4ED94B90-7CB8-4D00-B514-28ED3C53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lv-LV"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593"/>
  </w:style>
  <w:style w:type="paragraph" w:styleId="Heading1">
    <w:name w:val="heading 1"/>
    <w:basedOn w:val="Normal"/>
    <w:next w:val="Normal"/>
    <w:link w:val="Heading1Char"/>
    <w:uiPriority w:val="9"/>
    <w:qFormat/>
    <w:rsid w:val="00860F5F"/>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Heading2">
    <w:name w:val="heading 2"/>
    <w:basedOn w:val="Normal"/>
    <w:next w:val="Normal"/>
    <w:link w:val="Heading2Char"/>
    <w:uiPriority w:val="9"/>
    <w:unhideWhenUsed/>
    <w:qFormat/>
    <w:rsid w:val="00860F5F"/>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Heading3">
    <w:name w:val="heading 3"/>
    <w:basedOn w:val="Normal"/>
    <w:next w:val="Normal"/>
    <w:link w:val="Heading3Char"/>
    <w:uiPriority w:val="9"/>
    <w:unhideWhenUsed/>
    <w:qFormat/>
    <w:rsid w:val="00860F5F"/>
    <w:pPr>
      <w:pBdr>
        <w:top w:val="single" w:sz="6" w:space="2" w:color="5B9BD5"/>
      </w:pBdr>
      <w:spacing w:before="300" w:after="0"/>
      <w:outlineLvl w:val="2"/>
    </w:pPr>
    <w:rPr>
      <w:caps/>
      <w:color w:val="1F4D78"/>
      <w:spacing w:val="15"/>
    </w:rPr>
  </w:style>
  <w:style w:type="paragraph" w:styleId="Heading4">
    <w:name w:val="heading 4"/>
    <w:basedOn w:val="Normal"/>
    <w:next w:val="Normal"/>
    <w:link w:val="Heading4Char"/>
    <w:uiPriority w:val="9"/>
    <w:semiHidden/>
    <w:unhideWhenUsed/>
    <w:qFormat/>
    <w:rsid w:val="00860F5F"/>
    <w:pPr>
      <w:pBdr>
        <w:top w:val="dotted" w:sz="6" w:space="2" w:color="5B9BD5"/>
      </w:pBdr>
      <w:spacing w:before="200" w:after="0"/>
      <w:outlineLvl w:val="3"/>
    </w:pPr>
    <w:rPr>
      <w:caps/>
      <w:color w:val="2E74B5"/>
      <w:spacing w:val="10"/>
    </w:rPr>
  </w:style>
  <w:style w:type="paragraph" w:styleId="Heading5">
    <w:name w:val="heading 5"/>
    <w:basedOn w:val="Normal"/>
    <w:next w:val="Normal"/>
    <w:link w:val="Heading5Char"/>
    <w:uiPriority w:val="9"/>
    <w:semiHidden/>
    <w:unhideWhenUsed/>
    <w:qFormat/>
    <w:rsid w:val="00860F5F"/>
    <w:pPr>
      <w:pBdr>
        <w:bottom w:val="single" w:sz="6" w:space="1" w:color="5B9BD5"/>
      </w:pBdr>
      <w:spacing w:before="200" w:after="0"/>
      <w:outlineLvl w:val="4"/>
    </w:pPr>
    <w:rPr>
      <w:caps/>
      <w:color w:val="2E74B5"/>
      <w:spacing w:val="10"/>
    </w:rPr>
  </w:style>
  <w:style w:type="paragraph" w:styleId="Heading6">
    <w:name w:val="heading 6"/>
    <w:basedOn w:val="Normal"/>
    <w:next w:val="Normal"/>
    <w:link w:val="Heading6Char"/>
    <w:uiPriority w:val="9"/>
    <w:semiHidden/>
    <w:unhideWhenUsed/>
    <w:qFormat/>
    <w:rsid w:val="00860F5F"/>
    <w:pPr>
      <w:pBdr>
        <w:bottom w:val="dotted" w:sz="6" w:space="1" w:color="5B9BD5"/>
      </w:pBdr>
      <w:spacing w:before="200" w:after="0"/>
      <w:outlineLvl w:val="5"/>
    </w:pPr>
    <w:rPr>
      <w:caps/>
      <w:color w:val="2E74B5"/>
      <w:spacing w:val="10"/>
    </w:rPr>
  </w:style>
  <w:style w:type="paragraph" w:styleId="Heading7">
    <w:name w:val="heading 7"/>
    <w:basedOn w:val="Normal"/>
    <w:next w:val="Normal"/>
    <w:link w:val="Heading7Char"/>
    <w:uiPriority w:val="9"/>
    <w:semiHidden/>
    <w:unhideWhenUsed/>
    <w:qFormat/>
    <w:rsid w:val="00860F5F"/>
    <w:pPr>
      <w:spacing w:before="200" w:after="0"/>
      <w:outlineLvl w:val="6"/>
    </w:pPr>
    <w:rPr>
      <w:caps/>
      <w:color w:val="2E74B5"/>
      <w:spacing w:val="10"/>
    </w:rPr>
  </w:style>
  <w:style w:type="paragraph" w:styleId="Heading8">
    <w:name w:val="heading 8"/>
    <w:basedOn w:val="Normal"/>
    <w:next w:val="Normal"/>
    <w:link w:val="Heading8Char"/>
    <w:uiPriority w:val="9"/>
    <w:semiHidden/>
    <w:unhideWhenUsed/>
    <w:qFormat/>
    <w:rsid w:val="00860F5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60F5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60F5F"/>
    <w:rPr>
      <w:caps/>
      <w:color w:val="FFFFFF"/>
      <w:spacing w:val="15"/>
      <w:sz w:val="22"/>
      <w:szCs w:val="22"/>
      <w:shd w:val="clear" w:color="auto" w:fill="5B9BD5"/>
    </w:rPr>
  </w:style>
  <w:style w:type="character" w:customStyle="1" w:styleId="Heading2Char">
    <w:name w:val="Heading 2 Char"/>
    <w:link w:val="Heading2"/>
    <w:uiPriority w:val="9"/>
    <w:rsid w:val="00860F5F"/>
    <w:rPr>
      <w:caps/>
      <w:spacing w:val="15"/>
      <w:shd w:val="clear" w:color="auto" w:fill="DEEAF6"/>
    </w:rPr>
  </w:style>
  <w:style w:type="character" w:customStyle="1" w:styleId="Heading3Char">
    <w:name w:val="Heading 3 Char"/>
    <w:link w:val="Heading3"/>
    <w:uiPriority w:val="9"/>
    <w:rsid w:val="00860F5F"/>
    <w:rPr>
      <w:caps/>
      <w:color w:val="1F4D78"/>
      <w:spacing w:val="15"/>
    </w:rPr>
  </w:style>
  <w:style w:type="character" w:customStyle="1" w:styleId="Heading4Char">
    <w:name w:val="Heading 4 Char"/>
    <w:link w:val="Heading4"/>
    <w:uiPriority w:val="9"/>
    <w:semiHidden/>
    <w:rsid w:val="00860F5F"/>
    <w:rPr>
      <w:caps/>
      <w:color w:val="2E74B5"/>
      <w:spacing w:val="10"/>
    </w:rPr>
  </w:style>
  <w:style w:type="character" w:customStyle="1" w:styleId="Heading5Char">
    <w:name w:val="Heading 5 Char"/>
    <w:link w:val="Heading5"/>
    <w:uiPriority w:val="9"/>
    <w:semiHidden/>
    <w:rsid w:val="00860F5F"/>
    <w:rPr>
      <w:caps/>
      <w:color w:val="2E74B5"/>
      <w:spacing w:val="10"/>
    </w:rPr>
  </w:style>
  <w:style w:type="character" w:customStyle="1" w:styleId="Heading6Char">
    <w:name w:val="Heading 6 Char"/>
    <w:link w:val="Heading6"/>
    <w:uiPriority w:val="9"/>
    <w:semiHidden/>
    <w:rsid w:val="00860F5F"/>
    <w:rPr>
      <w:caps/>
      <w:color w:val="2E74B5"/>
      <w:spacing w:val="10"/>
    </w:rPr>
  </w:style>
  <w:style w:type="character" w:customStyle="1" w:styleId="Heading7Char">
    <w:name w:val="Heading 7 Char"/>
    <w:link w:val="Heading7"/>
    <w:uiPriority w:val="9"/>
    <w:semiHidden/>
    <w:rsid w:val="00860F5F"/>
    <w:rPr>
      <w:caps/>
      <w:color w:val="2E74B5"/>
      <w:spacing w:val="10"/>
    </w:rPr>
  </w:style>
  <w:style w:type="character" w:customStyle="1" w:styleId="Heading8Char">
    <w:name w:val="Heading 8 Char"/>
    <w:link w:val="Heading8"/>
    <w:uiPriority w:val="9"/>
    <w:semiHidden/>
    <w:rsid w:val="00860F5F"/>
    <w:rPr>
      <w:caps/>
      <w:spacing w:val="10"/>
      <w:sz w:val="18"/>
      <w:szCs w:val="18"/>
    </w:rPr>
  </w:style>
  <w:style w:type="character" w:customStyle="1" w:styleId="Heading9Char">
    <w:name w:val="Heading 9 Char"/>
    <w:link w:val="Heading9"/>
    <w:uiPriority w:val="9"/>
    <w:semiHidden/>
    <w:rsid w:val="00860F5F"/>
    <w:rPr>
      <w:i/>
      <w:iCs/>
      <w:caps/>
      <w:spacing w:val="10"/>
      <w:sz w:val="18"/>
      <w:szCs w:val="18"/>
    </w:rPr>
  </w:style>
  <w:style w:type="paragraph" w:styleId="Caption">
    <w:name w:val="caption"/>
    <w:basedOn w:val="Normal"/>
    <w:next w:val="Normal"/>
    <w:uiPriority w:val="35"/>
    <w:semiHidden/>
    <w:unhideWhenUsed/>
    <w:qFormat/>
    <w:rsid w:val="00860F5F"/>
    <w:rPr>
      <w:b/>
      <w:bCs/>
      <w:color w:val="2E74B5"/>
      <w:sz w:val="16"/>
      <w:szCs w:val="16"/>
    </w:rPr>
  </w:style>
  <w:style w:type="paragraph" w:styleId="Title">
    <w:name w:val="Title"/>
    <w:basedOn w:val="Normal"/>
    <w:next w:val="Normal"/>
    <w:link w:val="TitleChar"/>
    <w:uiPriority w:val="10"/>
    <w:qFormat/>
    <w:rsid w:val="00860F5F"/>
    <w:pPr>
      <w:spacing w:before="0" w:after="0"/>
    </w:pPr>
    <w:rPr>
      <w:rFonts w:ascii="Calibri Light" w:eastAsia="SimSun" w:hAnsi="Calibri Light" w:cs="Times New Roman"/>
      <w:caps/>
      <w:color w:val="5B9BD5"/>
      <w:spacing w:val="10"/>
      <w:sz w:val="52"/>
      <w:szCs w:val="52"/>
    </w:rPr>
  </w:style>
  <w:style w:type="character" w:customStyle="1" w:styleId="TitleChar">
    <w:name w:val="Title Char"/>
    <w:link w:val="Title"/>
    <w:uiPriority w:val="10"/>
    <w:rsid w:val="00860F5F"/>
    <w:rPr>
      <w:rFonts w:ascii="Calibri Light" w:eastAsia="SimSun" w:hAnsi="Calibri Light" w:cs="Times New Roman"/>
      <w:caps/>
      <w:color w:val="5B9BD5"/>
      <w:spacing w:val="10"/>
      <w:sz w:val="52"/>
      <w:szCs w:val="52"/>
    </w:rPr>
  </w:style>
  <w:style w:type="paragraph" w:styleId="Subtitle">
    <w:name w:val="Subtitle"/>
    <w:basedOn w:val="Normal"/>
    <w:next w:val="Normal"/>
    <w:link w:val="SubtitleChar"/>
    <w:uiPriority w:val="11"/>
    <w:qFormat/>
    <w:rsid w:val="00860F5F"/>
    <w:pPr>
      <w:spacing w:before="0" w:after="500" w:line="240" w:lineRule="auto"/>
    </w:pPr>
    <w:rPr>
      <w:caps/>
      <w:color w:val="595959"/>
      <w:spacing w:val="10"/>
      <w:sz w:val="21"/>
      <w:szCs w:val="21"/>
    </w:rPr>
  </w:style>
  <w:style w:type="character" w:customStyle="1" w:styleId="SubtitleChar">
    <w:name w:val="Subtitle Char"/>
    <w:link w:val="Subtitle"/>
    <w:uiPriority w:val="11"/>
    <w:rsid w:val="00860F5F"/>
    <w:rPr>
      <w:caps/>
      <w:color w:val="595959"/>
      <w:spacing w:val="10"/>
      <w:sz w:val="21"/>
      <w:szCs w:val="21"/>
    </w:rPr>
  </w:style>
  <w:style w:type="character" w:styleId="Strong">
    <w:name w:val="Strong"/>
    <w:uiPriority w:val="22"/>
    <w:qFormat/>
    <w:rsid w:val="00860F5F"/>
    <w:rPr>
      <w:b/>
      <w:bCs/>
    </w:rPr>
  </w:style>
  <w:style w:type="character" w:styleId="Emphasis">
    <w:name w:val="Emphasis"/>
    <w:uiPriority w:val="20"/>
    <w:qFormat/>
    <w:rsid w:val="00860F5F"/>
    <w:rPr>
      <w:caps/>
      <w:color w:val="1F4D78"/>
      <w:spacing w:val="5"/>
    </w:rPr>
  </w:style>
  <w:style w:type="paragraph" w:styleId="NoSpacing">
    <w:name w:val="No Spacing"/>
    <w:link w:val="NoSpacingChar"/>
    <w:uiPriority w:val="1"/>
    <w:qFormat/>
    <w:rsid w:val="00860F5F"/>
    <w:pPr>
      <w:spacing w:after="0" w:line="240" w:lineRule="auto"/>
    </w:pPr>
  </w:style>
  <w:style w:type="paragraph" w:styleId="Quote">
    <w:name w:val="Quote"/>
    <w:basedOn w:val="Normal"/>
    <w:next w:val="Normal"/>
    <w:link w:val="QuoteChar"/>
    <w:uiPriority w:val="29"/>
    <w:qFormat/>
    <w:rsid w:val="00860F5F"/>
    <w:rPr>
      <w:i/>
      <w:iCs/>
      <w:sz w:val="24"/>
      <w:szCs w:val="24"/>
    </w:rPr>
  </w:style>
  <w:style w:type="character" w:customStyle="1" w:styleId="QuoteChar">
    <w:name w:val="Quote Char"/>
    <w:link w:val="Quote"/>
    <w:uiPriority w:val="29"/>
    <w:rsid w:val="00860F5F"/>
    <w:rPr>
      <w:i/>
      <w:iCs/>
      <w:sz w:val="24"/>
      <w:szCs w:val="24"/>
    </w:rPr>
  </w:style>
  <w:style w:type="paragraph" w:styleId="IntenseQuote">
    <w:name w:val="Intense Quote"/>
    <w:basedOn w:val="Normal"/>
    <w:next w:val="Normal"/>
    <w:link w:val="IntenseQuoteChar"/>
    <w:uiPriority w:val="30"/>
    <w:qFormat/>
    <w:rsid w:val="00860F5F"/>
    <w:pPr>
      <w:spacing w:before="240" w:after="240" w:line="240" w:lineRule="auto"/>
      <w:ind w:left="1080" w:right="1080"/>
      <w:jc w:val="center"/>
    </w:pPr>
    <w:rPr>
      <w:color w:val="5B9BD5"/>
      <w:sz w:val="24"/>
      <w:szCs w:val="24"/>
    </w:rPr>
  </w:style>
  <w:style w:type="character" w:customStyle="1" w:styleId="IntenseQuoteChar">
    <w:name w:val="Intense Quote Char"/>
    <w:link w:val="IntenseQuote"/>
    <w:uiPriority w:val="30"/>
    <w:rsid w:val="00860F5F"/>
    <w:rPr>
      <w:color w:val="5B9BD5"/>
      <w:sz w:val="24"/>
      <w:szCs w:val="24"/>
    </w:rPr>
  </w:style>
  <w:style w:type="character" w:styleId="SubtleEmphasis">
    <w:name w:val="Subtle Emphasis"/>
    <w:uiPriority w:val="19"/>
    <w:qFormat/>
    <w:rsid w:val="00860F5F"/>
    <w:rPr>
      <w:i/>
      <w:iCs/>
      <w:color w:val="1F4D78"/>
    </w:rPr>
  </w:style>
  <w:style w:type="character" w:styleId="IntenseEmphasis">
    <w:name w:val="Intense Emphasis"/>
    <w:uiPriority w:val="21"/>
    <w:qFormat/>
    <w:rsid w:val="00860F5F"/>
    <w:rPr>
      <w:b/>
      <w:bCs/>
      <w:caps/>
      <w:color w:val="1F4D78"/>
      <w:spacing w:val="10"/>
    </w:rPr>
  </w:style>
  <w:style w:type="character" w:styleId="SubtleReference">
    <w:name w:val="Subtle Reference"/>
    <w:uiPriority w:val="31"/>
    <w:qFormat/>
    <w:rsid w:val="00860F5F"/>
    <w:rPr>
      <w:b/>
      <w:bCs/>
      <w:color w:val="5B9BD5"/>
    </w:rPr>
  </w:style>
  <w:style w:type="character" w:styleId="IntenseReference">
    <w:name w:val="Intense Reference"/>
    <w:uiPriority w:val="32"/>
    <w:qFormat/>
    <w:rsid w:val="00860F5F"/>
    <w:rPr>
      <w:b/>
      <w:bCs/>
      <w:i/>
      <w:iCs/>
      <w:caps/>
      <w:color w:val="5B9BD5"/>
    </w:rPr>
  </w:style>
  <w:style w:type="character" w:styleId="BookTitle">
    <w:name w:val="Book Title"/>
    <w:uiPriority w:val="33"/>
    <w:qFormat/>
    <w:rsid w:val="00860F5F"/>
    <w:rPr>
      <w:b/>
      <w:bCs/>
      <w:i/>
      <w:iCs/>
      <w:spacing w:val="0"/>
    </w:rPr>
  </w:style>
  <w:style w:type="paragraph" w:styleId="TOCHeading">
    <w:name w:val="TOC Heading"/>
    <w:basedOn w:val="Heading1"/>
    <w:next w:val="Normal"/>
    <w:uiPriority w:val="39"/>
    <w:unhideWhenUsed/>
    <w:qFormat/>
    <w:rsid w:val="00860F5F"/>
    <w:pPr>
      <w:outlineLvl w:val="9"/>
    </w:pPr>
  </w:style>
  <w:style w:type="paragraph" w:styleId="ListParagraph">
    <w:name w:val="List Paragraph"/>
    <w:aliases w:val="2,Bullet 1,Bullet Points,Dot pt,F5 List Paragraph,IFCL - List Paragraph,Indicator Text,List Paragraph Char Char Char,List Paragraph1,List Paragraph12,MAIN CONTENT,No Spacing1,Numbered Para 1,OBC Bullet,Strip,Colorful List - Accent 11"/>
    <w:basedOn w:val="Normal"/>
    <w:link w:val="ListParagraphChar"/>
    <w:uiPriority w:val="34"/>
    <w:qFormat/>
    <w:rsid w:val="00154023"/>
    <w:pPr>
      <w:ind w:left="720"/>
      <w:contextualSpacing/>
    </w:pPr>
  </w:style>
  <w:style w:type="paragraph" w:styleId="BalloonText">
    <w:name w:val="Balloon Text"/>
    <w:basedOn w:val="Normal"/>
    <w:link w:val="BalloonTextChar"/>
    <w:uiPriority w:val="99"/>
    <w:semiHidden/>
    <w:unhideWhenUsed/>
    <w:rsid w:val="0050304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043"/>
    <w:rPr>
      <w:rFonts w:ascii="Segoe UI" w:hAnsi="Segoe UI" w:cs="Segoe UI"/>
      <w:sz w:val="18"/>
      <w:szCs w:val="18"/>
    </w:rPr>
  </w:style>
  <w:style w:type="paragraph" w:customStyle="1" w:styleId="Default">
    <w:name w:val="Default"/>
    <w:rsid w:val="000A7445"/>
    <w:pPr>
      <w:autoSpaceDE w:val="0"/>
      <w:autoSpaceDN w:val="0"/>
      <w:adjustRightInd w:val="0"/>
      <w:spacing w:before="0"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F4570"/>
    <w:rPr>
      <w:color w:val="0563C1" w:themeColor="hyperlink"/>
      <w:u w:val="single"/>
    </w:rPr>
  </w:style>
  <w:style w:type="paragraph" w:styleId="Header">
    <w:name w:val="header"/>
    <w:basedOn w:val="Normal"/>
    <w:link w:val="HeaderChar"/>
    <w:uiPriority w:val="99"/>
    <w:unhideWhenUsed/>
    <w:rsid w:val="002F056A"/>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2F056A"/>
  </w:style>
  <w:style w:type="paragraph" w:styleId="Footer">
    <w:name w:val="footer"/>
    <w:basedOn w:val="Normal"/>
    <w:link w:val="FooterChar"/>
    <w:uiPriority w:val="99"/>
    <w:unhideWhenUsed/>
    <w:rsid w:val="002F056A"/>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2F056A"/>
  </w:style>
  <w:style w:type="character" w:styleId="CommentReference">
    <w:name w:val="annotation reference"/>
    <w:basedOn w:val="DefaultParagraphFont"/>
    <w:uiPriority w:val="99"/>
    <w:semiHidden/>
    <w:unhideWhenUsed/>
    <w:rsid w:val="005B4AF5"/>
    <w:rPr>
      <w:sz w:val="16"/>
      <w:szCs w:val="16"/>
    </w:rPr>
  </w:style>
  <w:style w:type="paragraph" w:styleId="CommentText">
    <w:name w:val="annotation text"/>
    <w:basedOn w:val="Normal"/>
    <w:link w:val="CommentTextChar"/>
    <w:uiPriority w:val="99"/>
    <w:unhideWhenUsed/>
    <w:rsid w:val="005B4AF5"/>
    <w:pPr>
      <w:spacing w:line="240" w:lineRule="auto"/>
    </w:pPr>
  </w:style>
  <w:style w:type="character" w:customStyle="1" w:styleId="CommentTextChar">
    <w:name w:val="Comment Text Char"/>
    <w:basedOn w:val="DefaultParagraphFont"/>
    <w:link w:val="CommentText"/>
    <w:uiPriority w:val="99"/>
    <w:rsid w:val="005B4AF5"/>
  </w:style>
  <w:style w:type="paragraph" w:styleId="CommentSubject">
    <w:name w:val="annotation subject"/>
    <w:basedOn w:val="CommentText"/>
    <w:next w:val="CommentText"/>
    <w:link w:val="CommentSubjectChar"/>
    <w:uiPriority w:val="99"/>
    <w:semiHidden/>
    <w:unhideWhenUsed/>
    <w:rsid w:val="005B4AF5"/>
    <w:rPr>
      <w:b/>
      <w:bCs/>
    </w:rPr>
  </w:style>
  <w:style w:type="character" w:customStyle="1" w:styleId="CommentSubjectChar">
    <w:name w:val="Comment Subject Char"/>
    <w:basedOn w:val="CommentTextChar"/>
    <w:link w:val="CommentSubject"/>
    <w:uiPriority w:val="99"/>
    <w:semiHidden/>
    <w:rsid w:val="005B4AF5"/>
    <w:rPr>
      <w:b/>
      <w:bCs/>
    </w:rPr>
  </w:style>
  <w:style w:type="table" w:styleId="TableGrid">
    <w:name w:val="Table Grid"/>
    <w:basedOn w:val="TableNormal"/>
    <w:uiPriority w:val="39"/>
    <w:rsid w:val="002B561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402C0"/>
    <w:rPr>
      <w:color w:val="954F72" w:themeColor="followedHyperlink"/>
      <w:u w:val="single"/>
    </w:rPr>
  </w:style>
  <w:style w:type="paragraph" w:styleId="Revision">
    <w:name w:val="Revision"/>
    <w:hidden/>
    <w:uiPriority w:val="99"/>
    <w:semiHidden/>
    <w:rsid w:val="00095869"/>
    <w:pPr>
      <w:spacing w:before="0" w:after="0" w:line="240" w:lineRule="auto"/>
    </w:pPr>
  </w:style>
  <w:style w:type="paragraph" w:styleId="NormalWeb">
    <w:name w:val="Normal (Web)"/>
    <w:basedOn w:val="Normal"/>
    <w:uiPriority w:val="99"/>
    <w:unhideWhenUsed/>
    <w:rsid w:val="00F2118B"/>
    <w:pPr>
      <w:spacing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1">
    <w:name w:val="s1"/>
    <w:basedOn w:val="DefaultParagraphFont"/>
    <w:rsid w:val="00F2118B"/>
  </w:style>
  <w:style w:type="paragraph" w:customStyle="1" w:styleId="tvhtml">
    <w:name w:val="tv_html"/>
    <w:basedOn w:val="Normal"/>
    <w:rsid w:val="00FC3ECD"/>
    <w:pPr>
      <w:spacing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FC65D1"/>
    <w:pPr>
      <w:spacing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6A7564"/>
    <w:pPr>
      <w:spacing w:before="0" w:after="0" w:line="240" w:lineRule="auto"/>
    </w:pPr>
  </w:style>
  <w:style w:type="character" w:customStyle="1" w:styleId="FootnoteTextChar">
    <w:name w:val="Footnote Text Char"/>
    <w:basedOn w:val="DefaultParagraphFont"/>
    <w:link w:val="FootnoteText"/>
    <w:uiPriority w:val="99"/>
    <w:semiHidden/>
    <w:rsid w:val="006A7564"/>
  </w:style>
  <w:style w:type="character" w:styleId="FootnoteReference">
    <w:name w:val="footnote reference"/>
    <w:basedOn w:val="DefaultParagraphFont"/>
    <w:uiPriority w:val="99"/>
    <w:semiHidden/>
    <w:unhideWhenUsed/>
    <w:rsid w:val="006A7564"/>
    <w:rPr>
      <w:vertAlign w:val="superscript"/>
    </w:rPr>
  </w:style>
  <w:style w:type="table" w:customStyle="1" w:styleId="TableGrid1">
    <w:name w:val="Table Grid1"/>
    <w:basedOn w:val="TableNormal"/>
    <w:next w:val="TableGrid"/>
    <w:uiPriority w:val="39"/>
    <w:rsid w:val="00DF2F22"/>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1 Char,Bullet Points Char,Dot pt Char,F5 List Paragraph Char,IFCL - List Paragraph Char,Indicator Text Char,List Paragraph Char Char Char Char,List Paragraph1 Char,List Paragraph12 Char,MAIN CONTENT Char,OBC Bullet Char"/>
    <w:basedOn w:val="DefaultParagraphFont"/>
    <w:link w:val="ListParagraph"/>
    <w:uiPriority w:val="34"/>
    <w:qFormat/>
    <w:locked/>
    <w:rsid w:val="00E34A45"/>
  </w:style>
  <w:style w:type="paragraph" w:styleId="EndnoteText">
    <w:name w:val="endnote text"/>
    <w:basedOn w:val="Normal"/>
    <w:link w:val="EndnoteTextChar"/>
    <w:uiPriority w:val="99"/>
    <w:semiHidden/>
    <w:unhideWhenUsed/>
    <w:rsid w:val="000B2E09"/>
    <w:pPr>
      <w:spacing w:before="0" w:after="0" w:line="240" w:lineRule="auto"/>
    </w:pPr>
  </w:style>
  <w:style w:type="character" w:customStyle="1" w:styleId="EndnoteTextChar">
    <w:name w:val="Endnote Text Char"/>
    <w:basedOn w:val="DefaultParagraphFont"/>
    <w:link w:val="EndnoteText"/>
    <w:uiPriority w:val="99"/>
    <w:semiHidden/>
    <w:rsid w:val="000B2E09"/>
  </w:style>
  <w:style w:type="character" w:styleId="EndnoteReference">
    <w:name w:val="endnote reference"/>
    <w:basedOn w:val="DefaultParagraphFont"/>
    <w:uiPriority w:val="99"/>
    <w:semiHidden/>
    <w:unhideWhenUsed/>
    <w:rsid w:val="000B2E09"/>
    <w:rPr>
      <w:vertAlign w:val="superscript"/>
    </w:rPr>
  </w:style>
  <w:style w:type="table" w:customStyle="1" w:styleId="TableGrid2">
    <w:name w:val="Table Grid2"/>
    <w:basedOn w:val="TableNormal"/>
    <w:next w:val="TableGrid"/>
    <w:uiPriority w:val="39"/>
    <w:rsid w:val="004B5136"/>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699B"/>
    <w:rPr>
      <w:color w:val="605E5C"/>
      <w:shd w:val="clear" w:color="auto" w:fill="E1DFDD"/>
    </w:rPr>
  </w:style>
  <w:style w:type="table" w:customStyle="1" w:styleId="TableGrid3">
    <w:name w:val="Table Grid3"/>
    <w:basedOn w:val="TableNormal"/>
    <w:next w:val="TableGrid"/>
    <w:uiPriority w:val="39"/>
    <w:rsid w:val="00B64A94"/>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17F39"/>
  </w:style>
  <w:style w:type="paragraph" w:customStyle="1" w:styleId="TOC21">
    <w:name w:val="TOC 21"/>
    <w:basedOn w:val="Normal"/>
    <w:next w:val="Normal"/>
    <w:autoRedefine/>
    <w:uiPriority w:val="39"/>
    <w:unhideWhenUsed/>
    <w:rsid w:val="00217F39"/>
    <w:pPr>
      <w:tabs>
        <w:tab w:val="left" w:pos="880"/>
        <w:tab w:val="right" w:leader="dot" w:pos="9072"/>
      </w:tabs>
      <w:spacing w:before="0" w:after="100" w:line="259" w:lineRule="auto"/>
      <w:ind w:left="709" w:right="-1" w:hanging="489"/>
      <w:jc w:val="both"/>
    </w:pPr>
    <w:rPr>
      <w:rFonts w:ascii="Times New Roman" w:eastAsia="Times New Roman" w:hAnsi="Times New Roman" w:cs="Times New Roman"/>
      <w:noProof/>
      <w:sz w:val="28"/>
      <w:szCs w:val="22"/>
      <w:lang w:val="en-US"/>
    </w:rPr>
  </w:style>
  <w:style w:type="paragraph" w:customStyle="1" w:styleId="TOC11">
    <w:name w:val="TOC 11"/>
    <w:basedOn w:val="Normal"/>
    <w:next w:val="Normal"/>
    <w:autoRedefine/>
    <w:uiPriority w:val="39"/>
    <w:unhideWhenUsed/>
    <w:rsid w:val="00217F39"/>
    <w:pPr>
      <w:tabs>
        <w:tab w:val="left" w:pos="440"/>
        <w:tab w:val="right" w:leader="dot" w:pos="9071"/>
      </w:tabs>
      <w:spacing w:before="0" w:after="100" w:line="259" w:lineRule="auto"/>
      <w:jc w:val="both"/>
    </w:pPr>
    <w:rPr>
      <w:rFonts w:ascii="Times New Roman" w:eastAsia="Times New Roman" w:hAnsi="Times New Roman" w:cs="Times New Roman"/>
      <w:b/>
      <w:bCs/>
      <w:iCs/>
      <w:noProof/>
      <w:sz w:val="28"/>
      <w:szCs w:val="22"/>
      <w:lang w:val="en-US"/>
    </w:rPr>
  </w:style>
  <w:style w:type="paragraph" w:customStyle="1" w:styleId="TOC31">
    <w:name w:val="TOC 31"/>
    <w:basedOn w:val="Normal"/>
    <w:next w:val="Normal"/>
    <w:autoRedefine/>
    <w:uiPriority w:val="39"/>
    <w:unhideWhenUsed/>
    <w:rsid w:val="00217F39"/>
    <w:pPr>
      <w:spacing w:before="0" w:after="100" w:line="259" w:lineRule="auto"/>
      <w:ind w:left="440"/>
      <w:jc w:val="both"/>
    </w:pPr>
    <w:rPr>
      <w:rFonts w:ascii="Times New Roman" w:eastAsia="Times New Roman" w:hAnsi="Times New Roman" w:cs="Times New Roman"/>
      <w:sz w:val="28"/>
      <w:szCs w:val="22"/>
      <w:lang w:val="en-US"/>
    </w:rPr>
  </w:style>
  <w:style w:type="table" w:customStyle="1" w:styleId="TableGrid21">
    <w:name w:val="Table Grid21"/>
    <w:basedOn w:val="TableNormal"/>
    <w:next w:val="TableGrid"/>
    <w:uiPriority w:val="39"/>
    <w:rsid w:val="00217F39"/>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17F39"/>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17F39"/>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217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5774">
      <w:bodyDiv w:val="1"/>
      <w:marLeft w:val="0"/>
      <w:marRight w:val="0"/>
      <w:marTop w:val="0"/>
      <w:marBottom w:val="0"/>
      <w:divBdr>
        <w:top w:val="none" w:sz="0" w:space="0" w:color="auto"/>
        <w:left w:val="none" w:sz="0" w:space="0" w:color="auto"/>
        <w:bottom w:val="none" w:sz="0" w:space="0" w:color="auto"/>
        <w:right w:val="none" w:sz="0" w:space="0" w:color="auto"/>
      </w:divBdr>
    </w:div>
    <w:div w:id="37124028">
      <w:bodyDiv w:val="1"/>
      <w:marLeft w:val="0"/>
      <w:marRight w:val="0"/>
      <w:marTop w:val="0"/>
      <w:marBottom w:val="0"/>
      <w:divBdr>
        <w:top w:val="none" w:sz="0" w:space="0" w:color="auto"/>
        <w:left w:val="none" w:sz="0" w:space="0" w:color="auto"/>
        <w:bottom w:val="none" w:sz="0" w:space="0" w:color="auto"/>
        <w:right w:val="none" w:sz="0" w:space="0" w:color="auto"/>
      </w:divBdr>
    </w:div>
    <w:div w:id="41364257">
      <w:bodyDiv w:val="1"/>
      <w:marLeft w:val="0"/>
      <w:marRight w:val="0"/>
      <w:marTop w:val="0"/>
      <w:marBottom w:val="0"/>
      <w:divBdr>
        <w:top w:val="none" w:sz="0" w:space="0" w:color="auto"/>
        <w:left w:val="none" w:sz="0" w:space="0" w:color="auto"/>
        <w:bottom w:val="none" w:sz="0" w:space="0" w:color="auto"/>
        <w:right w:val="none" w:sz="0" w:space="0" w:color="auto"/>
      </w:divBdr>
    </w:div>
    <w:div w:id="100880290">
      <w:bodyDiv w:val="1"/>
      <w:marLeft w:val="0"/>
      <w:marRight w:val="0"/>
      <w:marTop w:val="0"/>
      <w:marBottom w:val="0"/>
      <w:divBdr>
        <w:top w:val="none" w:sz="0" w:space="0" w:color="auto"/>
        <w:left w:val="none" w:sz="0" w:space="0" w:color="auto"/>
        <w:bottom w:val="none" w:sz="0" w:space="0" w:color="auto"/>
        <w:right w:val="none" w:sz="0" w:space="0" w:color="auto"/>
      </w:divBdr>
    </w:div>
    <w:div w:id="238053394">
      <w:bodyDiv w:val="1"/>
      <w:marLeft w:val="0"/>
      <w:marRight w:val="0"/>
      <w:marTop w:val="0"/>
      <w:marBottom w:val="0"/>
      <w:divBdr>
        <w:top w:val="none" w:sz="0" w:space="0" w:color="auto"/>
        <w:left w:val="none" w:sz="0" w:space="0" w:color="auto"/>
        <w:bottom w:val="none" w:sz="0" w:space="0" w:color="auto"/>
        <w:right w:val="none" w:sz="0" w:space="0" w:color="auto"/>
      </w:divBdr>
    </w:div>
    <w:div w:id="274677009">
      <w:bodyDiv w:val="1"/>
      <w:marLeft w:val="0"/>
      <w:marRight w:val="0"/>
      <w:marTop w:val="0"/>
      <w:marBottom w:val="0"/>
      <w:divBdr>
        <w:top w:val="none" w:sz="0" w:space="0" w:color="auto"/>
        <w:left w:val="none" w:sz="0" w:space="0" w:color="auto"/>
        <w:bottom w:val="none" w:sz="0" w:space="0" w:color="auto"/>
        <w:right w:val="none" w:sz="0" w:space="0" w:color="auto"/>
      </w:divBdr>
    </w:div>
    <w:div w:id="323895842">
      <w:bodyDiv w:val="1"/>
      <w:marLeft w:val="0"/>
      <w:marRight w:val="0"/>
      <w:marTop w:val="0"/>
      <w:marBottom w:val="0"/>
      <w:divBdr>
        <w:top w:val="none" w:sz="0" w:space="0" w:color="auto"/>
        <w:left w:val="none" w:sz="0" w:space="0" w:color="auto"/>
        <w:bottom w:val="none" w:sz="0" w:space="0" w:color="auto"/>
        <w:right w:val="none" w:sz="0" w:space="0" w:color="auto"/>
      </w:divBdr>
    </w:div>
    <w:div w:id="402068354">
      <w:bodyDiv w:val="1"/>
      <w:marLeft w:val="0"/>
      <w:marRight w:val="0"/>
      <w:marTop w:val="0"/>
      <w:marBottom w:val="0"/>
      <w:divBdr>
        <w:top w:val="none" w:sz="0" w:space="0" w:color="auto"/>
        <w:left w:val="none" w:sz="0" w:space="0" w:color="auto"/>
        <w:bottom w:val="none" w:sz="0" w:space="0" w:color="auto"/>
        <w:right w:val="none" w:sz="0" w:space="0" w:color="auto"/>
      </w:divBdr>
    </w:div>
    <w:div w:id="415178414">
      <w:bodyDiv w:val="1"/>
      <w:marLeft w:val="0"/>
      <w:marRight w:val="0"/>
      <w:marTop w:val="0"/>
      <w:marBottom w:val="0"/>
      <w:divBdr>
        <w:top w:val="none" w:sz="0" w:space="0" w:color="auto"/>
        <w:left w:val="none" w:sz="0" w:space="0" w:color="auto"/>
        <w:bottom w:val="none" w:sz="0" w:space="0" w:color="auto"/>
        <w:right w:val="none" w:sz="0" w:space="0" w:color="auto"/>
      </w:divBdr>
    </w:div>
    <w:div w:id="460148672">
      <w:bodyDiv w:val="1"/>
      <w:marLeft w:val="0"/>
      <w:marRight w:val="0"/>
      <w:marTop w:val="0"/>
      <w:marBottom w:val="0"/>
      <w:divBdr>
        <w:top w:val="none" w:sz="0" w:space="0" w:color="auto"/>
        <w:left w:val="none" w:sz="0" w:space="0" w:color="auto"/>
        <w:bottom w:val="none" w:sz="0" w:space="0" w:color="auto"/>
        <w:right w:val="none" w:sz="0" w:space="0" w:color="auto"/>
      </w:divBdr>
    </w:div>
    <w:div w:id="477378030">
      <w:bodyDiv w:val="1"/>
      <w:marLeft w:val="0"/>
      <w:marRight w:val="0"/>
      <w:marTop w:val="0"/>
      <w:marBottom w:val="0"/>
      <w:divBdr>
        <w:top w:val="none" w:sz="0" w:space="0" w:color="auto"/>
        <w:left w:val="none" w:sz="0" w:space="0" w:color="auto"/>
        <w:bottom w:val="none" w:sz="0" w:space="0" w:color="auto"/>
        <w:right w:val="none" w:sz="0" w:space="0" w:color="auto"/>
      </w:divBdr>
    </w:div>
    <w:div w:id="485171803">
      <w:bodyDiv w:val="1"/>
      <w:marLeft w:val="0"/>
      <w:marRight w:val="0"/>
      <w:marTop w:val="0"/>
      <w:marBottom w:val="0"/>
      <w:divBdr>
        <w:top w:val="none" w:sz="0" w:space="0" w:color="auto"/>
        <w:left w:val="none" w:sz="0" w:space="0" w:color="auto"/>
        <w:bottom w:val="none" w:sz="0" w:space="0" w:color="auto"/>
        <w:right w:val="none" w:sz="0" w:space="0" w:color="auto"/>
      </w:divBdr>
    </w:div>
    <w:div w:id="513425531">
      <w:bodyDiv w:val="1"/>
      <w:marLeft w:val="0"/>
      <w:marRight w:val="0"/>
      <w:marTop w:val="0"/>
      <w:marBottom w:val="0"/>
      <w:divBdr>
        <w:top w:val="none" w:sz="0" w:space="0" w:color="auto"/>
        <w:left w:val="none" w:sz="0" w:space="0" w:color="auto"/>
        <w:bottom w:val="none" w:sz="0" w:space="0" w:color="auto"/>
        <w:right w:val="none" w:sz="0" w:space="0" w:color="auto"/>
      </w:divBdr>
    </w:div>
    <w:div w:id="578517681">
      <w:bodyDiv w:val="1"/>
      <w:marLeft w:val="0"/>
      <w:marRight w:val="0"/>
      <w:marTop w:val="0"/>
      <w:marBottom w:val="0"/>
      <w:divBdr>
        <w:top w:val="none" w:sz="0" w:space="0" w:color="auto"/>
        <w:left w:val="none" w:sz="0" w:space="0" w:color="auto"/>
        <w:bottom w:val="none" w:sz="0" w:space="0" w:color="auto"/>
        <w:right w:val="none" w:sz="0" w:space="0" w:color="auto"/>
      </w:divBdr>
    </w:div>
    <w:div w:id="584998118">
      <w:bodyDiv w:val="1"/>
      <w:marLeft w:val="0"/>
      <w:marRight w:val="0"/>
      <w:marTop w:val="0"/>
      <w:marBottom w:val="0"/>
      <w:divBdr>
        <w:top w:val="none" w:sz="0" w:space="0" w:color="auto"/>
        <w:left w:val="none" w:sz="0" w:space="0" w:color="auto"/>
        <w:bottom w:val="none" w:sz="0" w:space="0" w:color="auto"/>
        <w:right w:val="none" w:sz="0" w:space="0" w:color="auto"/>
      </w:divBdr>
    </w:div>
    <w:div w:id="592320978">
      <w:bodyDiv w:val="1"/>
      <w:marLeft w:val="0"/>
      <w:marRight w:val="0"/>
      <w:marTop w:val="0"/>
      <w:marBottom w:val="0"/>
      <w:divBdr>
        <w:top w:val="none" w:sz="0" w:space="0" w:color="auto"/>
        <w:left w:val="none" w:sz="0" w:space="0" w:color="auto"/>
        <w:bottom w:val="none" w:sz="0" w:space="0" w:color="auto"/>
        <w:right w:val="none" w:sz="0" w:space="0" w:color="auto"/>
      </w:divBdr>
    </w:div>
    <w:div w:id="625355796">
      <w:bodyDiv w:val="1"/>
      <w:marLeft w:val="0"/>
      <w:marRight w:val="0"/>
      <w:marTop w:val="0"/>
      <w:marBottom w:val="0"/>
      <w:divBdr>
        <w:top w:val="none" w:sz="0" w:space="0" w:color="auto"/>
        <w:left w:val="none" w:sz="0" w:space="0" w:color="auto"/>
        <w:bottom w:val="none" w:sz="0" w:space="0" w:color="auto"/>
        <w:right w:val="none" w:sz="0" w:space="0" w:color="auto"/>
      </w:divBdr>
    </w:div>
    <w:div w:id="630864238">
      <w:bodyDiv w:val="1"/>
      <w:marLeft w:val="0"/>
      <w:marRight w:val="0"/>
      <w:marTop w:val="0"/>
      <w:marBottom w:val="0"/>
      <w:divBdr>
        <w:top w:val="none" w:sz="0" w:space="0" w:color="auto"/>
        <w:left w:val="none" w:sz="0" w:space="0" w:color="auto"/>
        <w:bottom w:val="none" w:sz="0" w:space="0" w:color="auto"/>
        <w:right w:val="none" w:sz="0" w:space="0" w:color="auto"/>
      </w:divBdr>
    </w:div>
    <w:div w:id="720982239">
      <w:bodyDiv w:val="1"/>
      <w:marLeft w:val="0"/>
      <w:marRight w:val="0"/>
      <w:marTop w:val="0"/>
      <w:marBottom w:val="0"/>
      <w:divBdr>
        <w:top w:val="none" w:sz="0" w:space="0" w:color="auto"/>
        <w:left w:val="none" w:sz="0" w:space="0" w:color="auto"/>
        <w:bottom w:val="none" w:sz="0" w:space="0" w:color="auto"/>
        <w:right w:val="none" w:sz="0" w:space="0" w:color="auto"/>
      </w:divBdr>
    </w:div>
    <w:div w:id="792670970">
      <w:bodyDiv w:val="1"/>
      <w:marLeft w:val="0"/>
      <w:marRight w:val="0"/>
      <w:marTop w:val="0"/>
      <w:marBottom w:val="0"/>
      <w:divBdr>
        <w:top w:val="none" w:sz="0" w:space="0" w:color="auto"/>
        <w:left w:val="none" w:sz="0" w:space="0" w:color="auto"/>
        <w:bottom w:val="none" w:sz="0" w:space="0" w:color="auto"/>
        <w:right w:val="none" w:sz="0" w:space="0" w:color="auto"/>
      </w:divBdr>
    </w:div>
    <w:div w:id="825900407">
      <w:bodyDiv w:val="1"/>
      <w:marLeft w:val="0"/>
      <w:marRight w:val="0"/>
      <w:marTop w:val="0"/>
      <w:marBottom w:val="0"/>
      <w:divBdr>
        <w:top w:val="none" w:sz="0" w:space="0" w:color="auto"/>
        <w:left w:val="none" w:sz="0" w:space="0" w:color="auto"/>
        <w:bottom w:val="none" w:sz="0" w:space="0" w:color="auto"/>
        <w:right w:val="none" w:sz="0" w:space="0" w:color="auto"/>
      </w:divBdr>
    </w:div>
    <w:div w:id="903950583">
      <w:bodyDiv w:val="1"/>
      <w:marLeft w:val="0"/>
      <w:marRight w:val="0"/>
      <w:marTop w:val="0"/>
      <w:marBottom w:val="0"/>
      <w:divBdr>
        <w:top w:val="none" w:sz="0" w:space="0" w:color="auto"/>
        <w:left w:val="none" w:sz="0" w:space="0" w:color="auto"/>
        <w:bottom w:val="none" w:sz="0" w:space="0" w:color="auto"/>
        <w:right w:val="none" w:sz="0" w:space="0" w:color="auto"/>
      </w:divBdr>
    </w:div>
    <w:div w:id="916131922">
      <w:bodyDiv w:val="1"/>
      <w:marLeft w:val="0"/>
      <w:marRight w:val="0"/>
      <w:marTop w:val="0"/>
      <w:marBottom w:val="0"/>
      <w:divBdr>
        <w:top w:val="none" w:sz="0" w:space="0" w:color="auto"/>
        <w:left w:val="none" w:sz="0" w:space="0" w:color="auto"/>
        <w:bottom w:val="none" w:sz="0" w:space="0" w:color="auto"/>
        <w:right w:val="none" w:sz="0" w:space="0" w:color="auto"/>
      </w:divBdr>
    </w:div>
    <w:div w:id="931008355">
      <w:bodyDiv w:val="1"/>
      <w:marLeft w:val="0"/>
      <w:marRight w:val="0"/>
      <w:marTop w:val="0"/>
      <w:marBottom w:val="0"/>
      <w:divBdr>
        <w:top w:val="none" w:sz="0" w:space="0" w:color="auto"/>
        <w:left w:val="none" w:sz="0" w:space="0" w:color="auto"/>
        <w:bottom w:val="none" w:sz="0" w:space="0" w:color="auto"/>
        <w:right w:val="none" w:sz="0" w:space="0" w:color="auto"/>
      </w:divBdr>
    </w:div>
    <w:div w:id="937102005">
      <w:bodyDiv w:val="1"/>
      <w:marLeft w:val="0"/>
      <w:marRight w:val="0"/>
      <w:marTop w:val="0"/>
      <w:marBottom w:val="0"/>
      <w:divBdr>
        <w:top w:val="none" w:sz="0" w:space="0" w:color="auto"/>
        <w:left w:val="none" w:sz="0" w:space="0" w:color="auto"/>
        <w:bottom w:val="none" w:sz="0" w:space="0" w:color="auto"/>
        <w:right w:val="none" w:sz="0" w:space="0" w:color="auto"/>
      </w:divBdr>
    </w:div>
    <w:div w:id="960576702">
      <w:bodyDiv w:val="1"/>
      <w:marLeft w:val="0"/>
      <w:marRight w:val="0"/>
      <w:marTop w:val="0"/>
      <w:marBottom w:val="0"/>
      <w:divBdr>
        <w:top w:val="none" w:sz="0" w:space="0" w:color="auto"/>
        <w:left w:val="none" w:sz="0" w:space="0" w:color="auto"/>
        <w:bottom w:val="none" w:sz="0" w:space="0" w:color="auto"/>
        <w:right w:val="none" w:sz="0" w:space="0" w:color="auto"/>
      </w:divBdr>
    </w:div>
    <w:div w:id="971713123">
      <w:bodyDiv w:val="1"/>
      <w:marLeft w:val="0"/>
      <w:marRight w:val="0"/>
      <w:marTop w:val="0"/>
      <w:marBottom w:val="0"/>
      <w:divBdr>
        <w:top w:val="none" w:sz="0" w:space="0" w:color="auto"/>
        <w:left w:val="none" w:sz="0" w:space="0" w:color="auto"/>
        <w:bottom w:val="none" w:sz="0" w:space="0" w:color="auto"/>
        <w:right w:val="none" w:sz="0" w:space="0" w:color="auto"/>
      </w:divBdr>
    </w:div>
    <w:div w:id="979185373">
      <w:bodyDiv w:val="1"/>
      <w:marLeft w:val="0"/>
      <w:marRight w:val="0"/>
      <w:marTop w:val="0"/>
      <w:marBottom w:val="0"/>
      <w:divBdr>
        <w:top w:val="none" w:sz="0" w:space="0" w:color="auto"/>
        <w:left w:val="none" w:sz="0" w:space="0" w:color="auto"/>
        <w:bottom w:val="none" w:sz="0" w:space="0" w:color="auto"/>
        <w:right w:val="none" w:sz="0" w:space="0" w:color="auto"/>
      </w:divBdr>
    </w:div>
    <w:div w:id="993725385">
      <w:bodyDiv w:val="1"/>
      <w:marLeft w:val="0"/>
      <w:marRight w:val="0"/>
      <w:marTop w:val="0"/>
      <w:marBottom w:val="0"/>
      <w:divBdr>
        <w:top w:val="none" w:sz="0" w:space="0" w:color="auto"/>
        <w:left w:val="none" w:sz="0" w:space="0" w:color="auto"/>
        <w:bottom w:val="none" w:sz="0" w:space="0" w:color="auto"/>
        <w:right w:val="none" w:sz="0" w:space="0" w:color="auto"/>
      </w:divBdr>
    </w:div>
    <w:div w:id="1002975939">
      <w:bodyDiv w:val="1"/>
      <w:marLeft w:val="0"/>
      <w:marRight w:val="0"/>
      <w:marTop w:val="0"/>
      <w:marBottom w:val="0"/>
      <w:divBdr>
        <w:top w:val="none" w:sz="0" w:space="0" w:color="auto"/>
        <w:left w:val="none" w:sz="0" w:space="0" w:color="auto"/>
        <w:bottom w:val="none" w:sz="0" w:space="0" w:color="auto"/>
        <w:right w:val="none" w:sz="0" w:space="0" w:color="auto"/>
      </w:divBdr>
    </w:div>
    <w:div w:id="1073157612">
      <w:bodyDiv w:val="1"/>
      <w:marLeft w:val="0"/>
      <w:marRight w:val="0"/>
      <w:marTop w:val="0"/>
      <w:marBottom w:val="0"/>
      <w:divBdr>
        <w:top w:val="none" w:sz="0" w:space="0" w:color="auto"/>
        <w:left w:val="none" w:sz="0" w:space="0" w:color="auto"/>
        <w:bottom w:val="none" w:sz="0" w:space="0" w:color="auto"/>
        <w:right w:val="none" w:sz="0" w:space="0" w:color="auto"/>
      </w:divBdr>
    </w:div>
    <w:div w:id="1086264006">
      <w:bodyDiv w:val="1"/>
      <w:marLeft w:val="0"/>
      <w:marRight w:val="0"/>
      <w:marTop w:val="0"/>
      <w:marBottom w:val="0"/>
      <w:divBdr>
        <w:top w:val="none" w:sz="0" w:space="0" w:color="auto"/>
        <w:left w:val="none" w:sz="0" w:space="0" w:color="auto"/>
        <w:bottom w:val="none" w:sz="0" w:space="0" w:color="auto"/>
        <w:right w:val="none" w:sz="0" w:space="0" w:color="auto"/>
      </w:divBdr>
    </w:div>
    <w:div w:id="1094594137">
      <w:bodyDiv w:val="1"/>
      <w:marLeft w:val="0"/>
      <w:marRight w:val="0"/>
      <w:marTop w:val="0"/>
      <w:marBottom w:val="0"/>
      <w:divBdr>
        <w:top w:val="none" w:sz="0" w:space="0" w:color="auto"/>
        <w:left w:val="none" w:sz="0" w:space="0" w:color="auto"/>
        <w:bottom w:val="none" w:sz="0" w:space="0" w:color="auto"/>
        <w:right w:val="none" w:sz="0" w:space="0" w:color="auto"/>
      </w:divBdr>
    </w:div>
    <w:div w:id="1107502495">
      <w:bodyDiv w:val="1"/>
      <w:marLeft w:val="0"/>
      <w:marRight w:val="0"/>
      <w:marTop w:val="0"/>
      <w:marBottom w:val="0"/>
      <w:divBdr>
        <w:top w:val="none" w:sz="0" w:space="0" w:color="auto"/>
        <w:left w:val="none" w:sz="0" w:space="0" w:color="auto"/>
        <w:bottom w:val="none" w:sz="0" w:space="0" w:color="auto"/>
        <w:right w:val="none" w:sz="0" w:space="0" w:color="auto"/>
      </w:divBdr>
    </w:div>
    <w:div w:id="1179155809">
      <w:bodyDiv w:val="1"/>
      <w:marLeft w:val="0"/>
      <w:marRight w:val="0"/>
      <w:marTop w:val="0"/>
      <w:marBottom w:val="0"/>
      <w:divBdr>
        <w:top w:val="none" w:sz="0" w:space="0" w:color="auto"/>
        <w:left w:val="none" w:sz="0" w:space="0" w:color="auto"/>
        <w:bottom w:val="none" w:sz="0" w:space="0" w:color="auto"/>
        <w:right w:val="none" w:sz="0" w:space="0" w:color="auto"/>
      </w:divBdr>
    </w:div>
    <w:div w:id="1183933153">
      <w:bodyDiv w:val="1"/>
      <w:marLeft w:val="0"/>
      <w:marRight w:val="0"/>
      <w:marTop w:val="0"/>
      <w:marBottom w:val="0"/>
      <w:divBdr>
        <w:top w:val="none" w:sz="0" w:space="0" w:color="auto"/>
        <w:left w:val="none" w:sz="0" w:space="0" w:color="auto"/>
        <w:bottom w:val="none" w:sz="0" w:space="0" w:color="auto"/>
        <w:right w:val="none" w:sz="0" w:space="0" w:color="auto"/>
      </w:divBdr>
    </w:div>
    <w:div w:id="1243294195">
      <w:bodyDiv w:val="1"/>
      <w:marLeft w:val="0"/>
      <w:marRight w:val="0"/>
      <w:marTop w:val="0"/>
      <w:marBottom w:val="0"/>
      <w:divBdr>
        <w:top w:val="none" w:sz="0" w:space="0" w:color="auto"/>
        <w:left w:val="none" w:sz="0" w:space="0" w:color="auto"/>
        <w:bottom w:val="none" w:sz="0" w:space="0" w:color="auto"/>
        <w:right w:val="none" w:sz="0" w:space="0" w:color="auto"/>
      </w:divBdr>
    </w:div>
    <w:div w:id="1266039476">
      <w:bodyDiv w:val="1"/>
      <w:marLeft w:val="0"/>
      <w:marRight w:val="0"/>
      <w:marTop w:val="0"/>
      <w:marBottom w:val="0"/>
      <w:divBdr>
        <w:top w:val="none" w:sz="0" w:space="0" w:color="auto"/>
        <w:left w:val="none" w:sz="0" w:space="0" w:color="auto"/>
        <w:bottom w:val="none" w:sz="0" w:space="0" w:color="auto"/>
        <w:right w:val="none" w:sz="0" w:space="0" w:color="auto"/>
      </w:divBdr>
    </w:div>
    <w:div w:id="1292981166">
      <w:bodyDiv w:val="1"/>
      <w:marLeft w:val="0"/>
      <w:marRight w:val="0"/>
      <w:marTop w:val="0"/>
      <w:marBottom w:val="0"/>
      <w:divBdr>
        <w:top w:val="none" w:sz="0" w:space="0" w:color="auto"/>
        <w:left w:val="none" w:sz="0" w:space="0" w:color="auto"/>
        <w:bottom w:val="none" w:sz="0" w:space="0" w:color="auto"/>
        <w:right w:val="none" w:sz="0" w:space="0" w:color="auto"/>
      </w:divBdr>
    </w:div>
    <w:div w:id="1359159690">
      <w:bodyDiv w:val="1"/>
      <w:marLeft w:val="0"/>
      <w:marRight w:val="0"/>
      <w:marTop w:val="0"/>
      <w:marBottom w:val="0"/>
      <w:divBdr>
        <w:top w:val="none" w:sz="0" w:space="0" w:color="auto"/>
        <w:left w:val="none" w:sz="0" w:space="0" w:color="auto"/>
        <w:bottom w:val="none" w:sz="0" w:space="0" w:color="auto"/>
        <w:right w:val="none" w:sz="0" w:space="0" w:color="auto"/>
      </w:divBdr>
    </w:div>
    <w:div w:id="1432430531">
      <w:bodyDiv w:val="1"/>
      <w:marLeft w:val="0"/>
      <w:marRight w:val="0"/>
      <w:marTop w:val="0"/>
      <w:marBottom w:val="0"/>
      <w:divBdr>
        <w:top w:val="none" w:sz="0" w:space="0" w:color="auto"/>
        <w:left w:val="none" w:sz="0" w:space="0" w:color="auto"/>
        <w:bottom w:val="none" w:sz="0" w:space="0" w:color="auto"/>
        <w:right w:val="none" w:sz="0" w:space="0" w:color="auto"/>
      </w:divBdr>
    </w:div>
    <w:div w:id="1444760860">
      <w:bodyDiv w:val="1"/>
      <w:marLeft w:val="0"/>
      <w:marRight w:val="0"/>
      <w:marTop w:val="0"/>
      <w:marBottom w:val="0"/>
      <w:divBdr>
        <w:top w:val="none" w:sz="0" w:space="0" w:color="auto"/>
        <w:left w:val="none" w:sz="0" w:space="0" w:color="auto"/>
        <w:bottom w:val="none" w:sz="0" w:space="0" w:color="auto"/>
        <w:right w:val="none" w:sz="0" w:space="0" w:color="auto"/>
      </w:divBdr>
    </w:div>
    <w:div w:id="1487745734">
      <w:bodyDiv w:val="1"/>
      <w:marLeft w:val="0"/>
      <w:marRight w:val="0"/>
      <w:marTop w:val="0"/>
      <w:marBottom w:val="0"/>
      <w:divBdr>
        <w:top w:val="none" w:sz="0" w:space="0" w:color="auto"/>
        <w:left w:val="none" w:sz="0" w:space="0" w:color="auto"/>
        <w:bottom w:val="none" w:sz="0" w:space="0" w:color="auto"/>
        <w:right w:val="none" w:sz="0" w:space="0" w:color="auto"/>
      </w:divBdr>
    </w:div>
    <w:div w:id="1562716974">
      <w:bodyDiv w:val="1"/>
      <w:marLeft w:val="0"/>
      <w:marRight w:val="0"/>
      <w:marTop w:val="0"/>
      <w:marBottom w:val="0"/>
      <w:divBdr>
        <w:top w:val="none" w:sz="0" w:space="0" w:color="auto"/>
        <w:left w:val="none" w:sz="0" w:space="0" w:color="auto"/>
        <w:bottom w:val="none" w:sz="0" w:space="0" w:color="auto"/>
        <w:right w:val="none" w:sz="0" w:space="0" w:color="auto"/>
      </w:divBdr>
    </w:div>
    <w:div w:id="1577864803">
      <w:bodyDiv w:val="1"/>
      <w:marLeft w:val="0"/>
      <w:marRight w:val="0"/>
      <w:marTop w:val="0"/>
      <w:marBottom w:val="0"/>
      <w:divBdr>
        <w:top w:val="none" w:sz="0" w:space="0" w:color="auto"/>
        <w:left w:val="none" w:sz="0" w:space="0" w:color="auto"/>
        <w:bottom w:val="none" w:sz="0" w:space="0" w:color="auto"/>
        <w:right w:val="none" w:sz="0" w:space="0" w:color="auto"/>
      </w:divBdr>
    </w:div>
    <w:div w:id="1582644041">
      <w:bodyDiv w:val="1"/>
      <w:marLeft w:val="0"/>
      <w:marRight w:val="0"/>
      <w:marTop w:val="0"/>
      <w:marBottom w:val="0"/>
      <w:divBdr>
        <w:top w:val="none" w:sz="0" w:space="0" w:color="auto"/>
        <w:left w:val="none" w:sz="0" w:space="0" w:color="auto"/>
        <w:bottom w:val="none" w:sz="0" w:space="0" w:color="auto"/>
        <w:right w:val="none" w:sz="0" w:space="0" w:color="auto"/>
      </w:divBdr>
    </w:div>
    <w:div w:id="1683819734">
      <w:bodyDiv w:val="1"/>
      <w:marLeft w:val="0"/>
      <w:marRight w:val="0"/>
      <w:marTop w:val="0"/>
      <w:marBottom w:val="0"/>
      <w:divBdr>
        <w:top w:val="none" w:sz="0" w:space="0" w:color="auto"/>
        <w:left w:val="none" w:sz="0" w:space="0" w:color="auto"/>
        <w:bottom w:val="none" w:sz="0" w:space="0" w:color="auto"/>
        <w:right w:val="none" w:sz="0" w:space="0" w:color="auto"/>
      </w:divBdr>
    </w:div>
    <w:div w:id="1717464425">
      <w:bodyDiv w:val="1"/>
      <w:marLeft w:val="0"/>
      <w:marRight w:val="0"/>
      <w:marTop w:val="0"/>
      <w:marBottom w:val="0"/>
      <w:divBdr>
        <w:top w:val="none" w:sz="0" w:space="0" w:color="auto"/>
        <w:left w:val="none" w:sz="0" w:space="0" w:color="auto"/>
        <w:bottom w:val="none" w:sz="0" w:space="0" w:color="auto"/>
        <w:right w:val="none" w:sz="0" w:space="0" w:color="auto"/>
      </w:divBdr>
    </w:div>
    <w:div w:id="1747068195">
      <w:bodyDiv w:val="1"/>
      <w:marLeft w:val="0"/>
      <w:marRight w:val="0"/>
      <w:marTop w:val="0"/>
      <w:marBottom w:val="0"/>
      <w:divBdr>
        <w:top w:val="none" w:sz="0" w:space="0" w:color="auto"/>
        <w:left w:val="none" w:sz="0" w:space="0" w:color="auto"/>
        <w:bottom w:val="none" w:sz="0" w:space="0" w:color="auto"/>
        <w:right w:val="none" w:sz="0" w:space="0" w:color="auto"/>
      </w:divBdr>
    </w:div>
    <w:div w:id="1763067138">
      <w:bodyDiv w:val="1"/>
      <w:marLeft w:val="0"/>
      <w:marRight w:val="0"/>
      <w:marTop w:val="0"/>
      <w:marBottom w:val="0"/>
      <w:divBdr>
        <w:top w:val="none" w:sz="0" w:space="0" w:color="auto"/>
        <w:left w:val="none" w:sz="0" w:space="0" w:color="auto"/>
        <w:bottom w:val="none" w:sz="0" w:space="0" w:color="auto"/>
        <w:right w:val="none" w:sz="0" w:space="0" w:color="auto"/>
      </w:divBdr>
    </w:div>
    <w:div w:id="1808235564">
      <w:bodyDiv w:val="1"/>
      <w:marLeft w:val="0"/>
      <w:marRight w:val="0"/>
      <w:marTop w:val="0"/>
      <w:marBottom w:val="0"/>
      <w:divBdr>
        <w:top w:val="none" w:sz="0" w:space="0" w:color="auto"/>
        <w:left w:val="none" w:sz="0" w:space="0" w:color="auto"/>
        <w:bottom w:val="none" w:sz="0" w:space="0" w:color="auto"/>
        <w:right w:val="none" w:sz="0" w:space="0" w:color="auto"/>
      </w:divBdr>
    </w:div>
    <w:div w:id="1827432756">
      <w:bodyDiv w:val="1"/>
      <w:marLeft w:val="0"/>
      <w:marRight w:val="0"/>
      <w:marTop w:val="0"/>
      <w:marBottom w:val="0"/>
      <w:divBdr>
        <w:top w:val="none" w:sz="0" w:space="0" w:color="auto"/>
        <w:left w:val="none" w:sz="0" w:space="0" w:color="auto"/>
        <w:bottom w:val="none" w:sz="0" w:space="0" w:color="auto"/>
        <w:right w:val="none" w:sz="0" w:space="0" w:color="auto"/>
      </w:divBdr>
    </w:div>
    <w:div w:id="1833254775">
      <w:bodyDiv w:val="1"/>
      <w:marLeft w:val="0"/>
      <w:marRight w:val="0"/>
      <w:marTop w:val="0"/>
      <w:marBottom w:val="0"/>
      <w:divBdr>
        <w:top w:val="none" w:sz="0" w:space="0" w:color="auto"/>
        <w:left w:val="none" w:sz="0" w:space="0" w:color="auto"/>
        <w:bottom w:val="none" w:sz="0" w:space="0" w:color="auto"/>
        <w:right w:val="none" w:sz="0" w:space="0" w:color="auto"/>
      </w:divBdr>
    </w:div>
    <w:div w:id="1927228714">
      <w:bodyDiv w:val="1"/>
      <w:marLeft w:val="0"/>
      <w:marRight w:val="0"/>
      <w:marTop w:val="0"/>
      <w:marBottom w:val="0"/>
      <w:divBdr>
        <w:top w:val="none" w:sz="0" w:space="0" w:color="auto"/>
        <w:left w:val="none" w:sz="0" w:space="0" w:color="auto"/>
        <w:bottom w:val="none" w:sz="0" w:space="0" w:color="auto"/>
        <w:right w:val="none" w:sz="0" w:space="0" w:color="auto"/>
      </w:divBdr>
    </w:div>
    <w:div w:id="1933464918">
      <w:bodyDiv w:val="1"/>
      <w:marLeft w:val="0"/>
      <w:marRight w:val="0"/>
      <w:marTop w:val="0"/>
      <w:marBottom w:val="0"/>
      <w:divBdr>
        <w:top w:val="none" w:sz="0" w:space="0" w:color="auto"/>
        <w:left w:val="none" w:sz="0" w:space="0" w:color="auto"/>
        <w:bottom w:val="none" w:sz="0" w:space="0" w:color="auto"/>
        <w:right w:val="none" w:sz="0" w:space="0" w:color="auto"/>
      </w:divBdr>
    </w:div>
    <w:div w:id="1988119441">
      <w:bodyDiv w:val="1"/>
      <w:marLeft w:val="0"/>
      <w:marRight w:val="0"/>
      <w:marTop w:val="0"/>
      <w:marBottom w:val="0"/>
      <w:divBdr>
        <w:top w:val="none" w:sz="0" w:space="0" w:color="auto"/>
        <w:left w:val="none" w:sz="0" w:space="0" w:color="auto"/>
        <w:bottom w:val="none" w:sz="0" w:space="0" w:color="auto"/>
        <w:right w:val="none" w:sz="0" w:space="0" w:color="auto"/>
      </w:divBdr>
    </w:div>
    <w:div w:id="2042054457">
      <w:bodyDiv w:val="1"/>
      <w:marLeft w:val="0"/>
      <w:marRight w:val="0"/>
      <w:marTop w:val="0"/>
      <w:marBottom w:val="0"/>
      <w:divBdr>
        <w:top w:val="none" w:sz="0" w:space="0" w:color="auto"/>
        <w:left w:val="none" w:sz="0" w:space="0" w:color="auto"/>
        <w:bottom w:val="none" w:sz="0" w:space="0" w:color="auto"/>
        <w:right w:val="none" w:sz="0" w:space="0" w:color="auto"/>
      </w:divBdr>
    </w:div>
    <w:div w:id="2082216086">
      <w:bodyDiv w:val="1"/>
      <w:marLeft w:val="0"/>
      <w:marRight w:val="0"/>
      <w:marTop w:val="0"/>
      <w:marBottom w:val="0"/>
      <w:divBdr>
        <w:top w:val="none" w:sz="0" w:space="0" w:color="auto"/>
        <w:left w:val="none" w:sz="0" w:space="0" w:color="auto"/>
        <w:bottom w:val="none" w:sz="0" w:space="0" w:color="auto"/>
        <w:right w:val="none" w:sz="0" w:space="0" w:color="auto"/>
      </w:divBdr>
    </w:div>
    <w:div w:id="209087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sseriga.edu/sites/default/files/2021-06/SSERiga_Enu_ekonomikas_indekss_2009-2020_1.pdf" TargetMode="External"/><Relationship Id="rId2" Type="http://schemas.openxmlformats.org/officeDocument/2006/relationships/hyperlink" Target="https://www.sseriga.edu/sites/default/files/2021-06/SSERiga_Enu_ekonomikas_indekss_2009-2020_1.pdf" TargetMode="External"/><Relationship Id="rId1" Type="http://schemas.openxmlformats.org/officeDocument/2006/relationships/hyperlink" Target="https://tapportals.mk.gov.lv/legal_acts/28a1411f-c6bb-4775-a1d3-3ace54dbd238" TargetMode="External"/><Relationship Id="rId4" Type="http://schemas.openxmlformats.org/officeDocument/2006/relationships/hyperlink" Target="https://www.sseriga.edu/sites/default/files/2020-05/Enu_ekonomika_buvnieciba_2015-2019_petijuma_kopsavilkums_prezentacija.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gnp00120\Desktop\DARBS_UZDEVUMI\2021\EDLUS\EDLUS_VEDLUDB\PIELIKUMS_ar%20tabul&#257;m_att&#275;l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e-zvirg\OneDrive%20-%20Finan&#353;u%20ministrija\Darbvirsma\Mani%20dokumenti\3_Enu%20ekonomika\ee%202020_DAT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'7.attēls'!$C$21</c:f>
              <c:strCache>
                <c:ptCount val="1"/>
                <c:pt idx="0">
                  <c:v>Kontroles pasākumu kopskaits būvuzņēmējiem</c:v>
                </c:pt>
              </c:strCache>
            </c:strRef>
          </c:tx>
          <c:spPr>
            <a:solidFill>
              <a:schemeClr val="accent1"/>
            </a:solidFill>
            <a:ln>
              <a:noFill/>
            </a:ln>
            <a:effectLst/>
          </c:spPr>
          <c:invertIfNegative val="0"/>
          <c:cat>
            <c:strRef>
              <c:f>'7.attēls'!$D$20:$H$20</c:f>
              <c:strCache>
                <c:ptCount val="5"/>
                <c:pt idx="0">
                  <c:v>2017.gads</c:v>
                </c:pt>
                <c:pt idx="1">
                  <c:v>2018.gads</c:v>
                </c:pt>
                <c:pt idx="2">
                  <c:v>2019.gads</c:v>
                </c:pt>
                <c:pt idx="3">
                  <c:v>2020.gads</c:v>
                </c:pt>
                <c:pt idx="4">
                  <c:v>2021.gads</c:v>
                </c:pt>
              </c:strCache>
            </c:strRef>
          </c:cat>
          <c:val>
            <c:numRef>
              <c:f>'7.attēls'!$D$21:$H$21</c:f>
              <c:numCache>
                <c:formatCode>General</c:formatCode>
                <c:ptCount val="5"/>
                <c:pt idx="0">
                  <c:v>824</c:v>
                </c:pt>
                <c:pt idx="1">
                  <c:v>1083</c:v>
                </c:pt>
                <c:pt idx="2">
                  <c:v>988</c:v>
                </c:pt>
                <c:pt idx="3">
                  <c:v>440</c:v>
                </c:pt>
                <c:pt idx="4">
                  <c:v>79</c:v>
                </c:pt>
              </c:numCache>
            </c:numRef>
          </c:val>
          <c:extLst>
            <c:ext xmlns:c16="http://schemas.microsoft.com/office/drawing/2014/chart" uri="{C3380CC4-5D6E-409C-BE32-E72D297353CC}">
              <c16:uniqueId val="{00000000-CC41-46CC-ABA8-BC1B7D5C5FD2}"/>
            </c:ext>
          </c:extLst>
        </c:ser>
        <c:dLbls>
          <c:showLegendKey val="0"/>
          <c:showVal val="0"/>
          <c:showCatName val="0"/>
          <c:showSerName val="0"/>
          <c:showPercent val="0"/>
          <c:showBubbleSize val="0"/>
        </c:dLbls>
        <c:gapWidth val="219"/>
        <c:overlap val="-27"/>
        <c:axId val="1370049248"/>
        <c:axId val="1370055072"/>
      </c:barChart>
      <c:lineChart>
        <c:grouping val="standard"/>
        <c:varyColors val="0"/>
        <c:ser>
          <c:idx val="1"/>
          <c:order val="1"/>
          <c:tx>
            <c:strRef>
              <c:f>'7.attēls'!$C$22</c:f>
              <c:strCache>
                <c:ptCount val="1"/>
                <c:pt idx="0">
                  <c:v>Kontroles pasākumu skaits EDLU uzraudzībai</c:v>
                </c:pt>
              </c:strCache>
            </c:strRef>
          </c:tx>
          <c:spPr>
            <a:ln w="28575" cap="rnd">
              <a:solidFill>
                <a:schemeClr val="accent2"/>
              </a:solidFill>
              <a:round/>
            </a:ln>
            <a:effectLst/>
          </c:spPr>
          <c:marker>
            <c:symbol val="none"/>
          </c:marker>
          <c:cat>
            <c:strRef>
              <c:f>'7.attēls'!$D$20:$H$20</c:f>
              <c:strCache>
                <c:ptCount val="5"/>
                <c:pt idx="0">
                  <c:v>2017.gads</c:v>
                </c:pt>
                <c:pt idx="1">
                  <c:v>2018.gads</c:v>
                </c:pt>
                <c:pt idx="2">
                  <c:v>2019.gads</c:v>
                </c:pt>
                <c:pt idx="3">
                  <c:v>2020.gads</c:v>
                </c:pt>
                <c:pt idx="4">
                  <c:v>2021.gads</c:v>
                </c:pt>
              </c:strCache>
            </c:strRef>
          </c:cat>
          <c:val>
            <c:numRef>
              <c:f>'7.attēls'!$D$22:$H$22</c:f>
              <c:numCache>
                <c:formatCode>General</c:formatCode>
                <c:ptCount val="5"/>
                <c:pt idx="0">
                  <c:v>206</c:v>
                </c:pt>
                <c:pt idx="1">
                  <c:v>674</c:v>
                </c:pt>
                <c:pt idx="2">
                  <c:v>837</c:v>
                </c:pt>
                <c:pt idx="3">
                  <c:v>380</c:v>
                </c:pt>
                <c:pt idx="4">
                  <c:v>27</c:v>
                </c:pt>
              </c:numCache>
            </c:numRef>
          </c:val>
          <c:smooth val="0"/>
          <c:extLst>
            <c:ext xmlns:c16="http://schemas.microsoft.com/office/drawing/2014/chart" uri="{C3380CC4-5D6E-409C-BE32-E72D297353CC}">
              <c16:uniqueId val="{00000001-CC41-46CC-ABA8-BC1B7D5C5FD2}"/>
            </c:ext>
          </c:extLst>
        </c:ser>
        <c:dLbls>
          <c:showLegendKey val="0"/>
          <c:showVal val="0"/>
          <c:showCatName val="0"/>
          <c:showSerName val="0"/>
          <c:showPercent val="0"/>
          <c:showBubbleSize val="0"/>
        </c:dLbls>
        <c:marker val="1"/>
        <c:smooth val="0"/>
        <c:axId val="1370049248"/>
        <c:axId val="1370055072"/>
      </c:lineChart>
      <c:catAx>
        <c:axId val="13700492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70055072"/>
        <c:crosses val="autoZero"/>
        <c:auto val="1"/>
        <c:lblAlgn val="ctr"/>
        <c:lblOffset val="100"/>
        <c:noMultiLvlLbl val="0"/>
      </c:catAx>
      <c:valAx>
        <c:axId val="1370055072"/>
        <c:scaling>
          <c:orientation val="minMax"/>
        </c:scaling>
        <c:delete val="0"/>
        <c:axPos val="l"/>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3700492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Nozares!$B$5</c:f>
              <c:strCache>
                <c:ptCount val="1"/>
                <c:pt idx="0">
                  <c:v>Latvijā</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Nozares!$C$4:$H$4</c:f>
              <c:numCache>
                <c:formatCode>General</c:formatCode>
                <c:ptCount val="6"/>
                <c:pt idx="0">
                  <c:v>2015</c:v>
                </c:pt>
                <c:pt idx="1">
                  <c:v>2016</c:v>
                </c:pt>
                <c:pt idx="2">
                  <c:v>2017</c:v>
                </c:pt>
                <c:pt idx="3">
                  <c:v>2018</c:v>
                </c:pt>
                <c:pt idx="4">
                  <c:v>2019</c:v>
                </c:pt>
                <c:pt idx="5">
                  <c:v>2020</c:v>
                </c:pt>
              </c:numCache>
            </c:numRef>
          </c:cat>
          <c:val>
            <c:numRef>
              <c:f>Nozares!$C$5:$H$5</c:f>
              <c:numCache>
                <c:formatCode>General</c:formatCode>
                <c:ptCount val="6"/>
                <c:pt idx="0">
                  <c:v>21.3</c:v>
                </c:pt>
                <c:pt idx="1">
                  <c:v>20.7</c:v>
                </c:pt>
                <c:pt idx="2" formatCode="0.0">
                  <c:v>22</c:v>
                </c:pt>
                <c:pt idx="3">
                  <c:v>24.2</c:v>
                </c:pt>
                <c:pt idx="4">
                  <c:v>23.9</c:v>
                </c:pt>
                <c:pt idx="5">
                  <c:v>25.5</c:v>
                </c:pt>
              </c:numCache>
            </c:numRef>
          </c:val>
          <c:extLst>
            <c:ext xmlns:c16="http://schemas.microsoft.com/office/drawing/2014/chart" uri="{C3380CC4-5D6E-409C-BE32-E72D297353CC}">
              <c16:uniqueId val="{00000000-531F-4F35-87D0-BB905F5CD11F}"/>
            </c:ext>
          </c:extLst>
        </c:ser>
        <c:ser>
          <c:idx val="1"/>
          <c:order val="1"/>
          <c:tx>
            <c:strRef>
              <c:f>Nozares!$B$6</c:f>
              <c:strCache>
                <c:ptCount val="1"/>
                <c:pt idx="0">
                  <c:v>Būvniecības nozarē</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Nozares!$C$4:$H$4</c:f>
              <c:numCache>
                <c:formatCode>General</c:formatCode>
                <c:ptCount val="6"/>
                <c:pt idx="0">
                  <c:v>2015</c:v>
                </c:pt>
                <c:pt idx="1">
                  <c:v>2016</c:v>
                </c:pt>
                <c:pt idx="2">
                  <c:v>2017</c:v>
                </c:pt>
                <c:pt idx="3">
                  <c:v>2018</c:v>
                </c:pt>
                <c:pt idx="4">
                  <c:v>2019</c:v>
                </c:pt>
                <c:pt idx="5">
                  <c:v>2020</c:v>
                </c:pt>
              </c:numCache>
            </c:numRef>
          </c:cat>
          <c:val>
            <c:numRef>
              <c:f>Nozares!$C$6:$H$6</c:f>
              <c:numCache>
                <c:formatCode>0.0</c:formatCode>
                <c:ptCount val="6"/>
                <c:pt idx="0">
                  <c:v>40</c:v>
                </c:pt>
                <c:pt idx="1">
                  <c:v>38.5</c:v>
                </c:pt>
                <c:pt idx="2" formatCode="General">
                  <c:v>35.200000000000003</c:v>
                </c:pt>
                <c:pt idx="3" formatCode="General">
                  <c:v>34.1</c:v>
                </c:pt>
                <c:pt idx="4" formatCode="General">
                  <c:v>30.7</c:v>
                </c:pt>
                <c:pt idx="5" formatCode="General">
                  <c:v>28.7</c:v>
                </c:pt>
              </c:numCache>
            </c:numRef>
          </c:val>
          <c:extLst>
            <c:ext xmlns:c16="http://schemas.microsoft.com/office/drawing/2014/chart" uri="{C3380CC4-5D6E-409C-BE32-E72D297353CC}">
              <c16:uniqueId val="{00000001-531F-4F35-87D0-BB905F5CD11F}"/>
            </c:ext>
          </c:extLst>
        </c:ser>
        <c:dLbls>
          <c:showLegendKey val="0"/>
          <c:showVal val="0"/>
          <c:showCatName val="0"/>
          <c:showSerName val="0"/>
          <c:showPercent val="0"/>
          <c:showBubbleSize val="0"/>
        </c:dLbls>
        <c:gapWidth val="219"/>
        <c:overlap val="-27"/>
        <c:axId val="1787661840"/>
        <c:axId val="1787661424"/>
      </c:barChart>
      <c:catAx>
        <c:axId val="1787661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787661424"/>
        <c:crosses val="autoZero"/>
        <c:auto val="1"/>
        <c:lblAlgn val="ctr"/>
        <c:lblOffset val="100"/>
        <c:noMultiLvlLbl val="0"/>
      </c:catAx>
      <c:valAx>
        <c:axId val="1787661424"/>
        <c:scaling>
          <c:orientation val="minMax"/>
        </c:scaling>
        <c:delete val="1"/>
        <c:axPos val="l"/>
        <c:numFmt formatCode="General" sourceLinked="1"/>
        <c:majorTickMark val="none"/>
        <c:minorTickMark val="none"/>
        <c:tickLblPos val="nextTo"/>
        <c:crossAx val="1787661840"/>
        <c:crosses val="autoZero"/>
        <c:crossBetween val="between"/>
      </c:valAx>
      <c:spPr>
        <a:noFill/>
        <a:ln>
          <a:noFill/>
        </a:ln>
        <a:effectLst/>
      </c:spPr>
    </c:plotArea>
    <c:legend>
      <c:legendPos val="b"/>
      <c:layout>
        <c:manualLayout>
          <c:xMode val="edge"/>
          <c:yMode val="edge"/>
          <c:x val="0.23406335192283742"/>
          <c:y val="0.89398616082080651"/>
          <c:w val="0.54593286559742427"/>
          <c:h val="7.692293008828442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944B7-AC90-4543-B4CB-EFD7BCFD0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30782</Words>
  <Characters>17546</Characters>
  <Application>Microsoft Office Word</Application>
  <DocSecurity>0</DocSecurity>
  <Lines>146</Lines>
  <Paragraphs>96</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Informatīvais ziņojums par Ministru kabineta 2019.gada 15.janvāra sēdes protokollēmuma (prot. Nr.2 62.§ “Informatīvais ziņojums “Par pārbaudēs saistībā ar elektroniskās darba laika uzskaites sistēmas ieviešanu būvniecībā konstatēto”) 3.punktā dotā uzdevum</vt:lpstr>
      <vt:lpstr>Informatīvais ziņojums par Ministru kabineta 2019.gada 15.janvāra sēdes protokollēmuma (prot. Nr.2 62.§ “Informatīvais ziņojums “Par pārbaudēs saistībā ar elektroniskās darba laika uzskaites sistēmas ieviešanu būvniecībā konstatēto”) 3.punktā dotā uzdevum</vt:lpstr>
      <vt:lpstr/>
    </vt:vector>
  </TitlesOfParts>
  <Company>Finanšu ministrija</Company>
  <LinksUpToDate>false</LinksUpToDate>
  <CharactersWithSpaces>48232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Ministru kabineta 2019.gada 15.janvāra sēdes protokollēmuma (prot. Nr.2 62.§ “Informatīvais ziņojums “Par pārbaudēs saistībā ar elektroniskās darba laika uzskaites sistēmas ieviešanu būvniecībā konstatēto”) 3.punktā dotā uzdevum</dc:title>
  <dc:subject/>
  <dc:creator>Ineta Brokāne</dc:creator>
  <cp:keywords/>
  <dc:description/>
  <cp:lastModifiedBy>Olga Feldmane</cp:lastModifiedBy>
  <cp:revision>5</cp:revision>
  <cp:lastPrinted>2021-08-04T11:28:00Z</cp:lastPrinted>
  <dcterms:created xsi:type="dcterms:W3CDTF">2022-05-26T16:07:00Z</dcterms:created>
  <dcterms:modified xsi:type="dcterms:W3CDTF">2022-05-26T16:11:00Z</dcterms:modified>
  <cp:category>Informatīvais ziņojums</cp:category>
  <cp:contentStatus/>
</cp:coreProperties>
</file>