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59925" w14:textId="77777777" w:rsidR="003E6EAD" w:rsidRDefault="003A4514">
      <w:pPr>
        <w:spacing w:after="0" w:line="240" w:lineRule="auto"/>
        <w:jc w:val="both"/>
      </w:pPr>
      <w:r>
        <w:rPr>
          <w:rFonts w:ascii="Cambria" w:hAnsi="Cambria"/>
          <w:b/>
          <w:bCs/>
          <w:noProof/>
          <w:sz w:val="28"/>
          <w:szCs w:val="28"/>
        </w:rPr>
        <w:drawing>
          <wp:anchor distT="0" distB="0" distL="114300" distR="114300" simplePos="0" relativeHeight="251658247" behindDoc="0" locked="0" layoutInCell="1" allowOverlap="1" wp14:anchorId="52CB2E1C" wp14:editId="55395816">
            <wp:simplePos x="0" y="0"/>
            <wp:positionH relativeFrom="column">
              <wp:posOffset>-470531</wp:posOffset>
            </wp:positionH>
            <wp:positionV relativeFrom="paragraph">
              <wp:posOffset>-10158</wp:posOffset>
            </wp:positionV>
            <wp:extent cx="1631947" cy="797557"/>
            <wp:effectExtent l="0" t="0" r="6353" b="2543"/>
            <wp:wrapNone/>
            <wp:docPr id="14326075" name="Picture 5" descr="A picture containing sketch, white, symb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17399" r="17796"/>
                    <a:stretch>
                      <a:fillRect/>
                    </a:stretch>
                  </pic:blipFill>
                  <pic:spPr>
                    <a:xfrm>
                      <a:off x="0" y="0"/>
                      <a:ext cx="1631947" cy="797557"/>
                    </a:xfrm>
                    <a:prstGeom prst="rect">
                      <a:avLst/>
                    </a:prstGeom>
                    <a:noFill/>
                    <a:ln>
                      <a:noFill/>
                      <a:prstDash/>
                    </a:ln>
                  </pic:spPr>
                </pic:pic>
              </a:graphicData>
            </a:graphic>
          </wp:anchor>
        </w:drawing>
      </w:r>
      <w:r>
        <w:rPr>
          <w:rFonts w:ascii="Cambria" w:hAnsi="Cambria"/>
          <w:noProof/>
        </w:rPr>
        <mc:AlternateContent>
          <mc:Choice Requires="wps">
            <w:drawing>
              <wp:anchor distT="0" distB="0" distL="114300" distR="114300" simplePos="0" relativeHeight="251658246" behindDoc="0" locked="0" layoutInCell="1" allowOverlap="1" wp14:anchorId="4E442A96" wp14:editId="28229F2D">
                <wp:simplePos x="0" y="0"/>
                <wp:positionH relativeFrom="column">
                  <wp:posOffset>1231897</wp:posOffset>
                </wp:positionH>
                <wp:positionV relativeFrom="paragraph">
                  <wp:posOffset>10799</wp:posOffset>
                </wp:positionV>
                <wp:extent cx="4794254" cy="733421"/>
                <wp:effectExtent l="0" t="0" r="6346" b="0"/>
                <wp:wrapNone/>
                <wp:docPr id="1201889385" name="Rectangle 29"/>
                <wp:cNvGraphicFramePr/>
                <a:graphic xmlns:a="http://schemas.openxmlformats.org/drawingml/2006/main">
                  <a:graphicData uri="http://schemas.microsoft.com/office/word/2010/wordprocessingShape">
                    <wps:wsp>
                      <wps:cNvSpPr/>
                      <wps:spPr>
                        <a:xfrm>
                          <a:off x="0" y="0"/>
                          <a:ext cx="4794254" cy="733421"/>
                        </a:xfrm>
                        <a:prstGeom prst="rect">
                          <a:avLst/>
                        </a:prstGeom>
                        <a:solidFill>
                          <a:srgbClr val="E8E8E8"/>
                        </a:solidFill>
                        <a:ln cap="flat">
                          <a:noFill/>
                          <a:prstDash val="solid"/>
                        </a:ln>
                      </wps:spPr>
                      <wps:txbx>
                        <w:txbxContent>
                          <w:p w14:paraId="63AB115E" w14:textId="01EEF99C" w:rsidR="003E6EAD" w:rsidRDefault="003E6EAD">
                            <w:pPr>
                              <w:jc w:val="right"/>
                              <w:rPr>
                                <w:rFonts w:ascii="Cambria" w:hAnsi="Cambria"/>
                                <w:b/>
                                <w:bCs/>
                                <w:caps/>
                                <w:color w:val="808080"/>
                              </w:rPr>
                            </w:pPr>
                          </w:p>
                        </w:txbxContent>
                      </wps:txbx>
                      <wps:bodyPr vert="horz" wrap="square" lIns="91440" tIns="45720" rIns="91440" bIns="45720" anchor="ctr" anchorCtr="0" compatLnSpc="0">
                        <a:noAutofit/>
                      </wps:bodyPr>
                    </wps:wsp>
                  </a:graphicData>
                </a:graphic>
              </wp:anchor>
            </w:drawing>
          </mc:Choice>
          <mc:Fallback>
            <w:pict>
              <v:rect w14:anchorId="4E442A96" id="Rectangle 29" o:spid="_x0000_s1026" style="position:absolute;left:0;text-align:left;margin-left:97pt;margin-top:.85pt;width:377.5pt;height:57.7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" fillcolor="#e8e8e8" stroked="f">
                <v:textbox>
                  <w:txbxContent>
                    <w:p w14:paraId="63AB115E" w14:textId="01EEF99C" w:rsidR="003E6EAD" w:rsidRDefault="003E6EAD">
                      <w:pPr>
                        <w:jc w:val="right"/>
                        <w:rPr>
                          <w:rFonts w:ascii="Cambria" w:hAnsi="Cambria"/>
                          <w:b/>
                          <w:bCs/>
                          <w:caps/>
                          <w:color w:val="808080"/>
                        </w:rPr>
                      </w:pPr>
                    </w:p>
                  </w:txbxContent>
                </v:textbox>
              </v:rect>
            </w:pict>
          </mc:Fallback>
        </mc:AlternateContent>
      </w:r>
      <w:r>
        <w:rPr>
          <w:rFonts w:ascii="Cambria" w:hAnsi="Cambria"/>
          <w:noProof/>
        </w:rPr>
        <mc:AlternateContent>
          <mc:Choice Requires="wps">
            <w:drawing>
              <wp:anchor distT="0" distB="0" distL="114300" distR="114300" simplePos="0" relativeHeight="251658245" behindDoc="0" locked="0" layoutInCell="1" allowOverlap="1" wp14:anchorId="53413D4A" wp14:editId="08D925B7">
                <wp:simplePos x="0" y="0"/>
                <wp:positionH relativeFrom="column">
                  <wp:posOffset>-638178</wp:posOffset>
                </wp:positionH>
                <wp:positionV relativeFrom="paragraph">
                  <wp:posOffset>33659</wp:posOffset>
                </wp:positionV>
                <wp:extent cx="142875" cy="733421"/>
                <wp:effectExtent l="0" t="0" r="9525" b="0"/>
                <wp:wrapNone/>
                <wp:docPr id="457210360" name="Rectangle 4"/>
                <wp:cNvGraphicFramePr/>
                <a:graphic xmlns:a="http://schemas.openxmlformats.org/drawingml/2006/main">
                  <a:graphicData uri="http://schemas.microsoft.com/office/word/2010/wordprocessingShape">
                    <wps:wsp>
                      <wps:cNvSpPr/>
                      <wps:spPr>
                        <a:xfrm>
                          <a:off x="0" y="0"/>
                          <a:ext cx="142875" cy="733421"/>
                        </a:xfrm>
                        <a:prstGeom prst="rect">
                          <a:avLst/>
                        </a:prstGeom>
                        <a:solidFill>
                          <a:srgbClr val="155452"/>
                        </a:solidFill>
                        <a:ln cap="flat">
                          <a:noFill/>
                          <a:prstDash val="solid"/>
                        </a:ln>
                      </wps:spPr>
                      <wps:bodyPr lIns="0" tIns="0" rIns="0" bIns="0"/>
                    </wps:wsp>
                  </a:graphicData>
                </a:graphic>
              </wp:anchor>
            </w:drawing>
          </mc:Choice>
          <mc:Fallback>
            <w:pict>
              <v:rect w14:anchorId="5AA5FD89" id="Rectangle 4" o:spid="_x0000_s1026" style="position:absolute;margin-left:-50.25pt;margin-top:2.65pt;width:11.25pt;height:57.7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" fillcolor="#155452" stroked="f">
                <v:textbox inset="0,0,0,0"/>
              </v:rect>
            </w:pict>
          </mc:Fallback>
        </mc:AlternateContent>
      </w:r>
    </w:p>
    <w:p w14:paraId="77011A59" w14:textId="77777777" w:rsidR="003E6EAD" w:rsidRDefault="003E6EAD">
      <w:pPr>
        <w:spacing w:before="120" w:after="120" w:line="240" w:lineRule="auto"/>
        <w:jc w:val="center"/>
        <w:rPr>
          <w:rFonts w:ascii="Cambria" w:eastAsia="Times New Roman" w:hAnsi="Cambria"/>
          <w:b/>
          <w:sz w:val="36"/>
          <w:szCs w:val="36"/>
          <w:lang w:eastAsia="lv-LV"/>
        </w:rPr>
      </w:pPr>
    </w:p>
    <w:p w14:paraId="005CB67B" w14:textId="77777777" w:rsidR="003E6EAD" w:rsidRDefault="003A4514">
      <w:r>
        <w:rPr>
          <w:rFonts w:ascii="Cambria" w:hAnsi="Cambria"/>
          <w:noProof/>
        </w:rPr>
        <w:drawing>
          <wp:anchor distT="0" distB="0" distL="114300" distR="114300" simplePos="0" relativeHeight="251658240" behindDoc="0" locked="0" layoutInCell="1" allowOverlap="1" wp14:anchorId="0D888B31" wp14:editId="4A5082A2">
            <wp:simplePos x="0" y="0"/>
            <wp:positionH relativeFrom="page">
              <wp:align>center</wp:align>
            </wp:positionH>
            <wp:positionV relativeFrom="paragraph">
              <wp:posOffset>1628144</wp:posOffset>
            </wp:positionV>
            <wp:extent cx="5734046" cy="3821433"/>
            <wp:effectExtent l="95250" t="95250" r="95254" b="121917"/>
            <wp:wrapNone/>
            <wp:docPr id="1172174824" name="Picture 1893012540" descr="Leaves in front of a blurred forest backgrou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4046" cy="3821433"/>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anchor>
        </w:drawing>
      </w:r>
      <w:r>
        <w:rPr>
          <w:rFonts w:ascii="Cambria" w:hAnsi="Cambria"/>
          <w:noProof/>
        </w:rPr>
        <mc:AlternateContent>
          <mc:Choice Requires="wps">
            <w:drawing>
              <wp:anchor distT="0" distB="0" distL="114300" distR="114300" simplePos="0" relativeHeight="251658244" behindDoc="0" locked="0" layoutInCell="1" allowOverlap="1" wp14:anchorId="0DB064A9" wp14:editId="431258C6">
                <wp:simplePos x="0" y="0"/>
                <wp:positionH relativeFrom="page">
                  <wp:align>center</wp:align>
                </wp:positionH>
                <wp:positionV relativeFrom="paragraph">
                  <wp:posOffset>8115930</wp:posOffset>
                </wp:positionV>
                <wp:extent cx="1460497" cy="427353"/>
                <wp:effectExtent l="0" t="0" r="6353" b="0"/>
                <wp:wrapNone/>
                <wp:docPr id="108428433" name="Text Box 26"/>
                <wp:cNvGraphicFramePr/>
                <a:graphic xmlns:a="http://schemas.openxmlformats.org/drawingml/2006/main">
                  <a:graphicData uri="http://schemas.microsoft.com/office/word/2010/wordprocessingShape">
                    <wps:wsp>
                      <wps:cNvSpPr txBox="1"/>
                      <wps:spPr>
                        <a:xfrm>
                          <a:off x="0" y="0"/>
                          <a:ext cx="1460497" cy="427353"/>
                        </a:xfrm>
                        <a:prstGeom prst="rect">
                          <a:avLst/>
                        </a:prstGeom>
                        <a:solidFill>
                          <a:srgbClr val="FFFFFF"/>
                        </a:solidFill>
                        <a:ln>
                          <a:noFill/>
                          <a:prstDash/>
                        </a:ln>
                      </wps:spPr>
                      <wps:txbx>
                        <w:txbxContent>
                          <w:p w14:paraId="31B72C09" w14:textId="77777777" w:rsidR="003E6EAD" w:rsidRDefault="003A4514">
                            <w:pPr>
                              <w:jc w:val="center"/>
                              <w:rPr>
                                <w:rFonts w:ascii="Cambria" w:hAnsi="Cambria"/>
                                <w:b/>
                                <w:bCs/>
                                <w:sz w:val="32"/>
                                <w:szCs w:val="32"/>
                              </w:rPr>
                            </w:pPr>
                            <w:r>
                              <w:rPr>
                                <w:rFonts w:ascii="Cambria" w:hAnsi="Cambria"/>
                                <w:b/>
                                <w:bCs/>
                                <w:sz w:val="32"/>
                                <w:szCs w:val="32"/>
                              </w:rPr>
                              <w:t>2025</w:t>
                            </w:r>
                          </w:p>
                        </w:txbxContent>
                      </wps:txbx>
                      <wps:bodyPr vert="horz" wrap="square" lIns="91440" tIns="45720" rIns="91440" bIns="45720" anchor="t" anchorCtr="0" compatLnSpc="1">
                        <a:noAutofit/>
                      </wps:bodyPr>
                    </wps:wsp>
                  </a:graphicData>
                </a:graphic>
              </wp:anchor>
            </w:drawing>
          </mc:Choice>
          <mc:Fallback>
            <w:pict>
              <v:shapetype w14:anchorId="0DB064A9" id="_x0000_t202" coordsize="21600,21600" o:spt="202" path="m,l,21600r21600,l21600,xe">
                <v:stroke joinstyle="miter"/>
                <v:path gradientshapeok="t" o:connecttype="rect"/>
              </v:shapetype>
              <v:shape id="Text Box 26" o:spid="_x0000_s1027" type="#_x0000_t202" style="position:absolute;margin-left:0;margin-top:639.05pt;width:115pt;height:33.65pt;z-index:25165824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" stroked="f">
                <v:textbox>
                  <w:txbxContent>
                    <w:p w14:paraId="31B72C09" w14:textId="77777777" w:rsidR="003E6EAD" w:rsidRDefault="003A4514">
                      <w:pPr>
                        <w:jc w:val="center"/>
                        <w:rPr>
                          <w:rFonts w:ascii="Cambria" w:hAnsi="Cambria"/>
                          <w:b/>
                          <w:bCs/>
                          <w:sz w:val="32"/>
                          <w:szCs w:val="32"/>
                        </w:rPr>
                      </w:pPr>
                      <w:r>
                        <w:rPr>
                          <w:rFonts w:ascii="Cambria" w:hAnsi="Cambria"/>
                          <w:b/>
                          <w:bCs/>
                          <w:sz w:val="32"/>
                          <w:szCs w:val="32"/>
                        </w:rPr>
                        <w:t>2025</w:t>
                      </w:r>
                    </w:p>
                  </w:txbxContent>
                </v:textbox>
                <w10:wrap anchorx="page"/>
              </v:shape>
            </w:pict>
          </mc:Fallback>
        </mc:AlternateContent>
      </w:r>
      <w:r>
        <w:rPr>
          <w:rFonts w:ascii="Cambria" w:hAnsi="Cambria"/>
          <w:noProof/>
        </w:rPr>
        <mc:AlternateContent>
          <mc:Choice Requires="wps">
            <w:drawing>
              <wp:anchor distT="0" distB="0" distL="114300" distR="114300" simplePos="0" relativeHeight="251658242" behindDoc="0" locked="0" layoutInCell="1" allowOverlap="1" wp14:anchorId="31E4724E" wp14:editId="2401F407">
                <wp:simplePos x="0" y="0"/>
                <wp:positionH relativeFrom="page">
                  <wp:align>center</wp:align>
                </wp:positionH>
                <wp:positionV relativeFrom="paragraph">
                  <wp:posOffset>2275841</wp:posOffset>
                </wp:positionV>
                <wp:extent cx="4251329" cy="2541273"/>
                <wp:effectExtent l="0" t="0" r="0" b="0"/>
                <wp:wrapNone/>
                <wp:docPr id="234887426" name="Rectangle 27"/>
                <wp:cNvGraphicFramePr/>
                <a:graphic xmlns:a="http://schemas.openxmlformats.org/drawingml/2006/main">
                  <a:graphicData uri="http://schemas.microsoft.com/office/word/2010/wordprocessingShape">
                    <wps:wsp>
                      <wps:cNvSpPr/>
                      <wps:spPr>
                        <a:xfrm>
                          <a:off x="0" y="0"/>
                          <a:ext cx="4251329" cy="2541273"/>
                        </a:xfrm>
                        <a:prstGeom prst="rect">
                          <a:avLst/>
                        </a:prstGeom>
                        <a:solidFill>
                          <a:srgbClr val="FFFFFF"/>
                        </a:solidFill>
                        <a:ln cap="flat">
                          <a:noFill/>
                          <a:prstDash val="solid"/>
                        </a:ln>
                      </wps:spPr>
                      <wps:txbx>
                        <w:txbxContent>
                          <w:p w14:paraId="23B72FBC" w14:textId="77777777" w:rsidR="003E6EAD" w:rsidRDefault="003E6EAD">
                            <w:pPr>
                              <w:jc w:val="center"/>
                              <w:rPr>
                                <w:color w:val="000000"/>
                              </w:rPr>
                            </w:pPr>
                          </w:p>
                        </w:txbxContent>
                      </wps:txbx>
                      <wps:bodyPr vert="horz" wrap="square" lIns="91440" tIns="45720" rIns="91440" bIns="45720" anchor="ctr" anchorCtr="0" compatLnSpc="0">
                        <a:noAutofit/>
                      </wps:bodyPr>
                    </wps:wsp>
                  </a:graphicData>
                </a:graphic>
              </wp:anchor>
            </w:drawing>
          </mc:Choice>
          <mc:Fallback>
            <w:pict>
              <v:rect w14:anchorId="31E4724E" id="Rectangle 27" o:spid="_x0000_s1028" style="position:absolute;margin-left:0;margin-top:179.2pt;width:334.75pt;height:200.1pt;z-index:25165824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" stroked="f">
                <v:textbox>
                  <w:txbxContent>
                    <w:p w14:paraId="23B72FBC" w14:textId="77777777" w:rsidR="003E6EAD" w:rsidRDefault="003E6EAD">
                      <w:pPr>
                        <w:jc w:val="center"/>
                        <w:rPr>
                          <w:color w:val="000000"/>
                        </w:rPr>
                      </w:pPr>
                    </w:p>
                  </w:txbxContent>
                </v:textbox>
                <w10:wrap anchorx="page"/>
              </v:rect>
            </w:pict>
          </mc:Fallback>
        </mc:AlternateContent>
      </w:r>
      <w:r>
        <w:rPr>
          <w:rFonts w:ascii="Cambria" w:hAnsi="Cambria"/>
          <w:noProof/>
        </w:rPr>
        <mc:AlternateContent>
          <mc:Choice Requires="wps">
            <w:drawing>
              <wp:anchor distT="0" distB="0" distL="114300" distR="114300" simplePos="0" relativeHeight="251658243" behindDoc="0" locked="0" layoutInCell="1" allowOverlap="1" wp14:anchorId="79FB7446" wp14:editId="3EA8A96D">
                <wp:simplePos x="0" y="0"/>
                <wp:positionH relativeFrom="page">
                  <wp:align>center</wp:align>
                </wp:positionH>
                <wp:positionV relativeFrom="paragraph">
                  <wp:posOffset>2481581</wp:posOffset>
                </wp:positionV>
                <wp:extent cx="3883027" cy="2077717"/>
                <wp:effectExtent l="0" t="0" r="0" b="0"/>
                <wp:wrapNone/>
                <wp:docPr id="1675486758" name="Text Box 23"/>
                <wp:cNvGraphicFramePr/>
                <a:graphic xmlns:a="http://schemas.openxmlformats.org/drawingml/2006/main">
                  <a:graphicData uri="http://schemas.microsoft.com/office/word/2010/wordprocessingShape">
                    <wps:wsp>
                      <wps:cNvSpPr txBox="1"/>
                      <wps:spPr>
                        <a:xfrm>
                          <a:off x="0" y="0"/>
                          <a:ext cx="3883027" cy="2077717"/>
                        </a:xfrm>
                        <a:prstGeom prst="rect">
                          <a:avLst/>
                        </a:prstGeom>
                        <a:noFill/>
                        <a:ln>
                          <a:noFill/>
                          <a:prstDash/>
                        </a:ln>
                      </wps:spPr>
                      <wps:txbx>
                        <w:txbxContent>
                          <w:p w14:paraId="641A424C" w14:textId="77777777" w:rsidR="003E6EAD" w:rsidRDefault="003A4514">
                            <w:pPr>
                              <w:spacing w:after="0"/>
                              <w:jc w:val="center"/>
                              <w:rPr>
                                <w:rFonts w:ascii="Cambria" w:hAnsi="Cambria"/>
                                <w:b/>
                                <w:caps/>
                                <w:color w:val="0A2F41"/>
                                <w:sz w:val="44"/>
                                <w:szCs w:val="44"/>
                              </w:rPr>
                            </w:pPr>
                            <w:r>
                              <w:rPr>
                                <w:rFonts w:ascii="Cambria" w:hAnsi="Cambria"/>
                                <w:b/>
                                <w:caps/>
                                <w:color w:val="0A2F41"/>
                                <w:sz w:val="44"/>
                                <w:szCs w:val="44"/>
                              </w:rPr>
                              <w:t>Informatīvais ziņojums</w:t>
                            </w:r>
                          </w:p>
                          <w:p w14:paraId="5E6E4DDA" w14:textId="77777777" w:rsidR="003E6EAD" w:rsidRDefault="003A4514">
                            <w:pPr>
                              <w:spacing w:after="0"/>
                              <w:jc w:val="center"/>
                            </w:pPr>
                            <w:r>
                              <w:rPr>
                                <w:rFonts w:ascii="Cambria" w:hAnsi="Cambria"/>
                                <w:b/>
                                <w:caps/>
                                <w:color w:val="0A2F41"/>
                                <w:sz w:val="40"/>
                                <w:szCs w:val="40"/>
                              </w:rPr>
                              <w:t xml:space="preserve"> </w:t>
                            </w:r>
                          </w:p>
                          <w:p w14:paraId="48AD81C8" w14:textId="77777777" w:rsidR="003E6EAD" w:rsidRDefault="003A4514">
                            <w:pPr>
                              <w:spacing w:after="0"/>
                              <w:jc w:val="center"/>
                              <w:rPr>
                                <w:rFonts w:ascii="Cambria" w:hAnsi="Cambria"/>
                                <w:b/>
                                <w:color w:val="0A2F41"/>
                                <w:sz w:val="36"/>
                                <w:szCs w:val="36"/>
                              </w:rPr>
                            </w:pPr>
                            <w:r>
                              <w:rPr>
                                <w:rFonts w:ascii="Cambria" w:hAnsi="Cambria"/>
                                <w:b/>
                                <w:color w:val="0A2F41"/>
                                <w:sz w:val="36"/>
                                <w:szCs w:val="36"/>
                              </w:rPr>
                              <w:t>Par siltumnīcefekta gāzu emisiju samazināšanas un oglekļa dioksīda piesaistes saistību izpildi</w:t>
                            </w:r>
                          </w:p>
                        </w:txbxContent>
                      </wps:txbx>
                      <wps:bodyPr vert="horz" wrap="square" lIns="91440" tIns="45720" rIns="91440" bIns="45720" anchor="ctr" anchorCtr="0" compatLnSpc="1">
                        <a:noAutofit/>
                      </wps:bodyPr>
                    </wps:wsp>
                  </a:graphicData>
                </a:graphic>
              </wp:anchor>
            </w:drawing>
          </mc:Choice>
          <mc:Fallback>
            <w:pict>
              <v:shape w14:anchorId="79FB7446" id="Text Box 23" o:spid="_x0000_s1029" type="#_x0000_t202" style="position:absolute;margin-left:0;margin-top:195.4pt;width:305.75pt;height:163.6pt;z-index:251658243;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" filled="f" stroked="f">
                <v:textbox>
                  <w:txbxContent>
                    <w:p w14:paraId="641A424C" w14:textId="77777777" w:rsidR="003E6EAD" w:rsidRDefault="003A4514">
                      <w:pPr>
                        <w:spacing w:after="0"/>
                        <w:jc w:val="center"/>
                        <w:rPr>
                          <w:rFonts w:ascii="Cambria" w:hAnsi="Cambria"/>
                          <w:b/>
                          <w:caps/>
                          <w:color w:val="0A2F41"/>
                          <w:sz w:val="44"/>
                          <w:szCs w:val="44"/>
                        </w:rPr>
                      </w:pPr>
                      <w:r>
                        <w:rPr>
                          <w:rFonts w:ascii="Cambria" w:hAnsi="Cambria"/>
                          <w:b/>
                          <w:caps/>
                          <w:color w:val="0A2F41"/>
                          <w:sz w:val="44"/>
                          <w:szCs w:val="44"/>
                        </w:rPr>
                        <w:t>Informatīvais ziņojums</w:t>
                      </w:r>
                    </w:p>
                    <w:p w14:paraId="5E6E4DDA" w14:textId="77777777" w:rsidR="003E6EAD" w:rsidRDefault="003A4514">
                      <w:pPr>
                        <w:spacing w:after="0"/>
                        <w:jc w:val="center"/>
                      </w:pPr>
                      <w:r>
                        <w:rPr>
                          <w:rFonts w:ascii="Cambria" w:hAnsi="Cambria"/>
                          <w:b/>
                          <w:caps/>
                          <w:color w:val="0A2F41"/>
                          <w:sz w:val="40"/>
                          <w:szCs w:val="40"/>
                        </w:rPr>
                        <w:t xml:space="preserve"> </w:t>
                      </w:r>
                    </w:p>
                    <w:p w14:paraId="48AD81C8" w14:textId="77777777" w:rsidR="003E6EAD" w:rsidRDefault="003A4514">
                      <w:pPr>
                        <w:spacing w:after="0"/>
                        <w:jc w:val="center"/>
                        <w:rPr>
                          <w:rFonts w:ascii="Cambria" w:hAnsi="Cambria"/>
                          <w:b/>
                          <w:color w:val="0A2F41"/>
                          <w:sz w:val="36"/>
                          <w:szCs w:val="36"/>
                        </w:rPr>
                      </w:pPr>
                      <w:r>
                        <w:rPr>
                          <w:rFonts w:ascii="Cambria" w:hAnsi="Cambria"/>
                          <w:b/>
                          <w:color w:val="0A2F41"/>
                          <w:sz w:val="36"/>
                          <w:szCs w:val="36"/>
                        </w:rPr>
                        <w:t>Par siltumnīcefekta gāzu emisiju samazināšanas un oglekļa dioksīda piesaistes saistību izpildi</w:t>
                      </w:r>
                    </w:p>
                  </w:txbxContent>
                </v:textbox>
                <w10:wrap anchorx="page"/>
              </v:shape>
            </w:pict>
          </mc:Fallback>
        </mc:AlternateContent>
      </w:r>
      <w:r>
        <w:rPr>
          <w:rFonts w:ascii="Cambria" w:hAnsi="Cambria"/>
          <w:noProof/>
        </w:rPr>
        <mc:AlternateContent>
          <mc:Choice Requires="wps">
            <w:drawing>
              <wp:anchor distT="0" distB="0" distL="114300" distR="114300" simplePos="0" relativeHeight="251658241" behindDoc="0" locked="0" layoutInCell="1" allowOverlap="1" wp14:anchorId="67788825" wp14:editId="160BF392">
                <wp:simplePos x="0" y="0"/>
                <wp:positionH relativeFrom="page">
                  <wp:align>center</wp:align>
                </wp:positionH>
                <wp:positionV relativeFrom="paragraph">
                  <wp:posOffset>2444118</wp:posOffset>
                </wp:positionV>
                <wp:extent cx="5034915" cy="2220592"/>
                <wp:effectExtent l="0" t="0" r="0" b="8258"/>
                <wp:wrapNone/>
                <wp:docPr id="852389746" name="Rectangle 22"/>
                <wp:cNvGraphicFramePr/>
                <a:graphic xmlns:a="http://schemas.openxmlformats.org/drawingml/2006/main">
                  <a:graphicData uri="http://schemas.microsoft.com/office/word/2010/wordprocessingShape">
                    <wps:wsp>
                      <wps:cNvSpPr/>
                      <wps:spPr>
                        <a:xfrm>
                          <a:off x="0" y="0"/>
                          <a:ext cx="5034915" cy="2220592"/>
                        </a:xfrm>
                        <a:prstGeom prst="rect">
                          <a:avLst/>
                        </a:prstGeom>
                        <a:solidFill>
                          <a:srgbClr val="155452"/>
                        </a:solidFill>
                        <a:ln cap="flat">
                          <a:noFill/>
                          <a:prstDash val="solid"/>
                        </a:ln>
                      </wps:spPr>
                      <wps:bodyPr lIns="0" tIns="0" rIns="0" bIns="0"/>
                    </wps:wsp>
                  </a:graphicData>
                </a:graphic>
              </wp:anchor>
            </w:drawing>
          </mc:Choice>
          <mc:Fallback>
            <w:pict>
              <v:rect w14:anchorId="05572C7C" id="Rectangle 22" o:spid="_x0000_s1026" style="position:absolute;margin-left:0;margin-top:192.45pt;width:396.45pt;height:174.85pt;z-index:251658241;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" fillcolor="#155452" stroked="f">
                <v:textbox inset="0,0,0,0"/>
                <w10:wrap anchorx="page"/>
              </v:rect>
            </w:pict>
          </mc:Fallback>
        </mc:AlternateContent>
      </w:r>
    </w:p>
    <w:p w14:paraId="7FD140C1" w14:textId="77777777" w:rsidR="003E6EAD" w:rsidRDefault="003A4514">
      <w:pPr>
        <w:pageBreakBefore/>
        <w:jc w:val="center"/>
        <w:rPr>
          <w:rFonts w:ascii="Cambria" w:eastAsia="Yu Gothic" w:hAnsi="Cambria" w:cs="Arial"/>
          <w:caps/>
          <w:color w:val="155452"/>
          <w:sz w:val="24"/>
          <w:szCs w:val="24"/>
        </w:rPr>
      </w:pPr>
      <w:r>
        <w:rPr>
          <w:rFonts w:ascii="Cambria" w:eastAsia="Yu Gothic" w:hAnsi="Cambria" w:cs="Arial"/>
          <w:caps/>
          <w:color w:val="155452"/>
          <w:sz w:val="24"/>
          <w:szCs w:val="24"/>
        </w:rPr>
        <w:lastRenderedPageBreak/>
        <w:t>Saturs</w:t>
      </w:r>
    </w:p>
    <w:p w14:paraId="296D8CD7" w14:textId="06BAF398" w:rsidR="00CA29F9" w:rsidRDefault="003A4514">
      <w:pPr>
        <w:pStyle w:val="TOC1"/>
        <w:tabs>
          <w:tab w:val="right" w:leader="dot" w:pos="9061"/>
        </w:tabs>
        <w:rPr>
          <w:rFonts w:asciiTheme="minorHAnsi" w:eastAsiaTheme="minorEastAsia" w:hAnsiTheme="minorHAnsi" w:cstheme="minorBidi"/>
          <w:noProof/>
          <w:kern w:val="2"/>
          <w:sz w:val="24"/>
          <w:szCs w:val="24"/>
          <w:lang w:eastAsia="lv-LV"/>
          <w14:ligatures w14:val="standardContextual"/>
        </w:rPr>
      </w:pPr>
      <w:r w:rsidRPr="00072832">
        <w:rPr>
          <w:bCs/>
        </w:rPr>
        <w:fldChar w:fldCharType="begin"/>
      </w:r>
      <w:r w:rsidRPr="00072832">
        <w:rPr>
          <w:bCs/>
        </w:rPr>
        <w:instrText xml:space="preserve"> TOC \o "1-3" \u \h </w:instrText>
      </w:r>
      <w:r w:rsidRPr="00072832">
        <w:rPr>
          <w:bCs/>
        </w:rPr>
        <w:fldChar w:fldCharType="separate"/>
      </w:r>
      <w:hyperlink w:anchor="_Toc190952411" w:history="1">
        <w:r w:rsidR="00CA29F9" w:rsidRPr="00D22B59">
          <w:rPr>
            <w:rStyle w:val="Hyperlink"/>
            <w:rFonts w:ascii="Cambria" w:hAnsi="Cambria"/>
            <w:b/>
            <w:noProof/>
          </w:rPr>
          <w:t>SAĪSINĀJUMI</w:t>
        </w:r>
        <w:r w:rsidR="00CA29F9">
          <w:rPr>
            <w:noProof/>
          </w:rPr>
          <w:tab/>
        </w:r>
        <w:r w:rsidR="00CA29F9">
          <w:rPr>
            <w:noProof/>
          </w:rPr>
          <w:fldChar w:fldCharType="begin"/>
        </w:r>
        <w:r w:rsidR="00CA29F9">
          <w:rPr>
            <w:noProof/>
          </w:rPr>
          <w:instrText xml:space="preserve"> PAGEREF _Toc190952411 \h </w:instrText>
        </w:r>
        <w:r w:rsidR="00CA29F9">
          <w:rPr>
            <w:noProof/>
          </w:rPr>
        </w:r>
        <w:r w:rsidR="00CA29F9">
          <w:rPr>
            <w:noProof/>
          </w:rPr>
          <w:fldChar w:fldCharType="separate"/>
        </w:r>
        <w:r w:rsidR="00587B91">
          <w:rPr>
            <w:noProof/>
          </w:rPr>
          <w:t>3</w:t>
        </w:r>
        <w:r w:rsidR="00CA29F9">
          <w:rPr>
            <w:noProof/>
          </w:rPr>
          <w:fldChar w:fldCharType="end"/>
        </w:r>
      </w:hyperlink>
    </w:p>
    <w:p w14:paraId="6AC0E83F" w14:textId="19847AFE" w:rsidR="00CA29F9" w:rsidRDefault="00CA29F9">
      <w:pPr>
        <w:pStyle w:val="TOC1"/>
        <w:tabs>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12" w:history="1">
        <w:r w:rsidRPr="00D22B59">
          <w:rPr>
            <w:rStyle w:val="Hyperlink"/>
            <w:rFonts w:ascii="Cambria" w:hAnsi="Cambria"/>
            <w:b/>
            <w:noProof/>
          </w:rPr>
          <w:t>IEVADS</w:t>
        </w:r>
        <w:r>
          <w:rPr>
            <w:noProof/>
          </w:rPr>
          <w:tab/>
        </w:r>
        <w:r>
          <w:rPr>
            <w:noProof/>
          </w:rPr>
          <w:fldChar w:fldCharType="begin"/>
        </w:r>
        <w:r>
          <w:rPr>
            <w:noProof/>
          </w:rPr>
          <w:instrText xml:space="preserve"> PAGEREF _Toc190952412 \h </w:instrText>
        </w:r>
        <w:r>
          <w:rPr>
            <w:noProof/>
          </w:rPr>
        </w:r>
        <w:r>
          <w:rPr>
            <w:noProof/>
          </w:rPr>
          <w:fldChar w:fldCharType="separate"/>
        </w:r>
        <w:r w:rsidR="00587B91">
          <w:rPr>
            <w:noProof/>
          </w:rPr>
          <w:t>4</w:t>
        </w:r>
        <w:r>
          <w:rPr>
            <w:noProof/>
          </w:rPr>
          <w:fldChar w:fldCharType="end"/>
        </w:r>
      </w:hyperlink>
    </w:p>
    <w:p w14:paraId="059AB86B" w14:textId="1674D180" w:rsidR="00CA29F9" w:rsidRDefault="00CA29F9">
      <w:pPr>
        <w:pStyle w:val="TOC2"/>
        <w:tabs>
          <w:tab w:val="left" w:pos="440"/>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13" w:history="1">
        <w:r w:rsidRPr="00D22B59">
          <w:rPr>
            <w:rStyle w:val="Hyperlink"/>
            <w:rFonts w:ascii="Cambria" w:eastAsia="Yu Gothic" w:hAnsi="Cambria" w:cs="Arial"/>
            <w:b/>
            <w:noProof/>
          </w:rPr>
          <w:t>1.</w:t>
        </w:r>
        <w:r>
          <w:rPr>
            <w:rFonts w:asciiTheme="minorHAnsi" w:eastAsiaTheme="minorEastAsia" w:hAnsiTheme="minorHAnsi" w:cstheme="minorBidi"/>
            <w:noProof/>
            <w:kern w:val="2"/>
            <w:sz w:val="24"/>
            <w:szCs w:val="24"/>
            <w:lang w:eastAsia="lv-LV"/>
            <w14:ligatures w14:val="standardContextual"/>
          </w:rPr>
          <w:t xml:space="preserve"> </w:t>
        </w:r>
        <w:r w:rsidRPr="00D22B59">
          <w:rPr>
            <w:rStyle w:val="Hyperlink"/>
            <w:rFonts w:ascii="Cambria" w:eastAsia="Yu Gothic" w:hAnsi="Cambria" w:cs="Arial"/>
            <w:b/>
            <w:bCs/>
            <w:noProof/>
          </w:rPr>
          <w:t>LATVIJAS SEG MĒRĶI UN TO IZPILDES NOVĒRTĒŠANAS METODIKA</w:t>
        </w:r>
        <w:r>
          <w:rPr>
            <w:noProof/>
          </w:rPr>
          <w:tab/>
        </w:r>
        <w:r>
          <w:rPr>
            <w:noProof/>
          </w:rPr>
          <w:fldChar w:fldCharType="begin"/>
        </w:r>
        <w:r>
          <w:rPr>
            <w:noProof/>
          </w:rPr>
          <w:instrText xml:space="preserve"> PAGEREF _Toc190952413 \h </w:instrText>
        </w:r>
        <w:r>
          <w:rPr>
            <w:noProof/>
          </w:rPr>
        </w:r>
        <w:r>
          <w:rPr>
            <w:noProof/>
          </w:rPr>
          <w:fldChar w:fldCharType="separate"/>
        </w:r>
        <w:r w:rsidR="00587B91">
          <w:rPr>
            <w:noProof/>
          </w:rPr>
          <w:t>6</w:t>
        </w:r>
        <w:r>
          <w:rPr>
            <w:noProof/>
          </w:rPr>
          <w:fldChar w:fldCharType="end"/>
        </w:r>
      </w:hyperlink>
    </w:p>
    <w:p w14:paraId="1BA19A32" w14:textId="6588D8F4" w:rsidR="00CA29F9" w:rsidRPr="006D4BA8" w:rsidRDefault="00CA29F9" w:rsidP="00CA29F9">
      <w:pPr>
        <w:pStyle w:val="TOC2"/>
        <w:tabs>
          <w:tab w:val="left" w:pos="720"/>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14" w:history="1">
        <w:r w:rsidRPr="00501BE0">
          <w:rPr>
            <w:rStyle w:val="Hyperlink"/>
            <w:rFonts w:ascii="Cambria" w:hAnsi="Cambria"/>
            <w:noProof/>
          </w:rPr>
          <w:t>1.1.</w:t>
        </w:r>
        <w:r w:rsidRPr="006D4BA8">
          <w:rPr>
            <w:rFonts w:asciiTheme="minorHAnsi" w:eastAsiaTheme="minorEastAsia" w:hAnsiTheme="minorHAnsi" w:cstheme="minorBidi"/>
            <w:noProof/>
            <w:kern w:val="2"/>
            <w:sz w:val="24"/>
            <w:szCs w:val="24"/>
            <w:lang w:eastAsia="lv-LV"/>
            <w14:ligatures w14:val="standardContextual"/>
          </w:rPr>
          <w:t xml:space="preserve"> </w:t>
        </w:r>
        <w:r w:rsidRPr="00501BE0">
          <w:rPr>
            <w:rStyle w:val="Hyperlink"/>
            <w:rFonts w:ascii="Cambria" w:hAnsi="Cambria"/>
            <w:noProof/>
          </w:rPr>
          <w:t>Latvijas SEG mērķi</w:t>
        </w:r>
        <w:r w:rsidRPr="006D4BA8">
          <w:rPr>
            <w:noProof/>
          </w:rPr>
          <w:tab/>
        </w:r>
        <w:r w:rsidRPr="006D4BA8">
          <w:rPr>
            <w:noProof/>
          </w:rPr>
          <w:fldChar w:fldCharType="begin"/>
        </w:r>
        <w:r w:rsidRPr="006D4BA8">
          <w:rPr>
            <w:noProof/>
          </w:rPr>
          <w:instrText xml:space="preserve"> PAGEREF _Toc190952414 \h </w:instrText>
        </w:r>
        <w:r w:rsidRPr="006D4BA8">
          <w:rPr>
            <w:noProof/>
          </w:rPr>
        </w:r>
        <w:r w:rsidRPr="006D4BA8">
          <w:rPr>
            <w:noProof/>
          </w:rPr>
          <w:fldChar w:fldCharType="separate"/>
        </w:r>
        <w:r w:rsidR="00587B91">
          <w:rPr>
            <w:noProof/>
          </w:rPr>
          <w:t>6</w:t>
        </w:r>
        <w:r w:rsidRPr="006D4BA8">
          <w:rPr>
            <w:noProof/>
          </w:rPr>
          <w:fldChar w:fldCharType="end"/>
        </w:r>
      </w:hyperlink>
    </w:p>
    <w:p w14:paraId="21A521EB" w14:textId="17065118" w:rsidR="00CA29F9" w:rsidRPr="006D4BA8" w:rsidRDefault="00CA29F9" w:rsidP="00CA29F9">
      <w:pPr>
        <w:pStyle w:val="TOC2"/>
        <w:tabs>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15" w:history="1">
        <w:r w:rsidRPr="00501BE0">
          <w:rPr>
            <w:rStyle w:val="Hyperlink"/>
            <w:rFonts w:ascii="Cambria" w:hAnsi="Cambria"/>
            <w:noProof/>
          </w:rPr>
          <w:t>1.2.</w:t>
        </w:r>
        <w:r w:rsidRPr="006D4BA8">
          <w:rPr>
            <w:rStyle w:val="Hyperlink"/>
            <w:rFonts w:ascii="Cambria" w:hAnsi="Cambria"/>
            <w:noProof/>
          </w:rPr>
          <w:t xml:space="preserve"> </w:t>
        </w:r>
        <w:r w:rsidRPr="00501BE0">
          <w:rPr>
            <w:rStyle w:val="Hyperlink"/>
            <w:rFonts w:ascii="Cambria" w:hAnsi="Cambria"/>
            <w:noProof/>
          </w:rPr>
          <w:t>SEG mērķu izpildes novērtējuma metodiskā pieeja</w:t>
        </w:r>
        <w:r w:rsidRPr="006D4BA8">
          <w:rPr>
            <w:noProof/>
          </w:rPr>
          <w:tab/>
        </w:r>
        <w:r w:rsidRPr="006D4BA8">
          <w:rPr>
            <w:noProof/>
          </w:rPr>
          <w:fldChar w:fldCharType="begin"/>
        </w:r>
        <w:r w:rsidRPr="006D4BA8">
          <w:rPr>
            <w:noProof/>
          </w:rPr>
          <w:instrText xml:space="preserve"> PAGEREF _Toc190952415 \h </w:instrText>
        </w:r>
        <w:r w:rsidRPr="006D4BA8">
          <w:rPr>
            <w:noProof/>
          </w:rPr>
        </w:r>
        <w:r w:rsidRPr="006D4BA8">
          <w:rPr>
            <w:noProof/>
          </w:rPr>
          <w:fldChar w:fldCharType="separate"/>
        </w:r>
        <w:r w:rsidR="00587B91">
          <w:rPr>
            <w:noProof/>
          </w:rPr>
          <w:t>13</w:t>
        </w:r>
        <w:r w:rsidRPr="006D4BA8">
          <w:rPr>
            <w:noProof/>
          </w:rPr>
          <w:fldChar w:fldCharType="end"/>
        </w:r>
      </w:hyperlink>
    </w:p>
    <w:p w14:paraId="5712FF39" w14:textId="4D518AD0" w:rsidR="00CA29F9" w:rsidRDefault="00CA29F9">
      <w:pPr>
        <w:pStyle w:val="TOC1"/>
        <w:tabs>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16" w:history="1">
        <w:r w:rsidRPr="00D22B59">
          <w:rPr>
            <w:rStyle w:val="Hyperlink"/>
            <w:rFonts w:ascii="Cambria" w:eastAsia="Yu Gothic" w:hAnsi="Cambria" w:cs="Arial"/>
            <w:b/>
            <w:bCs/>
            <w:noProof/>
          </w:rPr>
          <w:t>2.</w:t>
        </w:r>
        <w:r>
          <w:rPr>
            <w:rStyle w:val="Hyperlink"/>
            <w:rFonts w:ascii="Cambria" w:eastAsia="Yu Gothic" w:hAnsi="Cambria" w:cs="Arial"/>
            <w:b/>
            <w:bCs/>
            <w:noProof/>
          </w:rPr>
          <w:t xml:space="preserve"> </w:t>
        </w:r>
        <w:r w:rsidRPr="00D22B59">
          <w:rPr>
            <w:rStyle w:val="Hyperlink"/>
            <w:rFonts w:ascii="Cambria" w:eastAsia="Yu Gothic" w:hAnsi="Cambria" w:cs="Arial"/>
            <w:b/>
            <w:bCs/>
            <w:noProof/>
          </w:rPr>
          <w:t>SEG EMISIJU SAMAZINĀŠANAS MĒRĶU IZPILDE</w:t>
        </w:r>
        <w:r>
          <w:rPr>
            <w:noProof/>
          </w:rPr>
          <w:tab/>
        </w:r>
        <w:r>
          <w:rPr>
            <w:noProof/>
          </w:rPr>
          <w:fldChar w:fldCharType="begin"/>
        </w:r>
        <w:r>
          <w:rPr>
            <w:noProof/>
          </w:rPr>
          <w:instrText xml:space="preserve"> PAGEREF _Toc190952416 \h </w:instrText>
        </w:r>
        <w:r>
          <w:rPr>
            <w:noProof/>
          </w:rPr>
        </w:r>
        <w:r>
          <w:rPr>
            <w:noProof/>
          </w:rPr>
          <w:fldChar w:fldCharType="separate"/>
        </w:r>
        <w:r w:rsidR="00587B91">
          <w:rPr>
            <w:noProof/>
          </w:rPr>
          <w:t>16</w:t>
        </w:r>
        <w:r>
          <w:rPr>
            <w:noProof/>
          </w:rPr>
          <w:fldChar w:fldCharType="end"/>
        </w:r>
      </w:hyperlink>
    </w:p>
    <w:p w14:paraId="0ED61928" w14:textId="194F36F9" w:rsidR="00CA29F9" w:rsidRPr="00CA29F9" w:rsidRDefault="00CA29F9" w:rsidP="00CA29F9">
      <w:pPr>
        <w:pStyle w:val="TOC2"/>
        <w:tabs>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17" w:history="1">
        <w:r w:rsidRPr="00CA29F9">
          <w:rPr>
            <w:rStyle w:val="Hyperlink"/>
            <w:rFonts w:ascii="Cambria" w:eastAsia="Yu Gothic" w:hAnsi="Cambria" w:cs="Arial"/>
            <w:noProof/>
          </w:rPr>
          <w:t>2.1</w:t>
        </w:r>
        <w:r w:rsidRPr="00CA29F9">
          <w:rPr>
            <w:rStyle w:val="Hyperlink"/>
            <w:rFonts w:ascii="Cambria" w:hAnsi="Cambria"/>
            <w:noProof/>
          </w:rPr>
          <w:t xml:space="preserve">. </w:t>
        </w:r>
        <w:r w:rsidRPr="00CA29F9">
          <w:rPr>
            <w:rStyle w:val="Hyperlink"/>
            <w:rFonts w:ascii="Cambria" w:eastAsia="Yu Gothic" w:hAnsi="Cambria" w:cs="Arial"/>
            <w:noProof/>
          </w:rPr>
          <w:t>SEG mērķu līdz 2030. gadam izpildes progresa novērtējums</w:t>
        </w:r>
        <w:r w:rsidRPr="00CA29F9">
          <w:rPr>
            <w:noProof/>
          </w:rPr>
          <w:tab/>
        </w:r>
        <w:r w:rsidRPr="00CA29F9">
          <w:rPr>
            <w:noProof/>
          </w:rPr>
          <w:fldChar w:fldCharType="begin"/>
        </w:r>
        <w:r w:rsidRPr="00CA29F9">
          <w:rPr>
            <w:noProof/>
          </w:rPr>
          <w:instrText xml:space="preserve"> PAGEREF _Toc190952417 \h </w:instrText>
        </w:r>
        <w:r w:rsidRPr="00CA29F9">
          <w:rPr>
            <w:noProof/>
          </w:rPr>
        </w:r>
        <w:r w:rsidRPr="00CA29F9">
          <w:rPr>
            <w:noProof/>
          </w:rPr>
          <w:fldChar w:fldCharType="separate"/>
        </w:r>
        <w:r w:rsidR="00587B91">
          <w:rPr>
            <w:noProof/>
          </w:rPr>
          <w:t>16</w:t>
        </w:r>
        <w:r w:rsidRPr="00CA29F9">
          <w:rPr>
            <w:noProof/>
          </w:rPr>
          <w:fldChar w:fldCharType="end"/>
        </w:r>
      </w:hyperlink>
    </w:p>
    <w:p w14:paraId="468FD924" w14:textId="411B6D8C" w:rsidR="00CA29F9" w:rsidRPr="00CA29F9" w:rsidRDefault="00CA29F9" w:rsidP="00CA29F9">
      <w:pPr>
        <w:pStyle w:val="TOC2"/>
        <w:tabs>
          <w:tab w:val="left" w:pos="720"/>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18" w:history="1">
        <w:r w:rsidRPr="00CA29F9">
          <w:rPr>
            <w:rStyle w:val="Hyperlink"/>
            <w:rFonts w:ascii="Cambria" w:eastAsia="Yu Gothic" w:hAnsi="Cambria" w:cs="Arial"/>
            <w:noProof/>
          </w:rPr>
          <w:t>2.2.</w:t>
        </w:r>
        <w:r>
          <w:rPr>
            <w:rFonts w:asciiTheme="minorHAnsi" w:eastAsiaTheme="minorEastAsia" w:hAnsiTheme="minorHAnsi" w:cstheme="minorBidi"/>
            <w:noProof/>
            <w:kern w:val="2"/>
            <w:sz w:val="24"/>
            <w:szCs w:val="24"/>
            <w:lang w:eastAsia="lv-LV"/>
            <w14:ligatures w14:val="standardContextual"/>
          </w:rPr>
          <w:t xml:space="preserve"> </w:t>
        </w:r>
        <w:r w:rsidRPr="00CA29F9">
          <w:rPr>
            <w:rStyle w:val="Hyperlink"/>
            <w:rFonts w:ascii="Cambria" w:eastAsia="Yu Gothic" w:hAnsi="Cambria" w:cs="Arial"/>
            <w:noProof/>
          </w:rPr>
          <w:t>Ne-ETS sektora SEG mērķu izpildes prognoze 2021.-2030. gada periodā</w:t>
        </w:r>
        <w:r w:rsidRPr="00CA29F9">
          <w:rPr>
            <w:noProof/>
          </w:rPr>
          <w:tab/>
        </w:r>
        <w:r w:rsidRPr="00CA29F9">
          <w:rPr>
            <w:noProof/>
          </w:rPr>
          <w:fldChar w:fldCharType="begin"/>
        </w:r>
        <w:r w:rsidRPr="00CA29F9">
          <w:rPr>
            <w:noProof/>
          </w:rPr>
          <w:instrText xml:space="preserve"> PAGEREF _Toc190952418 \h </w:instrText>
        </w:r>
        <w:r w:rsidRPr="00CA29F9">
          <w:rPr>
            <w:noProof/>
          </w:rPr>
        </w:r>
        <w:r w:rsidRPr="00CA29F9">
          <w:rPr>
            <w:noProof/>
          </w:rPr>
          <w:fldChar w:fldCharType="separate"/>
        </w:r>
        <w:r w:rsidR="00587B91">
          <w:rPr>
            <w:noProof/>
          </w:rPr>
          <w:t>21</w:t>
        </w:r>
        <w:r w:rsidRPr="00CA29F9">
          <w:rPr>
            <w:noProof/>
          </w:rPr>
          <w:fldChar w:fldCharType="end"/>
        </w:r>
      </w:hyperlink>
    </w:p>
    <w:p w14:paraId="178A0A1B" w14:textId="3B8B57A3" w:rsidR="00CA29F9" w:rsidRDefault="00CA29F9">
      <w:pPr>
        <w:pStyle w:val="TOC2"/>
        <w:tabs>
          <w:tab w:val="left" w:pos="440"/>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19" w:history="1">
        <w:r w:rsidRPr="00D22B59">
          <w:rPr>
            <w:rStyle w:val="Hyperlink"/>
            <w:noProof/>
          </w:rPr>
          <w:t>3.</w:t>
        </w:r>
        <w:r>
          <w:rPr>
            <w:rFonts w:asciiTheme="minorHAnsi" w:eastAsiaTheme="minorEastAsia" w:hAnsiTheme="minorHAnsi" w:cstheme="minorBidi"/>
            <w:noProof/>
            <w:kern w:val="2"/>
            <w:sz w:val="24"/>
            <w:szCs w:val="24"/>
            <w:lang w:eastAsia="lv-LV"/>
            <w14:ligatures w14:val="standardContextual"/>
          </w:rPr>
          <w:t xml:space="preserve"> </w:t>
        </w:r>
        <w:r w:rsidRPr="00D22B59">
          <w:rPr>
            <w:rStyle w:val="Hyperlink"/>
            <w:rFonts w:ascii="Cambria" w:eastAsia="Yu Gothic" w:hAnsi="Cambria" w:cs="Arial"/>
            <w:b/>
            <w:bCs/>
            <w:noProof/>
          </w:rPr>
          <w:t xml:space="preserve">ZEMES IZMANTOŠANAS, ZEMES IZMANTOŠANAS MAIŅAS UN MEŽSAIMNIECĪBAS SEKTORĀ NOTEIKTO </w:t>
        </w:r>
        <w:r w:rsidRPr="00D22B59">
          <w:rPr>
            <w:rStyle w:val="Hyperlink"/>
            <w:rFonts w:ascii="Cambria" w:eastAsia="Yu Gothic" w:hAnsi="Cambria" w:cs="Arial"/>
            <w:b/>
            <w:caps/>
            <w:noProof/>
          </w:rPr>
          <w:t>uzskaites un ziņošanas</w:t>
        </w:r>
        <w:r w:rsidRPr="00D22B59">
          <w:rPr>
            <w:rStyle w:val="Hyperlink"/>
            <w:rFonts w:ascii="Cambria" w:eastAsia="Yu Gothic" w:hAnsi="Cambria" w:cs="Arial"/>
            <w:b/>
            <w:bCs/>
            <w:noProof/>
          </w:rPr>
          <w:t xml:space="preserve"> KATEGORIJU MĒRĶU IZPILDE</w:t>
        </w:r>
        <w:r>
          <w:rPr>
            <w:noProof/>
          </w:rPr>
          <w:tab/>
        </w:r>
        <w:r>
          <w:rPr>
            <w:noProof/>
          </w:rPr>
          <w:fldChar w:fldCharType="begin"/>
        </w:r>
        <w:r>
          <w:rPr>
            <w:noProof/>
          </w:rPr>
          <w:instrText xml:space="preserve"> PAGEREF _Toc190952419 \h </w:instrText>
        </w:r>
        <w:r>
          <w:rPr>
            <w:noProof/>
          </w:rPr>
        </w:r>
        <w:r>
          <w:rPr>
            <w:noProof/>
          </w:rPr>
          <w:fldChar w:fldCharType="separate"/>
        </w:r>
        <w:r w:rsidR="00587B91">
          <w:rPr>
            <w:noProof/>
          </w:rPr>
          <w:t>24</w:t>
        </w:r>
        <w:r>
          <w:rPr>
            <w:noProof/>
          </w:rPr>
          <w:fldChar w:fldCharType="end"/>
        </w:r>
      </w:hyperlink>
    </w:p>
    <w:p w14:paraId="25B260FD" w14:textId="7071D956" w:rsidR="00CA29F9" w:rsidRDefault="00CA29F9">
      <w:pPr>
        <w:pStyle w:val="TOC2"/>
        <w:tabs>
          <w:tab w:val="left" w:pos="440"/>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20" w:history="1">
        <w:r w:rsidRPr="00D22B59">
          <w:rPr>
            <w:rStyle w:val="Hyperlink"/>
            <w:noProof/>
          </w:rPr>
          <w:t>4.</w:t>
        </w:r>
        <w:r>
          <w:rPr>
            <w:rFonts w:asciiTheme="minorHAnsi" w:eastAsiaTheme="minorEastAsia" w:hAnsiTheme="minorHAnsi" w:cstheme="minorBidi"/>
            <w:noProof/>
            <w:kern w:val="2"/>
            <w:sz w:val="24"/>
            <w:szCs w:val="24"/>
            <w:lang w:eastAsia="lv-LV"/>
            <w14:ligatures w14:val="standardContextual"/>
          </w:rPr>
          <w:t xml:space="preserve"> </w:t>
        </w:r>
        <w:r w:rsidRPr="00D22B59">
          <w:rPr>
            <w:rStyle w:val="Hyperlink"/>
            <w:rFonts w:ascii="Cambria" w:eastAsia="Yu Gothic" w:hAnsi="Cambria" w:cs="Arial"/>
            <w:b/>
            <w:bCs/>
            <w:caps/>
            <w:noProof/>
          </w:rPr>
          <w:t>Saistību izpildes novērtējums līdz 2050. gadam</w:t>
        </w:r>
        <w:r>
          <w:rPr>
            <w:noProof/>
          </w:rPr>
          <w:tab/>
        </w:r>
        <w:r>
          <w:rPr>
            <w:noProof/>
          </w:rPr>
          <w:fldChar w:fldCharType="begin"/>
        </w:r>
        <w:r>
          <w:rPr>
            <w:noProof/>
          </w:rPr>
          <w:instrText xml:space="preserve"> PAGEREF _Toc190952420 \h </w:instrText>
        </w:r>
        <w:r>
          <w:rPr>
            <w:noProof/>
          </w:rPr>
        </w:r>
        <w:r>
          <w:rPr>
            <w:noProof/>
          </w:rPr>
          <w:fldChar w:fldCharType="separate"/>
        </w:r>
        <w:r w:rsidR="00587B91">
          <w:rPr>
            <w:noProof/>
          </w:rPr>
          <w:t>27</w:t>
        </w:r>
        <w:r>
          <w:rPr>
            <w:noProof/>
          </w:rPr>
          <w:fldChar w:fldCharType="end"/>
        </w:r>
      </w:hyperlink>
    </w:p>
    <w:p w14:paraId="473F7FB5" w14:textId="1D39C932" w:rsidR="00CA29F9" w:rsidRDefault="00CA29F9">
      <w:pPr>
        <w:pStyle w:val="TOC1"/>
        <w:tabs>
          <w:tab w:val="left" w:pos="440"/>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21" w:history="1">
        <w:r w:rsidRPr="00D22B59">
          <w:rPr>
            <w:rStyle w:val="Hyperlink"/>
            <w:rFonts w:ascii="Cambria" w:hAnsi="Cambria"/>
            <w:b/>
            <w:bCs/>
            <w:caps/>
            <w:noProof/>
          </w:rPr>
          <w:t>5.</w:t>
        </w:r>
        <w:r>
          <w:rPr>
            <w:rFonts w:asciiTheme="minorHAnsi" w:eastAsiaTheme="minorEastAsia" w:hAnsiTheme="minorHAnsi" w:cstheme="minorBidi"/>
            <w:noProof/>
            <w:kern w:val="2"/>
            <w:sz w:val="24"/>
            <w:szCs w:val="24"/>
            <w:lang w:eastAsia="lv-LV"/>
            <w14:ligatures w14:val="standardContextual"/>
          </w:rPr>
          <w:t xml:space="preserve"> </w:t>
        </w:r>
        <w:r w:rsidRPr="00D22B59">
          <w:rPr>
            <w:rStyle w:val="Hyperlink"/>
            <w:rFonts w:ascii="Cambria" w:hAnsi="Cambria"/>
            <w:b/>
            <w:bCs/>
            <w:caps/>
            <w:noProof/>
          </w:rPr>
          <w:t>LATVIJAS IESPĒJAS VEIKT DARĪJUMUS AR VALSTS ĪPAŠUMĀ ESOŠAJĀM GES VIENĪBĀM UN PIESAISTES VIENĪBĀM</w:t>
        </w:r>
        <w:r>
          <w:rPr>
            <w:noProof/>
          </w:rPr>
          <w:tab/>
        </w:r>
        <w:r>
          <w:rPr>
            <w:noProof/>
          </w:rPr>
          <w:fldChar w:fldCharType="begin"/>
        </w:r>
        <w:r>
          <w:rPr>
            <w:noProof/>
          </w:rPr>
          <w:instrText xml:space="preserve"> PAGEREF _Toc190952421 \h </w:instrText>
        </w:r>
        <w:r>
          <w:rPr>
            <w:noProof/>
          </w:rPr>
        </w:r>
        <w:r>
          <w:rPr>
            <w:noProof/>
          </w:rPr>
          <w:fldChar w:fldCharType="separate"/>
        </w:r>
        <w:r w:rsidR="00587B91">
          <w:rPr>
            <w:noProof/>
          </w:rPr>
          <w:t>28</w:t>
        </w:r>
        <w:r>
          <w:rPr>
            <w:noProof/>
          </w:rPr>
          <w:fldChar w:fldCharType="end"/>
        </w:r>
      </w:hyperlink>
    </w:p>
    <w:p w14:paraId="6A132CA0" w14:textId="0863E587" w:rsidR="00CA29F9" w:rsidRPr="00CA29F9" w:rsidRDefault="00CA29F9" w:rsidP="00CA29F9">
      <w:pPr>
        <w:pStyle w:val="TOC2"/>
        <w:tabs>
          <w:tab w:val="left" w:pos="720"/>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22" w:history="1">
        <w:r w:rsidRPr="00CA29F9">
          <w:rPr>
            <w:rStyle w:val="Hyperlink"/>
            <w:rFonts w:ascii="Cambria" w:eastAsia="Yu Gothic" w:hAnsi="Cambria" w:cs="Arial"/>
            <w:noProof/>
          </w:rPr>
          <w:t>5.1.</w:t>
        </w:r>
        <w:r>
          <w:rPr>
            <w:rFonts w:asciiTheme="minorHAnsi" w:eastAsiaTheme="minorEastAsia" w:hAnsiTheme="minorHAnsi" w:cstheme="minorBidi"/>
            <w:noProof/>
            <w:kern w:val="2"/>
            <w:sz w:val="24"/>
            <w:szCs w:val="24"/>
            <w:lang w:eastAsia="lv-LV"/>
            <w14:ligatures w14:val="standardContextual"/>
          </w:rPr>
          <w:t xml:space="preserve"> </w:t>
        </w:r>
        <w:r w:rsidRPr="00CA29F9">
          <w:rPr>
            <w:rStyle w:val="Hyperlink"/>
            <w:rFonts w:ascii="Cambria" w:eastAsia="Yu Gothic" w:hAnsi="Cambria" w:cs="Arial"/>
            <w:noProof/>
          </w:rPr>
          <w:t>SEG emisiju samazināšanas un CO</w:t>
        </w:r>
        <w:r w:rsidRPr="00CA29F9">
          <w:rPr>
            <w:rStyle w:val="Hyperlink"/>
            <w:rFonts w:ascii="Cambria" w:eastAsia="Yu Gothic" w:hAnsi="Cambria" w:cs="Arial"/>
            <w:noProof/>
            <w:vertAlign w:val="subscript"/>
          </w:rPr>
          <w:t>2</w:t>
        </w:r>
        <w:r w:rsidRPr="00CA29F9">
          <w:rPr>
            <w:rStyle w:val="Hyperlink"/>
            <w:rFonts w:ascii="Cambria" w:eastAsia="Yu Gothic" w:hAnsi="Cambria" w:cs="Arial"/>
            <w:noProof/>
          </w:rPr>
          <w:t xml:space="preserve"> piesaistes mērķu izpildei pieejamās vienības un to pārvaldība</w:t>
        </w:r>
        <w:r w:rsidRPr="00CA29F9">
          <w:rPr>
            <w:noProof/>
          </w:rPr>
          <w:tab/>
        </w:r>
        <w:r w:rsidRPr="00CA29F9">
          <w:rPr>
            <w:noProof/>
          </w:rPr>
          <w:fldChar w:fldCharType="begin"/>
        </w:r>
        <w:r w:rsidRPr="00CA29F9">
          <w:rPr>
            <w:noProof/>
          </w:rPr>
          <w:instrText xml:space="preserve"> PAGEREF _Toc190952422 \h </w:instrText>
        </w:r>
        <w:r w:rsidRPr="00CA29F9">
          <w:rPr>
            <w:noProof/>
          </w:rPr>
        </w:r>
        <w:r w:rsidRPr="00CA29F9">
          <w:rPr>
            <w:noProof/>
          </w:rPr>
          <w:fldChar w:fldCharType="separate"/>
        </w:r>
        <w:r w:rsidR="00587B91">
          <w:rPr>
            <w:noProof/>
          </w:rPr>
          <w:t>28</w:t>
        </w:r>
        <w:r w:rsidRPr="00CA29F9">
          <w:rPr>
            <w:noProof/>
          </w:rPr>
          <w:fldChar w:fldCharType="end"/>
        </w:r>
      </w:hyperlink>
    </w:p>
    <w:p w14:paraId="7CA3E936" w14:textId="037E306D" w:rsidR="00CA29F9" w:rsidRPr="00CA29F9" w:rsidRDefault="00CA29F9" w:rsidP="00CA29F9">
      <w:pPr>
        <w:pStyle w:val="TOC2"/>
        <w:tabs>
          <w:tab w:val="left" w:pos="720"/>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23" w:history="1">
        <w:r w:rsidRPr="00CA29F9">
          <w:rPr>
            <w:rStyle w:val="Hyperlink"/>
            <w:rFonts w:ascii="Cambria" w:eastAsia="Yu Gothic" w:hAnsi="Cambria" w:cs="Arial"/>
            <w:noProof/>
          </w:rPr>
          <w:t>5.2.</w:t>
        </w:r>
        <w:r>
          <w:rPr>
            <w:rFonts w:asciiTheme="minorHAnsi" w:eastAsiaTheme="minorEastAsia" w:hAnsiTheme="minorHAnsi" w:cstheme="minorBidi"/>
            <w:noProof/>
            <w:kern w:val="2"/>
            <w:sz w:val="24"/>
            <w:szCs w:val="24"/>
            <w:lang w:eastAsia="lv-LV"/>
            <w14:ligatures w14:val="standardContextual"/>
          </w:rPr>
          <w:t xml:space="preserve"> </w:t>
        </w:r>
        <w:r w:rsidRPr="00CA29F9">
          <w:rPr>
            <w:rStyle w:val="Hyperlink"/>
            <w:rFonts w:ascii="Cambria" w:eastAsia="Yu Gothic" w:hAnsi="Cambria" w:cs="Arial"/>
            <w:noProof/>
          </w:rPr>
          <w:t>Emisijas vienību tirgus un potenciālo darījumu partneru identificēšana</w:t>
        </w:r>
        <w:r w:rsidRPr="00CA29F9">
          <w:rPr>
            <w:noProof/>
          </w:rPr>
          <w:tab/>
        </w:r>
        <w:r w:rsidRPr="00CA29F9">
          <w:rPr>
            <w:noProof/>
          </w:rPr>
          <w:fldChar w:fldCharType="begin"/>
        </w:r>
        <w:r w:rsidRPr="00CA29F9">
          <w:rPr>
            <w:noProof/>
          </w:rPr>
          <w:instrText xml:space="preserve"> PAGEREF _Toc190952423 \h </w:instrText>
        </w:r>
        <w:r w:rsidRPr="00CA29F9">
          <w:rPr>
            <w:noProof/>
          </w:rPr>
        </w:r>
        <w:r w:rsidRPr="00CA29F9">
          <w:rPr>
            <w:noProof/>
          </w:rPr>
          <w:fldChar w:fldCharType="separate"/>
        </w:r>
        <w:r w:rsidR="00587B91">
          <w:rPr>
            <w:noProof/>
          </w:rPr>
          <w:t>28</w:t>
        </w:r>
        <w:r w:rsidRPr="00CA29F9">
          <w:rPr>
            <w:noProof/>
          </w:rPr>
          <w:fldChar w:fldCharType="end"/>
        </w:r>
      </w:hyperlink>
    </w:p>
    <w:p w14:paraId="3736BCD2" w14:textId="0D5450AE" w:rsidR="00CA29F9" w:rsidRPr="00CA29F9" w:rsidRDefault="00CA29F9" w:rsidP="00CA29F9">
      <w:pPr>
        <w:pStyle w:val="TOC2"/>
        <w:tabs>
          <w:tab w:val="left" w:pos="960"/>
          <w:tab w:val="right" w:leader="dot" w:pos="9061"/>
        </w:tabs>
        <w:ind w:left="709"/>
        <w:rPr>
          <w:rFonts w:asciiTheme="minorHAnsi" w:eastAsiaTheme="minorEastAsia" w:hAnsiTheme="minorHAnsi" w:cstheme="minorBidi"/>
          <w:noProof/>
          <w:kern w:val="2"/>
          <w:sz w:val="24"/>
          <w:szCs w:val="24"/>
          <w:lang w:eastAsia="lv-LV"/>
          <w14:ligatures w14:val="standardContextual"/>
        </w:rPr>
      </w:pPr>
      <w:hyperlink w:anchor="_Toc190952424" w:history="1">
        <w:r w:rsidRPr="00CA29F9">
          <w:rPr>
            <w:rStyle w:val="Hyperlink"/>
            <w:rFonts w:ascii="Cambria" w:eastAsia="Yu Gothic" w:hAnsi="Cambria" w:cs="Arial"/>
            <w:noProof/>
          </w:rPr>
          <w:t>5.2.1. GES vienību tirgus</w:t>
        </w:r>
        <w:r w:rsidRPr="00CA29F9">
          <w:rPr>
            <w:noProof/>
          </w:rPr>
          <w:tab/>
        </w:r>
        <w:r w:rsidRPr="00CA29F9">
          <w:rPr>
            <w:noProof/>
          </w:rPr>
          <w:fldChar w:fldCharType="begin"/>
        </w:r>
        <w:r w:rsidRPr="00CA29F9">
          <w:rPr>
            <w:noProof/>
          </w:rPr>
          <w:instrText xml:space="preserve"> PAGEREF _Toc190952424 \h </w:instrText>
        </w:r>
        <w:r w:rsidRPr="00CA29F9">
          <w:rPr>
            <w:noProof/>
          </w:rPr>
        </w:r>
        <w:r w:rsidRPr="00CA29F9">
          <w:rPr>
            <w:noProof/>
          </w:rPr>
          <w:fldChar w:fldCharType="separate"/>
        </w:r>
        <w:r w:rsidR="00587B91">
          <w:rPr>
            <w:noProof/>
          </w:rPr>
          <w:t>28</w:t>
        </w:r>
        <w:r w:rsidRPr="00CA29F9">
          <w:rPr>
            <w:noProof/>
          </w:rPr>
          <w:fldChar w:fldCharType="end"/>
        </w:r>
      </w:hyperlink>
    </w:p>
    <w:p w14:paraId="49F69609" w14:textId="3CAC1035" w:rsidR="00CA29F9" w:rsidRPr="00CA29F9" w:rsidRDefault="00CA29F9" w:rsidP="00CA29F9">
      <w:pPr>
        <w:pStyle w:val="TOC2"/>
        <w:tabs>
          <w:tab w:val="left" w:pos="960"/>
          <w:tab w:val="right" w:leader="dot" w:pos="9061"/>
        </w:tabs>
        <w:ind w:left="709"/>
        <w:rPr>
          <w:rFonts w:asciiTheme="minorHAnsi" w:eastAsiaTheme="minorEastAsia" w:hAnsiTheme="minorHAnsi" w:cstheme="minorBidi"/>
          <w:noProof/>
          <w:kern w:val="2"/>
          <w:sz w:val="24"/>
          <w:szCs w:val="24"/>
          <w:lang w:eastAsia="lv-LV"/>
          <w14:ligatures w14:val="standardContextual"/>
        </w:rPr>
      </w:pPr>
      <w:hyperlink w:anchor="_Toc190952425" w:history="1">
        <w:r w:rsidRPr="00CA29F9">
          <w:rPr>
            <w:rStyle w:val="Hyperlink"/>
            <w:rFonts w:ascii="Cambria" w:eastAsia="Yu Gothic" w:hAnsi="Cambria" w:cs="Arial"/>
            <w:noProof/>
          </w:rPr>
          <w:t>5.2.2. Piesaistes vienību tirgus</w:t>
        </w:r>
        <w:r w:rsidRPr="00CA29F9">
          <w:rPr>
            <w:noProof/>
          </w:rPr>
          <w:tab/>
        </w:r>
        <w:r w:rsidRPr="00CA29F9">
          <w:rPr>
            <w:noProof/>
          </w:rPr>
          <w:fldChar w:fldCharType="begin"/>
        </w:r>
        <w:r w:rsidRPr="00CA29F9">
          <w:rPr>
            <w:noProof/>
          </w:rPr>
          <w:instrText xml:space="preserve"> PAGEREF _Toc190952425 \h </w:instrText>
        </w:r>
        <w:r w:rsidRPr="00CA29F9">
          <w:rPr>
            <w:noProof/>
          </w:rPr>
        </w:r>
        <w:r w:rsidRPr="00CA29F9">
          <w:rPr>
            <w:noProof/>
          </w:rPr>
          <w:fldChar w:fldCharType="separate"/>
        </w:r>
        <w:r w:rsidR="00587B91">
          <w:rPr>
            <w:noProof/>
          </w:rPr>
          <w:t>30</w:t>
        </w:r>
        <w:r w:rsidRPr="00CA29F9">
          <w:rPr>
            <w:noProof/>
          </w:rPr>
          <w:fldChar w:fldCharType="end"/>
        </w:r>
      </w:hyperlink>
    </w:p>
    <w:p w14:paraId="13E6B7A1" w14:textId="1E4A3EBB" w:rsidR="00CA29F9" w:rsidRPr="00CA29F9" w:rsidRDefault="00CA29F9" w:rsidP="00CA29F9">
      <w:pPr>
        <w:pStyle w:val="TOC2"/>
        <w:tabs>
          <w:tab w:val="left" w:pos="720"/>
          <w:tab w:val="right" w:leader="dot" w:pos="9061"/>
        </w:tabs>
        <w:ind w:left="426"/>
        <w:rPr>
          <w:rFonts w:asciiTheme="minorHAnsi" w:eastAsiaTheme="minorEastAsia" w:hAnsiTheme="minorHAnsi" w:cstheme="minorBidi"/>
          <w:noProof/>
          <w:kern w:val="2"/>
          <w:sz w:val="24"/>
          <w:szCs w:val="24"/>
          <w:lang w:eastAsia="lv-LV"/>
          <w14:ligatures w14:val="standardContextual"/>
        </w:rPr>
      </w:pPr>
      <w:hyperlink w:anchor="_Toc190952426" w:history="1">
        <w:r w:rsidRPr="00CA29F9">
          <w:rPr>
            <w:rStyle w:val="Hyperlink"/>
            <w:rFonts w:ascii="Cambria" w:eastAsia="Yu Gothic" w:hAnsi="Cambria" w:cs="Arial"/>
            <w:noProof/>
          </w:rPr>
          <w:t>5.3. Turpmākā rīcība ar emisijas vienībām</w:t>
        </w:r>
        <w:r w:rsidRPr="00CA29F9">
          <w:rPr>
            <w:noProof/>
          </w:rPr>
          <w:tab/>
        </w:r>
        <w:r w:rsidRPr="00CA29F9">
          <w:rPr>
            <w:noProof/>
          </w:rPr>
          <w:fldChar w:fldCharType="begin"/>
        </w:r>
        <w:r w:rsidRPr="00CA29F9">
          <w:rPr>
            <w:noProof/>
          </w:rPr>
          <w:instrText xml:space="preserve"> PAGEREF _Toc190952426 \h </w:instrText>
        </w:r>
        <w:r w:rsidRPr="00CA29F9">
          <w:rPr>
            <w:noProof/>
          </w:rPr>
        </w:r>
        <w:r w:rsidRPr="00CA29F9">
          <w:rPr>
            <w:noProof/>
          </w:rPr>
          <w:fldChar w:fldCharType="separate"/>
        </w:r>
        <w:r w:rsidR="00587B91">
          <w:rPr>
            <w:noProof/>
          </w:rPr>
          <w:t>30</w:t>
        </w:r>
        <w:r w:rsidRPr="00CA29F9">
          <w:rPr>
            <w:noProof/>
          </w:rPr>
          <w:fldChar w:fldCharType="end"/>
        </w:r>
      </w:hyperlink>
    </w:p>
    <w:p w14:paraId="151F6598" w14:textId="0857C3F4" w:rsidR="00CA29F9" w:rsidRDefault="00CA29F9">
      <w:pPr>
        <w:pStyle w:val="TOC1"/>
        <w:tabs>
          <w:tab w:val="left" w:pos="440"/>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27" w:history="1">
        <w:r w:rsidRPr="00D22B59">
          <w:rPr>
            <w:rStyle w:val="Hyperlink"/>
            <w:rFonts w:ascii="Cambria" w:eastAsia="Yu Gothic" w:hAnsi="Cambria" w:cs="Arial"/>
            <w:b/>
            <w:noProof/>
          </w:rPr>
          <w:t>6.</w:t>
        </w:r>
        <w:r>
          <w:rPr>
            <w:rFonts w:asciiTheme="minorHAnsi" w:eastAsiaTheme="minorEastAsia" w:hAnsiTheme="minorHAnsi" w:cstheme="minorBidi"/>
            <w:noProof/>
            <w:kern w:val="2"/>
            <w:sz w:val="24"/>
            <w:szCs w:val="24"/>
            <w:lang w:eastAsia="lv-LV"/>
            <w14:ligatures w14:val="standardContextual"/>
          </w:rPr>
          <w:t xml:space="preserve"> </w:t>
        </w:r>
        <w:r w:rsidRPr="00D22B59">
          <w:rPr>
            <w:rStyle w:val="Hyperlink"/>
            <w:rFonts w:ascii="Cambria" w:hAnsi="Cambria"/>
            <w:b/>
            <w:bCs/>
            <w:caps/>
            <w:noProof/>
          </w:rPr>
          <w:t>SECINĀJUMI</w:t>
        </w:r>
        <w:r>
          <w:rPr>
            <w:noProof/>
          </w:rPr>
          <w:tab/>
        </w:r>
        <w:r>
          <w:rPr>
            <w:noProof/>
          </w:rPr>
          <w:fldChar w:fldCharType="begin"/>
        </w:r>
        <w:r>
          <w:rPr>
            <w:noProof/>
          </w:rPr>
          <w:instrText xml:space="preserve"> PAGEREF _Toc190952427 \h </w:instrText>
        </w:r>
        <w:r>
          <w:rPr>
            <w:noProof/>
          </w:rPr>
        </w:r>
        <w:r>
          <w:rPr>
            <w:noProof/>
          </w:rPr>
          <w:fldChar w:fldCharType="separate"/>
        </w:r>
        <w:r w:rsidR="00587B91">
          <w:rPr>
            <w:noProof/>
          </w:rPr>
          <w:t>31</w:t>
        </w:r>
        <w:r>
          <w:rPr>
            <w:noProof/>
          </w:rPr>
          <w:fldChar w:fldCharType="end"/>
        </w:r>
      </w:hyperlink>
    </w:p>
    <w:p w14:paraId="70894458" w14:textId="187DAD91" w:rsidR="00CA29F9" w:rsidRDefault="00CA29F9">
      <w:pPr>
        <w:pStyle w:val="TOC1"/>
        <w:tabs>
          <w:tab w:val="right" w:leader="dot" w:pos="9061"/>
        </w:tabs>
        <w:rPr>
          <w:rFonts w:asciiTheme="minorHAnsi" w:eastAsiaTheme="minorEastAsia" w:hAnsiTheme="minorHAnsi" w:cstheme="minorBidi"/>
          <w:noProof/>
          <w:kern w:val="2"/>
          <w:sz w:val="24"/>
          <w:szCs w:val="24"/>
          <w:lang w:eastAsia="lv-LV"/>
          <w14:ligatures w14:val="standardContextual"/>
        </w:rPr>
      </w:pPr>
      <w:hyperlink w:anchor="_Toc190952428" w:history="1">
        <w:r w:rsidRPr="00D22B59">
          <w:rPr>
            <w:rStyle w:val="Hyperlink"/>
            <w:rFonts w:ascii="Cambria" w:hAnsi="Cambria"/>
            <w:b/>
            <w:bCs/>
            <w:noProof/>
            <w:lang w:eastAsia="lv-LV"/>
          </w:rPr>
          <w:t>Pielikumi</w:t>
        </w:r>
        <w:r>
          <w:rPr>
            <w:noProof/>
          </w:rPr>
          <w:tab/>
        </w:r>
        <w:r>
          <w:rPr>
            <w:noProof/>
          </w:rPr>
          <w:fldChar w:fldCharType="begin"/>
        </w:r>
        <w:r>
          <w:rPr>
            <w:noProof/>
          </w:rPr>
          <w:instrText xml:space="preserve"> PAGEREF _Toc190952428 \h </w:instrText>
        </w:r>
        <w:r>
          <w:rPr>
            <w:noProof/>
          </w:rPr>
        </w:r>
        <w:r>
          <w:rPr>
            <w:noProof/>
          </w:rPr>
          <w:fldChar w:fldCharType="separate"/>
        </w:r>
        <w:r w:rsidR="00587B91">
          <w:rPr>
            <w:noProof/>
          </w:rPr>
          <w:t>32</w:t>
        </w:r>
        <w:r>
          <w:rPr>
            <w:noProof/>
          </w:rPr>
          <w:fldChar w:fldCharType="end"/>
        </w:r>
      </w:hyperlink>
    </w:p>
    <w:p w14:paraId="6D119554" w14:textId="5D0FD2C9" w:rsidR="003E6EAD" w:rsidRPr="00072832" w:rsidRDefault="003A4514">
      <w:pPr>
        <w:pStyle w:val="TOC1"/>
        <w:rPr>
          <w:bCs/>
        </w:rPr>
      </w:pPr>
      <w:r w:rsidRPr="00072832">
        <w:rPr>
          <w:bCs/>
        </w:rPr>
        <w:fldChar w:fldCharType="end"/>
      </w:r>
    </w:p>
    <w:p w14:paraId="569AB578" w14:textId="77777777" w:rsidR="003E6EAD" w:rsidRDefault="003E6EAD">
      <w:pPr>
        <w:jc w:val="both"/>
        <w:rPr>
          <w:rFonts w:ascii="Cambria" w:eastAsia="Times New Roman" w:hAnsi="Cambria"/>
          <w:sz w:val="24"/>
          <w:szCs w:val="24"/>
          <w:lang w:eastAsia="lv-LV" w:bidi="lo-LA"/>
        </w:rPr>
      </w:pPr>
    </w:p>
    <w:p w14:paraId="0830A379" w14:textId="77777777" w:rsidR="003E6EAD" w:rsidRDefault="003E6EAD">
      <w:pPr>
        <w:pageBreakBefore/>
        <w:spacing w:after="0" w:line="240" w:lineRule="auto"/>
        <w:rPr>
          <w:rFonts w:ascii="Cambria" w:hAnsi="Cambria"/>
          <w:sz w:val="24"/>
          <w:szCs w:val="24"/>
        </w:rPr>
      </w:pPr>
    </w:p>
    <w:p w14:paraId="4CFC1B7E" w14:textId="77777777" w:rsidR="003E6EAD" w:rsidRDefault="003A4514">
      <w:pPr>
        <w:pStyle w:val="Heading1"/>
        <w:rPr>
          <w:rFonts w:ascii="Cambria" w:hAnsi="Cambria"/>
          <w:b/>
          <w:sz w:val="24"/>
          <w:szCs w:val="24"/>
        </w:rPr>
      </w:pPr>
      <w:bookmarkStart w:id="0" w:name="_Toc167949237"/>
      <w:bookmarkStart w:id="1" w:name="_Toc2115639700"/>
      <w:bookmarkStart w:id="2" w:name="_Toc168917320"/>
      <w:bookmarkStart w:id="3" w:name="_Toc170884412"/>
      <w:bookmarkStart w:id="4" w:name="_Toc171340683"/>
      <w:bookmarkStart w:id="5" w:name="_Toc185319484"/>
      <w:bookmarkStart w:id="6" w:name="_Toc190952411"/>
      <w:r>
        <w:rPr>
          <w:rFonts w:ascii="Cambria" w:hAnsi="Cambria"/>
          <w:b/>
          <w:sz w:val="24"/>
          <w:szCs w:val="24"/>
        </w:rPr>
        <w:t>SAĪSINĀJUMI</w:t>
      </w:r>
      <w:bookmarkEnd w:id="0"/>
      <w:bookmarkEnd w:id="1"/>
      <w:bookmarkEnd w:id="2"/>
      <w:bookmarkEnd w:id="3"/>
      <w:bookmarkEnd w:id="4"/>
      <w:bookmarkEnd w:id="5"/>
      <w:bookmarkEnd w:id="6"/>
    </w:p>
    <w:tbl>
      <w:tblPr>
        <w:tblW w:w="9639" w:type="dxa"/>
        <w:jc w:val="center"/>
        <w:tblBorders>
          <w:top w:val="single" w:sz="4" w:space="0" w:color="7F7F7F" w:themeColor="text1" w:themeTint="80"/>
          <w:bottom w:val="single" w:sz="4" w:space="0" w:color="7F7F7F" w:themeColor="text1" w:themeTint="80"/>
          <w:insideH w:val="single" w:sz="4" w:space="0" w:color="auto"/>
        </w:tblBorders>
        <w:tblCellMar>
          <w:left w:w="10" w:type="dxa"/>
          <w:right w:w="10" w:type="dxa"/>
        </w:tblCellMar>
        <w:tblLook w:val="04A0" w:firstRow="1" w:lastRow="0" w:firstColumn="1" w:lastColumn="0" w:noHBand="0" w:noVBand="1"/>
      </w:tblPr>
      <w:tblGrid>
        <w:gridCol w:w="2694"/>
        <w:gridCol w:w="6945"/>
      </w:tblGrid>
      <w:tr w:rsidR="003E6EAD" w14:paraId="4B382AAC" w14:textId="77777777" w:rsidTr="00583087">
        <w:trPr>
          <w:trHeight w:val="227"/>
          <w:jc w:val="center"/>
        </w:trPr>
        <w:tc>
          <w:tcPr>
            <w:tcW w:w="2694" w:type="dxa"/>
            <w:shd w:val="clear" w:color="auto" w:fill="auto"/>
            <w:tcMar>
              <w:top w:w="0" w:type="dxa"/>
              <w:left w:w="28" w:type="dxa"/>
              <w:bottom w:w="0" w:type="dxa"/>
              <w:right w:w="28" w:type="dxa"/>
            </w:tcMar>
            <w:vAlign w:val="center"/>
          </w:tcPr>
          <w:p w14:paraId="7EB79600" w14:textId="77777777" w:rsidR="003E6EAD" w:rsidRDefault="003A4514" w:rsidP="008A181E">
            <w:pPr>
              <w:shd w:val="clear" w:color="auto" w:fill="FFFFFF"/>
              <w:spacing w:after="0" w:line="240" w:lineRule="auto"/>
              <w:jc w:val="center"/>
            </w:pPr>
            <w:r>
              <w:rPr>
                <w:rFonts w:ascii="Cambria" w:hAnsi="Cambria" w:cs="Aptos"/>
                <w:lang w:eastAsia="lv-LV"/>
              </w:rPr>
              <w:t>ANO</w:t>
            </w:r>
          </w:p>
        </w:tc>
        <w:tc>
          <w:tcPr>
            <w:tcW w:w="6945" w:type="dxa"/>
            <w:shd w:val="clear" w:color="auto" w:fill="auto"/>
            <w:tcMar>
              <w:top w:w="0" w:type="dxa"/>
              <w:left w:w="28" w:type="dxa"/>
              <w:bottom w:w="0" w:type="dxa"/>
              <w:right w:w="28" w:type="dxa"/>
            </w:tcMar>
            <w:vAlign w:val="center"/>
          </w:tcPr>
          <w:p w14:paraId="6402670C" w14:textId="77777777" w:rsidR="003E6EAD" w:rsidRDefault="003A4514" w:rsidP="008A181E">
            <w:pPr>
              <w:shd w:val="clear" w:color="auto" w:fill="FFFFFF"/>
              <w:spacing w:after="0" w:line="240" w:lineRule="auto"/>
            </w:pPr>
            <w:r>
              <w:rPr>
                <w:rFonts w:ascii="Cambria" w:hAnsi="Cambria" w:cs="Aptos"/>
                <w:lang w:eastAsia="lv-LV"/>
              </w:rPr>
              <w:t>Apvienoto Nāciju Organizācija</w:t>
            </w:r>
          </w:p>
        </w:tc>
      </w:tr>
      <w:tr w:rsidR="003E6EAD" w14:paraId="0E18EE8A" w14:textId="77777777" w:rsidTr="00583087">
        <w:trPr>
          <w:trHeight w:val="227"/>
          <w:jc w:val="center"/>
        </w:trPr>
        <w:tc>
          <w:tcPr>
            <w:tcW w:w="2694" w:type="dxa"/>
            <w:shd w:val="clear" w:color="auto" w:fill="auto"/>
            <w:tcMar>
              <w:top w:w="0" w:type="dxa"/>
              <w:left w:w="28" w:type="dxa"/>
              <w:bottom w:w="0" w:type="dxa"/>
              <w:right w:w="28" w:type="dxa"/>
            </w:tcMar>
            <w:vAlign w:val="center"/>
          </w:tcPr>
          <w:p w14:paraId="44C9F73A" w14:textId="77777777" w:rsidR="003E6EAD" w:rsidRDefault="003A4514" w:rsidP="008A181E">
            <w:pPr>
              <w:shd w:val="clear" w:color="auto" w:fill="FFFFFF"/>
              <w:spacing w:after="0" w:line="240" w:lineRule="auto"/>
              <w:jc w:val="center"/>
            </w:pPr>
            <w:r>
              <w:rPr>
                <w:rFonts w:ascii="Cambria" w:hAnsi="Cambria" w:cs="Aptos"/>
                <w:lang w:eastAsia="lv-LV"/>
              </w:rPr>
              <w:t>CH</w:t>
            </w:r>
            <w:r>
              <w:rPr>
                <w:rFonts w:ascii="Cambria" w:hAnsi="Cambria" w:cs="Aptos"/>
                <w:vertAlign w:val="subscript"/>
                <w:lang w:eastAsia="lv-LV"/>
              </w:rPr>
              <w:t>4</w:t>
            </w:r>
          </w:p>
        </w:tc>
        <w:tc>
          <w:tcPr>
            <w:tcW w:w="6945" w:type="dxa"/>
            <w:shd w:val="clear" w:color="auto" w:fill="auto"/>
            <w:tcMar>
              <w:top w:w="0" w:type="dxa"/>
              <w:left w:w="28" w:type="dxa"/>
              <w:bottom w:w="0" w:type="dxa"/>
              <w:right w:w="28" w:type="dxa"/>
            </w:tcMar>
            <w:vAlign w:val="center"/>
          </w:tcPr>
          <w:p w14:paraId="131E57BF"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Metāns</w:t>
            </w:r>
          </w:p>
        </w:tc>
      </w:tr>
      <w:tr w:rsidR="003E6EAD" w14:paraId="1D545AE5" w14:textId="77777777" w:rsidTr="00583087">
        <w:trPr>
          <w:trHeight w:val="227"/>
          <w:jc w:val="center"/>
        </w:trPr>
        <w:tc>
          <w:tcPr>
            <w:tcW w:w="2694" w:type="dxa"/>
            <w:shd w:val="clear" w:color="auto" w:fill="auto"/>
            <w:tcMar>
              <w:top w:w="0" w:type="dxa"/>
              <w:left w:w="28" w:type="dxa"/>
              <w:bottom w:w="0" w:type="dxa"/>
              <w:right w:w="28" w:type="dxa"/>
            </w:tcMar>
            <w:vAlign w:val="center"/>
          </w:tcPr>
          <w:p w14:paraId="6D83E7CA" w14:textId="77777777" w:rsidR="003E6EAD" w:rsidRDefault="003A4514" w:rsidP="008A181E">
            <w:pPr>
              <w:shd w:val="clear" w:color="auto" w:fill="FFFFFF"/>
              <w:spacing w:after="0" w:line="240" w:lineRule="auto"/>
              <w:jc w:val="center"/>
            </w:pPr>
            <w:r>
              <w:rPr>
                <w:rFonts w:ascii="Cambria" w:hAnsi="Cambria" w:cs="Aptos"/>
                <w:lang w:eastAsia="lv-LV"/>
              </w:rPr>
              <w:t>CO</w:t>
            </w:r>
            <w:r>
              <w:rPr>
                <w:rFonts w:ascii="Cambria" w:hAnsi="Cambria" w:cs="Aptos"/>
                <w:vertAlign w:val="subscript"/>
                <w:lang w:eastAsia="lv-LV"/>
              </w:rPr>
              <w:t>2</w:t>
            </w:r>
          </w:p>
        </w:tc>
        <w:tc>
          <w:tcPr>
            <w:tcW w:w="6945" w:type="dxa"/>
            <w:shd w:val="clear" w:color="auto" w:fill="auto"/>
            <w:tcMar>
              <w:top w:w="0" w:type="dxa"/>
              <w:left w:w="28" w:type="dxa"/>
              <w:bottom w:w="0" w:type="dxa"/>
              <w:right w:w="28" w:type="dxa"/>
            </w:tcMar>
            <w:vAlign w:val="center"/>
          </w:tcPr>
          <w:p w14:paraId="78603168"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Oglekļa dioksīds</w:t>
            </w:r>
          </w:p>
        </w:tc>
      </w:tr>
      <w:tr w:rsidR="003E6EAD" w14:paraId="45F09E84" w14:textId="77777777" w:rsidTr="00583087">
        <w:trPr>
          <w:trHeight w:val="227"/>
          <w:jc w:val="center"/>
        </w:trPr>
        <w:tc>
          <w:tcPr>
            <w:tcW w:w="2694" w:type="dxa"/>
            <w:shd w:val="clear" w:color="auto" w:fill="auto"/>
            <w:tcMar>
              <w:top w:w="0" w:type="dxa"/>
              <w:left w:w="28" w:type="dxa"/>
              <w:bottom w:w="0" w:type="dxa"/>
              <w:right w:w="28" w:type="dxa"/>
            </w:tcMar>
            <w:vAlign w:val="center"/>
          </w:tcPr>
          <w:p w14:paraId="482FBD43" w14:textId="77777777" w:rsidR="003E6EAD" w:rsidRDefault="003A4514" w:rsidP="008A181E">
            <w:pPr>
              <w:shd w:val="clear" w:color="auto" w:fill="FFFFFF" w:themeFill="background1"/>
              <w:spacing w:after="0" w:line="240" w:lineRule="auto"/>
              <w:jc w:val="center"/>
              <w:rPr>
                <w:rFonts w:ascii="Cambria" w:hAnsi="Cambria" w:cs="Aptos"/>
                <w:lang w:val="en-US" w:eastAsia="lv-LV"/>
              </w:rPr>
            </w:pPr>
            <w:r w:rsidRPr="6640513F">
              <w:rPr>
                <w:rFonts w:ascii="Cambria" w:hAnsi="Cambria" w:cs="Aptos"/>
                <w:lang w:val="en-US" w:eastAsia="lv-LV"/>
              </w:rPr>
              <w:t>CO</w:t>
            </w:r>
            <w:r w:rsidRPr="6640513F">
              <w:rPr>
                <w:rFonts w:ascii="Cambria" w:hAnsi="Cambria" w:cs="Aptos"/>
                <w:vertAlign w:val="subscript"/>
                <w:lang w:val="en-US" w:eastAsia="lv-LV"/>
              </w:rPr>
              <w:t>2</w:t>
            </w:r>
            <w:r w:rsidRPr="6640513F">
              <w:rPr>
                <w:rFonts w:ascii="Cambria" w:hAnsi="Cambria" w:cs="Aptos"/>
                <w:lang w:val="en-US" w:eastAsia="lv-LV"/>
              </w:rPr>
              <w:t xml:space="preserve"> ekv.</w:t>
            </w:r>
          </w:p>
        </w:tc>
        <w:tc>
          <w:tcPr>
            <w:tcW w:w="6945" w:type="dxa"/>
            <w:shd w:val="clear" w:color="auto" w:fill="auto"/>
            <w:tcMar>
              <w:top w:w="0" w:type="dxa"/>
              <w:left w:w="28" w:type="dxa"/>
              <w:bottom w:w="0" w:type="dxa"/>
              <w:right w:w="28" w:type="dxa"/>
            </w:tcMar>
            <w:vAlign w:val="center"/>
          </w:tcPr>
          <w:p w14:paraId="6A7C8469"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Oglekļa dioksīda ekvivalents</w:t>
            </w:r>
          </w:p>
        </w:tc>
      </w:tr>
      <w:tr w:rsidR="00D640E7" w14:paraId="26D704E2" w14:textId="77777777" w:rsidTr="00583087">
        <w:trPr>
          <w:trHeight w:val="227"/>
          <w:jc w:val="center"/>
        </w:trPr>
        <w:tc>
          <w:tcPr>
            <w:tcW w:w="2694" w:type="dxa"/>
            <w:shd w:val="clear" w:color="auto" w:fill="auto"/>
            <w:tcMar>
              <w:top w:w="0" w:type="dxa"/>
              <w:left w:w="28" w:type="dxa"/>
              <w:bottom w:w="0" w:type="dxa"/>
              <w:right w:w="28" w:type="dxa"/>
            </w:tcMar>
            <w:vAlign w:val="center"/>
          </w:tcPr>
          <w:p w14:paraId="29D61F4E" w14:textId="132ED73F" w:rsidR="00D640E7" w:rsidRPr="6640513F" w:rsidRDefault="00D640E7" w:rsidP="008A181E">
            <w:pPr>
              <w:shd w:val="clear" w:color="auto" w:fill="FFFFFF" w:themeFill="background1"/>
              <w:spacing w:after="0" w:line="240" w:lineRule="auto"/>
              <w:jc w:val="center"/>
              <w:rPr>
                <w:rFonts w:ascii="Cambria" w:hAnsi="Cambria" w:cs="Aptos"/>
                <w:lang w:val="en-US" w:eastAsia="lv-LV"/>
              </w:rPr>
            </w:pPr>
            <w:r>
              <w:rPr>
                <w:rFonts w:ascii="Cambria" w:hAnsi="Cambria" w:cs="Aptos"/>
                <w:lang w:val="en-US" w:eastAsia="lv-LV"/>
              </w:rPr>
              <w:t>CRT</w:t>
            </w:r>
          </w:p>
        </w:tc>
        <w:tc>
          <w:tcPr>
            <w:tcW w:w="6945" w:type="dxa"/>
            <w:shd w:val="clear" w:color="auto" w:fill="auto"/>
            <w:tcMar>
              <w:top w:w="0" w:type="dxa"/>
              <w:left w:w="28" w:type="dxa"/>
              <w:bottom w:w="0" w:type="dxa"/>
              <w:right w:w="28" w:type="dxa"/>
            </w:tcMar>
            <w:vAlign w:val="center"/>
          </w:tcPr>
          <w:p w14:paraId="167BCF93" w14:textId="0B7C1C46" w:rsidR="00D640E7" w:rsidRDefault="00D640E7" w:rsidP="008A181E">
            <w:pPr>
              <w:shd w:val="clear" w:color="auto" w:fill="FFFFFF"/>
              <w:spacing w:after="0" w:line="240" w:lineRule="auto"/>
              <w:rPr>
                <w:rFonts w:ascii="Cambria" w:hAnsi="Cambria" w:cs="Aptos"/>
                <w:lang w:eastAsia="lv-LV"/>
              </w:rPr>
            </w:pPr>
            <w:r>
              <w:rPr>
                <w:rFonts w:ascii="Cambria" w:hAnsi="Cambria"/>
              </w:rPr>
              <w:t>V</w:t>
            </w:r>
            <w:r w:rsidRPr="5B9FE7F0">
              <w:rPr>
                <w:rFonts w:ascii="Cambria" w:hAnsi="Cambria"/>
              </w:rPr>
              <w:t>ienotā</w:t>
            </w:r>
            <w:r>
              <w:rPr>
                <w:rFonts w:ascii="Cambria" w:hAnsi="Cambria"/>
              </w:rPr>
              <w:t>s</w:t>
            </w:r>
            <w:r w:rsidRPr="5B9FE7F0">
              <w:rPr>
                <w:rFonts w:ascii="Cambria" w:hAnsi="Cambria"/>
              </w:rPr>
              <w:t xml:space="preserve"> ziņošanas tabulu formāt</w:t>
            </w:r>
            <w:r>
              <w:rPr>
                <w:rFonts w:ascii="Cambria" w:hAnsi="Cambria"/>
              </w:rPr>
              <w:t>s</w:t>
            </w:r>
          </w:p>
        </w:tc>
      </w:tr>
      <w:tr w:rsidR="003E6EAD" w14:paraId="320EA515" w14:textId="77777777" w:rsidTr="00583087">
        <w:trPr>
          <w:trHeight w:val="227"/>
          <w:jc w:val="center"/>
        </w:trPr>
        <w:tc>
          <w:tcPr>
            <w:tcW w:w="2694" w:type="dxa"/>
            <w:shd w:val="clear" w:color="auto" w:fill="auto"/>
            <w:tcMar>
              <w:top w:w="0" w:type="dxa"/>
              <w:left w:w="28" w:type="dxa"/>
              <w:bottom w:w="0" w:type="dxa"/>
              <w:right w:w="28" w:type="dxa"/>
            </w:tcMar>
            <w:vAlign w:val="center"/>
          </w:tcPr>
          <w:p w14:paraId="3AFDF6C9" w14:textId="77777777" w:rsidR="003E6EAD" w:rsidRDefault="003A4514" w:rsidP="008A181E">
            <w:pPr>
              <w:shd w:val="clear" w:color="auto" w:fill="FFFFFF"/>
              <w:spacing w:after="0" w:line="240" w:lineRule="auto"/>
              <w:jc w:val="center"/>
            </w:pPr>
            <w:r>
              <w:rPr>
                <w:rFonts w:ascii="Cambria" w:hAnsi="Cambria" w:cs="Aptos"/>
                <w:lang w:eastAsia="lv-LV"/>
              </w:rPr>
              <w:t>EK</w:t>
            </w:r>
          </w:p>
        </w:tc>
        <w:tc>
          <w:tcPr>
            <w:tcW w:w="6945" w:type="dxa"/>
            <w:shd w:val="clear" w:color="auto" w:fill="auto"/>
            <w:tcMar>
              <w:top w:w="0" w:type="dxa"/>
              <w:left w:w="28" w:type="dxa"/>
              <w:bottom w:w="0" w:type="dxa"/>
              <w:right w:w="28" w:type="dxa"/>
            </w:tcMar>
            <w:vAlign w:val="center"/>
          </w:tcPr>
          <w:p w14:paraId="3BF145C7"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Eiropas Komisija</w:t>
            </w:r>
          </w:p>
        </w:tc>
      </w:tr>
      <w:tr w:rsidR="003E6EAD" w14:paraId="2C8EEC2D" w14:textId="77777777" w:rsidTr="00583087">
        <w:trPr>
          <w:trHeight w:val="227"/>
          <w:jc w:val="center"/>
        </w:trPr>
        <w:tc>
          <w:tcPr>
            <w:tcW w:w="2694" w:type="dxa"/>
            <w:shd w:val="clear" w:color="auto" w:fill="auto"/>
            <w:tcMar>
              <w:top w:w="0" w:type="dxa"/>
              <w:left w:w="28" w:type="dxa"/>
              <w:bottom w:w="0" w:type="dxa"/>
              <w:right w:w="28" w:type="dxa"/>
            </w:tcMar>
            <w:vAlign w:val="center"/>
          </w:tcPr>
          <w:p w14:paraId="76DFDC89" w14:textId="77777777" w:rsidR="003E6EAD" w:rsidRDefault="003A4514" w:rsidP="008A181E">
            <w:pPr>
              <w:shd w:val="clear" w:color="auto" w:fill="FFFFFF"/>
              <w:spacing w:after="0" w:line="240" w:lineRule="auto"/>
              <w:jc w:val="center"/>
            </w:pPr>
            <w:r>
              <w:rPr>
                <w:rFonts w:ascii="Cambria" w:hAnsi="Cambria" w:cs="Aptos"/>
                <w:lang w:eastAsia="lv-LV"/>
              </w:rPr>
              <w:t>EKII</w:t>
            </w:r>
          </w:p>
        </w:tc>
        <w:tc>
          <w:tcPr>
            <w:tcW w:w="6945" w:type="dxa"/>
            <w:shd w:val="clear" w:color="auto" w:fill="auto"/>
            <w:tcMar>
              <w:top w:w="0" w:type="dxa"/>
              <w:left w:w="28" w:type="dxa"/>
              <w:bottom w:w="0" w:type="dxa"/>
              <w:right w:w="28" w:type="dxa"/>
            </w:tcMar>
            <w:vAlign w:val="center"/>
          </w:tcPr>
          <w:p w14:paraId="051C5FAC"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Emisijas kvotu izsolīšanas instruments</w:t>
            </w:r>
          </w:p>
        </w:tc>
      </w:tr>
      <w:tr w:rsidR="003E6EAD" w14:paraId="0E942EFE" w14:textId="77777777" w:rsidTr="00583087">
        <w:trPr>
          <w:trHeight w:val="227"/>
          <w:jc w:val="center"/>
        </w:trPr>
        <w:tc>
          <w:tcPr>
            <w:tcW w:w="2694" w:type="dxa"/>
            <w:shd w:val="clear" w:color="auto" w:fill="auto"/>
            <w:tcMar>
              <w:top w:w="0" w:type="dxa"/>
              <w:left w:w="28" w:type="dxa"/>
              <w:bottom w:w="0" w:type="dxa"/>
              <w:right w:w="28" w:type="dxa"/>
            </w:tcMar>
            <w:vAlign w:val="center"/>
          </w:tcPr>
          <w:p w14:paraId="02075803" w14:textId="77777777" w:rsidR="003E6EAD" w:rsidRDefault="003A4514" w:rsidP="008A181E">
            <w:pPr>
              <w:shd w:val="clear" w:color="auto" w:fill="FFFFFF"/>
              <w:spacing w:after="0" w:line="240" w:lineRule="auto"/>
              <w:jc w:val="center"/>
            </w:pPr>
            <w:r>
              <w:rPr>
                <w:rFonts w:ascii="Cambria" w:hAnsi="Cambria" w:cs="Aptos"/>
                <w:lang w:eastAsia="lv-LV"/>
              </w:rPr>
              <w:t>EM</w:t>
            </w:r>
          </w:p>
        </w:tc>
        <w:tc>
          <w:tcPr>
            <w:tcW w:w="6945" w:type="dxa"/>
            <w:shd w:val="clear" w:color="auto" w:fill="auto"/>
            <w:tcMar>
              <w:top w:w="0" w:type="dxa"/>
              <w:left w:w="28" w:type="dxa"/>
              <w:bottom w:w="0" w:type="dxa"/>
              <w:right w:w="28" w:type="dxa"/>
            </w:tcMar>
            <w:vAlign w:val="center"/>
          </w:tcPr>
          <w:p w14:paraId="6EC82083"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Ekonomikas ministrija</w:t>
            </w:r>
          </w:p>
        </w:tc>
      </w:tr>
      <w:tr w:rsidR="003E6EAD" w14:paraId="21AEDFFF" w14:textId="77777777" w:rsidTr="00583087">
        <w:trPr>
          <w:trHeight w:val="227"/>
          <w:jc w:val="center"/>
        </w:trPr>
        <w:tc>
          <w:tcPr>
            <w:tcW w:w="2694" w:type="dxa"/>
            <w:shd w:val="clear" w:color="auto" w:fill="auto"/>
            <w:tcMar>
              <w:top w:w="0" w:type="dxa"/>
              <w:left w:w="28" w:type="dxa"/>
              <w:bottom w:w="0" w:type="dxa"/>
              <w:right w:w="28" w:type="dxa"/>
            </w:tcMar>
            <w:vAlign w:val="center"/>
          </w:tcPr>
          <w:p w14:paraId="65DB71F4" w14:textId="77777777" w:rsidR="003E6EAD" w:rsidRDefault="003A4514" w:rsidP="008A181E">
            <w:pPr>
              <w:shd w:val="clear" w:color="auto" w:fill="FFFFFF"/>
              <w:spacing w:after="0" w:line="240" w:lineRule="auto"/>
              <w:jc w:val="center"/>
            </w:pPr>
            <w:r>
              <w:rPr>
                <w:rFonts w:ascii="Cambria" w:hAnsi="Cambria" w:cs="Aptos"/>
                <w:lang w:eastAsia="lv-LV"/>
              </w:rPr>
              <w:t>ES</w:t>
            </w:r>
          </w:p>
        </w:tc>
        <w:tc>
          <w:tcPr>
            <w:tcW w:w="6945" w:type="dxa"/>
            <w:shd w:val="clear" w:color="auto" w:fill="auto"/>
            <w:tcMar>
              <w:top w:w="0" w:type="dxa"/>
              <w:left w:w="28" w:type="dxa"/>
              <w:bottom w:w="0" w:type="dxa"/>
              <w:right w:w="28" w:type="dxa"/>
            </w:tcMar>
            <w:vAlign w:val="center"/>
          </w:tcPr>
          <w:p w14:paraId="2EAF99E0"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Eiropas Savienība</w:t>
            </w:r>
          </w:p>
        </w:tc>
      </w:tr>
      <w:tr w:rsidR="003E6EAD" w14:paraId="6DE97D7B" w14:textId="77777777" w:rsidTr="00583087">
        <w:trPr>
          <w:trHeight w:val="227"/>
          <w:jc w:val="center"/>
        </w:trPr>
        <w:tc>
          <w:tcPr>
            <w:tcW w:w="2694" w:type="dxa"/>
            <w:shd w:val="clear" w:color="auto" w:fill="auto"/>
            <w:tcMar>
              <w:top w:w="0" w:type="dxa"/>
              <w:left w:w="28" w:type="dxa"/>
              <w:bottom w:w="0" w:type="dxa"/>
              <w:right w:w="28" w:type="dxa"/>
            </w:tcMar>
            <w:vAlign w:val="center"/>
          </w:tcPr>
          <w:p w14:paraId="4CD40743" w14:textId="77777777" w:rsidR="003E6EAD" w:rsidRDefault="003A4514" w:rsidP="008A181E">
            <w:pPr>
              <w:shd w:val="clear" w:color="auto" w:fill="FFFFFF"/>
              <w:spacing w:after="0" w:line="240" w:lineRule="auto"/>
              <w:jc w:val="center"/>
            </w:pPr>
            <w:r>
              <w:rPr>
                <w:rFonts w:ascii="Cambria" w:hAnsi="Cambria" w:cs="Aptos"/>
              </w:rPr>
              <w:t>ETS</w:t>
            </w:r>
          </w:p>
        </w:tc>
        <w:tc>
          <w:tcPr>
            <w:tcW w:w="6945" w:type="dxa"/>
            <w:shd w:val="clear" w:color="auto" w:fill="auto"/>
            <w:tcMar>
              <w:top w:w="0" w:type="dxa"/>
              <w:left w:w="28" w:type="dxa"/>
              <w:bottom w:w="0" w:type="dxa"/>
              <w:right w:w="28" w:type="dxa"/>
            </w:tcMar>
            <w:vAlign w:val="center"/>
          </w:tcPr>
          <w:p w14:paraId="7D277612" w14:textId="77777777" w:rsidR="003E6EAD" w:rsidRDefault="003A4514" w:rsidP="008A181E">
            <w:pPr>
              <w:shd w:val="clear" w:color="auto" w:fill="FFFFFF"/>
              <w:spacing w:after="0" w:line="240" w:lineRule="auto"/>
              <w:ind w:left="-453" w:firstLine="453"/>
            </w:pPr>
            <w:r>
              <w:rPr>
                <w:rFonts w:ascii="Cambria" w:hAnsi="Cambria" w:cs="Aptos"/>
              </w:rPr>
              <w:t>Eiropas Savienības Emisijas kvotu tirdzniecības sistēma</w:t>
            </w:r>
          </w:p>
        </w:tc>
      </w:tr>
      <w:tr w:rsidR="003E6EAD" w14:paraId="365EAEDA" w14:textId="77777777" w:rsidTr="00583087">
        <w:trPr>
          <w:trHeight w:val="227"/>
          <w:jc w:val="center"/>
        </w:trPr>
        <w:tc>
          <w:tcPr>
            <w:tcW w:w="2694" w:type="dxa"/>
            <w:shd w:val="clear" w:color="auto" w:fill="auto"/>
            <w:tcMar>
              <w:top w:w="0" w:type="dxa"/>
              <w:left w:w="28" w:type="dxa"/>
              <w:bottom w:w="0" w:type="dxa"/>
              <w:right w:w="28" w:type="dxa"/>
            </w:tcMar>
            <w:vAlign w:val="center"/>
          </w:tcPr>
          <w:p w14:paraId="317FDC15" w14:textId="77777777" w:rsidR="003E6EAD" w:rsidRDefault="003A4514" w:rsidP="008A181E">
            <w:pPr>
              <w:shd w:val="clear" w:color="auto" w:fill="FFFFFF"/>
              <w:spacing w:after="0" w:line="240" w:lineRule="auto"/>
              <w:jc w:val="center"/>
            </w:pPr>
            <w:r>
              <w:rPr>
                <w:rFonts w:ascii="Cambria" w:hAnsi="Cambria" w:cs="Aptos"/>
              </w:rPr>
              <w:t>ETF</w:t>
            </w:r>
          </w:p>
        </w:tc>
        <w:tc>
          <w:tcPr>
            <w:tcW w:w="6945" w:type="dxa"/>
            <w:shd w:val="clear" w:color="auto" w:fill="auto"/>
            <w:tcMar>
              <w:top w:w="0" w:type="dxa"/>
              <w:left w:w="28" w:type="dxa"/>
              <w:bottom w:w="0" w:type="dxa"/>
              <w:right w:w="28" w:type="dxa"/>
            </w:tcMar>
            <w:vAlign w:val="center"/>
          </w:tcPr>
          <w:p w14:paraId="112AE9F9" w14:textId="77777777" w:rsidR="003E6EAD" w:rsidRDefault="003A4514" w:rsidP="008A181E">
            <w:pPr>
              <w:shd w:val="clear" w:color="auto" w:fill="FFFFFF" w:themeFill="background1"/>
              <w:spacing w:after="0" w:line="240" w:lineRule="auto"/>
              <w:ind w:left="-453" w:firstLine="453"/>
              <w:rPr>
                <w:rFonts w:ascii="Cambria" w:hAnsi="Cambria" w:cs="Aptos"/>
              </w:rPr>
            </w:pPr>
            <w:r w:rsidRPr="5B9FE7F0">
              <w:rPr>
                <w:rFonts w:ascii="Cambria" w:hAnsi="Cambria" w:cs="Aptos"/>
              </w:rPr>
              <w:t>Uzlabota pārredzamības sistēma</w:t>
            </w:r>
          </w:p>
        </w:tc>
      </w:tr>
      <w:tr w:rsidR="003E6EAD" w14:paraId="4F8B0049" w14:textId="77777777" w:rsidTr="00583087">
        <w:trPr>
          <w:trHeight w:val="70"/>
          <w:jc w:val="center"/>
        </w:trPr>
        <w:tc>
          <w:tcPr>
            <w:tcW w:w="2694" w:type="dxa"/>
            <w:shd w:val="clear" w:color="auto" w:fill="auto"/>
            <w:tcMar>
              <w:top w:w="0" w:type="dxa"/>
              <w:left w:w="28" w:type="dxa"/>
              <w:bottom w:w="0" w:type="dxa"/>
              <w:right w:w="28" w:type="dxa"/>
            </w:tcMar>
            <w:vAlign w:val="center"/>
          </w:tcPr>
          <w:p w14:paraId="6966C047" w14:textId="77777777" w:rsidR="003E6EAD" w:rsidRDefault="003A4514" w:rsidP="008A181E">
            <w:pPr>
              <w:shd w:val="clear" w:color="auto" w:fill="FFFFFF"/>
              <w:spacing w:after="0" w:line="240" w:lineRule="auto"/>
              <w:jc w:val="center"/>
            </w:pPr>
            <w:r>
              <w:rPr>
                <w:rFonts w:ascii="Cambria" w:hAnsi="Cambria"/>
              </w:rPr>
              <w:t>GST</w:t>
            </w:r>
          </w:p>
        </w:tc>
        <w:tc>
          <w:tcPr>
            <w:tcW w:w="6945" w:type="dxa"/>
            <w:shd w:val="clear" w:color="auto" w:fill="auto"/>
            <w:tcMar>
              <w:top w:w="0" w:type="dxa"/>
              <w:left w:w="28" w:type="dxa"/>
              <w:bottom w:w="0" w:type="dxa"/>
              <w:right w:w="28" w:type="dxa"/>
            </w:tcMar>
            <w:vAlign w:val="center"/>
          </w:tcPr>
          <w:p w14:paraId="25EB50E4" w14:textId="77777777" w:rsidR="003E6EAD" w:rsidRDefault="003A4514" w:rsidP="008A181E">
            <w:pPr>
              <w:shd w:val="clear" w:color="auto" w:fill="FFFFFF"/>
              <w:spacing w:after="0" w:line="240" w:lineRule="auto"/>
              <w:rPr>
                <w:rFonts w:ascii="Cambria" w:hAnsi="Cambria"/>
              </w:rPr>
            </w:pPr>
            <w:r>
              <w:rPr>
                <w:rFonts w:ascii="Cambria" w:hAnsi="Cambria"/>
              </w:rPr>
              <w:t>Starptautiskā stāvokļa novērtējums</w:t>
            </w:r>
          </w:p>
        </w:tc>
      </w:tr>
      <w:tr w:rsidR="003E6EAD" w14:paraId="17E603CA" w14:textId="77777777" w:rsidTr="00583087">
        <w:trPr>
          <w:trHeight w:val="70"/>
          <w:jc w:val="center"/>
        </w:trPr>
        <w:tc>
          <w:tcPr>
            <w:tcW w:w="2694" w:type="dxa"/>
            <w:shd w:val="clear" w:color="auto" w:fill="auto"/>
            <w:tcMar>
              <w:top w:w="0" w:type="dxa"/>
              <w:left w:w="28" w:type="dxa"/>
              <w:bottom w:w="0" w:type="dxa"/>
              <w:right w:w="28" w:type="dxa"/>
            </w:tcMar>
            <w:vAlign w:val="center"/>
          </w:tcPr>
          <w:p w14:paraId="2296D8F9" w14:textId="77777777" w:rsidR="003E6EAD" w:rsidRDefault="003A4514" w:rsidP="008A181E">
            <w:pPr>
              <w:shd w:val="clear" w:color="auto" w:fill="FFFFFF"/>
              <w:spacing w:after="0" w:line="240" w:lineRule="auto"/>
              <w:jc w:val="center"/>
            </w:pPr>
            <w:r>
              <w:rPr>
                <w:rFonts w:ascii="Cambria" w:hAnsi="Cambria"/>
              </w:rPr>
              <w:t>GES</w:t>
            </w:r>
          </w:p>
        </w:tc>
        <w:tc>
          <w:tcPr>
            <w:tcW w:w="6945" w:type="dxa"/>
            <w:shd w:val="clear" w:color="auto" w:fill="auto"/>
            <w:tcMar>
              <w:top w:w="0" w:type="dxa"/>
              <w:left w:w="28" w:type="dxa"/>
              <w:bottom w:w="0" w:type="dxa"/>
              <w:right w:w="28" w:type="dxa"/>
            </w:tcMar>
            <w:vAlign w:val="center"/>
          </w:tcPr>
          <w:p w14:paraId="100E83E1" w14:textId="77777777" w:rsidR="003E6EAD" w:rsidRPr="008A181E" w:rsidRDefault="003A4514" w:rsidP="008A181E">
            <w:pPr>
              <w:shd w:val="clear" w:color="auto" w:fill="FFFFFF"/>
              <w:spacing w:after="0" w:line="240" w:lineRule="auto"/>
              <w:rPr>
                <w:rFonts w:ascii="Cambria" w:hAnsi="Cambria"/>
              </w:rPr>
            </w:pPr>
            <w:r w:rsidRPr="008A181E">
              <w:rPr>
                <w:rFonts w:ascii="Cambria" w:hAnsi="Cambria"/>
              </w:rPr>
              <w:t>Gada emisiju sadale</w:t>
            </w:r>
          </w:p>
        </w:tc>
      </w:tr>
      <w:tr w:rsidR="008A181E" w14:paraId="127AD8DA" w14:textId="77777777" w:rsidTr="00583087">
        <w:trPr>
          <w:trHeight w:val="70"/>
          <w:jc w:val="center"/>
        </w:trPr>
        <w:tc>
          <w:tcPr>
            <w:tcW w:w="2694" w:type="dxa"/>
            <w:shd w:val="clear" w:color="auto" w:fill="auto"/>
            <w:tcMar>
              <w:top w:w="0" w:type="dxa"/>
              <w:left w:w="28" w:type="dxa"/>
              <w:bottom w:w="0" w:type="dxa"/>
              <w:right w:w="28" w:type="dxa"/>
            </w:tcMar>
            <w:vAlign w:val="center"/>
          </w:tcPr>
          <w:p w14:paraId="6B519E3B" w14:textId="7409150F" w:rsidR="008A181E" w:rsidRDefault="008A181E" w:rsidP="008A181E">
            <w:pPr>
              <w:shd w:val="clear" w:color="auto" w:fill="FFFFFF"/>
              <w:spacing w:after="0" w:line="240" w:lineRule="auto"/>
              <w:jc w:val="center"/>
              <w:rPr>
                <w:rFonts w:ascii="Cambria" w:hAnsi="Cambria"/>
              </w:rPr>
            </w:pPr>
            <w:r>
              <w:rPr>
                <w:rFonts w:ascii="Cambria" w:hAnsi="Cambria"/>
              </w:rPr>
              <w:t>Informatīvais ziņojums</w:t>
            </w:r>
          </w:p>
        </w:tc>
        <w:tc>
          <w:tcPr>
            <w:tcW w:w="6945" w:type="dxa"/>
            <w:shd w:val="clear" w:color="auto" w:fill="auto"/>
            <w:tcMar>
              <w:top w:w="0" w:type="dxa"/>
              <w:left w:w="28" w:type="dxa"/>
              <w:bottom w:w="0" w:type="dxa"/>
              <w:right w:w="28" w:type="dxa"/>
            </w:tcMar>
            <w:vAlign w:val="center"/>
          </w:tcPr>
          <w:p w14:paraId="35302150" w14:textId="30393425" w:rsidR="008A181E" w:rsidRPr="008A181E" w:rsidRDefault="008A181E" w:rsidP="008A181E">
            <w:pPr>
              <w:shd w:val="clear" w:color="auto" w:fill="FFFFFF"/>
              <w:spacing w:after="0" w:line="240" w:lineRule="auto"/>
              <w:rPr>
                <w:rFonts w:ascii="Cambria" w:hAnsi="Cambria"/>
              </w:rPr>
            </w:pPr>
            <w:r w:rsidRPr="008A181E">
              <w:rPr>
                <w:rFonts w:ascii="Cambria" w:hAnsi="Cambria"/>
              </w:rPr>
              <w:t>Informatīvais ziņojums “Par siltumnīcefekta gāzu emisiju samazināšanas un oglekļa dioksīda piesaistes saistību izpildi”</w:t>
            </w:r>
          </w:p>
        </w:tc>
      </w:tr>
      <w:tr w:rsidR="003E6EAD" w14:paraId="2BFDD315" w14:textId="77777777" w:rsidTr="00583087">
        <w:trPr>
          <w:trHeight w:val="227"/>
          <w:jc w:val="center"/>
        </w:trPr>
        <w:tc>
          <w:tcPr>
            <w:tcW w:w="2694" w:type="dxa"/>
            <w:shd w:val="clear" w:color="auto" w:fill="auto"/>
            <w:tcMar>
              <w:top w:w="0" w:type="dxa"/>
              <w:left w:w="28" w:type="dxa"/>
              <w:bottom w:w="0" w:type="dxa"/>
              <w:right w:w="28" w:type="dxa"/>
            </w:tcMar>
            <w:vAlign w:val="center"/>
          </w:tcPr>
          <w:p w14:paraId="6E2C26EF" w14:textId="507FD0D5" w:rsidR="0031223A" w:rsidRDefault="003A4514" w:rsidP="008A181E">
            <w:pPr>
              <w:shd w:val="clear" w:color="auto" w:fill="FFFFFF"/>
              <w:spacing w:after="0" w:line="240" w:lineRule="auto"/>
              <w:jc w:val="center"/>
            </w:pPr>
            <w:r>
              <w:rPr>
                <w:rFonts w:ascii="Cambria" w:hAnsi="Cambria" w:cs="Aptos"/>
                <w:lang w:eastAsia="lv-LV"/>
              </w:rPr>
              <w:t>KEM</w:t>
            </w:r>
          </w:p>
        </w:tc>
        <w:tc>
          <w:tcPr>
            <w:tcW w:w="6945" w:type="dxa"/>
            <w:shd w:val="clear" w:color="auto" w:fill="auto"/>
            <w:tcMar>
              <w:top w:w="0" w:type="dxa"/>
              <w:left w:w="28" w:type="dxa"/>
              <w:bottom w:w="0" w:type="dxa"/>
              <w:right w:w="28" w:type="dxa"/>
            </w:tcMar>
            <w:vAlign w:val="center"/>
          </w:tcPr>
          <w:p w14:paraId="2EDE94C3" w14:textId="0A1D04D5" w:rsidR="0031223A" w:rsidRDefault="003A4514" w:rsidP="008A181E">
            <w:pPr>
              <w:shd w:val="clear" w:color="auto" w:fill="FFFFFF"/>
              <w:spacing w:after="0" w:line="240" w:lineRule="auto"/>
              <w:rPr>
                <w:rFonts w:ascii="Cambria" w:hAnsi="Cambria" w:cs="Aptos"/>
              </w:rPr>
            </w:pPr>
            <w:r>
              <w:rPr>
                <w:rFonts w:ascii="Cambria" w:hAnsi="Cambria" w:cs="Aptos"/>
              </w:rPr>
              <w:t>Klimata un enerģētikas ministrija</w:t>
            </w:r>
          </w:p>
        </w:tc>
      </w:tr>
      <w:tr w:rsidR="00583087" w14:paraId="46B9ED18" w14:textId="77777777" w:rsidTr="00583087">
        <w:trPr>
          <w:trHeight w:val="227"/>
          <w:jc w:val="center"/>
        </w:trPr>
        <w:tc>
          <w:tcPr>
            <w:tcW w:w="2694" w:type="dxa"/>
            <w:shd w:val="clear" w:color="auto" w:fill="auto"/>
            <w:tcMar>
              <w:top w:w="0" w:type="dxa"/>
              <w:left w:w="28" w:type="dxa"/>
              <w:bottom w:w="0" w:type="dxa"/>
              <w:right w:w="28" w:type="dxa"/>
            </w:tcMar>
            <w:vAlign w:val="center"/>
          </w:tcPr>
          <w:p w14:paraId="715B1586" w14:textId="114512E5" w:rsidR="00583087" w:rsidRDefault="00583087" w:rsidP="008A181E">
            <w:pPr>
              <w:shd w:val="clear" w:color="auto" w:fill="FFFFFF"/>
              <w:spacing w:after="0" w:line="240" w:lineRule="auto"/>
              <w:jc w:val="center"/>
              <w:rPr>
                <w:rFonts w:ascii="Cambria" w:hAnsi="Cambria" w:cs="Aptos"/>
                <w:lang w:eastAsia="lv-LV"/>
              </w:rPr>
            </w:pPr>
            <w:r w:rsidRPr="00E96855">
              <w:rPr>
                <w:rFonts w:ascii="Cambria" w:hAnsi="Cambria" w:cs="Aptos"/>
                <w:lang w:eastAsia="lv-LV"/>
              </w:rPr>
              <w:t>Klimata konvencija</w:t>
            </w:r>
          </w:p>
        </w:tc>
        <w:tc>
          <w:tcPr>
            <w:tcW w:w="6945" w:type="dxa"/>
            <w:shd w:val="clear" w:color="auto" w:fill="auto"/>
            <w:tcMar>
              <w:top w:w="0" w:type="dxa"/>
              <w:left w:w="28" w:type="dxa"/>
              <w:bottom w:w="0" w:type="dxa"/>
              <w:right w:w="28" w:type="dxa"/>
            </w:tcMar>
            <w:vAlign w:val="center"/>
          </w:tcPr>
          <w:p w14:paraId="4E55A579" w14:textId="6C47EA2F" w:rsidR="00583087" w:rsidRDefault="00583087" w:rsidP="008A181E">
            <w:pPr>
              <w:shd w:val="clear" w:color="auto" w:fill="FFFFFF"/>
              <w:spacing w:after="0" w:line="240" w:lineRule="auto"/>
              <w:rPr>
                <w:rFonts w:ascii="Cambria" w:hAnsi="Cambria" w:cs="Aptos"/>
              </w:rPr>
            </w:pPr>
            <w:r>
              <w:rPr>
                <w:rFonts w:ascii="Cambria" w:hAnsi="Cambria" w:cs="Aptos"/>
              </w:rPr>
              <w:t>Apvienoto Nāciju Organizācija</w:t>
            </w:r>
            <w:r w:rsidRPr="00583087">
              <w:rPr>
                <w:rFonts w:ascii="Cambria" w:hAnsi="Cambria" w:cs="Aptos"/>
              </w:rPr>
              <w:t>s 1992. gada 9. maija Vispārējā konvencija par klimata pārmaiņām</w:t>
            </w:r>
          </w:p>
        </w:tc>
      </w:tr>
      <w:tr w:rsidR="003E6EAD" w14:paraId="7CF55343" w14:textId="77777777" w:rsidTr="00583087">
        <w:trPr>
          <w:trHeight w:val="227"/>
          <w:jc w:val="center"/>
        </w:trPr>
        <w:tc>
          <w:tcPr>
            <w:tcW w:w="2694" w:type="dxa"/>
            <w:shd w:val="clear" w:color="auto" w:fill="auto"/>
            <w:tcMar>
              <w:top w:w="0" w:type="dxa"/>
              <w:left w:w="28" w:type="dxa"/>
              <w:bottom w:w="0" w:type="dxa"/>
              <w:right w:w="28" w:type="dxa"/>
            </w:tcMar>
            <w:vAlign w:val="center"/>
          </w:tcPr>
          <w:p w14:paraId="4397A917" w14:textId="77777777" w:rsidR="003E6EAD" w:rsidRDefault="003A4514" w:rsidP="008A181E">
            <w:pPr>
              <w:shd w:val="clear" w:color="auto" w:fill="FFFFFF"/>
              <w:spacing w:after="0" w:line="240" w:lineRule="auto"/>
              <w:jc w:val="center"/>
            </w:pPr>
            <w:r>
              <w:rPr>
                <w:rFonts w:ascii="Cambria" w:hAnsi="Cambria" w:cs="Aptos"/>
                <w:lang w:eastAsia="lv-LV"/>
              </w:rPr>
              <w:t>KPSP</w:t>
            </w:r>
          </w:p>
        </w:tc>
        <w:tc>
          <w:tcPr>
            <w:tcW w:w="6945" w:type="dxa"/>
            <w:shd w:val="clear" w:color="auto" w:fill="auto"/>
            <w:tcMar>
              <w:top w:w="0" w:type="dxa"/>
              <w:left w:w="28" w:type="dxa"/>
              <w:bottom w:w="0" w:type="dxa"/>
              <w:right w:w="28" w:type="dxa"/>
            </w:tcMar>
            <w:vAlign w:val="center"/>
          </w:tcPr>
          <w:p w14:paraId="2C3EB6BE" w14:textId="77777777" w:rsidR="003E6EAD" w:rsidRDefault="003A4514" w:rsidP="008A181E">
            <w:pPr>
              <w:shd w:val="clear" w:color="auto" w:fill="FFFFFF"/>
              <w:spacing w:after="0" w:line="240" w:lineRule="auto"/>
            </w:pPr>
            <w:r>
              <w:rPr>
                <w:rFonts w:ascii="Cambria" w:eastAsia="Cambria" w:hAnsi="Cambria" w:cs="Cambria"/>
              </w:rPr>
              <w:t>Klimata pārmaiņu starpvaldību padome</w:t>
            </w:r>
          </w:p>
        </w:tc>
      </w:tr>
      <w:tr w:rsidR="003E6EAD" w14:paraId="528F37B2" w14:textId="77777777" w:rsidTr="00583087">
        <w:trPr>
          <w:trHeight w:val="227"/>
          <w:jc w:val="center"/>
        </w:trPr>
        <w:tc>
          <w:tcPr>
            <w:tcW w:w="2694" w:type="dxa"/>
            <w:shd w:val="clear" w:color="auto" w:fill="auto"/>
            <w:tcMar>
              <w:top w:w="0" w:type="dxa"/>
              <w:left w:w="28" w:type="dxa"/>
              <w:bottom w:w="0" w:type="dxa"/>
              <w:right w:w="28" w:type="dxa"/>
            </w:tcMar>
            <w:vAlign w:val="center"/>
          </w:tcPr>
          <w:p w14:paraId="6A88330A" w14:textId="77777777" w:rsidR="003E6EAD" w:rsidRDefault="003A4514" w:rsidP="008A181E">
            <w:pPr>
              <w:shd w:val="clear" w:color="auto" w:fill="FFFFFF" w:themeFill="background1"/>
              <w:spacing w:after="0" w:line="240" w:lineRule="auto"/>
              <w:jc w:val="center"/>
              <w:rPr>
                <w:rFonts w:ascii="Cambria" w:hAnsi="Cambria" w:cs="Aptos"/>
                <w:lang w:eastAsia="lv-LV"/>
              </w:rPr>
            </w:pPr>
            <w:r w:rsidRPr="5B9FE7F0">
              <w:rPr>
                <w:rFonts w:ascii="Cambria" w:hAnsi="Cambria" w:cs="Aptos"/>
                <w:lang w:eastAsia="lv-LV"/>
              </w:rPr>
              <w:t>kt</w:t>
            </w:r>
          </w:p>
        </w:tc>
        <w:tc>
          <w:tcPr>
            <w:tcW w:w="6945" w:type="dxa"/>
            <w:shd w:val="clear" w:color="auto" w:fill="auto"/>
            <w:tcMar>
              <w:top w:w="0" w:type="dxa"/>
              <w:left w:w="28" w:type="dxa"/>
              <w:bottom w:w="0" w:type="dxa"/>
              <w:right w:w="28" w:type="dxa"/>
            </w:tcMar>
            <w:vAlign w:val="center"/>
          </w:tcPr>
          <w:p w14:paraId="061AF0A9" w14:textId="77777777" w:rsidR="003E6EAD" w:rsidRDefault="003A4514" w:rsidP="008A181E">
            <w:pPr>
              <w:shd w:val="clear" w:color="auto" w:fill="FFFFFF"/>
              <w:spacing w:after="0" w:line="240" w:lineRule="auto"/>
              <w:rPr>
                <w:rFonts w:ascii="Cambria" w:hAnsi="Cambria"/>
              </w:rPr>
            </w:pPr>
            <w:r>
              <w:rPr>
                <w:rFonts w:ascii="Cambria" w:hAnsi="Cambria"/>
              </w:rPr>
              <w:t>kilotonnas</w:t>
            </w:r>
          </w:p>
        </w:tc>
      </w:tr>
      <w:tr w:rsidR="003E6EAD" w14:paraId="27EBF830" w14:textId="77777777" w:rsidTr="00583087">
        <w:trPr>
          <w:trHeight w:val="227"/>
          <w:jc w:val="center"/>
        </w:trPr>
        <w:tc>
          <w:tcPr>
            <w:tcW w:w="2694" w:type="dxa"/>
            <w:shd w:val="clear" w:color="auto" w:fill="auto"/>
            <w:tcMar>
              <w:top w:w="0" w:type="dxa"/>
              <w:left w:w="28" w:type="dxa"/>
              <w:bottom w:w="0" w:type="dxa"/>
              <w:right w:w="28" w:type="dxa"/>
            </w:tcMar>
            <w:vAlign w:val="center"/>
          </w:tcPr>
          <w:p w14:paraId="5B587942" w14:textId="77777777" w:rsidR="003E6EAD" w:rsidRDefault="003A4514" w:rsidP="008A181E">
            <w:pPr>
              <w:shd w:val="clear" w:color="auto" w:fill="FFFFFF"/>
              <w:spacing w:after="0" w:line="240" w:lineRule="auto"/>
              <w:jc w:val="center"/>
            </w:pPr>
            <w:r>
              <w:rPr>
                <w:rFonts w:ascii="Cambria" w:hAnsi="Cambria" w:cs="Aptos"/>
                <w:lang w:eastAsia="lv-LV"/>
              </w:rPr>
              <w:t>LVĢMC</w:t>
            </w:r>
          </w:p>
        </w:tc>
        <w:tc>
          <w:tcPr>
            <w:tcW w:w="6945" w:type="dxa"/>
            <w:shd w:val="clear" w:color="auto" w:fill="auto"/>
            <w:tcMar>
              <w:top w:w="0" w:type="dxa"/>
              <w:left w:w="28" w:type="dxa"/>
              <w:bottom w:w="0" w:type="dxa"/>
              <w:right w:w="28" w:type="dxa"/>
            </w:tcMar>
            <w:vAlign w:val="center"/>
          </w:tcPr>
          <w:p w14:paraId="6C30D1C2" w14:textId="77777777" w:rsidR="003E6EAD" w:rsidRDefault="003A4514" w:rsidP="008A181E">
            <w:pPr>
              <w:shd w:val="clear" w:color="auto" w:fill="FFFFFF"/>
              <w:spacing w:after="0" w:line="240" w:lineRule="auto"/>
              <w:rPr>
                <w:rFonts w:ascii="Cambria" w:hAnsi="Cambria"/>
                <w:lang w:eastAsia="lv-LV"/>
              </w:rPr>
            </w:pPr>
            <w:r>
              <w:rPr>
                <w:rFonts w:ascii="Cambria" w:hAnsi="Cambria"/>
                <w:lang w:eastAsia="lv-LV"/>
              </w:rPr>
              <w:t>Latvijas Vides, ģeoloģijas un meteoroloģijas centrs</w:t>
            </w:r>
          </w:p>
        </w:tc>
      </w:tr>
      <w:tr w:rsidR="003E6EAD" w14:paraId="066A3F9E" w14:textId="77777777" w:rsidTr="00583087">
        <w:trPr>
          <w:trHeight w:val="227"/>
          <w:jc w:val="center"/>
        </w:trPr>
        <w:tc>
          <w:tcPr>
            <w:tcW w:w="2694" w:type="dxa"/>
            <w:shd w:val="clear" w:color="auto" w:fill="auto"/>
            <w:tcMar>
              <w:top w:w="0" w:type="dxa"/>
              <w:left w:w="28" w:type="dxa"/>
              <w:bottom w:w="0" w:type="dxa"/>
              <w:right w:w="28" w:type="dxa"/>
            </w:tcMar>
            <w:vAlign w:val="center"/>
          </w:tcPr>
          <w:p w14:paraId="229D14E4" w14:textId="77777777" w:rsidR="003E6EAD" w:rsidRDefault="003A4514" w:rsidP="008A181E">
            <w:pPr>
              <w:shd w:val="clear" w:color="auto" w:fill="FFFFFF"/>
              <w:spacing w:after="0" w:line="240" w:lineRule="auto"/>
              <w:jc w:val="center"/>
            </w:pPr>
            <w:r>
              <w:rPr>
                <w:rFonts w:ascii="Cambria" w:hAnsi="Cambria" w:cs="Aptos"/>
                <w:lang w:eastAsia="lv-LV"/>
              </w:rPr>
              <w:t>MK</w:t>
            </w:r>
          </w:p>
        </w:tc>
        <w:tc>
          <w:tcPr>
            <w:tcW w:w="6945" w:type="dxa"/>
            <w:shd w:val="clear" w:color="auto" w:fill="auto"/>
            <w:tcMar>
              <w:top w:w="0" w:type="dxa"/>
              <w:left w:w="28" w:type="dxa"/>
              <w:bottom w:w="0" w:type="dxa"/>
              <w:right w:w="28" w:type="dxa"/>
            </w:tcMar>
            <w:vAlign w:val="center"/>
          </w:tcPr>
          <w:p w14:paraId="7F37454B" w14:textId="77777777" w:rsidR="003E6EAD" w:rsidRDefault="003A4514" w:rsidP="008A181E">
            <w:pPr>
              <w:shd w:val="clear" w:color="auto" w:fill="FFFFFF"/>
              <w:spacing w:after="0" w:line="240" w:lineRule="auto"/>
              <w:rPr>
                <w:rFonts w:ascii="Cambria" w:hAnsi="Cambria" w:cs="Aptos"/>
              </w:rPr>
            </w:pPr>
            <w:r>
              <w:rPr>
                <w:rFonts w:ascii="Cambria" w:hAnsi="Cambria" w:cs="Aptos"/>
              </w:rPr>
              <w:t>Ministru kabinets</w:t>
            </w:r>
          </w:p>
        </w:tc>
      </w:tr>
      <w:tr w:rsidR="003E6EAD" w14:paraId="7193FD96" w14:textId="77777777" w:rsidTr="00583087">
        <w:trPr>
          <w:trHeight w:val="227"/>
          <w:jc w:val="center"/>
        </w:trPr>
        <w:tc>
          <w:tcPr>
            <w:tcW w:w="2694" w:type="dxa"/>
            <w:shd w:val="clear" w:color="auto" w:fill="auto"/>
            <w:tcMar>
              <w:top w:w="0" w:type="dxa"/>
              <w:left w:w="28" w:type="dxa"/>
              <w:bottom w:w="0" w:type="dxa"/>
              <w:right w:w="28" w:type="dxa"/>
            </w:tcMar>
            <w:vAlign w:val="center"/>
          </w:tcPr>
          <w:p w14:paraId="35173D22" w14:textId="77777777" w:rsidR="003E6EAD" w:rsidRDefault="003A4514" w:rsidP="008A181E">
            <w:pPr>
              <w:shd w:val="clear" w:color="auto" w:fill="FFFFFF"/>
              <w:spacing w:after="0" w:line="240" w:lineRule="auto"/>
              <w:jc w:val="center"/>
            </w:pPr>
            <w:r>
              <w:rPr>
                <w:rFonts w:ascii="Cambria" w:hAnsi="Cambria"/>
                <w:lang w:eastAsia="lv-LV"/>
              </w:rPr>
              <w:t>MRM</w:t>
            </w:r>
          </w:p>
        </w:tc>
        <w:tc>
          <w:tcPr>
            <w:tcW w:w="6945" w:type="dxa"/>
            <w:shd w:val="clear" w:color="auto" w:fill="auto"/>
            <w:tcMar>
              <w:top w:w="0" w:type="dxa"/>
              <w:left w:w="28" w:type="dxa"/>
              <w:bottom w:w="0" w:type="dxa"/>
              <w:right w:w="28" w:type="dxa"/>
            </w:tcMar>
            <w:vAlign w:val="center"/>
          </w:tcPr>
          <w:p w14:paraId="579105AF" w14:textId="77777777" w:rsidR="003E6EAD" w:rsidRDefault="003A4514" w:rsidP="008A181E">
            <w:pPr>
              <w:shd w:val="clear" w:color="auto" w:fill="FFFFFF"/>
              <w:spacing w:after="0" w:line="240" w:lineRule="auto"/>
              <w:rPr>
                <w:rFonts w:ascii="Cambria" w:hAnsi="Cambria"/>
              </w:rPr>
            </w:pPr>
            <w:r>
              <w:rPr>
                <w:rFonts w:ascii="Cambria" w:hAnsi="Cambria"/>
              </w:rPr>
              <w:t>Meža resursu monitorings</w:t>
            </w:r>
          </w:p>
        </w:tc>
      </w:tr>
      <w:tr w:rsidR="003E6EAD" w14:paraId="2810858B" w14:textId="77777777" w:rsidTr="00583087">
        <w:trPr>
          <w:trHeight w:val="227"/>
          <w:jc w:val="center"/>
        </w:trPr>
        <w:tc>
          <w:tcPr>
            <w:tcW w:w="2694" w:type="dxa"/>
            <w:shd w:val="clear" w:color="auto" w:fill="auto"/>
            <w:tcMar>
              <w:top w:w="0" w:type="dxa"/>
              <w:left w:w="28" w:type="dxa"/>
              <w:bottom w:w="0" w:type="dxa"/>
              <w:right w:w="28" w:type="dxa"/>
            </w:tcMar>
            <w:vAlign w:val="center"/>
          </w:tcPr>
          <w:p w14:paraId="55745CBA" w14:textId="77777777" w:rsidR="003E6EAD" w:rsidRDefault="003A4514" w:rsidP="008A181E">
            <w:pPr>
              <w:shd w:val="clear" w:color="auto" w:fill="FFFFFF"/>
              <w:spacing w:after="0" w:line="240" w:lineRule="auto"/>
              <w:jc w:val="center"/>
            </w:pPr>
            <w:r>
              <w:rPr>
                <w:rFonts w:ascii="Cambria" w:hAnsi="Cambria"/>
                <w:lang w:eastAsia="lv-LV"/>
              </w:rPr>
              <w:t>MRL</w:t>
            </w:r>
          </w:p>
        </w:tc>
        <w:tc>
          <w:tcPr>
            <w:tcW w:w="6945" w:type="dxa"/>
            <w:shd w:val="clear" w:color="auto" w:fill="auto"/>
            <w:tcMar>
              <w:top w:w="0" w:type="dxa"/>
              <w:left w:w="28" w:type="dxa"/>
              <w:bottom w:w="0" w:type="dxa"/>
              <w:right w:w="28" w:type="dxa"/>
            </w:tcMar>
            <w:vAlign w:val="center"/>
          </w:tcPr>
          <w:p w14:paraId="6C162183" w14:textId="77777777" w:rsidR="003E6EAD" w:rsidRDefault="003A4514" w:rsidP="008A181E">
            <w:pPr>
              <w:shd w:val="clear" w:color="auto" w:fill="FFFFFF"/>
              <w:spacing w:after="0" w:line="240" w:lineRule="auto"/>
              <w:rPr>
                <w:rFonts w:ascii="Cambria" w:hAnsi="Cambria"/>
              </w:rPr>
            </w:pPr>
            <w:r>
              <w:rPr>
                <w:rFonts w:ascii="Cambria" w:hAnsi="Cambria"/>
              </w:rPr>
              <w:t>Meža references līmenis</w:t>
            </w:r>
          </w:p>
        </w:tc>
      </w:tr>
      <w:tr w:rsidR="003E6EAD" w14:paraId="04F72D05" w14:textId="77777777" w:rsidTr="00583087">
        <w:trPr>
          <w:trHeight w:val="227"/>
          <w:jc w:val="center"/>
        </w:trPr>
        <w:tc>
          <w:tcPr>
            <w:tcW w:w="2694" w:type="dxa"/>
            <w:shd w:val="clear" w:color="auto" w:fill="auto"/>
            <w:tcMar>
              <w:top w:w="0" w:type="dxa"/>
              <w:left w:w="28" w:type="dxa"/>
              <w:bottom w:w="0" w:type="dxa"/>
              <w:right w:w="28" w:type="dxa"/>
            </w:tcMar>
            <w:vAlign w:val="center"/>
          </w:tcPr>
          <w:p w14:paraId="1CDFEF27" w14:textId="77777777" w:rsidR="003E6EAD" w:rsidRDefault="003A4514" w:rsidP="008A181E">
            <w:pPr>
              <w:shd w:val="clear" w:color="auto" w:fill="FFFFFF"/>
              <w:spacing w:after="0" w:line="240" w:lineRule="auto"/>
              <w:jc w:val="center"/>
            </w:pPr>
            <w:r>
              <w:rPr>
                <w:rFonts w:ascii="Cambria" w:hAnsi="Cambria" w:cs="Aptos"/>
                <w:lang w:eastAsia="lv-LV"/>
              </w:rPr>
              <w:t>NAP2027</w:t>
            </w:r>
          </w:p>
        </w:tc>
        <w:tc>
          <w:tcPr>
            <w:tcW w:w="6945" w:type="dxa"/>
            <w:shd w:val="clear" w:color="auto" w:fill="auto"/>
            <w:tcMar>
              <w:top w:w="0" w:type="dxa"/>
              <w:left w:w="28" w:type="dxa"/>
              <w:bottom w:w="0" w:type="dxa"/>
              <w:right w:w="28" w:type="dxa"/>
            </w:tcMar>
            <w:vAlign w:val="center"/>
          </w:tcPr>
          <w:p w14:paraId="55E673D9" w14:textId="77777777" w:rsidR="003E6EAD" w:rsidRDefault="003A4514" w:rsidP="008A181E">
            <w:pPr>
              <w:shd w:val="clear" w:color="auto" w:fill="FFFFFF"/>
              <w:spacing w:after="0" w:line="240" w:lineRule="auto"/>
            </w:pPr>
            <w:r>
              <w:rPr>
                <w:rFonts w:ascii="Cambria" w:hAnsi="Cambria" w:cs="Aptos"/>
              </w:rPr>
              <w:t>Nacionālais attīstības plāns 2027. gadam</w:t>
            </w:r>
          </w:p>
        </w:tc>
      </w:tr>
      <w:tr w:rsidR="003E6EAD" w14:paraId="646A0BD4" w14:textId="77777777" w:rsidTr="00583087">
        <w:trPr>
          <w:trHeight w:val="227"/>
          <w:jc w:val="center"/>
        </w:trPr>
        <w:tc>
          <w:tcPr>
            <w:tcW w:w="2694" w:type="dxa"/>
            <w:shd w:val="clear" w:color="auto" w:fill="auto"/>
            <w:tcMar>
              <w:top w:w="0" w:type="dxa"/>
              <w:left w:w="28" w:type="dxa"/>
              <w:bottom w:w="0" w:type="dxa"/>
              <w:right w:w="28" w:type="dxa"/>
            </w:tcMar>
            <w:vAlign w:val="center"/>
          </w:tcPr>
          <w:p w14:paraId="1986BC7C" w14:textId="77777777" w:rsidR="003E6EAD" w:rsidRDefault="003A4514" w:rsidP="008A181E">
            <w:pPr>
              <w:shd w:val="clear" w:color="auto" w:fill="FFFFFF"/>
              <w:spacing w:after="0" w:line="240" w:lineRule="auto"/>
              <w:jc w:val="center"/>
            </w:pPr>
            <w:r>
              <w:rPr>
                <w:rFonts w:ascii="Cambria" w:hAnsi="Cambria" w:cs="Aptos"/>
                <w:lang w:eastAsia="lv-LV"/>
              </w:rPr>
              <w:t>NDC</w:t>
            </w:r>
          </w:p>
        </w:tc>
        <w:tc>
          <w:tcPr>
            <w:tcW w:w="6945" w:type="dxa"/>
            <w:shd w:val="clear" w:color="auto" w:fill="auto"/>
            <w:tcMar>
              <w:top w:w="0" w:type="dxa"/>
              <w:left w:w="28" w:type="dxa"/>
              <w:bottom w:w="0" w:type="dxa"/>
              <w:right w:w="28" w:type="dxa"/>
            </w:tcMar>
            <w:vAlign w:val="center"/>
          </w:tcPr>
          <w:p w14:paraId="60F9A634" w14:textId="77777777" w:rsidR="003E6EAD" w:rsidRDefault="003A4514" w:rsidP="008A181E">
            <w:pPr>
              <w:shd w:val="clear" w:color="auto" w:fill="FFFFFF"/>
              <w:spacing w:after="0" w:line="240" w:lineRule="auto"/>
              <w:rPr>
                <w:rFonts w:ascii="Cambria" w:hAnsi="Cambria" w:cs="Aptos"/>
              </w:rPr>
            </w:pPr>
            <w:r>
              <w:rPr>
                <w:rFonts w:ascii="Cambria" w:hAnsi="Cambria" w:cs="Aptos"/>
              </w:rPr>
              <w:t>Nacionāli noteiktais devums</w:t>
            </w:r>
          </w:p>
        </w:tc>
      </w:tr>
      <w:tr w:rsidR="003E6EAD" w14:paraId="36DF052E" w14:textId="77777777" w:rsidTr="00583087">
        <w:trPr>
          <w:trHeight w:val="227"/>
          <w:jc w:val="center"/>
        </w:trPr>
        <w:tc>
          <w:tcPr>
            <w:tcW w:w="2694" w:type="dxa"/>
            <w:shd w:val="clear" w:color="auto" w:fill="auto"/>
            <w:tcMar>
              <w:top w:w="0" w:type="dxa"/>
              <w:left w:w="28" w:type="dxa"/>
              <w:bottom w:w="0" w:type="dxa"/>
              <w:right w:w="28" w:type="dxa"/>
            </w:tcMar>
            <w:vAlign w:val="center"/>
          </w:tcPr>
          <w:p w14:paraId="5354B648" w14:textId="77777777" w:rsidR="003E6EAD" w:rsidRDefault="003A4514" w:rsidP="008A181E">
            <w:pPr>
              <w:shd w:val="clear" w:color="auto" w:fill="FFFFFF"/>
              <w:spacing w:after="0" w:line="240" w:lineRule="auto"/>
              <w:jc w:val="center"/>
            </w:pPr>
            <w:r>
              <w:rPr>
                <w:rFonts w:ascii="Cambria" w:hAnsi="Cambria"/>
                <w:lang w:eastAsia="lv-LV"/>
              </w:rPr>
              <w:t>N</w:t>
            </w:r>
            <w:r>
              <w:rPr>
                <w:rFonts w:ascii="Cambria" w:hAnsi="Cambria"/>
                <w:vertAlign w:val="subscript"/>
                <w:lang w:eastAsia="lv-LV"/>
              </w:rPr>
              <w:t>2</w:t>
            </w:r>
            <w:r>
              <w:rPr>
                <w:rFonts w:ascii="Cambria" w:hAnsi="Cambria"/>
                <w:lang w:eastAsia="lv-LV"/>
              </w:rPr>
              <w:t>O</w:t>
            </w:r>
          </w:p>
        </w:tc>
        <w:tc>
          <w:tcPr>
            <w:tcW w:w="6945" w:type="dxa"/>
            <w:shd w:val="clear" w:color="auto" w:fill="auto"/>
            <w:tcMar>
              <w:top w:w="0" w:type="dxa"/>
              <w:left w:w="28" w:type="dxa"/>
              <w:bottom w:w="0" w:type="dxa"/>
              <w:right w:w="28" w:type="dxa"/>
            </w:tcMar>
            <w:vAlign w:val="center"/>
          </w:tcPr>
          <w:p w14:paraId="73E1C211" w14:textId="77777777" w:rsidR="003E6EAD" w:rsidRDefault="003A4514" w:rsidP="008A181E">
            <w:pPr>
              <w:shd w:val="clear" w:color="auto" w:fill="FFFFFF" w:themeFill="background1"/>
              <w:spacing w:after="0" w:line="240" w:lineRule="auto"/>
              <w:rPr>
                <w:rFonts w:ascii="Cambria" w:hAnsi="Cambria"/>
              </w:rPr>
            </w:pPr>
            <w:r w:rsidRPr="5B9FE7F0">
              <w:rPr>
                <w:rFonts w:ascii="Cambria" w:hAnsi="Cambria"/>
              </w:rPr>
              <w:t>Dislāpekļa oksīds</w:t>
            </w:r>
          </w:p>
        </w:tc>
      </w:tr>
      <w:tr w:rsidR="003E6EAD" w14:paraId="2CF88A24" w14:textId="77777777" w:rsidTr="00583087">
        <w:trPr>
          <w:trHeight w:val="227"/>
          <w:jc w:val="center"/>
        </w:trPr>
        <w:tc>
          <w:tcPr>
            <w:tcW w:w="2694" w:type="dxa"/>
            <w:shd w:val="clear" w:color="auto" w:fill="auto"/>
            <w:tcMar>
              <w:top w:w="0" w:type="dxa"/>
              <w:left w:w="28" w:type="dxa"/>
              <w:bottom w:w="0" w:type="dxa"/>
              <w:right w:w="28" w:type="dxa"/>
            </w:tcMar>
            <w:vAlign w:val="center"/>
          </w:tcPr>
          <w:p w14:paraId="24D68B0E" w14:textId="77777777" w:rsidR="003E6EAD" w:rsidRDefault="003A4514" w:rsidP="008A181E">
            <w:pPr>
              <w:shd w:val="clear" w:color="auto" w:fill="FFFFFF"/>
              <w:spacing w:after="0" w:line="240" w:lineRule="auto"/>
              <w:jc w:val="center"/>
            </w:pPr>
            <w:r>
              <w:rPr>
                <w:rFonts w:ascii="Cambria" w:hAnsi="Cambria"/>
                <w:lang w:eastAsia="lv-LV"/>
              </w:rPr>
              <w:t>NEKP</w:t>
            </w:r>
          </w:p>
        </w:tc>
        <w:tc>
          <w:tcPr>
            <w:tcW w:w="6945" w:type="dxa"/>
            <w:shd w:val="clear" w:color="auto" w:fill="auto"/>
            <w:tcMar>
              <w:top w:w="0" w:type="dxa"/>
              <w:left w:w="28" w:type="dxa"/>
              <w:bottom w:w="0" w:type="dxa"/>
              <w:right w:w="28" w:type="dxa"/>
            </w:tcMar>
            <w:vAlign w:val="center"/>
          </w:tcPr>
          <w:p w14:paraId="55A16DA7" w14:textId="77777777" w:rsidR="003E6EAD" w:rsidRDefault="003A4514" w:rsidP="008A181E">
            <w:pPr>
              <w:shd w:val="clear" w:color="auto" w:fill="FFFFFF"/>
              <w:spacing w:after="0" w:line="240" w:lineRule="auto"/>
              <w:rPr>
                <w:rFonts w:ascii="Cambria" w:hAnsi="Cambria"/>
              </w:rPr>
            </w:pPr>
            <w:r>
              <w:rPr>
                <w:rFonts w:ascii="Cambria" w:hAnsi="Cambria"/>
              </w:rPr>
              <w:t>Nacionālais enerģētikas un klimata plāns</w:t>
            </w:r>
          </w:p>
        </w:tc>
      </w:tr>
      <w:tr w:rsidR="003E6EAD" w14:paraId="7048B827" w14:textId="77777777" w:rsidTr="00583087">
        <w:trPr>
          <w:trHeight w:val="227"/>
          <w:jc w:val="center"/>
        </w:trPr>
        <w:tc>
          <w:tcPr>
            <w:tcW w:w="2694" w:type="dxa"/>
            <w:shd w:val="clear" w:color="auto" w:fill="auto"/>
            <w:tcMar>
              <w:top w:w="0" w:type="dxa"/>
              <w:left w:w="28" w:type="dxa"/>
              <w:bottom w:w="0" w:type="dxa"/>
              <w:right w:w="28" w:type="dxa"/>
            </w:tcMar>
            <w:vAlign w:val="center"/>
          </w:tcPr>
          <w:p w14:paraId="55D86530" w14:textId="77777777" w:rsidR="003E6EAD" w:rsidRDefault="003A4514" w:rsidP="008A181E">
            <w:pPr>
              <w:shd w:val="clear" w:color="auto" w:fill="FFFFFF"/>
              <w:spacing w:after="0" w:line="240" w:lineRule="auto"/>
              <w:jc w:val="center"/>
            </w:pPr>
            <w:r>
              <w:rPr>
                <w:rFonts w:ascii="Cambria" w:hAnsi="Cambria"/>
                <w:lang w:eastAsia="lv-LV"/>
              </w:rPr>
              <w:t>NEKP mērķa scenārijs</w:t>
            </w:r>
          </w:p>
        </w:tc>
        <w:tc>
          <w:tcPr>
            <w:tcW w:w="6945" w:type="dxa"/>
            <w:shd w:val="clear" w:color="auto" w:fill="auto"/>
            <w:tcMar>
              <w:top w:w="0" w:type="dxa"/>
              <w:left w:w="28" w:type="dxa"/>
              <w:bottom w:w="0" w:type="dxa"/>
              <w:right w:w="28" w:type="dxa"/>
            </w:tcMar>
            <w:vAlign w:val="center"/>
          </w:tcPr>
          <w:p w14:paraId="69AEC1AB" w14:textId="77777777" w:rsidR="003E6EAD" w:rsidRDefault="003A4514" w:rsidP="008A181E">
            <w:pPr>
              <w:shd w:val="clear" w:color="auto" w:fill="FFFFFF"/>
              <w:spacing w:after="0" w:line="240" w:lineRule="auto"/>
              <w:rPr>
                <w:rFonts w:ascii="Cambria" w:hAnsi="Cambria"/>
              </w:rPr>
            </w:pPr>
            <w:r>
              <w:rPr>
                <w:rFonts w:ascii="Cambria" w:hAnsi="Cambria"/>
              </w:rPr>
              <w:t>Scenārijs ar papildus pasākumiem WAM scenārijam</w:t>
            </w:r>
          </w:p>
        </w:tc>
      </w:tr>
      <w:tr w:rsidR="003E6EAD" w14:paraId="675C0819" w14:textId="77777777" w:rsidTr="00583087">
        <w:trPr>
          <w:trHeight w:val="227"/>
          <w:jc w:val="center"/>
        </w:trPr>
        <w:tc>
          <w:tcPr>
            <w:tcW w:w="2694" w:type="dxa"/>
            <w:shd w:val="clear" w:color="auto" w:fill="auto"/>
            <w:tcMar>
              <w:top w:w="0" w:type="dxa"/>
              <w:left w:w="28" w:type="dxa"/>
              <w:bottom w:w="0" w:type="dxa"/>
              <w:right w:w="28" w:type="dxa"/>
            </w:tcMar>
            <w:vAlign w:val="center"/>
          </w:tcPr>
          <w:p w14:paraId="30CD93C0" w14:textId="77777777" w:rsidR="003E6EAD" w:rsidRDefault="003A4514" w:rsidP="008A181E">
            <w:pPr>
              <w:shd w:val="clear" w:color="auto" w:fill="FFFFFF"/>
              <w:spacing w:after="0" w:line="240" w:lineRule="auto"/>
              <w:jc w:val="center"/>
            </w:pPr>
            <w:r>
              <w:rPr>
                <w:rFonts w:ascii="Cambria" w:hAnsi="Cambria"/>
                <w:lang w:eastAsia="lv-LV"/>
              </w:rPr>
              <w:t>NMGOS</w:t>
            </w:r>
          </w:p>
        </w:tc>
        <w:tc>
          <w:tcPr>
            <w:tcW w:w="6945" w:type="dxa"/>
            <w:shd w:val="clear" w:color="auto" w:fill="auto"/>
            <w:tcMar>
              <w:top w:w="0" w:type="dxa"/>
              <w:left w:w="28" w:type="dxa"/>
              <w:bottom w:w="0" w:type="dxa"/>
              <w:right w:w="28" w:type="dxa"/>
            </w:tcMar>
            <w:vAlign w:val="center"/>
          </w:tcPr>
          <w:p w14:paraId="59A9EFA9" w14:textId="77777777" w:rsidR="003E6EAD" w:rsidRDefault="003A4514" w:rsidP="008A181E">
            <w:pPr>
              <w:shd w:val="clear" w:color="auto" w:fill="FFFFFF" w:themeFill="background1"/>
              <w:spacing w:after="0" w:line="240" w:lineRule="auto"/>
              <w:rPr>
                <w:rFonts w:ascii="Cambria" w:hAnsi="Cambria"/>
              </w:rPr>
            </w:pPr>
            <w:r w:rsidRPr="5B9FE7F0">
              <w:rPr>
                <w:rFonts w:ascii="Cambria" w:hAnsi="Cambria"/>
              </w:rPr>
              <w:t>Nemetāna gaistošie organiskie savienojumi</w:t>
            </w:r>
          </w:p>
        </w:tc>
      </w:tr>
      <w:tr w:rsidR="003E6EAD" w14:paraId="16E90211" w14:textId="77777777" w:rsidTr="00583087">
        <w:trPr>
          <w:trHeight w:val="227"/>
          <w:jc w:val="center"/>
        </w:trPr>
        <w:tc>
          <w:tcPr>
            <w:tcW w:w="2694" w:type="dxa"/>
            <w:shd w:val="clear" w:color="auto" w:fill="auto"/>
            <w:tcMar>
              <w:top w:w="0" w:type="dxa"/>
              <w:left w:w="28" w:type="dxa"/>
              <w:bottom w:w="0" w:type="dxa"/>
              <w:right w:w="28" w:type="dxa"/>
            </w:tcMar>
            <w:vAlign w:val="center"/>
          </w:tcPr>
          <w:p w14:paraId="50AFA1E4" w14:textId="77777777" w:rsidR="003E6EAD" w:rsidRDefault="003A4514" w:rsidP="008A181E">
            <w:pPr>
              <w:shd w:val="clear" w:color="auto" w:fill="FFFFFF"/>
              <w:spacing w:after="0" w:line="240" w:lineRule="auto"/>
              <w:jc w:val="center"/>
            </w:pPr>
            <w:r>
              <w:rPr>
                <w:rFonts w:ascii="Cambria" w:hAnsi="Cambria"/>
                <w:lang w:eastAsia="lv-LV"/>
              </w:rPr>
              <w:t>ne-ETS</w:t>
            </w:r>
          </w:p>
        </w:tc>
        <w:tc>
          <w:tcPr>
            <w:tcW w:w="6945" w:type="dxa"/>
            <w:shd w:val="clear" w:color="auto" w:fill="auto"/>
            <w:tcMar>
              <w:top w:w="0" w:type="dxa"/>
              <w:left w:w="28" w:type="dxa"/>
              <w:bottom w:w="0" w:type="dxa"/>
              <w:right w:w="28" w:type="dxa"/>
            </w:tcMar>
            <w:vAlign w:val="center"/>
          </w:tcPr>
          <w:p w14:paraId="7CE27680" w14:textId="77777777" w:rsidR="003E6EAD" w:rsidRDefault="003A4514" w:rsidP="008A181E">
            <w:pPr>
              <w:shd w:val="clear" w:color="auto" w:fill="FFFFFF"/>
              <w:spacing w:after="0" w:line="240" w:lineRule="auto"/>
              <w:rPr>
                <w:rFonts w:ascii="Cambria" w:hAnsi="Cambria"/>
              </w:rPr>
            </w:pPr>
            <w:r>
              <w:rPr>
                <w:rFonts w:ascii="Cambria" w:hAnsi="Cambria"/>
              </w:rPr>
              <w:t>ETS neietvertās darbības</w:t>
            </w:r>
          </w:p>
        </w:tc>
      </w:tr>
      <w:tr w:rsidR="003E6EAD" w14:paraId="5CF50836" w14:textId="77777777" w:rsidTr="00583087">
        <w:trPr>
          <w:trHeight w:val="227"/>
          <w:jc w:val="center"/>
        </w:trPr>
        <w:tc>
          <w:tcPr>
            <w:tcW w:w="2694" w:type="dxa"/>
            <w:shd w:val="clear" w:color="auto" w:fill="auto"/>
            <w:tcMar>
              <w:top w:w="0" w:type="dxa"/>
              <w:left w:w="28" w:type="dxa"/>
              <w:bottom w:w="0" w:type="dxa"/>
              <w:right w:w="28" w:type="dxa"/>
            </w:tcMar>
            <w:vAlign w:val="center"/>
          </w:tcPr>
          <w:p w14:paraId="0400F981" w14:textId="77777777" w:rsidR="003E6EAD" w:rsidRDefault="003A4514" w:rsidP="008A181E">
            <w:pPr>
              <w:shd w:val="clear" w:color="auto" w:fill="FFFFFF"/>
              <w:spacing w:after="0" w:line="240" w:lineRule="auto"/>
              <w:jc w:val="center"/>
            </w:pPr>
            <w:r>
              <w:rPr>
                <w:rFonts w:ascii="Cambria" w:hAnsi="Cambria" w:cs="Aptos"/>
                <w:lang w:eastAsia="lv-LV"/>
              </w:rPr>
              <w:t>ONV</w:t>
            </w:r>
          </w:p>
        </w:tc>
        <w:tc>
          <w:tcPr>
            <w:tcW w:w="6945" w:type="dxa"/>
            <w:shd w:val="clear" w:color="auto" w:fill="auto"/>
            <w:tcMar>
              <w:top w:w="0" w:type="dxa"/>
              <w:left w:w="28" w:type="dxa"/>
              <w:bottom w:w="0" w:type="dxa"/>
              <w:right w:w="28" w:type="dxa"/>
            </w:tcMar>
            <w:vAlign w:val="center"/>
          </w:tcPr>
          <w:p w14:paraId="34708D99" w14:textId="77777777" w:rsidR="003E6EAD" w:rsidRDefault="003A4514" w:rsidP="008A181E">
            <w:pPr>
              <w:shd w:val="clear" w:color="auto" w:fill="FFFFFF"/>
              <w:spacing w:after="0" w:line="240" w:lineRule="auto"/>
              <w:rPr>
                <w:rFonts w:ascii="Cambria" w:hAnsi="Cambria"/>
                <w:lang w:eastAsia="lv-LV"/>
              </w:rPr>
            </w:pPr>
            <w:r>
              <w:rPr>
                <w:rFonts w:ascii="Cambria" w:hAnsi="Cambria"/>
                <w:lang w:eastAsia="lv-LV"/>
              </w:rPr>
              <w:t>Ozona slāni noārdošās vielas</w:t>
            </w:r>
          </w:p>
        </w:tc>
      </w:tr>
      <w:tr w:rsidR="003E6EAD" w14:paraId="4F4F32CC" w14:textId="77777777" w:rsidTr="00583087">
        <w:trPr>
          <w:trHeight w:val="227"/>
          <w:jc w:val="center"/>
        </w:trPr>
        <w:tc>
          <w:tcPr>
            <w:tcW w:w="2694" w:type="dxa"/>
            <w:shd w:val="clear" w:color="auto" w:fill="auto"/>
            <w:tcMar>
              <w:top w:w="0" w:type="dxa"/>
              <w:left w:w="28" w:type="dxa"/>
              <w:bottom w:w="0" w:type="dxa"/>
              <w:right w:w="28" w:type="dxa"/>
            </w:tcMar>
            <w:vAlign w:val="center"/>
          </w:tcPr>
          <w:p w14:paraId="3F48F375" w14:textId="77777777" w:rsidR="003E6EAD" w:rsidRDefault="003A4514" w:rsidP="008A181E">
            <w:pPr>
              <w:shd w:val="clear" w:color="auto" w:fill="FFFFFF"/>
              <w:spacing w:after="0" w:line="240" w:lineRule="auto"/>
              <w:jc w:val="center"/>
            </w:pPr>
            <w:r>
              <w:rPr>
                <w:rFonts w:ascii="Cambria" w:hAnsi="Cambria"/>
                <w:lang w:eastAsia="lv-LV"/>
              </w:rPr>
              <w:t>RPPI</w:t>
            </w:r>
          </w:p>
        </w:tc>
        <w:tc>
          <w:tcPr>
            <w:tcW w:w="6945" w:type="dxa"/>
            <w:shd w:val="clear" w:color="auto" w:fill="auto"/>
            <w:tcMar>
              <w:top w:w="0" w:type="dxa"/>
              <w:left w:w="28" w:type="dxa"/>
              <w:bottom w:w="0" w:type="dxa"/>
              <w:right w:w="28" w:type="dxa"/>
            </w:tcMar>
            <w:vAlign w:val="center"/>
          </w:tcPr>
          <w:p w14:paraId="6CB0A24C" w14:textId="77777777" w:rsidR="003E6EAD" w:rsidRDefault="003A4514" w:rsidP="008A181E">
            <w:pPr>
              <w:shd w:val="clear" w:color="auto" w:fill="FFFFFF"/>
              <w:spacing w:after="0" w:line="240" w:lineRule="auto"/>
              <w:ind w:left="-453" w:firstLine="453"/>
              <w:rPr>
                <w:rFonts w:ascii="Cambria" w:hAnsi="Cambria" w:cs="Aptos"/>
                <w:lang w:eastAsia="lv-LV"/>
              </w:rPr>
            </w:pPr>
            <w:r>
              <w:rPr>
                <w:rFonts w:ascii="Cambria" w:hAnsi="Cambria" w:cs="Aptos"/>
                <w:lang w:eastAsia="lv-LV"/>
              </w:rPr>
              <w:t>Rūpnieciskie procesi un produktu izmantošana</w:t>
            </w:r>
          </w:p>
        </w:tc>
      </w:tr>
      <w:tr w:rsidR="003E6EAD" w14:paraId="18A1E2DC" w14:textId="77777777" w:rsidTr="00583087">
        <w:trPr>
          <w:trHeight w:val="227"/>
          <w:jc w:val="center"/>
        </w:trPr>
        <w:tc>
          <w:tcPr>
            <w:tcW w:w="2694" w:type="dxa"/>
            <w:shd w:val="clear" w:color="auto" w:fill="auto"/>
            <w:tcMar>
              <w:top w:w="0" w:type="dxa"/>
              <w:left w:w="28" w:type="dxa"/>
              <w:bottom w:w="0" w:type="dxa"/>
              <w:right w:w="28" w:type="dxa"/>
            </w:tcMar>
            <w:vAlign w:val="center"/>
          </w:tcPr>
          <w:p w14:paraId="2C5C993F" w14:textId="77777777" w:rsidR="003E6EAD" w:rsidRDefault="003A4514" w:rsidP="008A181E">
            <w:pPr>
              <w:shd w:val="clear" w:color="auto" w:fill="FFFFFF"/>
              <w:spacing w:after="0" w:line="240" w:lineRule="auto"/>
              <w:jc w:val="center"/>
            </w:pPr>
            <w:r>
              <w:rPr>
                <w:rFonts w:ascii="Cambria" w:hAnsi="Cambria" w:cs="Aptos"/>
                <w:lang w:eastAsia="lv-LV"/>
              </w:rPr>
              <w:t>SEG</w:t>
            </w:r>
          </w:p>
        </w:tc>
        <w:tc>
          <w:tcPr>
            <w:tcW w:w="6945" w:type="dxa"/>
            <w:shd w:val="clear" w:color="auto" w:fill="auto"/>
            <w:tcMar>
              <w:top w:w="0" w:type="dxa"/>
              <w:left w:w="28" w:type="dxa"/>
              <w:bottom w:w="0" w:type="dxa"/>
              <w:right w:w="28" w:type="dxa"/>
            </w:tcMar>
            <w:vAlign w:val="center"/>
          </w:tcPr>
          <w:p w14:paraId="776FD741"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Siltumnīcefekta gāzu emisijas</w:t>
            </w:r>
          </w:p>
        </w:tc>
      </w:tr>
      <w:tr w:rsidR="008A181E" w14:paraId="7B24BB8B" w14:textId="77777777" w:rsidTr="00583087">
        <w:trPr>
          <w:trHeight w:val="227"/>
          <w:jc w:val="center"/>
        </w:trPr>
        <w:tc>
          <w:tcPr>
            <w:tcW w:w="2694" w:type="dxa"/>
            <w:shd w:val="clear" w:color="auto" w:fill="auto"/>
            <w:tcMar>
              <w:top w:w="0" w:type="dxa"/>
              <w:left w:w="28" w:type="dxa"/>
              <w:bottom w:w="0" w:type="dxa"/>
              <w:right w:w="28" w:type="dxa"/>
            </w:tcMar>
            <w:vAlign w:val="center"/>
          </w:tcPr>
          <w:p w14:paraId="572AD18C" w14:textId="78210E6F" w:rsidR="008A181E" w:rsidRDefault="008A181E" w:rsidP="008A181E">
            <w:pPr>
              <w:shd w:val="clear" w:color="auto" w:fill="FFFFFF"/>
              <w:spacing w:after="0" w:line="240" w:lineRule="auto"/>
              <w:jc w:val="center"/>
              <w:rPr>
                <w:rFonts w:ascii="Cambria" w:hAnsi="Cambria" w:cs="Aptos"/>
                <w:lang w:eastAsia="lv-LV"/>
              </w:rPr>
            </w:pPr>
            <w:r>
              <w:rPr>
                <w:rFonts w:ascii="Cambria" w:hAnsi="Cambria" w:cs="Aptos"/>
                <w:lang w:eastAsia="lv-LV"/>
              </w:rPr>
              <w:t>SEG mērķi</w:t>
            </w:r>
          </w:p>
        </w:tc>
        <w:tc>
          <w:tcPr>
            <w:tcW w:w="6945" w:type="dxa"/>
            <w:shd w:val="clear" w:color="auto" w:fill="auto"/>
            <w:tcMar>
              <w:top w:w="0" w:type="dxa"/>
              <w:left w:w="28" w:type="dxa"/>
              <w:bottom w:w="0" w:type="dxa"/>
              <w:right w:w="28" w:type="dxa"/>
            </w:tcMar>
            <w:vAlign w:val="center"/>
          </w:tcPr>
          <w:p w14:paraId="20B5D7CE" w14:textId="13FCFBBE" w:rsidR="008A181E" w:rsidRDefault="008A181E" w:rsidP="008A181E">
            <w:pPr>
              <w:shd w:val="clear" w:color="auto" w:fill="FFFFFF"/>
              <w:spacing w:after="0" w:line="240" w:lineRule="auto"/>
              <w:rPr>
                <w:rFonts w:ascii="Cambria" w:hAnsi="Cambria" w:cs="Aptos"/>
                <w:lang w:eastAsia="lv-LV"/>
              </w:rPr>
            </w:pPr>
            <w:r w:rsidRPr="008A181E">
              <w:rPr>
                <w:rFonts w:ascii="Cambria" w:hAnsi="Cambria"/>
              </w:rPr>
              <w:t>SEG emisiju samazināšanas un CO</w:t>
            </w:r>
            <w:r w:rsidRPr="008A181E">
              <w:rPr>
                <w:rFonts w:ascii="Cambria" w:hAnsi="Cambria"/>
                <w:vertAlign w:val="subscript"/>
              </w:rPr>
              <w:t>2</w:t>
            </w:r>
            <w:r w:rsidRPr="008A181E">
              <w:rPr>
                <w:rFonts w:ascii="Cambria" w:hAnsi="Cambria"/>
              </w:rPr>
              <w:t xml:space="preserve"> piesaistes palielināšanas saistības</w:t>
            </w:r>
          </w:p>
        </w:tc>
      </w:tr>
      <w:tr w:rsidR="003E6EAD" w14:paraId="6B3524BE" w14:textId="77777777" w:rsidTr="00583087">
        <w:trPr>
          <w:trHeight w:val="227"/>
          <w:jc w:val="center"/>
        </w:trPr>
        <w:tc>
          <w:tcPr>
            <w:tcW w:w="2694" w:type="dxa"/>
            <w:shd w:val="clear" w:color="auto" w:fill="auto"/>
            <w:tcMar>
              <w:top w:w="0" w:type="dxa"/>
              <w:left w:w="28" w:type="dxa"/>
              <w:bottom w:w="0" w:type="dxa"/>
              <w:right w:w="28" w:type="dxa"/>
            </w:tcMar>
            <w:vAlign w:val="center"/>
          </w:tcPr>
          <w:p w14:paraId="1588CA59" w14:textId="77777777" w:rsidR="003E6EAD" w:rsidRDefault="003A4514" w:rsidP="008A181E">
            <w:pPr>
              <w:shd w:val="clear" w:color="auto" w:fill="FFFFFF"/>
              <w:spacing w:after="0" w:line="240" w:lineRule="auto"/>
              <w:jc w:val="center"/>
            </w:pPr>
            <w:r>
              <w:rPr>
                <w:rFonts w:ascii="Cambria" w:hAnsi="Cambria" w:cs="Aptos"/>
                <w:lang w:eastAsia="lv-LV"/>
              </w:rPr>
              <w:t>SM</w:t>
            </w:r>
          </w:p>
        </w:tc>
        <w:tc>
          <w:tcPr>
            <w:tcW w:w="6945" w:type="dxa"/>
            <w:shd w:val="clear" w:color="auto" w:fill="auto"/>
            <w:tcMar>
              <w:top w:w="0" w:type="dxa"/>
              <w:left w:w="28" w:type="dxa"/>
              <w:bottom w:w="0" w:type="dxa"/>
              <w:right w:w="28" w:type="dxa"/>
            </w:tcMar>
            <w:vAlign w:val="center"/>
          </w:tcPr>
          <w:p w14:paraId="3BC76331"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Satiksmes ministrija</w:t>
            </w:r>
          </w:p>
        </w:tc>
      </w:tr>
      <w:tr w:rsidR="003E6EAD" w14:paraId="79A89C13" w14:textId="77777777" w:rsidTr="00583087">
        <w:trPr>
          <w:trHeight w:val="227"/>
          <w:jc w:val="center"/>
        </w:trPr>
        <w:tc>
          <w:tcPr>
            <w:tcW w:w="2694" w:type="dxa"/>
            <w:shd w:val="clear" w:color="auto" w:fill="auto"/>
            <w:tcMar>
              <w:top w:w="0" w:type="dxa"/>
              <w:left w:w="28" w:type="dxa"/>
              <w:bottom w:w="0" w:type="dxa"/>
              <w:right w:w="28" w:type="dxa"/>
            </w:tcMar>
            <w:vAlign w:val="center"/>
          </w:tcPr>
          <w:p w14:paraId="70CF73F9" w14:textId="77777777" w:rsidR="003E6EAD" w:rsidRDefault="003A4514" w:rsidP="008A181E">
            <w:pPr>
              <w:shd w:val="clear" w:color="auto" w:fill="FFFFFF"/>
              <w:spacing w:after="0" w:line="240" w:lineRule="auto"/>
              <w:jc w:val="center"/>
            </w:pPr>
            <w:r>
              <w:rPr>
                <w:rFonts w:ascii="Cambria" w:hAnsi="Cambria" w:cs="Aptos"/>
                <w:lang w:eastAsia="lv-LV"/>
              </w:rPr>
              <w:t>VARAM</w:t>
            </w:r>
          </w:p>
        </w:tc>
        <w:tc>
          <w:tcPr>
            <w:tcW w:w="6945" w:type="dxa"/>
            <w:shd w:val="clear" w:color="auto" w:fill="auto"/>
            <w:tcMar>
              <w:top w:w="0" w:type="dxa"/>
              <w:left w:w="28" w:type="dxa"/>
              <w:bottom w:w="0" w:type="dxa"/>
              <w:right w:w="28" w:type="dxa"/>
            </w:tcMar>
            <w:vAlign w:val="center"/>
          </w:tcPr>
          <w:p w14:paraId="61A10779" w14:textId="77777777" w:rsidR="003E6EAD" w:rsidRDefault="003A4514" w:rsidP="008A181E">
            <w:pPr>
              <w:shd w:val="clear" w:color="auto" w:fill="FFFFFF"/>
              <w:spacing w:after="0" w:line="240" w:lineRule="auto"/>
            </w:pPr>
            <w:r>
              <w:rPr>
                <w:rFonts w:ascii="Cambria" w:hAnsi="Cambria" w:cs="Aptos"/>
              </w:rPr>
              <w:t>Viedās administrācija un reģionālās attīstības ministrija</w:t>
            </w:r>
          </w:p>
        </w:tc>
      </w:tr>
      <w:tr w:rsidR="003E6EAD" w14:paraId="3299F6EA" w14:textId="77777777" w:rsidTr="00583087">
        <w:trPr>
          <w:trHeight w:val="227"/>
          <w:jc w:val="center"/>
        </w:trPr>
        <w:tc>
          <w:tcPr>
            <w:tcW w:w="2694" w:type="dxa"/>
            <w:shd w:val="clear" w:color="auto" w:fill="auto"/>
            <w:tcMar>
              <w:top w:w="0" w:type="dxa"/>
              <w:left w:w="28" w:type="dxa"/>
              <w:bottom w:w="0" w:type="dxa"/>
              <w:right w:w="28" w:type="dxa"/>
            </w:tcMar>
            <w:vAlign w:val="center"/>
          </w:tcPr>
          <w:p w14:paraId="54786D0D" w14:textId="77777777" w:rsidR="003E6EAD" w:rsidRDefault="003A4514" w:rsidP="008A181E">
            <w:pPr>
              <w:shd w:val="clear" w:color="auto" w:fill="FFFFFF"/>
              <w:spacing w:after="0" w:line="240" w:lineRule="auto"/>
              <w:jc w:val="center"/>
            </w:pPr>
            <w:r>
              <w:rPr>
                <w:rFonts w:ascii="Cambria" w:hAnsi="Cambria" w:cs="Aptos"/>
                <w:lang w:eastAsia="lv-LV"/>
              </w:rPr>
              <w:t>ZIZIMM</w:t>
            </w:r>
          </w:p>
        </w:tc>
        <w:tc>
          <w:tcPr>
            <w:tcW w:w="6945" w:type="dxa"/>
            <w:shd w:val="clear" w:color="auto" w:fill="auto"/>
            <w:tcMar>
              <w:top w:w="0" w:type="dxa"/>
              <w:left w:w="28" w:type="dxa"/>
              <w:bottom w:w="0" w:type="dxa"/>
              <w:right w:w="28" w:type="dxa"/>
            </w:tcMar>
            <w:vAlign w:val="center"/>
          </w:tcPr>
          <w:p w14:paraId="2AFC7825" w14:textId="77777777" w:rsidR="003E6EAD" w:rsidRDefault="003A4514" w:rsidP="008A181E">
            <w:pPr>
              <w:shd w:val="clear" w:color="auto" w:fill="FFFFFF"/>
              <w:spacing w:after="0" w:line="240" w:lineRule="auto"/>
              <w:rPr>
                <w:rFonts w:ascii="Cambria" w:hAnsi="Cambria"/>
                <w:lang w:eastAsia="lv-LV"/>
              </w:rPr>
            </w:pPr>
            <w:r>
              <w:rPr>
                <w:rFonts w:ascii="Cambria" w:hAnsi="Cambria"/>
                <w:lang w:eastAsia="lv-LV"/>
              </w:rPr>
              <w:t>Zemes izmantošana, zemes izmantošanas maiņa un mežsaimniecība</w:t>
            </w:r>
          </w:p>
        </w:tc>
      </w:tr>
      <w:tr w:rsidR="003E6EAD" w14:paraId="2B10CCC6" w14:textId="77777777" w:rsidTr="00583087">
        <w:trPr>
          <w:trHeight w:val="227"/>
          <w:jc w:val="center"/>
        </w:trPr>
        <w:tc>
          <w:tcPr>
            <w:tcW w:w="2694" w:type="dxa"/>
            <w:shd w:val="clear" w:color="auto" w:fill="auto"/>
            <w:tcMar>
              <w:top w:w="0" w:type="dxa"/>
              <w:left w:w="28" w:type="dxa"/>
              <w:bottom w:w="0" w:type="dxa"/>
              <w:right w:w="28" w:type="dxa"/>
            </w:tcMar>
            <w:vAlign w:val="center"/>
          </w:tcPr>
          <w:p w14:paraId="57A22FD2" w14:textId="77777777" w:rsidR="003E6EAD" w:rsidRDefault="003A4514" w:rsidP="008A181E">
            <w:pPr>
              <w:shd w:val="clear" w:color="auto" w:fill="FFFFFF"/>
              <w:spacing w:after="0" w:line="240" w:lineRule="auto"/>
              <w:jc w:val="center"/>
            </w:pPr>
            <w:r>
              <w:rPr>
                <w:rFonts w:ascii="Cambria" w:hAnsi="Cambria" w:cs="Aptos"/>
                <w:lang w:eastAsia="lv-LV"/>
              </w:rPr>
              <w:t>WAM</w:t>
            </w:r>
          </w:p>
        </w:tc>
        <w:tc>
          <w:tcPr>
            <w:tcW w:w="6945" w:type="dxa"/>
            <w:shd w:val="clear" w:color="auto" w:fill="auto"/>
            <w:tcMar>
              <w:top w:w="0" w:type="dxa"/>
              <w:left w:w="28" w:type="dxa"/>
              <w:bottom w:w="0" w:type="dxa"/>
              <w:right w:w="28" w:type="dxa"/>
            </w:tcMar>
            <w:vAlign w:val="center"/>
          </w:tcPr>
          <w:p w14:paraId="041169B4"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Scenārijs ar papildus pasākumiem</w:t>
            </w:r>
          </w:p>
        </w:tc>
      </w:tr>
      <w:tr w:rsidR="003E6EAD" w14:paraId="532B7726" w14:textId="77777777" w:rsidTr="00583087">
        <w:trPr>
          <w:trHeight w:val="227"/>
          <w:jc w:val="center"/>
        </w:trPr>
        <w:tc>
          <w:tcPr>
            <w:tcW w:w="2694" w:type="dxa"/>
            <w:shd w:val="clear" w:color="auto" w:fill="auto"/>
            <w:tcMar>
              <w:top w:w="0" w:type="dxa"/>
              <w:left w:w="28" w:type="dxa"/>
              <w:bottom w:w="0" w:type="dxa"/>
              <w:right w:w="28" w:type="dxa"/>
            </w:tcMar>
            <w:vAlign w:val="center"/>
          </w:tcPr>
          <w:p w14:paraId="3E8C8C1D" w14:textId="77777777" w:rsidR="003E6EAD" w:rsidRDefault="003A4514" w:rsidP="008A181E">
            <w:pPr>
              <w:shd w:val="clear" w:color="auto" w:fill="FFFFFF"/>
              <w:spacing w:after="0" w:line="240" w:lineRule="auto"/>
              <w:jc w:val="center"/>
            </w:pPr>
            <w:r>
              <w:rPr>
                <w:rFonts w:ascii="Cambria" w:hAnsi="Cambria" w:cs="Aptos"/>
                <w:lang w:eastAsia="lv-LV"/>
              </w:rPr>
              <w:t>WEM</w:t>
            </w:r>
          </w:p>
        </w:tc>
        <w:tc>
          <w:tcPr>
            <w:tcW w:w="6945" w:type="dxa"/>
            <w:shd w:val="clear" w:color="auto" w:fill="auto"/>
            <w:tcMar>
              <w:top w:w="0" w:type="dxa"/>
              <w:left w:w="28" w:type="dxa"/>
              <w:bottom w:w="0" w:type="dxa"/>
              <w:right w:w="28" w:type="dxa"/>
            </w:tcMar>
            <w:vAlign w:val="center"/>
          </w:tcPr>
          <w:p w14:paraId="30E8199D" w14:textId="77777777" w:rsidR="003E6EAD" w:rsidRDefault="003A4514" w:rsidP="008A181E">
            <w:pPr>
              <w:shd w:val="clear" w:color="auto" w:fill="FFFFFF"/>
              <w:spacing w:after="0" w:line="240" w:lineRule="auto"/>
              <w:rPr>
                <w:rFonts w:ascii="Cambria" w:hAnsi="Cambria" w:cs="Aptos"/>
                <w:lang w:eastAsia="lv-LV"/>
              </w:rPr>
            </w:pPr>
            <w:r>
              <w:rPr>
                <w:rFonts w:ascii="Cambria" w:hAnsi="Cambria" w:cs="Aptos"/>
                <w:lang w:eastAsia="lv-LV"/>
              </w:rPr>
              <w:t>Scenārijs ar pasākumiem</w:t>
            </w:r>
          </w:p>
        </w:tc>
      </w:tr>
    </w:tbl>
    <w:p w14:paraId="4586C1D9" w14:textId="77777777" w:rsidR="003E6EAD" w:rsidRDefault="003E6EAD">
      <w:pPr>
        <w:shd w:val="clear" w:color="auto" w:fill="FFFFFF"/>
        <w:rPr>
          <w:rFonts w:ascii="Cambria" w:eastAsia="Times New Roman" w:hAnsi="Cambria"/>
          <w:b/>
          <w:bCs/>
          <w:caps/>
          <w:sz w:val="24"/>
          <w:szCs w:val="24"/>
          <w:lang w:eastAsia="lv-LV"/>
        </w:rPr>
      </w:pPr>
    </w:p>
    <w:p w14:paraId="49CEDC6C" w14:textId="1695CE51" w:rsidR="00072832" w:rsidRDefault="00072832">
      <w:pPr>
        <w:suppressAutoHyphens w:val="0"/>
        <w:spacing w:after="160" w:line="256" w:lineRule="auto"/>
        <w:rPr>
          <w:rFonts w:ascii="Cambria" w:eastAsia="Times New Roman" w:hAnsi="Cambria"/>
          <w:b/>
          <w:bCs/>
          <w:caps/>
          <w:sz w:val="24"/>
          <w:szCs w:val="24"/>
          <w:lang w:eastAsia="lv-LV"/>
        </w:rPr>
      </w:pPr>
      <w:r>
        <w:rPr>
          <w:rFonts w:ascii="Cambria" w:eastAsia="Times New Roman" w:hAnsi="Cambria"/>
          <w:b/>
          <w:bCs/>
          <w:caps/>
          <w:sz w:val="24"/>
          <w:szCs w:val="24"/>
          <w:lang w:eastAsia="lv-LV"/>
        </w:rPr>
        <w:br w:type="page"/>
      </w:r>
    </w:p>
    <w:p w14:paraId="1FEAF7D9" w14:textId="77777777" w:rsidR="003E6EAD" w:rsidRDefault="003A4514">
      <w:pPr>
        <w:pStyle w:val="Heading1"/>
        <w:rPr>
          <w:rFonts w:ascii="Cambria" w:hAnsi="Cambria"/>
          <w:b/>
          <w:sz w:val="28"/>
          <w:szCs w:val="28"/>
        </w:rPr>
      </w:pPr>
      <w:bookmarkStart w:id="7" w:name="_Toc185319485"/>
      <w:bookmarkStart w:id="8" w:name="_Toc190952412"/>
      <w:r>
        <w:rPr>
          <w:rFonts w:ascii="Cambria" w:hAnsi="Cambria"/>
          <w:b/>
          <w:sz w:val="28"/>
          <w:szCs w:val="28"/>
        </w:rPr>
        <w:lastRenderedPageBreak/>
        <w:t>IEVADS</w:t>
      </w:r>
      <w:bookmarkEnd w:id="7"/>
      <w:bookmarkEnd w:id="8"/>
    </w:p>
    <w:p w14:paraId="143306CB" w14:textId="4113D0AC" w:rsidR="003E6EAD" w:rsidRDefault="003A4514">
      <w:pPr>
        <w:spacing w:before="120" w:after="120" w:line="240" w:lineRule="auto"/>
        <w:ind w:firstLine="567"/>
        <w:jc w:val="both"/>
        <w:rPr>
          <w:rFonts w:ascii="Cambria" w:hAnsi="Cambria"/>
          <w:sz w:val="24"/>
          <w:szCs w:val="24"/>
        </w:rPr>
      </w:pPr>
      <w:bookmarkStart w:id="9" w:name="_Hlk153784008"/>
      <w:r>
        <w:rPr>
          <w:rFonts w:ascii="Cambria" w:hAnsi="Cambria"/>
          <w:sz w:val="24"/>
          <w:szCs w:val="24"/>
        </w:rPr>
        <w:t>Informatīvais ziņojums ir sagatavots saskaņā ar likuma ,,Par piesārņojumu” 52. panta trešo daļu, kas noteic, ka:</w:t>
      </w:r>
    </w:p>
    <w:p w14:paraId="04984DC0" w14:textId="672E4FD9" w:rsidR="003E6EAD" w:rsidRDefault="003A4514">
      <w:pPr>
        <w:spacing w:before="120" w:after="120" w:line="240" w:lineRule="auto"/>
        <w:ind w:firstLine="567"/>
        <w:jc w:val="both"/>
        <w:rPr>
          <w:rFonts w:ascii="Cambria" w:hAnsi="Cambria"/>
          <w:i/>
          <w:sz w:val="24"/>
          <w:szCs w:val="24"/>
        </w:rPr>
      </w:pPr>
      <w:r>
        <w:rPr>
          <w:rFonts w:ascii="Cambria" w:hAnsi="Cambria"/>
          <w:i/>
          <w:sz w:val="24"/>
          <w:szCs w:val="24"/>
        </w:rPr>
        <w:t xml:space="preserve">,,Klimata un enerģētikas ministrija sadarbībā ar Zemkopības ministriju, Ekonomikas ministriju, Satiksmes ministriju, </w:t>
      </w:r>
      <w:r w:rsidRPr="00501BE0">
        <w:rPr>
          <w:rFonts w:ascii="Cambria" w:hAnsi="Cambria"/>
          <w:i/>
          <w:sz w:val="24"/>
        </w:rPr>
        <w:t>Vides aizsardzības un reģionālās attīstības ministriju</w:t>
      </w:r>
      <w:r w:rsidR="007E1FE4">
        <w:rPr>
          <w:rStyle w:val="FootnoteReference"/>
          <w:rFonts w:ascii="Cambria" w:hAnsi="Cambria"/>
          <w:i/>
          <w:sz w:val="24"/>
          <w:szCs w:val="24"/>
        </w:rPr>
        <w:footnoteReference w:id="2"/>
      </w:r>
      <w:r>
        <w:rPr>
          <w:rFonts w:ascii="Cambria" w:hAnsi="Cambria"/>
          <w:i/>
          <w:sz w:val="24"/>
          <w:szCs w:val="24"/>
        </w:rPr>
        <w:t xml:space="preserve"> un citām nozaru ministrijām katru gadu pēc </w:t>
      </w:r>
      <w:bookmarkStart w:id="10" w:name="_Hlk126585809"/>
      <w:r>
        <w:rPr>
          <w:rFonts w:ascii="Cambria" w:hAnsi="Cambria"/>
          <w:i/>
          <w:sz w:val="24"/>
          <w:szCs w:val="24"/>
        </w:rPr>
        <w:t xml:space="preserve">Eiropas Parlamenta un Padomes 2018. gada 11. decembra regulas (ES)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(turpmāk — Regula 2018/1999) </w:t>
      </w:r>
      <w:bookmarkEnd w:id="10"/>
      <w:r>
        <w:rPr>
          <w:rFonts w:ascii="Cambria" w:hAnsi="Cambria"/>
          <w:i/>
          <w:sz w:val="24"/>
          <w:szCs w:val="24"/>
        </w:rPr>
        <w:t>18. panta 1. punktā un 26. panta 2. un 3. punktā minēto ziņojumu iesniegšanas sagatavo un līdz 31. decembrim iesniedz Ministru kabinetam informatīvo ziņojumu par siltumnīcefekta gāzu emisiju samazināšanas un oglekļa dioksīda piesaistes saistību izpildi. Minētajā informatīvajā ziņojumā iekļauj:</w:t>
      </w:r>
    </w:p>
    <w:p w14:paraId="61EB7479" w14:textId="77777777" w:rsidR="003E6EAD" w:rsidRDefault="003A4514" w:rsidP="5B9FE7F0">
      <w:pPr>
        <w:spacing w:before="120" w:after="120" w:line="240" w:lineRule="auto"/>
        <w:ind w:firstLine="567"/>
        <w:jc w:val="both"/>
        <w:rPr>
          <w:rFonts w:ascii="Cambria" w:hAnsi="Cambria"/>
          <w:i/>
          <w:iCs/>
          <w:sz w:val="24"/>
          <w:szCs w:val="24"/>
        </w:rPr>
      </w:pPr>
      <w:r w:rsidRPr="5B9FE7F0">
        <w:rPr>
          <w:rFonts w:ascii="Cambria" w:hAnsi="Cambria"/>
          <w:i/>
          <w:iCs/>
          <w:sz w:val="24"/>
          <w:szCs w:val="24"/>
        </w:rPr>
        <w:t>1) siltumnīcefekta gāzu emisiju samazināšanas un oglekļa dioksīda piesaistes saistību izpildes izvērtējumu;</w:t>
      </w:r>
    </w:p>
    <w:p w14:paraId="20E028DD" w14:textId="77777777" w:rsidR="003E6EAD" w:rsidRDefault="003A4514">
      <w:pPr>
        <w:spacing w:before="120" w:after="120" w:line="240" w:lineRule="auto"/>
        <w:ind w:firstLine="567"/>
        <w:jc w:val="both"/>
      </w:pPr>
      <w:r>
        <w:rPr>
          <w:rFonts w:ascii="Cambria" w:hAnsi="Cambria"/>
          <w:i/>
          <w:sz w:val="24"/>
          <w:szCs w:val="24"/>
        </w:rPr>
        <w:t>2) ja nepieciešams, priekšlikumus par izmaksu efektīviem, sociālekonomiski izvērtētiem un attiecīgā perioda nozaru politikas plānošanas dokumentiem atbilstošiem papildu pasākumiem siltumnīcefekta gāzu emisijas samazināšanas un oglekļa dioksīda piesaistes saistību izpildei”</w:t>
      </w:r>
      <w:r>
        <w:rPr>
          <w:rFonts w:ascii="Cambria" w:hAnsi="Cambria"/>
          <w:iCs/>
          <w:sz w:val="24"/>
          <w:szCs w:val="24"/>
        </w:rPr>
        <w:t>,</w:t>
      </w:r>
    </w:p>
    <w:p w14:paraId="528C7722" w14:textId="77777777" w:rsidR="003E6EAD" w:rsidRDefault="003A4514">
      <w:pPr>
        <w:spacing w:before="120" w:after="120" w:line="240" w:lineRule="auto"/>
        <w:ind w:firstLine="567"/>
        <w:jc w:val="both"/>
      </w:pPr>
      <w:r>
        <w:rPr>
          <w:rFonts w:ascii="Cambria" w:hAnsi="Cambria"/>
          <w:iCs/>
          <w:sz w:val="24"/>
          <w:szCs w:val="24"/>
        </w:rPr>
        <w:t xml:space="preserve">kā arī </w:t>
      </w:r>
      <w:r>
        <w:rPr>
          <w:rFonts w:ascii="Cambria" w:hAnsi="Cambria"/>
          <w:sz w:val="24"/>
          <w:szCs w:val="24"/>
        </w:rPr>
        <w:t>saskaņā ar likuma ,,Par piesārņojumu” 54. panta piekto daļu, kas noteic, ka:</w:t>
      </w:r>
    </w:p>
    <w:p w14:paraId="71C32CD0" w14:textId="76BA1B1C" w:rsidR="003E6EAD" w:rsidRDefault="003A4514">
      <w:pPr>
        <w:spacing w:before="120" w:after="120" w:line="240" w:lineRule="auto"/>
        <w:ind w:firstLine="567"/>
        <w:jc w:val="both"/>
      </w:pPr>
      <w:r>
        <w:rPr>
          <w:rFonts w:ascii="Cambria" w:hAnsi="Cambria"/>
          <w:i/>
          <w:sz w:val="24"/>
          <w:szCs w:val="24"/>
        </w:rPr>
        <w:t>,,Piecu mēnešu laikā pēc Regulas 2018/1999 26. panta 2. punktā minētā aptuvenā siltumnīcefekta gāzu pārskata iesniegšanas Klimata un enerģētikas ministrija sadarbībā ar Zemkopības ministriju, Ekonomikas ministriju, Satiksmes ministriju un citām nozaru ministrijām sagatavo informāciju par Latvijas iespējām veikt darījumus ar valsts īpašumā esošajām gada emisijas sadales vienībām un Kioto vienībām un iesniedz to Ministru kabinetam, kas pieņem lēmumu par darbībām ar gada emisijas sadales vienībām un Kioto vienībām”.</w:t>
      </w:r>
    </w:p>
    <w:p w14:paraId="679B231E" w14:textId="5C9FDF4E" w:rsidR="003E6EAD" w:rsidRDefault="003A4514">
      <w:pPr>
        <w:spacing w:before="120" w:after="120" w:line="240" w:lineRule="auto"/>
        <w:ind w:firstLine="567"/>
        <w:jc w:val="both"/>
      </w:pPr>
      <w:r>
        <w:rPr>
          <w:rFonts w:ascii="Cambria" w:hAnsi="Cambria"/>
          <w:iCs/>
          <w:sz w:val="24"/>
          <w:szCs w:val="24"/>
        </w:rPr>
        <w:t xml:space="preserve">Papildus </w:t>
      </w:r>
      <w:r w:rsidR="00E47601">
        <w:rPr>
          <w:rFonts w:ascii="Cambria" w:hAnsi="Cambria"/>
          <w:iCs/>
          <w:sz w:val="24"/>
          <w:szCs w:val="24"/>
        </w:rPr>
        <w:t>MK</w:t>
      </w:r>
      <w:r w:rsidR="00F81CAE">
        <w:rPr>
          <w:rFonts w:ascii="Cambria" w:hAnsi="Cambria"/>
          <w:iCs/>
          <w:sz w:val="24"/>
          <w:szCs w:val="24"/>
        </w:rPr>
        <w:t xml:space="preserve"> 2024. gada 12. jūlija</w:t>
      </w:r>
      <w:r>
        <w:rPr>
          <w:rFonts w:ascii="Cambria" w:hAnsi="Cambria"/>
          <w:iCs/>
          <w:sz w:val="24"/>
          <w:szCs w:val="24"/>
        </w:rPr>
        <w:t xml:space="preserve"> </w:t>
      </w:r>
      <w:r w:rsidR="00F81CAE">
        <w:rPr>
          <w:rFonts w:ascii="Cambria" w:hAnsi="Cambria"/>
          <w:iCs/>
          <w:sz w:val="24"/>
          <w:szCs w:val="24"/>
        </w:rPr>
        <w:t xml:space="preserve">rīkojuma </w:t>
      </w:r>
      <w:r>
        <w:rPr>
          <w:rFonts w:ascii="Cambria" w:hAnsi="Cambria"/>
          <w:iCs/>
          <w:sz w:val="24"/>
          <w:szCs w:val="24"/>
        </w:rPr>
        <w:t xml:space="preserve">Nr. </w:t>
      </w:r>
      <w:r>
        <w:rPr>
          <w:rFonts w:ascii="Cambria" w:hAnsi="Cambria"/>
          <w:i/>
          <w:sz w:val="24"/>
          <w:szCs w:val="24"/>
        </w:rPr>
        <w:t xml:space="preserve">573 </w:t>
      </w:r>
      <w:r w:rsidR="009A4556">
        <w:rPr>
          <w:rFonts w:ascii="Cambria" w:hAnsi="Cambria"/>
          <w:i/>
          <w:sz w:val="24"/>
          <w:szCs w:val="24"/>
        </w:rPr>
        <w:t>“</w:t>
      </w:r>
      <w:r>
        <w:rPr>
          <w:rFonts w:ascii="Cambria" w:hAnsi="Cambria"/>
          <w:i/>
          <w:sz w:val="24"/>
          <w:szCs w:val="24"/>
        </w:rPr>
        <w:t>Aktualizētais Nacionālais enerģētikas un klimata plāns 2021.–2030. gadam</w:t>
      </w:r>
      <w:r w:rsidR="009A4556">
        <w:rPr>
          <w:rFonts w:ascii="Cambria" w:hAnsi="Cambria"/>
          <w:i/>
          <w:sz w:val="24"/>
          <w:szCs w:val="24"/>
        </w:rPr>
        <w:t>”</w:t>
      </w:r>
      <w:r w:rsidR="00CF78CF">
        <w:rPr>
          <w:rFonts w:ascii="Cambria" w:hAnsi="Cambria"/>
          <w:i/>
          <w:sz w:val="24"/>
          <w:szCs w:val="24"/>
        </w:rPr>
        <w:t xml:space="preserve"> (turpmāk – Rīkojums Nr. </w:t>
      </w:r>
      <w:r w:rsidR="00A302D7">
        <w:rPr>
          <w:rFonts w:ascii="Cambria" w:hAnsi="Cambria"/>
          <w:i/>
          <w:sz w:val="24"/>
          <w:szCs w:val="24"/>
        </w:rPr>
        <w:t>573)</w:t>
      </w:r>
      <w:r w:rsidR="00C1513D">
        <w:rPr>
          <w:rStyle w:val="FootnoteReference"/>
          <w:rFonts w:ascii="Cambria" w:hAnsi="Cambria"/>
          <w:i/>
          <w:sz w:val="24"/>
          <w:szCs w:val="24"/>
        </w:rPr>
        <w:footnoteReference w:id="3"/>
      </w:r>
      <w:r>
        <w:rPr>
          <w:rFonts w:ascii="Cambria" w:hAnsi="Cambria"/>
          <w:i/>
          <w:sz w:val="24"/>
          <w:szCs w:val="24"/>
        </w:rPr>
        <w:t xml:space="preserve"> </w:t>
      </w:r>
      <w:r>
        <w:rPr>
          <w:rFonts w:ascii="Cambria" w:hAnsi="Cambria"/>
          <w:iCs/>
          <w:sz w:val="24"/>
          <w:szCs w:val="24"/>
        </w:rPr>
        <w:t>3. punkts nosaka:</w:t>
      </w:r>
    </w:p>
    <w:p w14:paraId="459F23F8" w14:textId="521DBC25" w:rsidR="003E6EAD" w:rsidRDefault="009A4556">
      <w:pPr>
        <w:spacing w:before="120" w:after="120" w:line="240" w:lineRule="auto"/>
        <w:ind w:firstLine="567"/>
        <w:jc w:val="both"/>
      </w:pPr>
      <w:r>
        <w:rPr>
          <w:rFonts w:ascii="Cambria" w:hAnsi="Cambria"/>
          <w:i/>
          <w:sz w:val="24"/>
          <w:szCs w:val="24"/>
        </w:rPr>
        <w:t>,,</w:t>
      </w:r>
      <w:r w:rsidR="003A4514">
        <w:rPr>
          <w:rFonts w:ascii="Cambria" w:hAnsi="Cambria" w:cs="Arial"/>
          <w:i/>
          <w:iCs/>
          <w:sz w:val="24"/>
          <w:szCs w:val="24"/>
          <w:shd w:val="clear" w:color="auto" w:fill="FFFFFF"/>
        </w:rPr>
        <w:t>Klimata un enerģētikas ministrijai sadarbībā ar šā rīkojuma </w:t>
      </w:r>
      <w:hyperlink r:id="rId10" w:anchor="p2" w:history="1">
        <w:r w:rsidR="003A4514">
          <w:rPr>
            <w:rFonts w:ascii="Cambria" w:hAnsi="Cambria" w:cs="Arial"/>
            <w:i/>
            <w:iCs/>
            <w:sz w:val="24"/>
            <w:szCs w:val="24"/>
            <w:u w:val="single"/>
            <w:shd w:val="clear" w:color="auto" w:fill="FFFFFF"/>
          </w:rPr>
          <w:t>2. punktā</w:t>
        </w:r>
      </w:hyperlink>
      <w:r w:rsidR="003A4514">
        <w:rPr>
          <w:rFonts w:ascii="Cambria" w:hAnsi="Cambria" w:cs="Arial"/>
          <w:i/>
          <w:iCs/>
          <w:sz w:val="24"/>
          <w:szCs w:val="24"/>
          <w:shd w:val="clear" w:color="auto" w:fill="FFFFFF"/>
        </w:rPr>
        <w:t> noteiktajām atbildīgajām ministrijām, izstrādājot informatīvo ziņojumu "Par siltumnīcefekta gāzu emisiju samazināšanas un oglekļa dioksīda piesaistes saistību izpildi", sagatavot priekšlikumus par izmaksu efektīviem pasākumiem tajās nozarēs, kurās ir identificējami riski siltumnīcefekta gāzu emisiju samazināšanai noteikto mērķa vērtību sasniegšanā.</w:t>
      </w:r>
      <w:r>
        <w:rPr>
          <w:rFonts w:ascii="Cambria" w:hAnsi="Cambria" w:cs="Arial"/>
          <w:i/>
          <w:iCs/>
          <w:sz w:val="24"/>
          <w:szCs w:val="24"/>
          <w:shd w:val="clear" w:color="auto" w:fill="FFFFFF"/>
        </w:rPr>
        <w:t>”</w:t>
      </w:r>
    </w:p>
    <w:bookmarkEnd w:id="9"/>
    <w:p w14:paraId="0533B46B" w14:textId="0E231107" w:rsidR="003E6EAD" w:rsidRDefault="003A4514">
      <w:pPr>
        <w:spacing w:before="120" w:after="120" w:line="240" w:lineRule="auto"/>
        <w:ind w:firstLine="567"/>
        <w:jc w:val="both"/>
      </w:pPr>
      <w:r>
        <w:rPr>
          <w:rFonts w:ascii="Cambria" w:hAnsi="Cambria"/>
          <w:sz w:val="24"/>
          <w:szCs w:val="24"/>
        </w:rPr>
        <w:t>Informatīvajā ziņojumā ir iekļauta informācija par</w:t>
      </w:r>
      <w:r w:rsidR="000C090C">
        <w:rPr>
          <w:rFonts w:ascii="Cambria" w:hAnsi="Cambria"/>
          <w:sz w:val="24"/>
          <w:szCs w:val="24"/>
        </w:rPr>
        <w:t xml:space="preserve"> </w:t>
      </w:r>
      <w:r>
        <w:rPr>
          <w:rFonts w:ascii="Cambria" w:hAnsi="Cambria"/>
          <w:sz w:val="24"/>
          <w:szCs w:val="24"/>
        </w:rPr>
        <w:t>SEG mērķ</w:t>
      </w:r>
      <w:r w:rsidR="008A181E">
        <w:rPr>
          <w:rFonts w:ascii="Cambria" w:hAnsi="Cambria"/>
          <w:sz w:val="24"/>
          <w:szCs w:val="24"/>
        </w:rPr>
        <w:t>u</w:t>
      </w:r>
      <w:r>
        <w:rPr>
          <w:rFonts w:ascii="Cambria" w:hAnsi="Cambria"/>
          <w:sz w:val="24"/>
          <w:szCs w:val="24"/>
        </w:rPr>
        <w:t xml:space="preserve"> izpildes novērtējumu līdz 2050. gadam. Informācija sagatavota, balstoties uz 2024. gada Latvijas SEG inventarizāciju no 1990. līdz 2022. gadam, aptuveno SEG inventarizāciju par 2023. gadu, 2024. gada atjaunināto 2023. gada integrēto ziņojumu par </w:t>
      </w:r>
      <w:r w:rsidR="00812A8C">
        <w:rPr>
          <w:rFonts w:ascii="Cambria" w:hAnsi="Cambria"/>
          <w:sz w:val="24"/>
          <w:szCs w:val="24"/>
        </w:rPr>
        <w:t>rīcīb</w:t>
      </w:r>
      <w:r>
        <w:rPr>
          <w:rFonts w:ascii="Cambria" w:hAnsi="Cambria"/>
          <w:sz w:val="24"/>
          <w:szCs w:val="24"/>
        </w:rPr>
        <w:t xml:space="preserve">politikām, pasākumiem un </w:t>
      </w:r>
      <w:r>
        <w:rPr>
          <w:rFonts w:ascii="Cambria" w:hAnsi="Cambria"/>
          <w:sz w:val="24"/>
          <w:szCs w:val="24"/>
        </w:rPr>
        <w:lastRenderedPageBreak/>
        <w:t>SEG prognozēm</w:t>
      </w:r>
      <w:r>
        <w:rPr>
          <w:rStyle w:val="FootnoteReference"/>
          <w:rFonts w:ascii="Cambria" w:hAnsi="Cambria"/>
          <w:sz w:val="24"/>
          <w:szCs w:val="24"/>
        </w:rPr>
        <w:footnoteReference w:id="4"/>
      </w:r>
      <w:r>
        <w:rPr>
          <w:rFonts w:ascii="Cambria" w:hAnsi="Cambria"/>
          <w:sz w:val="24"/>
          <w:szCs w:val="24"/>
        </w:rPr>
        <w:t xml:space="preserve"> un </w:t>
      </w:r>
      <w:r w:rsidR="009A4556">
        <w:rPr>
          <w:rFonts w:ascii="Cambria" w:hAnsi="Cambria"/>
          <w:sz w:val="24"/>
          <w:szCs w:val="24"/>
        </w:rPr>
        <w:t>A</w:t>
      </w:r>
      <w:r>
        <w:rPr>
          <w:rFonts w:ascii="Cambria" w:hAnsi="Cambria"/>
          <w:sz w:val="24"/>
          <w:szCs w:val="24"/>
        </w:rPr>
        <w:t xml:space="preserve">ktualizēto Nacionālo enerģētikas un klimata plānu 2021.–2030. gadam </w:t>
      </w:r>
      <w:r w:rsidR="003A2C20">
        <w:rPr>
          <w:rFonts w:ascii="Cambria" w:hAnsi="Cambria"/>
          <w:sz w:val="24"/>
          <w:szCs w:val="24"/>
        </w:rPr>
        <w:t xml:space="preserve">(apstiprināts ar </w:t>
      </w:r>
      <w:r w:rsidR="00C1513D">
        <w:rPr>
          <w:rFonts w:ascii="Cambria" w:hAnsi="Cambria"/>
          <w:sz w:val="24"/>
          <w:szCs w:val="24"/>
        </w:rPr>
        <w:t>R</w:t>
      </w:r>
      <w:r>
        <w:rPr>
          <w:rFonts w:ascii="Cambria" w:hAnsi="Cambria"/>
          <w:sz w:val="24"/>
          <w:szCs w:val="24"/>
        </w:rPr>
        <w:t>īkojum</w:t>
      </w:r>
      <w:r w:rsidR="00DA6354">
        <w:rPr>
          <w:rFonts w:ascii="Cambria" w:hAnsi="Cambria"/>
          <w:sz w:val="24"/>
          <w:szCs w:val="24"/>
        </w:rPr>
        <w:t>u</w:t>
      </w:r>
      <w:r w:rsidR="00501BE0">
        <w:rPr>
          <w:rFonts w:ascii="Cambria" w:hAnsi="Cambria"/>
          <w:sz w:val="24"/>
          <w:szCs w:val="24"/>
        </w:rPr>
        <w:t xml:space="preserve"> </w:t>
      </w:r>
      <w:r>
        <w:rPr>
          <w:rFonts w:ascii="Cambria" w:hAnsi="Cambria"/>
          <w:sz w:val="24"/>
          <w:szCs w:val="24"/>
        </w:rPr>
        <w:t xml:space="preserve">Nr. 573). </w:t>
      </w:r>
    </w:p>
    <w:p w14:paraId="2B9D1FC0" w14:textId="796E6783"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Papildus </w:t>
      </w:r>
      <w:r w:rsidR="00CC5D88">
        <w:rPr>
          <w:rFonts w:ascii="Cambria" w:hAnsi="Cambria"/>
          <w:sz w:val="24"/>
          <w:szCs w:val="24"/>
        </w:rPr>
        <w:t>I</w:t>
      </w:r>
      <w:r w:rsidRPr="5B9FE7F0">
        <w:rPr>
          <w:rFonts w:ascii="Cambria" w:hAnsi="Cambria"/>
          <w:sz w:val="24"/>
          <w:szCs w:val="24"/>
        </w:rPr>
        <w:t xml:space="preserve">nformatīvajā ziņojumā iekļauta informācija par Latvijas iespējām veikt darījumus ar valsts īpašumā esošajām emisijas vienībām, tostarp, nepieciešamību izmantot elastību iespējas, emisijas vienību tirgus attīstību, kā arī par nepieciešamību uzsākt sarunas ar potenciālajiem darījumu partneriem par iespējamo sadarbību saistībā ar emisijas vienību tirdzniecību, identificējot potenciāli nepieciešamo finansējuma apmēru un iespējamos avotus, ja attiecināms, kā noteikts </w:t>
      </w:r>
      <w:r w:rsidR="00E47601">
        <w:rPr>
          <w:rFonts w:ascii="Cambria" w:hAnsi="Cambria"/>
          <w:sz w:val="24"/>
          <w:szCs w:val="24"/>
        </w:rPr>
        <w:t>MK</w:t>
      </w:r>
      <w:r w:rsidRPr="5B9FE7F0">
        <w:rPr>
          <w:rFonts w:ascii="Cambria" w:hAnsi="Cambria"/>
          <w:sz w:val="24"/>
          <w:szCs w:val="24"/>
        </w:rPr>
        <w:t xml:space="preserve"> </w:t>
      </w:r>
      <w:r w:rsidR="003A2C20" w:rsidRPr="5B9FE7F0">
        <w:rPr>
          <w:rFonts w:ascii="Cambria" w:hAnsi="Cambria"/>
          <w:sz w:val="24"/>
          <w:szCs w:val="24"/>
        </w:rPr>
        <w:t xml:space="preserve">2024. gada 9. janvāra </w:t>
      </w:r>
      <w:r w:rsidRPr="5B9FE7F0">
        <w:rPr>
          <w:rFonts w:ascii="Cambria" w:hAnsi="Cambria"/>
          <w:sz w:val="24"/>
          <w:szCs w:val="24"/>
        </w:rPr>
        <w:t>sēdē (protokollēmuma Nr. 1 74.§ 2. punkts)</w:t>
      </w:r>
      <w:r w:rsidR="00CE24F4">
        <w:rPr>
          <w:rStyle w:val="FootnoteReference"/>
          <w:rFonts w:ascii="Cambria" w:hAnsi="Cambria"/>
          <w:sz w:val="24"/>
          <w:szCs w:val="24"/>
        </w:rPr>
        <w:footnoteReference w:id="5"/>
      </w:r>
      <w:r w:rsidRPr="5B9FE7F0">
        <w:rPr>
          <w:rFonts w:ascii="Cambria" w:hAnsi="Cambria"/>
          <w:sz w:val="24"/>
          <w:szCs w:val="24"/>
        </w:rPr>
        <w:t xml:space="preserve">. </w:t>
      </w:r>
    </w:p>
    <w:p w14:paraId="45D7C90A" w14:textId="492A59A5" w:rsidR="003E6EAD" w:rsidRDefault="003A4514">
      <w:pPr>
        <w:pStyle w:val="Heading2"/>
        <w:pageBreakBefore/>
        <w:numPr>
          <w:ilvl w:val="0"/>
          <w:numId w:val="3"/>
        </w:numPr>
        <w:ind w:left="426" w:hanging="426"/>
      </w:pPr>
      <w:bookmarkStart w:id="11" w:name="_Toc185319486"/>
      <w:bookmarkStart w:id="12" w:name="_Toc190952413"/>
      <w:r>
        <w:rPr>
          <w:rFonts w:ascii="Cambria" w:eastAsia="Yu Gothic" w:hAnsi="Cambria" w:cs="Arial"/>
          <w:b/>
          <w:bCs/>
          <w:color w:val="155452"/>
          <w:sz w:val="28"/>
          <w:szCs w:val="28"/>
        </w:rPr>
        <w:lastRenderedPageBreak/>
        <w:t>LATVIJAS SEG MĒRĶI</w:t>
      </w:r>
      <w:bookmarkEnd w:id="11"/>
      <w:r w:rsidR="002F6A02">
        <w:rPr>
          <w:rFonts w:ascii="Cambria" w:eastAsia="Yu Gothic" w:hAnsi="Cambria" w:cs="Arial"/>
          <w:b/>
          <w:bCs/>
          <w:color w:val="155452"/>
          <w:sz w:val="28"/>
          <w:szCs w:val="28"/>
        </w:rPr>
        <w:t xml:space="preserve"> </w:t>
      </w:r>
      <w:r w:rsidR="00B17544">
        <w:rPr>
          <w:rFonts w:ascii="Cambria" w:eastAsia="Yu Gothic" w:hAnsi="Cambria" w:cs="Arial"/>
          <w:b/>
          <w:bCs/>
          <w:color w:val="155452"/>
          <w:sz w:val="28"/>
          <w:szCs w:val="28"/>
        </w:rPr>
        <w:t>UN TO IZPILDES NOVĒRTĒŠANAS METODIKA</w:t>
      </w:r>
      <w:bookmarkEnd w:id="12"/>
    </w:p>
    <w:p w14:paraId="770C5129" w14:textId="45FBF1D9" w:rsidR="00BE2670" w:rsidRDefault="00BE2670" w:rsidP="00BE2670">
      <w:pPr>
        <w:pStyle w:val="Heading2"/>
        <w:numPr>
          <w:ilvl w:val="1"/>
          <w:numId w:val="20"/>
        </w:numPr>
        <w:rPr>
          <w:rFonts w:ascii="Cambria" w:eastAsia="Yu Gothic" w:hAnsi="Cambria" w:cs="Arial"/>
          <w:b/>
          <w:bCs/>
          <w:color w:val="155452"/>
          <w:sz w:val="24"/>
          <w:szCs w:val="24"/>
        </w:rPr>
      </w:pPr>
      <w:bookmarkStart w:id="13" w:name="_Toc190952414"/>
      <w:bookmarkStart w:id="14" w:name="_Toc185319487"/>
      <w:r>
        <w:rPr>
          <w:rFonts w:ascii="Cambria" w:eastAsia="Yu Gothic" w:hAnsi="Cambria" w:cs="Arial"/>
          <w:b/>
          <w:bCs/>
          <w:color w:val="155452"/>
          <w:sz w:val="24"/>
          <w:szCs w:val="24"/>
        </w:rPr>
        <w:t>Latvijas SEG mērķi</w:t>
      </w:r>
      <w:bookmarkEnd w:id="13"/>
    </w:p>
    <w:p w14:paraId="2C7CE3B8" w14:textId="2E9284C3" w:rsidR="003E6EAD" w:rsidRPr="00930A62" w:rsidRDefault="00BE2670" w:rsidP="00CD2DA1">
      <w:pPr>
        <w:rPr>
          <w:rFonts w:ascii="Cambria" w:hAnsi="Cambria"/>
          <w:b/>
          <w:bCs/>
          <w:i/>
          <w:iCs/>
          <w:color w:val="074F6A" w:themeColor="accent4" w:themeShade="80"/>
          <w:sz w:val="24"/>
          <w:szCs w:val="24"/>
        </w:rPr>
      </w:pPr>
      <w:r w:rsidRPr="00930A62">
        <w:rPr>
          <w:rFonts w:ascii="Cambria" w:hAnsi="Cambria"/>
          <w:b/>
          <w:bCs/>
          <w:i/>
          <w:iCs/>
          <w:color w:val="074F6A" w:themeColor="accent4" w:themeShade="80"/>
          <w:sz w:val="24"/>
          <w:szCs w:val="24"/>
        </w:rPr>
        <w:t>S</w:t>
      </w:r>
      <w:r w:rsidR="003A4514" w:rsidRPr="00930A62">
        <w:rPr>
          <w:rFonts w:ascii="Cambria" w:hAnsi="Cambria"/>
          <w:b/>
          <w:bCs/>
          <w:i/>
          <w:iCs/>
          <w:color w:val="074F6A" w:themeColor="accent4" w:themeShade="80"/>
          <w:sz w:val="24"/>
          <w:szCs w:val="24"/>
        </w:rPr>
        <w:t>tarptautiskā klimata politika 2021. - 2050. gada periodam</w:t>
      </w:r>
      <w:bookmarkEnd w:id="14"/>
    </w:p>
    <w:p w14:paraId="53EC5556" w14:textId="73F8841D" w:rsidR="00B17544" w:rsidRDefault="00B17544" w:rsidP="00B17544">
      <w:pPr>
        <w:spacing w:before="120" w:after="120" w:line="240" w:lineRule="auto"/>
        <w:ind w:firstLine="567"/>
        <w:jc w:val="both"/>
      </w:pPr>
      <w:r>
        <w:rPr>
          <w:rFonts w:ascii="Cambria" w:eastAsia="Times New Roman" w:hAnsi="Cambria"/>
          <w:sz w:val="24"/>
          <w:szCs w:val="24"/>
        </w:rPr>
        <w:t xml:space="preserve">Latvija ir pilntiesīga </w:t>
      </w:r>
      <w:r>
        <w:rPr>
          <w:rFonts w:ascii="Cambria" w:hAnsi="Cambria"/>
          <w:sz w:val="24"/>
          <w:szCs w:val="24"/>
        </w:rPr>
        <w:t>Klimata konvencija</w:t>
      </w:r>
      <w:r w:rsidR="00E423A7">
        <w:rPr>
          <w:rFonts w:ascii="Cambria" w:hAnsi="Cambria"/>
          <w:sz w:val="24"/>
          <w:szCs w:val="24"/>
        </w:rPr>
        <w:t>s</w:t>
      </w:r>
      <w:r>
        <w:rPr>
          <w:rFonts w:ascii="Cambria" w:hAnsi="Cambria"/>
          <w:sz w:val="24"/>
          <w:szCs w:val="24"/>
        </w:rPr>
        <w:t xml:space="preserve"> un</w:t>
      </w:r>
      <w:r w:rsidR="00E423A7">
        <w:rPr>
          <w:rFonts w:ascii="Cambria" w:hAnsi="Cambria"/>
          <w:sz w:val="24"/>
          <w:szCs w:val="24"/>
        </w:rPr>
        <w:t xml:space="preserve"> tās</w:t>
      </w:r>
      <w:r>
        <w:rPr>
          <w:rFonts w:ascii="Cambria" w:hAnsi="Cambria"/>
          <w:sz w:val="24"/>
          <w:szCs w:val="24"/>
        </w:rPr>
        <w:t xml:space="preserve"> ietvaros noslēgtā Parīzes nolīguma Puse. Vienlaikus Latvija ir </w:t>
      </w:r>
      <w:r>
        <w:rPr>
          <w:rFonts w:ascii="Cambria" w:eastAsia="Times New Roman" w:hAnsi="Cambria"/>
          <w:sz w:val="24"/>
          <w:szCs w:val="24"/>
        </w:rPr>
        <w:t xml:space="preserve">ES dalībvalsts. Tādējādi Latvijas SEG mērķi ir cieši saistīti ar starptautisko klimata politiku un ES SEG emisiju samazināšanas mērķiem. </w:t>
      </w:r>
    </w:p>
    <w:p w14:paraId="4E38CB68" w14:textId="77777777" w:rsidR="003E6EAD" w:rsidRDefault="003A4514">
      <w:pPr>
        <w:spacing w:before="120" w:after="120" w:line="240" w:lineRule="auto"/>
        <w:ind w:firstLine="567"/>
        <w:jc w:val="both"/>
        <w:rPr>
          <w:rFonts w:ascii="Cambria" w:eastAsia="Times New Roman" w:hAnsi="Cambria"/>
          <w:sz w:val="24"/>
          <w:szCs w:val="24"/>
        </w:rPr>
      </w:pPr>
      <w:r>
        <w:rPr>
          <w:rFonts w:ascii="Cambria" w:eastAsia="Times New Roman" w:hAnsi="Cambria"/>
          <w:sz w:val="24"/>
          <w:szCs w:val="24"/>
        </w:rPr>
        <w:t xml:space="preserve">Kopējais Klimata konvencijas mērķis ir sasniegt SEG koncentrācijas stabilizāciju atmosfērā tādā līmenī, kas novērstu bīstamu antropogēnu iejaukšanos klimata sistēmā, tādējādi ierobežojot globālo sasilšanu. </w:t>
      </w:r>
    </w:p>
    <w:p w14:paraId="73E04326" w14:textId="41A9A0BC"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Parīzes nolīguma mērķis ir stiprināt globālo rīcību klimata pārmaiņu novēršanai un noturēt globālo sasilšanu būtiski zem 2°C pieauguma robežas salīdzinot ar pirmsindustriālo līmeni un censties ierobežot temperatūras pieaugumu 1,5°C robežās</w:t>
      </w:r>
      <w:r w:rsidRPr="5B9FE7F0">
        <w:rPr>
          <w:rStyle w:val="FootnoteReference"/>
          <w:rFonts w:ascii="Cambria" w:eastAsia="Times New Roman" w:hAnsi="Cambria"/>
          <w:sz w:val="24"/>
          <w:szCs w:val="24"/>
        </w:rPr>
        <w:footnoteReference w:id="6"/>
      </w:r>
      <w:r w:rsidRPr="5B9FE7F0">
        <w:rPr>
          <w:rFonts w:ascii="Cambria" w:eastAsia="Times New Roman" w:hAnsi="Cambria"/>
          <w:sz w:val="24"/>
          <w:szCs w:val="24"/>
        </w:rPr>
        <w:t>, tādejādi samazinot klimata pārmaiņu izraisītos riskus un ietekm</w:t>
      </w:r>
      <w:r w:rsidR="00DF2EF1">
        <w:rPr>
          <w:rFonts w:ascii="Cambria" w:eastAsia="Times New Roman" w:hAnsi="Cambria"/>
          <w:sz w:val="24"/>
          <w:szCs w:val="24"/>
        </w:rPr>
        <w:t>i</w:t>
      </w:r>
      <w:r w:rsidRPr="5B9FE7F0">
        <w:rPr>
          <w:rFonts w:ascii="Cambria" w:eastAsia="Times New Roman" w:hAnsi="Cambria"/>
          <w:sz w:val="24"/>
          <w:szCs w:val="24"/>
        </w:rPr>
        <w:t xml:space="preserve">. </w:t>
      </w:r>
      <w:bookmarkStart w:id="15" w:name="_Hlk119960344"/>
      <w:r w:rsidRPr="5B9FE7F0">
        <w:rPr>
          <w:rFonts w:ascii="Cambria" w:eastAsia="Times New Roman" w:hAnsi="Cambria"/>
          <w:sz w:val="24"/>
          <w:szCs w:val="24"/>
        </w:rPr>
        <w:t>Parīzes nolīgums ir pagrieziena punkts daudzpusējā klimata pārmaiņu procesā, jo pirmo reizi saistošs nolīgums apvieno visas valstis, lai cīnītos pret klimata pārmaiņām un pielāgotos to sekām. Parīzes nolīgums paredz sekmēt arī investīciju novirzīšanu oglekļa mazietilpīgai un klimatnoturīgai attīstībai.</w:t>
      </w:r>
      <w:r w:rsidRPr="5B9FE7F0">
        <w:rPr>
          <w:rFonts w:ascii="Cambria" w:hAnsi="Cambria"/>
        </w:rPr>
        <w:t xml:space="preserve"> </w:t>
      </w:r>
      <w:r w:rsidRPr="5B9FE7F0">
        <w:rPr>
          <w:rFonts w:ascii="Cambria" w:eastAsia="Times New Roman" w:hAnsi="Cambria"/>
          <w:sz w:val="24"/>
          <w:szCs w:val="24"/>
        </w:rPr>
        <w:t>Parīzes nolīguma īstenošanai nepieciešama ekonomiska un sociāla pārveide, kuras pamatā ir labākā pieejamā zinātne.</w:t>
      </w:r>
      <w:r w:rsidRPr="5B9FE7F0">
        <w:rPr>
          <w:rFonts w:ascii="Cambria" w:hAnsi="Cambria"/>
        </w:rPr>
        <w:t xml:space="preserve"> </w:t>
      </w:r>
      <w:r w:rsidRPr="5B9FE7F0">
        <w:rPr>
          <w:rFonts w:ascii="Cambria" w:eastAsia="Times New Roman" w:hAnsi="Cambria"/>
          <w:sz w:val="24"/>
          <w:szCs w:val="24"/>
        </w:rPr>
        <w:t>Parīzes nolīgums darbojas piecu gadu ciklā, kurā valstis veic arvien vērienīgākas klimata darbības vai, pastiprin</w:t>
      </w:r>
      <w:r w:rsidR="00E94DFA">
        <w:rPr>
          <w:rFonts w:ascii="Cambria" w:eastAsia="Times New Roman" w:hAnsi="Cambria"/>
          <w:sz w:val="24"/>
          <w:szCs w:val="24"/>
        </w:rPr>
        <w:t>a</w:t>
      </w:r>
      <w:r w:rsidRPr="5B9FE7F0">
        <w:rPr>
          <w:rFonts w:ascii="Cambria" w:eastAsia="Times New Roman" w:hAnsi="Cambria"/>
          <w:sz w:val="24"/>
          <w:szCs w:val="24"/>
        </w:rPr>
        <w:t xml:space="preserve">, tās. Kopš 2020. gada valstis ir iesniegušas Klimata konvencijas sekretariātam savus nacionālos klimata rīcības plānus, kas pazīstami kā valsts noteiktie ieguldījumi/devumi </w:t>
      </w:r>
      <w:r w:rsidR="00465A48">
        <w:rPr>
          <w:rFonts w:ascii="Cambria" w:eastAsia="Times New Roman" w:hAnsi="Cambria"/>
          <w:sz w:val="24"/>
          <w:szCs w:val="24"/>
        </w:rPr>
        <w:t>(</w:t>
      </w:r>
      <w:r w:rsidRPr="5B9FE7F0">
        <w:rPr>
          <w:rFonts w:ascii="Cambria" w:eastAsia="Times New Roman" w:hAnsi="Cambria"/>
          <w:i/>
          <w:iCs/>
          <w:sz w:val="24"/>
          <w:szCs w:val="24"/>
        </w:rPr>
        <w:t>NDC</w:t>
      </w:r>
      <w:r w:rsidRPr="5B9FE7F0">
        <w:rPr>
          <w:rFonts w:ascii="Cambria" w:eastAsia="Times New Roman" w:hAnsi="Cambria"/>
          <w:sz w:val="24"/>
          <w:szCs w:val="24"/>
        </w:rPr>
        <w:t>)</w:t>
      </w:r>
      <w:r w:rsidRPr="5B9FE7F0">
        <w:rPr>
          <w:rStyle w:val="FootnoteReference"/>
          <w:rFonts w:ascii="Cambria" w:eastAsia="Times New Roman" w:hAnsi="Cambria"/>
          <w:sz w:val="24"/>
          <w:szCs w:val="24"/>
        </w:rPr>
        <w:footnoteReference w:id="7"/>
      </w:r>
      <w:r w:rsidRPr="5B9FE7F0">
        <w:rPr>
          <w:rFonts w:ascii="Cambria" w:eastAsia="Times New Roman" w:hAnsi="Cambria"/>
          <w:sz w:val="24"/>
          <w:szCs w:val="24"/>
        </w:rPr>
        <w:t xml:space="preserve">. Katrs nākamais </w:t>
      </w:r>
      <w:r w:rsidRPr="5B9FE7F0">
        <w:rPr>
          <w:rFonts w:ascii="Cambria" w:eastAsia="Times New Roman" w:hAnsi="Cambria"/>
          <w:i/>
          <w:iCs/>
          <w:sz w:val="24"/>
          <w:szCs w:val="24"/>
        </w:rPr>
        <w:t>NDC</w:t>
      </w:r>
      <w:r w:rsidRPr="5B9FE7F0">
        <w:rPr>
          <w:rFonts w:ascii="Cambria" w:eastAsia="Times New Roman" w:hAnsi="Cambria"/>
          <w:sz w:val="24"/>
          <w:szCs w:val="24"/>
        </w:rPr>
        <w:t xml:space="preserve"> ir paredzēts, lai atspoguļotu arvien lielāku ambīciju līmeni salīdzinājumā ar iepriekšējo versiju. Latvijas pienākumi </w:t>
      </w:r>
      <w:bookmarkEnd w:id="15"/>
      <w:r w:rsidRPr="5B9FE7F0">
        <w:rPr>
          <w:rFonts w:ascii="Cambria" w:eastAsia="Times New Roman" w:hAnsi="Cambria"/>
          <w:sz w:val="24"/>
          <w:szCs w:val="24"/>
        </w:rPr>
        <w:t xml:space="preserve">Parīzes nolīguma kontekstā noteic īstenot saistības ES </w:t>
      </w:r>
      <w:r w:rsidRPr="5B9FE7F0">
        <w:rPr>
          <w:rFonts w:ascii="Cambria" w:eastAsia="Times New Roman" w:hAnsi="Cambria"/>
          <w:i/>
          <w:iCs/>
          <w:sz w:val="24"/>
          <w:szCs w:val="24"/>
        </w:rPr>
        <w:t>NDC</w:t>
      </w:r>
      <w:r w:rsidRPr="5B9FE7F0">
        <w:rPr>
          <w:rFonts w:ascii="Cambria" w:eastAsia="Times New Roman" w:hAnsi="Cambria"/>
          <w:sz w:val="24"/>
          <w:szCs w:val="24"/>
        </w:rPr>
        <w:t xml:space="preserve"> ietvaros, kas paredz ES dalībvalstu kopīgo apņemšanos samazināt SEG emisijas ietverot ZIZIMM sektoru līdz 2030. gadam salīdzinājumā ar 1990. gadu vismaz par 55%. </w:t>
      </w:r>
    </w:p>
    <w:p w14:paraId="7D7CF7FF" w14:textId="567D947F"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Saskaņā ar Parīzes nolīguma 4. panta 19. punktu un Parīzes nolīguma pavadošā lēmuma 1/CP.21</w:t>
      </w:r>
      <w:r w:rsidRPr="5B9FE7F0">
        <w:rPr>
          <w:rStyle w:val="FootnoteReference"/>
          <w:rFonts w:ascii="Cambria" w:eastAsia="Times New Roman" w:hAnsi="Cambria"/>
          <w:sz w:val="24"/>
          <w:szCs w:val="24"/>
        </w:rPr>
        <w:footnoteReference w:id="8"/>
      </w:r>
      <w:r w:rsidRPr="5B9FE7F0">
        <w:rPr>
          <w:rFonts w:ascii="Cambria" w:eastAsia="Times New Roman" w:hAnsi="Cambria"/>
          <w:sz w:val="24"/>
          <w:szCs w:val="24"/>
        </w:rPr>
        <w:t xml:space="preserve"> 35. punktu valstīm ir jāsagatavo un jāiesniedz ilgtermiņa zemu SEG emisiju attīstības stratēģijas. Papildus, lai nodrošinātu šo saistību izpildi, Regulas 2018/1999 15. pants nosaka ES dalībvalstīm iesniegt Eiropas Komisijai EK savas ilgtermiņa stratēģijas 30 gadu perspektīvā, nodrošinot, ka stratēģija ir saderīga ar Eiropas Parlamenta un Padomes 2021. gada 30.jūnija Regulas (ES) 2021/1119 ar ko izveido klimatneitralitātes panākšanas satvaru un groza Regulas (EK) Nr. 401/2009 un (ES) 2018/1999 (“Eiropas Klimata akts”)</w:t>
      </w:r>
      <w:r w:rsidRPr="5B9FE7F0">
        <w:rPr>
          <w:rStyle w:val="FootnoteReference"/>
          <w:rFonts w:ascii="Cambria" w:eastAsia="Times New Roman" w:hAnsi="Cambria"/>
          <w:sz w:val="24"/>
          <w:szCs w:val="24"/>
        </w:rPr>
        <w:footnoteReference w:id="9"/>
      </w:r>
      <w:r w:rsidRPr="5B9FE7F0">
        <w:rPr>
          <w:rFonts w:ascii="Cambria" w:eastAsia="Times New Roman" w:hAnsi="Cambria"/>
          <w:sz w:val="24"/>
          <w:szCs w:val="24"/>
        </w:rPr>
        <w:t xml:space="preserve"> (turpmāk - Eiropas klimata likums) 2. panta 1. punktā noteikto Eiropas Savienības klimatneitralitātes mērķi 2050. gadā.</w:t>
      </w:r>
    </w:p>
    <w:p w14:paraId="3E42E0C1" w14:textId="4B5347BE"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Pamatojoties uz MK 2020. gada 28. janvārī pieņemto</w:t>
      </w:r>
      <w:r w:rsidRPr="00501BE0">
        <w:rPr>
          <w:rFonts w:ascii="Cambria" w:hAnsi="Cambria"/>
          <w:sz w:val="24"/>
        </w:rPr>
        <w:t xml:space="preserve"> </w:t>
      </w:r>
      <w:r w:rsidR="0016363C">
        <w:rPr>
          <w:rFonts w:ascii="Cambria" w:eastAsia="Times New Roman" w:hAnsi="Cambria"/>
          <w:sz w:val="24"/>
          <w:szCs w:val="24"/>
        </w:rPr>
        <w:t>informatīvo ziņojumu</w:t>
      </w:r>
      <w:r w:rsidRPr="5B9FE7F0">
        <w:rPr>
          <w:rFonts w:ascii="Cambria" w:hAnsi="Cambria"/>
        </w:rPr>
        <w:t xml:space="preserve"> </w:t>
      </w:r>
      <w:r w:rsidR="0016363C">
        <w:rPr>
          <w:rFonts w:ascii="Cambria" w:hAnsi="Cambria"/>
        </w:rPr>
        <w:t>“</w:t>
      </w:r>
      <w:r w:rsidRPr="5B9FE7F0">
        <w:rPr>
          <w:rFonts w:ascii="Cambria" w:eastAsia="Times New Roman" w:hAnsi="Cambria"/>
          <w:sz w:val="24"/>
          <w:szCs w:val="24"/>
        </w:rPr>
        <w:t>Latvijas stratēģij</w:t>
      </w:r>
      <w:r w:rsidR="0016363C">
        <w:rPr>
          <w:rFonts w:ascii="Cambria" w:eastAsia="Times New Roman" w:hAnsi="Cambria"/>
          <w:sz w:val="24"/>
          <w:szCs w:val="24"/>
        </w:rPr>
        <w:t>a</w:t>
      </w:r>
      <w:r w:rsidRPr="5B9FE7F0">
        <w:rPr>
          <w:rFonts w:ascii="Cambria" w:eastAsia="Times New Roman" w:hAnsi="Cambria"/>
          <w:sz w:val="24"/>
          <w:szCs w:val="24"/>
        </w:rPr>
        <w:t xml:space="preserve"> klimatneitralitātes sasniegšanai līdz 2050. gadam</w:t>
      </w:r>
      <w:r w:rsidR="0016363C">
        <w:rPr>
          <w:rFonts w:ascii="Cambria" w:eastAsia="Times New Roman" w:hAnsi="Cambria"/>
          <w:sz w:val="24"/>
          <w:szCs w:val="24"/>
        </w:rPr>
        <w:t>”</w:t>
      </w:r>
      <w:r w:rsidR="00415356">
        <w:rPr>
          <w:rFonts w:ascii="Cambria" w:eastAsia="Times New Roman" w:hAnsi="Cambria"/>
          <w:sz w:val="24"/>
          <w:szCs w:val="24"/>
        </w:rPr>
        <w:t>, a</w:t>
      </w:r>
      <w:r w:rsidRPr="5B9FE7F0">
        <w:rPr>
          <w:rFonts w:ascii="Cambria" w:eastAsia="Times New Roman" w:hAnsi="Cambria"/>
          <w:sz w:val="24"/>
          <w:szCs w:val="24"/>
        </w:rPr>
        <w:t xml:space="preserve">rī Latvija ir apņēmusies sasniegt klimatneitralitāti 2050. gadā, kompensējot nesamazināmās antropogēnās SEG </w:t>
      </w:r>
      <w:r w:rsidRPr="5B9FE7F0">
        <w:rPr>
          <w:rFonts w:ascii="Cambria" w:eastAsia="Times New Roman" w:hAnsi="Cambria"/>
          <w:sz w:val="24"/>
          <w:szCs w:val="24"/>
        </w:rPr>
        <w:lastRenderedPageBreak/>
        <w:t>emisijas ar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piesaisti ZIZIMM sektorā</w:t>
      </w:r>
      <w:r w:rsidRPr="5B9FE7F0">
        <w:rPr>
          <w:rStyle w:val="FootnoteReference"/>
          <w:rFonts w:ascii="Cambria" w:eastAsia="Times New Roman" w:hAnsi="Cambria"/>
          <w:sz w:val="24"/>
          <w:szCs w:val="24"/>
        </w:rPr>
        <w:footnoteReference w:id="10"/>
      </w:r>
      <w:r w:rsidRPr="5B9FE7F0">
        <w:rPr>
          <w:rFonts w:ascii="Cambria" w:eastAsia="Times New Roman" w:hAnsi="Cambria"/>
          <w:sz w:val="24"/>
          <w:szCs w:val="24"/>
        </w:rPr>
        <w:t xml:space="preserve">. </w:t>
      </w:r>
      <w:r w:rsidR="00A9718E">
        <w:rPr>
          <w:rFonts w:ascii="Cambria" w:eastAsia="Times New Roman" w:hAnsi="Cambria"/>
          <w:sz w:val="24"/>
          <w:szCs w:val="24"/>
        </w:rPr>
        <w:t>Tas</w:t>
      </w:r>
      <w:r w:rsidRPr="5B9FE7F0">
        <w:rPr>
          <w:rFonts w:ascii="Cambria" w:eastAsia="Times New Roman" w:hAnsi="Cambria"/>
          <w:sz w:val="24"/>
          <w:szCs w:val="24"/>
        </w:rPr>
        <w:t xml:space="preserve"> ir ilgtermiņa vīzijas dokuments - ietvardokuments politikas plānotājiem, lai nodrošinātu vienotu valsts virzību, kā arī pamatotu oglekļa mazietilpīgas attīstības pamatprincipu ietveršanu visu nozaru plānošanas dokumentos. </w:t>
      </w:r>
    </w:p>
    <w:p w14:paraId="26B53457" w14:textId="77777777"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Ar Eiropas klimata likumu tika arī pārskatīts ES saistošais starpmērķis SEG neto emisiju samazinājumam (emisiju apjoms pēc piesaistes apjoma atskaitīšanas) līdz 2030. gadam, nosakot vismaz 55 % emisiju samazinājumu salīdzinājumā ar attiecīgo 1990. gada līmeni. Lai izpildītu EK paziņojumu “Eiropas zaļais kurss” un ņemtu vērā Eiropas klimata likumu, EK 2021. gada 14. jūlijā publicēja ES tiesību aktu pakotni “Gatavi mērķrādītājam 55”,</w:t>
      </w:r>
      <w:r w:rsidRPr="5B9FE7F0">
        <w:rPr>
          <w:rFonts w:ascii="Cambria" w:hAnsi="Cambria"/>
        </w:rPr>
        <w:t xml:space="preserve"> </w:t>
      </w:r>
      <w:r w:rsidRPr="5B9FE7F0">
        <w:rPr>
          <w:rFonts w:ascii="Cambria" w:eastAsia="Times New Roman" w:hAnsi="Cambria"/>
          <w:sz w:val="24"/>
          <w:szCs w:val="24"/>
        </w:rPr>
        <w:t>no kuriem svarīgākie:</w:t>
      </w:r>
    </w:p>
    <w:p w14:paraId="10A5BA7C" w14:textId="484DF608" w:rsidR="003E6EAD" w:rsidRDefault="003A4514">
      <w:pPr>
        <w:pStyle w:val="ListParagraph"/>
        <w:widowControl w:val="0"/>
        <w:numPr>
          <w:ilvl w:val="0"/>
          <w:numId w:val="4"/>
        </w:numPr>
        <w:spacing w:before="120" w:after="120" w:line="240" w:lineRule="auto"/>
        <w:jc w:val="both"/>
      </w:pPr>
      <w:r>
        <w:rPr>
          <w:rFonts w:ascii="Cambria" w:hAnsi="Cambria"/>
          <w:sz w:val="24"/>
          <w:szCs w:val="24"/>
        </w:rPr>
        <w:t>Eiropas Parlamenta un Padomes 2003. gada 13. oktobra direktīva Nr. 2003/87/EK, ar kuru nosaka sistēmu siltumnīcas efektu izraisošo gāzu emisijas kvotu tirdzniecībai Savienībā un groza Padomes Direktīvu 96/61/EK (turpmāk –</w:t>
      </w:r>
      <w:r w:rsidR="0045026B">
        <w:rPr>
          <w:rFonts w:ascii="Cambria" w:hAnsi="Cambria"/>
          <w:sz w:val="24"/>
          <w:szCs w:val="24"/>
        </w:rPr>
        <w:t xml:space="preserve"> D</w:t>
      </w:r>
      <w:r>
        <w:rPr>
          <w:rFonts w:ascii="Cambria" w:hAnsi="Cambria"/>
          <w:sz w:val="24"/>
          <w:szCs w:val="24"/>
        </w:rPr>
        <w:t>irektīva</w:t>
      </w:r>
      <w:r w:rsidR="0045026B">
        <w:rPr>
          <w:rFonts w:ascii="Cambria" w:hAnsi="Cambria"/>
          <w:sz w:val="24"/>
          <w:szCs w:val="24"/>
        </w:rPr>
        <w:t xml:space="preserve"> 2003/87</w:t>
      </w:r>
      <w:r>
        <w:rPr>
          <w:rFonts w:ascii="Cambria" w:hAnsi="Cambria"/>
          <w:sz w:val="24"/>
          <w:szCs w:val="24"/>
        </w:rPr>
        <w:t>)</w:t>
      </w:r>
      <w:r>
        <w:rPr>
          <w:rStyle w:val="FootnoteReference"/>
          <w:rFonts w:ascii="Cambria" w:hAnsi="Cambria"/>
          <w:sz w:val="24"/>
          <w:szCs w:val="24"/>
        </w:rPr>
        <w:footnoteReference w:id="11"/>
      </w:r>
      <w:r>
        <w:rPr>
          <w:rFonts w:ascii="Cambria" w:hAnsi="Cambria"/>
          <w:sz w:val="24"/>
          <w:szCs w:val="24"/>
        </w:rPr>
        <w:t>;</w:t>
      </w:r>
    </w:p>
    <w:p w14:paraId="40EFE876" w14:textId="77777777" w:rsidR="003E6EAD" w:rsidRDefault="003A4514">
      <w:pPr>
        <w:pStyle w:val="ListParagraph"/>
        <w:widowControl w:val="0"/>
        <w:numPr>
          <w:ilvl w:val="0"/>
          <w:numId w:val="4"/>
        </w:numPr>
        <w:spacing w:before="120" w:after="120" w:line="240" w:lineRule="auto"/>
        <w:jc w:val="both"/>
      </w:pPr>
      <w:r>
        <w:rPr>
          <w:rFonts w:ascii="Cambria" w:hAnsi="Cambria"/>
          <w:sz w:val="24"/>
          <w:szCs w:val="24"/>
        </w:rPr>
        <w:t>Eiropas Parlamenta un Padomes 2018. gada 30. maija regula Nr. 2018/841 par zemes izmantošanā, zemes izmantošanas maiņā un mežsaimniecībā radušos siltumnīcefekta gāzu emisiju un piesaistes iekļaušanu klimata un enerģētikas politikas satvarā laikposmam līdz 2030. gadam (turpmāk - Regula 2018/841)</w:t>
      </w:r>
      <w:r>
        <w:rPr>
          <w:rStyle w:val="FootnoteReference"/>
          <w:rFonts w:ascii="Cambria" w:hAnsi="Cambria"/>
          <w:sz w:val="24"/>
          <w:szCs w:val="24"/>
        </w:rPr>
        <w:footnoteReference w:id="12"/>
      </w:r>
      <w:r>
        <w:rPr>
          <w:rFonts w:ascii="Cambria" w:hAnsi="Cambria"/>
          <w:sz w:val="24"/>
          <w:szCs w:val="24"/>
        </w:rPr>
        <w:t>;</w:t>
      </w:r>
    </w:p>
    <w:p w14:paraId="4EB5C04C" w14:textId="77777777" w:rsidR="003E6EAD" w:rsidRDefault="003A4514">
      <w:pPr>
        <w:pStyle w:val="ListParagraph"/>
        <w:widowControl w:val="0"/>
        <w:numPr>
          <w:ilvl w:val="0"/>
          <w:numId w:val="4"/>
        </w:numPr>
        <w:spacing w:before="120" w:after="120" w:line="240" w:lineRule="auto"/>
        <w:jc w:val="both"/>
      </w:pPr>
      <w:r>
        <w:rPr>
          <w:rFonts w:ascii="Cambria" w:hAnsi="Cambria"/>
          <w:sz w:val="24"/>
          <w:szCs w:val="24"/>
        </w:rPr>
        <w:t>Eiropas Parlamenta un Padomes 2018. gada 30. maija regula Nr. 2018/842 par saistošiem ikgadējiem siltumnīcefekta gāzu emisiju samazinājumiem, kas dalībvalstīm jāpanāk no 2021. līdz 2030. gadam un kas dod ieguldījumu rīcībā klimata politikas jomā, lai izpildītu Parīzes nolīgumā paredzētās saistības</w:t>
      </w:r>
      <w:r w:rsidR="00535F45" w:rsidRPr="00535F45">
        <w:rPr>
          <w:rFonts w:ascii="Cambria" w:hAnsi="Cambria"/>
          <w:sz w:val="24"/>
          <w:szCs w:val="24"/>
        </w:rPr>
        <w:t>, un ar ko groza Regulu (ES) Nr. 525/2013</w:t>
      </w:r>
      <w:r>
        <w:rPr>
          <w:rFonts w:ascii="Cambria" w:hAnsi="Cambria"/>
          <w:sz w:val="24"/>
          <w:szCs w:val="24"/>
        </w:rPr>
        <w:t xml:space="preserve"> (turpmāk - </w:t>
      </w:r>
      <w:bookmarkStart w:id="16" w:name="_Hlk191026260"/>
      <w:r>
        <w:rPr>
          <w:rFonts w:ascii="Cambria" w:hAnsi="Cambria"/>
          <w:sz w:val="24"/>
          <w:szCs w:val="24"/>
        </w:rPr>
        <w:t>Regula 2018/842</w:t>
      </w:r>
      <w:bookmarkEnd w:id="16"/>
      <w:r>
        <w:rPr>
          <w:rFonts w:ascii="Cambria" w:hAnsi="Cambria"/>
          <w:sz w:val="24"/>
          <w:szCs w:val="24"/>
        </w:rPr>
        <w:t>)</w:t>
      </w:r>
      <w:r>
        <w:rPr>
          <w:rStyle w:val="FootnoteReference"/>
          <w:rFonts w:ascii="Cambria" w:hAnsi="Cambria"/>
          <w:sz w:val="24"/>
          <w:szCs w:val="24"/>
        </w:rPr>
        <w:footnoteReference w:id="13"/>
      </w:r>
      <w:r>
        <w:rPr>
          <w:rFonts w:ascii="Cambria" w:hAnsi="Cambria"/>
          <w:sz w:val="24"/>
          <w:szCs w:val="24"/>
        </w:rPr>
        <w:t>;</w:t>
      </w:r>
    </w:p>
    <w:p w14:paraId="2D9EFDC0" w14:textId="77777777" w:rsidR="003E6EAD" w:rsidRDefault="003A4514">
      <w:pPr>
        <w:pStyle w:val="ListParagraph"/>
        <w:widowControl w:val="0"/>
        <w:numPr>
          <w:ilvl w:val="0"/>
          <w:numId w:val="4"/>
        </w:numPr>
        <w:spacing w:before="120" w:after="120" w:line="240" w:lineRule="auto"/>
        <w:jc w:val="both"/>
      </w:pPr>
      <w:r>
        <w:rPr>
          <w:rFonts w:ascii="Cambria" w:hAnsi="Cambria"/>
          <w:sz w:val="24"/>
          <w:szCs w:val="24"/>
        </w:rPr>
        <w:t>Regula 2018/1999</w:t>
      </w:r>
      <w:r>
        <w:rPr>
          <w:rStyle w:val="FootnoteReference"/>
          <w:rFonts w:ascii="Cambria" w:hAnsi="Cambria"/>
          <w:sz w:val="24"/>
          <w:szCs w:val="24"/>
        </w:rPr>
        <w:footnoteReference w:id="14"/>
      </w:r>
      <w:r>
        <w:rPr>
          <w:rFonts w:ascii="Cambria" w:hAnsi="Cambria"/>
          <w:sz w:val="24"/>
          <w:szCs w:val="24"/>
        </w:rPr>
        <w:t>;</w:t>
      </w:r>
    </w:p>
    <w:p w14:paraId="477975EF" w14:textId="77777777" w:rsidR="003E6EAD" w:rsidRDefault="003A4514">
      <w:pPr>
        <w:pStyle w:val="ListParagraph"/>
        <w:widowControl w:val="0"/>
        <w:numPr>
          <w:ilvl w:val="0"/>
          <w:numId w:val="4"/>
        </w:numPr>
        <w:spacing w:before="120" w:after="120" w:line="240" w:lineRule="auto"/>
        <w:jc w:val="both"/>
      </w:pPr>
      <w:r>
        <w:rPr>
          <w:rFonts w:ascii="Cambria" w:eastAsia="Cambria" w:hAnsi="Cambria"/>
          <w:sz w:val="24"/>
          <w:szCs w:val="24"/>
        </w:rPr>
        <w:t>Eiropas Parlamenta un Padomes 2015. gada 29. aprīļa regula (ES) Nr. 2015/757 par jūras transporta radīto siltumnīcefekta gāzu emisiju monitoringu, ziņošanu un verifikāciju un ar ko groza Direktīvu 2009/16/EK</w:t>
      </w:r>
      <w:r>
        <w:rPr>
          <w:rStyle w:val="FootnoteReference"/>
          <w:rFonts w:ascii="Cambria" w:eastAsia="Cambria" w:hAnsi="Cambria"/>
          <w:sz w:val="24"/>
          <w:szCs w:val="24"/>
        </w:rPr>
        <w:footnoteReference w:id="15"/>
      </w:r>
      <w:r>
        <w:rPr>
          <w:rFonts w:ascii="Cambria" w:eastAsia="Cambria" w:hAnsi="Cambria"/>
          <w:sz w:val="24"/>
          <w:szCs w:val="24"/>
        </w:rPr>
        <w:t>;</w:t>
      </w:r>
    </w:p>
    <w:p w14:paraId="19AE1ABB" w14:textId="77777777" w:rsidR="003E6EAD" w:rsidRDefault="003A4514">
      <w:pPr>
        <w:pStyle w:val="ListParagraph"/>
        <w:widowControl w:val="0"/>
        <w:numPr>
          <w:ilvl w:val="0"/>
          <w:numId w:val="4"/>
        </w:numPr>
        <w:spacing w:before="120" w:after="120" w:line="240" w:lineRule="auto"/>
        <w:jc w:val="both"/>
      </w:pPr>
      <w:r>
        <w:rPr>
          <w:rFonts w:ascii="Cambria" w:hAnsi="Cambria"/>
          <w:sz w:val="24"/>
          <w:szCs w:val="24"/>
        </w:rPr>
        <w:t>Eiropas Parlamenta un Padomes 2023. gada 10. maija regula (ES) Nr. 2023/955, ar ko izveido Sociālo klimata fondu</w:t>
      </w:r>
      <w:r>
        <w:rPr>
          <w:rStyle w:val="FootnoteReference"/>
          <w:rFonts w:ascii="Cambria" w:hAnsi="Cambria"/>
          <w:sz w:val="24"/>
          <w:szCs w:val="24"/>
        </w:rPr>
        <w:footnoteReference w:id="16"/>
      </w:r>
      <w:r>
        <w:rPr>
          <w:rFonts w:ascii="Cambria" w:hAnsi="Cambria"/>
          <w:sz w:val="24"/>
          <w:szCs w:val="24"/>
        </w:rPr>
        <w:t xml:space="preserve"> ;</w:t>
      </w:r>
    </w:p>
    <w:p w14:paraId="474447A8" w14:textId="77777777" w:rsidR="003E6EAD" w:rsidRDefault="003A4514" w:rsidP="5B9FE7F0">
      <w:pPr>
        <w:pStyle w:val="ListParagraph"/>
        <w:widowControl w:val="0"/>
        <w:numPr>
          <w:ilvl w:val="0"/>
          <w:numId w:val="4"/>
        </w:numPr>
        <w:spacing w:before="120" w:after="120" w:line="240" w:lineRule="auto"/>
        <w:jc w:val="both"/>
        <w:rPr>
          <w:rFonts w:ascii="Cambria" w:hAnsi="Cambria"/>
          <w:sz w:val="24"/>
          <w:szCs w:val="24"/>
        </w:rPr>
      </w:pPr>
      <w:r w:rsidRPr="5B9FE7F0">
        <w:rPr>
          <w:rFonts w:ascii="Cambria" w:hAnsi="Cambria"/>
          <w:sz w:val="24"/>
          <w:szCs w:val="24"/>
        </w:rPr>
        <w:t xml:space="preserve">Eiropas Parlamenta un Padomes 2023. gada 10. maija regula (ES) Nr. 2023/956, ar ko izveido oglekļa ievedkorekcijas mehānismu </w:t>
      </w:r>
      <w:r w:rsidRPr="5B9FE7F0">
        <w:rPr>
          <w:rStyle w:val="FootnoteReference"/>
          <w:rFonts w:ascii="Cambria" w:hAnsi="Cambria"/>
          <w:sz w:val="24"/>
          <w:szCs w:val="24"/>
        </w:rPr>
        <w:footnoteReference w:id="17"/>
      </w:r>
      <w:r w:rsidRPr="5B9FE7F0">
        <w:rPr>
          <w:rFonts w:ascii="Cambria" w:hAnsi="Cambria"/>
          <w:sz w:val="24"/>
          <w:szCs w:val="24"/>
        </w:rPr>
        <w:t>;</w:t>
      </w:r>
    </w:p>
    <w:p w14:paraId="217DDC10" w14:textId="77777777" w:rsidR="003E6EAD" w:rsidRDefault="003A4514" w:rsidP="5B9FE7F0">
      <w:pPr>
        <w:pStyle w:val="ListParagraph"/>
        <w:widowControl w:val="0"/>
        <w:numPr>
          <w:ilvl w:val="0"/>
          <w:numId w:val="4"/>
        </w:numPr>
        <w:spacing w:before="120" w:after="120" w:line="240" w:lineRule="auto"/>
        <w:jc w:val="both"/>
        <w:rPr>
          <w:rFonts w:ascii="Cambria" w:hAnsi="Cambria"/>
          <w:sz w:val="24"/>
          <w:szCs w:val="24"/>
        </w:rPr>
      </w:pPr>
      <w:r w:rsidRPr="5B9FE7F0">
        <w:rPr>
          <w:rFonts w:ascii="Cambria" w:hAnsi="Cambria"/>
          <w:sz w:val="24"/>
          <w:szCs w:val="24"/>
        </w:rPr>
        <w:t>Eiropas Parlamenta un Padomes 2018. gada 11. decembra direktīva (ES) Nr. 2018/2001 par no atjaunojamajiem energoresursiem iegūtas enerģijas izmantošanas veicināšanu (turpmāk - Direktīva 2018/2001)</w:t>
      </w:r>
      <w:r w:rsidRPr="5B9FE7F0">
        <w:rPr>
          <w:rStyle w:val="FootnoteReference"/>
          <w:rFonts w:ascii="Cambria" w:hAnsi="Cambria"/>
          <w:sz w:val="24"/>
          <w:szCs w:val="24"/>
        </w:rPr>
        <w:footnoteReference w:id="18"/>
      </w:r>
      <w:r w:rsidRPr="5B9FE7F0">
        <w:rPr>
          <w:rFonts w:ascii="Cambria" w:hAnsi="Cambria"/>
          <w:sz w:val="24"/>
          <w:szCs w:val="24"/>
        </w:rPr>
        <w:t>,un tās grozījumi Eiropas Parlamenta un Padomes 2023. gada 18. oktobra direktīva (ES) Nr. 2023/2413, ar ko attiecībā uz atjaunīgo energoresursu enerģijas izmantošanas veicināšanu groza Direktīvu (ES) 2018/2001, Regulu (ES) 2018/1999 un Direktīvu 98/70/EK un atceļ Padomes Direktīvu (ES) 2015/652  (turpmāk – Direktīva 2023/2413)</w:t>
      </w:r>
      <w:r w:rsidRPr="5B9FE7F0">
        <w:rPr>
          <w:rStyle w:val="FootnoteReference"/>
          <w:rFonts w:ascii="Cambria" w:hAnsi="Cambria"/>
          <w:sz w:val="24"/>
          <w:szCs w:val="24"/>
        </w:rPr>
        <w:footnoteReference w:id="19"/>
      </w:r>
      <w:r w:rsidRPr="5B9FE7F0">
        <w:rPr>
          <w:rFonts w:ascii="Cambria" w:hAnsi="Cambria"/>
          <w:sz w:val="24"/>
          <w:szCs w:val="24"/>
        </w:rPr>
        <w:t>;</w:t>
      </w:r>
    </w:p>
    <w:p w14:paraId="74701818" w14:textId="7DEE29E1" w:rsidR="003E6EAD" w:rsidRDefault="003A4514">
      <w:pPr>
        <w:pStyle w:val="ListParagraph"/>
        <w:widowControl w:val="0"/>
        <w:numPr>
          <w:ilvl w:val="0"/>
          <w:numId w:val="4"/>
        </w:numPr>
        <w:spacing w:before="120" w:after="120" w:line="240" w:lineRule="auto"/>
        <w:jc w:val="both"/>
      </w:pPr>
      <w:r>
        <w:rPr>
          <w:rFonts w:ascii="Cambria" w:eastAsia="Cambria" w:hAnsi="Cambria"/>
          <w:color w:val="000000"/>
          <w:sz w:val="24"/>
          <w:szCs w:val="24"/>
        </w:rPr>
        <w:t>Eiropas Parlamenta un Padomes 2023.gada 13.</w:t>
      </w:r>
      <w:r w:rsidR="000C3B3B">
        <w:rPr>
          <w:rFonts w:ascii="Cambria" w:eastAsia="Cambria" w:hAnsi="Cambria"/>
          <w:color w:val="000000"/>
          <w:sz w:val="24"/>
          <w:szCs w:val="24"/>
        </w:rPr>
        <w:t xml:space="preserve"> </w:t>
      </w:r>
      <w:r>
        <w:rPr>
          <w:rFonts w:ascii="Cambria" w:eastAsia="Cambria" w:hAnsi="Cambria"/>
          <w:color w:val="000000"/>
          <w:sz w:val="24"/>
          <w:szCs w:val="24"/>
        </w:rPr>
        <w:t xml:space="preserve">septembra direktīva (ES) Nr. </w:t>
      </w:r>
      <w:r>
        <w:rPr>
          <w:rFonts w:ascii="Cambria" w:eastAsia="Cambria" w:hAnsi="Cambria"/>
          <w:color w:val="000000"/>
          <w:sz w:val="24"/>
          <w:szCs w:val="24"/>
        </w:rPr>
        <w:lastRenderedPageBreak/>
        <w:t>2023/1791 par energoefektivitāti (turpmāk - Direktīva 2023/1791)</w:t>
      </w:r>
      <w:r>
        <w:rPr>
          <w:rFonts w:ascii="Cambria" w:hAnsi="Cambria"/>
          <w:vertAlign w:val="superscript"/>
        </w:rPr>
        <w:footnoteReference w:id="20"/>
      </w:r>
      <w:r>
        <w:rPr>
          <w:rFonts w:ascii="Cambria" w:hAnsi="Cambria"/>
          <w:sz w:val="24"/>
          <w:szCs w:val="24"/>
        </w:rPr>
        <w:t xml:space="preserve"> </w:t>
      </w:r>
      <w:r>
        <w:rPr>
          <w:rFonts w:ascii="Cambria" w:eastAsia="Cambria" w:hAnsi="Cambria"/>
          <w:sz w:val="24"/>
          <w:szCs w:val="24"/>
        </w:rPr>
        <w:t>;</w:t>
      </w:r>
    </w:p>
    <w:p w14:paraId="0B593919" w14:textId="77777777" w:rsidR="003E6EAD" w:rsidRDefault="003A4514">
      <w:pPr>
        <w:pStyle w:val="ListParagraph"/>
        <w:widowControl w:val="0"/>
        <w:numPr>
          <w:ilvl w:val="0"/>
          <w:numId w:val="4"/>
        </w:numPr>
        <w:spacing w:before="120" w:after="120" w:line="240" w:lineRule="auto"/>
        <w:jc w:val="both"/>
        <w:rPr>
          <w:rFonts w:ascii="Cambria" w:eastAsia="Cambria" w:hAnsi="Cambria"/>
          <w:sz w:val="24"/>
          <w:szCs w:val="24"/>
        </w:rPr>
      </w:pPr>
      <w:r>
        <w:rPr>
          <w:rFonts w:ascii="Cambria" w:eastAsia="Cambria" w:hAnsi="Cambria"/>
          <w:sz w:val="24"/>
          <w:szCs w:val="24"/>
        </w:rPr>
        <w:t>Pārskatītā Eiropas Parlamenta un Padomes direktīva par ēku energoefektivitāti (Direktīvas 2010/30/EK grozījumi) – vēl nav spēkā;</w:t>
      </w:r>
    </w:p>
    <w:p w14:paraId="78F0289B" w14:textId="77777777" w:rsidR="003E6EAD" w:rsidRDefault="003A4514">
      <w:pPr>
        <w:pStyle w:val="ListParagraph"/>
        <w:widowControl w:val="0"/>
        <w:numPr>
          <w:ilvl w:val="0"/>
          <w:numId w:val="4"/>
        </w:numPr>
        <w:spacing w:before="120" w:after="120" w:line="240" w:lineRule="auto"/>
        <w:jc w:val="both"/>
      </w:pPr>
      <w:r>
        <w:rPr>
          <w:rFonts w:ascii="Cambria" w:hAnsi="Cambria"/>
          <w:sz w:val="24"/>
          <w:szCs w:val="24"/>
        </w:rPr>
        <w:t>Eiropas Parlamenta un Padomes 2023. gada 13. septembra regula (ES) Nr. 2023/1804 par alternatīvo degvielu infrastruktūras ieviešanu</w:t>
      </w:r>
      <w:r w:rsidR="00535F45">
        <w:rPr>
          <w:rFonts w:ascii="Cambria" w:hAnsi="Cambria"/>
          <w:sz w:val="24"/>
          <w:szCs w:val="24"/>
        </w:rPr>
        <w:t xml:space="preserve"> </w:t>
      </w:r>
      <w:r w:rsidR="00535F45" w:rsidRPr="00535F45">
        <w:rPr>
          <w:rFonts w:ascii="Cambria" w:hAnsi="Cambria"/>
          <w:sz w:val="24"/>
          <w:szCs w:val="24"/>
        </w:rPr>
        <w:t>un ar ko atceļ Direktīvu 2014/94/ES</w:t>
      </w:r>
      <w:r w:rsidR="00535F45" w:rsidRPr="00535F45">
        <w:rPr>
          <w:rStyle w:val="FootnoteReference"/>
          <w:rFonts w:ascii="Cambria" w:hAnsi="Cambria"/>
          <w:sz w:val="24"/>
          <w:szCs w:val="24"/>
          <w:vertAlign w:val="baseline"/>
        </w:rPr>
        <w:t xml:space="preserve"> </w:t>
      </w:r>
      <w:r>
        <w:rPr>
          <w:rStyle w:val="FootnoteReference"/>
          <w:rFonts w:ascii="Cambria" w:hAnsi="Cambria"/>
          <w:sz w:val="24"/>
          <w:szCs w:val="24"/>
        </w:rPr>
        <w:footnoteReference w:id="21"/>
      </w:r>
      <w:r>
        <w:rPr>
          <w:rFonts w:ascii="Cambria" w:hAnsi="Cambria"/>
          <w:sz w:val="24"/>
          <w:szCs w:val="24"/>
        </w:rPr>
        <w:t>;</w:t>
      </w:r>
    </w:p>
    <w:p w14:paraId="3052A8D0" w14:textId="77777777" w:rsidR="003E6EAD" w:rsidRDefault="003A4514" w:rsidP="5B9FE7F0">
      <w:pPr>
        <w:pStyle w:val="ListParagraph"/>
        <w:widowControl w:val="0"/>
        <w:numPr>
          <w:ilvl w:val="0"/>
          <w:numId w:val="4"/>
        </w:numPr>
        <w:spacing w:before="120" w:after="120" w:line="240" w:lineRule="auto"/>
        <w:jc w:val="both"/>
        <w:rPr>
          <w:rFonts w:ascii="Cambria" w:hAnsi="Cambria"/>
          <w:sz w:val="24"/>
          <w:szCs w:val="24"/>
        </w:rPr>
      </w:pPr>
      <w:r w:rsidRPr="5B9FE7F0">
        <w:rPr>
          <w:rFonts w:ascii="Cambria" w:hAnsi="Cambria"/>
          <w:sz w:val="24"/>
          <w:szCs w:val="24"/>
        </w:rPr>
        <w:t xml:space="preserve">Eiropas Parlamenta un Padomes 2023. gada 13. septembra regula (ES) Nr. 2023/1805 par atjaunīgo un mazoglekļa degvielu izmantošanu jūras transportā </w:t>
      </w:r>
      <w:r w:rsidR="00535F45" w:rsidRPr="00535F45">
        <w:rPr>
          <w:rFonts w:ascii="Cambria" w:hAnsi="Cambria"/>
          <w:sz w:val="24"/>
          <w:szCs w:val="24"/>
        </w:rPr>
        <w:t xml:space="preserve">un ar ko groza Direktīvu 2009/16/EK </w:t>
      </w:r>
      <w:r w:rsidRPr="5B9FE7F0">
        <w:rPr>
          <w:rFonts w:ascii="Cambria" w:hAnsi="Cambria"/>
          <w:sz w:val="24"/>
          <w:szCs w:val="24"/>
        </w:rPr>
        <w:t>(turpmāk - Regula 2023/1805)</w:t>
      </w:r>
      <w:r w:rsidRPr="5B9FE7F0">
        <w:rPr>
          <w:rStyle w:val="FootnoteReference"/>
          <w:rFonts w:ascii="Cambria" w:hAnsi="Cambria"/>
          <w:sz w:val="24"/>
          <w:szCs w:val="24"/>
        </w:rPr>
        <w:footnoteReference w:id="22"/>
      </w:r>
      <w:r w:rsidRPr="5B9FE7F0">
        <w:rPr>
          <w:rFonts w:ascii="Cambria" w:hAnsi="Cambria"/>
          <w:sz w:val="24"/>
          <w:szCs w:val="24"/>
        </w:rPr>
        <w:t>;</w:t>
      </w:r>
    </w:p>
    <w:p w14:paraId="6E22F99E" w14:textId="77777777" w:rsidR="003E6EAD" w:rsidRDefault="003A4514" w:rsidP="5B9FE7F0">
      <w:pPr>
        <w:pStyle w:val="ListParagraph"/>
        <w:widowControl w:val="0"/>
        <w:numPr>
          <w:ilvl w:val="0"/>
          <w:numId w:val="4"/>
        </w:numPr>
        <w:spacing w:before="120" w:after="120" w:line="240" w:lineRule="auto"/>
        <w:jc w:val="both"/>
        <w:rPr>
          <w:rFonts w:ascii="Cambria" w:eastAsia="Cambria" w:hAnsi="Cambria"/>
          <w:sz w:val="24"/>
          <w:szCs w:val="24"/>
        </w:rPr>
      </w:pPr>
      <w:r w:rsidRPr="5B9FE7F0">
        <w:rPr>
          <w:rFonts w:ascii="Cambria" w:eastAsia="Cambria" w:hAnsi="Cambria"/>
          <w:sz w:val="24"/>
          <w:szCs w:val="24"/>
        </w:rPr>
        <w:t>Eiropas Parlamenta un Padomes 2023.</w:t>
      </w:r>
      <w:r w:rsidR="00535F45">
        <w:rPr>
          <w:rFonts w:ascii="Cambria" w:eastAsia="Cambria" w:hAnsi="Cambria"/>
          <w:sz w:val="24"/>
          <w:szCs w:val="24"/>
        </w:rPr>
        <w:t xml:space="preserve"> </w:t>
      </w:r>
      <w:r w:rsidRPr="5B9FE7F0">
        <w:rPr>
          <w:rFonts w:ascii="Cambria" w:eastAsia="Cambria" w:hAnsi="Cambria"/>
          <w:sz w:val="24"/>
          <w:szCs w:val="24"/>
        </w:rPr>
        <w:t>gada 18. oktobra regula (ES) Nr. 2023/2405 par vienlīdzīgu konkurences apstākļu nodrošināšanu ilgtspējīgam gaisa transportam (ReFuelEU Aviation) (turpmāk - Regula 2023/2405)</w:t>
      </w:r>
      <w:r w:rsidRPr="5B9FE7F0">
        <w:rPr>
          <w:rStyle w:val="FootnoteReference"/>
          <w:rFonts w:ascii="Cambria" w:eastAsia="Cambria" w:hAnsi="Cambria"/>
          <w:sz w:val="24"/>
          <w:szCs w:val="24"/>
        </w:rPr>
        <w:footnoteReference w:id="23"/>
      </w:r>
      <w:r w:rsidRPr="5B9FE7F0">
        <w:rPr>
          <w:rFonts w:ascii="Cambria" w:eastAsia="Cambria" w:hAnsi="Cambria"/>
          <w:sz w:val="24"/>
          <w:szCs w:val="24"/>
        </w:rPr>
        <w:t>;</w:t>
      </w:r>
    </w:p>
    <w:p w14:paraId="4ECF1C3B" w14:textId="77777777" w:rsidR="003E6EAD" w:rsidRDefault="003A4514" w:rsidP="5B9FE7F0">
      <w:pPr>
        <w:pStyle w:val="ListParagraph"/>
        <w:widowControl w:val="0"/>
        <w:numPr>
          <w:ilvl w:val="0"/>
          <w:numId w:val="4"/>
        </w:numPr>
        <w:spacing w:before="120" w:after="120" w:line="240" w:lineRule="auto"/>
        <w:jc w:val="both"/>
        <w:rPr>
          <w:rFonts w:ascii="Cambria" w:eastAsia="Cambria" w:hAnsi="Cambria"/>
          <w:sz w:val="24"/>
          <w:szCs w:val="24"/>
        </w:rPr>
      </w:pPr>
      <w:r w:rsidRPr="5B9FE7F0">
        <w:rPr>
          <w:rFonts w:ascii="Cambria" w:eastAsia="Cambria" w:hAnsi="Cambria"/>
          <w:sz w:val="24"/>
          <w:szCs w:val="24"/>
        </w:rPr>
        <w:t>Pārskatītā Eiropas Parlamenta un Padomes direktīva, kas pārkārto Kopienas noteikumus par nodokļu uzlikšanu energoproduktiem un elektroenerģijai (Direktīvas 2003/96/EK grozījumi – vēl nav spēkā);</w:t>
      </w:r>
    </w:p>
    <w:p w14:paraId="7A7AEAC2" w14:textId="77777777" w:rsidR="003E6EAD" w:rsidRDefault="003A4514">
      <w:pPr>
        <w:pStyle w:val="ListParagraph"/>
        <w:widowControl w:val="0"/>
        <w:numPr>
          <w:ilvl w:val="0"/>
          <w:numId w:val="4"/>
        </w:numPr>
        <w:spacing w:before="120" w:after="120" w:line="240" w:lineRule="auto"/>
        <w:jc w:val="both"/>
        <w:rPr>
          <w:rFonts w:ascii="Cambria" w:hAnsi="Cambria"/>
          <w:sz w:val="24"/>
          <w:szCs w:val="24"/>
        </w:rPr>
      </w:pPr>
      <w:r>
        <w:rPr>
          <w:rFonts w:ascii="Cambria" w:hAnsi="Cambria"/>
          <w:sz w:val="24"/>
          <w:szCs w:val="24"/>
        </w:rPr>
        <w:t>Eiropas Parlamenta un Padomes 2019. gada  27. novembra regula (ES) Nr.2019/2088 par informācijas atklāšanu, kas saistīta ar ilgtspēju, finanšu pakalpojumu nozarē;</w:t>
      </w:r>
    </w:p>
    <w:p w14:paraId="588D00D2" w14:textId="77777777" w:rsidR="003E6EAD" w:rsidRDefault="003A4514" w:rsidP="5B9FE7F0">
      <w:pPr>
        <w:pStyle w:val="ListParagraph"/>
        <w:widowControl w:val="0"/>
        <w:numPr>
          <w:ilvl w:val="0"/>
          <w:numId w:val="4"/>
        </w:numPr>
        <w:spacing w:before="120" w:after="120" w:line="240" w:lineRule="auto"/>
        <w:jc w:val="both"/>
        <w:rPr>
          <w:rFonts w:ascii="Cambria" w:hAnsi="Cambria"/>
          <w:sz w:val="24"/>
          <w:szCs w:val="24"/>
        </w:rPr>
      </w:pPr>
      <w:r w:rsidRPr="5B9FE7F0">
        <w:rPr>
          <w:rFonts w:ascii="Cambria" w:hAnsi="Cambria"/>
          <w:sz w:val="24"/>
          <w:szCs w:val="24"/>
        </w:rPr>
        <w:t>Eiropas Parlamenta un Padomes 2020. gada 18. jūnija  regula (ES) Nr. 2020/852 par regulējuma izveidi ilgtspējīgu ieguldījumu veicināšanai un ar ko groza Regulu (ES) 2019/2088 (Taksonomijas regula);</w:t>
      </w:r>
    </w:p>
    <w:p w14:paraId="34656B4E" w14:textId="77777777" w:rsidR="003E6EAD" w:rsidRDefault="003A4514">
      <w:pPr>
        <w:pStyle w:val="ListParagraph"/>
        <w:widowControl w:val="0"/>
        <w:numPr>
          <w:ilvl w:val="0"/>
          <w:numId w:val="4"/>
        </w:numPr>
        <w:spacing w:before="120" w:after="120" w:line="240" w:lineRule="auto"/>
        <w:jc w:val="both"/>
      </w:pPr>
      <w:r>
        <w:rPr>
          <w:rFonts w:ascii="Cambria" w:hAnsi="Cambria"/>
          <w:sz w:val="24"/>
          <w:szCs w:val="24"/>
        </w:rPr>
        <w:t>Eiropas Parlamenta un Padomes 2022. gada 14. decembra direktīva (ES) Nr.</w:t>
      </w:r>
      <w:r w:rsidR="002C40C5">
        <w:rPr>
          <w:rFonts w:ascii="Cambria" w:hAnsi="Cambria"/>
          <w:sz w:val="24"/>
          <w:szCs w:val="24"/>
        </w:rPr>
        <w:t xml:space="preserve"> </w:t>
      </w:r>
      <w:r>
        <w:rPr>
          <w:rFonts w:ascii="Cambria" w:hAnsi="Cambria"/>
          <w:sz w:val="24"/>
          <w:szCs w:val="24"/>
        </w:rPr>
        <w:t>2022/2464, ar ko attiecībā uz korporatīvo ilgtspējas ziņu sniegšanu groza Regulu (ES) Nr. 537/2014, Direktīvu 2004/109/EK, Direktīvu 2006/43/EK un Direktīvu 2013/34/ES</w:t>
      </w:r>
      <w:r>
        <w:rPr>
          <w:rFonts w:ascii="Cambria" w:eastAsia="Cambria" w:hAnsi="Cambria"/>
          <w:sz w:val="24"/>
          <w:szCs w:val="24"/>
        </w:rPr>
        <w:t>.</w:t>
      </w:r>
    </w:p>
    <w:p w14:paraId="31D26235" w14:textId="77777777"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Šā ziņojuma 1. pielikumā apkopots pārskats par ES klimata mērķiem ES tiesību aktu pakotnes “Gatavi mērķrādītājam 55” ietvaros.</w:t>
      </w:r>
    </w:p>
    <w:p w14:paraId="6F0E610B" w14:textId="56197893" w:rsidR="003E6EAD" w:rsidRDefault="003A4514">
      <w:pPr>
        <w:spacing w:before="120" w:after="120" w:line="240" w:lineRule="auto"/>
        <w:ind w:firstLine="567"/>
        <w:jc w:val="both"/>
      </w:pPr>
      <w:r w:rsidRPr="008A2221">
        <w:rPr>
          <w:rFonts w:ascii="Cambria" w:eastAsia="Times New Roman" w:hAnsi="Cambria"/>
          <w:sz w:val="24"/>
          <w:szCs w:val="24"/>
        </w:rPr>
        <w:t>Parīzes nolīgums no</w:t>
      </w:r>
      <w:r w:rsidR="00571CCE" w:rsidRPr="008A2221">
        <w:rPr>
          <w:rFonts w:ascii="Cambria" w:eastAsia="Times New Roman" w:hAnsi="Cambria"/>
          <w:sz w:val="24"/>
          <w:szCs w:val="24"/>
        </w:rPr>
        <w:t>saka</w:t>
      </w:r>
      <w:r w:rsidRPr="008A2221">
        <w:rPr>
          <w:rFonts w:ascii="Cambria" w:eastAsia="Times New Roman" w:hAnsi="Cambria"/>
          <w:sz w:val="24"/>
          <w:szCs w:val="24"/>
        </w:rPr>
        <w:t xml:space="preserve"> finan</w:t>
      </w:r>
      <w:r w:rsidR="00BB5441">
        <w:rPr>
          <w:rFonts w:ascii="Cambria" w:eastAsia="Times New Roman" w:hAnsi="Cambria"/>
          <w:sz w:val="24"/>
          <w:szCs w:val="24"/>
        </w:rPr>
        <w:t>šu</w:t>
      </w:r>
      <w:r w:rsidRPr="008A2221">
        <w:rPr>
          <w:rFonts w:ascii="Cambria" w:eastAsia="Times New Roman" w:hAnsi="Cambria"/>
          <w:sz w:val="24"/>
          <w:szCs w:val="24"/>
        </w:rPr>
        <w:t>, tehnoloģisk</w:t>
      </w:r>
      <w:r w:rsidR="00BB5441">
        <w:rPr>
          <w:rFonts w:ascii="Cambria" w:eastAsia="Times New Roman" w:hAnsi="Cambria"/>
          <w:sz w:val="24"/>
          <w:szCs w:val="24"/>
        </w:rPr>
        <w:t>ā</w:t>
      </w:r>
      <w:r w:rsidRPr="008A2221">
        <w:rPr>
          <w:rFonts w:ascii="Cambria" w:eastAsia="Times New Roman" w:hAnsi="Cambria"/>
          <w:sz w:val="24"/>
          <w:szCs w:val="24"/>
        </w:rPr>
        <w:t xml:space="preserve"> un kapacitātes </w:t>
      </w:r>
      <w:r w:rsidR="00BE39CC" w:rsidRPr="008A2221">
        <w:rPr>
          <w:rFonts w:ascii="Cambria" w:eastAsia="Times New Roman" w:hAnsi="Cambria"/>
          <w:sz w:val="24"/>
          <w:szCs w:val="24"/>
        </w:rPr>
        <w:t xml:space="preserve">stiprināšanas </w:t>
      </w:r>
      <w:r w:rsidRPr="008A2221">
        <w:rPr>
          <w:rFonts w:ascii="Cambria" w:eastAsia="Times New Roman" w:hAnsi="Cambria"/>
          <w:sz w:val="24"/>
          <w:szCs w:val="24"/>
        </w:rPr>
        <w:t>atbalsta</w:t>
      </w:r>
      <w:r w:rsidR="008A2221" w:rsidRPr="008A2221">
        <w:rPr>
          <w:rFonts w:ascii="Cambria" w:eastAsia="Times New Roman" w:hAnsi="Cambria"/>
          <w:sz w:val="24"/>
          <w:szCs w:val="24"/>
        </w:rPr>
        <w:t xml:space="preserve"> ietvaru</w:t>
      </w:r>
      <w:r w:rsidRPr="008A2221">
        <w:rPr>
          <w:rFonts w:ascii="Cambria" w:eastAsia="Times New Roman" w:hAnsi="Cambria"/>
          <w:sz w:val="24"/>
          <w:szCs w:val="24"/>
        </w:rPr>
        <w:t xml:space="preserve"> valstīm, kurām tas ir </w:t>
      </w:r>
      <w:r w:rsidR="009E68F9">
        <w:rPr>
          <w:rFonts w:ascii="Cambria" w:eastAsia="Times New Roman" w:hAnsi="Cambria"/>
          <w:sz w:val="24"/>
          <w:szCs w:val="24"/>
        </w:rPr>
        <w:t>nepieciešams</w:t>
      </w:r>
      <w:r w:rsidRPr="008A2221">
        <w:rPr>
          <w:rFonts w:ascii="Cambria" w:eastAsia="Times New Roman" w:hAnsi="Cambria"/>
          <w:sz w:val="24"/>
          <w:szCs w:val="24"/>
        </w:rPr>
        <w:t>.</w:t>
      </w:r>
      <w:r>
        <w:rPr>
          <w:rFonts w:ascii="Cambria" w:hAnsi="Cambria"/>
        </w:rPr>
        <w:t xml:space="preserve"> </w:t>
      </w:r>
      <w:r>
        <w:rPr>
          <w:rFonts w:ascii="Cambria" w:eastAsia="Times New Roman" w:hAnsi="Cambria"/>
          <w:sz w:val="24"/>
          <w:szCs w:val="24"/>
        </w:rPr>
        <w:t>Finansiālais, tehnoloģiskais un kapacitātes veidošanas atbalsts tiek uzskatīts par svarīgu, lai palīdzētu valstīm (jaunattīstības valstīm) ar ierobežotākām resursu iespējām sasniegt savus mērķus un pielāgoties klimata pārmaiņām.</w:t>
      </w:r>
    </w:p>
    <w:p w14:paraId="4AD24E9F" w14:textId="2D337BF0" w:rsidR="003E6EAD" w:rsidRPr="00930A62"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Lai novērtētu progresu Parīzes nolīguma mērķu sasniegšanā, valstīm sākot no 2024. gada jāziņo par veiktajām darbībām un progresu klimata pārmaiņu mazināšanā, pielāgošanās pasākumiem un sniegto vai saņemto atbalstu uzlabotas pārredzamības sistēmas ietvaros (</w:t>
      </w:r>
      <w:r w:rsidRPr="5B9FE7F0">
        <w:rPr>
          <w:rFonts w:ascii="Cambria" w:eastAsia="Times New Roman" w:hAnsi="Cambria"/>
          <w:i/>
          <w:iCs/>
          <w:sz w:val="24"/>
          <w:szCs w:val="24"/>
        </w:rPr>
        <w:t>enhanced transparency framework</w:t>
      </w:r>
      <w:r w:rsidRPr="5B9FE7F0">
        <w:rPr>
          <w:rFonts w:ascii="Cambria" w:eastAsia="Times New Roman" w:hAnsi="Cambria"/>
          <w:sz w:val="24"/>
          <w:szCs w:val="24"/>
        </w:rPr>
        <w:t>, ETF). ETF paredz arī starptautiskas procedūras iesniegto ziņojumu pārbaudei, kā arī ETF ietvaros apkopotā informācija tiks izmantota starptautiskā stāvokļa novērtējumā (</w:t>
      </w:r>
      <w:r w:rsidRPr="5B9FE7F0">
        <w:rPr>
          <w:rFonts w:ascii="Cambria" w:eastAsia="Times New Roman" w:hAnsi="Cambria"/>
          <w:i/>
          <w:iCs/>
          <w:sz w:val="24"/>
          <w:szCs w:val="24"/>
        </w:rPr>
        <w:t>Global stocktake, GST</w:t>
      </w:r>
      <w:r w:rsidRPr="5B9FE7F0">
        <w:rPr>
          <w:rFonts w:ascii="Cambria" w:eastAsia="Times New Roman" w:hAnsi="Cambria"/>
          <w:sz w:val="24"/>
          <w:szCs w:val="24"/>
        </w:rPr>
        <w:t>), kurā tiks novērtēts kolektīvais progress virzībā uz ilgtermiņa klimata mērķiem. Starptautiskais novērtējums sniegs ieteikumus valstīm nākamajā kārtā izvirzīt vērienīgākus plānus</w:t>
      </w:r>
      <w:r w:rsidRPr="5B9FE7F0">
        <w:rPr>
          <w:rStyle w:val="FootnoteReference"/>
          <w:rFonts w:ascii="Cambria" w:eastAsia="Times New Roman" w:hAnsi="Cambria"/>
          <w:sz w:val="24"/>
          <w:szCs w:val="24"/>
        </w:rPr>
        <w:footnoteReference w:id="24"/>
      </w:r>
      <w:r w:rsidRPr="5B9FE7F0">
        <w:rPr>
          <w:rFonts w:ascii="Cambria" w:eastAsia="Times New Roman" w:hAnsi="Cambria"/>
          <w:sz w:val="24"/>
          <w:szCs w:val="24"/>
        </w:rPr>
        <w:t xml:space="preserve">. </w:t>
      </w:r>
    </w:p>
    <w:p w14:paraId="48C350DA" w14:textId="38F43A23" w:rsidR="00930A62" w:rsidRPr="00930A62" w:rsidRDefault="00930A62" w:rsidP="00930A62">
      <w:pPr>
        <w:rPr>
          <w:rFonts w:ascii="Cambria" w:hAnsi="Cambria"/>
          <w:b/>
          <w:bCs/>
          <w:i/>
          <w:iCs/>
          <w:color w:val="074F6A" w:themeColor="accent4" w:themeShade="80"/>
          <w:sz w:val="24"/>
          <w:szCs w:val="24"/>
        </w:rPr>
      </w:pPr>
      <w:bookmarkStart w:id="17" w:name="_Toc185319488"/>
      <w:r w:rsidRPr="00930A62">
        <w:rPr>
          <w:rFonts w:ascii="Cambria" w:hAnsi="Cambria"/>
          <w:b/>
          <w:bCs/>
          <w:i/>
          <w:iCs/>
          <w:color w:val="074F6A" w:themeColor="accent4" w:themeShade="80"/>
          <w:sz w:val="24"/>
          <w:szCs w:val="24"/>
        </w:rPr>
        <w:t>ES klimata politika 2021. - 2030. gada periodam</w:t>
      </w:r>
    </w:p>
    <w:bookmarkEnd w:id="17"/>
    <w:p w14:paraId="1ED4115E" w14:textId="24F93960" w:rsidR="003E6EAD" w:rsidRDefault="003A4514">
      <w:pPr>
        <w:spacing w:before="120" w:after="120" w:line="240" w:lineRule="auto"/>
        <w:ind w:firstLine="567"/>
        <w:jc w:val="both"/>
      </w:pPr>
      <w:r>
        <w:rPr>
          <w:rFonts w:ascii="Cambria" w:eastAsia="Times New Roman" w:hAnsi="Cambria"/>
          <w:sz w:val="24"/>
          <w:szCs w:val="24"/>
        </w:rPr>
        <w:lastRenderedPageBreak/>
        <w:t xml:space="preserve">Ievērojot klimata politikas būtisko ietekmi uz visu ES valstu ekonomikām, lēmumi par kopējiem ES SEG samazināšanas mērķiem 2030. gadā tika pieņemti Eiropadomes līmenī (skatīt 1. tabulu). Lai veicinātu SEG emisiju samazināšanu izmaksu efektīvā veidā, SEG emisiju mērķi tika pārdalīti starp ES </w:t>
      </w:r>
      <w:r w:rsidR="007E3AE4">
        <w:rPr>
          <w:rFonts w:ascii="Cambria" w:eastAsia="Times New Roman" w:hAnsi="Cambria"/>
          <w:sz w:val="24"/>
          <w:szCs w:val="24"/>
        </w:rPr>
        <w:t>ET</w:t>
      </w:r>
      <w:r w:rsidR="0049298A">
        <w:rPr>
          <w:rFonts w:ascii="Cambria" w:eastAsia="Times New Roman" w:hAnsi="Cambria"/>
          <w:sz w:val="24"/>
          <w:szCs w:val="24"/>
        </w:rPr>
        <w:t>S</w:t>
      </w:r>
      <w:r>
        <w:rPr>
          <w:rStyle w:val="FootnoteAnchor"/>
          <w:rFonts w:ascii="Cambria" w:eastAsia="Times New Roman" w:hAnsi="Cambria"/>
          <w:sz w:val="24"/>
          <w:szCs w:val="24"/>
        </w:rPr>
        <w:footnoteReference w:id="25"/>
      </w:r>
      <w:r>
        <w:rPr>
          <w:rFonts w:ascii="Cambria" w:eastAsia="Times New Roman" w:hAnsi="Cambria"/>
          <w:sz w:val="24"/>
          <w:szCs w:val="24"/>
        </w:rPr>
        <w:t xml:space="preserve"> iekļautām darbībām un ne-ETS</w:t>
      </w:r>
      <w:r>
        <w:rPr>
          <w:rStyle w:val="FootnoteReference"/>
          <w:rFonts w:ascii="Cambria" w:eastAsia="Times New Roman" w:hAnsi="Cambria"/>
          <w:sz w:val="24"/>
          <w:szCs w:val="24"/>
        </w:rPr>
        <w:footnoteReference w:id="26"/>
      </w:r>
      <w:r>
        <w:rPr>
          <w:rFonts w:ascii="Cambria" w:eastAsia="Times New Roman" w:hAnsi="Cambria"/>
          <w:sz w:val="24"/>
          <w:szCs w:val="24"/>
        </w:rPr>
        <w:t xml:space="preserve">. </w:t>
      </w:r>
      <w:r>
        <w:rPr>
          <w:rFonts w:ascii="Cambria" w:hAnsi="Cambria"/>
          <w:sz w:val="24"/>
          <w:szCs w:val="24"/>
        </w:rPr>
        <w:t xml:space="preserve">ZIZIMM </w:t>
      </w:r>
      <w:r>
        <w:rPr>
          <w:rFonts w:ascii="Cambria" w:eastAsia="Times New Roman" w:hAnsi="Cambria"/>
          <w:sz w:val="24"/>
          <w:szCs w:val="24"/>
        </w:rPr>
        <w:t>sektora loma palielinājās 2030. gada mērķa kontekstā.</w:t>
      </w:r>
    </w:p>
    <w:p w14:paraId="48AB0F47" w14:textId="77777777" w:rsidR="003E6EAD" w:rsidRDefault="003A4514">
      <w:pPr>
        <w:pStyle w:val="ListParagraph"/>
        <w:numPr>
          <w:ilvl w:val="0"/>
          <w:numId w:val="5"/>
        </w:numPr>
        <w:spacing w:before="120" w:after="120" w:line="240" w:lineRule="auto"/>
        <w:jc w:val="center"/>
      </w:pPr>
      <w:r>
        <w:rPr>
          <w:rFonts w:ascii="Cambria" w:eastAsia="Times New Roman" w:hAnsi="Cambria"/>
          <w:b/>
          <w:sz w:val="24"/>
          <w:szCs w:val="24"/>
        </w:rPr>
        <w:t>tabula. Kopējo ES SEG mērķu</w:t>
      </w:r>
      <w:r>
        <w:rPr>
          <w:rFonts w:ascii="Cambria" w:eastAsia="Times New Roman" w:hAnsi="Cambria"/>
          <w:b/>
          <w:iCs/>
          <w:sz w:val="24"/>
          <w:szCs w:val="20"/>
        </w:rPr>
        <w:t xml:space="preserve"> apkopojums</w:t>
      </w:r>
    </w:p>
    <w:tbl>
      <w:tblPr>
        <w:tblW w:w="9061" w:type="dxa"/>
        <w:tblCellMar>
          <w:left w:w="10" w:type="dxa"/>
          <w:right w:w="10" w:type="dxa"/>
        </w:tblCellMar>
        <w:tblLook w:val="04A0" w:firstRow="1" w:lastRow="0" w:firstColumn="1" w:lastColumn="0" w:noHBand="0" w:noVBand="1"/>
      </w:tblPr>
      <w:tblGrid>
        <w:gridCol w:w="4768"/>
        <w:gridCol w:w="4293"/>
      </w:tblGrid>
      <w:tr w:rsidR="003E6EAD" w14:paraId="745E0D96" w14:textId="77777777" w:rsidTr="00435E85">
        <w:trPr>
          <w:trHeight w:val="759"/>
        </w:trPr>
        <w:tc>
          <w:tcPr>
            <w:tcW w:w="4768"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Mar>
              <w:top w:w="0" w:type="dxa"/>
              <w:left w:w="108" w:type="dxa"/>
              <w:bottom w:w="0" w:type="dxa"/>
              <w:right w:w="108" w:type="dxa"/>
            </w:tcMar>
            <w:vAlign w:val="center"/>
          </w:tcPr>
          <w:p w14:paraId="6575EAC0" w14:textId="77777777" w:rsidR="003E6EAD" w:rsidRPr="00435E85" w:rsidRDefault="003A4514">
            <w:pPr>
              <w:spacing w:before="120" w:after="120" w:line="240" w:lineRule="auto"/>
              <w:jc w:val="center"/>
              <w:rPr>
                <w:rFonts w:ascii="Cambria" w:eastAsia="Times New Roman" w:hAnsi="Cambria"/>
                <w:b/>
                <w:color w:val="0A2F41"/>
                <w:sz w:val="20"/>
                <w:szCs w:val="20"/>
                <w:highlight w:val="lightGray"/>
                <w:shd w:val="clear" w:color="auto" w:fill="D3D3D3"/>
                <w:lang w:bidi="hi-IN"/>
              </w:rPr>
            </w:pPr>
            <w:r w:rsidRPr="00435E85">
              <w:rPr>
                <w:rFonts w:ascii="Cambria" w:eastAsia="Times New Roman" w:hAnsi="Cambria"/>
                <w:b/>
                <w:color w:val="0A2F41"/>
                <w:sz w:val="20"/>
                <w:szCs w:val="20"/>
                <w:highlight w:val="lightGray"/>
                <w:shd w:val="clear" w:color="auto" w:fill="D3D3D3"/>
                <w:lang w:bidi="hi-IN"/>
              </w:rPr>
              <w:t>Mērķi</w:t>
            </w:r>
          </w:p>
        </w:tc>
        <w:tc>
          <w:tcPr>
            <w:tcW w:w="4293"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Mar>
              <w:top w:w="0" w:type="dxa"/>
              <w:left w:w="108" w:type="dxa"/>
              <w:bottom w:w="0" w:type="dxa"/>
              <w:right w:w="108" w:type="dxa"/>
            </w:tcMar>
          </w:tcPr>
          <w:p w14:paraId="77BBA2B6" w14:textId="77777777" w:rsidR="003E6EAD" w:rsidRDefault="003A4514">
            <w:pPr>
              <w:spacing w:before="120" w:after="120" w:line="240" w:lineRule="auto"/>
              <w:jc w:val="center"/>
            </w:pPr>
            <w:r w:rsidRPr="00435E85">
              <w:rPr>
                <w:rFonts w:ascii="Cambria" w:eastAsia="Times New Roman" w:hAnsi="Cambria"/>
                <w:b/>
                <w:color w:val="0A2F41"/>
                <w:sz w:val="20"/>
                <w:szCs w:val="20"/>
                <w:highlight w:val="lightGray"/>
                <w:shd w:val="clear" w:color="auto" w:fill="D3D3D3"/>
                <w:lang w:bidi="hi-IN"/>
              </w:rPr>
              <w:t>2020.gada 15.-16. oktobra Eiropadome (secinājumu 10. punkts)</w:t>
            </w:r>
            <w:r w:rsidRPr="00435E85">
              <w:rPr>
                <w:rStyle w:val="FootnoteReference"/>
                <w:rFonts w:ascii="Cambria" w:eastAsia="Times New Roman" w:hAnsi="Cambria"/>
                <w:b/>
                <w:color w:val="0A2F41"/>
                <w:sz w:val="20"/>
                <w:szCs w:val="20"/>
                <w:highlight w:val="lightGray"/>
                <w:shd w:val="clear" w:color="auto" w:fill="D3D3D3"/>
                <w:lang w:bidi="hi-IN"/>
              </w:rPr>
              <w:footnoteReference w:id="27"/>
            </w:r>
          </w:p>
        </w:tc>
      </w:tr>
      <w:tr w:rsidR="003E6EAD" w14:paraId="5807E9E1" w14:textId="77777777">
        <w:trPr>
          <w:trHeight w:val="690"/>
        </w:trPr>
        <w:tc>
          <w:tcPr>
            <w:tcW w:w="4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C1BDE" w14:textId="77777777" w:rsidR="003E6EAD" w:rsidRDefault="003A4514">
            <w:pPr>
              <w:spacing w:before="120" w:after="120" w:line="240" w:lineRule="auto"/>
              <w:jc w:val="both"/>
              <w:rPr>
                <w:rFonts w:ascii="Cambria" w:hAnsi="Cambria"/>
                <w:sz w:val="20"/>
                <w:szCs w:val="20"/>
                <w:lang w:bidi="hi-IN"/>
              </w:rPr>
            </w:pPr>
            <w:r>
              <w:rPr>
                <w:rFonts w:ascii="Cambria" w:hAnsi="Cambria"/>
                <w:sz w:val="20"/>
                <w:szCs w:val="20"/>
                <w:lang w:bidi="hi-IN"/>
              </w:rPr>
              <w:t xml:space="preserve">Kopējais ES SEG emisiju samazinājuma mērķis </w:t>
            </w:r>
          </w:p>
          <w:p w14:paraId="3805EE8A" w14:textId="77777777" w:rsidR="003E6EAD" w:rsidRDefault="003A4514">
            <w:pPr>
              <w:spacing w:before="120" w:after="120" w:line="240" w:lineRule="auto"/>
              <w:jc w:val="both"/>
              <w:rPr>
                <w:rFonts w:ascii="Cambria" w:hAnsi="Cambria"/>
                <w:sz w:val="20"/>
                <w:szCs w:val="20"/>
                <w:lang w:bidi="hi-IN"/>
              </w:rPr>
            </w:pPr>
            <w:r>
              <w:rPr>
                <w:rFonts w:ascii="Cambria" w:hAnsi="Cambria"/>
                <w:sz w:val="20"/>
                <w:szCs w:val="20"/>
                <w:lang w:bidi="hi-IN"/>
              </w:rPr>
              <w:t>(salīdzinot ar 1990. gadu)</w:t>
            </w:r>
          </w:p>
        </w:tc>
        <w:tc>
          <w:tcPr>
            <w:tcW w:w="4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CE445" w14:textId="77777777" w:rsidR="003E6EAD" w:rsidRDefault="003A4514">
            <w:pPr>
              <w:spacing w:before="120" w:after="120" w:line="240" w:lineRule="auto"/>
              <w:jc w:val="center"/>
            </w:pPr>
            <w:r>
              <w:rPr>
                <w:rFonts w:ascii="Cambria" w:hAnsi="Cambria"/>
                <w:b/>
                <w:bCs/>
                <w:sz w:val="20"/>
                <w:szCs w:val="20"/>
                <w:lang w:bidi="hi-IN"/>
              </w:rPr>
              <w:t>vismaz 55% samazinājums</w:t>
            </w:r>
            <w:r>
              <w:rPr>
                <w:rFonts w:ascii="Cambria" w:hAnsi="Cambria"/>
                <w:sz w:val="20"/>
                <w:szCs w:val="20"/>
                <w:lang w:bidi="hi-IN"/>
              </w:rPr>
              <w:t xml:space="preserve"> 2030. gadā,</w:t>
            </w:r>
          </w:p>
          <w:p w14:paraId="5BEE177C" w14:textId="77777777" w:rsidR="003E6EAD" w:rsidRDefault="003A4514">
            <w:pPr>
              <w:spacing w:before="120" w:after="120" w:line="240" w:lineRule="auto"/>
              <w:jc w:val="center"/>
              <w:rPr>
                <w:rFonts w:ascii="Cambria" w:hAnsi="Cambria"/>
                <w:sz w:val="20"/>
                <w:szCs w:val="20"/>
                <w:lang w:bidi="hi-IN"/>
              </w:rPr>
            </w:pPr>
            <w:r>
              <w:rPr>
                <w:rFonts w:ascii="Cambria" w:hAnsi="Cambria"/>
                <w:sz w:val="20"/>
                <w:szCs w:val="20"/>
                <w:lang w:bidi="hi-IN"/>
              </w:rPr>
              <w:t>ietverot ZIZIMM</w:t>
            </w:r>
          </w:p>
        </w:tc>
      </w:tr>
      <w:tr w:rsidR="003E6EAD" w14:paraId="2511B096" w14:textId="77777777">
        <w:trPr>
          <w:trHeight w:val="669"/>
        </w:trPr>
        <w:tc>
          <w:tcPr>
            <w:tcW w:w="4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443EA" w14:textId="77777777" w:rsidR="003E6EAD" w:rsidRDefault="003A4514">
            <w:pPr>
              <w:spacing w:before="120" w:after="120" w:line="240" w:lineRule="auto"/>
              <w:jc w:val="both"/>
              <w:rPr>
                <w:rFonts w:ascii="Cambria" w:hAnsi="Cambria"/>
                <w:sz w:val="20"/>
                <w:szCs w:val="20"/>
                <w:lang w:bidi="hi-IN"/>
              </w:rPr>
            </w:pPr>
            <w:r>
              <w:rPr>
                <w:rFonts w:ascii="Cambria" w:hAnsi="Cambria"/>
                <w:sz w:val="20"/>
                <w:szCs w:val="20"/>
                <w:lang w:bidi="hi-IN"/>
              </w:rPr>
              <w:t xml:space="preserve">SEG emisiju samazinājums ES ETS ietvaros </w:t>
            </w:r>
          </w:p>
          <w:p w14:paraId="32CE466B" w14:textId="77777777" w:rsidR="003E6EAD" w:rsidRDefault="003A4514">
            <w:pPr>
              <w:spacing w:before="120" w:after="120" w:line="240" w:lineRule="auto"/>
              <w:jc w:val="both"/>
              <w:rPr>
                <w:rFonts w:ascii="Cambria" w:hAnsi="Cambria"/>
                <w:sz w:val="20"/>
                <w:szCs w:val="20"/>
                <w:lang w:bidi="hi-IN"/>
              </w:rPr>
            </w:pPr>
            <w:r>
              <w:rPr>
                <w:rFonts w:ascii="Cambria" w:hAnsi="Cambria"/>
                <w:sz w:val="20"/>
                <w:szCs w:val="20"/>
                <w:lang w:bidi="hi-IN"/>
              </w:rPr>
              <w:t>(salīdzinot ar 2005. gadu)</w:t>
            </w:r>
          </w:p>
        </w:tc>
        <w:tc>
          <w:tcPr>
            <w:tcW w:w="4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04B9E" w14:textId="77777777" w:rsidR="003E6EAD" w:rsidRDefault="003A4514">
            <w:pPr>
              <w:spacing w:before="120" w:after="120" w:line="240" w:lineRule="auto"/>
              <w:jc w:val="center"/>
              <w:rPr>
                <w:rFonts w:ascii="Cambria" w:hAnsi="Cambria"/>
                <w:sz w:val="20"/>
                <w:szCs w:val="20"/>
                <w:lang w:bidi="hi-IN"/>
              </w:rPr>
            </w:pPr>
            <w:r>
              <w:rPr>
                <w:rFonts w:ascii="Cambria" w:hAnsi="Cambria"/>
                <w:sz w:val="20"/>
                <w:szCs w:val="20"/>
                <w:lang w:bidi="hi-IN"/>
              </w:rPr>
              <w:t>-62%</w:t>
            </w:r>
          </w:p>
        </w:tc>
      </w:tr>
      <w:tr w:rsidR="003E6EAD" w14:paraId="2D268FDC" w14:textId="77777777">
        <w:trPr>
          <w:trHeight w:val="165"/>
        </w:trPr>
        <w:tc>
          <w:tcPr>
            <w:tcW w:w="4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02935" w14:textId="77777777" w:rsidR="003E6EAD" w:rsidRDefault="003A4514">
            <w:pPr>
              <w:spacing w:before="120" w:after="120" w:line="240" w:lineRule="auto"/>
              <w:jc w:val="both"/>
              <w:rPr>
                <w:rFonts w:ascii="Cambria" w:hAnsi="Cambria"/>
                <w:sz w:val="20"/>
                <w:szCs w:val="20"/>
                <w:lang w:bidi="hi-IN"/>
              </w:rPr>
            </w:pPr>
            <w:r>
              <w:rPr>
                <w:rFonts w:ascii="Cambria" w:hAnsi="Cambria"/>
                <w:sz w:val="20"/>
                <w:szCs w:val="20"/>
                <w:lang w:bidi="hi-IN"/>
              </w:rPr>
              <w:t xml:space="preserve">SEG emisiju samazinājums ne-ETS nozarēs </w:t>
            </w:r>
          </w:p>
          <w:p w14:paraId="2B29B15E" w14:textId="77777777" w:rsidR="003E6EAD" w:rsidRDefault="003A4514">
            <w:pPr>
              <w:spacing w:before="120" w:after="120" w:line="240" w:lineRule="auto"/>
              <w:jc w:val="both"/>
              <w:rPr>
                <w:rFonts w:ascii="Cambria" w:hAnsi="Cambria"/>
                <w:sz w:val="20"/>
                <w:szCs w:val="20"/>
                <w:lang w:bidi="hi-IN"/>
              </w:rPr>
            </w:pPr>
            <w:r>
              <w:rPr>
                <w:rFonts w:ascii="Cambria" w:hAnsi="Cambria"/>
                <w:sz w:val="20"/>
                <w:szCs w:val="20"/>
                <w:lang w:bidi="hi-IN"/>
              </w:rPr>
              <w:t>(salīdzinot ar 2005. gadu)</w:t>
            </w:r>
          </w:p>
        </w:tc>
        <w:tc>
          <w:tcPr>
            <w:tcW w:w="4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63830" w14:textId="77777777" w:rsidR="003E6EAD" w:rsidRDefault="003A4514">
            <w:pPr>
              <w:spacing w:before="120" w:after="120" w:line="240" w:lineRule="auto"/>
              <w:jc w:val="center"/>
              <w:rPr>
                <w:rFonts w:ascii="Cambria" w:hAnsi="Cambria"/>
                <w:sz w:val="20"/>
                <w:szCs w:val="20"/>
                <w:lang w:bidi="hi-IN"/>
              </w:rPr>
            </w:pPr>
            <w:r>
              <w:rPr>
                <w:rFonts w:ascii="Cambria" w:hAnsi="Cambria"/>
                <w:sz w:val="20"/>
                <w:szCs w:val="20"/>
                <w:lang w:bidi="hi-IN"/>
              </w:rPr>
              <w:t>-40%</w:t>
            </w:r>
          </w:p>
        </w:tc>
      </w:tr>
    </w:tbl>
    <w:p w14:paraId="3B69BFAB" w14:textId="77777777" w:rsidR="003E6EAD" w:rsidRDefault="003E6EAD">
      <w:pPr>
        <w:spacing w:before="120" w:after="120" w:line="240" w:lineRule="auto"/>
        <w:jc w:val="both"/>
        <w:rPr>
          <w:rFonts w:ascii="Cambria" w:hAnsi="Cambria"/>
          <w:b/>
          <w:bCs/>
          <w:sz w:val="24"/>
          <w:szCs w:val="24"/>
        </w:rPr>
      </w:pPr>
    </w:p>
    <w:p w14:paraId="62EAC74E" w14:textId="77777777" w:rsidR="003E6EAD" w:rsidRPr="00D97123" w:rsidRDefault="003A4514" w:rsidP="00D97123">
      <w:pPr>
        <w:rPr>
          <w:rFonts w:ascii="Cambria" w:hAnsi="Cambria"/>
          <w:i/>
          <w:iCs/>
          <w:color w:val="074F6A" w:themeColor="accent4" w:themeShade="80"/>
          <w:sz w:val="24"/>
          <w:szCs w:val="24"/>
        </w:rPr>
      </w:pPr>
      <w:bookmarkStart w:id="18" w:name="_Toc185319489"/>
      <w:r w:rsidRPr="00D97123">
        <w:rPr>
          <w:rFonts w:ascii="Cambria" w:hAnsi="Cambria"/>
          <w:i/>
          <w:iCs/>
          <w:color w:val="074F6A" w:themeColor="accent4" w:themeShade="80"/>
          <w:sz w:val="24"/>
          <w:szCs w:val="24"/>
        </w:rPr>
        <w:t>ES Emisijas kvotu tirdzniecības sistēma</w:t>
      </w:r>
      <w:bookmarkEnd w:id="18"/>
    </w:p>
    <w:p w14:paraId="63ECE06A" w14:textId="0F5103A5" w:rsidR="003E6EAD" w:rsidRDefault="003A4514">
      <w:pPr>
        <w:spacing w:before="120" w:after="120" w:line="240" w:lineRule="auto"/>
        <w:ind w:firstLine="567"/>
        <w:jc w:val="both"/>
      </w:pPr>
      <w:r>
        <w:rPr>
          <w:rFonts w:ascii="Cambria" w:eastAsia="Times New Roman" w:hAnsi="Cambria"/>
          <w:sz w:val="24"/>
          <w:szCs w:val="24"/>
        </w:rPr>
        <w:t xml:space="preserve">ES ETS sistēmas pamatā ir tirgus principos balstītu lielo enerģijas ražotāju un energoietilpīgu rūpniecības </w:t>
      </w:r>
      <w:r w:rsidR="00861012">
        <w:rPr>
          <w:rFonts w:ascii="Cambria" w:eastAsia="Times New Roman" w:hAnsi="Cambria"/>
          <w:sz w:val="24"/>
          <w:szCs w:val="24"/>
        </w:rPr>
        <w:t>nozares</w:t>
      </w:r>
      <w:r>
        <w:rPr>
          <w:rFonts w:ascii="Cambria" w:eastAsia="Times New Roman" w:hAnsi="Cambria"/>
          <w:sz w:val="24"/>
          <w:szCs w:val="24"/>
        </w:rPr>
        <w:t xml:space="preserve"> stimulēšanas mehānisms SEG emisiju samazināšanai </w:t>
      </w:r>
      <w:r>
        <w:rPr>
          <w:rFonts w:ascii="Cambria" w:hAnsi="Cambria"/>
          <w:sz w:val="24"/>
          <w:szCs w:val="24"/>
        </w:rPr>
        <w:t>izmaksu efektīvā</w:t>
      </w:r>
      <w:r>
        <w:rPr>
          <w:rFonts w:ascii="Cambria" w:hAnsi="Cambria"/>
        </w:rPr>
        <w:t xml:space="preserve"> </w:t>
      </w:r>
      <w:r>
        <w:rPr>
          <w:rFonts w:ascii="Cambria" w:eastAsia="Times New Roman" w:hAnsi="Cambria"/>
          <w:sz w:val="24"/>
          <w:szCs w:val="24"/>
        </w:rPr>
        <w:t>veidā, un šo pasākumu izstrādi un īstenošanu nodrošina EK kopā ar ES dalībvalstīm saskaņā ar</w:t>
      </w:r>
      <w:r w:rsidR="0045026B" w:rsidRPr="0045026B">
        <w:rPr>
          <w:rFonts w:ascii="Cambria" w:hAnsi="Cambria"/>
          <w:sz w:val="24"/>
          <w:szCs w:val="24"/>
        </w:rPr>
        <w:t xml:space="preserve"> </w:t>
      </w:r>
      <w:r w:rsidR="0045026B">
        <w:rPr>
          <w:rFonts w:ascii="Cambria" w:hAnsi="Cambria"/>
          <w:sz w:val="24"/>
          <w:szCs w:val="24"/>
        </w:rPr>
        <w:t>Direktīvu 2003/87</w:t>
      </w:r>
      <w:r>
        <w:rPr>
          <w:rFonts w:ascii="Cambria" w:eastAsia="Times New Roman" w:hAnsi="Cambria"/>
          <w:sz w:val="24"/>
          <w:szCs w:val="24"/>
        </w:rPr>
        <w:t xml:space="preserve">. ES ETS kopējā mērķa izpildes organizēšana ir EK atbildība. Šī mērķa izpildei ir apstiprināti ES ETS darbības nosacījumi un noteikta ES ETS operatoru atbildība, vienota visā ES. ES ETS aptver 53 Latvijas iekārtas (2022. gads), vairums no tām sadedzināšanas iekārtas, kā arī rūpniecības iekārtas, – tām ir jādarbojas pēc ES līmenī noteiktajiem noteikumiem. </w:t>
      </w:r>
    </w:p>
    <w:p w14:paraId="116A1DA0" w14:textId="6723D1C1"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 xml:space="preserve">Pakotnē “Gatavi mērķrādītājam 55” tika iekļauti tiesību aktu priekšlikumi ES ETS pārskatīšanai, tostarp tās attiecināšana uz kuģniecību, noteikumu aviācijas emisiju jomā pārskatīšanu un atsevišķas </w:t>
      </w:r>
      <w:r w:rsidR="00B40622">
        <w:rPr>
          <w:rFonts w:ascii="Cambria" w:eastAsia="Times New Roman" w:hAnsi="Cambria"/>
          <w:sz w:val="24"/>
          <w:szCs w:val="24"/>
        </w:rPr>
        <w:t>ETS</w:t>
      </w:r>
      <w:r w:rsidRPr="5B9FE7F0">
        <w:rPr>
          <w:rFonts w:ascii="Cambria" w:eastAsia="Times New Roman" w:hAnsi="Cambria"/>
          <w:sz w:val="24"/>
          <w:szCs w:val="24"/>
        </w:rPr>
        <w:t xml:space="preserve"> izveidi autotransportam un ēkām. Ar šo tiesību aktu publicēšanu tiek noteikts SEG emisiju samazināšanas mērķis – 62 % salīdzinājumā ar 2005. gadu (iepriekš 43 % bez kuģniecības nozares) ES ETS aptvertajās nozarēs.</w:t>
      </w:r>
    </w:p>
    <w:p w14:paraId="2EFF31CF" w14:textId="0BBDF1FA" w:rsidR="003E6EAD" w:rsidRPr="00D97123" w:rsidRDefault="003A4514" w:rsidP="00D97123">
      <w:pPr>
        <w:rPr>
          <w:rFonts w:ascii="Cambria" w:hAnsi="Cambria"/>
          <w:i/>
          <w:iCs/>
          <w:color w:val="074F6A" w:themeColor="accent4" w:themeShade="80"/>
          <w:sz w:val="24"/>
          <w:szCs w:val="24"/>
        </w:rPr>
      </w:pPr>
      <w:bookmarkStart w:id="19" w:name="_Toc185319490"/>
      <w:r w:rsidRPr="00D97123">
        <w:rPr>
          <w:rFonts w:ascii="Cambria" w:hAnsi="Cambria"/>
          <w:i/>
          <w:iCs/>
          <w:color w:val="074F6A" w:themeColor="accent4" w:themeShade="80"/>
          <w:sz w:val="24"/>
          <w:szCs w:val="24"/>
        </w:rPr>
        <w:t>Ne-ETS darbības</w:t>
      </w:r>
      <w:bookmarkEnd w:id="19"/>
    </w:p>
    <w:p w14:paraId="54D1A4C9" w14:textId="0EDE389C" w:rsidR="003E6EAD" w:rsidRPr="00C5522F"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 xml:space="preserve">Ne-ETS  </w:t>
      </w:r>
      <w:r w:rsidR="02FFC039" w:rsidRPr="5B9FE7F0">
        <w:rPr>
          <w:rFonts w:ascii="Cambria" w:eastAsia="Times New Roman" w:hAnsi="Cambria"/>
          <w:sz w:val="24"/>
          <w:szCs w:val="24"/>
        </w:rPr>
        <w:t xml:space="preserve">ir iekļautas </w:t>
      </w:r>
      <w:r w:rsidRPr="5B9FE7F0">
        <w:rPr>
          <w:rFonts w:ascii="Cambria" w:eastAsia="Times New Roman" w:hAnsi="Cambria"/>
          <w:sz w:val="24"/>
          <w:szCs w:val="24"/>
        </w:rPr>
        <w:t xml:space="preserve"> SEG emisij</w:t>
      </w:r>
      <w:r w:rsidR="10EFDD97" w:rsidRPr="5B9FE7F0">
        <w:rPr>
          <w:rFonts w:ascii="Cambria" w:eastAsia="Times New Roman" w:hAnsi="Cambria"/>
          <w:sz w:val="24"/>
          <w:szCs w:val="24"/>
        </w:rPr>
        <w:t>as</w:t>
      </w:r>
      <w:r w:rsidRPr="5B9FE7F0">
        <w:rPr>
          <w:rFonts w:ascii="Cambria" w:eastAsia="Times New Roman" w:hAnsi="Cambria"/>
          <w:sz w:val="24"/>
          <w:szCs w:val="24"/>
        </w:rPr>
        <w:t xml:space="preserve"> no transporta</w:t>
      </w:r>
      <w:r w:rsidR="00445DE2">
        <w:rPr>
          <w:rStyle w:val="FootnoteReference"/>
          <w:rFonts w:ascii="Cambria" w:eastAsia="Times New Roman" w:hAnsi="Cambria"/>
          <w:sz w:val="24"/>
          <w:szCs w:val="24"/>
        </w:rPr>
        <w:footnoteReference w:id="28"/>
      </w:r>
      <w:r w:rsidRPr="5B9FE7F0">
        <w:rPr>
          <w:rFonts w:ascii="Cambria" w:eastAsia="Times New Roman" w:hAnsi="Cambria"/>
          <w:sz w:val="24"/>
          <w:szCs w:val="24"/>
        </w:rPr>
        <w:t xml:space="preserve">, lauksaimniecības, atkritumu apsaimniekošanas, enerģētikas un rūpniecisko procesu un produktu izmantošanas </w:t>
      </w:r>
      <w:r w:rsidRPr="5B9FE7F0">
        <w:rPr>
          <w:rFonts w:ascii="Cambria" w:eastAsia="Times New Roman" w:hAnsi="Cambria"/>
          <w:sz w:val="24"/>
          <w:szCs w:val="24"/>
        </w:rPr>
        <w:lastRenderedPageBreak/>
        <w:t xml:space="preserve">sektoriem, kas nav ietverti ES ETS (mājsaimniecības, produktu izmantošana, kurināmā gaistošās emisijas un </w:t>
      </w:r>
      <w:r w:rsidRPr="5B9FE7F0">
        <w:rPr>
          <w:rStyle w:val="FootnoteReference"/>
          <w:rFonts w:ascii="Cambria" w:eastAsia="Cambria" w:hAnsi="Cambria" w:cs="Cambria"/>
          <w:sz w:val="24"/>
          <w:szCs w:val="24"/>
          <w:vertAlign w:val="baseline"/>
        </w:rPr>
        <w:t>ne-ETS</w:t>
      </w:r>
      <w:r w:rsidRPr="5B9FE7F0">
        <w:rPr>
          <w:rFonts w:ascii="Cambria" w:eastAsia="Cambria" w:hAnsi="Cambria" w:cs="Cambria"/>
          <w:sz w:val="24"/>
          <w:szCs w:val="24"/>
        </w:rPr>
        <w:t xml:space="preserve"> </w:t>
      </w:r>
      <w:r w:rsidRPr="5B9FE7F0">
        <w:rPr>
          <w:rStyle w:val="FootnoteReference"/>
          <w:rFonts w:ascii="Cambria" w:eastAsia="Cambria" w:hAnsi="Cambria" w:cs="Cambria"/>
          <w:sz w:val="24"/>
          <w:szCs w:val="24"/>
          <w:vertAlign w:val="baseline"/>
        </w:rPr>
        <w:t>emisijas no enerģētikas nozarēm, apstrādes būvniecības un rūpniecības, komerciālā un sabiedriskā sektora,</w:t>
      </w:r>
      <w:r w:rsidRPr="5B9FE7F0">
        <w:rPr>
          <w:rFonts w:ascii="Cambria" w:eastAsia="Cambria" w:hAnsi="Cambria" w:cs="Cambria"/>
          <w:sz w:val="24"/>
          <w:szCs w:val="24"/>
        </w:rPr>
        <w:t xml:space="preserve"> </w:t>
      </w:r>
      <w:r w:rsidRPr="5B9FE7F0">
        <w:rPr>
          <w:rStyle w:val="FootnoteReference"/>
          <w:rFonts w:ascii="Cambria" w:eastAsia="Cambria" w:hAnsi="Cambria" w:cs="Cambria"/>
          <w:sz w:val="24"/>
          <w:szCs w:val="24"/>
          <w:vertAlign w:val="baseline"/>
        </w:rPr>
        <w:t>"Citi</w:t>
      </w:r>
      <w:r w:rsidRPr="5B9FE7F0">
        <w:rPr>
          <w:rFonts w:ascii="Cambria" w:eastAsia="Cambria" w:hAnsi="Cambria" w:cs="Cambria"/>
          <w:sz w:val="24"/>
          <w:szCs w:val="24"/>
        </w:rPr>
        <w:t xml:space="preserve"> avoti”). </w:t>
      </w:r>
      <w:r w:rsidR="001C6BB4" w:rsidRPr="001C6BB4">
        <w:rPr>
          <w:rFonts w:ascii="Cambria" w:eastAsia="Times New Roman" w:hAnsi="Cambria"/>
          <w:sz w:val="24"/>
          <w:szCs w:val="24"/>
        </w:rPr>
        <w:t>Lai sasniegtu ES mērķrādītāju līdz 2030. gadam samazināt SEG emisijas par 40%, salīdzinot ar 2005. gada līmeni, ne-ETS mērķa izpildes saistības ir pārdalītas katrai ES dalībvalstij, t.sk. Latvijai.</w:t>
      </w:r>
      <w:r w:rsidR="001C6BB4">
        <w:rPr>
          <w:rFonts w:ascii="Cambria" w:eastAsia="Times New Roman" w:hAnsi="Cambria"/>
          <w:sz w:val="24"/>
          <w:szCs w:val="24"/>
        </w:rPr>
        <w:t xml:space="preserve"> </w:t>
      </w:r>
      <w:r w:rsidR="00465A2B">
        <w:rPr>
          <w:rFonts w:ascii="Cambria" w:eastAsia="Times New Roman" w:hAnsi="Cambria"/>
          <w:sz w:val="24"/>
          <w:szCs w:val="24"/>
        </w:rPr>
        <w:t>K</w:t>
      </w:r>
      <w:r w:rsidRPr="5B9FE7F0">
        <w:rPr>
          <w:rFonts w:ascii="Cambria" w:eastAsia="Times New Roman" w:hAnsi="Cambria"/>
          <w:sz w:val="24"/>
          <w:szCs w:val="24"/>
        </w:rPr>
        <w:t xml:space="preserve">atras ES dalībvalsts ne-ETS mērķi un tā izpildes nosacījumi </w:t>
      </w:r>
      <w:r w:rsidR="00465A2B">
        <w:rPr>
          <w:rFonts w:ascii="Cambria" w:eastAsia="Times New Roman" w:hAnsi="Cambria"/>
          <w:sz w:val="24"/>
          <w:szCs w:val="24"/>
        </w:rPr>
        <w:t>l</w:t>
      </w:r>
      <w:r w:rsidR="00465A2B" w:rsidRPr="5B9FE7F0">
        <w:rPr>
          <w:rFonts w:ascii="Cambria" w:eastAsia="Times New Roman" w:hAnsi="Cambria"/>
          <w:sz w:val="24"/>
          <w:szCs w:val="24"/>
        </w:rPr>
        <w:t xml:space="preserve">aika periodā no 2021. gada līdz 2030. gadam </w:t>
      </w:r>
      <w:r w:rsidRPr="5B9FE7F0">
        <w:rPr>
          <w:rFonts w:ascii="Cambria" w:eastAsia="Times New Roman" w:hAnsi="Cambria"/>
          <w:sz w:val="24"/>
          <w:szCs w:val="24"/>
        </w:rPr>
        <w:t xml:space="preserve">noteikti saskaņā ar </w:t>
      </w:r>
      <w:r w:rsidRPr="5B9FE7F0">
        <w:rPr>
          <w:rFonts w:ascii="Cambria" w:hAnsi="Cambria"/>
          <w:sz w:val="24"/>
          <w:szCs w:val="24"/>
        </w:rPr>
        <w:t xml:space="preserve">Regulas 2018/842 4. panta 1. punktu un 1. pielikumu. </w:t>
      </w:r>
      <w:r w:rsidRPr="5B9FE7F0">
        <w:rPr>
          <w:rFonts w:ascii="Cambria" w:eastAsia="Times New Roman" w:hAnsi="Cambria"/>
          <w:sz w:val="24"/>
          <w:szCs w:val="24"/>
        </w:rPr>
        <w:t>Latvijai ir nepieciešams nodrošināt ne-ETS darbību SEG emisiju samazinājumu</w:t>
      </w:r>
      <w:r w:rsidR="00A84A64">
        <w:rPr>
          <w:rFonts w:ascii="Cambria" w:eastAsia="Times New Roman" w:hAnsi="Cambria"/>
          <w:sz w:val="24"/>
          <w:szCs w:val="24"/>
        </w:rPr>
        <w:t xml:space="preserve"> </w:t>
      </w:r>
      <w:r w:rsidR="00A84A64" w:rsidRPr="5B9FE7F0">
        <w:rPr>
          <w:rFonts w:ascii="Cambria" w:eastAsia="Times New Roman" w:hAnsi="Cambria"/>
          <w:sz w:val="24"/>
          <w:szCs w:val="24"/>
        </w:rPr>
        <w:t>17 %</w:t>
      </w:r>
      <w:r w:rsidR="00A84A64">
        <w:rPr>
          <w:rFonts w:ascii="Cambria" w:eastAsia="Times New Roman" w:hAnsi="Cambria"/>
          <w:sz w:val="24"/>
          <w:szCs w:val="24"/>
        </w:rPr>
        <w:t xml:space="preserve"> 2030.gadā</w:t>
      </w:r>
      <w:r w:rsidRPr="5B9FE7F0">
        <w:rPr>
          <w:rFonts w:ascii="Cambria" w:eastAsia="Times New Roman" w:hAnsi="Cambria"/>
          <w:sz w:val="24"/>
          <w:szCs w:val="24"/>
        </w:rPr>
        <w:t>, salīdzinot ar Latvijas ne-ETS darbību SEG emisiju apjomu 2005. gadā</w:t>
      </w:r>
      <w:r w:rsidRPr="5B9FE7F0">
        <w:rPr>
          <w:rStyle w:val="FootnoteReference"/>
          <w:rFonts w:ascii="Cambria" w:eastAsia="Times New Roman" w:hAnsi="Cambria"/>
          <w:sz w:val="24"/>
          <w:szCs w:val="24"/>
        </w:rPr>
        <w:footnoteReference w:id="29"/>
      </w:r>
      <w:r w:rsidRPr="5B9FE7F0">
        <w:rPr>
          <w:rFonts w:ascii="Cambria" w:eastAsia="Times New Roman" w:hAnsi="Cambria"/>
          <w:sz w:val="24"/>
          <w:szCs w:val="24"/>
        </w:rPr>
        <w:t>. Pie ne-ETS nav iekļautas SEG emisijas un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piesaiste, ko aptver Regula 2018/841.</w:t>
      </w:r>
    </w:p>
    <w:p w14:paraId="09AB8FA2" w14:textId="0B8084AC" w:rsidR="003E6EAD" w:rsidRPr="00C5522F" w:rsidRDefault="003A4514" w:rsidP="00C5522F">
      <w:pPr>
        <w:rPr>
          <w:rFonts w:ascii="Cambria" w:hAnsi="Cambria"/>
          <w:i/>
          <w:iCs/>
          <w:color w:val="074F6A" w:themeColor="accent4" w:themeShade="80"/>
          <w:sz w:val="24"/>
          <w:szCs w:val="24"/>
        </w:rPr>
      </w:pPr>
      <w:bookmarkStart w:id="20" w:name="_Toc185319491"/>
      <w:r w:rsidRPr="00C5522F">
        <w:rPr>
          <w:rFonts w:ascii="Cambria" w:hAnsi="Cambria"/>
          <w:i/>
          <w:iCs/>
          <w:color w:val="074F6A" w:themeColor="accent4" w:themeShade="80"/>
          <w:sz w:val="24"/>
          <w:szCs w:val="24"/>
        </w:rPr>
        <w:t>ZIZIMM uzskaites/ziņošanas kategorijas</w:t>
      </w:r>
      <w:bookmarkEnd w:id="20"/>
    </w:p>
    <w:p w14:paraId="15B200D0" w14:textId="4CDBFE79" w:rsidR="003E6EAD" w:rsidRDefault="00760B06">
      <w:pPr>
        <w:spacing w:before="120" w:after="120" w:line="240" w:lineRule="auto"/>
        <w:ind w:firstLine="567"/>
        <w:jc w:val="both"/>
      </w:pPr>
      <w:r w:rsidRPr="00760B06">
        <w:rPr>
          <w:rFonts w:ascii="Cambria" w:eastAsia="Times New Roman" w:hAnsi="Cambria"/>
          <w:sz w:val="24"/>
          <w:szCs w:val="24"/>
        </w:rPr>
        <w:t>ZIZIMM sektora saistības un SEG emisiju un CO</w:t>
      </w:r>
      <w:r w:rsidRPr="00760B06">
        <w:rPr>
          <w:rFonts w:ascii="Cambria" w:eastAsia="Times New Roman" w:hAnsi="Cambria"/>
          <w:sz w:val="24"/>
          <w:szCs w:val="24"/>
          <w:vertAlign w:val="subscript"/>
        </w:rPr>
        <w:t xml:space="preserve">2 </w:t>
      </w:r>
      <w:r w:rsidRPr="00760B06">
        <w:rPr>
          <w:rFonts w:ascii="Cambria" w:eastAsia="Times New Roman" w:hAnsi="Cambria"/>
          <w:sz w:val="24"/>
          <w:szCs w:val="24"/>
        </w:rPr>
        <w:t>piesaistes uzskaite 2021. - 2030. gada periodam noteikta saskaņā ar Regulu</w:t>
      </w:r>
      <w:r w:rsidR="003A4514">
        <w:rPr>
          <w:rFonts w:ascii="Cambria" w:hAnsi="Cambria"/>
          <w:sz w:val="24"/>
          <w:szCs w:val="24"/>
        </w:rPr>
        <w:t xml:space="preserve"> 2018/841</w:t>
      </w:r>
      <w:r w:rsidR="003A4514">
        <w:rPr>
          <w:rStyle w:val="FootnoteReference"/>
          <w:rFonts w:ascii="Cambria" w:hAnsi="Cambria"/>
          <w:i/>
          <w:iCs/>
          <w:sz w:val="24"/>
          <w:szCs w:val="24"/>
        </w:rPr>
        <w:footnoteReference w:id="30"/>
      </w:r>
      <w:r w:rsidR="003A4514">
        <w:rPr>
          <w:rFonts w:ascii="Cambria" w:hAnsi="Cambria"/>
          <w:sz w:val="24"/>
          <w:szCs w:val="24"/>
        </w:rPr>
        <w:t xml:space="preserve">. </w:t>
      </w:r>
    </w:p>
    <w:p w14:paraId="68D5DF90" w14:textId="07CD22A4" w:rsidR="003E6EAD" w:rsidRDefault="003A4514">
      <w:pPr>
        <w:spacing w:before="120" w:after="120" w:line="240" w:lineRule="auto"/>
        <w:ind w:firstLine="567"/>
        <w:jc w:val="both"/>
      </w:pPr>
      <w:r>
        <w:rPr>
          <w:rFonts w:ascii="Cambria" w:eastAsia="Times New Roman" w:hAnsi="Cambria"/>
          <w:sz w:val="24"/>
          <w:szCs w:val="24"/>
        </w:rPr>
        <w:t xml:space="preserve">Saskaņā ar </w:t>
      </w:r>
      <w:r w:rsidR="000A61C1">
        <w:rPr>
          <w:rFonts w:ascii="Cambria" w:eastAsia="Times New Roman" w:hAnsi="Cambria"/>
          <w:sz w:val="24"/>
          <w:szCs w:val="24"/>
        </w:rPr>
        <w:t xml:space="preserve">Regulas </w:t>
      </w:r>
      <w:r>
        <w:rPr>
          <w:rFonts w:ascii="Cambria" w:eastAsia="Times New Roman" w:hAnsi="Cambria"/>
          <w:sz w:val="24"/>
          <w:szCs w:val="24"/>
        </w:rPr>
        <w:t>2018/841 4. pantā noteikto Latvijai no 2021. līdz 2025. gadam, ņemot vērā noteiktās elastības iespējas ir jānodrošina, ka uzskaitīto SEG emisiju summa nepārsniedz uzskaitītās CO</w:t>
      </w:r>
      <w:r>
        <w:rPr>
          <w:rFonts w:ascii="Cambria" w:eastAsia="Times New Roman" w:hAnsi="Cambria"/>
          <w:sz w:val="24"/>
          <w:szCs w:val="24"/>
          <w:vertAlign w:val="subscript"/>
        </w:rPr>
        <w:t>2</w:t>
      </w:r>
      <w:r>
        <w:rPr>
          <w:rFonts w:ascii="Cambria" w:eastAsia="Times New Roman" w:hAnsi="Cambria"/>
          <w:sz w:val="24"/>
          <w:szCs w:val="24"/>
        </w:rPr>
        <w:t xml:space="preserve"> piesaistes summu Regulas 2018/841 2. pantā minētajās zemes uzskaites kategorijās.</w:t>
      </w:r>
    </w:p>
    <w:p w14:paraId="6FEE7366" w14:textId="47D4F286" w:rsidR="003E6EAD" w:rsidRDefault="003A4514" w:rsidP="5B9FE7F0">
      <w:pPr>
        <w:spacing w:before="120" w:after="120" w:line="240" w:lineRule="auto"/>
        <w:ind w:firstLine="567"/>
        <w:jc w:val="both"/>
        <w:rPr>
          <w:rFonts w:ascii="Cambria" w:eastAsia="Times New Roman" w:hAnsi="Cambria"/>
          <w:sz w:val="24"/>
          <w:szCs w:val="24"/>
        </w:rPr>
      </w:pPr>
      <w:bookmarkStart w:id="21" w:name="_Hlk117802510"/>
      <w:r w:rsidRPr="5B9FE7F0">
        <w:rPr>
          <w:rFonts w:ascii="Cambria" w:hAnsi="Cambria"/>
          <w:sz w:val="24"/>
          <w:szCs w:val="24"/>
        </w:rPr>
        <w:t>2023. gada 11. maijā stājās spēkā Eiropas Parlamenta un Padomes 2023. gada 19. aprīļa regula Nr. 2023/839 ar ko attiecībā uz darbības jomu, ziņošanas un izpildes noteikumu vienkāršošanu un dalībvalstu 2030. gada mērķrādītāju noteikšanu groza Regulu (ES) 2018/841 un attiecībā uz monitoringa, ziņošanas, progresa apsekošanas un izskatīšanas uzlabošanu groza Regulu (ES) 2018</w:t>
      </w:r>
      <w:r w:rsidR="000A61C1">
        <w:rPr>
          <w:rFonts w:ascii="Cambria" w:hAnsi="Cambria"/>
          <w:sz w:val="24"/>
          <w:szCs w:val="24"/>
        </w:rPr>
        <w:t>/1999</w:t>
      </w:r>
      <w:r w:rsidRPr="5B9FE7F0">
        <w:rPr>
          <w:rStyle w:val="FootnoteReference"/>
          <w:rFonts w:ascii="Cambria" w:hAnsi="Cambria"/>
          <w:sz w:val="24"/>
          <w:szCs w:val="24"/>
        </w:rPr>
        <w:footnoteReference w:id="31"/>
      </w:r>
      <w:r w:rsidRPr="5B9FE7F0">
        <w:rPr>
          <w:rFonts w:ascii="Cambria" w:hAnsi="Cambria"/>
          <w:sz w:val="24"/>
          <w:szCs w:val="24"/>
        </w:rPr>
        <w:t>, kas nosaka izmaiņas ZIZIMM sektorā, īpaši periodā, sākot no 2026. gada. Latvijai noteiktais mērķis (piesaiste visā ZIZIMM sektorā), kas indikatīvi</w:t>
      </w:r>
      <w:r w:rsidRPr="5B9FE7F0">
        <w:rPr>
          <w:rFonts w:ascii="Cambria" w:hAnsi="Cambria"/>
          <w:b/>
          <w:bCs/>
          <w:sz w:val="24"/>
          <w:szCs w:val="24"/>
        </w:rPr>
        <w:t xml:space="preserve"> </w:t>
      </w:r>
      <w:r w:rsidRPr="5B9FE7F0">
        <w:rPr>
          <w:rFonts w:ascii="Cambria" w:hAnsi="Cambria"/>
          <w:sz w:val="24"/>
          <w:szCs w:val="24"/>
        </w:rPr>
        <w:t>būs jāsasniedz 2030. gadā, ir -644 kt CO</w:t>
      </w:r>
      <w:r w:rsidRPr="5B9FE7F0">
        <w:rPr>
          <w:rFonts w:ascii="Cambria" w:hAnsi="Cambria"/>
          <w:sz w:val="24"/>
          <w:szCs w:val="24"/>
          <w:vertAlign w:val="subscript"/>
        </w:rPr>
        <w:t>2</w:t>
      </w:r>
      <w:r w:rsidRPr="5B9FE7F0">
        <w:rPr>
          <w:rFonts w:ascii="Cambria" w:hAnsi="Cambria"/>
          <w:sz w:val="24"/>
          <w:szCs w:val="24"/>
        </w:rPr>
        <w:t xml:space="preserve"> ekv. </w:t>
      </w:r>
      <w:bookmarkEnd w:id="21"/>
      <w:r w:rsidR="00055BEA">
        <w:rPr>
          <w:rFonts w:ascii="Cambria" w:hAnsi="Cambria"/>
          <w:sz w:val="24"/>
          <w:szCs w:val="24"/>
        </w:rPr>
        <w:t xml:space="preserve">Katrai </w:t>
      </w:r>
      <w:r w:rsidR="00055BEA">
        <w:rPr>
          <w:rFonts w:ascii="Cambria" w:eastAsia="Times New Roman" w:hAnsi="Cambria"/>
          <w:sz w:val="24"/>
          <w:szCs w:val="24"/>
        </w:rPr>
        <w:t>d</w:t>
      </w:r>
      <w:r w:rsidRPr="5B9FE7F0">
        <w:rPr>
          <w:rFonts w:ascii="Cambria" w:eastAsia="Times New Roman" w:hAnsi="Cambria"/>
          <w:sz w:val="24"/>
          <w:szCs w:val="24"/>
        </w:rPr>
        <w:t>alībvalst</w:t>
      </w:r>
      <w:r w:rsidR="00055BEA">
        <w:rPr>
          <w:rFonts w:ascii="Cambria" w:eastAsia="Times New Roman" w:hAnsi="Cambria"/>
          <w:sz w:val="24"/>
          <w:szCs w:val="24"/>
        </w:rPr>
        <w:t>ij</w:t>
      </w:r>
      <w:r w:rsidRPr="5B9FE7F0">
        <w:rPr>
          <w:rFonts w:ascii="Cambria" w:eastAsia="Times New Roman" w:hAnsi="Cambria"/>
          <w:sz w:val="24"/>
          <w:szCs w:val="24"/>
        </w:rPr>
        <w:t xml:space="preserve"> 2026. - 2029. gadā būs noteikts arī viens kopīgs sasniedzams mērķrādītājs (četru gadu budžets), kuram par pamatu būs trajektorija, kuru atbilstoši 2025. gada SEG inventarizācijai faktiskajām, vidējām 2021. - 2023.</w:t>
      </w:r>
      <w:r w:rsidR="006B47E9">
        <w:rPr>
          <w:rFonts w:ascii="Cambria" w:eastAsia="Times New Roman" w:hAnsi="Cambria"/>
          <w:sz w:val="24"/>
          <w:szCs w:val="24"/>
        </w:rPr>
        <w:t xml:space="preserve"> </w:t>
      </w:r>
      <w:r w:rsidRPr="5B9FE7F0">
        <w:rPr>
          <w:rFonts w:ascii="Cambria" w:eastAsia="Times New Roman" w:hAnsi="Cambria"/>
          <w:sz w:val="24"/>
          <w:szCs w:val="24"/>
        </w:rPr>
        <w:t>gada emisijām novilks no 2022. gada uz 2030. gada mērķrādītāju. Ja četru gadu budžetu DV neizpildīs, tad šo neizpildi (kt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ekv.) pareizinātu ar koeficientu 1,08 pieskaitīs 2030.gada mērķim</w:t>
      </w:r>
      <w:bookmarkStart w:id="22" w:name="_Hlk114487438"/>
      <w:r w:rsidRPr="5B9FE7F0">
        <w:rPr>
          <w:rFonts w:ascii="Cambria" w:eastAsia="Times New Roman" w:hAnsi="Cambria"/>
          <w:sz w:val="24"/>
          <w:szCs w:val="24"/>
        </w:rPr>
        <w:t>.</w:t>
      </w:r>
    </w:p>
    <w:p w14:paraId="29CDF2F6" w14:textId="77777777" w:rsidR="003E6EAD" w:rsidRPr="00A40FB1" w:rsidRDefault="003A4514" w:rsidP="5B9FE7F0">
      <w:pPr>
        <w:spacing w:before="120" w:after="120" w:line="240" w:lineRule="auto"/>
        <w:ind w:firstLine="567"/>
        <w:jc w:val="both"/>
        <w:rPr>
          <w:sz w:val="24"/>
          <w:szCs w:val="24"/>
        </w:rPr>
      </w:pPr>
      <w:r w:rsidRPr="5B9FE7F0">
        <w:rPr>
          <w:rFonts w:ascii="Cambria" w:hAnsi="Cambria"/>
          <w:sz w:val="24"/>
          <w:szCs w:val="24"/>
        </w:rPr>
        <w:t xml:space="preserve">Sākot ar 2021. gadu, ZIZIMM sektora mērķis un mērķa izpildes uzskaite ir saistīta ar ne-ETS mērķu izpildi. </w:t>
      </w:r>
      <w:bookmarkEnd w:id="22"/>
      <w:r w:rsidRPr="5B9FE7F0">
        <w:rPr>
          <w:rFonts w:ascii="Cambria" w:hAnsi="Cambria"/>
          <w:sz w:val="24"/>
          <w:szCs w:val="24"/>
        </w:rPr>
        <w:t>ES tiesiskais regulējums noteic, ka ZIZIMM mērķu neizpildes gadījumā šī neizpilde ir jānosedz ne-ETS sektoram, savukārt ne-ETS mērķa neizpilde ierobežotā apjomā var tikt kompensēta ar SEG emisiju mērķu pārpildes vienībām, kas radušās ZIZIMM sektorā</w:t>
      </w:r>
      <w:r w:rsidRPr="5B9FE7F0">
        <w:rPr>
          <w:rStyle w:val="FootnoteAnchor"/>
          <w:rFonts w:ascii="Cambria" w:hAnsi="Cambria"/>
          <w:sz w:val="24"/>
          <w:szCs w:val="24"/>
        </w:rPr>
        <w:footnoteReference w:id="32"/>
      </w:r>
      <w:r w:rsidRPr="5B9FE7F0">
        <w:rPr>
          <w:rFonts w:ascii="Cambria" w:hAnsi="Cambria"/>
          <w:sz w:val="24"/>
          <w:szCs w:val="24"/>
        </w:rPr>
        <w:t xml:space="preserve">. </w:t>
      </w:r>
    </w:p>
    <w:p w14:paraId="5CEE9837" w14:textId="3008F0AB" w:rsidR="003E6EAD" w:rsidRPr="00A40FB1" w:rsidRDefault="003A4514" w:rsidP="5B9FE7F0">
      <w:pPr>
        <w:jc w:val="both"/>
        <w:rPr>
          <w:sz w:val="24"/>
          <w:szCs w:val="24"/>
        </w:rPr>
      </w:pPr>
      <w:r w:rsidRPr="5B9FE7F0">
        <w:rPr>
          <w:rFonts w:ascii="Cambria" w:hAnsi="Cambria"/>
          <w:sz w:val="24"/>
          <w:szCs w:val="24"/>
        </w:rPr>
        <w:t>Dalībvalstis var pirkt  vai pārdot vienības ZIZIMM mērķu sasniegšanai (</w:t>
      </w:r>
      <w:r w:rsidR="00B30EC1">
        <w:rPr>
          <w:rFonts w:ascii="Cambria" w:hAnsi="Cambria"/>
          <w:sz w:val="24"/>
          <w:szCs w:val="24"/>
        </w:rPr>
        <w:t>Regulas 2018/841</w:t>
      </w:r>
      <w:r w:rsidR="00301150">
        <w:rPr>
          <w:rFonts w:ascii="Cambria" w:hAnsi="Cambria"/>
          <w:sz w:val="24"/>
          <w:szCs w:val="24"/>
        </w:rPr>
        <w:t xml:space="preserve"> </w:t>
      </w:r>
      <w:r w:rsidRPr="5B9FE7F0">
        <w:rPr>
          <w:rFonts w:ascii="Cambria" w:hAnsi="Cambria"/>
          <w:sz w:val="24"/>
          <w:szCs w:val="24"/>
        </w:rPr>
        <w:t>12.</w:t>
      </w:r>
      <w:r w:rsidR="00E3555E">
        <w:rPr>
          <w:rFonts w:ascii="Cambria" w:hAnsi="Cambria"/>
          <w:sz w:val="24"/>
          <w:szCs w:val="24"/>
        </w:rPr>
        <w:t xml:space="preserve"> </w:t>
      </w:r>
      <w:r w:rsidRPr="5B9FE7F0">
        <w:rPr>
          <w:rFonts w:ascii="Cambria" w:hAnsi="Cambria"/>
          <w:sz w:val="24"/>
          <w:szCs w:val="24"/>
        </w:rPr>
        <w:t>pants). J</w:t>
      </w:r>
      <w:r w:rsidRPr="5B9FE7F0">
        <w:rPr>
          <w:rFonts w:ascii="Cambria" w:hAnsi="Cambria"/>
          <w:sz w:val="24"/>
          <w:szCs w:val="24"/>
          <w:lang w:eastAsia="lv-LV" w:bidi="lo-LA"/>
        </w:rPr>
        <w:t xml:space="preserve">a kopējās uzskaitītās SEG emisijas pārsniedz kopējo uzskaitīto piesaisti noteiktajās zemes uzskaites kategorijās, tad, lai izpildītu saistības, ir iespējams izmantot </w:t>
      </w:r>
      <w:r w:rsidRPr="5B9FE7F0">
        <w:rPr>
          <w:rFonts w:ascii="Cambria" w:hAnsi="Cambria"/>
          <w:sz w:val="24"/>
          <w:szCs w:val="24"/>
          <w:lang w:eastAsia="lv-LV" w:bidi="lo-LA"/>
        </w:rPr>
        <w:lastRenderedPageBreak/>
        <w:t xml:space="preserve">elastības attiecībā uz </w:t>
      </w:r>
      <w:r w:rsidRPr="5B9FE7F0">
        <w:rPr>
          <w:rFonts w:ascii="Cambria" w:hAnsi="Cambria"/>
          <w:b/>
          <w:bCs/>
          <w:sz w:val="24"/>
          <w:szCs w:val="24"/>
          <w:lang w:eastAsia="lv-LV" w:bidi="lo-LA"/>
        </w:rPr>
        <w:t>apsaimniekotu meža zemi</w:t>
      </w:r>
      <w:r w:rsidRPr="5B9FE7F0">
        <w:rPr>
          <w:rFonts w:ascii="Cambria" w:hAnsi="Cambria"/>
          <w:sz w:val="24"/>
          <w:szCs w:val="24"/>
          <w:lang w:eastAsia="lv-LV" w:bidi="lo-LA"/>
        </w:rPr>
        <w:t>.</w:t>
      </w:r>
      <w:r w:rsidRPr="5B9FE7F0">
        <w:rPr>
          <w:rFonts w:ascii="Cambria" w:hAnsi="Cambria"/>
          <w:sz w:val="24"/>
          <w:szCs w:val="24"/>
        </w:rPr>
        <w:t xml:space="preserve"> </w:t>
      </w:r>
      <w:r w:rsidRPr="5B9FE7F0">
        <w:rPr>
          <w:rFonts w:ascii="Cambria" w:hAnsi="Cambria"/>
          <w:sz w:val="24"/>
          <w:szCs w:val="24"/>
          <w:lang w:eastAsia="lv-LV" w:bidi="lo-LA"/>
        </w:rPr>
        <w:t xml:space="preserve">Regula 2018/841 nosaka Zemes izmantojuma mehānismu 2026.–2030. gada periodam, kas dod iespēju kompensēt ZIZIMM mērķu neizpildi </w:t>
      </w:r>
      <w:r w:rsidRPr="5B9FE7F0">
        <w:rPr>
          <w:rFonts w:ascii="Cambria" w:hAnsi="Cambria"/>
          <w:b/>
          <w:bCs/>
          <w:sz w:val="24"/>
          <w:szCs w:val="24"/>
          <w:lang w:eastAsia="lv-LV" w:bidi="lo-LA"/>
        </w:rPr>
        <w:t xml:space="preserve">visās zemes izmantojuma apakškategorijās, </w:t>
      </w:r>
      <w:r w:rsidRPr="5B9FE7F0">
        <w:rPr>
          <w:rFonts w:ascii="Cambria" w:hAnsi="Cambria"/>
          <w:sz w:val="24"/>
          <w:szCs w:val="24"/>
          <w:lang w:eastAsia="lv-LV" w:bidi="lo-LA"/>
        </w:rPr>
        <w:t>ja izpildās Regulā 2018/841 noteiktie vairāki nosacījumi (13.</w:t>
      </w:r>
      <w:r w:rsidR="00E3555E" w:rsidRPr="00E3555E">
        <w:rPr>
          <w:rFonts w:ascii="Cambria" w:hAnsi="Cambria"/>
          <w:sz w:val="24"/>
          <w:szCs w:val="24"/>
          <w:lang w:eastAsia="lv-LV" w:bidi="lo-LA"/>
        </w:rPr>
        <w:t xml:space="preserve"> panta 2. punkta </w:t>
      </w:r>
      <w:r w:rsidRPr="5B9FE7F0">
        <w:rPr>
          <w:rFonts w:ascii="Cambria" w:hAnsi="Cambria"/>
          <w:sz w:val="24"/>
          <w:szCs w:val="24"/>
          <w:lang w:eastAsia="lv-LV" w:bidi="lo-LA"/>
        </w:rPr>
        <w:t>b</w:t>
      </w:r>
      <w:r w:rsidR="00E3555E">
        <w:rPr>
          <w:rFonts w:ascii="Cambria" w:hAnsi="Cambria"/>
          <w:sz w:val="24"/>
          <w:szCs w:val="24"/>
          <w:lang w:eastAsia="lv-LV" w:bidi="lo-LA"/>
        </w:rPr>
        <w:t>.</w:t>
      </w:r>
      <w:r w:rsidR="00E3555E" w:rsidRPr="00E3555E">
        <w:rPr>
          <w:rFonts w:ascii="Cambria" w:hAnsi="Cambria"/>
          <w:sz w:val="24"/>
          <w:szCs w:val="24"/>
          <w:lang w:eastAsia="lv-LV" w:bidi="lo-LA"/>
        </w:rPr>
        <w:t xml:space="preserve"> apakšpunkts</w:t>
      </w:r>
      <w:r w:rsidRPr="5B9FE7F0">
        <w:rPr>
          <w:rFonts w:ascii="Cambria" w:hAnsi="Cambria"/>
          <w:sz w:val="24"/>
          <w:szCs w:val="24"/>
          <w:lang w:eastAsia="lv-LV" w:bidi="lo-LA"/>
        </w:rPr>
        <w:t xml:space="preserve">). </w:t>
      </w:r>
    </w:p>
    <w:p w14:paraId="48524F72" w14:textId="77777777" w:rsidR="003E6EAD" w:rsidRPr="00AC1815" w:rsidRDefault="003A4514" w:rsidP="00C5522F">
      <w:pPr>
        <w:rPr>
          <w:rFonts w:ascii="Cambria" w:hAnsi="Cambria"/>
          <w:i/>
          <w:iCs/>
          <w:color w:val="074F6A" w:themeColor="accent4" w:themeShade="80"/>
          <w:sz w:val="24"/>
          <w:szCs w:val="24"/>
        </w:rPr>
      </w:pPr>
      <w:bookmarkStart w:id="23" w:name="_Toc185319492"/>
      <w:r w:rsidRPr="00AC1815">
        <w:rPr>
          <w:rFonts w:ascii="Cambria" w:hAnsi="Cambria"/>
          <w:i/>
          <w:iCs/>
          <w:color w:val="074F6A" w:themeColor="accent4" w:themeShade="80"/>
          <w:sz w:val="24"/>
          <w:szCs w:val="24"/>
        </w:rPr>
        <w:t>Latvijas SEG mērķu kopsavilkums</w:t>
      </w:r>
      <w:bookmarkEnd w:id="23"/>
    </w:p>
    <w:p w14:paraId="18BE9D9C" w14:textId="77777777" w:rsidR="003E6EAD" w:rsidRDefault="003A4514">
      <w:pPr>
        <w:spacing w:before="120" w:after="120" w:line="240" w:lineRule="auto"/>
        <w:ind w:firstLine="360"/>
        <w:jc w:val="both"/>
        <w:rPr>
          <w:rFonts w:ascii="Cambria" w:hAnsi="Cambria"/>
          <w:sz w:val="24"/>
          <w:szCs w:val="24"/>
        </w:rPr>
      </w:pPr>
      <w:r>
        <w:rPr>
          <w:rFonts w:ascii="Cambria" w:hAnsi="Cambria"/>
          <w:sz w:val="24"/>
          <w:szCs w:val="24"/>
        </w:rPr>
        <w:t>Latvijai noteikto SEG mērķu kopsavilkums ietverts 2. tabulā.</w:t>
      </w:r>
    </w:p>
    <w:p w14:paraId="63B1314D" w14:textId="77777777" w:rsidR="003E6EAD" w:rsidRDefault="003A4514">
      <w:pPr>
        <w:pStyle w:val="WW-Caption"/>
        <w:rPr>
          <w:rFonts w:ascii="Cambria" w:hAnsi="Cambria"/>
          <w:sz w:val="24"/>
          <w:szCs w:val="24"/>
        </w:rPr>
      </w:pPr>
      <w:r>
        <w:rPr>
          <w:rFonts w:ascii="Cambria" w:hAnsi="Cambria"/>
          <w:sz w:val="24"/>
          <w:szCs w:val="24"/>
        </w:rPr>
        <w:t xml:space="preserve">2. tabula. Latvijas SEG mērķu kopsavilkums 2021.-2030. gada periodam </w:t>
      </w:r>
    </w:p>
    <w:p w14:paraId="1FBD49B1" w14:textId="77777777" w:rsidR="003E6EAD" w:rsidRDefault="003A4514">
      <w:pPr>
        <w:pStyle w:val="WW-Caption"/>
      </w:pPr>
      <w:r>
        <w:rPr>
          <w:rFonts w:ascii="Cambria" w:hAnsi="Cambria"/>
          <w:sz w:val="24"/>
          <w:szCs w:val="24"/>
        </w:rPr>
        <w:t>un 2050. gadam</w:t>
      </w:r>
      <w:r>
        <w:rPr>
          <w:rStyle w:val="FootnoteReference"/>
          <w:rFonts w:ascii="Cambria" w:hAnsi="Cambria"/>
          <w:sz w:val="24"/>
          <w:szCs w:val="24"/>
        </w:rPr>
        <w:footnoteReference w:id="33"/>
      </w:r>
    </w:p>
    <w:tbl>
      <w:tblPr>
        <w:tblW w:w="9067" w:type="dxa"/>
        <w:jc w:val="center"/>
        <w:tblLayout w:type="fixed"/>
        <w:tblCellMar>
          <w:left w:w="10" w:type="dxa"/>
          <w:right w:w="10" w:type="dxa"/>
        </w:tblCellMar>
        <w:tblLook w:val="04A0" w:firstRow="1" w:lastRow="0" w:firstColumn="1" w:lastColumn="0" w:noHBand="0" w:noVBand="1"/>
      </w:tblPr>
      <w:tblGrid>
        <w:gridCol w:w="846"/>
        <w:gridCol w:w="3229"/>
        <w:gridCol w:w="1732"/>
        <w:gridCol w:w="1701"/>
        <w:gridCol w:w="1559"/>
      </w:tblGrid>
      <w:tr w:rsidR="003E6EAD" w14:paraId="1159AA82" w14:textId="77777777" w:rsidTr="001733DE">
        <w:trPr>
          <w:trHeight w:val="177"/>
          <w:tblHeader/>
          <w:jc w:val="center"/>
        </w:trPr>
        <w:tc>
          <w:tcPr>
            <w:tcW w:w="40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3BC0C24C" w14:textId="77777777" w:rsidR="003E6EAD" w:rsidRDefault="003E6EAD">
            <w:pPr>
              <w:snapToGrid w:val="0"/>
              <w:spacing w:before="60" w:after="60" w:line="240" w:lineRule="auto"/>
              <w:jc w:val="center"/>
              <w:rPr>
                <w:rFonts w:ascii="Cambria" w:hAnsi="Cambria"/>
                <w:b/>
                <w:color w:val="0A2F41"/>
                <w:sz w:val="20"/>
                <w:szCs w:val="20"/>
              </w:rPr>
            </w:pPr>
          </w:p>
        </w:tc>
        <w:tc>
          <w:tcPr>
            <w:tcW w:w="17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6CEAC3E2" w14:textId="77777777" w:rsidR="003E6EAD" w:rsidRDefault="003A4514">
            <w:pPr>
              <w:spacing w:before="60" w:after="60" w:line="240" w:lineRule="auto"/>
              <w:jc w:val="center"/>
              <w:rPr>
                <w:rFonts w:ascii="Cambria" w:hAnsi="Cambria"/>
                <w:b/>
                <w:color w:val="0A2F41"/>
                <w:sz w:val="20"/>
                <w:szCs w:val="20"/>
              </w:rPr>
            </w:pPr>
            <w:r>
              <w:rPr>
                <w:rFonts w:ascii="Cambria" w:hAnsi="Cambria"/>
                <w:b/>
                <w:color w:val="0A2F41"/>
                <w:sz w:val="20"/>
                <w:szCs w:val="20"/>
              </w:rPr>
              <w:t>2021.-2025.g.</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569B2FC" w14:textId="77777777" w:rsidR="003E6EAD" w:rsidRDefault="003A4514">
            <w:pPr>
              <w:spacing w:before="60" w:after="60" w:line="240" w:lineRule="auto"/>
              <w:jc w:val="center"/>
              <w:rPr>
                <w:rFonts w:ascii="Cambria" w:hAnsi="Cambria"/>
                <w:b/>
                <w:color w:val="0A2F41"/>
                <w:sz w:val="20"/>
                <w:szCs w:val="20"/>
              </w:rPr>
            </w:pPr>
            <w:r>
              <w:rPr>
                <w:rFonts w:ascii="Cambria" w:hAnsi="Cambria"/>
                <w:b/>
                <w:color w:val="0A2F41"/>
                <w:sz w:val="20"/>
                <w:szCs w:val="20"/>
              </w:rPr>
              <w:t>2026. – 2030.g.</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tcMar>
              <w:top w:w="0" w:type="dxa"/>
              <w:left w:w="108" w:type="dxa"/>
              <w:bottom w:w="0" w:type="dxa"/>
              <w:right w:w="108" w:type="dxa"/>
            </w:tcMar>
          </w:tcPr>
          <w:p w14:paraId="43042704" w14:textId="77777777" w:rsidR="003E6EAD" w:rsidRDefault="003A4514">
            <w:pPr>
              <w:spacing w:before="60" w:after="60" w:line="240" w:lineRule="auto"/>
              <w:jc w:val="center"/>
              <w:rPr>
                <w:rFonts w:ascii="Cambria" w:hAnsi="Cambria"/>
                <w:b/>
                <w:color w:val="0A2F41"/>
                <w:sz w:val="20"/>
                <w:szCs w:val="20"/>
              </w:rPr>
            </w:pPr>
            <w:r>
              <w:rPr>
                <w:rFonts w:ascii="Cambria" w:hAnsi="Cambria"/>
                <w:b/>
                <w:color w:val="0A2F41"/>
                <w:sz w:val="20"/>
                <w:szCs w:val="20"/>
              </w:rPr>
              <w:t>2050</w:t>
            </w:r>
          </w:p>
        </w:tc>
      </w:tr>
      <w:tr w:rsidR="003E6EAD" w14:paraId="225C7E1B" w14:textId="77777777" w:rsidTr="005772F4">
        <w:trPr>
          <w:trHeight w:val="719"/>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extDirection w:val="btLr"/>
            <w:vAlign w:val="center"/>
          </w:tcPr>
          <w:p w14:paraId="37EEFFD7" w14:textId="77777777" w:rsidR="003E6EAD" w:rsidRDefault="003A4514">
            <w:pPr>
              <w:spacing w:before="60" w:after="60" w:line="240" w:lineRule="auto"/>
              <w:ind w:left="113" w:right="113"/>
              <w:jc w:val="center"/>
              <w:rPr>
                <w:rFonts w:ascii="Cambria" w:hAnsi="Cambria"/>
                <w:sz w:val="20"/>
                <w:szCs w:val="20"/>
              </w:rPr>
            </w:pPr>
            <w:r>
              <w:rPr>
                <w:rFonts w:ascii="Cambria" w:hAnsi="Cambria"/>
                <w:sz w:val="20"/>
                <w:szCs w:val="20"/>
              </w:rPr>
              <w:t>SEG emisiju mazināšana</w:t>
            </w:r>
          </w:p>
        </w:tc>
        <w:tc>
          <w:tcPr>
            <w:tcW w:w="322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6D9A0F0" w14:textId="77777777" w:rsidR="003E6EAD" w:rsidRDefault="003A4514">
            <w:pPr>
              <w:spacing w:before="60" w:after="60" w:line="240" w:lineRule="auto"/>
              <w:jc w:val="center"/>
              <w:rPr>
                <w:rFonts w:ascii="Cambria" w:hAnsi="Cambria"/>
                <w:sz w:val="20"/>
                <w:szCs w:val="20"/>
              </w:rPr>
            </w:pPr>
            <w:r>
              <w:rPr>
                <w:rFonts w:ascii="Cambria" w:hAnsi="Cambria"/>
                <w:sz w:val="20"/>
                <w:szCs w:val="20"/>
              </w:rPr>
              <w:t>ne-ETS SEG emisijas</w:t>
            </w:r>
          </w:p>
        </w:tc>
        <w:tc>
          <w:tcPr>
            <w:tcW w:w="3433"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Mar>
              <w:top w:w="0" w:type="dxa"/>
              <w:left w:w="108" w:type="dxa"/>
              <w:bottom w:w="0" w:type="dxa"/>
              <w:right w:w="108" w:type="dxa"/>
            </w:tcMar>
          </w:tcPr>
          <w:p w14:paraId="45FFFC1E" w14:textId="7C90518C" w:rsidR="003E6EAD" w:rsidRDefault="003A4514">
            <w:pPr>
              <w:spacing w:before="60" w:after="60" w:line="240" w:lineRule="auto"/>
              <w:jc w:val="center"/>
            </w:pPr>
            <w:r>
              <w:rPr>
                <w:rFonts w:ascii="Cambria" w:eastAsia="Times New Roman" w:hAnsi="Cambria"/>
                <w:kern w:val="3"/>
                <w:sz w:val="20"/>
                <w:szCs w:val="20"/>
                <w:lang w:eastAsia="lv-LV"/>
              </w:rPr>
              <w:t>-17%</w:t>
            </w:r>
            <w:r>
              <w:rPr>
                <w:rStyle w:val="FootnoteReference"/>
                <w:rFonts w:ascii="Cambria" w:eastAsia="Times New Roman" w:hAnsi="Cambria"/>
                <w:kern w:val="3"/>
                <w:sz w:val="20"/>
                <w:szCs w:val="20"/>
                <w:lang w:eastAsia="lv-LV"/>
              </w:rPr>
              <w:footnoteReference w:id="34"/>
            </w:r>
            <w:r w:rsidR="0002499A">
              <w:rPr>
                <w:rFonts w:ascii="Cambria" w:eastAsia="Times New Roman" w:hAnsi="Cambria"/>
                <w:kern w:val="3"/>
                <w:sz w:val="20"/>
                <w:szCs w:val="20"/>
                <w:lang w:eastAsia="lv-LV"/>
              </w:rPr>
              <w:t xml:space="preserve"> </w:t>
            </w:r>
          </w:p>
          <w:p w14:paraId="0877D814" w14:textId="77777777" w:rsidR="003E6EAD" w:rsidRDefault="003A4514">
            <w:pPr>
              <w:spacing w:before="60" w:after="60" w:line="240" w:lineRule="auto"/>
              <w:jc w:val="center"/>
            </w:pPr>
            <w:r>
              <w:rPr>
                <w:rFonts w:ascii="Cambria" w:eastAsia="Times New Roman" w:hAnsi="Cambria"/>
                <w:kern w:val="3"/>
                <w:sz w:val="20"/>
                <w:szCs w:val="20"/>
                <w:lang w:eastAsia="lv-LV"/>
              </w:rPr>
              <w:t>(sadalīts ikgadējos mērķos)</w:t>
            </w:r>
            <w:r>
              <w:rPr>
                <w:rStyle w:val="FootnoteReference"/>
                <w:rFonts w:ascii="Cambria" w:eastAsia="Times New Roman" w:hAnsi="Cambria"/>
                <w:kern w:val="3"/>
                <w:sz w:val="20"/>
                <w:szCs w:val="20"/>
                <w:lang w:eastAsia="lv-LV"/>
              </w:rPr>
              <w:footnoteReference w:id="35"/>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8A92E2F" w14:textId="77777777" w:rsidR="003E6EAD" w:rsidRDefault="003E6EAD">
            <w:pPr>
              <w:spacing w:before="60" w:after="60" w:line="240" w:lineRule="auto"/>
              <w:jc w:val="center"/>
              <w:rPr>
                <w:rFonts w:ascii="Cambria" w:eastAsia="Times New Roman" w:hAnsi="Cambria"/>
                <w:kern w:val="3"/>
                <w:sz w:val="20"/>
                <w:szCs w:val="20"/>
                <w:lang w:eastAsia="lv-LV"/>
              </w:rPr>
            </w:pPr>
          </w:p>
          <w:p w14:paraId="0D5DC6C0" w14:textId="77777777" w:rsidR="003E6EAD" w:rsidRDefault="003E6EAD" w:rsidP="0099448B">
            <w:pPr>
              <w:spacing w:before="60" w:after="60" w:line="240" w:lineRule="auto"/>
              <w:jc w:val="center"/>
              <w:rPr>
                <w:rFonts w:ascii="Cambria" w:eastAsia="Times New Roman" w:hAnsi="Cambria"/>
                <w:kern w:val="3"/>
                <w:sz w:val="20"/>
                <w:szCs w:val="20"/>
                <w:lang w:eastAsia="lv-LV"/>
              </w:rPr>
            </w:pPr>
          </w:p>
          <w:p w14:paraId="619E6906"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K</w:t>
            </w:r>
          </w:p>
          <w:p w14:paraId="152FEAA4"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L</w:t>
            </w:r>
          </w:p>
          <w:p w14:paraId="6A4958C9"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I</w:t>
            </w:r>
          </w:p>
          <w:p w14:paraId="1AE0149A"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M</w:t>
            </w:r>
          </w:p>
          <w:p w14:paraId="21831BE8"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A</w:t>
            </w:r>
          </w:p>
          <w:p w14:paraId="3DD26374"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T</w:t>
            </w:r>
          </w:p>
          <w:p w14:paraId="4B3E409E"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N</w:t>
            </w:r>
          </w:p>
          <w:p w14:paraId="2E41C152"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E</w:t>
            </w:r>
          </w:p>
          <w:p w14:paraId="2BA22B0D"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I</w:t>
            </w:r>
          </w:p>
          <w:p w14:paraId="075A5769"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T</w:t>
            </w:r>
          </w:p>
          <w:p w14:paraId="2FD807C6"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R</w:t>
            </w:r>
          </w:p>
          <w:p w14:paraId="0DAF0C5A"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A</w:t>
            </w:r>
          </w:p>
          <w:p w14:paraId="0F798EDF"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L</w:t>
            </w:r>
          </w:p>
          <w:p w14:paraId="456AC100"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I</w:t>
            </w:r>
          </w:p>
          <w:p w14:paraId="2B7AFB7C"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T</w:t>
            </w:r>
          </w:p>
          <w:p w14:paraId="280E9FC3" w14:textId="77777777" w:rsidR="003E6EAD" w:rsidRDefault="003A4514" w:rsidP="0099448B">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Ā</w:t>
            </w:r>
          </w:p>
          <w:p w14:paraId="5413BBE7" w14:textId="77777777" w:rsidR="003E6EAD" w:rsidRDefault="003A4514">
            <w:pPr>
              <w:spacing w:before="60" w:after="60" w:line="240" w:lineRule="auto"/>
              <w:jc w:val="center"/>
              <w:rPr>
                <w:rFonts w:ascii="Cambria" w:eastAsia="Times New Roman" w:hAnsi="Cambria"/>
                <w:color w:val="0A2F41"/>
                <w:kern w:val="3"/>
                <w:sz w:val="20"/>
                <w:szCs w:val="20"/>
                <w:lang w:eastAsia="lv-LV"/>
              </w:rPr>
            </w:pPr>
            <w:r>
              <w:rPr>
                <w:rFonts w:ascii="Cambria" w:eastAsia="Times New Roman" w:hAnsi="Cambria"/>
                <w:color w:val="0A2F41"/>
                <w:kern w:val="3"/>
                <w:sz w:val="20"/>
                <w:szCs w:val="20"/>
                <w:lang w:eastAsia="lv-LV"/>
              </w:rPr>
              <w:t>T</w:t>
            </w:r>
          </w:p>
          <w:p w14:paraId="141C7260" w14:textId="77777777" w:rsidR="003E6EAD" w:rsidRDefault="003A4514">
            <w:pPr>
              <w:spacing w:before="60" w:after="60" w:line="240" w:lineRule="auto"/>
              <w:jc w:val="center"/>
            </w:pPr>
            <w:r>
              <w:rPr>
                <w:rFonts w:ascii="Cambria" w:eastAsia="Times New Roman" w:hAnsi="Cambria"/>
                <w:color w:val="0A2F41"/>
                <w:kern w:val="3"/>
                <w:sz w:val="20"/>
                <w:szCs w:val="20"/>
                <w:lang w:eastAsia="lv-LV"/>
              </w:rPr>
              <w:t>E</w:t>
            </w:r>
          </w:p>
        </w:tc>
      </w:tr>
      <w:tr w:rsidR="003E6EAD" w14:paraId="024C371A" w14:textId="77777777" w:rsidTr="001733DE">
        <w:trPr>
          <w:trHeight w:val="814"/>
          <w:jc w:val="center"/>
        </w:trPr>
        <w:tc>
          <w:tcPr>
            <w:tcW w:w="846" w:type="dxa"/>
            <w:vMerge/>
            <w:tcBorders>
              <w:bottom w:val="single" w:sz="4" w:space="0" w:color="auto"/>
            </w:tcBorders>
            <w:tcMar>
              <w:top w:w="0" w:type="dxa"/>
              <w:left w:w="108" w:type="dxa"/>
              <w:bottom w:w="0" w:type="dxa"/>
              <w:right w:w="108" w:type="dxa"/>
            </w:tcMar>
            <w:textDirection w:val="btLr"/>
            <w:vAlign w:val="center"/>
          </w:tcPr>
          <w:p w14:paraId="515E923F" w14:textId="77777777" w:rsidR="003E6EAD" w:rsidRDefault="003E6EAD">
            <w:pPr>
              <w:rPr>
                <w:rFonts w:ascii="Cambria" w:hAnsi="Cambria"/>
              </w:rPr>
            </w:pPr>
          </w:p>
        </w:tc>
        <w:tc>
          <w:tcPr>
            <w:tcW w:w="322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41D5CD2" w14:textId="77777777" w:rsidR="003E6EAD" w:rsidRDefault="003A4514">
            <w:pPr>
              <w:spacing w:before="60" w:after="60" w:line="240" w:lineRule="auto"/>
              <w:jc w:val="center"/>
              <w:rPr>
                <w:rFonts w:ascii="Cambria" w:hAnsi="Cambria"/>
                <w:sz w:val="20"/>
                <w:szCs w:val="20"/>
              </w:rPr>
            </w:pPr>
            <w:r>
              <w:rPr>
                <w:rFonts w:ascii="Cambria" w:hAnsi="Cambria"/>
                <w:sz w:val="20"/>
                <w:szCs w:val="20"/>
              </w:rPr>
              <w:t xml:space="preserve">ES ETS SEG </w:t>
            </w:r>
          </w:p>
          <w:p w14:paraId="657EA746" w14:textId="03E10525" w:rsidR="003E6EAD" w:rsidRDefault="0002499A">
            <w:pPr>
              <w:spacing w:before="60" w:after="60" w:line="240" w:lineRule="auto"/>
              <w:jc w:val="center"/>
              <w:rPr>
                <w:rFonts w:ascii="Cambria" w:hAnsi="Cambria"/>
                <w:sz w:val="20"/>
                <w:szCs w:val="20"/>
              </w:rPr>
            </w:pPr>
            <w:r>
              <w:rPr>
                <w:rFonts w:ascii="Cambria" w:hAnsi="Cambria"/>
                <w:sz w:val="20"/>
                <w:szCs w:val="20"/>
              </w:rPr>
              <w:t>e</w:t>
            </w:r>
            <w:r w:rsidR="003A4514">
              <w:rPr>
                <w:rFonts w:ascii="Cambria" w:hAnsi="Cambria"/>
                <w:sz w:val="20"/>
                <w:szCs w:val="20"/>
              </w:rPr>
              <w:t>misijas</w:t>
            </w:r>
          </w:p>
        </w:tc>
        <w:tc>
          <w:tcPr>
            <w:tcW w:w="3433"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Mar>
              <w:top w:w="0" w:type="dxa"/>
              <w:left w:w="108" w:type="dxa"/>
              <w:bottom w:w="0" w:type="dxa"/>
              <w:right w:w="108" w:type="dxa"/>
            </w:tcMar>
          </w:tcPr>
          <w:p w14:paraId="46E4111B" w14:textId="77777777" w:rsidR="003E6EAD" w:rsidRDefault="003E6EAD">
            <w:pPr>
              <w:spacing w:before="60" w:after="60" w:line="240" w:lineRule="auto"/>
              <w:jc w:val="center"/>
              <w:rPr>
                <w:rFonts w:ascii="Cambria" w:eastAsia="Times New Roman" w:hAnsi="Cambria"/>
                <w:color w:val="808080"/>
                <w:kern w:val="3"/>
                <w:sz w:val="20"/>
                <w:szCs w:val="20"/>
                <w:lang w:eastAsia="lv-LV"/>
              </w:rPr>
            </w:pPr>
          </w:p>
          <w:p w14:paraId="36710922" w14:textId="77777777" w:rsidR="003E6EAD" w:rsidRDefault="003A4514">
            <w:pPr>
              <w:spacing w:before="60" w:after="60" w:line="240" w:lineRule="auto"/>
              <w:jc w:val="center"/>
            </w:pPr>
            <w:r>
              <w:rPr>
                <w:rFonts w:ascii="Cambria" w:eastAsia="Times New Roman" w:hAnsi="Cambria"/>
                <w:kern w:val="3"/>
                <w:sz w:val="20"/>
                <w:szCs w:val="20"/>
                <w:lang w:eastAsia="lv-LV"/>
              </w:rPr>
              <w:t>-62%</w:t>
            </w:r>
          </w:p>
        </w:tc>
        <w:tc>
          <w:tcPr>
            <w:tcW w:w="1559" w:type="dxa"/>
            <w:vMerge/>
            <w:tcBorders>
              <w:top w:val="single" w:sz="4" w:space="0" w:color="auto"/>
              <w:bottom w:val="single" w:sz="4" w:space="0" w:color="auto"/>
              <w:right w:val="single" w:sz="4" w:space="0" w:color="auto"/>
            </w:tcBorders>
            <w:tcMar>
              <w:top w:w="0" w:type="dxa"/>
              <w:left w:w="108" w:type="dxa"/>
              <w:bottom w:w="0" w:type="dxa"/>
              <w:right w:w="108" w:type="dxa"/>
            </w:tcMar>
          </w:tcPr>
          <w:p w14:paraId="29782C67" w14:textId="77777777" w:rsidR="003E6EAD" w:rsidRDefault="003E6EAD">
            <w:pPr>
              <w:spacing w:before="60" w:after="60" w:line="240" w:lineRule="auto"/>
              <w:jc w:val="center"/>
              <w:rPr>
                <w:rFonts w:ascii="Cambria" w:eastAsia="Times New Roman" w:hAnsi="Cambria"/>
                <w:color w:val="808080"/>
                <w:kern w:val="3"/>
                <w:sz w:val="20"/>
                <w:szCs w:val="20"/>
                <w:lang w:eastAsia="lv-LV"/>
              </w:rPr>
            </w:pPr>
          </w:p>
        </w:tc>
      </w:tr>
      <w:tr w:rsidR="00501BE0" w14:paraId="5579760A" w14:textId="77777777" w:rsidTr="001733DE">
        <w:trPr>
          <w:trHeight w:val="687"/>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extDirection w:val="btLr"/>
            <w:vAlign w:val="center"/>
          </w:tcPr>
          <w:p w14:paraId="40EA7F17" w14:textId="77777777" w:rsidR="003E6EAD" w:rsidRDefault="003A4514">
            <w:pPr>
              <w:spacing w:before="60" w:after="60" w:line="240" w:lineRule="auto"/>
              <w:ind w:left="113" w:right="113"/>
              <w:jc w:val="center"/>
              <w:rPr>
                <w:rFonts w:ascii="Cambria" w:hAnsi="Cambria"/>
                <w:sz w:val="20"/>
                <w:szCs w:val="20"/>
              </w:rPr>
            </w:pPr>
            <w:r>
              <w:rPr>
                <w:rFonts w:ascii="Cambria" w:hAnsi="Cambria"/>
                <w:sz w:val="20"/>
                <w:szCs w:val="20"/>
              </w:rPr>
              <w:t>ZIZIMM sektora uzskaites kategorijas</w:t>
            </w:r>
          </w:p>
        </w:tc>
        <w:tc>
          <w:tcPr>
            <w:tcW w:w="3229" w:type="dxa"/>
            <w:tcBorders>
              <w:top w:val="single" w:sz="4" w:space="0" w:color="000000" w:themeColor="text1"/>
              <w:left w:val="single" w:sz="4" w:space="0" w:color="auto"/>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7F1A7A5C" w14:textId="77777777" w:rsidR="003E6EAD" w:rsidRDefault="003A4514">
            <w:pPr>
              <w:spacing w:before="60" w:after="60" w:line="240" w:lineRule="auto"/>
              <w:jc w:val="center"/>
              <w:rPr>
                <w:rFonts w:ascii="Cambria" w:hAnsi="Cambria"/>
                <w:sz w:val="20"/>
                <w:szCs w:val="20"/>
              </w:rPr>
            </w:pPr>
            <w:r>
              <w:rPr>
                <w:rFonts w:ascii="Cambria" w:hAnsi="Cambria"/>
                <w:sz w:val="20"/>
                <w:szCs w:val="20"/>
              </w:rPr>
              <w:t>Apmežota zeme</w:t>
            </w:r>
          </w:p>
        </w:tc>
        <w:tc>
          <w:tcPr>
            <w:tcW w:w="173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5D50692" w14:textId="77777777" w:rsidR="003E6EAD" w:rsidRDefault="003E6EAD">
            <w:pPr>
              <w:spacing w:before="60" w:after="60" w:line="240" w:lineRule="auto"/>
              <w:jc w:val="center"/>
              <w:rPr>
                <w:rFonts w:ascii="Cambria" w:eastAsia="Times New Roman" w:hAnsi="Cambria"/>
                <w:kern w:val="3"/>
                <w:sz w:val="20"/>
                <w:szCs w:val="20"/>
                <w:lang w:eastAsia="lv-LV"/>
              </w:rPr>
            </w:pPr>
          </w:p>
          <w:p w14:paraId="4869DF49" w14:textId="77777777" w:rsidR="003E6EAD" w:rsidRDefault="003A4514">
            <w:pPr>
              <w:spacing w:before="60" w:after="60" w:line="240" w:lineRule="auto"/>
              <w:jc w:val="center"/>
            </w:pPr>
            <w:r>
              <w:rPr>
                <w:rFonts w:ascii="Cambria" w:eastAsia="Times New Roman" w:hAnsi="Cambria"/>
                <w:kern w:val="3"/>
                <w:sz w:val="20"/>
                <w:szCs w:val="20"/>
                <w:lang w:eastAsia="lv-LV"/>
              </w:rPr>
              <w:t>Uzskaitāmās SEG emisijas nepārsniedz uzskaitāmo SEG piesaisti</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14:paraId="20A7E1F7" w14:textId="77777777" w:rsidR="003E6EAD" w:rsidRDefault="003E6EAD">
            <w:pPr>
              <w:spacing w:before="60" w:after="60" w:line="240" w:lineRule="auto"/>
              <w:jc w:val="center"/>
              <w:rPr>
                <w:rFonts w:ascii="Cambria" w:eastAsia="Times New Roman" w:hAnsi="Cambria"/>
                <w:color w:val="808080"/>
                <w:kern w:val="3"/>
                <w:sz w:val="20"/>
                <w:szCs w:val="20"/>
                <w:lang w:eastAsia="lv-LV"/>
              </w:rPr>
            </w:pPr>
          </w:p>
        </w:tc>
        <w:tc>
          <w:tcPr>
            <w:tcW w:w="1559" w:type="dxa"/>
            <w:vMerge/>
            <w:tcBorders>
              <w:top w:val="single" w:sz="4" w:space="0" w:color="auto"/>
              <w:bottom w:val="single" w:sz="4" w:space="0" w:color="auto"/>
              <w:right w:val="single" w:sz="4" w:space="0" w:color="auto"/>
            </w:tcBorders>
            <w:tcMar>
              <w:top w:w="0" w:type="dxa"/>
              <w:left w:w="108" w:type="dxa"/>
              <w:bottom w:w="0" w:type="dxa"/>
              <w:right w:w="108" w:type="dxa"/>
            </w:tcMar>
          </w:tcPr>
          <w:p w14:paraId="63949087" w14:textId="77777777" w:rsidR="003E6EAD" w:rsidRDefault="003E6EAD">
            <w:pPr>
              <w:spacing w:before="60" w:after="60" w:line="240" w:lineRule="auto"/>
              <w:jc w:val="center"/>
              <w:rPr>
                <w:rFonts w:ascii="Cambria" w:eastAsia="Times New Roman" w:hAnsi="Cambria"/>
                <w:color w:val="808080"/>
                <w:kern w:val="3"/>
                <w:sz w:val="20"/>
                <w:szCs w:val="20"/>
                <w:lang w:eastAsia="lv-LV"/>
              </w:rPr>
            </w:pPr>
          </w:p>
        </w:tc>
      </w:tr>
      <w:tr w:rsidR="003E6EAD" w14:paraId="419F65C3" w14:textId="77777777" w:rsidTr="001733DE">
        <w:trPr>
          <w:trHeight w:val="542"/>
          <w:jc w:val="center"/>
        </w:trPr>
        <w:tc>
          <w:tcPr>
            <w:tcW w:w="846" w:type="dxa"/>
            <w:vMerge/>
            <w:tcBorders>
              <w:top w:val="single" w:sz="4" w:space="0" w:color="auto"/>
              <w:left w:val="single" w:sz="4" w:space="0" w:color="auto"/>
              <w:bottom w:val="single" w:sz="4" w:space="0" w:color="auto"/>
            </w:tcBorders>
            <w:tcMar>
              <w:top w:w="0" w:type="dxa"/>
              <w:left w:w="108" w:type="dxa"/>
              <w:bottom w:w="0" w:type="dxa"/>
              <w:right w:w="108" w:type="dxa"/>
            </w:tcMar>
            <w:textDirection w:val="btLr"/>
            <w:vAlign w:val="center"/>
          </w:tcPr>
          <w:p w14:paraId="2FB24629" w14:textId="77777777" w:rsidR="003E6EAD" w:rsidRDefault="003E6EAD">
            <w:pPr>
              <w:rPr>
                <w:rFonts w:ascii="Cambria" w:hAnsi="Cambria"/>
              </w:rPr>
            </w:pPr>
          </w:p>
        </w:tc>
        <w:tc>
          <w:tcPr>
            <w:tcW w:w="3229" w:type="dxa"/>
            <w:tcBorders>
              <w:top w:val="single" w:sz="4" w:space="0" w:color="000000" w:themeColor="text1"/>
              <w:left w:val="single" w:sz="4" w:space="0" w:color="auto"/>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653A5547" w14:textId="77777777" w:rsidR="003E6EAD" w:rsidRDefault="003A4514">
            <w:pPr>
              <w:spacing w:before="60" w:after="60" w:line="240" w:lineRule="auto"/>
              <w:jc w:val="center"/>
              <w:rPr>
                <w:rFonts w:ascii="Cambria" w:hAnsi="Cambria"/>
                <w:sz w:val="20"/>
                <w:szCs w:val="20"/>
              </w:rPr>
            </w:pPr>
            <w:r>
              <w:rPr>
                <w:rFonts w:ascii="Cambria" w:hAnsi="Cambria"/>
                <w:sz w:val="20"/>
                <w:szCs w:val="20"/>
              </w:rPr>
              <w:t>Atmežota zeme</w:t>
            </w:r>
          </w:p>
        </w:tc>
        <w:tc>
          <w:tcPr>
            <w:tcW w:w="1732"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E68274" w14:textId="77777777" w:rsidR="003E6EAD" w:rsidRDefault="003E6EAD">
            <w:pPr>
              <w:rPr>
                <w:rFonts w:ascii="Cambria" w:hAnsi="Cambria"/>
                <w:color w:val="808080"/>
              </w:rPr>
            </w:pPr>
          </w:p>
        </w:tc>
        <w:tc>
          <w:tcPr>
            <w:tcW w:w="1701" w:type="dxa"/>
            <w:vMerge/>
            <w:tcBorders>
              <w:left w:val="single" w:sz="4" w:space="0" w:color="auto"/>
              <w:right w:val="single" w:sz="4" w:space="0" w:color="auto"/>
            </w:tcBorders>
            <w:tcMar>
              <w:top w:w="0" w:type="dxa"/>
              <w:left w:w="108" w:type="dxa"/>
              <w:bottom w:w="0" w:type="dxa"/>
              <w:right w:w="108" w:type="dxa"/>
            </w:tcMar>
          </w:tcPr>
          <w:p w14:paraId="6B2740B4" w14:textId="77777777" w:rsidR="003E6EAD" w:rsidRDefault="003E6EAD">
            <w:pPr>
              <w:rPr>
                <w:rFonts w:ascii="Cambria" w:hAnsi="Cambria"/>
                <w:color w:val="808080"/>
              </w:rPr>
            </w:pPr>
          </w:p>
        </w:tc>
        <w:tc>
          <w:tcPr>
            <w:tcW w:w="155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EA2BCE" w14:textId="77777777" w:rsidR="003E6EAD" w:rsidRDefault="003E6EAD">
            <w:pPr>
              <w:rPr>
                <w:rFonts w:ascii="Cambria" w:hAnsi="Cambria"/>
                <w:color w:val="808080"/>
              </w:rPr>
            </w:pPr>
          </w:p>
        </w:tc>
      </w:tr>
      <w:tr w:rsidR="003E6EAD" w14:paraId="1313BF25" w14:textId="77777777" w:rsidTr="001733DE">
        <w:trPr>
          <w:trHeight w:val="396"/>
          <w:jc w:val="center"/>
        </w:trPr>
        <w:tc>
          <w:tcPr>
            <w:tcW w:w="846" w:type="dxa"/>
            <w:vMerge/>
            <w:tcBorders>
              <w:top w:val="single" w:sz="4" w:space="0" w:color="auto"/>
              <w:left w:val="single" w:sz="4" w:space="0" w:color="auto"/>
              <w:bottom w:val="single" w:sz="4" w:space="0" w:color="auto"/>
            </w:tcBorders>
            <w:tcMar>
              <w:top w:w="0" w:type="dxa"/>
              <w:left w:w="108" w:type="dxa"/>
              <w:bottom w:w="0" w:type="dxa"/>
              <w:right w:w="108" w:type="dxa"/>
            </w:tcMar>
            <w:textDirection w:val="btLr"/>
            <w:vAlign w:val="center"/>
          </w:tcPr>
          <w:p w14:paraId="1B0FC135" w14:textId="77777777" w:rsidR="003E6EAD" w:rsidRDefault="003E6EAD">
            <w:pPr>
              <w:rPr>
                <w:rFonts w:ascii="Cambria" w:hAnsi="Cambria"/>
              </w:rPr>
            </w:pPr>
          </w:p>
        </w:tc>
        <w:tc>
          <w:tcPr>
            <w:tcW w:w="3229" w:type="dxa"/>
            <w:tcBorders>
              <w:top w:val="single" w:sz="4" w:space="0" w:color="000000" w:themeColor="text1"/>
              <w:left w:val="single" w:sz="4" w:space="0" w:color="auto"/>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4673E027" w14:textId="77777777" w:rsidR="003E6EAD" w:rsidRDefault="003A4514">
            <w:pPr>
              <w:spacing w:before="60" w:after="60" w:line="240" w:lineRule="auto"/>
              <w:jc w:val="center"/>
              <w:rPr>
                <w:rFonts w:ascii="Cambria" w:hAnsi="Cambria"/>
                <w:sz w:val="20"/>
                <w:szCs w:val="20"/>
              </w:rPr>
            </w:pPr>
            <w:r>
              <w:rPr>
                <w:rFonts w:ascii="Cambria" w:hAnsi="Cambria"/>
                <w:sz w:val="20"/>
                <w:szCs w:val="20"/>
              </w:rPr>
              <w:t>Apsaimniekota meža zeme</w:t>
            </w:r>
          </w:p>
          <w:p w14:paraId="666B0019" w14:textId="77777777" w:rsidR="003E6EAD" w:rsidRDefault="003A4514">
            <w:pPr>
              <w:spacing w:before="60" w:after="60" w:line="240" w:lineRule="auto"/>
              <w:jc w:val="center"/>
            </w:pPr>
            <w:r>
              <w:rPr>
                <w:rFonts w:ascii="Cambria" w:hAnsi="Cambria"/>
                <w:i/>
                <w:sz w:val="20"/>
                <w:szCs w:val="20"/>
              </w:rPr>
              <w:t>MRL</w:t>
            </w:r>
            <w:r>
              <w:rPr>
                <w:rStyle w:val="FootnoteReference"/>
                <w:rFonts w:ascii="Cambria" w:hAnsi="Cambria"/>
                <w:i/>
                <w:sz w:val="20"/>
                <w:szCs w:val="20"/>
              </w:rPr>
              <w:footnoteReference w:id="36"/>
            </w:r>
          </w:p>
        </w:tc>
        <w:tc>
          <w:tcPr>
            <w:tcW w:w="1732"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EFA74F" w14:textId="77777777" w:rsidR="003E6EAD" w:rsidRDefault="003E6EAD">
            <w:pPr>
              <w:rPr>
                <w:rFonts w:ascii="Cambria" w:hAnsi="Cambria"/>
                <w:color w:val="808080"/>
              </w:rPr>
            </w:pPr>
          </w:p>
        </w:tc>
        <w:tc>
          <w:tcPr>
            <w:tcW w:w="1701" w:type="dxa"/>
            <w:vMerge/>
            <w:tcBorders>
              <w:left w:val="single" w:sz="4" w:space="0" w:color="auto"/>
              <w:right w:val="single" w:sz="4" w:space="0" w:color="auto"/>
            </w:tcBorders>
            <w:tcMar>
              <w:top w:w="0" w:type="dxa"/>
              <w:left w:w="108" w:type="dxa"/>
              <w:bottom w:w="0" w:type="dxa"/>
              <w:right w:w="108" w:type="dxa"/>
            </w:tcMar>
          </w:tcPr>
          <w:p w14:paraId="51F24E93" w14:textId="77777777" w:rsidR="003E6EAD" w:rsidRDefault="003E6EAD">
            <w:pPr>
              <w:rPr>
                <w:rFonts w:ascii="Cambria" w:hAnsi="Cambria"/>
                <w:color w:val="808080"/>
              </w:rPr>
            </w:pPr>
          </w:p>
        </w:tc>
        <w:tc>
          <w:tcPr>
            <w:tcW w:w="155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BD452D" w14:textId="77777777" w:rsidR="003E6EAD" w:rsidRDefault="003E6EAD">
            <w:pPr>
              <w:rPr>
                <w:rFonts w:ascii="Cambria" w:hAnsi="Cambria"/>
                <w:color w:val="808080"/>
              </w:rPr>
            </w:pPr>
          </w:p>
        </w:tc>
      </w:tr>
      <w:tr w:rsidR="003E6EAD" w14:paraId="0D7E1BAC" w14:textId="77777777" w:rsidTr="001733DE">
        <w:trPr>
          <w:trHeight w:val="67"/>
          <w:jc w:val="center"/>
        </w:trPr>
        <w:tc>
          <w:tcPr>
            <w:tcW w:w="846" w:type="dxa"/>
            <w:vMerge/>
            <w:tcBorders>
              <w:top w:val="single" w:sz="4" w:space="0" w:color="auto"/>
              <w:left w:val="single" w:sz="4" w:space="0" w:color="auto"/>
              <w:bottom w:val="single" w:sz="4" w:space="0" w:color="auto"/>
            </w:tcBorders>
            <w:tcMar>
              <w:top w:w="0" w:type="dxa"/>
              <w:left w:w="108" w:type="dxa"/>
              <w:bottom w:w="0" w:type="dxa"/>
              <w:right w:w="108" w:type="dxa"/>
            </w:tcMar>
            <w:textDirection w:val="btLr"/>
            <w:vAlign w:val="center"/>
          </w:tcPr>
          <w:p w14:paraId="7798A237" w14:textId="77777777" w:rsidR="003E6EAD" w:rsidRDefault="003E6EAD">
            <w:pPr>
              <w:rPr>
                <w:rFonts w:ascii="Cambria" w:hAnsi="Cambria"/>
              </w:rPr>
            </w:pPr>
          </w:p>
        </w:tc>
        <w:tc>
          <w:tcPr>
            <w:tcW w:w="3229" w:type="dxa"/>
            <w:tcBorders>
              <w:top w:val="single" w:sz="4" w:space="0" w:color="000000" w:themeColor="text1"/>
              <w:left w:val="single" w:sz="4" w:space="0" w:color="auto"/>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35940587" w14:textId="77777777" w:rsidR="003E6EAD" w:rsidRDefault="003A4514">
            <w:pPr>
              <w:spacing w:before="60" w:after="60" w:line="240" w:lineRule="auto"/>
              <w:jc w:val="center"/>
              <w:rPr>
                <w:rFonts w:ascii="Cambria" w:hAnsi="Cambria"/>
                <w:sz w:val="20"/>
                <w:szCs w:val="20"/>
              </w:rPr>
            </w:pPr>
            <w:r>
              <w:rPr>
                <w:rFonts w:ascii="Cambria" w:hAnsi="Cambria"/>
                <w:sz w:val="20"/>
                <w:szCs w:val="20"/>
              </w:rPr>
              <w:t>Apsaimniekota aramzeme</w:t>
            </w:r>
          </w:p>
        </w:tc>
        <w:tc>
          <w:tcPr>
            <w:tcW w:w="1732"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A4D51A" w14:textId="77777777" w:rsidR="003E6EAD" w:rsidRDefault="003E6EAD">
            <w:pPr>
              <w:rPr>
                <w:rFonts w:ascii="Cambria" w:hAnsi="Cambria"/>
              </w:rPr>
            </w:pPr>
          </w:p>
        </w:tc>
        <w:tc>
          <w:tcPr>
            <w:tcW w:w="1701" w:type="dxa"/>
            <w:vMerge/>
            <w:tcBorders>
              <w:left w:val="single" w:sz="4" w:space="0" w:color="auto"/>
              <w:right w:val="single" w:sz="4" w:space="0" w:color="auto"/>
            </w:tcBorders>
            <w:tcMar>
              <w:top w:w="0" w:type="dxa"/>
              <w:left w:w="108" w:type="dxa"/>
              <w:bottom w:w="0" w:type="dxa"/>
              <w:right w:w="108" w:type="dxa"/>
            </w:tcMar>
          </w:tcPr>
          <w:p w14:paraId="708FFDBD" w14:textId="77777777" w:rsidR="003E6EAD" w:rsidRDefault="003E6EAD">
            <w:pPr>
              <w:rPr>
                <w:rFonts w:ascii="Cambria" w:hAnsi="Cambria"/>
                <w:color w:val="808080"/>
              </w:rPr>
            </w:pPr>
          </w:p>
        </w:tc>
        <w:tc>
          <w:tcPr>
            <w:tcW w:w="155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063DCF" w14:textId="77777777" w:rsidR="003E6EAD" w:rsidRDefault="003E6EAD">
            <w:pPr>
              <w:rPr>
                <w:rFonts w:ascii="Cambria" w:hAnsi="Cambria"/>
                <w:color w:val="808080"/>
              </w:rPr>
            </w:pPr>
          </w:p>
        </w:tc>
      </w:tr>
      <w:tr w:rsidR="003E6EAD" w14:paraId="001899B2" w14:textId="77777777" w:rsidTr="001733DE">
        <w:trPr>
          <w:trHeight w:val="542"/>
          <w:jc w:val="center"/>
        </w:trPr>
        <w:tc>
          <w:tcPr>
            <w:tcW w:w="846" w:type="dxa"/>
            <w:vMerge/>
            <w:tcBorders>
              <w:top w:val="single" w:sz="4" w:space="0" w:color="auto"/>
              <w:left w:val="single" w:sz="4" w:space="0" w:color="auto"/>
              <w:bottom w:val="single" w:sz="4" w:space="0" w:color="auto"/>
            </w:tcBorders>
            <w:tcMar>
              <w:top w:w="0" w:type="dxa"/>
              <w:left w:w="108" w:type="dxa"/>
              <w:bottom w:w="0" w:type="dxa"/>
              <w:right w:w="108" w:type="dxa"/>
            </w:tcMar>
            <w:textDirection w:val="btLr"/>
            <w:vAlign w:val="center"/>
          </w:tcPr>
          <w:p w14:paraId="39F8576C" w14:textId="77777777" w:rsidR="003E6EAD" w:rsidRDefault="003E6EAD">
            <w:pPr>
              <w:rPr>
                <w:rFonts w:ascii="Cambria" w:hAnsi="Cambria"/>
              </w:rPr>
            </w:pPr>
          </w:p>
        </w:tc>
        <w:tc>
          <w:tcPr>
            <w:tcW w:w="3229" w:type="dxa"/>
            <w:tcBorders>
              <w:top w:val="single" w:sz="4" w:space="0" w:color="000000" w:themeColor="text1"/>
              <w:left w:val="single" w:sz="4" w:space="0" w:color="auto"/>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073E9E15" w14:textId="77777777" w:rsidR="003E6EAD" w:rsidRDefault="003A4514">
            <w:pPr>
              <w:spacing w:before="60" w:after="60" w:line="240" w:lineRule="auto"/>
              <w:jc w:val="center"/>
              <w:rPr>
                <w:rFonts w:ascii="Cambria" w:hAnsi="Cambria"/>
                <w:sz w:val="20"/>
                <w:szCs w:val="20"/>
              </w:rPr>
            </w:pPr>
            <w:r>
              <w:rPr>
                <w:rFonts w:ascii="Cambria" w:hAnsi="Cambria"/>
                <w:sz w:val="20"/>
                <w:szCs w:val="20"/>
              </w:rPr>
              <w:t>Apsaimniekoti zālāji</w:t>
            </w:r>
          </w:p>
        </w:tc>
        <w:tc>
          <w:tcPr>
            <w:tcW w:w="1732"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4348ED" w14:textId="77777777" w:rsidR="003E6EAD" w:rsidRDefault="003E6EAD">
            <w:pPr>
              <w:rPr>
                <w:rFonts w:ascii="Cambria" w:hAnsi="Cambria"/>
              </w:rPr>
            </w:pPr>
          </w:p>
        </w:tc>
        <w:tc>
          <w:tcPr>
            <w:tcW w:w="1701" w:type="dxa"/>
            <w:vMerge/>
            <w:tcBorders>
              <w:left w:val="single" w:sz="4" w:space="0" w:color="auto"/>
              <w:right w:val="single" w:sz="4" w:space="0" w:color="auto"/>
            </w:tcBorders>
            <w:tcMar>
              <w:top w:w="0" w:type="dxa"/>
              <w:left w:w="108" w:type="dxa"/>
              <w:bottom w:w="0" w:type="dxa"/>
              <w:right w:w="108" w:type="dxa"/>
            </w:tcMar>
          </w:tcPr>
          <w:p w14:paraId="18514F8B" w14:textId="77777777" w:rsidR="003E6EAD" w:rsidRDefault="003E6EAD">
            <w:pPr>
              <w:rPr>
                <w:rFonts w:ascii="Cambria" w:hAnsi="Cambria"/>
                <w:color w:val="808080"/>
              </w:rPr>
            </w:pPr>
          </w:p>
        </w:tc>
        <w:tc>
          <w:tcPr>
            <w:tcW w:w="155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6537C1" w14:textId="77777777" w:rsidR="003E6EAD" w:rsidRDefault="003E6EAD">
            <w:pPr>
              <w:rPr>
                <w:rFonts w:ascii="Cambria" w:hAnsi="Cambria"/>
                <w:color w:val="808080"/>
              </w:rPr>
            </w:pPr>
          </w:p>
        </w:tc>
      </w:tr>
      <w:tr w:rsidR="003E6EAD" w14:paraId="7C31DFC6" w14:textId="77777777" w:rsidTr="001733DE">
        <w:trPr>
          <w:trHeight w:val="542"/>
          <w:jc w:val="center"/>
        </w:trPr>
        <w:tc>
          <w:tcPr>
            <w:tcW w:w="846" w:type="dxa"/>
            <w:vMerge/>
            <w:tcBorders>
              <w:top w:val="single" w:sz="4" w:space="0" w:color="auto"/>
              <w:left w:val="single" w:sz="4" w:space="0" w:color="auto"/>
              <w:bottom w:val="single" w:sz="4" w:space="0" w:color="auto"/>
            </w:tcBorders>
            <w:tcMar>
              <w:top w:w="0" w:type="dxa"/>
              <w:left w:w="108" w:type="dxa"/>
              <w:bottom w:w="0" w:type="dxa"/>
              <w:right w:w="108" w:type="dxa"/>
            </w:tcMar>
            <w:textDirection w:val="btLr"/>
            <w:vAlign w:val="center"/>
          </w:tcPr>
          <w:p w14:paraId="4ACCE615" w14:textId="77777777" w:rsidR="003E6EAD" w:rsidRDefault="003E6EAD">
            <w:pPr>
              <w:rPr>
                <w:rFonts w:ascii="Cambria" w:hAnsi="Cambria"/>
              </w:rPr>
            </w:pPr>
          </w:p>
        </w:tc>
        <w:tc>
          <w:tcPr>
            <w:tcW w:w="322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1A388BE" w14:textId="77777777" w:rsidR="003E6EAD" w:rsidRDefault="003A4514">
            <w:pPr>
              <w:spacing w:before="60" w:after="60" w:line="240" w:lineRule="auto"/>
              <w:jc w:val="center"/>
              <w:rPr>
                <w:rFonts w:ascii="Cambria" w:hAnsi="Cambria"/>
                <w:sz w:val="20"/>
                <w:szCs w:val="20"/>
              </w:rPr>
            </w:pPr>
            <w:r>
              <w:rPr>
                <w:rFonts w:ascii="Cambria" w:hAnsi="Cambria"/>
                <w:sz w:val="20"/>
                <w:szCs w:val="20"/>
              </w:rPr>
              <w:t>Apsaimniekoti mitrāji</w:t>
            </w:r>
          </w:p>
        </w:tc>
        <w:tc>
          <w:tcPr>
            <w:tcW w:w="1732"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Mar>
              <w:top w:w="0" w:type="dxa"/>
              <w:left w:w="108" w:type="dxa"/>
              <w:bottom w:w="0" w:type="dxa"/>
              <w:right w:w="108" w:type="dxa"/>
            </w:tcMar>
          </w:tcPr>
          <w:p w14:paraId="69C1B71D" w14:textId="77777777" w:rsidR="003E6EAD" w:rsidRDefault="003A4514">
            <w:pPr>
              <w:spacing w:before="240"/>
              <w:jc w:val="center"/>
            </w:pPr>
            <w:r>
              <w:rPr>
                <w:rFonts w:ascii="Cambria" w:eastAsia="Times New Roman" w:hAnsi="Cambria"/>
                <w:color w:val="808080"/>
                <w:kern w:val="3"/>
                <w:sz w:val="20"/>
                <w:szCs w:val="20"/>
                <w:lang w:eastAsia="lv-LV"/>
              </w:rPr>
              <w:t>Bez saistībām</w:t>
            </w:r>
          </w:p>
        </w:tc>
        <w:tc>
          <w:tcPr>
            <w:tcW w:w="1701" w:type="dxa"/>
            <w:vMerge/>
            <w:tcBorders>
              <w:right w:val="single" w:sz="4" w:space="0" w:color="auto"/>
            </w:tcBorders>
            <w:tcMar>
              <w:top w:w="0" w:type="dxa"/>
              <w:left w:w="108" w:type="dxa"/>
              <w:bottom w:w="0" w:type="dxa"/>
              <w:right w:w="108" w:type="dxa"/>
            </w:tcMar>
          </w:tcPr>
          <w:p w14:paraId="479AC86C" w14:textId="77777777" w:rsidR="003E6EAD" w:rsidRDefault="003E6EAD">
            <w:pPr>
              <w:rPr>
                <w:rFonts w:ascii="Cambria" w:hAnsi="Cambria"/>
                <w:color w:val="808080"/>
                <w:sz w:val="20"/>
                <w:szCs w:val="20"/>
              </w:rPr>
            </w:pPr>
          </w:p>
        </w:tc>
        <w:tc>
          <w:tcPr>
            <w:tcW w:w="155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07BEDD" w14:textId="77777777" w:rsidR="003E6EAD" w:rsidRDefault="003E6EAD">
            <w:pPr>
              <w:rPr>
                <w:rFonts w:ascii="Cambria" w:hAnsi="Cambria"/>
                <w:color w:val="808080"/>
                <w:sz w:val="20"/>
                <w:szCs w:val="20"/>
              </w:rPr>
            </w:pPr>
          </w:p>
        </w:tc>
      </w:tr>
      <w:tr w:rsidR="003E6EAD" w14:paraId="351F9AAF" w14:textId="77777777" w:rsidTr="001733DE">
        <w:trPr>
          <w:trHeight w:val="542"/>
          <w:jc w:val="center"/>
        </w:trPr>
        <w:tc>
          <w:tcPr>
            <w:tcW w:w="40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062B7AD" w14:textId="77777777" w:rsidR="003E6EAD" w:rsidRDefault="003A4514">
            <w:pPr>
              <w:spacing w:before="60" w:after="60" w:line="240" w:lineRule="auto"/>
              <w:jc w:val="center"/>
              <w:rPr>
                <w:rFonts w:ascii="Cambria" w:hAnsi="Cambria"/>
                <w:sz w:val="20"/>
                <w:szCs w:val="20"/>
              </w:rPr>
            </w:pPr>
            <w:r>
              <w:rPr>
                <w:rFonts w:ascii="Cambria" w:hAnsi="Cambria"/>
                <w:sz w:val="20"/>
                <w:szCs w:val="20"/>
              </w:rPr>
              <w:t xml:space="preserve">ZIZIMM sektora ziņošanas kategorijas </w:t>
            </w:r>
          </w:p>
          <w:p w14:paraId="062D2E5C" w14:textId="77777777" w:rsidR="003E6EAD" w:rsidRDefault="003A4514" w:rsidP="5B9FE7F0">
            <w:pPr>
              <w:spacing w:before="60" w:after="60" w:line="240" w:lineRule="auto"/>
              <w:jc w:val="center"/>
              <w:rPr>
                <w:rFonts w:ascii="Cambria" w:hAnsi="Cambria"/>
                <w:sz w:val="20"/>
                <w:szCs w:val="20"/>
              </w:rPr>
            </w:pPr>
            <w:r w:rsidRPr="5B9FE7F0">
              <w:rPr>
                <w:rFonts w:ascii="Cambria" w:hAnsi="Cambria"/>
                <w:sz w:val="20"/>
                <w:szCs w:val="20"/>
              </w:rPr>
              <w:t>(</w:t>
            </w:r>
            <w:r w:rsidRPr="5B9FE7F0">
              <w:rPr>
                <w:rFonts w:ascii="Cambria" w:hAnsi="Cambria"/>
                <w:i/>
                <w:iCs/>
                <w:sz w:val="20"/>
                <w:szCs w:val="20"/>
              </w:rPr>
              <w:t>meža zeme; aramzeme; zālāji; mitrāji; apdzīvotās teritorijas; cita zeme; nocirstas koksnes produkti; gaistošais slāpeklis no apstrādātām augsnēm; slāpekļa izskalošanās un aizskalošanās</w:t>
            </w:r>
            <w:r w:rsidRPr="5B9FE7F0">
              <w:rPr>
                <w:rFonts w:ascii="Cambria" w:hAnsi="Cambria"/>
                <w:sz w:val="20"/>
                <w:szCs w:val="20"/>
              </w:rPr>
              <w:t>), kt CO</w:t>
            </w:r>
            <w:r w:rsidRPr="5B9FE7F0">
              <w:rPr>
                <w:rFonts w:ascii="Cambria" w:hAnsi="Cambria"/>
                <w:sz w:val="20"/>
                <w:szCs w:val="20"/>
                <w:vertAlign w:val="subscript"/>
              </w:rPr>
              <w:t>2</w:t>
            </w:r>
            <w:r w:rsidRPr="5B9FE7F0">
              <w:rPr>
                <w:rFonts w:ascii="Cambria" w:hAnsi="Cambria"/>
                <w:sz w:val="20"/>
                <w:szCs w:val="20"/>
              </w:rPr>
              <w:t xml:space="preserve"> ekv.</w:t>
            </w:r>
          </w:p>
          <w:p w14:paraId="0E582FFB" w14:textId="77777777" w:rsidR="003E6EAD" w:rsidRDefault="003E6EAD">
            <w:pPr>
              <w:spacing w:before="60" w:after="60" w:line="240" w:lineRule="auto"/>
              <w:jc w:val="center"/>
              <w:rPr>
                <w:rFonts w:ascii="Cambria" w:hAnsi="Cambria"/>
                <w:sz w:val="20"/>
                <w:szCs w:val="20"/>
              </w:rPr>
            </w:pPr>
          </w:p>
        </w:tc>
        <w:tc>
          <w:tcPr>
            <w:tcW w:w="17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68355845" w14:textId="77777777" w:rsidR="003E6EAD" w:rsidRDefault="003E6EAD">
            <w:pPr>
              <w:snapToGrid w:val="0"/>
              <w:spacing w:before="60" w:after="60" w:line="240" w:lineRule="auto"/>
              <w:jc w:val="center"/>
              <w:rPr>
                <w:rFonts w:ascii="Cambria" w:eastAsia="Times New Roman" w:hAnsi="Cambria"/>
                <w:color w:val="000000"/>
                <w:kern w:val="3"/>
                <w:sz w:val="20"/>
                <w:szCs w:val="20"/>
                <w:lang w:eastAsia="lv-LV"/>
              </w:rPr>
            </w:pPr>
          </w:p>
        </w:tc>
        <w:tc>
          <w:tcPr>
            <w:tcW w:w="1701" w:type="dxa"/>
            <w:tcBorders>
              <w:top w:val="single" w:sz="4" w:space="0" w:color="auto"/>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61882FB9" w14:textId="77777777" w:rsidR="003E6EAD" w:rsidRDefault="003A4514">
            <w:pPr>
              <w:spacing w:after="0"/>
              <w:jc w:val="center"/>
              <w:rPr>
                <w:rFonts w:ascii="Cambria" w:hAnsi="Cambria"/>
                <w:sz w:val="20"/>
                <w:szCs w:val="20"/>
              </w:rPr>
            </w:pPr>
            <w:r>
              <w:rPr>
                <w:rFonts w:ascii="Cambria" w:hAnsi="Cambria"/>
                <w:sz w:val="20"/>
                <w:szCs w:val="20"/>
              </w:rPr>
              <w:t xml:space="preserve">Indikatīvi </w:t>
            </w:r>
          </w:p>
          <w:p w14:paraId="409BB22F" w14:textId="77777777" w:rsidR="003E6EAD" w:rsidRDefault="003A4514">
            <w:pPr>
              <w:spacing w:after="0"/>
              <w:jc w:val="center"/>
            </w:pPr>
            <w:r>
              <w:rPr>
                <w:rFonts w:ascii="Cambria" w:hAnsi="Cambria"/>
                <w:sz w:val="20"/>
                <w:szCs w:val="20"/>
              </w:rPr>
              <w:t>-644</w:t>
            </w:r>
            <w:r>
              <w:rPr>
                <w:rStyle w:val="FootnoteReference"/>
                <w:rFonts w:ascii="Cambria" w:hAnsi="Cambria"/>
                <w:sz w:val="20"/>
                <w:szCs w:val="20"/>
              </w:rPr>
              <w:footnoteReference w:id="37"/>
            </w:r>
          </w:p>
          <w:p w14:paraId="300F9715" w14:textId="77777777" w:rsidR="003E6EAD" w:rsidRDefault="003A4514" w:rsidP="5B9FE7F0">
            <w:pPr>
              <w:snapToGrid w:val="0"/>
              <w:spacing w:before="60" w:after="60" w:line="240" w:lineRule="auto"/>
              <w:jc w:val="center"/>
              <w:rPr>
                <w:rFonts w:ascii="Cambria" w:hAnsi="Cambria"/>
                <w:sz w:val="20"/>
                <w:szCs w:val="20"/>
              </w:rPr>
            </w:pPr>
            <w:r w:rsidRPr="5B9FE7F0">
              <w:rPr>
                <w:rFonts w:ascii="Cambria" w:hAnsi="Cambria"/>
                <w:sz w:val="20"/>
                <w:szCs w:val="20"/>
              </w:rPr>
              <w:t>kt CO</w:t>
            </w:r>
            <w:r w:rsidRPr="5B9FE7F0">
              <w:rPr>
                <w:rFonts w:ascii="Cambria" w:hAnsi="Cambria"/>
                <w:sz w:val="20"/>
                <w:szCs w:val="20"/>
                <w:vertAlign w:val="subscript"/>
              </w:rPr>
              <w:t>2</w:t>
            </w:r>
            <w:r w:rsidRPr="5B9FE7F0">
              <w:rPr>
                <w:rFonts w:ascii="Cambria" w:hAnsi="Cambria"/>
                <w:sz w:val="20"/>
                <w:szCs w:val="20"/>
              </w:rPr>
              <w:t xml:space="preserve"> ekv.</w:t>
            </w:r>
          </w:p>
        </w:tc>
        <w:tc>
          <w:tcPr>
            <w:tcW w:w="1559" w:type="dxa"/>
            <w:vMerge/>
            <w:tcBorders>
              <w:top w:val="single" w:sz="4" w:space="0" w:color="auto"/>
              <w:bottom w:val="single" w:sz="4" w:space="0" w:color="auto"/>
              <w:right w:val="single" w:sz="4" w:space="0" w:color="auto"/>
            </w:tcBorders>
            <w:tcMar>
              <w:top w:w="0" w:type="dxa"/>
              <w:left w:w="108" w:type="dxa"/>
              <w:bottom w:w="0" w:type="dxa"/>
              <w:right w:w="108" w:type="dxa"/>
            </w:tcMar>
          </w:tcPr>
          <w:p w14:paraId="6123CA95" w14:textId="77777777" w:rsidR="003E6EAD" w:rsidRDefault="003E6EAD">
            <w:pPr>
              <w:jc w:val="center"/>
              <w:rPr>
                <w:rFonts w:ascii="Cambria" w:hAnsi="Cambria"/>
                <w:sz w:val="20"/>
                <w:szCs w:val="20"/>
              </w:rPr>
            </w:pPr>
          </w:p>
        </w:tc>
      </w:tr>
    </w:tbl>
    <w:p w14:paraId="0A1DF1E9" w14:textId="77777777" w:rsidR="00AC1815" w:rsidRDefault="00AC1815" w:rsidP="00AC1815">
      <w:bookmarkStart w:id="24" w:name="_Toc185319493"/>
    </w:p>
    <w:p w14:paraId="187DFC46" w14:textId="47790D62" w:rsidR="003E6EAD" w:rsidRDefault="41800E99" w:rsidP="5B9FE7F0">
      <w:pPr>
        <w:rPr>
          <w:rFonts w:ascii="Cambria" w:hAnsi="Cambria"/>
          <w:b/>
          <w:bCs/>
          <w:i/>
          <w:iCs/>
          <w:color w:val="074F6A" w:themeColor="accent4" w:themeShade="80"/>
          <w:sz w:val="24"/>
          <w:szCs w:val="24"/>
        </w:rPr>
      </w:pPr>
      <w:r w:rsidRPr="5B9FE7F0">
        <w:rPr>
          <w:rFonts w:ascii="Cambria" w:hAnsi="Cambria"/>
          <w:b/>
          <w:bCs/>
          <w:i/>
          <w:iCs/>
          <w:color w:val="074F6A" w:themeColor="accent4" w:themeShade="80"/>
          <w:sz w:val="24"/>
          <w:szCs w:val="24"/>
        </w:rPr>
        <w:lastRenderedPageBreak/>
        <w:t>Virzība uz klimatnoturību</w:t>
      </w:r>
      <w:bookmarkEnd w:id="24"/>
    </w:p>
    <w:p w14:paraId="3443D4F5" w14:textId="0033A503" w:rsidR="003E6EAD" w:rsidRDefault="003A4514">
      <w:pPr>
        <w:spacing w:before="120" w:after="120" w:line="240" w:lineRule="auto"/>
        <w:ind w:firstLine="502"/>
        <w:jc w:val="both"/>
        <w:rPr>
          <w:rFonts w:ascii="Cambria" w:hAnsi="Cambria"/>
          <w:sz w:val="24"/>
          <w:szCs w:val="24"/>
        </w:rPr>
      </w:pPr>
      <w:r w:rsidRPr="1349CB80">
        <w:rPr>
          <w:rFonts w:ascii="Cambria" w:hAnsi="Cambria"/>
          <w:sz w:val="24"/>
          <w:szCs w:val="24"/>
        </w:rPr>
        <w:t>Pielāgošanās klimata pārmaiņām</w:t>
      </w:r>
      <w:r w:rsidR="00EE2992">
        <w:rPr>
          <w:rFonts w:ascii="Cambria" w:hAnsi="Cambria"/>
          <w:sz w:val="24"/>
          <w:szCs w:val="24"/>
        </w:rPr>
        <w:t xml:space="preserve"> politika</w:t>
      </w:r>
      <w:r w:rsidRPr="1349CB80">
        <w:rPr>
          <w:rFonts w:ascii="Cambria" w:hAnsi="Cambria"/>
          <w:sz w:val="24"/>
          <w:szCs w:val="24"/>
        </w:rPr>
        <w:t xml:space="preserve"> palīdz identificēt visvairāk ietekmētās jomas un sabiedrības grupas, nodrošinot mērķtiecīgu rīcību un resursu sadalījumu. Latvija arvien vairāk saskaras ar dažādiem klimata pārmaiņu veicinātiem laikapstākļu ekstrēmiem,  tostarp pastiprinātiem plūdiem, karstuma viļņiem, vētrām</w:t>
      </w:r>
      <w:r w:rsidRPr="1349CB80">
        <w:rPr>
          <w:rStyle w:val="FootnoteReference"/>
          <w:rFonts w:ascii="Cambria" w:hAnsi="Cambria"/>
          <w:sz w:val="24"/>
          <w:szCs w:val="24"/>
        </w:rPr>
        <w:footnoteReference w:id="38"/>
      </w:r>
      <w:r w:rsidRPr="1349CB80">
        <w:rPr>
          <w:rFonts w:ascii="Cambria" w:hAnsi="Cambria"/>
          <w:sz w:val="24"/>
          <w:szCs w:val="24"/>
        </w:rPr>
        <w:t xml:space="preserve"> u.c. Klimata pārmaiņu ietekmētāko jomu apzināšana palīdz noteikt pielāgošanās pasākumu prioritātes. Bioloģiskās daudzveidības saglabāšana un ekosistēmu (piemēram, meži, mitrāji) atjaunošana var palīdzēt samazināt SEG un stiprināt dabas spēju tikt galā ar klimata pārmaiņām. Ilgtspējīgas lauksaimniecības un mežsaimniecības prakses var veicināt augsnes kvalitātes uzlabošanu, palielināt ražīgumu un samazināt emisijas, tāpat arī ilgtspējīga mežu apsaimniekošana ne tikai veicina oglekļa piesaisti, bet arī mazina neaizsargātību pret klimata ietekmi, piemēram, kaitēkļiem un slimībām. </w:t>
      </w:r>
    </w:p>
    <w:p w14:paraId="294D9871" w14:textId="7A32D8CC"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Ieguldījumi noturīgā infrastruktūrā (piemēram, pret</w:t>
      </w:r>
      <w:r w:rsidR="002127BF">
        <w:rPr>
          <w:rFonts w:ascii="Cambria" w:hAnsi="Cambria"/>
          <w:sz w:val="24"/>
          <w:szCs w:val="24"/>
        </w:rPr>
        <w:t xml:space="preserve"> </w:t>
      </w:r>
      <w:r w:rsidRPr="5B9FE7F0">
        <w:rPr>
          <w:rFonts w:ascii="Cambria" w:hAnsi="Cambria"/>
          <w:sz w:val="24"/>
          <w:szCs w:val="24"/>
        </w:rPr>
        <w:t>plūdu aizsardzībā, uzlabotās meliorācijas sistēmās) palīdz samazināt zaudējumus un nodrošināt ekonomikas attīstību, tādējādi novēršot iespējamo emisiju pieaugumu. Energoefektīvu risinājumu ieviešana ēkās samazina enerģijas patēriņu un līdz ar to emisijas un lietotāju izmaksas, vienlaikus padarot tās izturīgākas pret klimata ietekmi.</w:t>
      </w:r>
    </w:p>
    <w:p w14:paraId="20DDEDEF" w14:textId="4327B975"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Pielāgošanās klimata pārmaiņām ir ne tikai nepieciešama atbildes reakcija uz klimata izaicinājumiem, bet arī būtiska sastāvdaļa, lai sasniegtu klimatneitralitāti. Apvienojot pielāgošanās pasākumus ar SEG emisiju samazināšanas iniciatīvām dažādās nozarēs, Latvija var uzlabot savu klimatnoturību pret klimata ietekmi un nodrošināt ilgtspējīgu attīstību un saglabāt gan vidi, gan ekonomiku nākotnē. Līdzekļu piešķiršana gan pielāgošanās klimata pārmaiņām, gan SEG emisiju mazināšanas pasākumiem rada līdzieguvumus, kas veicina efektīvākus klimata risinājumus.</w:t>
      </w:r>
    </w:p>
    <w:p w14:paraId="7CFDBD37"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Lai efektīvi definētu pielāgošanās klimata pārmaiņām pasākumus un risinātu klimata pārmaiņu radītās sekas, būtisks solis ir klimata risku noteikšana. Novērtējot potenciālās ietekmes un riskus uz, tostarp, cilvēku veselību, ekonomikas izaugsmi un vidi, var labāk saprast, kuras jomas prasa steidzamus pielāgošanās klimata pārmaiņām pasākumus un prioritizējot riskus, var labāk sadalīt pieejamos resursus, lai risinātu vissteidzamākos jautājumus. Identificētie riski palīdz formulēt konkrētus pielāgošanās klimata pārmaiņām pasākumus, piemēram, infrastruktūras uzlabošanu, ekosistēmu aizsardzību vai sabiedrības izglītošanu. </w:t>
      </w:r>
    </w:p>
    <w:p w14:paraId="2D50ED8E" w14:textId="77777777" w:rsidR="003E6EAD" w:rsidRDefault="003A4514" w:rsidP="5B9FE7F0">
      <w:pPr>
        <w:spacing w:before="120" w:after="120" w:line="240" w:lineRule="auto"/>
        <w:ind w:firstLine="567"/>
        <w:jc w:val="both"/>
        <w:rPr>
          <w:rStyle w:val="ui-provider"/>
          <w:rFonts w:ascii="Cambria" w:hAnsi="Cambria"/>
          <w:sz w:val="24"/>
          <w:szCs w:val="24"/>
        </w:rPr>
      </w:pPr>
      <w:r w:rsidRPr="5B9FE7F0">
        <w:rPr>
          <w:rFonts w:ascii="Cambria" w:eastAsia="Cambria" w:hAnsi="Cambria" w:cs="Cambria"/>
          <w:sz w:val="24"/>
          <w:szCs w:val="24"/>
        </w:rPr>
        <w:t>Klimatnoturības stiprināšanai nepieciešama valsts politika, tai skaitā likumdošanas iniciatīvas un finansējuma piesaiste. Latvijai ir jāievēro starptautiskās saistības, piemēram, Parīzes nolīgums, un jāizstrādā nacionālā klimata politika un pielāgošanās plāni</w:t>
      </w:r>
      <w:bookmarkStart w:id="25" w:name="_Hlk191026735"/>
      <w:r w:rsidRPr="5B9FE7F0">
        <w:rPr>
          <w:rFonts w:ascii="Cambria" w:eastAsia="Cambria" w:hAnsi="Cambria" w:cs="Cambria"/>
          <w:sz w:val="24"/>
          <w:szCs w:val="24"/>
        </w:rPr>
        <w:t>.</w:t>
      </w:r>
      <w:r w:rsidRPr="5B9FE7F0">
        <w:rPr>
          <w:rFonts w:ascii="Cambria" w:hAnsi="Cambria"/>
          <w:sz w:val="24"/>
          <w:szCs w:val="24"/>
        </w:rPr>
        <w:t xml:space="preserve"> 2019. gada 17. jūlijā </w:t>
      </w:r>
      <w:bookmarkEnd w:id="25"/>
      <w:r w:rsidRPr="5B9FE7F0">
        <w:rPr>
          <w:rFonts w:ascii="Cambria" w:hAnsi="Cambria"/>
          <w:sz w:val="24"/>
          <w:szCs w:val="24"/>
        </w:rPr>
        <w:t>MK apstiprināja Latvijas pielāgošanās klimata pārmaiņām plānu laika posmam līdz 2030. gadam</w:t>
      </w:r>
      <w:r w:rsidRPr="5B9FE7F0">
        <w:rPr>
          <w:rStyle w:val="FootnoteAnchor"/>
          <w:rFonts w:ascii="Cambria" w:hAnsi="Cambria"/>
          <w:sz w:val="24"/>
          <w:szCs w:val="24"/>
        </w:rPr>
        <w:footnoteReference w:id="39"/>
      </w:r>
      <w:r w:rsidRPr="5B9FE7F0">
        <w:rPr>
          <w:rFonts w:ascii="Cambria" w:hAnsi="Cambria"/>
          <w:sz w:val="24"/>
          <w:szCs w:val="24"/>
        </w:rPr>
        <w:t>, un tā īstenošanai ir izvirzīti pieci stratēģiskie mērķi, iekļaujot vairāk nekā 80 konkrētus vidēja termiņa pasākumus. Pielāgošanās pasākumi jāiekļauj visos attīstības un plānošanas procesos, nodrošinot, ka tie ir saskaņoti ar citiem politikas mērķiem.</w:t>
      </w:r>
      <w:r w:rsidRPr="5B9FE7F0">
        <w:rPr>
          <w:rStyle w:val="ui-provider"/>
          <w:rFonts w:ascii="Cambria" w:hAnsi="Cambria"/>
          <w:sz w:val="24"/>
          <w:szCs w:val="24"/>
        </w:rPr>
        <w:t xml:space="preserve"> Klimatnoturības sasniegšanā būtiska nozīme ir valsts, nozaru un pašvaldību pielāgošanās klimata pārmaiņām plāni, kas izstrādāti pamatojoties uz veiktajiem klimata risku un ievainojamības izvērtējumiem.</w:t>
      </w:r>
    </w:p>
    <w:p w14:paraId="14B61CC2" w14:textId="0C3C3C38" w:rsidR="003E6EAD" w:rsidRDefault="003A4514">
      <w:pPr>
        <w:spacing w:before="120" w:after="120" w:line="240" w:lineRule="auto"/>
        <w:ind w:firstLine="567"/>
        <w:jc w:val="both"/>
        <w:rPr>
          <w:rFonts w:ascii="Cambria" w:hAnsi="Cambria"/>
          <w:sz w:val="24"/>
          <w:szCs w:val="24"/>
        </w:rPr>
      </w:pPr>
      <w:r>
        <w:rPr>
          <w:rFonts w:ascii="Cambria" w:hAnsi="Cambria"/>
          <w:sz w:val="24"/>
          <w:szCs w:val="24"/>
        </w:rPr>
        <w:lastRenderedPageBreak/>
        <w:t>KEM ir uzsākusi aktualizēt risku un ievainojamības novērtējumu un pielāgošanās indikatoru un pasākumu identificēšanu klimata pārmaiņu ietekmētākajās tautsaimniecības nozarēs. Pirmie novērtējumi tiks veikti 2025. gadā transporta infrastruktūras, mežsaimniecības, lauksaimniecības un zivsaimniecības jomās. Novērtējumi būs par pamatu Latvijas pielāgošanās plāna izstrādei laika posmam no 2030.-2040. gadam.</w:t>
      </w:r>
    </w:p>
    <w:p w14:paraId="43020DDE" w14:textId="77777777" w:rsidR="00D618BE" w:rsidRDefault="00D618BE" w:rsidP="00AF5B83">
      <w:bookmarkStart w:id="26" w:name="_Toc120463763"/>
      <w:bookmarkStart w:id="27" w:name="_Toc185319495"/>
    </w:p>
    <w:p w14:paraId="77D00805" w14:textId="38FCFD65" w:rsidR="00B32051" w:rsidRDefault="003A4514">
      <w:pPr>
        <w:pStyle w:val="Heading2"/>
        <w:rPr>
          <w:rFonts w:ascii="Cambria" w:eastAsia="Yu Gothic" w:hAnsi="Cambria" w:cs="Arial"/>
          <w:b/>
          <w:bCs/>
          <w:color w:val="155452"/>
          <w:sz w:val="24"/>
          <w:szCs w:val="24"/>
        </w:rPr>
      </w:pPr>
      <w:bookmarkStart w:id="28" w:name="_Toc190952415"/>
      <w:r>
        <w:rPr>
          <w:rFonts w:ascii="Cambria" w:eastAsia="Yu Gothic" w:hAnsi="Cambria" w:cs="Arial"/>
          <w:b/>
          <w:bCs/>
          <w:color w:val="155452"/>
          <w:sz w:val="24"/>
          <w:szCs w:val="24"/>
        </w:rPr>
        <w:t>1</w:t>
      </w:r>
      <w:r w:rsidRPr="00D06AF4">
        <w:rPr>
          <w:rFonts w:ascii="Cambria" w:hAnsi="Cambria"/>
          <w:b/>
          <w:bCs/>
          <w:sz w:val="24"/>
          <w:szCs w:val="24"/>
        </w:rPr>
        <w:t>.</w:t>
      </w:r>
      <w:r w:rsidR="00D06AF4" w:rsidRPr="00D06AF4">
        <w:rPr>
          <w:rFonts w:ascii="Cambria" w:hAnsi="Cambria"/>
          <w:b/>
          <w:bCs/>
          <w:sz w:val="24"/>
          <w:szCs w:val="24"/>
        </w:rPr>
        <w:t>2.</w:t>
      </w:r>
      <w:r>
        <w:rPr>
          <w:rFonts w:ascii="Cambria" w:hAnsi="Cambria"/>
          <w:sz w:val="24"/>
          <w:szCs w:val="24"/>
        </w:rPr>
        <w:t xml:space="preserve"> </w:t>
      </w:r>
      <w:r w:rsidR="00B32051">
        <w:rPr>
          <w:rFonts w:ascii="Cambria" w:eastAsia="Yu Gothic" w:hAnsi="Cambria" w:cs="Arial"/>
          <w:b/>
          <w:bCs/>
          <w:color w:val="155452"/>
          <w:sz w:val="28"/>
          <w:szCs w:val="28"/>
        </w:rPr>
        <w:t xml:space="preserve">SEG </w:t>
      </w:r>
      <w:r w:rsidR="00D618BE">
        <w:rPr>
          <w:rFonts w:ascii="Cambria" w:eastAsia="Yu Gothic" w:hAnsi="Cambria" w:cs="Arial"/>
          <w:b/>
          <w:bCs/>
          <w:color w:val="155452"/>
          <w:sz w:val="28"/>
          <w:szCs w:val="28"/>
        </w:rPr>
        <w:t>mērķu izpildes novērtējuma metodiskā pieeja</w:t>
      </w:r>
      <w:bookmarkEnd w:id="28"/>
      <w:r w:rsidR="00D618BE">
        <w:rPr>
          <w:rFonts w:ascii="Cambria" w:eastAsia="Yu Gothic" w:hAnsi="Cambria" w:cs="Arial"/>
          <w:b/>
          <w:bCs/>
          <w:color w:val="155452"/>
          <w:sz w:val="28"/>
          <w:szCs w:val="28"/>
        </w:rPr>
        <w:t xml:space="preserve"> </w:t>
      </w:r>
    </w:p>
    <w:p w14:paraId="457218C1" w14:textId="49E1D5B3" w:rsidR="003E6EAD" w:rsidRPr="005B182A" w:rsidRDefault="003A4514" w:rsidP="0041371E">
      <w:pPr>
        <w:rPr>
          <w:rFonts w:ascii="Cambria" w:hAnsi="Cambria"/>
          <w:b/>
          <w:bCs/>
          <w:color w:val="074F6A" w:themeColor="accent4" w:themeShade="80"/>
          <w:sz w:val="24"/>
          <w:szCs w:val="24"/>
        </w:rPr>
      </w:pPr>
      <w:r w:rsidRPr="005B182A">
        <w:rPr>
          <w:rFonts w:ascii="Cambria" w:hAnsi="Cambria"/>
          <w:b/>
          <w:bCs/>
          <w:color w:val="074F6A" w:themeColor="accent4" w:themeShade="80"/>
          <w:sz w:val="24"/>
          <w:szCs w:val="24"/>
        </w:rPr>
        <w:t>SEG mērķu izpildes vēsturiskā progresa novērtēšanas metodoloģija</w:t>
      </w:r>
      <w:bookmarkEnd w:id="26"/>
      <w:bookmarkEnd w:id="27"/>
    </w:p>
    <w:p w14:paraId="452C776F" w14:textId="5326BE23" w:rsidR="003E6EAD" w:rsidRDefault="003A4514" w:rsidP="5B9FE7F0">
      <w:pPr>
        <w:pStyle w:val="NormalWeb"/>
        <w:spacing w:before="120" w:after="120"/>
        <w:ind w:firstLine="567"/>
        <w:jc w:val="both"/>
        <w:rPr>
          <w:rFonts w:ascii="Cambria" w:hAnsi="Cambria"/>
        </w:rPr>
      </w:pPr>
      <w:r w:rsidRPr="5B9FE7F0">
        <w:rPr>
          <w:rFonts w:ascii="Cambria" w:hAnsi="Cambria"/>
        </w:rPr>
        <w:t xml:space="preserve">Latvijas SEG mērķu izpildes vēsturiskais progress novērtēts atbilstoši 2024. gada SEG inventarizācijas rezultātiem. Atbilstoši </w:t>
      </w:r>
      <w:r w:rsidR="001642C5">
        <w:rPr>
          <w:rFonts w:ascii="Cambria" w:hAnsi="Cambria"/>
        </w:rPr>
        <w:t>MK</w:t>
      </w:r>
      <w:r w:rsidRPr="5B9FE7F0">
        <w:rPr>
          <w:rFonts w:ascii="Cambria" w:hAnsi="Cambria"/>
        </w:rPr>
        <w:t xml:space="preserve"> 2022. gada 25. oktobra noteikumiem Nr. 675 “Siltumnīcefekta gāzu inventarizācijas sistēmas, prognožu sistēmas un sistēmas ziņošanai par pielāgošanos klimata pārmaiņām izveidošanas un uzturēšanas kārtība” (turpmāk – MK noteikumi Nr. 675) SEG inventarizācijas sagatavošanu koordinē KEM</w:t>
      </w:r>
      <w:r w:rsidR="00501BE0">
        <w:rPr>
          <w:rStyle w:val="FootnoteReference"/>
          <w:rFonts w:ascii="Cambria" w:hAnsi="Cambria"/>
        </w:rPr>
        <w:footnoteReference w:id="40"/>
      </w:r>
      <w:r w:rsidRPr="5B9FE7F0">
        <w:rPr>
          <w:rFonts w:ascii="Cambria" w:hAnsi="Cambria"/>
        </w:rPr>
        <w:t xml:space="preserve">, sadarbojoties ar Ekonomikas ministriju, Zemkopības ministriju un Satiksmes </w:t>
      </w:r>
      <w:r w:rsidRPr="005F5388">
        <w:rPr>
          <w:rFonts w:ascii="Cambria" w:hAnsi="Cambria"/>
        </w:rPr>
        <w:t xml:space="preserve">ministriju, </w:t>
      </w:r>
      <w:r w:rsidR="005F5388" w:rsidRPr="005F5388">
        <w:rPr>
          <w:rFonts w:ascii="Cambria" w:hAnsi="Cambria"/>
        </w:rPr>
        <w:t>Viedās administrācijas</w:t>
      </w:r>
      <w:r w:rsidRPr="005F5388">
        <w:rPr>
          <w:rFonts w:ascii="Cambria" w:hAnsi="Cambria"/>
        </w:rPr>
        <w:t xml:space="preserve"> un reģionālās attīstības ministriju</w:t>
      </w:r>
      <w:r w:rsidR="00501BE0" w:rsidRPr="005F5388">
        <w:rPr>
          <w:rStyle w:val="FootnoteReference"/>
          <w:rFonts w:ascii="Cambria" w:hAnsi="Cambria"/>
        </w:rPr>
        <w:footnoteReference w:id="41"/>
      </w:r>
      <w:r w:rsidRPr="005F5388">
        <w:rPr>
          <w:rFonts w:ascii="Cambria" w:hAnsi="Cambria"/>
        </w:rPr>
        <w:t xml:space="preserve">, kā arī </w:t>
      </w:r>
      <w:r w:rsidR="00295089" w:rsidRPr="005F5388">
        <w:rPr>
          <w:rFonts w:ascii="Cambria" w:hAnsi="Cambria"/>
        </w:rPr>
        <w:t>v</w:t>
      </w:r>
      <w:r w:rsidRPr="005F5388">
        <w:rPr>
          <w:rFonts w:ascii="Cambria" w:hAnsi="Cambria"/>
        </w:rPr>
        <w:t>alsts sabiedrību ar ierobežotu atbildību ,,Latvijas Vides, ģeoloģijas un meteoroloģijas centrs”, Centrālās</w:t>
      </w:r>
      <w:r w:rsidRPr="5B9FE7F0">
        <w:rPr>
          <w:rFonts w:ascii="Cambria" w:hAnsi="Cambria"/>
        </w:rPr>
        <w:t xml:space="preserve"> statistikas pārvaldi, Fizikālās </w:t>
      </w:r>
      <w:r w:rsidR="00F37B6D">
        <w:rPr>
          <w:rFonts w:ascii="Cambria" w:hAnsi="Cambria"/>
        </w:rPr>
        <w:t>E</w:t>
      </w:r>
      <w:r w:rsidRPr="5B9FE7F0">
        <w:rPr>
          <w:rFonts w:ascii="Cambria" w:hAnsi="Cambria"/>
        </w:rPr>
        <w:t>nerģētikas institūtu, Latvijas Valsts mežzinātnes institūtu “Silava”, Latvijas Biozinātņu un tehnoloģiju universitāti u.c. institūcijām. Ikgadējā SEG inventarizācija tiek sagatavota saskaņā ar Klimata konvencijas, tās Parīzes nolīguma, Klimata konvencijas Līgumslēdzēju pušu konferencē pieņemtajām ziņošanas vadlīnijām par Klimata konvencijas Pušu ikgadējo inventarizāciju sagatavošanu (turpmāk – Lēmums 18/CMA.1)</w:t>
      </w:r>
      <w:r w:rsidRPr="5B9FE7F0">
        <w:rPr>
          <w:rStyle w:val="FootnoteAnchor"/>
          <w:rFonts w:ascii="Cambria" w:hAnsi="Cambria"/>
        </w:rPr>
        <w:footnoteReference w:id="42"/>
      </w:r>
      <w:r w:rsidRPr="5B9FE7F0">
        <w:rPr>
          <w:rFonts w:ascii="Cambria" w:hAnsi="Cambria"/>
        </w:rPr>
        <w:t xml:space="preserve"> un Regulas 2018/1999, kā arī </w:t>
      </w:r>
      <w:r w:rsidR="003B4523">
        <w:rPr>
          <w:rFonts w:ascii="Cambria" w:hAnsi="Cambria"/>
        </w:rPr>
        <w:t>Komisijas</w:t>
      </w:r>
      <w:r w:rsidRPr="5B9FE7F0">
        <w:rPr>
          <w:rFonts w:ascii="Cambria" w:hAnsi="Cambria"/>
        </w:rPr>
        <w:t xml:space="preserve"> </w:t>
      </w:r>
      <w:r w:rsidR="001F3486" w:rsidRPr="001F3486">
        <w:rPr>
          <w:rFonts w:ascii="Cambria" w:hAnsi="Cambria"/>
        </w:rPr>
        <w:t>2020. gada 7. august</w:t>
      </w:r>
      <w:r w:rsidR="001F3486">
        <w:rPr>
          <w:rFonts w:ascii="Cambria" w:hAnsi="Cambria"/>
        </w:rPr>
        <w:t>a</w:t>
      </w:r>
      <w:r w:rsidRPr="5B9FE7F0">
        <w:rPr>
          <w:rFonts w:ascii="Cambria" w:hAnsi="Cambria"/>
        </w:rPr>
        <w:t xml:space="preserve"> Īstenošanas regulas </w:t>
      </w:r>
      <w:r w:rsidR="003B4523">
        <w:rPr>
          <w:rFonts w:ascii="Cambria" w:hAnsi="Cambria"/>
        </w:rPr>
        <w:t xml:space="preserve">Nr. </w:t>
      </w:r>
      <w:r w:rsidRPr="5B9FE7F0">
        <w:rPr>
          <w:rFonts w:ascii="Cambria" w:hAnsi="Cambria"/>
        </w:rPr>
        <w:t>2020/1208</w:t>
      </w:r>
      <w:r w:rsidR="004C1442">
        <w:rPr>
          <w:rFonts w:ascii="Cambria" w:hAnsi="Cambria"/>
        </w:rPr>
        <w:t xml:space="preserve"> </w:t>
      </w:r>
      <w:r w:rsidRPr="5B9FE7F0">
        <w:rPr>
          <w:rFonts w:ascii="Cambria" w:hAnsi="Cambria"/>
        </w:rPr>
        <w:t xml:space="preserve">par tās informācijas struktūru, formātu, iesniegšanas procedūrām un izskatīšanu, kuru dalībvalstis ziņo saskaņā ar Eiropas Parlamenta un Padomes Regulu (ES) 2018/1999 </w:t>
      </w:r>
      <w:r w:rsidR="004C1442" w:rsidRPr="001F3486">
        <w:rPr>
          <w:rFonts w:ascii="Cambria" w:hAnsi="Cambria"/>
        </w:rPr>
        <w:t>un ar ko atceļ Komisijas Īstenošanas regulu (ES) Nr. 749/2014</w:t>
      </w:r>
      <w:r w:rsidR="004C1442">
        <w:rPr>
          <w:rFonts w:ascii="Cambria" w:hAnsi="Cambria"/>
        </w:rPr>
        <w:t xml:space="preserve"> </w:t>
      </w:r>
      <w:r w:rsidRPr="5B9FE7F0">
        <w:rPr>
          <w:rFonts w:ascii="Cambria" w:hAnsi="Cambria"/>
        </w:rPr>
        <w:t>prasībām.</w:t>
      </w:r>
    </w:p>
    <w:p w14:paraId="55EEB690" w14:textId="77777777" w:rsidR="003E6EAD" w:rsidRDefault="003A4514">
      <w:pPr>
        <w:pStyle w:val="NormalWeb"/>
        <w:spacing w:before="120" w:after="120"/>
        <w:ind w:firstLine="567"/>
        <w:jc w:val="both"/>
      </w:pPr>
      <w:r>
        <w:rPr>
          <w:rStyle w:val="StrongEmphasis"/>
          <w:rFonts w:ascii="Cambria" w:hAnsi="Cambria"/>
        </w:rPr>
        <w:t>Ikgadējā SEG inventarizācija ietver:</w:t>
      </w:r>
    </w:p>
    <w:p w14:paraId="41DE98F7" w14:textId="2F7F591F" w:rsidR="003E6EAD" w:rsidRDefault="003A4514" w:rsidP="5B9FE7F0">
      <w:pPr>
        <w:pStyle w:val="NormalWeb"/>
        <w:numPr>
          <w:ilvl w:val="0"/>
          <w:numId w:val="7"/>
        </w:numPr>
        <w:spacing w:before="120" w:after="120"/>
        <w:ind w:left="851" w:hanging="284"/>
        <w:jc w:val="both"/>
        <w:rPr>
          <w:rFonts w:ascii="Cambria" w:hAnsi="Cambria"/>
        </w:rPr>
      </w:pPr>
      <w:r w:rsidRPr="5B9FE7F0">
        <w:rPr>
          <w:rFonts w:ascii="Cambria" w:hAnsi="Cambria"/>
        </w:rPr>
        <w:t xml:space="preserve">SEG emisiju </w:t>
      </w:r>
      <w:r w:rsidR="00A32A65">
        <w:rPr>
          <w:rFonts w:ascii="Cambria" w:hAnsi="Cambria"/>
        </w:rPr>
        <w:t>–</w:t>
      </w:r>
      <w:r w:rsidRPr="5B9FE7F0">
        <w:rPr>
          <w:rFonts w:ascii="Cambria" w:hAnsi="Cambria"/>
        </w:rPr>
        <w:t xml:space="preserve"> </w:t>
      </w:r>
      <w:r w:rsidR="00A32A65">
        <w:rPr>
          <w:rFonts w:ascii="Cambria" w:hAnsi="Cambria"/>
        </w:rPr>
        <w:t>(</w:t>
      </w:r>
      <w:r w:rsidRPr="5B9FE7F0">
        <w:rPr>
          <w:rFonts w:ascii="Cambria" w:hAnsi="Cambria"/>
        </w:rPr>
        <w:t>CO</w:t>
      </w:r>
      <w:r w:rsidRPr="5B9FE7F0">
        <w:rPr>
          <w:rFonts w:ascii="Cambria" w:hAnsi="Cambria"/>
          <w:vertAlign w:val="subscript"/>
        </w:rPr>
        <w:t>2</w:t>
      </w:r>
      <w:r w:rsidRPr="5B9FE7F0">
        <w:rPr>
          <w:rFonts w:ascii="Cambria" w:hAnsi="Cambria"/>
        </w:rPr>
        <w:t>, CH</w:t>
      </w:r>
      <w:r w:rsidRPr="5B9FE7F0">
        <w:rPr>
          <w:rFonts w:ascii="Cambria" w:hAnsi="Cambria"/>
          <w:vertAlign w:val="subscript"/>
        </w:rPr>
        <w:t>4</w:t>
      </w:r>
      <w:r w:rsidRPr="5B9FE7F0">
        <w:rPr>
          <w:rFonts w:ascii="Cambria" w:hAnsi="Cambria"/>
        </w:rPr>
        <w:t xml:space="preserve">, </w:t>
      </w:r>
      <w:r w:rsidR="00D640E7">
        <w:rPr>
          <w:rFonts w:ascii="Cambria" w:hAnsi="Cambria"/>
        </w:rPr>
        <w:t>N</w:t>
      </w:r>
      <w:r w:rsidRPr="5B9FE7F0">
        <w:rPr>
          <w:rFonts w:ascii="Cambria" w:hAnsi="Cambria"/>
          <w:vertAlign w:val="subscript"/>
        </w:rPr>
        <w:t>2</w:t>
      </w:r>
      <w:r w:rsidRPr="5B9FE7F0">
        <w:rPr>
          <w:rFonts w:ascii="Cambria" w:hAnsi="Cambria"/>
        </w:rPr>
        <w:t>O, sēra heksafluorīds (SF</w:t>
      </w:r>
      <w:r w:rsidRPr="5B9FE7F0">
        <w:rPr>
          <w:rFonts w:ascii="Cambria" w:hAnsi="Cambria"/>
          <w:vertAlign w:val="subscript"/>
        </w:rPr>
        <w:t>6</w:t>
      </w:r>
      <w:r w:rsidRPr="5B9FE7F0">
        <w:rPr>
          <w:rFonts w:ascii="Cambria" w:hAnsi="Cambria"/>
        </w:rPr>
        <w:t>), slāpekļa trifluorīds (NF</w:t>
      </w:r>
      <w:r w:rsidRPr="5B9FE7F0">
        <w:rPr>
          <w:rFonts w:ascii="Cambria" w:hAnsi="Cambria"/>
          <w:vertAlign w:val="subscript"/>
        </w:rPr>
        <w:t>3</w:t>
      </w:r>
      <w:r w:rsidRPr="5B9FE7F0">
        <w:rPr>
          <w:rFonts w:ascii="Cambria" w:hAnsi="Cambria"/>
        </w:rPr>
        <w:t>), fluorogļūdeņraži (HFC) un perfluorogļūdeņraži (PFC)</w:t>
      </w:r>
      <w:r w:rsidR="00A32A65">
        <w:rPr>
          <w:rFonts w:ascii="Cambria" w:hAnsi="Cambria"/>
        </w:rPr>
        <w:t>)</w:t>
      </w:r>
      <w:r w:rsidRPr="5B9FE7F0">
        <w:rPr>
          <w:rFonts w:ascii="Cambria" w:hAnsi="Cambria"/>
        </w:rPr>
        <w:t xml:space="preserve"> - un CO</w:t>
      </w:r>
      <w:r w:rsidRPr="5B9FE7F0">
        <w:rPr>
          <w:rFonts w:ascii="Cambria" w:hAnsi="Cambria"/>
          <w:vertAlign w:val="subscript"/>
        </w:rPr>
        <w:t>2</w:t>
      </w:r>
      <w:r w:rsidRPr="5B9FE7F0">
        <w:rPr>
          <w:rFonts w:ascii="Cambria" w:hAnsi="Cambria"/>
        </w:rPr>
        <w:t xml:space="preserve"> piesaistes aprēķinus, sākot no 1990. gada, kas apkopoti CRT formātā ;</w:t>
      </w:r>
    </w:p>
    <w:p w14:paraId="139F0FBA" w14:textId="77777777" w:rsidR="003E6EAD" w:rsidRDefault="003A4514">
      <w:pPr>
        <w:pStyle w:val="NormalWeb"/>
        <w:numPr>
          <w:ilvl w:val="0"/>
          <w:numId w:val="7"/>
        </w:numPr>
        <w:tabs>
          <w:tab w:val="left" w:pos="0"/>
        </w:tabs>
        <w:spacing w:before="120" w:after="120"/>
        <w:ind w:left="851" w:hanging="284"/>
        <w:jc w:val="both"/>
      </w:pPr>
      <w:r>
        <w:rPr>
          <w:rFonts w:ascii="Cambria" w:hAnsi="Cambria"/>
        </w:rPr>
        <w:t>Nacionālā inventarizācijas dokumenta</w:t>
      </w:r>
      <w:r>
        <w:rPr>
          <w:rStyle w:val="FootnoteAnchor"/>
          <w:rFonts w:ascii="Cambria" w:hAnsi="Cambria"/>
        </w:rPr>
        <w:footnoteReference w:id="43"/>
      </w:r>
      <w:r>
        <w:rPr>
          <w:rFonts w:ascii="Cambria" w:hAnsi="Cambria"/>
        </w:rPr>
        <w:t xml:space="preserve"> sagatavošanu;</w:t>
      </w:r>
    </w:p>
    <w:p w14:paraId="582B1DCC" w14:textId="105920BB" w:rsidR="003E6EAD" w:rsidRDefault="003A4514">
      <w:pPr>
        <w:pStyle w:val="NormalWeb"/>
        <w:numPr>
          <w:ilvl w:val="0"/>
          <w:numId w:val="7"/>
        </w:numPr>
        <w:tabs>
          <w:tab w:val="left" w:pos="0"/>
        </w:tabs>
        <w:spacing w:before="120" w:after="120"/>
        <w:ind w:left="851" w:hanging="284"/>
        <w:jc w:val="both"/>
        <w:rPr>
          <w:rFonts w:ascii="Cambria" w:hAnsi="Cambria"/>
        </w:rPr>
      </w:pPr>
      <w:r>
        <w:rPr>
          <w:rFonts w:ascii="Cambria" w:hAnsi="Cambria"/>
        </w:rPr>
        <w:t xml:space="preserve">u.c. Regulas 2018/1999 noteikto informāciju attiecībā uz ikgadējām SEG inventarizācijām. </w:t>
      </w:r>
    </w:p>
    <w:p w14:paraId="0923030A" w14:textId="77777777" w:rsidR="003E6EAD" w:rsidRDefault="003A4514">
      <w:pPr>
        <w:spacing w:before="120" w:after="120" w:line="240" w:lineRule="auto"/>
        <w:ind w:firstLine="567"/>
      </w:pPr>
      <w:r>
        <w:rPr>
          <w:rStyle w:val="StrongEmphasis"/>
          <w:rFonts w:ascii="Cambria" w:hAnsi="Cambria"/>
          <w:sz w:val="24"/>
        </w:rPr>
        <w:lastRenderedPageBreak/>
        <w:t>Lai aprēķinātu SEG emisijas un CO</w:t>
      </w:r>
      <w:r>
        <w:rPr>
          <w:rStyle w:val="StrongEmphasis"/>
          <w:rFonts w:ascii="Cambria" w:hAnsi="Cambria"/>
          <w:sz w:val="24"/>
          <w:vertAlign w:val="subscript"/>
        </w:rPr>
        <w:t>2</w:t>
      </w:r>
      <w:r>
        <w:rPr>
          <w:rStyle w:val="StrongEmphasis"/>
          <w:rFonts w:ascii="Cambria" w:hAnsi="Cambria"/>
          <w:sz w:val="24"/>
        </w:rPr>
        <w:t xml:space="preserve"> piesaisti, tiek izmantotas:</w:t>
      </w:r>
    </w:p>
    <w:p w14:paraId="1F3847A3" w14:textId="3724EB34" w:rsidR="003E6EAD" w:rsidRDefault="003A4514">
      <w:pPr>
        <w:pStyle w:val="NormalWeb"/>
        <w:numPr>
          <w:ilvl w:val="0"/>
          <w:numId w:val="8"/>
        </w:numPr>
        <w:tabs>
          <w:tab w:val="left" w:pos="0"/>
        </w:tabs>
        <w:spacing w:before="120" w:after="120"/>
        <w:ind w:left="851" w:hanging="284"/>
        <w:jc w:val="both"/>
      </w:pPr>
      <w:r>
        <w:rPr>
          <w:rFonts w:ascii="Cambria" w:hAnsi="Cambria"/>
        </w:rPr>
        <w:t>KPSP</w:t>
      </w:r>
      <w:r w:rsidR="0028230C">
        <w:rPr>
          <w:rFonts w:ascii="Cambria" w:hAnsi="Cambria"/>
        </w:rPr>
        <w:t xml:space="preserve"> </w:t>
      </w:r>
      <w:r>
        <w:rPr>
          <w:rFonts w:ascii="Cambria" w:hAnsi="Cambria"/>
        </w:rPr>
        <w:t>izstrādātās vadlīnijas, kuras apstiprinātas Klimata konvencijas un tās Parīzes nolīguma līgumslēdzēju Pušu konferencēs</w:t>
      </w:r>
      <w:r>
        <w:rPr>
          <w:rStyle w:val="FootnoteAnchor"/>
          <w:rFonts w:ascii="Cambria" w:hAnsi="Cambria"/>
        </w:rPr>
        <w:footnoteReference w:id="44"/>
      </w:r>
      <w:r>
        <w:rPr>
          <w:rFonts w:ascii="Cambria" w:hAnsi="Cambria"/>
        </w:rPr>
        <w:t>;</w:t>
      </w:r>
    </w:p>
    <w:p w14:paraId="4D210A1C" w14:textId="77777777" w:rsidR="003E6EAD" w:rsidRDefault="003A4514" w:rsidP="5B9FE7F0">
      <w:pPr>
        <w:pStyle w:val="NormalWeb"/>
        <w:numPr>
          <w:ilvl w:val="0"/>
          <w:numId w:val="8"/>
        </w:numPr>
        <w:spacing w:before="120" w:after="120"/>
        <w:ind w:left="851" w:hanging="284"/>
        <w:jc w:val="both"/>
        <w:rPr>
          <w:rFonts w:ascii="Cambria" w:hAnsi="Cambria"/>
        </w:rPr>
      </w:pPr>
      <w:r w:rsidRPr="5B9FE7F0">
        <w:rPr>
          <w:rFonts w:ascii="Cambria" w:hAnsi="Cambria"/>
        </w:rPr>
        <w:t>ANO 1972. gada Ženēvas Konvencijas par robežšķērsojošo gaisa piesārņošanu lielos attālumos Atmosfēras emisiju inventarizācijas vadlīnijas</w:t>
      </w:r>
      <w:r w:rsidRPr="5B9FE7F0">
        <w:rPr>
          <w:rStyle w:val="FootnoteAnchor"/>
          <w:rFonts w:ascii="Cambria" w:hAnsi="Cambria"/>
        </w:rPr>
        <w:footnoteReference w:id="45"/>
      </w:r>
      <w:r w:rsidRPr="5B9FE7F0">
        <w:rPr>
          <w:rFonts w:ascii="Cambria" w:hAnsi="Cambria"/>
          <w:vertAlign w:val="superscript"/>
        </w:rPr>
        <w:t>,</w:t>
      </w:r>
      <w:r w:rsidRPr="5B9FE7F0">
        <w:rPr>
          <w:rStyle w:val="FootnoteReference"/>
          <w:rFonts w:ascii="Cambria" w:hAnsi="Cambria"/>
        </w:rPr>
        <w:footnoteReference w:id="46"/>
      </w:r>
      <w:r w:rsidRPr="5B9FE7F0">
        <w:rPr>
          <w:rFonts w:ascii="Cambria" w:hAnsi="Cambria"/>
        </w:rPr>
        <w:t>.</w:t>
      </w:r>
    </w:p>
    <w:p w14:paraId="078DC278" w14:textId="4E27906A" w:rsidR="003E6EAD" w:rsidRDefault="003A4514">
      <w:pPr>
        <w:pStyle w:val="NormalWeb"/>
        <w:spacing w:before="120" w:after="120"/>
        <w:ind w:firstLine="567"/>
        <w:jc w:val="both"/>
        <w:rPr>
          <w:rFonts w:ascii="Cambria" w:hAnsi="Cambria"/>
        </w:rPr>
      </w:pPr>
      <w:r>
        <w:rPr>
          <w:rFonts w:ascii="Cambria" w:hAnsi="Cambria"/>
        </w:rPr>
        <w:t xml:space="preserve">  SEG inventarizācija tiek sagatavota katru gadu par periodu no 1990. gada līdz x-2 gadam, kur x ir gads, kad SEG inventarizācija tiek iesniegta EK un Klimata konvencijas sekretariātā. Minētā inventarizācija tiek sagatavota, izmantojot pieejamos precīzākos un jaunākos statistikas datus visās norādītajās kategorijās. Gatavojot SEG inventarizāciju, tiek veiktas arī kvalitātes kontroles un kvalitātes nodrošināšanas procedūras saskaņā ar KPSP vadlīnijām. SEG inventarizācija tiek pārbaudīta nacionālā līmenī, ES līmenī (pārbaudi veic Eiropas Vides aģentūra) un starptautiskā līmenī saskaņā ar Klimata konvencijas un tās Parīzes nolīguma līgumslēdzēju pušu konferencēs apstiprinātām pārbaudes vadlīnijām. Turklāt ES pēc SEG inventarizācijas pārbaudes veikšanas apstiprina ne-ETS darbību SEG emisiju apjomu, balstoties uz kuru Latvijai ir jānodrošina </w:t>
      </w:r>
      <w:r w:rsidR="00352854">
        <w:rPr>
          <w:rFonts w:ascii="Cambria" w:hAnsi="Cambria"/>
        </w:rPr>
        <w:t xml:space="preserve"> Regulā 2018/842 </w:t>
      </w:r>
      <w:r>
        <w:rPr>
          <w:rFonts w:ascii="Cambria" w:hAnsi="Cambria"/>
        </w:rPr>
        <w:t>noteiktā izpilde.</w:t>
      </w:r>
    </w:p>
    <w:p w14:paraId="646A3774" w14:textId="77777777" w:rsidR="003E6EAD" w:rsidRDefault="003A4514">
      <w:pPr>
        <w:spacing w:before="120" w:after="120" w:line="240" w:lineRule="auto"/>
        <w:ind w:firstLine="567"/>
        <w:jc w:val="both"/>
      </w:pPr>
      <w:r>
        <w:rPr>
          <w:rFonts w:ascii="Cambria" w:eastAsia="Times New Roman" w:hAnsi="Cambria"/>
          <w:sz w:val="24"/>
          <w:szCs w:val="24"/>
        </w:rPr>
        <w:t xml:space="preserve">Ne-ETS darbībām, uz kurām attiecas ESR SEG emisiju aprēķins tiek veikts, izmantojot EK formulu, kur no kopējā valsts SEG emisiju apjoma tiek atņemts ES ETS operatoru verificētais </w:t>
      </w:r>
      <w:r>
        <w:rPr>
          <w:rFonts w:ascii="Cambria" w:hAnsi="Cambria"/>
          <w:sz w:val="24"/>
          <w:szCs w:val="24"/>
        </w:rPr>
        <w:t>CO</w:t>
      </w:r>
      <w:r>
        <w:rPr>
          <w:rFonts w:ascii="Cambria" w:hAnsi="Cambria"/>
          <w:sz w:val="24"/>
          <w:szCs w:val="24"/>
          <w:vertAlign w:val="subscript"/>
        </w:rPr>
        <w:t>2</w:t>
      </w:r>
      <w:r>
        <w:rPr>
          <w:rFonts w:ascii="Cambria" w:hAnsi="Cambria"/>
          <w:sz w:val="24"/>
          <w:szCs w:val="24"/>
        </w:rPr>
        <w:t xml:space="preserve"> </w:t>
      </w:r>
      <w:r>
        <w:rPr>
          <w:rFonts w:ascii="Cambria" w:eastAsia="Times New Roman" w:hAnsi="Cambria"/>
          <w:sz w:val="24"/>
          <w:szCs w:val="24"/>
        </w:rPr>
        <w:t xml:space="preserve">emisiju apjoms, vietējās aviācijas </w:t>
      </w:r>
      <w:r>
        <w:rPr>
          <w:rFonts w:ascii="Cambria" w:hAnsi="Cambria"/>
          <w:sz w:val="24"/>
          <w:szCs w:val="24"/>
        </w:rPr>
        <w:t>CO</w:t>
      </w:r>
      <w:r>
        <w:rPr>
          <w:rFonts w:ascii="Cambria" w:hAnsi="Cambria"/>
          <w:sz w:val="24"/>
          <w:szCs w:val="24"/>
          <w:vertAlign w:val="subscript"/>
        </w:rPr>
        <w:t>2</w:t>
      </w:r>
      <w:r>
        <w:rPr>
          <w:rFonts w:ascii="Cambria" w:hAnsi="Cambria"/>
          <w:sz w:val="24"/>
          <w:szCs w:val="24"/>
        </w:rPr>
        <w:t xml:space="preserve"> </w:t>
      </w:r>
      <w:r>
        <w:rPr>
          <w:rFonts w:ascii="Cambria" w:eastAsia="Times New Roman" w:hAnsi="Cambria"/>
          <w:sz w:val="24"/>
          <w:szCs w:val="24"/>
        </w:rPr>
        <w:t>emisiju apjoms un NF</w:t>
      </w:r>
      <w:r>
        <w:rPr>
          <w:rFonts w:ascii="Cambria" w:eastAsia="Times New Roman" w:hAnsi="Cambria"/>
          <w:sz w:val="24"/>
          <w:szCs w:val="24"/>
          <w:vertAlign w:val="subscript"/>
        </w:rPr>
        <w:t xml:space="preserve">3 </w:t>
      </w:r>
      <w:r>
        <w:rPr>
          <w:rFonts w:ascii="Cambria" w:eastAsia="Times New Roman" w:hAnsi="Cambria"/>
          <w:sz w:val="24"/>
          <w:szCs w:val="24"/>
        </w:rPr>
        <w:t>emisijas (Latvijā šādu emisiju nav)</w:t>
      </w:r>
      <w:r>
        <w:rPr>
          <w:rStyle w:val="FootnoteReference"/>
          <w:rFonts w:ascii="Cambria" w:eastAsia="Times New Roman" w:hAnsi="Cambria"/>
          <w:sz w:val="24"/>
          <w:szCs w:val="24"/>
        </w:rPr>
        <w:footnoteReference w:id="47"/>
      </w:r>
      <w:r>
        <w:rPr>
          <w:rFonts w:ascii="Cambria" w:eastAsia="Times New Roman" w:hAnsi="Cambria"/>
          <w:sz w:val="24"/>
          <w:szCs w:val="24"/>
        </w:rPr>
        <w:t>:</w:t>
      </w:r>
    </w:p>
    <w:p w14:paraId="59DE5061" w14:textId="77777777" w:rsidR="003E6EAD" w:rsidRDefault="003A4514">
      <w:pPr>
        <w:spacing w:before="120" w:after="120" w:line="240" w:lineRule="auto"/>
        <w:ind w:firstLine="567"/>
        <w:jc w:val="both"/>
      </w:pPr>
      <w:r>
        <w:rPr>
          <w:rFonts w:ascii="Cambria" w:hAnsi="Cambria"/>
          <w:noProof/>
          <w:color w:val="FF0000"/>
          <w:lang w:val="en-US" w:eastAsia="en-US"/>
        </w:rPr>
        <w:drawing>
          <wp:inline distT="0" distB="0" distL="0" distR="0" wp14:anchorId="638BF2BE" wp14:editId="0AEC408A">
            <wp:extent cx="3123562" cy="219071"/>
            <wp:effectExtent l="0" t="0" r="638" b="0"/>
            <wp:docPr id="324280528"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12" t="-163" r="-12" b="-163"/>
                    <a:stretch>
                      <a:fillRect/>
                    </a:stretch>
                  </pic:blipFill>
                  <pic:spPr>
                    <a:xfrm>
                      <a:off x="0" y="0"/>
                      <a:ext cx="3123562" cy="219071"/>
                    </a:xfrm>
                    <a:prstGeom prst="rect">
                      <a:avLst/>
                    </a:prstGeom>
                    <a:noFill/>
                    <a:ln>
                      <a:noFill/>
                      <a:prstDash/>
                    </a:ln>
                  </pic:spPr>
                </pic:pic>
              </a:graphicData>
            </a:graphic>
          </wp:inline>
        </w:drawing>
      </w:r>
    </w:p>
    <w:p w14:paraId="40BE8104" w14:textId="77777777" w:rsidR="003E6EAD" w:rsidRDefault="003A4514">
      <w:pPr>
        <w:spacing w:before="120" w:after="120" w:line="240" w:lineRule="auto"/>
        <w:jc w:val="both"/>
        <w:rPr>
          <w:rFonts w:ascii="Cambria" w:eastAsia="Times New Roman" w:hAnsi="Cambria"/>
          <w:sz w:val="24"/>
          <w:szCs w:val="24"/>
        </w:rPr>
      </w:pPr>
      <w:r>
        <w:rPr>
          <w:rFonts w:ascii="Cambria" w:eastAsia="Times New Roman" w:hAnsi="Cambria"/>
          <w:sz w:val="24"/>
          <w:szCs w:val="24"/>
        </w:rPr>
        <w:t>kur</w:t>
      </w:r>
    </w:p>
    <w:p w14:paraId="67683FE1" w14:textId="788BBFF1"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ne-ETS – SEG emisijas ESR ietvaros, kilotonnas (kt</w:t>
      </w:r>
      <w:r w:rsidRPr="5B9FE7F0">
        <w:rPr>
          <w:rStyle w:val="FootnoteReference"/>
          <w:rFonts w:ascii="Cambria" w:eastAsia="Times New Roman" w:hAnsi="Cambria"/>
          <w:sz w:val="24"/>
          <w:szCs w:val="24"/>
        </w:rPr>
        <w:footnoteReference w:id="48"/>
      </w:r>
      <w:r w:rsidRPr="5B9FE7F0">
        <w:rPr>
          <w:rFonts w:ascii="Cambria" w:eastAsia="Times New Roman" w:hAnsi="Cambria"/>
          <w:sz w:val="24"/>
          <w:szCs w:val="24"/>
        </w:rPr>
        <w:t>)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ekv.;</w:t>
      </w:r>
    </w:p>
    <w:p w14:paraId="25679B3E" w14:textId="2F26FCD9"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E</w:t>
      </w:r>
      <w:r w:rsidRPr="5B9FE7F0">
        <w:rPr>
          <w:rFonts w:ascii="Cambria" w:eastAsia="Times New Roman" w:hAnsi="Cambria"/>
          <w:sz w:val="24"/>
          <w:szCs w:val="24"/>
          <w:vertAlign w:val="subscript"/>
        </w:rPr>
        <w:t>kopējās</w:t>
      </w:r>
      <w:r w:rsidRPr="5B9FE7F0">
        <w:rPr>
          <w:rFonts w:ascii="Cambria" w:eastAsia="Times New Roman" w:hAnsi="Cambria"/>
          <w:sz w:val="24"/>
          <w:szCs w:val="24"/>
        </w:rPr>
        <w:t xml:space="preserve"> – Kopējās SEG emisijas bez</w:t>
      </w:r>
      <w:r w:rsidR="00AF5B83">
        <w:rPr>
          <w:rFonts w:ascii="Cambria" w:eastAsia="Times New Roman" w:hAnsi="Cambria"/>
          <w:sz w:val="24"/>
          <w:szCs w:val="24"/>
        </w:rPr>
        <w:t xml:space="preserve"> </w:t>
      </w:r>
      <w:r w:rsidRPr="5B9FE7F0">
        <w:rPr>
          <w:rFonts w:ascii="Cambria" w:hAnsi="Cambria"/>
          <w:sz w:val="24"/>
          <w:szCs w:val="24"/>
        </w:rPr>
        <w:t xml:space="preserve">ZIZIMM </w:t>
      </w:r>
      <w:r w:rsidRPr="5B9FE7F0">
        <w:rPr>
          <w:rFonts w:ascii="Cambria" w:eastAsia="Times New Roman" w:hAnsi="Cambria"/>
          <w:sz w:val="24"/>
          <w:szCs w:val="24"/>
        </w:rPr>
        <w:t xml:space="preserve"> sektora, iekļaujot netiešās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emisijas, kt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ekv.;</w:t>
      </w:r>
    </w:p>
    <w:p w14:paraId="12BB60B5" w14:textId="77777777"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 xml:space="preserve">E </w:t>
      </w:r>
      <w:r w:rsidRPr="5B9FE7F0">
        <w:rPr>
          <w:rFonts w:ascii="Cambria" w:eastAsia="Times New Roman" w:hAnsi="Cambria"/>
          <w:sz w:val="24"/>
          <w:szCs w:val="24"/>
          <w:vertAlign w:val="subscript"/>
        </w:rPr>
        <w:t>ES</w:t>
      </w:r>
      <w:r w:rsidRPr="5B9FE7F0">
        <w:rPr>
          <w:rFonts w:ascii="Cambria" w:eastAsia="Times New Roman" w:hAnsi="Cambria"/>
          <w:sz w:val="24"/>
          <w:szCs w:val="24"/>
        </w:rPr>
        <w:t xml:space="preserve"> </w:t>
      </w:r>
      <w:r w:rsidRPr="5B9FE7F0">
        <w:rPr>
          <w:rFonts w:ascii="Cambria" w:eastAsia="Times New Roman" w:hAnsi="Cambria"/>
          <w:sz w:val="24"/>
          <w:szCs w:val="24"/>
          <w:vertAlign w:val="subscript"/>
        </w:rPr>
        <w:t>ETS</w:t>
      </w:r>
      <w:r w:rsidRPr="5B9FE7F0">
        <w:rPr>
          <w:rFonts w:ascii="Cambria" w:eastAsia="Times New Roman" w:hAnsi="Cambria"/>
          <w:sz w:val="24"/>
          <w:szCs w:val="24"/>
        </w:rPr>
        <w:t xml:space="preserve"> – ETS emisijas, kt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ekv.;</w:t>
      </w:r>
    </w:p>
    <w:p w14:paraId="3979C8A9" w14:textId="77777777"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E</w:t>
      </w:r>
      <w:r w:rsidRPr="5B9FE7F0">
        <w:rPr>
          <w:rFonts w:ascii="Cambria" w:eastAsia="Times New Roman" w:hAnsi="Cambria"/>
          <w:sz w:val="24"/>
          <w:szCs w:val="24"/>
          <w:vertAlign w:val="subscript"/>
        </w:rPr>
        <w:t xml:space="preserve">1A3,CO2 </w:t>
      </w:r>
      <w:r w:rsidRPr="5B9FE7F0">
        <w:rPr>
          <w:rFonts w:ascii="Cambria" w:eastAsia="Times New Roman" w:hAnsi="Cambria"/>
          <w:sz w:val="24"/>
          <w:szCs w:val="24"/>
        </w:rPr>
        <w:t>–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emisijas no vietējās aviācijas, kt CO</w:t>
      </w:r>
      <w:r w:rsidRPr="5B9FE7F0">
        <w:rPr>
          <w:rFonts w:ascii="Cambria" w:eastAsia="Times New Roman" w:hAnsi="Cambria"/>
          <w:sz w:val="24"/>
          <w:szCs w:val="24"/>
          <w:vertAlign w:val="subscript"/>
        </w:rPr>
        <w:t xml:space="preserve">2 </w:t>
      </w:r>
      <w:r w:rsidRPr="5B9FE7F0">
        <w:rPr>
          <w:rFonts w:ascii="Cambria" w:eastAsia="Times New Roman" w:hAnsi="Cambria"/>
          <w:sz w:val="24"/>
          <w:szCs w:val="24"/>
        </w:rPr>
        <w:t>ekv.;</w:t>
      </w:r>
    </w:p>
    <w:p w14:paraId="1013CB1F" w14:textId="77777777" w:rsidR="003E6EAD" w:rsidRDefault="003A4514" w:rsidP="5B9FE7F0">
      <w:pPr>
        <w:spacing w:before="120" w:after="120" w:line="240" w:lineRule="auto"/>
        <w:ind w:firstLine="567"/>
        <w:jc w:val="both"/>
        <w:rPr>
          <w:rFonts w:ascii="Cambria" w:eastAsia="Times New Roman" w:hAnsi="Cambria"/>
          <w:sz w:val="24"/>
          <w:szCs w:val="24"/>
        </w:rPr>
      </w:pPr>
      <w:r w:rsidRPr="5B9FE7F0">
        <w:rPr>
          <w:rFonts w:ascii="Cambria" w:eastAsia="Times New Roman" w:hAnsi="Cambria"/>
          <w:sz w:val="24"/>
          <w:szCs w:val="24"/>
        </w:rPr>
        <w:t>E</w:t>
      </w:r>
      <w:r w:rsidRPr="5B9FE7F0">
        <w:rPr>
          <w:rFonts w:ascii="Cambria" w:eastAsia="Times New Roman" w:hAnsi="Cambria"/>
          <w:sz w:val="24"/>
          <w:szCs w:val="24"/>
          <w:vertAlign w:val="subscript"/>
        </w:rPr>
        <w:t>NF3</w:t>
      </w:r>
      <w:r w:rsidRPr="5B9FE7F0">
        <w:rPr>
          <w:rFonts w:ascii="Cambria" w:eastAsia="Times New Roman" w:hAnsi="Cambria"/>
          <w:sz w:val="24"/>
          <w:szCs w:val="24"/>
        </w:rPr>
        <w:t xml:space="preserve"> – NF</w:t>
      </w:r>
      <w:r w:rsidRPr="5B9FE7F0">
        <w:rPr>
          <w:rFonts w:ascii="Cambria" w:eastAsia="Times New Roman" w:hAnsi="Cambria"/>
          <w:sz w:val="24"/>
          <w:szCs w:val="24"/>
          <w:vertAlign w:val="subscript"/>
        </w:rPr>
        <w:t>3</w:t>
      </w:r>
      <w:r w:rsidRPr="5B9FE7F0">
        <w:rPr>
          <w:rFonts w:ascii="Cambria" w:eastAsia="Times New Roman" w:hAnsi="Cambria"/>
          <w:sz w:val="24"/>
          <w:szCs w:val="24"/>
        </w:rPr>
        <w:t xml:space="preserve"> emisijas, kt CO</w:t>
      </w:r>
      <w:r w:rsidRPr="5B9FE7F0">
        <w:rPr>
          <w:rFonts w:ascii="Cambria" w:eastAsia="Times New Roman" w:hAnsi="Cambria"/>
          <w:sz w:val="24"/>
          <w:szCs w:val="24"/>
          <w:vertAlign w:val="subscript"/>
        </w:rPr>
        <w:t>2</w:t>
      </w:r>
      <w:r w:rsidRPr="5B9FE7F0">
        <w:rPr>
          <w:rFonts w:ascii="Cambria" w:eastAsia="Times New Roman" w:hAnsi="Cambria"/>
          <w:sz w:val="24"/>
          <w:szCs w:val="24"/>
        </w:rPr>
        <w:t xml:space="preserve"> ekv.</w:t>
      </w:r>
    </w:p>
    <w:p w14:paraId="626421ED" w14:textId="6964D690" w:rsidR="003E6EAD" w:rsidRDefault="003A4514" w:rsidP="5B9FE7F0">
      <w:pPr>
        <w:pStyle w:val="NormalWeb"/>
        <w:spacing w:before="120" w:after="120"/>
        <w:ind w:firstLine="567"/>
        <w:jc w:val="both"/>
        <w:rPr>
          <w:rFonts w:ascii="Cambria" w:hAnsi="Cambria"/>
        </w:rPr>
      </w:pPr>
      <w:r w:rsidRPr="5B9FE7F0">
        <w:rPr>
          <w:rFonts w:ascii="Cambria" w:hAnsi="Cambria"/>
        </w:rPr>
        <w:t>Papildus augstāk minētajām ziņošanas prasībām, Latvija ikgadēji sagatavo un iesniedz EK aptuveno SEG inventarizāciju par iepriekšējo kalendāro gadu, tajā iekļaujot statistikas datus, kas uz šo brīdi pie</w:t>
      </w:r>
      <w:r w:rsidR="251862FB" w:rsidRPr="5B9FE7F0">
        <w:rPr>
          <w:rFonts w:ascii="Cambria" w:hAnsi="Cambria"/>
        </w:rPr>
        <w:t>e</w:t>
      </w:r>
      <w:r w:rsidRPr="5B9FE7F0">
        <w:rPr>
          <w:rFonts w:ascii="Cambria" w:hAnsi="Cambria"/>
        </w:rPr>
        <w:t>jami. Sektoros un apakšsektoros, kuros dati SEG emisiju aprēķiniem uz aptuvenās SEG inventarizācijas sagatavošanas brīdi vēl nav pieejami, tiek veikta ekstrapolācija vai atstāts iepriekšējā gada SEG emisiju rādītājs. EK šo informāciju izmanto, lai novērtētu indikatīvo progresu ES ietvaros noteikto mērķu sasniegšanā.</w:t>
      </w:r>
    </w:p>
    <w:p w14:paraId="36766DBF" w14:textId="401DCAC5" w:rsidR="003E6EAD" w:rsidRPr="005B7939" w:rsidRDefault="003A4514" w:rsidP="005B182A">
      <w:pPr>
        <w:rPr>
          <w:rFonts w:ascii="Cambria" w:hAnsi="Cambria"/>
          <w:b/>
          <w:bCs/>
          <w:color w:val="074F6A" w:themeColor="accent4" w:themeShade="80"/>
          <w:sz w:val="24"/>
          <w:szCs w:val="24"/>
        </w:rPr>
      </w:pPr>
      <w:bookmarkStart w:id="29" w:name="_Toc120463764"/>
      <w:bookmarkStart w:id="30" w:name="_Toc185319496"/>
      <w:r w:rsidRPr="005B7939">
        <w:rPr>
          <w:rFonts w:ascii="Cambria" w:hAnsi="Cambria"/>
          <w:b/>
          <w:bCs/>
          <w:color w:val="074F6A" w:themeColor="accent4" w:themeShade="80"/>
          <w:sz w:val="24"/>
          <w:szCs w:val="24"/>
        </w:rPr>
        <w:t>SEG mērķu izpildes prognožu sagatavošanas metodoloģija</w:t>
      </w:r>
      <w:bookmarkEnd w:id="29"/>
      <w:bookmarkEnd w:id="30"/>
    </w:p>
    <w:p w14:paraId="785CFA65"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Latvijas SEG emisiju samazināšanas un ZIZIMM sektorā noteiktu uzskaites kategoriju izpildes novērtējums par periodu pēc 2022. gada ir sagatavots, balstoties uz </w:t>
      </w:r>
      <w:r w:rsidRPr="5B9FE7F0">
        <w:rPr>
          <w:rFonts w:ascii="Cambria" w:hAnsi="Cambria"/>
          <w:sz w:val="24"/>
          <w:szCs w:val="24"/>
        </w:rPr>
        <w:lastRenderedPageBreak/>
        <w:t>2024. gada atjaunināto 2023. gada integrēto ziņojumu par rīcībpolitikām, pasākumiem un SEG prognozēm kopsavilkumu</w:t>
      </w:r>
      <w:r w:rsidRPr="5B9FE7F0">
        <w:rPr>
          <w:rStyle w:val="FootnoteAnchor"/>
          <w:rFonts w:ascii="Cambria" w:hAnsi="Cambria"/>
          <w:sz w:val="24"/>
          <w:szCs w:val="24"/>
        </w:rPr>
        <w:footnoteReference w:id="49"/>
      </w:r>
      <w:r w:rsidRPr="5B9FE7F0">
        <w:rPr>
          <w:rFonts w:ascii="Cambria" w:hAnsi="Cambria"/>
          <w:sz w:val="24"/>
          <w:szCs w:val="24"/>
        </w:rPr>
        <w:t>.</w:t>
      </w:r>
    </w:p>
    <w:p w14:paraId="21FEF5DF" w14:textId="46495B82" w:rsidR="003E6EAD" w:rsidRDefault="003A4514">
      <w:pPr>
        <w:spacing w:before="120" w:after="120" w:line="240" w:lineRule="auto"/>
        <w:ind w:firstLine="567"/>
        <w:jc w:val="both"/>
      </w:pPr>
      <w:r>
        <w:rPr>
          <w:rFonts w:ascii="Cambria" w:hAnsi="Cambria"/>
          <w:sz w:val="24"/>
          <w:szCs w:val="24"/>
        </w:rPr>
        <w:t>SEG prognozes sagatavo un koordinē atbilstoši MK noteikumu Nr. 675 III. nodaļai “Siltumnīcefekta gāzu prognožu sagatavošanas nacionālā sistēma”, kā arī</w:t>
      </w:r>
      <w:r>
        <w:rPr>
          <w:rFonts w:ascii="Cambria" w:hAnsi="Cambria"/>
        </w:rPr>
        <w:t xml:space="preserve"> </w:t>
      </w:r>
      <w:r>
        <w:rPr>
          <w:rFonts w:ascii="Cambria" w:hAnsi="Cambria"/>
          <w:sz w:val="24"/>
          <w:szCs w:val="24"/>
        </w:rPr>
        <w:t>saskaņā ar Klimata konvencijas Līgumslēdzēju pušu lēmumiem 18/CMA.1 (Klimata konvencijas divgadu</w:t>
      </w:r>
      <w:r>
        <w:rPr>
          <w:rFonts w:ascii="Times New Roman" w:hAnsi="Times New Roman"/>
          <w:sz w:val="24"/>
          <w:szCs w:val="24"/>
        </w:rPr>
        <w:t xml:space="preserve"> </w:t>
      </w:r>
      <w:r>
        <w:rPr>
          <w:rFonts w:ascii="Cambria" w:hAnsi="Cambria"/>
          <w:sz w:val="24"/>
          <w:szCs w:val="24"/>
        </w:rPr>
        <w:t xml:space="preserve">ziņojumu sagatavošanas vadlīnijas attīstītajām valstīm), Regulu 2018/1999 un Vides politikas pamatnostādnēm 2021.-2027. gadam. </w:t>
      </w:r>
    </w:p>
    <w:p w14:paraId="4D2B252E"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SEG prognozes tiek veidotas diviem scenārijiem:</w:t>
      </w:r>
    </w:p>
    <w:p w14:paraId="0B3E4642" w14:textId="61E2D1A2" w:rsidR="003E6EAD" w:rsidRDefault="003A4514" w:rsidP="5B9FE7F0">
      <w:pPr>
        <w:pStyle w:val="ListParagraph"/>
        <w:numPr>
          <w:ilvl w:val="0"/>
          <w:numId w:val="9"/>
        </w:numPr>
        <w:tabs>
          <w:tab w:val="left" w:pos="722"/>
        </w:tabs>
        <w:spacing w:before="120" w:after="120" w:line="240" w:lineRule="auto"/>
        <w:jc w:val="both"/>
        <w:rPr>
          <w:rFonts w:ascii="Cambria" w:hAnsi="Cambria"/>
          <w:sz w:val="24"/>
          <w:szCs w:val="24"/>
        </w:rPr>
      </w:pPr>
      <w:r w:rsidRPr="5B9FE7F0">
        <w:rPr>
          <w:rFonts w:ascii="Cambria" w:hAnsi="Cambria"/>
          <w:sz w:val="24"/>
          <w:szCs w:val="24"/>
        </w:rPr>
        <w:t>ar esošiem pasākumiem WEM (</w:t>
      </w:r>
      <w:r w:rsidRPr="5B9FE7F0">
        <w:rPr>
          <w:rFonts w:ascii="Cambria" w:hAnsi="Cambria"/>
          <w:i/>
          <w:iCs/>
          <w:sz w:val="24"/>
          <w:szCs w:val="24"/>
        </w:rPr>
        <w:t>with existing measures</w:t>
      </w:r>
      <w:r w:rsidRPr="5B9FE7F0">
        <w:rPr>
          <w:rFonts w:ascii="Cambria" w:hAnsi="Cambria"/>
          <w:sz w:val="24"/>
          <w:szCs w:val="24"/>
        </w:rPr>
        <w:t xml:space="preserve">) – prognozējot SEG izmaiņas, tiek ņemti vērā tie SEG emisijas samazinošie pasākumi, </w:t>
      </w:r>
      <w:r w:rsidR="3EC6ADB4" w:rsidRPr="5B9FE7F0">
        <w:rPr>
          <w:rFonts w:ascii="Cambria" w:hAnsi="Cambria"/>
          <w:b/>
          <w:bCs/>
          <w:sz w:val="24"/>
          <w:szCs w:val="24"/>
        </w:rPr>
        <w:t xml:space="preserve">kuri </w:t>
      </w:r>
      <w:r w:rsidRPr="5B9FE7F0">
        <w:rPr>
          <w:rFonts w:ascii="Cambria" w:hAnsi="Cambria"/>
          <w:b/>
          <w:bCs/>
          <w:sz w:val="24"/>
          <w:szCs w:val="24"/>
        </w:rPr>
        <w:t>jau ir īstenoti, šobrīd tiek īstenoti, un tiem ir noteikts finansējums</w:t>
      </w:r>
      <w:r w:rsidRPr="5B9FE7F0">
        <w:rPr>
          <w:rFonts w:ascii="Cambria" w:hAnsi="Cambria"/>
          <w:sz w:val="24"/>
          <w:szCs w:val="24"/>
        </w:rPr>
        <w:t>;</w:t>
      </w:r>
    </w:p>
    <w:p w14:paraId="7416188E" w14:textId="71C30C7C" w:rsidR="003D6E27" w:rsidRDefault="003A4514" w:rsidP="5B9FE7F0">
      <w:pPr>
        <w:numPr>
          <w:ilvl w:val="0"/>
          <w:numId w:val="9"/>
        </w:numPr>
        <w:tabs>
          <w:tab w:val="left" w:pos="2"/>
        </w:tabs>
        <w:spacing w:before="120" w:after="120" w:line="240" w:lineRule="auto"/>
        <w:jc w:val="both"/>
        <w:rPr>
          <w:rFonts w:ascii="Cambria" w:hAnsi="Cambria"/>
          <w:sz w:val="24"/>
          <w:szCs w:val="24"/>
        </w:rPr>
      </w:pPr>
      <w:r w:rsidRPr="5B9FE7F0">
        <w:rPr>
          <w:rFonts w:ascii="Cambria" w:hAnsi="Cambria"/>
          <w:sz w:val="24"/>
          <w:szCs w:val="24"/>
        </w:rPr>
        <w:t>ar papildu pasākumiem WAM (</w:t>
      </w:r>
      <w:r w:rsidRPr="5B9FE7F0">
        <w:rPr>
          <w:rFonts w:ascii="Cambria" w:hAnsi="Cambria"/>
          <w:i/>
          <w:iCs/>
          <w:sz w:val="24"/>
          <w:szCs w:val="24"/>
        </w:rPr>
        <w:t>with additional measures</w:t>
      </w:r>
      <w:r w:rsidRPr="5B9FE7F0">
        <w:rPr>
          <w:rFonts w:ascii="Cambria" w:hAnsi="Cambria"/>
          <w:sz w:val="24"/>
          <w:szCs w:val="24"/>
        </w:rPr>
        <w:t>) – prognozējot SEG izmaiņas, tiek ņemti vērā tie SEG emisijas samazinošie pasākumi</w:t>
      </w:r>
      <w:r w:rsidRPr="00D13BD0">
        <w:rPr>
          <w:rFonts w:ascii="Cambria" w:hAnsi="Cambria"/>
          <w:b/>
          <w:bCs/>
          <w:sz w:val="24"/>
          <w:szCs w:val="24"/>
        </w:rPr>
        <w:t>, kuru īstenošana vēl nav uzsākta, bet ir ieplānota attīstības plānošanas dokumentos, t.sk. esošo pasākumu pastiprināšana,</w:t>
      </w:r>
      <w:r w:rsidRPr="5B9FE7F0">
        <w:rPr>
          <w:rFonts w:ascii="Cambria" w:hAnsi="Cambria"/>
          <w:sz w:val="24"/>
          <w:szCs w:val="24"/>
        </w:rPr>
        <w:t xml:space="preserve"> proti, īstenošana lielākā apmērā, nekā sākotnēji ieplānots.</w:t>
      </w:r>
    </w:p>
    <w:p w14:paraId="0D5AC670" w14:textId="15574D7A" w:rsidR="00D966A1" w:rsidRDefault="00D966A1">
      <w:pPr>
        <w:spacing w:before="120" w:after="120" w:line="240" w:lineRule="auto"/>
        <w:ind w:firstLine="567"/>
        <w:jc w:val="both"/>
        <w:rPr>
          <w:rFonts w:ascii="Cambria" w:hAnsi="Cambria"/>
          <w:sz w:val="24"/>
          <w:szCs w:val="24"/>
        </w:rPr>
      </w:pPr>
      <w:r w:rsidRPr="004B368B">
        <w:rPr>
          <w:rFonts w:ascii="Cambria" w:hAnsi="Cambria"/>
          <w:sz w:val="24"/>
          <w:szCs w:val="24"/>
        </w:rPr>
        <w:t>2024.</w:t>
      </w:r>
      <w:r w:rsidR="00E10E1C" w:rsidRPr="004B368B">
        <w:rPr>
          <w:rFonts w:ascii="Cambria" w:hAnsi="Cambria"/>
          <w:sz w:val="24"/>
          <w:szCs w:val="24"/>
        </w:rPr>
        <w:t xml:space="preserve"> </w:t>
      </w:r>
      <w:r w:rsidRPr="004B368B">
        <w:rPr>
          <w:rFonts w:ascii="Cambria" w:hAnsi="Cambria"/>
          <w:sz w:val="24"/>
          <w:szCs w:val="24"/>
        </w:rPr>
        <w:t>gadā papildus tika sagatavots arī NEKP mērķu scenārijs, kas ir</w:t>
      </w:r>
      <w:r w:rsidRPr="004B368B">
        <w:rPr>
          <w:rFonts w:ascii="Cambria" w:hAnsi="Cambria"/>
          <w:b/>
          <w:sz w:val="24"/>
          <w:szCs w:val="24"/>
        </w:rPr>
        <w:t xml:space="preserve"> plašāks nekā WAM scenārijs. </w:t>
      </w:r>
      <w:r w:rsidRPr="005D1958">
        <w:rPr>
          <w:rFonts w:ascii="Cambria" w:hAnsi="Cambria"/>
          <w:sz w:val="24"/>
          <w:szCs w:val="24"/>
        </w:rPr>
        <w:t xml:space="preserve">Proti, NEKP Mērķu scenārijs sastāv no WAM scenārija kopā </w:t>
      </w:r>
      <w:r w:rsidR="00D86A02" w:rsidRPr="005D1958">
        <w:rPr>
          <w:rFonts w:ascii="Cambria" w:hAnsi="Cambria"/>
          <w:sz w:val="24"/>
          <w:szCs w:val="24"/>
        </w:rPr>
        <w:t xml:space="preserve">vēl </w:t>
      </w:r>
      <w:r w:rsidRPr="005D1958">
        <w:rPr>
          <w:rFonts w:ascii="Cambria" w:hAnsi="Cambria"/>
          <w:sz w:val="24"/>
          <w:szCs w:val="24"/>
        </w:rPr>
        <w:t>ar papildus pasākumiem, kuriem nav iezīmēts finansējums, to ieviešanas instrumenti nav skaidri definēti.</w:t>
      </w:r>
    </w:p>
    <w:p w14:paraId="534D5073" w14:textId="0C0094D7" w:rsidR="003E6EAD" w:rsidRDefault="003A4514">
      <w:pPr>
        <w:spacing w:before="120" w:after="120" w:line="240" w:lineRule="auto"/>
        <w:ind w:firstLine="567"/>
        <w:jc w:val="both"/>
        <w:rPr>
          <w:rFonts w:ascii="Cambria" w:hAnsi="Cambria"/>
          <w:sz w:val="24"/>
          <w:szCs w:val="24"/>
        </w:rPr>
      </w:pPr>
      <w:r>
        <w:rPr>
          <w:rFonts w:ascii="Cambria" w:hAnsi="Cambria"/>
          <w:sz w:val="24"/>
          <w:szCs w:val="24"/>
        </w:rPr>
        <w:t>Eksperti, sagatavojot SEG prognozes, izmanto pieejamās ilgtermiņa Latvijas makroekonomiskās prognozes un starptautiskā tirgus attīstības prognozes (piemēram, energoresursu cenu prognozes, oglekļa cenas prognozes u.tml.), kā arī pieejamo informāciju par Latvijas nozaru politikām un pasākumiem. SEG emisiju prognozes balstās uz Latvijas makroekonomisko rādītāju – IKP, pievienotās vērtības tautsaimniecības nozarēs, iedzīvotāju skaita u.c. ilgtermiņa prognozēm, ko Latvijā ikgadēji sagatavo Ekonomikas ministrija.</w:t>
      </w:r>
    </w:p>
    <w:p w14:paraId="58143ECB" w14:textId="77777777" w:rsidR="003E6EAD" w:rsidRDefault="003A4514">
      <w:pPr>
        <w:spacing w:before="120" w:after="120" w:line="240" w:lineRule="auto"/>
        <w:ind w:firstLine="567"/>
        <w:jc w:val="both"/>
      </w:pPr>
      <w:r>
        <w:rPr>
          <w:rFonts w:ascii="Cambria" w:hAnsi="Cambria"/>
          <w:sz w:val="24"/>
          <w:szCs w:val="24"/>
        </w:rPr>
        <w:t>Sagatavotās SEG prognozes un informāciju par to sagatavošanā izmantotajām politikām un pasākumiem pārbauda nozaru ministrijas. Eksperti, sagatavojot SEG prognozes, veic kvalitātes kontroles un kvalitātes nodrošināšanas procedūras.</w:t>
      </w:r>
      <w:r>
        <w:rPr>
          <w:rFonts w:ascii="Cambria" w:hAnsi="Cambria" w:cs="DokChampa"/>
          <w:sz w:val="24"/>
          <w:szCs w:val="24"/>
        </w:rPr>
        <w:t xml:space="preserve"> </w:t>
      </w:r>
      <w:r>
        <w:rPr>
          <w:rFonts w:ascii="Cambria" w:hAnsi="Cambria"/>
          <w:sz w:val="24"/>
          <w:szCs w:val="24"/>
        </w:rPr>
        <w:t>Ziņojumus par politiku un pasākumiem un SEG prognozēm, pārbauda gan ES līmenī (pārbaudi veic Eiropas Vides aģentūra), gan starptautiskā līmenī Klimata konvencijas un Parīzes nolīguma ietvaros..</w:t>
      </w:r>
    </w:p>
    <w:p w14:paraId="1BB9C49F" w14:textId="733C2E85" w:rsidR="003E6EAD" w:rsidRDefault="003A4514">
      <w:pPr>
        <w:spacing w:before="120" w:after="120" w:line="240" w:lineRule="auto"/>
        <w:ind w:firstLine="567"/>
        <w:jc w:val="both"/>
        <w:rPr>
          <w:rFonts w:ascii="Cambria" w:hAnsi="Cambria"/>
          <w:sz w:val="24"/>
          <w:szCs w:val="24"/>
        </w:rPr>
      </w:pPr>
      <w:r>
        <w:rPr>
          <w:rFonts w:ascii="Cambria" w:hAnsi="Cambria"/>
          <w:sz w:val="24"/>
          <w:szCs w:val="24"/>
        </w:rPr>
        <w:t xml:space="preserve">Papildus arī </w:t>
      </w:r>
      <w:r w:rsidR="005B3DF2">
        <w:rPr>
          <w:rFonts w:ascii="Cambria" w:hAnsi="Cambria"/>
          <w:sz w:val="24"/>
          <w:szCs w:val="24"/>
        </w:rPr>
        <w:t>EK</w:t>
      </w:r>
      <w:r>
        <w:rPr>
          <w:rFonts w:ascii="Cambria" w:hAnsi="Cambria"/>
          <w:sz w:val="24"/>
          <w:szCs w:val="24"/>
        </w:rPr>
        <w:t xml:space="preserve"> ikgadēji novērtē dalībvalstu, tai skaitā Latvijas, progresu virzībā uz mērķu sasniegšanu atbilstoši Regulas 2018/1999 29. pantā noteiktajam.</w:t>
      </w:r>
    </w:p>
    <w:p w14:paraId="40B8B731" w14:textId="62D0862B" w:rsidR="003E6EAD" w:rsidRDefault="003A4514" w:rsidP="00F80E86">
      <w:pPr>
        <w:pStyle w:val="Heading1"/>
        <w:numPr>
          <w:ilvl w:val="0"/>
          <w:numId w:val="5"/>
        </w:numPr>
        <w:rPr>
          <w:rFonts w:ascii="Cambria" w:eastAsia="Yu Gothic" w:hAnsi="Cambria" w:cs="Arial"/>
          <w:b/>
          <w:bCs/>
          <w:color w:val="155452"/>
          <w:sz w:val="28"/>
          <w:szCs w:val="28"/>
        </w:rPr>
      </w:pPr>
      <w:bookmarkStart w:id="31" w:name="_Toc185319497"/>
      <w:bookmarkStart w:id="32" w:name="_Toc190952416"/>
      <w:r>
        <w:rPr>
          <w:rFonts w:ascii="Cambria" w:eastAsia="Yu Gothic" w:hAnsi="Cambria" w:cs="Arial"/>
          <w:b/>
          <w:bCs/>
          <w:color w:val="155452"/>
          <w:sz w:val="28"/>
          <w:szCs w:val="28"/>
        </w:rPr>
        <w:t>SEG EMISIJU SAMAZINĀŠANAS MĒRĶU IZPILDE</w:t>
      </w:r>
      <w:bookmarkEnd w:id="31"/>
      <w:bookmarkEnd w:id="32"/>
    </w:p>
    <w:p w14:paraId="0958ABD2" w14:textId="2445D455" w:rsidR="003E6EAD" w:rsidRDefault="003A4514">
      <w:pPr>
        <w:spacing w:before="120" w:after="120" w:line="240" w:lineRule="auto"/>
        <w:ind w:firstLine="567"/>
        <w:jc w:val="both"/>
        <w:rPr>
          <w:rFonts w:ascii="Cambria" w:hAnsi="Cambria"/>
          <w:sz w:val="24"/>
          <w:szCs w:val="24"/>
        </w:rPr>
      </w:pPr>
      <w:r>
        <w:rPr>
          <w:rFonts w:ascii="Cambria" w:hAnsi="Cambria"/>
          <w:sz w:val="24"/>
          <w:szCs w:val="24"/>
        </w:rPr>
        <w:t xml:space="preserve">Latvijai saistību izpilde par periodu 2021. – 2025. gads būs jānodrošina 2027. gadā, bet </w:t>
      </w:r>
      <w:r w:rsidR="008B0DAE">
        <w:rPr>
          <w:rFonts w:ascii="Cambria" w:hAnsi="Cambria"/>
          <w:sz w:val="24"/>
          <w:szCs w:val="24"/>
        </w:rPr>
        <w:t xml:space="preserve">par </w:t>
      </w:r>
      <w:r>
        <w:rPr>
          <w:rFonts w:ascii="Cambria" w:hAnsi="Cambria"/>
          <w:sz w:val="24"/>
          <w:szCs w:val="24"/>
        </w:rPr>
        <w:t xml:space="preserve">periodu 2026. – 2030. gads - 2032. gadā, balstoties uz iesniegtajām SEG inventarizācijām. Līdz tam katru gadu jāiesniedz informācija EK par progresu noteikto SEG mērķu izpildē. </w:t>
      </w:r>
    </w:p>
    <w:p w14:paraId="29C442AD" w14:textId="16E5CAD5" w:rsidR="003E6EAD" w:rsidRDefault="003A4514">
      <w:pPr>
        <w:spacing w:before="120" w:after="120" w:line="240" w:lineRule="auto"/>
        <w:ind w:firstLine="567"/>
        <w:jc w:val="both"/>
        <w:rPr>
          <w:rFonts w:ascii="Cambria" w:hAnsi="Cambria"/>
          <w:sz w:val="24"/>
          <w:szCs w:val="24"/>
        </w:rPr>
      </w:pPr>
      <w:r>
        <w:rPr>
          <w:rFonts w:ascii="Cambria" w:hAnsi="Cambria"/>
          <w:sz w:val="24"/>
          <w:szCs w:val="24"/>
        </w:rPr>
        <w:lastRenderedPageBreak/>
        <w:t>Lai izpildītu noteiktās saistības, atbilstoši likuma “Par piesārņojumu” 54. panta ceturtajai daļai, MK apstiprināšanai tiks iesniegta ilgtermiņa stratēģija rīcībai ar GES un piesaistes vienībām (ZIZIMM sektorā).</w:t>
      </w:r>
    </w:p>
    <w:p w14:paraId="693EA0D7" w14:textId="77777777" w:rsidR="003E6EAD" w:rsidRDefault="003E6EAD">
      <w:pPr>
        <w:spacing w:before="120" w:after="120" w:line="240" w:lineRule="auto"/>
        <w:ind w:firstLine="567"/>
        <w:jc w:val="both"/>
        <w:rPr>
          <w:rFonts w:ascii="Cambria" w:hAnsi="Cambria"/>
          <w:sz w:val="24"/>
          <w:szCs w:val="24"/>
        </w:rPr>
      </w:pPr>
    </w:p>
    <w:p w14:paraId="22AD4893" w14:textId="64D63268" w:rsidR="003E6EAD" w:rsidRDefault="00D06AF4">
      <w:pPr>
        <w:pStyle w:val="Heading2"/>
        <w:spacing w:before="120" w:after="120" w:line="240" w:lineRule="auto"/>
        <w:jc w:val="both"/>
      </w:pPr>
      <w:bookmarkStart w:id="33" w:name="_Toc185319498"/>
      <w:bookmarkStart w:id="34" w:name="_Toc190952417"/>
      <w:r>
        <w:rPr>
          <w:rFonts w:ascii="Cambria" w:eastAsia="Yu Gothic" w:hAnsi="Cambria" w:cs="Arial"/>
          <w:b/>
          <w:bCs/>
          <w:color w:val="155452"/>
          <w:sz w:val="24"/>
          <w:szCs w:val="24"/>
        </w:rPr>
        <w:t>2</w:t>
      </w:r>
      <w:r w:rsidR="003A4514">
        <w:rPr>
          <w:rFonts w:ascii="Cambria" w:eastAsia="Yu Gothic" w:hAnsi="Cambria" w:cs="Arial"/>
          <w:b/>
          <w:bCs/>
          <w:color w:val="155452"/>
          <w:sz w:val="24"/>
          <w:szCs w:val="24"/>
        </w:rPr>
        <w:t>.1</w:t>
      </w:r>
      <w:r w:rsidR="003A4514">
        <w:rPr>
          <w:rFonts w:ascii="Cambria" w:hAnsi="Cambria"/>
          <w:b/>
          <w:color w:val="auto"/>
          <w:sz w:val="24"/>
          <w:szCs w:val="24"/>
        </w:rPr>
        <w:t xml:space="preserve">. </w:t>
      </w:r>
      <w:r w:rsidR="003A4514">
        <w:rPr>
          <w:rFonts w:ascii="Cambria" w:eastAsia="Yu Gothic" w:hAnsi="Cambria" w:cs="Arial"/>
          <w:b/>
          <w:bCs/>
          <w:color w:val="155452"/>
          <w:sz w:val="24"/>
          <w:szCs w:val="24"/>
        </w:rPr>
        <w:t>SEG mērķu līdz 2030. gadam izpildes progresa novērtējums</w:t>
      </w:r>
      <w:bookmarkEnd w:id="33"/>
      <w:bookmarkEnd w:id="34"/>
      <w:r w:rsidR="003A4514">
        <w:rPr>
          <w:rFonts w:ascii="Cambria" w:hAnsi="Cambria"/>
          <w:b/>
          <w:color w:val="auto"/>
          <w:sz w:val="24"/>
          <w:szCs w:val="24"/>
        </w:rPr>
        <w:t xml:space="preserve"> </w:t>
      </w:r>
    </w:p>
    <w:p w14:paraId="6CC5FB87" w14:textId="797BFAEA"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Atbilstoši 2024. gada SEG inventarizācijai</w:t>
      </w:r>
      <w:r w:rsidR="00A60961">
        <w:rPr>
          <w:rStyle w:val="FootnoteReference"/>
          <w:rFonts w:ascii="Cambria" w:hAnsi="Cambria"/>
          <w:sz w:val="24"/>
          <w:szCs w:val="24"/>
        </w:rPr>
        <w:footnoteReference w:id="50"/>
      </w:r>
      <w:r w:rsidRPr="5B9FE7F0">
        <w:rPr>
          <w:rFonts w:ascii="Cambria" w:hAnsi="Cambria"/>
          <w:sz w:val="24"/>
          <w:szCs w:val="24"/>
        </w:rPr>
        <w:t xml:space="preserve"> un aptuvenajai SEG inventarizācijai par 2023. gadu, Latvijas </w:t>
      </w:r>
      <w:r w:rsidRPr="5B9FE7F0">
        <w:rPr>
          <w:rFonts w:ascii="Cambria" w:hAnsi="Cambria"/>
          <w:b/>
          <w:bCs/>
          <w:sz w:val="24"/>
          <w:szCs w:val="24"/>
        </w:rPr>
        <w:t>kopējās SEG emisijas</w:t>
      </w:r>
      <w:r w:rsidRPr="5B9FE7F0">
        <w:rPr>
          <w:rFonts w:ascii="Cambria" w:hAnsi="Cambria"/>
          <w:sz w:val="24"/>
          <w:szCs w:val="24"/>
        </w:rPr>
        <w:t xml:space="preserve"> no 1990. gada līdz 2022. gadam un līdz 2023. gadam </w:t>
      </w:r>
      <w:r w:rsidRPr="5B9FE7F0">
        <w:rPr>
          <w:rFonts w:ascii="Cambria" w:hAnsi="Cambria"/>
          <w:b/>
          <w:bCs/>
          <w:sz w:val="24"/>
          <w:szCs w:val="24"/>
        </w:rPr>
        <w:t>ir samazinājušās</w:t>
      </w:r>
      <w:r w:rsidRPr="5B9FE7F0">
        <w:rPr>
          <w:rFonts w:ascii="Cambria" w:hAnsi="Cambria"/>
          <w:sz w:val="24"/>
          <w:szCs w:val="24"/>
        </w:rPr>
        <w:t xml:space="preserve"> attiecīgi par 61,1 % un</w:t>
      </w:r>
      <w:r w:rsidRPr="5B9FE7F0">
        <w:rPr>
          <w:rFonts w:ascii="Cambria" w:hAnsi="Cambria"/>
          <w:color w:val="FF0000"/>
          <w:sz w:val="24"/>
          <w:szCs w:val="24"/>
        </w:rPr>
        <w:t xml:space="preserve"> </w:t>
      </w:r>
      <w:r w:rsidRPr="5B9FE7F0">
        <w:rPr>
          <w:rFonts w:ascii="Cambria" w:hAnsi="Cambria"/>
          <w:sz w:val="24"/>
          <w:szCs w:val="24"/>
        </w:rPr>
        <w:t>61,7 %, savukārt laika posmā no 2005. gada līdz 2022. gadam Latvijas kopējās SEG emisijas ir samazinājušās par 8,2 %, bet no 2005. gada līdz 2023. gadam ir samazinājušās par 9,6 %.</w:t>
      </w:r>
      <w:r>
        <w:tab/>
      </w:r>
      <w:r w:rsidRPr="5B9FE7F0">
        <w:rPr>
          <w:rFonts w:ascii="Cambria" w:hAnsi="Cambria"/>
          <w:sz w:val="24"/>
          <w:szCs w:val="24"/>
        </w:rPr>
        <w:t xml:space="preserve">Kopējās Latvijas SEG emisijas 2022. gadā bija </w:t>
      </w:r>
      <w:r w:rsidRPr="5B9FE7F0">
        <w:rPr>
          <w:rFonts w:ascii="Cambria" w:eastAsia="Cambria" w:hAnsi="Cambria" w:cs="Cambria"/>
          <w:sz w:val="24"/>
          <w:szCs w:val="24"/>
        </w:rPr>
        <w:t>10131,0</w:t>
      </w:r>
      <w:r w:rsidRPr="5B9FE7F0">
        <w:rPr>
          <w:rFonts w:ascii="Cambria" w:hAnsi="Cambria"/>
          <w:sz w:val="24"/>
          <w:szCs w:val="24"/>
        </w:rPr>
        <w:t xml:space="preserve"> kt CO</w:t>
      </w:r>
      <w:r w:rsidRPr="5B9FE7F0">
        <w:rPr>
          <w:rFonts w:ascii="Cambria" w:hAnsi="Cambria"/>
          <w:sz w:val="24"/>
          <w:szCs w:val="24"/>
          <w:vertAlign w:val="subscript"/>
        </w:rPr>
        <w:t>2</w:t>
      </w:r>
      <w:r w:rsidRPr="5B9FE7F0">
        <w:rPr>
          <w:rFonts w:ascii="Cambria" w:hAnsi="Cambria"/>
          <w:sz w:val="24"/>
          <w:szCs w:val="24"/>
        </w:rPr>
        <w:t xml:space="preserve"> ekv., aptuvenās 2023. gada SEG emisijas – </w:t>
      </w:r>
      <w:r w:rsidRPr="5B9FE7F0">
        <w:rPr>
          <w:rFonts w:ascii="Cambria" w:eastAsia="Cambria" w:hAnsi="Cambria" w:cs="Cambria"/>
          <w:sz w:val="24"/>
          <w:szCs w:val="24"/>
        </w:rPr>
        <w:t>9984,4</w:t>
      </w:r>
      <w:r w:rsidRPr="5B9FE7F0">
        <w:rPr>
          <w:rFonts w:ascii="Cambria" w:hAnsi="Cambria"/>
          <w:sz w:val="24"/>
          <w:szCs w:val="24"/>
        </w:rPr>
        <w:t xml:space="preserve"> kt CO</w:t>
      </w:r>
      <w:r w:rsidRPr="5B9FE7F0">
        <w:rPr>
          <w:rFonts w:ascii="Cambria" w:hAnsi="Cambria"/>
          <w:sz w:val="24"/>
          <w:szCs w:val="24"/>
          <w:vertAlign w:val="subscript"/>
        </w:rPr>
        <w:t>2</w:t>
      </w:r>
      <w:r w:rsidRPr="5B9FE7F0">
        <w:rPr>
          <w:rFonts w:ascii="Cambria" w:hAnsi="Cambria"/>
          <w:sz w:val="24"/>
          <w:szCs w:val="24"/>
        </w:rPr>
        <w:t xml:space="preserve"> ekv., bet 2030. gada prognozētās SEG emisijas - 9740,9 kt CO</w:t>
      </w:r>
      <w:r w:rsidRPr="5B9FE7F0">
        <w:rPr>
          <w:rFonts w:ascii="Cambria" w:hAnsi="Cambria"/>
          <w:sz w:val="24"/>
          <w:szCs w:val="24"/>
          <w:vertAlign w:val="subscript"/>
        </w:rPr>
        <w:t>2</w:t>
      </w:r>
      <w:r w:rsidRPr="5B9FE7F0">
        <w:rPr>
          <w:rFonts w:ascii="Cambria" w:hAnsi="Cambria"/>
          <w:sz w:val="24"/>
          <w:szCs w:val="24"/>
        </w:rPr>
        <w:t xml:space="preserve"> ekv. Kopējais SEG emisiju sadalījums pa sektoriem 2022. gadā un 2030. gadā (neskaitot ZIZIMM) ietverts 1. attēlā. </w:t>
      </w:r>
    </w:p>
    <w:tbl>
      <w:tblPr>
        <w:tblW w:w="9061" w:type="dxa"/>
        <w:tblCellMar>
          <w:left w:w="10" w:type="dxa"/>
          <w:right w:w="10" w:type="dxa"/>
        </w:tblCellMar>
        <w:tblLook w:val="04A0" w:firstRow="1" w:lastRow="0" w:firstColumn="1" w:lastColumn="0" w:noHBand="0" w:noVBand="1"/>
      </w:tblPr>
      <w:tblGrid>
        <w:gridCol w:w="4582"/>
        <w:gridCol w:w="4479"/>
      </w:tblGrid>
      <w:tr w:rsidR="003E6EAD" w14:paraId="57D36494" w14:textId="77777777">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F58DE" w14:textId="77777777" w:rsidR="003E6EAD" w:rsidRDefault="003A4514">
            <w:pPr>
              <w:spacing w:before="120" w:after="120" w:line="240" w:lineRule="auto"/>
              <w:jc w:val="center"/>
            </w:pPr>
            <w:r>
              <w:rPr>
                <w:noProof/>
                <w:sz w:val="24"/>
                <w:szCs w:val="24"/>
                <w:lang w:bidi="hi-IN"/>
              </w:rPr>
              <w:drawing>
                <wp:inline distT="0" distB="0" distL="0" distR="0" wp14:anchorId="2474959F" wp14:editId="279CC40A">
                  <wp:extent cx="2857500" cy="1762121"/>
                  <wp:effectExtent l="0" t="0" r="0" b="0"/>
                  <wp:docPr id="683187237" name="Picture 1749164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857500" cy="1762121"/>
                          </a:xfrm>
                          <a:prstGeom prst="rect">
                            <a:avLst/>
                          </a:prstGeom>
                          <a:noFill/>
                          <a:ln>
                            <a:noFill/>
                            <a:prstDash/>
                          </a:ln>
                        </pic:spPr>
                      </pic:pic>
                    </a:graphicData>
                  </a:graphic>
                </wp:inline>
              </w:drawing>
            </w:r>
            <w:r>
              <w:rPr>
                <w:rFonts w:ascii="Cambria" w:hAnsi="Cambria"/>
                <w:sz w:val="24"/>
                <w:szCs w:val="24"/>
                <w:lang w:bidi="hi-IN"/>
              </w:rPr>
              <w:t>2022</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0E2A3" w14:textId="77777777" w:rsidR="003E6EAD" w:rsidRDefault="003A4514">
            <w:pPr>
              <w:spacing w:before="120" w:after="120" w:line="240" w:lineRule="auto"/>
              <w:jc w:val="center"/>
            </w:pPr>
            <w:r>
              <w:rPr>
                <w:noProof/>
                <w:sz w:val="24"/>
                <w:szCs w:val="24"/>
                <w:lang w:bidi="hi-IN"/>
              </w:rPr>
              <w:drawing>
                <wp:inline distT="0" distB="0" distL="0" distR="0" wp14:anchorId="44196DDA" wp14:editId="1E982335">
                  <wp:extent cx="2790821" cy="1724028"/>
                  <wp:effectExtent l="0" t="0" r="0" b="9522"/>
                  <wp:docPr id="315608772" name="Picture 6151185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90821" cy="1724028"/>
                          </a:xfrm>
                          <a:prstGeom prst="rect">
                            <a:avLst/>
                          </a:prstGeom>
                          <a:noFill/>
                          <a:ln>
                            <a:noFill/>
                            <a:prstDash/>
                          </a:ln>
                        </pic:spPr>
                      </pic:pic>
                    </a:graphicData>
                  </a:graphic>
                </wp:inline>
              </w:drawing>
            </w:r>
            <w:r>
              <w:rPr>
                <w:rFonts w:ascii="Cambria" w:hAnsi="Cambria"/>
                <w:sz w:val="24"/>
                <w:szCs w:val="24"/>
                <w:lang w:bidi="hi-IN"/>
              </w:rPr>
              <w:t xml:space="preserve">2030 </w:t>
            </w:r>
          </w:p>
        </w:tc>
      </w:tr>
    </w:tbl>
    <w:p w14:paraId="63C658AE" w14:textId="2973F48E" w:rsidR="003E6EAD" w:rsidRDefault="003A4514">
      <w:pPr>
        <w:spacing w:before="120" w:after="120" w:line="240" w:lineRule="auto"/>
        <w:ind w:firstLine="567"/>
        <w:jc w:val="center"/>
      </w:pPr>
      <w:r>
        <w:rPr>
          <w:rFonts w:ascii="Cambria" w:hAnsi="Cambria"/>
          <w:b/>
          <w:bCs/>
          <w:sz w:val="24"/>
          <w:szCs w:val="24"/>
        </w:rPr>
        <w:t>1. attēls. Latvijas kopējais SEG emisiju sadalījums</w:t>
      </w:r>
      <w:r>
        <w:rPr>
          <w:rFonts w:ascii="Cambria" w:hAnsi="Cambria"/>
          <w:b/>
          <w:bCs/>
        </w:rPr>
        <w:t xml:space="preserve"> </w:t>
      </w:r>
      <w:r>
        <w:rPr>
          <w:rFonts w:ascii="Cambria" w:hAnsi="Cambria"/>
          <w:b/>
          <w:bCs/>
          <w:sz w:val="24"/>
          <w:szCs w:val="24"/>
        </w:rPr>
        <w:t>pa sektoriem 2022. un 2030. gadā</w:t>
      </w:r>
      <w:r w:rsidR="0010491A">
        <w:rPr>
          <w:rFonts w:ascii="Cambria" w:hAnsi="Cambria"/>
          <w:b/>
          <w:bCs/>
          <w:sz w:val="24"/>
          <w:szCs w:val="24"/>
        </w:rPr>
        <w:t xml:space="preserve"> WEM scenārijā</w:t>
      </w:r>
      <w:r>
        <w:rPr>
          <w:rFonts w:ascii="Cambria" w:hAnsi="Cambria"/>
          <w:b/>
          <w:bCs/>
          <w:sz w:val="24"/>
          <w:szCs w:val="24"/>
        </w:rPr>
        <w:t xml:space="preserve"> (neskaitot ZIZIMM)</w:t>
      </w:r>
      <w:r>
        <w:rPr>
          <w:rStyle w:val="FootnoteReference"/>
          <w:rFonts w:ascii="Cambria" w:hAnsi="Cambria"/>
          <w:b/>
          <w:bCs/>
          <w:sz w:val="24"/>
          <w:szCs w:val="24"/>
        </w:rPr>
        <w:footnoteReference w:id="51"/>
      </w:r>
    </w:p>
    <w:p w14:paraId="4B450006" w14:textId="1C81398E"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Enerģētikas sektors</w:t>
      </w:r>
      <w:r w:rsidRPr="5B9FE7F0">
        <w:rPr>
          <w:rFonts w:ascii="Cambria" w:hAnsi="Cambria"/>
          <w:i/>
          <w:iCs/>
          <w:sz w:val="24"/>
          <w:szCs w:val="24"/>
        </w:rPr>
        <w:t xml:space="preserve"> </w:t>
      </w:r>
      <w:r w:rsidRPr="5B9FE7F0">
        <w:rPr>
          <w:rFonts w:ascii="Cambria" w:hAnsi="Cambria"/>
          <w:sz w:val="24"/>
          <w:szCs w:val="24"/>
        </w:rPr>
        <w:t>(neskaitot transportu)</w:t>
      </w:r>
      <w:r w:rsidRPr="5B9FE7F0">
        <w:rPr>
          <w:rFonts w:ascii="Cambria" w:hAnsi="Cambria"/>
          <w:i/>
          <w:iCs/>
          <w:sz w:val="24"/>
          <w:szCs w:val="24"/>
        </w:rPr>
        <w:t xml:space="preserve"> </w:t>
      </w:r>
      <w:r w:rsidRPr="5B9FE7F0">
        <w:rPr>
          <w:rFonts w:ascii="Cambria" w:hAnsi="Cambria"/>
          <w:sz w:val="24"/>
          <w:szCs w:val="24"/>
        </w:rPr>
        <w:t>ir lielākais SEG emisiju avots un radīja 32,3 % no kopējām 2022. gada SEG emisijām,</w:t>
      </w:r>
      <w:r w:rsidRPr="5B9FE7F0">
        <w:rPr>
          <w:rFonts w:ascii="Cambria" w:hAnsi="Cambria"/>
        </w:rPr>
        <w:t xml:space="preserve"> </w:t>
      </w:r>
      <w:r w:rsidRPr="5B9FE7F0">
        <w:rPr>
          <w:rFonts w:ascii="Cambria" w:hAnsi="Cambria"/>
          <w:sz w:val="24"/>
          <w:szCs w:val="24"/>
        </w:rPr>
        <w:t xml:space="preserve">neskaitot ZIZIMM. Atrodoties mērenajā klimata joslā, siltumenerģijas ražošana, piemēram, telpu apsildei, ūdens sildīšanai Latvijā ir būtisks SEG un gaisa piesārņojošo vielu avots. Enerģētikas sektorā tiek uzskaitītas SEG emisijas no sadedzināšanas procesiem visās tautsaimniecības nozarēs. Lielāko daļu no enerģētikas (bez transporta) sektora SEG emisijām rada komerciālais, sabiedriskais, mājsaimniecības, lauksaimniecības, mežsaimniecības un zivsaimniecības sektori (47,4 %), kam seko enerģētikas nozares (publiskā elektroenerģijas un siltumenerģijas ražošana) – 30,5 %, rūpniecības nozares un būvniecība (18,4 %), bet atlikušo daļu veido cits bezceļa transports un gaistošās emisijas no naftas produktiem un dabasgāzes. Enerģētikas sektora SEG emisijas svārstās atkarībā no ekonomiskajām izmaiņām valstī, kā arī apkures grāddienu skaita. </w:t>
      </w:r>
    </w:p>
    <w:p w14:paraId="311EC6D7"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Transporta sektors ir otrais lielākais SEG emisiju avots un radīja 31,0 % no kopējām 2022. gada SEG emisijām. Lielākā daļa no transporta sektora SEG emisijām 2022. gadā ir radītas no autoceļa transporta (97,1 %), savukārt, autotransporta apakšsektorā lielākais </w:t>
      </w:r>
      <w:r w:rsidRPr="5B9FE7F0">
        <w:rPr>
          <w:rFonts w:ascii="Cambria" w:hAnsi="Cambria"/>
          <w:sz w:val="24"/>
          <w:szCs w:val="24"/>
        </w:rPr>
        <w:lastRenderedPageBreak/>
        <w:t>SEG emisiju radītājs pa transportlīdzekļu grupām ir pasažieru automašīnas, kam seko kravas transportlīdzekļi un autobusi. Dzelzceļš rada 2,5 % no kopējām transporta sektora SEG emisijām, iekšzemes aviācija - 0,1 % -, bet vietējā navigācija - 0,2 %.</w:t>
      </w:r>
    </w:p>
    <w:p w14:paraId="04BEE5B9" w14:textId="77777777" w:rsidR="003E6EAD" w:rsidRDefault="003A4514">
      <w:pPr>
        <w:spacing w:before="120" w:after="120" w:line="240" w:lineRule="auto"/>
        <w:ind w:firstLine="567"/>
        <w:jc w:val="both"/>
      </w:pPr>
      <w:r>
        <w:rPr>
          <w:rFonts w:ascii="Cambria" w:hAnsi="Cambria"/>
          <w:sz w:val="24"/>
          <w:szCs w:val="24"/>
        </w:rPr>
        <w:t>Lauksaimniecība ir trešais lielākais SEG emisiju avots, kas radīja 22,2 % no kopējām Latvijas SEG emisijām 2022. gadā,</w:t>
      </w:r>
      <w:r>
        <w:rPr>
          <w:rFonts w:ascii="Cambria" w:hAnsi="Cambria"/>
        </w:rPr>
        <w:t xml:space="preserve"> </w:t>
      </w:r>
      <w:r>
        <w:rPr>
          <w:rFonts w:ascii="Cambria" w:hAnsi="Cambria"/>
          <w:sz w:val="24"/>
          <w:szCs w:val="24"/>
        </w:rPr>
        <w:t xml:space="preserve">neskaitot ZIZIMM. Šajā sektorā būtiskākie SEG emisiju avoti ir lauksaimniecības augsnes (46,5 %) un lauksaimniecības dzīvnieku zarnu fermentācijas procesi (42,0 %). SEG emisiju daudzuma izmaiņas būtiski ietekmē lauksaimniecības dzīvnieku skaita svārstības un pielietotais slāpekļa minerālmēslu daudzums. </w:t>
      </w:r>
    </w:p>
    <w:p w14:paraId="2A7FA5DA" w14:textId="7672F923"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2022. gadā RPPI sektors veidoja 8,5 % no kopējām Latvijas SEG emisijām, neskaitot ZIZIMM.</w:t>
      </w:r>
      <w:r w:rsidRPr="5B9FE7F0">
        <w:rPr>
          <w:rFonts w:ascii="Cambria" w:hAnsi="Cambria"/>
        </w:rPr>
        <w:t xml:space="preserve"> </w:t>
      </w:r>
      <w:r w:rsidRPr="5B9FE7F0">
        <w:rPr>
          <w:rFonts w:ascii="Cambria" w:hAnsi="Cambria"/>
          <w:sz w:val="24"/>
          <w:szCs w:val="24"/>
        </w:rPr>
        <w:t>Lielāko apjomu no RPPI sektora emisijām rada minerālu rūpniecība (ietver cementa, stikla un ķieģeļu ražošanu), kas veido 63,8 % no kopējām sektora emisijām. Otrs lielākais rūpniecības sektora apakšsektors ir ONV aizvietošanai izmantotie produkti (ietver fluorēto gāzu izmantošanu dzesēšanas iekārtās un gaisa kondicionieros, celtniecības putās, stacionārajā ugunsdrošības aprīkojumā un aerosolos), kas veido 29,2 % no kopējām sektora emisijām.</w:t>
      </w:r>
    </w:p>
    <w:p w14:paraId="7E0A6625" w14:textId="3FA940DD"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Atkritumu apsaimniekošana veidoja 5,8 % no kopējām SEG emisijām 2022. gadā, neskaitot ZIZIMM.</w:t>
      </w:r>
      <w:r w:rsidRPr="5B9FE7F0">
        <w:rPr>
          <w:rFonts w:ascii="Cambria" w:hAnsi="Cambria"/>
        </w:rPr>
        <w:t xml:space="preserve"> </w:t>
      </w:r>
      <w:r w:rsidRPr="5B9FE7F0">
        <w:rPr>
          <w:rFonts w:ascii="Cambria" w:hAnsi="Cambria"/>
          <w:sz w:val="24"/>
          <w:szCs w:val="24"/>
        </w:rPr>
        <w:t>Tās ietver CH</w:t>
      </w:r>
      <w:r w:rsidRPr="5B9FE7F0">
        <w:rPr>
          <w:rFonts w:ascii="Cambria" w:hAnsi="Cambria"/>
          <w:sz w:val="24"/>
          <w:szCs w:val="24"/>
          <w:vertAlign w:val="subscript"/>
        </w:rPr>
        <w:t>4</w:t>
      </w:r>
      <w:r w:rsidRPr="5B9FE7F0">
        <w:rPr>
          <w:rFonts w:ascii="Cambria" w:hAnsi="Cambria"/>
          <w:sz w:val="24"/>
          <w:szCs w:val="24"/>
        </w:rPr>
        <w:t xml:space="preserve"> emisijas no cieto atkritumu apglabāšanas, kas veido vairāk nekā pusi (68,7 %) no kopējām SEG emisijām atkritumu apsaimniekošanas sektorā, CH</w:t>
      </w:r>
      <w:r w:rsidRPr="5B9FE7F0">
        <w:rPr>
          <w:rFonts w:ascii="Cambria" w:hAnsi="Cambria"/>
          <w:sz w:val="24"/>
          <w:szCs w:val="24"/>
          <w:vertAlign w:val="subscript"/>
        </w:rPr>
        <w:t>4</w:t>
      </w:r>
      <w:r w:rsidRPr="5B9FE7F0">
        <w:rPr>
          <w:rFonts w:ascii="Cambria" w:hAnsi="Cambria"/>
          <w:sz w:val="24"/>
          <w:szCs w:val="24"/>
        </w:rPr>
        <w:t xml:space="preserve"> un N</w:t>
      </w:r>
      <w:r w:rsidRPr="5B9FE7F0">
        <w:rPr>
          <w:rFonts w:ascii="Cambria" w:hAnsi="Cambria"/>
          <w:sz w:val="24"/>
          <w:szCs w:val="24"/>
          <w:vertAlign w:val="subscript"/>
        </w:rPr>
        <w:t>2</w:t>
      </w:r>
      <w:r w:rsidRPr="5B9FE7F0">
        <w:rPr>
          <w:rFonts w:ascii="Cambria" w:hAnsi="Cambria"/>
          <w:sz w:val="24"/>
          <w:szCs w:val="24"/>
        </w:rPr>
        <w:t>O emisijas notekūdeņu attīrīšanas un novadīšanas (20,7 %), CH</w:t>
      </w:r>
      <w:r w:rsidRPr="5B9FE7F0">
        <w:rPr>
          <w:rFonts w:ascii="Cambria" w:hAnsi="Cambria"/>
          <w:sz w:val="24"/>
          <w:szCs w:val="24"/>
          <w:vertAlign w:val="subscript"/>
        </w:rPr>
        <w:t>4</w:t>
      </w:r>
      <w:r w:rsidRPr="5B9FE7F0">
        <w:rPr>
          <w:rFonts w:ascii="Cambria" w:hAnsi="Cambria"/>
          <w:sz w:val="24"/>
          <w:szCs w:val="24"/>
        </w:rPr>
        <w:t xml:space="preserve"> un N</w:t>
      </w:r>
      <w:r w:rsidRPr="5B9FE7F0">
        <w:rPr>
          <w:rFonts w:ascii="Cambria" w:hAnsi="Cambria"/>
          <w:sz w:val="24"/>
          <w:szCs w:val="24"/>
          <w:vertAlign w:val="subscript"/>
        </w:rPr>
        <w:t>2</w:t>
      </w:r>
      <w:r w:rsidRPr="5B9FE7F0">
        <w:rPr>
          <w:rFonts w:ascii="Cambria" w:hAnsi="Cambria"/>
          <w:sz w:val="24"/>
          <w:szCs w:val="24"/>
        </w:rPr>
        <w:t>O emisijas no atkritumu bioloģiskās apstrādes (10,6 % no kopējām atkritumu apsaimniekošanas emisijām 2022. gadā). Netiešās CO</w:t>
      </w:r>
      <w:r w:rsidRPr="5B9FE7F0">
        <w:rPr>
          <w:rFonts w:ascii="Cambria" w:hAnsi="Cambria"/>
          <w:sz w:val="24"/>
          <w:szCs w:val="24"/>
          <w:vertAlign w:val="subscript"/>
        </w:rPr>
        <w:t>2</w:t>
      </w:r>
      <w:r w:rsidRPr="5B9FE7F0">
        <w:rPr>
          <w:rFonts w:ascii="Cambria" w:hAnsi="Cambria"/>
          <w:sz w:val="24"/>
          <w:szCs w:val="24"/>
        </w:rPr>
        <w:t xml:space="preserve"> emisijas tiek aprēķinātas enerģētikas sektorā, tās ir NMGOS emisijas no benzīna iztvaikošanas ceļu transportā, CH</w:t>
      </w:r>
      <w:r w:rsidRPr="5B9FE7F0">
        <w:rPr>
          <w:rFonts w:ascii="Cambria" w:hAnsi="Cambria"/>
          <w:sz w:val="24"/>
          <w:szCs w:val="24"/>
          <w:vertAlign w:val="subscript"/>
        </w:rPr>
        <w:t>4</w:t>
      </w:r>
      <w:r w:rsidRPr="5B9FE7F0">
        <w:rPr>
          <w:rFonts w:ascii="Cambria" w:hAnsi="Cambria"/>
          <w:sz w:val="24"/>
          <w:szCs w:val="24"/>
        </w:rPr>
        <w:t xml:space="preserve"> un NMGOS emisijas no dabasgāzes noplūdēm. Kopā netiešās CO</w:t>
      </w:r>
      <w:r w:rsidRPr="5B9FE7F0">
        <w:rPr>
          <w:rFonts w:ascii="Cambria" w:hAnsi="Cambria"/>
          <w:sz w:val="24"/>
          <w:szCs w:val="24"/>
          <w:vertAlign w:val="subscript"/>
        </w:rPr>
        <w:t>2</w:t>
      </w:r>
      <w:r w:rsidRPr="5B9FE7F0">
        <w:rPr>
          <w:rFonts w:ascii="Cambria" w:hAnsi="Cambria"/>
          <w:sz w:val="24"/>
          <w:szCs w:val="24"/>
        </w:rPr>
        <w:t xml:space="preserve"> emisijas veidoja 11,24 kt CO</w:t>
      </w:r>
      <w:r w:rsidRPr="5B9FE7F0">
        <w:rPr>
          <w:rFonts w:ascii="Cambria" w:hAnsi="Cambria"/>
          <w:sz w:val="24"/>
          <w:szCs w:val="24"/>
          <w:vertAlign w:val="subscript"/>
        </w:rPr>
        <w:t>2</w:t>
      </w:r>
      <w:r w:rsidRPr="5B9FE7F0">
        <w:rPr>
          <w:rFonts w:ascii="Cambria" w:hAnsi="Cambria"/>
          <w:sz w:val="24"/>
          <w:szCs w:val="24"/>
        </w:rPr>
        <w:t xml:space="preserve"> ekv. 2022.gadā, kas ir 0,1% no kopējām emisijām, neskaitot ZIZIMM sektoru. </w:t>
      </w:r>
    </w:p>
    <w:p w14:paraId="6FFDA45B" w14:textId="77777777" w:rsidR="003E6EAD" w:rsidRDefault="003A4514">
      <w:pPr>
        <w:spacing w:before="120" w:after="120" w:line="240" w:lineRule="auto"/>
        <w:ind w:firstLine="567"/>
        <w:jc w:val="both"/>
        <w:rPr>
          <w:rFonts w:ascii="Cambria" w:hAnsi="Cambria"/>
          <w:sz w:val="24"/>
          <w:szCs w:val="24"/>
        </w:rPr>
      </w:pPr>
      <w:r>
        <w:rPr>
          <w:rFonts w:ascii="Cambria" w:hAnsi="Cambria"/>
          <w:b/>
          <w:bCs/>
          <w:sz w:val="24"/>
          <w:szCs w:val="24"/>
        </w:rPr>
        <w:t>Latvijas kopējā SEG emisiju apjomā</w:t>
      </w:r>
      <w:r>
        <w:rPr>
          <w:rFonts w:ascii="Cambria" w:hAnsi="Cambria"/>
          <w:sz w:val="24"/>
          <w:szCs w:val="24"/>
        </w:rPr>
        <w:t xml:space="preserve"> 2022. gadā dominēja ne-ETS darbību SEG emisijas – 83,3 %, savukārt ES ETS emisijas veidoja 16,7 % no kopējām SEG emisijām, skatīt 2. attēlu</w:t>
      </w:r>
      <w:r>
        <w:rPr>
          <w:rStyle w:val="FootnoteReference"/>
          <w:rFonts w:ascii="Cambria" w:hAnsi="Cambria"/>
          <w:sz w:val="24"/>
          <w:szCs w:val="24"/>
        </w:rPr>
        <w:footnoteReference w:id="52"/>
      </w:r>
      <w:r>
        <w:rPr>
          <w:rFonts w:ascii="Cambria" w:hAnsi="Cambria"/>
          <w:sz w:val="24"/>
          <w:szCs w:val="24"/>
        </w:rPr>
        <w:t>. 2030. gadā ir prognozēts, ka ES ETS būs 14,3 %, bet ne-ETS – 85,7 %.</w:t>
      </w:r>
    </w:p>
    <w:tbl>
      <w:tblPr>
        <w:tblW w:w="8736" w:type="dxa"/>
        <w:tblCellMar>
          <w:left w:w="10" w:type="dxa"/>
          <w:right w:w="10" w:type="dxa"/>
        </w:tblCellMar>
        <w:tblLook w:val="04A0" w:firstRow="1" w:lastRow="0" w:firstColumn="1" w:lastColumn="0" w:noHBand="0" w:noVBand="1"/>
      </w:tblPr>
      <w:tblGrid>
        <w:gridCol w:w="4517"/>
        <w:gridCol w:w="4544"/>
      </w:tblGrid>
      <w:tr w:rsidR="003E6EAD" w14:paraId="3959A48C" w14:textId="77777777" w:rsidTr="00857CB6">
        <w:trPr>
          <w:trHeight w:val="29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72E44" w14:textId="77777777" w:rsidR="003E6EAD" w:rsidRDefault="003A4514">
            <w:pPr>
              <w:spacing w:before="120" w:after="120" w:line="240" w:lineRule="auto"/>
              <w:jc w:val="center"/>
            </w:pPr>
            <w:r>
              <w:rPr>
                <w:rFonts w:ascii="Cambria" w:hAnsi="Cambria"/>
                <w:noProof/>
                <w:sz w:val="24"/>
                <w:szCs w:val="24"/>
                <w:lang w:bidi="hi-IN"/>
              </w:rPr>
              <w:drawing>
                <wp:inline distT="0" distB="0" distL="0" distR="0" wp14:anchorId="4D8B6804" wp14:editId="78225165">
                  <wp:extent cx="2983486" cy="1705794"/>
                  <wp:effectExtent l="0" t="0" r="7364" b="8706"/>
                  <wp:docPr id="978015650"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983486" cy="1705794"/>
                          </a:xfrm>
                          <a:prstGeom prst="rect">
                            <a:avLst/>
                          </a:prstGeom>
                          <a:noFill/>
                          <a:ln>
                            <a:noFill/>
                            <a:prstDash/>
                          </a:ln>
                        </pic:spPr>
                      </pic:pic>
                    </a:graphicData>
                  </a:graphic>
                </wp:inline>
              </w:drawing>
            </w:r>
            <w:r>
              <w:rPr>
                <w:rFonts w:ascii="Cambria" w:hAnsi="Cambria"/>
                <w:sz w:val="24"/>
                <w:szCs w:val="24"/>
                <w:lang w:bidi="hi-IN"/>
              </w:rPr>
              <w:t>2022</w:t>
            </w:r>
          </w:p>
        </w:tc>
        <w:tc>
          <w:tcPr>
            <w:tcW w:w="4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6E69A" w14:textId="77777777" w:rsidR="003E6EAD" w:rsidRDefault="003A4514">
            <w:pPr>
              <w:spacing w:before="120" w:after="120" w:line="240" w:lineRule="auto"/>
              <w:jc w:val="center"/>
            </w:pPr>
            <w:r>
              <w:rPr>
                <w:rFonts w:ascii="Cambria" w:hAnsi="Cambria"/>
                <w:noProof/>
                <w:sz w:val="24"/>
                <w:szCs w:val="24"/>
                <w:lang w:bidi="hi-IN"/>
              </w:rPr>
              <w:drawing>
                <wp:inline distT="0" distB="0" distL="0" distR="0" wp14:anchorId="579977C4" wp14:editId="35947F95">
                  <wp:extent cx="3006373" cy="1718879"/>
                  <wp:effectExtent l="0" t="0" r="3527" b="0"/>
                  <wp:docPr id="746631938"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006373" cy="1718879"/>
                          </a:xfrm>
                          <a:prstGeom prst="rect">
                            <a:avLst/>
                          </a:prstGeom>
                          <a:noFill/>
                          <a:ln>
                            <a:noFill/>
                            <a:prstDash/>
                          </a:ln>
                        </pic:spPr>
                      </pic:pic>
                    </a:graphicData>
                  </a:graphic>
                </wp:inline>
              </w:drawing>
            </w:r>
            <w:r>
              <w:rPr>
                <w:rFonts w:ascii="Cambria" w:hAnsi="Cambria"/>
                <w:sz w:val="24"/>
                <w:szCs w:val="24"/>
                <w:lang w:bidi="hi-IN"/>
              </w:rPr>
              <w:t>2030</w:t>
            </w:r>
          </w:p>
        </w:tc>
      </w:tr>
    </w:tbl>
    <w:p w14:paraId="3F0A596A" w14:textId="4DB0D5FD" w:rsidR="003E6EAD" w:rsidRDefault="003A4514">
      <w:pPr>
        <w:spacing w:before="120" w:after="120" w:line="240" w:lineRule="auto"/>
        <w:jc w:val="center"/>
      </w:pPr>
      <w:r>
        <w:rPr>
          <w:rFonts w:ascii="Cambria" w:hAnsi="Cambria"/>
          <w:b/>
          <w:bCs/>
          <w:sz w:val="24"/>
          <w:szCs w:val="24"/>
        </w:rPr>
        <w:t>2.attēls. Latvijas SEG emisiju sadalījums ES ETS/ne-ETS griezumā 2022. un 2030. gadā</w:t>
      </w:r>
      <w:r w:rsidR="00A012D8">
        <w:rPr>
          <w:rFonts w:ascii="Cambria" w:hAnsi="Cambria"/>
          <w:b/>
          <w:bCs/>
          <w:sz w:val="24"/>
          <w:szCs w:val="24"/>
        </w:rPr>
        <w:t xml:space="preserve"> WEM scenārijā</w:t>
      </w:r>
      <w:r>
        <w:rPr>
          <w:rFonts w:ascii="Cambria" w:hAnsi="Cambria"/>
          <w:b/>
          <w:bCs/>
          <w:sz w:val="24"/>
          <w:szCs w:val="24"/>
        </w:rPr>
        <w:t xml:space="preserve"> (neskaitot ZIZIMM)</w:t>
      </w:r>
      <w:r>
        <w:rPr>
          <w:rStyle w:val="FootnoteReference"/>
          <w:rFonts w:ascii="Cambria" w:hAnsi="Cambria"/>
          <w:b/>
          <w:bCs/>
          <w:sz w:val="24"/>
          <w:szCs w:val="24"/>
        </w:rPr>
        <w:footnoteReference w:id="53"/>
      </w:r>
      <w:r>
        <w:rPr>
          <w:rFonts w:ascii="Cambria" w:hAnsi="Cambria"/>
          <w:sz w:val="24"/>
          <w:szCs w:val="24"/>
        </w:rPr>
        <w:br/>
      </w:r>
    </w:p>
    <w:p w14:paraId="0B150716" w14:textId="77777777" w:rsidR="003E6EAD" w:rsidRDefault="003A4514">
      <w:pPr>
        <w:spacing w:before="120" w:after="120" w:line="240" w:lineRule="auto"/>
        <w:ind w:firstLine="567"/>
      </w:pPr>
      <w:r>
        <w:rPr>
          <w:rFonts w:ascii="Cambria" w:hAnsi="Cambria"/>
          <w:i/>
          <w:iCs/>
          <w:sz w:val="24"/>
          <w:szCs w:val="24"/>
        </w:rPr>
        <w:lastRenderedPageBreak/>
        <w:t>ES ETS Latvijā</w:t>
      </w:r>
    </w:p>
    <w:p w14:paraId="40BD86B9"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Latvijas ES ETS operatoru iekārtu radītais SEG emisiju apjoms 2022. gadā bija – </w:t>
      </w:r>
      <w:r w:rsidRPr="5B9FE7F0">
        <w:rPr>
          <w:rFonts w:ascii="Cambria" w:eastAsia="Cambria" w:hAnsi="Cambria" w:cs="Cambria"/>
          <w:sz w:val="24"/>
          <w:szCs w:val="24"/>
        </w:rPr>
        <w:t>1690,0</w:t>
      </w:r>
      <w:r w:rsidRPr="5B9FE7F0">
        <w:rPr>
          <w:rFonts w:ascii="Cambria" w:hAnsi="Cambria"/>
          <w:sz w:val="24"/>
          <w:szCs w:val="24"/>
        </w:rPr>
        <w:t xml:space="preserve"> kt CO</w:t>
      </w:r>
      <w:r w:rsidRPr="5B9FE7F0">
        <w:rPr>
          <w:rFonts w:ascii="Cambria" w:hAnsi="Cambria"/>
          <w:sz w:val="24"/>
          <w:szCs w:val="24"/>
          <w:vertAlign w:val="subscript"/>
        </w:rPr>
        <w:t>2</w:t>
      </w:r>
      <w:r w:rsidRPr="5B9FE7F0">
        <w:rPr>
          <w:rFonts w:ascii="Cambria" w:hAnsi="Cambria"/>
          <w:sz w:val="24"/>
          <w:szCs w:val="24"/>
        </w:rPr>
        <w:t xml:space="preserve"> ekv., bet 2023. gadā –</w:t>
      </w:r>
      <w:r w:rsidRPr="5B9FE7F0">
        <w:rPr>
          <w:rFonts w:ascii="Cambria" w:hAnsi="Cambria"/>
          <w:color w:val="FF0000"/>
          <w:sz w:val="24"/>
          <w:szCs w:val="24"/>
        </w:rPr>
        <w:t xml:space="preserve"> </w:t>
      </w:r>
      <w:r w:rsidRPr="5B9FE7F0">
        <w:rPr>
          <w:rFonts w:ascii="Cambria" w:eastAsia="Cambria" w:hAnsi="Cambria" w:cs="Cambria"/>
          <w:sz w:val="24"/>
          <w:szCs w:val="24"/>
        </w:rPr>
        <w:t>1739,1</w:t>
      </w:r>
      <w:r w:rsidRPr="5B9FE7F0">
        <w:rPr>
          <w:rFonts w:ascii="Cambria" w:hAnsi="Cambria"/>
          <w:sz w:val="24"/>
          <w:szCs w:val="24"/>
        </w:rPr>
        <w:t xml:space="preserve"> kt CO</w:t>
      </w:r>
      <w:r w:rsidRPr="5B9FE7F0">
        <w:rPr>
          <w:rFonts w:ascii="Cambria" w:hAnsi="Cambria"/>
          <w:sz w:val="24"/>
          <w:szCs w:val="24"/>
          <w:vertAlign w:val="subscript"/>
        </w:rPr>
        <w:t>2</w:t>
      </w:r>
      <w:r w:rsidRPr="5B9FE7F0">
        <w:rPr>
          <w:rFonts w:ascii="Cambria" w:hAnsi="Cambria"/>
          <w:sz w:val="24"/>
          <w:szCs w:val="24"/>
        </w:rPr>
        <w:t xml:space="preserve"> ekv. jeb 17,4 % no kopējā Latvijas SEG emisiju apjoma (11,7 % enerģētikas sektors un 5,7 % RPPI).</w:t>
      </w:r>
      <w:r w:rsidRPr="5B9FE7F0">
        <w:rPr>
          <w:rFonts w:ascii="Cambria" w:hAnsi="Cambria"/>
        </w:rPr>
        <w:t xml:space="preserve"> </w:t>
      </w:r>
      <w:r w:rsidRPr="5B9FE7F0">
        <w:rPr>
          <w:rFonts w:ascii="Cambria" w:hAnsi="Cambria"/>
          <w:sz w:val="24"/>
          <w:szCs w:val="24"/>
        </w:rPr>
        <w:t>Salīdzinot ar 2005. gadu, Latvijas ES ETS SEG emisijas 2022.  un 2023. gadā samazinājušās attiecīgi par 40,8 % un 39,1 %, savukārt 2023. gadā salīdzinot ar 2022. gadu pieaugušas par 2,9 %,  skatīt 3. attēlā.</w:t>
      </w:r>
    </w:p>
    <w:p w14:paraId="41E635BB" w14:textId="77777777" w:rsidR="003E6EAD" w:rsidRDefault="003A4514">
      <w:pPr>
        <w:spacing w:before="80" w:after="80" w:line="240" w:lineRule="auto"/>
        <w:ind w:firstLine="720"/>
        <w:jc w:val="center"/>
      </w:pPr>
      <w:r>
        <w:rPr>
          <w:noProof/>
        </w:rPr>
        <w:drawing>
          <wp:inline distT="0" distB="0" distL="0" distR="0" wp14:anchorId="1CEF47C1" wp14:editId="22A07BAD">
            <wp:extent cx="4933956" cy="2971800"/>
            <wp:effectExtent l="0" t="0" r="0" b="0"/>
            <wp:docPr id="2059760257" name="Picture 1592574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33956" cy="2971800"/>
                    </a:xfrm>
                    <a:prstGeom prst="rect">
                      <a:avLst/>
                    </a:prstGeom>
                    <a:noFill/>
                    <a:ln>
                      <a:noFill/>
                      <a:prstDash/>
                    </a:ln>
                  </pic:spPr>
                </pic:pic>
              </a:graphicData>
            </a:graphic>
          </wp:inline>
        </w:drawing>
      </w:r>
    </w:p>
    <w:p w14:paraId="37A82E8F" w14:textId="06D61601" w:rsidR="003E6EAD" w:rsidRDefault="003A4514" w:rsidP="5B9FE7F0">
      <w:pPr>
        <w:spacing w:before="120" w:after="120" w:line="240" w:lineRule="auto"/>
        <w:ind w:firstLine="720"/>
        <w:jc w:val="center"/>
        <w:rPr>
          <w:rFonts w:ascii="Cambria" w:hAnsi="Cambria"/>
          <w:b/>
          <w:bCs/>
          <w:sz w:val="24"/>
          <w:szCs w:val="24"/>
        </w:rPr>
      </w:pPr>
      <w:r w:rsidRPr="5B9FE7F0">
        <w:rPr>
          <w:rFonts w:ascii="Cambria" w:hAnsi="Cambria"/>
          <w:b/>
          <w:bCs/>
          <w:sz w:val="24"/>
          <w:szCs w:val="24"/>
        </w:rPr>
        <w:t>3. attēls.  Latvijas ES ETS SEG emisijas 2005. – 2030. gadam</w:t>
      </w:r>
      <w:r w:rsidR="00F0776E">
        <w:rPr>
          <w:rFonts w:ascii="Cambria" w:hAnsi="Cambria"/>
          <w:b/>
          <w:bCs/>
          <w:sz w:val="24"/>
          <w:szCs w:val="24"/>
        </w:rPr>
        <w:t xml:space="preserve"> WEM scenārijā</w:t>
      </w:r>
      <w:r w:rsidRPr="5B9FE7F0">
        <w:rPr>
          <w:rFonts w:ascii="Cambria" w:hAnsi="Cambria"/>
          <w:b/>
          <w:bCs/>
          <w:sz w:val="24"/>
          <w:szCs w:val="24"/>
        </w:rPr>
        <w:t xml:space="preserve"> (kt CO</w:t>
      </w:r>
      <w:r w:rsidRPr="5B9FE7F0">
        <w:rPr>
          <w:rFonts w:ascii="Cambria" w:hAnsi="Cambria"/>
          <w:b/>
          <w:bCs/>
          <w:sz w:val="24"/>
          <w:szCs w:val="24"/>
          <w:vertAlign w:val="subscript"/>
        </w:rPr>
        <w:t>2</w:t>
      </w:r>
      <w:r w:rsidRPr="5B9FE7F0">
        <w:rPr>
          <w:rFonts w:ascii="Cambria" w:hAnsi="Cambria"/>
          <w:b/>
          <w:bCs/>
          <w:sz w:val="24"/>
          <w:szCs w:val="24"/>
        </w:rPr>
        <w:t xml:space="preserve"> ekv.)</w:t>
      </w:r>
    </w:p>
    <w:p w14:paraId="4A0F05CE" w14:textId="77777777" w:rsidR="003E6EAD" w:rsidRDefault="003E6EAD">
      <w:pPr>
        <w:spacing w:before="120" w:after="120" w:line="240" w:lineRule="auto"/>
        <w:ind w:firstLine="567"/>
        <w:jc w:val="both"/>
        <w:rPr>
          <w:rFonts w:ascii="Cambria" w:hAnsi="Cambria"/>
          <w:i/>
          <w:iCs/>
          <w:sz w:val="24"/>
          <w:szCs w:val="24"/>
        </w:rPr>
      </w:pPr>
    </w:p>
    <w:p w14:paraId="3D5E9238" w14:textId="77777777" w:rsidR="003E6EAD" w:rsidRDefault="003A4514">
      <w:pPr>
        <w:spacing w:before="120" w:after="120" w:line="240" w:lineRule="auto"/>
        <w:ind w:firstLine="567"/>
        <w:jc w:val="both"/>
      </w:pPr>
      <w:r>
        <w:rPr>
          <w:rFonts w:ascii="Cambria" w:hAnsi="Cambria"/>
          <w:i/>
          <w:iCs/>
          <w:sz w:val="24"/>
          <w:szCs w:val="24"/>
        </w:rPr>
        <w:t>Ne-ETS darbības</w:t>
      </w:r>
    </w:p>
    <w:p w14:paraId="701C34C6" w14:textId="77777777" w:rsidR="003E6EAD" w:rsidRDefault="003A4514">
      <w:pPr>
        <w:spacing w:before="120" w:after="120" w:line="240" w:lineRule="auto"/>
        <w:ind w:firstLine="567"/>
        <w:jc w:val="both"/>
      </w:pPr>
      <w:r>
        <w:rPr>
          <w:rFonts w:ascii="Cambria" w:hAnsi="Cambria"/>
          <w:sz w:val="24"/>
          <w:szCs w:val="24"/>
        </w:rPr>
        <w:t>SEG emisiju aprēķins ne-ETS sektoram tiek veikts izmantojot EK noteikto formulu – kopējais valsts SEG emisiju apjoms mīnus ES ETS operatoru verificētais CO</w:t>
      </w:r>
      <w:r>
        <w:rPr>
          <w:rFonts w:ascii="Cambria" w:hAnsi="Cambria"/>
          <w:sz w:val="24"/>
          <w:szCs w:val="24"/>
          <w:vertAlign w:val="subscript"/>
        </w:rPr>
        <w:t>2</w:t>
      </w:r>
      <w:r>
        <w:rPr>
          <w:rFonts w:ascii="Cambria" w:hAnsi="Cambria"/>
          <w:sz w:val="24"/>
          <w:szCs w:val="24"/>
        </w:rPr>
        <w:t xml:space="preserve"> emisiju apjoms mīnus iekšzemes gaisa transporta oglekļa dioksīda emisiju apjoms. </w:t>
      </w:r>
    </w:p>
    <w:p w14:paraId="7BAA17DE" w14:textId="6D4B0720" w:rsidR="003E6EAD" w:rsidRPr="00AB5395" w:rsidRDefault="003A4514" w:rsidP="00AB5395">
      <w:pPr>
        <w:spacing w:before="120" w:after="120" w:line="240" w:lineRule="auto"/>
        <w:ind w:firstLine="567"/>
        <w:jc w:val="both"/>
        <w:rPr>
          <w:rFonts w:ascii="Cambria" w:hAnsi="Cambria"/>
          <w:sz w:val="24"/>
          <w:szCs w:val="24"/>
        </w:rPr>
      </w:pPr>
      <w:r w:rsidRPr="00AB5395">
        <w:rPr>
          <w:rFonts w:ascii="Cambria" w:hAnsi="Cambria"/>
          <w:b/>
          <w:bCs/>
          <w:sz w:val="24"/>
          <w:szCs w:val="24"/>
        </w:rPr>
        <w:t>Ne-ETS</w:t>
      </w:r>
      <w:r w:rsidR="007D7723">
        <w:rPr>
          <w:rFonts w:ascii="Cambria" w:hAnsi="Cambria"/>
          <w:b/>
          <w:bCs/>
          <w:sz w:val="24"/>
          <w:szCs w:val="24"/>
        </w:rPr>
        <w:t xml:space="preserve"> sektor</w:t>
      </w:r>
      <w:r w:rsidR="007B7FAE">
        <w:rPr>
          <w:rFonts w:ascii="Cambria" w:hAnsi="Cambria"/>
          <w:b/>
          <w:bCs/>
          <w:sz w:val="24"/>
          <w:szCs w:val="24"/>
        </w:rPr>
        <w:t>u</w:t>
      </w:r>
      <w:r w:rsidRPr="1349CB80">
        <w:rPr>
          <w:rFonts w:ascii="Cambria" w:hAnsi="Cambria"/>
          <w:sz w:val="24"/>
          <w:szCs w:val="24"/>
        </w:rPr>
        <w:t xml:space="preserve"> SEG emisiju dinamika </w:t>
      </w:r>
      <w:r w:rsidR="007D7723">
        <w:rPr>
          <w:rFonts w:ascii="Cambria" w:hAnsi="Cambria"/>
          <w:sz w:val="24"/>
          <w:szCs w:val="24"/>
        </w:rPr>
        <w:t xml:space="preserve"> atspoguļota </w:t>
      </w:r>
      <w:r w:rsidRPr="1349CB80">
        <w:rPr>
          <w:rFonts w:ascii="Cambria" w:hAnsi="Cambria"/>
          <w:sz w:val="24"/>
          <w:szCs w:val="24"/>
        </w:rPr>
        <w:t>4. attēl</w:t>
      </w:r>
      <w:r w:rsidR="007D7723">
        <w:rPr>
          <w:rFonts w:ascii="Cambria" w:hAnsi="Cambria"/>
          <w:sz w:val="24"/>
          <w:szCs w:val="24"/>
        </w:rPr>
        <w:t>ā</w:t>
      </w:r>
      <w:r w:rsidR="007B7FAE">
        <w:rPr>
          <w:rFonts w:ascii="Cambria" w:hAnsi="Cambria"/>
          <w:sz w:val="24"/>
          <w:szCs w:val="24"/>
        </w:rPr>
        <w:t xml:space="preserve">. </w:t>
      </w:r>
      <w:r>
        <w:rPr>
          <w:rFonts w:ascii="Cambria" w:hAnsi="Cambria"/>
          <w:sz w:val="24"/>
          <w:szCs w:val="24"/>
        </w:rPr>
        <w:t xml:space="preserve">Laikā no 2005. līdz 2022. gadam </w:t>
      </w:r>
      <w:r w:rsidR="007D7723">
        <w:rPr>
          <w:rFonts w:ascii="Cambria" w:hAnsi="Cambria"/>
          <w:sz w:val="24"/>
          <w:szCs w:val="24"/>
        </w:rPr>
        <w:t xml:space="preserve">ne - ETS sektora </w:t>
      </w:r>
      <w:r>
        <w:rPr>
          <w:rFonts w:ascii="Cambria" w:hAnsi="Cambria"/>
          <w:sz w:val="24"/>
          <w:szCs w:val="24"/>
        </w:rPr>
        <w:t xml:space="preserve">emisijas palielinājās par 3,1 %, ko galvenokārt veicināja </w:t>
      </w:r>
      <w:r w:rsidR="00DF7C50">
        <w:rPr>
          <w:rFonts w:ascii="Cambria" w:hAnsi="Cambria"/>
          <w:sz w:val="24"/>
          <w:szCs w:val="24"/>
        </w:rPr>
        <w:t xml:space="preserve">SEG </w:t>
      </w:r>
      <w:r>
        <w:rPr>
          <w:rFonts w:ascii="Cambria" w:hAnsi="Cambria"/>
          <w:sz w:val="24"/>
          <w:szCs w:val="24"/>
        </w:rPr>
        <w:t>emisiju pieaugums lauksaimniecības sektorā.</w:t>
      </w:r>
      <w:r w:rsidR="00FF1401">
        <w:rPr>
          <w:rFonts w:ascii="Cambria" w:hAnsi="Cambria"/>
          <w:sz w:val="24"/>
          <w:szCs w:val="24"/>
        </w:rPr>
        <w:t xml:space="preserve"> </w:t>
      </w:r>
      <w:r w:rsidRPr="00AB5395">
        <w:rPr>
          <w:rFonts w:ascii="Cambria" w:hAnsi="Cambria"/>
          <w:sz w:val="24"/>
          <w:szCs w:val="24"/>
        </w:rPr>
        <w:t>Periodā no 2005. līdz 2023. gadam</w:t>
      </w:r>
      <w:r w:rsidR="007D7723">
        <w:rPr>
          <w:rFonts w:ascii="Cambria" w:hAnsi="Cambria"/>
          <w:sz w:val="24"/>
          <w:szCs w:val="24"/>
        </w:rPr>
        <w:t xml:space="preserve"> </w:t>
      </w:r>
      <w:r w:rsidR="007D7723" w:rsidRPr="007D7723">
        <w:rPr>
          <w:rFonts w:ascii="Cambria" w:hAnsi="Cambria"/>
          <w:sz w:val="24"/>
          <w:szCs w:val="24"/>
        </w:rPr>
        <w:t>ne - ETS sektora</w:t>
      </w:r>
      <w:r w:rsidRPr="00AB5395">
        <w:rPr>
          <w:rFonts w:ascii="Cambria" w:hAnsi="Cambria"/>
          <w:sz w:val="24"/>
          <w:szCs w:val="24"/>
        </w:rPr>
        <w:t xml:space="preserve"> emisijas palielinājās par 0,7 %, kas norāda uz nedaudz mazāku pieaugumu nekā iepriekšējā periodā.</w:t>
      </w:r>
    </w:p>
    <w:p w14:paraId="2F5BABC5" w14:textId="04C5DD08" w:rsidR="003E6EAD" w:rsidRPr="00AB5395" w:rsidRDefault="003A4514" w:rsidP="007B7FAE">
      <w:pPr>
        <w:spacing w:before="120" w:after="120" w:line="240" w:lineRule="auto"/>
        <w:ind w:firstLine="567"/>
        <w:jc w:val="both"/>
        <w:rPr>
          <w:rFonts w:ascii="Cambria" w:hAnsi="Cambria"/>
          <w:sz w:val="24"/>
          <w:szCs w:val="24"/>
        </w:rPr>
      </w:pPr>
      <w:r w:rsidRPr="00AB5395">
        <w:rPr>
          <w:rFonts w:ascii="Cambria" w:hAnsi="Cambria"/>
          <w:sz w:val="24"/>
          <w:szCs w:val="24"/>
        </w:rPr>
        <w:t xml:space="preserve">Prognozētais </w:t>
      </w:r>
      <w:r w:rsidR="007D7723" w:rsidRPr="007D7723">
        <w:rPr>
          <w:rFonts w:ascii="Cambria" w:hAnsi="Cambria"/>
          <w:sz w:val="24"/>
          <w:szCs w:val="24"/>
        </w:rPr>
        <w:t>ne - ETS sektora emisij</w:t>
      </w:r>
      <w:r w:rsidR="007D7723">
        <w:rPr>
          <w:rFonts w:ascii="Cambria" w:hAnsi="Cambria"/>
          <w:sz w:val="24"/>
          <w:szCs w:val="24"/>
        </w:rPr>
        <w:t>u</w:t>
      </w:r>
      <w:r w:rsidR="007D7723" w:rsidRPr="007D7723">
        <w:rPr>
          <w:rFonts w:ascii="Cambria" w:hAnsi="Cambria"/>
          <w:sz w:val="24"/>
          <w:szCs w:val="24"/>
        </w:rPr>
        <w:t xml:space="preserve"> </w:t>
      </w:r>
      <w:r w:rsidRPr="00AB5395">
        <w:rPr>
          <w:rFonts w:ascii="Cambria" w:hAnsi="Cambria"/>
          <w:sz w:val="24"/>
          <w:szCs w:val="24"/>
        </w:rPr>
        <w:t>samazinājums periodā no 2005. līdz 2030. gadam ir 7,7 %, pateicoties enerģētikas, transporta un atkritumu apsaimniekošanas sektoru emisiju samazinājumam, ko veicinās plānotās politikas un tehnoloģiskās izmaiņas.</w:t>
      </w:r>
    </w:p>
    <w:p w14:paraId="6AD967DA" w14:textId="3AD5D108" w:rsidR="003E6EAD" w:rsidRDefault="003A4514" w:rsidP="00B303AF">
      <w:pPr>
        <w:spacing w:before="120" w:after="120" w:line="240" w:lineRule="auto"/>
        <w:ind w:firstLine="567"/>
        <w:jc w:val="both"/>
        <w:rPr>
          <w:rFonts w:ascii="Cambria" w:hAnsi="Cambria"/>
          <w:sz w:val="24"/>
          <w:szCs w:val="24"/>
        </w:rPr>
      </w:pPr>
      <w:r w:rsidRPr="5B9FE7F0">
        <w:rPr>
          <w:rFonts w:ascii="Cambria" w:hAnsi="Cambria"/>
          <w:sz w:val="24"/>
          <w:szCs w:val="24"/>
        </w:rPr>
        <w:t xml:space="preserve">Lai gan pozitīvas izmaiņas ir redzamas vairākos sektoros, </w:t>
      </w:r>
      <w:r w:rsidRPr="5B9FE7F0">
        <w:rPr>
          <w:rFonts w:ascii="Cambria" w:hAnsi="Cambria"/>
          <w:b/>
          <w:bCs/>
          <w:sz w:val="24"/>
          <w:szCs w:val="24"/>
        </w:rPr>
        <w:t>izaicinājumi joprojām ir saistīti ar novērojamo</w:t>
      </w:r>
      <w:r w:rsidR="3A0DB68F" w:rsidRPr="5B9FE7F0">
        <w:rPr>
          <w:rFonts w:ascii="Cambria" w:hAnsi="Cambria"/>
          <w:b/>
          <w:bCs/>
          <w:sz w:val="24"/>
          <w:szCs w:val="24"/>
        </w:rPr>
        <w:t xml:space="preserve"> un </w:t>
      </w:r>
      <w:r w:rsidR="00DF7C50">
        <w:rPr>
          <w:rFonts w:ascii="Cambria" w:hAnsi="Cambria"/>
          <w:b/>
          <w:bCs/>
          <w:sz w:val="24"/>
          <w:szCs w:val="24"/>
        </w:rPr>
        <w:t xml:space="preserve">arī </w:t>
      </w:r>
      <w:r w:rsidR="3A0DB68F" w:rsidRPr="5B9FE7F0">
        <w:rPr>
          <w:rFonts w:ascii="Cambria" w:hAnsi="Cambria"/>
          <w:b/>
          <w:bCs/>
          <w:sz w:val="24"/>
          <w:szCs w:val="24"/>
        </w:rPr>
        <w:t>prognozēto</w:t>
      </w:r>
      <w:r w:rsidRPr="5B9FE7F0">
        <w:rPr>
          <w:rFonts w:ascii="Cambria" w:hAnsi="Cambria"/>
          <w:b/>
          <w:bCs/>
          <w:sz w:val="24"/>
          <w:szCs w:val="24"/>
        </w:rPr>
        <w:t xml:space="preserve"> </w:t>
      </w:r>
      <w:r w:rsidR="00DF7C50">
        <w:rPr>
          <w:rFonts w:ascii="Cambria" w:hAnsi="Cambria"/>
          <w:b/>
          <w:bCs/>
          <w:sz w:val="24"/>
          <w:szCs w:val="24"/>
        </w:rPr>
        <w:t xml:space="preserve">SEG </w:t>
      </w:r>
      <w:r w:rsidRPr="5B9FE7F0">
        <w:rPr>
          <w:rFonts w:ascii="Cambria" w:hAnsi="Cambria"/>
          <w:b/>
          <w:bCs/>
          <w:sz w:val="24"/>
          <w:szCs w:val="24"/>
        </w:rPr>
        <w:t>emisiju pieaugumu</w:t>
      </w:r>
      <w:r w:rsidR="5C990DD7" w:rsidRPr="5B9FE7F0">
        <w:rPr>
          <w:rFonts w:ascii="Cambria" w:hAnsi="Cambria"/>
          <w:b/>
          <w:bCs/>
          <w:sz w:val="24"/>
          <w:szCs w:val="24"/>
        </w:rPr>
        <w:t xml:space="preserve"> </w:t>
      </w:r>
      <w:r w:rsidR="5C990DD7" w:rsidRPr="5B9FE7F0">
        <w:rPr>
          <w:rFonts w:ascii="Cambria" w:hAnsi="Cambria"/>
          <w:sz w:val="24"/>
          <w:szCs w:val="24"/>
        </w:rPr>
        <w:t>citos sektoros</w:t>
      </w:r>
      <w:r w:rsidR="6AA4AEFC" w:rsidRPr="5B9FE7F0">
        <w:rPr>
          <w:rFonts w:ascii="Cambria" w:hAnsi="Cambria"/>
          <w:sz w:val="24"/>
          <w:szCs w:val="24"/>
        </w:rPr>
        <w:t xml:space="preserve">, </w:t>
      </w:r>
      <w:r w:rsidR="26A1149C" w:rsidRPr="5B9FE7F0">
        <w:rPr>
          <w:rFonts w:ascii="Cambria" w:hAnsi="Cambria"/>
          <w:sz w:val="24"/>
          <w:szCs w:val="24"/>
        </w:rPr>
        <w:t xml:space="preserve">piemēram, </w:t>
      </w:r>
      <w:r w:rsidR="0E2CB396" w:rsidRPr="5B9FE7F0">
        <w:rPr>
          <w:rFonts w:ascii="Cambria" w:hAnsi="Cambria"/>
          <w:b/>
          <w:bCs/>
          <w:sz w:val="24"/>
          <w:szCs w:val="24"/>
        </w:rPr>
        <w:t>lauksaimniecības sektorā</w:t>
      </w:r>
      <w:r w:rsidR="18B4C531" w:rsidRPr="5B9FE7F0">
        <w:rPr>
          <w:rFonts w:ascii="Cambria" w:hAnsi="Cambria"/>
          <w:b/>
          <w:bCs/>
          <w:sz w:val="24"/>
          <w:szCs w:val="24"/>
        </w:rPr>
        <w:t>,</w:t>
      </w:r>
      <w:r w:rsidR="0E2CB396" w:rsidRPr="5B9FE7F0">
        <w:rPr>
          <w:rFonts w:ascii="Cambria" w:hAnsi="Cambria"/>
          <w:b/>
          <w:bCs/>
          <w:sz w:val="24"/>
          <w:szCs w:val="24"/>
        </w:rPr>
        <w:t xml:space="preserve"> </w:t>
      </w:r>
      <w:r w:rsidR="6AA4AEFC" w:rsidRPr="5B9FE7F0">
        <w:rPr>
          <w:rFonts w:ascii="Cambria" w:hAnsi="Cambria"/>
          <w:sz w:val="24"/>
          <w:szCs w:val="24"/>
        </w:rPr>
        <w:t>k</w:t>
      </w:r>
      <w:r w:rsidR="02746420" w:rsidRPr="5B9FE7F0">
        <w:rPr>
          <w:rFonts w:ascii="Cambria" w:hAnsi="Cambria"/>
          <w:sz w:val="24"/>
          <w:szCs w:val="24"/>
        </w:rPr>
        <w:t>am ir būtiska loma pārtikas nodrošinājum</w:t>
      </w:r>
      <w:r w:rsidR="3A0DB68F" w:rsidRPr="5B9FE7F0">
        <w:rPr>
          <w:rFonts w:ascii="Cambria" w:hAnsi="Cambria"/>
          <w:sz w:val="24"/>
          <w:szCs w:val="24"/>
        </w:rPr>
        <w:t>ā.</w:t>
      </w:r>
      <w:r w:rsidRPr="5B9FE7F0">
        <w:rPr>
          <w:rFonts w:ascii="Cambria" w:hAnsi="Cambria"/>
          <w:sz w:val="24"/>
          <w:szCs w:val="24"/>
        </w:rPr>
        <w:t xml:space="preserve"> Lai sasniegtu klimatneitralitātes mērķus, šiem sektoriem nepieciešama papildu uzmanība un pastiprināti pasākumi.</w:t>
      </w:r>
    </w:p>
    <w:p w14:paraId="3171F462" w14:textId="77777777" w:rsidR="003E6EAD" w:rsidRDefault="003A4514">
      <w:pPr>
        <w:keepNext/>
        <w:spacing w:before="120" w:after="120" w:line="240" w:lineRule="auto"/>
        <w:ind w:firstLine="567"/>
        <w:jc w:val="center"/>
      </w:pPr>
      <w:r>
        <w:rPr>
          <w:noProof/>
        </w:rPr>
        <w:lastRenderedPageBreak/>
        <w:drawing>
          <wp:inline distT="0" distB="0" distL="0" distR="0" wp14:anchorId="01B5570C" wp14:editId="24D90781">
            <wp:extent cx="5410203" cy="3996961"/>
            <wp:effectExtent l="0" t="0" r="0" b="3539"/>
            <wp:docPr id="1047002962" name="Picture 19252033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10203" cy="3996961"/>
                    </a:xfrm>
                    <a:prstGeom prst="rect">
                      <a:avLst/>
                    </a:prstGeom>
                    <a:noFill/>
                    <a:ln>
                      <a:noFill/>
                      <a:prstDash/>
                    </a:ln>
                  </pic:spPr>
                </pic:pic>
              </a:graphicData>
            </a:graphic>
          </wp:inline>
        </w:drawing>
      </w:r>
    </w:p>
    <w:p w14:paraId="7BB91383" w14:textId="27F7ECC6" w:rsidR="003E6EAD" w:rsidRDefault="003A4514" w:rsidP="5B9FE7F0">
      <w:pPr>
        <w:spacing w:before="120" w:after="120" w:line="240" w:lineRule="auto"/>
        <w:jc w:val="center"/>
      </w:pPr>
      <w:bookmarkStart w:id="35" w:name="_Hlk179473580"/>
      <w:r w:rsidRPr="5B9FE7F0">
        <w:rPr>
          <w:rFonts w:ascii="Cambria" w:eastAsia="Times New Roman" w:hAnsi="Cambria"/>
          <w:b/>
          <w:bCs/>
          <w:sz w:val="24"/>
          <w:szCs w:val="24"/>
        </w:rPr>
        <w:t xml:space="preserve">4. attēls. Ne-ETS darbību </w:t>
      </w:r>
      <w:r w:rsidRPr="5B9FE7F0">
        <w:rPr>
          <w:rFonts w:ascii="Cambria" w:hAnsi="Cambria"/>
          <w:b/>
          <w:bCs/>
          <w:sz w:val="24"/>
          <w:szCs w:val="24"/>
        </w:rPr>
        <w:t>SEG emisijas 2005. – 2030. gadam</w:t>
      </w:r>
      <w:bookmarkEnd w:id="35"/>
      <w:r w:rsidR="00F0776E">
        <w:rPr>
          <w:rFonts w:ascii="Cambria" w:hAnsi="Cambria"/>
          <w:b/>
          <w:bCs/>
          <w:sz w:val="24"/>
          <w:szCs w:val="24"/>
        </w:rPr>
        <w:t xml:space="preserve"> WEM scenārijā</w:t>
      </w:r>
      <w:r w:rsidRPr="5B9FE7F0">
        <w:rPr>
          <w:rFonts w:ascii="Cambria" w:hAnsi="Cambria"/>
          <w:b/>
          <w:bCs/>
          <w:sz w:val="24"/>
          <w:szCs w:val="24"/>
        </w:rPr>
        <w:t xml:space="preserve"> (kt CO</w:t>
      </w:r>
      <w:r w:rsidRPr="5B9FE7F0">
        <w:rPr>
          <w:rFonts w:ascii="Cambria" w:hAnsi="Cambria"/>
          <w:b/>
          <w:bCs/>
          <w:sz w:val="24"/>
          <w:szCs w:val="24"/>
          <w:vertAlign w:val="subscript"/>
        </w:rPr>
        <w:t>2</w:t>
      </w:r>
      <w:r w:rsidRPr="5B9FE7F0">
        <w:rPr>
          <w:rFonts w:ascii="Cambria" w:hAnsi="Cambria"/>
          <w:b/>
          <w:bCs/>
          <w:sz w:val="24"/>
          <w:szCs w:val="24"/>
        </w:rPr>
        <w:t xml:space="preserve"> ekv.)</w:t>
      </w:r>
      <w:r w:rsidRPr="5B9FE7F0">
        <w:rPr>
          <w:rStyle w:val="FootnoteAnchor"/>
          <w:rFonts w:ascii="Cambria" w:hAnsi="Cambria"/>
          <w:b/>
          <w:bCs/>
          <w:sz w:val="24"/>
          <w:szCs w:val="24"/>
        </w:rPr>
        <w:footnoteReference w:id="54"/>
      </w:r>
    </w:p>
    <w:p w14:paraId="062E8679"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 xml:space="preserve">Ne-ETS darbību SEG emisiju īpatsvars 2022. gadā no kopējām ne-ETS emisijām un SEG emisiju izmaiņas 2022., 2023. un 2030. gadā pret 2005. gadu ir apkopotas 3. tabulā. </w:t>
      </w:r>
    </w:p>
    <w:p w14:paraId="41E9896D"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2022. gadā lielāko SEG emisiju īpatsvaru no ne-ETS darbībām veidoja transporta sektors (37,2%) un lauksaimniecības sektors (26,7%).</w:t>
      </w:r>
    </w:p>
    <w:p w14:paraId="374A00A7" w14:textId="77777777" w:rsidR="003E6EAD" w:rsidRDefault="003A4514">
      <w:pPr>
        <w:spacing w:before="120" w:after="120" w:line="240" w:lineRule="auto"/>
        <w:jc w:val="center"/>
      </w:pPr>
      <w:r>
        <w:rPr>
          <w:rFonts w:ascii="Cambria" w:hAnsi="Cambria"/>
          <w:b/>
          <w:bCs/>
          <w:sz w:val="24"/>
          <w:szCs w:val="24"/>
        </w:rPr>
        <w:t>3. tabula. Ne-ETS darbību SEG emisiju īpatsvars 2022. gadā un izmaiņas 2022., 2023. un 2030. gadā</w:t>
      </w:r>
      <w:r>
        <w:rPr>
          <w:rStyle w:val="FootnoteAnchor"/>
          <w:rFonts w:ascii="Cambria" w:hAnsi="Cambria"/>
          <w:b/>
          <w:bCs/>
          <w:sz w:val="24"/>
          <w:szCs w:val="24"/>
        </w:rPr>
        <w:footnoteReference w:id="55"/>
      </w:r>
    </w:p>
    <w:p w14:paraId="2D07C948" w14:textId="77777777" w:rsidR="003E6EAD" w:rsidRDefault="003A4514">
      <w:pPr>
        <w:spacing w:before="120" w:after="120" w:line="240" w:lineRule="auto"/>
        <w:jc w:val="center"/>
      </w:pPr>
      <w:r>
        <w:rPr>
          <w:rFonts w:ascii="Cambria" w:hAnsi="Cambria"/>
          <w:i/>
          <w:iCs/>
          <w:sz w:val="20"/>
          <w:szCs w:val="20"/>
        </w:rPr>
        <w:t>Izmaiņas ar “+” zīmi apzīmē SEG emisiju pieaugumu, bet ar “-“ zīmi SEG emisiju samazinājumu</w:t>
      </w:r>
    </w:p>
    <w:tbl>
      <w:tblPr>
        <w:tblW w:w="9061" w:type="dxa"/>
        <w:tblCellMar>
          <w:left w:w="10" w:type="dxa"/>
          <w:right w:w="10" w:type="dxa"/>
        </w:tblCellMar>
        <w:tblLook w:val="04A0" w:firstRow="1" w:lastRow="0" w:firstColumn="1" w:lastColumn="0" w:noHBand="0" w:noVBand="1"/>
      </w:tblPr>
      <w:tblGrid>
        <w:gridCol w:w="1821"/>
        <w:gridCol w:w="1936"/>
        <w:gridCol w:w="1840"/>
        <w:gridCol w:w="1840"/>
        <w:gridCol w:w="1624"/>
      </w:tblGrid>
      <w:tr w:rsidR="003E6EAD" w14:paraId="286AE510" w14:textId="77777777" w:rsidTr="1349CB80">
        <w:trPr>
          <w:tblHeader/>
        </w:trPr>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C194FE" w14:textId="77777777" w:rsidR="003E6EAD" w:rsidRDefault="003E6EAD">
            <w:pPr>
              <w:tabs>
                <w:tab w:val="left" w:pos="310"/>
              </w:tabs>
              <w:spacing w:before="120" w:after="120" w:line="240" w:lineRule="auto"/>
              <w:jc w:val="both"/>
              <w:rPr>
                <w:rFonts w:ascii="Cambria" w:hAnsi="Cambria"/>
                <w:sz w:val="20"/>
                <w:szCs w:val="20"/>
                <w:lang w:bidi="hi-IN"/>
              </w:rPr>
            </w:pP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7D92D8"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2022. gada īpatsvars no ne-ETS emisijām</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770F49"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Izmaiņas 2022./2005. gadu</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921A72"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Izmaiņas 2023./2005. g.</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7B1D12" w14:textId="77777777" w:rsidR="00B4025E" w:rsidRDefault="00B4025E" w:rsidP="00B4025E">
            <w:pPr>
              <w:tabs>
                <w:tab w:val="left" w:pos="310"/>
              </w:tabs>
              <w:spacing w:after="0" w:line="240" w:lineRule="auto"/>
              <w:jc w:val="center"/>
              <w:rPr>
                <w:rFonts w:ascii="Cambria" w:hAnsi="Cambria"/>
                <w:sz w:val="20"/>
                <w:szCs w:val="20"/>
                <w:lang w:bidi="hi-IN"/>
              </w:rPr>
            </w:pPr>
            <w:r>
              <w:rPr>
                <w:rFonts w:ascii="Cambria" w:hAnsi="Cambria"/>
                <w:sz w:val="20"/>
                <w:szCs w:val="20"/>
                <w:lang w:bidi="hi-IN"/>
              </w:rPr>
              <w:t>Prognozētās</w:t>
            </w:r>
          </w:p>
          <w:p w14:paraId="450D405C" w14:textId="5F63294F" w:rsidR="003E6EAD" w:rsidRDefault="00B4025E" w:rsidP="00B4025E">
            <w:pPr>
              <w:tabs>
                <w:tab w:val="left" w:pos="310"/>
              </w:tabs>
              <w:spacing w:after="0" w:line="240" w:lineRule="auto"/>
              <w:jc w:val="center"/>
              <w:rPr>
                <w:rFonts w:ascii="Cambria" w:hAnsi="Cambria"/>
                <w:sz w:val="20"/>
                <w:szCs w:val="20"/>
                <w:lang w:bidi="hi-IN"/>
              </w:rPr>
            </w:pPr>
            <w:r>
              <w:rPr>
                <w:rFonts w:ascii="Cambria" w:hAnsi="Cambria"/>
                <w:sz w:val="20"/>
                <w:szCs w:val="20"/>
                <w:lang w:bidi="hi-IN"/>
              </w:rPr>
              <w:t>i</w:t>
            </w:r>
            <w:r w:rsidR="003A4514">
              <w:rPr>
                <w:rFonts w:ascii="Cambria" w:hAnsi="Cambria"/>
                <w:sz w:val="20"/>
                <w:szCs w:val="20"/>
                <w:lang w:bidi="hi-IN"/>
              </w:rPr>
              <w:t>zmaiņas 2030./2005. g.</w:t>
            </w:r>
          </w:p>
        </w:tc>
      </w:tr>
      <w:tr w:rsidR="003E6EAD" w14:paraId="76AAAD7E" w14:textId="77777777" w:rsidTr="1349CB80">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E24FE9" w14:textId="77777777" w:rsidR="003E6EAD" w:rsidRDefault="003A4514">
            <w:pPr>
              <w:tabs>
                <w:tab w:val="left" w:pos="310"/>
              </w:tabs>
              <w:spacing w:before="120" w:after="120" w:line="240" w:lineRule="auto"/>
              <w:jc w:val="both"/>
            </w:pPr>
            <w:r>
              <w:rPr>
                <w:rFonts w:ascii="Cambria" w:hAnsi="Cambria"/>
                <w:sz w:val="20"/>
                <w:szCs w:val="20"/>
                <w:lang w:bidi="hi-IN"/>
              </w:rPr>
              <w:t>Transports + netiešās CO</w:t>
            </w:r>
            <w:r>
              <w:rPr>
                <w:rFonts w:ascii="Cambria" w:hAnsi="Cambria"/>
                <w:sz w:val="20"/>
                <w:szCs w:val="20"/>
                <w:vertAlign w:val="subscript"/>
                <w:lang w:bidi="hi-IN"/>
              </w:rPr>
              <w:t>2</w:t>
            </w:r>
            <w:r>
              <w:rPr>
                <w:rFonts w:ascii="Cambria" w:hAnsi="Cambria"/>
                <w:sz w:val="20"/>
                <w:szCs w:val="20"/>
                <w:lang w:bidi="hi-IN"/>
              </w:rPr>
              <w:t xml:space="preserve"> emisijas</w:t>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2060DB"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37,2 %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3088C6"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+0,9 %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FBFE42"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-0,002 %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55D3CA"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-2,4 %</w:t>
            </w:r>
          </w:p>
        </w:tc>
      </w:tr>
      <w:tr w:rsidR="003E6EAD" w14:paraId="1EF8D4A0" w14:textId="77777777" w:rsidTr="1349CB80">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CEB50F" w14:textId="77777777" w:rsidR="003E6EAD" w:rsidRDefault="003A4514">
            <w:pPr>
              <w:tabs>
                <w:tab w:val="left" w:pos="310"/>
              </w:tabs>
              <w:spacing w:before="120" w:after="120" w:line="240" w:lineRule="auto"/>
              <w:jc w:val="both"/>
            </w:pPr>
            <w:r>
              <w:rPr>
                <w:rFonts w:ascii="Cambria" w:hAnsi="Cambria"/>
                <w:sz w:val="20"/>
                <w:szCs w:val="20"/>
                <w:lang w:bidi="hi-IN"/>
              </w:rPr>
              <w:t>Lauksaimniecība</w:t>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04C4B5"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26,7  %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FB3FCD"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+25,9 %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CB729D"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+21,2 %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F8D465" w14:textId="77777777" w:rsidR="003E6EAD" w:rsidRDefault="003A4514">
            <w:pPr>
              <w:tabs>
                <w:tab w:val="left" w:pos="310"/>
              </w:tabs>
              <w:spacing w:before="120" w:after="120" w:line="240" w:lineRule="auto"/>
              <w:jc w:val="center"/>
            </w:pPr>
            <w:r>
              <w:rPr>
                <w:rFonts w:ascii="Cambria" w:hAnsi="Cambria"/>
                <w:sz w:val="20"/>
                <w:szCs w:val="20"/>
                <w:lang w:bidi="hi-IN"/>
              </w:rPr>
              <w:t>+22,5 %</w:t>
            </w:r>
          </w:p>
        </w:tc>
      </w:tr>
      <w:tr w:rsidR="003E6EAD" w14:paraId="5E9D014C" w14:textId="77777777" w:rsidTr="1349CB80">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01BEDD" w14:textId="77777777" w:rsidR="003E6EAD" w:rsidRDefault="003A4514">
            <w:pPr>
              <w:tabs>
                <w:tab w:val="left" w:pos="310"/>
              </w:tabs>
              <w:spacing w:before="120" w:after="120" w:line="240" w:lineRule="auto"/>
              <w:jc w:val="both"/>
            </w:pPr>
            <w:r>
              <w:rPr>
                <w:rFonts w:ascii="Cambria" w:hAnsi="Cambria"/>
                <w:sz w:val="20"/>
                <w:szCs w:val="20"/>
                <w:lang w:bidi="hi-IN"/>
              </w:rPr>
              <w:t xml:space="preserve">Cita ne-ETS enerģētika + </w:t>
            </w:r>
            <w:r>
              <w:rPr>
                <w:rFonts w:ascii="Cambria" w:hAnsi="Cambria"/>
                <w:sz w:val="20"/>
                <w:szCs w:val="20"/>
                <w:lang w:bidi="hi-IN"/>
              </w:rPr>
              <w:lastRenderedPageBreak/>
              <w:t>netiešās CO</w:t>
            </w:r>
            <w:r>
              <w:rPr>
                <w:rFonts w:ascii="Cambria" w:hAnsi="Cambria"/>
                <w:sz w:val="20"/>
                <w:szCs w:val="20"/>
                <w:vertAlign w:val="subscript"/>
                <w:lang w:bidi="hi-IN"/>
              </w:rPr>
              <w:t>2</w:t>
            </w:r>
            <w:r>
              <w:rPr>
                <w:rFonts w:ascii="Cambria" w:hAnsi="Cambria"/>
                <w:sz w:val="20"/>
                <w:szCs w:val="20"/>
                <w:lang w:bidi="hi-IN"/>
              </w:rPr>
              <w:t xml:space="preserve"> emisijas</w:t>
            </w:r>
            <w:r>
              <w:rPr>
                <w:rStyle w:val="FootnoteReference"/>
                <w:rFonts w:ascii="Cambria" w:hAnsi="Cambria"/>
                <w:sz w:val="20"/>
                <w:szCs w:val="20"/>
                <w:lang w:bidi="hi-IN"/>
              </w:rPr>
              <w:footnoteReference w:id="56"/>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0412BB"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lastRenderedPageBreak/>
              <w:t>19,3 %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4F5FBC"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-7,5 %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1873EE"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-10,9 %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2459FD"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-28,1 %</w:t>
            </w:r>
          </w:p>
        </w:tc>
      </w:tr>
      <w:tr w:rsidR="003E6EAD" w14:paraId="5AEDECB1" w14:textId="77777777" w:rsidTr="1349CB80">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4797E7" w14:textId="77777777" w:rsidR="003E6EAD" w:rsidRDefault="003A4514">
            <w:pPr>
              <w:tabs>
                <w:tab w:val="left" w:pos="310"/>
              </w:tabs>
              <w:spacing w:before="120" w:after="120" w:line="240" w:lineRule="auto"/>
              <w:jc w:val="both"/>
            </w:pPr>
            <w:r>
              <w:rPr>
                <w:rFonts w:ascii="Cambria" w:hAnsi="Cambria"/>
                <w:sz w:val="20"/>
                <w:szCs w:val="20"/>
                <w:lang w:bidi="hi-IN"/>
              </w:rPr>
              <w:t>Mājsaimniecības (ne-ETS enerģētika)</w:t>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9B43D8"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6,5 %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86A7E2"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-21,6 %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E37106"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-25,1 %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73F0E8"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-39,0 %</w:t>
            </w:r>
          </w:p>
        </w:tc>
      </w:tr>
      <w:tr w:rsidR="003E6EAD" w14:paraId="29483242" w14:textId="77777777" w:rsidTr="1349CB80">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9E182A" w14:textId="77777777" w:rsidR="003E6EAD" w:rsidRDefault="003A4514">
            <w:pPr>
              <w:tabs>
                <w:tab w:val="left" w:pos="310"/>
              </w:tabs>
              <w:spacing w:before="120" w:after="120" w:line="240" w:lineRule="auto"/>
              <w:jc w:val="both"/>
            </w:pPr>
            <w:r>
              <w:rPr>
                <w:rFonts w:ascii="Cambria" w:hAnsi="Cambria"/>
                <w:sz w:val="20"/>
                <w:szCs w:val="20"/>
                <w:lang w:bidi="hi-IN"/>
              </w:rPr>
              <w:t>Atkritumu apsaimniekošana</w:t>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12099A"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7,0 %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074D01"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-14,3 %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222D80"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-15,8 %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38775D"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-39,8 %</w:t>
            </w:r>
          </w:p>
        </w:tc>
      </w:tr>
      <w:tr w:rsidR="003E6EAD" w14:paraId="6B1A9A02" w14:textId="77777777" w:rsidTr="1349CB80">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BCD109" w14:textId="77777777" w:rsidR="003E6EAD" w:rsidRDefault="003A4514">
            <w:pPr>
              <w:tabs>
                <w:tab w:val="left" w:pos="310"/>
              </w:tabs>
              <w:spacing w:before="120" w:after="120" w:line="240" w:lineRule="auto"/>
              <w:jc w:val="both"/>
            </w:pPr>
            <w:r>
              <w:rPr>
                <w:rFonts w:ascii="Cambria" w:hAnsi="Cambria"/>
                <w:sz w:val="20"/>
                <w:szCs w:val="20"/>
                <w:lang w:bidi="hi-IN"/>
              </w:rPr>
              <w:t>Ne-ETS RPPI</w:t>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AC35E9"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3,3 %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9D1E37"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+101,0 %</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9CCD0A"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+109,9 %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72E726" w14:textId="77777777" w:rsidR="003E6EAD" w:rsidRDefault="003A4514">
            <w:pPr>
              <w:tabs>
                <w:tab w:val="left" w:pos="310"/>
              </w:tabs>
              <w:spacing w:before="120" w:after="120" w:line="240" w:lineRule="auto"/>
              <w:jc w:val="center"/>
              <w:rPr>
                <w:rFonts w:ascii="Cambria" w:hAnsi="Cambria"/>
                <w:sz w:val="20"/>
                <w:szCs w:val="20"/>
                <w:lang w:bidi="hi-IN"/>
              </w:rPr>
            </w:pPr>
            <w:r>
              <w:rPr>
                <w:rFonts w:ascii="Cambria" w:hAnsi="Cambria"/>
                <w:sz w:val="20"/>
                <w:szCs w:val="20"/>
                <w:lang w:bidi="hi-IN"/>
              </w:rPr>
              <w:t>+59,4 %</w:t>
            </w:r>
          </w:p>
        </w:tc>
      </w:tr>
    </w:tbl>
    <w:p w14:paraId="76932CA5" w14:textId="778421A1" w:rsidR="003E6EAD" w:rsidRDefault="003A4514" w:rsidP="5B9FE7F0">
      <w:pPr>
        <w:spacing w:before="120" w:after="120" w:line="240" w:lineRule="auto"/>
        <w:ind w:firstLine="431"/>
        <w:jc w:val="both"/>
        <w:rPr>
          <w:rFonts w:ascii="Cambria" w:hAnsi="Cambria"/>
          <w:sz w:val="24"/>
          <w:szCs w:val="24"/>
        </w:rPr>
      </w:pPr>
      <w:r w:rsidRPr="5B9FE7F0">
        <w:rPr>
          <w:rFonts w:ascii="Cambria" w:hAnsi="Cambria"/>
          <w:sz w:val="24"/>
          <w:szCs w:val="24"/>
        </w:rPr>
        <w:t xml:space="preserve">Ne-ETS darbībās lielākais procentuālais SEG emisiju pieaugums laika posmā no 2005. - 2023. gadam ir ne-ETS RPPI, ko galvenokārt veicināja pieaugošais izmantotais fluorēto gāzu izmantojums specifiskās nozarēs. Lauksaimniecības sektorā emisiju pieaugums galvenokārt ir saistīts ar lauksaimniecības dzīvnieku skaita izmaiņām, ko būtiski ietekmēja ekonomiskā situācija un ar to saistītie darbības dati. </w:t>
      </w:r>
      <w:r w:rsidRPr="00BA39EE">
        <w:rPr>
          <w:rFonts w:ascii="Cambria" w:hAnsi="Cambria"/>
          <w:sz w:val="24"/>
          <w:szCs w:val="24"/>
        </w:rPr>
        <w:t>Mājsaimniecību, citas ne-ETS enerģētikas, transporta un atkritumu apsaimniekošanas sektoros tiek novērots SEG emisiju samazinājums.</w:t>
      </w:r>
      <w:r w:rsidRPr="5B9FE7F0">
        <w:rPr>
          <w:rFonts w:ascii="Cambria" w:hAnsi="Cambria"/>
          <w:sz w:val="24"/>
          <w:szCs w:val="24"/>
        </w:rPr>
        <w:t xml:space="preserve"> Kā galvenos iemeslus emisiju izmaiņām var minēt energoefektivitātes pasākumus, pāreju uz atjaunojamiem energoresursiem, izmantotā</w:t>
      </w:r>
      <w:r w:rsidRPr="5B9FE7F0">
        <w:t xml:space="preserve"> </w:t>
      </w:r>
      <w:r w:rsidRPr="5B9FE7F0">
        <w:rPr>
          <w:rFonts w:ascii="Cambria" w:hAnsi="Cambria"/>
          <w:sz w:val="24"/>
          <w:szCs w:val="24"/>
        </w:rPr>
        <w:t>kurināmā veida un patērētā kurināmā daudzuma izmaiņu/samazināšanos, kā arī atkritumu šķirošanas un pārstrādes pieaugumu, kas samazināja noglabāto atkritumu apjomus.</w:t>
      </w:r>
    </w:p>
    <w:p w14:paraId="0724A1C4" w14:textId="0ABF008D" w:rsidR="003E6EAD" w:rsidRDefault="003A4514">
      <w:pPr>
        <w:spacing w:before="120" w:after="120" w:line="240" w:lineRule="auto"/>
        <w:ind w:firstLine="426"/>
        <w:jc w:val="both"/>
        <w:rPr>
          <w:rFonts w:ascii="Cambria" w:hAnsi="Cambria"/>
          <w:sz w:val="24"/>
          <w:szCs w:val="24"/>
        </w:rPr>
      </w:pPr>
      <w:r>
        <w:rPr>
          <w:rFonts w:ascii="Cambria" w:hAnsi="Cambria"/>
          <w:sz w:val="24"/>
          <w:szCs w:val="24"/>
        </w:rPr>
        <w:t>Periodā no 2005. - 2030. gadam emisiju izmaiņas saglabājas līdzīgas tām, kas novērotas līdz 2023. gadam,  tomēr</w:t>
      </w:r>
      <w:r w:rsidR="0080782A">
        <w:rPr>
          <w:rFonts w:ascii="Cambria" w:hAnsi="Cambria"/>
          <w:sz w:val="24"/>
          <w:szCs w:val="24"/>
        </w:rPr>
        <w:t xml:space="preserve"> prognozēs</w:t>
      </w:r>
      <w:r>
        <w:rPr>
          <w:rFonts w:ascii="Cambria" w:hAnsi="Cambria"/>
          <w:sz w:val="24"/>
          <w:szCs w:val="24"/>
        </w:rPr>
        <w:t xml:space="preserve"> papildu samazinājumu nodrošina pieņemtās un plānotās politikas un pasākumi</w:t>
      </w:r>
      <w:r w:rsidR="00DF482F">
        <w:rPr>
          <w:rStyle w:val="FootnoteReference"/>
          <w:rFonts w:ascii="Cambria" w:hAnsi="Cambria"/>
          <w:sz w:val="24"/>
          <w:szCs w:val="24"/>
        </w:rPr>
        <w:footnoteReference w:id="57"/>
      </w:r>
      <w:r>
        <w:rPr>
          <w:rFonts w:ascii="Cambria" w:hAnsi="Cambria"/>
          <w:sz w:val="24"/>
          <w:szCs w:val="24"/>
        </w:rPr>
        <w:t>, kuru mērķis ir paātrināt emisiju samazināšanu dažādos sektoros.</w:t>
      </w:r>
    </w:p>
    <w:p w14:paraId="235E9E5E" w14:textId="77777777" w:rsidR="003E6EAD" w:rsidRDefault="003E6EAD">
      <w:pPr>
        <w:spacing w:before="120" w:after="120" w:line="240" w:lineRule="auto"/>
        <w:jc w:val="both"/>
        <w:rPr>
          <w:rFonts w:ascii="Cambria" w:hAnsi="Cambria"/>
          <w:sz w:val="24"/>
          <w:szCs w:val="24"/>
        </w:rPr>
      </w:pPr>
    </w:p>
    <w:p w14:paraId="7FEE3E88" w14:textId="2C513D27" w:rsidR="003E6EAD" w:rsidRDefault="003A4514" w:rsidP="008C3727">
      <w:pPr>
        <w:pStyle w:val="Heading2"/>
        <w:numPr>
          <w:ilvl w:val="1"/>
          <w:numId w:val="21"/>
        </w:numPr>
        <w:spacing w:before="120" w:after="120" w:line="240" w:lineRule="auto"/>
        <w:jc w:val="both"/>
        <w:rPr>
          <w:rFonts w:ascii="Cambria" w:eastAsia="Yu Gothic" w:hAnsi="Cambria" w:cs="Arial"/>
          <w:b/>
          <w:bCs/>
          <w:color w:val="155452"/>
          <w:sz w:val="24"/>
          <w:szCs w:val="24"/>
        </w:rPr>
      </w:pPr>
      <w:bookmarkStart w:id="36" w:name="_Toc185319499"/>
      <w:bookmarkStart w:id="37" w:name="_Toc190952418"/>
      <w:r>
        <w:rPr>
          <w:rFonts w:ascii="Cambria" w:eastAsia="Yu Gothic" w:hAnsi="Cambria" w:cs="Arial"/>
          <w:b/>
          <w:bCs/>
          <w:color w:val="155452"/>
          <w:sz w:val="24"/>
          <w:szCs w:val="24"/>
        </w:rPr>
        <w:t>Ne-ETS sektora SEG mērķu izpildes prognoze 2021.-2030. gada periodā</w:t>
      </w:r>
      <w:bookmarkEnd w:id="36"/>
      <w:bookmarkEnd w:id="37"/>
      <w:r>
        <w:rPr>
          <w:rFonts w:ascii="Cambria" w:eastAsia="Yu Gothic" w:hAnsi="Cambria" w:cs="Arial"/>
          <w:b/>
          <w:bCs/>
          <w:color w:val="155452"/>
          <w:sz w:val="24"/>
          <w:szCs w:val="24"/>
        </w:rPr>
        <w:t xml:space="preserve"> </w:t>
      </w:r>
    </w:p>
    <w:p w14:paraId="40434484" w14:textId="3F30E69B" w:rsidR="003E6EAD" w:rsidRPr="001069CF" w:rsidRDefault="003A4514">
      <w:pPr>
        <w:spacing w:before="120" w:after="120" w:line="240" w:lineRule="auto"/>
        <w:jc w:val="both"/>
        <w:rPr>
          <w:rFonts w:ascii="Cambria" w:hAnsi="Cambria"/>
          <w:sz w:val="24"/>
          <w:szCs w:val="24"/>
        </w:rPr>
      </w:pPr>
      <w:r>
        <w:rPr>
          <w:rFonts w:ascii="Cambria" w:hAnsi="Cambria"/>
          <w:sz w:val="24"/>
          <w:szCs w:val="24"/>
        </w:rPr>
        <w:t>Ne-ETS (ESR) sektora mērķa izpildes novērtējuma shēma atspoguļota 5. attēlā un 2. pielikumā.</w:t>
      </w:r>
    </w:p>
    <w:p w14:paraId="359904F5" w14:textId="4F8A91F7" w:rsidR="00DE0131" w:rsidRDefault="00CC764B">
      <w:pPr>
        <w:spacing w:before="120" w:after="120" w:line="240" w:lineRule="auto"/>
        <w:jc w:val="both"/>
      </w:pPr>
      <w:r>
        <w:rPr>
          <w:rFonts w:ascii="Cambria" w:hAnsi="Cambria"/>
          <w:noProof/>
          <w:sz w:val="24"/>
          <w:szCs w:val="24"/>
          <w14:ligatures w14:val="standardContextual"/>
        </w:rPr>
        <w:lastRenderedPageBreak/>
        <mc:AlternateContent>
          <mc:Choice Requires="wps">
            <w:drawing>
              <wp:anchor distT="0" distB="0" distL="114300" distR="114300" simplePos="0" relativeHeight="251658259" behindDoc="0" locked="0" layoutInCell="1" allowOverlap="1" wp14:anchorId="35D52BBB" wp14:editId="152A435B">
                <wp:simplePos x="0" y="0"/>
                <wp:positionH relativeFrom="column">
                  <wp:posOffset>-80943</wp:posOffset>
                </wp:positionH>
                <wp:positionV relativeFrom="paragraph">
                  <wp:posOffset>55106</wp:posOffset>
                </wp:positionV>
                <wp:extent cx="342900" cy="2876550"/>
                <wp:effectExtent l="0" t="0" r="19050" b="19050"/>
                <wp:wrapNone/>
                <wp:docPr id="219656107" name="Text Box 9"/>
                <wp:cNvGraphicFramePr/>
                <a:graphic xmlns:a="http://schemas.openxmlformats.org/drawingml/2006/main">
                  <a:graphicData uri="http://schemas.microsoft.com/office/word/2010/wordprocessingShape">
                    <wps:wsp>
                      <wps:cNvSpPr txBox="1"/>
                      <wps:spPr>
                        <a:xfrm>
                          <a:off x="0" y="0"/>
                          <a:ext cx="342900" cy="2876550"/>
                        </a:xfrm>
                        <a:prstGeom prst="rect">
                          <a:avLst/>
                        </a:prstGeom>
                        <a:solidFill>
                          <a:schemeClr val="accent6">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14:paraId="218913FD" w14:textId="77777777" w:rsidR="0013318C" w:rsidRPr="0013318C" w:rsidRDefault="0013318C" w:rsidP="0013318C">
                            <w:pPr>
                              <w:jc w:val="center"/>
                              <w:rPr>
                                <w:rFonts w:ascii="Cambria" w:hAnsi="Cambria"/>
                              </w:rPr>
                            </w:pPr>
                            <w:r w:rsidRPr="0013318C">
                              <w:rPr>
                                <w:rFonts w:ascii="Cambria" w:hAnsi="Cambria"/>
                              </w:rPr>
                              <w:t>Automatizēts process  Reģistrā 2021.-2025.g.</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D52BBB" id="Text Box 9" o:spid="_x0000_s1030" type="#_x0000_t202" style="position:absolute;left:0;text-align:left;margin-left:-6.35pt;margin-top:4.35pt;width:27pt;height:226.5pt;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" fillcolor="#b3e5a1 [1305]" strokecolor="#4ea72e [3209]" strokeweight="1pt">
                <v:textbox style="layout-flow:vertical">
                  <w:txbxContent>
                    <w:p w14:paraId="218913FD" w14:textId="77777777" w:rsidR="0013318C" w:rsidRPr="0013318C" w:rsidRDefault="0013318C" w:rsidP="0013318C">
                      <w:pPr>
                        <w:jc w:val="center"/>
                        <w:rPr>
                          <w:rFonts w:ascii="Cambria" w:hAnsi="Cambria"/>
                        </w:rPr>
                      </w:pPr>
                      <w:r w:rsidRPr="0013318C">
                        <w:rPr>
                          <w:rFonts w:ascii="Cambria" w:hAnsi="Cambria"/>
                        </w:rPr>
                        <w:t>Automatizēts process  Reģistrā 2021.-2025.g.</w:t>
                      </w:r>
                    </w:p>
                  </w:txbxContent>
                </v:textbox>
              </v:shape>
            </w:pict>
          </mc:Fallback>
        </mc:AlternateContent>
      </w:r>
      <w:r w:rsidR="00CF7118">
        <w:rPr>
          <w:rFonts w:ascii="Cambria" w:hAnsi="Cambria"/>
          <w:noProof/>
          <w:sz w:val="24"/>
          <w:szCs w:val="24"/>
        </w:rPr>
        <mc:AlternateContent>
          <mc:Choice Requires="wps">
            <w:drawing>
              <wp:anchor distT="0" distB="0" distL="114300" distR="114300" simplePos="0" relativeHeight="251658261" behindDoc="0" locked="0" layoutInCell="1" allowOverlap="1" wp14:anchorId="58A5EAEB" wp14:editId="653AC7D2">
                <wp:simplePos x="0" y="0"/>
                <wp:positionH relativeFrom="column">
                  <wp:posOffset>4206240</wp:posOffset>
                </wp:positionH>
                <wp:positionV relativeFrom="paragraph">
                  <wp:posOffset>2452370</wp:posOffset>
                </wp:positionV>
                <wp:extent cx="1209675" cy="523875"/>
                <wp:effectExtent l="19050" t="0" r="28575" b="28575"/>
                <wp:wrapNone/>
                <wp:docPr id="962740288" name="Arrow: Curved Up 32"/>
                <wp:cNvGraphicFramePr/>
                <a:graphic xmlns:a="http://schemas.openxmlformats.org/drawingml/2006/main">
                  <a:graphicData uri="http://schemas.microsoft.com/office/word/2010/wordprocessingShape">
                    <wps:wsp>
                      <wps:cNvSpPr/>
                      <wps:spPr>
                        <a:xfrm rot="16200000">
                          <a:off x="0" y="0"/>
                          <a:ext cx="1209675" cy="523875"/>
                        </a:xfrm>
                        <a:prstGeom prst="curvedUpArrow">
                          <a:avLst>
                            <a:gd name="adj1" fmla="val 25000"/>
                            <a:gd name="adj2" fmla="val 43317"/>
                            <a:gd name="adj3" fmla="val 25000"/>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F4EB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32" o:spid="_x0000_s1026" type="#_x0000_t104" style="position:absolute;margin-left:331.2pt;margin-top:193.1pt;width:95.25pt;height:41.25pt;rotation:-90;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" adj="17548,20743,5400" fillcolor="#81d463 [2169]" strokecolor="#4ea72e [3209]" strokeweight=".5pt">
                <v:fill color2="#66cb42 [2617]" rotate="t" colors="0 #a8d5a0;.5 #9bca93;1 #8ac67e" focus="100%" type="gradient">
                  <o:fill v:ext="view" type="gradientUnscaled"/>
                </v:fill>
              </v:shape>
            </w:pict>
          </mc:Fallback>
        </mc:AlternateContent>
      </w:r>
      <w:r w:rsidR="001A122B">
        <w:rPr>
          <w:rFonts w:ascii="Cambria" w:hAnsi="Cambria"/>
          <w:noProof/>
          <w:sz w:val="24"/>
          <w:szCs w:val="24"/>
        </w:rPr>
        <mc:AlternateContent>
          <mc:Choice Requires="wps">
            <w:drawing>
              <wp:anchor distT="0" distB="0" distL="114300" distR="114300" simplePos="0" relativeHeight="251658260" behindDoc="0" locked="0" layoutInCell="1" allowOverlap="1" wp14:anchorId="0B771E88" wp14:editId="02C39ACD">
                <wp:simplePos x="0" y="0"/>
                <wp:positionH relativeFrom="margin">
                  <wp:posOffset>-946308</wp:posOffset>
                </wp:positionH>
                <wp:positionV relativeFrom="paragraph">
                  <wp:posOffset>1424782</wp:posOffset>
                </wp:positionV>
                <wp:extent cx="2912745" cy="532445"/>
                <wp:effectExtent l="9208" t="0" r="30162" b="11113"/>
                <wp:wrapNone/>
                <wp:docPr id="529180824" name="Arrow: Curved Down 31"/>
                <wp:cNvGraphicFramePr/>
                <a:graphic xmlns:a="http://schemas.openxmlformats.org/drawingml/2006/main">
                  <a:graphicData uri="http://schemas.microsoft.com/office/word/2010/wordprocessingShape">
                    <wps:wsp>
                      <wps:cNvSpPr/>
                      <wps:spPr>
                        <a:xfrm rot="16200000">
                          <a:off x="0" y="0"/>
                          <a:ext cx="2912745" cy="532445"/>
                        </a:xfrm>
                        <a:prstGeom prst="curvedDown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80258"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31" o:spid="_x0000_s1026" type="#_x0000_t105" style="position:absolute;margin-left:-74.5pt;margin-top:112.2pt;width:229.35pt;height:41.9pt;rotation:-90;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" adj="19626,21107,16200" fillcolor="#81d463 [2169]" strokecolor="#4ea72e [3209]" strokeweight=".5pt">
                <v:fill color2="#66cb42 [2617]" rotate="t" colors="0 #a8d5a0;.5 #9bca93;1 #8ac67e" focus="100%" type="gradient">
                  <o:fill v:ext="view" type="gradientUnscaled"/>
                </v:fill>
                <w10:wrap anchorx="margin"/>
              </v:shape>
            </w:pict>
          </mc:Fallback>
        </mc:AlternateContent>
      </w:r>
      <w:r w:rsidR="005E1BF7">
        <w:rPr>
          <w:rFonts w:ascii="Cambria" w:hAnsi="Cambria"/>
          <w:noProof/>
          <w:sz w:val="24"/>
          <w:szCs w:val="24"/>
          <w14:ligatures w14:val="standardContextual"/>
        </w:rPr>
        <w:drawing>
          <wp:inline distT="0" distB="0" distL="0" distR="0" wp14:anchorId="4879949F" wp14:editId="6AA672E7">
            <wp:extent cx="5372100" cy="3333750"/>
            <wp:effectExtent l="0" t="38100" r="0" b="19050"/>
            <wp:docPr id="100620664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0C92296" w14:textId="7970AD62" w:rsidR="00DE0131" w:rsidRDefault="00DE0131">
      <w:pPr>
        <w:spacing w:before="120" w:after="120" w:line="240" w:lineRule="auto"/>
        <w:jc w:val="both"/>
      </w:pPr>
    </w:p>
    <w:p w14:paraId="6FA85F9B" w14:textId="20F8E903" w:rsidR="003E6EAD" w:rsidRDefault="003A4514">
      <w:pPr>
        <w:spacing w:before="120" w:after="120" w:line="240" w:lineRule="auto"/>
        <w:ind w:firstLine="567"/>
        <w:jc w:val="both"/>
      </w:pPr>
      <w:r>
        <w:rPr>
          <w:rFonts w:ascii="Cambria" w:eastAsia="Times New Roman" w:hAnsi="Cambria"/>
          <w:b/>
          <w:bCs/>
          <w:sz w:val="24"/>
          <w:szCs w:val="24"/>
        </w:rPr>
        <w:t>5. attēls. Saistību izpildes novērtējuma shēma ne-ETS sektor</w:t>
      </w:r>
      <w:r w:rsidR="003C7C54">
        <w:rPr>
          <w:rFonts w:ascii="Cambria" w:eastAsia="Times New Roman" w:hAnsi="Cambria"/>
          <w:b/>
          <w:bCs/>
          <w:sz w:val="24"/>
          <w:szCs w:val="24"/>
        </w:rPr>
        <w:t>os</w:t>
      </w:r>
      <w:r>
        <w:rPr>
          <w:rFonts w:ascii="Cambria" w:eastAsia="Times New Roman" w:hAnsi="Cambria"/>
          <w:b/>
          <w:bCs/>
          <w:sz w:val="24"/>
          <w:szCs w:val="24"/>
        </w:rPr>
        <w:t xml:space="preserve">  </w:t>
      </w:r>
    </w:p>
    <w:p w14:paraId="2968AD7A"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Ne-ETS sektora SEG emisiju atspoguļojums WEM un WAM scenārijos salīdzinot ar ikgadējo emisiju sadales apjomu katram 2021.–2030. gada perioda gadam (ne-ETS mērķis, GES) ir parādīts 6. attēlā.</w:t>
      </w:r>
    </w:p>
    <w:p w14:paraId="19C00ED5" w14:textId="77777777" w:rsidR="007C567A" w:rsidRDefault="003A4514" w:rsidP="007C567A">
      <w:pPr>
        <w:spacing w:before="120" w:after="120" w:line="240" w:lineRule="auto"/>
        <w:ind w:firstLine="567"/>
        <w:jc w:val="both"/>
        <w:rPr>
          <w:rFonts w:ascii="Cambria" w:hAnsi="Cambria"/>
          <w:sz w:val="24"/>
          <w:szCs w:val="24"/>
        </w:rPr>
      </w:pPr>
      <w:r>
        <w:rPr>
          <w:noProof/>
        </w:rPr>
        <w:drawing>
          <wp:inline distT="0" distB="0" distL="0" distR="0" wp14:anchorId="404FD973" wp14:editId="2C89D3BC">
            <wp:extent cx="4867275" cy="3076575"/>
            <wp:effectExtent l="0" t="0" r="9525" b="9525"/>
            <wp:docPr id="132924507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DE6AFF" w14:textId="7D380BE3" w:rsidR="003E6EAD" w:rsidRPr="0069651C" w:rsidRDefault="402087C1" w:rsidP="5B9FE7F0">
      <w:pPr>
        <w:spacing w:before="120" w:after="120" w:line="240" w:lineRule="auto"/>
        <w:ind w:firstLine="567"/>
        <w:jc w:val="center"/>
        <w:rPr>
          <w:b/>
          <w:bCs/>
        </w:rPr>
      </w:pPr>
      <w:r w:rsidRPr="5B9FE7F0">
        <w:rPr>
          <w:rFonts w:ascii="Cambria" w:hAnsi="Cambria"/>
          <w:b/>
          <w:bCs/>
          <w:sz w:val="24"/>
          <w:szCs w:val="24"/>
        </w:rPr>
        <w:t>6.</w:t>
      </w:r>
      <w:r w:rsidR="003A4514" w:rsidRPr="5B9FE7F0">
        <w:rPr>
          <w:rFonts w:ascii="Cambria" w:hAnsi="Cambria"/>
          <w:b/>
          <w:bCs/>
          <w:sz w:val="24"/>
          <w:szCs w:val="24"/>
        </w:rPr>
        <w:t xml:space="preserve"> attēls. Latvijas ne-ETS sektora mērķu prognozētā izpilde 2021.-2030. gada periodā (kt CO</w:t>
      </w:r>
      <w:r w:rsidR="003A4514" w:rsidRPr="5B9FE7F0">
        <w:rPr>
          <w:rFonts w:ascii="Cambria" w:hAnsi="Cambria"/>
          <w:b/>
          <w:bCs/>
          <w:sz w:val="24"/>
          <w:szCs w:val="24"/>
          <w:vertAlign w:val="subscript"/>
        </w:rPr>
        <w:t>2</w:t>
      </w:r>
      <w:r w:rsidR="003A4514" w:rsidRPr="5B9FE7F0">
        <w:rPr>
          <w:rFonts w:ascii="Cambria" w:hAnsi="Cambria"/>
          <w:b/>
          <w:bCs/>
          <w:sz w:val="24"/>
          <w:szCs w:val="24"/>
        </w:rPr>
        <w:t xml:space="preserve"> ekv.), WEM un WAM scenārijos</w:t>
      </w:r>
      <w:r w:rsidR="007C567A" w:rsidRPr="5B9FE7F0">
        <w:rPr>
          <w:rStyle w:val="FootnoteReference"/>
          <w:rFonts w:ascii="Cambria" w:hAnsi="Cambria"/>
          <w:b/>
          <w:bCs/>
          <w:sz w:val="24"/>
          <w:szCs w:val="24"/>
        </w:rPr>
        <w:footnoteReference w:id="58"/>
      </w:r>
    </w:p>
    <w:p w14:paraId="5835154F" w14:textId="77777777" w:rsidR="007C567A" w:rsidRDefault="003A4514" w:rsidP="007C567A">
      <w:pPr>
        <w:pStyle w:val="ListParagraph"/>
        <w:keepNext/>
        <w:spacing w:before="120" w:after="120" w:line="240" w:lineRule="auto"/>
        <w:ind w:left="0"/>
        <w:jc w:val="both"/>
        <w:rPr>
          <w:rFonts w:ascii="Cambria" w:hAnsi="Cambria"/>
        </w:rPr>
      </w:pPr>
      <w:r>
        <w:rPr>
          <w:rFonts w:ascii="Cambria" w:hAnsi="Cambria"/>
          <w:sz w:val="24"/>
          <w:szCs w:val="24"/>
        </w:rPr>
        <w:lastRenderedPageBreak/>
        <w:t>Savukārt 4. tabulā ir apkopots ne-ETS mērķis, GES, kā arī indikatīvā ne-ETS sektora mērķu prognozētā izpilde</w:t>
      </w:r>
      <w:r>
        <w:t xml:space="preserve"> </w:t>
      </w:r>
      <w:r>
        <w:rPr>
          <w:rFonts w:ascii="Cambria" w:hAnsi="Cambria"/>
          <w:sz w:val="24"/>
          <w:szCs w:val="24"/>
        </w:rPr>
        <w:t>WEM, WAM un NEKP mērķa scenārijā</w:t>
      </w:r>
      <w:r>
        <w:rPr>
          <w:rFonts w:ascii="Cambria" w:hAnsi="Cambria"/>
          <w:vertAlign w:val="superscript"/>
        </w:rPr>
        <w:t xml:space="preserve"> </w:t>
      </w:r>
      <w:r>
        <w:rPr>
          <w:rFonts w:ascii="Cambria" w:hAnsi="Cambria"/>
          <w:vertAlign w:val="superscript"/>
        </w:rPr>
        <w:footnoteReference w:id="59"/>
      </w:r>
      <w:r>
        <w:rPr>
          <w:rFonts w:ascii="Cambria" w:hAnsi="Cambria"/>
        </w:rPr>
        <w:t>.</w:t>
      </w:r>
    </w:p>
    <w:p w14:paraId="3CC95163" w14:textId="77777777" w:rsidR="007C567A" w:rsidRDefault="007C567A" w:rsidP="007C567A">
      <w:pPr>
        <w:pStyle w:val="ListParagraph"/>
        <w:keepNext/>
        <w:spacing w:before="120" w:after="120" w:line="240" w:lineRule="auto"/>
        <w:ind w:left="0"/>
        <w:jc w:val="both"/>
        <w:rPr>
          <w:rFonts w:ascii="Cambria" w:hAnsi="Cambria"/>
          <w:b/>
          <w:bCs/>
        </w:rPr>
      </w:pPr>
    </w:p>
    <w:p w14:paraId="7CBBA5A7" w14:textId="077F616D" w:rsidR="003E6EAD" w:rsidRDefault="003A4514" w:rsidP="5B9FE7F0">
      <w:pPr>
        <w:pStyle w:val="ListParagraph"/>
        <w:keepNext/>
        <w:spacing w:before="120" w:after="120" w:line="240" w:lineRule="auto"/>
        <w:ind w:left="0"/>
        <w:jc w:val="both"/>
      </w:pPr>
      <w:r w:rsidRPr="5B9FE7F0">
        <w:rPr>
          <w:rFonts w:ascii="Cambria" w:hAnsi="Cambria"/>
          <w:b/>
          <w:bCs/>
          <w:sz w:val="24"/>
          <w:szCs w:val="24"/>
        </w:rPr>
        <w:t>4. tabula. Latvijas ne-ETS sektora mērķu prognozētā izpilde 2021.-2030. gada periodā, kt CO</w:t>
      </w:r>
      <w:r w:rsidRPr="5B9FE7F0">
        <w:rPr>
          <w:rFonts w:ascii="Cambria" w:hAnsi="Cambria"/>
          <w:b/>
          <w:bCs/>
          <w:sz w:val="24"/>
          <w:szCs w:val="24"/>
          <w:vertAlign w:val="subscript"/>
        </w:rPr>
        <w:t>2</w:t>
      </w:r>
      <w:r w:rsidRPr="5B9FE7F0">
        <w:rPr>
          <w:rFonts w:ascii="Cambria" w:hAnsi="Cambria"/>
          <w:b/>
          <w:bCs/>
          <w:sz w:val="24"/>
          <w:szCs w:val="24"/>
        </w:rPr>
        <w:t xml:space="preserve"> ekv. WEM, WAM un NEKP mērķa scenārijā </w:t>
      </w:r>
      <w:r w:rsidRPr="5B9FE7F0">
        <w:rPr>
          <w:rStyle w:val="FootnoteReference"/>
          <w:rFonts w:ascii="Cambria" w:hAnsi="Cambria"/>
          <w:b/>
          <w:bCs/>
          <w:sz w:val="24"/>
          <w:szCs w:val="24"/>
        </w:rPr>
        <w:footnoteReference w:id="60"/>
      </w:r>
    </w:p>
    <w:tbl>
      <w:tblPr>
        <w:tblW w:w="10474" w:type="dxa"/>
        <w:tblInd w:w="-541" w:type="dxa"/>
        <w:tblCellMar>
          <w:left w:w="10" w:type="dxa"/>
          <w:right w:w="10" w:type="dxa"/>
        </w:tblCellMar>
        <w:tblLook w:val="04A0" w:firstRow="1" w:lastRow="0" w:firstColumn="1" w:lastColumn="0" w:noHBand="0" w:noVBand="1"/>
      </w:tblPr>
      <w:tblGrid>
        <w:gridCol w:w="2187"/>
        <w:gridCol w:w="898"/>
        <w:gridCol w:w="833"/>
        <w:gridCol w:w="832"/>
        <w:gridCol w:w="832"/>
        <w:gridCol w:w="879"/>
        <w:gridCol w:w="736"/>
        <w:gridCol w:w="744"/>
        <w:gridCol w:w="833"/>
        <w:gridCol w:w="967"/>
        <w:gridCol w:w="736"/>
      </w:tblGrid>
      <w:tr w:rsidR="005772F4" w14:paraId="57165CE6"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bottom"/>
          </w:tcPr>
          <w:p w14:paraId="45CF02F6" w14:textId="77777777" w:rsidR="003E6EAD" w:rsidRDefault="003A4514">
            <w:pPr>
              <w:keepNext/>
              <w:spacing w:after="0" w:line="240" w:lineRule="auto"/>
            </w:pPr>
            <w:r>
              <w:rPr>
                <w:rFonts w:ascii="Cambria" w:hAnsi="Cambria" w:cs="Calibri"/>
              </w:rPr>
              <w:t>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31B1649F" w14:textId="77777777" w:rsidR="003E6EAD" w:rsidRDefault="003A4514">
            <w:pPr>
              <w:keepNext/>
              <w:jc w:val="center"/>
            </w:pPr>
            <w:r w:rsidRPr="1349CB80">
              <w:rPr>
                <w:rFonts w:ascii="Cambria" w:hAnsi="Cambria"/>
                <w:b/>
                <w:bCs/>
                <w:sz w:val="18"/>
                <w:szCs w:val="18"/>
              </w:rPr>
              <w:t>2021</w:t>
            </w:r>
            <w:r w:rsidRPr="1349CB80">
              <w:rPr>
                <w:rStyle w:val="FootnoteReference"/>
                <w:rFonts w:ascii="Cambria" w:hAnsi="Cambria"/>
                <w:b/>
                <w:bCs/>
                <w:sz w:val="18"/>
                <w:szCs w:val="18"/>
              </w:rPr>
              <w:footnoteReference w:id="61"/>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7D6DE5A6" w14:textId="77777777" w:rsidR="003E6EAD" w:rsidRDefault="003A4514">
            <w:pPr>
              <w:keepNext/>
              <w:jc w:val="center"/>
            </w:pPr>
            <w:r w:rsidRPr="1349CB80">
              <w:rPr>
                <w:rFonts w:ascii="Cambria" w:hAnsi="Cambria"/>
                <w:b/>
                <w:bCs/>
                <w:sz w:val="18"/>
                <w:szCs w:val="18"/>
              </w:rPr>
              <w:t>2022</w:t>
            </w:r>
            <w:r w:rsidRPr="1349CB80">
              <w:rPr>
                <w:rStyle w:val="FootnoteReference"/>
                <w:rFonts w:ascii="Cambria" w:hAnsi="Cambria"/>
                <w:b/>
                <w:bCs/>
                <w:sz w:val="18"/>
                <w:szCs w:val="18"/>
              </w:rPr>
              <w:footnoteReference w:id="62"/>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7C1012DA" w14:textId="77777777" w:rsidR="003E6EAD" w:rsidRDefault="003A4514">
            <w:pPr>
              <w:keepNext/>
              <w:jc w:val="center"/>
            </w:pPr>
            <w:r w:rsidRPr="1349CB80">
              <w:rPr>
                <w:rFonts w:ascii="Cambria" w:hAnsi="Cambria"/>
                <w:b/>
                <w:bCs/>
                <w:sz w:val="18"/>
                <w:szCs w:val="18"/>
              </w:rPr>
              <w:t>2023</w:t>
            </w:r>
            <w:r w:rsidRPr="1349CB80">
              <w:rPr>
                <w:rStyle w:val="FootnoteReference"/>
                <w:rFonts w:ascii="Cambria" w:hAnsi="Cambria"/>
                <w:b/>
                <w:bCs/>
                <w:sz w:val="18"/>
                <w:szCs w:val="18"/>
              </w:rPr>
              <w:footnoteReference w:id="63"/>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0FB037A6" w14:textId="77777777" w:rsidR="003E6EAD" w:rsidRDefault="003A4514">
            <w:pPr>
              <w:keepNext/>
              <w:jc w:val="center"/>
            </w:pPr>
            <w:r w:rsidRPr="1349CB80">
              <w:rPr>
                <w:rFonts w:ascii="Cambria" w:hAnsi="Cambria"/>
                <w:b/>
                <w:bCs/>
                <w:sz w:val="18"/>
                <w:szCs w:val="18"/>
              </w:rPr>
              <w:t>2024</w:t>
            </w:r>
            <w:r w:rsidRPr="1349CB80">
              <w:rPr>
                <w:rFonts w:ascii="Cambria" w:hAnsi="Cambria"/>
                <w:b/>
                <w:bCs/>
                <w:sz w:val="18"/>
                <w:szCs w:val="18"/>
                <w:vertAlign w:val="superscript"/>
              </w:rPr>
              <w:footnoteReference w:id="64"/>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765397EB" w14:textId="77777777" w:rsidR="003E6EAD" w:rsidRDefault="003A4514">
            <w:pPr>
              <w:keepNext/>
              <w:jc w:val="center"/>
              <w:rPr>
                <w:rFonts w:ascii="Cambria" w:hAnsi="Cambria"/>
                <w:b/>
                <w:sz w:val="18"/>
                <w:szCs w:val="18"/>
              </w:rPr>
            </w:pPr>
            <w:r>
              <w:rPr>
                <w:rFonts w:ascii="Cambria" w:hAnsi="Cambria"/>
                <w:b/>
                <w:sz w:val="18"/>
                <w:szCs w:val="18"/>
              </w:rPr>
              <w:t>2025</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7FF8108C" w14:textId="77777777" w:rsidR="003E6EAD" w:rsidRDefault="003A4514">
            <w:pPr>
              <w:keepNext/>
              <w:jc w:val="center"/>
              <w:rPr>
                <w:rFonts w:ascii="Cambria" w:hAnsi="Cambria"/>
                <w:b/>
                <w:sz w:val="18"/>
                <w:szCs w:val="18"/>
              </w:rPr>
            </w:pPr>
            <w:r>
              <w:rPr>
                <w:rFonts w:ascii="Cambria" w:hAnsi="Cambria"/>
                <w:b/>
                <w:sz w:val="18"/>
                <w:szCs w:val="18"/>
              </w:rPr>
              <w:t>2026</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6A9FC690" w14:textId="77777777" w:rsidR="003E6EAD" w:rsidRDefault="003A4514">
            <w:pPr>
              <w:keepNext/>
              <w:jc w:val="center"/>
              <w:rPr>
                <w:rFonts w:ascii="Cambria" w:hAnsi="Cambria"/>
                <w:b/>
                <w:sz w:val="18"/>
                <w:szCs w:val="18"/>
              </w:rPr>
            </w:pPr>
            <w:r>
              <w:rPr>
                <w:rFonts w:ascii="Cambria" w:hAnsi="Cambria"/>
                <w:b/>
                <w:sz w:val="18"/>
                <w:szCs w:val="18"/>
              </w:rPr>
              <w:t>2027</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0E917E52" w14:textId="77777777" w:rsidR="003E6EAD" w:rsidRDefault="003A4514">
            <w:pPr>
              <w:keepNext/>
              <w:jc w:val="center"/>
              <w:rPr>
                <w:rFonts w:ascii="Cambria" w:hAnsi="Cambria"/>
                <w:b/>
                <w:sz w:val="18"/>
                <w:szCs w:val="18"/>
              </w:rPr>
            </w:pPr>
            <w:r>
              <w:rPr>
                <w:rFonts w:ascii="Cambria" w:hAnsi="Cambria"/>
                <w:b/>
                <w:sz w:val="18"/>
                <w:szCs w:val="18"/>
              </w:rPr>
              <w:t>2028</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7EA7DADD" w14:textId="77777777" w:rsidR="003E6EAD" w:rsidRDefault="003A4514">
            <w:pPr>
              <w:keepNext/>
              <w:jc w:val="center"/>
              <w:rPr>
                <w:rFonts w:ascii="Cambria" w:hAnsi="Cambria"/>
                <w:b/>
                <w:sz w:val="18"/>
                <w:szCs w:val="18"/>
              </w:rPr>
            </w:pPr>
            <w:r>
              <w:rPr>
                <w:rFonts w:ascii="Cambria" w:hAnsi="Cambria"/>
                <w:b/>
                <w:sz w:val="18"/>
                <w:szCs w:val="18"/>
              </w:rPr>
              <w:t>2029</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0" w:type="dxa"/>
              <w:left w:w="108" w:type="dxa"/>
              <w:bottom w:w="0" w:type="dxa"/>
              <w:right w:w="108" w:type="dxa"/>
            </w:tcMar>
            <w:vAlign w:val="center"/>
          </w:tcPr>
          <w:p w14:paraId="088450A4" w14:textId="77777777" w:rsidR="003E6EAD" w:rsidRDefault="003A4514">
            <w:pPr>
              <w:keepNext/>
              <w:jc w:val="center"/>
              <w:rPr>
                <w:rFonts w:ascii="Cambria" w:hAnsi="Cambria"/>
                <w:b/>
                <w:sz w:val="18"/>
                <w:szCs w:val="18"/>
              </w:rPr>
            </w:pPr>
            <w:r>
              <w:rPr>
                <w:rFonts w:ascii="Cambria" w:hAnsi="Cambria"/>
                <w:b/>
                <w:sz w:val="18"/>
                <w:szCs w:val="18"/>
              </w:rPr>
              <w:t>2030</w:t>
            </w:r>
          </w:p>
        </w:tc>
      </w:tr>
      <w:tr w:rsidR="006B3678" w14:paraId="48AE53CD"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FF6BBAC" w14:textId="77777777" w:rsidR="003E6EAD" w:rsidRDefault="003A4514">
            <w:pPr>
              <w:keepNext/>
            </w:pPr>
            <w:r>
              <w:rPr>
                <w:rFonts w:ascii="Cambria" w:hAnsi="Cambria"/>
                <w:b/>
                <w:color w:val="124F1A"/>
                <w:sz w:val="18"/>
                <w:szCs w:val="18"/>
              </w:rPr>
              <w:t>Ne-ETS sektora mērķis, GES</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78A8057" w14:textId="77777777" w:rsidR="003E6EAD" w:rsidRDefault="003A4514">
            <w:pPr>
              <w:keepNext/>
              <w:jc w:val="center"/>
              <w:rPr>
                <w:rFonts w:ascii="Cambria" w:eastAsia="Cambria" w:hAnsi="Cambria" w:cs="Cambria"/>
                <w:b/>
                <w:color w:val="124F1A"/>
                <w:sz w:val="18"/>
                <w:szCs w:val="18"/>
              </w:rPr>
            </w:pPr>
            <w:r>
              <w:rPr>
                <w:rFonts w:ascii="Cambria" w:eastAsia="Cambria" w:hAnsi="Cambria" w:cs="Cambria"/>
                <w:b/>
                <w:color w:val="124F1A"/>
                <w:sz w:val="18"/>
                <w:szCs w:val="18"/>
              </w:rPr>
              <w:t>10649,5</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76A4EB0" w14:textId="77777777" w:rsidR="003E6EAD" w:rsidRDefault="003A4514">
            <w:pPr>
              <w:keepNext/>
              <w:jc w:val="center"/>
              <w:rPr>
                <w:rFonts w:ascii="Cambria" w:eastAsia="Cambria" w:hAnsi="Cambria" w:cs="Cambria"/>
                <w:b/>
                <w:color w:val="124F1A"/>
                <w:sz w:val="18"/>
                <w:szCs w:val="18"/>
              </w:rPr>
            </w:pPr>
            <w:r>
              <w:rPr>
                <w:rFonts w:ascii="Cambria" w:eastAsia="Cambria" w:hAnsi="Cambria" w:cs="Cambria"/>
                <w:b/>
                <w:color w:val="124F1A"/>
                <w:sz w:val="18"/>
                <w:szCs w:val="18"/>
              </w:rPr>
              <w:t>8854,8</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7459A1E8" w14:textId="77777777" w:rsidR="003E6EAD" w:rsidRDefault="003A4514">
            <w:pPr>
              <w:keepNext/>
              <w:jc w:val="center"/>
              <w:rPr>
                <w:rFonts w:ascii="Cambria" w:eastAsia="Cambria" w:hAnsi="Cambria" w:cs="Cambria"/>
                <w:b/>
                <w:color w:val="124F1A"/>
                <w:sz w:val="18"/>
                <w:szCs w:val="18"/>
              </w:rPr>
            </w:pPr>
            <w:r>
              <w:rPr>
                <w:rFonts w:ascii="Cambria" w:eastAsia="Cambria" w:hAnsi="Cambria" w:cs="Cambria"/>
                <w:b/>
                <w:color w:val="124F1A"/>
                <w:sz w:val="18"/>
                <w:szCs w:val="18"/>
              </w:rPr>
              <w:t>8640,0</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DA537AB" w14:textId="77777777" w:rsidR="003E6EAD" w:rsidRDefault="003A4514">
            <w:pPr>
              <w:keepNext/>
              <w:jc w:val="center"/>
              <w:rPr>
                <w:rFonts w:ascii="Cambria" w:eastAsia="Cambria" w:hAnsi="Cambria" w:cs="Cambria"/>
                <w:b/>
                <w:color w:val="124F1A"/>
                <w:sz w:val="18"/>
                <w:szCs w:val="18"/>
              </w:rPr>
            </w:pPr>
            <w:r>
              <w:rPr>
                <w:rFonts w:ascii="Cambria" w:eastAsia="Cambria" w:hAnsi="Cambria" w:cs="Cambria"/>
                <w:b/>
                <w:color w:val="124F1A"/>
                <w:sz w:val="18"/>
                <w:szCs w:val="18"/>
              </w:rPr>
              <w:t>8425,2</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365574A9" w14:textId="77777777" w:rsidR="003E6EAD" w:rsidRDefault="003A4514">
            <w:pPr>
              <w:keepNext/>
              <w:jc w:val="center"/>
              <w:rPr>
                <w:rFonts w:ascii="Cambria" w:eastAsia="Cambria" w:hAnsi="Cambria" w:cs="Cambria"/>
                <w:b/>
                <w:color w:val="124F1A"/>
                <w:sz w:val="18"/>
                <w:szCs w:val="18"/>
              </w:rPr>
            </w:pPr>
            <w:r>
              <w:rPr>
                <w:rFonts w:ascii="Cambria" w:eastAsia="Cambria" w:hAnsi="Cambria" w:cs="Cambria"/>
                <w:b/>
                <w:color w:val="124F1A"/>
                <w:sz w:val="18"/>
                <w:szCs w:val="18"/>
              </w:rPr>
              <w:t>8210,3</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769538F" w14:textId="77777777" w:rsidR="003E6EAD" w:rsidRDefault="003A4514">
            <w:pPr>
              <w:keepNext/>
              <w:jc w:val="center"/>
              <w:rPr>
                <w:rFonts w:ascii="Cambria" w:eastAsia="Cambria" w:hAnsi="Cambria" w:cs="Cambria"/>
                <w:i/>
                <w:color w:val="808080"/>
                <w:sz w:val="18"/>
                <w:szCs w:val="18"/>
              </w:rPr>
            </w:pPr>
            <w:r>
              <w:rPr>
                <w:rFonts w:ascii="Cambria" w:eastAsia="Cambria" w:hAnsi="Cambria" w:cs="Cambria"/>
                <w:i/>
                <w:color w:val="808080"/>
                <w:sz w:val="18"/>
                <w:szCs w:val="18"/>
              </w:rPr>
              <w:t>7978,6</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EB75875" w14:textId="77777777" w:rsidR="003E6EAD" w:rsidRDefault="003A4514">
            <w:pPr>
              <w:keepNext/>
              <w:jc w:val="center"/>
              <w:rPr>
                <w:rFonts w:ascii="Cambria" w:eastAsia="Cambria" w:hAnsi="Cambria" w:cs="Cambria"/>
                <w:i/>
                <w:color w:val="808080"/>
                <w:sz w:val="18"/>
                <w:szCs w:val="18"/>
              </w:rPr>
            </w:pPr>
            <w:r>
              <w:rPr>
                <w:rFonts w:ascii="Cambria" w:eastAsia="Cambria" w:hAnsi="Cambria" w:cs="Cambria"/>
                <w:i/>
                <w:color w:val="808080"/>
                <w:sz w:val="18"/>
                <w:szCs w:val="18"/>
              </w:rPr>
              <w:t>7768,0</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AC97399" w14:textId="77777777" w:rsidR="003E6EAD" w:rsidRDefault="003A4514">
            <w:pPr>
              <w:keepNext/>
              <w:jc w:val="center"/>
              <w:rPr>
                <w:rFonts w:ascii="Cambria" w:eastAsia="Cambria" w:hAnsi="Cambria" w:cs="Cambria"/>
                <w:i/>
                <w:color w:val="808080"/>
                <w:sz w:val="18"/>
                <w:szCs w:val="18"/>
              </w:rPr>
            </w:pPr>
            <w:r>
              <w:rPr>
                <w:rFonts w:ascii="Cambria" w:eastAsia="Cambria" w:hAnsi="Cambria" w:cs="Cambria"/>
                <w:i/>
                <w:color w:val="808080"/>
                <w:sz w:val="18"/>
                <w:szCs w:val="18"/>
              </w:rPr>
              <w:t>7557,4</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D64680E" w14:textId="77777777" w:rsidR="003E6EAD" w:rsidRDefault="003A4514">
            <w:pPr>
              <w:keepNext/>
              <w:jc w:val="center"/>
              <w:rPr>
                <w:rFonts w:ascii="Cambria" w:eastAsia="Cambria" w:hAnsi="Cambria" w:cs="Cambria"/>
                <w:i/>
                <w:color w:val="808080"/>
                <w:sz w:val="18"/>
                <w:szCs w:val="18"/>
              </w:rPr>
            </w:pPr>
            <w:r>
              <w:rPr>
                <w:rFonts w:ascii="Cambria" w:eastAsia="Cambria" w:hAnsi="Cambria" w:cs="Cambria"/>
                <w:i/>
                <w:color w:val="808080"/>
                <w:sz w:val="18"/>
                <w:szCs w:val="18"/>
              </w:rPr>
              <w:t>7346,8</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3FF8D91F" w14:textId="77777777" w:rsidR="003E6EAD" w:rsidRDefault="003A4514">
            <w:pPr>
              <w:keepNext/>
              <w:jc w:val="center"/>
              <w:rPr>
                <w:rFonts w:ascii="Cambria" w:eastAsia="Cambria" w:hAnsi="Cambria" w:cs="Cambria"/>
                <w:i/>
                <w:color w:val="808080"/>
                <w:sz w:val="18"/>
                <w:szCs w:val="18"/>
              </w:rPr>
            </w:pPr>
            <w:r>
              <w:rPr>
                <w:rFonts w:ascii="Cambria" w:eastAsia="Cambria" w:hAnsi="Cambria" w:cs="Cambria"/>
                <w:i/>
                <w:color w:val="808080"/>
                <w:sz w:val="18"/>
                <w:szCs w:val="18"/>
              </w:rPr>
              <w:t>7136,2</w:t>
            </w:r>
          </w:p>
        </w:tc>
      </w:tr>
      <w:tr w:rsidR="005772F4" w14:paraId="4D2CFFB5"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vAlign w:val="center"/>
          </w:tcPr>
          <w:p w14:paraId="62D1BBA2" w14:textId="77777777" w:rsidR="003E6EAD" w:rsidRDefault="003A4514">
            <w:pPr>
              <w:keepNext/>
            </w:pPr>
            <w:r>
              <w:rPr>
                <w:rFonts w:ascii="Cambria" w:hAnsi="Cambria"/>
                <w:sz w:val="18"/>
                <w:szCs w:val="18"/>
              </w:rPr>
              <w:t xml:space="preserve">Ne-ETS SEG emisijas </w:t>
            </w:r>
            <w:r>
              <w:rPr>
                <w:rFonts w:ascii="Cambria" w:hAnsi="Cambria"/>
                <w:i/>
                <w:sz w:val="18"/>
                <w:szCs w:val="18"/>
              </w:rPr>
              <w:t>WEM scenārijā</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23181FBA"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8680,2</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6F85EF4B"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8436,4</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003A1074"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8240,7</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4E95DD86"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8301,0</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66603E09"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8224,4</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1538DE20"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8072,0</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41AE38F5"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8004,6</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53CBE5D8"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7866,2</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503D7D50"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7768,1</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61FD4AD7"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7555,7</w:t>
            </w:r>
          </w:p>
        </w:tc>
      </w:tr>
      <w:tr w:rsidR="005772F4" w14:paraId="4E275D68"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vAlign w:val="center"/>
          </w:tcPr>
          <w:p w14:paraId="525AA848" w14:textId="77777777" w:rsidR="003E6EAD" w:rsidRDefault="003A4514">
            <w:pPr>
              <w:keepNext/>
            </w:pPr>
            <w:r>
              <w:rPr>
                <w:rFonts w:ascii="Cambria" w:hAnsi="Cambria"/>
                <w:sz w:val="18"/>
                <w:szCs w:val="18"/>
              </w:rPr>
              <w:t xml:space="preserve">Ne-ETS SEG emisijas </w:t>
            </w:r>
            <w:r>
              <w:rPr>
                <w:rFonts w:ascii="Cambria" w:hAnsi="Cambria"/>
                <w:i/>
                <w:sz w:val="18"/>
                <w:szCs w:val="18"/>
              </w:rPr>
              <w:t>WAM scenārijā</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AF6B0B6"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8680,2</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64E63F29"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8436,4</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011EA46"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8240,7</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A556C39"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8243,5</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3A25BD05"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8118,5</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54D13B76"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7959,9</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9E3051D"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7873,7</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15483548"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7722,4</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0E30B57E"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7618,6</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DAF6E4C"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7348,4</w:t>
            </w:r>
          </w:p>
        </w:tc>
      </w:tr>
      <w:tr w:rsidR="005772F4" w14:paraId="33C2DFE9"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vAlign w:val="center"/>
          </w:tcPr>
          <w:p w14:paraId="57374C1A" w14:textId="77777777" w:rsidR="003E6EAD" w:rsidRDefault="003A4514">
            <w:pPr>
              <w:keepNext/>
            </w:pPr>
            <w:r>
              <w:rPr>
                <w:rFonts w:ascii="Cambria" w:hAnsi="Cambria"/>
                <w:sz w:val="18"/>
                <w:szCs w:val="18"/>
              </w:rPr>
              <w:t xml:space="preserve">Ne-ETS SEG emisijas </w:t>
            </w:r>
            <w:r>
              <w:rPr>
                <w:rFonts w:ascii="Cambria" w:hAnsi="Cambria"/>
                <w:i/>
                <w:iCs/>
                <w:sz w:val="18"/>
                <w:szCs w:val="18"/>
              </w:rPr>
              <w:t>NEKP mērķu scenārijā</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F6F5BCE" w14:textId="77777777" w:rsidR="003E6EAD" w:rsidRDefault="003A4514">
            <w:pPr>
              <w:keepNext/>
              <w:jc w:val="center"/>
            </w:pPr>
            <w:r>
              <w:rPr>
                <w:rFonts w:ascii="Cambria" w:hAnsi="Cambria"/>
                <w:sz w:val="18"/>
                <w:szCs w:val="18"/>
              </w:rPr>
              <w:t>8680,2</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6E21F049" w14:textId="77777777" w:rsidR="003E6EAD" w:rsidRDefault="003A4514">
            <w:pPr>
              <w:keepNext/>
              <w:jc w:val="center"/>
            </w:pPr>
            <w:r>
              <w:rPr>
                <w:rFonts w:ascii="Cambria" w:hAnsi="Cambria"/>
                <w:sz w:val="18"/>
                <w:szCs w:val="18"/>
              </w:rPr>
              <w:t>8436,4</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270C0380" w14:textId="77777777" w:rsidR="003E6EAD" w:rsidRDefault="003A4514">
            <w:pPr>
              <w:keepNext/>
              <w:jc w:val="center"/>
            </w:pPr>
            <w:r>
              <w:rPr>
                <w:rFonts w:ascii="Cambria" w:hAnsi="Cambria"/>
                <w:sz w:val="18"/>
                <w:szCs w:val="18"/>
              </w:rPr>
              <w:t>8240,7</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12EF1D65" w14:textId="77777777" w:rsidR="003E6EAD" w:rsidRDefault="003A4514">
            <w:pPr>
              <w:keepNext/>
              <w:jc w:val="center"/>
            </w:pPr>
            <w:r>
              <w:rPr>
                <w:rFonts w:ascii="Cambria" w:hAnsi="Cambria"/>
                <w:sz w:val="18"/>
                <w:szCs w:val="18"/>
              </w:rPr>
              <w:t>7813,1</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A4761A3" w14:textId="77777777" w:rsidR="003E6EAD" w:rsidRDefault="003A4514">
            <w:pPr>
              <w:keepNext/>
              <w:jc w:val="center"/>
            </w:pPr>
            <w:r>
              <w:rPr>
                <w:rFonts w:ascii="Cambria" w:hAnsi="Cambria"/>
                <w:sz w:val="18"/>
                <w:szCs w:val="18"/>
              </w:rPr>
              <w:t>7653,8</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1F79A207" w14:textId="77777777" w:rsidR="003E6EAD" w:rsidRDefault="003A4514">
            <w:pPr>
              <w:keepNext/>
              <w:jc w:val="center"/>
            </w:pPr>
            <w:r>
              <w:rPr>
                <w:rFonts w:ascii="Cambria" w:hAnsi="Cambria"/>
                <w:i/>
                <w:iCs/>
                <w:sz w:val="18"/>
                <w:szCs w:val="18"/>
              </w:rPr>
              <w:t>7459,0</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1849AB1B" w14:textId="77777777" w:rsidR="003E6EAD" w:rsidRDefault="003A4514">
            <w:pPr>
              <w:keepNext/>
              <w:jc w:val="center"/>
            </w:pPr>
            <w:r>
              <w:rPr>
                <w:rFonts w:ascii="Cambria" w:hAnsi="Cambria"/>
                <w:i/>
                <w:iCs/>
                <w:sz w:val="18"/>
                <w:szCs w:val="18"/>
              </w:rPr>
              <w:t>7338,6</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5D35E600" w14:textId="77777777" w:rsidR="003E6EAD" w:rsidRDefault="003A4514">
            <w:pPr>
              <w:keepNext/>
              <w:jc w:val="center"/>
            </w:pPr>
            <w:r>
              <w:rPr>
                <w:rFonts w:ascii="Cambria" w:hAnsi="Cambria"/>
                <w:i/>
                <w:iCs/>
                <w:sz w:val="18"/>
                <w:szCs w:val="18"/>
              </w:rPr>
              <w:t>7178,9</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77C57ADE" w14:textId="77777777" w:rsidR="003E6EAD" w:rsidRDefault="003A4514">
            <w:pPr>
              <w:keepNext/>
              <w:jc w:val="center"/>
            </w:pPr>
            <w:r>
              <w:rPr>
                <w:rFonts w:ascii="Cambria" w:hAnsi="Cambria"/>
                <w:i/>
                <w:iCs/>
                <w:sz w:val="18"/>
                <w:szCs w:val="18"/>
              </w:rPr>
              <w:t>7014,9</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tcMar>
              <w:top w:w="0" w:type="dxa"/>
              <w:left w:w="108" w:type="dxa"/>
              <w:bottom w:w="0" w:type="dxa"/>
              <w:right w:w="108" w:type="dxa"/>
            </w:tcMar>
          </w:tcPr>
          <w:p w14:paraId="6E0793ED" w14:textId="77777777" w:rsidR="003E6EAD" w:rsidRDefault="003A4514">
            <w:pPr>
              <w:keepNext/>
              <w:jc w:val="center"/>
            </w:pPr>
            <w:r>
              <w:rPr>
                <w:rFonts w:ascii="Cambria" w:hAnsi="Cambria"/>
                <w:i/>
                <w:iCs/>
                <w:sz w:val="18"/>
                <w:szCs w:val="18"/>
              </w:rPr>
              <w:t>6834,5</w:t>
            </w:r>
          </w:p>
        </w:tc>
      </w:tr>
      <w:tr w:rsidR="006B3678" w14:paraId="79B6C7EC"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vAlign w:val="center"/>
          </w:tcPr>
          <w:p w14:paraId="5614CE60" w14:textId="77777777" w:rsidR="003E6EAD" w:rsidRDefault="003A4514">
            <w:pPr>
              <w:keepNext/>
            </w:pPr>
            <w:r>
              <w:rPr>
                <w:rFonts w:ascii="Cambria" w:hAnsi="Cambria"/>
                <w:sz w:val="18"/>
                <w:szCs w:val="18"/>
              </w:rPr>
              <w:t xml:space="preserve">Ne-ETS mērķa </w:t>
            </w:r>
            <w:r>
              <w:rPr>
                <w:rFonts w:ascii="Cambria" w:hAnsi="Cambria"/>
                <w:b/>
                <w:i/>
                <w:sz w:val="18"/>
                <w:szCs w:val="18"/>
              </w:rPr>
              <w:t>izpilde</w:t>
            </w:r>
            <w:r>
              <w:rPr>
                <w:rFonts w:ascii="Cambria" w:hAnsi="Cambria"/>
                <w:sz w:val="18"/>
                <w:szCs w:val="18"/>
              </w:rPr>
              <w:t xml:space="preserve"> </w:t>
            </w:r>
            <w:r>
              <w:rPr>
                <w:rFonts w:ascii="Cambria" w:hAnsi="Cambria"/>
                <w:i/>
                <w:sz w:val="18"/>
                <w:szCs w:val="18"/>
              </w:rPr>
              <w:t>WEM scenārijā</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773E25D1"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1969,3</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63DC72D"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418,4</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B0ED3C1"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399,3</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72DE54BF"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124,1</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56662815"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-14,0</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81CA1D8"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-93,4</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D79AABE"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-236,6</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F981B9A"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-308,8</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3967E865"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-421,3</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24B317F"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-419,5</w:t>
            </w:r>
          </w:p>
        </w:tc>
      </w:tr>
      <w:tr w:rsidR="006B3678" w14:paraId="5548ABF0"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vAlign w:val="center"/>
          </w:tcPr>
          <w:p w14:paraId="7420B36C" w14:textId="77777777" w:rsidR="003E6EAD" w:rsidRDefault="003A4514">
            <w:pPr>
              <w:keepNext/>
            </w:pPr>
            <w:r>
              <w:rPr>
                <w:rFonts w:ascii="Cambria" w:hAnsi="Cambria"/>
                <w:sz w:val="18"/>
                <w:szCs w:val="18"/>
              </w:rPr>
              <w:t xml:space="preserve">Ne-ETS mērķa </w:t>
            </w:r>
            <w:r>
              <w:rPr>
                <w:rFonts w:ascii="Cambria" w:hAnsi="Cambria"/>
                <w:b/>
                <w:i/>
                <w:sz w:val="18"/>
                <w:szCs w:val="18"/>
              </w:rPr>
              <w:t xml:space="preserve">izpilde </w:t>
            </w:r>
            <w:r>
              <w:rPr>
                <w:rFonts w:ascii="Cambria" w:hAnsi="Cambria"/>
                <w:i/>
                <w:sz w:val="18"/>
                <w:szCs w:val="18"/>
              </w:rPr>
              <w:t>WAM scenārijā</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5903ED5"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1969,3</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9C729F4"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418,4</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58A12E6F"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399,3</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3A7F4C64"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181,7</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40A259AA" w14:textId="77777777" w:rsidR="003E6EAD" w:rsidRDefault="003A4514">
            <w:pPr>
              <w:keepNext/>
              <w:jc w:val="center"/>
              <w:rPr>
                <w:rFonts w:ascii="Cambria" w:eastAsia="Cambria" w:hAnsi="Cambria" w:cs="Cambria"/>
                <w:sz w:val="18"/>
                <w:szCs w:val="18"/>
              </w:rPr>
            </w:pPr>
            <w:r>
              <w:rPr>
                <w:rFonts w:ascii="Cambria" w:eastAsia="Cambria" w:hAnsi="Cambria" w:cs="Cambria"/>
                <w:sz w:val="18"/>
                <w:szCs w:val="18"/>
              </w:rPr>
              <w:t>91,8</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F56B795"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18,6</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CCDAD64"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-105,7</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9819C22"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-165,1</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C4FB725"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-271,8</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931C469" w14:textId="77777777" w:rsidR="003E6EAD" w:rsidRDefault="003A4514">
            <w:pPr>
              <w:keepNext/>
              <w:jc w:val="center"/>
              <w:rPr>
                <w:rFonts w:ascii="Cambria" w:eastAsia="Cambria" w:hAnsi="Cambria" w:cs="Cambria"/>
                <w:i/>
                <w:sz w:val="18"/>
                <w:szCs w:val="18"/>
              </w:rPr>
            </w:pPr>
            <w:r>
              <w:rPr>
                <w:rFonts w:ascii="Cambria" w:eastAsia="Cambria" w:hAnsi="Cambria" w:cs="Cambria"/>
                <w:i/>
                <w:sz w:val="18"/>
                <w:szCs w:val="18"/>
              </w:rPr>
              <w:t>-212,2</w:t>
            </w:r>
          </w:p>
        </w:tc>
      </w:tr>
      <w:tr w:rsidR="006B3678" w14:paraId="6D152993" w14:textId="77777777" w:rsidTr="1349CB80">
        <w:trPr>
          <w:trHeight w:val="305"/>
        </w:trPr>
        <w:tc>
          <w:tcPr>
            <w:tcW w:w="21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vAlign w:val="center"/>
          </w:tcPr>
          <w:p w14:paraId="5FF8EE14" w14:textId="77777777" w:rsidR="003E6EAD" w:rsidRDefault="003A4514">
            <w:pPr>
              <w:keepNext/>
            </w:pPr>
            <w:r>
              <w:rPr>
                <w:rFonts w:ascii="Cambria" w:hAnsi="Cambria"/>
                <w:sz w:val="18"/>
                <w:szCs w:val="18"/>
              </w:rPr>
              <w:t xml:space="preserve">Ne-ETS mērķa </w:t>
            </w:r>
            <w:r>
              <w:rPr>
                <w:rFonts w:ascii="Cambria" w:hAnsi="Cambria"/>
                <w:b/>
                <w:bCs/>
                <w:i/>
                <w:iCs/>
                <w:sz w:val="18"/>
                <w:szCs w:val="18"/>
              </w:rPr>
              <w:t xml:space="preserve">izpilde </w:t>
            </w:r>
            <w:r>
              <w:rPr>
                <w:rFonts w:ascii="Cambria" w:hAnsi="Cambria"/>
                <w:i/>
                <w:iCs/>
                <w:sz w:val="18"/>
                <w:szCs w:val="18"/>
              </w:rPr>
              <w:t>NEKP mērķu scenārijā</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6BD25193" w14:textId="77777777" w:rsidR="003E6EAD" w:rsidRDefault="003A4514">
            <w:pPr>
              <w:keepNext/>
              <w:jc w:val="center"/>
            </w:pPr>
            <w:r>
              <w:rPr>
                <w:rFonts w:ascii="Cambria" w:hAnsi="Cambria"/>
                <w:sz w:val="18"/>
                <w:szCs w:val="18"/>
              </w:rPr>
              <w:t>1969,3</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7E906C36" w14:textId="77777777" w:rsidR="003E6EAD" w:rsidRDefault="003A4514">
            <w:pPr>
              <w:keepNext/>
              <w:jc w:val="center"/>
            </w:pPr>
            <w:r>
              <w:rPr>
                <w:rFonts w:ascii="Cambria" w:hAnsi="Cambria"/>
                <w:sz w:val="18"/>
                <w:szCs w:val="18"/>
              </w:rPr>
              <w:t>418,4</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5943E8B" w14:textId="77777777" w:rsidR="003E6EAD" w:rsidRDefault="003A4514">
            <w:pPr>
              <w:keepNext/>
              <w:jc w:val="center"/>
            </w:pPr>
            <w:r>
              <w:rPr>
                <w:rFonts w:ascii="Cambria" w:hAnsi="Cambria"/>
                <w:sz w:val="18"/>
                <w:szCs w:val="18"/>
              </w:rPr>
              <w:t>399,3</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233015C4" w14:textId="77777777" w:rsidR="003E6EAD" w:rsidRDefault="003A4514">
            <w:pPr>
              <w:keepNext/>
              <w:jc w:val="center"/>
            </w:pPr>
            <w:r>
              <w:rPr>
                <w:rFonts w:ascii="Cambria" w:hAnsi="Cambria"/>
                <w:sz w:val="18"/>
                <w:szCs w:val="18"/>
              </w:rPr>
              <w:t>612,1</w:t>
            </w:r>
          </w:p>
        </w:tc>
        <w:tc>
          <w:tcPr>
            <w:tcW w:w="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6BFCDAF" w14:textId="77777777" w:rsidR="003E6EAD" w:rsidRDefault="003A4514">
            <w:pPr>
              <w:keepNext/>
              <w:jc w:val="center"/>
            </w:pPr>
            <w:r>
              <w:rPr>
                <w:rFonts w:ascii="Cambria" w:hAnsi="Cambria"/>
                <w:sz w:val="18"/>
                <w:szCs w:val="18"/>
              </w:rPr>
              <w:t>556,5</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07425F03" w14:textId="77777777" w:rsidR="003E6EAD" w:rsidRDefault="003A4514">
            <w:pPr>
              <w:keepNext/>
              <w:jc w:val="center"/>
            </w:pPr>
            <w:r>
              <w:rPr>
                <w:rFonts w:ascii="Cambria" w:hAnsi="Cambria"/>
                <w:i/>
                <w:iCs/>
                <w:sz w:val="18"/>
                <w:szCs w:val="18"/>
              </w:rPr>
              <w:t>519,6</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18439E8E" w14:textId="77777777" w:rsidR="003E6EAD" w:rsidRDefault="003A4514">
            <w:pPr>
              <w:keepNext/>
              <w:jc w:val="center"/>
            </w:pPr>
            <w:r>
              <w:rPr>
                <w:rFonts w:ascii="Cambria" w:hAnsi="Cambria"/>
                <w:i/>
                <w:iCs/>
                <w:sz w:val="18"/>
                <w:szCs w:val="18"/>
              </w:rPr>
              <w:t>429,4</w:t>
            </w:r>
          </w:p>
        </w:tc>
        <w:tc>
          <w:tcPr>
            <w:tcW w:w="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7526645B" w14:textId="77777777" w:rsidR="003E6EAD" w:rsidRDefault="003A4514">
            <w:pPr>
              <w:keepNext/>
              <w:jc w:val="center"/>
            </w:pPr>
            <w:r>
              <w:rPr>
                <w:rFonts w:ascii="Cambria" w:hAnsi="Cambria"/>
                <w:i/>
                <w:iCs/>
                <w:sz w:val="18"/>
                <w:szCs w:val="18"/>
              </w:rPr>
              <w:t>378,5</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5CE4EECB" w14:textId="77777777" w:rsidR="003E6EAD" w:rsidRDefault="003A4514">
            <w:pPr>
              <w:keepNext/>
              <w:jc w:val="center"/>
            </w:pPr>
            <w:r>
              <w:rPr>
                <w:rFonts w:ascii="Cambria" w:hAnsi="Cambria"/>
                <w:i/>
                <w:iCs/>
                <w:sz w:val="18"/>
                <w:szCs w:val="18"/>
              </w:rPr>
              <w:t>331,9</w:t>
            </w:r>
          </w:p>
        </w:tc>
        <w:tc>
          <w:tcPr>
            <w:tcW w:w="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0" w:type="dxa"/>
              <w:left w:w="108" w:type="dxa"/>
              <w:bottom w:w="0" w:type="dxa"/>
              <w:right w:w="108" w:type="dxa"/>
            </w:tcMar>
          </w:tcPr>
          <w:p w14:paraId="55A9C5C6" w14:textId="77777777" w:rsidR="003E6EAD" w:rsidRDefault="003A4514">
            <w:pPr>
              <w:keepNext/>
              <w:jc w:val="center"/>
            </w:pPr>
            <w:r>
              <w:rPr>
                <w:rFonts w:ascii="Cambria" w:hAnsi="Cambria"/>
                <w:i/>
                <w:iCs/>
                <w:sz w:val="18"/>
                <w:szCs w:val="18"/>
              </w:rPr>
              <w:t>301,6</w:t>
            </w:r>
          </w:p>
        </w:tc>
      </w:tr>
    </w:tbl>
    <w:p w14:paraId="5FE8D4C7" w14:textId="77777777" w:rsidR="003E6EAD" w:rsidRDefault="003A4514">
      <w:pPr>
        <w:spacing w:before="120" w:after="120" w:line="240" w:lineRule="auto"/>
        <w:ind w:firstLine="567"/>
        <w:jc w:val="both"/>
      </w:pPr>
      <w:r>
        <w:rPr>
          <w:rFonts w:ascii="Cambria" w:hAnsi="Cambria"/>
          <w:sz w:val="24"/>
          <w:szCs w:val="24"/>
        </w:rPr>
        <w:t>Atbilstoši 2024. gada atjauninātajam 2023. gada integrētajam ziņojumam par politikām, pasākumiem un SEG prognozēm</w:t>
      </w:r>
      <w:r>
        <w:rPr>
          <w:rStyle w:val="FootnoteReference"/>
          <w:rFonts w:ascii="Cambria" w:hAnsi="Cambria"/>
          <w:sz w:val="24"/>
          <w:szCs w:val="24"/>
        </w:rPr>
        <w:footnoteReference w:id="65"/>
      </w:r>
      <w:r>
        <w:rPr>
          <w:rFonts w:ascii="Cambria" w:hAnsi="Cambria"/>
          <w:sz w:val="24"/>
          <w:szCs w:val="24"/>
        </w:rPr>
        <w:t xml:space="preserve"> </w:t>
      </w:r>
      <w:r>
        <w:rPr>
          <w:rFonts w:ascii="Cambria" w:hAnsi="Cambria"/>
          <w:b/>
          <w:bCs/>
          <w:sz w:val="24"/>
          <w:szCs w:val="24"/>
        </w:rPr>
        <w:t>Latvija 2030. gada ne-ETS sektora SEG emisiju samazinājuma mērķi -17 % salīdzinājumā ar 2005. gadu nevarēs sasniegt</w:t>
      </w:r>
      <w:r>
        <w:rPr>
          <w:rFonts w:ascii="Cambria" w:hAnsi="Cambria"/>
          <w:sz w:val="24"/>
          <w:szCs w:val="24"/>
        </w:rPr>
        <w:t xml:space="preserve"> ne scenārijā ar esošajiem pasākumiem (WEM) (2030. gadā prognozēts -12 % samazinājums pret 2005. gadu), ne arī scenārijā ar papildus pasākumiem (WAM) (2030. gadā prognozēts 15 % samazinājums pret 2005. gadu). </w:t>
      </w:r>
    </w:p>
    <w:p w14:paraId="0237B12F" w14:textId="61E60F51" w:rsidR="003E6EAD" w:rsidRDefault="003A4514">
      <w:pPr>
        <w:spacing w:before="120" w:after="120" w:line="240" w:lineRule="auto"/>
        <w:ind w:firstLine="567"/>
        <w:jc w:val="both"/>
      </w:pPr>
      <w:r>
        <w:rPr>
          <w:rFonts w:ascii="Cambria" w:hAnsi="Cambria"/>
          <w:sz w:val="24"/>
          <w:szCs w:val="24"/>
        </w:rPr>
        <w:t xml:space="preserve">Jau sākot no 2025. gada, WEM scenārijā netiks izpildīts ne-ETS sektora mērķis, bet, sākot no 2027. gada, gan WEM, gan WAM scenārijā netiks izpildīts ne-ETS sektora SEG </w:t>
      </w:r>
      <w:r>
        <w:rPr>
          <w:rFonts w:ascii="Cambria" w:hAnsi="Cambria"/>
          <w:sz w:val="24"/>
          <w:szCs w:val="24"/>
        </w:rPr>
        <w:lastRenderedPageBreak/>
        <w:t>emisiju mērķis.</w:t>
      </w:r>
      <w:r>
        <w:t xml:space="preserve"> </w:t>
      </w:r>
      <w:r w:rsidRPr="00533DAF">
        <w:rPr>
          <w:rFonts w:ascii="Cambria" w:hAnsi="Cambria"/>
          <w:sz w:val="24"/>
          <w:szCs w:val="24"/>
        </w:rPr>
        <w:t xml:space="preserve">Savukārt </w:t>
      </w:r>
      <w:r w:rsidRPr="003B6166">
        <w:rPr>
          <w:rFonts w:ascii="Cambria" w:hAnsi="Cambria"/>
          <w:sz w:val="24"/>
          <w:szCs w:val="24"/>
        </w:rPr>
        <w:t>NEKP</w:t>
      </w:r>
      <w:r>
        <w:rPr>
          <w:rFonts w:ascii="Cambria" w:hAnsi="Cambria"/>
          <w:sz w:val="24"/>
          <w:szCs w:val="24"/>
        </w:rPr>
        <w:t xml:space="preserve"> mērķu scenārij</w:t>
      </w:r>
      <w:r w:rsidR="00224932">
        <w:rPr>
          <w:rFonts w:ascii="Cambria" w:hAnsi="Cambria"/>
          <w:sz w:val="24"/>
          <w:szCs w:val="24"/>
        </w:rPr>
        <w:t xml:space="preserve">s </w:t>
      </w:r>
      <w:r>
        <w:rPr>
          <w:rFonts w:ascii="Cambria" w:hAnsi="Cambria"/>
          <w:sz w:val="24"/>
          <w:szCs w:val="24"/>
        </w:rPr>
        <w:t>liecina, ka ne-ETS sektora SEG emisiju mērķis visā laika rindā līdz 2030. gadam tiktu izpildīts, pie nosacījuma, ja tiek īstenotas plānotās politikas un pasākumi.</w:t>
      </w:r>
    </w:p>
    <w:p w14:paraId="2D951837"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SEG mērķu ne-ETS sektoros izpildei var tikt izmantotas Regulas 2018/842 5. un 7. pantā minētās elastības iespējas. Ja EK ikgadējā izvērtējumā, kas veikts saskaņā ar Regulas 2018/1999 29. pantu, un ņemot vērā dalībvalstu plānus izmantot elastības iespējas, konstatē, ka dalībvalsts virzība uz mērķu izpildi ir nepietiekama, tad trīs mēnešu laikā valsts iesniedz EK korektīvo rīcību plānu. </w:t>
      </w:r>
    </w:p>
    <w:p w14:paraId="4BCEBC0A"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Saskaņā ar 2024. gada atjaunināto 2023. gada integrēto ziņojumu par politikām, pasākumiem un SEG prognozēm un EK 2024. gada ikgadējo izvērtējumu</w:t>
      </w:r>
      <w:r w:rsidRPr="5B9FE7F0">
        <w:rPr>
          <w:rStyle w:val="FootnoteReference"/>
          <w:rFonts w:ascii="Cambria" w:hAnsi="Cambria"/>
          <w:sz w:val="24"/>
          <w:szCs w:val="24"/>
        </w:rPr>
        <w:footnoteReference w:id="66"/>
      </w:r>
      <w:r w:rsidRPr="5B9FE7F0">
        <w:rPr>
          <w:rFonts w:ascii="Cambria" w:hAnsi="Cambria"/>
          <w:sz w:val="24"/>
          <w:szCs w:val="24"/>
        </w:rPr>
        <w:t xml:space="preserve"> 2021. un 2022. gada mērķi Latvija izpilda.</w:t>
      </w:r>
    </w:p>
    <w:p w14:paraId="5510B61B"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2021. – 2025. gada atbilstības shēma  un ne-ETS atbilstības pārbaužu kaskāde 2027. un 2032. gadā atspoguļota šā ziņojuma 2. pielikumā.</w:t>
      </w:r>
    </w:p>
    <w:p w14:paraId="7D2707EA" w14:textId="77777777" w:rsidR="003E6EAD" w:rsidRDefault="003A4514" w:rsidP="5B9FE7F0">
      <w:pPr>
        <w:pStyle w:val="NormalWeb"/>
        <w:spacing w:before="120" w:after="120"/>
        <w:jc w:val="both"/>
        <w:rPr>
          <w:rFonts w:ascii="Cambria" w:hAnsi="Cambria"/>
        </w:rPr>
      </w:pPr>
      <w:r w:rsidRPr="5B9FE7F0">
        <w:rPr>
          <w:rFonts w:ascii="Cambria" w:hAnsi="Cambria"/>
        </w:rPr>
        <w:t xml:space="preserve">NEKP nosaka indikatīvos sektorālos mērķus, </w:t>
      </w:r>
      <w:r w:rsidRPr="5B9FE7F0">
        <w:t xml:space="preserve"> lai nodrošinātu Latvijai noteikto mērķi -17% ne-ETS sasniegšanā,</w:t>
      </w:r>
      <w:r w:rsidRPr="5B9FE7F0">
        <w:rPr>
          <w:rFonts w:ascii="Cambria" w:hAnsi="Cambria"/>
        </w:rPr>
        <w:t xml:space="preserve"> skatīt 5. tabulā.</w:t>
      </w:r>
    </w:p>
    <w:p w14:paraId="5D67A19A" w14:textId="77777777" w:rsidR="003E6EAD" w:rsidRDefault="003A4514">
      <w:pPr>
        <w:pStyle w:val="NormalWeb"/>
        <w:spacing w:before="120" w:after="120"/>
        <w:ind w:left="540"/>
        <w:jc w:val="center"/>
        <w:rPr>
          <w:rFonts w:ascii="Cambria" w:hAnsi="Cambria"/>
          <w:b/>
          <w:bCs/>
        </w:rPr>
      </w:pPr>
      <w:r>
        <w:rPr>
          <w:rFonts w:ascii="Cambria" w:hAnsi="Cambria"/>
          <w:b/>
          <w:bCs/>
        </w:rPr>
        <w:t>5. tabula. Indikatīvie ne-ETS sektoru mērķi 2030. gadā</w:t>
      </w:r>
    </w:p>
    <w:tbl>
      <w:tblPr>
        <w:tblW w:w="4155" w:type="pct"/>
        <w:tblInd w:w="781" w:type="dxa"/>
        <w:tblCellMar>
          <w:left w:w="10" w:type="dxa"/>
          <w:right w:w="10" w:type="dxa"/>
        </w:tblCellMar>
        <w:tblLook w:val="04A0" w:firstRow="1" w:lastRow="0" w:firstColumn="1" w:lastColumn="0" w:noHBand="0" w:noVBand="1"/>
      </w:tblPr>
      <w:tblGrid>
        <w:gridCol w:w="4748"/>
        <w:gridCol w:w="2777"/>
      </w:tblGrid>
      <w:tr w:rsidR="003E6EAD" w14:paraId="2413334C" w14:textId="77777777" w:rsidTr="5B9FE7F0">
        <w:trPr>
          <w:trHeight w:val="568"/>
          <w:tblHeader/>
        </w:trPr>
        <w:tc>
          <w:tcPr>
            <w:tcW w:w="4748"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Mar>
              <w:top w:w="20" w:type="dxa"/>
              <w:left w:w="20" w:type="dxa"/>
              <w:bottom w:w="20" w:type="dxa"/>
              <w:right w:w="20" w:type="dxa"/>
            </w:tcMar>
            <w:vAlign w:val="center"/>
          </w:tcPr>
          <w:p w14:paraId="6BAF8C0D" w14:textId="77777777" w:rsidR="003E6EAD" w:rsidRDefault="003A4514">
            <w:pPr>
              <w:spacing w:before="195" w:after="0" w:line="240" w:lineRule="auto"/>
              <w:jc w:val="center"/>
              <w:rPr>
                <w:rFonts w:ascii="Cambria" w:eastAsia="Times New Roman" w:hAnsi="Cambria" w:cs="Arial"/>
                <w:b/>
                <w:bCs/>
                <w:color w:val="0A2F41"/>
                <w:sz w:val="20"/>
                <w:szCs w:val="20"/>
                <w:lang w:eastAsia="lv-LV"/>
              </w:rPr>
            </w:pPr>
            <w:r>
              <w:rPr>
                <w:rFonts w:ascii="Cambria" w:eastAsia="Times New Roman" w:hAnsi="Cambria" w:cs="Arial"/>
                <w:b/>
                <w:bCs/>
                <w:color w:val="0A2F41"/>
                <w:sz w:val="20"/>
                <w:szCs w:val="20"/>
                <w:lang w:eastAsia="lv-LV"/>
              </w:rPr>
              <w:t>Ne-ETS  sektors</w:t>
            </w:r>
          </w:p>
        </w:tc>
        <w:tc>
          <w:tcPr>
            <w:tcW w:w="2777"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Mar>
              <w:top w:w="20" w:type="dxa"/>
              <w:left w:w="20" w:type="dxa"/>
              <w:bottom w:w="20" w:type="dxa"/>
              <w:right w:w="20" w:type="dxa"/>
            </w:tcMar>
            <w:vAlign w:val="center"/>
          </w:tcPr>
          <w:p w14:paraId="489CB945" w14:textId="77777777" w:rsidR="003E6EAD" w:rsidRDefault="003A4514">
            <w:pPr>
              <w:spacing w:after="0" w:line="240" w:lineRule="auto"/>
              <w:jc w:val="center"/>
              <w:rPr>
                <w:rFonts w:ascii="Cambria" w:eastAsia="Times New Roman" w:hAnsi="Cambria" w:cs="Arial"/>
                <w:b/>
                <w:bCs/>
                <w:color w:val="0A2F41"/>
                <w:sz w:val="20"/>
                <w:szCs w:val="20"/>
                <w:lang w:eastAsia="lv-LV"/>
              </w:rPr>
            </w:pPr>
            <w:r>
              <w:rPr>
                <w:rFonts w:ascii="Cambria" w:eastAsia="Times New Roman" w:hAnsi="Cambria" w:cs="Arial"/>
                <w:b/>
                <w:bCs/>
                <w:color w:val="0A2F41"/>
                <w:sz w:val="20"/>
                <w:szCs w:val="20"/>
                <w:lang w:eastAsia="lv-LV"/>
              </w:rPr>
              <w:t>2030. gada mērķa apjomi</w:t>
            </w:r>
          </w:p>
          <w:p w14:paraId="3F7C714B" w14:textId="77777777" w:rsidR="003E6EAD" w:rsidRDefault="003A4514" w:rsidP="5B9FE7F0">
            <w:pPr>
              <w:spacing w:after="0" w:line="240" w:lineRule="auto"/>
              <w:jc w:val="center"/>
              <w:rPr>
                <w:rFonts w:ascii="Cambria" w:eastAsia="Times New Roman" w:hAnsi="Cambria" w:cs="Arial"/>
                <w:b/>
                <w:bCs/>
                <w:color w:val="0A2F41" w:themeColor="accent1" w:themeShade="80"/>
                <w:sz w:val="20"/>
                <w:szCs w:val="20"/>
                <w:lang w:eastAsia="lv-LV"/>
              </w:rPr>
            </w:pPr>
            <w:r w:rsidRPr="5B9FE7F0">
              <w:rPr>
                <w:rFonts w:ascii="Cambria" w:eastAsia="Times New Roman" w:hAnsi="Cambria" w:cs="Arial"/>
                <w:b/>
                <w:bCs/>
                <w:color w:val="0A2F41" w:themeColor="accent1" w:themeShade="80"/>
                <w:sz w:val="20"/>
                <w:szCs w:val="20"/>
                <w:lang w:eastAsia="lv-LV"/>
              </w:rPr>
              <w:t>(kt CO</w:t>
            </w:r>
            <w:r w:rsidRPr="5B9FE7F0">
              <w:rPr>
                <w:rFonts w:ascii="Cambria" w:eastAsia="Times New Roman" w:hAnsi="Cambria" w:cs="Arial"/>
                <w:b/>
                <w:bCs/>
                <w:color w:val="0A2F41" w:themeColor="accent1" w:themeShade="80"/>
                <w:sz w:val="20"/>
                <w:szCs w:val="20"/>
                <w:vertAlign w:val="subscript"/>
                <w:lang w:eastAsia="lv-LV"/>
              </w:rPr>
              <w:t>2</w:t>
            </w:r>
            <w:r w:rsidRPr="5B9FE7F0">
              <w:rPr>
                <w:rFonts w:ascii="Cambria" w:eastAsia="Times New Roman" w:hAnsi="Cambria" w:cs="Arial"/>
                <w:b/>
                <w:bCs/>
                <w:color w:val="0A2F41" w:themeColor="accent1" w:themeShade="80"/>
                <w:sz w:val="20"/>
                <w:szCs w:val="20"/>
                <w:lang w:eastAsia="lv-LV"/>
              </w:rPr>
              <w:t xml:space="preserve"> ekv.)</w:t>
            </w:r>
          </w:p>
        </w:tc>
      </w:tr>
      <w:tr w:rsidR="003E6EAD" w14:paraId="6263B931" w14:textId="77777777" w:rsidTr="5B9FE7F0">
        <w:trPr>
          <w:trHeight w:val="421"/>
        </w:trPr>
        <w:tc>
          <w:tcPr>
            <w:tcW w:w="4748"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0FA3B76A" w14:textId="77777777" w:rsidR="003E6EAD" w:rsidRDefault="003A4514">
            <w:pPr>
              <w:spacing w:before="195" w:after="0" w:line="240" w:lineRule="auto"/>
              <w:jc w:val="center"/>
              <w:rPr>
                <w:rFonts w:ascii="Cambria" w:eastAsia="Times New Roman" w:hAnsi="Cambria" w:cs="Arial"/>
                <w:sz w:val="20"/>
                <w:szCs w:val="20"/>
                <w:lang w:eastAsia="lv-LV"/>
              </w:rPr>
            </w:pPr>
            <w:r>
              <w:rPr>
                <w:rFonts w:ascii="Cambria" w:eastAsia="Times New Roman" w:hAnsi="Cambria" w:cs="Arial"/>
                <w:sz w:val="20"/>
                <w:szCs w:val="20"/>
                <w:lang w:eastAsia="lv-LV"/>
              </w:rPr>
              <w:t>Enerģētika</w:t>
            </w:r>
          </w:p>
        </w:tc>
        <w:tc>
          <w:tcPr>
            <w:tcW w:w="2777"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16C017F4" w14:textId="77777777" w:rsidR="003E6EAD" w:rsidRDefault="003A4514">
            <w:pPr>
              <w:spacing w:before="100" w:after="0" w:line="293" w:lineRule="atLeast"/>
              <w:jc w:val="center"/>
              <w:rPr>
                <w:rFonts w:ascii="Cambria" w:eastAsia="Times New Roman" w:hAnsi="Cambria" w:cs="Arial"/>
                <w:color w:val="414142"/>
                <w:sz w:val="20"/>
                <w:szCs w:val="20"/>
                <w:lang w:eastAsia="lv-LV"/>
              </w:rPr>
            </w:pPr>
            <w:r>
              <w:rPr>
                <w:rFonts w:ascii="Cambria" w:eastAsia="Times New Roman" w:hAnsi="Cambria" w:cs="Arial"/>
                <w:color w:val="414142"/>
                <w:sz w:val="20"/>
                <w:szCs w:val="20"/>
                <w:lang w:eastAsia="lv-LV"/>
              </w:rPr>
              <w:t>1593,75</w:t>
            </w:r>
          </w:p>
        </w:tc>
      </w:tr>
      <w:tr w:rsidR="003E6EAD" w14:paraId="1FE5CDC0" w14:textId="77777777" w:rsidTr="5B9FE7F0">
        <w:trPr>
          <w:trHeight w:val="411"/>
        </w:trPr>
        <w:tc>
          <w:tcPr>
            <w:tcW w:w="4748"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26C46691" w14:textId="77777777" w:rsidR="003E6EAD" w:rsidRDefault="003A4514">
            <w:pPr>
              <w:spacing w:before="195" w:after="0" w:line="240" w:lineRule="auto"/>
              <w:jc w:val="center"/>
              <w:rPr>
                <w:rFonts w:ascii="Cambria" w:eastAsia="Times New Roman" w:hAnsi="Cambria" w:cs="Arial"/>
                <w:sz w:val="20"/>
                <w:szCs w:val="20"/>
                <w:lang w:eastAsia="lv-LV"/>
              </w:rPr>
            </w:pPr>
            <w:r>
              <w:rPr>
                <w:rFonts w:ascii="Cambria" w:eastAsia="Times New Roman" w:hAnsi="Cambria" w:cs="Arial"/>
                <w:sz w:val="20"/>
                <w:szCs w:val="20"/>
                <w:lang w:eastAsia="lv-LV"/>
              </w:rPr>
              <w:t>Transports</w:t>
            </w:r>
          </w:p>
        </w:tc>
        <w:tc>
          <w:tcPr>
            <w:tcW w:w="2777"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579F9361" w14:textId="77777777" w:rsidR="003E6EAD" w:rsidRDefault="003A4514">
            <w:pPr>
              <w:spacing w:before="100" w:after="0" w:line="293" w:lineRule="atLeast"/>
              <w:jc w:val="center"/>
              <w:rPr>
                <w:rFonts w:ascii="Cambria" w:eastAsia="Times New Roman" w:hAnsi="Cambria" w:cs="Arial"/>
                <w:color w:val="414142"/>
                <w:sz w:val="20"/>
                <w:szCs w:val="20"/>
                <w:lang w:eastAsia="lv-LV"/>
              </w:rPr>
            </w:pPr>
            <w:r>
              <w:rPr>
                <w:rFonts w:ascii="Cambria" w:eastAsia="Times New Roman" w:hAnsi="Cambria" w:cs="Arial"/>
                <w:color w:val="414142"/>
                <w:sz w:val="20"/>
                <w:szCs w:val="20"/>
                <w:lang w:eastAsia="lv-LV"/>
              </w:rPr>
              <w:t>2446,47</w:t>
            </w:r>
          </w:p>
        </w:tc>
      </w:tr>
      <w:tr w:rsidR="003E6EAD" w14:paraId="1BA127EE" w14:textId="77777777" w:rsidTr="5B9FE7F0">
        <w:trPr>
          <w:trHeight w:val="411"/>
        </w:trPr>
        <w:tc>
          <w:tcPr>
            <w:tcW w:w="4748"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4E130C9A" w14:textId="77777777" w:rsidR="003E6EAD" w:rsidRDefault="003A4514">
            <w:pPr>
              <w:spacing w:before="195" w:after="0" w:line="240" w:lineRule="auto"/>
              <w:jc w:val="center"/>
              <w:rPr>
                <w:rFonts w:ascii="Cambria" w:eastAsia="Times New Roman" w:hAnsi="Cambria" w:cs="Arial"/>
                <w:sz w:val="20"/>
                <w:szCs w:val="20"/>
                <w:lang w:eastAsia="lv-LV"/>
              </w:rPr>
            </w:pPr>
            <w:r>
              <w:rPr>
                <w:rFonts w:ascii="Cambria" w:eastAsia="Times New Roman" w:hAnsi="Cambria" w:cs="Arial"/>
                <w:sz w:val="20"/>
                <w:szCs w:val="20"/>
                <w:lang w:eastAsia="lv-LV"/>
              </w:rPr>
              <w:t>Rūpnieciskie procesi un produktu izmantošana</w:t>
            </w:r>
          </w:p>
        </w:tc>
        <w:tc>
          <w:tcPr>
            <w:tcW w:w="2777"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4BD73F38" w14:textId="77777777" w:rsidR="003E6EAD" w:rsidRDefault="003A4514">
            <w:pPr>
              <w:spacing w:before="100" w:after="0" w:line="293" w:lineRule="atLeast"/>
              <w:jc w:val="center"/>
              <w:rPr>
                <w:rFonts w:ascii="Cambria" w:eastAsia="Times New Roman" w:hAnsi="Cambria" w:cs="Arial"/>
                <w:color w:val="414142"/>
                <w:sz w:val="20"/>
                <w:szCs w:val="20"/>
                <w:lang w:eastAsia="lv-LV"/>
              </w:rPr>
            </w:pPr>
            <w:r>
              <w:rPr>
                <w:rFonts w:ascii="Cambria" w:eastAsia="Times New Roman" w:hAnsi="Cambria" w:cs="Arial"/>
                <w:color w:val="414142"/>
                <w:sz w:val="20"/>
                <w:szCs w:val="20"/>
                <w:lang w:eastAsia="lv-LV"/>
              </w:rPr>
              <w:t>203,39</w:t>
            </w:r>
          </w:p>
        </w:tc>
      </w:tr>
      <w:tr w:rsidR="003E6EAD" w14:paraId="78D0CBC4" w14:textId="77777777" w:rsidTr="5B9FE7F0">
        <w:trPr>
          <w:trHeight w:val="421"/>
        </w:trPr>
        <w:tc>
          <w:tcPr>
            <w:tcW w:w="4748"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10858E1C" w14:textId="77777777" w:rsidR="003E6EAD" w:rsidRDefault="003A4514">
            <w:pPr>
              <w:spacing w:before="195" w:after="0" w:line="240" w:lineRule="auto"/>
              <w:jc w:val="center"/>
              <w:rPr>
                <w:rFonts w:ascii="Cambria" w:eastAsia="Times New Roman" w:hAnsi="Cambria" w:cs="Arial"/>
                <w:sz w:val="20"/>
                <w:szCs w:val="20"/>
                <w:lang w:eastAsia="lv-LV"/>
              </w:rPr>
            </w:pPr>
            <w:r>
              <w:rPr>
                <w:rFonts w:ascii="Cambria" w:eastAsia="Times New Roman" w:hAnsi="Cambria" w:cs="Arial"/>
                <w:sz w:val="20"/>
                <w:szCs w:val="20"/>
                <w:lang w:eastAsia="lv-LV"/>
              </w:rPr>
              <w:t>Lauksaimniecība</w:t>
            </w:r>
          </w:p>
        </w:tc>
        <w:tc>
          <w:tcPr>
            <w:tcW w:w="2777"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6EA987EF" w14:textId="77777777" w:rsidR="003E6EAD" w:rsidRDefault="003A4514">
            <w:pPr>
              <w:spacing w:before="100" w:after="0" w:line="293" w:lineRule="atLeast"/>
              <w:jc w:val="center"/>
              <w:rPr>
                <w:rFonts w:ascii="Cambria" w:eastAsia="Times New Roman" w:hAnsi="Cambria" w:cs="Arial"/>
                <w:color w:val="414142"/>
                <w:sz w:val="20"/>
                <w:szCs w:val="20"/>
                <w:lang w:eastAsia="lv-LV"/>
              </w:rPr>
            </w:pPr>
            <w:r>
              <w:rPr>
                <w:rFonts w:ascii="Cambria" w:eastAsia="Times New Roman" w:hAnsi="Cambria" w:cs="Arial"/>
                <w:color w:val="414142"/>
                <w:sz w:val="20"/>
                <w:szCs w:val="20"/>
                <w:lang w:eastAsia="lv-LV"/>
              </w:rPr>
              <w:t>2176,33</w:t>
            </w:r>
          </w:p>
        </w:tc>
      </w:tr>
      <w:tr w:rsidR="003E6EAD" w14:paraId="1CCBB777" w14:textId="77777777" w:rsidTr="5B9FE7F0">
        <w:trPr>
          <w:trHeight w:val="637"/>
        </w:trPr>
        <w:tc>
          <w:tcPr>
            <w:tcW w:w="4748"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7D26066D" w14:textId="77777777" w:rsidR="003E6EAD" w:rsidRDefault="003A4514">
            <w:pPr>
              <w:spacing w:before="195" w:after="0" w:line="240" w:lineRule="auto"/>
              <w:jc w:val="center"/>
              <w:rPr>
                <w:rFonts w:ascii="Cambria" w:eastAsia="Times New Roman" w:hAnsi="Cambria" w:cs="Arial"/>
                <w:sz w:val="20"/>
                <w:szCs w:val="20"/>
                <w:lang w:eastAsia="lv-LV"/>
              </w:rPr>
            </w:pPr>
            <w:r>
              <w:rPr>
                <w:rFonts w:ascii="Cambria" w:eastAsia="Times New Roman" w:hAnsi="Cambria" w:cs="Arial"/>
                <w:sz w:val="20"/>
                <w:szCs w:val="20"/>
                <w:lang w:eastAsia="lv-LV"/>
              </w:rPr>
              <w:t>Atkritumu un notekūdeņu apsaimniekošana</w:t>
            </w:r>
          </w:p>
        </w:tc>
        <w:tc>
          <w:tcPr>
            <w:tcW w:w="2777" w:type="dxa"/>
            <w:tcBorders>
              <w:top w:val="outset" w:sz="6" w:space="0" w:color="414142"/>
              <w:left w:val="outset" w:sz="6" w:space="0" w:color="414142"/>
              <w:bottom w:val="outset" w:sz="6" w:space="0" w:color="414142"/>
              <w:right w:val="outset" w:sz="6" w:space="0" w:color="414142"/>
            </w:tcBorders>
            <w:shd w:val="clear" w:color="auto" w:fill="FFFFFF" w:themeFill="background1"/>
            <w:tcMar>
              <w:top w:w="20" w:type="dxa"/>
              <w:left w:w="20" w:type="dxa"/>
              <w:bottom w:w="20" w:type="dxa"/>
              <w:right w:w="20" w:type="dxa"/>
            </w:tcMar>
            <w:vAlign w:val="center"/>
          </w:tcPr>
          <w:p w14:paraId="36D176EA" w14:textId="77777777" w:rsidR="003E6EAD" w:rsidRDefault="003A4514">
            <w:pPr>
              <w:spacing w:before="100" w:after="0" w:line="293" w:lineRule="atLeast"/>
              <w:jc w:val="center"/>
              <w:rPr>
                <w:rFonts w:ascii="Cambria" w:eastAsia="Times New Roman" w:hAnsi="Cambria" w:cs="Arial"/>
                <w:color w:val="414142"/>
                <w:sz w:val="20"/>
                <w:szCs w:val="20"/>
                <w:lang w:eastAsia="lv-LV"/>
              </w:rPr>
            </w:pPr>
            <w:r>
              <w:rPr>
                <w:rFonts w:ascii="Cambria" w:eastAsia="Times New Roman" w:hAnsi="Cambria" w:cs="Arial"/>
                <w:color w:val="414142"/>
                <w:sz w:val="20"/>
                <w:szCs w:val="20"/>
                <w:lang w:eastAsia="lv-LV"/>
              </w:rPr>
              <w:t>409,04</w:t>
            </w:r>
          </w:p>
        </w:tc>
      </w:tr>
    </w:tbl>
    <w:p w14:paraId="4E4A1C82" w14:textId="77777777" w:rsidR="003E6EAD" w:rsidRDefault="003E6EAD">
      <w:pPr>
        <w:spacing w:before="120" w:after="120" w:line="240" w:lineRule="auto"/>
        <w:jc w:val="both"/>
        <w:rPr>
          <w:rFonts w:ascii="Cambria" w:hAnsi="Cambria"/>
          <w:sz w:val="24"/>
          <w:szCs w:val="24"/>
        </w:rPr>
      </w:pPr>
    </w:p>
    <w:p w14:paraId="0C347D9F" w14:textId="77777777" w:rsidR="003E6EAD" w:rsidRDefault="003A4514" w:rsidP="5B9FE7F0">
      <w:pPr>
        <w:spacing w:before="120" w:after="120" w:line="240" w:lineRule="auto"/>
        <w:jc w:val="both"/>
        <w:rPr>
          <w:rFonts w:ascii="Cambria" w:hAnsi="Cambria"/>
          <w:sz w:val="24"/>
          <w:szCs w:val="24"/>
        </w:rPr>
      </w:pPr>
      <w:r w:rsidRPr="5B9FE7F0">
        <w:rPr>
          <w:rFonts w:ascii="Cambria" w:hAnsi="Cambria"/>
          <w:sz w:val="24"/>
          <w:szCs w:val="24"/>
        </w:rPr>
        <w:t xml:space="preserve">Izvērtējot iesniegto SEG emisiju prognožu datus (08.08.2024.) WAM scenārijā pret indikatīviem sektorāliem mērķiem secināms, ka </w:t>
      </w:r>
      <w:r w:rsidRPr="5B9FE7F0">
        <w:rPr>
          <w:rFonts w:ascii="Cambria" w:hAnsi="Cambria"/>
          <w:b/>
          <w:bCs/>
          <w:sz w:val="24"/>
          <w:szCs w:val="24"/>
        </w:rPr>
        <w:t>transporta sektorā ir iztrūkums aptuveni 427 kt CO</w:t>
      </w:r>
      <w:r w:rsidRPr="5B9FE7F0">
        <w:rPr>
          <w:rFonts w:ascii="Cambria" w:hAnsi="Cambria"/>
          <w:b/>
          <w:bCs/>
          <w:sz w:val="24"/>
          <w:szCs w:val="24"/>
          <w:vertAlign w:val="subscript"/>
        </w:rPr>
        <w:t>2</w:t>
      </w:r>
      <w:r w:rsidRPr="5B9FE7F0">
        <w:rPr>
          <w:rFonts w:ascii="Cambria" w:hAnsi="Cambria"/>
          <w:b/>
          <w:bCs/>
          <w:sz w:val="24"/>
          <w:szCs w:val="24"/>
        </w:rPr>
        <w:t xml:space="preserve"> ekv.</w:t>
      </w:r>
      <w:r w:rsidRPr="5B9FE7F0">
        <w:rPr>
          <w:rFonts w:ascii="Cambria" w:hAnsi="Cambria"/>
          <w:sz w:val="24"/>
          <w:szCs w:val="24"/>
        </w:rPr>
        <w:t xml:space="preserve"> pret noteikto indikatīvo sektorālo mērķi 2030. gadā, skatīt 7. attēls. Jāuzsver, ka riski SEG emisiju samazināšanai noteikto indikatīvo mērķa vērtību sasniegšanā netiek novēroti pie nosacījuma, ja nozaru ministrijas ievieš gan WAM, gan NEKP mērķu scenārija pasākumus savās nozaru politikās.</w:t>
      </w:r>
    </w:p>
    <w:p w14:paraId="54C400CC"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Latvijai ir svarīgi nodrošināt, ka netiek uzsākti tādi pasākumi, kas ne-ETS darbību SEG emisiju samazināšanas mērķa izpildi varētu negatīvi ietekmēt vai kādu no SEG emisiju samazināšanas īstenošanas pasākumiem pārtrauktu īstenot. Latvijas SEG prognozes ir sagatavotas ar pieņēmumu, ka esošie SEG emisiju samazinošie pasākumi tiek īstenoti visā periodā, kā arī ar pieņēmumu, ka politikās ieplānotie pasākumi tiek īstenoti.</w:t>
      </w:r>
    </w:p>
    <w:p w14:paraId="04DDEC79" w14:textId="727D12BB" w:rsidR="00F871C3" w:rsidRDefault="00F871C3">
      <w:pPr>
        <w:spacing w:before="120" w:after="120" w:line="240" w:lineRule="auto"/>
        <w:ind w:firstLine="567"/>
        <w:jc w:val="both"/>
        <w:rPr>
          <w:rFonts w:ascii="Cambria" w:hAnsi="Cambria"/>
          <w:sz w:val="24"/>
          <w:szCs w:val="24"/>
        </w:rPr>
      </w:pPr>
    </w:p>
    <w:p w14:paraId="7E5F693F" w14:textId="7F949D9B" w:rsidR="003E6EAD" w:rsidRDefault="00F871C3" w:rsidP="00206C50">
      <w:pPr>
        <w:spacing w:before="120" w:after="120" w:line="240" w:lineRule="auto"/>
        <w:jc w:val="both"/>
      </w:pPr>
      <w:r>
        <w:rPr>
          <w:rFonts w:ascii="Cambria" w:hAnsi="Cambria"/>
          <w:noProof/>
          <w:sz w:val="24"/>
          <w:szCs w:val="24"/>
        </w:rPr>
        <w:lastRenderedPageBreak/>
        <w:drawing>
          <wp:inline distT="0" distB="0" distL="0" distR="0" wp14:anchorId="036F2EE9" wp14:editId="50E7DA42">
            <wp:extent cx="5760085" cy="3005455"/>
            <wp:effectExtent l="0" t="0" r="0" b="4445"/>
            <wp:docPr id="312201253" name="Picture 23"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01253" name="Picture 23" descr="A graph of different colored line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085" cy="3005455"/>
                    </a:xfrm>
                    <a:prstGeom prst="rect">
                      <a:avLst/>
                    </a:prstGeom>
                  </pic:spPr>
                </pic:pic>
              </a:graphicData>
            </a:graphic>
          </wp:inline>
        </w:drawing>
      </w:r>
      <w:r w:rsidR="003A4514">
        <w:rPr>
          <w:rFonts w:ascii="Cambria" w:hAnsi="Cambria"/>
          <w:sz w:val="24"/>
          <w:szCs w:val="24"/>
        </w:rPr>
        <w:t xml:space="preserve"> </w:t>
      </w:r>
    </w:p>
    <w:p w14:paraId="2D559F9B" w14:textId="77777777" w:rsidR="003E6EAD" w:rsidRDefault="003A4514" w:rsidP="5B9FE7F0">
      <w:pPr>
        <w:spacing w:before="120" w:after="120" w:line="240" w:lineRule="auto"/>
        <w:ind w:firstLine="567"/>
        <w:jc w:val="center"/>
        <w:rPr>
          <w:rFonts w:ascii="Cambria" w:hAnsi="Cambria"/>
          <w:b/>
          <w:bCs/>
          <w:sz w:val="24"/>
          <w:szCs w:val="24"/>
        </w:rPr>
      </w:pPr>
      <w:r w:rsidRPr="5B9FE7F0">
        <w:rPr>
          <w:rFonts w:ascii="Cambria" w:hAnsi="Cambria"/>
          <w:b/>
          <w:bCs/>
          <w:sz w:val="24"/>
          <w:szCs w:val="24"/>
        </w:rPr>
        <w:t>7. attēls. Ne-ETS sektora SEG prognozes WAM scenārijā (2022. – 2030.g.) un indikatīvie sektorālie mērķi 2030. gadā.</w:t>
      </w:r>
    </w:p>
    <w:p w14:paraId="48D8D1C1" w14:textId="77777777" w:rsidR="003E6EAD" w:rsidRDefault="003E6EAD">
      <w:pPr>
        <w:spacing w:before="120" w:after="120" w:line="240" w:lineRule="auto"/>
        <w:ind w:firstLine="567"/>
        <w:jc w:val="both"/>
        <w:rPr>
          <w:rFonts w:ascii="Cambria" w:hAnsi="Cambria"/>
        </w:rPr>
      </w:pPr>
    </w:p>
    <w:p w14:paraId="40F3A7CA" w14:textId="77777777" w:rsidR="003E6EAD" w:rsidRDefault="003A4514">
      <w:pPr>
        <w:pStyle w:val="Heading2"/>
        <w:numPr>
          <w:ilvl w:val="0"/>
          <w:numId w:val="11"/>
        </w:numPr>
        <w:spacing w:before="120" w:after="120" w:line="240" w:lineRule="auto"/>
        <w:jc w:val="both"/>
      </w:pPr>
      <w:bookmarkStart w:id="38" w:name="_Toc185319500"/>
      <w:bookmarkStart w:id="39" w:name="_Toc190952419"/>
      <w:r>
        <w:rPr>
          <w:rFonts w:ascii="Cambria" w:eastAsia="Yu Gothic" w:hAnsi="Cambria" w:cs="Arial"/>
          <w:b/>
          <w:bCs/>
          <w:color w:val="155452"/>
          <w:sz w:val="28"/>
          <w:szCs w:val="28"/>
        </w:rPr>
        <w:t xml:space="preserve">ZEMES IZMANTOŠANAS, ZEMES IZMANTOŠANAS MAIŅAS UN MEŽSAIMNIECĪBAS SEKTORĀ NOTEIKTO </w:t>
      </w:r>
      <w:r>
        <w:rPr>
          <w:rFonts w:ascii="Cambria" w:eastAsia="Yu Gothic" w:hAnsi="Cambria" w:cs="Arial"/>
          <w:b/>
          <w:caps/>
          <w:color w:val="155452"/>
          <w:sz w:val="28"/>
          <w:szCs w:val="28"/>
        </w:rPr>
        <w:t>uzskaites un ziņošanas</w:t>
      </w:r>
      <w:r>
        <w:rPr>
          <w:rFonts w:ascii="Cambria" w:eastAsia="Yu Gothic" w:hAnsi="Cambria" w:cs="Arial"/>
          <w:b/>
          <w:bCs/>
          <w:color w:val="155452"/>
          <w:sz w:val="28"/>
          <w:szCs w:val="28"/>
        </w:rPr>
        <w:t xml:space="preserve"> KATEGORIJU MĒRĶU IZPILDE</w:t>
      </w:r>
      <w:bookmarkEnd w:id="38"/>
      <w:bookmarkEnd w:id="39"/>
      <w:r>
        <w:rPr>
          <w:rFonts w:ascii="Cambria" w:eastAsia="Yu Gothic" w:hAnsi="Cambria" w:cs="Arial"/>
          <w:b/>
          <w:bCs/>
          <w:color w:val="155452"/>
          <w:sz w:val="28"/>
          <w:szCs w:val="28"/>
        </w:rPr>
        <w:t xml:space="preserve"> </w:t>
      </w:r>
    </w:p>
    <w:p w14:paraId="5E78BF95" w14:textId="5BF2EE99" w:rsidR="003E6EAD" w:rsidRDefault="003A4514">
      <w:pPr>
        <w:spacing w:before="120" w:after="120" w:line="240" w:lineRule="auto"/>
        <w:ind w:firstLine="567"/>
        <w:jc w:val="both"/>
      </w:pPr>
      <w:r>
        <w:rPr>
          <w:rFonts w:ascii="Cambria" w:hAnsi="Cambria"/>
          <w:sz w:val="24"/>
          <w:szCs w:val="24"/>
        </w:rPr>
        <w:t>Sākot no 2021. gada līdz 2025. gadam, Latvijai ir jānodrošina SEG emisiju un CO</w:t>
      </w:r>
      <w:r>
        <w:rPr>
          <w:rFonts w:ascii="Cambria" w:hAnsi="Cambria"/>
          <w:sz w:val="24"/>
          <w:szCs w:val="24"/>
          <w:vertAlign w:val="subscript"/>
        </w:rPr>
        <w:t>2</w:t>
      </w:r>
      <w:r>
        <w:rPr>
          <w:rFonts w:ascii="Cambria" w:hAnsi="Cambria"/>
          <w:sz w:val="24"/>
          <w:szCs w:val="24"/>
        </w:rPr>
        <w:t xml:space="preserve"> piesaistes uzskaite saskaņā ar Regulas 2018/841 2. panta 1. </w:t>
      </w:r>
      <w:r w:rsidR="00EB61B0">
        <w:rPr>
          <w:rFonts w:ascii="Cambria" w:hAnsi="Cambria"/>
          <w:sz w:val="24"/>
          <w:szCs w:val="24"/>
        </w:rPr>
        <w:t>punktu</w:t>
      </w:r>
      <w:r>
        <w:rPr>
          <w:rFonts w:ascii="Cambria" w:hAnsi="Cambria"/>
          <w:sz w:val="24"/>
          <w:szCs w:val="24"/>
        </w:rPr>
        <w:t xml:space="preserve"> šādās uzskaites kategorijās: </w:t>
      </w:r>
    </w:p>
    <w:p w14:paraId="595A90BE" w14:textId="77777777" w:rsidR="003E6EAD" w:rsidRDefault="003A4514">
      <w:pPr>
        <w:pStyle w:val="ListParagraph"/>
        <w:numPr>
          <w:ilvl w:val="0"/>
          <w:numId w:val="12"/>
        </w:numPr>
        <w:tabs>
          <w:tab w:val="left" w:pos="0"/>
        </w:tabs>
        <w:spacing w:before="120" w:after="120" w:line="240" w:lineRule="auto"/>
        <w:ind w:left="0" w:firstLine="567"/>
        <w:rPr>
          <w:rFonts w:ascii="Cambria" w:hAnsi="Cambria"/>
          <w:sz w:val="24"/>
          <w:szCs w:val="24"/>
          <w:lang w:eastAsia="lv-LV"/>
        </w:rPr>
      </w:pPr>
      <w:r>
        <w:rPr>
          <w:rFonts w:ascii="Cambria" w:hAnsi="Cambria"/>
          <w:sz w:val="24"/>
          <w:szCs w:val="24"/>
          <w:lang w:eastAsia="lv-LV"/>
        </w:rPr>
        <w:t>Apmežota zeme;</w:t>
      </w:r>
    </w:p>
    <w:p w14:paraId="026FAC28" w14:textId="77777777" w:rsidR="003E6EAD" w:rsidRDefault="003A4514">
      <w:pPr>
        <w:pStyle w:val="ListParagraph"/>
        <w:numPr>
          <w:ilvl w:val="0"/>
          <w:numId w:val="12"/>
        </w:numPr>
        <w:tabs>
          <w:tab w:val="left" w:pos="0"/>
        </w:tabs>
        <w:spacing w:before="120" w:after="120" w:line="240" w:lineRule="auto"/>
        <w:ind w:left="0" w:firstLine="567"/>
        <w:rPr>
          <w:rFonts w:ascii="Cambria" w:hAnsi="Cambria"/>
          <w:sz w:val="24"/>
          <w:szCs w:val="24"/>
          <w:lang w:eastAsia="lv-LV"/>
        </w:rPr>
      </w:pPr>
      <w:r>
        <w:rPr>
          <w:rFonts w:ascii="Cambria" w:hAnsi="Cambria"/>
          <w:sz w:val="24"/>
          <w:szCs w:val="24"/>
          <w:lang w:eastAsia="lv-LV"/>
        </w:rPr>
        <w:t>Atmežota zeme;</w:t>
      </w:r>
    </w:p>
    <w:p w14:paraId="112C39EC" w14:textId="77777777" w:rsidR="003E6EAD" w:rsidRDefault="003A4514">
      <w:pPr>
        <w:pStyle w:val="ListParagraph"/>
        <w:numPr>
          <w:ilvl w:val="0"/>
          <w:numId w:val="12"/>
        </w:numPr>
        <w:tabs>
          <w:tab w:val="left" w:pos="0"/>
        </w:tabs>
        <w:spacing w:before="120" w:after="120" w:line="240" w:lineRule="auto"/>
        <w:ind w:left="0" w:firstLine="567"/>
        <w:rPr>
          <w:rFonts w:ascii="Cambria" w:hAnsi="Cambria"/>
          <w:sz w:val="24"/>
          <w:szCs w:val="24"/>
          <w:lang w:eastAsia="lv-LV"/>
        </w:rPr>
      </w:pPr>
      <w:r>
        <w:rPr>
          <w:rFonts w:ascii="Cambria" w:hAnsi="Cambria"/>
          <w:sz w:val="24"/>
          <w:szCs w:val="24"/>
          <w:lang w:eastAsia="lv-LV"/>
        </w:rPr>
        <w:t>Apsaimniekota meža zeme;</w:t>
      </w:r>
    </w:p>
    <w:p w14:paraId="68B6DFD6" w14:textId="77777777" w:rsidR="003E6EAD" w:rsidRDefault="003A4514">
      <w:pPr>
        <w:pStyle w:val="ListParagraph"/>
        <w:numPr>
          <w:ilvl w:val="0"/>
          <w:numId w:val="12"/>
        </w:numPr>
        <w:tabs>
          <w:tab w:val="left" w:pos="0"/>
        </w:tabs>
        <w:spacing w:before="120" w:after="120" w:line="240" w:lineRule="auto"/>
        <w:ind w:left="0" w:firstLine="567"/>
        <w:rPr>
          <w:rFonts w:ascii="Cambria" w:hAnsi="Cambria"/>
          <w:sz w:val="24"/>
          <w:szCs w:val="24"/>
          <w:lang w:eastAsia="lv-LV"/>
        </w:rPr>
      </w:pPr>
      <w:r>
        <w:rPr>
          <w:rFonts w:ascii="Cambria" w:hAnsi="Cambria"/>
          <w:sz w:val="24"/>
          <w:szCs w:val="24"/>
          <w:lang w:eastAsia="lv-LV"/>
        </w:rPr>
        <w:t>Apsaimniekoti zālāji;</w:t>
      </w:r>
    </w:p>
    <w:p w14:paraId="4AB60210" w14:textId="77777777" w:rsidR="003E6EAD" w:rsidRDefault="003A4514">
      <w:pPr>
        <w:pStyle w:val="ListParagraph"/>
        <w:numPr>
          <w:ilvl w:val="0"/>
          <w:numId w:val="12"/>
        </w:numPr>
        <w:tabs>
          <w:tab w:val="left" w:pos="0"/>
        </w:tabs>
        <w:spacing w:before="120" w:after="120" w:line="240" w:lineRule="auto"/>
        <w:ind w:left="0" w:firstLine="567"/>
        <w:rPr>
          <w:rFonts w:ascii="Cambria" w:hAnsi="Cambria"/>
          <w:sz w:val="24"/>
          <w:szCs w:val="24"/>
          <w:lang w:eastAsia="lv-LV"/>
        </w:rPr>
      </w:pPr>
      <w:r>
        <w:rPr>
          <w:rFonts w:ascii="Cambria" w:hAnsi="Cambria"/>
          <w:sz w:val="24"/>
          <w:szCs w:val="24"/>
          <w:lang w:eastAsia="lv-LV"/>
        </w:rPr>
        <w:t>Apsaimniekota aramzeme.</w:t>
      </w:r>
    </w:p>
    <w:p w14:paraId="4379FA2D" w14:textId="77777777" w:rsidR="003E6EAD" w:rsidRDefault="003E6EAD">
      <w:pPr>
        <w:pStyle w:val="ListParagraph"/>
        <w:spacing w:before="120" w:after="120" w:line="240" w:lineRule="auto"/>
        <w:ind w:left="0" w:firstLine="567"/>
        <w:jc w:val="both"/>
        <w:rPr>
          <w:rFonts w:ascii="Cambria" w:hAnsi="Cambria"/>
        </w:rPr>
      </w:pPr>
    </w:p>
    <w:p w14:paraId="397F6C6F" w14:textId="77777777" w:rsidR="003E6EAD" w:rsidRDefault="003A4514" w:rsidP="5B9FE7F0">
      <w:pPr>
        <w:pStyle w:val="ListParagraph"/>
        <w:spacing w:before="120" w:after="120" w:line="240" w:lineRule="auto"/>
        <w:ind w:left="0" w:firstLine="567"/>
        <w:jc w:val="both"/>
        <w:rPr>
          <w:rFonts w:ascii="Cambria" w:hAnsi="Cambria"/>
          <w:sz w:val="24"/>
          <w:szCs w:val="24"/>
        </w:rPr>
      </w:pPr>
      <w:r w:rsidRPr="5B9FE7F0">
        <w:rPr>
          <w:rFonts w:ascii="Cambria" w:hAnsi="Cambria"/>
          <w:sz w:val="24"/>
          <w:szCs w:val="24"/>
        </w:rPr>
        <w:t>SEG emisiju un CO</w:t>
      </w:r>
      <w:r w:rsidRPr="5B9FE7F0">
        <w:rPr>
          <w:rFonts w:ascii="Cambria" w:hAnsi="Cambria"/>
          <w:sz w:val="24"/>
          <w:szCs w:val="24"/>
          <w:vertAlign w:val="subscript"/>
        </w:rPr>
        <w:t>2</w:t>
      </w:r>
      <w:r w:rsidRPr="5B9FE7F0">
        <w:rPr>
          <w:rFonts w:ascii="Cambria" w:hAnsi="Cambria"/>
          <w:sz w:val="24"/>
          <w:szCs w:val="24"/>
        </w:rPr>
        <w:t xml:space="preserve"> piesaistes uzskaite veicama atbilstoši Regulas 2018/841 5. panta nosacījumiem, rēķinot SEG apjoma izmaiņas pret Regulas 2018/841 5., 6., 7., 8., 9., 10. pantā noteiktajiem atskaites līmeņiem, izņemot apmežotas un atmežotas zemes uzskaites kategorijas, kurām tiek piemērota “</w:t>
      </w:r>
      <w:r w:rsidRPr="5B9FE7F0">
        <w:rPr>
          <w:rFonts w:ascii="Cambria" w:hAnsi="Cambria"/>
          <w:i/>
          <w:iCs/>
          <w:sz w:val="24"/>
          <w:szCs w:val="24"/>
        </w:rPr>
        <w:t>gross-net</w:t>
      </w:r>
      <w:r w:rsidRPr="5B9FE7F0">
        <w:rPr>
          <w:rFonts w:ascii="Cambria" w:hAnsi="Cambria"/>
          <w:sz w:val="24"/>
          <w:szCs w:val="24"/>
        </w:rPr>
        <w:t>” pieeja - netiek noteikts atskaites līmenis, un uzskaitē tiek ietverts viss attiecīgajā periodā radītais SEG emisiju un CO</w:t>
      </w:r>
      <w:r w:rsidRPr="5B9FE7F0">
        <w:rPr>
          <w:rFonts w:ascii="Cambria" w:hAnsi="Cambria"/>
          <w:sz w:val="24"/>
          <w:szCs w:val="24"/>
          <w:vertAlign w:val="subscript"/>
        </w:rPr>
        <w:t>2</w:t>
      </w:r>
      <w:r w:rsidRPr="5B9FE7F0">
        <w:rPr>
          <w:rFonts w:ascii="Cambria" w:hAnsi="Cambria"/>
          <w:sz w:val="24"/>
          <w:szCs w:val="24"/>
        </w:rPr>
        <w:t xml:space="preserve"> piesaistes apjoms.</w:t>
      </w:r>
    </w:p>
    <w:p w14:paraId="686FC13A" w14:textId="1DD764EC" w:rsidR="003E6EAD" w:rsidRDefault="003A4514">
      <w:pPr>
        <w:spacing w:before="120" w:after="120" w:line="240" w:lineRule="auto"/>
        <w:ind w:firstLine="567"/>
        <w:jc w:val="both"/>
      </w:pPr>
      <w:r>
        <w:rPr>
          <w:rFonts w:ascii="Cambria" w:hAnsi="Cambria"/>
          <w:sz w:val="24"/>
          <w:szCs w:val="24"/>
          <w:lang w:eastAsia="lv-LV"/>
        </w:rPr>
        <w:t xml:space="preserve">Saskaņā ar 2024. gadā atjaunoto 2023. gada integrēto ziņojumu par politikām, pasākumiem un SEG prognozēm </w:t>
      </w:r>
      <w:r>
        <w:rPr>
          <w:rFonts w:ascii="Cambria" w:hAnsi="Cambria"/>
          <w:sz w:val="24"/>
          <w:szCs w:val="24"/>
        </w:rPr>
        <w:t xml:space="preserve">periodā 2023. - 2025. gads un 2024. gada SEG inventarizāciju </w:t>
      </w:r>
      <w:r>
        <w:rPr>
          <w:rFonts w:ascii="Cambria" w:hAnsi="Cambria"/>
          <w:b/>
          <w:bCs/>
          <w:sz w:val="24"/>
          <w:szCs w:val="24"/>
        </w:rPr>
        <w:t>Latvija izpilda ZIZIMM sektoram noteikto mērķi</w:t>
      </w:r>
      <w:r>
        <w:rPr>
          <w:rFonts w:ascii="Cambria" w:hAnsi="Cambria"/>
          <w:sz w:val="24"/>
          <w:szCs w:val="24"/>
        </w:rPr>
        <w:t xml:space="preserve"> – visās uzskaites kategorijās kopumā netiek radītas neto SEG emisijas (6. tabula). Vērtējot katru uzskaites kategoriju atsevišķi, prognozēts, ka SEG emisijas pret bāzes vērtību radīs zālāju (pļavu un ganību) apsaimniekošana, aramzemes apsaimniekošanā SEG emisijas pārsniegs bāzes vērtību, bet apmežošanas radītais SEG emisiju samazinājums nenosegs atmežošanas radītās SEG emisijas. Aramzemes apsaimniekošanā prognozētais SEG emisiju pieaugums lielā mērā saistīts ar zālāju transformāciju par aramzemēm, kas saistīts ar oglekļa </w:t>
      </w:r>
      <w:r>
        <w:rPr>
          <w:rFonts w:ascii="Cambria" w:hAnsi="Cambria"/>
          <w:sz w:val="24"/>
          <w:szCs w:val="24"/>
        </w:rPr>
        <w:lastRenderedPageBreak/>
        <w:t>uzkrājuma samazinājumu augsnē un biomasā, kā arī dabiski apmežojušos platību atmežošanu un transformāciju par aramzemēm, kas samazina oglekļa uzkrājumu visās oglekļa krātuvēs. Arī zālāju apsaimniekošanas gadījumā SEG emisiju pieaugums saistīts ar kopējās zālāju platības palielināšanos, vienlaicīgi pieaugot SEG emisijām no organiskajām augsnēm zālājos un samazinoties SEG emisijām no organiskajām augsnēm aramzemēs.</w:t>
      </w:r>
    </w:p>
    <w:p w14:paraId="2254C549" w14:textId="77777777" w:rsidR="003E6EAD" w:rsidRDefault="003A4514" w:rsidP="5B9FE7F0">
      <w:pPr>
        <w:spacing w:line="240" w:lineRule="auto"/>
        <w:ind w:firstLine="720"/>
        <w:jc w:val="center"/>
        <w:rPr>
          <w:rFonts w:ascii="Cambria" w:hAnsi="Cambria"/>
          <w:b/>
          <w:bCs/>
          <w:sz w:val="24"/>
          <w:szCs w:val="24"/>
        </w:rPr>
      </w:pPr>
      <w:r w:rsidRPr="5B9FE7F0">
        <w:rPr>
          <w:rFonts w:ascii="Cambria" w:hAnsi="Cambria"/>
          <w:b/>
          <w:bCs/>
          <w:sz w:val="24"/>
          <w:szCs w:val="24"/>
        </w:rPr>
        <w:t>6. tabula. SEG emisiju un CO</w:t>
      </w:r>
      <w:r w:rsidRPr="5B9FE7F0">
        <w:rPr>
          <w:rFonts w:ascii="Cambria" w:hAnsi="Cambria"/>
          <w:b/>
          <w:bCs/>
          <w:sz w:val="24"/>
          <w:szCs w:val="24"/>
          <w:vertAlign w:val="subscript"/>
        </w:rPr>
        <w:t>2</w:t>
      </w:r>
      <w:r w:rsidRPr="5B9FE7F0">
        <w:rPr>
          <w:rFonts w:ascii="Cambria" w:hAnsi="Cambria"/>
          <w:b/>
          <w:bCs/>
          <w:sz w:val="24"/>
          <w:szCs w:val="24"/>
        </w:rPr>
        <w:t xml:space="preserve"> piesaistes indikatīvā prognoze ZIZIMM uzskaites kategorijās 2021. - 2025. gada periodā, kt CO</w:t>
      </w:r>
      <w:r w:rsidRPr="5B9FE7F0">
        <w:rPr>
          <w:rFonts w:ascii="Cambria" w:hAnsi="Cambria"/>
          <w:b/>
          <w:bCs/>
          <w:sz w:val="24"/>
          <w:szCs w:val="24"/>
          <w:vertAlign w:val="subscript"/>
        </w:rPr>
        <w:t>2</w:t>
      </w:r>
      <w:r w:rsidRPr="5B9FE7F0">
        <w:rPr>
          <w:rFonts w:ascii="Cambria" w:hAnsi="Cambria"/>
          <w:b/>
          <w:bCs/>
          <w:sz w:val="24"/>
          <w:szCs w:val="24"/>
        </w:rPr>
        <w:t xml:space="preserve"> ekv. gadā</w:t>
      </w:r>
    </w:p>
    <w:tbl>
      <w:tblPr>
        <w:tblW w:w="9899" w:type="dxa"/>
        <w:jc w:val="center"/>
        <w:tblLayout w:type="fixed"/>
        <w:tblCellMar>
          <w:left w:w="10" w:type="dxa"/>
          <w:right w:w="10" w:type="dxa"/>
        </w:tblCellMar>
        <w:tblLook w:val="04A0" w:firstRow="1" w:lastRow="0" w:firstColumn="1" w:lastColumn="0" w:noHBand="0" w:noVBand="1"/>
      </w:tblPr>
      <w:tblGrid>
        <w:gridCol w:w="1413"/>
        <w:gridCol w:w="991"/>
        <w:gridCol w:w="936"/>
        <w:gridCol w:w="936"/>
        <w:gridCol w:w="937"/>
        <w:gridCol w:w="936"/>
        <w:gridCol w:w="939"/>
        <w:gridCol w:w="1071"/>
        <w:gridCol w:w="1740"/>
      </w:tblGrid>
      <w:tr w:rsidR="003E6EAD" w14:paraId="03A61CAD" w14:textId="77777777" w:rsidTr="00206C50">
        <w:trPr>
          <w:trHeight w:val="300"/>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2921349F" w14:textId="77777777" w:rsidR="003E6EAD" w:rsidRDefault="003A4514">
            <w:pPr>
              <w:spacing w:after="0" w:line="240" w:lineRule="auto"/>
              <w:jc w:val="center"/>
              <w:rPr>
                <w:rFonts w:ascii="Cambria" w:eastAsia="Cambria" w:hAnsi="Cambria" w:cs="Cambria"/>
                <w:sz w:val="18"/>
                <w:szCs w:val="18"/>
                <w:lang w:eastAsia="lv-LV"/>
              </w:rPr>
            </w:pPr>
            <w:bookmarkStart w:id="40" w:name="OLE_LINK1"/>
            <w:bookmarkEnd w:id="40"/>
            <w:r>
              <w:rPr>
                <w:rFonts w:ascii="Cambria" w:eastAsia="Cambria" w:hAnsi="Cambria" w:cs="Cambria"/>
                <w:sz w:val="18"/>
                <w:szCs w:val="18"/>
                <w:lang w:eastAsia="lv-LV"/>
              </w:rPr>
              <w:t>ZIZIMM uzskaites kategorija</w:t>
            </w:r>
          </w:p>
        </w:tc>
        <w:tc>
          <w:tcPr>
            <w:tcW w:w="991" w:type="dxa"/>
            <w:vMerge w:val="restar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79EC8CF4" w14:textId="77777777" w:rsidR="003E6EAD" w:rsidRDefault="003A4514">
            <w:pPr>
              <w:spacing w:after="0" w:line="240" w:lineRule="auto"/>
              <w:jc w:val="center"/>
            </w:pPr>
            <w:r w:rsidRPr="1349CB80">
              <w:rPr>
                <w:rFonts w:ascii="Cambria" w:eastAsia="Cambria" w:hAnsi="Cambria" w:cs="Cambria"/>
                <w:b/>
                <w:bCs/>
                <w:sz w:val="18"/>
                <w:szCs w:val="18"/>
                <w:lang w:eastAsia="lv-LV"/>
              </w:rPr>
              <w:t>Provizoriskā</w:t>
            </w:r>
            <w:r>
              <w:rPr>
                <w:rFonts w:ascii="Cambria" w:eastAsia="Cambria" w:hAnsi="Cambria" w:cs="Cambria"/>
                <w:sz w:val="18"/>
                <w:szCs w:val="18"/>
                <w:lang w:eastAsia="lv-LV"/>
              </w:rPr>
              <w:t xml:space="preserve"> bāzes vērtība</w:t>
            </w:r>
            <w:r>
              <w:rPr>
                <w:rStyle w:val="FootnoteAnchor"/>
                <w:rFonts w:ascii="Cambria" w:eastAsia="Cambria" w:hAnsi="Cambria" w:cs="Cambria"/>
                <w:sz w:val="18"/>
                <w:szCs w:val="18"/>
                <w:lang w:eastAsia="lv-LV"/>
              </w:rPr>
              <w:footnoteReference w:id="67"/>
            </w:r>
            <w:r>
              <w:rPr>
                <w:rFonts w:ascii="Cambria" w:eastAsia="Cambria" w:hAnsi="Cambria" w:cs="Cambria"/>
                <w:sz w:val="18"/>
                <w:szCs w:val="18"/>
                <w:lang w:eastAsia="lv-LV"/>
              </w:rPr>
              <w:t xml:space="preserve"> </w:t>
            </w:r>
          </w:p>
          <w:p w14:paraId="02E85AA4" w14:textId="77777777" w:rsidR="003E6EAD" w:rsidRDefault="003A4514" w:rsidP="5B9FE7F0">
            <w:pPr>
              <w:spacing w:after="0" w:line="240" w:lineRule="auto"/>
              <w:jc w:val="center"/>
              <w:rPr>
                <w:rFonts w:ascii="Cambria" w:eastAsia="Cambria" w:hAnsi="Cambria" w:cs="Cambria"/>
                <w:sz w:val="18"/>
                <w:szCs w:val="18"/>
                <w:lang w:eastAsia="lv-LV"/>
              </w:rPr>
            </w:pPr>
            <w:r w:rsidRPr="5B9FE7F0">
              <w:rPr>
                <w:rFonts w:ascii="Cambria" w:eastAsia="Cambria" w:hAnsi="Cambria" w:cs="Cambria"/>
                <w:sz w:val="18"/>
                <w:szCs w:val="18"/>
                <w:lang w:eastAsia="lv-LV"/>
              </w:rPr>
              <w:t>kt CO</w:t>
            </w:r>
            <w:r w:rsidRPr="5B9FE7F0">
              <w:rPr>
                <w:rFonts w:ascii="Cambria" w:eastAsia="Cambria" w:hAnsi="Cambria" w:cs="Cambria"/>
                <w:sz w:val="18"/>
                <w:szCs w:val="18"/>
                <w:vertAlign w:val="subscript"/>
                <w:lang w:eastAsia="lv-LV"/>
              </w:rPr>
              <w:t>2</w:t>
            </w:r>
            <w:r w:rsidRPr="5B9FE7F0">
              <w:rPr>
                <w:rFonts w:ascii="Cambria" w:eastAsia="Cambria" w:hAnsi="Cambria" w:cs="Cambria"/>
                <w:sz w:val="18"/>
                <w:szCs w:val="18"/>
                <w:lang w:eastAsia="lv-LV"/>
              </w:rPr>
              <w:t xml:space="preserve"> ekv. gadā</w:t>
            </w:r>
          </w:p>
        </w:tc>
        <w:tc>
          <w:tcPr>
            <w:tcW w:w="575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26E9EB92" w14:textId="77777777" w:rsidR="003E6EAD" w:rsidRDefault="003A4514" w:rsidP="5B9FE7F0">
            <w:pPr>
              <w:spacing w:after="0" w:line="240" w:lineRule="auto"/>
              <w:jc w:val="center"/>
            </w:pPr>
            <w:r w:rsidRPr="5B9FE7F0">
              <w:rPr>
                <w:rFonts w:ascii="Cambria" w:eastAsia="Cambria" w:hAnsi="Cambria" w:cs="Cambria"/>
                <w:sz w:val="18"/>
                <w:szCs w:val="18"/>
                <w:lang w:eastAsia="lv-LV"/>
              </w:rPr>
              <w:t>Neto emisiju/piesaistes prognoze, kt CO</w:t>
            </w:r>
            <w:r w:rsidRPr="5B9FE7F0">
              <w:rPr>
                <w:rFonts w:ascii="Cambria" w:eastAsia="Cambria" w:hAnsi="Cambria" w:cs="Cambria"/>
                <w:sz w:val="18"/>
                <w:szCs w:val="18"/>
                <w:vertAlign w:val="subscript"/>
                <w:lang w:eastAsia="lv-LV"/>
              </w:rPr>
              <w:t>2</w:t>
            </w:r>
            <w:r w:rsidRPr="5B9FE7F0">
              <w:rPr>
                <w:rFonts w:ascii="Cambria" w:eastAsia="Cambria" w:hAnsi="Cambria" w:cs="Cambria"/>
                <w:sz w:val="18"/>
                <w:szCs w:val="18"/>
                <w:lang w:eastAsia="lv-LV"/>
              </w:rPr>
              <w:t xml:space="preserve"> ekv.</w:t>
            </w:r>
            <w:r w:rsidRPr="5B9FE7F0">
              <w:rPr>
                <w:rStyle w:val="FootnoteReference"/>
                <w:rFonts w:ascii="Cambria" w:eastAsia="Cambria" w:hAnsi="Cambria" w:cs="Cambria"/>
                <w:sz w:val="18"/>
                <w:szCs w:val="18"/>
                <w:lang w:eastAsia="lv-LV"/>
              </w:rPr>
              <w:footnoteReference w:id="68"/>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76FEF709" w14:textId="77777777" w:rsidR="003E6EAD" w:rsidRDefault="003A4514">
            <w:pPr>
              <w:spacing w:after="0" w:line="240" w:lineRule="auto"/>
              <w:jc w:val="center"/>
            </w:pPr>
            <w:r w:rsidRPr="1349CB80">
              <w:rPr>
                <w:rFonts w:ascii="Cambria" w:eastAsia="Cambria" w:hAnsi="Cambria" w:cs="Cambria"/>
                <w:b/>
                <w:bCs/>
                <w:sz w:val="18"/>
                <w:szCs w:val="18"/>
                <w:lang w:eastAsia="lv-LV"/>
              </w:rPr>
              <w:t>Provizoriski uzskaitītais daudzums</w:t>
            </w:r>
            <w:r>
              <w:rPr>
                <w:rStyle w:val="FootnoteAnchor"/>
                <w:rFonts w:ascii="Cambria" w:eastAsia="Cambria" w:hAnsi="Cambria" w:cs="Cambria"/>
                <w:sz w:val="18"/>
                <w:szCs w:val="18"/>
                <w:lang w:eastAsia="lv-LV"/>
              </w:rPr>
              <w:footnoteReference w:id="69"/>
            </w:r>
            <w:r>
              <w:rPr>
                <w:rFonts w:ascii="Cambria" w:eastAsia="Cambria" w:hAnsi="Cambria" w:cs="Cambria"/>
                <w:sz w:val="18"/>
                <w:szCs w:val="18"/>
                <w:lang w:eastAsia="lv-LV"/>
              </w:rPr>
              <w:t xml:space="preserve"> </w:t>
            </w:r>
          </w:p>
          <w:p w14:paraId="2E58118D" w14:textId="77777777" w:rsidR="003E6EAD" w:rsidRDefault="003A4514" w:rsidP="5B9FE7F0">
            <w:pPr>
              <w:spacing w:after="0" w:line="240" w:lineRule="auto"/>
              <w:jc w:val="center"/>
              <w:rPr>
                <w:rFonts w:ascii="Cambria" w:eastAsia="Cambria" w:hAnsi="Cambria" w:cs="Cambria"/>
                <w:sz w:val="18"/>
                <w:szCs w:val="18"/>
                <w:lang w:eastAsia="lv-LV"/>
              </w:rPr>
            </w:pPr>
            <w:r w:rsidRPr="5B9FE7F0">
              <w:rPr>
                <w:rFonts w:ascii="Cambria" w:eastAsia="Cambria" w:hAnsi="Cambria" w:cs="Cambria"/>
                <w:sz w:val="18"/>
                <w:szCs w:val="18"/>
                <w:lang w:eastAsia="lv-LV"/>
              </w:rPr>
              <w:t>(kt</w:t>
            </w:r>
            <w:r w:rsidRPr="5B9FE7F0">
              <w:rPr>
                <w:rFonts w:ascii="Cambria" w:eastAsia="Cambria" w:hAnsi="Cambria" w:cs="Cambria"/>
                <w:sz w:val="18"/>
                <w:szCs w:val="18"/>
              </w:rPr>
              <w:t xml:space="preserve"> </w:t>
            </w:r>
            <w:r w:rsidRPr="5B9FE7F0">
              <w:rPr>
                <w:rFonts w:ascii="Cambria" w:eastAsia="Cambria" w:hAnsi="Cambria" w:cs="Cambria"/>
                <w:sz w:val="18"/>
                <w:szCs w:val="18"/>
                <w:lang w:eastAsia="lv-LV"/>
              </w:rPr>
              <w:t>CO</w:t>
            </w:r>
            <w:r w:rsidRPr="5B9FE7F0">
              <w:rPr>
                <w:rFonts w:ascii="Cambria" w:eastAsia="Cambria" w:hAnsi="Cambria" w:cs="Cambria"/>
                <w:sz w:val="18"/>
                <w:szCs w:val="18"/>
                <w:vertAlign w:val="subscript"/>
                <w:lang w:eastAsia="lv-LV"/>
              </w:rPr>
              <w:t>2</w:t>
            </w:r>
            <w:r w:rsidRPr="5B9FE7F0">
              <w:rPr>
                <w:rFonts w:ascii="Cambria" w:eastAsia="Cambria" w:hAnsi="Cambria" w:cs="Cambria"/>
                <w:sz w:val="18"/>
                <w:szCs w:val="18"/>
                <w:lang w:eastAsia="lv-LV"/>
              </w:rPr>
              <w:t xml:space="preserve"> ekv.)</w:t>
            </w:r>
          </w:p>
        </w:tc>
      </w:tr>
      <w:tr w:rsidR="00501BE0" w14:paraId="06D6F057" w14:textId="77777777" w:rsidTr="6A0C6F8F">
        <w:trPr>
          <w:trHeight w:val="300"/>
          <w:jc w:val="center"/>
        </w:trPr>
        <w:tc>
          <w:tcPr>
            <w:tcW w:w="1413" w:type="dxa"/>
            <w:vMerge/>
            <w:tcMar>
              <w:top w:w="0" w:type="dxa"/>
              <w:left w:w="108" w:type="dxa"/>
              <w:bottom w:w="0" w:type="dxa"/>
              <w:right w:w="108" w:type="dxa"/>
            </w:tcMar>
            <w:vAlign w:val="center"/>
          </w:tcPr>
          <w:p w14:paraId="16A6D325" w14:textId="77777777" w:rsidR="003E6EAD" w:rsidRDefault="003E6EAD">
            <w:pPr>
              <w:rPr>
                <w:rFonts w:ascii="Cambria" w:hAnsi="Cambria"/>
                <w:sz w:val="18"/>
                <w:szCs w:val="18"/>
              </w:rPr>
            </w:pPr>
          </w:p>
        </w:tc>
        <w:tc>
          <w:tcPr>
            <w:tcW w:w="991" w:type="dxa"/>
            <w:vMerge/>
            <w:tcMar>
              <w:top w:w="0" w:type="dxa"/>
              <w:left w:w="108" w:type="dxa"/>
              <w:bottom w:w="0" w:type="dxa"/>
              <w:right w:w="108" w:type="dxa"/>
            </w:tcMar>
            <w:vAlign w:val="center"/>
          </w:tcPr>
          <w:p w14:paraId="18FEF20F" w14:textId="77777777" w:rsidR="003E6EAD" w:rsidRDefault="003E6EAD">
            <w:pPr>
              <w:rPr>
                <w:rFonts w:ascii="Cambria" w:hAnsi="Cambria"/>
                <w:sz w:val="18"/>
                <w:szCs w:val="18"/>
              </w:rPr>
            </w:pP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0798E519" w14:textId="77777777" w:rsidR="003E6EAD" w:rsidRDefault="003A4514">
            <w:pPr>
              <w:spacing w:after="0" w:line="240" w:lineRule="auto"/>
              <w:jc w:val="center"/>
            </w:pPr>
            <w:r>
              <w:rPr>
                <w:rFonts w:ascii="Cambria" w:eastAsia="Cambria" w:hAnsi="Cambria" w:cs="Cambria"/>
                <w:sz w:val="18"/>
                <w:szCs w:val="18"/>
                <w:lang w:eastAsia="lv-LV"/>
              </w:rPr>
              <w:t>2021</w:t>
            </w:r>
            <w:r>
              <w:rPr>
                <w:rStyle w:val="FootnoteReference"/>
                <w:rFonts w:ascii="Cambria" w:eastAsia="Cambria" w:hAnsi="Cambria" w:cs="Cambria"/>
                <w:sz w:val="18"/>
                <w:szCs w:val="18"/>
                <w:lang w:eastAsia="lv-LV"/>
              </w:rPr>
              <w:footnoteReference w:id="70"/>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0F9993AD" w14:textId="77777777" w:rsidR="003E6EAD" w:rsidRDefault="003A4514">
            <w:pPr>
              <w:spacing w:after="0" w:line="240" w:lineRule="auto"/>
              <w:jc w:val="center"/>
            </w:pPr>
            <w:r>
              <w:rPr>
                <w:rFonts w:ascii="Cambria" w:eastAsia="Cambria" w:hAnsi="Cambria" w:cs="Cambria"/>
                <w:sz w:val="18"/>
                <w:szCs w:val="18"/>
                <w:lang w:eastAsia="lv-LV"/>
              </w:rPr>
              <w:t>2022</w:t>
            </w:r>
            <w:r>
              <w:rPr>
                <w:rStyle w:val="FootnoteReference"/>
                <w:rFonts w:ascii="Cambria" w:eastAsia="Cambria" w:hAnsi="Cambria" w:cs="Cambria"/>
                <w:sz w:val="18"/>
                <w:szCs w:val="18"/>
                <w:lang w:eastAsia="lv-LV"/>
              </w:rPr>
              <w:footnoteReference w:id="71"/>
            </w:r>
          </w:p>
        </w:tc>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11C3120B"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2023</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0397DA56"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2024</w:t>
            </w:r>
          </w:p>
        </w:tc>
        <w:tc>
          <w:tcPr>
            <w:tcW w:w="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739FBA67"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2025</w:t>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51BF0537" w14:textId="77777777" w:rsidR="003E6EAD" w:rsidRDefault="003A4514">
            <w:pPr>
              <w:spacing w:before="240"/>
              <w:jc w:val="center"/>
            </w:pPr>
            <w:r>
              <w:rPr>
                <w:rFonts w:ascii="Cambria" w:eastAsia="Cambria" w:hAnsi="Cambria" w:cs="Cambria"/>
                <w:sz w:val="18"/>
                <w:szCs w:val="18"/>
              </w:rPr>
              <w:t>Kopā</w:t>
            </w:r>
            <w:r>
              <w:rPr>
                <w:rStyle w:val="FootnoteReference"/>
                <w:rFonts w:ascii="Cambria" w:eastAsia="Cambria" w:hAnsi="Cambria" w:cs="Cambria"/>
                <w:sz w:val="18"/>
                <w:szCs w:val="18"/>
              </w:rPr>
              <w:footnoteReference w:id="72"/>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2837FC4D" w14:textId="77777777" w:rsidR="003E6EAD" w:rsidRDefault="003E6EAD">
            <w:pPr>
              <w:jc w:val="center"/>
              <w:rPr>
                <w:rFonts w:ascii="Cambria" w:eastAsia="Cambria" w:hAnsi="Cambria" w:cs="Cambria"/>
                <w:sz w:val="18"/>
                <w:szCs w:val="18"/>
              </w:rPr>
            </w:pPr>
          </w:p>
        </w:tc>
      </w:tr>
      <w:tr w:rsidR="003E6EAD" w14:paraId="63409C15" w14:textId="77777777" w:rsidTr="5B9FE7F0">
        <w:trPr>
          <w:trHeight w:val="300"/>
          <w:jc w:val="center"/>
        </w:trPr>
        <w:tc>
          <w:tcPr>
            <w:tcW w:w="8159"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ECEEF53" w14:textId="77777777" w:rsidR="003E6EAD" w:rsidRDefault="003A4514">
            <w:pPr>
              <w:spacing w:after="0" w:line="240" w:lineRule="auto"/>
              <w:jc w:val="center"/>
            </w:pPr>
            <w:r>
              <w:rPr>
                <w:rFonts w:ascii="Cambria" w:eastAsia="Cambria" w:hAnsi="Cambria" w:cs="Cambria"/>
                <w:sz w:val="18"/>
                <w:szCs w:val="18"/>
                <w:lang w:eastAsia="lv-LV"/>
              </w:rPr>
              <w:t>Obligātās uzskaites kategorijas</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3C04C6B" w14:textId="77777777" w:rsidR="003E6EAD" w:rsidRDefault="003E6EAD">
            <w:pPr>
              <w:spacing w:after="0" w:line="240" w:lineRule="auto"/>
              <w:jc w:val="center"/>
              <w:rPr>
                <w:rFonts w:ascii="Cambria" w:eastAsia="Cambria" w:hAnsi="Cambria" w:cs="Cambria"/>
                <w:sz w:val="18"/>
                <w:szCs w:val="18"/>
              </w:rPr>
            </w:pPr>
          </w:p>
        </w:tc>
      </w:tr>
      <w:tr w:rsidR="003E6EAD" w14:paraId="1B927E25"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0B0AB18"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Apsaimniekota meža zeme:</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54A08CE9" w14:textId="77777777" w:rsidR="003E6EAD" w:rsidRDefault="003E6EAD">
            <w:pPr>
              <w:spacing w:after="0" w:line="240" w:lineRule="auto"/>
              <w:jc w:val="center"/>
              <w:rPr>
                <w:rFonts w:ascii="Cambria" w:eastAsia="Cambria" w:hAnsi="Cambria" w:cs="Cambria"/>
                <w:sz w:val="18"/>
                <w:szCs w:val="18"/>
                <w:lang w:eastAsia="lv-LV"/>
              </w:rPr>
            </w:pP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E4AB4A4" w14:textId="77777777" w:rsidR="003E6EAD" w:rsidRDefault="003A4514">
            <w:pPr>
              <w:spacing w:after="0" w:line="240" w:lineRule="auto"/>
              <w:jc w:val="center"/>
              <w:rPr>
                <w:rFonts w:ascii="Cambria" w:eastAsia="Cambria" w:hAnsi="Cambria" w:cs="Cambria"/>
                <w:sz w:val="16"/>
                <w:szCs w:val="16"/>
                <w:lang w:eastAsia="lv-LV"/>
              </w:rPr>
            </w:pPr>
            <w:r>
              <w:rPr>
                <w:rFonts w:ascii="Cambria" w:eastAsia="Cambria" w:hAnsi="Cambria" w:cs="Cambria"/>
                <w:sz w:val="16"/>
                <w:szCs w:val="16"/>
                <w:lang w:eastAsia="lv-LV"/>
              </w:rPr>
              <w:t xml:space="preserve"> -4577,01</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300C3EF" w14:textId="77777777" w:rsidR="003E6EAD" w:rsidRDefault="003A4514">
            <w:pPr>
              <w:spacing w:after="0" w:line="240" w:lineRule="auto"/>
              <w:jc w:val="center"/>
              <w:rPr>
                <w:rFonts w:ascii="Cambria" w:eastAsia="Cambria" w:hAnsi="Cambria" w:cs="Cambria"/>
                <w:sz w:val="16"/>
                <w:szCs w:val="16"/>
                <w:lang w:eastAsia="lv-LV"/>
              </w:rPr>
            </w:pPr>
            <w:r>
              <w:rPr>
                <w:rFonts w:ascii="Cambria" w:eastAsia="Cambria" w:hAnsi="Cambria" w:cs="Cambria"/>
                <w:sz w:val="16"/>
                <w:szCs w:val="16"/>
                <w:lang w:eastAsia="lv-LV"/>
              </w:rPr>
              <w:t xml:space="preserve"> -2362,11</w:t>
            </w:r>
          </w:p>
        </w:tc>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F695ED2" w14:textId="77777777" w:rsidR="003E6EAD" w:rsidRDefault="003A4514">
            <w:pPr>
              <w:spacing w:after="0" w:line="240" w:lineRule="auto"/>
              <w:jc w:val="center"/>
              <w:rPr>
                <w:rFonts w:ascii="Cambria" w:eastAsia="Cambria" w:hAnsi="Cambria" w:cs="Cambria"/>
                <w:sz w:val="16"/>
                <w:szCs w:val="16"/>
                <w:lang w:eastAsia="lv-LV"/>
              </w:rPr>
            </w:pPr>
            <w:r>
              <w:rPr>
                <w:rFonts w:ascii="Cambria" w:eastAsia="Cambria" w:hAnsi="Cambria" w:cs="Cambria"/>
                <w:sz w:val="16"/>
                <w:szCs w:val="16"/>
                <w:lang w:eastAsia="lv-LV"/>
              </w:rPr>
              <w:t>2260,39</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8678492" w14:textId="77777777" w:rsidR="003E6EAD" w:rsidRDefault="003A4514">
            <w:pPr>
              <w:spacing w:after="0" w:line="240" w:lineRule="auto"/>
              <w:jc w:val="center"/>
              <w:rPr>
                <w:rFonts w:ascii="Cambria" w:eastAsia="Cambria" w:hAnsi="Cambria" w:cs="Cambria"/>
                <w:sz w:val="16"/>
                <w:szCs w:val="16"/>
                <w:lang w:eastAsia="lv-LV"/>
              </w:rPr>
            </w:pPr>
            <w:r>
              <w:rPr>
                <w:rFonts w:ascii="Cambria" w:eastAsia="Cambria" w:hAnsi="Cambria" w:cs="Cambria"/>
                <w:sz w:val="16"/>
                <w:szCs w:val="16"/>
                <w:lang w:eastAsia="lv-LV"/>
              </w:rPr>
              <w:t xml:space="preserve"> -1767,69</w:t>
            </w:r>
          </w:p>
        </w:tc>
        <w:tc>
          <w:tcPr>
            <w:tcW w:w="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6559D32" w14:textId="77777777" w:rsidR="003E6EAD" w:rsidRDefault="003A4514">
            <w:pPr>
              <w:spacing w:after="0" w:line="240" w:lineRule="auto"/>
              <w:jc w:val="center"/>
              <w:rPr>
                <w:rFonts w:ascii="Cambria" w:eastAsia="Cambria" w:hAnsi="Cambria" w:cs="Cambria"/>
                <w:sz w:val="16"/>
                <w:szCs w:val="16"/>
                <w:lang w:eastAsia="lv-LV"/>
              </w:rPr>
            </w:pPr>
            <w:r>
              <w:rPr>
                <w:rFonts w:ascii="Cambria" w:eastAsia="Cambria" w:hAnsi="Cambria" w:cs="Cambria"/>
                <w:sz w:val="16"/>
                <w:szCs w:val="16"/>
                <w:lang w:eastAsia="lv-LV"/>
              </w:rPr>
              <w:t xml:space="preserve"> -1567,23</w:t>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D7C5DEF" w14:textId="77777777" w:rsidR="003E6EAD" w:rsidRDefault="003A4514">
            <w:pPr>
              <w:spacing w:after="0" w:line="240" w:lineRule="auto"/>
              <w:jc w:val="center"/>
            </w:pPr>
            <w:r>
              <w:rPr>
                <w:rFonts w:ascii="Cambria" w:eastAsia="Cambria" w:hAnsi="Cambria" w:cs="Cambria"/>
                <w:sz w:val="16"/>
                <w:szCs w:val="16"/>
                <w:lang w:eastAsia="lv-LV"/>
              </w:rPr>
              <w:t xml:space="preserve"> -12534,43</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72C5A57" w14:textId="77777777" w:rsidR="003E6EAD" w:rsidRDefault="003A4514">
            <w:pPr>
              <w:spacing w:after="0"/>
              <w:jc w:val="center"/>
            </w:pPr>
            <w:r>
              <w:rPr>
                <w:rFonts w:ascii="Cambria" w:eastAsia="Cambria" w:hAnsi="Cambria" w:cs="Cambria"/>
                <w:color w:val="000000"/>
                <w:sz w:val="16"/>
                <w:szCs w:val="16"/>
              </w:rPr>
              <w:t>-3989,43</w:t>
            </w:r>
          </w:p>
        </w:tc>
      </w:tr>
      <w:tr w:rsidR="003E6EAD" w14:paraId="26FB8B16"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DFE104E" w14:textId="77777777" w:rsidR="003E6EAD" w:rsidRDefault="003A4514">
            <w:pPr>
              <w:spacing w:after="0" w:line="240" w:lineRule="auto"/>
              <w:jc w:val="center"/>
            </w:pPr>
            <w:r>
              <w:rPr>
                <w:rFonts w:ascii="Cambria" w:eastAsia="Cambria" w:hAnsi="Cambria" w:cs="Cambria"/>
                <w:sz w:val="18"/>
                <w:szCs w:val="18"/>
                <w:lang w:eastAsia="lv-LV"/>
              </w:rPr>
              <w:t>MRL</w:t>
            </w:r>
            <w:r>
              <w:rPr>
                <w:rStyle w:val="FootnoteReference"/>
                <w:rFonts w:ascii="Cambria" w:eastAsia="Cambria" w:hAnsi="Cambria" w:cs="Cambria"/>
                <w:sz w:val="18"/>
                <w:szCs w:val="18"/>
                <w:lang w:eastAsia="lv-LV"/>
              </w:rPr>
              <w:footnoteReference w:id="73"/>
            </w:r>
          </w:p>
        </w:tc>
        <w:tc>
          <w:tcPr>
            <w:tcW w:w="6746"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6C46962" w14:textId="77777777" w:rsidR="003E6EAD" w:rsidRDefault="003A4514">
            <w:pPr>
              <w:spacing w:after="0" w:line="240" w:lineRule="auto"/>
              <w:jc w:val="center"/>
              <w:rPr>
                <w:rFonts w:ascii="Cambria" w:eastAsia="Cambria" w:hAnsi="Cambria" w:cs="Cambria"/>
                <w:sz w:val="16"/>
                <w:szCs w:val="16"/>
              </w:rPr>
            </w:pPr>
            <w:r>
              <w:rPr>
                <w:rFonts w:ascii="Cambria" w:eastAsia="Cambria" w:hAnsi="Cambria" w:cs="Cambria"/>
                <w:sz w:val="16"/>
                <w:szCs w:val="16"/>
              </w:rPr>
              <w:t>-1709</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80BC7C4" w14:textId="77777777" w:rsidR="003E6EAD" w:rsidRDefault="003E6EAD">
            <w:pPr>
              <w:spacing w:after="0" w:line="240" w:lineRule="auto"/>
              <w:jc w:val="center"/>
              <w:rPr>
                <w:rFonts w:ascii="Cambria" w:eastAsia="Cambria" w:hAnsi="Cambria" w:cs="Cambria"/>
                <w:sz w:val="16"/>
                <w:szCs w:val="16"/>
              </w:rPr>
            </w:pPr>
          </w:p>
        </w:tc>
      </w:tr>
      <w:tr w:rsidR="003E6EAD" w14:paraId="4933D865"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B139F84" w14:textId="77777777" w:rsidR="003E6EAD" w:rsidRDefault="003A4514">
            <w:pPr>
              <w:spacing w:after="0" w:line="240" w:lineRule="auto"/>
              <w:jc w:val="center"/>
            </w:pPr>
            <w:r>
              <w:rPr>
                <w:rFonts w:ascii="Cambria" w:eastAsia="Cambria" w:hAnsi="Cambria" w:cs="Cambria"/>
                <w:sz w:val="18"/>
                <w:szCs w:val="18"/>
                <w:lang w:eastAsia="lv-LV"/>
              </w:rPr>
              <w:t>Maksimālais izmantojamais piesaistes apjoms no apsaimniekotas meža zemes (CAP)</w:t>
            </w:r>
            <w:r>
              <w:rPr>
                <w:rStyle w:val="FootnoteReference"/>
                <w:rFonts w:ascii="Cambria" w:eastAsia="Cambria" w:hAnsi="Cambria" w:cs="Cambria"/>
                <w:sz w:val="18"/>
                <w:szCs w:val="18"/>
                <w:lang w:eastAsia="lv-LV"/>
              </w:rPr>
              <w:footnoteReference w:id="74"/>
            </w:r>
          </w:p>
        </w:tc>
        <w:tc>
          <w:tcPr>
            <w:tcW w:w="567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5ADB3A3B" w14:textId="77777777" w:rsidR="003E6EAD" w:rsidRDefault="003E6EAD">
            <w:pPr>
              <w:spacing w:after="0" w:line="240" w:lineRule="auto"/>
              <w:jc w:val="center"/>
              <w:rPr>
                <w:rFonts w:ascii="Cambria" w:eastAsia="Cambria" w:hAnsi="Cambria" w:cs="Cambria"/>
                <w:sz w:val="18"/>
                <w:szCs w:val="18"/>
              </w:rPr>
            </w:pP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755DAE0" w14:textId="77777777" w:rsidR="003E6EAD" w:rsidRDefault="003A4514">
            <w:pPr>
              <w:spacing w:after="0" w:line="240" w:lineRule="auto"/>
              <w:jc w:val="center"/>
            </w:pPr>
            <w:r>
              <w:rPr>
                <w:rFonts w:ascii="Cambria" w:eastAsia="Cambria" w:hAnsi="Cambria" w:cs="Cambria"/>
                <w:sz w:val="18"/>
                <w:szCs w:val="18"/>
                <w:lang w:eastAsia="lv-LV"/>
              </w:rPr>
              <w:t>4561,04</w:t>
            </w:r>
            <w:r>
              <w:rPr>
                <w:rStyle w:val="FootnoteReference"/>
                <w:rFonts w:ascii="Cambria" w:eastAsia="Cambria" w:hAnsi="Cambria" w:cs="Cambria"/>
                <w:sz w:val="18"/>
                <w:szCs w:val="18"/>
              </w:rPr>
              <w:footnoteReference w:id="75"/>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3BA9D5E" w14:textId="77777777" w:rsidR="003E6EAD" w:rsidRDefault="003A4514">
            <w:pPr>
              <w:spacing w:after="0" w:line="240" w:lineRule="auto"/>
              <w:jc w:val="center"/>
              <w:rPr>
                <w:rFonts w:ascii="Cambria" w:eastAsia="Cambria" w:hAnsi="Cambria" w:cs="Cambria"/>
                <w:sz w:val="18"/>
                <w:szCs w:val="18"/>
              </w:rPr>
            </w:pPr>
            <w:r>
              <w:rPr>
                <w:rFonts w:ascii="Cambria" w:eastAsia="Cambria" w:hAnsi="Cambria" w:cs="Cambria"/>
                <w:sz w:val="18"/>
                <w:szCs w:val="18"/>
              </w:rPr>
              <w:t>Netiek piemērots, jo uzskaitītā piesaiste pret MRL ir mazāka kā CAP</w:t>
            </w:r>
          </w:p>
        </w:tc>
      </w:tr>
      <w:tr w:rsidR="003E6EAD" w14:paraId="1FE69037"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5016BD6"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Apmežota zeme</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0292E615" w14:textId="77777777" w:rsidR="003E6EAD" w:rsidRDefault="003E6EAD">
            <w:pPr>
              <w:spacing w:after="0" w:line="240" w:lineRule="auto"/>
              <w:jc w:val="center"/>
              <w:rPr>
                <w:rFonts w:ascii="Cambria" w:eastAsia="Cambria" w:hAnsi="Cambria" w:cs="Cambria"/>
                <w:sz w:val="18"/>
                <w:szCs w:val="18"/>
                <w:lang w:eastAsia="lv-LV"/>
              </w:rPr>
            </w:pP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8917856"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-249,21</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FC26ABC"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-261,72</w:t>
            </w:r>
          </w:p>
        </w:tc>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085A9EE"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-273,21</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2D4DE0F"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-288,75</w:t>
            </w:r>
          </w:p>
        </w:tc>
        <w:tc>
          <w:tcPr>
            <w:tcW w:w="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B57D40C"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-296,45</w:t>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36E87BC"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-1369,34</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259F3B1" w14:textId="77777777" w:rsidR="003E6EAD" w:rsidRDefault="003A4514">
            <w:pPr>
              <w:spacing w:after="0" w:line="240" w:lineRule="auto"/>
              <w:jc w:val="center"/>
              <w:rPr>
                <w:rFonts w:ascii="Cambria" w:eastAsia="Cambria" w:hAnsi="Cambria" w:cs="Cambria"/>
                <w:color w:val="000000"/>
                <w:sz w:val="18"/>
                <w:szCs w:val="18"/>
              </w:rPr>
            </w:pPr>
            <w:r>
              <w:rPr>
                <w:rFonts w:ascii="Cambria" w:eastAsia="Cambria" w:hAnsi="Cambria" w:cs="Cambria"/>
                <w:color w:val="000000"/>
                <w:sz w:val="18"/>
                <w:szCs w:val="18"/>
              </w:rPr>
              <w:t>-1369,34</w:t>
            </w:r>
          </w:p>
        </w:tc>
      </w:tr>
      <w:tr w:rsidR="003E6EAD" w14:paraId="4BF44DA5"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B374952"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Atmežota zeme</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4304C999" w14:textId="77777777" w:rsidR="003E6EAD" w:rsidRDefault="003E6EAD">
            <w:pPr>
              <w:spacing w:after="0" w:line="240" w:lineRule="auto"/>
              <w:jc w:val="center"/>
              <w:rPr>
                <w:rFonts w:ascii="Cambria" w:eastAsia="Cambria" w:hAnsi="Cambria" w:cs="Cambria"/>
                <w:sz w:val="18"/>
                <w:szCs w:val="18"/>
                <w:lang w:eastAsia="lv-LV"/>
              </w:rPr>
            </w:pP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9B6C155"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1273,52</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323B00B"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1538,29</w:t>
            </w:r>
          </w:p>
        </w:tc>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B2591DA"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1309,17</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B593BB4"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592,29</w:t>
            </w:r>
          </w:p>
        </w:tc>
        <w:tc>
          <w:tcPr>
            <w:tcW w:w="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9542442"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570,98</w:t>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FFD6D6"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5284,25</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0E1A7EE"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5284,25</w:t>
            </w:r>
          </w:p>
        </w:tc>
      </w:tr>
      <w:tr w:rsidR="003E6EAD" w14:paraId="547BDF87"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6539A44"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Apsaimniekota aramzeme</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0520F0E"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2090,668</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718325F"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1866,11</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6515FC0"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1899,01</w:t>
            </w:r>
          </w:p>
        </w:tc>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AD30692"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1897,69</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CAFBCE6"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1907,44</w:t>
            </w:r>
          </w:p>
        </w:tc>
        <w:tc>
          <w:tcPr>
            <w:tcW w:w="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CEE7D52"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1917,54</w:t>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44AB4B8"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9487,79</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103A920" w14:textId="77777777" w:rsidR="003E6EAD" w:rsidRDefault="003A4514">
            <w:pPr>
              <w:spacing w:after="0" w:line="240" w:lineRule="auto"/>
              <w:jc w:val="center"/>
            </w:pPr>
            <w:r>
              <w:rPr>
                <w:rFonts w:ascii="Cambria" w:eastAsia="Cambria" w:hAnsi="Cambria" w:cs="Cambria"/>
                <w:sz w:val="18"/>
                <w:szCs w:val="18"/>
              </w:rPr>
              <w:t xml:space="preserve">-965,55 </w:t>
            </w:r>
            <w:r>
              <w:rPr>
                <w:rStyle w:val="FootnoteReference"/>
                <w:rFonts w:ascii="Cambria" w:eastAsia="Cambria" w:hAnsi="Cambria" w:cs="Cambria"/>
                <w:sz w:val="18"/>
                <w:szCs w:val="18"/>
                <w:lang w:eastAsia="lv-LV"/>
              </w:rPr>
              <w:footnoteReference w:id="76"/>
            </w:r>
          </w:p>
        </w:tc>
      </w:tr>
      <w:tr w:rsidR="003E6EAD" w14:paraId="3972BC04" w14:textId="77777777" w:rsidTr="5B9FE7F0">
        <w:trPr>
          <w:trHeight w:val="30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F3B3302" w14:textId="77777777" w:rsidR="003E6EAD" w:rsidRDefault="003A4514">
            <w:pPr>
              <w:spacing w:after="0" w:line="240" w:lineRule="auto"/>
              <w:jc w:val="center"/>
              <w:rPr>
                <w:rFonts w:ascii="Cambria" w:eastAsia="Cambria" w:hAnsi="Cambria" w:cs="Cambria"/>
                <w:sz w:val="18"/>
                <w:szCs w:val="18"/>
                <w:lang w:eastAsia="lv-LV"/>
              </w:rPr>
            </w:pPr>
            <w:r>
              <w:rPr>
                <w:rFonts w:ascii="Cambria" w:eastAsia="Cambria" w:hAnsi="Cambria" w:cs="Cambria"/>
                <w:sz w:val="18"/>
                <w:szCs w:val="18"/>
                <w:lang w:eastAsia="lv-LV"/>
              </w:rPr>
              <w:t>Apsaimniekoti zālāji</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D209BF6"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926,95</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70BE3BD"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534,16</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E2CAC6A"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511,64</w:t>
            </w:r>
          </w:p>
        </w:tc>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2DF47C7"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569,11</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AD1A55C"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889,92</w:t>
            </w:r>
          </w:p>
        </w:tc>
        <w:tc>
          <w:tcPr>
            <w:tcW w:w="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7C1B53A"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916,97</w:t>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D52672F" w14:textId="77777777" w:rsidR="003E6EAD" w:rsidRDefault="003A4514">
            <w:pPr>
              <w:spacing w:after="0"/>
              <w:jc w:val="center"/>
              <w:rPr>
                <w:rFonts w:ascii="Cambria" w:eastAsia="Cambria" w:hAnsi="Cambria" w:cs="Cambria"/>
                <w:color w:val="000000"/>
                <w:sz w:val="18"/>
                <w:szCs w:val="18"/>
              </w:rPr>
            </w:pPr>
            <w:r>
              <w:rPr>
                <w:rFonts w:ascii="Cambria" w:eastAsia="Cambria" w:hAnsi="Cambria" w:cs="Cambria"/>
                <w:color w:val="000000"/>
                <w:sz w:val="18"/>
                <w:szCs w:val="18"/>
              </w:rPr>
              <w:t>3421,8</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D4D4C3F" w14:textId="77777777" w:rsidR="003E6EAD" w:rsidRDefault="003A4514">
            <w:pPr>
              <w:spacing w:after="0" w:line="240" w:lineRule="auto"/>
              <w:jc w:val="center"/>
            </w:pPr>
            <w:r>
              <w:rPr>
                <w:rFonts w:ascii="Cambria" w:eastAsia="Cambria" w:hAnsi="Cambria" w:cs="Cambria"/>
                <w:sz w:val="18"/>
                <w:szCs w:val="18"/>
              </w:rPr>
              <w:t xml:space="preserve">-1212,95 </w:t>
            </w:r>
            <w:r>
              <w:rPr>
                <w:rStyle w:val="FootnoteReference"/>
                <w:rFonts w:ascii="Cambria" w:eastAsia="Cambria" w:hAnsi="Cambria" w:cs="Cambria"/>
                <w:sz w:val="18"/>
                <w:szCs w:val="18"/>
                <w:lang w:eastAsia="lv-LV"/>
              </w:rPr>
              <w:footnoteReference w:id="77"/>
            </w:r>
          </w:p>
        </w:tc>
      </w:tr>
      <w:tr w:rsidR="003E6EAD" w14:paraId="451079A8" w14:textId="77777777" w:rsidTr="5B9FE7F0">
        <w:trPr>
          <w:trHeight w:val="300"/>
          <w:jc w:val="center"/>
        </w:trPr>
        <w:tc>
          <w:tcPr>
            <w:tcW w:w="8159"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01A3C8F6" w14:textId="77777777" w:rsidR="003E6EAD" w:rsidRDefault="003A4514">
            <w:pPr>
              <w:spacing w:after="0" w:line="240" w:lineRule="auto"/>
              <w:jc w:val="right"/>
            </w:pPr>
            <w:r>
              <w:rPr>
                <w:rFonts w:ascii="Cambria" w:eastAsia="Cambria" w:hAnsi="Cambria" w:cs="Cambria"/>
                <w:sz w:val="18"/>
                <w:szCs w:val="18"/>
                <w:lang w:eastAsia="lv-LV"/>
              </w:rPr>
              <w:t>Kopā:</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0361413D" w14:textId="77777777" w:rsidR="003E6EAD" w:rsidRDefault="003A4514">
            <w:pPr>
              <w:spacing w:after="0" w:line="240" w:lineRule="auto"/>
              <w:jc w:val="center"/>
            </w:pPr>
            <w:r>
              <w:rPr>
                <w:rFonts w:ascii="Cambria" w:eastAsia="Cambria" w:hAnsi="Cambria" w:cs="Cambria"/>
                <w:b/>
                <w:sz w:val="18"/>
                <w:szCs w:val="18"/>
              </w:rPr>
              <w:t>-2253,02</w:t>
            </w:r>
          </w:p>
        </w:tc>
      </w:tr>
    </w:tbl>
    <w:p w14:paraId="241805B8" w14:textId="77777777" w:rsidR="003E6EAD" w:rsidRDefault="003E6EAD">
      <w:pPr>
        <w:spacing w:after="120"/>
        <w:jc w:val="both"/>
        <w:rPr>
          <w:rFonts w:ascii="Cambria" w:hAnsi="Cambria"/>
          <w:b/>
          <w:sz w:val="24"/>
          <w:szCs w:val="24"/>
          <w:lang w:eastAsia="lv-LV"/>
        </w:rPr>
      </w:pPr>
    </w:p>
    <w:p w14:paraId="48A03CB5" w14:textId="77777777" w:rsidR="003E6EAD" w:rsidRDefault="003A4514" w:rsidP="5B9FE7F0">
      <w:pPr>
        <w:spacing w:before="120" w:after="120" w:line="240" w:lineRule="auto"/>
        <w:ind w:firstLine="567"/>
        <w:jc w:val="both"/>
        <w:rPr>
          <w:rFonts w:ascii="Cambria" w:hAnsi="Cambria"/>
          <w:b/>
          <w:bCs/>
          <w:sz w:val="24"/>
          <w:szCs w:val="24"/>
          <w:lang w:eastAsia="lv-LV"/>
        </w:rPr>
      </w:pPr>
      <w:r w:rsidRPr="5B9FE7F0">
        <w:rPr>
          <w:rFonts w:ascii="Cambria" w:hAnsi="Cambria"/>
          <w:b/>
          <w:bCs/>
          <w:sz w:val="24"/>
          <w:szCs w:val="24"/>
          <w:lang w:eastAsia="lv-LV"/>
        </w:rPr>
        <w:t xml:space="preserve">Kopumā </w:t>
      </w:r>
      <w:r w:rsidRPr="5B9FE7F0">
        <w:rPr>
          <w:rFonts w:ascii="Cambria" w:hAnsi="Cambria"/>
          <w:sz w:val="24"/>
          <w:szCs w:val="24"/>
          <w:lang w:eastAsia="lv-LV"/>
        </w:rPr>
        <w:t xml:space="preserve">saskaņā ar 2024. gada atjaunoto 2023. gada integrēto ziņojumu par politikām, pasākumiem un SEG prognozēm  2021. - 2025. gada periodā ZIZIMM uzskaites kategorijās </w:t>
      </w:r>
      <w:r w:rsidRPr="5B9FE7F0">
        <w:rPr>
          <w:rFonts w:ascii="Cambria" w:hAnsi="Cambria"/>
          <w:b/>
          <w:bCs/>
          <w:sz w:val="24"/>
          <w:szCs w:val="24"/>
          <w:lang w:eastAsia="lv-LV"/>
        </w:rPr>
        <w:t>prognozēta saistību pārpilde par -2253,02 kt CO</w:t>
      </w:r>
      <w:r w:rsidRPr="5B9FE7F0">
        <w:rPr>
          <w:rFonts w:ascii="Cambria" w:hAnsi="Cambria"/>
          <w:b/>
          <w:bCs/>
          <w:sz w:val="24"/>
          <w:szCs w:val="24"/>
          <w:vertAlign w:val="subscript"/>
          <w:lang w:eastAsia="lv-LV"/>
        </w:rPr>
        <w:t>2</w:t>
      </w:r>
      <w:r w:rsidRPr="5B9FE7F0">
        <w:rPr>
          <w:rFonts w:ascii="Cambria" w:hAnsi="Cambria"/>
          <w:b/>
          <w:bCs/>
          <w:sz w:val="24"/>
          <w:szCs w:val="24"/>
          <w:lang w:eastAsia="lv-LV"/>
        </w:rPr>
        <w:t> ekv. vienībām.</w:t>
      </w:r>
    </w:p>
    <w:p w14:paraId="4645D5ED" w14:textId="61EA710F" w:rsidR="003E6EAD" w:rsidRDefault="003A4514" w:rsidP="5B9FE7F0">
      <w:pPr>
        <w:spacing w:before="120" w:after="120" w:line="240" w:lineRule="auto"/>
        <w:ind w:firstLine="567"/>
        <w:jc w:val="both"/>
        <w:rPr>
          <w:rFonts w:ascii="Cambria" w:hAnsi="Cambria"/>
          <w:i/>
          <w:iCs/>
          <w:sz w:val="24"/>
          <w:szCs w:val="24"/>
        </w:rPr>
      </w:pPr>
      <w:r w:rsidRPr="5B9FE7F0">
        <w:rPr>
          <w:rFonts w:ascii="Cambria" w:hAnsi="Cambria"/>
          <w:sz w:val="24"/>
          <w:szCs w:val="24"/>
        </w:rPr>
        <w:lastRenderedPageBreak/>
        <w:t xml:space="preserve">Kā jau iepriekš tika minēts šā ziņojuma 2. nodaļā, balstoties uz 2023. gada 19. aprīļa grozījumiem regulā 2018/841, periodā no 2026. gada Latvijai noteiktais mērķis (piesaiste ZIZIMM </w:t>
      </w:r>
      <w:r w:rsidRPr="5B9FE7F0">
        <w:rPr>
          <w:rFonts w:ascii="Cambria" w:hAnsi="Cambria"/>
          <w:b/>
          <w:bCs/>
          <w:sz w:val="24"/>
          <w:szCs w:val="24"/>
        </w:rPr>
        <w:t>ziņošanas</w:t>
      </w:r>
      <w:r w:rsidRPr="5B9FE7F0">
        <w:rPr>
          <w:rFonts w:ascii="Cambria" w:hAnsi="Cambria"/>
          <w:sz w:val="24"/>
          <w:szCs w:val="24"/>
        </w:rPr>
        <w:t xml:space="preserve"> kategorijās - meža zeme, aramzeme, zālājs, mitrāji, infrastruktūra, nocirstas koksnes produkti) ir –639 kt CO</w:t>
      </w:r>
      <w:r w:rsidRPr="5B9FE7F0">
        <w:rPr>
          <w:rFonts w:ascii="Cambria" w:hAnsi="Cambria"/>
          <w:sz w:val="24"/>
          <w:szCs w:val="24"/>
          <w:vertAlign w:val="subscript"/>
        </w:rPr>
        <w:t>2</w:t>
      </w:r>
      <w:r w:rsidRPr="5B9FE7F0">
        <w:rPr>
          <w:rFonts w:ascii="Cambria" w:hAnsi="Cambria"/>
          <w:sz w:val="24"/>
          <w:szCs w:val="24"/>
        </w:rPr>
        <w:t xml:space="preserve"> ekv. + 2016. - 2018. gada vidējās emisijas 2032.gada SEG inventarizācijā. Ņemot par pamatu jaunākos datus (2023. gada SEG inventarizāciju), redzams, ka Latvijai 2030. gada mērķrādītājs būtu: </w:t>
      </w:r>
      <w:r w:rsidRPr="5B9FE7F0">
        <w:rPr>
          <w:rFonts w:ascii="Cambria" w:hAnsi="Cambria"/>
          <w:i/>
          <w:iCs/>
          <w:sz w:val="24"/>
          <w:szCs w:val="24"/>
        </w:rPr>
        <w:t>-639 kt CO</w:t>
      </w:r>
      <w:r w:rsidRPr="5B9FE7F0">
        <w:rPr>
          <w:rFonts w:ascii="Cambria" w:hAnsi="Cambria"/>
          <w:i/>
          <w:iCs/>
          <w:sz w:val="24"/>
          <w:szCs w:val="24"/>
          <w:vertAlign w:val="subscript"/>
        </w:rPr>
        <w:t>2</w:t>
      </w:r>
      <w:r w:rsidRPr="5B9FE7F0">
        <w:rPr>
          <w:rFonts w:ascii="Cambria" w:hAnsi="Cambria"/>
          <w:i/>
          <w:iCs/>
          <w:sz w:val="24"/>
          <w:szCs w:val="24"/>
        </w:rPr>
        <w:t xml:space="preserve"> ekv.+ (</w:t>
      </w:r>
      <w:r w:rsidRPr="5B9FE7F0">
        <w:rPr>
          <w:rFonts w:ascii="Times New Roman" w:eastAsia="Times New Roman" w:hAnsi="Times New Roman"/>
          <w:sz w:val="24"/>
          <w:szCs w:val="24"/>
        </w:rPr>
        <w:t xml:space="preserve"> -1575,77</w:t>
      </w:r>
      <w:r w:rsidRPr="5B9FE7F0">
        <w:rPr>
          <w:rFonts w:ascii="Cambria" w:hAnsi="Cambria"/>
          <w:i/>
          <w:iCs/>
          <w:sz w:val="24"/>
          <w:szCs w:val="24"/>
        </w:rPr>
        <w:t>) kt CO</w:t>
      </w:r>
      <w:r w:rsidRPr="5B9FE7F0">
        <w:rPr>
          <w:rFonts w:ascii="Cambria" w:hAnsi="Cambria"/>
          <w:i/>
          <w:iCs/>
          <w:sz w:val="24"/>
          <w:szCs w:val="24"/>
          <w:vertAlign w:val="subscript"/>
        </w:rPr>
        <w:t>2</w:t>
      </w:r>
      <w:r w:rsidRPr="5B9FE7F0">
        <w:rPr>
          <w:rFonts w:ascii="Cambria" w:hAnsi="Cambria"/>
          <w:i/>
          <w:iCs/>
          <w:sz w:val="24"/>
          <w:szCs w:val="24"/>
        </w:rPr>
        <w:t xml:space="preserve"> ekv. (vidējās neto SEG emisijas 2016.-2018. gadā) = </w:t>
      </w:r>
      <w:bookmarkStart w:id="41" w:name="OLE_LINK31"/>
      <w:r w:rsidRPr="5B9FE7F0">
        <w:rPr>
          <w:rFonts w:ascii="Cambria" w:hAnsi="Cambria"/>
          <w:i/>
          <w:iCs/>
          <w:sz w:val="24"/>
          <w:szCs w:val="24"/>
        </w:rPr>
        <w:t xml:space="preserve">-2214,77 </w:t>
      </w:r>
      <w:bookmarkEnd w:id="41"/>
      <w:r w:rsidRPr="5B9FE7F0">
        <w:rPr>
          <w:rFonts w:ascii="Cambria" w:hAnsi="Cambria"/>
          <w:i/>
          <w:iCs/>
          <w:sz w:val="24"/>
          <w:szCs w:val="24"/>
        </w:rPr>
        <w:t>kt CO</w:t>
      </w:r>
      <w:r w:rsidRPr="5B9FE7F0">
        <w:rPr>
          <w:rFonts w:ascii="Cambria" w:hAnsi="Cambria"/>
          <w:i/>
          <w:iCs/>
          <w:sz w:val="24"/>
          <w:szCs w:val="24"/>
          <w:vertAlign w:val="subscript"/>
        </w:rPr>
        <w:t>2</w:t>
      </w:r>
      <w:r w:rsidRPr="5B9FE7F0">
        <w:rPr>
          <w:rFonts w:ascii="Cambria" w:hAnsi="Cambria"/>
          <w:i/>
          <w:iCs/>
          <w:sz w:val="24"/>
          <w:szCs w:val="24"/>
        </w:rPr>
        <w:t xml:space="preserve"> ekv.</w:t>
      </w:r>
    </w:p>
    <w:p w14:paraId="002CCDB4"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b/>
          <w:bCs/>
          <w:sz w:val="24"/>
          <w:szCs w:val="24"/>
        </w:rPr>
        <w:t>Saskaņā ar 2024. gadā atjaunoto 2023. gada integrēto ziņojumu par politikām, pasākumiem un SEG prognozēm periodā 2026.-2030. gads Latvija neizpilda ZIZIMM sektoram noteikto mērķi</w:t>
      </w:r>
      <w:r w:rsidRPr="5B9FE7F0">
        <w:rPr>
          <w:rFonts w:ascii="Cambria" w:hAnsi="Cambria"/>
          <w:sz w:val="24"/>
          <w:szCs w:val="24"/>
        </w:rPr>
        <w:t xml:space="preserve">, jo ZIZIMM sektora neto SEG emisijas 2030. gadā prognozētas </w:t>
      </w:r>
      <w:r w:rsidRPr="5B9FE7F0">
        <w:rPr>
          <w:rFonts w:ascii="Times New Roman" w:eastAsia="Times New Roman" w:hAnsi="Times New Roman"/>
          <w:sz w:val="24"/>
          <w:szCs w:val="24"/>
        </w:rPr>
        <w:t>2909,77</w:t>
      </w:r>
      <w:r w:rsidRPr="5B9FE7F0">
        <w:rPr>
          <w:rFonts w:ascii="Cambria" w:hAnsi="Cambria"/>
          <w:sz w:val="24"/>
          <w:szCs w:val="24"/>
        </w:rPr>
        <w:t xml:space="preserve">  kt CO</w:t>
      </w:r>
      <w:r w:rsidRPr="5B9FE7F0">
        <w:rPr>
          <w:rFonts w:ascii="Cambria" w:hAnsi="Cambria"/>
          <w:sz w:val="24"/>
          <w:szCs w:val="24"/>
          <w:vertAlign w:val="subscript"/>
        </w:rPr>
        <w:t>2</w:t>
      </w:r>
      <w:r w:rsidRPr="5B9FE7F0">
        <w:rPr>
          <w:rFonts w:ascii="Cambria" w:hAnsi="Cambria"/>
          <w:sz w:val="24"/>
          <w:szCs w:val="24"/>
        </w:rPr>
        <w:t xml:space="preserve"> ekv.,  skatīt 7. tabulā.</w:t>
      </w:r>
    </w:p>
    <w:p w14:paraId="51DC1562" w14:textId="41F39053" w:rsidR="003E6EAD" w:rsidRDefault="003A4514" w:rsidP="5B9FE7F0">
      <w:pPr>
        <w:spacing w:before="120" w:after="120" w:line="240" w:lineRule="auto"/>
        <w:jc w:val="center"/>
      </w:pPr>
      <w:r w:rsidRPr="5B9FE7F0">
        <w:rPr>
          <w:rFonts w:ascii="Cambria" w:hAnsi="Cambria"/>
          <w:b/>
          <w:bCs/>
          <w:sz w:val="24"/>
          <w:szCs w:val="24"/>
        </w:rPr>
        <w:t>7. tabula. Neto SEG emisijas ZIZIMM sektorā 2026. – 2030. gadā</w:t>
      </w:r>
      <w:r w:rsidR="00ED6EFD">
        <w:rPr>
          <w:rFonts w:ascii="Cambria" w:hAnsi="Cambria"/>
          <w:b/>
          <w:bCs/>
          <w:sz w:val="24"/>
          <w:szCs w:val="24"/>
        </w:rPr>
        <w:t xml:space="preserve"> </w:t>
      </w:r>
      <w:r w:rsidRPr="5B9FE7F0">
        <w:rPr>
          <w:rFonts w:ascii="Cambria" w:hAnsi="Cambria"/>
          <w:b/>
          <w:bCs/>
          <w:sz w:val="24"/>
          <w:szCs w:val="24"/>
        </w:rPr>
        <w:t>WEM/WAM</w:t>
      </w:r>
      <w:r w:rsidR="00EB666C">
        <w:rPr>
          <w:rStyle w:val="FootnoteReference"/>
          <w:rFonts w:ascii="Cambria" w:hAnsi="Cambria"/>
          <w:b/>
          <w:bCs/>
          <w:sz w:val="24"/>
          <w:szCs w:val="24"/>
        </w:rPr>
        <w:footnoteReference w:id="78"/>
      </w:r>
      <w:r w:rsidRPr="5B9FE7F0">
        <w:rPr>
          <w:rFonts w:ascii="Cambria" w:hAnsi="Cambria"/>
          <w:b/>
          <w:bCs/>
          <w:sz w:val="24"/>
          <w:szCs w:val="24"/>
        </w:rPr>
        <w:t xml:space="preserve"> </w:t>
      </w:r>
      <w:r w:rsidR="00ED6EFD">
        <w:rPr>
          <w:rFonts w:ascii="Cambria" w:hAnsi="Cambria"/>
          <w:b/>
          <w:bCs/>
          <w:sz w:val="24"/>
          <w:szCs w:val="24"/>
        </w:rPr>
        <w:t xml:space="preserve">un </w:t>
      </w:r>
      <w:r w:rsidR="00ED6EFD" w:rsidRPr="00A55D2C">
        <w:rPr>
          <w:rFonts w:ascii="Cambria" w:hAnsi="Cambria"/>
          <w:b/>
          <w:sz w:val="24"/>
          <w:szCs w:val="24"/>
        </w:rPr>
        <w:t>NE</w:t>
      </w:r>
      <w:r w:rsidR="00EB666C">
        <w:rPr>
          <w:rFonts w:ascii="Cambria" w:hAnsi="Cambria"/>
          <w:b/>
          <w:sz w:val="24"/>
          <w:szCs w:val="24"/>
        </w:rPr>
        <w:t>K</w:t>
      </w:r>
      <w:r w:rsidR="00ED6EFD" w:rsidRPr="00A55D2C">
        <w:rPr>
          <w:rFonts w:ascii="Cambria" w:hAnsi="Cambria"/>
          <w:b/>
          <w:sz w:val="24"/>
          <w:szCs w:val="24"/>
        </w:rPr>
        <w:t xml:space="preserve">P mērķu </w:t>
      </w:r>
      <w:r w:rsidRPr="00A55D2C">
        <w:rPr>
          <w:rFonts w:ascii="Cambria" w:hAnsi="Cambria"/>
          <w:b/>
          <w:sz w:val="24"/>
        </w:rPr>
        <w:t>scenārijā</w:t>
      </w:r>
      <w:r w:rsidR="00F2336B" w:rsidRPr="00A55D2C">
        <w:rPr>
          <w:rFonts w:ascii="Cambria" w:hAnsi="Cambria"/>
          <w:b/>
          <w:sz w:val="24"/>
          <w:szCs w:val="24"/>
        </w:rPr>
        <w:t xml:space="preserve"> ( tabulā NE</w:t>
      </w:r>
      <w:r w:rsidR="00EB666C">
        <w:rPr>
          <w:rFonts w:ascii="Cambria" w:hAnsi="Cambria"/>
          <w:b/>
          <w:sz w:val="24"/>
          <w:szCs w:val="24"/>
        </w:rPr>
        <w:t>K</w:t>
      </w:r>
      <w:r w:rsidR="00F2336B" w:rsidRPr="00A55D2C">
        <w:rPr>
          <w:rFonts w:ascii="Cambria" w:hAnsi="Cambria"/>
          <w:b/>
          <w:sz w:val="24"/>
          <w:szCs w:val="24"/>
        </w:rPr>
        <w:t>P)</w:t>
      </w:r>
      <w:r w:rsidRPr="00A55D2C">
        <w:rPr>
          <w:rFonts w:ascii="Cambria" w:hAnsi="Cambria"/>
          <w:b/>
          <w:sz w:val="24"/>
          <w:szCs w:val="24"/>
        </w:rPr>
        <w:t>,</w:t>
      </w:r>
      <w:r w:rsidRPr="5B9FE7F0">
        <w:rPr>
          <w:rFonts w:ascii="Cambria" w:hAnsi="Cambria"/>
          <w:b/>
          <w:bCs/>
          <w:sz w:val="24"/>
          <w:szCs w:val="24"/>
        </w:rPr>
        <w:t xml:space="preserve"> kt CO</w:t>
      </w:r>
      <w:r w:rsidRPr="5B9FE7F0">
        <w:rPr>
          <w:rFonts w:ascii="Cambria" w:hAnsi="Cambria"/>
          <w:b/>
          <w:bCs/>
          <w:sz w:val="24"/>
          <w:szCs w:val="24"/>
          <w:vertAlign w:val="subscript"/>
        </w:rPr>
        <w:t>2</w:t>
      </w:r>
      <w:r w:rsidRPr="5B9FE7F0">
        <w:rPr>
          <w:rFonts w:ascii="Cambria" w:hAnsi="Cambria"/>
          <w:b/>
          <w:bCs/>
          <w:sz w:val="24"/>
          <w:szCs w:val="24"/>
        </w:rPr>
        <w:t xml:space="preserve"> ekv.</w:t>
      </w:r>
      <w:r w:rsidRPr="5B9FE7F0">
        <w:rPr>
          <w:rStyle w:val="FootnoteReference"/>
          <w:rFonts w:ascii="Cambria" w:hAnsi="Cambria"/>
          <w:b/>
          <w:bCs/>
          <w:sz w:val="24"/>
          <w:szCs w:val="24"/>
        </w:rPr>
        <w:footnoteReference w:id="79"/>
      </w:r>
    </w:p>
    <w:tbl>
      <w:tblPr>
        <w:tblW w:w="10485" w:type="dxa"/>
        <w:jc w:val="center"/>
        <w:tblLayout w:type="fixed"/>
        <w:tblCellMar>
          <w:left w:w="10" w:type="dxa"/>
          <w:right w:w="10" w:type="dxa"/>
        </w:tblCellMar>
        <w:tblLook w:val="04A0" w:firstRow="1" w:lastRow="0" w:firstColumn="1" w:lastColumn="0" w:noHBand="0" w:noVBand="1"/>
      </w:tblPr>
      <w:tblGrid>
        <w:gridCol w:w="1271"/>
        <w:gridCol w:w="992"/>
        <w:gridCol w:w="851"/>
        <w:gridCol w:w="992"/>
        <w:gridCol w:w="851"/>
        <w:gridCol w:w="992"/>
        <w:gridCol w:w="850"/>
        <w:gridCol w:w="993"/>
        <w:gridCol w:w="850"/>
        <w:gridCol w:w="992"/>
        <w:gridCol w:w="851"/>
      </w:tblGrid>
      <w:tr w:rsidR="00501BE0" w14:paraId="40B8DC06" w14:textId="67B7D543" w:rsidTr="001C3482">
        <w:trPr>
          <w:trHeight w:val="285"/>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E8E8E8"/>
            <w:tcMar>
              <w:top w:w="15" w:type="dxa"/>
              <w:left w:w="15" w:type="dxa"/>
              <w:bottom w:w="0" w:type="dxa"/>
              <w:right w:w="15" w:type="dxa"/>
            </w:tcMar>
            <w:vAlign w:val="bottom"/>
          </w:tcPr>
          <w:p w14:paraId="032D23C7" w14:textId="77777777" w:rsidR="00040FD8" w:rsidRPr="00501BE0" w:rsidRDefault="00040FD8">
            <w:pPr>
              <w:spacing w:after="0"/>
              <w:rPr>
                <w:rFonts w:ascii="Cambria" w:hAnsi="Cambria"/>
                <w:b/>
                <w:color w:val="000000"/>
                <w:sz w:val="20"/>
              </w:rPr>
            </w:pPr>
          </w:p>
        </w:tc>
        <w:tc>
          <w:tcPr>
            <w:tcW w:w="1843" w:type="dxa"/>
            <w:gridSpan w:val="2"/>
            <w:tcBorders>
              <w:top w:val="single" w:sz="4" w:space="0" w:color="636363"/>
              <w:left w:val="single" w:sz="4" w:space="0" w:color="000000"/>
              <w:right w:val="single" w:sz="4" w:space="0" w:color="636363"/>
            </w:tcBorders>
            <w:shd w:val="clear" w:color="auto" w:fill="E8E8E8"/>
            <w:tcMar>
              <w:top w:w="15" w:type="dxa"/>
              <w:left w:w="15" w:type="dxa"/>
              <w:bottom w:w="0" w:type="dxa"/>
              <w:right w:w="15" w:type="dxa"/>
            </w:tcMar>
            <w:vAlign w:val="center"/>
          </w:tcPr>
          <w:p w14:paraId="34EEF00D" w14:textId="66F2E64D" w:rsidR="00040FD8" w:rsidRPr="00501BE0" w:rsidRDefault="00040FD8">
            <w:pPr>
              <w:spacing w:after="0"/>
              <w:jc w:val="center"/>
              <w:rPr>
                <w:rFonts w:ascii="Cambria" w:hAnsi="Cambria"/>
                <w:b/>
                <w:sz w:val="20"/>
              </w:rPr>
            </w:pPr>
            <w:r w:rsidRPr="00501BE0">
              <w:rPr>
                <w:rFonts w:ascii="Cambria" w:hAnsi="Cambria"/>
                <w:b/>
                <w:sz w:val="20"/>
              </w:rPr>
              <w:t>2026</w:t>
            </w:r>
          </w:p>
        </w:tc>
        <w:tc>
          <w:tcPr>
            <w:tcW w:w="1843" w:type="dxa"/>
            <w:gridSpan w:val="2"/>
            <w:tcBorders>
              <w:top w:val="single" w:sz="4" w:space="0" w:color="636363"/>
              <w:left w:val="single" w:sz="4" w:space="0" w:color="636363"/>
              <w:right w:val="single" w:sz="4" w:space="0" w:color="636363"/>
            </w:tcBorders>
            <w:shd w:val="clear" w:color="auto" w:fill="E8E8E8"/>
            <w:tcMar>
              <w:top w:w="15" w:type="dxa"/>
              <w:left w:w="15" w:type="dxa"/>
              <w:bottom w:w="0" w:type="dxa"/>
              <w:right w:w="15" w:type="dxa"/>
            </w:tcMar>
            <w:vAlign w:val="center"/>
          </w:tcPr>
          <w:p w14:paraId="01383FC7" w14:textId="7B06D3AB" w:rsidR="00040FD8" w:rsidRPr="00501BE0" w:rsidRDefault="00040FD8">
            <w:pPr>
              <w:spacing w:after="0"/>
              <w:jc w:val="center"/>
              <w:rPr>
                <w:rFonts w:ascii="Cambria" w:hAnsi="Cambria"/>
                <w:b/>
                <w:sz w:val="20"/>
              </w:rPr>
            </w:pPr>
            <w:r w:rsidRPr="00501BE0">
              <w:rPr>
                <w:rFonts w:ascii="Cambria" w:hAnsi="Cambria"/>
                <w:b/>
                <w:sz w:val="20"/>
              </w:rPr>
              <w:t>2027</w:t>
            </w:r>
          </w:p>
        </w:tc>
        <w:tc>
          <w:tcPr>
            <w:tcW w:w="1842" w:type="dxa"/>
            <w:gridSpan w:val="2"/>
            <w:tcBorders>
              <w:top w:val="single" w:sz="4" w:space="0" w:color="636363"/>
              <w:left w:val="single" w:sz="4" w:space="0" w:color="636363"/>
              <w:right w:val="single" w:sz="4" w:space="0" w:color="636363"/>
            </w:tcBorders>
            <w:shd w:val="clear" w:color="auto" w:fill="E8E8E8"/>
            <w:tcMar>
              <w:top w:w="15" w:type="dxa"/>
              <w:left w:w="15" w:type="dxa"/>
              <w:bottom w:w="0" w:type="dxa"/>
              <w:right w:w="15" w:type="dxa"/>
            </w:tcMar>
            <w:vAlign w:val="center"/>
          </w:tcPr>
          <w:p w14:paraId="01DAC7BA" w14:textId="043AE377" w:rsidR="00040FD8" w:rsidRPr="00501BE0" w:rsidRDefault="00040FD8">
            <w:pPr>
              <w:spacing w:after="0"/>
              <w:jc w:val="center"/>
              <w:rPr>
                <w:rFonts w:ascii="Cambria" w:hAnsi="Cambria"/>
                <w:b/>
                <w:sz w:val="20"/>
              </w:rPr>
            </w:pPr>
            <w:r w:rsidRPr="00501BE0">
              <w:rPr>
                <w:rFonts w:ascii="Cambria" w:hAnsi="Cambria"/>
                <w:b/>
                <w:sz w:val="20"/>
              </w:rPr>
              <w:t>2028</w:t>
            </w:r>
          </w:p>
        </w:tc>
        <w:tc>
          <w:tcPr>
            <w:tcW w:w="1843" w:type="dxa"/>
            <w:gridSpan w:val="2"/>
            <w:tcBorders>
              <w:top w:val="single" w:sz="4" w:space="0" w:color="636363"/>
              <w:left w:val="single" w:sz="4" w:space="0" w:color="636363"/>
              <w:right w:val="single" w:sz="4" w:space="0" w:color="636363"/>
            </w:tcBorders>
            <w:shd w:val="clear" w:color="auto" w:fill="E8E8E8"/>
            <w:tcMar>
              <w:top w:w="15" w:type="dxa"/>
              <w:left w:w="15" w:type="dxa"/>
              <w:bottom w:w="0" w:type="dxa"/>
              <w:right w:w="15" w:type="dxa"/>
            </w:tcMar>
            <w:vAlign w:val="center"/>
          </w:tcPr>
          <w:p w14:paraId="277FCADB" w14:textId="179F6B73" w:rsidR="00040FD8" w:rsidRPr="00501BE0" w:rsidRDefault="00040FD8">
            <w:pPr>
              <w:spacing w:after="0"/>
              <w:jc w:val="center"/>
              <w:rPr>
                <w:rFonts w:ascii="Cambria" w:hAnsi="Cambria"/>
                <w:b/>
                <w:sz w:val="20"/>
              </w:rPr>
            </w:pPr>
            <w:r w:rsidRPr="00501BE0">
              <w:rPr>
                <w:rFonts w:ascii="Cambria" w:hAnsi="Cambria"/>
                <w:b/>
                <w:sz w:val="20"/>
              </w:rPr>
              <w:t>2029</w:t>
            </w:r>
          </w:p>
        </w:tc>
        <w:tc>
          <w:tcPr>
            <w:tcW w:w="1843" w:type="dxa"/>
            <w:gridSpan w:val="2"/>
            <w:tcBorders>
              <w:top w:val="single" w:sz="4" w:space="0" w:color="636363"/>
              <w:left w:val="single" w:sz="4" w:space="0" w:color="636363"/>
              <w:right w:val="single" w:sz="4" w:space="0" w:color="636363"/>
            </w:tcBorders>
            <w:shd w:val="clear" w:color="auto" w:fill="E8E8E8"/>
            <w:tcMar>
              <w:top w:w="15" w:type="dxa"/>
              <w:left w:w="15" w:type="dxa"/>
              <w:bottom w:w="0" w:type="dxa"/>
              <w:right w:w="15" w:type="dxa"/>
            </w:tcMar>
            <w:vAlign w:val="center"/>
          </w:tcPr>
          <w:p w14:paraId="127D4F26" w14:textId="23256CCE" w:rsidR="00040FD8" w:rsidRPr="00501BE0" w:rsidRDefault="00040FD8">
            <w:pPr>
              <w:spacing w:after="0"/>
              <w:jc w:val="center"/>
              <w:rPr>
                <w:rFonts w:ascii="Cambria" w:hAnsi="Cambria"/>
                <w:b/>
                <w:sz w:val="20"/>
              </w:rPr>
            </w:pPr>
            <w:r w:rsidRPr="00501BE0">
              <w:rPr>
                <w:rFonts w:ascii="Cambria" w:hAnsi="Cambria"/>
                <w:b/>
                <w:sz w:val="20"/>
              </w:rPr>
              <w:t>2030</w:t>
            </w:r>
          </w:p>
        </w:tc>
      </w:tr>
      <w:tr w:rsidR="00501BE0" w14:paraId="6E0DD60E" w14:textId="743B309D" w:rsidTr="001C3482">
        <w:trPr>
          <w:trHeight w:val="285"/>
          <w:jc w:val="center"/>
        </w:trPr>
        <w:tc>
          <w:tcPr>
            <w:tcW w:w="1271" w:type="dxa"/>
            <w:tcBorders>
              <w:top w:val="single" w:sz="4" w:space="0" w:color="000000"/>
              <w:left w:val="single" w:sz="4" w:space="0" w:color="636363"/>
              <w:right w:val="single" w:sz="4" w:space="0" w:color="636363"/>
            </w:tcBorders>
            <w:shd w:val="clear" w:color="auto" w:fill="FFFFFF"/>
            <w:tcMar>
              <w:top w:w="15" w:type="dxa"/>
              <w:left w:w="360" w:type="dxa"/>
              <w:bottom w:w="0" w:type="dxa"/>
              <w:right w:w="15" w:type="dxa"/>
            </w:tcMar>
            <w:vAlign w:val="center"/>
          </w:tcPr>
          <w:p w14:paraId="0EDDA4D4" w14:textId="77777777" w:rsidR="00040FD8" w:rsidRPr="00501BE0" w:rsidRDefault="00040FD8">
            <w:pPr>
              <w:spacing w:after="0"/>
              <w:rPr>
                <w:rFonts w:ascii="Cambria" w:hAnsi="Cambria"/>
                <w:sz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80919E7" w14:textId="7D42A047" w:rsidR="00040FD8" w:rsidRPr="00501BE0" w:rsidRDefault="00040FD8">
            <w:pPr>
              <w:spacing w:after="0"/>
              <w:jc w:val="center"/>
              <w:rPr>
                <w:rFonts w:ascii="Cambria" w:hAnsi="Cambria"/>
                <w:b/>
                <w:sz w:val="16"/>
              </w:rPr>
            </w:pPr>
            <w:r w:rsidRPr="00B2136F">
              <w:rPr>
                <w:rFonts w:ascii="Cambria" w:eastAsia="Cambria" w:hAnsi="Cambria" w:cs="Cambria"/>
                <w:b/>
                <w:sz w:val="16"/>
                <w:szCs w:val="16"/>
              </w:rPr>
              <w:t>WEM/WAM</w:t>
            </w:r>
          </w:p>
        </w:tc>
        <w:tc>
          <w:tcPr>
            <w:tcW w:w="851" w:type="dxa"/>
            <w:tcBorders>
              <w:top w:val="single" w:sz="4" w:space="0" w:color="000000"/>
              <w:left w:val="single" w:sz="4" w:space="0" w:color="000000"/>
              <w:bottom w:val="single" w:sz="4" w:space="0" w:color="000000"/>
              <w:right w:val="single" w:sz="4" w:space="0" w:color="000000"/>
            </w:tcBorders>
          </w:tcPr>
          <w:p w14:paraId="24BDE792" w14:textId="7384D896" w:rsidR="00040FD8" w:rsidRPr="00A55D2C" w:rsidRDefault="00040FD8">
            <w:pPr>
              <w:spacing w:after="0"/>
              <w:jc w:val="center"/>
              <w:rPr>
                <w:rFonts w:ascii="Cambria" w:hAnsi="Cambria"/>
                <w:b/>
                <w:sz w:val="16"/>
              </w:rPr>
            </w:pPr>
            <w:r w:rsidRPr="00A55D2C">
              <w:rPr>
                <w:rFonts w:ascii="Cambria" w:eastAsia="Cambria" w:hAnsi="Cambria" w:cs="Cambria"/>
                <w:b/>
                <w:sz w:val="16"/>
                <w:szCs w:val="16"/>
              </w:rPr>
              <w:t>NE</w:t>
            </w:r>
            <w:r w:rsidR="00EB666C">
              <w:rPr>
                <w:rFonts w:ascii="Cambria" w:eastAsia="Cambria" w:hAnsi="Cambria" w:cs="Cambria"/>
                <w:b/>
                <w:sz w:val="16"/>
                <w:szCs w:val="16"/>
              </w:rPr>
              <w:t>K</w:t>
            </w:r>
            <w:r w:rsidRPr="00A55D2C">
              <w:rPr>
                <w:rFonts w:ascii="Cambria" w:eastAsia="Cambria" w:hAnsi="Cambria" w:cs="Cambria"/>
                <w:b/>
                <w:sz w:val="16"/>
                <w:szCs w:val="16"/>
              </w:rPr>
              <w:t xml:space="preserve">P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033984C" w14:textId="58175DDA" w:rsidR="00040FD8" w:rsidRPr="00501BE0" w:rsidRDefault="00040FD8">
            <w:pPr>
              <w:spacing w:after="0"/>
              <w:jc w:val="center"/>
              <w:rPr>
                <w:rFonts w:ascii="Cambria" w:hAnsi="Cambria"/>
                <w:b/>
                <w:sz w:val="16"/>
              </w:rPr>
            </w:pPr>
            <w:r w:rsidRPr="00B2136F">
              <w:rPr>
                <w:rFonts w:ascii="Cambria" w:eastAsia="Cambria" w:hAnsi="Cambria" w:cs="Cambria"/>
                <w:b/>
                <w:sz w:val="16"/>
                <w:szCs w:val="16"/>
              </w:rPr>
              <w:t>WEM/WAM</w:t>
            </w:r>
          </w:p>
        </w:tc>
        <w:tc>
          <w:tcPr>
            <w:tcW w:w="851" w:type="dxa"/>
            <w:tcBorders>
              <w:top w:val="single" w:sz="4" w:space="0" w:color="000000"/>
              <w:left w:val="single" w:sz="4" w:space="0" w:color="000000"/>
              <w:bottom w:val="single" w:sz="4" w:space="0" w:color="000000"/>
              <w:right w:val="single" w:sz="4" w:space="0" w:color="000000"/>
            </w:tcBorders>
          </w:tcPr>
          <w:p w14:paraId="7A10D18E" w14:textId="4F6F32AB" w:rsidR="00040FD8" w:rsidRPr="00A55D2C" w:rsidRDefault="00040FD8">
            <w:pPr>
              <w:spacing w:after="0"/>
              <w:jc w:val="center"/>
              <w:rPr>
                <w:rFonts w:ascii="Cambria" w:hAnsi="Cambria"/>
                <w:b/>
                <w:sz w:val="16"/>
              </w:rPr>
            </w:pPr>
            <w:r w:rsidRPr="00A55D2C">
              <w:rPr>
                <w:rFonts w:ascii="Cambria" w:eastAsia="Cambria" w:hAnsi="Cambria" w:cs="Cambria"/>
                <w:b/>
                <w:sz w:val="16"/>
                <w:szCs w:val="16"/>
              </w:rPr>
              <w:t>NE</w:t>
            </w:r>
            <w:r w:rsidR="00EB666C">
              <w:rPr>
                <w:rFonts w:ascii="Cambria" w:eastAsia="Cambria" w:hAnsi="Cambria" w:cs="Cambria"/>
                <w:b/>
                <w:sz w:val="16"/>
                <w:szCs w:val="16"/>
              </w:rPr>
              <w:t>K</w:t>
            </w:r>
            <w:r w:rsidRPr="00A55D2C">
              <w:rPr>
                <w:rFonts w:ascii="Cambria" w:eastAsia="Cambria" w:hAnsi="Cambria" w:cs="Cambria"/>
                <w:b/>
                <w:sz w:val="16"/>
                <w:szCs w:val="16"/>
              </w:rPr>
              <w:t>P</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6666C3C" w14:textId="13786B09" w:rsidR="00040FD8" w:rsidRPr="00501BE0" w:rsidRDefault="00040FD8">
            <w:pPr>
              <w:spacing w:after="0"/>
              <w:jc w:val="center"/>
              <w:rPr>
                <w:rFonts w:ascii="Cambria" w:hAnsi="Cambria"/>
                <w:b/>
                <w:sz w:val="16"/>
              </w:rPr>
            </w:pPr>
            <w:r w:rsidRPr="00B2136F">
              <w:rPr>
                <w:rFonts w:ascii="Cambria" w:eastAsia="Cambria" w:hAnsi="Cambria" w:cs="Cambria"/>
                <w:b/>
                <w:sz w:val="16"/>
                <w:szCs w:val="16"/>
              </w:rPr>
              <w:t>WEM/WAM</w:t>
            </w:r>
          </w:p>
        </w:tc>
        <w:tc>
          <w:tcPr>
            <w:tcW w:w="850" w:type="dxa"/>
            <w:tcBorders>
              <w:top w:val="single" w:sz="4" w:space="0" w:color="000000"/>
              <w:left w:val="single" w:sz="4" w:space="0" w:color="000000"/>
              <w:bottom w:val="single" w:sz="4" w:space="0" w:color="000000"/>
              <w:right w:val="single" w:sz="4" w:space="0" w:color="000000"/>
            </w:tcBorders>
          </w:tcPr>
          <w:p w14:paraId="1004EF00" w14:textId="28E3F44F" w:rsidR="00040FD8" w:rsidRPr="00A55D2C" w:rsidRDefault="00040FD8">
            <w:pPr>
              <w:spacing w:after="0"/>
              <w:jc w:val="center"/>
              <w:rPr>
                <w:rFonts w:ascii="Cambria" w:eastAsia="Cambria" w:hAnsi="Cambria" w:cs="Cambria"/>
                <w:b/>
                <w:sz w:val="16"/>
                <w:szCs w:val="16"/>
              </w:rPr>
            </w:pPr>
            <w:r w:rsidRPr="00A55D2C">
              <w:rPr>
                <w:rFonts w:ascii="Cambria" w:eastAsia="Cambria" w:hAnsi="Cambria" w:cs="Cambria"/>
                <w:b/>
                <w:sz w:val="16"/>
                <w:szCs w:val="16"/>
              </w:rPr>
              <w:t>NE</w:t>
            </w:r>
            <w:r w:rsidR="00EB666C">
              <w:rPr>
                <w:rFonts w:ascii="Cambria" w:eastAsia="Cambria" w:hAnsi="Cambria" w:cs="Cambria"/>
                <w:b/>
                <w:sz w:val="16"/>
                <w:szCs w:val="16"/>
              </w:rPr>
              <w:t>K</w:t>
            </w:r>
            <w:r w:rsidRPr="00A55D2C">
              <w:rPr>
                <w:rFonts w:ascii="Cambria" w:eastAsia="Cambria" w:hAnsi="Cambria" w:cs="Cambria"/>
                <w:b/>
                <w:sz w:val="16"/>
                <w:szCs w:val="16"/>
              </w:rPr>
              <w:t>P</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252FE5B" w14:textId="5F8BC4AC" w:rsidR="00040FD8" w:rsidRPr="00B2136F" w:rsidRDefault="00040FD8">
            <w:pPr>
              <w:spacing w:after="0"/>
              <w:jc w:val="center"/>
              <w:rPr>
                <w:rFonts w:ascii="Cambria" w:eastAsia="Cambria" w:hAnsi="Cambria" w:cs="Cambria"/>
                <w:b/>
                <w:sz w:val="16"/>
                <w:szCs w:val="16"/>
              </w:rPr>
            </w:pPr>
            <w:r w:rsidRPr="00B2136F">
              <w:rPr>
                <w:rFonts w:ascii="Cambria" w:eastAsia="Cambria" w:hAnsi="Cambria" w:cs="Cambria"/>
                <w:b/>
                <w:sz w:val="16"/>
                <w:szCs w:val="16"/>
              </w:rPr>
              <w:t>WEM/WAM</w:t>
            </w:r>
          </w:p>
        </w:tc>
        <w:tc>
          <w:tcPr>
            <w:tcW w:w="850" w:type="dxa"/>
            <w:tcBorders>
              <w:top w:val="single" w:sz="4" w:space="0" w:color="000000"/>
              <w:left w:val="single" w:sz="4" w:space="0" w:color="000000"/>
              <w:bottom w:val="single" w:sz="4" w:space="0" w:color="000000"/>
              <w:right w:val="single" w:sz="4" w:space="0" w:color="000000"/>
            </w:tcBorders>
          </w:tcPr>
          <w:p w14:paraId="43FE1A9C" w14:textId="0C50E4D2" w:rsidR="00040FD8" w:rsidRPr="00A55D2C" w:rsidRDefault="00040FD8">
            <w:pPr>
              <w:spacing w:after="0"/>
              <w:jc w:val="center"/>
              <w:rPr>
                <w:rFonts w:ascii="Cambria" w:eastAsia="Cambria" w:hAnsi="Cambria" w:cs="Cambria"/>
                <w:b/>
                <w:sz w:val="16"/>
                <w:szCs w:val="16"/>
              </w:rPr>
            </w:pPr>
            <w:r w:rsidRPr="00A55D2C">
              <w:rPr>
                <w:rFonts w:ascii="Cambria" w:eastAsia="Cambria" w:hAnsi="Cambria" w:cs="Cambria"/>
                <w:b/>
                <w:sz w:val="16"/>
                <w:szCs w:val="16"/>
              </w:rPr>
              <w:t>NECP</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4F4CA9D" w14:textId="2D69841D" w:rsidR="00040FD8" w:rsidRPr="00B2136F" w:rsidRDefault="00040FD8">
            <w:pPr>
              <w:spacing w:after="0"/>
              <w:jc w:val="center"/>
              <w:rPr>
                <w:rFonts w:ascii="Cambria" w:eastAsia="Cambria" w:hAnsi="Cambria" w:cs="Cambria"/>
                <w:b/>
                <w:sz w:val="16"/>
                <w:szCs w:val="16"/>
              </w:rPr>
            </w:pPr>
            <w:r w:rsidRPr="00B2136F">
              <w:rPr>
                <w:rFonts w:ascii="Cambria" w:eastAsia="Cambria" w:hAnsi="Cambria" w:cs="Cambria"/>
                <w:b/>
                <w:sz w:val="16"/>
                <w:szCs w:val="16"/>
              </w:rPr>
              <w:t>WEM/WAM</w:t>
            </w:r>
          </w:p>
        </w:tc>
        <w:tc>
          <w:tcPr>
            <w:tcW w:w="851" w:type="dxa"/>
            <w:tcBorders>
              <w:top w:val="single" w:sz="4" w:space="0" w:color="000000"/>
              <w:left w:val="single" w:sz="4" w:space="0" w:color="000000"/>
              <w:bottom w:val="single" w:sz="4" w:space="0" w:color="000000"/>
              <w:right w:val="single" w:sz="4" w:space="0" w:color="000000"/>
            </w:tcBorders>
          </w:tcPr>
          <w:p w14:paraId="1DC4EF13" w14:textId="0FA5A051" w:rsidR="00040FD8" w:rsidRPr="00A55D2C" w:rsidRDefault="00040FD8">
            <w:pPr>
              <w:spacing w:after="0"/>
              <w:jc w:val="center"/>
              <w:rPr>
                <w:rFonts w:ascii="Cambria" w:eastAsia="Cambria" w:hAnsi="Cambria" w:cs="Cambria"/>
                <w:b/>
                <w:sz w:val="16"/>
                <w:szCs w:val="16"/>
              </w:rPr>
            </w:pPr>
            <w:r w:rsidRPr="00A55D2C">
              <w:rPr>
                <w:rFonts w:ascii="Cambria" w:eastAsia="Cambria" w:hAnsi="Cambria" w:cs="Cambria"/>
                <w:b/>
                <w:sz w:val="16"/>
                <w:szCs w:val="16"/>
              </w:rPr>
              <w:t>NE</w:t>
            </w:r>
            <w:r w:rsidR="00EB666C">
              <w:rPr>
                <w:rFonts w:ascii="Cambria" w:eastAsia="Cambria" w:hAnsi="Cambria" w:cs="Cambria"/>
                <w:b/>
                <w:sz w:val="16"/>
                <w:szCs w:val="16"/>
              </w:rPr>
              <w:t>K</w:t>
            </w:r>
            <w:r w:rsidRPr="00A55D2C">
              <w:rPr>
                <w:rFonts w:ascii="Cambria" w:eastAsia="Cambria" w:hAnsi="Cambria" w:cs="Cambria"/>
                <w:b/>
                <w:sz w:val="16"/>
                <w:szCs w:val="16"/>
              </w:rPr>
              <w:t>P</w:t>
            </w:r>
          </w:p>
        </w:tc>
      </w:tr>
      <w:tr w:rsidR="00501BE0" w14:paraId="49F4D990" w14:textId="64836578"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23D9BC04" w14:textId="77777777" w:rsidR="00040FD8" w:rsidRPr="00501BE0" w:rsidRDefault="00040FD8" w:rsidP="00501BE0">
            <w:pPr>
              <w:spacing w:after="0"/>
              <w:ind w:left="-360"/>
              <w:jc w:val="both"/>
              <w:rPr>
                <w:rFonts w:ascii="Cambria" w:hAnsi="Cambria"/>
                <w:sz w:val="20"/>
              </w:rPr>
            </w:pPr>
            <w:r w:rsidRPr="00501BE0">
              <w:rPr>
                <w:rFonts w:ascii="Cambria" w:hAnsi="Cambria"/>
                <w:sz w:val="20"/>
              </w:rPr>
              <w:t>Meža zeme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30EB2B4" w14:textId="77777777" w:rsidR="00040FD8" w:rsidRPr="00B2136F" w:rsidRDefault="00040FD8">
            <w:pPr>
              <w:spacing w:after="0"/>
              <w:jc w:val="center"/>
              <w:rPr>
                <w:rFonts w:ascii="Cambria" w:eastAsia="Cambria" w:hAnsi="Cambria" w:cs="Cambria"/>
                <w:sz w:val="18"/>
                <w:szCs w:val="18"/>
              </w:rPr>
            </w:pPr>
            <w:r w:rsidRPr="00B2136F">
              <w:rPr>
                <w:rFonts w:ascii="Cambria" w:eastAsia="Cambria" w:hAnsi="Cambria" w:cs="Cambria"/>
                <w:sz w:val="18"/>
                <w:szCs w:val="18"/>
              </w:rPr>
              <w:t>-750,35</w:t>
            </w:r>
          </w:p>
        </w:tc>
        <w:tc>
          <w:tcPr>
            <w:tcW w:w="851" w:type="dxa"/>
            <w:tcBorders>
              <w:top w:val="single" w:sz="4" w:space="0" w:color="000000"/>
              <w:left w:val="single" w:sz="4" w:space="0" w:color="000000"/>
              <w:bottom w:val="single" w:sz="4" w:space="0" w:color="000000"/>
              <w:right w:val="single" w:sz="4" w:space="0" w:color="000000"/>
            </w:tcBorders>
          </w:tcPr>
          <w:p w14:paraId="456928A0" w14:textId="70814ED3" w:rsidR="00040FD8" w:rsidRPr="00A55D2C" w:rsidRDefault="00DF1A4C">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118,11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5EA87A6" w14:textId="53A6E9EE" w:rsidR="00040FD8" w:rsidRPr="00B2136F" w:rsidRDefault="00040FD8">
            <w:pPr>
              <w:spacing w:after="0"/>
              <w:jc w:val="center"/>
              <w:rPr>
                <w:rFonts w:ascii="Cambria" w:eastAsia="Cambria" w:hAnsi="Cambria" w:cs="Cambria"/>
                <w:sz w:val="18"/>
                <w:szCs w:val="18"/>
              </w:rPr>
            </w:pPr>
            <w:r w:rsidRPr="00B2136F">
              <w:rPr>
                <w:rFonts w:ascii="Cambria" w:eastAsia="Cambria" w:hAnsi="Cambria" w:cs="Cambria"/>
                <w:sz w:val="18"/>
                <w:szCs w:val="18"/>
              </w:rPr>
              <w:t>-532,90</w:t>
            </w:r>
          </w:p>
        </w:tc>
        <w:tc>
          <w:tcPr>
            <w:tcW w:w="851" w:type="dxa"/>
            <w:tcBorders>
              <w:top w:val="single" w:sz="4" w:space="0" w:color="000000"/>
              <w:left w:val="single" w:sz="4" w:space="0" w:color="000000"/>
              <w:bottom w:val="single" w:sz="4" w:space="0" w:color="000000"/>
              <w:right w:val="single" w:sz="4" w:space="0" w:color="000000"/>
            </w:tcBorders>
          </w:tcPr>
          <w:p w14:paraId="337A60D1" w14:textId="5C48D2F5" w:rsidR="00040FD8" w:rsidRPr="00A55D2C" w:rsidRDefault="00DF1A4C">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64,55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162A047" w14:textId="32F31BB3" w:rsidR="00040FD8" w:rsidRPr="00B2136F" w:rsidRDefault="00040FD8">
            <w:pPr>
              <w:spacing w:after="0"/>
              <w:jc w:val="center"/>
              <w:rPr>
                <w:rFonts w:ascii="Cambria" w:eastAsia="Cambria" w:hAnsi="Cambria" w:cs="Cambria"/>
                <w:sz w:val="18"/>
                <w:szCs w:val="18"/>
              </w:rPr>
            </w:pPr>
            <w:r w:rsidRPr="00B2136F">
              <w:rPr>
                <w:rFonts w:ascii="Cambria" w:eastAsia="Cambria" w:hAnsi="Cambria" w:cs="Cambria"/>
                <w:sz w:val="18"/>
                <w:szCs w:val="18"/>
              </w:rPr>
              <w:t>-272,00</w:t>
            </w:r>
          </w:p>
        </w:tc>
        <w:tc>
          <w:tcPr>
            <w:tcW w:w="850" w:type="dxa"/>
            <w:tcBorders>
              <w:top w:val="single" w:sz="4" w:space="0" w:color="000000"/>
              <w:left w:val="single" w:sz="4" w:space="0" w:color="000000"/>
              <w:bottom w:val="single" w:sz="4" w:space="0" w:color="000000"/>
              <w:right w:val="single" w:sz="4" w:space="0" w:color="000000"/>
            </w:tcBorders>
          </w:tcPr>
          <w:p w14:paraId="593E8AD2" w14:textId="6A10847B" w:rsidR="00040FD8" w:rsidRPr="00A55D2C" w:rsidRDefault="00DD076E">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58,78</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FABADBE" w14:textId="66AEC167" w:rsidR="00040FD8" w:rsidRPr="00B2136F" w:rsidRDefault="00040FD8">
            <w:pPr>
              <w:spacing w:after="0"/>
              <w:jc w:val="center"/>
              <w:rPr>
                <w:rFonts w:ascii="Cambria" w:eastAsia="Cambria" w:hAnsi="Cambria" w:cs="Cambria"/>
                <w:sz w:val="18"/>
                <w:szCs w:val="18"/>
              </w:rPr>
            </w:pPr>
            <w:r w:rsidRPr="00B2136F">
              <w:rPr>
                <w:rFonts w:ascii="Cambria" w:eastAsia="Cambria" w:hAnsi="Cambria" w:cs="Cambria"/>
                <w:sz w:val="18"/>
                <w:szCs w:val="18"/>
              </w:rPr>
              <w:t>-222,53</w:t>
            </w:r>
          </w:p>
        </w:tc>
        <w:tc>
          <w:tcPr>
            <w:tcW w:w="850" w:type="dxa"/>
            <w:tcBorders>
              <w:top w:val="single" w:sz="4" w:space="0" w:color="000000"/>
              <w:left w:val="single" w:sz="4" w:space="0" w:color="000000"/>
              <w:bottom w:val="single" w:sz="4" w:space="0" w:color="000000"/>
              <w:right w:val="single" w:sz="4" w:space="0" w:color="000000"/>
            </w:tcBorders>
          </w:tcPr>
          <w:p w14:paraId="4F9E2E24" w14:textId="6DAD6B20" w:rsidR="00040FD8" w:rsidRPr="00A55D2C" w:rsidRDefault="00DD076E">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-154,26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83525B9" w14:textId="5371CBA4" w:rsidR="00040FD8" w:rsidRPr="001C3482" w:rsidRDefault="00040FD8">
            <w:pPr>
              <w:spacing w:after="0"/>
              <w:jc w:val="center"/>
              <w:rPr>
                <w:rFonts w:ascii="Cambria" w:eastAsia="Cambria" w:hAnsi="Cambria" w:cs="Cambria"/>
                <w:sz w:val="18"/>
                <w:szCs w:val="18"/>
              </w:rPr>
            </w:pPr>
            <w:r w:rsidRPr="001C3482">
              <w:rPr>
                <w:rFonts w:ascii="Cambria" w:eastAsia="Cambria" w:hAnsi="Cambria" w:cs="Cambria"/>
                <w:sz w:val="18"/>
                <w:szCs w:val="18"/>
              </w:rPr>
              <w:t>-280,76</w:t>
            </w:r>
          </w:p>
        </w:tc>
        <w:tc>
          <w:tcPr>
            <w:tcW w:w="851" w:type="dxa"/>
            <w:tcBorders>
              <w:top w:val="single" w:sz="4" w:space="0" w:color="000000"/>
              <w:left w:val="single" w:sz="4" w:space="0" w:color="000000"/>
              <w:bottom w:val="single" w:sz="4" w:space="0" w:color="000000"/>
              <w:right w:val="single" w:sz="4" w:space="0" w:color="000000"/>
            </w:tcBorders>
          </w:tcPr>
          <w:p w14:paraId="1FD89FB0" w14:textId="26C89E3B" w:rsidR="00040FD8" w:rsidRPr="00A55D2C" w:rsidRDefault="00DD076E">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-470,83</w:t>
            </w:r>
          </w:p>
        </w:tc>
      </w:tr>
      <w:tr w:rsidR="00501BE0" w14:paraId="399136FE" w14:textId="77612819"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514B3B5C" w14:textId="77777777" w:rsidR="00904460" w:rsidRPr="00501BE0" w:rsidRDefault="00904460" w:rsidP="00501BE0">
            <w:pPr>
              <w:spacing w:after="0"/>
              <w:ind w:left="-360"/>
              <w:jc w:val="both"/>
              <w:rPr>
                <w:rFonts w:ascii="Cambria" w:hAnsi="Cambria"/>
                <w:sz w:val="20"/>
              </w:rPr>
            </w:pPr>
            <w:r w:rsidRPr="00501BE0">
              <w:rPr>
                <w:rFonts w:ascii="Cambria" w:hAnsi="Cambria"/>
                <w:sz w:val="20"/>
              </w:rPr>
              <w:t>Aramzemes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E310E4A" w14:textId="77777777"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1403,49</w:t>
            </w:r>
          </w:p>
        </w:tc>
        <w:tc>
          <w:tcPr>
            <w:tcW w:w="851" w:type="dxa"/>
            <w:tcBorders>
              <w:top w:val="single" w:sz="4" w:space="0" w:color="000000"/>
              <w:left w:val="single" w:sz="4" w:space="0" w:color="000000"/>
              <w:bottom w:val="single" w:sz="4" w:space="0" w:color="000000"/>
              <w:right w:val="single" w:sz="4" w:space="0" w:color="000000"/>
            </w:tcBorders>
            <w:vAlign w:val="center"/>
          </w:tcPr>
          <w:p w14:paraId="5FE43E35" w14:textId="2C007564"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1009,43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AFE0CDE" w14:textId="4A5CA9A0"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1479,46</w:t>
            </w:r>
          </w:p>
        </w:tc>
        <w:tc>
          <w:tcPr>
            <w:tcW w:w="851" w:type="dxa"/>
            <w:tcBorders>
              <w:top w:val="single" w:sz="4" w:space="0" w:color="000000"/>
              <w:left w:val="single" w:sz="4" w:space="0" w:color="000000"/>
              <w:bottom w:val="single" w:sz="4" w:space="0" w:color="000000"/>
              <w:right w:val="single" w:sz="4" w:space="0" w:color="000000"/>
            </w:tcBorders>
            <w:vAlign w:val="center"/>
          </w:tcPr>
          <w:p w14:paraId="511A0CCF" w14:textId="7DE2C96D"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740,55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F406E47" w14:textId="61B3FDBC"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1478,90</w:t>
            </w:r>
          </w:p>
        </w:tc>
        <w:tc>
          <w:tcPr>
            <w:tcW w:w="850" w:type="dxa"/>
            <w:tcBorders>
              <w:top w:val="single" w:sz="4" w:space="0" w:color="000000"/>
              <w:left w:val="single" w:sz="4" w:space="0" w:color="000000"/>
              <w:bottom w:val="single" w:sz="4" w:space="0" w:color="000000"/>
              <w:right w:val="single" w:sz="4" w:space="0" w:color="000000"/>
            </w:tcBorders>
            <w:vAlign w:val="center"/>
          </w:tcPr>
          <w:p w14:paraId="5344E4A6" w14:textId="147C1DDA"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372,76</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5D3542A" w14:textId="7E27ADD6"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1472,24</w:t>
            </w:r>
          </w:p>
        </w:tc>
        <w:tc>
          <w:tcPr>
            <w:tcW w:w="850" w:type="dxa"/>
            <w:tcBorders>
              <w:top w:val="single" w:sz="4" w:space="0" w:color="000000"/>
              <w:left w:val="single" w:sz="4" w:space="0" w:color="000000"/>
              <w:bottom w:val="single" w:sz="4" w:space="0" w:color="000000"/>
              <w:right w:val="single" w:sz="4" w:space="0" w:color="000000"/>
            </w:tcBorders>
            <w:vAlign w:val="center"/>
          </w:tcPr>
          <w:p w14:paraId="27A90F8C" w14:textId="00192473"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-1797,54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75095D8" w14:textId="6303E65B" w:rsidR="00904460" w:rsidRPr="001C3482" w:rsidRDefault="00904460" w:rsidP="00904460">
            <w:pPr>
              <w:spacing w:after="0"/>
              <w:jc w:val="center"/>
              <w:rPr>
                <w:rFonts w:ascii="Cambria" w:eastAsia="Cambria" w:hAnsi="Cambria" w:cs="Cambria"/>
                <w:sz w:val="18"/>
                <w:szCs w:val="18"/>
              </w:rPr>
            </w:pPr>
            <w:r w:rsidRPr="001C3482">
              <w:rPr>
                <w:rFonts w:ascii="Cambria" w:eastAsia="Cambria" w:hAnsi="Cambria" w:cs="Cambria"/>
                <w:sz w:val="18"/>
                <w:szCs w:val="18"/>
              </w:rPr>
              <w:t>1614,84</w:t>
            </w:r>
          </w:p>
        </w:tc>
        <w:tc>
          <w:tcPr>
            <w:tcW w:w="851" w:type="dxa"/>
            <w:tcBorders>
              <w:top w:val="single" w:sz="4" w:space="0" w:color="000000"/>
              <w:left w:val="single" w:sz="4" w:space="0" w:color="000000"/>
              <w:bottom w:val="single" w:sz="4" w:space="0" w:color="000000"/>
              <w:right w:val="single" w:sz="4" w:space="0" w:color="000000"/>
            </w:tcBorders>
            <w:vAlign w:val="center"/>
          </w:tcPr>
          <w:p w14:paraId="654C3BAB" w14:textId="7DAD80F8"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-1975,15</w:t>
            </w:r>
          </w:p>
        </w:tc>
      </w:tr>
      <w:tr w:rsidR="00501BE0" w14:paraId="6029CCDD" w14:textId="1652189A"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12F7789B" w14:textId="77777777" w:rsidR="00904460" w:rsidRPr="00501BE0" w:rsidRDefault="00904460" w:rsidP="00501BE0">
            <w:pPr>
              <w:spacing w:after="0"/>
              <w:ind w:left="-360"/>
              <w:jc w:val="both"/>
              <w:rPr>
                <w:rFonts w:ascii="Cambria" w:hAnsi="Cambria"/>
                <w:sz w:val="20"/>
              </w:rPr>
            </w:pPr>
            <w:r w:rsidRPr="00501BE0">
              <w:rPr>
                <w:rFonts w:ascii="Cambria" w:hAnsi="Cambria"/>
                <w:sz w:val="20"/>
              </w:rPr>
              <w:t>Zālāji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ADA8CFA" w14:textId="77777777"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830,98</w:t>
            </w:r>
          </w:p>
        </w:tc>
        <w:tc>
          <w:tcPr>
            <w:tcW w:w="851" w:type="dxa"/>
            <w:tcBorders>
              <w:top w:val="single" w:sz="4" w:space="0" w:color="000000"/>
              <w:left w:val="single" w:sz="4" w:space="0" w:color="000000"/>
              <w:bottom w:val="single" w:sz="4" w:space="0" w:color="000000"/>
              <w:right w:val="single" w:sz="4" w:space="0" w:color="000000"/>
            </w:tcBorders>
            <w:vAlign w:val="center"/>
          </w:tcPr>
          <w:p w14:paraId="4EED152E" w14:textId="28A44064"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748,19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D5F3546" w14:textId="70963E9E"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829,43</w:t>
            </w:r>
          </w:p>
        </w:tc>
        <w:tc>
          <w:tcPr>
            <w:tcW w:w="851" w:type="dxa"/>
            <w:tcBorders>
              <w:top w:val="single" w:sz="4" w:space="0" w:color="000000"/>
              <w:left w:val="single" w:sz="4" w:space="0" w:color="000000"/>
              <w:bottom w:val="single" w:sz="4" w:space="0" w:color="000000"/>
              <w:right w:val="single" w:sz="4" w:space="0" w:color="000000"/>
            </w:tcBorders>
            <w:vAlign w:val="center"/>
          </w:tcPr>
          <w:p w14:paraId="4467A544" w14:textId="005654F6"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668,43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88BB231" w14:textId="06674FA8"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827,89</w:t>
            </w:r>
          </w:p>
        </w:tc>
        <w:tc>
          <w:tcPr>
            <w:tcW w:w="850" w:type="dxa"/>
            <w:tcBorders>
              <w:top w:val="single" w:sz="4" w:space="0" w:color="000000"/>
              <w:left w:val="single" w:sz="4" w:space="0" w:color="000000"/>
              <w:bottom w:val="single" w:sz="4" w:space="0" w:color="000000"/>
              <w:right w:val="single" w:sz="4" w:space="0" w:color="000000"/>
            </w:tcBorders>
            <w:vAlign w:val="center"/>
          </w:tcPr>
          <w:p w14:paraId="33E5218D" w14:textId="7891E0ED"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587,55</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23FF412" w14:textId="24C4FB30"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826,34</w:t>
            </w:r>
          </w:p>
        </w:tc>
        <w:tc>
          <w:tcPr>
            <w:tcW w:w="850" w:type="dxa"/>
            <w:tcBorders>
              <w:top w:val="single" w:sz="4" w:space="0" w:color="000000"/>
              <w:left w:val="single" w:sz="4" w:space="0" w:color="000000"/>
              <w:bottom w:val="single" w:sz="4" w:space="0" w:color="000000"/>
              <w:right w:val="single" w:sz="4" w:space="0" w:color="000000"/>
            </w:tcBorders>
            <w:vAlign w:val="center"/>
          </w:tcPr>
          <w:p w14:paraId="7F6CE758" w14:textId="5F981323"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507,60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A830A2B" w14:textId="3D0B8EAA" w:rsidR="00904460" w:rsidRPr="001C3482" w:rsidRDefault="00904460" w:rsidP="00904460">
            <w:pPr>
              <w:spacing w:after="0"/>
              <w:jc w:val="center"/>
              <w:rPr>
                <w:rFonts w:ascii="Cambria" w:eastAsia="Cambria" w:hAnsi="Cambria" w:cs="Cambria"/>
                <w:sz w:val="18"/>
                <w:szCs w:val="18"/>
              </w:rPr>
            </w:pPr>
            <w:r w:rsidRPr="001C3482">
              <w:rPr>
                <w:rFonts w:ascii="Cambria" w:eastAsia="Cambria" w:hAnsi="Cambria" w:cs="Cambria"/>
                <w:sz w:val="18"/>
                <w:szCs w:val="18"/>
              </w:rPr>
              <w:t>824,80</w:t>
            </w:r>
          </w:p>
        </w:tc>
        <w:tc>
          <w:tcPr>
            <w:tcW w:w="851" w:type="dxa"/>
            <w:tcBorders>
              <w:top w:val="single" w:sz="4" w:space="0" w:color="000000"/>
              <w:left w:val="single" w:sz="4" w:space="0" w:color="000000"/>
              <w:bottom w:val="single" w:sz="4" w:space="0" w:color="000000"/>
              <w:right w:val="single" w:sz="4" w:space="0" w:color="000000"/>
            </w:tcBorders>
            <w:vAlign w:val="center"/>
          </w:tcPr>
          <w:p w14:paraId="66867A19" w14:textId="0439B6BD"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427,47</w:t>
            </w:r>
          </w:p>
        </w:tc>
      </w:tr>
      <w:tr w:rsidR="00501BE0" w14:paraId="43053C89" w14:textId="1633DA51"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3EA531CC" w14:textId="77777777" w:rsidR="00904460" w:rsidRPr="00501BE0" w:rsidRDefault="00904460" w:rsidP="00501BE0">
            <w:pPr>
              <w:spacing w:after="0"/>
              <w:ind w:left="-360"/>
              <w:jc w:val="both"/>
              <w:rPr>
                <w:rFonts w:ascii="Cambria" w:hAnsi="Cambria"/>
                <w:sz w:val="20"/>
              </w:rPr>
            </w:pPr>
            <w:r w:rsidRPr="00501BE0">
              <w:rPr>
                <w:rFonts w:ascii="Cambria" w:hAnsi="Cambria"/>
                <w:sz w:val="20"/>
              </w:rPr>
              <w:t>Mitrāji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2742E15" w14:textId="77777777"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1450,01</w:t>
            </w:r>
          </w:p>
        </w:tc>
        <w:tc>
          <w:tcPr>
            <w:tcW w:w="851" w:type="dxa"/>
            <w:tcBorders>
              <w:top w:val="single" w:sz="4" w:space="0" w:color="000000"/>
              <w:left w:val="single" w:sz="4" w:space="0" w:color="000000"/>
              <w:bottom w:val="single" w:sz="4" w:space="0" w:color="000000"/>
              <w:right w:val="single" w:sz="4" w:space="0" w:color="000000"/>
            </w:tcBorders>
            <w:vAlign w:val="center"/>
          </w:tcPr>
          <w:p w14:paraId="303525D1" w14:textId="4047059C"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1427,05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E18C6B4" w14:textId="244CC52D"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1442,58</w:t>
            </w:r>
          </w:p>
        </w:tc>
        <w:tc>
          <w:tcPr>
            <w:tcW w:w="851" w:type="dxa"/>
            <w:tcBorders>
              <w:top w:val="single" w:sz="4" w:space="0" w:color="000000"/>
              <w:left w:val="single" w:sz="4" w:space="0" w:color="000000"/>
              <w:bottom w:val="single" w:sz="4" w:space="0" w:color="000000"/>
              <w:right w:val="single" w:sz="4" w:space="0" w:color="000000"/>
            </w:tcBorders>
            <w:vAlign w:val="center"/>
          </w:tcPr>
          <w:p w14:paraId="29646C49" w14:textId="0B06064F"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1405,46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78BB085" w14:textId="513CED32"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1435,14</w:t>
            </w:r>
          </w:p>
        </w:tc>
        <w:tc>
          <w:tcPr>
            <w:tcW w:w="850" w:type="dxa"/>
            <w:tcBorders>
              <w:top w:val="single" w:sz="4" w:space="0" w:color="000000"/>
              <w:left w:val="single" w:sz="4" w:space="0" w:color="000000"/>
              <w:bottom w:val="single" w:sz="4" w:space="0" w:color="000000"/>
              <w:right w:val="single" w:sz="4" w:space="0" w:color="000000"/>
            </w:tcBorders>
            <w:vAlign w:val="center"/>
          </w:tcPr>
          <w:p w14:paraId="41F8B3C4" w14:textId="0F6ECECD"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1383,87</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4FFC2F3" w14:textId="0B547427"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1426,28</w:t>
            </w:r>
          </w:p>
        </w:tc>
        <w:tc>
          <w:tcPr>
            <w:tcW w:w="850" w:type="dxa"/>
            <w:tcBorders>
              <w:top w:val="single" w:sz="4" w:space="0" w:color="000000"/>
              <w:left w:val="single" w:sz="4" w:space="0" w:color="000000"/>
              <w:bottom w:val="single" w:sz="4" w:space="0" w:color="000000"/>
              <w:right w:val="single" w:sz="4" w:space="0" w:color="000000"/>
            </w:tcBorders>
            <w:vAlign w:val="center"/>
          </w:tcPr>
          <w:p w14:paraId="0B02568B" w14:textId="68230ADE"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1360,85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2E69594" w14:textId="3BF6ED82" w:rsidR="00904460" w:rsidRPr="001C3482" w:rsidRDefault="00904460" w:rsidP="00904460">
            <w:pPr>
              <w:spacing w:after="0"/>
              <w:jc w:val="center"/>
              <w:rPr>
                <w:rFonts w:ascii="Cambria" w:eastAsia="Cambria" w:hAnsi="Cambria" w:cs="Cambria"/>
                <w:sz w:val="18"/>
                <w:szCs w:val="18"/>
              </w:rPr>
            </w:pPr>
            <w:r w:rsidRPr="001C3482">
              <w:rPr>
                <w:rFonts w:ascii="Cambria" w:eastAsia="Cambria" w:hAnsi="Cambria" w:cs="Cambria"/>
                <w:sz w:val="18"/>
                <w:szCs w:val="18"/>
              </w:rPr>
              <w:t>1417,66</w:t>
            </w:r>
          </w:p>
        </w:tc>
        <w:tc>
          <w:tcPr>
            <w:tcW w:w="851" w:type="dxa"/>
            <w:tcBorders>
              <w:top w:val="single" w:sz="4" w:space="0" w:color="000000"/>
              <w:left w:val="single" w:sz="4" w:space="0" w:color="000000"/>
              <w:bottom w:val="single" w:sz="4" w:space="0" w:color="000000"/>
              <w:right w:val="single" w:sz="4" w:space="0" w:color="000000"/>
            </w:tcBorders>
            <w:vAlign w:val="center"/>
          </w:tcPr>
          <w:p w14:paraId="5E4B0EAB" w14:textId="352421E4"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1344,84</w:t>
            </w:r>
          </w:p>
        </w:tc>
      </w:tr>
      <w:tr w:rsidR="00501BE0" w14:paraId="0FAE04AB" w14:textId="74F1FFB9"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3AF03195" w14:textId="77777777" w:rsidR="00904460" w:rsidRPr="00501BE0" w:rsidRDefault="00904460" w:rsidP="00501BE0">
            <w:pPr>
              <w:spacing w:after="0"/>
              <w:ind w:left="-360"/>
              <w:jc w:val="both"/>
              <w:rPr>
                <w:rFonts w:ascii="Cambria" w:hAnsi="Cambria"/>
                <w:sz w:val="20"/>
              </w:rPr>
            </w:pPr>
            <w:r w:rsidRPr="00501BE0">
              <w:rPr>
                <w:rFonts w:ascii="Cambria" w:hAnsi="Cambria"/>
                <w:sz w:val="20"/>
              </w:rPr>
              <w:t>Apbūve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BAAE47E" w14:textId="77777777"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983,76</w:t>
            </w:r>
          </w:p>
        </w:tc>
        <w:tc>
          <w:tcPr>
            <w:tcW w:w="851" w:type="dxa"/>
            <w:tcBorders>
              <w:top w:val="single" w:sz="4" w:space="0" w:color="000000"/>
              <w:left w:val="single" w:sz="4" w:space="0" w:color="000000"/>
              <w:bottom w:val="single" w:sz="4" w:space="0" w:color="000000"/>
              <w:right w:val="single" w:sz="4" w:space="0" w:color="000000"/>
            </w:tcBorders>
            <w:vAlign w:val="center"/>
          </w:tcPr>
          <w:p w14:paraId="73077A48" w14:textId="7FAEFDDF"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831,02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560C7490" w14:textId="6D8A706A"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1026,21</w:t>
            </w:r>
          </w:p>
        </w:tc>
        <w:tc>
          <w:tcPr>
            <w:tcW w:w="851" w:type="dxa"/>
            <w:tcBorders>
              <w:top w:val="single" w:sz="4" w:space="0" w:color="000000"/>
              <w:left w:val="single" w:sz="4" w:space="0" w:color="000000"/>
              <w:bottom w:val="single" w:sz="4" w:space="0" w:color="000000"/>
              <w:right w:val="single" w:sz="4" w:space="0" w:color="000000"/>
            </w:tcBorders>
            <w:vAlign w:val="center"/>
          </w:tcPr>
          <w:p w14:paraId="6BD6F744" w14:textId="012CCD3C"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871,87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6E09A65" w14:textId="7D777BD8"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1028,50</w:t>
            </w:r>
          </w:p>
        </w:tc>
        <w:tc>
          <w:tcPr>
            <w:tcW w:w="850" w:type="dxa"/>
            <w:tcBorders>
              <w:top w:val="single" w:sz="4" w:space="0" w:color="000000"/>
              <w:left w:val="single" w:sz="4" w:space="0" w:color="000000"/>
              <w:bottom w:val="single" w:sz="4" w:space="0" w:color="000000"/>
              <w:right w:val="single" w:sz="4" w:space="0" w:color="000000"/>
            </w:tcBorders>
            <w:vAlign w:val="center"/>
          </w:tcPr>
          <w:p w14:paraId="36B55CB3" w14:textId="290034C3"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872,72</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18FE59D" w14:textId="1FA5CCFA"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1015,38</w:t>
            </w:r>
          </w:p>
        </w:tc>
        <w:tc>
          <w:tcPr>
            <w:tcW w:w="850" w:type="dxa"/>
            <w:tcBorders>
              <w:top w:val="single" w:sz="4" w:space="0" w:color="000000"/>
              <w:left w:val="single" w:sz="4" w:space="0" w:color="000000"/>
              <w:bottom w:val="single" w:sz="4" w:space="0" w:color="000000"/>
              <w:right w:val="single" w:sz="4" w:space="0" w:color="000000"/>
            </w:tcBorders>
            <w:vAlign w:val="center"/>
          </w:tcPr>
          <w:p w14:paraId="58F3B7A8" w14:textId="2364D65E"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858,16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8689877" w14:textId="6B9F4A56" w:rsidR="00904460" w:rsidRPr="001C3482" w:rsidRDefault="00904460" w:rsidP="00904460">
            <w:pPr>
              <w:spacing w:after="0"/>
              <w:jc w:val="center"/>
              <w:rPr>
                <w:rFonts w:ascii="Cambria" w:eastAsia="Cambria" w:hAnsi="Cambria" w:cs="Cambria"/>
                <w:sz w:val="18"/>
                <w:szCs w:val="18"/>
              </w:rPr>
            </w:pPr>
            <w:r w:rsidRPr="001C3482">
              <w:rPr>
                <w:rFonts w:ascii="Cambria" w:eastAsia="Cambria" w:hAnsi="Cambria" w:cs="Cambria"/>
                <w:sz w:val="18"/>
                <w:szCs w:val="18"/>
              </w:rPr>
              <w:t>1209,67</w:t>
            </w:r>
          </w:p>
        </w:tc>
        <w:tc>
          <w:tcPr>
            <w:tcW w:w="851" w:type="dxa"/>
            <w:tcBorders>
              <w:top w:val="single" w:sz="4" w:space="0" w:color="000000"/>
              <w:left w:val="single" w:sz="4" w:space="0" w:color="000000"/>
              <w:bottom w:val="single" w:sz="4" w:space="0" w:color="000000"/>
              <w:right w:val="single" w:sz="4" w:space="0" w:color="000000"/>
            </w:tcBorders>
            <w:vAlign w:val="center"/>
          </w:tcPr>
          <w:p w14:paraId="02EC5735" w14:textId="4634E844"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1047,21</w:t>
            </w:r>
          </w:p>
        </w:tc>
      </w:tr>
      <w:tr w:rsidR="00501BE0" w14:paraId="0CFED0CA" w14:textId="35739782"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21F5DC21" w14:textId="77777777" w:rsidR="00904460" w:rsidRPr="00501BE0" w:rsidRDefault="00904460" w:rsidP="00501BE0">
            <w:pPr>
              <w:spacing w:after="0"/>
              <w:ind w:left="-360"/>
              <w:jc w:val="both"/>
              <w:rPr>
                <w:rFonts w:ascii="Cambria" w:hAnsi="Cambria"/>
                <w:sz w:val="20"/>
              </w:rPr>
            </w:pPr>
            <w:r w:rsidRPr="00501BE0">
              <w:rPr>
                <w:rFonts w:ascii="Cambria" w:hAnsi="Cambria"/>
                <w:sz w:val="20"/>
              </w:rPr>
              <w:t>Koksnes produkti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00AA6D1" w14:textId="77777777"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-2074,12</w:t>
            </w:r>
          </w:p>
        </w:tc>
        <w:tc>
          <w:tcPr>
            <w:tcW w:w="851" w:type="dxa"/>
            <w:tcBorders>
              <w:top w:val="single" w:sz="4" w:space="0" w:color="000000"/>
              <w:left w:val="single" w:sz="4" w:space="0" w:color="000000"/>
              <w:bottom w:val="single" w:sz="4" w:space="0" w:color="000000"/>
              <w:right w:val="single" w:sz="4" w:space="0" w:color="000000"/>
            </w:tcBorders>
            <w:vAlign w:val="center"/>
          </w:tcPr>
          <w:p w14:paraId="580AD28C" w14:textId="24EFC299"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-2119,1</w:t>
            </w:r>
            <w:r w:rsidR="00B2136F" w:rsidRPr="00A55D2C">
              <w:rPr>
                <w:rFonts w:ascii="Cambria" w:eastAsia="Times New Roman" w:hAnsi="Cambria" w:cs="Calibri"/>
                <w:sz w:val="18"/>
                <w:szCs w:val="18"/>
                <w:lang w:eastAsia="lv-LV"/>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3AE8F0B" w14:textId="2F0E70D1"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-2023,98</w:t>
            </w:r>
          </w:p>
        </w:tc>
        <w:tc>
          <w:tcPr>
            <w:tcW w:w="851" w:type="dxa"/>
            <w:tcBorders>
              <w:top w:val="single" w:sz="4" w:space="0" w:color="000000"/>
              <w:left w:val="single" w:sz="4" w:space="0" w:color="000000"/>
              <w:bottom w:val="single" w:sz="4" w:space="0" w:color="000000"/>
              <w:right w:val="single" w:sz="4" w:space="0" w:color="000000"/>
            </w:tcBorders>
            <w:vAlign w:val="center"/>
          </w:tcPr>
          <w:p w14:paraId="0D518AAF" w14:textId="2ECA320F"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-2067,92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AB28139" w14:textId="6EB41333"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-1978,76</w:t>
            </w:r>
          </w:p>
        </w:tc>
        <w:tc>
          <w:tcPr>
            <w:tcW w:w="850" w:type="dxa"/>
            <w:tcBorders>
              <w:top w:val="single" w:sz="4" w:space="0" w:color="000000"/>
              <w:left w:val="single" w:sz="4" w:space="0" w:color="000000"/>
              <w:bottom w:val="single" w:sz="4" w:space="0" w:color="000000"/>
              <w:right w:val="single" w:sz="4" w:space="0" w:color="000000"/>
            </w:tcBorders>
            <w:vAlign w:val="center"/>
          </w:tcPr>
          <w:p w14:paraId="06F6D214" w14:textId="07F4EFB7"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-2021,69</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D143495" w14:textId="6168A7B6" w:rsidR="00904460" w:rsidRPr="00B2136F" w:rsidRDefault="00904460" w:rsidP="00904460">
            <w:pPr>
              <w:spacing w:after="0"/>
              <w:jc w:val="center"/>
              <w:rPr>
                <w:rFonts w:ascii="Cambria" w:eastAsia="Cambria" w:hAnsi="Cambria" w:cs="Cambria"/>
                <w:sz w:val="18"/>
                <w:szCs w:val="18"/>
              </w:rPr>
            </w:pPr>
            <w:r w:rsidRPr="00B2136F">
              <w:rPr>
                <w:rFonts w:ascii="Cambria" w:eastAsia="Cambria" w:hAnsi="Cambria" w:cs="Cambria"/>
                <w:sz w:val="18"/>
                <w:szCs w:val="18"/>
              </w:rPr>
              <w:t>-1934,53</w:t>
            </w:r>
          </w:p>
        </w:tc>
        <w:tc>
          <w:tcPr>
            <w:tcW w:w="850" w:type="dxa"/>
            <w:tcBorders>
              <w:top w:val="single" w:sz="4" w:space="0" w:color="000000"/>
              <w:left w:val="single" w:sz="4" w:space="0" w:color="000000"/>
              <w:bottom w:val="single" w:sz="4" w:space="0" w:color="000000"/>
              <w:right w:val="single" w:sz="4" w:space="0" w:color="000000"/>
            </w:tcBorders>
            <w:vAlign w:val="center"/>
          </w:tcPr>
          <w:p w14:paraId="2ABAE327" w14:textId="6E80A751"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-2171,04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B321FE8" w14:textId="2993EB69" w:rsidR="00904460" w:rsidRPr="001C3482" w:rsidRDefault="00904460" w:rsidP="00904460">
            <w:pPr>
              <w:spacing w:after="0"/>
              <w:jc w:val="center"/>
              <w:rPr>
                <w:rFonts w:ascii="Cambria" w:eastAsia="Cambria" w:hAnsi="Cambria" w:cs="Cambria"/>
                <w:sz w:val="18"/>
                <w:szCs w:val="18"/>
              </w:rPr>
            </w:pPr>
            <w:r w:rsidRPr="001C3482">
              <w:rPr>
                <w:rFonts w:ascii="Cambria" w:eastAsia="Cambria" w:hAnsi="Cambria" w:cs="Cambria"/>
                <w:sz w:val="18"/>
                <w:szCs w:val="18"/>
              </w:rPr>
              <w:t>-1876,42</w:t>
            </w:r>
          </w:p>
        </w:tc>
        <w:tc>
          <w:tcPr>
            <w:tcW w:w="851" w:type="dxa"/>
            <w:tcBorders>
              <w:top w:val="single" w:sz="4" w:space="0" w:color="000000"/>
              <w:left w:val="single" w:sz="4" w:space="0" w:color="000000"/>
              <w:bottom w:val="single" w:sz="4" w:space="0" w:color="000000"/>
              <w:right w:val="single" w:sz="4" w:space="0" w:color="000000"/>
            </w:tcBorders>
            <w:vAlign w:val="center"/>
          </w:tcPr>
          <w:p w14:paraId="2E8827AD" w14:textId="76BF5AA2" w:rsidR="00904460" w:rsidRPr="00A55D2C" w:rsidRDefault="00904460" w:rsidP="00904460">
            <w:pPr>
              <w:spacing w:after="0"/>
              <w:jc w:val="center"/>
              <w:rPr>
                <w:rFonts w:ascii="Cambria" w:eastAsia="Cambria" w:hAnsi="Cambria" w:cs="Cambria"/>
                <w:sz w:val="18"/>
                <w:szCs w:val="18"/>
              </w:rPr>
            </w:pPr>
            <w:r w:rsidRPr="00A55D2C">
              <w:rPr>
                <w:rFonts w:ascii="Cambria" w:eastAsia="Times New Roman" w:hAnsi="Cambria" w:cs="Calibri"/>
                <w:sz w:val="18"/>
                <w:szCs w:val="18"/>
                <w:lang w:eastAsia="lv-LV"/>
              </w:rPr>
              <w:t>-2809,51</w:t>
            </w:r>
          </w:p>
        </w:tc>
      </w:tr>
      <w:tr w:rsidR="00501BE0" w14:paraId="2D77F4B7" w14:textId="1D035D3A" w:rsidTr="001C3482">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269C9021" w14:textId="77777777" w:rsidR="00904460" w:rsidRDefault="00904460" w:rsidP="00904460">
            <w:pPr>
              <w:spacing w:after="0"/>
              <w:jc w:val="right"/>
            </w:pPr>
            <w:r>
              <w:rPr>
                <w:rFonts w:ascii="Cambria" w:eastAsia="Cambria" w:hAnsi="Cambria" w:cs="Cambria"/>
                <w:sz w:val="18"/>
                <w:szCs w:val="18"/>
              </w:rPr>
              <w:t>ZIZIMM kopā</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5F52050C" w14:textId="77777777" w:rsidR="00904460" w:rsidRPr="00501BE0" w:rsidRDefault="00904460" w:rsidP="00904460">
            <w:pPr>
              <w:spacing w:after="0"/>
              <w:jc w:val="center"/>
              <w:rPr>
                <w:rFonts w:ascii="Cambria" w:hAnsi="Cambria"/>
                <w:b/>
                <w:sz w:val="18"/>
              </w:rPr>
            </w:pPr>
            <w:r>
              <w:rPr>
                <w:rFonts w:ascii="Cambria" w:eastAsia="Cambria" w:hAnsi="Cambria" w:cs="Cambria"/>
                <w:b/>
                <w:bCs/>
                <w:sz w:val="18"/>
                <w:szCs w:val="18"/>
              </w:rPr>
              <w:t>1843,77</w:t>
            </w:r>
          </w:p>
        </w:tc>
        <w:tc>
          <w:tcPr>
            <w:tcW w:w="851" w:type="dxa"/>
            <w:tcBorders>
              <w:top w:val="single" w:sz="4" w:space="0" w:color="000000"/>
              <w:left w:val="single" w:sz="4" w:space="0" w:color="000000"/>
              <w:bottom w:val="single" w:sz="4" w:space="0" w:color="000000"/>
              <w:right w:val="single" w:sz="4" w:space="0" w:color="000000"/>
            </w:tcBorders>
            <w:vAlign w:val="center"/>
          </w:tcPr>
          <w:p w14:paraId="6AD61B53" w14:textId="2DABC791" w:rsidR="00904460" w:rsidRPr="00A55D2C" w:rsidRDefault="00904460" w:rsidP="00904460">
            <w:pPr>
              <w:suppressAutoHyphens w:val="0"/>
              <w:spacing w:after="0" w:line="240" w:lineRule="auto"/>
              <w:jc w:val="center"/>
              <w:outlineLvl w:val="0"/>
              <w:rPr>
                <w:rFonts w:ascii="Cambria" w:eastAsia="Cambria" w:hAnsi="Cambria" w:cs="Cambria"/>
                <w:b/>
                <w:sz w:val="18"/>
                <w:szCs w:val="18"/>
              </w:rPr>
            </w:pPr>
            <w:r w:rsidRPr="00A55D2C">
              <w:rPr>
                <w:rFonts w:ascii="Cambria" w:eastAsia="Cambria" w:hAnsi="Cambria" w:cs="Cambria"/>
                <w:b/>
                <w:sz w:val="18"/>
                <w:szCs w:val="18"/>
              </w:rPr>
              <w:t>2014,70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8988D00" w14:textId="46F61D7D" w:rsidR="00904460" w:rsidRPr="00501BE0" w:rsidRDefault="00904460" w:rsidP="00904460">
            <w:pPr>
              <w:spacing w:after="0"/>
              <w:jc w:val="center"/>
              <w:rPr>
                <w:rFonts w:ascii="Cambria" w:hAnsi="Cambria"/>
                <w:b/>
                <w:sz w:val="18"/>
              </w:rPr>
            </w:pPr>
            <w:r>
              <w:rPr>
                <w:rFonts w:ascii="Cambria" w:eastAsia="Cambria" w:hAnsi="Cambria" w:cs="Cambria"/>
                <w:b/>
                <w:bCs/>
                <w:sz w:val="18"/>
                <w:szCs w:val="18"/>
              </w:rPr>
              <w:t>2220,79</w:t>
            </w:r>
          </w:p>
        </w:tc>
        <w:tc>
          <w:tcPr>
            <w:tcW w:w="851" w:type="dxa"/>
            <w:tcBorders>
              <w:top w:val="single" w:sz="4" w:space="0" w:color="000000"/>
              <w:left w:val="single" w:sz="4" w:space="0" w:color="000000"/>
              <w:bottom w:val="single" w:sz="4" w:space="0" w:color="000000"/>
              <w:right w:val="single" w:sz="4" w:space="0" w:color="000000"/>
            </w:tcBorders>
            <w:vAlign w:val="center"/>
          </w:tcPr>
          <w:p w14:paraId="52802867" w14:textId="72782D69" w:rsidR="00904460" w:rsidRPr="00A55D2C" w:rsidRDefault="00904460" w:rsidP="00904460">
            <w:pPr>
              <w:suppressAutoHyphens w:val="0"/>
              <w:spacing w:after="0" w:line="240" w:lineRule="auto"/>
              <w:jc w:val="center"/>
              <w:outlineLvl w:val="0"/>
              <w:rPr>
                <w:rFonts w:ascii="Cambria" w:eastAsia="Cambria" w:hAnsi="Cambria" w:cs="Cambria"/>
                <w:b/>
                <w:sz w:val="18"/>
                <w:szCs w:val="18"/>
              </w:rPr>
            </w:pPr>
            <w:r w:rsidRPr="00A55D2C">
              <w:rPr>
                <w:rFonts w:ascii="Cambria" w:eastAsia="Cambria" w:hAnsi="Cambria" w:cs="Cambria"/>
                <w:b/>
                <w:sz w:val="18"/>
                <w:szCs w:val="18"/>
              </w:rPr>
              <w:t>1682,94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F662B91" w14:textId="7D2A154D" w:rsidR="00904460" w:rsidRPr="00501BE0" w:rsidRDefault="00904460" w:rsidP="00904460">
            <w:pPr>
              <w:spacing w:after="0"/>
              <w:jc w:val="center"/>
              <w:rPr>
                <w:rFonts w:ascii="Cambria" w:hAnsi="Cambria"/>
                <w:b/>
                <w:sz w:val="18"/>
              </w:rPr>
            </w:pPr>
            <w:r>
              <w:rPr>
                <w:rFonts w:ascii="Cambria" w:eastAsia="Cambria" w:hAnsi="Cambria" w:cs="Cambria"/>
                <w:b/>
                <w:bCs/>
                <w:sz w:val="18"/>
                <w:szCs w:val="18"/>
              </w:rPr>
              <w:t>2519,66</w:t>
            </w:r>
          </w:p>
        </w:tc>
        <w:tc>
          <w:tcPr>
            <w:tcW w:w="850" w:type="dxa"/>
            <w:tcBorders>
              <w:top w:val="single" w:sz="4" w:space="0" w:color="000000"/>
              <w:left w:val="single" w:sz="4" w:space="0" w:color="000000"/>
              <w:bottom w:val="single" w:sz="4" w:space="0" w:color="000000"/>
              <w:right w:val="single" w:sz="4" w:space="0" w:color="000000"/>
            </w:tcBorders>
            <w:vAlign w:val="center"/>
          </w:tcPr>
          <w:p w14:paraId="62487FC5" w14:textId="5CC697A2" w:rsidR="00904460" w:rsidRPr="00A55D2C" w:rsidRDefault="00904460" w:rsidP="00904460">
            <w:pPr>
              <w:suppressAutoHyphens w:val="0"/>
              <w:spacing w:after="0" w:line="240" w:lineRule="auto"/>
              <w:jc w:val="center"/>
              <w:outlineLvl w:val="0"/>
              <w:rPr>
                <w:rFonts w:ascii="Cambria" w:eastAsia="Cambria" w:hAnsi="Cambria" w:cs="Cambria"/>
                <w:b/>
                <w:sz w:val="18"/>
                <w:szCs w:val="18"/>
              </w:rPr>
            </w:pPr>
            <w:r w:rsidRPr="00A55D2C">
              <w:rPr>
                <w:rFonts w:ascii="Cambria" w:eastAsia="Cambria" w:hAnsi="Cambria" w:cs="Cambria"/>
                <w:b/>
                <w:sz w:val="18"/>
                <w:szCs w:val="18"/>
              </w:rPr>
              <w:t>1253,99</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DA22919" w14:textId="44CF5DA6" w:rsidR="00904460" w:rsidRPr="00501BE0" w:rsidRDefault="00904460" w:rsidP="00904460">
            <w:pPr>
              <w:spacing w:after="0"/>
              <w:jc w:val="center"/>
              <w:rPr>
                <w:rFonts w:ascii="Cambria" w:hAnsi="Cambria"/>
                <w:b/>
                <w:sz w:val="18"/>
              </w:rPr>
            </w:pPr>
            <w:r>
              <w:rPr>
                <w:rFonts w:ascii="Cambria" w:eastAsia="Cambria" w:hAnsi="Cambria" w:cs="Cambria"/>
                <w:b/>
                <w:bCs/>
                <w:sz w:val="18"/>
                <w:szCs w:val="18"/>
              </w:rPr>
              <w:t>2583,17</w:t>
            </w:r>
          </w:p>
        </w:tc>
        <w:tc>
          <w:tcPr>
            <w:tcW w:w="850" w:type="dxa"/>
            <w:tcBorders>
              <w:top w:val="single" w:sz="4" w:space="0" w:color="000000"/>
              <w:left w:val="single" w:sz="4" w:space="0" w:color="000000"/>
              <w:bottom w:val="single" w:sz="4" w:space="0" w:color="000000"/>
              <w:right w:val="single" w:sz="4" w:space="0" w:color="000000"/>
            </w:tcBorders>
            <w:vAlign w:val="center"/>
          </w:tcPr>
          <w:p w14:paraId="4F7F7A9C" w14:textId="077FC98C" w:rsidR="00904460" w:rsidRPr="00A55D2C" w:rsidRDefault="00904460" w:rsidP="00904460">
            <w:pPr>
              <w:suppressAutoHyphens w:val="0"/>
              <w:spacing w:after="0" w:line="240" w:lineRule="auto"/>
              <w:jc w:val="center"/>
              <w:outlineLvl w:val="0"/>
              <w:rPr>
                <w:rFonts w:ascii="Cambria" w:eastAsia="Cambria" w:hAnsi="Cambria" w:cs="Cambria"/>
                <w:b/>
                <w:sz w:val="18"/>
                <w:szCs w:val="18"/>
              </w:rPr>
            </w:pPr>
            <w:r w:rsidRPr="00A55D2C">
              <w:rPr>
                <w:rFonts w:ascii="Cambria" w:eastAsia="Cambria" w:hAnsi="Cambria" w:cs="Cambria"/>
                <w:b/>
                <w:sz w:val="18"/>
                <w:szCs w:val="18"/>
              </w:rPr>
              <w:t>-1396,23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10F9299" w14:textId="65FA5443" w:rsidR="00904460" w:rsidRPr="00501BE0" w:rsidRDefault="00904460" w:rsidP="00904460">
            <w:pPr>
              <w:spacing w:after="0"/>
              <w:jc w:val="center"/>
              <w:rPr>
                <w:rFonts w:ascii="Cambria" w:hAnsi="Cambria"/>
                <w:b/>
                <w:sz w:val="18"/>
              </w:rPr>
            </w:pPr>
            <w:r>
              <w:rPr>
                <w:rFonts w:ascii="Cambria" w:eastAsia="Cambria" w:hAnsi="Cambria" w:cs="Cambria"/>
                <w:b/>
                <w:bCs/>
                <w:sz w:val="18"/>
                <w:szCs w:val="18"/>
              </w:rPr>
              <w:t>2909,77</w:t>
            </w:r>
          </w:p>
        </w:tc>
        <w:tc>
          <w:tcPr>
            <w:tcW w:w="851" w:type="dxa"/>
            <w:tcBorders>
              <w:top w:val="single" w:sz="4" w:space="0" w:color="000000"/>
              <w:left w:val="single" w:sz="4" w:space="0" w:color="000000"/>
              <w:bottom w:val="single" w:sz="4" w:space="0" w:color="000000"/>
              <w:right w:val="single" w:sz="4" w:space="0" w:color="000000"/>
            </w:tcBorders>
            <w:vAlign w:val="center"/>
          </w:tcPr>
          <w:p w14:paraId="251C2A40" w14:textId="6C38B8BB" w:rsidR="00904460" w:rsidRPr="00A55D2C" w:rsidRDefault="00904460" w:rsidP="00904460">
            <w:pPr>
              <w:suppressAutoHyphens w:val="0"/>
              <w:spacing w:after="0" w:line="240" w:lineRule="auto"/>
              <w:jc w:val="center"/>
              <w:outlineLvl w:val="0"/>
              <w:rPr>
                <w:rFonts w:ascii="Cambria" w:eastAsia="Cambria" w:hAnsi="Cambria" w:cs="Cambria"/>
                <w:b/>
                <w:sz w:val="18"/>
                <w:szCs w:val="18"/>
              </w:rPr>
            </w:pPr>
            <w:r w:rsidRPr="00A55D2C">
              <w:rPr>
                <w:rFonts w:ascii="Cambria" w:eastAsia="Cambria" w:hAnsi="Cambria" w:cs="Cambria"/>
                <w:b/>
                <w:sz w:val="18"/>
                <w:szCs w:val="18"/>
              </w:rPr>
              <w:t>-2435,98</w:t>
            </w:r>
          </w:p>
        </w:tc>
      </w:tr>
      <w:tr w:rsidR="00501BE0" w14:paraId="29D4FAAB" w14:textId="1C95B66A" w:rsidTr="00501BE0">
        <w:trPr>
          <w:trHeight w:val="285"/>
          <w:jc w:val="center"/>
        </w:trPr>
        <w:tc>
          <w:tcPr>
            <w:tcW w:w="1271" w:type="dxa"/>
            <w:tcBorders>
              <w:top w:val="single" w:sz="4" w:space="0" w:color="636363"/>
              <w:left w:val="single" w:sz="4" w:space="0" w:color="636363"/>
              <w:bottom w:val="single" w:sz="4" w:space="0" w:color="636363"/>
              <w:right w:val="single" w:sz="4" w:space="0" w:color="636363"/>
            </w:tcBorders>
            <w:shd w:val="clear" w:color="auto" w:fill="FFFFFF"/>
            <w:tcMar>
              <w:top w:w="15" w:type="dxa"/>
              <w:left w:w="360" w:type="dxa"/>
              <w:bottom w:w="0" w:type="dxa"/>
              <w:right w:w="15" w:type="dxa"/>
            </w:tcMar>
            <w:vAlign w:val="center"/>
          </w:tcPr>
          <w:p w14:paraId="6DF3D0FE" w14:textId="33D8E812" w:rsidR="00904460" w:rsidRDefault="00904460" w:rsidP="00501BE0">
            <w:pPr>
              <w:spacing w:after="0"/>
              <w:ind w:left="-360"/>
              <w:jc w:val="right"/>
              <w:rPr>
                <w:rFonts w:ascii="Cambria" w:eastAsia="Cambria" w:hAnsi="Cambria" w:cs="Cambria"/>
                <w:sz w:val="18"/>
                <w:szCs w:val="18"/>
              </w:rPr>
            </w:pPr>
            <w:r>
              <w:rPr>
                <w:rFonts w:ascii="Cambria" w:eastAsia="Cambria" w:hAnsi="Cambria" w:cs="Cambria"/>
                <w:sz w:val="18"/>
                <w:szCs w:val="18"/>
              </w:rPr>
              <w:t>Indikatīvais mērķis, pēc 2024.gada SEG inventarizācijas datiem</w:t>
            </w:r>
          </w:p>
        </w:tc>
        <w:tc>
          <w:tcPr>
            <w:tcW w:w="7371" w:type="dxa"/>
            <w:gridSpan w:val="8"/>
            <w:tcBorders>
              <w:top w:val="single" w:sz="4" w:space="0" w:color="000000"/>
              <w:left w:val="single" w:sz="4" w:space="0" w:color="000000"/>
              <w:bottom w:val="single" w:sz="4" w:space="0" w:color="000000"/>
              <w:right w:val="single" w:sz="4" w:space="0" w:color="000000"/>
            </w:tcBorders>
          </w:tcPr>
          <w:p w14:paraId="2EE73EBC" w14:textId="24699375" w:rsidR="00904460" w:rsidRPr="00501BE0" w:rsidRDefault="00904460" w:rsidP="00501BE0">
            <w:pPr>
              <w:spacing w:after="0"/>
              <w:jc w:val="right"/>
              <w:rPr>
                <w:rFonts w:ascii="Cambria" w:hAnsi="Cambria"/>
                <w:i/>
                <w:sz w:val="20"/>
              </w:rPr>
            </w:pPr>
          </w:p>
        </w:tc>
        <w:tc>
          <w:tcPr>
            <w:tcW w:w="1843" w:type="dxa"/>
            <w:gridSpan w:val="2"/>
            <w:tcBorders>
              <w:top w:val="single" w:sz="4" w:space="0" w:color="000000"/>
              <w:left w:val="single" w:sz="4" w:space="0" w:color="000000"/>
              <w:bottom w:val="single" w:sz="4" w:space="0" w:color="000000"/>
              <w:right w:val="single" w:sz="4" w:space="0" w:color="000000"/>
            </w:tcBorders>
          </w:tcPr>
          <w:p w14:paraId="3683CDC3" w14:textId="35025399" w:rsidR="00904460" w:rsidRPr="00501BE0" w:rsidRDefault="00904460" w:rsidP="00904460">
            <w:pPr>
              <w:spacing w:after="0"/>
              <w:jc w:val="center"/>
              <w:rPr>
                <w:rFonts w:ascii="Cambria" w:hAnsi="Cambria"/>
                <w:i/>
                <w:sz w:val="20"/>
              </w:rPr>
            </w:pPr>
            <w:r w:rsidRPr="00BA643C">
              <w:rPr>
                <w:rFonts w:ascii="Cambria" w:hAnsi="Cambria"/>
                <w:i/>
                <w:iCs/>
                <w:sz w:val="20"/>
                <w:szCs w:val="20"/>
              </w:rPr>
              <w:t>-2214,77</w:t>
            </w:r>
          </w:p>
        </w:tc>
      </w:tr>
    </w:tbl>
    <w:p w14:paraId="6AA13EEC" w14:textId="77777777" w:rsidR="003E6EAD" w:rsidRDefault="003E6EAD">
      <w:pPr>
        <w:spacing w:before="120" w:after="120" w:line="240" w:lineRule="auto"/>
        <w:rPr>
          <w:rFonts w:ascii="Cambria" w:hAnsi="Cambria"/>
          <w:b/>
          <w:bCs/>
          <w:sz w:val="24"/>
          <w:szCs w:val="24"/>
        </w:rPr>
      </w:pPr>
    </w:p>
    <w:p w14:paraId="0FDAF680" w14:textId="70B96E64" w:rsidR="00906C6C" w:rsidRPr="00906C6C" w:rsidRDefault="003A4514" w:rsidP="00906C6C">
      <w:pPr>
        <w:spacing w:before="120" w:after="120" w:line="240" w:lineRule="auto"/>
        <w:ind w:firstLine="567"/>
        <w:jc w:val="both"/>
        <w:rPr>
          <w:rFonts w:ascii="Cambria" w:hAnsi="Cambria"/>
          <w:sz w:val="24"/>
          <w:szCs w:val="24"/>
        </w:rPr>
      </w:pPr>
      <w:r w:rsidRPr="00136E31">
        <w:rPr>
          <w:rFonts w:ascii="Cambria" w:hAnsi="Cambria"/>
          <w:sz w:val="24"/>
          <w:szCs w:val="24"/>
        </w:rPr>
        <w:t>7. tabulā attēloto ikgadējo neto</w:t>
      </w:r>
      <w:r w:rsidRPr="00136E31">
        <w:rPr>
          <w:rStyle w:val="FootnoteReference"/>
          <w:rFonts w:ascii="Cambria" w:hAnsi="Cambria"/>
          <w:sz w:val="24"/>
          <w:szCs w:val="24"/>
        </w:rPr>
        <w:footnoteReference w:id="80"/>
      </w:r>
      <w:r w:rsidRPr="00136E31">
        <w:rPr>
          <w:rFonts w:ascii="Cambria" w:hAnsi="Cambria"/>
          <w:sz w:val="24"/>
          <w:szCs w:val="24"/>
        </w:rPr>
        <w:t xml:space="preserve"> SEG emisiju </w:t>
      </w:r>
      <w:r w:rsidR="003A4EA8" w:rsidRPr="00136E31">
        <w:rPr>
          <w:rFonts w:ascii="Cambria" w:hAnsi="Cambria"/>
          <w:sz w:val="24"/>
          <w:szCs w:val="24"/>
        </w:rPr>
        <w:t>pie</w:t>
      </w:r>
      <w:r w:rsidR="00DC6FD8" w:rsidRPr="00136E31">
        <w:rPr>
          <w:rFonts w:ascii="Cambria" w:hAnsi="Cambria"/>
          <w:sz w:val="24"/>
          <w:szCs w:val="24"/>
        </w:rPr>
        <w:t>a</w:t>
      </w:r>
      <w:r w:rsidR="003A4EA8" w:rsidRPr="00136E31">
        <w:rPr>
          <w:rFonts w:ascii="Cambria" w:hAnsi="Cambria"/>
          <w:sz w:val="24"/>
          <w:szCs w:val="24"/>
        </w:rPr>
        <w:t>ugum</w:t>
      </w:r>
      <w:r w:rsidR="00231072" w:rsidRPr="00136E31">
        <w:rPr>
          <w:rFonts w:ascii="Cambria" w:hAnsi="Cambria"/>
          <w:sz w:val="24"/>
          <w:szCs w:val="24"/>
        </w:rPr>
        <w:t>s ZIZIMM sektorā</w:t>
      </w:r>
      <w:r w:rsidRPr="00136E31">
        <w:rPr>
          <w:rFonts w:ascii="Cambria" w:hAnsi="Cambria"/>
          <w:sz w:val="24"/>
          <w:szCs w:val="24"/>
        </w:rPr>
        <w:t xml:space="preserve"> </w:t>
      </w:r>
      <w:r w:rsidR="003A4EA8" w:rsidRPr="00136E31">
        <w:rPr>
          <w:rFonts w:ascii="Cambria" w:hAnsi="Cambria"/>
          <w:sz w:val="24"/>
          <w:szCs w:val="24"/>
        </w:rPr>
        <w:t>s</w:t>
      </w:r>
      <w:r w:rsidR="00FE1AFE" w:rsidRPr="00136E31">
        <w:rPr>
          <w:rFonts w:ascii="Cambria" w:hAnsi="Cambria"/>
          <w:sz w:val="24"/>
          <w:szCs w:val="24"/>
        </w:rPr>
        <w:t xml:space="preserve">kaidrojams ar </w:t>
      </w:r>
      <w:r w:rsidR="00231072" w:rsidRPr="00136E31">
        <w:rPr>
          <w:rFonts w:ascii="Cambria" w:hAnsi="Cambria"/>
          <w:sz w:val="24"/>
          <w:szCs w:val="24"/>
        </w:rPr>
        <w:t>emisij</w:t>
      </w:r>
      <w:r w:rsidR="002503BA" w:rsidRPr="00136E31">
        <w:rPr>
          <w:rFonts w:ascii="Cambria" w:hAnsi="Cambria"/>
          <w:sz w:val="24"/>
          <w:szCs w:val="24"/>
        </w:rPr>
        <w:t>ām</w:t>
      </w:r>
      <w:r w:rsidR="00231072" w:rsidRPr="00136E31">
        <w:rPr>
          <w:rFonts w:ascii="Cambria" w:hAnsi="Cambria"/>
          <w:sz w:val="24"/>
          <w:szCs w:val="24"/>
        </w:rPr>
        <w:t xml:space="preserve"> no organiskajām augsnēm, jo ​​īpaši aramzemēs, zālājos un meža zemēs. Šīs augsnes izdala ievērojamu daudzumu CO₂ un N</w:t>
      </w:r>
      <w:r w:rsidR="00231072" w:rsidRPr="00136E31">
        <w:rPr>
          <w:rFonts w:ascii="Cambria" w:hAnsi="Cambria"/>
          <w:sz w:val="24"/>
          <w:szCs w:val="24"/>
          <w:vertAlign w:val="subscript"/>
        </w:rPr>
        <w:t>2</w:t>
      </w:r>
      <w:r w:rsidR="00231072" w:rsidRPr="00136E31">
        <w:rPr>
          <w:rFonts w:ascii="Cambria" w:hAnsi="Cambria"/>
          <w:sz w:val="24"/>
          <w:szCs w:val="24"/>
        </w:rPr>
        <w:t>O emisiju, kuras ir grūti mazināt.</w:t>
      </w:r>
      <w:r w:rsidR="00906C6C" w:rsidRPr="00136E31">
        <w:rPr>
          <w:rFonts w:ascii="Cambria" w:hAnsi="Cambria"/>
          <w:sz w:val="24"/>
          <w:szCs w:val="24"/>
        </w:rPr>
        <w:t xml:space="preserve"> </w:t>
      </w:r>
      <w:r w:rsidR="00651C73" w:rsidRPr="00136E31">
        <w:rPr>
          <w:rFonts w:ascii="Cambria" w:hAnsi="Cambria"/>
          <w:sz w:val="24"/>
          <w:szCs w:val="24"/>
        </w:rPr>
        <w:t xml:space="preserve"> </w:t>
      </w:r>
      <w:r w:rsidR="00906C6C" w:rsidRPr="00136E31">
        <w:rPr>
          <w:rFonts w:ascii="Cambria" w:hAnsi="Cambria"/>
          <w:sz w:val="24"/>
          <w:szCs w:val="24"/>
        </w:rPr>
        <w:t>Meža zemē CO</w:t>
      </w:r>
      <w:r w:rsidR="00906C6C" w:rsidRPr="00136E31">
        <w:rPr>
          <w:rFonts w:ascii="Cambria" w:hAnsi="Cambria"/>
          <w:sz w:val="24"/>
          <w:szCs w:val="24"/>
          <w:vertAlign w:val="subscript"/>
        </w:rPr>
        <w:t xml:space="preserve">2 </w:t>
      </w:r>
      <w:r w:rsidR="00906C6C" w:rsidRPr="00136E31">
        <w:rPr>
          <w:rFonts w:ascii="Cambria" w:hAnsi="Cambria"/>
          <w:sz w:val="24"/>
          <w:szCs w:val="24"/>
        </w:rPr>
        <w:t xml:space="preserve">piesaisti mazina mežizstrādes rādītāji un </w:t>
      </w:r>
      <w:r w:rsidR="004B7E32" w:rsidRPr="00136E31">
        <w:rPr>
          <w:rFonts w:ascii="Cambria" w:hAnsi="Cambria"/>
          <w:sz w:val="24"/>
          <w:szCs w:val="24"/>
        </w:rPr>
        <w:t xml:space="preserve">dabiskā atmiruma pieaugums </w:t>
      </w:r>
      <w:r w:rsidR="007374DB" w:rsidRPr="00136E31">
        <w:rPr>
          <w:rFonts w:ascii="Cambria" w:hAnsi="Cambria"/>
          <w:sz w:val="24"/>
          <w:szCs w:val="24"/>
        </w:rPr>
        <w:t>novecojušās mežaudzēs</w:t>
      </w:r>
      <w:r w:rsidR="00906C6C" w:rsidRPr="00136E31">
        <w:rPr>
          <w:rFonts w:ascii="Cambria" w:hAnsi="Cambria"/>
          <w:sz w:val="24"/>
          <w:szCs w:val="24"/>
        </w:rPr>
        <w:t xml:space="preserve">. Lai gan samazināta mežizstrādes intensitāte īstermiņā potenciāli varētu palielināt </w:t>
      </w:r>
      <w:r w:rsidR="00E7469C" w:rsidRPr="00136E31">
        <w:rPr>
          <w:rFonts w:ascii="Cambria" w:hAnsi="Cambria"/>
          <w:sz w:val="24"/>
          <w:szCs w:val="24"/>
        </w:rPr>
        <w:t>CO</w:t>
      </w:r>
      <w:r w:rsidR="00E7469C" w:rsidRPr="00136E31">
        <w:rPr>
          <w:rFonts w:ascii="Cambria" w:hAnsi="Cambria"/>
          <w:sz w:val="24"/>
          <w:szCs w:val="24"/>
          <w:vertAlign w:val="subscript"/>
        </w:rPr>
        <w:t>2</w:t>
      </w:r>
      <w:r w:rsidR="00E7469C" w:rsidRPr="00136E31">
        <w:rPr>
          <w:rFonts w:ascii="Cambria" w:hAnsi="Cambria"/>
          <w:sz w:val="24"/>
          <w:szCs w:val="24"/>
        </w:rPr>
        <w:t xml:space="preserve"> piesaist</w:t>
      </w:r>
      <w:r w:rsidR="007374DB" w:rsidRPr="00136E31">
        <w:rPr>
          <w:rFonts w:ascii="Cambria" w:hAnsi="Cambria"/>
          <w:sz w:val="24"/>
          <w:szCs w:val="24"/>
        </w:rPr>
        <w:t>i</w:t>
      </w:r>
      <w:r w:rsidR="00906C6C" w:rsidRPr="00136E31">
        <w:rPr>
          <w:rFonts w:ascii="Cambria" w:hAnsi="Cambria"/>
          <w:sz w:val="24"/>
          <w:szCs w:val="24"/>
        </w:rPr>
        <w:t>, ilgtermiņā tas izraisītu</w:t>
      </w:r>
      <w:r w:rsidR="00E7469C" w:rsidRPr="00136E31">
        <w:rPr>
          <w:rFonts w:ascii="Cambria" w:hAnsi="Cambria"/>
          <w:sz w:val="24"/>
          <w:szCs w:val="24"/>
        </w:rPr>
        <w:t xml:space="preserve"> CO</w:t>
      </w:r>
      <w:r w:rsidR="00E7469C" w:rsidRPr="00136E31">
        <w:rPr>
          <w:rFonts w:ascii="Cambria" w:hAnsi="Cambria"/>
          <w:sz w:val="24"/>
          <w:szCs w:val="24"/>
          <w:vertAlign w:val="subscript"/>
        </w:rPr>
        <w:t>2</w:t>
      </w:r>
      <w:r w:rsidR="00E7469C" w:rsidRPr="00136E31">
        <w:rPr>
          <w:rFonts w:ascii="Cambria" w:hAnsi="Cambria"/>
          <w:sz w:val="24"/>
          <w:szCs w:val="24"/>
        </w:rPr>
        <w:t xml:space="preserve"> pie</w:t>
      </w:r>
      <w:r w:rsidR="00EF4BEA" w:rsidRPr="00136E31">
        <w:rPr>
          <w:rFonts w:ascii="Cambria" w:hAnsi="Cambria"/>
          <w:sz w:val="24"/>
          <w:szCs w:val="24"/>
        </w:rPr>
        <w:t>s</w:t>
      </w:r>
      <w:r w:rsidR="00E7469C" w:rsidRPr="00136E31">
        <w:rPr>
          <w:rFonts w:ascii="Cambria" w:hAnsi="Cambria"/>
          <w:sz w:val="24"/>
          <w:szCs w:val="24"/>
        </w:rPr>
        <w:t>aistes</w:t>
      </w:r>
      <w:r w:rsidR="00906C6C" w:rsidRPr="00136E31">
        <w:rPr>
          <w:rFonts w:ascii="Cambria" w:hAnsi="Cambria"/>
          <w:sz w:val="24"/>
          <w:szCs w:val="24"/>
        </w:rPr>
        <w:t xml:space="preserve"> samazināšanos</w:t>
      </w:r>
      <w:r w:rsidR="00E7469C" w:rsidRPr="00136E31">
        <w:rPr>
          <w:rFonts w:ascii="Cambria" w:hAnsi="Cambria"/>
          <w:sz w:val="24"/>
          <w:szCs w:val="24"/>
        </w:rPr>
        <w:t xml:space="preserve"> </w:t>
      </w:r>
      <w:r w:rsidR="00906C6C" w:rsidRPr="00136E31">
        <w:rPr>
          <w:rFonts w:ascii="Cambria" w:hAnsi="Cambria"/>
          <w:sz w:val="24"/>
          <w:szCs w:val="24"/>
        </w:rPr>
        <w:t>mežu novecošan</w:t>
      </w:r>
      <w:r w:rsidR="0070345D" w:rsidRPr="00136E31">
        <w:rPr>
          <w:rFonts w:ascii="Cambria" w:hAnsi="Cambria"/>
          <w:sz w:val="24"/>
          <w:szCs w:val="24"/>
        </w:rPr>
        <w:t>ās</w:t>
      </w:r>
      <w:r w:rsidR="00906C6C" w:rsidRPr="00136E31">
        <w:rPr>
          <w:rFonts w:ascii="Cambria" w:hAnsi="Cambria"/>
          <w:sz w:val="24"/>
          <w:szCs w:val="24"/>
        </w:rPr>
        <w:t xml:space="preserve"> </w:t>
      </w:r>
      <w:r w:rsidR="00E7469C" w:rsidRPr="00136E31">
        <w:rPr>
          <w:rFonts w:ascii="Cambria" w:hAnsi="Cambria"/>
          <w:sz w:val="24"/>
          <w:szCs w:val="24"/>
        </w:rPr>
        <w:t xml:space="preserve">un </w:t>
      </w:r>
      <w:r w:rsidR="009903F9" w:rsidRPr="00136E31">
        <w:rPr>
          <w:rFonts w:ascii="Cambria" w:hAnsi="Cambria"/>
          <w:sz w:val="24"/>
          <w:szCs w:val="24"/>
        </w:rPr>
        <w:t>saražot</w:t>
      </w:r>
      <w:r w:rsidR="00630778" w:rsidRPr="00136E31">
        <w:rPr>
          <w:rFonts w:ascii="Cambria" w:hAnsi="Cambria"/>
          <w:sz w:val="24"/>
          <w:szCs w:val="24"/>
        </w:rPr>
        <w:t>o</w:t>
      </w:r>
      <w:r w:rsidR="009903F9" w:rsidRPr="00136E31">
        <w:rPr>
          <w:rFonts w:ascii="Cambria" w:hAnsi="Cambria"/>
          <w:sz w:val="24"/>
          <w:szCs w:val="24"/>
        </w:rPr>
        <w:t xml:space="preserve"> </w:t>
      </w:r>
      <w:r w:rsidR="00EF4BEA" w:rsidRPr="00136E31">
        <w:rPr>
          <w:rFonts w:ascii="Cambria" w:hAnsi="Cambria"/>
          <w:sz w:val="24"/>
          <w:szCs w:val="24"/>
        </w:rPr>
        <w:t>koksnes produkt</w:t>
      </w:r>
      <w:r w:rsidR="0070345D" w:rsidRPr="00136E31">
        <w:rPr>
          <w:rFonts w:ascii="Cambria" w:hAnsi="Cambria"/>
          <w:sz w:val="24"/>
          <w:szCs w:val="24"/>
        </w:rPr>
        <w:t>u</w:t>
      </w:r>
      <w:r w:rsidR="009903F9" w:rsidRPr="00136E31">
        <w:rPr>
          <w:rFonts w:ascii="Cambria" w:hAnsi="Cambria"/>
          <w:sz w:val="24"/>
          <w:szCs w:val="24"/>
        </w:rPr>
        <w:t xml:space="preserve"> </w:t>
      </w:r>
      <w:r w:rsidR="0096428A" w:rsidRPr="00136E31">
        <w:rPr>
          <w:rFonts w:ascii="Cambria" w:hAnsi="Cambria"/>
          <w:sz w:val="24"/>
          <w:szCs w:val="24"/>
        </w:rPr>
        <w:t>apjoma</w:t>
      </w:r>
      <w:r w:rsidR="00EF4BEA" w:rsidRPr="00136E31">
        <w:rPr>
          <w:rFonts w:ascii="Cambria" w:hAnsi="Cambria"/>
          <w:sz w:val="24"/>
          <w:szCs w:val="24"/>
        </w:rPr>
        <w:t xml:space="preserve"> </w:t>
      </w:r>
      <w:r w:rsidR="00630778" w:rsidRPr="00136E31">
        <w:rPr>
          <w:rFonts w:ascii="Cambria" w:hAnsi="Cambria"/>
          <w:sz w:val="24"/>
          <w:szCs w:val="24"/>
        </w:rPr>
        <w:t xml:space="preserve">samazinājuma </w:t>
      </w:r>
      <w:r w:rsidR="00EF4BEA" w:rsidRPr="00136E31">
        <w:rPr>
          <w:rFonts w:ascii="Cambria" w:hAnsi="Cambria"/>
          <w:sz w:val="24"/>
          <w:szCs w:val="24"/>
        </w:rPr>
        <w:t>dēļ</w:t>
      </w:r>
      <w:r w:rsidR="00906C6C" w:rsidRPr="00136E31">
        <w:rPr>
          <w:rFonts w:ascii="Cambria" w:hAnsi="Cambria"/>
          <w:sz w:val="24"/>
          <w:szCs w:val="24"/>
        </w:rPr>
        <w:t xml:space="preserve">. Tam būtu arī tieša negatīva ietekme uz enerģētikas nozari, kur biomasa ir </w:t>
      </w:r>
      <w:r w:rsidR="004B7E32" w:rsidRPr="00136E31">
        <w:rPr>
          <w:rFonts w:ascii="Cambria" w:hAnsi="Cambria"/>
          <w:sz w:val="24"/>
          <w:szCs w:val="24"/>
        </w:rPr>
        <w:t>nozīmīgs</w:t>
      </w:r>
      <w:r w:rsidR="00906C6C" w:rsidRPr="00136E31">
        <w:rPr>
          <w:rFonts w:ascii="Cambria" w:hAnsi="Cambria"/>
          <w:sz w:val="24"/>
          <w:szCs w:val="24"/>
        </w:rPr>
        <w:t xml:space="preserve"> atjaunojamās enerģijas avots.</w:t>
      </w:r>
    </w:p>
    <w:p w14:paraId="2A3BD60C" w14:textId="7B4B035E"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Izvērtējot iesniegto SEG emisiju prognožu datus (08.08.2024.) WAM scenārijā pret indikatīvo ZIZIMM mērķi 2030.</w:t>
      </w:r>
      <w:r w:rsidR="00AC022A">
        <w:rPr>
          <w:rFonts w:ascii="Cambria" w:hAnsi="Cambria"/>
          <w:sz w:val="24"/>
          <w:szCs w:val="24"/>
        </w:rPr>
        <w:t xml:space="preserve"> </w:t>
      </w:r>
      <w:r w:rsidRPr="5B9FE7F0">
        <w:rPr>
          <w:rFonts w:ascii="Cambria" w:hAnsi="Cambria"/>
          <w:sz w:val="24"/>
          <w:szCs w:val="24"/>
        </w:rPr>
        <w:t>gadā (pēc 2024.</w:t>
      </w:r>
      <w:r w:rsidR="00AC022A">
        <w:rPr>
          <w:rFonts w:ascii="Cambria" w:hAnsi="Cambria"/>
          <w:sz w:val="24"/>
          <w:szCs w:val="24"/>
        </w:rPr>
        <w:t xml:space="preserve"> </w:t>
      </w:r>
      <w:r w:rsidRPr="5B9FE7F0">
        <w:rPr>
          <w:rFonts w:ascii="Cambria" w:hAnsi="Cambria"/>
          <w:sz w:val="24"/>
          <w:szCs w:val="24"/>
        </w:rPr>
        <w:t>gada SEG inventarizācijas datiem)  secināms, ka ZIZIMM sektorā ir iztrūkums 5124,54 kt CO</w:t>
      </w:r>
      <w:r w:rsidRPr="5B9FE7F0">
        <w:rPr>
          <w:rFonts w:ascii="Cambria" w:hAnsi="Cambria"/>
          <w:sz w:val="24"/>
          <w:szCs w:val="24"/>
          <w:vertAlign w:val="subscript"/>
        </w:rPr>
        <w:t>2</w:t>
      </w:r>
      <w:r w:rsidRPr="5B9FE7F0">
        <w:rPr>
          <w:rFonts w:ascii="Cambria" w:hAnsi="Cambria"/>
          <w:sz w:val="24"/>
          <w:szCs w:val="24"/>
        </w:rPr>
        <w:t xml:space="preserve"> ekv. pret noteikto indikatīvo sektorālo mērķi 2030. gadā. Jāuzsver, ka riski SEG emisiju samazināšanai/CO</w:t>
      </w:r>
      <w:r w:rsidRPr="5B9FE7F0">
        <w:rPr>
          <w:rFonts w:ascii="Cambria" w:hAnsi="Cambria"/>
          <w:sz w:val="24"/>
          <w:szCs w:val="24"/>
          <w:vertAlign w:val="subscript"/>
        </w:rPr>
        <w:t>2</w:t>
      </w:r>
      <w:r w:rsidRPr="5B9FE7F0">
        <w:rPr>
          <w:rFonts w:ascii="Cambria" w:hAnsi="Cambria"/>
          <w:sz w:val="24"/>
          <w:szCs w:val="24"/>
        </w:rPr>
        <w:t xml:space="preserve"> piesaistes </w:t>
      </w:r>
      <w:r w:rsidRPr="5B9FE7F0">
        <w:rPr>
          <w:rFonts w:ascii="Cambria" w:hAnsi="Cambria"/>
          <w:sz w:val="24"/>
          <w:szCs w:val="24"/>
        </w:rPr>
        <w:lastRenderedPageBreak/>
        <w:t>palielināšanai noteiktā indikatīvā mērķa vērtības sasniegšanā netiek novēroti pie nosacījuma, ja nozaru ministrijas un citas iesaistītās puses ievieš gan WAM, gan NEKP Mērķu scenārija pasākumus un politikas.</w:t>
      </w:r>
      <w:r w:rsidR="2B56BEBE" w:rsidRPr="5B9FE7F0">
        <w:rPr>
          <w:rFonts w:ascii="Cambria" w:hAnsi="Cambria"/>
          <w:sz w:val="24"/>
          <w:szCs w:val="24"/>
        </w:rPr>
        <w:t xml:space="preserve"> Liela nozīmē būs tam kā izdosies iedzīvināt vienotu Eiropas Savienības oglekļa piesaistes tirgu.</w:t>
      </w:r>
    </w:p>
    <w:p w14:paraId="548F641F" w14:textId="77777777" w:rsidR="003E6EAD" w:rsidRDefault="003A4514">
      <w:pPr>
        <w:spacing w:before="120" w:after="120" w:line="240" w:lineRule="auto"/>
        <w:ind w:firstLine="567"/>
        <w:jc w:val="both"/>
      </w:pPr>
      <w:r>
        <w:rPr>
          <w:rFonts w:ascii="Cambria" w:hAnsi="Cambria"/>
          <w:bCs/>
          <w:sz w:val="24"/>
          <w:szCs w:val="24"/>
        </w:rPr>
        <w:t xml:space="preserve"> </w:t>
      </w:r>
      <w:r>
        <w:rPr>
          <w:rFonts w:ascii="Cambria" w:hAnsi="Cambria"/>
          <w:sz w:val="24"/>
          <w:szCs w:val="24"/>
        </w:rPr>
        <w:t>Latvijai ir aktīvi jāstrādā pie atjaunotajā NEKP iekļauto ZIZIMM Mērķu scenārija pasākumu īstenošanas, lai nodrošinātu, ka Latvija virzās uz ZIZIMM mērķu izpildi.</w:t>
      </w:r>
    </w:p>
    <w:p w14:paraId="1C00EA55" w14:textId="77777777" w:rsidR="003E6EAD" w:rsidRDefault="003E6EAD">
      <w:pPr>
        <w:spacing w:before="120" w:after="120" w:line="240" w:lineRule="auto"/>
        <w:ind w:firstLine="567"/>
        <w:jc w:val="both"/>
        <w:rPr>
          <w:rFonts w:ascii="Cambria" w:hAnsi="Cambria"/>
          <w:sz w:val="24"/>
          <w:szCs w:val="24"/>
        </w:rPr>
      </w:pPr>
    </w:p>
    <w:p w14:paraId="6A2A7606" w14:textId="77777777" w:rsidR="003E6EAD" w:rsidRDefault="003A4514">
      <w:pPr>
        <w:pStyle w:val="Heading2"/>
        <w:numPr>
          <w:ilvl w:val="0"/>
          <w:numId w:val="11"/>
        </w:numPr>
        <w:spacing w:before="120" w:after="120" w:line="240" w:lineRule="auto"/>
        <w:jc w:val="both"/>
      </w:pPr>
      <w:bookmarkStart w:id="42" w:name="_Toc185319501"/>
      <w:bookmarkStart w:id="43" w:name="_Toc190952420"/>
      <w:r>
        <w:rPr>
          <w:rFonts w:ascii="Cambria" w:eastAsia="Yu Gothic" w:hAnsi="Cambria" w:cs="Arial"/>
          <w:b/>
          <w:bCs/>
          <w:caps/>
          <w:color w:val="155452"/>
          <w:sz w:val="28"/>
          <w:szCs w:val="28"/>
        </w:rPr>
        <w:t>Saistību izpildes novērtējums līdz 2050. gadam</w:t>
      </w:r>
      <w:bookmarkEnd w:id="42"/>
      <w:bookmarkEnd w:id="43"/>
    </w:p>
    <w:p w14:paraId="79FEB864" w14:textId="11470ED3" w:rsidR="003E6EAD" w:rsidRDefault="003A4514" w:rsidP="5B9FE7F0">
      <w:pPr>
        <w:spacing w:line="240" w:lineRule="auto"/>
        <w:ind w:firstLine="403"/>
        <w:jc w:val="both"/>
        <w:rPr>
          <w:rFonts w:ascii="Cambria" w:hAnsi="Cambria"/>
          <w:sz w:val="24"/>
          <w:szCs w:val="24"/>
        </w:rPr>
      </w:pPr>
      <w:r w:rsidRPr="5B9FE7F0">
        <w:rPr>
          <w:rFonts w:ascii="Cambria" w:hAnsi="Cambria"/>
          <w:sz w:val="24"/>
          <w:szCs w:val="24"/>
        </w:rPr>
        <w:t xml:space="preserve">Saskaņā ar 2024. gadā atjaunoto 2023. gada integrēto ziņojumu par politikām, pasākumiem un SEG prognožu datiem Latvija saskaras ar izaicinājumiem ceļā uz klimatneitralitāti līdz 2050. gadam, skatīt </w:t>
      </w:r>
      <w:r w:rsidR="004B0114">
        <w:rPr>
          <w:rFonts w:ascii="Cambria" w:hAnsi="Cambria"/>
          <w:sz w:val="24"/>
          <w:szCs w:val="24"/>
        </w:rPr>
        <w:t>8</w:t>
      </w:r>
      <w:r w:rsidRPr="5B9FE7F0">
        <w:rPr>
          <w:rFonts w:ascii="Cambria" w:hAnsi="Cambria"/>
          <w:sz w:val="24"/>
          <w:szCs w:val="24"/>
        </w:rPr>
        <w:t>. attēlu</w:t>
      </w:r>
      <w:r w:rsidRPr="5B9FE7F0">
        <w:rPr>
          <w:rStyle w:val="FootnoteReference"/>
          <w:rFonts w:ascii="Cambria" w:hAnsi="Cambria"/>
          <w:sz w:val="24"/>
          <w:szCs w:val="24"/>
        </w:rPr>
        <w:footnoteReference w:id="81"/>
      </w:r>
      <w:r w:rsidRPr="5B9FE7F0">
        <w:rPr>
          <w:rFonts w:ascii="Cambria" w:hAnsi="Cambria"/>
          <w:sz w:val="24"/>
          <w:szCs w:val="24"/>
        </w:rPr>
        <w:t>. Tomēr 2030. gada NEKP Mērķu scenārija ietvaros noteiktie starpposma mērķi tiks īstenoti un sniegs ieguldījumu ceļā uz klimatneitralitāti.</w:t>
      </w:r>
    </w:p>
    <w:p w14:paraId="3BF4C9F7" w14:textId="796C03D0" w:rsidR="003E6EAD" w:rsidRDefault="003E6EAD"/>
    <w:p w14:paraId="1B23966A" w14:textId="685F9CAD" w:rsidR="001C266A" w:rsidRDefault="001C266A">
      <w:r>
        <w:rPr>
          <w:noProof/>
        </w:rPr>
        <w:drawing>
          <wp:inline distT="0" distB="0" distL="0" distR="0" wp14:anchorId="370A8160" wp14:editId="6489CD39">
            <wp:extent cx="5760085" cy="3224530"/>
            <wp:effectExtent l="0" t="0" r="12065" b="13970"/>
            <wp:docPr id="2105567871" name="Chart 1">
              <a:extLst xmlns:a="http://schemas.openxmlformats.org/drawingml/2006/main">
                <a:ext uri="{FF2B5EF4-FFF2-40B4-BE49-F238E27FC236}">
                  <a16:creationId xmlns:a16="http://schemas.microsoft.com/office/drawing/2014/main" id="{0C04E58B-F727-4DD6-8259-470CBDDFC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8F4E977" w14:textId="77777777" w:rsidR="003E6EAD" w:rsidRDefault="003A4514" w:rsidP="5B9FE7F0">
      <w:pPr>
        <w:ind w:left="360"/>
        <w:jc w:val="center"/>
        <w:rPr>
          <w:rFonts w:ascii="Cambria" w:hAnsi="Cambria"/>
          <w:b/>
          <w:bCs/>
        </w:rPr>
      </w:pPr>
      <w:r w:rsidRPr="5B9FE7F0">
        <w:rPr>
          <w:rFonts w:ascii="Cambria" w:hAnsi="Cambria"/>
          <w:b/>
          <w:bCs/>
        </w:rPr>
        <w:t>8. attēls. Kopējās SEG emisijas sektoru griezumā saskaņā ar WAM scenāriju līdz 2050. gadam, kt CO</w:t>
      </w:r>
      <w:r w:rsidRPr="5B9FE7F0">
        <w:rPr>
          <w:rFonts w:ascii="Cambria" w:hAnsi="Cambria"/>
          <w:b/>
          <w:bCs/>
          <w:vertAlign w:val="subscript"/>
        </w:rPr>
        <w:t>2</w:t>
      </w:r>
      <w:r w:rsidRPr="5B9FE7F0">
        <w:rPr>
          <w:rFonts w:ascii="Cambria" w:hAnsi="Cambria"/>
          <w:b/>
          <w:bCs/>
        </w:rPr>
        <w:t xml:space="preserve"> ekv.</w:t>
      </w:r>
    </w:p>
    <w:p w14:paraId="26AD40D1" w14:textId="4AA6E94B" w:rsidR="003E6EAD" w:rsidRDefault="003A4514" w:rsidP="00833214">
      <w:pPr>
        <w:spacing w:line="240" w:lineRule="auto"/>
        <w:ind w:firstLine="403"/>
        <w:jc w:val="both"/>
        <w:rPr>
          <w:rFonts w:ascii="Cambria" w:hAnsi="Cambria"/>
          <w:sz w:val="24"/>
          <w:szCs w:val="24"/>
        </w:rPr>
      </w:pPr>
      <w:r w:rsidRPr="5B9FE7F0">
        <w:rPr>
          <w:rFonts w:ascii="Cambria" w:hAnsi="Cambria"/>
          <w:sz w:val="24"/>
          <w:szCs w:val="24"/>
        </w:rPr>
        <w:t>Lai Latvija sasniegtu klimatneitralitāti līdz 2050. gadam, ir nepieciešams veikt virkni stratēģisku un koordinētu rīcību vairākās jomās, piemēram, enerģētikas sektora dekarbonizācija, izmantot precīzo lauksaimniecību, palielināt oglekļa piesaisti, palielinot mežu apjomu</w:t>
      </w:r>
      <w:r w:rsidR="00833214">
        <w:rPr>
          <w:rFonts w:ascii="Cambria" w:hAnsi="Cambria"/>
          <w:sz w:val="24"/>
          <w:szCs w:val="24"/>
        </w:rPr>
        <w:t>, tādā veidā palielinot arī bioloģisko daudzveidību</w:t>
      </w:r>
      <w:r w:rsidRPr="007A0241">
        <w:rPr>
          <w:rFonts w:ascii="Cambria" w:hAnsi="Cambria"/>
          <w:sz w:val="24"/>
          <w:szCs w:val="24"/>
        </w:rPr>
        <w:t>,</w:t>
      </w:r>
      <w:r w:rsidRPr="5B9FE7F0">
        <w:rPr>
          <w:rFonts w:ascii="Cambria" w:hAnsi="Cambria"/>
          <w:sz w:val="24"/>
          <w:szCs w:val="24"/>
        </w:rPr>
        <w:t xml:space="preserve"> veicināt aprites ekonomiku, investēt pētniecībā un attīstīt jaunas tehnoloģijas, kas samazina oglekļa emisijas</w:t>
      </w:r>
      <w:r w:rsidR="2B56BEBE" w:rsidRPr="5B9FE7F0">
        <w:rPr>
          <w:rFonts w:ascii="Cambria" w:hAnsi="Cambria"/>
          <w:sz w:val="24"/>
          <w:szCs w:val="24"/>
        </w:rPr>
        <w:t xml:space="preserve"> vai piesaista CO</w:t>
      </w:r>
      <w:r w:rsidR="2B56BEBE" w:rsidRPr="5B9FE7F0">
        <w:rPr>
          <w:rFonts w:ascii="Cambria" w:hAnsi="Cambria"/>
          <w:sz w:val="24"/>
          <w:szCs w:val="24"/>
          <w:vertAlign w:val="subscript"/>
        </w:rPr>
        <w:t>2</w:t>
      </w:r>
      <w:r w:rsidRPr="5B9FE7F0">
        <w:rPr>
          <w:rFonts w:ascii="Cambria" w:hAnsi="Cambria"/>
          <w:sz w:val="24"/>
          <w:szCs w:val="24"/>
        </w:rPr>
        <w:t xml:space="preserve">, optimizēt resursu izmantošanu, izmantojot digitālos risinājumus, ilgtspējīgu investīciju veicināšana, izglītība un sabiedrības iesaiste. </w:t>
      </w:r>
    </w:p>
    <w:p w14:paraId="5F9C4972" w14:textId="6A59CD29" w:rsidR="003E6EAD" w:rsidRDefault="003A4514" w:rsidP="008C3727">
      <w:pPr>
        <w:pStyle w:val="Heading1"/>
        <w:numPr>
          <w:ilvl w:val="0"/>
          <w:numId w:val="13"/>
        </w:numPr>
        <w:rPr>
          <w:rFonts w:ascii="Cambria" w:hAnsi="Cambria"/>
          <w:b/>
          <w:bCs/>
          <w:caps/>
          <w:color w:val="19574D"/>
          <w:sz w:val="28"/>
          <w:szCs w:val="28"/>
        </w:rPr>
      </w:pPr>
      <w:bookmarkStart w:id="44" w:name="_Toc185319502"/>
      <w:bookmarkStart w:id="45" w:name="_Toc190952421"/>
      <w:r>
        <w:rPr>
          <w:rFonts w:ascii="Cambria" w:hAnsi="Cambria"/>
          <w:b/>
          <w:bCs/>
          <w:caps/>
          <w:color w:val="19574D"/>
          <w:sz w:val="28"/>
          <w:szCs w:val="28"/>
        </w:rPr>
        <w:lastRenderedPageBreak/>
        <w:t>LATVIJAS IESPĒJAS VEIKT DARĪJUMUS AR VALSTS ĪPAŠUMĀ ESOŠAJĀM GES VIENĪBĀM UN PIESAISTES VIENĪBĀM</w:t>
      </w:r>
      <w:bookmarkEnd w:id="44"/>
      <w:bookmarkEnd w:id="45"/>
    </w:p>
    <w:p w14:paraId="54776BD7" w14:textId="4913B242" w:rsidR="003E6EAD" w:rsidRDefault="003A4514" w:rsidP="006C05B4">
      <w:pPr>
        <w:pStyle w:val="Heading2"/>
        <w:numPr>
          <w:ilvl w:val="1"/>
          <w:numId w:val="24"/>
        </w:numPr>
        <w:spacing w:before="120" w:after="120" w:line="240" w:lineRule="auto"/>
        <w:jc w:val="both"/>
      </w:pPr>
      <w:bookmarkStart w:id="46" w:name="_Toc185319503"/>
      <w:bookmarkStart w:id="47" w:name="_Toc190952422"/>
      <w:r>
        <w:rPr>
          <w:rFonts w:ascii="Cambria" w:eastAsia="Yu Gothic" w:hAnsi="Cambria" w:cs="Arial"/>
          <w:b/>
          <w:bCs/>
          <w:color w:val="155452"/>
          <w:sz w:val="24"/>
          <w:szCs w:val="24"/>
        </w:rPr>
        <w:t>SEG emisiju samazināšanas un CO</w:t>
      </w:r>
      <w:r>
        <w:rPr>
          <w:rFonts w:ascii="Cambria" w:eastAsia="Yu Gothic" w:hAnsi="Cambria" w:cs="Arial"/>
          <w:b/>
          <w:bCs/>
          <w:color w:val="155452"/>
          <w:sz w:val="24"/>
          <w:szCs w:val="24"/>
          <w:vertAlign w:val="subscript"/>
        </w:rPr>
        <w:t>2</w:t>
      </w:r>
      <w:r>
        <w:rPr>
          <w:rFonts w:ascii="Cambria" w:eastAsia="Yu Gothic" w:hAnsi="Cambria" w:cs="Arial"/>
          <w:b/>
          <w:bCs/>
          <w:color w:val="155452"/>
          <w:sz w:val="24"/>
          <w:szCs w:val="24"/>
        </w:rPr>
        <w:t xml:space="preserve"> piesaistes mērķu izpildei pieejamās vienības un to pārvaldība</w:t>
      </w:r>
      <w:bookmarkEnd w:id="46"/>
      <w:bookmarkEnd w:id="47"/>
    </w:p>
    <w:p w14:paraId="0470F991" w14:textId="0A83E5A8" w:rsidR="003E6EAD" w:rsidRDefault="003A4514" w:rsidP="5B9FE7F0">
      <w:pPr>
        <w:pStyle w:val="ListParagraph"/>
        <w:spacing w:before="120" w:after="120" w:line="240" w:lineRule="auto"/>
        <w:ind w:left="0" w:firstLine="567"/>
        <w:jc w:val="both"/>
        <w:rPr>
          <w:rFonts w:ascii="Cambria" w:hAnsi="Cambria"/>
          <w:sz w:val="24"/>
          <w:szCs w:val="24"/>
        </w:rPr>
      </w:pPr>
      <w:r w:rsidRPr="5B9FE7F0">
        <w:rPr>
          <w:rFonts w:ascii="Cambria" w:hAnsi="Cambria"/>
          <w:sz w:val="24"/>
          <w:szCs w:val="24"/>
        </w:rPr>
        <w:t xml:space="preserve">Lai nodrošinātu vienotu sistēmu darbībām ar GES vienībām, atbilstoši </w:t>
      </w:r>
      <w:r w:rsidR="00EC171A">
        <w:rPr>
          <w:rFonts w:ascii="Cambria" w:hAnsi="Cambria"/>
          <w:i/>
          <w:iCs/>
          <w:sz w:val="24"/>
          <w:szCs w:val="24"/>
        </w:rPr>
        <w:t>EK</w:t>
      </w:r>
      <w:r w:rsidRPr="5B9FE7F0">
        <w:rPr>
          <w:rFonts w:ascii="Cambria" w:hAnsi="Cambria"/>
          <w:i/>
          <w:iCs/>
          <w:sz w:val="24"/>
          <w:szCs w:val="24"/>
        </w:rPr>
        <w:t xml:space="preserve"> 2013. gada 2. maija Regulai Nr. 389/2013, ar ko izveido Savienības reģistru saskaņā ar Eiropas Parlamenta un Padomes Direktīvu 2003/87/EK un Eiropas Parlamenta un Padomes Lēmumu Nr. 280/2004/EK un Lēmumu Nr. 406/2009/EK un atceļ Komisijas Regulu (ES) Nr. 920/2010 un Regulu (ES) Nr. 1193/2011</w:t>
      </w:r>
      <w:r w:rsidRPr="5B9FE7F0">
        <w:rPr>
          <w:rFonts w:ascii="Cambria" w:hAnsi="Cambria"/>
          <w:sz w:val="24"/>
          <w:szCs w:val="24"/>
        </w:rPr>
        <w:t xml:space="preserve"> un </w:t>
      </w:r>
      <w:r w:rsidR="0066047D">
        <w:rPr>
          <w:rFonts w:ascii="Cambria" w:hAnsi="Cambria"/>
          <w:i/>
          <w:iCs/>
          <w:sz w:val="24"/>
          <w:szCs w:val="24"/>
        </w:rPr>
        <w:t>EK</w:t>
      </w:r>
      <w:r w:rsidR="0066047D" w:rsidRPr="5B9FE7F0">
        <w:rPr>
          <w:rFonts w:ascii="Cambria" w:hAnsi="Cambria"/>
          <w:i/>
          <w:iCs/>
          <w:sz w:val="24"/>
          <w:szCs w:val="24"/>
        </w:rPr>
        <w:t xml:space="preserve"> </w:t>
      </w:r>
      <w:r w:rsidRPr="5B9FE7F0">
        <w:rPr>
          <w:rFonts w:ascii="Cambria" w:hAnsi="Cambria"/>
          <w:i/>
          <w:iCs/>
          <w:sz w:val="24"/>
          <w:szCs w:val="24"/>
        </w:rPr>
        <w:t>2019. gada 12. marta Deleģētajai regulai (ES) 2019/1122, ar ko attiecībā uz Savienības reģistra darbību papildina Eiropas Parlamenta un Padomes Direktīvu 2003/87/EK</w:t>
      </w:r>
      <w:r w:rsidRPr="5B9FE7F0">
        <w:rPr>
          <w:rFonts w:ascii="Cambria" w:hAnsi="Cambria"/>
          <w:sz w:val="24"/>
          <w:szCs w:val="24"/>
        </w:rPr>
        <w:t xml:space="preserve"> (turpmāk – Deleģētā regula 2019/1122) ir izveidots Savienības reģistrs (</w:t>
      </w:r>
      <w:r w:rsidRPr="5B9FE7F0">
        <w:rPr>
          <w:rFonts w:ascii="Cambria" w:hAnsi="Cambria"/>
          <w:i/>
          <w:iCs/>
          <w:sz w:val="24"/>
          <w:szCs w:val="24"/>
        </w:rPr>
        <w:t>Union Registry</w:t>
      </w:r>
      <w:r w:rsidRPr="5B9FE7F0">
        <w:rPr>
          <w:rFonts w:ascii="Cambria" w:hAnsi="Cambria"/>
          <w:sz w:val="24"/>
          <w:szCs w:val="24"/>
        </w:rPr>
        <w:t>). Atbilstoši Deleģētās regulas 2019/1122 3. panta 24. punktam GES vienība ir saskaņā ar Regulas 2018/842  4. panta 3. punktu un 10. pantu noteiktā dalībvalsts ikgadējā emisiju iedales apjoma daļa, kas atbilst vienai tonnai CO</w:t>
      </w:r>
      <w:r w:rsidRPr="5B9FE7F0">
        <w:rPr>
          <w:rFonts w:ascii="Cambria" w:hAnsi="Cambria"/>
          <w:sz w:val="24"/>
          <w:szCs w:val="24"/>
          <w:vertAlign w:val="subscript"/>
        </w:rPr>
        <w:t>2</w:t>
      </w:r>
      <w:r w:rsidRPr="5B9FE7F0">
        <w:rPr>
          <w:rFonts w:ascii="Cambria" w:hAnsi="Cambria"/>
          <w:sz w:val="24"/>
          <w:szCs w:val="24"/>
        </w:rPr>
        <w:t xml:space="preserve"> ekvivalenta. Savienības reģistrā ES dalībvalstis pārvalda 10 atbilstības kontus – katrai ES dalībvalstij katram gadam laika posmā no 2021. gada līdz 2030. gadam ir izveidots savs atbilstības konts. Atbilstības kontu administrators ir centrālais administrators, kas atbilstoši Deleģētās regulas 2019/1122 3. panta pirmajam apakšpunktam ir persona, ko iecēlusi Komisija saskaņā ar </w:t>
      </w:r>
      <w:r w:rsidR="0045026B">
        <w:rPr>
          <w:rFonts w:ascii="Cambria" w:hAnsi="Cambria"/>
          <w:sz w:val="24"/>
          <w:szCs w:val="24"/>
        </w:rPr>
        <w:t xml:space="preserve">Direktīvas 2003/87 </w:t>
      </w:r>
      <w:r w:rsidRPr="5B9FE7F0">
        <w:rPr>
          <w:rFonts w:ascii="Cambria" w:hAnsi="Cambria"/>
          <w:sz w:val="24"/>
          <w:szCs w:val="24"/>
        </w:rPr>
        <w:t>20. pantu, savukārt ar lēmumu (ES) 2023/1319 Latvijai ikgadēji piešķirtās un atbilstības kontos nodrošinātās GES vienības ir valsts īpašums, kura tiesiskais valdītājs ir KEM. Ikgadējos GES apjomus ES dalībvalstu kontos ieskaita centrālais administrators, savukārt ES dalībvalstīm ir pienākums katra gada atbilstības kontā nodrošināt tādu GES vienību skaitu, kas atbilst attiecīgās ES dalībvalsts SEG emisijām Regulas 2018/842 aptvertajos sektoros.</w:t>
      </w:r>
    </w:p>
    <w:p w14:paraId="7D22D6B6" w14:textId="78ECD845" w:rsidR="003E6EAD" w:rsidRDefault="003A4514">
      <w:pPr>
        <w:pStyle w:val="ListParagraph"/>
        <w:spacing w:before="120" w:after="120" w:line="240" w:lineRule="auto"/>
        <w:ind w:left="0" w:firstLine="567"/>
        <w:contextualSpacing w:val="0"/>
        <w:jc w:val="both"/>
        <w:rPr>
          <w:rFonts w:ascii="Cambria" w:hAnsi="Cambria"/>
          <w:sz w:val="24"/>
          <w:szCs w:val="24"/>
        </w:rPr>
      </w:pPr>
      <w:r>
        <w:rPr>
          <w:rFonts w:ascii="Cambria" w:hAnsi="Cambria"/>
          <w:sz w:val="24"/>
          <w:szCs w:val="24"/>
        </w:rPr>
        <w:t xml:space="preserve">Attiecībā uz piesaistes vienībām, uz </w:t>
      </w:r>
      <w:r w:rsidR="006A2BC1">
        <w:rPr>
          <w:rFonts w:ascii="Cambria" w:hAnsi="Cambria"/>
          <w:sz w:val="24"/>
          <w:szCs w:val="24"/>
        </w:rPr>
        <w:t>I</w:t>
      </w:r>
      <w:r>
        <w:rPr>
          <w:rFonts w:ascii="Cambria" w:hAnsi="Cambria"/>
          <w:sz w:val="24"/>
          <w:szCs w:val="24"/>
        </w:rPr>
        <w:t>nformatīvā ziņojuma izstrādes brīdi Deleģētajā regulā 2019/1122 nav atrunāta piesaistes vienību definīcija, tāpat nav noteikta piesaistes vienību pārvaldības kārtība Savienības reģistrā. Šobrīd EK ir nepieciešams veikt grozījumus Deleģētajā regulā 2019/1122, lai izveidotu normatīvo regulējumu darbībām ar piesaistes vienībām, ko nosaka Regula 2018/841</w:t>
      </w:r>
      <w:r w:rsidR="001814F1">
        <w:rPr>
          <w:rFonts w:ascii="Cambria" w:hAnsi="Cambria"/>
          <w:sz w:val="24"/>
          <w:szCs w:val="24"/>
        </w:rPr>
        <w:t>.</w:t>
      </w:r>
    </w:p>
    <w:p w14:paraId="3C93F64F" w14:textId="77777777" w:rsidR="003E6EAD" w:rsidRDefault="003E6EAD">
      <w:pPr>
        <w:spacing w:before="120" w:after="120" w:line="240" w:lineRule="auto"/>
        <w:jc w:val="both"/>
        <w:rPr>
          <w:rFonts w:ascii="Cambria" w:hAnsi="Cambria"/>
          <w:sz w:val="24"/>
          <w:szCs w:val="24"/>
        </w:rPr>
      </w:pPr>
    </w:p>
    <w:p w14:paraId="135D07A6" w14:textId="0DAB97BA" w:rsidR="003E6EAD" w:rsidRDefault="003A4514" w:rsidP="00CA29F9">
      <w:pPr>
        <w:pStyle w:val="Heading2"/>
        <w:numPr>
          <w:ilvl w:val="1"/>
          <w:numId w:val="24"/>
        </w:numPr>
        <w:spacing w:before="120" w:after="120" w:line="240" w:lineRule="auto"/>
        <w:jc w:val="both"/>
        <w:rPr>
          <w:rFonts w:ascii="Cambria" w:eastAsia="Yu Gothic" w:hAnsi="Cambria" w:cs="Arial"/>
          <w:b/>
          <w:bCs/>
          <w:color w:val="155452"/>
          <w:sz w:val="24"/>
          <w:szCs w:val="24"/>
        </w:rPr>
      </w:pPr>
      <w:bookmarkStart w:id="48" w:name="_Toc185319504"/>
      <w:bookmarkStart w:id="49" w:name="_Toc190952423"/>
      <w:r>
        <w:rPr>
          <w:rFonts w:ascii="Cambria" w:eastAsia="Yu Gothic" w:hAnsi="Cambria" w:cs="Arial"/>
          <w:b/>
          <w:bCs/>
          <w:color w:val="155452"/>
          <w:sz w:val="24"/>
          <w:szCs w:val="24"/>
        </w:rPr>
        <w:t>Emisijas vienību tirgus un potenciālo darījumu partneru identificēšana</w:t>
      </w:r>
      <w:bookmarkEnd w:id="48"/>
      <w:bookmarkEnd w:id="49"/>
    </w:p>
    <w:p w14:paraId="72FB21B3" w14:textId="0DE526E7" w:rsidR="003E6EAD" w:rsidRDefault="003A4514" w:rsidP="00CA29F9">
      <w:pPr>
        <w:pStyle w:val="Heading2"/>
        <w:numPr>
          <w:ilvl w:val="2"/>
          <w:numId w:val="24"/>
        </w:numPr>
        <w:spacing w:before="120" w:after="120" w:line="240" w:lineRule="auto"/>
        <w:jc w:val="both"/>
        <w:rPr>
          <w:rFonts w:ascii="Cambria" w:eastAsia="Yu Gothic" w:hAnsi="Cambria" w:cs="Arial"/>
          <w:b/>
          <w:bCs/>
          <w:color w:val="155452"/>
          <w:sz w:val="24"/>
          <w:szCs w:val="24"/>
        </w:rPr>
      </w:pPr>
      <w:bookmarkStart w:id="50" w:name="_Toc185319505"/>
      <w:bookmarkStart w:id="51" w:name="_Toc190952424"/>
      <w:r>
        <w:rPr>
          <w:rFonts w:ascii="Cambria" w:eastAsia="Yu Gothic" w:hAnsi="Cambria" w:cs="Arial"/>
          <w:b/>
          <w:bCs/>
          <w:color w:val="155452"/>
          <w:sz w:val="24"/>
          <w:szCs w:val="24"/>
        </w:rPr>
        <w:t>GES vienību tirgus</w:t>
      </w:r>
      <w:bookmarkEnd w:id="50"/>
      <w:bookmarkEnd w:id="51"/>
    </w:p>
    <w:p w14:paraId="2748CB49" w14:textId="7F2E477A"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GES vienību tirgus ietvaros ES dalībvalstis, savstarpēji vienojoties par sadarbību ar GES vienību tirdzniecību, var veikt GES vienību pārskaitījumus, vienlaikus, ņemot vērā, ka EK īstenos SEG emisiju samazināšanas atbilstības pārbaudes 2027. un 2032. gadā, GES vienību tirgus 2021. līdz 2030. gada saistību izpildes periodā uz </w:t>
      </w:r>
      <w:r w:rsidR="006A2BC1">
        <w:rPr>
          <w:rFonts w:ascii="Cambria" w:hAnsi="Cambria"/>
          <w:sz w:val="24"/>
          <w:szCs w:val="24"/>
        </w:rPr>
        <w:t>I</w:t>
      </w:r>
      <w:r w:rsidRPr="5B9FE7F0">
        <w:rPr>
          <w:rFonts w:ascii="Cambria" w:hAnsi="Cambria"/>
          <w:sz w:val="24"/>
          <w:szCs w:val="24"/>
        </w:rPr>
        <w:t>nformatīvā ziņojuma izstrādes brīdi vēl nav aktīvs. Jāpiebilst, ka GES vienību tirgū nepastāv noteikta cena par GES vienību – vienošanās par cenu tiek panākta bilaterālo sarunu rezultātā. Papildus paredzams, ka laika posmā no 2021. līdz 2030. gadam dalībvalstis, kurām GES vienības būs jāiegādājas, ievērojami pārsniegs to dalībvalstu skaitu, kurām būs iespēja GES vienības pārdot, kas provizoriski var atstāt būtisku ietekmi</w:t>
      </w:r>
      <w:r w:rsidR="748BBC95" w:rsidRPr="5B9FE7F0">
        <w:rPr>
          <w:rFonts w:ascii="Cambria" w:hAnsi="Cambria"/>
          <w:sz w:val="24"/>
          <w:szCs w:val="24"/>
        </w:rPr>
        <w:t xml:space="preserve"> uz iegādes iespējām kā arī</w:t>
      </w:r>
      <w:r w:rsidRPr="5B9FE7F0">
        <w:rPr>
          <w:rFonts w:ascii="Cambria" w:hAnsi="Cambria"/>
          <w:sz w:val="24"/>
          <w:szCs w:val="24"/>
        </w:rPr>
        <w:t xml:space="preserve"> uz GES vienību cenu, to paaugstinot. Latvijai būs būtiski iesaistīties GES vienību tirgū neatkarīgi no tā, vai veidosies GES vienību pārpalikums vai iztrūkums – pie GES vienību pārpalikuma Latvijai, iesaistoties GES vienību tirgū, noslēgtu darījumu rezultātā būs iespējams gūt papildus finanšu resursus klimata pārmaiņu mazināšanas vai pielāgošanās </w:t>
      </w:r>
      <w:r w:rsidRPr="5B9FE7F0">
        <w:rPr>
          <w:rFonts w:ascii="Cambria" w:hAnsi="Cambria"/>
          <w:sz w:val="24"/>
          <w:szCs w:val="24"/>
        </w:rPr>
        <w:lastRenderedPageBreak/>
        <w:t>klimata pārmaiņām pasākumu īstenošanai, vai pretēji – pie GES vienību iztrūkuma – noslēgtu darījumu rezultātā nodrošināt noteikto GES mērķu izpildi.</w:t>
      </w:r>
    </w:p>
    <w:p w14:paraId="2EAB81B8"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Ja Latvijai būs nepieciešamība iesaistīties emisijas vienību tirgū, Latvijai būs jāspēj identificēt potenciālos darījumu partnerus jeb tās ES dalībvalstis, kurām izveidojies emisijas vienību iztrūkums vai pārpalikums (atkarībā no situācijas), un jāuzsāk sarunu procedūra par iespējamu emisijas vienību tirdzniecību. Bilaterālajās sarunās tiktu pārrunāti būtiskākie nosacījumi iespējamai darījuma par emisijas vienību tirdzniecību slēgšanai, tostarp, arī attiecībā uz emisijas vienību cenu. Ņemot vērā potenciāli augsto pieprasījumu, ES dalībvalstis, kurām būs izveidojies emisijas vienību (jo īpaši – GES vienību) pārpalikums, būs ieinteresētas tās realizēt par iespējami augstāku cenu, tādējādi emisijas vienību pircējvalstij – nepieciešamības gadījumā arī Latvijai, lai izpildītu prasību par obligātu mērķu izpildi, būs jāpielāgojas izvirzītajiem nosacījumiem, tostarp, arī attiecībā uz paaugstinātu emisijas vienību cenu.</w:t>
      </w:r>
    </w:p>
    <w:p w14:paraId="049C2D4A" w14:textId="191A3203"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Atsaucoties uz Eiropas Vides Aģentūras 2024. gada 31. oktobra ziņojumu “Tendences un prognozes Eiropā 2024” (</w:t>
      </w:r>
      <w:r w:rsidRPr="5B9FE7F0">
        <w:rPr>
          <w:rFonts w:ascii="Cambria" w:hAnsi="Cambria"/>
          <w:i/>
          <w:iCs/>
          <w:sz w:val="24"/>
          <w:szCs w:val="24"/>
        </w:rPr>
        <w:t>Trends and projections in Europe 2024</w:t>
      </w:r>
      <w:r w:rsidRPr="5B9FE7F0">
        <w:rPr>
          <w:rFonts w:ascii="Cambria" w:hAnsi="Cambria"/>
          <w:sz w:val="24"/>
          <w:szCs w:val="24"/>
        </w:rPr>
        <w:t>)</w:t>
      </w:r>
      <w:r w:rsidRPr="5B9FE7F0">
        <w:rPr>
          <w:rStyle w:val="FootnoteReference"/>
          <w:rFonts w:ascii="Cambria" w:hAnsi="Cambria"/>
          <w:sz w:val="24"/>
          <w:szCs w:val="24"/>
        </w:rPr>
        <w:footnoteReference w:id="82"/>
      </w:r>
      <w:r w:rsidRPr="5B9FE7F0">
        <w:rPr>
          <w:rFonts w:ascii="Cambria" w:hAnsi="Cambria"/>
          <w:sz w:val="24"/>
          <w:szCs w:val="24"/>
        </w:rPr>
        <w:t xml:space="preserve"> un saskaņā ar 2024. gada 31. oktobra EK ziņojumu Eiropas Parlamentam un Padomei “ES klimatrīcības progresa ziņojums” (</w:t>
      </w:r>
      <w:r w:rsidRPr="5B9FE7F0">
        <w:rPr>
          <w:rFonts w:ascii="Cambria" w:hAnsi="Cambria"/>
          <w:i/>
          <w:iCs/>
          <w:sz w:val="24"/>
          <w:szCs w:val="24"/>
        </w:rPr>
        <w:t>EU Climate Action Progress Report 2024)</w:t>
      </w:r>
      <w:r w:rsidRPr="5B9FE7F0">
        <w:rPr>
          <w:rStyle w:val="FootnoteReference"/>
          <w:rFonts w:ascii="Cambria" w:hAnsi="Cambria"/>
          <w:sz w:val="24"/>
          <w:szCs w:val="24"/>
        </w:rPr>
        <w:footnoteReference w:id="83"/>
      </w:r>
      <w:r w:rsidRPr="5B9FE7F0">
        <w:rPr>
          <w:rFonts w:ascii="Cambria" w:hAnsi="Cambria"/>
          <w:sz w:val="24"/>
          <w:szCs w:val="24"/>
        </w:rPr>
        <w:t xml:space="preserve">, saskaņā ar 2024. gada SEG inventarizāciju tika novērotas nelielas izmaiņas attiecībā uz Regulas 2018/842 aptverto sektoru emisijām 2021. gadā, kas rezultējās situācijā, kurā Austrijā un Dānijā iepriekš noteiktais GES vienību iztrūkums mainījās uz nelielu GES vienību pārpalikumu, savukārt 2022. gadā Regulas 2018/842 aptverto sektoru radītās SEG emisijas augstākas kā šim gadam noteiktie GES mērķi bijušas astoņās dalībvalstīs – Horvātijā, Kiprā, Ungārijā, Īrijā, Itālijā, Lietuvā, Maltā un Rumānijā, attiecīgi šīm dalībvalstīm potenciāli var būt nepieciešamība izmantot noteiktās elastības, lai nodrošinātu 2022. gadam noteikto GES mērķu izpildi. Trīs dalībvalstis, kurām saskaņā ar jaunāko SEG inventarizāciju 2021. gadā ir noteikts GES vienību iztrūkums (Kipra, Īrija un Itālija), uzrāda iztrūkumu arī 2022. gadā. EK sākotnējie dati attiecībā uz 2023. gadu liecina, ka visās dalībvalstīs, izņemot desmit (Kipru, Čehiju, Dāniju, Igauniju, Īriju, Itāliju, Lietuvu, Maltu, Poliju un Rumāniju) Regulas 2018/842 aptverto sektoru radītās SEG emisijas ir zem tām noteiktajiem GES mērķiem, attiecīgi, lai nodrošinātu saistību izpildi 2023. gada ietvaros, šīm dalībvalstīm provizoriski nebūs nepieciešams izmantot elastību iespējas. Islandes 2022. gada ne-ETS emisijas ir zem noteiktā GES mērķa šim gadam, savukārt Norvēģijā pārsniedz tai noteikto GES mērķi, un sākotnējās prognozes liecina, ka 2023. gadā situācija saglabājas līdzīga. </w:t>
      </w:r>
      <w:r w:rsidR="68F23CA5" w:rsidRPr="5B9FE7F0">
        <w:rPr>
          <w:rFonts w:ascii="Cambria" w:hAnsi="Cambria"/>
          <w:sz w:val="24"/>
          <w:szCs w:val="24"/>
        </w:rPr>
        <w:t>Šobrīd</w:t>
      </w:r>
      <w:r w:rsidRPr="5B9FE7F0">
        <w:rPr>
          <w:rFonts w:ascii="Cambria" w:hAnsi="Cambria"/>
          <w:sz w:val="24"/>
          <w:szCs w:val="24"/>
        </w:rPr>
        <w:t xml:space="preserve"> Latvijas gadījumā</w:t>
      </w:r>
      <w:r w:rsidR="748BBC95" w:rsidRPr="5B9FE7F0">
        <w:rPr>
          <w:rFonts w:ascii="Cambria" w:hAnsi="Cambria"/>
          <w:sz w:val="24"/>
          <w:szCs w:val="24"/>
        </w:rPr>
        <w:t xml:space="preserve"> novērojams</w:t>
      </w:r>
      <w:r w:rsidRPr="5B9FE7F0">
        <w:rPr>
          <w:rFonts w:ascii="Cambria" w:hAnsi="Cambria"/>
          <w:sz w:val="24"/>
          <w:szCs w:val="24"/>
        </w:rPr>
        <w:t xml:space="preserve"> GES vienību pārpalikums</w:t>
      </w:r>
      <w:r w:rsidR="6BF417B5" w:rsidRPr="5B9FE7F0">
        <w:rPr>
          <w:rFonts w:ascii="Cambria" w:hAnsi="Cambria"/>
          <w:sz w:val="24"/>
          <w:szCs w:val="24"/>
        </w:rPr>
        <w:t xml:space="preserve"> (pēc 2024.gada SEG inventarizācijas datiem)</w:t>
      </w:r>
      <w:r w:rsidRPr="5B9FE7F0">
        <w:rPr>
          <w:rFonts w:ascii="Cambria" w:hAnsi="Cambria"/>
          <w:sz w:val="24"/>
          <w:szCs w:val="24"/>
        </w:rPr>
        <w:t>. Notiek darbs pie stratēģijas izstrādes rīcībai ar gada emisiju sadales un piesaistes vienībām.</w:t>
      </w:r>
    </w:p>
    <w:p w14:paraId="76822142" w14:textId="77777777" w:rsidR="003E6EAD" w:rsidRDefault="003E6EAD">
      <w:pPr>
        <w:spacing w:before="120" w:after="120" w:line="240" w:lineRule="auto"/>
        <w:ind w:firstLine="567"/>
        <w:jc w:val="both"/>
        <w:rPr>
          <w:rFonts w:ascii="Cambria" w:hAnsi="Cambria"/>
          <w:sz w:val="24"/>
          <w:szCs w:val="24"/>
        </w:rPr>
      </w:pPr>
    </w:p>
    <w:p w14:paraId="7942D5B6" w14:textId="45C70C08" w:rsidR="003E6EAD" w:rsidRDefault="003A4514" w:rsidP="00CA29F9">
      <w:pPr>
        <w:pStyle w:val="Heading2"/>
        <w:numPr>
          <w:ilvl w:val="2"/>
          <w:numId w:val="24"/>
        </w:numPr>
        <w:spacing w:before="120" w:after="120" w:line="240" w:lineRule="auto"/>
        <w:jc w:val="both"/>
      </w:pPr>
      <w:bookmarkStart w:id="52" w:name="_Toc185319506"/>
      <w:bookmarkStart w:id="53" w:name="_Toc190952425"/>
      <w:r>
        <w:rPr>
          <w:rFonts w:ascii="Cambria" w:eastAsia="Yu Gothic" w:hAnsi="Cambria" w:cs="Arial"/>
          <w:b/>
          <w:bCs/>
          <w:color w:val="155452"/>
          <w:sz w:val="24"/>
          <w:szCs w:val="24"/>
        </w:rPr>
        <w:t>Piesaistes vienību tirgus</w:t>
      </w:r>
      <w:bookmarkEnd w:id="52"/>
      <w:bookmarkEnd w:id="53"/>
    </w:p>
    <w:p w14:paraId="140DA753" w14:textId="77777777"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ZIZIMM sektoram ir nozīmīga loma ES klimatneitralitātes sasniegšanā. Atbilstoši 2024. gadā iesniegtajai SEG emisiju inventarizācijai atsevišķās ES dalībvalstīs uzskaitītās SEG emisijas ZIZIMM sektorā būtiski pārsniegs uzskaitīto piesaisti – Francijā, Somijā un Čehijā, kas rada bažas par noteikto mērķu izpildi, ņemot vērā ierobežoto laika periodu, lai izstrādātu atbilstošu politiku un īstenotu papildus pasākumus šīs tendences mainīšanai.</w:t>
      </w:r>
    </w:p>
    <w:p w14:paraId="6AD8C689"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lastRenderedPageBreak/>
        <w:t>Papildus jāņem vērā, ka saskaņā ar Regulas 2018/842 9. panta 2. punktu, ja laika periodā no 2021. līdz 2025. gadam uzskaitītās SEG emisijas ZIZIMM sektorā pārsniedz uzskaitīto piesaisti, jebkurš pārsniegums saskaņā ar Regulu 2018/841 tiek automātiski atskaitīts no attiecīgajai ES dalībvalstij piešķirtajām GES vienībām laika periodā no 2021. līdz 2025. gadam.  Tas nozīmē, ka attiecīgajām ES dalībvalstīm var būt grūtības sasniegt ne vien ar Regulu 2018/841 noteiktos mērķus ZIZIMM sektorā, bet arī GES mērķus, kas noteikti saskaņā ar Regulu 2018/842. Pēc pašreizējām prognozēm šajā kategorijā ietilpst trīs dalībvalstis – Francija, Somija un Portugāle.</w:t>
      </w:r>
    </w:p>
    <w:p w14:paraId="19455621" w14:textId="1BACAACC" w:rsidR="003E6EAD" w:rsidRDefault="003A4514" w:rsidP="5B9FE7F0">
      <w:pPr>
        <w:spacing w:before="120" w:after="120" w:line="240" w:lineRule="auto"/>
        <w:ind w:firstLine="567"/>
        <w:jc w:val="both"/>
        <w:rPr>
          <w:rFonts w:ascii="Cambria" w:hAnsi="Cambria"/>
          <w:sz w:val="24"/>
          <w:szCs w:val="24"/>
        </w:rPr>
      </w:pPr>
      <w:r w:rsidRPr="5B9FE7F0">
        <w:rPr>
          <w:rFonts w:ascii="Cambria" w:hAnsi="Cambria"/>
          <w:sz w:val="24"/>
          <w:szCs w:val="24"/>
        </w:rPr>
        <w:t xml:space="preserve">Savukārt pēc pašreizējām prognozēm Rumānijā, Spānijā un Vācijā SEG emisijas ZIZIMM sektorā varētu būt ievērojami zem uzskaitītās piesaistes, tādējādi šīs dalībvalstis uz </w:t>
      </w:r>
      <w:r w:rsidR="006A2BC1">
        <w:rPr>
          <w:rFonts w:ascii="Cambria" w:hAnsi="Cambria"/>
          <w:sz w:val="24"/>
          <w:szCs w:val="24"/>
        </w:rPr>
        <w:t>I</w:t>
      </w:r>
      <w:r w:rsidRPr="5B9FE7F0">
        <w:rPr>
          <w:rFonts w:ascii="Cambria" w:hAnsi="Cambria"/>
          <w:sz w:val="24"/>
          <w:szCs w:val="24"/>
        </w:rPr>
        <w:t xml:space="preserve">nformatīvā ziņojuma izstrādes brīdi būtu identificējamas kā potenciālās piesaistes vienību pārdevējvalstis. Vienlaikus jāuzsver, ka šī situācija var mainīties turpmāku SEG uzskaites metodoloģisko uzlabojumu ietekmē. </w:t>
      </w:r>
    </w:p>
    <w:p w14:paraId="1405FA3F" w14:textId="50EFBAB7" w:rsidR="003E6EAD" w:rsidRDefault="003A4514">
      <w:pPr>
        <w:spacing w:before="120" w:after="120" w:line="240" w:lineRule="auto"/>
        <w:ind w:firstLine="567"/>
        <w:jc w:val="both"/>
        <w:rPr>
          <w:rFonts w:ascii="Cambria" w:hAnsi="Cambria"/>
          <w:sz w:val="24"/>
          <w:szCs w:val="24"/>
        </w:rPr>
      </w:pPr>
      <w:r>
        <w:rPr>
          <w:rFonts w:ascii="Cambria" w:hAnsi="Cambria"/>
          <w:sz w:val="24"/>
          <w:szCs w:val="24"/>
        </w:rPr>
        <w:t xml:space="preserve">Ņemot vērā, ka iepriekšējā saistību izpildes periodā no 2013. līdz 2020. gadam netika īstenota tirdzniecība ar piesaistes vienībām, uz </w:t>
      </w:r>
      <w:r w:rsidR="006A2BC1">
        <w:rPr>
          <w:rFonts w:ascii="Cambria" w:hAnsi="Cambria"/>
          <w:sz w:val="24"/>
          <w:szCs w:val="24"/>
        </w:rPr>
        <w:t>I</w:t>
      </w:r>
      <w:r>
        <w:rPr>
          <w:rFonts w:ascii="Cambria" w:hAnsi="Cambria"/>
          <w:sz w:val="24"/>
          <w:szCs w:val="24"/>
        </w:rPr>
        <w:t>nformatīvā ziņojuma izstrādes brīdi piesaistes vienību tirgus nepastāv, attiecīgi nav indikācijas par potenciālo piesaistes vienību cenu un praktisko darījumu ar piesaistes vienībām īstenošanu. KEM ieskatā process varētu būt līdzīgs kā tirdzniecības ar GES vienībām gadījumos, kur piesaistes vienību cena un citi nosacījumi tiek atrunāti bilaterālo sarunu rezultātā, vēlāk noslēdzot vienību pirkšanas – pārdošanas līgumu un veicot faktisko piesaistes vienību pārskaitījumu Savienības reģistrā.</w:t>
      </w:r>
    </w:p>
    <w:p w14:paraId="445DF696" w14:textId="77777777" w:rsidR="003E6EAD" w:rsidRDefault="003E6EAD">
      <w:pPr>
        <w:spacing w:before="120" w:after="120" w:line="240" w:lineRule="auto"/>
        <w:ind w:firstLine="567"/>
        <w:jc w:val="both"/>
        <w:rPr>
          <w:rFonts w:ascii="Cambria" w:hAnsi="Cambria"/>
          <w:sz w:val="24"/>
          <w:szCs w:val="24"/>
        </w:rPr>
      </w:pPr>
    </w:p>
    <w:p w14:paraId="63C9BF11" w14:textId="0DE01D7C" w:rsidR="003E6EAD" w:rsidRDefault="003A4514" w:rsidP="00E14E8A">
      <w:pPr>
        <w:pStyle w:val="Heading2"/>
        <w:numPr>
          <w:ilvl w:val="1"/>
          <w:numId w:val="24"/>
        </w:numPr>
        <w:spacing w:before="120" w:after="120" w:line="240" w:lineRule="auto"/>
        <w:jc w:val="both"/>
        <w:rPr>
          <w:rFonts w:ascii="Cambria" w:eastAsia="Yu Gothic" w:hAnsi="Cambria" w:cs="Arial"/>
          <w:b/>
          <w:bCs/>
          <w:color w:val="155452"/>
          <w:sz w:val="24"/>
          <w:szCs w:val="24"/>
        </w:rPr>
      </w:pPr>
      <w:bookmarkStart w:id="54" w:name="_Toc185319507"/>
      <w:bookmarkStart w:id="55" w:name="_Toc190952426"/>
      <w:r>
        <w:rPr>
          <w:rFonts w:ascii="Cambria" w:eastAsia="Yu Gothic" w:hAnsi="Cambria" w:cs="Arial"/>
          <w:b/>
          <w:bCs/>
          <w:color w:val="155452"/>
          <w:sz w:val="24"/>
          <w:szCs w:val="24"/>
        </w:rPr>
        <w:t>Turpmākā rīcība ar emisijas vienībām</w:t>
      </w:r>
      <w:bookmarkEnd w:id="54"/>
      <w:bookmarkEnd w:id="55"/>
    </w:p>
    <w:p w14:paraId="4DB3E291" w14:textId="36544242" w:rsidR="003E6EAD" w:rsidRDefault="003A4514">
      <w:pPr>
        <w:spacing w:before="120" w:after="120" w:line="240" w:lineRule="auto"/>
        <w:ind w:firstLine="567"/>
        <w:jc w:val="both"/>
        <w:rPr>
          <w:rFonts w:ascii="Cambria" w:hAnsi="Cambria"/>
          <w:sz w:val="24"/>
          <w:szCs w:val="24"/>
        </w:rPr>
      </w:pPr>
      <w:r>
        <w:rPr>
          <w:rFonts w:ascii="Cambria" w:hAnsi="Cambria"/>
          <w:sz w:val="24"/>
          <w:szCs w:val="24"/>
        </w:rPr>
        <w:t xml:space="preserve">Latvijas īpašumtiesības uz emisijas vienībām rodas brīdī, kad centrālais administrators tās ir ieskaitījis Latvijas atbilstības kontos Savienības reģistrā. Uz </w:t>
      </w:r>
      <w:r w:rsidR="006A2BC1">
        <w:rPr>
          <w:rFonts w:ascii="Cambria" w:hAnsi="Cambria"/>
          <w:sz w:val="24"/>
          <w:szCs w:val="24"/>
        </w:rPr>
        <w:t>I</w:t>
      </w:r>
      <w:r>
        <w:rPr>
          <w:rFonts w:ascii="Cambria" w:hAnsi="Cambria"/>
          <w:sz w:val="24"/>
          <w:szCs w:val="24"/>
        </w:rPr>
        <w:t xml:space="preserve">nformatīvā ziņojuma izstrādes brīdi Regulas 2018/842 aptverto sektoru un Regulas 2018/841 sadaļa Savienības reģistrā nav izveidota, vienlaikus arī darījumi ar emisijas vienībām netiek īstenoti, tādējādi, uz </w:t>
      </w:r>
      <w:r w:rsidR="006A2BC1">
        <w:rPr>
          <w:rFonts w:ascii="Cambria" w:hAnsi="Cambria"/>
          <w:sz w:val="24"/>
          <w:szCs w:val="24"/>
        </w:rPr>
        <w:t>I</w:t>
      </w:r>
      <w:r>
        <w:rPr>
          <w:rFonts w:ascii="Cambria" w:hAnsi="Cambria"/>
          <w:sz w:val="24"/>
          <w:szCs w:val="24"/>
        </w:rPr>
        <w:t>nformatīvā ziņojuma izstrādes brīdi Latvijai darbības ar GES vienībām un piesaistes vienībām Savienības reģistrā nav jāveic.</w:t>
      </w:r>
    </w:p>
    <w:p w14:paraId="0907A407" w14:textId="77777777" w:rsidR="003E6EAD" w:rsidRDefault="003A4514">
      <w:pPr>
        <w:spacing w:before="120" w:after="120" w:line="240" w:lineRule="auto"/>
        <w:ind w:firstLine="567"/>
        <w:jc w:val="both"/>
        <w:rPr>
          <w:rFonts w:ascii="Cambria" w:hAnsi="Cambria"/>
          <w:sz w:val="24"/>
          <w:szCs w:val="24"/>
        </w:rPr>
      </w:pPr>
      <w:r>
        <w:rPr>
          <w:rFonts w:ascii="Cambria" w:hAnsi="Cambria"/>
          <w:sz w:val="24"/>
          <w:szCs w:val="24"/>
        </w:rPr>
        <w:t>Pašreizējā situācijā GES vienību un piesaistes vienību tirgus nav aktīvs un paredzams, ka tas aktivizēsies tuvāk mērķu atbilstības pārbaudei 2027. gadā, tādēļ KEM pastāvīgi jāanalizē emisijas vienību tirgus attīstība, kā arī nepieciešamības gadījumā jāuzsāk sarunas ar potenciālajiem darījumu partneriem par iespējamo sadarbību saistībā ar emisijas vienību tirdzniecību.</w:t>
      </w:r>
    </w:p>
    <w:p w14:paraId="052C61BC" w14:textId="77777777" w:rsidR="003E6EAD" w:rsidRDefault="003A4514">
      <w:pPr>
        <w:spacing w:before="120" w:after="120" w:line="240" w:lineRule="auto"/>
        <w:ind w:firstLine="567"/>
        <w:jc w:val="both"/>
      </w:pPr>
      <w:r>
        <w:rPr>
          <w:rFonts w:ascii="Cambria" w:hAnsi="Cambria"/>
          <w:sz w:val="24"/>
          <w:szCs w:val="24"/>
        </w:rPr>
        <w:t>Ņemot vērā iepriekš norādīto, lēmuma pieņemšana par rīcību ar Latvijas rīcībā esošajām GES vienībām un piesaistes vienībām 2024. gada izskaņā nav aktuāla. Vienlaikus 2025.gada laikā tiks izstrādāta ilgtermiņa stratēģija iespējamai rīcībai turpmāk.</w:t>
      </w:r>
    </w:p>
    <w:p w14:paraId="12AE1DD3" w14:textId="77777777" w:rsidR="003E6EAD" w:rsidRDefault="003A4514" w:rsidP="00E14E8A">
      <w:pPr>
        <w:pStyle w:val="Heading1"/>
        <w:pageBreakBefore/>
        <w:numPr>
          <w:ilvl w:val="0"/>
          <w:numId w:val="24"/>
        </w:numPr>
      </w:pPr>
      <w:bookmarkStart w:id="56" w:name="_Toc185319508"/>
      <w:bookmarkStart w:id="57" w:name="_Toc190952427"/>
      <w:r>
        <w:rPr>
          <w:rFonts w:ascii="Cambria" w:hAnsi="Cambria"/>
          <w:b/>
          <w:bCs/>
          <w:caps/>
          <w:color w:val="19574D"/>
          <w:sz w:val="28"/>
          <w:szCs w:val="28"/>
        </w:rPr>
        <w:lastRenderedPageBreak/>
        <w:t>SECINĀJUMI</w:t>
      </w:r>
      <w:bookmarkEnd w:id="56"/>
      <w:bookmarkEnd w:id="57"/>
    </w:p>
    <w:p w14:paraId="4F156724" w14:textId="645D9552" w:rsidR="0058796E" w:rsidRDefault="0058796E" w:rsidP="00CA29F9">
      <w:pPr>
        <w:pStyle w:val="ListParagraph"/>
        <w:numPr>
          <w:ilvl w:val="0"/>
          <w:numId w:val="22"/>
        </w:numPr>
        <w:spacing w:line="240" w:lineRule="auto"/>
        <w:jc w:val="both"/>
      </w:pPr>
      <w:r w:rsidRPr="00CA29F9">
        <w:rPr>
          <w:rFonts w:ascii="Cambria" w:hAnsi="Cambria"/>
          <w:sz w:val="24"/>
          <w:szCs w:val="24"/>
        </w:rPr>
        <w:t xml:space="preserve">Pamatojoties uz </w:t>
      </w:r>
      <w:r w:rsidRPr="00CA29F9">
        <w:rPr>
          <w:rFonts w:ascii="Cambria" w:hAnsi="Cambria"/>
          <w:sz w:val="24"/>
          <w:szCs w:val="24"/>
          <w:u w:val="single"/>
        </w:rPr>
        <w:t>2024. gada SEG inventarizāciju</w:t>
      </w:r>
      <w:r w:rsidRPr="00CA29F9">
        <w:rPr>
          <w:rFonts w:ascii="Cambria" w:hAnsi="Cambria"/>
          <w:sz w:val="24"/>
          <w:szCs w:val="24"/>
        </w:rPr>
        <w:t>, Latvija</w:t>
      </w:r>
      <w:r w:rsidRPr="00CA29F9">
        <w:rPr>
          <w:rFonts w:ascii="Cambria" w:hAnsi="Cambria"/>
          <w:b/>
          <w:bCs/>
          <w:sz w:val="24"/>
          <w:szCs w:val="24"/>
        </w:rPr>
        <w:t xml:space="preserve"> </w:t>
      </w:r>
      <w:r w:rsidR="006435E2">
        <w:rPr>
          <w:rFonts w:ascii="Cambria" w:hAnsi="Cambria"/>
          <w:b/>
          <w:bCs/>
          <w:sz w:val="24"/>
          <w:szCs w:val="24"/>
        </w:rPr>
        <w:t xml:space="preserve">indikatīvi </w:t>
      </w:r>
      <w:r w:rsidRPr="00CA29F9">
        <w:rPr>
          <w:rFonts w:ascii="Cambria" w:hAnsi="Cambria"/>
          <w:b/>
          <w:bCs/>
          <w:sz w:val="24"/>
          <w:szCs w:val="24"/>
        </w:rPr>
        <w:t>sasnie</w:t>
      </w:r>
      <w:r w:rsidR="006435E2">
        <w:rPr>
          <w:rFonts w:ascii="Cambria" w:hAnsi="Cambria"/>
          <w:b/>
          <w:bCs/>
          <w:sz w:val="24"/>
          <w:szCs w:val="24"/>
        </w:rPr>
        <w:t>dz</w:t>
      </w:r>
      <w:r w:rsidRPr="00CA29F9">
        <w:rPr>
          <w:rFonts w:ascii="Cambria" w:hAnsi="Cambria"/>
          <w:b/>
          <w:bCs/>
          <w:sz w:val="24"/>
          <w:szCs w:val="24"/>
        </w:rPr>
        <w:t xml:space="preserve"> ne-ETS sektora noteikto mērķi gan 2021. gadam</w:t>
      </w:r>
      <w:r w:rsidRPr="00CA29F9">
        <w:rPr>
          <w:rFonts w:ascii="Cambria" w:hAnsi="Cambria"/>
          <w:sz w:val="24"/>
          <w:szCs w:val="24"/>
        </w:rPr>
        <w:t>,</w:t>
      </w:r>
      <w:r w:rsidRPr="00CA29F9">
        <w:rPr>
          <w:rFonts w:ascii="Cambria" w:hAnsi="Cambria"/>
          <w:b/>
          <w:bCs/>
          <w:sz w:val="24"/>
          <w:szCs w:val="24"/>
        </w:rPr>
        <w:t xml:space="preserve"> gan 2022. gadam</w:t>
      </w:r>
      <w:r w:rsidRPr="00CA29F9">
        <w:rPr>
          <w:rFonts w:ascii="Cambria" w:hAnsi="Cambria"/>
          <w:sz w:val="24"/>
          <w:szCs w:val="24"/>
        </w:rPr>
        <w:t xml:space="preserve">. Tāpat 2021.-2022. gadā </w:t>
      </w:r>
      <w:r w:rsidR="006435E2">
        <w:rPr>
          <w:rFonts w:ascii="Cambria" w:hAnsi="Cambria"/>
          <w:sz w:val="24"/>
          <w:szCs w:val="24"/>
        </w:rPr>
        <w:t xml:space="preserve">indikatīvi </w:t>
      </w:r>
      <w:r w:rsidRPr="00CA29F9">
        <w:rPr>
          <w:rFonts w:ascii="Cambria" w:hAnsi="Cambria"/>
          <w:b/>
          <w:bCs/>
          <w:sz w:val="24"/>
          <w:szCs w:val="24"/>
        </w:rPr>
        <w:t>ti</w:t>
      </w:r>
      <w:r w:rsidR="006435E2">
        <w:rPr>
          <w:rFonts w:ascii="Cambria" w:hAnsi="Cambria"/>
          <w:b/>
          <w:bCs/>
          <w:sz w:val="24"/>
          <w:szCs w:val="24"/>
        </w:rPr>
        <w:t>ek</w:t>
      </w:r>
      <w:r w:rsidRPr="00CA29F9">
        <w:rPr>
          <w:rFonts w:ascii="Cambria" w:hAnsi="Cambria"/>
          <w:b/>
          <w:bCs/>
          <w:sz w:val="24"/>
          <w:szCs w:val="24"/>
        </w:rPr>
        <w:t xml:space="preserve"> izpildīts ZIZIMM </w:t>
      </w:r>
      <w:r w:rsidRPr="00CA29F9">
        <w:rPr>
          <w:rFonts w:ascii="Cambria" w:hAnsi="Cambria"/>
          <w:sz w:val="24"/>
          <w:szCs w:val="24"/>
        </w:rPr>
        <w:t>sektora mērķis.</w:t>
      </w:r>
    </w:p>
    <w:p w14:paraId="3C66DBC5" w14:textId="71C95A85" w:rsidR="003462CE" w:rsidRPr="003462CE" w:rsidRDefault="003462CE" w:rsidP="001846F9">
      <w:pPr>
        <w:pStyle w:val="ListParagraph"/>
        <w:numPr>
          <w:ilvl w:val="0"/>
          <w:numId w:val="22"/>
        </w:numPr>
        <w:spacing w:line="240" w:lineRule="auto"/>
        <w:jc w:val="both"/>
        <w:rPr>
          <w:rFonts w:ascii="Cambria" w:hAnsi="Cambria"/>
          <w:sz w:val="24"/>
          <w:szCs w:val="24"/>
        </w:rPr>
      </w:pPr>
      <w:r w:rsidRPr="003462CE">
        <w:rPr>
          <w:rFonts w:ascii="Cambria" w:hAnsi="Cambria"/>
          <w:b/>
          <w:bCs/>
          <w:sz w:val="24"/>
          <w:szCs w:val="24"/>
        </w:rPr>
        <w:t xml:space="preserve">NEKP mērķu </w:t>
      </w:r>
      <w:r w:rsidRPr="69C7AB2F">
        <w:rPr>
          <w:rFonts w:ascii="Cambria" w:hAnsi="Cambria"/>
          <w:b/>
          <w:bCs/>
          <w:sz w:val="24"/>
          <w:szCs w:val="24"/>
        </w:rPr>
        <w:t>scenārijā</w:t>
      </w:r>
      <w:r w:rsidRPr="003462CE">
        <w:rPr>
          <w:rFonts w:ascii="Cambria" w:hAnsi="Cambria"/>
          <w:b/>
          <w:bCs/>
          <w:sz w:val="24"/>
          <w:szCs w:val="24"/>
        </w:rPr>
        <w:t xml:space="preserve"> indikatīvi</w:t>
      </w:r>
      <w:r w:rsidRPr="003462CE">
        <w:rPr>
          <w:rFonts w:ascii="Cambria" w:hAnsi="Cambria"/>
          <w:sz w:val="24"/>
          <w:szCs w:val="24"/>
        </w:rPr>
        <w:t xml:space="preserve"> </w:t>
      </w:r>
      <w:r w:rsidRPr="003462CE">
        <w:rPr>
          <w:rFonts w:ascii="Cambria" w:hAnsi="Cambria"/>
          <w:b/>
          <w:bCs/>
          <w:sz w:val="24"/>
          <w:szCs w:val="24"/>
        </w:rPr>
        <w:t>tiks izpildīts</w:t>
      </w:r>
      <w:r w:rsidRPr="003462CE">
        <w:rPr>
          <w:rFonts w:ascii="Cambria" w:hAnsi="Cambria"/>
          <w:sz w:val="24"/>
          <w:szCs w:val="24"/>
        </w:rPr>
        <w:t xml:space="preserve"> gan ne-ETS sektora SEG emisiju mērķis visā laika rindā līdz 2030. gadam, gan ZIZIMM mērķis.</w:t>
      </w:r>
    </w:p>
    <w:p w14:paraId="5109DA66" w14:textId="3D944A3E" w:rsidR="003462CE" w:rsidRDefault="02F6954E" w:rsidP="5B9FE7F0">
      <w:pPr>
        <w:pStyle w:val="ListParagraph"/>
        <w:numPr>
          <w:ilvl w:val="0"/>
          <w:numId w:val="22"/>
        </w:numPr>
        <w:spacing w:line="240" w:lineRule="auto"/>
        <w:jc w:val="both"/>
        <w:rPr>
          <w:rFonts w:ascii="Cambria" w:hAnsi="Cambria"/>
          <w:sz w:val="24"/>
          <w:szCs w:val="24"/>
        </w:rPr>
      </w:pPr>
      <w:r w:rsidRPr="5B9FE7F0">
        <w:rPr>
          <w:rFonts w:ascii="Cambria" w:hAnsi="Cambria"/>
          <w:sz w:val="24"/>
          <w:szCs w:val="24"/>
        </w:rPr>
        <w:t>Vienlaikus</w:t>
      </w:r>
      <w:r w:rsidR="0F38C539" w:rsidRPr="5B9FE7F0">
        <w:rPr>
          <w:rFonts w:ascii="Cambria" w:hAnsi="Cambria"/>
          <w:sz w:val="24"/>
          <w:szCs w:val="24"/>
        </w:rPr>
        <w:t xml:space="preserve"> saskaņā ar </w:t>
      </w:r>
      <w:r w:rsidR="0F38C539" w:rsidRPr="5B9FE7F0">
        <w:rPr>
          <w:rFonts w:ascii="Cambria" w:hAnsi="Cambria"/>
          <w:sz w:val="24"/>
          <w:szCs w:val="24"/>
          <w:u w:val="single"/>
        </w:rPr>
        <w:t>2024. gadā atjaunoto 2023. gada integrēto ziņojumu</w:t>
      </w:r>
      <w:r w:rsidR="0F38C539" w:rsidRPr="5B9FE7F0">
        <w:rPr>
          <w:rFonts w:ascii="Cambria" w:hAnsi="Cambria"/>
          <w:sz w:val="24"/>
          <w:szCs w:val="24"/>
        </w:rPr>
        <w:t xml:space="preserve"> par politikām, pasākumiem un SEG prognozēm</w:t>
      </w:r>
      <w:r w:rsidRPr="5B9FE7F0">
        <w:rPr>
          <w:rFonts w:ascii="Cambria" w:hAnsi="Cambria"/>
          <w:sz w:val="24"/>
          <w:szCs w:val="24"/>
        </w:rPr>
        <w:t xml:space="preserve"> tiek prognozēts, ka 2050. gadā ne visas nesamazināmās emisijas tiks kompensētas ar  CO</w:t>
      </w:r>
      <w:r w:rsidRPr="5B9FE7F0">
        <w:rPr>
          <w:rFonts w:ascii="Cambria" w:hAnsi="Cambria"/>
          <w:sz w:val="24"/>
          <w:szCs w:val="24"/>
          <w:vertAlign w:val="subscript"/>
        </w:rPr>
        <w:t>2</w:t>
      </w:r>
      <w:r w:rsidRPr="5B9FE7F0">
        <w:rPr>
          <w:rFonts w:ascii="Cambria" w:hAnsi="Cambria"/>
          <w:sz w:val="24"/>
          <w:szCs w:val="24"/>
        </w:rPr>
        <w:t xml:space="preserve"> piesaistēm (</w:t>
      </w:r>
      <w:r w:rsidRPr="5B9FE7F0">
        <w:rPr>
          <w:rFonts w:ascii="Cambria" w:hAnsi="Cambria"/>
          <w:b/>
          <w:bCs/>
          <w:sz w:val="24"/>
          <w:szCs w:val="24"/>
        </w:rPr>
        <w:t>netiks sasniegta klimatneitralitāte</w:t>
      </w:r>
      <w:r w:rsidRPr="5B9FE7F0">
        <w:rPr>
          <w:rFonts w:ascii="Cambria" w:hAnsi="Cambria"/>
          <w:sz w:val="24"/>
          <w:szCs w:val="24"/>
        </w:rPr>
        <w:t xml:space="preserve">). Tomēr  virzībā uz klimatneitralitāti noteiktie </w:t>
      </w:r>
      <w:r w:rsidRPr="5B9FE7F0">
        <w:rPr>
          <w:rFonts w:ascii="Cambria" w:hAnsi="Cambria"/>
          <w:b/>
          <w:bCs/>
          <w:sz w:val="24"/>
          <w:szCs w:val="24"/>
        </w:rPr>
        <w:t xml:space="preserve">starpposma mērķi </w:t>
      </w:r>
      <w:r w:rsidRPr="5B9FE7F0">
        <w:rPr>
          <w:rFonts w:ascii="Cambria" w:hAnsi="Cambria"/>
          <w:sz w:val="24"/>
          <w:szCs w:val="24"/>
        </w:rPr>
        <w:t xml:space="preserve">2030. gadam pēc NEKP mērķu scenārija </w:t>
      </w:r>
      <w:r w:rsidRPr="5B9FE7F0">
        <w:rPr>
          <w:rFonts w:ascii="Cambria" w:hAnsi="Cambria"/>
          <w:b/>
          <w:bCs/>
          <w:sz w:val="24"/>
          <w:szCs w:val="24"/>
        </w:rPr>
        <w:t>tiks</w:t>
      </w:r>
      <w:r w:rsidRPr="5B9FE7F0">
        <w:rPr>
          <w:rFonts w:ascii="Cambria" w:hAnsi="Cambria"/>
          <w:sz w:val="24"/>
          <w:szCs w:val="24"/>
        </w:rPr>
        <w:t xml:space="preserve"> </w:t>
      </w:r>
      <w:r w:rsidRPr="5B9FE7F0">
        <w:rPr>
          <w:rFonts w:ascii="Cambria" w:hAnsi="Cambria"/>
          <w:b/>
          <w:bCs/>
          <w:sz w:val="24"/>
          <w:szCs w:val="24"/>
        </w:rPr>
        <w:t>sasniegti</w:t>
      </w:r>
      <w:r w:rsidRPr="5B9FE7F0">
        <w:rPr>
          <w:rFonts w:ascii="Cambria" w:hAnsi="Cambria"/>
          <w:sz w:val="24"/>
          <w:szCs w:val="24"/>
        </w:rPr>
        <w:t>.</w:t>
      </w:r>
    </w:p>
    <w:p w14:paraId="020C5FFD" w14:textId="3983CAEF" w:rsidR="003462CE" w:rsidRPr="003462CE" w:rsidRDefault="003154F5" w:rsidP="001846F9">
      <w:pPr>
        <w:pStyle w:val="ListParagraph"/>
        <w:numPr>
          <w:ilvl w:val="0"/>
          <w:numId w:val="22"/>
        </w:numPr>
        <w:spacing w:before="120" w:after="120" w:line="240" w:lineRule="auto"/>
        <w:jc w:val="both"/>
        <w:rPr>
          <w:rFonts w:ascii="Cambria" w:hAnsi="Cambria"/>
          <w:b/>
          <w:bCs/>
          <w:sz w:val="24"/>
          <w:szCs w:val="24"/>
        </w:rPr>
      </w:pPr>
      <w:r w:rsidRPr="69C7AB2F">
        <w:rPr>
          <w:rFonts w:ascii="Cambria" w:hAnsi="Cambria"/>
          <w:b/>
          <w:bCs/>
          <w:sz w:val="24"/>
          <w:szCs w:val="24"/>
        </w:rPr>
        <w:t>R</w:t>
      </w:r>
      <w:r w:rsidR="003462CE" w:rsidRPr="69C7AB2F">
        <w:rPr>
          <w:rFonts w:ascii="Cambria" w:hAnsi="Cambria"/>
          <w:b/>
          <w:bCs/>
          <w:sz w:val="24"/>
          <w:szCs w:val="24"/>
        </w:rPr>
        <w:t>iski</w:t>
      </w:r>
      <w:r w:rsidR="003462CE" w:rsidRPr="003462CE">
        <w:rPr>
          <w:rFonts w:ascii="Cambria" w:hAnsi="Cambria"/>
          <w:sz w:val="24"/>
          <w:szCs w:val="24"/>
        </w:rPr>
        <w:t xml:space="preserve"> SEG emisiju samazināšanai noteikto indikatīvo mērķa vērtību sasniegšanā </w:t>
      </w:r>
      <w:r w:rsidR="003462CE" w:rsidRPr="003462CE">
        <w:rPr>
          <w:rFonts w:ascii="Cambria" w:hAnsi="Cambria"/>
          <w:b/>
          <w:bCs/>
          <w:sz w:val="24"/>
          <w:szCs w:val="24"/>
          <w:u w:val="single"/>
        </w:rPr>
        <w:t>netiek prognozēti tikai pie nosacījuma</w:t>
      </w:r>
      <w:r w:rsidR="003462CE" w:rsidRPr="003462CE">
        <w:rPr>
          <w:rFonts w:ascii="Cambria" w:hAnsi="Cambria"/>
          <w:b/>
          <w:bCs/>
          <w:sz w:val="24"/>
          <w:szCs w:val="24"/>
        </w:rPr>
        <w:t xml:space="preserve">, ka nozaru ministrijas ar citām iesaistītajām pusēm ievieš gan papildus pasākumu (WAM), gan NEKP mērķa scenārijā noteiktos nozaru pasākumus un politikas. </w:t>
      </w:r>
      <w:r w:rsidR="003462CE" w:rsidRPr="003462CE">
        <w:rPr>
          <w:rFonts w:ascii="Cambria" w:hAnsi="Cambria"/>
          <w:sz w:val="24"/>
          <w:szCs w:val="24"/>
        </w:rPr>
        <w:t>Līdz ar to nepieciešams pastiprināti koncentrēties uz NEKP mērķu scenārija pasākumu ieviešanu sektoros.</w:t>
      </w:r>
    </w:p>
    <w:p w14:paraId="2FCB13B9" w14:textId="77777777" w:rsidR="003462CE" w:rsidRDefault="02F6954E" w:rsidP="5B9FE7F0">
      <w:pPr>
        <w:pStyle w:val="ListParagraph"/>
        <w:numPr>
          <w:ilvl w:val="0"/>
          <w:numId w:val="22"/>
        </w:numPr>
        <w:spacing w:before="120" w:after="120" w:line="240" w:lineRule="auto"/>
        <w:jc w:val="both"/>
        <w:rPr>
          <w:rStyle w:val="ui-provider"/>
          <w:rFonts w:ascii="Cambria" w:hAnsi="Cambria"/>
          <w:sz w:val="24"/>
          <w:szCs w:val="24"/>
        </w:rPr>
      </w:pPr>
      <w:r w:rsidRPr="5B9FE7F0">
        <w:rPr>
          <w:rStyle w:val="ui-provider"/>
          <w:rFonts w:ascii="Cambria" w:hAnsi="Cambria"/>
          <w:sz w:val="24"/>
          <w:szCs w:val="24"/>
        </w:rPr>
        <w:t>Laicīga klimata risku novērtēšana ir pamats pielāgošanās pasākumu identificēšanai un nepieciešamo resursu paredzēšanai un piesaistei pasākumu īstenošanai. Valsts, nozaru un pašvaldību pielāgošanās klimata pārmaiņām plānu izstrāde ir svarīgs nosacījums klimatnoturības sasniegšanai.</w:t>
      </w:r>
    </w:p>
    <w:p w14:paraId="1CC07D7F" w14:textId="77777777" w:rsidR="003462CE" w:rsidRDefault="02F6954E" w:rsidP="5B9FE7F0">
      <w:pPr>
        <w:pStyle w:val="ListParagraph"/>
        <w:numPr>
          <w:ilvl w:val="0"/>
          <w:numId w:val="22"/>
        </w:numPr>
        <w:spacing w:before="120" w:after="120" w:line="240" w:lineRule="auto"/>
        <w:jc w:val="both"/>
        <w:rPr>
          <w:rFonts w:ascii="Cambria" w:hAnsi="Cambria"/>
          <w:sz w:val="24"/>
          <w:szCs w:val="24"/>
        </w:rPr>
      </w:pPr>
      <w:r w:rsidRPr="5B9FE7F0">
        <w:rPr>
          <w:rFonts w:ascii="Cambria" w:hAnsi="Cambria"/>
          <w:sz w:val="24"/>
          <w:szCs w:val="24"/>
        </w:rPr>
        <w:t>Vienlaikus ir turpināms darbs pie detalizētāku darbību datu iegūšanas SEG emisiju aprēķināšanai un augstāka līmeņa (</w:t>
      </w:r>
      <w:r w:rsidRPr="00AB4118">
        <w:rPr>
          <w:rFonts w:ascii="Cambria" w:hAnsi="Cambria"/>
          <w:i/>
          <w:iCs/>
          <w:sz w:val="24"/>
          <w:szCs w:val="24"/>
        </w:rPr>
        <w:t>Tier</w:t>
      </w:r>
      <w:r w:rsidRPr="5B9FE7F0">
        <w:rPr>
          <w:rFonts w:ascii="Cambria" w:hAnsi="Cambria"/>
          <w:sz w:val="24"/>
          <w:szCs w:val="24"/>
        </w:rPr>
        <w:t>) metodoloģiju piemērošanas – īpaši galvenajos SEG emisiju avotos/sektoros (</w:t>
      </w:r>
      <w:r w:rsidRPr="5B9FE7F0">
        <w:rPr>
          <w:rFonts w:ascii="Cambria" w:hAnsi="Cambria"/>
          <w:i/>
          <w:iCs/>
          <w:sz w:val="24"/>
          <w:szCs w:val="24"/>
        </w:rPr>
        <w:t>key categories</w:t>
      </w:r>
      <w:r w:rsidRPr="5B9FE7F0">
        <w:rPr>
          <w:rFonts w:ascii="Cambria" w:hAnsi="Cambria"/>
          <w:sz w:val="24"/>
          <w:szCs w:val="24"/>
        </w:rPr>
        <w:t>).</w:t>
      </w:r>
    </w:p>
    <w:p w14:paraId="1F9B4116" w14:textId="77777777" w:rsidR="003462CE" w:rsidRDefault="003462CE" w:rsidP="001846F9">
      <w:pPr>
        <w:pStyle w:val="ListParagraph"/>
        <w:numPr>
          <w:ilvl w:val="0"/>
          <w:numId w:val="22"/>
        </w:numPr>
        <w:spacing w:before="120" w:after="120" w:line="240" w:lineRule="auto"/>
        <w:jc w:val="both"/>
      </w:pPr>
      <w:r w:rsidRPr="003462CE">
        <w:rPr>
          <w:rStyle w:val="ui-provider"/>
          <w:rFonts w:ascii="Cambria" w:hAnsi="Cambria"/>
          <w:sz w:val="24"/>
          <w:szCs w:val="24"/>
        </w:rPr>
        <w:t xml:space="preserve">Lēmuma pieņemšana par rīcību ar Latvijas rīcībā esošajām gada emisiju sadales (GES) vienībām un piesaistes vienībām 2024. gada izskaņā nav aktuāla. Vienlaikus nepieciešams pastāvīgi analizēt </w:t>
      </w:r>
      <w:r w:rsidRPr="003462CE">
        <w:rPr>
          <w:rFonts w:ascii="Cambria" w:hAnsi="Cambria"/>
          <w:sz w:val="24"/>
          <w:szCs w:val="24"/>
        </w:rPr>
        <w:t>emisijas vienību tirgus attīstību, lai nepieciešamības gadījumā uzsāktu sarunas ar potenciālajiem darījumu partneriem par iespējamo sadarbību saistībā ar emisijas vienību tirdzniecību.</w:t>
      </w:r>
    </w:p>
    <w:p w14:paraId="221CBB91" w14:textId="4F5A6E93" w:rsidR="003462CE" w:rsidRDefault="003462CE" w:rsidP="001846F9">
      <w:pPr>
        <w:pStyle w:val="ListParagraph"/>
        <w:numPr>
          <w:ilvl w:val="0"/>
          <w:numId w:val="22"/>
        </w:numPr>
        <w:spacing w:before="120" w:after="120" w:line="240" w:lineRule="auto"/>
        <w:jc w:val="both"/>
        <w:rPr>
          <w:rFonts w:ascii="Cambria" w:hAnsi="Cambria"/>
          <w:sz w:val="24"/>
          <w:szCs w:val="24"/>
        </w:rPr>
      </w:pPr>
      <w:r>
        <w:rPr>
          <w:rFonts w:ascii="Cambria" w:hAnsi="Cambria"/>
          <w:sz w:val="24"/>
          <w:szCs w:val="24"/>
        </w:rPr>
        <w:t>Latvijai saistību izpilde ne-ETS sektoram un ZIZIMM sektoram par periodu 2021. – 2025. gads būs jāno</w:t>
      </w:r>
      <w:r w:rsidR="00F811D2">
        <w:rPr>
          <w:rFonts w:ascii="Cambria" w:hAnsi="Cambria"/>
          <w:sz w:val="24"/>
          <w:szCs w:val="24"/>
        </w:rPr>
        <w:t>vērtē</w:t>
      </w:r>
      <w:r>
        <w:rPr>
          <w:rFonts w:ascii="Cambria" w:hAnsi="Cambria"/>
          <w:sz w:val="24"/>
          <w:szCs w:val="24"/>
        </w:rPr>
        <w:t xml:space="preserve"> 2027. gadā, bet par periodu 2026. – 2030. gads: 2032. gadā, balstoties uz iesniegtām un pārbaudītām SEG inventarizācijām. Līdz tam, katru gadu jāatskaitās EK par progresu noteikto SEG mērķu izpildē.  Aprēķinātie mērķi (GES) 2026.–2029. gadam tiks atjaunināti no EK puses 2025. gadā, izmantojot jaunākos datus/informāciju no iesniegtās un pārbaudītās 2025. gada SEG inventarizācijas, līdz ar to, tikai 2025. gadā varēs precīzāk analizēt konkrēto gadu saistību izpildi.</w:t>
      </w:r>
    </w:p>
    <w:p w14:paraId="6253912F" w14:textId="77777777" w:rsidR="003462CE" w:rsidRDefault="003462CE">
      <w:pPr>
        <w:spacing w:line="240" w:lineRule="auto"/>
        <w:jc w:val="both"/>
        <w:rPr>
          <w:rFonts w:ascii="Cambria" w:hAnsi="Cambria"/>
          <w:sz w:val="24"/>
          <w:szCs w:val="24"/>
        </w:rPr>
      </w:pPr>
    </w:p>
    <w:p w14:paraId="5369F569" w14:textId="77777777" w:rsidR="003E6EAD" w:rsidRDefault="003E6EAD">
      <w:pPr>
        <w:pStyle w:val="ListParagraph"/>
        <w:spacing w:before="120" w:after="120" w:line="240" w:lineRule="auto"/>
        <w:ind w:left="851"/>
        <w:jc w:val="both"/>
        <w:rPr>
          <w:rFonts w:ascii="Cambria" w:hAnsi="Cambria"/>
          <w:sz w:val="24"/>
          <w:szCs w:val="24"/>
        </w:rPr>
      </w:pPr>
    </w:p>
    <w:p w14:paraId="194E8FBE" w14:textId="77777777" w:rsidR="003E6EAD" w:rsidRDefault="003E6EAD">
      <w:pPr>
        <w:spacing w:before="120" w:after="120" w:line="240" w:lineRule="auto"/>
        <w:ind w:firstLine="567"/>
        <w:jc w:val="both"/>
        <w:rPr>
          <w:rFonts w:ascii="Cambria" w:hAnsi="Cambria"/>
          <w:sz w:val="24"/>
          <w:szCs w:val="24"/>
        </w:rPr>
      </w:pPr>
    </w:p>
    <w:p w14:paraId="75ED3573" w14:textId="77777777" w:rsidR="003E6EAD" w:rsidRDefault="003E6EAD">
      <w:pPr>
        <w:spacing w:after="0" w:line="240" w:lineRule="auto"/>
        <w:jc w:val="both"/>
        <w:rPr>
          <w:rFonts w:ascii="Cambria" w:hAnsi="Cambria"/>
          <w:sz w:val="24"/>
          <w:szCs w:val="24"/>
        </w:rPr>
      </w:pPr>
    </w:p>
    <w:p w14:paraId="02F46F35" w14:textId="57835E50" w:rsidR="003E6EAD" w:rsidRDefault="003A4514" w:rsidP="00CA29F9">
      <w:pPr>
        <w:spacing w:after="0" w:line="240" w:lineRule="auto"/>
        <w:rPr>
          <w:rFonts w:ascii="Cambria" w:hAnsi="Cambria"/>
          <w:sz w:val="24"/>
          <w:szCs w:val="24"/>
        </w:rPr>
      </w:pPr>
      <w:r>
        <w:rPr>
          <w:rFonts w:ascii="Cambria" w:hAnsi="Cambria"/>
          <w:sz w:val="24"/>
          <w:szCs w:val="24"/>
        </w:rPr>
        <w:t xml:space="preserve">Klimata un enerģētikas ministrs      </w:t>
      </w:r>
      <w:r>
        <w:tab/>
      </w:r>
      <w:r>
        <w:tab/>
      </w:r>
      <w:r>
        <w:tab/>
      </w:r>
      <w:r>
        <w:tab/>
      </w:r>
      <w:r>
        <w:tab/>
      </w:r>
      <w:r>
        <w:tab/>
      </w:r>
      <w:r>
        <w:rPr>
          <w:rFonts w:ascii="Cambria" w:hAnsi="Cambria"/>
          <w:sz w:val="24"/>
          <w:szCs w:val="24"/>
        </w:rPr>
        <w:t xml:space="preserve">K. Melnis   </w:t>
      </w:r>
    </w:p>
    <w:p w14:paraId="765B024B" w14:textId="77777777" w:rsidR="003E6EAD" w:rsidRDefault="003E6EAD">
      <w:pPr>
        <w:rPr>
          <w:rFonts w:ascii="Cambria" w:hAnsi="Cambria"/>
          <w:sz w:val="24"/>
          <w:szCs w:val="24"/>
        </w:rPr>
      </w:pPr>
    </w:p>
    <w:p w14:paraId="1C73E060" w14:textId="77777777" w:rsidR="003E6EAD" w:rsidRDefault="003E6EAD">
      <w:pPr>
        <w:rPr>
          <w:rFonts w:ascii="Cambria" w:hAnsi="Cambria"/>
          <w:sz w:val="24"/>
          <w:szCs w:val="24"/>
        </w:rPr>
      </w:pPr>
    </w:p>
    <w:p w14:paraId="24738749" w14:textId="77777777" w:rsidR="003E6EAD" w:rsidRDefault="003E6EAD">
      <w:pPr>
        <w:rPr>
          <w:rFonts w:ascii="Cambria" w:hAnsi="Cambria"/>
          <w:sz w:val="24"/>
          <w:szCs w:val="24"/>
        </w:rPr>
      </w:pPr>
    </w:p>
    <w:p w14:paraId="7F19CF23" w14:textId="77777777" w:rsidR="003E6EAD" w:rsidRDefault="003E6EAD">
      <w:pPr>
        <w:rPr>
          <w:rFonts w:ascii="Cambria" w:hAnsi="Cambria"/>
          <w:sz w:val="24"/>
          <w:szCs w:val="24"/>
        </w:rPr>
      </w:pPr>
    </w:p>
    <w:p w14:paraId="1C2C66D5" w14:textId="77777777" w:rsidR="003E6EAD" w:rsidRDefault="003E6EAD">
      <w:pPr>
        <w:rPr>
          <w:rFonts w:ascii="Cambria" w:hAnsi="Cambria"/>
          <w:sz w:val="24"/>
          <w:szCs w:val="24"/>
        </w:rPr>
        <w:sectPr w:rsidR="003E6EAD">
          <w:headerReference w:type="default" r:id="rId26"/>
          <w:footerReference w:type="default" r:id="rId27"/>
          <w:headerReference w:type="first" r:id="rId28"/>
          <w:footerReference w:type="first" r:id="rId29"/>
          <w:pgSz w:w="11906" w:h="16838"/>
          <w:pgMar w:top="1418" w:right="1134" w:bottom="1134" w:left="1701" w:header="567" w:footer="567" w:gutter="0"/>
          <w:cols w:space="720"/>
          <w:titlePg/>
        </w:sectPr>
      </w:pPr>
    </w:p>
    <w:p w14:paraId="6E71A941" w14:textId="77777777" w:rsidR="003E6EAD" w:rsidRDefault="003E6EAD">
      <w:pPr>
        <w:ind w:left="720"/>
        <w:jc w:val="center"/>
        <w:rPr>
          <w:rFonts w:ascii="Cambria" w:hAnsi="Cambria"/>
          <w:b/>
          <w:bCs/>
          <w:i/>
          <w:iCs/>
          <w:sz w:val="24"/>
          <w:szCs w:val="24"/>
          <w:lang w:eastAsia="lv-LV"/>
        </w:rPr>
      </w:pPr>
      <w:bookmarkStart w:id="58" w:name="_Hlk121243282"/>
    </w:p>
    <w:p w14:paraId="19772571" w14:textId="77777777" w:rsidR="003E6EAD" w:rsidRDefault="003E6EAD">
      <w:pPr>
        <w:ind w:left="720"/>
        <w:jc w:val="center"/>
        <w:rPr>
          <w:rFonts w:ascii="Cambria" w:hAnsi="Cambria"/>
          <w:b/>
          <w:bCs/>
          <w:i/>
          <w:iCs/>
          <w:sz w:val="24"/>
          <w:szCs w:val="24"/>
          <w:lang w:eastAsia="lv-LV"/>
        </w:rPr>
      </w:pPr>
    </w:p>
    <w:p w14:paraId="0AE4193A" w14:textId="77777777" w:rsidR="003E6EAD" w:rsidRDefault="003A4514" w:rsidP="0000505D">
      <w:pPr>
        <w:pStyle w:val="Heading1"/>
      </w:pPr>
      <w:bookmarkStart w:id="59" w:name="_Toc185319509"/>
      <w:bookmarkStart w:id="60" w:name="_Toc190952428"/>
      <w:r>
        <w:rPr>
          <w:rFonts w:ascii="Cambria" w:hAnsi="Cambria"/>
          <w:b/>
          <w:bCs/>
          <w:color w:val="auto"/>
          <w:sz w:val="28"/>
          <w:szCs w:val="28"/>
          <w:lang w:eastAsia="lv-LV"/>
        </w:rPr>
        <w:t>Pielikumi</w:t>
      </w:r>
      <w:bookmarkEnd w:id="59"/>
      <w:bookmarkEnd w:id="60"/>
    </w:p>
    <w:p w14:paraId="6BA869E2" w14:textId="42174E40" w:rsidR="003E6EAD" w:rsidRDefault="003A4514" w:rsidP="0000505D">
      <w:pPr>
        <w:pStyle w:val="ListParagraph"/>
        <w:numPr>
          <w:ilvl w:val="0"/>
          <w:numId w:val="17"/>
        </w:numPr>
        <w:jc w:val="center"/>
      </w:pPr>
      <w:r>
        <w:rPr>
          <w:rFonts w:ascii="Cambria" w:hAnsi="Cambria"/>
          <w:b/>
          <w:bCs/>
          <w:sz w:val="24"/>
          <w:szCs w:val="24"/>
          <w:lang w:eastAsia="lv-LV"/>
        </w:rPr>
        <w:t>pielikums. Pārskats par ES vēsturiskajiem un esošajiem klimata mērķiem</w:t>
      </w:r>
    </w:p>
    <w:p w14:paraId="36F2FC90" w14:textId="77777777" w:rsidR="003E6EAD" w:rsidRDefault="003A4514" w:rsidP="0000505D">
      <w:pPr>
        <w:pStyle w:val="ListParagraph"/>
        <w:ind w:left="1080"/>
        <w:jc w:val="center"/>
      </w:pPr>
      <w:r w:rsidRPr="5B9FE7F0">
        <w:rPr>
          <w:rFonts w:ascii="Cambria" w:hAnsi="Cambria"/>
          <w:sz w:val="24"/>
          <w:szCs w:val="24"/>
          <w:lang w:eastAsia="lv-LV"/>
        </w:rPr>
        <w:t>(“Eiropas Zaļā kursa īstenošana” — “Gatavi mērķrādītājam 55%” tiesību akti)</w:t>
      </w:r>
      <w:r w:rsidRPr="5B9FE7F0">
        <w:rPr>
          <w:rStyle w:val="FootnoteAnchor"/>
          <w:rFonts w:ascii="Cambria" w:hAnsi="Cambria"/>
          <w:sz w:val="24"/>
          <w:szCs w:val="24"/>
          <w:lang w:eastAsia="lv-LV"/>
        </w:rPr>
        <w:footnoteReference w:id="84"/>
      </w:r>
    </w:p>
    <w:tbl>
      <w:tblPr>
        <w:tblW w:w="15046" w:type="dxa"/>
        <w:tblLayout w:type="fixed"/>
        <w:tblCellMar>
          <w:left w:w="10" w:type="dxa"/>
          <w:right w:w="10" w:type="dxa"/>
        </w:tblCellMar>
        <w:tblLook w:val="04A0" w:firstRow="1" w:lastRow="0" w:firstColumn="1" w:lastColumn="0" w:noHBand="0" w:noVBand="1"/>
      </w:tblPr>
      <w:tblGrid>
        <w:gridCol w:w="1350"/>
        <w:gridCol w:w="913"/>
        <w:gridCol w:w="1009"/>
        <w:gridCol w:w="1935"/>
        <w:gridCol w:w="1734"/>
        <w:gridCol w:w="1716"/>
        <w:gridCol w:w="1544"/>
        <w:gridCol w:w="1276"/>
        <w:gridCol w:w="1418"/>
        <w:gridCol w:w="1134"/>
        <w:gridCol w:w="1017"/>
      </w:tblGrid>
      <w:tr w:rsidR="003E6EAD" w14:paraId="528EFC5F" w14:textId="77777777" w:rsidTr="0000505D">
        <w:trPr>
          <w:trHeight w:val="507"/>
          <w:tblHeader/>
        </w:trPr>
        <w:tc>
          <w:tcPr>
            <w:tcW w:w="135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2CFE4B9" w14:textId="77777777" w:rsidR="003E6EAD" w:rsidRDefault="003A4514">
            <w:pPr>
              <w:spacing w:after="0" w:line="240" w:lineRule="auto"/>
              <w:jc w:val="center"/>
            </w:pPr>
            <w:r>
              <w:rPr>
                <w:rFonts w:ascii="Cambria" w:hAnsi="Cambria"/>
                <w:b/>
                <w:bCs/>
                <w:sz w:val="16"/>
                <w:szCs w:val="16"/>
                <w:lang w:eastAsia="lv-LV"/>
              </w:rPr>
              <w:t> </w:t>
            </w:r>
            <w:r w:rsidRPr="00B572AF">
              <w:rPr>
                <w:rFonts w:ascii="Cambria" w:hAnsi="Cambria"/>
                <w:b/>
                <w:bCs/>
                <w:sz w:val="16"/>
                <w:szCs w:val="16"/>
                <w:lang w:eastAsia="lv-LV"/>
              </w:rPr>
              <w:t> </w:t>
            </w:r>
          </w:p>
        </w:tc>
        <w:tc>
          <w:tcPr>
            <w:tcW w:w="385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C8660D4" w14:textId="77777777"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Starptautiskās saistības</w:t>
            </w:r>
          </w:p>
        </w:tc>
        <w:tc>
          <w:tcPr>
            <w:tcW w:w="9839" w:type="dxa"/>
            <w:gridSpan w:val="7"/>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A3D73C3" w14:textId="77777777" w:rsidR="003E6EAD" w:rsidRDefault="003A4514">
            <w:pPr>
              <w:spacing w:after="0" w:line="240" w:lineRule="auto"/>
              <w:jc w:val="center"/>
            </w:pPr>
            <w:r>
              <w:rPr>
                <w:rFonts w:ascii="Cambria" w:hAnsi="Cambria"/>
                <w:b/>
                <w:bCs/>
                <w:sz w:val="16"/>
                <w:szCs w:val="16"/>
                <w:lang w:eastAsia="lv-LV"/>
              </w:rPr>
              <w:t>ES normatīvie akti</w:t>
            </w:r>
          </w:p>
        </w:tc>
      </w:tr>
      <w:tr w:rsidR="003E6EAD" w14:paraId="2B2E7A14" w14:textId="77777777" w:rsidTr="00AD5CAB">
        <w:trPr>
          <w:trHeight w:val="507"/>
          <w:tblHeader/>
        </w:trPr>
        <w:tc>
          <w:tcPr>
            <w:tcW w:w="1350" w:type="dxa"/>
            <w:vMerge/>
            <w:tcBorders>
              <w:top w:val="single" w:sz="4" w:space="0" w:color="auto"/>
              <w:left w:val="single" w:sz="4" w:space="0" w:color="auto"/>
              <w:bottom w:val="single" w:sz="4" w:space="0" w:color="auto"/>
            </w:tcBorders>
            <w:tcMar>
              <w:top w:w="0" w:type="dxa"/>
              <w:left w:w="108" w:type="dxa"/>
              <w:bottom w:w="0" w:type="dxa"/>
              <w:right w:w="108" w:type="dxa"/>
            </w:tcMar>
            <w:vAlign w:val="center"/>
          </w:tcPr>
          <w:p w14:paraId="52749E01" w14:textId="77777777" w:rsidR="003E6EAD" w:rsidRDefault="003E6EAD">
            <w:pPr>
              <w:spacing w:after="0" w:line="240" w:lineRule="auto"/>
              <w:jc w:val="center"/>
              <w:rPr>
                <w:rFonts w:ascii="Cambria" w:hAnsi="Cambria"/>
                <w:b/>
                <w:bCs/>
                <w:sz w:val="16"/>
                <w:szCs w:val="16"/>
                <w:lang w:val="en-GB" w:eastAsia="lv-LV"/>
              </w:rPr>
            </w:pPr>
          </w:p>
        </w:tc>
        <w:tc>
          <w:tcPr>
            <w:tcW w:w="192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EDE6FDE" w14:textId="5603412D"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ES saistības</w:t>
            </w:r>
            <w:r w:rsidR="001E344D">
              <w:rPr>
                <w:rFonts w:ascii="Cambria" w:hAnsi="Cambria"/>
                <w:b/>
                <w:bCs/>
                <w:sz w:val="16"/>
                <w:szCs w:val="16"/>
                <w:lang w:eastAsia="lv-LV"/>
              </w:rPr>
              <w:t xml:space="preserve"> </w:t>
            </w:r>
            <w:r w:rsidR="001E344D" w:rsidRPr="001E344D">
              <w:rPr>
                <w:rFonts w:ascii="Cambria" w:hAnsi="Cambria"/>
                <w:b/>
                <w:bCs/>
                <w:sz w:val="16"/>
                <w:szCs w:val="16"/>
                <w:lang w:eastAsia="lv-LV"/>
              </w:rPr>
              <w:t>Apvienoto Nāciju Organizācijas Vispārējās konvencijas par klimata pārmaiņām</w:t>
            </w:r>
            <w:r>
              <w:rPr>
                <w:rFonts w:ascii="Cambria" w:hAnsi="Cambria"/>
                <w:b/>
                <w:bCs/>
                <w:sz w:val="16"/>
                <w:szCs w:val="16"/>
                <w:lang w:eastAsia="lv-LV"/>
              </w:rPr>
              <w:t xml:space="preserve"> Kioto</w:t>
            </w:r>
            <w:r w:rsidR="003254ED">
              <w:rPr>
                <w:rStyle w:val="FootnoteReference"/>
                <w:rFonts w:ascii="Cambria" w:hAnsi="Cambria"/>
                <w:b/>
                <w:bCs/>
                <w:sz w:val="16"/>
                <w:szCs w:val="16"/>
                <w:lang w:eastAsia="lv-LV"/>
              </w:rPr>
              <w:footnoteReference w:id="85"/>
            </w:r>
            <w:r>
              <w:rPr>
                <w:rFonts w:ascii="Cambria" w:hAnsi="Cambria"/>
                <w:b/>
                <w:bCs/>
                <w:sz w:val="16"/>
                <w:szCs w:val="16"/>
                <w:lang w:eastAsia="lv-LV"/>
              </w:rPr>
              <w:t xml:space="preserve"> protokola (KP) ietvaros</w:t>
            </w:r>
          </w:p>
        </w:tc>
        <w:tc>
          <w:tcPr>
            <w:tcW w:w="1935"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67679E2" w14:textId="77777777"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ES saistības Parīzes nolīguma ietvaros</w:t>
            </w:r>
          </w:p>
        </w:tc>
        <w:tc>
          <w:tcPr>
            <w:tcW w:w="3450"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A2E8B99" w14:textId="25D5D80E" w:rsidR="003E6EAD" w:rsidRDefault="003A4514" w:rsidP="5B9FE7F0">
            <w:pPr>
              <w:spacing w:after="0" w:line="240" w:lineRule="auto"/>
              <w:jc w:val="center"/>
              <w:rPr>
                <w:rFonts w:ascii="Cambria" w:hAnsi="Cambria"/>
                <w:b/>
                <w:bCs/>
                <w:sz w:val="16"/>
                <w:szCs w:val="16"/>
                <w:lang w:eastAsia="lv-LV"/>
              </w:rPr>
            </w:pPr>
            <w:r w:rsidRPr="5B9FE7F0">
              <w:rPr>
                <w:rFonts w:ascii="Cambria" w:hAnsi="Cambria"/>
                <w:b/>
                <w:bCs/>
                <w:sz w:val="16"/>
                <w:szCs w:val="16"/>
                <w:lang w:eastAsia="lv-LV"/>
              </w:rPr>
              <w:t>Klimata un enerģētikas pakotne 2020</w:t>
            </w:r>
            <w:r w:rsidR="00DD02D4">
              <w:rPr>
                <w:rStyle w:val="FootnoteReference"/>
                <w:rFonts w:ascii="Cambria" w:hAnsi="Cambria"/>
                <w:b/>
                <w:bCs/>
                <w:sz w:val="16"/>
                <w:szCs w:val="16"/>
                <w:lang w:eastAsia="lv-LV"/>
              </w:rPr>
              <w:footnoteReference w:id="86"/>
            </w:r>
          </w:p>
        </w:tc>
        <w:tc>
          <w:tcPr>
            <w:tcW w:w="537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6AE44C6" w14:textId="129CB01B" w:rsidR="003E6EAD" w:rsidRDefault="003A4514">
            <w:pPr>
              <w:spacing w:after="0" w:line="240" w:lineRule="auto"/>
              <w:jc w:val="center"/>
            </w:pPr>
            <w:r>
              <w:rPr>
                <w:rFonts w:ascii="Cambria" w:hAnsi="Cambria"/>
                <w:b/>
                <w:bCs/>
                <w:sz w:val="16"/>
                <w:szCs w:val="16"/>
                <w:lang w:eastAsia="lv-LV"/>
              </w:rPr>
              <w:t>Klimata un enerģētikas satvars 2030</w:t>
            </w:r>
            <w:r w:rsidR="00DB0031">
              <w:rPr>
                <w:rStyle w:val="FootnoteReference"/>
                <w:rFonts w:ascii="Cambria" w:hAnsi="Cambria"/>
                <w:b/>
                <w:bCs/>
                <w:sz w:val="16"/>
                <w:szCs w:val="16"/>
                <w:lang w:eastAsia="lv-LV"/>
              </w:rPr>
              <w:footnoteReference w:id="87"/>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69131C1" w14:textId="756ABBBE"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2050</w:t>
            </w:r>
            <w:r w:rsidR="003A2573">
              <w:rPr>
                <w:rStyle w:val="FootnoteReference"/>
                <w:rFonts w:ascii="Cambria" w:hAnsi="Cambria"/>
                <w:b/>
                <w:bCs/>
                <w:sz w:val="16"/>
                <w:szCs w:val="16"/>
                <w:lang w:eastAsia="lv-LV"/>
              </w:rPr>
              <w:footnoteReference w:id="88"/>
            </w:r>
          </w:p>
        </w:tc>
      </w:tr>
      <w:tr w:rsidR="003E6EAD" w14:paraId="1C034E65" w14:textId="77777777" w:rsidTr="00AD5CAB">
        <w:trPr>
          <w:trHeight w:val="521"/>
          <w:tblHeader/>
        </w:trPr>
        <w:tc>
          <w:tcPr>
            <w:tcW w:w="1350"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0E1740" w14:textId="77777777" w:rsidR="003E6EAD" w:rsidRDefault="003E6EAD">
            <w:pPr>
              <w:spacing w:after="0" w:line="240" w:lineRule="auto"/>
              <w:rPr>
                <w:rFonts w:ascii="Cambria" w:hAnsi="Cambria"/>
                <w:sz w:val="16"/>
                <w:szCs w:val="16"/>
              </w:rPr>
            </w:pPr>
          </w:p>
        </w:tc>
        <w:tc>
          <w:tcPr>
            <w:tcW w:w="1922" w:type="dxa"/>
            <w:gridSpan w:val="2"/>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9EBEC1" w14:textId="77777777" w:rsidR="003E6EAD" w:rsidRDefault="003E6EAD">
            <w:pPr>
              <w:spacing w:after="0" w:line="240" w:lineRule="auto"/>
              <w:rPr>
                <w:rFonts w:ascii="Cambria" w:hAnsi="Cambria"/>
                <w:sz w:val="16"/>
                <w:szCs w:val="16"/>
              </w:rPr>
            </w:pPr>
          </w:p>
        </w:tc>
        <w:tc>
          <w:tcPr>
            <w:tcW w:w="1935" w:type="dxa"/>
            <w:vMerge/>
            <w:tcBorders>
              <w:top w:val="single" w:sz="4" w:space="0" w:color="auto"/>
              <w:left w:val="single" w:sz="4" w:space="0" w:color="auto"/>
              <w:bottom w:val="single" w:sz="4" w:space="0" w:color="auto"/>
            </w:tcBorders>
            <w:tcMar>
              <w:top w:w="0" w:type="dxa"/>
              <w:left w:w="108" w:type="dxa"/>
              <w:bottom w:w="0" w:type="dxa"/>
              <w:right w:w="108" w:type="dxa"/>
            </w:tcMar>
            <w:vAlign w:val="center"/>
          </w:tcPr>
          <w:p w14:paraId="5908B70C" w14:textId="77777777" w:rsidR="003E6EAD" w:rsidRDefault="003E6EAD">
            <w:pPr>
              <w:spacing w:after="0" w:line="240" w:lineRule="auto"/>
              <w:rPr>
                <w:rFonts w:ascii="Cambria" w:hAnsi="Cambria"/>
                <w:sz w:val="16"/>
                <w:szCs w:val="16"/>
              </w:rPr>
            </w:pPr>
          </w:p>
        </w:tc>
        <w:tc>
          <w:tcPr>
            <w:tcW w:w="1734"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E632565" w14:textId="77777777"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ES emisijas kvotu tirdzniecības</w:t>
            </w:r>
          </w:p>
          <w:p w14:paraId="7C9E6BF4" w14:textId="77777777" w:rsidR="003E6EAD" w:rsidRDefault="003A4514">
            <w:pPr>
              <w:spacing w:after="0" w:line="240" w:lineRule="auto"/>
              <w:jc w:val="center"/>
            </w:pPr>
            <w:r>
              <w:rPr>
                <w:rFonts w:ascii="Cambria" w:eastAsia="Times New Roman" w:hAnsi="Cambria"/>
                <w:b/>
                <w:bCs/>
                <w:sz w:val="16"/>
                <w:szCs w:val="16"/>
                <w:lang w:eastAsia="lv-LV"/>
              </w:rPr>
              <w:t xml:space="preserve"> </w:t>
            </w:r>
            <w:r>
              <w:rPr>
                <w:rFonts w:ascii="Cambria" w:hAnsi="Cambria"/>
                <w:b/>
                <w:bCs/>
                <w:sz w:val="16"/>
                <w:szCs w:val="16"/>
                <w:lang w:eastAsia="lv-LV"/>
              </w:rPr>
              <w:t>Sistēma</w:t>
            </w:r>
          </w:p>
          <w:p w14:paraId="64A06ECB" w14:textId="77777777"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 xml:space="preserve"> (ES ETS)</w:t>
            </w:r>
          </w:p>
        </w:tc>
        <w:tc>
          <w:tcPr>
            <w:tcW w:w="17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9C74506" w14:textId="77777777"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Saistību pārdales lēmums (ESD)</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CAFEADE" w14:textId="77777777"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 xml:space="preserve">ES emisijas kvotu tirdzniecības sistēma </w:t>
            </w:r>
          </w:p>
          <w:p w14:paraId="33D231DF" w14:textId="57AD01CD" w:rsidR="003E6EAD" w:rsidRDefault="003A4514">
            <w:pPr>
              <w:spacing w:after="0" w:line="240" w:lineRule="auto"/>
              <w:jc w:val="center"/>
              <w:rPr>
                <w:rFonts w:ascii="Cambria" w:hAnsi="Cambria"/>
                <w:b/>
                <w:bCs/>
                <w:sz w:val="16"/>
                <w:szCs w:val="16"/>
                <w:lang w:eastAsia="lv-LV"/>
              </w:rPr>
            </w:pPr>
            <w:r>
              <w:rPr>
                <w:rFonts w:ascii="Cambria" w:hAnsi="Cambria"/>
                <w:b/>
                <w:bCs/>
                <w:sz w:val="16"/>
                <w:szCs w:val="16"/>
                <w:lang w:eastAsia="lv-LV"/>
              </w:rPr>
              <w:t>(ES ETS)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1D00F28" w14:textId="3E9E0D73" w:rsidR="003E6EAD" w:rsidRDefault="003A4514">
            <w:pPr>
              <w:spacing w:after="0" w:line="240" w:lineRule="auto"/>
              <w:jc w:val="center"/>
            </w:pPr>
            <w:r>
              <w:rPr>
                <w:rFonts w:ascii="Cambria" w:hAnsi="Cambria"/>
                <w:b/>
                <w:bCs/>
                <w:sz w:val="16"/>
                <w:szCs w:val="16"/>
                <w:lang w:eastAsia="lv-LV"/>
              </w:rPr>
              <w:t xml:space="preserve">ES emisijas kvotu tirdzniecības sistēma ēku, </w:t>
            </w:r>
            <w:r w:rsidR="003A3DA3">
              <w:rPr>
                <w:rFonts w:ascii="Cambria" w:hAnsi="Cambria"/>
                <w:b/>
                <w:bCs/>
                <w:sz w:val="16"/>
                <w:szCs w:val="16"/>
                <w:lang w:eastAsia="lv-LV"/>
              </w:rPr>
              <w:t>au</w:t>
            </w:r>
            <w:r w:rsidR="00F72502">
              <w:rPr>
                <w:rFonts w:ascii="Cambria" w:hAnsi="Cambria"/>
                <w:b/>
                <w:bCs/>
                <w:sz w:val="16"/>
                <w:szCs w:val="16"/>
                <w:lang w:eastAsia="lv-LV"/>
              </w:rPr>
              <w:t>to</w:t>
            </w:r>
            <w:r>
              <w:rPr>
                <w:rFonts w:ascii="Cambria" w:hAnsi="Cambria"/>
                <w:b/>
                <w:bCs/>
                <w:sz w:val="16"/>
                <w:szCs w:val="16"/>
                <w:lang w:eastAsia="lv-LV"/>
              </w:rPr>
              <w:t>transporta un papildu sektoros (ETS2)</w:t>
            </w:r>
            <w:r>
              <w:rPr>
                <w:rStyle w:val="FootnoteReference"/>
                <w:rFonts w:ascii="Cambria" w:hAnsi="Cambria"/>
                <w:b/>
                <w:bCs/>
                <w:sz w:val="16"/>
                <w:szCs w:val="16"/>
                <w:lang w:eastAsia="lv-LV"/>
              </w:rPr>
              <w:footnoteReference w:id="89"/>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5E22E86" w14:textId="1CF9F932" w:rsidR="003E6EAD" w:rsidRDefault="000C7927">
            <w:pPr>
              <w:spacing w:after="0" w:line="240" w:lineRule="auto"/>
              <w:jc w:val="center"/>
              <w:rPr>
                <w:rFonts w:ascii="Cambria" w:hAnsi="Cambria"/>
                <w:b/>
                <w:bCs/>
                <w:sz w:val="16"/>
                <w:szCs w:val="16"/>
                <w:lang w:eastAsia="lv-LV"/>
              </w:rPr>
            </w:pPr>
            <w:r w:rsidRPr="000C7927">
              <w:rPr>
                <w:rFonts w:ascii="Cambria" w:hAnsi="Cambria"/>
                <w:b/>
                <w:bCs/>
                <w:sz w:val="16"/>
                <w:szCs w:val="16"/>
                <w:lang w:eastAsia="lv-LV"/>
              </w:rPr>
              <w:t>Regula 2018/842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11F9EFA" w14:textId="7FD9F445" w:rsidR="003E6EAD" w:rsidRDefault="003A4514">
            <w:pPr>
              <w:spacing w:after="0" w:line="240" w:lineRule="auto"/>
              <w:jc w:val="center"/>
            </w:pPr>
            <w:r>
              <w:rPr>
                <w:rFonts w:ascii="Cambria" w:hAnsi="Cambria"/>
                <w:b/>
                <w:bCs/>
                <w:sz w:val="16"/>
                <w:szCs w:val="16"/>
                <w:lang w:eastAsia="lv-LV"/>
              </w:rPr>
              <w:t>ZIZIMM</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5229D90" w14:textId="77777777" w:rsidR="003E6EAD" w:rsidRDefault="003E6EAD">
            <w:pPr>
              <w:spacing w:after="0" w:line="240" w:lineRule="auto"/>
              <w:jc w:val="center"/>
              <w:rPr>
                <w:rFonts w:ascii="Cambria" w:hAnsi="Cambria"/>
                <w:b/>
                <w:bCs/>
                <w:sz w:val="16"/>
                <w:szCs w:val="16"/>
                <w:lang w:eastAsia="lv-LV"/>
              </w:rPr>
            </w:pPr>
          </w:p>
        </w:tc>
      </w:tr>
      <w:tr w:rsidR="003E6EAD" w14:paraId="6901C880" w14:textId="77777777" w:rsidTr="00AD5CAB">
        <w:trPr>
          <w:trHeight w:val="312"/>
        </w:trPr>
        <w:tc>
          <w:tcPr>
            <w:tcW w:w="135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5E32B31"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Mērķu saistību periodi</w:t>
            </w:r>
          </w:p>
        </w:tc>
        <w:tc>
          <w:tcPr>
            <w:tcW w:w="1922"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6FCE0FA" w14:textId="77777777" w:rsidR="003E6EAD" w:rsidRDefault="003E6EAD">
            <w:pPr>
              <w:snapToGrid w:val="0"/>
              <w:spacing w:after="0" w:line="240" w:lineRule="auto"/>
              <w:jc w:val="center"/>
              <w:rPr>
                <w:rFonts w:ascii="Cambria" w:hAnsi="Cambria"/>
                <w:b/>
                <w:bCs/>
                <w:color w:val="000000"/>
                <w:sz w:val="16"/>
                <w:szCs w:val="16"/>
                <w:lang w:eastAsia="lv-LV"/>
              </w:rPr>
            </w:pPr>
          </w:p>
          <w:p w14:paraId="1E4F990F"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2013.-2020.g. (Kioto protokola 2.saistību periods)</w:t>
            </w:r>
          </w:p>
          <w:p w14:paraId="6EAF9DCD" w14:textId="77777777" w:rsidR="003E6EAD" w:rsidRDefault="003E6EAD">
            <w:pPr>
              <w:spacing w:after="0" w:line="240" w:lineRule="auto"/>
              <w:jc w:val="center"/>
              <w:rPr>
                <w:rFonts w:ascii="Cambria" w:hAnsi="Cambria"/>
                <w:color w:val="000000"/>
                <w:sz w:val="16"/>
                <w:szCs w:val="16"/>
                <w:lang w:eastAsia="lv-LV"/>
              </w:rPr>
            </w:pPr>
          </w:p>
        </w:tc>
        <w:tc>
          <w:tcPr>
            <w:tcW w:w="193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245BB01"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Aptver periodu pēc 2020.gada</w:t>
            </w:r>
          </w:p>
        </w:tc>
        <w:tc>
          <w:tcPr>
            <w:tcW w:w="34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824072E" w14:textId="38CDD9F6" w:rsidR="003E6EAD" w:rsidRDefault="003A4514">
            <w:pPr>
              <w:spacing w:after="0" w:line="240" w:lineRule="auto"/>
              <w:jc w:val="center"/>
              <w:rPr>
                <w:rFonts w:ascii="Cambria" w:hAnsi="Cambria"/>
                <w:color w:val="000000"/>
                <w:sz w:val="16"/>
                <w:szCs w:val="16"/>
                <w:lang w:eastAsia="lv-LV"/>
              </w:rPr>
            </w:pPr>
            <w:r w:rsidRPr="73BCE096">
              <w:rPr>
                <w:rFonts w:ascii="Cambria" w:hAnsi="Cambria"/>
                <w:color w:val="000000" w:themeColor="text1"/>
                <w:sz w:val="16"/>
                <w:szCs w:val="16"/>
                <w:lang w:eastAsia="lv-LV"/>
              </w:rPr>
              <w:t>2013.-2020.</w:t>
            </w:r>
            <w:r w:rsidR="00C75E26">
              <w:rPr>
                <w:rFonts w:ascii="Cambria" w:hAnsi="Cambria"/>
                <w:color w:val="000000" w:themeColor="text1"/>
                <w:sz w:val="16"/>
                <w:szCs w:val="16"/>
                <w:lang w:eastAsia="lv-LV"/>
              </w:rPr>
              <w:t xml:space="preserve"> </w:t>
            </w:r>
            <w:r w:rsidRPr="73BCE096">
              <w:rPr>
                <w:rFonts w:ascii="Cambria" w:hAnsi="Cambria"/>
                <w:color w:val="000000" w:themeColor="text1"/>
                <w:sz w:val="16"/>
                <w:szCs w:val="16"/>
                <w:lang w:eastAsia="lv-LV"/>
              </w:rPr>
              <w:t>g</w:t>
            </w:r>
            <w:r w:rsidR="7080B269" w:rsidRPr="73BCE096">
              <w:rPr>
                <w:rFonts w:ascii="Cambria" w:hAnsi="Cambria"/>
                <w:color w:val="000000" w:themeColor="text1"/>
                <w:sz w:val="16"/>
                <w:szCs w:val="16"/>
                <w:lang w:eastAsia="lv-LV"/>
              </w:rPr>
              <w:t>ads</w:t>
            </w:r>
          </w:p>
        </w:tc>
        <w:tc>
          <w:tcPr>
            <w:tcW w:w="537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934462F" w14:textId="0D406880" w:rsidR="003E6EAD" w:rsidRDefault="003A4514">
            <w:pPr>
              <w:spacing w:after="0" w:line="240" w:lineRule="auto"/>
              <w:jc w:val="center"/>
              <w:rPr>
                <w:rFonts w:ascii="Cambria" w:hAnsi="Cambria"/>
                <w:color w:val="000000"/>
                <w:sz w:val="16"/>
                <w:szCs w:val="16"/>
                <w:lang w:eastAsia="lv-LV"/>
              </w:rPr>
            </w:pPr>
            <w:r w:rsidRPr="35122696">
              <w:rPr>
                <w:rFonts w:ascii="Cambria" w:hAnsi="Cambria"/>
                <w:color w:val="000000" w:themeColor="text1"/>
                <w:sz w:val="16"/>
                <w:szCs w:val="16"/>
                <w:lang w:eastAsia="lv-LV"/>
              </w:rPr>
              <w:t>2021.-2030.</w:t>
            </w:r>
            <w:r w:rsidR="00C75E26">
              <w:rPr>
                <w:rFonts w:ascii="Cambria" w:hAnsi="Cambria"/>
                <w:color w:val="000000" w:themeColor="text1"/>
                <w:sz w:val="16"/>
                <w:szCs w:val="16"/>
                <w:lang w:eastAsia="lv-LV"/>
              </w:rPr>
              <w:t xml:space="preserve"> </w:t>
            </w:r>
            <w:r w:rsidRPr="3A13D7B1">
              <w:rPr>
                <w:rFonts w:ascii="Cambria" w:hAnsi="Cambria"/>
                <w:color w:val="000000" w:themeColor="text1"/>
                <w:sz w:val="16"/>
                <w:szCs w:val="16"/>
                <w:lang w:eastAsia="lv-LV"/>
              </w:rPr>
              <w:t>g</w:t>
            </w:r>
            <w:r w:rsidR="733EF336" w:rsidRPr="3A13D7B1">
              <w:rPr>
                <w:rFonts w:ascii="Cambria" w:hAnsi="Cambria"/>
                <w:color w:val="000000" w:themeColor="text1"/>
                <w:sz w:val="16"/>
                <w:szCs w:val="16"/>
                <w:lang w:eastAsia="lv-LV"/>
              </w:rPr>
              <w:t>ads</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5751DB7" w14:textId="72EA437E"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2050</w:t>
            </w:r>
            <w:r w:rsidR="00C75E26">
              <w:rPr>
                <w:rFonts w:ascii="Cambria" w:hAnsi="Cambria"/>
                <w:color w:val="000000"/>
                <w:sz w:val="16"/>
                <w:szCs w:val="16"/>
                <w:lang w:eastAsia="lv-LV"/>
              </w:rPr>
              <w:t>.</w:t>
            </w:r>
            <w:r>
              <w:rPr>
                <w:rFonts w:ascii="Cambria" w:hAnsi="Cambria"/>
                <w:color w:val="000000"/>
                <w:sz w:val="16"/>
                <w:szCs w:val="16"/>
                <w:lang w:eastAsia="lv-LV"/>
              </w:rPr>
              <w:t xml:space="preserve"> g</w:t>
            </w:r>
            <w:r w:rsidR="00503C7B">
              <w:rPr>
                <w:rFonts w:ascii="Cambria" w:hAnsi="Cambria"/>
                <w:color w:val="000000"/>
                <w:sz w:val="16"/>
                <w:szCs w:val="16"/>
                <w:lang w:eastAsia="lv-LV"/>
              </w:rPr>
              <w:t>ads</w:t>
            </w:r>
            <w:r>
              <w:rPr>
                <w:rFonts w:ascii="Cambria" w:hAnsi="Cambria"/>
                <w:color w:val="000000"/>
                <w:sz w:val="16"/>
                <w:szCs w:val="16"/>
                <w:lang w:eastAsia="lv-LV"/>
              </w:rPr>
              <w:t>.</w:t>
            </w:r>
          </w:p>
        </w:tc>
      </w:tr>
      <w:tr w:rsidR="003E6EAD" w14:paraId="2280E501" w14:textId="77777777" w:rsidTr="5B9FE7F0">
        <w:trPr>
          <w:trHeight w:val="312"/>
        </w:trPr>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475BA3C"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Kopējais emisiju samazināšanas mērķis</w:t>
            </w:r>
          </w:p>
        </w:tc>
        <w:tc>
          <w:tcPr>
            <w:tcW w:w="19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3763A35" w14:textId="77777777" w:rsidR="003E6EAD" w:rsidRDefault="003A4514">
            <w:pPr>
              <w:snapToGrid w:val="0"/>
              <w:spacing w:after="0" w:line="240" w:lineRule="auto"/>
              <w:jc w:val="center"/>
            </w:pPr>
            <w:r>
              <w:rPr>
                <w:rFonts w:ascii="Cambria" w:hAnsi="Cambria"/>
                <w:color w:val="000000"/>
                <w:sz w:val="16"/>
                <w:szCs w:val="16"/>
                <w:lang w:eastAsia="lv-LV"/>
              </w:rPr>
              <w:t>-20 %</w:t>
            </w:r>
          </w:p>
        </w:tc>
        <w:tc>
          <w:tcPr>
            <w:tcW w:w="19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9A3D5C0" w14:textId="13A02C52"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vismaz - 55% samazinājums 2030.</w:t>
            </w:r>
            <w:r w:rsidR="00A575A5">
              <w:rPr>
                <w:rFonts w:ascii="Cambria" w:hAnsi="Cambria"/>
                <w:color w:val="000000"/>
                <w:sz w:val="16"/>
                <w:szCs w:val="16"/>
                <w:lang w:eastAsia="lv-LV"/>
              </w:rPr>
              <w:t xml:space="preserve"> </w:t>
            </w:r>
            <w:r>
              <w:rPr>
                <w:rFonts w:ascii="Cambria" w:hAnsi="Cambria"/>
                <w:color w:val="000000"/>
                <w:sz w:val="16"/>
                <w:szCs w:val="16"/>
                <w:lang w:eastAsia="lv-LV"/>
              </w:rPr>
              <w:t>gadā</w:t>
            </w:r>
          </w:p>
        </w:tc>
        <w:tc>
          <w:tcPr>
            <w:tcW w:w="34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D4C0010" w14:textId="65767105"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-20 % SEG  emisiju samazinājums, salīdzinot ar 1990.</w:t>
            </w:r>
            <w:r w:rsidR="008C3972">
              <w:rPr>
                <w:rFonts w:ascii="Cambria" w:hAnsi="Cambria"/>
                <w:color w:val="000000"/>
                <w:sz w:val="16"/>
                <w:szCs w:val="16"/>
                <w:lang w:eastAsia="lv-LV"/>
              </w:rPr>
              <w:t xml:space="preserve"> </w:t>
            </w:r>
            <w:r>
              <w:rPr>
                <w:rFonts w:ascii="Cambria" w:hAnsi="Cambria"/>
                <w:color w:val="000000"/>
                <w:sz w:val="16"/>
                <w:szCs w:val="16"/>
                <w:lang w:eastAsia="lv-LV"/>
              </w:rPr>
              <w:t>gadu</w:t>
            </w:r>
          </w:p>
        </w:tc>
        <w:tc>
          <w:tcPr>
            <w:tcW w:w="537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7AB536E" w14:textId="78AE1768" w:rsidR="003E6EAD" w:rsidRDefault="003A4514">
            <w:pPr>
              <w:spacing w:after="0" w:line="240" w:lineRule="auto"/>
              <w:jc w:val="center"/>
            </w:pPr>
            <w:r>
              <w:rPr>
                <w:rFonts w:ascii="Cambria" w:hAnsi="Cambria"/>
                <w:color w:val="000000"/>
                <w:sz w:val="16"/>
                <w:szCs w:val="16"/>
                <w:lang w:eastAsia="lv-LV"/>
              </w:rPr>
              <w:t>vismaz -55 % iekšējs neto SEG emisiju samazinājums, salīdzinot ar 1990.</w:t>
            </w:r>
            <w:r w:rsidR="008C3972">
              <w:rPr>
                <w:rFonts w:ascii="Cambria" w:hAnsi="Cambria"/>
                <w:color w:val="000000"/>
                <w:sz w:val="16"/>
                <w:szCs w:val="16"/>
                <w:lang w:eastAsia="lv-LV"/>
              </w:rPr>
              <w:t xml:space="preserve"> </w:t>
            </w:r>
            <w:r>
              <w:rPr>
                <w:rFonts w:ascii="Cambria" w:hAnsi="Cambria"/>
                <w:color w:val="000000"/>
                <w:sz w:val="16"/>
                <w:szCs w:val="16"/>
                <w:lang w:eastAsia="lv-LV"/>
              </w:rPr>
              <w:t>gadu</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2AC9946" w14:textId="77777777" w:rsidR="003E6EAD" w:rsidRDefault="003A4514" w:rsidP="2210C9DB">
            <w:pPr>
              <w:spacing w:after="0" w:line="240" w:lineRule="auto"/>
              <w:rPr>
                <w:rFonts w:ascii="Cambria" w:hAnsi="Cambria"/>
                <w:color w:val="000000"/>
                <w:sz w:val="16"/>
                <w:szCs w:val="16"/>
                <w:lang w:eastAsia="lv-LV"/>
              </w:rPr>
            </w:pPr>
            <w:r w:rsidRPr="2210C9DB">
              <w:rPr>
                <w:rFonts w:ascii="Cambria" w:hAnsi="Cambria"/>
                <w:color w:val="000000" w:themeColor="text1"/>
                <w:sz w:val="16"/>
                <w:szCs w:val="16"/>
                <w:lang w:eastAsia="lv-LV"/>
              </w:rPr>
              <w:t>Klimatneitraltitāte (līdzsvars starp emisijām un piesaisti)</w:t>
            </w:r>
          </w:p>
        </w:tc>
      </w:tr>
      <w:tr w:rsidR="003E6EAD" w14:paraId="1E81BCEE" w14:textId="77777777" w:rsidTr="0000505D">
        <w:trPr>
          <w:trHeight w:val="521"/>
        </w:trPr>
        <w:tc>
          <w:tcPr>
            <w:tcW w:w="135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vAlign w:val="center"/>
          </w:tcPr>
          <w:p w14:paraId="45DE1148"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lastRenderedPageBreak/>
              <w:t>SEG emisiju samazinājuma mērķi</w:t>
            </w:r>
          </w:p>
        </w:tc>
        <w:tc>
          <w:tcPr>
            <w:tcW w:w="1922" w:type="dxa"/>
            <w:gridSpan w:val="2"/>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vAlign w:val="center"/>
          </w:tcPr>
          <w:p w14:paraId="7349E0A7" w14:textId="77777777" w:rsidR="003E6EAD" w:rsidRDefault="003E6EAD">
            <w:pPr>
              <w:snapToGrid w:val="0"/>
              <w:spacing w:after="0" w:line="240" w:lineRule="auto"/>
              <w:jc w:val="center"/>
              <w:rPr>
                <w:rFonts w:ascii="Cambria" w:hAnsi="Cambria"/>
                <w:b/>
                <w:bCs/>
                <w:color w:val="000000"/>
                <w:sz w:val="16"/>
                <w:szCs w:val="16"/>
                <w:lang w:eastAsia="lv-LV"/>
              </w:rPr>
            </w:pPr>
          </w:p>
          <w:p w14:paraId="743C5D47" w14:textId="77777777" w:rsidR="003E6EAD" w:rsidRDefault="003E6EAD">
            <w:pPr>
              <w:spacing w:after="0" w:line="240" w:lineRule="auto"/>
              <w:jc w:val="center"/>
              <w:rPr>
                <w:rFonts w:ascii="Cambria" w:hAnsi="Cambria"/>
                <w:color w:val="000000"/>
                <w:sz w:val="16"/>
                <w:szCs w:val="16"/>
                <w:lang w:eastAsia="lv-LV"/>
              </w:rPr>
            </w:pPr>
          </w:p>
        </w:tc>
        <w:tc>
          <w:tcPr>
            <w:tcW w:w="193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vAlign w:val="center"/>
          </w:tcPr>
          <w:p w14:paraId="4AD35B50" w14:textId="77777777" w:rsidR="003E6EAD" w:rsidRDefault="003E6EAD">
            <w:pPr>
              <w:spacing w:after="0" w:line="240" w:lineRule="auto"/>
              <w:jc w:val="center"/>
              <w:rPr>
                <w:rFonts w:ascii="Cambria" w:hAnsi="Cambria"/>
                <w:sz w:val="16"/>
                <w:szCs w:val="16"/>
              </w:rPr>
            </w:pP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962E2E8" w14:textId="21683D94"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 xml:space="preserve"> -21 % samazinājums 2020.gadā, salīdzinot ar 2005.</w:t>
            </w:r>
            <w:r w:rsidR="008C3972">
              <w:rPr>
                <w:rFonts w:ascii="Cambria" w:hAnsi="Cambria"/>
                <w:color w:val="000000"/>
                <w:sz w:val="16"/>
                <w:szCs w:val="16"/>
                <w:lang w:eastAsia="lv-LV"/>
              </w:rPr>
              <w:t xml:space="preserve"> </w:t>
            </w:r>
            <w:r>
              <w:rPr>
                <w:rFonts w:ascii="Cambria" w:hAnsi="Cambria"/>
                <w:color w:val="000000"/>
                <w:sz w:val="16"/>
                <w:szCs w:val="16"/>
                <w:lang w:eastAsia="lv-LV"/>
              </w:rPr>
              <w:t>gada ES ETS SEG emisiju līmeni</w:t>
            </w:r>
          </w:p>
        </w:tc>
        <w:tc>
          <w:tcPr>
            <w:tcW w:w="17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1A7A5C3" w14:textId="7FD8DD3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-10% samazinājums 2020.gadā, salīdzinājumā ar 2005.</w:t>
            </w:r>
            <w:r w:rsidR="008C3972">
              <w:rPr>
                <w:rFonts w:ascii="Cambria" w:hAnsi="Cambria"/>
                <w:color w:val="000000"/>
                <w:sz w:val="16"/>
                <w:szCs w:val="16"/>
                <w:lang w:eastAsia="lv-LV"/>
              </w:rPr>
              <w:t xml:space="preserve"> </w:t>
            </w:r>
            <w:r>
              <w:rPr>
                <w:rFonts w:ascii="Cambria" w:hAnsi="Cambria"/>
                <w:color w:val="000000"/>
                <w:sz w:val="16"/>
                <w:szCs w:val="16"/>
                <w:lang w:eastAsia="lv-LV"/>
              </w:rPr>
              <w:t xml:space="preserve">gada SEG emisiju līmeni ne-ETS sektoros </w:t>
            </w:r>
          </w:p>
          <w:p w14:paraId="278F0E9F" w14:textId="77777777" w:rsidR="003E6EAD" w:rsidRDefault="003E6EAD">
            <w:pPr>
              <w:spacing w:after="0" w:line="240" w:lineRule="auto"/>
              <w:jc w:val="center"/>
              <w:rPr>
                <w:rFonts w:ascii="Cambria" w:hAnsi="Cambria"/>
                <w:color w:val="000000"/>
                <w:sz w:val="16"/>
                <w:szCs w:val="16"/>
                <w:lang w:eastAsia="lv-LV"/>
              </w:rPr>
            </w:pPr>
          </w:p>
          <w:p w14:paraId="3630A901"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Ikgadējie saistošie mērķi dalībvalstīm starp +20% un -20%.</w:t>
            </w:r>
          </w:p>
          <w:p w14:paraId="03D04A88" w14:textId="77777777" w:rsidR="003E6EAD" w:rsidRDefault="003E6EAD">
            <w:pPr>
              <w:spacing w:after="0" w:line="240" w:lineRule="auto"/>
              <w:jc w:val="center"/>
              <w:rPr>
                <w:rFonts w:ascii="Cambria" w:hAnsi="Cambria"/>
                <w:color w:val="000000"/>
                <w:sz w:val="16"/>
                <w:szCs w:val="16"/>
                <w:lang w:eastAsia="lv-LV"/>
              </w:rPr>
            </w:pPr>
          </w:p>
          <w:p w14:paraId="68C7FB9A" w14:textId="77777777" w:rsidR="003E6EAD" w:rsidRDefault="003E6EAD">
            <w:pPr>
              <w:spacing w:after="0" w:line="240" w:lineRule="auto"/>
              <w:jc w:val="center"/>
              <w:rPr>
                <w:rFonts w:ascii="Cambria" w:hAnsi="Cambria"/>
                <w:color w:val="000000"/>
                <w:sz w:val="16"/>
                <w:szCs w:val="16"/>
                <w:lang w:eastAsia="lv-LV"/>
              </w:rPr>
            </w:pPr>
          </w:p>
          <w:p w14:paraId="5B0C25A0" w14:textId="77777777" w:rsidR="003E6EAD" w:rsidRDefault="003E6EAD">
            <w:pPr>
              <w:spacing w:after="0" w:line="240" w:lineRule="auto"/>
              <w:rPr>
                <w:rFonts w:ascii="Cambria" w:hAnsi="Cambria"/>
                <w:color w:val="000000"/>
                <w:sz w:val="16"/>
                <w:szCs w:val="16"/>
                <w:lang w:eastAsia="lv-LV"/>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C0C4D6D" w14:textId="00F9B7DA" w:rsidR="003E6EAD" w:rsidRDefault="003A4514">
            <w:pPr>
              <w:spacing w:after="0" w:line="240" w:lineRule="auto"/>
              <w:jc w:val="center"/>
            </w:pPr>
            <w:r>
              <w:rPr>
                <w:rFonts w:ascii="Cambria" w:hAnsi="Cambria"/>
                <w:color w:val="000000"/>
                <w:sz w:val="16"/>
                <w:szCs w:val="16"/>
                <w:lang w:eastAsia="lv-LV"/>
              </w:rPr>
              <w:t>-62% samazinājums ar 2030.</w:t>
            </w:r>
            <w:r w:rsidR="008C3972">
              <w:rPr>
                <w:rFonts w:ascii="Cambria" w:hAnsi="Cambria"/>
                <w:color w:val="000000"/>
                <w:sz w:val="16"/>
                <w:szCs w:val="16"/>
                <w:lang w:eastAsia="lv-LV"/>
              </w:rPr>
              <w:t xml:space="preserve"> </w:t>
            </w:r>
            <w:r>
              <w:rPr>
                <w:rFonts w:ascii="Cambria" w:hAnsi="Cambria"/>
                <w:color w:val="000000"/>
                <w:sz w:val="16"/>
                <w:szCs w:val="16"/>
                <w:lang w:eastAsia="lv-LV"/>
              </w:rPr>
              <w:t>gadā, salīdzinājumā ar 2005.</w:t>
            </w:r>
            <w:r w:rsidR="00342F8A">
              <w:rPr>
                <w:rFonts w:ascii="Cambria" w:hAnsi="Cambria"/>
                <w:color w:val="000000"/>
                <w:sz w:val="16"/>
                <w:szCs w:val="16"/>
                <w:lang w:eastAsia="lv-LV"/>
              </w:rPr>
              <w:t xml:space="preserve"> </w:t>
            </w:r>
            <w:r>
              <w:rPr>
                <w:rFonts w:ascii="Cambria" w:hAnsi="Cambria"/>
                <w:color w:val="000000"/>
                <w:sz w:val="16"/>
                <w:szCs w:val="16"/>
                <w:lang w:eastAsia="lv-LV"/>
              </w:rPr>
              <w:t>gada ETS SEG emisiju līmeni</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F035AC9" w14:textId="124D5C54"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-42% samazinājums ar 2030.</w:t>
            </w:r>
            <w:r w:rsidR="008C3972">
              <w:rPr>
                <w:rFonts w:ascii="Cambria" w:hAnsi="Cambria"/>
                <w:color w:val="000000"/>
                <w:sz w:val="16"/>
                <w:szCs w:val="16"/>
                <w:lang w:eastAsia="lv-LV"/>
              </w:rPr>
              <w:t xml:space="preserve"> </w:t>
            </w:r>
            <w:r>
              <w:rPr>
                <w:rFonts w:ascii="Cambria" w:hAnsi="Cambria"/>
                <w:color w:val="000000"/>
                <w:sz w:val="16"/>
                <w:szCs w:val="16"/>
                <w:lang w:eastAsia="lv-LV"/>
              </w:rPr>
              <w:t>gadā, salīdzinājumā ar 2005.</w:t>
            </w:r>
            <w:r w:rsidR="00342F8A">
              <w:rPr>
                <w:rFonts w:ascii="Cambria" w:hAnsi="Cambria"/>
                <w:color w:val="000000"/>
                <w:sz w:val="16"/>
                <w:szCs w:val="16"/>
                <w:lang w:eastAsia="lv-LV"/>
              </w:rPr>
              <w:t xml:space="preserve"> </w:t>
            </w:r>
            <w:r>
              <w:rPr>
                <w:rFonts w:ascii="Cambria" w:hAnsi="Cambria"/>
                <w:color w:val="000000"/>
                <w:sz w:val="16"/>
                <w:szCs w:val="16"/>
                <w:lang w:eastAsia="lv-LV"/>
              </w:rPr>
              <w:t>gada ETS2 SEG emisiju līmeni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EBECB87" w14:textId="6FC8DB33" w:rsidR="003E6EAD" w:rsidRDefault="003A4514">
            <w:pPr>
              <w:spacing w:after="0" w:line="240" w:lineRule="auto"/>
              <w:jc w:val="center"/>
            </w:pPr>
            <w:r>
              <w:rPr>
                <w:rFonts w:ascii="Cambria" w:hAnsi="Cambria"/>
                <w:color w:val="000000"/>
                <w:sz w:val="16"/>
                <w:szCs w:val="16"/>
                <w:lang w:eastAsia="lv-LV"/>
              </w:rPr>
              <w:t>-40% samazinājums 2030.</w:t>
            </w:r>
            <w:r w:rsidR="008C3972">
              <w:rPr>
                <w:rFonts w:ascii="Cambria" w:hAnsi="Cambria"/>
                <w:color w:val="000000"/>
                <w:sz w:val="16"/>
                <w:szCs w:val="16"/>
                <w:lang w:eastAsia="lv-LV"/>
              </w:rPr>
              <w:t xml:space="preserve"> </w:t>
            </w:r>
            <w:r>
              <w:rPr>
                <w:rFonts w:ascii="Cambria" w:hAnsi="Cambria"/>
                <w:color w:val="000000"/>
                <w:sz w:val="16"/>
                <w:szCs w:val="16"/>
                <w:lang w:eastAsia="lv-LV"/>
              </w:rPr>
              <w:t>gadā, salīdzinājumā ar 2005.</w:t>
            </w:r>
            <w:r w:rsidR="00342F8A">
              <w:rPr>
                <w:rFonts w:ascii="Cambria" w:hAnsi="Cambria"/>
                <w:color w:val="000000"/>
                <w:sz w:val="16"/>
                <w:szCs w:val="16"/>
                <w:lang w:eastAsia="lv-LV"/>
              </w:rPr>
              <w:t xml:space="preserve"> </w:t>
            </w:r>
            <w:r>
              <w:rPr>
                <w:rFonts w:ascii="Cambria" w:hAnsi="Cambria"/>
                <w:color w:val="000000"/>
                <w:sz w:val="16"/>
                <w:szCs w:val="16"/>
                <w:lang w:eastAsia="lv-LV"/>
              </w:rPr>
              <w:t>gada SEG emisiju līmeni ne-ETS sektoros.</w:t>
            </w:r>
          </w:p>
          <w:p w14:paraId="3892D349"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 xml:space="preserve">Ikgadējie saistošie mērķi dalībvalstīm starp +10% </w:t>
            </w:r>
          </w:p>
          <w:p w14:paraId="73C057CE"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un -50%.</w:t>
            </w:r>
          </w:p>
          <w:p w14:paraId="34F57432" w14:textId="77777777" w:rsidR="003E6EAD" w:rsidRDefault="003E6EAD">
            <w:pPr>
              <w:spacing w:after="0" w:line="240" w:lineRule="auto"/>
              <w:jc w:val="center"/>
              <w:rPr>
                <w:rFonts w:ascii="Cambria" w:hAnsi="Cambria"/>
                <w:color w:val="000000"/>
                <w:sz w:val="16"/>
                <w:szCs w:val="16"/>
                <w:lang w:eastAsia="lv-LV"/>
              </w:rPr>
            </w:pPr>
          </w:p>
          <w:p w14:paraId="47776D78" w14:textId="77777777" w:rsidR="003E6EAD" w:rsidRDefault="003E6EAD">
            <w:pPr>
              <w:spacing w:after="0" w:line="240" w:lineRule="auto"/>
              <w:jc w:val="center"/>
              <w:rPr>
                <w:rFonts w:ascii="Cambria" w:hAnsi="Cambria"/>
                <w:color w:val="000000"/>
                <w:sz w:val="16"/>
                <w:szCs w:val="16"/>
                <w:lang w:eastAsia="lv-LV"/>
              </w:rPr>
            </w:pPr>
          </w:p>
          <w:p w14:paraId="4BAF5D20" w14:textId="77777777" w:rsidR="003E6EAD" w:rsidRDefault="003E6EAD">
            <w:pPr>
              <w:spacing w:after="0" w:line="240" w:lineRule="auto"/>
              <w:jc w:val="center"/>
              <w:rPr>
                <w:rFonts w:ascii="Cambria" w:hAnsi="Cambria"/>
                <w:color w:val="000000"/>
                <w:sz w:val="16"/>
                <w:szCs w:val="16"/>
                <w:lang w:eastAsia="lv-LV"/>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19467DF" w14:textId="77777777" w:rsidR="003E6EAD" w:rsidRDefault="003A4514" w:rsidP="5B9FE7F0">
            <w:pPr>
              <w:spacing w:after="0" w:line="240" w:lineRule="auto"/>
              <w:rPr>
                <w:rFonts w:ascii="Cambria" w:hAnsi="Cambria"/>
                <w:color w:val="000000" w:themeColor="text1"/>
                <w:sz w:val="16"/>
                <w:szCs w:val="16"/>
                <w:lang w:eastAsia="lv-LV"/>
              </w:rPr>
            </w:pPr>
            <w:r w:rsidRPr="5B9FE7F0">
              <w:rPr>
                <w:rFonts w:ascii="Cambria" w:hAnsi="Cambria"/>
                <w:color w:val="000000" w:themeColor="text1"/>
                <w:sz w:val="16"/>
                <w:szCs w:val="16"/>
                <w:lang w:eastAsia="lv-LV"/>
              </w:rPr>
              <w:t>Pirmajā posmā 2021.–2025. g. “ne-emisiju” apņemšanās kopā saglabāt pašreizējo oglekļa dioksīda piesaistes līmeni noteiktās uzskaites kategorijās. Otrajā posmā no 2026. - 2030.g.: ES mēroga mērķis līdz 2030. gadam sasniegt -310 Mt CO</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 xml:space="preserve"> ekvivalenta neto piesaisti, katrai dalībvalstij būs nacionāli saistoši mērķi 2030. gadam.</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561A848" w14:textId="77777777" w:rsidR="003E6EAD" w:rsidRDefault="003E6EAD">
            <w:pPr>
              <w:spacing w:after="0" w:line="240" w:lineRule="auto"/>
              <w:jc w:val="center"/>
              <w:rPr>
                <w:rFonts w:ascii="Cambria" w:hAnsi="Cambria"/>
                <w:color w:val="000000"/>
                <w:sz w:val="16"/>
                <w:szCs w:val="16"/>
                <w:lang w:eastAsia="lv-LV"/>
              </w:rPr>
            </w:pPr>
          </w:p>
        </w:tc>
      </w:tr>
      <w:tr w:rsidR="003E6EAD" w14:paraId="6931685F" w14:textId="77777777" w:rsidTr="0000505D">
        <w:trPr>
          <w:trHeight w:val="528"/>
        </w:trPr>
        <w:tc>
          <w:tcPr>
            <w:tcW w:w="135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39CA14"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Bāzes gads</w:t>
            </w:r>
          </w:p>
        </w:tc>
        <w:tc>
          <w:tcPr>
            <w:tcW w:w="192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E0A5661" w14:textId="77777777" w:rsidR="003E6EAD" w:rsidRDefault="003E6EAD">
            <w:pPr>
              <w:snapToGrid w:val="0"/>
              <w:spacing w:after="0" w:line="240" w:lineRule="auto"/>
              <w:jc w:val="center"/>
              <w:rPr>
                <w:rFonts w:ascii="Cambria" w:hAnsi="Cambria"/>
                <w:b/>
                <w:bCs/>
                <w:color w:val="000000"/>
                <w:sz w:val="16"/>
                <w:szCs w:val="16"/>
                <w:lang w:eastAsia="lv-LV"/>
              </w:rPr>
            </w:pPr>
          </w:p>
          <w:p w14:paraId="5DA09D7B" w14:textId="0AB23A60" w:rsidR="003E6EAD" w:rsidRDefault="003A4514" w:rsidP="5B9FE7F0">
            <w:pPr>
              <w:spacing w:after="0" w:line="240" w:lineRule="auto"/>
              <w:jc w:val="center"/>
              <w:rPr>
                <w:rFonts w:ascii="Cambria" w:hAnsi="Cambria"/>
                <w:color w:val="000000" w:themeColor="text1"/>
                <w:sz w:val="16"/>
                <w:szCs w:val="16"/>
                <w:lang w:eastAsia="lv-LV"/>
              </w:rPr>
            </w:pPr>
            <w:r w:rsidRPr="5B9FE7F0">
              <w:rPr>
                <w:rFonts w:ascii="Cambria" w:hAnsi="Cambria"/>
                <w:color w:val="000000" w:themeColor="text1"/>
                <w:sz w:val="16"/>
                <w:szCs w:val="16"/>
                <w:lang w:eastAsia="lv-LV"/>
              </w:rPr>
              <w:t>1990.</w:t>
            </w:r>
            <w:r w:rsidR="44E0287D" w:rsidRPr="5B9FE7F0">
              <w:rPr>
                <w:rFonts w:ascii="Cambria" w:hAnsi="Cambria"/>
                <w:color w:val="000000" w:themeColor="text1"/>
                <w:sz w:val="16"/>
                <w:szCs w:val="16"/>
                <w:lang w:eastAsia="lv-LV"/>
              </w:rPr>
              <w:t xml:space="preserve"> </w:t>
            </w:r>
            <w:r w:rsidRPr="5B9FE7F0">
              <w:rPr>
                <w:rFonts w:ascii="Cambria" w:hAnsi="Cambria"/>
                <w:color w:val="000000" w:themeColor="text1"/>
                <w:sz w:val="16"/>
                <w:szCs w:val="16"/>
                <w:lang w:eastAsia="lv-LV"/>
              </w:rPr>
              <w:t xml:space="preserve">gads, elastības iespēja izvēlēties bāzes </w:t>
            </w:r>
            <w:r w:rsidRPr="5B9FE7F0">
              <w:rPr>
                <w:rFonts w:ascii="Cambria" w:hAnsi="Cambria"/>
                <w:color w:val="000000" w:themeColor="text1"/>
                <w:sz w:val="16"/>
                <w:szCs w:val="16"/>
                <w:lang w:eastAsia="lv-LV"/>
              </w:rPr>
              <w:lastRenderedPageBreak/>
              <w:t>gadu (1995. vai 2000.gads) slāpekļa trifluorīdam (NF</w:t>
            </w:r>
            <w:r w:rsidRPr="5B9FE7F0">
              <w:rPr>
                <w:rFonts w:ascii="Cambria" w:hAnsi="Cambria"/>
                <w:color w:val="000000" w:themeColor="text1"/>
                <w:sz w:val="16"/>
                <w:szCs w:val="16"/>
                <w:vertAlign w:val="subscript"/>
                <w:lang w:eastAsia="lv-LV"/>
              </w:rPr>
              <w:t>3</w:t>
            </w:r>
            <w:r w:rsidRPr="5B9FE7F0">
              <w:rPr>
                <w:rFonts w:ascii="Cambria" w:hAnsi="Cambria"/>
                <w:color w:val="000000" w:themeColor="text1"/>
                <w:sz w:val="16"/>
                <w:szCs w:val="16"/>
                <w:lang w:eastAsia="lv-LV"/>
              </w:rPr>
              <w:t>)</w:t>
            </w:r>
          </w:p>
        </w:tc>
        <w:tc>
          <w:tcPr>
            <w:tcW w:w="19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5C65424"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lastRenderedPageBreak/>
              <w:t>1990.g.</w:t>
            </w:r>
          </w:p>
        </w:tc>
        <w:tc>
          <w:tcPr>
            <w:tcW w:w="1734"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496EED3" w14:textId="655E1C64" w:rsidR="003E6EAD" w:rsidRDefault="003A4514">
            <w:pPr>
              <w:spacing w:after="0" w:line="240" w:lineRule="auto"/>
              <w:jc w:val="center"/>
              <w:rPr>
                <w:rFonts w:ascii="Cambria" w:hAnsi="Cambria"/>
                <w:color w:val="000000"/>
                <w:sz w:val="16"/>
                <w:szCs w:val="16"/>
                <w:lang w:eastAsia="lv-LV"/>
              </w:rPr>
            </w:pPr>
            <w:r w:rsidRPr="2A3D2D26">
              <w:rPr>
                <w:rFonts w:ascii="Cambria" w:hAnsi="Cambria"/>
                <w:color w:val="000000" w:themeColor="text1"/>
                <w:sz w:val="16"/>
                <w:szCs w:val="16"/>
                <w:lang w:eastAsia="lv-LV"/>
              </w:rPr>
              <w:t>2005.</w:t>
            </w:r>
            <w:r w:rsidR="00C75E26">
              <w:rPr>
                <w:rFonts w:ascii="Cambria" w:hAnsi="Cambria"/>
                <w:color w:val="000000" w:themeColor="text1"/>
                <w:sz w:val="16"/>
                <w:szCs w:val="16"/>
                <w:lang w:eastAsia="lv-LV"/>
              </w:rPr>
              <w:t xml:space="preserve"> </w:t>
            </w:r>
            <w:r w:rsidRPr="24F3FCAB">
              <w:rPr>
                <w:rFonts w:ascii="Cambria" w:hAnsi="Cambria"/>
                <w:color w:val="000000" w:themeColor="text1"/>
                <w:sz w:val="16"/>
                <w:szCs w:val="16"/>
                <w:lang w:eastAsia="lv-LV"/>
              </w:rPr>
              <w:t>g</w:t>
            </w:r>
            <w:r w:rsidR="5248D22B" w:rsidRPr="24F3FCAB">
              <w:rPr>
                <w:rFonts w:ascii="Cambria" w:hAnsi="Cambria"/>
                <w:color w:val="000000" w:themeColor="text1"/>
                <w:sz w:val="16"/>
                <w:szCs w:val="16"/>
                <w:lang w:eastAsia="lv-LV"/>
              </w:rPr>
              <w:t>ads</w:t>
            </w:r>
          </w:p>
        </w:tc>
        <w:tc>
          <w:tcPr>
            <w:tcW w:w="17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D54F755" w14:textId="3CB44E46" w:rsidR="003E6EAD" w:rsidRDefault="003A4514">
            <w:pPr>
              <w:spacing w:after="0" w:line="240" w:lineRule="auto"/>
              <w:jc w:val="center"/>
              <w:rPr>
                <w:rFonts w:ascii="Cambria" w:hAnsi="Cambria"/>
                <w:color w:val="000000"/>
                <w:sz w:val="16"/>
                <w:szCs w:val="16"/>
                <w:lang w:eastAsia="lv-LV"/>
              </w:rPr>
            </w:pPr>
            <w:r w:rsidRPr="24F3FCAB">
              <w:rPr>
                <w:rFonts w:ascii="Cambria" w:hAnsi="Cambria"/>
                <w:color w:val="000000" w:themeColor="text1"/>
                <w:sz w:val="16"/>
                <w:szCs w:val="16"/>
                <w:lang w:eastAsia="lv-LV"/>
              </w:rPr>
              <w:t>2005.</w:t>
            </w:r>
            <w:r w:rsidR="00C75E26">
              <w:rPr>
                <w:rFonts w:ascii="Cambria" w:hAnsi="Cambria"/>
                <w:color w:val="000000" w:themeColor="text1"/>
                <w:sz w:val="16"/>
                <w:szCs w:val="16"/>
                <w:lang w:eastAsia="lv-LV"/>
              </w:rPr>
              <w:t xml:space="preserve"> </w:t>
            </w:r>
            <w:r w:rsidRPr="24F3FCAB">
              <w:rPr>
                <w:rFonts w:ascii="Cambria" w:hAnsi="Cambria"/>
                <w:color w:val="000000" w:themeColor="text1"/>
                <w:sz w:val="16"/>
                <w:szCs w:val="16"/>
                <w:lang w:eastAsia="lv-LV"/>
              </w:rPr>
              <w:t>g</w:t>
            </w:r>
            <w:r w:rsidR="7E409DAB" w:rsidRPr="24F3FCAB">
              <w:rPr>
                <w:rFonts w:ascii="Cambria" w:hAnsi="Cambria"/>
                <w:color w:val="000000" w:themeColor="text1"/>
                <w:sz w:val="16"/>
                <w:szCs w:val="16"/>
                <w:lang w:eastAsia="lv-LV"/>
              </w:rPr>
              <w:t>ads</w:t>
            </w:r>
          </w:p>
        </w:tc>
        <w:tc>
          <w:tcPr>
            <w:tcW w:w="28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FA15A2E" w14:textId="35E628B0" w:rsidR="003E6EAD" w:rsidRDefault="003A4514">
            <w:pPr>
              <w:spacing w:after="0" w:line="240" w:lineRule="auto"/>
              <w:jc w:val="center"/>
            </w:pPr>
            <w:r w:rsidRPr="3F270778">
              <w:rPr>
                <w:rFonts w:ascii="Cambria" w:hAnsi="Cambria"/>
                <w:color w:val="000000" w:themeColor="text1"/>
                <w:sz w:val="16"/>
                <w:szCs w:val="16"/>
                <w:lang w:eastAsia="lv-LV"/>
              </w:rPr>
              <w:t>2005.</w:t>
            </w:r>
            <w:r w:rsidR="00C75E26">
              <w:rPr>
                <w:rFonts w:ascii="Cambria" w:hAnsi="Cambria"/>
                <w:color w:val="000000" w:themeColor="text1"/>
                <w:sz w:val="16"/>
                <w:szCs w:val="16"/>
                <w:lang w:eastAsia="lv-LV"/>
              </w:rPr>
              <w:t xml:space="preserve"> </w:t>
            </w:r>
            <w:r w:rsidR="008C3972" w:rsidRPr="3F270778">
              <w:rPr>
                <w:rFonts w:ascii="Cambria" w:hAnsi="Cambria"/>
                <w:color w:val="000000" w:themeColor="text1"/>
                <w:sz w:val="16"/>
                <w:szCs w:val="16"/>
                <w:lang w:eastAsia="lv-LV"/>
              </w:rPr>
              <w:t>g</w:t>
            </w:r>
            <w:r w:rsidR="1C3CF147" w:rsidRPr="3F270778">
              <w:rPr>
                <w:rFonts w:ascii="Cambria" w:hAnsi="Cambria"/>
                <w:color w:val="000000" w:themeColor="text1"/>
                <w:sz w:val="16"/>
                <w:szCs w:val="16"/>
                <w:lang w:eastAsia="lv-LV"/>
              </w:rPr>
              <w:t>ads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C0DA2E6" w14:textId="135CA2A3" w:rsidR="003E6EAD" w:rsidRDefault="003A4514">
            <w:pPr>
              <w:spacing w:after="0" w:line="240" w:lineRule="auto"/>
              <w:jc w:val="center"/>
            </w:pPr>
            <w:r w:rsidRPr="3F270778">
              <w:rPr>
                <w:rFonts w:ascii="Cambria" w:hAnsi="Cambria"/>
                <w:color w:val="000000" w:themeColor="text1"/>
                <w:sz w:val="16"/>
                <w:szCs w:val="16"/>
                <w:lang w:eastAsia="lv-LV"/>
              </w:rPr>
              <w:t>2005.</w:t>
            </w:r>
            <w:r w:rsidR="008C3972" w:rsidRPr="3F270778">
              <w:rPr>
                <w:rFonts w:ascii="Cambria" w:hAnsi="Cambria"/>
                <w:color w:val="000000" w:themeColor="text1"/>
                <w:sz w:val="16"/>
                <w:szCs w:val="16"/>
                <w:lang w:eastAsia="lv-LV"/>
              </w:rPr>
              <w:t>g</w:t>
            </w:r>
            <w:r w:rsidR="01496198" w:rsidRPr="3F270778">
              <w:rPr>
                <w:rFonts w:ascii="Cambria" w:hAnsi="Cambria"/>
                <w:color w:val="000000" w:themeColor="text1"/>
                <w:sz w:val="16"/>
                <w:szCs w:val="16"/>
                <w:lang w:eastAsia="lv-LV"/>
              </w:rPr>
              <w:t>ads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22F4C10" w14:textId="77777777" w:rsidR="003E6EAD" w:rsidRDefault="003A4514">
            <w:pPr>
              <w:spacing w:after="0" w:line="240" w:lineRule="auto"/>
              <w:jc w:val="center"/>
              <w:rPr>
                <w:rFonts w:ascii="Cambria" w:hAnsi="Cambria"/>
                <w:sz w:val="16"/>
                <w:szCs w:val="16"/>
              </w:rPr>
            </w:pPr>
            <w:r>
              <w:rPr>
                <w:rFonts w:ascii="Cambria" w:hAnsi="Cambria"/>
                <w:sz w:val="16"/>
                <w:szCs w:val="16"/>
              </w:rPr>
              <w:t>atkarībā no uzskaites kategorijas</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B85DB0D" w14:textId="77777777" w:rsidR="003E6EAD" w:rsidRDefault="003E6EAD">
            <w:pPr>
              <w:spacing w:after="0" w:line="240" w:lineRule="auto"/>
              <w:jc w:val="center"/>
              <w:rPr>
                <w:rFonts w:ascii="Cambria" w:hAnsi="Cambria"/>
                <w:sz w:val="16"/>
                <w:szCs w:val="16"/>
              </w:rPr>
            </w:pPr>
          </w:p>
        </w:tc>
      </w:tr>
      <w:tr w:rsidR="00501BE0" w14:paraId="31B6A212" w14:textId="77777777" w:rsidTr="6A0C6F8F">
        <w:trPr>
          <w:trHeight w:val="528"/>
        </w:trPr>
        <w:tc>
          <w:tcPr>
            <w:tcW w:w="1350" w:type="dxa"/>
            <w:vMerge/>
            <w:tcMar>
              <w:top w:w="0" w:type="dxa"/>
              <w:left w:w="108" w:type="dxa"/>
              <w:bottom w:w="0" w:type="dxa"/>
              <w:right w:w="108" w:type="dxa"/>
            </w:tcMar>
            <w:vAlign w:val="center"/>
          </w:tcPr>
          <w:p w14:paraId="277DFEDF" w14:textId="77777777" w:rsidR="003E6EAD" w:rsidRDefault="003E6EAD">
            <w:pPr>
              <w:spacing w:after="0" w:line="240" w:lineRule="auto"/>
              <w:rPr>
                <w:rFonts w:ascii="Cambria" w:hAnsi="Cambria"/>
                <w:sz w:val="16"/>
                <w:szCs w:val="16"/>
              </w:rPr>
            </w:pPr>
          </w:p>
        </w:tc>
        <w:tc>
          <w:tcPr>
            <w:tcW w:w="1922" w:type="dxa"/>
            <w:gridSpan w:val="2"/>
            <w:vMerge/>
            <w:tcMar>
              <w:top w:w="0" w:type="dxa"/>
              <w:left w:w="108" w:type="dxa"/>
              <w:bottom w:w="0" w:type="dxa"/>
              <w:right w:w="108" w:type="dxa"/>
            </w:tcMar>
            <w:vAlign w:val="center"/>
          </w:tcPr>
          <w:p w14:paraId="27A77C3E" w14:textId="77777777" w:rsidR="003E6EAD" w:rsidRDefault="003E6EAD">
            <w:pPr>
              <w:spacing w:after="0" w:line="240" w:lineRule="auto"/>
              <w:rPr>
                <w:rFonts w:ascii="Cambria" w:hAnsi="Cambria"/>
                <w:sz w:val="16"/>
                <w:szCs w:val="16"/>
              </w:rPr>
            </w:pPr>
          </w:p>
        </w:tc>
        <w:tc>
          <w:tcPr>
            <w:tcW w:w="1935" w:type="dxa"/>
            <w:vMerge/>
            <w:tcMar>
              <w:top w:w="0" w:type="dxa"/>
              <w:left w:w="108" w:type="dxa"/>
              <w:bottom w:w="0" w:type="dxa"/>
              <w:right w:w="108" w:type="dxa"/>
            </w:tcMar>
            <w:vAlign w:val="center"/>
          </w:tcPr>
          <w:p w14:paraId="5F561816" w14:textId="77777777" w:rsidR="003E6EAD" w:rsidRDefault="003E6EAD">
            <w:pPr>
              <w:spacing w:after="0" w:line="240" w:lineRule="auto"/>
              <w:rPr>
                <w:rFonts w:ascii="Cambria" w:hAnsi="Cambria"/>
                <w:sz w:val="16"/>
                <w:szCs w:val="16"/>
              </w:rPr>
            </w:pPr>
          </w:p>
        </w:tc>
        <w:tc>
          <w:tcPr>
            <w:tcW w:w="3450"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4E6DB5D"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1990.gads vispārīgajam SEG emisiju samazināšanas mērķim.</w:t>
            </w:r>
          </w:p>
        </w:tc>
        <w:tc>
          <w:tcPr>
            <w:tcW w:w="537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77A2A52" w14:textId="77777777" w:rsidR="003E6EAD" w:rsidRDefault="003A4514">
            <w:pPr>
              <w:spacing w:after="0" w:line="240" w:lineRule="auto"/>
              <w:jc w:val="center"/>
            </w:pPr>
            <w:r>
              <w:rPr>
                <w:rFonts w:ascii="Cambria" w:hAnsi="Cambria"/>
                <w:color w:val="000000"/>
                <w:sz w:val="16"/>
                <w:szCs w:val="16"/>
                <w:lang w:eastAsia="lv-LV"/>
              </w:rPr>
              <w:t>1990.gads vispārīgajam SEG emisiju samazināšanas mērķim.</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4B653B9" w14:textId="77777777" w:rsidR="003E6EAD" w:rsidRDefault="003E6EAD">
            <w:pPr>
              <w:spacing w:after="0" w:line="240" w:lineRule="auto"/>
              <w:jc w:val="center"/>
              <w:rPr>
                <w:rFonts w:ascii="Cambria" w:hAnsi="Cambria"/>
                <w:color w:val="000000"/>
                <w:sz w:val="16"/>
                <w:szCs w:val="16"/>
                <w:lang w:eastAsia="lv-LV"/>
              </w:rPr>
            </w:pPr>
          </w:p>
        </w:tc>
      </w:tr>
      <w:tr w:rsidR="003E6EAD" w14:paraId="50BA9F73" w14:textId="77777777" w:rsidTr="0000505D">
        <w:trPr>
          <w:trHeight w:val="1645"/>
        </w:trPr>
        <w:tc>
          <w:tcPr>
            <w:tcW w:w="135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674596A" w14:textId="77777777" w:rsidR="003E6EAD" w:rsidRDefault="003A4514">
            <w:pPr>
              <w:spacing w:after="0" w:line="240" w:lineRule="auto"/>
            </w:pPr>
            <w:r>
              <w:rPr>
                <w:rFonts w:ascii="Cambria" w:hAnsi="Cambria"/>
                <w:color w:val="000000"/>
                <w:sz w:val="16"/>
                <w:szCs w:val="16"/>
                <w:lang w:eastAsia="lv-LV"/>
              </w:rPr>
              <w:t>Pārnestās vienības no iepriekšējiem periodiem</w:t>
            </w:r>
            <w:r>
              <w:rPr>
                <w:rStyle w:val="FootnoteAnchor"/>
                <w:rFonts w:ascii="Cambria" w:hAnsi="Cambria"/>
                <w:color w:val="000000"/>
                <w:sz w:val="16"/>
                <w:szCs w:val="16"/>
                <w:lang w:eastAsia="lv-LV"/>
              </w:rPr>
              <w:footnoteReference w:id="90"/>
            </w:r>
          </w:p>
        </w:tc>
        <w:tc>
          <w:tcPr>
            <w:tcW w:w="1922"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971F48" w14:textId="77777777" w:rsidR="003E6EAD" w:rsidRDefault="003E6EAD">
            <w:pPr>
              <w:snapToGrid w:val="0"/>
              <w:spacing w:after="0" w:line="240" w:lineRule="auto"/>
              <w:jc w:val="center"/>
              <w:rPr>
                <w:rFonts w:ascii="Cambria" w:hAnsi="Cambria"/>
                <w:b/>
                <w:bCs/>
                <w:color w:val="000000"/>
                <w:sz w:val="16"/>
                <w:szCs w:val="16"/>
                <w:lang w:eastAsia="lv-LV"/>
              </w:rPr>
            </w:pPr>
          </w:p>
          <w:p w14:paraId="5897FCF3" w14:textId="77777777" w:rsidR="003E6EAD" w:rsidRDefault="003A4514">
            <w:pPr>
              <w:snapToGrid w:val="0"/>
              <w:spacing w:after="0" w:line="240" w:lineRule="auto"/>
              <w:jc w:val="center"/>
            </w:pPr>
            <w:r>
              <w:rPr>
                <w:rFonts w:ascii="Cambria" w:hAnsi="Cambria"/>
                <w:color w:val="000000"/>
                <w:sz w:val="16"/>
                <w:szCs w:val="16"/>
                <w:lang w:eastAsia="lv-LV"/>
              </w:rPr>
              <w:t>Attiecas uz KP noteikumiem, tostarp Dohas grozījumu ietvaros</w:t>
            </w:r>
          </w:p>
        </w:tc>
        <w:tc>
          <w:tcPr>
            <w:tcW w:w="193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9CFD06A" w14:textId="77777777" w:rsidR="003E6EAD" w:rsidRDefault="003A4514">
            <w:pPr>
              <w:spacing w:after="0" w:line="240" w:lineRule="auto"/>
              <w:jc w:val="center"/>
            </w:pPr>
            <w:r>
              <w:rPr>
                <w:rFonts w:ascii="Cambria" w:hAnsi="Cambria"/>
                <w:color w:val="000000"/>
                <w:sz w:val="16"/>
                <w:szCs w:val="16"/>
                <w:lang w:val="en-GB" w:eastAsia="lv-LV"/>
              </w:rPr>
              <w:t>Nav</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47B600E"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ES ETS emisijas kvotas var tikt glabātas turpmākiem ETS tirdzniecības periodiem kopš 2. perioda</w:t>
            </w:r>
          </w:p>
        </w:tc>
        <w:tc>
          <w:tcPr>
            <w:tcW w:w="17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C20C1FD"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Pārpalikumi netiek pārnesti no iepriekšējā perioda</w:t>
            </w:r>
          </w:p>
        </w:tc>
        <w:tc>
          <w:tcPr>
            <w:tcW w:w="28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FBEFCFF" w14:textId="77777777" w:rsidR="003E6EAD" w:rsidRDefault="003A4514">
            <w:pPr>
              <w:spacing w:after="0" w:line="240" w:lineRule="auto"/>
              <w:jc w:val="center"/>
            </w:pPr>
            <w:r>
              <w:rPr>
                <w:rFonts w:ascii="Cambria" w:hAnsi="Cambria"/>
                <w:color w:val="000000"/>
                <w:sz w:val="16"/>
                <w:szCs w:val="16"/>
                <w:lang w:eastAsia="lv-LV"/>
              </w:rPr>
              <w:t>Emisijas kvotu derīguma termiņš nav saistīts ar tirdzniecības periodiem.  Nav vajadzības tās pārnest no iepriekšējā perioda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CFCA6AB" w14:textId="77777777" w:rsidR="003E6EAD" w:rsidRDefault="003A4514">
            <w:pPr>
              <w:spacing w:after="0" w:line="240" w:lineRule="auto"/>
              <w:jc w:val="center"/>
              <w:rPr>
                <w:rFonts w:ascii="Cambria" w:hAnsi="Cambria"/>
                <w:color w:val="000000"/>
                <w:sz w:val="16"/>
                <w:szCs w:val="16"/>
                <w:lang w:val="en-GB" w:eastAsia="lv-LV"/>
              </w:rPr>
            </w:pPr>
            <w:r>
              <w:rPr>
                <w:rFonts w:ascii="Cambria" w:hAnsi="Cambria"/>
                <w:color w:val="000000"/>
                <w:sz w:val="16"/>
                <w:szCs w:val="16"/>
                <w:lang w:val="en-GB" w:eastAsia="lv-LV"/>
              </w:rPr>
              <w:t>Nav</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392B47A" w14:textId="77777777" w:rsidR="003E6EAD" w:rsidRDefault="003A4514">
            <w:pPr>
              <w:spacing w:after="0" w:line="240" w:lineRule="auto"/>
              <w:jc w:val="center"/>
              <w:rPr>
                <w:rFonts w:ascii="Cambria" w:hAnsi="Cambria"/>
                <w:color w:val="000000"/>
                <w:sz w:val="16"/>
                <w:szCs w:val="16"/>
                <w:lang w:val="en-GB" w:eastAsia="lv-LV"/>
              </w:rPr>
            </w:pPr>
            <w:r>
              <w:rPr>
                <w:rFonts w:ascii="Cambria" w:hAnsi="Cambria"/>
                <w:color w:val="000000"/>
                <w:sz w:val="16"/>
                <w:szCs w:val="16"/>
                <w:lang w:val="en-GB" w:eastAsia="lv-LV"/>
              </w:rPr>
              <w:t>Nav</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E229BAA" w14:textId="77777777" w:rsidR="003E6EAD" w:rsidRDefault="003A4514">
            <w:pPr>
              <w:spacing w:after="0" w:line="240" w:lineRule="auto"/>
              <w:jc w:val="center"/>
            </w:pPr>
            <w:r>
              <w:rPr>
                <w:rFonts w:ascii="Cambria" w:hAnsi="Cambria"/>
                <w:color w:val="000000"/>
                <w:sz w:val="16"/>
                <w:szCs w:val="16"/>
                <w:lang w:val="en-GB" w:eastAsia="lv-LV"/>
              </w:rPr>
              <w:t xml:space="preserve">Nav </w:t>
            </w:r>
          </w:p>
        </w:tc>
      </w:tr>
      <w:tr w:rsidR="003E6EAD" w14:paraId="620AA956" w14:textId="77777777" w:rsidTr="5B9FE7F0">
        <w:trPr>
          <w:trHeight w:val="1645"/>
        </w:trPr>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283DEB0"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Iekļautās gāzes</w:t>
            </w:r>
          </w:p>
        </w:tc>
        <w:tc>
          <w:tcPr>
            <w:tcW w:w="19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802CC98" w14:textId="77777777" w:rsidR="003E6EAD" w:rsidRDefault="003E6EAD">
            <w:pPr>
              <w:snapToGrid w:val="0"/>
              <w:spacing w:after="0" w:line="240" w:lineRule="auto"/>
              <w:jc w:val="center"/>
              <w:rPr>
                <w:rFonts w:ascii="Cambria" w:hAnsi="Cambria"/>
                <w:b/>
                <w:bCs/>
                <w:color w:val="000000"/>
                <w:sz w:val="16"/>
                <w:szCs w:val="16"/>
                <w:lang w:eastAsia="lv-LV"/>
              </w:rPr>
            </w:pPr>
          </w:p>
          <w:p w14:paraId="5E6FC812" w14:textId="270DEB10" w:rsidR="003E6EAD" w:rsidRDefault="003A4514" w:rsidP="5B9FE7F0">
            <w:pPr>
              <w:snapToGrid w:val="0"/>
              <w:spacing w:after="0" w:line="240" w:lineRule="auto"/>
              <w:jc w:val="center"/>
              <w:rPr>
                <w:rFonts w:ascii="Cambria" w:hAnsi="Cambria"/>
                <w:color w:val="000000" w:themeColor="text1"/>
                <w:sz w:val="16"/>
                <w:szCs w:val="16"/>
                <w:vertAlign w:val="subscript"/>
                <w:lang w:eastAsia="lv-LV"/>
              </w:rPr>
            </w:pPr>
            <w:r w:rsidRPr="5B9FE7F0">
              <w:rPr>
                <w:rFonts w:ascii="Cambria" w:hAnsi="Cambria"/>
                <w:color w:val="000000"/>
                <w:sz w:val="16"/>
                <w:szCs w:val="16"/>
                <w:lang w:eastAsia="lv-LV"/>
              </w:rPr>
              <w:t>CO</w:t>
            </w:r>
            <w:r w:rsidRPr="5B9FE7F0">
              <w:rPr>
                <w:rFonts w:ascii="Cambria" w:hAnsi="Cambria"/>
                <w:color w:val="000000"/>
                <w:sz w:val="16"/>
                <w:szCs w:val="16"/>
                <w:vertAlign w:val="subscript"/>
                <w:lang w:eastAsia="lv-LV"/>
              </w:rPr>
              <w:t>2</w:t>
            </w:r>
            <w:r w:rsidRPr="5B9FE7F0">
              <w:rPr>
                <w:rFonts w:ascii="Cambria" w:hAnsi="Cambria"/>
                <w:color w:val="000000"/>
                <w:sz w:val="16"/>
                <w:szCs w:val="16"/>
                <w:lang w:eastAsia="lv-LV"/>
              </w:rPr>
              <w:t>, CH</w:t>
            </w:r>
            <w:r w:rsidRPr="5B9FE7F0">
              <w:rPr>
                <w:rFonts w:ascii="Cambria" w:hAnsi="Cambria"/>
                <w:color w:val="000000"/>
                <w:sz w:val="16"/>
                <w:szCs w:val="16"/>
                <w:vertAlign w:val="subscript"/>
                <w:lang w:eastAsia="lv-LV"/>
              </w:rPr>
              <w:t>4</w:t>
            </w:r>
            <w:r w:rsidRPr="5B9FE7F0">
              <w:rPr>
                <w:rFonts w:ascii="Cambria" w:hAnsi="Cambria"/>
                <w:color w:val="000000"/>
                <w:sz w:val="16"/>
                <w:szCs w:val="16"/>
                <w:lang w:eastAsia="lv-LV"/>
              </w:rPr>
              <w:t>, N</w:t>
            </w:r>
            <w:r w:rsidRPr="5B9FE7F0">
              <w:rPr>
                <w:rFonts w:ascii="Cambria" w:hAnsi="Cambria"/>
                <w:color w:val="000000"/>
                <w:sz w:val="16"/>
                <w:szCs w:val="16"/>
                <w:vertAlign w:val="subscript"/>
                <w:lang w:eastAsia="lv-LV"/>
              </w:rPr>
              <w:t>2</w:t>
            </w:r>
            <w:r w:rsidRPr="5B9FE7F0">
              <w:rPr>
                <w:rFonts w:ascii="Cambria" w:hAnsi="Cambria"/>
                <w:color w:val="000000"/>
                <w:sz w:val="16"/>
                <w:szCs w:val="16"/>
                <w:lang w:eastAsia="lv-LV"/>
              </w:rPr>
              <w:t>O, HFCs</w:t>
            </w:r>
            <w:r w:rsidRPr="5B9FE7F0">
              <w:rPr>
                <w:rStyle w:val="FootnoteAnchor"/>
                <w:rFonts w:ascii="Cambria" w:hAnsi="Cambria"/>
                <w:color w:val="000000"/>
                <w:sz w:val="16"/>
                <w:szCs w:val="16"/>
                <w:lang w:eastAsia="lv-LV"/>
              </w:rPr>
              <w:footnoteReference w:id="91"/>
            </w:r>
            <w:r w:rsidRPr="5B9FE7F0">
              <w:rPr>
                <w:rFonts w:ascii="Cambria" w:hAnsi="Cambria"/>
                <w:color w:val="000000"/>
                <w:sz w:val="16"/>
                <w:szCs w:val="16"/>
                <w:lang w:eastAsia="lv-LV"/>
              </w:rPr>
              <w:t>, PFCs, SF</w:t>
            </w:r>
            <w:r w:rsidRPr="5B9FE7F0">
              <w:rPr>
                <w:rFonts w:ascii="Cambria" w:hAnsi="Cambria"/>
                <w:color w:val="000000"/>
                <w:sz w:val="16"/>
                <w:szCs w:val="16"/>
                <w:vertAlign w:val="subscript"/>
                <w:lang w:eastAsia="lv-LV"/>
              </w:rPr>
              <w:t>6</w:t>
            </w:r>
            <w:r w:rsidRPr="5B9FE7F0">
              <w:rPr>
                <w:rFonts w:ascii="Cambria" w:hAnsi="Cambria"/>
                <w:color w:val="000000"/>
                <w:sz w:val="16"/>
                <w:szCs w:val="16"/>
                <w:lang w:eastAsia="lv-LV"/>
              </w:rPr>
              <w:t>, NF</w:t>
            </w:r>
            <w:r w:rsidRPr="5B9FE7F0">
              <w:rPr>
                <w:rFonts w:ascii="Cambria" w:hAnsi="Cambria"/>
                <w:color w:val="000000"/>
                <w:sz w:val="16"/>
                <w:szCs w:val="16"/>
                <w:vertAlign w:val="subscript"/>
                <w:lang w:eastAsia="lv-LV"/>
              </w:rPr>
              <w:t>3</w:t>
            </w:r>
          </w:p>
        </w:tc>
        <w:tc>
          <w:tcPr>
            <w:tcW w:w="19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15B471D" w14:textId="77777777" w:rsidR="003E6EAD" w:rsidRDefault="003A4514">
            <w:pPr>
              <w:spacing w:after="0" w:line="240" w:lineRule="auto"/>
              <w:jc w:val="center"/>
            </w:pPr>
            <w:r>
              <w:rPr>
                <w:rFonts w:ascii="Cambria" w:hAnsi="Cambria"/>
                <w:color w:val="000000"/>
                <w:sz w:val="16"/>
                <w:szCs w:val="16"/>
                <w:lang w:val="pt-PT" w:eastAsia="lv-LV"/>
              </w:rPr>
              <w:t>CO</w:t>
            </w:r>
            <w:r>
              <w:rPr>
                <w:rFonts w:ascii="Cambria" w:hAnsi="Cambria"/>
                <w:color w:val="000000"/>
                <w:sz w:val="16"/>
                <w:szCs w:val="16"/>
                <w:vertAlign w:val="subscript"/>
                <w:lang w:val="pt-PT" w:eastAsia="lv-LV"/>
              </w:rPr>
              <w:t>2</w:t>
            </w:r>
            <w:r>
              <w:rPr>
                <w:rFonts w:ascii="Cambria" w:hAnsi="Cambria"/>
                <w:color w:val="000000"/>
                <w:sz w:val="16"/>
                <w:szCs w:val="16"/>
                <w:lang w:val="pt-PT" w:eastAsia="lv-LV"/>
              </w:rPr>
              <w:t>, CH</w:t>
            </w:r>
            <w:r>
              <w:rPr>
                <w:rFonts w:ascii="Cambria" w:hAnsi="Cambria"/>
                <w:color w:val="000000"/>
                <w:sz w:val="16"/>
                <w:szCs w:val="16"/>
                <w:vertAlign w:val="subscript"/>
                <w:lang w:val="pt-PT" w:eastAsia="lv-LV"/>
              </w:rPr>
              <w:t>4</w:t>
            </w:r>
            <w:r>
              <w:rPr>
                <w:rFonts w:ascii="Cambria" w:hAnsi="Cambria"/>
                <w:color w:val="000000"/>
                <w:sz w:val="16"/>
                <w:szCs w:val="16"/>
                <w:lang w:val="pt-PT" w:eastAsia="lv-LV"/>
              </w:rPr>
              <w:t>, N</w:t>
            </w:r>
            <w:r>
              <w:rPr>
                <w:rFonts w:ascii="Cambria" w:hAnsi="Cambria"/>
                <w:color w:val="000000"/>
                <w:sz w:val="16"/>
                <w:szCs w:val="16"/>
                <w:vertAlign w:val="subscript"/>
                <w:lang w:val="pt-PT" w:eastAsia="lv-LV"/>
              </w:rPr>
              <w:t>2</w:t>
            </w:r>
            <w:r>
              <w:rPr>
                <w:rFonts w:ascii="Cambria" w:hAnsi="Cambria"/>
                <w:color w:val="000000"/>
                <w:sz w:val="16"/>
                <w:szCs w:val="16"/>
                <w:lang w:val="pt-PT" w:eastAsia="lv-LV"/>
              </w:rPr>
              <w:t>O, HFCs, PFCs, SF</w:t>
            </w:r>
            <w:r>
              <w:rPr>
                <w:rFonts w:ascii="Cambria" w:hAnsi="Cambria"/>
                <w:color w:val="000000"/>
                <w:sz w:val="16"/>
                <w:szCs w:val="16"/>
                <w:vertAlign w:val="subscript"/>
                <w:lang w:val="pt-PT" w:eastAsia="lv-LV"/>
              </w:rPr>
              <w:t>6</w:t>
            </w:r>
            <w:r>
              <w:rPr>
                <w:rFonts w:ascii="Cambria" w:hAnsi="Cambria"/>
                <w:color w:val="000000"/>
                <w:sz w:val="16"/>
                <w:szCs w:val="16"/>
                <w:lang w:val="pt-PT" w:eastAsia="lv-LV"/>
              </w:rPr>
              <w:t>, NF</w:t>
            </w:r>
            <w:r>
              <w:rPr>
                <w:rFonts w:ascii="Cambria" w:hAnsi="Cambria"/>
                <w:color w:val="000000"/>
                <w:sz w:val="16"/>
                <w:szCs w:val="16"/>
                <w:vertAlign w:val="subscript"/>
                <w:lang w:val="pt-PT" w:eastAsia="lv-LV"/>
              </w:rPr>
              <w:t>3</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5C3DE95" w14:textId="77777777" w:rsidR="003E6EAD" w:rsidRDefault="003A4514" w:rsidP="5B9FE7F0">
            <w:pPr>
              <w:spacing w:after="0" w:line="240" w:lineRule="auto"/>
              <w:jc w:val="center"/>
              <w:rPr>
                <w:rFonts w:ascii="Cambria" w:hAnsi="Cambria"/>
                <w:color w:val="000000" w:themeColor="text1"/>
                <w:sz w:val="16"/>
                <w:szCs w:val="16"/>
                <w:lang w:eastAsia="lv-LV"/>
              </w:rPr>
            </w:pPr>
            <w:r w:rsidRPr="5B9FE7F0">
              <w:rPr>
                <w:rFonts w:ascii="Cambria" w:hAnsi="Cambria"/>
                <w:color w:val="000000" w:themeColor="text1"/>
                <w:sz w:val="16"/>
                <w:szCs w:val="16"/>
                <w:lang w:eastAsia="lv-LV"/>
              </w:rPr>
              <w:t>CO</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 N</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 xml:space="preserve">O, PFCs, </w:t>
            </w:r>
          </w:p>
        </w:tc>
        <w:tc>
          <w:tcPr>
            <w:tcW w:w="17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63EB2B3" w14:textId="77777777" w:rsidR="003E6EAD" w:rsidRDefault="003A4514" w:rsidP="5B9FE7F0">
            <w:pPr>
              <w:spacing w:after="0" w:line="240" w:lineRule="auto"/>
              <w:jc w:val="center"/>
              <w:rPr>
                <w:rFonts w:ascii="Cambria" w:hAnsi="Cambria"/>
                <w:color w:val="000000" w:themeColor="text1"/>
                <w:sz w:val="16"/>
                <w:szCs w:val="16"/>
                <w:vertAlign w:val="subscript"/>
                <w:lang w:eastAsia="lv-LV"/>
              </w:rPr>
            </w:pPr>
            <w:r w:rsidRPr="5B9FE7F0">
              <w:rPr>
                <w:rFonts w:ascii="Cambria" w:hAnsi="Cambria"/>
                <w:color w:val="000000" w:themeColor="text1"/>
                <w:sz w:val="16"/>
                <w:szCs w:val="16"/>
                <w:lang w:eastAsia="lv-LV"/>
              </w:rPr>
              <w:t>CO</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 CH</w:t>
            </w:r>
            <w:r w:rsidRPr="5B9FE7F0">
              <w:rPr>
                <w:rFonts w:ascii="Cambria" w:hAnsi="Cambria"/>
                <w:color w:val="000000" w:themeColor="text1"/>
                <w:sz w:val="16"/>
                <w:szCs w:val="16"/>
                <w:vertAlign w:val="subscript"/>
                <w:lang w:eastAsia="lv-LV"/>
              </w:rPr>
              <w:t>4</w:t>
            </w:r>
            <w:r w:rsidRPr="5B9FE7F0">
              <w:rPr>
                <w:rFonts w:ascii="Cambria" w:hAnsi="Cambria"/>
                <w:color w:val="000000" w:themeColor="text1"/>
                <w:sz w:val="16"/>
                <w:szCs w:val="16"/>
                <w:lang w:eastAsia="lv-LV"/>
              </w:rPr>
              <w:t>, N</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O, HFCs, PFCs, SF</w:t>
            </w:r>
            <w:r w:rsidRPr="5B9FE7F0">
              <w:rPr>
                <w:rFonts w:ascii="Cambria" w:hAnsi="Cambria"/>
                <w:color w:val="000000" w:themeColor="text1"/>
                <w:sz w:val="16"/>
                <w:szCs w:val="16"/>
                <w:vertAlign w:val="subscript"/>
                <w:lang w:eastAsia="lv-LV"/>
              </w:rPr>
              <w:t>6</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E5A67B1" w14:textId="4A438DA6" w:rsidR="003E6EAD" w:rsidRDefault="003A4514">
            <w:pPr>
              <w:spacing w:after="0" w:line="240" w:lineRule="auto"/>
              <w:jc w:val="center"/>
              <w:rPr>
                <w:rFonts w:ascii="Cambria" w:hAnsi="Cambria"/>
                <w:color w:val="000000" w:themeColor="text1"/>
                <w:sz w:val="16"/>
                <w:szCs w:val="16"/>
                <w:lang w:eastAsia="lv-LV"/>
              </w:rPr>
            </w:pPr>
            <w:r w:rsidRPr="5CF136AD">
              <w:rPr>
                <w:rFonts w:ascii="Cambria" w:hAnsi="Cambria"/>
                <w:color w:val="000000" w:themeColor="text1"/>
                <w:sz w:val="16"/>
                <w:szCs w:val="16"/>
                <w:lang w:eastAsia="lv-LV"/>
              </w:rPr>
              <w:t>CO</w:t>
            </w:r>
            <w:r w:rsidRPr="5CF136AD">
              <w:rPr>
                <w:rFonts w:ascii="Cambria" w:hAnsi="Cambria"/>
                <w:color w:val="000000" w:themeColor="text1"/>
                <w:sz w:val="16"/>
                <w:szCs w:val="16"/>
                <w:vertAlign w:val="subscript"/>
                <w:lang w:eastAsia="lv-LV"/>
              </w:rPr>
              <w:t>2</w:t>
            </w:r>
            <w:r w:rsidRPr="5CF136AD">
              <w:rPr>
                <w:rFonts w:ascii="Cambria" w:hAnsi="Cambria"/>
                <w:color w:val="000000" w:themeColor="text1"/>
                <w:sz w:val="16"/>
                <w:szCs w:val="16"/>
                <w:lang w:eastAsia="lv-LV"/>
              </w:rPr>
              <w:t>, CH</w:t>
            </w:r>
            <w:r w:rsidRPr="5CF136AD">
              <w:rPr>
                <w:rFonts w:ascii="Cambria" w:hAnsi="Cambria"/>
                <w:color w:val="000000" w:themeColor="text1"/>
                <w:sz w:val="16"/>
                <w:szCs w:val="16"/>
                <w:vertAlign w:val="subscript"/>
                <w:lang w:eastAsia="lv-LV"/>
              </w:rPr>
              <w:t>4</w:t>
            </w:r>
            <w:r w:rsidRPr="5CF136AD">
              <w:rPr>
                <w:rFonts w:ascii="Cambria" w:hAnsi="Cambria"/>
                <w:color w:val="000000" w:themeColor="text1"/>
                <w:sz w:val="16"/>
                <w:szCs w:val="16"/>
                <w:lang w:eastAsia="lv-LV"/>
              </w:rPr>
              <w:t>, N</w:t>
            </w:r>
            <w:r w:rsidRPr="5CF136AD">
              <w:rPr>
                <w:rFonts w:ascii="Cambria" w:hAnsi="Cambria"/>
                <w:color w:val="000000" w:themeColor="text1"/>
                <w:sz w:val="16"/>
                <w:szCs w:val="16"/>
                <w:vertAlign w:val="subscript"/>
                <w:lang w:eastAsia="lv-LV"/>
              </w:rPr>
              <w:t>2</w:t>
            </w:r>
            <w:r w:rsidRPr="5CF136AD">
              <w:rPr>
                <w:rFonts w:ascii="Cambria" w:hAnsi="Cambria"/>
                <w:color w:val="000000" w:themeColor="text1"/>
                <w:sz w:val="16"/>
                <w:szCs w:val="16"/>
                <w:lang w:eastAsia="lv-LV"/>
              </w:rPr>
              <w:t xml:space="preserve">O, </w:t>
            </w:r>
            <w:r w:rsidRPr="5CF136AD" w:rsidDel="00D84D3D">
              <w:rPr>
                <w:rFonts w:ascii="Cambria" w:hAnsi="Cambria"/>
                <w:color w:val="000000" w:themeColor="text1"/>
                <w:sz w:val="16"/>
                <w:szCs w:val="16"/>
                <w:lang w:eastAsia="lv-LV"/>
              </w:rPr>
              <w:t xml:space="preserve">HFC, </w:t>
            </w:r>
            <w:r w:rsidRPr="5CF136AD">
              <w:rPr>
                <w:rFonts w:ascii="Cambria" w:hAnsi="Cambria"/>
                <w:color w:val="000000" w:themeColor="text1"/>
                <w:sz w:val="16"/>
                <w:szCs w:val="16"/>
                <w:lang w:eastAsia="lv-LV"/>
              </w:rPr>
              <w:t>PFC,</w:t>
            </w:r>
            <w:r w:rsidRPr="5CF136AD" w:rsidDel="00D84D3D">
              <w:rPr>
                <w:rFonts w:ascii="Cambria" w:hAnsi="Cambria"/>
                <w:color w:val="000000" w:themeColor="text1"/>
                <w:sz w:val="16"/>
                <w:szCs w:val="16"/>
                <w:lang w:eastAsia="lv-LV"/>
              </w:rPr>
              <w:t xml:space="preserve"> SF</w:t>
            </w:r>
            <w:r w:rsidRPr="5CF136AD" w:rsidDel="00D84D3D">
              <w:rPr>
                <w:rFonts w:ascii="Cambria" w:hAnsi="Cambria"/>
                <w:color w:val="000000" w:themeColor="text1"/>
                <w:sz w:val="16"/>
                <w:szCs w:val="16"/>
                <w:vertAlign w:val="subscript"/>
                <w:lang w:eastAsia="lv-LV"/>
              </w:rPr>
              <w:t>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D48A740" w14:textId="295B6418" w:rsidR="003E6EAD" w:rsidRDefault="003A4514">
            <w:pPr>
              <w:spacing w:after="0" w:line="240" w:lineRule="auto"/>
              <w:jc w:val="center"/>
            </w:pPr>
            <w:r>
              <w:rPr>
                <w:rFonts w:ascii="Cambria" w:hAnsi="Cambria"/>
                <w:color w:val="000000"/>
                <w:sz w:val="16"/>
                <w:szCs w:val="16"/>
                <w:lang w:eastAsia="lv-LV"/>
              </w:rPr>
              <w:t>CO</w:t>
            </w:r>
            <w:r>
              <w:rPr>
                <w:rFonts w:ascii="Cambria" w:hAnsi="Cambria"/>
                <w:color w:val="000000"/>
                <w:sz w:val="16"/>
                <w:szCs w:val="16"/>
                <w:vertAlign w:val="subscript"/>
                <w:lang w:eastAsia="lv-LV"/>
              </w:rPr>
              <w:t>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74513B3" w14:textId="77777777" w:rsidR="003E6EAD" w:rsidRDefault="003A4514" w:rsidP="5B9FE7F0">
            <w:pPr>
              <w:spacing w:after="0" w:line="240" w:lineRule="auto"/>
              <w:jc w:val="center"/>
              <w:rPr>
                <w:rFonts w:ascii="Cambria" w:hAnsi="Cambria"/>
                <w:color w:val="000000" w:themeColor="text1"/>
                <w:sz w:val="16"/>
                <w:szCs w:val="16"/>
                <w:vertAlign w:val="subscript"/>
                <w:lang w:eastAsia="lv-LV"/>
              </w:rPr>
            </w:pPr>
            <w:r w:rsidRPr="5B9FE7F0">
              <w:rPr>
                <w:rFonts w:ascii="Cambria" w:hAnsi="Cambria"/>
                <w:color w:val="000000" w:themeColor="text1"/>
                <w:sz w:val="16"/>
                <w:szCs w:val="16"/>
                <w:lang w:eastAsia="lv-LV"/>
              </w:rPr>
              <w:t>CO</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 CH</w:t>
            </w:r>
            <w:r w:rsidRPr="5B9FE7F0">
              <w:rPr>
                <w:rFonts w:ascii="Cambria" w:hAnsi="Cambria"/>
                <w:color w:val="000000" w:themeColor="text1"/>
                <w:sz w:val="16"/>
                <w:szCs w:val="16"/>
                <w:vertAlign w:val="subscript"/>
                <w:lang w:eastAsia="lv-LV"/>
              </w:rPr>
              <w:t>4</w:t>
            </w:r>
            <w:r w:rsidRPr="5B9FE7F0">
              <w:rPr>
                <w:rFonts w:ascii="Cambria" w:hAnsi="Cambria"/>
                <w:color w:val="000000" w:themeColor="text1"/>
                <w:sz w:val="16"/>
                <w:szCs w:val="16"/>
                <w:lang w:eastAsia="lv-LV"/>
              </w:rPr>
              <w:t>, N</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O, HFCs, PFCs, SF</w:t>
            </w:r>
            <w:r w:rsidRPr="5B9FE7F0">
              <w:rPr>
                <w:rFonts w:ascii="Cambria" w:hAnsi="Cambria"/>
                <w:color w:val="000000" w:themeColor="text1"/>
                <w:sz w:val="16"/>
                <w:szCs w:val="16"/>
                <w:vertAlign w:val="subscript"/>
                <w:lang w:eastAsia="lv-LV"/>
              </w:rPr>
              <w:t>6</w:t>
            </w:r>
            <w:r w:rsidRPr="5B9FE7F0">
              <w:rPr>
                <w:rFonts w:ascii="Cambria" w:hAnsi="Cambria"/>
                <w:color w:val="000000" w:themeColor="text1"/>
                <w:sz w:val="16"/>
                <w:szCs w:val="16"/>
                <w:lang w:eastAsia="lv-LV"/>
              </w:rPr>
              <w:t>, NF</w:t>
            </w:r>
            <w:r w:rsidRPr="5B9FE7F0">
              <w:rPr>
                <w:rFonts w:ascii="Cambria" w:hAnsi="Cambria"/>
                <w:color w:val="000000" w:themeColor="text1"/>
                <w:sz w:val="16"/>
                <w:szCs w:val="16"/>
                <w:vertAlign w:val="subscript"/>
                <w:lang w:eastAsia="lv-LV"/>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0117E84" w14:textId="77777777" w:rsidR="003E6EAD" w:rsidRDefault="003A4514">
            <w:pPr>
              <w:spacing w:after="0" w:line="240" w:lineRule="auto"/>
              <w:jc w:val="center"/>
            </w:pPr>
            <w:r>
              <w:rPr>
                <w:rFonts w:ascii="Cambria" w:hAnsi="Cambria"/>
                <w:color w:val="000000"/>
                <w:sz w:val="16"/>
                <w:szCs w:val="16"/>
                <w:lang w:eastAsia="lv-LV"/>
              </w:rPr>
              <w:t>CO</w:t>
            </w:r>
            <w:r>
              <w:rPr>
                <w:rFonts w:ascii="Cambria" w:hAnsi="Cambria"/>
                <w:color w:val="000000"/>
                <w:sz w:val="16"/>
                <w:szCs w:val="16"/>
                <w:vertAlign w:val="subscript"/>
                <w:lang w:eastAsia="lv-LV"/>
              </w:rPr>
              <w:t>2</w:t>
            </w:r>
            <w:r>
              <w:rPr>
                <w:rFonts w:ascii="Cambria" w:hAnsi="Cambria"/>
                <w:color w:val="000000"/>
                <w:sz w:val="16"/>
                <w:szCs w:val="16"/>
                <w:lang w:eastAsia="lv-LV"/>
              </w:rPr>
              <w:t>, CH</w:t>
            </w:r>
            <w:r>
              <w:rPr>
                <w:rFonts w:ascii="Cambria" w:hAnsi="Cambria"/>
                <w:color w:val="000000"/>
                <w:sz w:val="16"/>
                <w:szCs w:val="16"/>
                <w:vertAlign w:val="subscript"/>
                <w:lang w:eastAsia="lv-LV"/>
              </w:rPr>
              <w:t>4</w:t>
            </w:r>
            <w:r>
              <w:rPr>
                <w:rFonts w:ascii="Cambria" w:hAnsi="Cambria"/>
                <w:color w:val="000000"/>
                <w:sz w:val="16"/>
                <w:szCs w:val="16"/>
                <w:lang w:eastAsia="lv-LV"/>
              </w:rPr>
              <w:t>, N</w:t>
            </w:r>
            <w:r>
              <w:rPr>
                <w:rFonts w:ascii="Cambria" w:hAnsi="Cambria"/>
                <w:color w:val="000000"/>
                <w:sz w:val="16"/>
                <w:szCs w:val="16"/>
                <w:vertAlign w:val="subscript"/>
                <w:lang w:eastAsia="lv-LV"/>
              </w:rPr>
              <w:t>2</w:t>
            </w:r>
            <w:r>
              <w:rPr>
                <w:rFonts w:ascii="Cambria" w:hAnsi="Cambria"/>
                <w:color w:val="000000"/>
                <w:sz w:val="16"/>
                <w:szCs w:val="16"/>
                <w:lang w:eastAsia="lv-LV"/>
              </w:rPr>
              <w:t>O</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A2F422D" w14:textId="77777777" w:rsidR="003E6EAD" w:rsidRDefault="003A4514" w:rsidP="5B9FE7F0">
            <w:pPr>
              <w:spacing w:after="0" w:line="240" w:lineRule="auto"/>
              <w:jc w:val="center"/>
              <w:rPr>
                <w:rFonts w:ascii="Cambria" w:hAnsi="Cambria"/>
                <w:color w:val="000000" w:themeColor="text1"/>
                <w:sz w:val="16"/>
                <w:szCs w:val="16"/>
                <w:lang w:eastAsia="lv-LV"/>
              </w:rPr>
            </w:pPr>
            <w:r w:rsidRPr="5B9FE7F0">
              <w:rPr>
                <w:rFonts w:ascii="Cambria" w:hAnsi="Cambria"/>
                <w:color w:val="000000" w:themeColor="text1"/>
                <w:sz w:val="16"/>
                <w:szCs w:val="16"/>
                <w:lang w:eastAsia="lv-LV"/>
              </w:rPr>
              <w:t>CO</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 CH</w:t>
            </w:r>
            <w:r w:rsidRPr="5B9FE7F0">
              <w:rPr>
                <w:rFonts w:ascii="Cambria" w:hAnsi="Cambria"/>
                <w:color w:val="000000" w:themeColor="text1"/>
                <w:sz w:val="16"/>
                <w:szCs w:val="16"/>
                <w:vertAlign w:val="subscript"/>
                <w:lang w:eastAsia="lv-LV"/>
              </w:rPr>
              <w:t>4</w:t>
            </w:r>
            <w:r w:rsidRPr="5B9FE7F0">
              <w:rPr>
                <w:rFonts w:ascii="Cambria" w:hAnsi="Cambria"/>
                <w:color w:val="000000" w:themeColor="text1"/>
                <w:sz w:val="16"/>
                <w:szCs w:val="16"/>
                <w:lang w:eastAsia="lv-LV"/>
              </w:rPr>
              <w:t>, N</w:t>
            </w:r>
            <w:r w:rsidRPr="5B9FE7F0">
              <w:rPr>
                <w:rFonts w:ascii="Cambria" w:hAnsi="Cambria"/>
                <w:color w:val="000000" w:themeColor="text1"/>
                <w:sz w:val="16"/>
                <w:szCs w:val="16"/>
                <w:vertAlign w:val="subscript"/>
                <w:lang w:eastAsia="lv-LV"/>
              </w:rPr>
              <w:t>2</w:t>
            </w:r>
            <w:r w:rsidRPr="5B9FE7F0">
              <w:rPr>
                <w:rFonts w:ascii="Cambria" w:hAnsi="Cambria"/>
                <w:color w:val="000000" w:themeColor="text1"/>
                <w:sz w:val="16"/>
                <w:szCs w:val="16"/>
                <w:lang w:eastAsia="lv-LV"/>
              </w:rPr>
              <w:t>O,  SF</w:t>
            </w:r>
            <w:r w:rsidRPr="5B9FE7F0">
              <w:rPr>
                <w:rFonts w:ascii="Cambria" w:hAnsi="Cambria"/>
                <w:color w:val="000000" w:themeColor="text1"/>
                <w:sz w:val="16"/>
                <w:szCs w:val="16"/>
                <w:vertAlign w:val="subscript"/>
                <w:lang w:eastAsia="lv-LV"/>
              </w:rPr>
              <w:t>6</w:t>
            </w:r>
            <w:r w:rsidRPr="5B9FE7F0">
              <w:rPr>
                <w:rFonts w:ascii="Cambria" w:hAnsi="Cambria"/>
                <w:color w:val="000000" w:themeColor="text1"/>
                <w:sz w:val="16"/>
                <w:szCs w:val="16"/>
                <w:lang w:eastAsia="lv-LV"/>
              </w:rPr>
              <w:t>, NF</w:t>
            </w:r>
            <w:r w:rsidRPr="5B9FE7F0">
              <w:rPr>
                <w:rFonts w:ascii="Cambria" w:hAnsi="Cambria"/>
                <w:color w:val="000000" w:themeColor="text1"/>
                <w:sz w:val="16"/>
                <w:szCs w:val="16"/>
                <w:vertAlign w:val="subscript"/>
                <w:lang w:eastAsia="lv-LV"/>
              </w:rPr>
              <w:t xml:space="preserve">3, </w:t>
            </w:r>
            <w:r w:rsidRPr="5B9FE7F0">
              <w:rPr>
                <w:rFonts w:ascii="Cambria" w:hAnsi="Cambria"/>
                <w:color w:val="000000" w:themeColor="text1"/>
                <w:sz w:val="16"/>
                <w:szCs w:val="16"/>
                <w:lang w:eastAsia="lv-LV"/>
              </w:rPr>
              <w:t xml:space="preserve">HFCs, PFCs, </w:t>
            </w:r>
          </w:p>
        </w:tc>
      </w:tr>
      <w:tr w:rsidR="003E6EAD" w14:paraId="2788EB53" w14:textId="77777777" w:rsidTr="5B9FE7F0">
        <w:trPr>
          <w:trHeight w:val="1645"/>
        </w:trPr>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E0F4526"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Iekļautie sektori</w:t>
            </w:r>
          </w:p>
        </w:tc>
        <w:tc>
          <w:tcPr>
            <w:tcW w:w="19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ADC94C7" w14:textId="77777777" w:rsidR="003E6EAD" w:rsidRDefault="003A4514">
            <w:pPr>
              <w:snapToGrid w:val="0"/>
              <w:spacing w:after="0" w:line="240" w:lineRule="auto"/>
              <w:jc w:val="center"/>
            </w:pPr>
            <w:r>
              <w:rPr>
                <w:rFonts w:ascii="Cambria" w:hAnsi="Cambria"/>
                <w:color w:val="000000"/>
                <w:sz w:val="16"/>
                <w:szCs w:val="16"/>
                <w:lang w:eastAsia="lv-LV"/>
              </w:rPr>
              <w:t>Enerģētika, IPPU, lauksaimniecība, atkritumu apsaimniekošana, ZIZIMM</w:t>
            </w:r>
          </w:p>
        </w:tc>
        <w:tc>
          <w:tcPr>
            <w:tcW w:w="19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B446531" w14:textId="77777777" w:rsidR="003E6EAD" w:rsidRDefault="003A4514">
            <w:pPr>
              <w:spacing w:after="0" w:line="240" w:lineRule="auto"/>
              <w:jc w:val="center"/>
            </w:pPr>
            <w:r>
              <w:rPr>
                <w:rFonts w:ascii="Cambria" w:hAnsi="Cambria"/>
                <w:color w:val="000000"/>
                <w:sz w:val="16"/>
                <w:szCs w:val="16"/>
                <w:lang w:eastAsia="lv-LV"/>
              </w:rPr>
              <w:t>Enerģētika, IPPU, lauksaimniecība, atkritumu apsaimniekošana, ZIZIMM</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9EAECE8" w14:textId="77777777" w:rsidR="003E6EAD" w:rsidRDefault="003A4514" w:rsidP="5B9FE7F0">
            <w:pPr>
              <w:spacing w:after="0" w:line="240" w:lineRule="auto"/>
              <w:jc w:val="center"/>
              <w:rPr>
                <w:rFonts w:ascii="Cambria" w:hAnsi="Cambria"/>
                <w:color w:val="000000"/>
                <w:sz w:val="16"/>
                <w:szCs w:val="16"/>
                <w:lang w:eastAsia="lv-LV"/>
              </w:rPr>
            </w:pPr>
            <w:r w:rsidRPr="5B9FE7F0">
              <w:rPr>
                <w:rFonts w:ascii="Cambria" w:hAnsi="Cambria"/>
                <w:color w:val="000000" w:themeColor="text1"/>
                <w:sz w:val="16"/>
                <w:szCs w:val="16"/>
                <w:lang w:eastAsia="lv-LV"/>
              </w:rPr>
              <w:t>Enerģētikas un siltuma ražošanas sektors, energo-intensīvi rūpniecības sektori, aviācija</w:t>
            </w:r>
          </w:p>
        </w:tc>
        <w:tc>
          <w:tcPr>
            <w:tcW w:w="17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48F4D88" w14:textId="6230253E" w:rsidR="003E6EAD" w:rsidRDefault="003A4514">
            <w:pPr>
              <w:spacing w:after="0" w:line="240" w:lineRule="auto"/>
              <w:jc w:val="center"/>
            </w:pPr>
            <w:r>
              <w:rPr>
                <w:rFonts w:ascii="Cambria" w:hAnsi="Cambria"/>
                <w:color w:val="000000"/>
                <w:sz w:val="16"/>
                <w:szCs w:val="16"/>
                <w:lang w:eastAsia="lv-LV"/>
              </w:rPr>
              <w:t xml:space="preserve">Transports (izņemot </w:t>
            </w:r>
            <w:r w:rsidR="007010B7">
              <w:rPr>
                <w:rFonts w:ascii="Cambria" w:hAnsi="Cambria"/>
                <w:color w:val="000000"/>
                <w:sz w:val="16"/>
                <w:szCs w:val="16"/>
                <w:lang w:eastAsia="lv-LV"/>
              </w:rPr>
              <w:t xml:space="preserve">civilo </w:t>
            </w:r>
            <w:r>
              <w:rPr>
                <w:rFonts w:ascii="Cambria" w:hAnsi="Cambria"/>
                <w:color w:val="000000"/>
                <w:sz w:val="16"/>
                <w:szCs w:val="16"/>
                <w:lang w:eastAsia="lv-LV"/>
              </w:rPr>
              <w:t>aviāciju), ēkas, ne-ETS rūpniecība, lauksaimniecība (ne-CO</w:t>
            </w:r>
            <w:r>
              <w:rPr>
                <w:rFonts w:ascii="Cambria" w:hAnsi="Cambria"/>
                <w:color w:val="000000"/>
                <w:sz w:val="16"/>
                <w:szCs w:val="16"/>
                <w:vertAlign w:val="subscript"/>
                <w:lang w:eastAsia="lv-LV"/>
              </w:rPr>
              <w:t>2</w:t>
            </w:r>
            <w:r>
              <w:rPr>
                <w:rFonts w:ascii="Cambria" w:hAnsi="Cambria"/>
                <w:color w:val="000000"/>
                <w:sz w:val="16"/>
                <w:szCs w:val="16"/>
                <w:lang w:eastAsia="lv-LV"/>
              </w:rPr>
              <w:t>) un atkritumu apsaimniekošana</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89E3EAA" w14:textId="321BAA76" w:rsidR="003E6EAD" w:rsidRDefault="003A4514" w:rsidP="5B9FE7F0">
            <w:pPr>
              <w:spacing w:after="0" w:line="240" w:lineRule="auto"/>
              <w:jc w:val="center"/>
            </w:pPr>
            <w:r w:rsidRPr="5B9FE7F0">
              <w:rPr>
                <w:rFonts w:ascii="Cambria" w:hAnsi="Cambria"/>
                <w:color w:val="000000"/>
                <w:sz w:val="16"/>
                <w:szCs w:val="16"/>
                <w:lang w:eastAsia="lv-LV"/>
              </w:rPr>
              <w:t xml:space="preserve">Elektrības un siltuma ražošana,  energointensīvi rūpniecības </w:t>
            </w:r>
            <w:r w:rsidRPr="5B9FE7F0">
              <w:rPr>
                <w:rFonts w:ascii="Cambria" w:hAnsi="Cambria"/>
                <w:color w:val="000000"/>
                <w:sz w:val="16"/>
                <w:szCs w:val="16"/>
                <w:lang w:eastAsia="lv-LV"/>
              </w:rPr>
              <w:lastRenderedPageBreak/>
              <w:t>sektori, aviācija</w:t>
            </w:r>
            <w:r w:rsidRPr="5B9FE7F0">
              <w:rPr>
                <w:rStyle w:val="FootnoteReference"/>
                <w:rFonts w:ascii="Cambria" w:hAnsi="Cambria"/>
                <w:color w:val="000000"/>
                <w:sz w:val="16"/>
                <w:szCs w:val="16"/>
                <w:lang w:eastAsia="lv-LV"/>
              </w:rPr>
              <w:footnoteReference w:id="92"/>
            </w:r>
            <w:r w:rsidRPr="5B9FE7F0">
              <w:rPr>
                <w:rFonts w:ascii="Cambria" w:hAnsi="Cambria"/>
                <w:color w:val="000000"/>
                <w:sz w:val="16"/>
                <w:szCs w:val="16"/>
                <w:lang w:eastAsia="lv-LV"/>
              </w:rPr>
              <w:t>, jūras transport</w:t>
            </w:r>
            <w:r w:rsidR="1FB87A60" w:rsidRPr="5B9FE7F0">
              <w:rPr>
                <w:rFonts w:ascii="Cambria" w:hAnsi="Cambria"/>
                <w:color w:val="000000" w:themeColor="text1"/>
                <w:sz w:val="16"/>
                <w:szCs w:val="16"/>
                <w:lang w:eastAsia="lv-LV"/>
              </w:rPr>
              <w:t>s</w:t>
            </w:r>
            <w:r w:rsidRPr="5B9FE7F0">
              <w:rPr>
                <w:rStyle w:val="FootnoteReference"/>
                <w:rFonts w:ascii="Cambria" w:hAnsi="Cambria"/>
                <w:color w:val="000000"/>
                <w:sz w:val="16"/>
                <w:szCs w:val="16"/>
                <w:lang w:eastAsia="lv-LV"/>
              </w:rPr>
              <w:footnoteReference w:id="93"/>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9D6B496" w14:textId="1B881D28" w:rsidR="003E6EAD" w:rsidRDefault="005E651C">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lastRenderedPageBreak/>
              <w:t>CO</w:t>
            </w:r>
            <w:r w:rsidRPr="006C05B4">
              <w:rPr>
                <w:rFonts w:ascii="Cambria" w:hAnsi="Cambria"/>
                <w:color w:val="000000"/>
                <w:sz w:val="16"/>
                <w:szCs w:val="16"/>
                <w:vertAlign w:val="subscript"/>
                <w:lang w:eastAsia="lv-LV"/>
              </w:rPr>
              <w:t>2</w:t>
            </w:r>
            <w:r>
              <w:rPr>
                <w:rFonts w:ascii="Cambria" w:hAnsi="Cambria"/>
                <w:color w:val="000000"/>
                <w:sz w:val="16"/>
                <w:szCs w:val="16"/>
                <w:lang w:eastAsia="lv-LV"/>
              </w:rPr>
              <w:t xml:space="preserve"> emisijas</w:t>
            </w:r>
            <w:r w:rsidR="002C35A6">
              <w:rPr>
                <w:rFonts w:ascii="Cambria" w:hAnsi="Cambria"/>
                <w:color w:val="000000"/>
                <w:sz w:val="16"/>
                <w:szCs w:val="16"/>
                <w:lang w:eastAsia="lv-LV"/>
              </w:rPr>
              <w:t xml:space="preserve"> no d</w:t>
            </w:r>
            <w:r w:rsidR="00715B4A">
              <w:rPr>
                <w:rFonts w:ascii="Cambria" w:hAnsi="Cambria"/>
                <w:color w:val="000000"/>
                <w:sz w:val="16"/>
                <w:szCs w:val="16"/>
                <w:lang w:eastAsia="lv-LV"/>
              </w:rPr>
              <w:t>egviela</w:t>
            </w:r>
            <w:r w:rsidR="002C35A6">
              <w:rPr>
                <w:rFonts w:ascii="Cambria" w:hAnsi="Cambria"/>
                <w:color w:val="000000"/>
                <w:sz w:val="16"/>
                <w:szCs w:val="16"/>
                <w:lang w:eastAsia="lv-LV"/>
              </w:rPr>
              <w:t>s</w:t>
            </w:r>
            <w:r w:rsidR="00715B4A">
              <w:rPr>
                <w:rFonts w:ascii="Cambria" w:hAnsi="Cambria"/>
                <w:color w:val="000000"/>
                <w:sz w:val="16"/>
                <w:szCs w:val="16"/>
                <w:lang w:eastAsia="lv-LV"/>
              </w:rPr>
              <w:t xml:space="preserve"> un kurinām</w:t>
            </w:r>
            <w:r w:rsidR="002C35A6">
              <w:rPr>
                <w:rFonts w:ascii="Cambria" w:hAnsi="Cambria"/>
                <w:color w:val="000000"/>
                <w:sz w:val="16"/>
                <w:szCs w:val="16"/>
                <w:lang w:eastAsia="lv-LV"/>
              </w:rPr>
              <w:t>ā</w:t>
            </w:r>
            <w:r w:rsidR="00715B4A">
              <w:rPr>
                <w:rFonts w:ascii="Cambria" w:hAnsi="Cambria"/>
                <w:color w:val="000000"/>
                <w:sz w:val="16"/>
                <w:szCs w:val="16"/>
                <w:lang w:eastAsia="lv-LV"/>
              </w:rPr>
              <w:t xml:space="preserve">, </w:t>
            </w:r>
            <w:r w:rsidR="002C35A6">
              <w:rPr>
                <w:rFonts w:ascii="Cambria" w:hAnsi="Cambria"/>
                <w:color w:val="000000"/>
                <w:sz w:val="16"/>
                <w:szCs w:val="16"/>
                <w:lang w:eastAsia="lv-LV"/>
              </w:rPr>
              <w:t>kas nodots patēriņam sadedzināšanai</w:t>
            </w:r>
            <w:r w:rsidR="0014352E">
              <w:rPr>
                <w:rFonts w:ascii="Cambria" w:hAnsi="Cambria"/>
                <w:color w:val="000000"/>
                <w:sz w:val="16"/>
                <w:szCs w:val="16"/>
                <w:lang w:eastAsia="lv-LV"/>
              </w:rPr>
              <w:t xml:space="preserve">  </w:t>
            </w:r>
            <w:r w:rsidR="007C3DE1">
              <w:rPr>
                <w:rFonts w:ascii="Cambria" w:hAnsi="Cambria"/>
                <w:color w:val="000000"/>
                <w:sz w:val="16"/>
                <w:szCs w:val="16"/>
                <w:lang w:eastAsia="lv-LV"/>
              </w:rPr>
              <w:t>ē</w:t>
            </w:r>
            <w:r w:rsidR="003A4514">
              <w:rPr>
                <w:rFonts w:ascii="Cambria" w:hAnsi="Cambria"/>
                <w:color w:val="000000"/>
                <w:sz w:val="16"/>
                <w:szCs w:val="16"/>
                <w:lang w:eastAsia="lv-LV"/>
              </w:rPr>
              <w:t>k</w:t>
            </w:r>
            <w:r w:rsidR="007C3DE1">
              <w:rPr>
                <w:rFonts w:ascii="Cambria" w:hAnsi="Cambria"/>
                <w:color w:val="000000"/>
                <w:sz w:val="16"/>
                <w:szCs w:val="16"/>
                <w:lang w:eastAsia="lv-LV"/>
              </w:rPr>
              <w:t>u</w:t>
            </w:r>
            <w:r w:rsidR="003A4514">
              <w:rPr>
                <w:rFonts w:ascii="Cambria" w:hAnsi="Cambria"/>
                <w:color w:val="000000"/>
                <w:sz w:val="16"/>
                <w:szCs w:val="16"/>
                <w:lang w:eastAsia="lv-LV"/>
              </w:rPr>
              <w:t xml:space="preserve">, </w:t>
            </w:r>
            <w:r w:rsidR="002030AB">
              <w:rPr>
                <w:rFonts w:ascii="Cambria" w:hAnsi="Cambria"/>
                <w:color w:val="000000"/>
                <w:sz w:val="16"/>
                <w:szCs w:val="16"/>
                <w:lang w:eastAsia="lv-LV"/>
              </w:rPr>
              <w:t>auto</w:t>
            </w:r>
            <w:r w:rsidR="003A4514">
              <w:rPr>
                <w:rFonts w:ascii="Cambria" w:hAnsi="Cambria"/>
                <w:color w:val="000000"/>
                <w:sz w:val="16"/>
                <w:szCs w:val="16"/>
                <w:lang w:eastAsia="lv-LV"/>
              </w:rPr>
              <w:t>transport</w:t>
            </w:r>
            <w:r w:rsidR="007C3DE1">
              <w:rPr>
                <w:rFonts w:ascii="Cambria" w:hAnsi="Cambria"/>
                <w:color w:val="000000"/>
                <w:sz w:val="16"/>
                <w:szCs w:val="16"/>
                <w:lang w:eastAsia="lv-LV"/>
              </w:rPr>
              <w:t>a</w:t>
            </w:r>
            <w:r w:rsidR="003A4514">
              <w:rPr>
                <w:rFonts w:ascii="Cambria" w:hAnsi="Cambria"/>
                <w:color w:val="000000"/>
                <w:sz w:val="16"/>
                <w:szCs w:val="16"/>
                <w:lang w:eastAsia="lv-LV"/>
              </w:rPr>
              <w:t xml:space="preserve"> un papildu </w:t>
            </w:r>
            <w:r w:rsidR="00B35C3B">
              <w:rPr>
                <w:rFonts w:ascii="Cambria" w:hAnsi="Cambria"/>
                <w:color w:val="000000"/>
                <w:sz w:val="16"/>
                <w:szCs w:val="16"/>
                <w:lang w:eastAsia="lv-LV"/>
              </w:rPr>
              <w:t>sektoros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CDA9425" w14:textId="176075A5" w:rsidR="003E6EAD" w:rsidRDefault="003A4514">
            <w:pPr>
              <w:spacing w:after="0" w:line="240" w:lineRule="auto"/>
              <w:jc w:val="center"/>
            </w:pPr>
            <w:r>
              <w:rPr>
                <w:rFonts w:ascii="Cambria" w:eastAsia="Times New Roman" w:hAnsi="Cambria"/>
                <w:color w:val="000000"/>
                <w:sz w:val="16"/>
                <w:szCs w:val="16"/>
                <w:lang w:eastAsia="lv-LV"/>
              </w:rPr>
              <w:t xml:space="preserve"> Vietējais t</w:t>
            </w:r>
            <w:r>
              <w:rPr>
                <w:rFonts w:ascii="Cambria" w:hAnsi="Cambria"/>
                <w:color w:val="000000"/>
                <w:sz w:val="16"/>
                <w:szCs w:val="16"/>
                <w:lang w:eastAsia="lv-LV"/>
              </w:rPr>
              <w:t xml:space="preserve">ransports (izņemot </w:t>
            </w:r>
            <w:r w:rsidR="00F706DC">
              <w:rPr>
                <w:rFonts w:ascii="Cambria" w:hAnsi="Cambria"/>
                <w:color w:val="000000"/>
                <w:sz w:val="16"/>
                <w:szCs w:val="16"/>
                <w:lang w:eastAsia="lv-LV"/>
              </w:rPr>
              <w:t xml:space="preserve">civilo </w:t>
            </w:r>
            <w:r>
              <w:rPr>
                <w:rFonts w:ascii="Cambria" w:hAnsi="Cambria"/>
                <w:color w:val="000000"/>
                <w:sz w:val="16"/>
                <w:szCs w:val="16"/>
                <w:lang w:eastAsia="lv-LV"/>
              </w:rPr>
              <w:t>aviāciju), ēkas, ne-ETS rūpniecība, lauksaimniecība (ne-CO</w:t>
            </w:r>
            <w:r>
              <w:rPr>
                <w:rFonts w:ascii="Cambria" w:hAnsi="Cambria"/>
                <w:color w:val="000000"/>
                <w:sz w:val="16"/>
                <w:szCs w:val="16"/>
                <w:vertAlign w:val="subscript"/>
                <w:lang w:eastAsia="lv-LV"/>
              </w:rPr>
              <w:t>2</w:t>
            </w:r>
            <w:r>
              <w:rPr>
                <w:rFonts w:ascii="Cambria" w:hAnsi="Cambria"/>
                <w:color w:val="000000"/>
                <w:sz w:val="16"/>
                <w:szCs w:val="16"/>
                <w:lang w:eastAsia="lv-LV"/>
              </w:rPr>
              <w:t xml:space="preserve">) un atkritumu </w:t>
            </w:r>
            <w:r>
              <w:rPr>
                <w:rFonts w:ascii="Cambria" w:hAnsi="Cambria"/>
                <w:color w:val="000000"/>
                <w:sz w:val="16"/>
                <w:szCs w:val="16"/>
                <w:lang w:eastAsia="lv-LV"/>
              </w:rPr>
              <w:lastRenderedPageBreak/>
              <w:t xml:space="preserve">apsaimniekošana Enerģētikas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8720504"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lastRenderedPageBreak/>
              <w:t>Zemes izmantošana, zemes izmantošanas maiņa un mežsaimniecība</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9373F6D"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Visa ekonomika</w:t>
            </w:r>
          </w:p>
        </w:tc>
      </w:tr>
      <w:tr w:rsidR="003E6EAD" w14:paraId="419D9A99" w14:textId="77777777" w:rsidTr="00AD5CAB">
        <w:trPr>
          <w:trHeight w:val="312"/>
        </w:trPr>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AB8A7DE"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Izmantotie globālie sasilšanas potenciāli</w:t>
            </w:r>
          </w:p>
        </w:tc>
        <w:tc>
          <w:tcPr>
            <w:tcW w:w="91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vAlign w:val="center"/>
          </w:tcPr>
          <w:p w14:paraId="290CCBE3" w14:textId="77777777" w:rsidR="003E6EAD" w:rsidRDefault="003A4514">
            <w:pPr>
              <w:spacing w:after="0" w:line="240" w:lineRule="auto"/>
            </w:pPr>
            <w:r>
              <w:rPr>
                <w:rFonts w:ascii="Cambria" w:hAnsi="Cambria"/>
                <w:color w:val="000000"/>
                <w:sz w:val="16"/>
                <w:szCs w:val="16"/>
                <w:lang w:eastAsia="lv-LV"/>
              </w:rPr>
              <w:t>Klimata pārmaiņu starpvaldību padomes otrais novērtējuma ziņojums (KPSP SAR)</w:t>
            </w:r>
          </w:p>
        </w:tc>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AF68DF1" w14:textId="075514FC" w:rsidR="003E6EAD" w:rsidRDefault="003A4514">
            <w:pPr>
              <w:spacing w:after="0" w:line="240" w:lineRule="auto"/>
              <w:jc w:val="center"/>
            </w:pPr>
            <w:r>
              <w:rPr>
                <w:rFonts w:ascii="Cambria" w:hAnsi="Cambria"/>
                <w:color w:val="000000"/>
                <w:sz w:val="16"/>
                <w:szCs w:val="16"/>
                <w:lang w:eastAsia="lv-LV"/>
              </w:rPr>
              <w:t xml:space="preserve">Klimata pārmaiņu starpvaldību padomes ceturtais novērtējuma ziņojums </w:t>
            </w:r>
            <w:r w:rsidR="009C40D4">
              <w:rPr>
                <w:rFonts w:ascii="Cambria" w:hAnsi="Cambria"/>
                <w:color w:val="000000"/>
                <w:sz w:val="16"/>
                <w:szCs w:val="16"/>
                <w:lang w:eastAsia="lv-LV"/>
              </w:rPr>
              <w:t>(AR4)</w:t>
            </w:r>
          </w:p>
        </w:tc>
        <w:tc>
          <w:tcPr>
            <w:tcW w:w="19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FB04586" w14:textId="6612A9A3" w:rsidR="003E6EAD" w:rsidRDefault="003A4514">
            <w:pPr>
              <w:spacing w:after="0" w:line="240" w:lineRule="auto"/>
              <w:jc w:val="center"/>
            </w:pPr>
            <w:r>
              <w:rPr>
                <w:rFonts w:ascii="Cambria" w:hAnsi="Cambria"/>
                <w:color w:val="000000"/>
                <w:sz w:val="16"/>
                <w:szCs w:val="16"/>
                <w:lang w:eastAsia="lv-LV"/>
              </w:rPr>
              <w:t>Klimata pārmaiņu starpvaldību padomes piektais novērtējuma ziņojums (AR5)</w:t>
            </w:r>
          </w:p>
        </w:tc>
        <w:tc>
          <w:tcPr>
            <w:tcW w:w="34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867D99A" w14:textId="6995FADF" w:rsidR="003E6EAD" w:rsidRDefault="00B756D5">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Klimata pārmaiņu starpvaldību padomes ceturtais novērtējuma ziņojums (AR4)</w:t>
            </w:r>
          </w:p>
        </w:tc>
        <w:tc>
          <w:tcPr>
            <w:tcW w:w="537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313E46D" w14:textId="70DE1ADB" w:rsidR="003E6EAD" w:rsidRDefault="009C40D4">
            <w:pPr>
              <w:spacing w:after="0" w:line="240" w:lineRule="auto"/>
              <w:jc w:val="center"/>
            </w:pPr>
            <w:r>
              <w:rPr>
                <w:rFonts w:ascii="Cambria" w:hAnsi="Cambria"/>
                <w:color w:val="000000"/>
                <w:sz w:val="16"/>
                <w:szCs w:val="16"/>
                <w:lang w:eastAsia="lv-LV"/>
              </w:rPr>
              <w:t>Klimata pārmaiņu starpvaldību padomes piektais novērtējuma ziņojums (AR5)</w:t>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D2F109F" w14:textId="77777777" w:rsidR="003E6EAD" w:rsidRDefault="003A4514">
            <w:pPr>
              <w:spacing w:after="0" w:line="240" w:lineRule="auto"/>
              <w:jc w:val="center"/>
            </w:pPr>
            <w:r>
              <w:rPr>
                <w:rFonts w:ascii="Cambria" w:hAnsi="Cambria"/>
                <w:color w:val="000000"/>
                <w:sz w:val="16"/>
                <w:szCs w:val="16"/>
                <w:lang w:eastAsia="lv-LV"/>
              </w:rPr>
              <w:t>KPSP AR5</w:t>
            </w:r>
          </w:p>
        </w:tc>
      </w:tr>
      <w:tr w:rsidR="003E6EAD" w14:paraId="4F296FE2" w14:textId="77777777" w:rsidTr="00AD5CAB">
        <w:trPr>
          <w:trHeight w:val="858"/>
        </w:trPr>
        <w:tc>
          <w:tcPr>
            <w:tcW w:w="135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vAlign w:val="center"/>
          </w:tcPr>
          <w:p w14:paraId="5640BCB8" w14:textId="77777777" w:rsidR="003E6EAD" w:rsidRDefault="003A4514">
            <w:pPr>
              <w:spacing w:after="0" w:line="240" w:lineRule="auto"/>
              <w:rPr>
                <w:rFonts w:ascii="Cambria" w:hAnsi="Cambria"/>
                <w:color w:val="000000"/>
                <w:sz w:val="16"/>
                <w:szCs w:val="16"/>
                <w:lang w:eastAsia="lv-LV"/>
              </w:rPr>
            </w:pPr>
            <w:r>
              <w:rPr>
                <w:rFonts w:ascii="Cambria" w:hAnsi="Cambria"/>
                <w:color w:val="000000"/>
                <w:sz w:val="16"/>
                <w:szCs w:val="16"/>
                <w:lang w:eastAsia="lv-LV"/>
              </w:rPr>
              <w:t>Dalībvalstu skaits, kam mērķis piemērots</w:t>
            </w:r>
          </w:p>
        </w:tc>
        <w:tc>
          <w:tcPr>
            <w:tcW w:w="91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94B038"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 xml:space="preserve">15 (papildus KP mērķi katrai </w:t>
            </w:r>
            <w:r>
              <w:rPr>
                <w:rFonts w:ascii="Cambria" w:hAnsi="Cambria"/>
                <w:color w:val="000000"/>
                <w:sz w:val="16"/>
                <w:szCs w:val="16"/>
                <w:lang w:eastAsia="lv-LV"/>
              </w:rPr>
              <w:lastRenderedPageBreak/>
              <w:t>dalībvalstij)</w:t>
            </w:r>
          </w:p>
        </w:tc>
        <w:tc>
          <w:tcPr>
            <w:tcW w:w="100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F3911DC"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lastRenderedPageBreak/>
              <w:t>ES-27, Apvienotā Karaliste un Islande</w:t>
            </w:r>
          </w:p>
        </w:tc>
        <w:tc>
          <w:tcPr>
            <w:tcW w:w="19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0B6F03A3" w14:textId="77777777" w:rsidR="003E6EAD" w:rsidRDefault="003A4514">
            <w:pPr>
              <w:spacing w:after="0" w:line="240" w:lineRule="auto"/>
              <w:jc w:val="center"/>
              <w:rPr>
                <w:rFonts w:ascii="Cambria" w:hAnsi="Cambria"/>
                <w:color w:val="000000"/>
                <w:sz w:val="16"/>
                <w:szCs w:val="16"/>
                <w:lang w:eastAsia="lv-LV"/>
              </w:rPr>
            </w:pPr>
            <w:r>
              <w:rPr>
                <w:rFonts w:ascii="Cambria" w:hAnsi="Cambria"/>
                <w:color w:val="000000"/>
                <w:sz w:val="16"/>
                <w:szCs w:val="16"/>
                <w:lang w:eastAsia="lv-LV"/>
              </w:rPr>
              <w:t>ES-27</w:t>
            </w:r>
          </w:p>
        </w:tc>
        <w:tc>
          <w:tcPr>
            <w:tcW w:w="34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CEB281B" w14:textId="77777777" w:rsidR="003E6EAD" w:rsidRDefault="003A4514">
            <w:pPr>
              <w:spacing w:after="0" w:line="240" w:lineRule="auto"/>
              <w:jc w:val="center"/>
            </w:pPr>
            <w:r>
              <w:rPr>
                <w:rFonts w:ascii="Cambria" w:hAnsi="Cambria"/>
                <w:color w:val="000000"/>
                <w:sz w:val="16"/>
                <w:szCs w:val="16"/>
                <w:lang w:eastAsia="lv-LV"/>
              </w:rPr>
              <w:t>ES - 27</w:t>
            </w:r>
            <w:r>
              <w:rPr>
                <w:rStyle w:val="FootnoteAnchor"/>
                <w:rFonts w:ascii="Cambria" w:hAnsi="Cambria"/>
                <w:color w:val="000000"/>
                <w:sz w:val="16"/>
                <w:szCs w:val="16"/>
                <w:lang w:eastAsia="lv-LV"/>
              </w:rPr>
              <w:footnoteReference w:id="94"/>
            </w:r>
          </w:p>
        </w:tc>
        <w:tc>
          <w:tcPr>
            <w:tcW w:w="537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46E6DE0" w14:textId="77777777" w:rsidR="003E6EAD" w:rsidRDefault="003A4514">
            <w:pPr>
              <w:spacing w:after="0" w:line="240" w:lineRule="auto"/>
              <w:jc w:val="center"/>
            </w:pPr>
            <w:r>
              <w:rPr>
                <w:rFonts w:ascii="Cambria" w:hAnsi="Cambria"/>
                <w:color w:val="000000"/>
                <w:sz w:val="16"/>
                <w:szCs w:val="16"/>
                <w:lang w:eastAsia="lv-LV"/>
              </w:rPr>
              <w:t>ES-27</w:t>
            </w:r>
            <w:r>
              <w:rPr>
                <w:rStyle w:val="FootnoteReference"/>
                <w:rFonts w:ascii="Cambria" w:hAnsi="Cambria"/>
                <w:color w:val="000000"/>
                <w:sz w:val="16"/>
                <w:szCs w:val="16"/>
                <w:lang w:eastAsia="lv-LV"/>
              </w:rPr>
              <w:footnoteReference w:id="95"/>
            </w:r>
          </w:p>
        </w:tc>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B79EA97" w14:textId="77777777" w:rsidR="003E6EAD" w:rsidRDefault="003A4514">
            <w:pPr>
              <w:spacing w:after="0" w:line="240" w:lineRule="auto"/>
              <w:jc w:val="center"/>
            </w:pPr>
            <w:r>
              <w:rPr>
                <w:rFonts w:ascii="Cambria" w:hAnsi="Cambria"/>
                <w:color w:val="000000"/>
                <w:sz w:val="16"/>
                <w:szCs w:val="16"/>
                <w:lang w:eastAsia="lv-LV"/>
              </w:rPr>
              <w:t>ES-27</w:t>
            </w:r>
            <w:r>
              <w:rPr>
                <w:rStyle w:val="FootnoteReference"/>
                <w:rFonts w:ascii="Cambria" w:hAnsi="Cambria"/>
                <w:color w:val="000000"/>
                <w:sz w:val="16"/>
                <w:szCs w:val="16"/>
                <w:lang w:eastAsia="lv-LV"/>
              </w:rPr>
              <w:footnoteReference w:id="96"/>
            </w:r>
          </w:p>
        </w:tc>
      </w:tr>
      <w:bookmarkEnd w:id="58"/>
    </w:tbl>
    <w:p w14:paraId="03B60074" w14:textId="77777777" w:rsidR="003E6EAD" w:rsidRDefault="003E6EAD">
      <w:pPr>
        <w:pageBreakBefore/>
        <w:spacing w:after="0" w:line="240" w:lineRule="auto"/>
        <w:jc w:val="both"/>
        <w:rPr>
          <w:rFonts w:ascii="Cambria" w:hAnsi="Cambria"/>
          <w:sz w:val="24"/>
          <w:szCs w:val="24"/>
        </w:rPr>
      </w:pPr>
    </w:p>
    <w:p w14:paraId="783C2353" w14:textId="77777777" w:rsidR="003E6EAD" w:rsidRDefault="003A4514" w:rsidP="0000505D">
      <w:pPr>
        <w:pStyle w:val="ListParagraph"/>
        <w:numPr>
          <w:ilvl w:val="0"/>
          <w:numId w:val="18"/>
        </w:numPr>
        <w:spacing w:after="160" w:line="256" w:lineRule="auto"/>
        <w:jc w:val="center"/>
        <w:rPr>
          <w:rFonts w:ascii="Cambria" w:hAnsi="Cambria"/>
          <w:sz w:val="24"/>
          <w:szCs w:val="24"/>
          <w:lang w:eastAsia="lv-LV"/>
        </w:rPr>
      </w:pPr>
      <w:bookmarkStart w:id="61" w:name="_Hlk181113469"/>
      <w:r>
        <w:rPr>
          <w:rFonts w:ascii="Cambria" w:hAnsi="Cambria"/>
          <w:sz w:val="24"/>
          <w:szCs w:val="24"/>
          <w:lang w:eastAsia="lv-LV"/>
        </w:rPr>
        <w:t>pielikums.</w:t>
      </w:r>
    </w:p>
    <w:bookmarkEnd w:id="61"/>
    <w:p w14:paraId="36242868" w14:textId="77777777" w:rsidR="003E6EAD" w:rsidRDefault="003E6EAD" w:rsidP="0000505D">
      <w:pPr>
        <w:pStyle w:val="ListParagraph"/>
        <w:spacing w:after="160" w:line="256" w:lineRule="auto"/>
        <w:ind w:left="644"/>
        <w:jc w:val="center"/>
        <w:rPr>
          <w:rFonts w:ascii="Cambria" w:hAnsi="Cambria"/>
          <w:sz w:val="24"/>
          <w:szCs w:val="24"/>
          <w:lang w:eastAsia="lv-LV"/>
        </w:rPr>
      </w:pPr>
    </w:p>
    <w:p w14:paraId="242EDDFF" w14:textId="77777777" w:rsidR="003E6EAD" w:rsidRDefault="003A4514" w:rsidP="0000505D">
      <w:pPr>
        <w:pStyle w:val="ListParagraph"/>
        <w:numPr>
          <w:ilvl w:val="0"/>
          <w:numId w:val="19"/>
        </w:numPr>
        <w:spacing w:after="160" w:line="256" w:lineRule="auto"/>
        <w:jc w:val="center"/>
      </w:pPr>
      <w:r>
        <w:rPr>
          <w:noProof/>
          <w:lang w:eastAsia="lv-LV"/>
        </w:rPr>
        <mc:AlternateContent>
          <mc:Choice Requires="wps">
            <w:drawing>
              <wp:anchor distT="0" distB="0" distL="114300" distR="114300" simplePos="0" relativeHeight="251658252" behindDoc="0" locked="0" layoutInCell="1" allowOverlap="1" wp14:anchorId="43662E6E" wp14:editId="42100E1F">
                <wp:simplePos x="0" y="0"/>
                <wp:positionH relativeFrom="margin">
                  <wp:posOffset>7310051</wp:posOffset>
                </wp:positionH>
                <wp:positionV relativeFrom="paragraph">
                  <wp:posOffset>253855</wp:posOffset>
                </wp:positionV>
                <wp:extent cx="810899" cy="285750"/>
                <wp:effectExtent l="0" t="0" r="8251" b="0"/>
                <wp:wrapNone/>
                <wp:docPr id="699289988" name="Text Box 15"/>
                <wp:cNvGraphicFramePr/>
                <a:graphic xmlns:a="http://schemas.openxmlformats.org/drawingml/2006/main">
                  <a:graphicData uri="http://schemas.microsoft.com/office/word/2010/wordprocessingShape">
                    <wps:wsp>
                      <wps:cNvSpPr txBox="1"/>
                      <wps:spPr>
                        <a:xfrm>
                          <a:off x="0" y="0"/>
                          <a:ext cx="810899" cy="285750"/>
                        </a:xfrm>
                        <a:prstGeom prst="rect">
                          <a:avLst/>
                        </a:prstGeom>
                        <a:solidFill>
                          <a:srgbClr val="FFFFFF"/>
                        </a:solidFill>
                        <a:ln>
                          <a:noFill/>
                          <a:prstDash/>
                        </a:ln>
                      </wps:spPr>
                      <wps:txbx>
                        <w:txbxContent>
                          <w:p w14:paraId="5D54F2B7" w14:textId="77777777" w:rsidR="003E6EAD" w:rsidRDefault="003A4514">
                            <w:pPr>
                              <w:rPr>
                                <w:rFonts w:ascii="Cambria" w:hAnsi="Cambria"/>
                              </w:rPr>
                            </w:pPr>
                            <w:r>
                              <w:rPr>
                                <w:rFonts w:ascii="Cambria" w:hAnsi="Cambria"/>
                              </w:rPr>
                              <w:t>2. mēneši</w:t>
                            </w:r>
                          </w:p>
                        </w:txbxContent>
                      </wps:txbx>
                      <wps:bodyPr vert="horz" wrap="square" lIns="91440" tIns="45720" rIns="91440" bIns="45720" anchor="t" anchorCtr="0" compatLnSpc="1">
                        <a:noAutofit/>
                      </wps:bodyPr>
                    </wps:wsp>
                  </a:graphicData>
                </a:graphic>
              </wp:anchor>
            </w:drawing>
          </mc:Choice>
          <mc:Fallback>
            <w:pict>
              <v:shape w14:anchorId="43662E6E" id="Text Box 15" o:spid="_x0000_s1031" type="#_x0000_t202" style="position:absolute;left:0;text-align:left;margin-left:575.6pt;margin-top:20pt;width:63.85pt;height:22.5pt;z-index:2516582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" stroked="f">
                <v:textbox>
                  <w:txbxContent>
                    <w:p w14:paraId="5D54F2B7" w14:textId="77777777" w:rsidR="003E6EAD" w:rsidRDefault="003A4514">
                      <w:pPr>
                        <w:rPr>
                          <w:rFonts w:ascii="Cambria" w:hAnsi="Cambria"/>
                        </w:rPr>
                      </w:pPr>
                      <w:r>
                        <w:rPr>
                          <w:rFonts w:ascii="Cambria" w:hAnsi="Cambria"/>
                        </w:rPr>
                        <w:t>2. mēneši</w:t>
                      </w:r>
                    </w:p>
                  </w:txbxContent>
                </v:textbox>
                <w10:wrap anchorx="margin"/>
              </v:shape>
            </w:pict>
          </mc:Fallback>
        </mc:AlternateContent>
      </w:r>
      <w:r>
        <w:rPr>
          <w:noProof/>
          <w:lang w:eastAsia="lv-LV"/>
        </w:rPr>
        <mc:AlternateContent>
          <mc:Choice Requires="wps">
            <w:drawing>
              <wp:anchor distT="0" distB="0" distL="114300" distR="114300" simplePos="0" relativeHeight="251658251" behindDoc="0" locked="0" layoutInCell="1" allowOverlap="1" wp14:anchorId="7CFAA522" wp14:editId="369DFC71">
                <wp:simplePos x="0" y="0"/>
                <wp:positionH relativeFrom="column">
                  <wp:posOffset>5243197</wp:posOffset>
                </wp:positionH>
                <wp:positionV relativeFrom="paragraph">
                  <wp:posOffset>237725</wp:posOffset>
                </wp:positionV>
                <wp:extent cx="810899" cy="285750"/>
                <wp:effectExtent l="0" t="0" r="8251" b="0"/>
                <wp:wrapNone/>
                <wp:docPr id="2127803394" name="Text Box 15"/>
                <wp:cNvGraphicFramePr/>
                <a:graphic xmlns:a="http://schemas.openxmlformats.org/drawingml/2006/main">
                  <a:graphicData uri="http://schemas.microsoft.com/office/word/2010/wordprocessingShape">
                    <wps:wsp>
                      <wps:cNvSpPr txBox="1"/>
                      <wps:spPr>
                        <a:xfrm>
                          <a:off x="0" y="0"/>
                          <a:ext cx="810899" cy="285750"/>
                        </a:xfrm>
                        <a:prstGeom prst="rect">
                          <a:avLst/>
                        </a:prstGeom>
                        <a:solidFill>
                          <a:srgbClr val="FFFFFF"/>
                        </a:solidFill>
                        <a:ln>
                          <a:noFill/>
                          <a:prstDash/>
                        </a:ln>
                      </wps:spPr>
                      <wps:txbx>
                        <w:txbxContent>
                          <w:p w14:paraId="04545399" w14:textId="77777777" w:rsidR="003E6EAD" w:rsidRDefault="003A4514">
                            <w:r>
                              <w:rPr>
                                <w:rFonts w:ascii="Cambria" w:hAnsi="Cambria"/>
                                <w:sz w:val="18"/>
                                <w:szCs w:val="18"/>
                              </w:rPr>
                              <w:t>4.</w:t>
                            </w:r>
                            <w:r>
                              <w:rPr>
                                <w:rFonts w:ascii="Cambria" w:hAnsi="Cambria"/>
                              </w:rPr>
                              <w:t xml:space="preserve"> mēneši</w:t>
                            </w:r>
                          </w:p>
                        </w:txbxContent>
                      </wps:txbx>
                      <wps:bodyPr vert="horz" wrap="square" lIns="91440" tIns="45720" rIns="91440" bIns="45720" anchor="t" anchorCtr="0" compatLnSpc="1">
                        <a:noAutofit/>
                      </wps:bodyPr>
                    </wps:wsp>
                  </a:graphicData>
                </a:graphic>
              </wp:anchor>
            </w:drawing>
          </mc:Choice>
          <mc:Fallback>
            <w:pict>
              <v:shape w14:anchorId="7CFAA522" id="_x0000_s1032" type="#_x0000_t202" style="position:absolute;left:0;text-align:left;margin-left:412.85pt;margin-top:18.7pt;width:63.85pt;height:22.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" stroked="f">
                <v:textbox>
                  <w:txbxContent>
                    <w:p w14:paraId="04545399" w14:textId="77777777" w:rsidR="003E6EAD" w:rsidRDefault="003A4514">
                      <w:r>
                        <w:rPr>
                          <w:rFonts w:ascii="Cambria" w:hAnsi="Cambria"/>
                          <w:sz w:val="18"/>
                          <w:szCs w:val="18"/>
                        </w:rPr>
                        <w:t>4.</w:t>
                      </w:r>
                      <w:r>
                        <w:rPr>
                          <w:rFonts w:ascii="Cambria" w:hAnsi="Cambria"/>
                        </w:rPr>
                        <w:t xml:space="preserve"> mēneši</w:t>
                      </w:r>
                    </w:p>
                  </w:txbxContent>
                </v:textbox>
              </v:shape>
            </w:pict>
          </mc:Fallback>
        </mc:AlternateContent>
      </w:r>
      <w:r>
        <w:rPr>
          <w:rFonts w:ascii="Cambria" w:hAnsi="Cambria"/>
          <w:b/>
          <w:bCs/>
          <w:sz w:val="24"/>
          <w:szCs w:val="24"/>
          <w:lang w:eastAsia="lv-LV"/>
        </w:rPr>
        <w:t>attēls. 2021. – 2025. gada atbilstības pārbaude</w:t>
      </w:r>
    </w:p>
    <w:p w14:paraId="35074CAA" w14:textId="77777777" w:rsidR="003E6EAD" w:rsidRDefault="003A4514">
      <w:pPr>
        <w:spacing w:after="160" w:line="256" w:lineRule="auto"/>
        <w:jc w:val="both"/>
      </w:pPr>
      <w:r>
        <w:rPr>
          <w:rFonts w:ascii="Cambria" w:hAnsi="Cambria"/>
          <w:noProof/>
          <w:sz w:val="24"/>
          <w:szCs w:val="24"/>
          <w:lang w:eastAsia="lv-LV"/>
        </w:rPr>
        <mc:AlternateContent>
          <mc:Choice Requires="wps">
            <w:drawing>
              <wp:anchor distT="0" distB="0" distL="114300" distR="114300" simplePos="0" relativeHeight="251658250" behindDoc="0" locked="0" layoutInCell="1" allowOverlap="1" wp14:anchorId="65EA54E3" wp14:editId="69C7807F">
                <wp:simplePos x="0" y="0"/>
                <wp:positionH relativeFrom="column">
                  <wp:posOffset>7003206</wp:posOffset>
                </wp:positionH>
                <wp:positionV relativeFrom="paragraph">
                  <wp:posOffset>150290</wp:posOffset>
                </wp:positionV>
                <wp:extent cx="1407161" cy="325124"/>
                <wp:effectExtent l="0" t="0" r="21589" b="36826"/>
                <wp:wrapNone/>
                <wp:docPr id="215691245" name="Arrow: Curved Down 14"/>
                <wp:cNvGraphicFramePr/>
                <a:graphic xmlns:a="http://schemas.openxmlformats.org/drawingml/2006/main">
                  <a:graphicData uri="http://schemas.microsoft.com/office/word/2010/wordprocessingShape">
                    <wps:wsp>
                      <wps:cNvSpPr/>
                      <wps:spPr>
                        <a:xfrm>
                          <a:off x="0" y="0"/>
                          <a:ext cx="1407161" cy="325124"/>
                        </a:xfrm>
                        <a:custGeom>
                          <a:avLst>
                            <a:gd name="f12" fmla="val 25000"/>
                            <a:gd name="f13" fmla="val 50000"/>
                            <a:gd name="f14" fmla="val 25000"/>
                          </a:avLst>
                          <a:gdLst>
                            <a:gd name="f3" fmla="val 10800000"/>
                            <a:gd name="f4" fmla="val 5400000"/>
                            <a:gd name="f5" fmla="val 16200000"/>
                            <a:gd name="f6" fmla="val 180"/>
                            <a:gd name="f7" fmla="val w"/>
                            <a:gd name="f8" fmla="val h"/>
                            <a:gd name="f9" fmla="val ss"/>
                            <a:gd name="f10" fmla="val 0"/>
                            <a:gd name="f11" fmla="*/ 5419351 1 1725033"/>
                            <a:gd name="f12" fmla="val 25000"/>
                            <a:gd name="f13" fmla="val 50000"/>
                            <a:gd name="f14" fmla="val 25000"/>
                            <a:gd name="f15" fmla="+- 0 0 -360"/>
                            <a:gd name="f16" fmla="+- 0 0 -180"/>
                            <a:gd name="f17" fmla="+- 0 0 -90"/>
                            <a:gd name="f18" fmla="abs f7"/>
                            <a:gd name="f19" fmla="abs f8"/>
                            <a:gd name="f20" fmla="abs f9"/>
                            <a:gd name="f21" fmla="val f10"/>
                            <a:gd name="f22" fmla="val f13"/>
                            <a:gd name="f23" fmla="val f12"/>
                            <a:gd name="f24" fmla="*/ f15 f3 1"/>
                            <a:gd name="f25" fmla="*/ f16 f3 1"/>
                            <a:gd name="f26" fmla="*/ f17 f3 1"/>
                            <a:gd name="f27" fmla="?: f18 f7 1"/>
                            <a:gd name="f28" fmla="?: f19 f8 1"/>
                            <a:gd name="f29" fmla="?: f20 f9 1"/>
                            <a:gd name="f30" fmla="*/ f24 1 f6"/>
                            <a:gd name="f31" fmla="*/ f25 1 f6"/>
                            <a:gd name="f32" fmla="*/ f26 1 f6"/>
                            <a:gd name="f33" fmla="*/ f27 1 21600"/>
                            <a:gd name="f34" fmla="*/ f28 1 21600"/>
                            <a:gd name="f35" fmla="*/ 21600 f27 1"/>
                            <a:gd name="f36" fmla="*/ 21600 f28 1"/>
                            <a:gd name="f37" fmla="+- f30 0 f4"/>
                            <a:gd name="f38" fmla="+- f31 0 f4"/>
                            <a:gd name="f39" fmla="+- f32 0 f4"/>
                            <a:gd name="f40" fmla="min f34 f33"/>
                            <a:gd name="f41" fmla="*/ f35 1 f29"/>
                            <a:gd name="f42" fmla="*/ f36 1 f29"/>
                            <a:gd name="f43" fmla="val f41"/>
                            <a:gd name="f44" fmla="val f42"/>
                            <a:gd name="f45" fmla="*/ f21 f40 1"/>
                            <a:gd name="f46" fmla="+- f44 0 f21"/>
                            <a:gd name="f47" fmla="+- f43 0 f21"/>
                            <a:gd name="f48" fmla="*/ f43 f40 1"/>
                            <a:gd name="f49" fmla="*/ f44 f40 1"/>
                            <a:gd name="f50" fmla="*/ f47 1 2"/>
                            <a:gd name="f51" fmla="min f47 f46"/>
                            <a:gd name="f52" fmla="*/ f46 f46 1"/>
                            <a:gd name="f53" fmla="*/ f46 f40 1"/>
                            <a:gd name="f54" fmla="*/ f51 f23 1"/>
                            <a:gd name="f55" fmla="*/ f51 f22 1"/>
                            <a:gd name="f56" fmla="*/ f51 f14 1"/>
                            <a:gd name="f57" fmla="*/ f54 1 100000"/>
                            <a:gd name="f58" fmla="*/ f55 1 100000"/>
                            <a:gd name="f59" fmla="*/ f56 1 100000"/>
                            <a:gd name="f60" fmla="+- f57 f58 0"/>
                            <a:gd name="f61" fmla="*/ f57 f57 1"/>
                            <a:gd name="f62" fmla="*/ f59 f59 1"/>
                            <a:gd name="f63" fmla="+- f58 0 f57"/>
                            <a:gd name="f64" fmla="*/ f58 1 2"/>
                            <a:gd name="f65" fmla="+- f44 0 f59"/>
                            <a:gd name="f66" fmla="+- 0 0 f59"/>
                            <a:gd name="f67" fmla="*/ f57 1 2"/>
                            <a:gd name="f68" fmla="*/ f60 1 4"/>
                            <a:gd name="f69" fmla="+- f52 0 f62"/>
                            <a:gd name="f70" fmla="*/ f63 1 2"/>
                            <a:gd name="f71" fmla="+- f43 0 f64"/>
                            <a:gd name="f72" fmla="+- 0 0 f66"/>
                            <a:gd name="f73" fmla="+- 0 0 f67"/>
                            <a:gd name="f74" fmla="*/ f65 f40 1"/>
                            <a:gd name="f75" fmla="*/ f67 f40 1"/>
                            <a:gd name="f76" fmla="+- f50 0 f68"/>
                            <a:gd name="f77" fmla="sqrt f69"/>
                            <a:gd name="f78" fmla="+- 0 0 f73"/>
                            <a:gd name="f79" fmla="*/ f71 f40 1"/>
                            <a:gd name="f80" fmla="*/ f76 2 1"/>
                            <a:gd name="f81" fmla="+- f76 f57 0"/>
                            <a:gd name="f82" fmla="*/ f77 f76 1"/>
                            <a:gd name="f83" fmla="*/ f76 f40 1"/>
                            <a:gd name="f84" fmla="*/ f80 f80 1"/>
                            <a:gd name="f85" fmla="*/ f82 1 f46"/>
                            <a:gd name="f86" fmla="+- f76 f81 0"/>
                            <a:gd name="f87" fmla="*/ f81 f40 1"/>
                            <a:gd name="f88" fmla="+- f84 0 f61"/>
                            <a:gd name="f89" fmla="+- f76 f85 0"/>
                            <a:gd name="f90" fmla="+- f81 f85 0"/>
                            <a:gd name="f91" fmla="+- 0 0 f85"/>
                            <a:gd name="f92" fmla="*/ f86 1 2"/>
                            <a:gd name="f93" fmla="sqrt f88"/>
                            <a:gd name="f94" fmla="+- f89 0 f70"/>
                            <a:gd name="f95" fmla="+- f90 f70 0"/>
                            <a:gd name="f96" fmla="+- 0 0 f91"/>
                            <a:gd name="f97" fmla="*/ f89 f40 1"/>
                            <a:gd name="f98" fmla="*/ f92 f40 1"/>
                            <a:gd name="f99" fmla="*/ f93 f46 1"/>
                            <a:gd name="f100" fmla="at2 f72 f96"/>
                            <a:gd name="f101" fmla="*/ f94 f40 1"/>
                            <a:gd name="f102" fmla="*/ f95 f40 1"/>
                            <a:gd name="f103" fmla="*/ f99 1 f80"/>
                            <a:gd name="f104" fmla="+- f100 f4 0"/>
                            <a:gd name="f105" fmla="*/ f104 f11 1"/>
                            <a:gd name="f106" fmla="+- f44 0 f103"/>
                            <a:gd name="f107" fmla="+- 0 0 f103"/>
                            <a:gd name="f108" fmla="*/ f105 1 f3"/>
                            <a:gd name="f109" fmla="+- 0 0 f107"/>
                            <a:gd name="f110" fmla="*/ f106 f40 1"/>
                            <a:gd name="f111" fmla="+- 0 0 f108"/>
                            <a:gd name="f112" fmla="at2 f109 f78"/>
                            <a:gd name="f113" fmla="val f111"/>
                            <a:gd name="f114" fmla="+- f112 f4 0"/>
                            <a:gd name="f115" fmla="+- 0 0 f113"/>
                            <a:gd name="f116" fmla="*/ f114 f11 1"/>
                            <a:gd name="f117" fmla="*/ f115 f3 1"/>
                            <a:gd name="f118" fmla="*/ f116 1 f3"/>
                            <a:gd name="f119" fmla="*/ f117 1 f11"/>
                            <a:gd name="f120" fmla="+- 0 0 f118"/>
                            <a:gd name="f121" fmla="+- f119 0 f4"/>
                            <a:gd name="f122" fmla="val f120"/>
                            <a:gd name="f123" fmla="+- 0 0 f121"/>
                            <a:gd name="f124" fmla="+- 0 0 f122"/>
                            <a:gd name="f125" fmla="+- f5 f121 0"/>
                            <a:gd name="f126" fmla="*/ f124 f3 1"/>
                            <a:gd name="f127" fmla="*/ f126 1 f11"/>
                            <a:gd name="f128" fmla="+- f127 0 f4"/>
                            <a:gd name="f129" fmla="+- f5 0 f128"/>
                            <a:gd name="f130" fmla="+- f128 0 f4"/>
                            <a:gd name="f131" fmla="+- f4 f128 0"/>
                          </a:gdLst>
                          <a:ahLst/>
                          <a:cxnLst>
                            <a:cxn ang="3cd4">
                              <a:pos x="hc" y="t"/>
                            </a:cxn>
                            <a:cxn ang="0">
                              <a:pos x="r" y="vc"/>
                            </a:cxn>
                            <a:cxn ang="cd4">
                              <a:pos x="hc" y="b"/>
                            </a:cxn>
                            <a:cxn ang="cd2">
                              <a:pos x="l" y="vc"/>
                            </a:cxn>
                            <a:cxn ang="f37">
                              <a:pos x="f98" y="f45"/>
                            </a:cxn>
                            <a:cxn ang="f38">
                              <a:pos x="f75" y="f49"/>
                            </a:cxn>
                            <a:cxn ang="f38">
                              <a:pos x="f101" y="f74"/>
                            </a:cxn>
                            <a:cxn ang="f38">
                              <a:pos x="f79" y="f49"/>
                            </a:cxn>
                            <a:cxn ang="f39">
                              <a:pos x="f102" y="f74"/>
                            </a:cxn>
                          </a:cxnLst>
                          <a:rect l="f45" t="f45" r="f48" b="f49"/>
                          <a:pathLst>
                            <a:path stroke="0">
                              <a:moveTo>
                                <a:pt x="f79" y="f49"/>
                              </a:moveTo>
                              <a:lnTo>
                                <a:pt x="f101" y="f74"/>
                              </a:lnTo>
                              <a:lnTo>
                                <a:pt x="f97" y="f74"/>
                              </a:lnTo>
                              <a:arcTo wR="f83" hR="f53" stAng="f125" swAng="f123"/>
                              <a:lnTo>
                                <a:pt x="f87" y="f45"/>
                              </a:lnTo>
                              <a:arcTo wR="f83" hR="f53" stAng="f5" swAng="f121"/>
                              <a:lnTo>
                                <a:pt x="f102" y="f74"/>
                              </a:lnTo>
                              <a:close/>
                            </a:path>
                            <a:path stroke="0">
                              <a:moveTo>
                                <a:pt x="f98" y="f110"/>
                              </a:moveTo>
                              <a:arcTo wR="f83" hR="f53" stAng="f129" swAng="f130"/>
                              <a:lnTo>
                                <a:pt x="f45" y="f49"/>
                              </a:lnTo>
                              <a:arcTo wR="f83" hR="f53" stAng="f3" swAng="f131"/>
                              <a:close/>
                            </a:path>
                            <a:path fill="none">
                              <a:moveTo>
                                <a:pt x="f98" y="f110"/>
                              </a:moveTo>
                              <a:arcTo wR="f83" hR="f53" stAng="f129" swAng="f130"/>
                              <a:lnTo>
                                <a:pt x="f45" y="f49"/>
                              </a:lnTo>
                              <a:arcTo wR="f83" hR="f53" stAng="f3" swAng="f4"/>
                              <a:lnTo>
                                <a:pt x="f87" y="f45"/>
                              </a:lnTo>
                              <a:arcTo wR="f83" hR="f53" stAng="f5" swAng="f121"/>
                              <a:lnTo>
                                <a:pt x="f102" y="f74"/>
                              </a:lnTo>
                              <a:lnTo>
                                <a:pt x="f79" y="f49"/>
                              </a:lnTo>
                              <a:lnTo>
                                <a:pt x="f101" y="f74"/>
                              </a:lnTo>
                              <a:lnTo>
                                <a:pt x="f97" y="f74"/>
                              </a:lnTo>
                              <a:arcTo wR="f83" hR="f53" stAng="f125" swAng="f123"/>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03DD1CA0" id="Arrow: Curved Down 14" o:spid="_x0000_s1026" style="position:absolute;margin-left:551.45pt;margin-top:11.85pt;width:110.8pt;height:25.6pt;z-index:251658250;visibility:visible;mso-wrap-style:square;mso-wrap-distance-left:9pt;mso-wrap-distance-top:0;mso-wrap-distance-right:9pt;mso-wrap-distance-bottom:0;mso-position-horizontal:absolute;mso-position-horizontal-relative:text;mso-position-vertical:absolute;mso-position-vertical-relative:text;v-text-anchor:top" coordsize="1407161,32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" path="m1325880,325124nsl1224193,243843r40641,at,,1285240,650248,1264834,243843,642620,l723901,wa81281,,1366521,650248,723901,,1346115,243843l1386755,243843r-60875,81281xem683260,651nsat81281,,1366521,650248,683260,651,81281,325124l,325124wa,,1285240,650248,,325124,683261,651l683260,651xem683260,651nfat81281,,1366521,650248,683260,651,81281,325124l,325124wa,,1285240,650248,,325124,642620,l723901,wa81281,,1366521,650248,723901,,1346115,243843l1386755,243843r-60875,81281l1224193,243843r40641,at,,1285240,650248,1264834,243843,642620,e" fillcolor="#156082" strokecolor="#042433" strokeweight=".35281mm">
                <v:stroke joinstyle="miter"/>
                <v:path arrowok="t" o:connecttype="custom" o:connectlocs="703581,0;1407161,162562;703581,325124;0,162562;683260,0;40641,325124;1224193,243843;1325880,325124;1386755,243843" o:connectangles="270,0,90,180,270,90,90,90,0" textboxrect="0,0,1407161,325124"/>
              </v:shape>
            </w:pict>
          </mc:Fallback>
        </mc:AlternateContent>
      </w:r>
      <w:r>
        <w:rPr>
          <w:rFonts w:ascii="Cambria" w:hAnsi="Cambria"/>
          <w:noProof/>
          <w:sz w:val="24"/>
          <w:szCs w:val="24"/>
          <w:lang w:eastAsia="lv-LV"/>
        </w:rPr>
        <mc:AlternateContent>
          <mc:Choice Requires="wps">
            <w:drawing>
              <wp:anchor distT="0" distB="0" distL="114300" distR="114300" simplePos="0" relativeHeight="251658249" behindDoc="0" locked="0" layoutInCell="1" allowOverlap="1" wp14:anchorId="259987E4" wp14:editId="0DFF040F">
                <wp:simplePos x="0" y="0"/>
                <wp:positionH relativeFrom="column">
                  <wp:posOffset>5084402</wp:posOffset>
                </wp:positionH>
                <wp:positionV relativeFrom="paragraph">
                  <wp:posOffset>181554</wp:posOffset>
                </wp:positionV>
                <wp:extent cx="1168402" cy="325755"/>
                <wp:effectExtent l="0" t="0" r="12698" b="36195"/>
                <wp:wrapNone/>
                <wp:docPr id="35874183" name="Arrow: Curved Down 13"/>
                <wp:cNvGraphicFramePr/>
                <a:graphic xmlns:a="http://schemas.openxmlformats.org/drawingml/2006/main">
                  <a:graphicData uri="http://schemas.microsoft.com/office/word/2010/wordprocessingShape">
                    <wps:wsp>
                      <wps:cNvSpPr/>
                      <wps:spPr>
                        <a:xfrm>
                          <a:off x="0" y="0"/>
                          <a:ext cx="1168402" cy="325755"/>
                        </a:xfrm>
                        <a:custGeom>
                          <a:avLst>
                            <a:gd name="f12" fmla="val 25000"/>
                            <a:gd name="f13" fmla="val 50000"/>
                            <a:gd name="f14" fmla="val 25000"/>
                          </a:avLst>
                          <a:gdLst>
                            <a:gd name="f3" fmla="val 10800000"/>
                            <a:gd name="f4" fmla="val 5400000"/>
                            <a:gd name="f5" fmla="val 16200000"/>
                            <a:gd name="f6" fmla="val 180"/>
                            <a:gd name="f7" fmla="val w"/>
                            <a:gd name="f8" fmla="val h"/>
                            <a:gd name="f9" fmla="val ss"/>
                            <a:gd name="f10" fmla="val 0"/>
                            <a:gd name="f11" fmla="*/ 5419351 1 1725033"/>
                            <a:gd name="f12" fmla="val 25000"/>
                            <a:gd name="f13" fmla="val 50000"/>
                            <a:gd name="f14" fmla="val 25000"/>
                            <a:gd name="f15" fmla="+- 0 0 -360"/>
                            <a:gd name="f16" fmla="+- 0 0 -180"/>
                            <a:gd name="f17" fmla="+- 0 0 -90"/>
                            <a:gd name="f18" fmla="abs f7"/>
                            <a:gd name="f19" fmla="abs f8"/>
                            <a:gd name="f20" fmla="abs f9"/>
                            <a:gd name="f21" fmla="val f10"/>
                            <a:gd name="f22" fmla="val f13"/>
                            <a:gd name="f23" fmla="val f12"/>
                            <a:gd name="f24" fmla="*/ f15 f3 1"/>
                            <a:gd name="f25" fmla="*/ f16 f3 1"/>
                            <a:gd name="f26" fmla="*/ f17 f3 1"/>
                            <a:gd name="f27" fmla="?: f18 f7 1"/>
                            <a:gd name="f28" fmla="?: f19 f8 1"/>
                            <a:gd name="f29" fmla="?: f20 f9 1"/>
                            <a:gd name="f30" fmla="*/ f24 1 f6"/>
                            <a:gd name="f31" fmla="*/ f25 1 f6"/>
                            <a:gd name="f32" fmla="*/ f26 1 f6"/>
                            <a:gd name="f33" fmla="*/ f27 1 21600"/>
                            <a:gd name="f34" fmla="*/ f28 1 21600"/>
                            <a:gd name="f35" fmla="*/ 21600 f27 1"/>
                            <a:gd name="f36" fmla="*/ 21600 f28 1"/>
                            <a:gd name="f37" fmla="+- f30 0 f4"/>
                            <a:gd name="f38" fmla="+- f31 0 f4"/>
                            <a:gd name="f39" fmla="+- f32 0 f4"/>
                            <a:gd name="f40" fmla="min f34 f33"/>
                            <a:gd name="f41" fmla="*/ f35 1 f29"/>
                            <a:gd name="f42" fmla="*/ f36 1 f29"/>
                            <a:gd name="f43" fmla="val f41"/>
                            <a:gd name="f44" fmla="val f42"/>
                            <a:gd name="f45" fmla="*/ f21 f40 1"/>
                            <a:gd name="f46" fmla="+- f44 0 f21"/>
                            <a:gd name="f47" fmla="+- f43 0 f21"/>
                            <a:gd name="f48" fmla="*/ f43 f40 1"/>
                            <a:gd name="f49" fmla="*/ f44 f40 1"/>
                            <a:gd name="f50" fmla="*/ f47 1 2"/>
                            <a:gd name="f51" fmla="min f47 f46"/>
                            <a:gd name="f52" fmla="*/ f46 f46 1"/>
                            <a:gd name="f53" fmla="*/ f46 f40 1"/>
                            <a:gd name="f54" fmla="*/ f51 f23 1"/>
                            <a:gd name="f55" fmla="*/ f51 f22 1"/>
                            <a:gd name="f56" fmla="*/ f51 f14 1"/>
                            <a:gd name="f57" fmla="*/ f54 1 100000"/>
                            <a:gd name="f58" fmla="*/ f55 1 100000"/>
                            <a:gd name="f59" fmla="*/ f56 1 100000"/>
                            <a:gd name="f60" fmla="+- f57 f58 0"/>
                            <a:gd name="f61" fmla="*/ f57 f57 1"/>
                            <a:gd name="f62" fmla="*/ f59 f59 1"/>
                            <a:gd name="f63" fmla="+- f58 0 f57"/>
                            <a:gd name="f64" fmla="*/ f58 1 2"/>
                            <a:gd name="f65" fmla="+- f44 0 f59"/>
                            <a:gd name="f66" fmla="+- 0 0 f59"/>
                            <a:gd name="f67" fmla="*/ f57 1 2"/>
                            <a:gd name="f68" fmla="*/ f60 1 4"/>
                            <a:gd name="f69" fmla="+- f52 0 f62"/>
                            <a:gd name="f70" fmla="*/ f63 1 2"/>
                            <a:gd name="f71" fmla="+- f43 0 f64"/>
                            <a:gd name="f72" fmla="+- 0 0 f66"/>
                            <a:gd name="f73" fmla="+- 0 0 f67"/>
                            <a:gd name="f74" fmla="*/ f65 f40 1"/>
                            <a:gd name="f75" fmla="*/ f67 f40 1"/>
                            <a:gd name="f76" fmla="+- f50 0 f68"/>
                            <a:gd name="f77" fmla="sqrt f69"/>
                            <a:gd name="f78" fmla="+- 0 0 f73"/>
                            <a:gd name="f79" fmla="*/ f71 f40 1"/>
                            <a:gd name="f80" fmla="*/ f76 2 1"/>
                            <a:gd name="f81" fmla="+- f76 f57 0"/>
                            <a:gd name="f82" fmla="*/ f77 f76 1"/>
                            <a:gd name="f83" fmla="*/ f76 f40 1"/>
                            <a:gd name="f84" fmla="*/ f80 f80 1"/>
                            <a:gd name="f85" fmla="*/ f82 1 f46"/>
                            <a:gd name="f86" fmla="+- f76 f81 0"/>
                            <a:gd name="f87" fmla="*/ f81 f40 1"/>
                            <a:gd name="f88" fmla="+- f84 0 f61"/>
                            <a:gd name="f89" fmla="+- f76 f85 0"/>
                            <a:gd name="f90" fmla="+- f81 f85 0"/>
                            <a:gd name="f91" fmla="+- 0 0 f85"/>
                            <a:gd name="f92" fmla="*/ f86 1 2"/>
                            <a:gd name="f93" fmla="sqrt f88"/>
                            <a:gd name="f94" fmla="+- f89 0 f70"/>
                            <a:gd name="f95" fmla="+- f90 f70 0"/>
                            <a:gd name="f96" fmla="+- 0 0 f91"/>
                            <a:gd name="f97" fmla="*/ f89 f40 1"/>
                            <a:gd name="f98" fmla="*/ f92 f40 1"/>
                            <a:gd name="f99" fmla="*/ f93 f46 1"/>
                            <a:gd name="f100" fmla="at2 f72 f96"/>
                            <a:gd name="f101" fmla="*/ f94 f40 1"/>
                            <a:gd name="f102" fmla="*/ f95 f40 1"/>
                            <a:gd name="f103" fmla="*/ f99 1 f80"/>
                            <a:gd name="f104" fmla="+- f100 f4 0"/>
                            <a:gd name="f105" fmla="*/ f104 f11 1"/>
                            <a:gd name="f106" fmla="+- f44 0 f103"/>
                            <a:gd name="f107" fmla="+- 0 0 f103"/>
                            <a:gd name="f108" fmla="*/ f105 1 f3"/>
                            <a:gd name="f109" fmla="+- 0 0 f107"/>
                            <a:gd name="f110" fmla="*/ f106 f40 1"/>
                            <a:gd name="f111" fmla="+- 0 0 f108"/>
                            <a:gd name="f112" fmla="at2 f109 f78"/>
                            <a:gd name="f113" fmla="val f111"/>
                            <a:gd name="f114" fmla="+- f112 f4 0"/>
                            <a:gd name="f115" fmla="+- 0 0 f113"/>
                            <a:gd name="f116" fmla="*/ f114 f11 1"/>
                            <a:gd name="f117" fmla="*/ f115 f3 1"/>
                            <a:gd name="f118" fmla="*/ f116 1 f3"/>
                            <a:gd name="f119" fmla="*/ f117 1 f11"/>
                            <a:gd name="f120" fmla="+- 0 0 f118"/>
                            <a:gd name="f121" fmla="+- f119 0 f4"/>
                            <a:gd name="f122" fmla="val f120"/>
                            <a:gd name="f123" fmla="+- 0 0 f121"/>
                            <a:gd name="f124" fmla="+- 0 0 f122"/>
                            <a:gd name="f125" fmla="+- f5 f121 0"/>
                            <a:gd name="f126" fmla="*/ f124 f3 1"/>
                            <a:gd name="f127" fmla="*/ f126 1 f11"/>
                            <a:gd name="f128" fmla="+- f127 0 f4"/>
                            <a:gd name="f129" fmla="+- f5 0 f128"/>
                            <a:gd name="f130" fmla="+- f128 0 f4"/>
                            <a:gd name="f131" fmla="+- f4 f128 0"/>
                          </a:gdLst>
                          <a:ahLst/>
                          <a:cxnLst>
                            <a:cxn ang="3cd4">
                              <a:pos x="hc" y="t"/>
                            </a:cxn>
                            <a:cxn ang="0">
                              <a:pos x="r" y="vc"/>
                            </a:cxn>
                            <a:cxn ang="cd4">
                              <a:pos x="hc" y="b"/>
                            </a:cxn>
                            <a:cxn ang="cd2">
                              <a:pos x="l" y="vc"/>
                            </a:cxn>
                            <a:cxn ang="f37">
                              <a:pos x="f98" y="f45"/>
                            </a:cxn>
                            <a:cxn ang="f38">
                              <a:pos x="f75" y="f49"/>
                            </a:cxn>
                            <a:cxn ang="f38">
                              <a:pos x="f101" y="f74"/>
                            </a:cxn>
                            <a:cxn ang="f38">
                              <a:pos x="f79" y="f49"/>
                            </a:cxn>
                            <a:cxn ang="f39">
                              <a:pos x="f102" y="f74"/>
                            </a:cxn>
                          </a:cxnLst>
                          <a:rect l="f45" t="f45" r="f48" b="f49"/>
                          <a:pathLst>
                            <a:path stroke="0">
                              <a:moveTo>
                                <a:pt x="f79" y="f49"/>
                              </a:moveTo>
                              <a:lnTo>
                                <a:pt x="f101" y="f74"/>
                              </a:lnTo>
                              <a:lnTo>
                                <a:pt x="f97" y="f74"/>
                              </a:lnTo>
                              <a:arcTo wR="f83" hR="f53" stAng="f125" swAng="f123"/>
                              <a:lnTo>
                                <a:pt x="f87" y="f45"/>
                              </a:lnTo>
                              <a:arcTo wR="f83" hR="f53" stAng="f5" swAng="f121"/>
                              <a:lnTo>
                                <a:pt x="f102" y="f74"/>
                              </a:lnTo>
                              <a:close/>
                            </a:path>
                            <a:path stroke="0">
                              <a:moveTo>
                                <a:pt x="f98" y="f110"/>
                              </a:moveTo>
                              <a:arcTo wR="f83" hR="f53" stAng="f129" swAng="f130"/>
                              <a:lnTo>
                                <a:pt x="f45" y="f49"/>
                              </a:lnTo>
                              <a:arcTo wR="f83" hR="f53" stAng="f3" swAng="f131"/>
                              <a:close/>
                            </a:path>
                            <a:path fill="none">
                              <a:moveTo>
                                <a:pt x="f98" y="f110"/>
                              </a:moveTo>
                              <a:arcTo wR="f83" hR="f53" stAng="f129" swAng="f130"/>
                              <a:lnTo>
                                <a:pt x="f45" y="f49"/>
                              </a:lnTo>
                              <a:arcTo wR="f83" hR="f53" stAng="f3" swAng="f4"/>
                              <a:lnTo>
                                <a:pt x="f87" y="f45"/>
                              </a:lnTo>
                              <a:arcTo wR="f83" hR="f53" stAng="f5" swAng="f121"/>
                              <a:lnTo>
                                <a:pt x="f102" y="f74"/>
                              </a:lnTo>
                              <a:lnTo>
                                <a:pt x="f79" y="f49"/>
                              </a:lnTo>
                              <a:lnTo>
                                <a:pt x="f101" y="f74"/>
                              </a:lnTo>
                              <a:lnTo>
                                <a:pt x="f97" y="f74"/>
                              </a:lnTo>
                              <a:arcTo wR="f83" hR="f53" stAng="f125" swAng="f123"/>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1BBDCE59" id="Arrow: Curved Down 13" o:spid="_x0000_s1026" style="position:absolute;margin-left:400.35pt;margin-top:14.3pt;width:92pt;height:25.65pt;z-index:251658249;visibility:visible;mso-wrap-style:square;mso-wrap-distance-left:9pt;mso-wrap-distance-top:0;mso-wrap-distance-right:9pt;mso-wrap-distance-bottom:0;mso-position-horizontal:absolute;mso-position-horizontal-relative:text;mso-position-vertical:absolute;mso-position-vertical-relative:text;v-text-anchor:top" coordsize="1168402,32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" path="m1086963,325755nsl988913,244316r40720,at,,1046244,651510,1029633,244316,523122,l604561,wa81439,,1127683,651510,604561,,1111072,244316l1151791,244316r-64828,81439xem563841,988nsat81438,,1127682,651510,563841,988,81438,325755l,325755wa,,1046244,651510,,325755,563841,988xem563841,988nfat81438,,1127682,651510,563841,988,81438,325755l,325755wa,,1046244,651510,,325755,523122,l604561,wa81439,,1127683,651510,604561,,1111072,244316l1151791,244316r-64828,81439l988913,244316r40720,at,,1046244,651510,1029633,244316,523122,e" fillcolor="#156082" strokecolor="#042433" strokeweight=".35281mm">
                <v:stroke joinstyle="miter"/>
                <v:path arrowok="t" o:connecttype="custom" o:connectlocs="584201,0;1168402,162878;584201,325755;0,162878;563841,0;40719,325755;988913,244316;1086963,325755;1151791,244316" o:connectangles="270,0,90,180,270,90,90,90,0" textboxrect="0,0,1168402,325755"/>
              </v:shape>
            </w:pict>
          </mc:Fallback>
        </mc:AlternateContent>
      </w:r>
    </w:p>
    <w:p w14:paraId="7414E51B" w14:textId="77777777" w:rsidR="003E6EAD" w:rsidRDefault="003A4514">
      <w:pPr>
        <w:spacing w:after="160" w:line="256" w:lineRule="auto"/>
        <w:jc w:val="both"/>
      </w:pPr>
      <w:r>
        <w:rPr>
          <w:rFonts w:ascii="Cambria" w:hAnsi="Cambria"/>
          <w:noProof/>
          <w:sz w:val="24"/>
          <w:szCs w:val="24"/>
          <w:lang w:eastAsia="lv-LV"/>
        </w:rPr>
        <mc:AlternateContent>
          <mc:Choice Requires="wps">
            <w:drawing>
              <wp:anchor distT="0" distB="0" distL="114300" distR="114300" simplePos="0" relativeHeight="251658253" behindDoc="0" locked="0" layoutInCell="1" allowOverlap="1" wp14:anchorId="0B4B58D8" wp14:editId="649BFC15">
                <wp:simplePos x="0" y="0"/>
                <wp:positionH relativeFrom="column">
                  <wp:posOffset>4804413</wp:posOffset>
                </wp:positionH>
                <wp:positionV relativeFrom="paragraph">
                  <wp:posOffset>3662684</wp:posOffset>
                </wp:positionV>
                <wp:extent cx="3128006" cy="279404"/>
                <wp:effectExtent l="0" t="19050" r="34294" b="44446"/>
                <wp:wrapNone/>
                <wp:docPr id="79457824" name="Arrow: Right 24"/>
                <wp:cNvGraphicFramePr/>
                <a:graphic xmlns:a="http://schemas.openxmlformats.org/drawingml/2006/main">
                  <a:graphicData uri="http://schemas.microsoft.com/office/word/2010/wordprocessingShape">
                    <wps:wsp>
                      <wps:cNvSpPr/>
                      <wps:spPr>
                        <a:xfrm>
                          <a:off x="0" y="0"/>
                          <a:ext cx="3128006" cy="279404"/>
                        </a:xfrm>
                        <a:custGeom>
                          <a:avLst>
                            <a:gd name="f0" fmla="val 2063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5AE3EF31" id="Arrow: Right 24" o:spid="_x0000_s1026" style="position:absolute;margin-left:378.3pt;margin-top:288.4pt;width:246.3pt;height:22pt;z-index:251658253;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" path="m,5400r20635,l20635,r965,10800l20635,21600r,-5400l,16200,,5400xe" fillcolor="#156082" strokecolor="#042433" strokeweight=".35281mm">
                <v:stroke joinstyle="miter"/>
                <v:path arrowok="t" o:connecttype="custom" o:connectlocs="1564003,0;3128006,139702;1564003,279404;0,139702;2988259,0;2988259,279404" o:connectangles="270,0,90,180,270,90" textboxrect="0,5400,21118,16200"/>
              </v:shape>
            </w:pict>
          </mc:Fallback>
        </mc:AlternateContent>
      </w:r>
      <w:r>
        <w:rPr>
          <w:rFonts w:ascii="Cambria" w:hAnsi="Cambria"/>
          <w:noProof/>
          <w:sz w:val="24"/>
          <w:szCs w:val="24"/>
          <w:lang w:eastAsia="lv-LV"/>
        </w:rPr>
        <mc:AlternateContent>
          <mc:Choice Requires="wps">
            <w:drawing>
              <wp:anchor distT="0" distB="0" distL="114300" distR="114300" simplePos="0" relativeHeight="251658254" behindDoc="0" locked="0" layoutInCell="1" allowOverlap="1" wp14:anchorId="4F229283" wp14:editId="7C5B801B">
                <wp:simplePos x="0" y="0"/>
                <wp:positionH relativeFrom="column">
                  <wp:posOffset>4690113</wp:posOffset>
                </wp:positionH>
                <wp:positionV relativeFrom="paragraph">
                  <wp:posOffset>3091184</wp:posOffset>
                </wp:positionV>
                <wp:extent cx="391792" cy="647696"/>
                <wp:effectExtent l="19050" t="0" r="27308" b="38104"/>
                <wp:wrapNone/>
                <wp:docPr id="1392756258" name="Arrow: Down 25"/>
                <wp:cNvGraphicFramePr/>
                <a:graphic xmlns:a="http://schemas.openxmlformats.org/drawingml/2006/main">
                  <a:graphicData uri="http://schemas.microsoft.com/office/word/2010/wordprocessingShape">
                    <wps:wsp>
                      <wps:cNvSpPr/>
                      <wps:spPr>
                        <a:xfrm>
                          <a:off x="0" y="0"/>
                          <a:ext cx="391792" cy="647696"/>
                        </a:xfrm>
                        <a:custGeom>
                          <a:avLst>
                            <a:gd name="f0" fmla="val 15067"/>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08FD1C40" id="Arrow: Down 25" o:spid="_x0000_s1026" style="position:absolute;margin-left:369.3pt;margin-top:243.4pt;width:30.85pt;height:51pt;z-index:25165825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" path="m5400,r,15067l,15067r10800,6533l21600,15067r-5400,l16200,,5400,xe" fillcolor="#156082" strokecolor="#042433" strokeweight=".35281mm">
                <v:stroke joinstyle="miter"/>
                <v:path arrowok="t" o:connecttype="custom" o:connectlocs="195896,0;391792,323848;195896,647696;0,323848;0,451798;391792,451798" o:connectangles="270,0,90,180,180,0" textboxrect="5400,0,16200,18334"/>
              </v:shape>
            </w:pict>
          </mc:Fallback>
        </mc:AlternateContent>
      </w:r>
      <w:r>
        <w:rPr>
          <w:rFonts w:ascii="Cambria" w:hAnsi="Cambria"/>
          <w:noProof/>
          <w:sz w:val="24"/>
          <w:szCs w:val="24"/>
          <w:lang w:eastAsia="lv-LV"/>
        </w:rPr>
        <mc:AlternateContent>
          <mc:Choice Requires="wps">
            <w:drawing>
              <wp:anchor distT="0" distB="0" distL="114300" distR="114300" simplePos="0" relativeHeight="251658248" behindDoc="0" locked="0" layoutInCell="1" allowOverlap="1" wp14:anchorId="5D4E87D0" wp14:editId="28BD2815">
                <wp:simplePos x="0" y="0"/>
                <wp:positionH relativeFrom="column">
                  <wp:posOffset>5216523</wp:posOffset>
                </wp:positionH>
                <wp:positionV relativeFrom="paragraph">
                  <wp:posOffset>2045339</wp:posOffset>
                </wp:positionV>
                <wp:extent cx="841376" cy="808987"/>
                <wp:effectExtent l="0" t="19050" r="34924" b="10163"/>
                <wp:wrapNone/>
                <wp:docPr id="821592260" name="Arrow: Bent-Up 11"/>
                <wp:cNvGraphicFramePr/>
                <a:graphic xmlns:a="http://schemas.openxmlformats.org/drawingml/2006/main">
                  <a:graphicData uri="http://schemas.microsoft.com/office/word/2010/wordprocessingShape">
                    <wps:wsp>
                      <wps:cNvSpPr/>
                      <wps:spPr>
                        <a:xfrm>
                          <a:off x="0" y="0"/>
                          <a:ext cx="841376" cy="808987"/>
                        </a:xfrm>
                        <a:custGeom>
                          <a:avLst>
                            <a:gd name="f10" fmla="val 25000"/>
                            <a:gd name="f11" fmla="val 25000"/>
                            <a:gd name="f12" fmla="val 25000"/>
                          </a:avLst>
                          <a:gdLst>
                            <a:gd name="f3" fmla="val 10800000"/>
                            <a:gd name="f4" fmla="val 5400000"/>
                            <a:gd name="f5" fmla="val 180"/>
                            <a:gd name="f6" fmla="val w"/>
                            <a:gd name="f7" fmla="val h"/>
                            <a:gd name="f8" fmla="val ss"/>
                            <a:gd name="f9" fmla="val 0"/>
                            <a:gd name="f10" fmla="val 25000"/>
                            <a:gd name="f11" fmla="val 25000"/>
                            <a:gd name="f12" fmla="val 25000"/>
                            <a:gd name="f13" fmla="+- 0 0 -360"/>
                            <a:gd name="f14" fmla="+- 0 0 -270"/>
                            <a:gd name="f15" fmla="+- 0 0 -180"/>
                            <a:gd name="f16" fmla="+- 0 0 -90"/>
                            <a:gd name="f17" fmla="abs f6"/>
                            <a:gd name="f18" fmla="abs f7"/>
                            <a:gd name="f19" fmla="abs f8"/>
                            <a:gd name="f20" fmla="val f9"/>
                            <a:gd name="f21" fmla="val f10"/>
                            <a:gd name="f22" fmla="val f11"/>
                            <a:gd name="f23" fmla="val f12"/>
                            <a:gd name="f24" fmla="*/ f13 f3 1"/>
                            <a:gd name="f25" fmla="*/ f14 f3 1"/>
                            <a:gd name="f26" fmla="*/ f15 f3 1"/>
                            <a:gd name="f27" fmla="*/ f16 f3 1"/>
                            <a:gd name="f28" fmla="?: f17 f6 1"/>
                            <a:gd name="f29" fmla="?: f18 f7 1"/>
                            <a:gd name="f30" fmla="?: f19 f8 1"/>
                            <a:gd name="f31" fmla="*/ f24 1 f5"/>
                            <a:gd name="f32" fmla="*/ f25 1 f5"/>
                            <a:gd name="f33" fmla="*/ f26 1 f5"/>
                            <a:gd name="f34" fmla="*/ f27 1 f5"/>
                            <a:gd name="f35" fmla="*/ f28 1 21600"/>
                            <a:gd name="f36" fmla="*/ f29 1 21600"/>
                            <a:gd name="f37" fmla="*/ 21600 f28 1"/>
                            <a:gd name="f38" fmla="*/ 21600 f29 1"/>
                            <a:gd name="f39" fmla="+- f31 0 f4"/>
                            <a:gd name="f40" fmla="+- f32 0 f4"/>
                            <a:gd name="f41" fmla="+- f33 0 f4"/>
                            <a:gd name="f42" fmla="+- f34 0 f4"/>
                            <a:gd name="f43" fmla="min f36 f35"/>
                            <a:gd name="f44" fmla="*/ f37 1 f30"/>
                            <a:gd name="f45" fmla="*/ f38 1 f30"/>
                            <a:gd name="f46" fmla="val f44"/>
                            <a:gd name="f47" fmla="val f45"/>
                            <a:gd name="f48" fmla="*/ f20 f43 1"/>
                            <a:gd name="f49" fmla="+- f47 0 f20"/>
                            <a:gd name="f50" fmla="+- f46 0 f20"/>
                            <a:gd name="f51" fmla="*/ f47 f43 1"/>
                            <a:gd name="f52" fmla="*/ f46 f43 1"/>
                            <a:gd name="f53" fmla="min f50 f49"/>
                            <a:gd name="f54" fmla="*/ f53 f23 1"/>
                            <a:gd name="f55" fmla="*/ f53 f22 1"/>
                            <a:gd name="f56" fmla="*/ f53 f21 1"/>
                            <a:gd name="f57" fmla="*/ f54 1 100000"/>
                            <a:gd name="f58" fmla="*/ f55 1 50000"/>
                            <a:gd name="f59" fmla="*/ f55 1 100000"/>
                            <a:gd name="f60" fmla="*/ f56 1 200000"/>
                            <a:gd name="f61" fmla="*/ f56 1 100000"/>
                            <a:gd name="f62" fmla="+- f46 0 f58"/>
                            <a:gd name="f63" fmla="+- f46 0 f59"/>
                            <a:gd name="f64" fmla="+- f47 0 f61"/>
                            <a:gd name="f65" fmla="+- f57 f47 0"/>
                            <a:gd name="f66" fmla="*/ f57 f43 1"/>
                            <a:gd name="f67" fmla="+- f63 0 f60"/>
                            <a:gd name="f68" fmla="+- f63 f60 0"/>
                            <a:gd name="f69" fmla="+- f64 f47 0"/>
                            <a:gd name="f70" fmla="*/ f65 1 2"/>
                            <a:gd name="f71" fmla="*/ f64 f43 1"/>
                            <a:gd name="f72" fmla="*/ f62 f43 1"/>
                            <a:gd name="f73" fmla="*/ f63 f43 1"/>
                            <a:gd name="f74" fmla="*/ f68 1 2"/>
                            <a:gd name="f75" fmla="*/ f69 1 2"/>
                            <a:gd name="f76" fmla="*/ f68 f43 1"/>
                            <a:gd name="f77" fmla="*/ f67 f43 1"/>
                            <a:gd name="f78" fmla="*/ f70 f43 1"/>
                            <a:gd name="f79" fmla="*/ f75 f43 1"/>
                            <a:gd name="f80" fmla="*/ f74 f43 1"/>
                          </a:gdLst>
                          <a:ahLst/>
                          <a:cxnLst>
                            <a:cxn ang="3cd4">
                              <a:pos x="hc" y="t"/>
                            </a:cxn>
                            <a:cxn ang="0">
                              <a:pos x="r" y="vc"/>
                            </a:cxn>
                            <a:cxn ang="cd4">
                              <a:pos x="hc" y="b"/>
                            </a:cxn>
                            <a:cxn ang="cd2">
                              <a:pos x="l" y="vc"/>
                            </a:cxn>
                            <a:cxn ang="f39">
                              <a:pos x="f73" y="f48"/>
                            </a:cxn>
                            <a:cxn ang="f40">
                              <a:pos x="f72" y="f66"/>
                            </a:cxn>
                            <a:cxn ang="f40">
                              <a:pos x="f48" y="f79"/>
                            </a:cxn>
                            <a:cxn ang="f41">
                              <a:pos x="f80" y="f51"/>
                            </a:cxn>
                            <a:cxn ang="f42">
                              <a:pos x="f76" y="f78"/>
                            </a:cxn>
                            <a:cxn ang="f42">
                              <a:pos x="f52" y="f66"/>
                            </a:cxn>
                          </a:cxnLst>
                          <a:rect l="f48" t="f71" r="f76" b="f51"/>
                          <a:pathLst>
                            <a:path>
                              <a:moveTo>
                                <a:pt x="f48" y="f71"/>
                              </a:moveTo>
                              <a:lnTo>
                                <a:pt x="f77" y="f71"/>
                              </a:lnTo>
                              <a:lnTo>
                                <a:pt x="f77" y="f66"/>
                              </a:lnTo>
                              <a:lnTo>
                                <a:pt x="f72" y="f66"/>
                              </a:lnTo>
                              <a:lnTo>
                                <a:pt x="f73" y="f48"/>
                              </a:lnTo>
                              <a:lnTo>
                                <a:pt x="f52" y="f66"/>
                              </a:lnTo>
                              <a:lnTo>
                                <a:pt x="f76" y="f66"/>
                              </a:lnTo>
                              <a:lnTo>
                                <a:pt x="f76" y="f51"/>
                              </a:lnTo>
                              <a:lnTo>
                                <a:pt x="f48" y="f51"/>
                              </a:lnTo>
                              <a:close/>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45779C60" id="Arrow: Bent-Up 11" o:spid="_x0000_s1026" style="position:absolute;margin-left:410.75pt;margin-top:161.05pt;width:66.25pt;height:63.7pt;z-index:251658248;visibility:visible;mso-wrap-style:square;mso-wrap-distance-left:9pt;mso-wrap-distance-top:0;mso-wrap-distance-right:9pt;mso-wrap-distance-bottom:0;mso-position-horizontal:absolute;mso-position-horizontal-relative:text;mso-position-vertical:absolute;mso-position-vertical-relative:text;v-text-anchor:top" coordsize="841376,808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" path="m,606740r538006,l538006,202247r-101123,l639129,,841376,202247r-101123,l740253,808987,,808987,,606740xe" fillcolor="#156082" strokecolor="#042433" strokeweight=".35281mm">
                <v:stroke joinstyle="miter"/>
                <v:path arrowok="t" o:connecttype="custom" o:connectlocs="420688,0;841376,404494;420688,808987;0,404494;639129,0;436883,202247;0,707864;370126,808987;740253,505617;841376,202247" o:connectangles="270,0,90,180,270,180,180,90,0,0" textboxrect="0,606740,740253,808987"/>
              </v:shape>
            </w:pict>
          </mc:Fallback>
        </mc:AlternateContent>
      </w:r>
      <w:r>
        <w:rPr>
          <w:noProof/>
        </w:rPr>
        <w:drawing>
          <wp:inline distT="0" distB="0" distL="0" distR="0" wp14:anchorId="7BB76838" wp14:editId="46262E32">
            <wp:extent cx="8900797" cy="3993513"/>
            <wp:effectExtent l="0" t="0" r="0" b="0"/>
            <wp:docPr id="1645011086" name="Picture 1" descr="A diagram of a company&#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8900797" cy="3993513"/>
                    </a:xfrm>
                    <a:prstGeom prst="rect">
                      <a:avLst/>
                    </a:prstGeom>
                    <a:noFill/>
                    <a:ln>
                      <a:noFill/>
                      <a:prstDash/>
                    </a:ln>
                  </pic:spPr>
                </pic:pic>
              </a:graphicData>
            </a:graphic>
          </wp:inline>
        </w:drawing>
      </w:r>
    </w:p>
    <w:p w14:paraId="60A6245C" w14:textId="77777777" w:rsidR="003E6EAD" w:rsidRDefault="003A4514">
      <w:pPr>
        <w:pageBreakBefore/>
        <w:spacing w:after="160" w:line="256" w:lineRule="auto"/>
        <w:jc w:val="both"/>
      </w:pPr>
      <w:r>
        <w:rPr>
          <w:rFonts w:ascii="Cambria" w:hAnsi="Cambria"/>
          <w:b/>
          <w:bCs/>
          <w:sz w:val="24"/>
          <w:szCs w:val="24"/>
          <w:lang w:eastAsia="lv-LV"/>
        </w:rPr>
        <w:lastRenderedPageBreak/>
        <w:t>2. attēls. Ne-ETS (ESR) atbilstības pārbaudes 2027. gadam kaskāde</w:t>
      </w:r>
    </w:p>
    <w:p w14:paraId="60CDB875" w14:textId="77777777" w:rsidR="003E6EAD" w:rsidRDefault="003A4514">
      <w:pPr>
        <w:spacing w:after="160" w:line="256" w:lineRule="auto"/>
        <w:jc w:val="both"/>
      </w:pPr>
      <w:r>
        <w:rPr>
          <w:rFonts w:ascii="Cambria" w:hAnsi="Cambria"/>
          <w:b/>
          <w:bCs/>
          <w:noProof/>
          <w:sz w:val="24"/>
          <w:szCs w:val="24"/>
          <w:lang w:eastAsia="lv-LV"/>
        </w:rPr>
        <mc:AlternateContent>
          <mc:Choice Requires="wps">
            <w:drawing>
              <wp:anchor distT="0" distB="0" distL="114300" distR="114300" simplePos="0" relativeHeight="251658255" behindDoc="0" locked="0" layoutInCell="1" allowOverlap="1" wp14:anchorId="41C705C3" wp14:editId="0B34DC44">
                <wp:simplePos x="0" y="0"/>
                <wp:positionH relativeFrom="margin">
                  <wp:align>left</wp:align>
                </wp:positionH>
                <wp:positionV relativeFrom="paragraph">
                  <wp:posOffset>279404</wp:posOffset>
                </wp:positionV>
                <wp:extent cx="9077321" cy="733421"/>
                <wp:effectExtent l="0" t="0" r="9529" b="9529"/>
                <wp:wrapNone/>
                <wp:docPr id="381808271" name="Rectangle: Rounded Corners 22"/>
                <wp:cNvGraphicFramePr/>
                <a:graphic xmlns:a="http://schemas.openxmlformats.org/drawingml/2006/main">
                  <a:graphicData uri="http://schemas.microsoft.com/office/word/2010/wordprocessingShape">
                    <wps:wsp>
                      <wps:cNvSpPr/>
                      <wps:spPr>
                        <a:xfrm>
                          <a:off x="0" y="0"/>
                          <a:ext cx="9077321" cy="733421"/>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156082"/>
                        </a:solidFill>
                        <a:ln w="12701" cap="flat">
                          <a:solidFill>
                            <a:srgbClr val="042433"/>
                          </a:solidFill>
                          <a:prstDash val="solid"/>
                          <a:miter/>
                        </a:ln>
                      </wps:spPr>
                      <wps:txbx>
                        <w:txbxContent>
                          <w:p w14:paraId="52FB94CC" w14:textId="77777777" w:rsidR="003E6EAD" w:rsidRDefault="003A4514">
                            <w:pPr>
                              <w:spacing w:after="160" w:line="256" w:lineRule="auto"/>
                              <w:jc w:val="center"/>
                              <w:rPr>
                                <w:rFonts w:ascii="Cambria" w:hAnsi="Cambria"/>
                                <w:color w:val="FFFFFF"/>
                                <w:sz w:val="24"/>
                                <w:szCs w:val="24"/>
                                <w:lang w:eastAsia="lv-LV"/>
                              </w:rPr>
                            </w:pPr>
                            <w:r>
                              <w:rPr>
                                <w:rFonts w:ascii="Cambria" w:hAnsi="Cambria"/>
                                <w:color w:val="FFFFFF"/>
                                <w:sz w:val="24"/>
                                <w:szCs w:val="24"/>
                                <w:lang w:eastAsia="lv-LV"/>
                              </w:rPr>
                              <w:t>Pirmā atbilstības pārbaude būs 2027. gadā – pēc EK Lēmuma publicēšanas. Lēmums noteiks SEG emisijas 2021. – 2025. gadam ne-ETS (ESR) sektoros</w:t>
                            </w:r>
                          </w:p>
                          <w:p w14:paraId="18882F0D" w14:textId="77777777" w:rsidR="003E6EAD" w:rsidRDefault="003E6EAD">
                            <w:pPr>
                              <w:jc w:val="center"/>
                              <w:rPr>
                                <w:color w:val="FFFFFF"/>
                              </w:rPr>
                            </w:pPr>
                          </w:p>
                        </w:txbxContent>
                      </wps:txbx>
                      <wps:bodyPr vert="horz" wrap="square" lIns="91440" tIns="45720" rIns="91440" bIns="45720" anchor="ctr" anchorCtr="0" compatLnSpc="1">
                        <a:noAutofit/>
                      </wps:bodyPr>
                    </wps:wsp>
                  </a:graphicData>
                </a:graphic>
              </wp:anchor>
            </w:drawing>
          </mc:Choice>
          <mc:Fallback>
            <w:pict>
              <v:shape w14:anchorId="41C705C3" id="Rectangle: Rounded Corners 22" o:spid="_x0000_s1033" style="position:absolute;left:0;text-align:left;margin-left:0;margin-top:22pt;width:714.75pt;height:57.75pt;z-index:251658255;visibility:visible;mso-wrap-style:square;mso-wrap-distance-left:9pt;mso-wrap-distance-top:0;mso-wrap-distance-right:9pt;mso-wrap-distance-bottom:0;mso-position-horizontal:left;mso-position-horizontal-relative:margin;mso-position-vertical:absolute;mso-position-vertical-relative:text;v-text-anchor:middle" coordsize="9077321,7334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" adj="-11796480,,5400" path="m122237,at,,244474,244474,122237,,,122237l,611184at,488947,244474,733421,,611184,122237,733421l8955084,733421at8832847,488947,9077321,733421,8955084,733421,9077321,611184l9077321,122237at8832847,,9077321,244474,9077321,122237,8955084,l122237,xe" fillcolor="#156082" strokecolor="#042433" strokeweight=".35281mm">
                <v:stroke joinstyle="miter"/>
                <v:formulas/>
                <v:path arrowok="t" o:connecttype="custom" o:connectlocs="4538661,0;9077321,366711;4538661,733421;0,366711" o:connectangles="270,0,90,180" textboxrect="35803,35803,9041518,697618"/>
                <v:textbox>
                  <w:txbxContent>
                    <w:p w14:paraId="52FB94CC" w14:textId="77777777" w:rsidR="003E6EAD" w:rsidRDefault="003A4514">
                      <w:pPr>
                        <w:spacing w:after="160" w:line="256" w:lineRule="auto"/>
                        <w:jc w:val="center"/>
                        <w:rPr>
                          <w:rFonts w:ascii="Cambria" w:hAnsi="Cambria"/>
                          <w:color w:val="FFFFFF"/>
                          <w:sz w:val="24"/>
                          <w:szCs w:val="24"/>
                          <w:lang w:eastAsia="lv-LV"/>
                        </w:rPr>
                      </w:pPr>
                      <w:r>
                        <w:rPr>
                          <w:rFonts w:ascii="Cambria" w:hAnsi="Cambria"/>
                          <w:color w:val="FFFFFF"/>
                          <w:sz w:val="24"/>
                          <w:szCs w:val="24"/>
                          <w:lang w:eastAsia="lv-LV"/>
                        </w:rPr>
                        <w:t>Pirmā atbilstības pārbaude būs 2027. gadā – pēc EK Lēmuma publicēšanas. Lēmums noteiks SEG emisijas 2021. – 2025. gadam ne-ETS (ESR) sektoros</w:t>
                      </w:r>
                    </w:p>
                    <w:p w14:paraId="18882F0D" w14:textId="77777777" w:rsidR="003E6EAD" w:rsidRDefault="003E6EAD">
                      <w:pPr>
                        <w:jc w:val="center"/>
                        <w:rPr>
                          <w:color w:val="FFFFFF"/>
                        </w:rPr>
                      </w:pPr>
                    </w:p>
                  </w:txbxContent>
                </v:textbox>
                <w10:wrap anchorx="margin"/>
              </v:shape>
            </w:pict>
          </mc:Fallback>
        </mc:AlternateContent>
      </w:r>
    </w:p>
    <w:p w14:paraId="4F2A54F1" w14:textId="77777777" w:rsidR="003E6EAD" w:rsidRDefault="003E6EAD">
      <w:pPr>
        <w:spacing w:after="160" w:line="256" w:lineRule="auto"/>
        <w:jc w:val="both"/>
        <w:rPr>
          <w:rFonts w:ascii="Cambria" w:hAnsi="Cambria"/>
          <w:sz w:val="24"/>
          <w:szCs w:val="24"/>
          <w:lang w:eastAsia="lv-LV"/>
        </w:rPr>
      </w:pPr>
    </w:p>
    <w:p w14:paraId="260985BB" w14:textId="77777777" w:rsidR="003E6EAD" w:rsidRDefault="003A4514">
      <w:pPr>
        <w:spacing w:after="160" w:line="256" w:lineRule="auto"/>
        <w:jc w:val="both"/>
        <w:rPr>
          <w:rFonts w:ascii="Cambria" w:hAnsi="Cambria"/>
          <w:sz w:val="24"/>
          <w:szCs w:val="24"/>
          <w:lang w:eastAsia="lv-LV"/>
        </w:rPr>
      </w:pPr>
      <w:r>
        <w:rPr>
          <w:rFonts w:ascii="Cambria" w:hAnsi="Cambria"/>
          <w:sz w:val="24"/>
          <w:szCs w:val="24"/>
          <w:lang w:eastAsia="lv-LV"/>
        </w:rPr>
        <w:t xml:space="preserve"> </w:t>
      </w:r>
    </w:p>
    <w:p w14:paraId="565C2B27" w14:textId="77777777" w:rsidR="003E6EAD" w:rsidRDefault="003E6EAD">
      <w:pPr>
        <w:spacing w:after="160" w:line="256" w:lineRule="auto"/>
        <w:jc w:val="both"/>
        <w:rPr>
          <w:rFonts w:ascii="Cambria" w:hAnsi="Cambria"/>
          <w:sz w:val="24"/>
          <w:szCs w:val="24"/>
          <w:lang w:eastAsia="lv-LV"/>
        </w:rPr>
      </w:pPr>
    </w:p>
    <w:p w14:paraId="28F0574D" w14:textId="77777777" w:rsidR="003E6EAD" w:rsidRDefault="003A4514">
      <w:pPr>
        <w:ind w:left="720"/>
        <w:jc w:val="center"/>
      </w:pPr>
      <w:r>
        <w:rPr>
          <w:rFonts w:ascii="Cambria" w:hAnsi="Cambria"/>
          <w:noProof/>
          <w:sz w:val="24"/>
          <w:szCs w:val="24"/>
          <w:lang w:eastAsia="lv-LV"/>
        </w:rPr>
        <mc:AlternateContent>
          <mc:Choice Requires="wps">
            <w:drawing>
              <wp:anchor distT="0" distB="0" distL="114300" distR="114300" simplePos="0" relativeHeight="251658256" behindDoc="0" locked="0" layoutInCell="1" allowOverlap="1" wp14:anchorId="05F2C8B1" wp14:editId="4E09D351">
                <wp:simplePos x="0" y="0"/>
                <wp:positionH relativeFrom="margin">
                  <wp:align>left</wp:align>
                </wp:positionH>
                <wp:positionV relativeFrom="paragraph">
                  <wp:posOffset>8887</wp:posOffset>
                </wp:positionV>
                <wp:extent cx="9067803" cy="962021"/>
                <wp:effectExtent l="0" t="0" r="19047" b="9529"/>
                <wp:wrapNone/>
                <wp:docPr id="2095505429" name="Rectangle: Rounded Corners 21"/>
                <wp:cNvGraphicFramePr/>
                <a:graphic xmlns:a="http://schemas.openxmlformats.org/drawingml/2006/main">
                  <a:graphicData uri="http://schemas.microsoft.com/office/word/2010/wordprocessingShape">
                    <wps:wsp>
                      <wps:cNvSpPr/>
                      <wps:spPr>
                        <a:xfrm>
                          <a:off x="0" y="0"/>
                          <a:ext cx="9067803" cy="962021"/>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156082"/>
                        </a:solidFill>
                        <a:ln w="12701" cap="flat">
                          <a:solidFill>
                            <a:srgbClr val="042433"/>
                          </a:solidFill>
                          <a:prstDash val="solid"/>
                          <a:miter/>
                        </a:ln>
                      </wps:spPr>
                      <wps:txbx>
                        <w:txbxContent>
                          <w:p w14:paraId="7E28A2FA" w14:textId="77777777" w:rsidR="003E6EAD" w:rsidRDefault="003A4514">
                            <w:pPr>
                              <w:jc w:val="center"/>
                              <w:rPr>
                                <w:rFonts w:ascii="Cambria" w:hAnsi="Cambria"/>
                                <w:color w:val="FFFFFF"/>
                                <w:sz w:val="24"/>
                                <w:szCs w:val="24"/>
                              </w:rPr>
                            </w:pPr>
                            <w:r>
                              <w:rPr>
                                <w:rFonts w:ascii="Cambria" w:hAnsi="Cambria"/>
                                <w:color w:val="FFFFFF"/>
                                <w:sz w:val="24"/>
                                <w:szCs w:val="24"/>
                              </w:rPr>
                              <w:t xml:space="preserve">Ne-ETS (ESR) atbilstības pārbaude 2022. – 2025. gadam notiks vienu mēnesi pēc iepriekšējā gada atbilstības pārbaudes </w:t>
                            </w:r>
                          </w:p>
                          <w:p w14:paraId="780140E9" w14:textId="39C01B45" w:rsidR="003E6EAD" w:rsidRDefault="003A4514">
                            <w:pPr>
                              <w:jc w:val="center"/>
                              <w:rPr>
                                <w:rFonts w:ascii="Cambria" w:hAnsi="Cambria"/>
                                <w:color w:val="FFFFFF"/>
                                <w:sz w:val="24"/>
                                <w:szCs w:val="24"/>
                              </w:rPr>
                            </w:pPr>
                            <w:r>
                              <w:rPr>
                                <w:rFonts w:ascii="Cambria" w:hAnsi="Cambria"/>
                                <w:color w:val="FFFFFF"/>
                                <w:sz w:val="24"/>
                                <w:szCs w:val="24"/>
                              </w:rPr>
                              <w:t xml:space="preserve"> (saskaņā ar Regulas 2018/1999 38.</w:t>
                            </w:r>
                            <w:r w:rsidR="00D057BF">
                              <w:rPr>
                                <w:rFonts w:ascii="Cambria" w:hAnsi="Cambria"/>
                                <w:color w:val="FFFFFF"/>
                                <w:sz w:val="24"/>
                                <w:szCs w:val="24"/>
                              </w:rPr>
                              <w:t xml:space="preserve"> panta </w:t>
                            </w:r>
                            <w:r>
                              <w:rPr>
                                <w:rFonts w:ascii="Cambria" w:hAnsi="Cambria"/>
                                <w:color w:val="FFFFFF"/>
                                <w:sz w:val="24"/>
                                <w:szCs w:val="24"/>
                              </w:rPr>
                              <w:t xml:space="preserve">6. punktu un  </w:t>
                            </w:r>
                            <w:r w:rsidR="00E9255F" w:rsidRPr="00E9255F">
                              <w:rPr>
                                <w:rFonts w:ascii="Cambria" w:hAnsi="Cambria"/>
                                <w:color w:val="FFFFFF"/>
                                <w:sz w:val="24"/>
                                <w:szCs w:val="24"/>
                              </w:rPr>
                              <w:t>Deleģētā</w:t>
                            </w:r>
                            <w:r w:rsidR="00E9255F">
                              <w:rPr>
                                <w:rFonts w:ascii="Cambria" w:hAnsi="Cambria"/>
                                <w:color w:val="FFFFFF"/>
                                <w:sz w:val="24"/>
                                <w:szCs w:val="24"/>
                              </w:rPr>
                              <w:t>s</w:t>
                            </w:r>
                            <w:r w:rsidR="00E9255F" w:rsidRPr="00E9255F">
                              <w:rPr>
                                <w:rFonts w:ascii="Cambria" w:hAnsi="Cambria"/>
                                <w:color w:val="FFFFFF"/>
                                <w:sz w:val="24"/>
                                <w:szCs w:val="24"/>
                              </w:rPr>
                              <w:t xml:space="preserve"> regula</w:t>
                            </w:r>
                            <w:r w:rsidR="00E9255F">
                              <w:rPr>
                                <w:rFonts w:ascii="Cambria" w:hAnsi="Cambria"/>
                                <w:color w:val="FFFFFF"/>
                                <w:sz w:val="24"/>
                                <w:szCs w:val="24"/>
                              </w:rPr>
                              <w:t>s</w:t>
                            </w:r>
                            <w:r w:rsidR="00E9255F" w:rsidRPr="00E9255F">
                              <w:rPr>
                                <w:rFonts w:ascii="Cambria" w:hAnsi="Cambria"/>
                                <w:color w:val="FFFFFF"/>
                                <w:sz w:val="24"/>
                                <w:szCs w:val="24"/>
                              </w:rPr>
                              <w:t xml:space="preserve"> 2019/1122</w:t>
                            </w:r>
                            <w:r>
                              <w:rPr>
                                <w:rFonts w:ascii="Cambria" w:hAnsi="Cambria"/>
                                <w:color w:val="FFFFFF"/>
                                <w:sz w:val="24"/>
                                <w:szCs w:val="24"/>
                              </w:rPr>
                              <w:t xml:space="preserve"> 59.f p</w:t>
                            </w:r>
                            <w:r w:rsidR="00AE03A6">
                              <w:rPr>
                                <w:rFonts w:ascii="Cambria" w:hAnsi="Cambria"/>
                                <w:color w:val="FFFFFF"/>
                                <w:sz w:val="24"/>
                                <w:szCs w:val="24"/>
                              </w:rPr>
                              <w:t>antu</w:t>
                            </w:r>
                          </w:p>
                        </w:txbxContent>
                      </wps:txbx>
                      <wps:bodyPr vert="horz" wrap="square" lIns="91440" tIns="45720" rIns="91440" bIns="45720" anchor="ctr" anchorCtr="0" compatLnSpc="1">
                        <a:noAutofit/>
                      </wps:bodyPr>
                    </wps:wsp>
                  </a:graphicData>
                </a:graphic>
              </wp:anchor>
            </w:drawing>
          </mc:Choice>
          <mc:Fallback>
            <w:pict>
              <v:shape w14:anchorId="05F2C8B1" id="Rectangle: Rounded Corners 21" o:spid="_x0000_s1034" style="position:absolute;left:0;text-align:left;margin-left:0;margin-top:.7pt;width:714pt;height:75.75pt;z-index:251658256;visibility:visible;mso-wrap-style:square;mso-wrap-distance-left:9pt;mso-wrap-distance-top:0;mso-wrap-distance-right:9pt;mso-wrap-distance-bottom:0;mso-position-horizontal:left;mso-position-horizontal-relative:margin;mso-position-vertical:absolute;mso-position-vertical-relative:text;v-text-anchor:middle" coordsize="9067803,9620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" adj="-11796480,,5400" path="m160337,at,,320674,320674,160337,,,160337l,801684at,641347,320674,962021,,801684,160337,962021l8907466,962021at8747129,641347,9067803,962021,8907466,962021,9067803,801684l9067803,160337at8747129,,9067803,320674,9067803,160337,8907466,l160337,xe" fillcolor="#156082" strokecolor="#042433" strokeweight=".35281mm">
                <v:stroke joinstyle="miter"/>
                <v:formulas/>
                <v:path arrowok="t" o:connecttype="custom" o:connectlocs="4533902,0;9067803,481011;4533902,962021;0,481011" o:connectangles="270,0,90,180" textboxrect="46963,46963,9020840,915058"/>
                <v:textbox>
                  <w:txbxContent>
                    <w:p w14:paraId="7E28A2FA" w14:textId="77777777" w:rsidR="003E6EAD" w:rsidRDefault="003A4514">
                      <w:pPr>
                        <w:jc w:val="center"/>
                        <w:rPr>
                          <w:rFonts w:ascii="Cambria" w:hAnsi="Cambria"/>
                          <w:color w:val="FFFFFF"/>
                          <w:sz w:val="24"/>
                          <w:szCs w:val="24"/>
                        </w:rPr>
                      </w:pPr>
                      <w:r>
                        <w:rPr>
                          <w:rFonts w:ascii="Cambria" w:hAnsi="Cambria"/>
                          <w:color w:val="FFFFFF"/>
                          <w:sz w:val="24"/>
                          <w:szCs w:val="24"/>
                        </w:rPr>
                        <w:t xml:space="preserve">Ne-ETS (ESR) atbilstības pārbaude 2022. – 2025. gadam notiks vienu mēnesi pēc iepriekšējā gada atbilstības pārbaudes </w:t>
                      </w:r>
                    </w:p>
                    <w:p w14:paraId="780140E9" w14:textId="39C01B45" w:rsidR="003E6EAD" w:rsidRDefault="003A4514">
                      <w:pPr>
                        <w:jc w:val="center"/>
                        <w:rPr>
                          <w:rFonts w:ascii="Cambria" w:hAnsi="Cambria"/>
                          <w:color w:val="FFFFFF"/>
                          <w:sz w:val="24"/>
                          <w:szCs w:val="24"/>
                        </w:rPr>
                      </w:pPr>
                      <w:r>
                        <w:rPr>
                          <w:rFonts w:ascii="Cambria" w:hAnsi="Cambria"/>
                          <w:color w:val="FFFFFF"/>
                          <w:sz w:val="24"/>
                          <w:szCs w:val="24"/>
                        </w:rPr>
                        <w:t xml:space="preserve"> (saskaņā ar Regulas 2018/1999 38.</w:t>
                      </w:r>
                      <w:r w:rsidR="00D057BF">
                        <w:rPr>
                          <w:rFonts w:ascii="Cambria" w:hAnsi="Cambria"/>
                          <w:color w:val="FFFFFF"/>
                          <w:sz w:val="24"/>
                          <w:szCs w:val="24"/>
                        </w:rPr>
                        <w:t xml:space="preserve"> panta </w:t>
                      </w:r>
                      <w:r>
                        <w:rPr>
                          <w:rFonts w:ascii="Cambria" w:hAnsi="Cambria"/>
                          <w:color w:val="FFFFFF"/>
                          <w:sz w:val="24"/>
                          <w:szCs w:val="24"/>
                        </w:rPr>
                        <w:t xml:space="preserve">6. punktu un  </w:t>
                      </w:r>
                      <w:r w:rsidR="00E9255F" w:rsidRPr="00E9255F">
                        <w:rPr>
                          <w:rFonts w:ascii="Cambria" w:hAnsi="Cambria"/>
                          <w:color w:val="FFFFFF"/>
                          <w:sz w:val="24"/>
                          <w:szCs w:val="24"/>
                        </w:rPr>
                        <w:t>Deleģētā</w:t>
                      </w:r>
                      <w:r w:rsidR="00E9255F">
                        <w:rPr>
                          <w:rFonts w:ascii="Cambria" w:hAnsi="Cambria"/>
                          <w:color w:val="FFFFFF"/>
                          <w:sz w:val="24"/>
                          <w:szCs w:val="24"/>
                        </w:rPr>
                        <w:t>s</w:t>
                      </w:r>
                      <w:r w:rsidR="00E9255F" w:rsidRPr="00E9255F">
                        <w:rPr>
                          <w:rFonts w:ascii="Cambria" w:hAnsi="Cambria"/>
                          <w:color w:val="FFFFFF"/>
                          <w:sz w:val="24"/>
                          <w:szCs w:val="24"/>
                        </w:rPr>
                        <w:t xml:space="preserve"> regula</w:t>
                      </w:r>
                      <w:r w:rsidR="00E9255F">
                        <w:rPr>
                          <w:rFonts w:ascii="Cambria" w:hAnsi="Cambria"/>
                          <w:color w:val="FFFFFF"/>
                          <w:sz w:val="24"/>
                          <w:szCs w:val="24"/>
                        </w:rPr>
                        <w:t>s</w:t>
                      </w:r>
                      <w:r w:rsidR="00E9255F" w:rsidRPr="00E9255F">
                        <w:rPr>
                          <w:rFonts w:ascii="Cambria" w:hAnsi="Cambria"/>
                          <w:color w:val="FFFFFF"/>
                          <w:sz w:val="24"/>
                          <w:szCs w:val="24"/>
                        </w:rPr>
                        <w:t xml:space="preserve"> 2019/1122</w:t>
                      </w:r>
                      <w:r>
                        <w:rPr>
                          <w:rFonts w:ascii="Cambria" w:hAnsi="Cambria"/>
                          <w:color w:val="FFFFFF"/>
                          <w:sz w:val="24"/>
                          <w:szCs w:val="24"/>
                        </w:rPr>
                        <w:t xml:space="preserve"> 59.f p</w:t>
                      </w:r>
                      <w:r w:rsidR="00AE03A6">
                        <w:rPr>
                          <w:rFonts w:ascii="Cambria" w:hAnsi="Cambria"/>
                          <w:color w:val="FFFFFF"/>
                          <w:sz w:val="24"/>
                          <w:szCs w:val="24"/>
                        </w:rPr>
                        <w:t>antu</w:t>
                      </w:r>
                    </w:p>
                  </w:txbxContent>
                </v:textbox>
                <w10:wrap anchorx="margin"/>
              </v:shape>
            </w:pict>
          </mc:Fallback>
        </mc:AlternateContent>
      </w:r>
    </w:p>
    <w:p w14:paraId="27520089" w14:textId="77777777" w:rsidR="003E6EAD" w:rsidRDefault="003E6EAD">
      <w:pPr>
        <w:ind w:left="720"/>
        <w:jc w:val="center"/>
        <w:rPr>
          <w:rFonts w:ascii="Cambria" w:hAnsi="Cambria"/>
          <w:sz w:val="24"/>
          <w:szCs w:val="24"/>
          <w:lang w:eastAsia="lv-LV"/>
        </w:rPr>
      </w:pPr>
    </w:p>
    <w:p w14:paraId="0FEB6043" w14:textId="77777777" w:rsidR="003E6EAD" w:rsidRDefault="003E6EAD">
      <w:pPr>
        <w:ind w:left="720"/>
        <w:jc w:val="center"/>
        <w:rPr>
          <w:rFonts w:ascii="Cambria" w:hAnsi="Cambria"/>
          <w:sz w:val="24"/>
          <w:szCs w:val="24"/>
          <w:lang w:eastAsia="lv-LV"/>
        </w:rPr>
      </w:pPr>
    </w:p>
    <w:p w14:paraId="53D8B1AC" w14:textId="77777777" w:rsidR="003E6EAD" w:rsidRDefault="003E6EAD">
      <w:pPr>
        <w:rPr>
          <w:rFonts w:ascii="Cambria" w:hAnsi="Cambria"/>
          <w:sz w:val="24"/>
          <w:szCs w:val="24"/>
          <w:lang w:eastAsia="lv-LV"/>
        </w:rPr>
      </w:pPr>
    </w:p>
    <w:p w14:paraId="3B24EA54" w14:textId="77777777" w:rsidR="003E6EAD" w:rsidRDefault="003E6EAD">
      <w:pPr>
        <w:ind w:left="720"/>
        <w:rPr>
          <w:rFonts w:ascii="Cambria" w:hAnsi="Cambria"/>
          <w:sz w:val="24"/>
          <w:szCs w:val="24"/>
          <w:lang w:eastAsia="lv-LV"/>
        </w:rPr>
      </w:pPr>
    </w:p>
    <w:p w14:paraId="123E6000" w14:textId="77777777" w:rsidR="003E6EAD" w:rsidRDefault="003A4514">
      <w:pPr>
        <w:spacing w:after="160" w:line="256" w:lineRule="auto"/>
      </w:pPr>
      <w:r>
        <w:rPr>
          <w:rFonts w:ascii="Cambria" w:eastAsia="Aptos" w:hAnsi="Cambria" w:cs="Arial"/>
          <w:noProof/>
          <w:kern w:val="3"/>
          <w:sz w:val="24"/>
          <w:szCs w:val="24"/>
          <w:lang w:eastAsia="lv-LV"/>
        </w:rPr>
        <mc:AlternateContent>
          <mc:Choice Requires="wpg">
            <w:drawing>
              <wp:anchor distT="0" distB="0" distL="114300" distR="114300" simplePos="0" relativeHeight="251658257" behindDoc="0" locked="0" layoutInCell="1" allowOverlap="1" wp14:anchorId="69FC99EC" wp14:editId="1AA9E839">
                <wp:simplePos x="0" y="0"/>
                <wp:positionH relativeFrom="column">
                  <wp:posOffset>1128808</wp:posOffset>
                </wp:positionH>
                <wp:positionV relativeFrom="paragraph">
                  <wp:posOffset>113486</wp:posOffset>
                </wp:positionV>
                <wp:extent cx="4883499" cy="331515"/>
                <wp:effectExtent l="0" t="0" r="0" b="0"/>
                <wp:wrapNone/>
                <wp:docPr id="1034256838" name="Group 22"/>
                <wp:cNvGraphicFramePr/>
                <a:graphic xmlns:a="http://schemas.openxmlformats.org/drawingml/2006/main">
                  <a:graphicData uri="http://schemas.microsoft.com/office/word/2010/wordprocessingGroup">
                    <wpg:wgp>
                      <wpg:cNvGrpSpPr/>
                      <wpg:grpSpPr>
                        <a:xfrm>
                          <a:off x="0" y="0"/>
                          <a:ext cx="4883499" cy="331515"/>
                          <a:chOff x="0" y="0"/>
                          <a:chExt cx="4883499" cy="331515"/>
                        </a:xfrm>
                      </wpg:grpSpPr>
                      <wps:wsp>
                        <wps:cNvPr id="1195432489" name="Text Box 3"/>
                        <wps:cNvSpPr txBox="1"/>
                        <wps:spPr>
                          <a:xfrm>
                            <a:off x="0" y="20089"/>
                            <a:ext cx="1325880" cy="290834"/>
                          </a:xfrm>
                          <a:prstGeom prst="rect">
                            <a:avLst/>
                          </a:prstGeom>
                        </wps:spPr>
                        <wps:txbx>
                          <w:txbxContent>
                            <w:p w14:paraId="7C05AA2A" w14:textId="77777777" w:rsidR="003E6EAD" w:rsidRDefault="003A4514">
                              <w:pPr>
                                <w:pStyle w:val="ListParagraph"/>
                                <w:spacing w:after="160" w:line="256" w:lineRule="auto"/>
                                <w:rPr>
                                  <w:rFonts w:ascii="Cambria" w:hAnsi="Cambria"/>
                                </w:rPr>
                              </w:pPr>
                              <w:r>
                                <w:rPr>
                                  <w:rFonts w:ascii="Cambria" w:hAnsi="Cambria"/>
                                </w:rPr>
                                <w:t>1.mēnesis</w:t>
                              </w:r>
                            </w:p>
                          </w:txbxContent>
                        </wps:txbx>
                        <wps:bodyPr vert="horz" wrap="square" lIns="91440" tIns="45720" rIns="91440" bIns="45720" anchor="t" anchorCtr="0" compatLnSpc="1">
                          <a:noAutofit/>
                        </wps:bodyPr>
                      </wps:wsp>
                      <wps:wsp>
                        <wps:cNvPr id="1765186675" name="Text Box 19"/>
                        <wps:cNvSpPr txBox="1"/>
                        <wps:spPr>
                          <a:xfrm>
                            <a:off x="1979521" y="0"/>
                            <a:ext cx="1065120" cy="331515"/>
                          </a:xfrm>
                          <a:prstGeom prst="rect">
                            <a:avLst/>
                          </a:prstGeom>
                        </wps:spPr>
                        <wps:txbx>
                          <w:txbxContent>
                            <w:p w14:paraId="31F2684E" w14:textId="77777777" w:rsidR="003E6EAD" w:rsidRDefault="003A4514">
                              <w:pPr>
                                <w:jc w:val="center"/>
                                <w:rPr>
                                  <w:rFonts w:ascii="Cambria" w:hAnsi="Cambria"/>
                                </w:rPr>
                              </w:pPr>
                              <w:r>
                                <w:rPr>
                                  <w:rFonts w:ascii="Cambria" w:hAnsi="Cambria"/>
                                </w:rPr>
                                <w:t>1.mēnesis</w:t>
                              </w:r>
                            </w:p>
                          </w:txbxContent>
                        </wps:txbx>
                        <wps:bodyPr vert="horz" wrap="square" lIns="91440" tIns="45720" rIns="91440" bIns="45720" anchor="t" anchorCtr="0" compatLnSpc="1">
                          <a:noAutofit/>
                        </wps:bodyPr>
                      </wps:wsp>
                      <wps:wsp>
                        <wps:cNvPr id="129344997" name="Text Box 20"/>
                        <wps:cNvSpPr txBox="1"/>
                        <wps:spPr>
                          <a:xfrm>
                            <a:off x="3838468" y="40188"/>
                            <a:ext cx="1045031" cy="270735"/>
                          </a:xfrm>
                          <a:prstGeom prst="rect">
                            <a:avLst/>
                          </a:prstGeom>
                        </wps:spPr>
                        <wps:txbx>
                          <w:txbxContent>
                            <w:p w14:paraId="5AA72A29" w14:textId="77777777" w:rsidR="003E6EAD" w:rsidRDefault="003A4514">
                              <w:pPr>
                                <w:jc w:val="center"/>
                              </w:pPr>
                              <w:r>
                                <w:t>1.</w:t>
                              </w:r>
                              <w:r>
                                <w:rPr>
                                  <w:rFonts w:ascii="Cambria" w:hAnsi="Cambria"/>
                                </w:rPr>
                                <w:t>mēnesis</w:t>
                              </w:r>
                            </w:p>
                          </w:txbxContent>
                        </wps:txbx>
                        <wps:bodyPr vert="horz" wrap="square" lIns="91440" tIns="45720" rIns="91440" bIns="45720" anchor="t" anchorCtr="0" compatLnSpc="1">
                          <a:noAutofit/>
                        </wps:bodyPr>
                      </wps:wsp>
                    </wpg:wgp>
                  </a:graphicData>
                </a:graphic>
              </wp:anchor>
            </w:drawing>
          </mc:Choice>
          <mc:Fallback>
            <w:pict>
              <v:group w14:anchorId="69FC99EC" id="Group 22" o:spid="_x0000_s1035" style="position:absolute;margin-left:88.9pt;margin-top:8.95pt;width:384.55pt;height:26.1pt;z-index:251658257" coordsize="48834,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">
                <v:shape id="Text Box 3" o:spid="_x0000_s1036" type="#_x0000_t202" style="position:absolute;top:200;width:13258;height:2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" filled="f" stroked="f">
                  <v:textbox>
                    <w:txbxContent>
                      <w:p w14:paraId="7C05AA2A" w14:textId="77777777" w:rsidR="003E6EAD" w:rsidRDefault="003A4514">
                        <w:pPr>
                          <w:pStyle w:val="ListParagraph"/>
                          <w:spacing w:after="160" w:line="256" w:lineRule="auto"/>
                          <w:rPr>
                            <w:rFonts w:ascii="Cambria" w:hAnsi="Cambria"/>
                          </w:rPr>
                        </w:pPr>
                        <w:r>
                          <w:rPr>
                            <w:rFonts w:ascii="Cambria" w:hAnsi="Cambria"/>
                          </w:rPr>
                          <w:t>1.mēnesis</w:t>
                        </w:r>
                      </w:p>
                    </w:txbxContent>
                  </v:textbox>
                </v:shape>
                <v:shape id="Text Box 19" o:spid="_x0000_s1037" type="#_x0000_t202" style="position:absolute;left:19795;width:10651;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" filled="f" stroked="f">
                  <v:textbox>
                    <w:txbxContent>
                      <w:p w14:paraId="31F2684E" w14:textId="77777777" w:rsidR="003E6EAD" w:rsidRDefault="003A4514">
                        <w:pPr>
                          <w:jc w:val="center"/>
                          <w:rPr>
                            <w:rFonts w:ascii="Cambria" w:hAnsi="Cambria"/>
                          </w:rPr>
                        </w:pPr>
                        <w:r>
                          <w:rPr>
                            <w:rFonts w:ascii="Cambria" w:hAnsi="Cambria"/>
                          </w:rPr>
                          <w:t>1.mēnesis</w:t>
                        </w:r>
                      </w:p>
                    </w:txbxContent>
                  </v:textbox>
                </v:shape>
                <v:shape id="Text Box 20" o:spid="_x0000_s1038" type="#_x0000_t202" style="position:absolute;left:38384;top:401;width:10450;height:2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" filled="f" stroked="f">
                  <v:textbox>
                    <w:txbxContent>
                      <w:p w14:paraId="5AA72A29" w14:textId="77777777" w:rsidR="003E6EAD" w:rsidRDefault="003A4514">
                        <w:pPr>
                          <w:jc w:val="center"/>
                        </w:pPr>
                        <w:r>
                          <w:t>1.</w:t>
                        </w:r>
                        <w:r>
                          <w:rPr>
                            <w:rFonts w:ascii="Cambria" w:hAnsi="Cambria"/>
                          </w:rPr>
                          <w:t>mēnesis</w:t>
                        </w:r>
                      </w:p>
                    </w:txbxContent>
                  </v:textbox>
                </v:shape>
              </v:group>
            </w:pict>
          </mc:Fallback>
        </mc:AlternateContent>
      </w:r>
      <w:r>
        <w:rPr>
          <w:rFonts w:ascii="Cambria" w:eastAsia="Aptos" w:hAnsi="Cambria" w:cs="Arial"/>
          <w:noProof/>
          <w:kern w:val="3"/>
          <w:sz w:val="24"/>
          <w:szCs w:val="24"/>
          <w:lang w:eastAsia="lv-LV"/>
        </w:rPr>
        <mc:AlternateContent>
          <mc:Choice Requires="wps">
            <w:drawing>
              <wp:anchor distT="0" distB="0" distL="114300" distR="114300" simplePos="0" relativeHeight="251658258" behindDoc="0" locked="0" layoutInCell="1" allowOverlap="1" wp14:anchorId="033EA55B" wp14:editId="155A54F3">
                <wp:simplePos x="0" y="0"/>
                <wp:positionH relativeFrom="column">
                  <wp:posOffset>6675494</wp:posOffset>
                </wp:positionH>
                <wp:positionV relativeFrom="paragraph">
                  <wp:posOffset>183821</wp:posOffset>
                </wp:positionV>
                <wp:extent cx="1004568" cy="260988"/>
                <wp:effectExtent l="0" t="0" r="5082" b="5712"/>
                <wp:wrapNone/>
                <wp:docPr id="528616205" name="Text Box 21"/>
                <wp:cNvGraphicFramePr/>
                <a:graphic xmlns:a="http://schemas.openxmlformats.org/drawingml/2006/main">
                  <a:graphicData uri="http://schemas.microsoft.com/office/word/2010/wordprocessingShape">
                    <wps:wsp>
                      <wps:cNvSpPr txBox="1"/>
                      <wps:spPr>
                        <a:xfrm>
                          <a:off x="0" y="0"/>
                          <a:ext cx="1004568" cy="260988"/>
                        </a:xfrm>
                        <a:prstGeom prst="rect">
                          <a:avLst/>
                        </a:prstGeom>
                        <a:solidFill>
                          <a:srgbClr val="FFFFFF"/>
                        </a:solidFill>
                        <a:ln>
                          <a:noFill/>
                          <a:prstDash/>
                        </a:ln>
                      </wps:spPr>
                      <wps:txbx>
                        <w:txbxContent>
                          <w:p w14:paraId="2F72A491" w14:textId="77777777" w:rsidR="003E6EAD" w:rsidRDefault="003A4514">
                            <w:pPr>
                              <w:jc w:val="center"/>
                              <w:rPr>
                                <w:rFonts w:ascii="Cambria" w:hAnsi="Cambria"/>
                              </w:rPr>
                            </w:pPr>
                            <w:r>
                              <w:rPr>
                                <w:rFonts w:ascii="Cambria" w:hAnsi="Cambria"/>
                              </w:rPr>
                              <w:t>1.mēnesis</w:t>
                            </w:r>
                          </w:p>
                        </w:txbxContent>
                      </wps:txbx>
                      <wps:bodyPr vert="horz" wrap="square" lIns="91440" tIns="45720" rIns="91440" bIns="45720" anchor="t" anchorCtr="0" compatLnSpc="1">
                        <a:noAutofit/>
                      </wps:bodyPr>
                    </wps:wsp>
                  </a:graphicData>
                </a:graphic>
              </wp:anchor>
            </w:drawing>
          </mc:Choice>
          <mc:Fallback>
            <w:pict>
              <v:shape w14:anchorId="033EA55B" id="Text Box 21" o:spid="_x0000_s1039" type="#_x0000_t202" style="position:absolute;margin-left:525.65pt;margin-top:14.45pt;width:79.1pt;height:20.5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" stroked="f">
                <v:textbox>
                  <w:txbxContent>
                    <w:p w14:paraId="2F72A491" w14:textId="77777777" w:rsidR="003E6EAD" w:rsidRDefault="003A4514">
                      <w:pPr>
                        <w:jc w:val="center"/>
                        <w:rPr>
                          <w:rFonts w:ascii="Cambria" w:hAnsi="Cambria"/>
                        </w:rPr>
                      </w:pPr>
                      <w:r>
                        <w:rPr>
                          <w:rFonts w:ascii="Cambria" w:hAnsi="Cambria"/>
                        </w:rPr>
                        <w:t>1.mēnesis</w:t>
                      </w:r>
                    </w:p>
                  </w:txbxContent>
                </v:textbox>
              </v:shape>
            </w:pict>
          </mc:Fallback>
        </mc:AlternateContent>
      </w:r>
    </w:p>
    <w:p w14:paraId="7DF59E69" w14:textId="77777777" w:rsidR="003E6EAD" w:rsidRDefault="003A4514">
      <w:pPr>
        <w:spacing w:after="160" w:line="256" w:lineRule="auto"/>
      </w:pPr>
      <w:r>
        <w:rPr>
          <w:noProof/>
        </w:rPr>
        <w:drawing>
          <wp:inline distT="0" distB="0" distL="0" distR="0" wp14:anchorId="4579AD4B" wp14:editId="67F9FDDF">
            <wp:extent cx="8696328" cy="1076321"/>
            <wp:effectExtent l="0" t="0" r="9522" b="0"/>
            <wp:docPr id="352148937" name="Picture 1" descr="A blue and white label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8696328" cy="1076321"/>
                    </a:xfrm>
                    <a:prstGeom prst="rect">
                      <a:avLst/>
                    </a:prstGeom>
                    <a:noFill/>
                    <a:ln>
                      <a:noFill/>
                      <a:prstDash/>
                    </a:ln>
                  </pic:spPr>
                </pic:pic>
              </a:graphicData>
            </a:graphic>
          </wp:inline>
        </w:drawing>
      </w:r>
    </w:p>
    <w:sectPr w:rsidR="003E6EAD">
      <w:headerReference w:type="default" r:id="rId32"/>
      <w:footerReference w:type="default" r:id="rId33"/>
      <w:headerReference w:type="first" r:id="rId34"/>
      <w:footerReference w:type="first" r:id="rId35"/>
      <w:pgSz w:w="16838" w:h="11906" w:orient="landscape"/>
      <w:pgMar w:top="851" w:right="992" w:bottom="1701"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BCBED" w14:textId="77777777" w:rsidR="00D46325" w:rsidRDefault="00D46325">
      <w:pPr>
        <w:spacing w:after="0" w:line="240" w:lineRule="auto"/>
      </w:pPr>
      <w:r>
        <w:separator/>
      </w:r>
    </w:p>
  </w:endnote>
  <w:endnote w:type="continuationSeparator" w:id="0">
    <w:p w14:paraId="5ACA5428" w14:textId="77777777" w:rsidR="00D46325" w:rsidRDefault="00D46325">
      <w:pPr>
        <w:spacing w:after="0" w:line="240" w:lineRule="auto"/>
      </w:pPr>
      <w:r>
        <w:continuationSeparator/>
      </w:r>
    </w:p>
  </w:endnote>
  <w:endnote w:type="continuationNotice" w:id="1">
    <w:p w14:paraId="11CC7B39" w14:textId="77777777" w:rsidR="00D46325" w:rsidRDefault="00D463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Linux Libertine Display G">
    <w:charset w:val="01"/>
    <w:family w:val="auto"/>
    <w:pitch w:val="default"/>
  </w:font>
  <w:font w:name="Noto Sans CJK SC">
    <w:panose1 w:val="00000000000000000000"/>
    <w:charset w:val="80"/>
    <w:family w:val="swiss"/>
    <w:notTrueType/>
    <w:pitch w:val="variable"/>
    <w:sig w:usb0="30000287" w:usb1="2BDF3C10" w:usb2="00000016" w:usb3="00000000" w:csb0="002E0107" w:csb1="00000000"/>
  </w:font>
  <w:font w:name="FreeSans">
    <w:altName w:val="Calibri"/>
    <w:charset w:val="01"/>
    <w:family w:val="auto"/>
    <w:pitch w:val="variable"/>
  </w:font>
  <w:font w:name="Ubuntu;Segoe Script">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 w:name="Carlito">
    <w:charset w:val="00"/>
    <w:family w:val="swiss"/>
    <w:pitch w:val="variable"/>
    <w:sig w:usb0="E10002FF" w:usb1="5000ECFF" w:usb2="00000009" w:usb3="00000000" w:csb0="0000019F" w:csb1="00000000"/>
  </w:font>
  <w:font w:name="DejaVu Sans">
    <w:charset w:val="BA"/>
    <w:family w:val="swiss"/>
    <w:pitch w:val="variable"/>
    <w:sig w:usb0="E7002EFF" w:usb1="D200FDFF" w:usb2="0A046029" w:usb3="00000000" w:csb0="000001FF" w:csb1="00000000"/>
  </w:font>
  <w:font w:name="FreeSans;Cambria">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54394" w14:textId="77777777" w:rsidR="003A4514" w:rsidRDefault="003A4514">
    <w:pPr>
      <w:pStyle w:val="Footer"/>
      <w:jc w:val="center"/>
    </w:pPr>
    <w:r>
      <w:fldChar w:fldCharType="begin"/>
    </w:r>
    <w:r>
      <w:instrText xml:space="preserve"> PAGE </w:instrText>
    </w:r>
    <w:r>
      <w:fldChar w:fldCharType="separate"/>
    </w:r>
    <w:r>
      <w:t>26</w:t>
    </w:r>
    <w:r>
      <w:fldChar w:fldCharType="end"/>
    </w:r>
  </w:p>
  <w:p w14:paraId="130E6B0C" w14:textId="28452DE3" w:rsidR="003A4514" w:rsidRDefault="00587B91">
    <w:pPr>
      <w:tabs>
        <w:tab w:val="center" w:pos="4153"/>
        <w:tab w:val="right" w:pos="8306"/>
      </w:tabs>
      <w:spacing w:after="0" w:line="240" w:lineRule="auto"/>
    </w:pPr>
    <w:r>
      <w:rPr>
        <w:rFonts w:ascii="Cambria" w:hAnsi="Cambria"/>
        <w:sz w:val="20"/>
        <w:szCs w:val="20"/>
        <w:lang w:eastAsia="en-US"/>
      </w:rPr>
      <w:t>KEM</w:t>
    </w:r>
    <w:r w:rsidR="003A4514">
      <w:rPr>
        <w:rFonts w:ascii="Cambria" w:hAnsi="Cambria"/>
        <w:sz w:val="20"/>
        <w:szCs w:val="20"/>
        <w:lang w:eastAsia="en-US"/>
      </w:rPr>
      <w:fldChar w:fldCharType="begin"/>
    </w:r>
    <w:r w:rsidR="003A4514">
      <w:rPr>
        <w:rFonts w:ascii="Cambria" w:hAnsi="Cambria"/>
        <w:sz w:val="20"/>
        <w:szCs w:val="20"/>
        <w:lang w:eastAsia="en-US"/>
      </w:rPr>
      <w:instrText xml:space="preserve"> FILENAME </w:instrText>
    </w:r>
    <w:r w:rsidR="003A4514">
      <w:rPr>
        <w:rFonts w:ascii="Cambria" w:hAnsi="Cambria"/>
        <w:sz w:val="20"/>
        <w:szCs w:val="20"/>
        <w:lang w:eastAsia="en-US"/>
      </w:rPr>
      <w:fldChar w:fldCharType="separate"/>
    </w:r>
    <w:r w:rsidR="00DC7556">
      <w:rPr>
        <w:rFonts w:ascii="Cambria" w:hAnsi="Cambria"/>
        <w:noProof/>
        <w:sz w:val="20"/>
        <w:szCs w:val="20"/>
        <w:lang w:eastAsia="en-US"/>
      </w:rPr>
      <w:t>Inf_2024_SEGizpilde_</w:t>
    </w:r>
    <w:r w:rsidR="00AB4118">
      <w:rPr>
        <w:rFonts w:ascii="Cambria" w:hAnsi="Cambria"/>
        <w:noProof/>
        <w:sz w:val="20"/>
        <w:szCs w:val="20"/>
        <w:lang w:eastAsia="en-US"/>
      </w:rPr>
      <w:t>0303</w:t>
    </w:r>
    <w:r w:rsidR="00A65651">
      <w:rPr>
        <w:rFonts w:ascii="Cambria" w:hAnsi="Cambria"/>
        <w:noProof/>
        <w:sz w:val="20"/>
        <w:szCs w:val="20"/>
        <w:lang w:eastAsia="en-US"/>
      </w:rPr>
      <w:t>2025</w:t>
    </w:r>
    <w:r w:rsidR="003A4514">
      <w:rPr>
        <w:rFonts w:ascii="Cambria" w:hAnsi="Cambria"/>
        <w:sz w:val="20"/>
        <w:szCs w:val="20"/>
        <w:lang w:eastAsia="en-US"/>
      </w:rPr>
      <w:fldChar w:fldCharType="end"/>
    </w:r>
  </w:p>
  <w:p w14:paraId="2B2D5C84" w14:textId="77777777" w:rsidR="003A4514" w:rsidRDefault="003A4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CC0F9" w14:textId="77777777" w:rsidR="003A4514" w:rsidRDefault="003A4514">
    <w:pPr>
      <w:pStyle w:val="Footer"/>
      <w:jc w:val="center"/>
    </w:pPr>
  </w:p>
  <w:p w14:paraId="25F9E65C" w14:textId="77777777" w:rsidR="003A4514" w:rsidRDefault="003A4514">
    <w:pPr>
      <w:pStyle w:val="Footer"/>
      <w:jc w:val="both"/>
      <w:rPr>
        <w:rFonts w:ascii="Times New Roman" w:hAnsi="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C8B6C" w14:textId="77777777" w:rsidR="003A4514" w:rsidRDefault="003A4514">
    <w:pPr>
      <w:pStyle w:val="Footer"/>
      <w:jc w:val="center"/>
    </w:pPr>
    <w:r>
      <w:fldChar w:fldCharType="begin"/>
    </w:r>
    <w:r>
      <w:instrText xml:space="preserve"> PAGE </w:instrText>
    </w:r>
    <w:r>
      <w:fldChar w:fldCharType="separate"/>
    </w:r>
    <w:r>
      <w:t>33</w:t>
    </w:r>
    <w:r>
      <w:fldChar w:fldCharType="end"/>
    </w:r>
  </w:p>
  <w:p w14:paraId="3B1D7172" w14:textId="2200FCAC" w:rsidR="003A4514" w:rsidRDefault="003A4514">
    <w:pPr>
      <w:tabs>
        <w:tab w:val="center" w:pos="4153"/>
        <w:tab w:val="right" w:pos="8306"/>
      </w:tabs>
      <w:spacing w:after="0" w:line="240" w:lineRule="auto"/>
    </w:pPr>
    <w:r>
      <w:rPr>
        <w:rFonts w:ascii="Times New Roman" w:hAnsi="Times New Roman"/>
        <w:sz w:val="20"/>
        <w:szCs w:val="20"/>
        <w:lang w:eastAsia="en-US"/>
      </w:rPr>
      <w:fldChar w:fldCharType="begin"/>
    </w:r>
    <w:r>
      <w:rPr>
        <w:rFonts w:ascii="Times New Roman" w:hAnsi="Times New Roman"/>
        <w:sz w:val="20"/>
        <w:szCs w:val="20"/>
        <w:lang w:eastAsia="en-US"/>
      </w:rPr>
      <w:instrText xml:space="preserve"> FILENAME </w:instrText>
    </w:r>
    <w:r>
      <w:rPr>
        <w:rFonts w:ascii="Times New Roman" w:hAnsi="Times New Roman"/>
        <w:sz w:val="20"/>
        <w:szCs w:val="20"/>
        <w:lang w:eastAsia="en-US"/>
      </w:rPr>
      <w:fldChar w:fldCharType="separate"/>
    </w:r>
    <w:r w:rsidR="00504A4E">
      <w:rPr>
        <w:rFonts w:ascii="Times New Roman" w:hAnsi="Times New Roman"/>
        <w:noProof/>
        <w:sz w:val="20"/>
        <w:szCs w:val="20"/>
        <w:lang w:eastAsia="en-US"/>
      </w:rPr>
      <w:t>Inf_2024_SEGizpilde_04.02.25.</w:t>
    </w:r>
    <w:r>
      <w:rPr>
        <w:rFonts w:ascii="Times New Roman" w:hAnsi="Times New Roman"/>
        <w:sz w:val="20"/>
        <w:szCs w:val="20"/>
        <w:lang w:eastAsia="en-US"/>
      </w:rPr>
      <w:fldChar w:fldCharType="end"/>
    </w:r>
  </w:p>
  <w:p w14:paraId="7395F9A1" w14:textId="77777777" w:rsidR="003A4514" w:rsidRDefault="003A451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E5EBE" w14:textId="6A691C3E" w:rsidR="003A4514" w:rsidRDefault="003A4514">
    <w:pPr>
      <w:pStyle w:val="Footer"/>
    </w:pPr>
    <w:r>
      <w:tab/>
    </w:r>
    <w:r>
      <w:rPr>
        <w:rFonts w:ascii="Times New Roman" w:hAnsi="Times New Roman"/>
        <w:sz w:val="20"/>
        <w:szCs w:val="20"/>
        <w:lang w:eastAsia="en-US"/>
      </w:rPr>
      <w:fldChar w:fldCharType="begin"/>
    </w:r>
    <w:r>
      <w:rPr>
        <w:rFonts w:ascii="Times New Roman" w:hAnsi="Times New Roman"/>
        <w:sz w:val="20"/>
        <w:szCs w:val="20"/>
        <w:lang w:eastAsia="en-US"/>
      </w:rPr>
      <w:instrText xml:space="preserve"> FILENAME </w:instrText>
    </w:r>
    <w:r>
      <w:rPr>
        <w:rFonts w:ascii="Times New Roman" w:hAnsi="Times New Roman"/>
        <w:sz w:val="20"/>
        <w:szCs w:val="20"/>
        <w:lang w:eastAsia="en-US"/>
      </w:rPr>
      <w:fldChar w:fldCharType="separate"/>
    </w:r>
    <w:r w:rsidR="00504A4E">
      <w:rPr>
        <w:rFonts w:ascii="Times New Roman" w:hAnsi="Times New Roman"/>
        <w:noProof/>
        <w:sz w:val="20"/>
        <w:szCs w:val="20"/>
        <w:lang w:eastAsia="en-US"/>
      </w:rPr>
      <w:t>Inf_2024_SEGizpilde_04.02.25.</w:t>
    </w:r>
    <w:r>
      <w:rPr>
        <w:rFonts w:ascii="Times New Roman" w:hAnsi="Times New Roman"/>
        <w:sz w:val="20"/>
        <w:szCs w:val="20"/>
        <w:lang w:eastAsia="en-US"/>
      </w:rPr>
      <w:fldChar w:fldCharType="end"/>
    </w:r>
  </w:p>
  <w:p w14:paraId="16F563A9" w14:textId="77777777" w:rsidR="003A4514" w:rsidRDefault="003A4514">
    <w:pPr>
      <w:pStyle w:val="Footer"/>
      <w:tabs>
        <w:tab w:val="left" w:pos="780"/>
        <w:tab w:val="center" w:pos="7356"/>
      </w:tabs>
      <w:jc w:val="center"/>
    </w:pPr>
    <w:r>
      <w:fldChar w:fldCharType="begin"/>
    </w:r>
    <w:r>
      <w:instrText xml:space="preserve"> PAGE </w:instrText>
    </w:r>
    <w:r>
      <w:fldChar w:fldCharType="separate"/>
    </w:r>
    <w:r>
      <w:t>28</w:t>
    </w:r>
    <w:r>
      <w:fldChar w:fldCharType="end"/>
    </w:r>
  </w:p>
  <w:p w14:paraId="5EFD0C8E" w14:textId="77777777" w:rsidR="003A4514" w:rsidRDefault="003A4514">
    <w:pPr>
      <w:pStyle w:val="Footer"/>
      <w:jc w:val="both"/>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66A0E" w14:textId="77777777" w:rsidR="00D46325" w:rsidRDefault="00D46325">
      <w:pPr>
        <w:spacing w:after="0" w:line="240" w:lineRule="auto"/>
      </w:pPr>
      <w:r>
        <w:rPr>
          <w:color w:val="000000"/>
        </w:rPr>
        <w:separator/>
      </w:r>
    </w:p>
  </w:footnote>
  <w:footnote w:type="continuationSeparator" w:id="0">
    <w:p w14:paraId="4B1F7390" w14:textId="77777777" w:rsidR="00D46325" w:rsidRDefault="00D46325">
      <w:pPr>
        <w:spacing w:after="0" w:line="240" w:lineRule="auto"/>
      </w:pPr>
      <w:r>
        <w:continuationSeparator/>
      </w:r>
    </w:p>
  </w:footnote>
  <w:footnote w:type="continuationNotice" w:id="1">
    <w:p w14:paraId="1289B5F7" w14:textId="77777777" w:rsidR="00D46325" w:rsidRDefault="00D46325">
      <w:pPr>
        <w:spacing w:after="0" w:line="240" w:lineRule="auto"/>
      </w:pPr>
    </w:p>
  </w:footnote>
  <w:footnote w:id="2">
    <w:p w14:paraId="77E16A3A" w14:textId="4662DCFF" w:rsidR="007E1FE4" w:rsidRPr="007E1FE4" w:rsidRDefault="007E1FE4">
      <w:pPr>
        <w:pStyle w:val="FootnoteText"/>
        <w:rPr>
          <w:rFonts w:ascii="Cambria" w:hAnsi="Cambria"/>
        </w:rPr>
      </w:pPr>
      <w:r w:rsidRPr="007E1FE4">
        <w:rPr>
          <w:rStyle w:val="FootnoteReference"/>
          <w:rFonts w:ascii="Cambria" w:hAnsi="Cambria"/>
          <w:sz w:val="18"/>
          <w:szCs w:val="18"/>
        </w:rPr>
        <w:footnoteRef/>
      </w:r>
      <w:r w:rsidRPr="007E1FE4">
        <w:rPr>
          <w:rFonts w:ascii="Cambria" w:hAnsi="Cambria"/>
          <w:sz w:val="18"/>
          <w:szCs w:val="18"/>
        </w:rPr>
        <w:t xml:space="preserve"> Atbilstoši </w:t>
      </w:r>
      <w:r w:rsidR="00E47601">
        <w:rPr>
          <w:rFonts w:ascii="Cambria" w:hAnsi="Cambria"/>
          <w:sz w:val="18"/>
          <w:szCs w:val="18"/>
        </w:rPr>
        <w:t>MK</w:t>
      </w:r>
      <w:r w:rsidRPr="007E1FE4">
        <w:rPr>
          <w:rFonts w:ascii="Cambria" w:hAnsi="Cambria"/>
          <w:sz w:val="18"/>
          <w:szCs w:val="18"/>
        </w:rPr>
        <w:t xml:space="preserve"> 2024. gada 7. jūnija rīkojumam Nr. 446 “Par Vides aizsardzības un reģionālās attīstības ministrijas un Klimata un enerģētikas ministrijas reorganizāciju” ar 2024. gada 1. jūliju Vides aizsardzības un reģionālās attīstības ministrijas nosaukums ir Viedās administrācijas un reģionālās attīstības ministrija.</w:t>
      </w:r>
    </w:p>
  </w:footnote>
  <w:footnote w:id="3">
    <w:p w14:paraId="17DD4C26" w14:textId="15758CEE" w:rsidR="009525CC" w:rsidRDefault="00C1513D">
      <w:pPr>
        <w:pStyle w:val="FootnoteText"/>
      </w:pPr>
      <w:r w:rsidRPr="009525CC">
        <w:rPr>
          <w:rStyle w:val="FootnoteReference"/>
          <w:sz w:val="18"/>
          <w:szCs w:val="18"/>
        </w:rPr>
        <w:footnoteRef/>
      </w:r>
      <w:hyperlink r:id="rId1" w:history="1">
        <w:r w:rsidR="009525CC" w:rsidRPr="009525CC">
          <w:rPr>
            <w:rStyle w:val="Hyperlink"/>
            <w:sz w:val="18"/>
            <w:szCs w:val="18"/>
          </w:rPr>
          <w:t>https://tapportals.mk.gov.lv/structuralizer/data/nodes/9118929b-b9c1-494b-8586-9ab914731aad/preview</w:t>
        </w:r>
      </w:hyperlink>
    </w:p>
  </w:footnote>
  <w:footnote w:id="4">
    <w:p w14:paraId="4A3CB8B7" w14:textId="780ABFD4" w:rsidR="00A94A4C" w:rsidRPr="00B25084" w:rsidRDefault="003A4514">
      <w:pPr>
        <w:pStyle w:val="FootnoteText"/>
        <w:rPr>
          <w:rFonts w:ascii="Cambria" w:hAnsi="Cambria"/>
          <w:sz w:val="18"/>
          <w:szCs w:val="18"/>
        </w:rPr>
      </w:pPr>
      <w:r w:rsidRPr="00B25084">
        <w:rPr>
          <w:rStyle w:val="FootnoteReference"/>
          <w:rFonts w:ascii="Cambria" w:hAnsi="Cambria"/>
          <w:sz w:val="18"/>
          <w:szCs w:val="18"/>
        </w:rPr>
        <w:footnoteRef/>
      </w:r>
      <w:r w:rsidRPr="00B25084">
        <w:rPr>
          <w:rFonts w:ascii="Cambria" w:hAnsi="Cambria"/>
          <w:sz w:val="18"/>
          <w:szCs w:val="18"/>
        </w:rPr>
        <w:t xml:space="preserve"> Visi norādītie ziņojumi pieejami: </w:t>
      </w:r>
      <w:hyperlink r:id="rId2" w:history="1">
        <w:r w:rsidR="00A94A4C" w:rsidRPr="00682CD4">
          <w:rPr>
            <w:rStyle w:val="Hyperlink"/>
            <w:rFonts w:ascii="Cambria" w:hAnsi="Cambria"/>
            <w:sz w:val="18"/>
            <w:szCs w:val="18"/>
          </w:rPr>
          <w:t>https://videscentrs.lvgmc.lv/lapas/informacija-par-latvijas-seg-emisijam</w:t>
        </w:r>
      </w:hyperlink>
    </w:p>
  </w:footnote>
  <w:footnote w:id="5">
    <w:p w14:paraId="1206A2E4" w14:textId="2E6BCC1C" w:rsidR="00A94A4C" w:rsidRPr="00501BE0" w:rsidRDefault="00CE24F4">
      <w:pPr>
        <w:pStyle w:val="FootnoteText"/>
      </w:pPr>
      <w:r w:rsidRPr="00B25084">
        <w:rPr>
          <w:rStyle w:val="FootnoteReference"/>
          <w:rFonts w:ascii="Cambria" w:hAnsi="Cambria"/>
          <w:sz w:val="18"/>
          <w:szCs w:val="18"/>
        </w:rPr>
        <w:footnoteRef/>
      </w:r>
      <w:r w:rsidRPr="00B25084">
        <w:rPr>
          <w:rFonts w:ascii="Cambria" w:hAnsi="Cambria"/>
          <w:sz w:val="18"/>
          <w:szCs w:val="18"/>
        </w:rPr>
        <w:t xml:space="preserve"> Pieejams: </w:t>
      </w:r>
      <w:hyperlink r:id="rId3" w:history="1">
        <w:r w:rsidR="00A94A4C" w:rsidRPr="00682CD4">
          <w:rPr>
            <w:rStyle w:val="Hyperlink"/>
            <w:rFonts w:ascii="Cambria" w:hAnsi="Cambria"/>
            <w:sz w:val="18"/>
            <w:szCs w:val="18"/>
          </w:rPr>
          <w:t>https://tapportals.mk.gov.lv/meetings/protocols/38bb8794-c96c-4d83-8c99-3c25464f2af6</w:t>
        </w:r>
      </w:hyperlink>
    </w:p>
  </w:footnote>
  <w:footnote w:id="6">
    <w:p w14:paraId="32DFFA1E" w14:textId="77777777" w:rsidR="003E6EAD" w:rsidRDefault="003A4514">
      <w:pPr>
        <w:pStyle w:val="FootnoteText"/>
      </w:pPr>
      <w:r>
        <w:rPr>
          <w:rStyle w:val="FootnoteReference"/>
        </w:rPr>
        <w:footnoteRef/>
      </w:r>
      <w:r>
        <w:rPr>
          <w:rFonts w:ascii="Cambria" w:hAnsi="Cambria"/>
          <w:sz w:val="16"/>
          <w:szCs w:val="16"/>
        </w:rPr>
        <w:t xml:space="preserve"> Parīzes nolīgums: </w:t>
      </w:r>
      <w:hyperlink r:id="rId4" w:history="1">
        <w:r>
          <w:rPr>
            <w:rStyle w:val="Hyperlink"/>
            <w:rFonts w:ascii="Cambria" w:hAnsi="Cambria"/>
            <w:sz w:val="16"/>
            <w:szCs w:val="16"/>
          </w:rPr>
          <w:t>https://unfccc.int/sites/default/files/resource/docs/2015/cop21/eng/10a01.pdf</w:t>
        </w:r>
      </w:hyperlink>
      <w:r>
        <w:rPr>
          <w:rFonts w:ascii="Cambria" w:hAnsi="Cambria"/>
          <w:sz w:val="16"/>
          <w:szCs w:val="16"/>
        </w:rPr>
        <w:t xml:space="preserve"> (latv. val. neoficiāls tulkojums: </w:t>
      </w:r>
      <w:hyperlink r:id="rId5" w:history="1">
        <w:r>
          <w:rPr>
            <w:rStyle w:val="Hyperlink"/>
            <w:rFonts w:ascii="Cambria" w:hAnsi="Cambria"/>
            <w:sz w:val="16"/>
            <w:szCs w:val="16"/>
          </w:rPr>
          <w:t>https://likumi.lv/ta/lv/starptautiskie-ligumi/id/1730</w:t>
        </w:r>
      </w:hyperlink>
      <w:r>
        <w:rPr>
          <w:rFonts w:ascii="Cambria" w:hAnsi="Cambria"/>
          <w:sz w:val="16"/>
          <w:szCs w:val="16"/>
        </w:rPr>
        <w:t xml:space="preserve">) </w:t>
      </w:r>
    </w:p>
  </w:footnote>
  <w:footnote w:id="7">
    <w:p w14:paraId="558B214C" w14:textId="77777777" w:rsidR="003E6EAD" w:rsidRDefault="003A4514">
      <w:pPr>
        <w:pStyle w:val="FootnoteText"/>
      </w:pPr>
      <w:r>
        <w:rPr>
          <w:rStyle w:val="FootnoteReference"/>
        </w:rPr>
        <w:footnoteRef/>
      </w:r>
      <w:r>
        <w:rPr>
          <w:rFonts w:ascii="Cambria" w:hAnsi="Cambria"/>
          <w:sz w:val="16"/>
          <w:szCs w:val="16"/>
        </w:rPr>
        <w:t xml:space="preserve"> NDC reģistrs: </w:t>
      </w:r>
      <w:hyperlink r:id="rId6" w:history="1">
        <w:r>
          <w:rPr>
            <w:rStyle w:val="Hyperlink"/>
            <w:rFonts w:ascii="Cambria" w:hAnsi="Cambria"/>
            <w:sz w:val="16"/>
            <w:szCs w:val="16"/>
          </w:rPr>
          <w:t>https://unfccc.int/NDCREG</w:t>
        </w:r>
      </w:hyperlink>
      <w:r>
        <w:rPr>
          <w:rFonts w:ascii="Cambria" w:hAnsi="Cambria"/>
          <w:sz w:val="16"/>
          <w:szCs w:val="16"/>
        </w:rPr>
        <w:t xml:space="preserve"> ES, tās dalībvalstu, tai skaitā Latvijas NDC: </w:t>
      </w:r>
      <w:hyperlink r:id="rId7" w:history="1">
        <w:r>
          <w:rPr>
            <w:rStyle w:val="Hyperlink"/>
            <w:rFonts w:ascii="Cambria" w:hAnsi="Cambria"/>
            <w:sz w:val="16"/>
            <w:szCs w:val="16"/>
          </w:rPr>
          <w:t>https://unfccc.int/sites/default/files/NDC/2023-10/ES-2023-10-17%20EU%20submission%20NDC%20update.pdf</w:t>
        </w:r>
      </w:hyperlink>
      <w:r>
        <w:rPr>
          <w:rFonts w:ascii="Cambria" w:hAnsi="Cambria"/>
          <w:sz w:val="16"/>
          <w:szCs w:val="16"/>
        </w:rPr>
        <w:t xml:space="preserve"> </w:t>
      </w:r>
    </w:p>
  </w:footnote>
  <w:footnote w:id="8">
    <w:p w14:paraId="558936A0" w14:textId="77777777" w:rsidR="003E6EAD" w:rsidRDefault="003A4514">
      <w:pPr>
        <w:pStyle w:val="FootnoteText"/>
      </w:pPr>
      <w:r>
        <w:rPr>
          <w:rStyle w:val="FootnoteReference"/>
        </w:rPr>
        <w:footnoteRef/>
      </w:r>
      <w:r>
        <w:rPr>
          <w:rFonts w:ascii="Cambria" w:hAnsi="Cambria"/>
          <w:sz w:val="16"/>
          <w:szCs w:val="16"/>
        </w:rPr>
        <w:t xml:space="preserve"> Līgumslēdzēju Pušu konferences Lēmums 1/CP.21. Parīzes nolīguma apstiprināšana: </w:t>
      </w:r>
      <w:hyperlink r:id="rId8" w:anchor="page=2" w:history="1">
        <w:r>
          <w:rPr>
            <w:rStyle w:val="Hyperlink"/>
            <w:rFonts w:ascii="Cambria" w:hAnsi="Cambria"/>
            <w:sz w:val="16"/>
            <w:szCs w:val="16"/>
          </w:rPr>
          <w:t>https://unfccc.int/resource/docs/2015/cop21/eng/10a01.pdf#page=2</w:t>
        </w:r>
      </w:hyperlink>
      <w:r>
        <w:rPr>
          <w:rFonts w:ascii="Cambria" w:hAnsi="Cambria"/>
          <w:sz w:val="16"/>
          <w:szCs w:val="16"/>
        </w:rPr>
        <w:t xml:space="preserve"> </w:t>
      </w:r>
    </w:p>
  </w:footnote>
  <w:footnote w:id="9">
    <w:p w14:paraId="4DA9C1AC" w14:textId="5150444B" w:rsidR="00D07337" w:rsidRDefault="003A4514">
      <w:pPr>
        <w:pStyle w:val="FootnoteText"/>
      </w:pPr>
      <w:r>
        <w:rPr>
          <w:rStyle w:val="FootnoteReference"/>
        </w:rPr>
        <w:footnoteRef/>
      </w:r>
      <w:r>
        <w:rPr>
          <w:rFonts w:ascii="Cambria" w:hAnsi="Cambria"/>
          <w:sz w:val="16"/>
          <w:szCs w:val="16"/>
        </w:rPr>
        <w:t xml:space="preserve"> </w:t>
      </w:r>
      <w:hyperlink r:id="rId9" w:history="1">
        <w:r w:rsidR="00D07337" w:rsidRPr="007C05DC">
          <w:rPr>
            <w:rStyle w:val="Hyperlink"/>
            <w:rFonts w:ascii="Cambria" w:hAnsi="Cambria"/>
            <w:sz w:val="16"/>
            <w:szCs w:val="16"/>
          </w:rPr>
          <w:t>https://eur-lex.europa.eu/legal-content/LV/TXT/?uri=CELEX%3A32021R1119</w:t>
        </w:r>
      </w:hyperlink>
    </w:p>
  </w:footnote>
  <w:footnote w:id="10">
    <w:p w14:paraId="4103FAC7" w14:textId="4CB2D91A" w:rsidR="003116B3" w:rsidRDefault="003A4514">
      <w:pPr>
        <w:pStyle w:val="FootnoteText"/>
      </w:pPr>
      <w:r>
        <w:rPr>
          <w:rStyle w:val="FootnoteReference"/>
        </w:rPr>
        <w:footnoteRef/>
      </w:r>
      <w:r>
        <w:rPr>
          <w:rFonts w:ascii="Cambria" w:hAnsi="Cambria"/>
          <w:sz w:val="16"/>
          <w:szCs w:val="16"/>
        </w:rPr>
        <w:t xml:space="preserve"> </w:t>
      </w:r>
      <w:hyperlink r:id="rId10" w:history="1">
        <w:r w:rsidR="003116B3" w:rsidRPr="007C05DC">
          <w:rPr>
            <w:rStyle w:val="Hyperlink"/>
            <w:rFonts w:ascii="Cambria" w:hAnsi="Cambria"/>
            <w:sz w:val="16"/>
            <w:szCs w:val="16"/>
          </w:rPr>
          <w:t>https://likumi.lv/ta/id/342214-latvijas-strategija-klimatneitralitates-sasniegsanai-lidz-2050-gadam</w:t>
        </w:r>
      </w:hyperlink>
    </w:p>
  </w:footnote>
  <w:footnote w:id="11">
    <w:p w14:paraId="640A7AF0" w14:textId="7085DE01" w:rsidR="00DF2EE4" w:rsidRDefault="003A4514">
      <w:pPr>
        <w:pStyle w:val="FootnoteText"/>
        <w:jc w:val="both"/>
      </w:pPr>
      <w:r>
        <w:rPr>
          <w:rStyle w:val="FootnoteReference"/>
        </w:rPr>
        <w:footnoteRef/>
      </w:r>
      <w:r>
        <w:rPr>
          <w:rFonts w:ascii="Cambria" w:hAnsi="Cambria"/>
          <w:sz w:val="16"/>
          <w:szCs w:val="16"/>
        </w:rPr>
        <w:t xml:space="preserve"> Konsolidētā versija </w:t>
      </w:r>
      <w:hyperlink r:id="rId11" w:history="1">
        <w:r w:rsidR="00DF2EE4" w:rsidRPr="007C05DC">
          <w:rPr>
            <w:rStyle w:val="Hyperlink"/>
            <w:rFonts w:ascii="Cambria" w:hAnsi="Cambria"/>
            <w:sz w:val="16"/>
            <w:szCs w:val="16"/>
          </w:rPr>
          <w:t>https://eur-lex.europa.eu/legal-content/EN/TXT/?uri=CELEX%3A02003L0087-20240301</w:t>
        </w:r>
      </w:hyperlink>
    </w:p>
  </w:footnote>
  <w:footnote w:id="12">
    <w:p w14:paraId="005F5ADD" w14:textId="5CD6355B" w:rsidR="00991A5E" w:rsidRDefault="003A4514">
      <w:pPr>
        <w:pStyle w:val="FootnoteText"/>
        <w:jc w:val="both"/>
      </w:pPr>
      <w:r>
        <w:rPr>
          <w:rStyle w:val="FootnoteReference"/>
        </w:rPr>
        <w:footnoteRef/>
      </w:r>
      <w:r>
        <w:rPr>
          <w:rFonts w:ascii="Cambria" w:hAnsi="Cambria"/>
          <w:sz w:val="16"/>
          <w:szCs w:val="16"/>
        </w:rPr>
        <w:t xml:space="preserve"> Konsolidētā versija </w:t>
      </w:r>
      <w:hyperlink r:id="rId12" w:history="1">
        <w:r w:rsidR="00991A5E" w:rsidRPr="007C05DC">
          <w:rPr>
            <w:rStyle w:val="Hyperlink"/>
            <w:rFonts w:ascii="Cambria" w:hAnsi="Cambria"/>
            <w:sz w:val="16"/>
            <w:szCs w:val="16"/>
          </w:rPr>
          <w:t>https://eur-lex.europa.eu/legal-content/EN/TXT/?uri=CELEX%3A02018R0841-20230511</w:t>
        </w:r>
      </w:hyperlink>
    </w:p>
  </w:footnote>
  <w:footnote w:id="13">
    <w:p w14:paraId="551E313D" w14:textId="77777777" w:rsidR="003E6EAD" w:rsidRDefault="003A4514">
      <w:pPr>
        <w:pStyle w:val="FootnoteText"/>
        <w:jc w:val="both"/>
      </w:pPr>
      <w:r>
        <w:rPr>
          <w:rStyle w:val="FootnoteReference"/>
        </w:rPr>
        <w:footnoteRef/>
      </w:r>
      <w:r>
        <w:rPr>
          <w:rFonts w:ascii="Cambria" w:hAnsi="Cambria"/>
          <w:sz w:val="16"/>
          <w:szCs w:val="16"/>
        </w:rPr>
        <w:t xml:space="preserve">Konsolidētā versija </w:t>
      </w:r>
      <w:hyperlink r:id="rId13" w:history="1">
        <w:r>
          <w:rPr>
            <w:rStyle w:val="Hyperlink"/>
            <w:rFonts w:ascii="Cambria" w:hAnsi="Cambria"/>
            <w:sz w:val="16"/>
            <w:szCs w:val="16"/>
          </w:rPr>
          <w:t>https://eur-lex.europa.eu/legal-content/LV/TXT/?uri=CELEX%3A02018R0842-20230516&amp;qid=1691394347773</w:t>
        </w:r>
      </w:hyperlink>
      <w:r>
        <w:rPr>
          <w:rFonts w:ascii="Cambria" w:hAnsi="Cambria"/>
          <w:sz w:val="16"/>
          <w:szCs w:val="16"/>
        </w:rPr>
        <w:t xml:space="preserve"> </w:t>
      </w:r>
    </w:p>
  </w:footnote>
  <w:footnote w:id="14">
    <w:p w14:paraId="2F54E5A6" w14:textId="17A787E4" w:rsidR="00D94880" w:rsidRDefault="003A4514">
      <w:pPr>
        <w:pStyle w:val="FootnoteText"/>
      </w:pPr>
      <w:r>
        <w:rPr>
          <w:rStyle w:val="FootnoteReference"/>
        </w:rPr>
        <w:footnoteRef/>
      </w:r>
      <w:r>
        <w:rPr>
          <w:rFonts w:ascii="Cambria" w:hAnsi="Cambria"/>
          <w:sz w:val="16"/>
          <w:szCs w:val="16"/>
        </w:rPr>
        <w:t xml:space="preserve"> Konsolidētā versija: </w:t>
      </w:r>
      <w:hyperlink r:id="rId14" w:history="1">
        <w:r w:rsidR="00D94880" w:rsidRPr="007C05DC">
          <w:rPr>
            <w:rStyle w:val="Hyperlink"/>
            <w:rFonts w:ascii="Cambria" w:hAnsi="Cambria"/>
            <w:sz w:val="16"/>
            <w:szCs w:val="16"/>
          </w:rPr>
          <w:t>https://eur-lex.europa.eu/legal-content/LV/TXT/?uri=CELEX%3A02018R1999-20231120</w:t>
        </w:r>
      </w:hyperlink>
    </w:p>
  </w:footnote>
  <w:footnote w:id="15">
    <w:p w14:paraId="53C586A5" w14:textId="39E6FCA5" w:rsidR="000E6497" w:rsidRDefault="003A4514">
      <w:pPr>
        <w:pStyle w:val="FootnoteText"/>
        <w:jc w:val="both"/>
      </w:pPr>
      <w:r>
        <w:rPr>
          <w:rStyle w:val="FootnoteReference"/>
        </w:rPr>
        <w:footnoteRef/>
      </w:r>
      <w:r>
        <w:rPr>
          <w:rFonts w:ascii="Cambria" w:hAnsi="Cambria"/>
          <w:sz w:val="16"/>
          <w:szCs w:val="16"/>
        </w:rPr>
        <w:t xml:space="preserve"> Konsolidētā versija </w:t>
      </w:r>
      <w:hyperlink r:id="rId15" w:history="1">
        <w:r w:rsidR="000E6497" w:rsidRPr="007C05DC">
          <w:rPr>
            <w:rStyle w:val="Hyperlink"/>
            <w:rFonts w:ascii="Cambria" w:hAnsi="Cambria"/>
            <w:sz w:val="16"/>
            <w:szCs w:val="16"/>
          </w:rPr>
          <w:t>https://eur-lex.europa.eu/legal-content/EN/TXT/?uri=CELEX%3A02015R0757-20250101</w:t>
        </w:r>
      </w:hyperlink>
    </w:p>
  </w:footnote>
  <w:footnote w:id="16">
    <w:p w14:paraId="6722C70F" w14:textId="77777777" w:rsidR="003E6EAD" w:rsidRDefault="003A4514">
      <w:pPr>
        <w:pStyle w:val="FootnoteText"/>
        <w:jc w:val="both"/>
      </w:pPr>
      <w:r>
        <w:rPr>
          <w:rStyle w:val="FootnoteReference"/>
        </w:rPr>
        <w:footnoteRef/>
      </w:r>
      <w:r>
        <w:rPr>
          <w:rFonts w:ascii="Cambria" w:hAnsi="Cambria"/>
          <w:sz w:val="16"/>
          <w:szCs w:val="16"/>
        </w:rPr>
        <w:t xml:space="preserve"> </w:t>
      </w:r>
      <w:hyperlink r:id="rId16" w:history="1">
        <w:r>
          <w:rPr>
            <w:rStyle w:val="Hyperlink"/>
            <w:rFonts w:ascii="Cambria" w:hAnsi="Cambria"/>
            <w:sz w:val="16"/>
            <w:szCs w:val="16"/>
          </w:rPr>
          <w:t>https://eur-lex.europa.eu/legal-content/LV/TXT/HTML/?uri=CELEX:32023R0955&amp;qid=1695630897917</w:t>
        </w:r>
      </w:hyperlink>
      <w:r>
        <w:rPr>
          <w:rFonts w:ascii="Cambria" w:hAnsi="Cambria"/>
          <w:sz w:val="16"/>
          <w:szCs w:val="16"/>
        </w:rPr>
        <w:t xml:space="preserve"> </w:t>
      </w:r>
    </w:p>
  </w:footnote>
  <w:footnote w:id="17">
    <w:p w14:paraId="3C3B8196" w14:textId="77777777" w:rsidR="003E6EAD" w:rsidRDefault="003A4514">
      <w:pPr>
        <w:pStyle w:val="FootnoteText"/>
        <w:jc w:val="both"/>
      </w:pPr>
      <w:r>
        <w:rPr>
          <w:rStyle w:val="FootnoteReference"/>
        </w:rPr>
        <w:footnoteRef/>
      </w:r>
      <w:r>
        <w:rPr>
          <w:rFonts w:ascii="Cambria" w:hAnsi="Cambria"/>
          <w:sz w:val="16"/>
          <w:szCs w:val="16"/>
        </w:rPr>
        <w:t xml:space="preserve"> </w:t>
      </w:r>
      <w:hyperlink r:id="rId17" w:history="1">
        <w:r>
          <w:rPr>
            <w:rStyle w:val="Hyperlink"/>
            <w:rFonts w:ascii="Cambria" w:hAnsi="Cambria"/>
            <w:sz w:val="16"/>
            <w:szCs w:val="16"/>
          </w:rPr>
          <w:t>https://eur-lex.europa.eu/legal-content/LV/TXT/HTML/?uri=CELEX:32023R0956&amp;qid=1695630955252</w:t>
        </w:r>
      </w:hyperlink>
      <w:r>
        <w:rPr>
          <w:rFonts w:ascii="Cambria" w:hAnsi="Cambria"/>
          <w:sz w:val="16"/>
          <w:szCs w:val="16"/>
        </w:rPr>
        <w:t xml:space="preserve"> </w:t>
      </w:r>
    </w:p>
  </w:footnote>
  <w:footnote w:id="18">
    <w:p w14:paraId="7E0C6ABE" w14:textId="0B675E22" w:rsidR="00A93211" w:rsidRDefault="003A4514">
      <w:pPr>
        <w:pStyle w:val="FootnoteText"/>
      </w:pPr>
      <w:r>
        <w:rPr>
          <w:rStyle w:val="FootnoteReference"/>
        </w:rPr>
        <w:footnoteRef/>
      </w:r>
      <w:r>
        <w:rPr>
          <w:rFonts w:ascii="Cambria" w:hAnsi="Cambria"/>
          <w:sz w:val="16"/>
          <w:szCs w:val="16"/>
        </w:rPr>
        <w:t xml:space="preserve"> </w:t>
      </w:r>
      <w:r w:rsidR="00A93211">
        <w:rPr>
          <w:rFonts w:ascii="Cambria" w:hAnsi="Cambria"/>
          <w:sz w:val="16"/>
          <w:szCs w:val="16"/>
        </w:rPr>
        <w:t xml:space="preserve">Konsolidētā versija </w:t>
      </w:r>
      <w:hyperlink r:id="rId18" w:history="1">
        <w:r w:rsidR="00A93211" w:rsidRPr="007C05DC">
          <w:rPr>
            <w:rStyle w:val="Hyperlink"/>
            <w:rFonts w:ascii="Cambria" w:hAnsi="Cambria"/>
            <w:sz w:val="16"/>
            <w:szCs w:val="16"/>
          </w:rPr>
          <w:t>https://eur-lex.europa.eu/legal-content/LV/TXT/?uri=CELEX%3A02018L2001-20240716</w:t>
        </w:r>
      </w:hyperlink>
    </w:p>
  </w:footnote>
  <w:footnote w:id="19">
    <w:p w14:paraId="2C42A83A" w14:textId="77777777" w:rsidR="003E6EAD" w:rsidRDefault="003A4514">
      <w:pPr>
        <w:pStyle w:val="FootnoteText"/>
      </w:pPr>
      <w:r>
        <w:rPr>
          <w:rStyle w:val="FootnoteReference"/>
        </w:rPr>
        <w:footnoteRef/>
      </w:r>
      <w:r>
        <w:rPr>
          <w:rFonts w:ascii="Cambria" w:hAnsi="Cambria"/>
          <w:sz w:val="16"/>
          <w:szCs w:val="16"/>
        </w:rPr>
        <w:t xml:space="preserve"> </w:t>
      </w:r>
      <w:hyperlink r:id="rId19" w:history="1">
        <w:r>
          <w:rPr>
            <w:rStyle w:val="Hyperlink"/>
            <w:rFonts w:ascii="Cambria" w:hAnsi="Cambria"/>
            <w:sz w:val="16"/>
            <w:szCs w:val="16"/>
          </w:rPr>
          <w:t>https://eur-lex.europa.eu/legal-content/LV/TXT/?uri=OJ%3AL_202302413</w:t>
        </w:r>
      </w:hyperlink>
      <w:r>
        <w:rPr>
          <w:rFonts w:ascii="Cambria" w:hAnsi="Cambria"/>
          <w:sz w:val="16"/>
          <w:szCs w:val="16"/>
        </w:rPr>
        <w:t xml:space="preserve"> </w:t>
      </w:r>
    </w:p>
  </w:footnote>
  <w:footnote w:id="20">
    <w:p w14:paraId="35E85360" w14:textId="1E207B69" w:rsidR="00ED7E3E" w:rsidRDefault="003A4514">
      <w:pPr>
        <w:spacing w:after="0" w:line="240" w:lineRule="auto"/>
        <w:jc w:val="both"/>
      </w:pPr>
      <w:r>
        <w:rPr>
          <w:rStyle w:val="FootnoteReference"/>
        </w:rPr>
        <w:footnoteRef/>
      </w:r>
      <w:r>
        <w:rPr>
          <w:rFonts w:ascii="Cambria" w:hAnsi="Cambria"/>
          <w:sz w:val="16"/>
          <w:szCs w:val="16"/>
        </w:rPr>
        <w:t xml:space="preserve"> </w:t>
      </w:r>
      <w:hyperlink r:id="rId20" w:history="1">
        <w:r w:rsidR="00ED7E3E" w:rsidRPr="007C05DC">
          <w:rPr>
            <w:rStyle w:val="Hyperlink"/>
            <w:rFonts w:ascii="Cambria" w:hAnsi="Cambria"/>
            <w:sz w:val="16"/>
            <w:szCs w:val="16"/>
          </w:rPr>
          <w:t>https://eur-lex.europa.eu/legal-content/LV/TXT/?uri=CELEX%3A32023L1791&amp;qid=1740053890143</w:t>
        </w:r>
      </w:hyperlink>
    </w:p>
  </w:footnote>
  <w:footnote w:id="21">
    <w:p w14:paraId="7013E663" w14:textId="77777777" w:rsidR="003E6EAD" w:rsidRDefault="003A4514">
      <w:pPr>
        <w:pStyle w:val="FootnoteText"/>
        <w:jc w:val="both"/>
      </w:pPr>
      <w:r>
        <w:rPr>
          <w:rStyle w:val="FootnoteReference"/>
        </w:rPr>
        <w:footnoteRef/>
      </w:r>
      <w:r>
        <w:rPr>
          <w:rFonts w:ascii="Cambria" w:hAnsi="Cambria"/>
          <w:sz w:val="16"/>
          <w:szCs w:val="16"/>
        </w:rPr>
        <w:t xml:space="preserve"> </w:t>
      </w:r>
      <w:hyperlink r:id="rId21" w:history="1">
        <w:r>
          <w:rPr>
            <w:rStyle w:val="Hyperlink"/>
            <w:rFonts w:ascii="Cambria" w:hAnsi="Cambria"/>
            <w:sz w:val="16"/>
            <w:szCs w:val="16"/>
          </w:rPr>
          <w:t>https://eur-lex.europa.eu/legal-content/LV/TXT/?uri=CELEX:32023R1804</w:t>
        </w:r>
      </w:hyperlink>
      <w:r>
        <w:rPr>
          <w:rFonts w:ascii="Times New Roman" w:hAnsi="Times New Roman"/>
          <w:sz w:val="16"/>
          <w:szCs w:val="16"/>
        </w:rPr>
        <w:t xml:space="preserve"> </w:t>
      </w:r>
    </w:p>
  </w:footnote>
  <w:footnote w:id="22">
    <w:p w14:paraId="467A55EE" w14:textId="77777777" w:rsidR="003E6EAD" w:rsidRPr="00184D95" w:rsidRDefault="003A4514">
      <w:pPr>
        <w:pStyle w:val="FootnoteText"/>
        <w:jc w:val="both"/>
        <w:rPr>
          <w:rFonts w:ascii="Cambria" w:hAnsi="Cambria"/>
          <w:sz w:val="18"/>
          <w:szCs w:val="18"/>
        </w:rPr>
      </w:pPr>
      <w:r>
        <w:rPr>
          <w:rStyle w:val="FootnoteReference"/>
        </w:rPr>
        <w:footnoteRef/>
      </w:r>
      <w:r>
        <w:rPr>
          <w:rFonts w:ascii="Cambria" w:hAnsi="Cambria"/>
          <w:sz w:val="16"/>
          <w:szCs w:val="16"/>
        </w:rPr>
        <w:t xml:space="preserve"> </w:t>
      </w:r>
      <w:hyperlink r:id="rId22" w:history="1">
        <w:r w:rsidRPr="00184D95">
          <w:rPr>
            <w:rStyle w:val="Hyperlink"/>
            <w:rFonts w:ascii="Cambria" w:hAnsi="Cambria"/>
            <w:sz w:val="18"/>
            <w:szCs w:val="18"/>
          </w:rPr>
          <w:t>https://eur-lex.europa.eu/legal-content/LV/TXT/HTML/?uri=CELEX:32023R1805</w:t>
        </w:r>
      </w:hyperlink>
      <w:r w:rsidRPr="00184D95">
        <w:rPr>
          <w:rFonts w:ascii="Cambria" w:hAnsi="Cambria"/>
          <w:sz w:val="18"/>
          <w:szCs w:val="18"/>
        </w:rPr>
        <w:t xml:space="preserve"> </w:t>
      </w:r>
    </w:p>
  </w:footnote>
  <w:footnote w:id="23">
    <w:p w14:paraId="5E3F6FF0" w14:textId="4B2FE31E" w:rsidR="003E6EAD" w:rsidRDefault="003A4514">
      <w:pPr>
        <w:pStyle w:val="FootnoteText"/>
      </w:pPr>
      <w:r w:rsidRPr="00184D95">
        <w:rPr>
          <w:rStyle w:val="FootnoteReference"/>
          <w:rFonts w:ascii="Cambria" w:hAnsi="Cambria"/>
          <w:sz w:val="18"/>
          <w:szCs w:val="18"/>
        </w:rPr>
        <w:footnoteRef/>
      </w:r>
      <w:r w:rsidRPr="00184D95">
        <w:rPr>
          <w:rFonts w:ascii="Cambria" w:hAnsi="Cambria"/>
          <w:sz w:val="18"/>
          <w:szCs w:val="18"/>
        </w:rPr>
        <w:t xml:space="preserve"> </w:t>
      </w:r>
      <w:hyperlink r:id="rId23" w:history="1">
        <w:r w:rsidR="00093E9A" w:rsidRPr="00184D95">
          <w:rPr>
            <w:rStyle w:val="Hyperlink"/>
            <w:rFonts w:ascii="Cambria" w:hAnsi="Cambria"/>
            <w:color w:val="auto"/>
            <w:sz w:val="18"/>
            <w:szCs w:val="18"/>
            <w:u w:val="none"/>
          </w:rPr>
          <w:t>konsolidētā</w:t>
        </w:r>
      </w:hyperlink>
      <w:r w:rsidR="00093E9A" w:rsidRPr="00184D95">
        <w:rPr>
          <w:rFonts w:ascii="Cambria" w:hAnsi="Cambria"/>
          <w:sz w:val="18"/>
          <w:szCs w:val="18"/>
        </w:rPr>
        <w:t xml:space="preserve"> versija: </w:t>
      </w:r>
      <w:hyperlink r:id="rId24" w:history="1">
        <w:r w:rsidR="00093E9A" w:rsidRPr="00184D95">
          <w:rPr>
            <w:rStyle w:val="Hyperlink"/>
            <w:rFonts w:ascii="Cambria" w:hAnsi="Cambria"/>
            <w:sz w:val="18"/>
            <w:szCs w:val="18"/>
          </w:rPr>
          <w:t>https://eur-lex.europa.eu/legal-content/LV/TXT/?uri=CELEX%3A02023R2405-20231031</w:t>
        </w:r>
      </w:hyperlink>
      <w:r>
        <w:rPr>
          <w:rFonts w:ascii="Cambria" w:hAnsi="Cambria"/>
          <w:sz w:val="16"/>
          <w:szCs w:val="16"/>
        </w:rPr>
        <w:t xml:space="preserve"> </w:t>
      </w:r>
    </w:p>
  </w:footnote>
  <w:footnote w:id="24">
    <w:p w14:paraId="42B63A48" w14:textId="256B82E1" w:rsidR="003E6EAD" w:rsidRDefault="003A4514">
      <w:pPr>
        <w:pStyle w:val="FootnoteText"/>
      </w:pPr>
      <w:r>
        <w:rPr>
          <w:rStyle w:val="FootnoteReference"/>
        </w:rPr>
        <w:footnoteRef/>
      </w:r>
      <w:r>
        <w:rPr>
          <w:rFonts w:ascii="Cambria" w:hAnsi="Cambria"/>
          <w:sz w:val="16"/>
          <w:szCs w:val="16"/>
        </w:rPr>
        <w:t xml:space="preserve"> Pirmais Starptautiskais stāvokļa novērtējums notika 2023. gada 30. novembrī - 12. decembrī Dubaijā, Apvienotajos Arābu Emirātos notika Apvienoto Nāciju Organizācijas Vispārējās konvencijas par klimata pārmaiņām Līgumslēdzēju pušu konferences 28. sesijas (COP 28) ietvaros.</w:t>
      </w:r>
      <w:r>
        <w:rPr>
          <w:rStyle w:val="WW8Num1z0"/>
          <w:rFonts w:ascii="Cambria" w:hAnsi="Cambria"/>
          <w:color w:val="000000"/>
          <w:sz w:val="16"/>
          <w:szCs w:val="16"/>
          <w:shd w:val="clear" w:color="auto" w:fill="FFFFFF"/>
        </w:rPr>
        <w:t xml:space="preserve">  </w:t>
      </w:r>
      <w:r>
        <w:rPr>
          <w:rFonts w:ascii="Cambria" w:hAnsi="Cambria"/>
          <w:sz w:val="16"/>
          <w:szCs w:val="16"/>
        </w:rPr>
        <w:t>Nākamais GST būs 2028.gadā.</w:t>
      </w:r>
    </w:p>
  </w:footnote>
  <w:footnote w:id="25">
    <w:p w14:paraId="63E6ABCE" w14:textId="77777777" w:rsidR="003E6EAD" w:rsidRDefault="003A4514">
      <w:pPr>
        <w:pStyle w:val="FootnoteText"/>
        <w:jc w:val="both"/>
      </w:pPr>
      <w:r>
        <w:rPr>
          <w:rStyle w:val="FootnoteReference"/>
        </w:rPr>
        <w:footnoteRef/>
      </w:r>
      <w:r>
        <w:rPr>
          <w:rFonts w:ascii="Cambria" w:hAnsi="Cambria"/>
          <w:sz w:val="16"/>
          <w:szCs w:val="16"/>
        </w:rPr>
        <w:t> </w:t>
      </w:r>
      <w:r>
        <w:rPr>
          <w:rFonts w:ascii="Cambria" w:eastAsia="Times New Roman" w:hAnsi="Cambria"/>
          <w:sz w:val="16"/>
          <w:szCs w:val="16"/>
        </w:rPr>
        <w:t>ES ETS tika izveidota, lai veicinātu SEG emisiju samazināšanu izmaksu efektīvā, godīgā un solidārā veidā. ES ETS ietvaros katrai ETS iekārtai tiek piešķirts noteikts bezmaksas emisijas kvotu daudzums ko operators var izmantot, sedzot saistības par iekārtas emitētajām SEG emisijām. ETS galvenokārt aptver rūpnieciskās iekārtas energoietilpīgajās tautsaimniecības nozarēs, tai skaitā elektroenerģijas un siltumenerģijas, cementa, keramikas, tērauda, stikla u.c. ražošanas iekārtas.</w:t>
      </w:r>
    </w:p>
  </w:footnote>
  <w:footnote w:id="26">
    <w:p w14:paraId="2359DAE6" w14:textId="77777777" w:rsidR="003E6EAD" w:rsidRDefault="003A4514">
      <w:pPr>
        <w:pStyle w:val="FootnoteText"/>
        <w:jc w:val="both"/>
      </w:pPr>
      <w:r>
        <w:rPr>
          <w:rStyle w:val="FootnoteReference"/>
        </w:rPr>
        <w:footnoteRef/>
      </w:r>
      <w:r>
        <w:rPr>
          <w:rFonts w:ascii="Cambria" w:hAnsi="Cambria"/>
          <w:sz w:val="16"/>
          <w:szCs w:val="16"/>
        </w:rPr>
        <w:t xml:space="preserve"> Transports, Lauksaimniecība, atkritumu apsaimniekošana, enerģētika un rūpnieciskie procesi un produktu izmantošana sektori, kas nav ietverti ES ETS (mājsaimniecības, u.c.).</w:t>
      </w:r>
      <w:r>
        <w:rPr>
          <w:rFonts w:ascii="Cambria" w:hAnsi="Cambria"/>
        </w:rPr>
        <w:t xml:space="preserve"> </w:t>
      </w:r>
      <w:r>
        <w:rPr>
          <w:rFonts w:ascii="Cambria" w:hAnsi="Cambria"/>
          <w:sz w:val="16"/>
          <w:szCs w:val="16"/>
        </w:rPr>
        <w:t>CO</w:t>
      </w:r>
      <w:r>
        <w:rPr>
          <w:rFonts w:ascii="Cambria" w:hAnsi="Cambria"/>
          <w:sz w:val="16"/>
          <w:szCs w:val="16"/>
          <w:vertAlign w:val="subscript"/>
        </w:rPr>
        <w:t>2</w:t>
      </w:r>
      <w:r>
        <w:rPr>
          <w:rFonts w:ascii="Cambria" w:hAnsi="Cambria"/>
          <w:sz w:val="16"/>
          <w:szCs w:val="16"/>
        </w:rPr>
        <w:t xml:space="preserve"> emisijas no KPSP noteiktās avota kategorijas “1.A.3.A civilā aviācija” tiek uzskatītas par vienādām ar nulli.</w:t>
      </w:r>
    </w:p>
  </w:footnote>
  <w:footnote w:id="27">
    <w:p w14:paraId="453DE985" w14:textId="578681DE" w:rsidR="00184D95" w:rsidRDefault="003A4514">
      <w:pPr>
        <w:pStyle w:val="FootnoteText"/>
        <w:jc w:val="both"/>
      </w:pPr>
      <w:r>
        <w:rPr>
          <w:rStyle w:val="FootnoteReference"/>
        </w:rPr>
        <w:footnoteRef/>
      </w:r>
      <w:r>
        <w:rPr>
          <w:rFonts w:ascii="Cambria" w:hAnsi="Cambria"/>
          <w:sz w:val="16"/>
          <w:szCs w:val="16"/>
        </w:rPr>
        <w:t xml:space="preserve"> 2020.gada 15.-16.oktobra Eiropadomes secinājumi: </w:t>
      </w:r>
      <w:hyperlink r:id="rId25" w:history="1">
        <w:r w:rsidR="00184D95" w:rsidRPr="007C05DC">
          <w:rPr>
            <w:rStyle w:val="Hyperlink"/>
            <w:rFonts w:ascii="Cambria" w:hAnsi="Cambria"/>
            <w:sz w:val="16"/>
            <w:szCs w:val="16"/>
          </w:rPr>
          <w:t>https://www.consilium.europa.eu/media/46358/161020-euco-final-conclusions-lv.pdf</w:t>
        </w:r>
      </w:hyperlink>
    </w:p>
  </w:footnote>
  <w:footnote w:id="28">
    <w:p w14:paraId="4D39F228" w14:textId="59040CFA" w:rsidR="00445DE2" w:rsidRPr="006C05B4" w:rsidRDefault="00445DE2">
      <w:pPr>
        <w:pStyle w:val="FootnoteText"/>
        <w:rPr>
          <w:rFonts w:ascii="Cambria" w:hAnsi="Cambria"/>
          <w:sz w:val="16"/>
          <w:szCs w:val="16"/>
        </w:rPr>
      </w:pPr>
      <w:r w:rsidRPr="006C1D0B">
        <w:rPr>
          <w:rStyle w:val="FootnoteReference"/>
          <w:rFonts w:ascii="Cambria" w:hAnsi="Cambria"/>
          <w:sz w:val="16"/>
          <w:szCs w:val="16"/>
        </w:rPr>
        <w:footnoteRef/>
      </w:r>
      <w:r w:rsidRPr="006C1D0B">
        <w:rPr>
          <w:rFonts w:ascii="Cambria" w:hAnsi="Cambria"/>
          <w:sz w:val="16"/>
          <w:szCs w:val="16"/>
        </w:rPr>
        <w:t xml:space="preserve"> </w:t>
      </w:r>
      <w:r w:rsidR="0011000C" w:rsidRPr="0011000C">
        <w:rPr>
          <w:rFonts w:ascii="Cambria" w:hAnsi="Cambria"/>
          <w:sz w:val="16"/>
          <w:szCs w:val="16"/>
        </w:rPr>
        <w:t>ne-ETS transport</w:t>
      </w:r>
      <w:r w:rsidR="0011000C">
        <w:rPr>
          <w:rFonts w:ascii="Cambria" w:hAnsi="Cambria"/>
          <w:sz w:val="16"/>
          <w:szCs w:val="16"/>
        </w:rPr>
        <w:t>a sektors</w:t>
      </w:r>
      <w:r w:rsidR="0011000C" w:rsidRPr="0011000C">
        <w:rPr>
          <w:rFonts w:ascii="Cambria" w:hAnsi="Cambria"/>
          <w:sz w:val="16"/>
          <w:szCs w:val="16"/>
        </w:rPr>
        <w:t xml:space="preserve"> ietver: autotransport</w:t>
      </w:r>
      <w:r w:rsidR="0011000C">
        <w:rPr>
          <w:rFonts w:ascii="Cambria" w:hAnsi="Cambria"/>
          <w:sz w:val="16"/>
          <w:szCs w:val="16"/>
        </w:rPr>
        <w:t>u</w:t>
      </w:r>
      <w:r w:rsidR="0011000C" w:rsidRPr="0011000C">
        <w:t xml:space="preserve"> </w:t>
      </w:r>
      <w:r w:rsidR="0011000C">
        <w:t>(</w:t>
      </w:r>
      <w:r w:rsidR="0011000C" w:rsidRPr="0011000C">
        <w:rPr>
          <w:rFonts w:ascii="Cambria" w:hAnsi="Cambria"/>
          <w:sz w:val="16"/>
          <w:szCs w:val="16"/>
        </w:rPr>
        <w:t>Klimata pārmaiņu starpvaldību padomes (IPCC) avota kategorija</w:t>
      </w:r>
      <w:r w:rsidR="0011000C">
        <w:rPr>
          <w:rFonts w:ascii="Cambria" w:hAnsi="Cambria"/>
          <w:sz w:val="16"/>
          <w:szCs w:val="16"/>
        </w:rPr>
        <w:t xml:space="preserve"> 1.A.3.b.)</w:t>
      </w:r>
      <w:r w:rsidR="0011000C" w:rsidRPr="0011000C">
        <w:rPr>
          <w:rFonts w:ascii="Cambria" w:hAnsi="Cambria"/>
          <w:sz w:val="16"/>
          <w:szCs w:val="16"/>
        </w:rPr>
        <w:t>, dzelzceļa transport</w:t>
      </w:r>
      <w:r w:rsidR="0011000C">
        <w:rPr>
          <w:rFonts w:ascii="Cambria" w:hAnsi="Cambria"/>
          <w:sz w:val="16"/>
          <w:szCs w:val="16"/>
        </w:rPr>
        <w:t xml:space="preserve">u (IPCC </w:t>
      </w:r>
      <w:r w:rsidR="0011000C" w:rsidRPr="0011000C">
        <w:rPr>
          <w:rFonts w:ascii="Cambria" w:hAnsi="Cambria"/>
          <w:sz w:val="16"/>
          <w:szCs w:val="16"/>
        </w:rPr>
        <w:t>avota kategorija</w:t>
      </w:r>
      <w:r w:rsidR="0011000C">
        <w:rPr>
          <w:rFonts w:ascii="Cambria" w:hAnsi="Cambria"/>
          <w:sz w:val="16"/>
          <w:szCs w:val="16"/>
        </w:rPr>
        <w:t xml:space="preserve"> 1.A.3.c.)</w:t>
      </w:r>
      <w:r w:rsidR="0011000C" w:rsidRPr="0011000C">
        <w:rPr>
          <w:rFonts w:ascii="Cambria" w:hAnsi="Cambria"/>
          <w:sz w:val="16"/>
          <w:szCs w:val="16"/>
        </w:rPr>
        <w:t>, iekšzemes kuģošan</w:t>
      </w:r>
      <w:r w:rsidR="0011000C">
        <w:rPr>
          <w:rFonts w:ascii="Cambria" w:hAnsi="Cambria"/>
          <w:sz w:val="16"/>
          <w:szCs w:val="16"/>
        </w:rPr>
        <w:t xml:space="preserve">u (IPCC </w:t>
      </w:r>
      <w:r w:rsidR="0011000C" w:rsidRPr="0011000C">
        <w:rPr>
          <w:rFonts w:ascii="Cambria" w:hAnsi="Cambria"/>
          <w:sz w:val="16"/>
          <w:szCs w:val="16"/>
        </w:rPr>
        <w:t>avota kategorija</w:t>
      </w:r>
      <w:r w:rsidR="0011000C">
        <w:rPr>
          <w:rFonts w:ascii="Cambria" w:hAnsi="Cambria"/>
          <w:sz w:val="16"/>
          <w:szCs w:val="16"/>
        </w:rPr>
        <w:t xml:space="preserve"> 1.A.3.d.)</w:t>
      </w:r>
      <w:r w:rsidR="0011000C" w:rsidRPr="0011000C">
        <w:rPr>
          <w:rFonts w:ascii="Cambria" w:hAnsi="Cambria"/>
          <w:sz w:val="16"/>
          <w:szCs w:val="16"/>
        </w:rPr>
        <w:t>, iekšzemes gaisa transport</w:t>
      </w:r>
      <w:r w:rsidR="0011000C">
        <w:rPr>
          <w:rFonts w:ascii="Cambria" w:hAnsi="Cambria"/>
          <w:sz w:val="16"/>
          <w:szCs w:val="16"/>
        </w:rPr>
        <w:t>a (</w:t>
      </w:r>
      <w:r w:rsidR="0011000C" w:rsidRPr="009E59F7">
        <w:rPr>
          <w:rFonts w:ascii="Cambria" w:hAnsi="Cambria"/>
          <w:sz w:val="16"/>
          <w:szCs w:val="16"/>
        </w:rPr>
        <w:t>IPCC avota kategorijas “1.A.3.</w:t>
      </w:r>
      <w:r w:rsidR="0011000C">
        <w:rPr>
          <w:rFonts w:ascii="Cambria" w:hAnsi="Cambria"/>
          <w:sz w:val="16"/>
          <w:szCs w:val="16"/>
        </w:rPr>
        <w:t>a.</w:t>
      </w:r>
      <w:r w:rsidR="0011000C" w:rsidRPr="009E59F7">
        <w:rPr>
          <w:rFonts w:ascii="Cambria" w:hAnsi="Cambria"/>
          <w:sz w:val="16"/>
          <w:szCs w:val="16"/>
        </w:rPr>
        <w:t xml:space="preserve"> </w:t>
      </w:r>
      <w:r w:rsidR="0011000C">
        <w:rPr>
          <w:rFonts w:ascii="Cambria" w:hAnsi="Cambria"/>
          <w:sz w:val="16"/>
          <w:szCs w:val="16"/>
        </w:rPr>
        <w:t>)</w:t>
      </w:r>
      <w:r w:rsidR="0011000C" w:rsidRPr="0011000C">
        <w:rPr>
          <w:rFonts w:ascii="Cambria" w:hAnsi="Cambria"/>
          <w:sz w:val="16"/>
          <w:szCs w:val="16"/>
        </w:rPr>
        <w:t xml:space="preserve"> CH</w:t>
      </w:r>
      <w:r w:rsidR="0011000C" w:rsidRPr="006C1D0B">
        <w:rPr>
          <w:rFonts w:ascii="Cambria" w:hAnsi="Cambria"/>
          <w:sz w:val="16"/>
          <w:szCs w:val="16"/>
          <w:vertAlign w:val="subscript"/>
        </w:rPr>
        <w:t>4</w:t>
      </w:r>
      <w:r w:rsidR="0011000C" w:rsidRPr="0011000C">
        <w:rPr>
          <w:rFonts w:ascii="Cambria" w:hAnsi="Cambria"/>
          <w:sz w:val="16"/>
          <w:szCs w:val="16"/>
        </w:rPr>
        <w:t xml:space="preserve"> un N</w:t>
      </w:r>
      <w:r w:rsidR="0011000C" w:rsidRPr="006C1D0B">
        <w:rPr>
          <w:rFonts w:ascii="Cambria" w:hAnsi="Cambria"/>
          <w:sz w:val="16"/>
          <w:szCs w:val="16"/>
          <w:vertAlign w:val="subscript"/>
        </w:rPr>
        <w:t>2</w:t>
      </w:r>
      <w:r w:rsidR="0011000C" w:rsidRPr="0011000C">
        <w:rPr>
          <w:rFonts w:ascii="Cambria" w:hAnsi="Cambria"/>
          <w:sz w:val="16"/>
          <w:szCs w:val="16"/>
        </w:rPr>
        <w:t>O emisijas</w:t>
      </w:r>
      <w:r w:rsidR="0011000C">
        <w:rPr>
          <w:rFonts w:ascii="Cambria" w:hAnsi="Cambria"/>
          <w:sz w:val="16"/>
          <w:szCs w:val="16"/>
        </w:rPr>
        <w:t>.</w:t>
      </w:r>
      <w:r w:rsidR="0011000C" w:rsidRPr="0011000C">
        <w:rPr>
          <w:rFonts w:ascii="Cambria" w:hAnsi="Cambria"/>
          <w:sz w:val="16"/>
          <w:szCs w:val="16"/>
        </w:rPr>
        <w:t xml:space="preserve"> </w:t>
      </w:r>
      <w:r>
        <w:rPr>
          <w:rFonts w:ascii="Cambria" w:hAnsi="Cambria"/>
          <w:sz w:val="16"/>
          <w:szCs w:val="16"/>
        </w:rPr>
        <w:t>R</w:t>
      </w:r>
      <w:r w:rsidRPr="006C1D0B">
        <w:rPr>
          <w:rFonts w:ascii="Cambria" w:hAnsi="Cambria"/>
          <w:sz w:val="16"/>
          <w:szCs w:val="16"/>
        </w:rPr>
        <w:t>egulas</w:t>
      </w:r>
      <w:r>
        <w:rPr>
          <w:rFonts w:ascii="Cambria" w:hAnsi="Cambria"/>
          <w:sz w:val="16"/>
          <w:szCs w:val="16"/>
        </w:rPr>
        <w:t xml:space="preserve"> 2018/842</w:t>
      </w:r>
      <w:r w:rsidRPr="006C05B4">
        <w:rPr>
          <w:rFonts w:ascii="Cambria" w:hAnsi="Cambria"/>
          <w:sz w:val="16"/>
          <w:szCs w:val="16"/>
        </w:rPr>
        <w:t xml:space="preserve"> kontekstā CO</w:t>
      </w:r>
      <w:r w:rsidRPr="006C1D0B">
        <w:rPr>
          <w:rFonts w:ascii="Cambria" w:hAnsi="Cambria"/>
          <w:sz w:val="16"/>
          <w:szCs w:val="16"/>
          <w:vertAlign w:val="subscript"/>
        </w:rPr>
        <w:t>2</w:t>
      </w:r>
      <w:r w:rsidRPr="006C05B4">
        <w:rPr>
          <w:rFonts w:ascii="Cambria" w:hAnsi="Cambria"/>
          <w:sz w:val="16"/>
          <w:szCs w:val="16"/>
        </w:rPr>
        <w:t> emisijas no </w:t>
      </w:r>
      <w:r w:rsidR="0011000C" w:rsidRPr="0011000C">
        <w:rPr>
          <w:rFonts w:ascii="Cambria" w:hAnsi="Cambria"/>
          <w:sz w:val="16"/>
          <w:szCs w:val="16"/>
        </w:rPr>
        <w:t xml:space="preserve"> </w:t>
      </w:r>
      <w:r w:rsidRPr="006C05B4">
        <w:rPr>
          <w:rFonts w:ascii="Cambria" w:hAnsi="Cambria"/>
          <w:sz w:val="16"/>
          <w:szCs w:val="16"/>
        </w:rPr>
        <w:t>IPCC avota kategorijas “1.A.3.</w:t>
      </w:r>
      <w:r w:rsidR="0011000C">
        <w:rPr>
          <w:rFonts w:ascii="Cambria" w:hAnsi="Cambria"/>
          <w:sz w:val="16"/>
          <w:szCs w:val="16"/>
        </w:rPr>
        <w:t>a.</w:t>
      </w:r>
      <w:r w:rsidRPr="006C05B4">
        <w:rPr>
          <w:rFonts w:ascii="Cambria" w:hAnsi="Cambria"/>
          <w:sz w:val="16"/>
          <w:szCs w:val="16"/>
        </w:rPr>
        <w:t xml:space="preserve"> </w:t>
      </w:r>
      <w:r w:rsidR="0011000C">
        <w:rPr>
          <w:rFonts w:ascii="Cambria" w:hAnsi="Cambria"/>
          <w:sz w:val="16"/>
          <w:szCs w:val="16"/>
        </w:rPr>
        <w:t>iekšzemes gaisa transports</w:t>
      </w:r>
      <w:r w:rsidRPr="006C05B4">
        <w:rPr>
          <w:rFonts w:ascii="Cambria" w:hAnsi="Cambria"/>
          <w:sz w:val="16"/>
          <w:szCs w:val="16"/>
        </w:rPr>
        <w:t>” uzskata par vienādām ar nulli</w:t>
      </w:r>
      <w:r>
        <w:rPr>
          <w:rFonts w:ascii="Cambria" w:hAnsi="Cambria"/>
          <w:sz w:val="16"/>
          <w:szCs w:val="16"/>
        </w:rPr>
        <w:t xml:space="preserve">. </w:t>
      </w:r>
    </w:p>
  </w:footnote>
  <w:footnote w:id="29">
    <w:p w14:paraId="5D3D53AF" w14:textId="16021872" w:rsidR="00122A34" w:rsidRDefault="003A4514">
      <w:pPr>
        <w:pStyle w:val="FootnoteText"/>
        <w:jc w:val="both"/>
      </w:pPr>
      <w:r>
        <w:rPr>
          <w:rStyle w:val="FootnoteReference"/>
        </w:rPr>
        <w:footnoteRef/>
      </w:r>
      <w:r>
        <w:rPr>
          <w:rFonts w:ascii="Cambria" w:hAnsi="Cambria"/>
          <w:sz w:val="16"/>
          <w:szCs w:val="16"/>
          <w:shd w:val="clear" w:color="auto" w:fill="FFFFFF"/>
        </w:rPr>
        <w:t xml:space="preserve"> Konsolidētā versija: </w:t>
      </w:r>
      <w:hyperlink r:id="rId26" w:history="1">
        <w:r w:rsidR="00122A34" w:rsidRPr="007C05DC">
          <w:rPr>
            <w:rStyle w:val="Hyperlink"/>
            <w:rFonts w:ascii="Cambria" w:hAnsi="Cambria"/>
            <w:sz w:val="16"/>
            <w:szCs w:val="16"/>
            <w:shd w:val="clear" w:color="auto" w:fill="FFFFFF"/>
          </w:rPr>
          <w:t>https://eur-lex.europa.eu/legal-content/LV/TXT/?uri=CELEX%3A02018R0842-20230516</w:t>
        </w:r>
      </w:hyperlink>
    </w:p>
  </w:footnote>
  <w:footnote w:id="30">
    <w:p w14:paraId="530B6060" w14:textId="15CCA1B0" w:rsidR="00E65653" w:rsidRDefault="003A4514">
      <w:pPr>
        <w:pStyle w:val="doc-ti"/>
        <w:shd w:val="clear" w:color="auto" w:fill="FFFFFF"/>
        <w:spacing w:before="0" w:after="0"/>
        <w:textAlignment w:val="baseline"/>
      </w:pPr>
      <w:r w:rsidRPr="00A40FB1">
        <w:rPr>
          <w:rStyle w:val="FootnoteReference"/>
          <w:sz w:val="20"/>
          <w:szCs w:val="20"/>
        </w:rPr>
        <w:footnoteRef/>
      </w:r>
      <w:r w:rsidRPr="00A40FB1">
        <w:rPr>
          <w:rFonts w:ascii="Cambria" w:hAnsi="Cambria"/>
          <w:sz w:val="20"/>
          <w:szCs w:val="20"/>
          <w:vertAlign w:val="superscript"/>
        </w:rPr>
        <w:t xml:space="preserve"> </w:t>
      </w:r>
      <w:r>
        <w:rPr>
          <w:rFonts w:ascii="Cambria" w:hAnsi="Cambria"/>
          <w:sz w:val="16"/>
          <w:szCs w:val="16"/>
          <w:vertAlign w:val="superscript"/>
        </w:rPr>
        <w:t xml:space="preserve"> </w:t>
      </w:r>
      <w:r>
        <w:rPr>
          <w:rFonts w:ascii="Cambria" w:hAnsi="Cambria"/>
          <w:sz w:val="16"/>
          <w:szCs w:val="16"/>
        </w:rPr>
        <w:t>Konsolidētā versija:</w:t>
      </w:r>
      <w:r w:rsidR="00C96237" w:rsidRPr="00C96237">
        <w:t xml:space="preserve"> </w:t>
      </w:r>
      <w:hyperlink r:id="rId27" w:history="1">
        <w:r w:rsidR="00C96237" w:rsidRPr="007C05DC">
          <w:rPr>
            <w:rStyle w:val="Hyperlink"/>
            <w:rFonts w:ascii="Cambria" w:hAnsi="Cambria"/>
            <w:sz w:val="16"/>
            <w:szCs w:val="16"/>
          </w:rPr>
          <w:t>https://eur-lex.europa.eu/legal-content/EN/TXT/?uri=CELEX%3A02018R0841-20230511</w:t>
        </w:r>
      </w:hyperlink>
      <w:r w:rsidR="00C96237">
        <w:t xml:space="preserve"> </w:t>
      </w:r>
    </w:p>
  </w:footnote>
  <w:footnote w:id="31">
    <w:p w14:paraId="43982ACE" w14:textId="57F3D839" w:rsidR="003E6EAD" w:rsidRDefault="003A4514">
      <w:pPr>
        <w:pStyle w:val="CommentText"/>
        <w:spacing w:after="0"/>
        <w:rPr>
          <w:rFonts w:ascii="Cambria" w:hAnsi="Cambria"/>
          <w:color w:val="000000"/>
          <w:sz w:val="16"/>
          <w:szCs w:val="16"/>
          <w:shd w:val="clear" w:color="auto" w:fill="FFFFFF"/>
        </w:rPr>
      </w:pPr>
      <w:r>
        <w:rPr>
          <w:rStyle w:val="FootnoteReference"/>
        </w:rPr>
        <w:footnoteRef/>
      </w:r>
      <w:r>
        <w:rPr>
          <w:rFonts w:ascii="Cambria" w:hAnsi="Cambria"/>
          <w:color w:val="000000"/>
          <w:sz w:val="16"/>
          <w:szCs w:val="16"/>
          <w:shd w:val="clear" w:color="auto" w:fill="FFFFFF"/>
        </w:rPr>
        <w:t xml:space="preserve"> </w:t>
      </w:r>
      <w:hyperlink r:id="rId28" w:history="1">
        <w:r w:rsidR="00016812" w:rsidRPr="007C05DC">
          <w:rPr>
            <w:rStyle w:val="Hyperlink"/>
            <w:rFonts w:ascii="Cambria" w:hAnsi="Cambria"/>
            <w:sz w:val="16"/>
            <w:szCs w:val="16"/>
            <w:shd w:val="clear" w:color="auto" w:fill="FFFFFF"/>
          </w:rPr>
          <w:t>https://eur-lex.europa.eu/legal-content/EN/TXT/?uri=uriserv%3AOJ.L_.2023.107.01.0001.01.ENG&amp;toc=OJ%3AL%3A2023%3A107%3ATOC</w:t>
        </w:r>
      </w:hyperlink>
    </w:p>
    <w:p w14:paraId="13016276" w14:textId="77777777" w:rsidR="00016812" w:rsidRDefault="00016812">
      <w:pPr>
        <w:pStyle w:val="CommentText"/>
        <w:spacing w:after="0"/>
      </w:pPr>
    </w:p>
  </w:footnote>
  <w:footnote w:id="32">
    <w:p w14:paraId="3FAEE924" w14:textId="096FF21E" w:rsidR="003E6EAD" w:rsidRDefault="003A4514">
      <w:pPr>
        <w:pStyle w:val="CommentText"/>
        <w:spacing w:after="0"/>
      </w:pPr>
      <w:r>
        <w:rPr>
          <w:rStyle w:val="FootnoteReference"/>
        </w:rPr>
        <w:footnoteRef/>
      </w:r>
      <w:r>
        <w:rPr>
          <w:rFonts w:ascii="Cambria" w:hAnsi="Cambria"/>
          <w:sz w:val="16"/>
          <w:szCs w:val="16"/>
        </w:rPr>
        <w:t xml:space="preserve"> Saskaņā ar </w:t>
      </w:r>
      <w:r w:rsidR="00352854" w:rsidRPr="00352854">
        <w:rPr>
          <w:rFonts w:ascii="Cambria" w:hAnsi="Cambria"/>
          <w:sz w:val="16"/>
          <w:szCs w:val="16"/>
        </w:rPr>
        <w:t>Regula</w:t>
      </w:r>
      <w:r w:rsidR="00352854">
        <w:rPr>
          <w:rFonts w:ascii="Cambria" w:hAnsi="Cambria"/>
          <w:sz w:val="16"/>
          <w:szCs w:val="16"/>
        </w:rPr>
        <w:t>s</w:t>
      </w:r>
      <w:r w:rsidR="00352854" w:rsidRPr="00352854">
        <w:rPr>
          <w:rFonts w:ascii="Cambria" w:hAnsi="Cambria"/>
          <w:sz w:val="16"/>
          <w:szCs w:val="16"/>
        </w:rPr>
        <w:t xml:space="preserve"> 2018/842</w:t>
      </w:r>
      <w:r>
        <w:rPr>
          <w:rFonts w:ascii="Cambria" w:hAnsi="Cambria"/>
          <w:sz w:val="16"/>
          <w:szCs w:val="16"/>
        </w:rPr>
        <w:t xml:space="preserve"> 7.pantu Latvijai kopējais daudzums, ko ņem vērā par visiem gadiem 2021.– 2030. gada periodā, nepārsniedz 3.1 </w:t>
      </w:r>
      <w:r>
        <w:rPr>
          <w:rFonts w:ascii="Cambria" w:hAnsi="Cambria"/>
          <w:color w:val="000000"/>
          <w:sz w:val="16"/>
          <w:szCs w:val="16"/>
          <w:shd w:val="clear" w:color="auto" w:fill="FFFFFF"/>
        </w:rPr>
        <w:t>miljons tonnu CO</w:t>
      </w:r>
      <w:r>
        <w:rPr>
          <w:rStyle w:val="sub"/>
          <w:rFonts w:ascii="Cambria" w:hAnsi="Cambria"/>
          <w:color w:val="000000"/>
          <w:sz w:val="16"/>
          <w:szCs w:val="16"/>
          <w:shd w:val="clear" w:color="auto" w:fill="FFFFFF"/>
          <w:vertAlign w:val="subscript"/>
        </w:rPr>
        <w:t>2</w:t>
      </w:r>
      <w:r>
        <w:rPr>
          <w:rFonts w:ascii="Cambria" w:hAnsi="Cambria"/>
          <w:color w:val="000000"/>
          <w:sz w:val="16"/>
          <w:szCs w:val="16"/>
          <w:shd w:val="clear" w:color="auto" w:fill="FFFFFF"/>
        </w:rPr>
        <w:t> ekv.</w:t>
      </w:r>
      <w:r>
        <w:rPr>
          <w:rFonts w:ascii="Cambria" w:hAnsi="Cambria"/>
          <w:sz w:val="16"/>
          <w:szCs w:val="16"/>
        </w:rPr>
        <w:t xml:space="preserve"> kopējās neto piesaistes maksimālo apjomu.</w:t>
      </w:r>
    </w:p>
  </w:footnote>
  <w:footnote w:id="33">
    <w:p w14:paraId="3432EEC8" w14:textId="77777777" w:rsidR="003E6EAD" w:rsidRDefault="003A4514">
      <w:pPr>
        <w:pStyle w:val="FootnoteText"/>
      </w:pPr>
      <w:r>
        <w:rPr>
          <w:rStyle w:val="FootnoteReference"/>
        </w:rPr>
        <w:footnoteRef/>
      </w:r>
      <w:r>
        <w:rPr>
          <w:rFonts w:ascii="Cambria" w:hAnsi="Cambria"/>
          <w:sz w:val="16"/>
          <w:szCs w:val="16"/>
        </w:rPr>
        <w:t xml:space="preserve"> ES ETS, ne-ETS sektora mērķi, noteikti </w:t>
      </w:r>
      <w:r>
        <w:rPr>
          <w:rFonts w:ascii="Cambria" w:eastAsia="Times New Roman" w:hAnsi="Cambria"/>
          <w:kern w:val="3"/>
          <w:sz w:val="16"/>
          <w:szCs w:val="16"/>
          <w:lang w:eastAsia="lv-LV"/>
        </w:rPr>
        <w:t xml:space="preserve">pret 2005. gadu (ne-ETS: </w:t>
      </w:r>
      <w:r>
        <w:rPr>
          <w:rFonts w:ascii="Cambria" w:hAnsi="Cambria"/>
          <w:sz w:val="16"/>
          <w:szCs w:val="16"/>
        </w:rPr>
        <w:t>8,6 MtCO</w:t>
      </w:r>
      <w:r>
        <w:rPr>
          <w:rFonts w:ascii="Cambria" w:hAnsi="Cambria"/>
          <w:sz w:val="16"/>
          <w:szCs w:val="16"/>
          <w:vertAlign w:val="subscript"/>
        </w:rPr>
        <w:t>2</w:t>
      </w:r>
      <w:r>
        <w:rPr>
          <w:rFonts w:ascii="Cambria" w:hAnsi="Cambria"/>
          <w:sz w:val="16"/>
          <w:szCs w:val="16"/>
        </w:rPr>
        <w:t xml:space="preserve"> ekv).</w:t>
      </w:r>
    </w:p>
  </w:footnote>
  <w:footnote w:id="34">
    <w:p w14:paraId="20FF4D4B" w14:textId="26A82405" w:rsidR="003E6EAD" w:rsidRDefault="003A4514">
      <w:pPr>
        <w:pStyle w:val="FootnoteText"/>
      </w:pPr>
      <w:r>
        <w:rPr>
          <w:rStyle w:val="FootnoteReference"/>
        </w:rPr>
        <w:footnoteRef/>
      </w:r>
      <w:r>
        <w:rPr>
          <w:rFonts w:ascii="Cambria" w:hAnsi="Cambria"/>
          <w:sz w:val="16"/>
          <w:szCs w:val="16"/>
        </w:rPr>
        <w:t xml:space="preserve"> </w:t>
      </w:r>
      <w:r w:rsidR="002F0ABD" w:rsidRPr="002F0ABD">
        <w:rPr>
          <w:rFonts w:ascii="Cambria" w:hAnsi="Cambria"/>
          <w:sz w:val="16"/>
          <w:szCs w:val="16"/>
        </w:rPr>
        <w:t>Regula</w:t>
      </w:r>
      <w:r w:rsidR="002F0ABD">
        <w:rPr>
          <w:rFonts w:ascii="Cambria" w:hAnsi="Cambria"/>
          <w:sz w:val="16"/>
          <w:szCs w:val="16"/>
        </w:rPr>
        <w:t>s</w:t>
      </w:r>
      <w:r w:rsidR="002F0ABD" w:rsidRPr="002F0ABD">
        <w:rPr>
          <w:rFonts w:ascii="Cambria" w:hAnsi="Cambria"/>
          <w:sz w:val="16"/>
          <w:szCs w:val="16"/>
        </w:rPr>
        <w:t xml:space="preserve"> 2018/842</w:t>
      </w:r>
      <w:r>
        <w:rPr>
          <w:rFonts w:ascii="Cambria" w:hAnsi="Cambria"/>
          <w:sz w:val="16"/>
          <w:szCs w:val="16"/>
        </w:rPr>
        <w:t xml:space="preserve"> konsolidētā versija: </w:t>
      </w:r>
      <w:hyperlink r:id="rId29" w:history="1">
        <w:r>
          <w:rPr>
            <w:rStyle w:val="Hyperlink"/>
            <w:rFonts w:ascii="Cambria" w:hAnsi="Cambria"/>
            <w:sz w:val="16"/>
            <w:szCs w:val="16"/>
          </w:rPr>
          <w:t>https://eur-lex.europa.eu/legal-content/LV/TXT/PDF/?uri=CELEX:02018R0842-20230516</w:t>
        </w:r>
      </w:hyperlink>
      <w:r>
        <w:rPr>
          <w:rFonts w:ascii="Cambria" w:hAnsi="Cambria"/>
          <w:sz w:val="16"/>
          <w:szCs w:val="16"/>
        </w:rPr>
        <w:t xml:space="preserve">. </w:t>
      </w:r>
    </w:p>
  </w:footnote>
  <w:footnote w:id="35">
    <w:p w14:paraId="7D44F987" w14:textId="77777777" w:rsidR="003E6EAD" w:rsidRDefault="003A4514">
      <w:pPr>
        <w:pStyle w:val="FootnoteText"/>
      </w:pPr>
      <w:r>
        <w:rPr>
          <w:rStyle w:val="FootnoteReference"/>
        </w:rPr>
        <w:footnoteRef/>
      </w:r>
      <w:r>
        <w:rPr>
          <w:rFonts w:ascii="Cambria" w:hAnsi="Cambria"/>
          <w:sz w:val="16"/>
          <w:szCs w:val="16"/>
        </w:rPr>
        <w:t xml:space="preserve"> “ikgadējais emisiju sadales apjoms” ir maksimālās pieļaujamās siltumnīcefekta gāzu emisijas katrā gadā no 2021. līdz 2030. gadam, kas noteiktas saskaņā ar 4. panta 3. punktu un 10. pantu</w:t>
      </w:r>
    </w:p>
  </w:footnote>
  <w:footnote w:id="36">
    <w:p w14:paraId="5A25B497" w14:textId="77777777" w:rsidR="003E6EAD" w:rsidRDefault="003A4514">
      <w:pPr>
        <w:pStyle w:val="FootnoteText"/>
      </w:pPr>
      <w:r>
        <w:rPr>
          <w:rStyle w:val="FootnoteReference"/>
        </w:rPr>
        <w:footnoteRef/>
      </w:r>
      <w:r>
        <w:rPr>
          <w:rFonts w:ascii="Cambria" w:hAnsi="Cambria"/>
          <w:sz w:val="16"/>
          <w:szCs w:val="16"/>
        </w:rPr>
        <w:t xml:space="preserve"> Komisijas 2020. gada 28. oktobra deleģētā regula (ES) 2021/268 ar ko attiecībā uz meža references līmeņiem, kas dalībvalstīm jāpiemēro 2021.–2025. gada periodā, groza Regulas 2018/841 IV pielikumu.</w:t>
      </w:r>
    </w:p>
  </w:footnote>
  <w:footnote w:id="37">
    <w:p w14:paraId="738DEB21" w14:textId="77777777" w:rsidR="003E6EAD" w:rsidRDefault="003A4514">
      <w:pPr>
        <w:pStyle w:val="FootnoteText"/>
      </w:pPr>
      <w:r>
        <w:rPr>
          <w:rStyle w:val="FootnoteReference"/>
        </w:rPr>
        <w:footnoteRef/>
      </w:r>
      <w:r>
        <w:rPr>
          <w:rFonts w:ascii="Cambria" w:hAnsi="Cambria"/>
          <w:sz w:val="16"/>
          <w:szCs w:val="16"/>
        </w:rPr>
        <w:t xml:space="preserve"> Saskaņā ar regulu 2018/841 sasniedzamo mērķradītāju 2030.gadam Latvijai aprēķina kā 2016. - 2018. gada vidējās faktiskās SEG no 2032. gada SEG inventarizācijas tām pieskaitot Regulas 2018/841 grozījumu IIa pielikumā, “c” kolonnā noteikto nemainīgo mērķrādītāja daļu -639 kt CO</w:t>
      </w:r>
      <w:r>
        <w:rPr>
          <w:rFonts w:ascii="Cambria" w:hAnsi="Cambria"/>
          <w:sz w:val="16"/>
          <w:szCs w:val="16"/>
          <w:vertAlign w:val="subscript"/>
        </w:rPr>
        <w:t>2</w:t>
      </w:r>
      <w:r>
        <w:rPr>
          <w:rFonts w:ascii="Cambria" w:hAnsi="Cambria"/>
          <w:sz w:val="16"/>
          <w:szCs w:val="16"/>
        </w:rPr>
        <w:t xml:space="preserve"> ekv. Regulas 2018/841 grozījumos iekļautais mērķrādītājs -644 kt CO</w:t>
      </w:r>
      <w:r>
        <w:rPr>
          <w:rFonts w:ascii="Cambria" w:hAnsi="Cambria"/>
          <w:sz w:val="16"/>
          <w:szCs w:val="16"/>
          <w:vertAlign w:val="subscript"/>
        </w:rPr>
        <w:t>2</w:t>
      </w:r>
      <w:r>
        <w:rPr>
          <w:rFonts w:ascii="Cambria" w:hAnsi="Cambria"/>
          <w:sz w:val="16"/>
          <w:szCs w:val="16"/>
        </w:rPr>
        <w:t xml:space="preserve"> ekv  ir aprēķināts balstoties uz vidējo SEG lielumu par 2016. - 2018. gadu (-6 kt CO</w:t>
      </w:r>
      <w:r>
        <w:rPr>
          <w:rFonts w:ascii="Cambria" w:hAnsi="Cambria"/>
          <w:sz w:val="16"/>
          <w:szCs w:val="16"/>
          <w:vertAlign w:val="subscript"/>
        </w:rPr>
        <w:t>2</w:t>
      </w:r>
      <w:r>
        <w:rPr>
          <w:rFonts w:ascii="Cambria" w:hAnsi="Cambria"/>
          <w:sz w:val="16"/>
          <w:szCs w:val="16"/>
        </w:rPr>
        <w:t xml:space="preserve"> ekv.) no  2020. gada Latvijas SEG inventarizācijas, kuram pieskaitīta nemainīgā mērķrādītāja daļa -639 kt CO</w:t>
      </w:r>
      <w:r>
        <w:rPr>
          <w:rFonts w:ascii="Cambria" w:hAnsi="Cambria"/>
          <w:sz w:val="16"/>
          <w:szCs w:val="16"/>
          <w:vertAlign w:val="subscript"/>
        </w:rPr>
        <w:t>2</w:t>
      </w:r>
      <w:r>
        <w:rPr>
          <w:rFonts w:ascii="Cambria" w:hAnsi="Cambria"/>
          <w:sz w:val="16"/>
          <w:szCs w:val="16"/>
        </w:rPr>
        <w:t xml:space="preserve"> ekv.</w:t>
      </w:r>
    </w:p>
  </w:footnote>
  <w:footnote w:id="38">
    <w:p w14:paraId="28BA57A3" w14:textId="79D8EBD7" w:rsidR="1349CB80" w:rsidRPr="00501BE0" w:rsidRDefault="1349CB80" w:rsidP="1349CB80">
      <w:pPr>
        <w:spacing w:before="240" w:after="240"/>
        <w:rPr>
          <w:rStyle w:val="Hyperlink"/>
          <w:rFonts w:ascii="Cambria" w:hAnsi="Cambria"/>
          <w:sz w:val="16"/>
        </w:rPr>
      </w:pPr>
      <w:r w:rsidRPr="00501BE0">
        <w:rPr>
          <w:rStyle w:val="FootnoteReference"/>
          <w:rFonts w:ascii="Cambria" w:hAnsi="Cambria"/>
          <w:sz w:val="16"/>
        </w:rPr>
        <w:footnoteRef/>
      </w:r>
      <w:r w:rsidRPr="00501BE0">
        <w:rPr>
          <w:rFonts w:ascii="Cambria" w:hAnsi="Cambria"/>
          <w:sz w:val="16"/>
        </w:rPr>
        <w:t xml:space="preserve"> </w:t>
      </w:r>
      <w:hyperlink r:id="rId30" w:history="1">
        <w:r w:rsidRPr="00501BE0">
          <w:rPr>
            <w:rStyle w:val="Hyperlink"/>
            <w:rFonts w:ascii="Cambria" w:hAnsi="Cambria"/>
            <w:sz w:val="16"/>
          </w:rPr>
          <w:t>https://klimats.meteo.lv/klimats_latvija/klimata_riks/</w:t>
        </w:r>
      </w:hyperlink>
    </w:p>
  </w:footnote>
  <w:footnote w:id="39">
    <w:p w14:paraId="7B4CC3AF" w14:textId="5B5384C3" w:rsidR="005A23CF" w:rsidRDefault="003A4514">
      <w:pPr>
        <w:pStyle w:val="FootnoteText"/>
      </w:pPr>
      <w:r>
        <w:rPr>
          <w:rStyle w:val="FootnoteReference"/>
        </w:rPr>
        <w:footnoteRef/>
      </w:r>
      <w:r>
        <w:rPr>
          <w:rFonts w:ascii="Cambria" w:hAnsi="Cambria"/>
          <w:sz w:val="16"/>
          <w:szCs w:val="16"/>
        </w:rPr>
        <w:t xml:space="preserve"> </w:t>
      </w:r>
      <w:r w:rsidRPr="00501BE0">
        <w:rPr>
          <w:rFonts w:ascii="Cambria" w:hAnsi="Cambria"/>
          <w:sz w:val="16"/>
          <w:szCs w:val="16"/>
        </w:rPr>
        <w:t xml:space="preserve">MK </w:t>
      </w:r>
      <w:r w:rsidR="002F0ABD" w:rsidRPr="00501BE0">
        <w:rPr>
          <w:rFonts w:ascii="Cambria" w:hAnsi="Cambria"/>
          <w:sz w:val="16"/>
          <w:szCs w:val="16"/>
        </w:rPr>
        <w:t xml:space="preserve">2019. gada 17. jūlija </w:t>
      </w:r>
      <w:r w:rsidRPr="00501BE0">
        <w:rPr>
          <w:rFonts w:ascii="Cambria" w:hAnsi="Cambria"/>
          <w:sz w:val="16"/>
          <w:szCs w:val="16"/>
        </w:rPr>
        <w:t>rīkojums Nr.</w:t>
      </w:r>
      <w:r w:rsidR="002F0ABD" w:rsidRPr="00501BE0">
        <w:rPr>
          <w:rFonts w:ascii="Cambria" w:hAnsi="Cambria"/>
          <w:sz w:val="16"/>
          <w:szCs w:val="16"/>
        </w:rPr>
        <w:t xml:space="preserve"> </w:t>
      </w:r>
      <w:r w:rsidRPr="00501BE0">
        <w:rPr>
          <w:rFonts w:ascii="Cambria" w:hAnsi="Cambria"/>
          <w:sz w:val="16"/>
          <w:szCs w:val="16"/>
        </w:rPr>
        <w:t xml:space="preserve">380 </w:t>
      </w:r>
      <w:r w:rsidR="002F0ABD" w:rsidRPr="00501BE0">
        <w:rPr>
          <w:rFonts w:ascii="Cambria" w:hAnsi="Cambria"/>
          <w:sz w:val="16"/>
          <w:szCs w:val="16"/>
        </w:rPr>
        <w:t>“</w:t>
      </w:r>
      <w:r w:rsidRPr="00501BE0">
        <w:rPr>
          <w:rFonts w:ascii="Cambria" w:hAnsi="Cambria"/>
          <w:i/>
          <w:iCs/>
          <w:sz w:val="16"/>
          <w:szCs w:val="16"/>
        </w:rPr>
        <w:t>Par Latvijas pielāgošanās klimata pārmaiņām plānu laika posmam līdz 2030. gadam</w:t>
      </w:r>
      <w:r w:rsidR="002F0ABD" w:rsidRPr="00501BE0">
        <w:rPr>
          <w:rFonts w:ascii="Cambria" w:hAnsi="Cambria"/>
          <w:i/>
          <w:iCs/>
          <w:sz w:val="16"/>
          <w:szCs w:val="16"/>
        </w:rPr>
        <w:t>”, pieejams</w:t>
      </w:r>
      <w:r w:rsidRPr="00501BE0">
        <w:rPr>
          <w:rFonts w:ascii="Cambria" w:hAnsi="Cambria"/>
          <w:sz w:val="16"/>
          <w:szCs w:val="16"/>
        </w:rPr>
        <w:t xml:space="preserve">: </w:t>
      </w:r>
      <w:hyperlink r:id="rId31" w:history="1">
        <w:r w:rsidR="005A23CF" w:rsidRPr="00501BE0">
          <w:rPr>
            <w:rStyle w:val="Hyperlink"/>
            <w:rFonts w:ascii="Cambria" w:hAnsi="Cambria"/>
            <w:sz w:val="16"/>
            <w:szCs w:val="16"/>
          </w:rPr>
          <w:t>https://likumi.lv/ta/id/308330-par-latvijas-pielagosanas-klimata-parmainam-planu-laika-posmam-lidz-2030-gadam</w:t>
        </w:r>
      </w:hyperlink>
    </w:p>
  </w:footnote>
  <w:footnote w:id="40">
    <w:p w14:paraId="0AEF311B" w14:textId="38E7C7B8" w:rsidR="00501BE0" w:rsidRDefault="00501BE0">
      <w:pPr>
        <w:pStyle w:val="FootnoteText"/>
      </w:pPr>
      <w:r>
        <w:rPr>
          <w:rStyle w:val="FootnoteReference"/>
        </w:rPr>
        <w:footnoteRef/>
      </w:r>
      <w:r>
        <w:t xml:space="preserve"> </w:t>
      </w:r>
      <w:r w:rsidRPr="00501BE0">
        <w:rPr>
          <w:rFonts w:ascii="Cambria" w:hAnsi="Cambria"/>
          <w:sz w:val="18"/>
          <w:szCs w:val="18"/>
        </w:rPr>
        <w:t xml:space="preserve">Saskaņā ar </w:t>
      </w:r>
      <w:r w:rsidR="00AF01C5">
        <w:rPr>
          <w:rFonts w:ascii="Cambria" w:hAnsi="Cambria"/>
          <w:sz w:val="18"/>
          <w:szCs w:val="18"/>
        </w:rPr>
        <w:t xml:space="preserve"> MK</w:t>
      </w:r>
      <w:r w:rsidRPr="00501BE0">
        <w:rPr>
          <w:rFonts w:ascii="Cambria" w:hAnsi="Cambria"/>
          <w:sz w:val="18"/>
          <w:szCs w:val="18"/>
        </w:rPr>
        <w:t xml:space="preserve"> 2022. gada 23. decembra rīkojuma Nr. 968 “Par Ekonomikas ministrijas un Vides aizsardzības un reģionālās attīstības ministrijas reorganizāciju un Klimata un enerģētikas ministrijas izveidošanu” 2.2. apakšpunktu un </w:t>
      </w:r>
      <w:r w:rsidR="00AF01C5">
        <w:rPr>
          <w:rFonts w:ascii="Cambria" w:hAnsi="Cambria"/>
          <w:sz w:val="18"/>
          <w:szCs w:val="18"/>
        </w:rPr>
        <w:t>MK</w:t>
      </w:r>
      <w:r w:rsidRPr="00501BE0">
        <w:rPr>
          <w:rFonts w:ascii="Cambria" w:hAnsi="Cambria"/>
          <w:sz w:val="18"/>
          <w:szCs w:val="18"/>
        </w:rPr>
        <w:t xml:space="preserve"> 2022. gada 20. decembra noteikumiem Nr. 817 “Klimata un enerģētikas ministrijas nolikums”, no 2023. gada 1. janvāra Vides aizsardzības un reģionālās attīstības ministrijas klimata politikas funkcijas pārņem Klimata un enerģētikas ministrija.</w:t>
      </w:r>
    </w:p>
  </w:footnote>
  <w:footnote w:id="41">
    <w:p w14:paraId="40C78289" w14:textId="133D8FDF" w:rsidR="00501BE0" w:rsidRPr="00501BE0" w:rsidRDefault="00501BE0">
      <w:pPr>
        <w:pStyle w:val="FootnoteText"/>
        <w:rPr>
          <w:rFonts w:ascii="Cambria" w:hAnsi="Cambria"/>
        </w:rPr>
      </w:pPr>
      <w:r w:rsidRPr="00501BE0">
        <w:rPr>
          <w:rStyle w:val="FootnoteReference"/>
          <w:rFonts w:ascii="Cambria" w:hAnsi="Cambria"/>
          <w:sz w:val="18"/>
          <w:szCs w:val="18"/>
        </w:rPr>
        <w:footnoteRef/>
      </w:r>
      <w:r w:rsidRPr="00501BE0">
        <w:rPr>
          <w:rFonts w:ascii="Cambria" w:hAnsi="Cambria"/>
          <w:sz w:val="18"/>
          <w:szCs w:val="18"/>
        </w:rPr>
        <w:t xml:space="preserve"> Atbilstoši </w:t>
      </w:r>
      <w:r w:rsidR="00AF01C5">
        <w:rPr>
          <w:rFonts w:ascii="Cambria" w:hAnsi="Cambria"/>
          <w:sz w:val="18"/>
          <w:szCs w:val="18"/>
        </w:rPr>
        <w:t>MK</w:t>
      </w:r>
      <w:r w:rsidRPr="00501BE0">
        <w:rPr>
          <w:rFonts w:ascii="Cambria" w:hAnsi="Cambria"/>
          <w:sz w:val="18"/>
          <w:szCs w:val="18"/>
        </w:rPr>
        <w:t xml:space="preserve"> 2024. gada 7. jūnija rīkojumam Nr. 446 “Par Vides aizsardzības un reģionālās attīstības ministrijas un Klimata un enerģētikas ministrijas reorganizāciju” ar 2024. gada 1. jūliju Vides aizsardzības un reģionālās attīstības ministrijas nosaukums ir Viedās administrācijas un reģionālās attīstības ministrija.</w:t>
      </w:r>
    </w:p>
  </w:footnote>
  <w:footnote w:id="42">
    <w:p w14:paraId="5B131891" w14:textId="31FC557A" w:rsidR="00785C5A" w:rsidRDefault="003A4514">
      <w:pPr>
        <w:pStyle w:val="FootnoteText"/>
      </w:pPr>
      <w:r>
        <w:rPr>
          <w:rStyle w:val="FootnoteReference"/>
        </w:rPr>
        <w:footnoteRef/>
      </w:r>
      <w:r>
        <w:rPr>
          <w:rFonts w:ascii="Cambria" w:hAnsi="Cambria"/>
          <w:sz w:val="16"/>
          <w:szCs w:val="16"/>
        </w:rPr>
        <w:t> Klimata konvencijas Līgumslēdzēju pušu konferencē pieņemtām ziņošanas vadlīnijām par</w:t>
      </w:r>
      <w:r>
        <w:t xml:space="preserve"> </w:t>
      </w:r>
      <w:r>
        <w:rPr>
          <w:rFonts w:ascii="Cambria" w:hAnsi="Cambria"/>
          <w:sz w:val="16"/>
          <w:szCs w:val="16"/>
        </w:rPr>
        <w:t>nacionālām sistēmām un iesniedzamiem ziņojumiem (Lēmums 18/CMA.1 un Lēmums 5/CMA.3): </w:t>
      </w:r>
      <w:hyperlink r:id="rId32" w:history="1">
        <w:r w:rsidR="00785C5A" w:rsidRPr="007C05DC">
          <w:rPr>
            <w:rStyle w:val="Hyperlink"/>
            <w:rFonts w:ascii="Cambria" w:hAnsi="Cambria"/>
            <w:sz w:val="16"/>
            <w:szCs w:val="16"/>
          </w:rPr>
          <w:t>https://unfccc.int/sites/default/files/resource/CMA2018_03a02E.pdf</w:t>
        </w:r>
      </w:hyperlink>
      <w:r>
        <w:rPr>
          <w:rFonts w:ascii="Cambria" w:hAnsi="Cambria"/>
          <w:sz w:val="16"/>
          <w:szCs w:val="16"/>
        </w:rPr>
        <w:t xml:space="preserve"> , </w:t>
      </w:r>
      <w:hyperlink r:id="rId33" w:anchor="page=2" w:history="1">
        <w:r w:rsidR="00785C5A" w:rsidRPr="007C05DC">
          <w:rPr>
            <w:rStyle w:val="Hyperlink"/>
            <w:rFonts w:ascii="Cambria" w:hAnsi="Cambria"/>
            <w:sz w:val="16"/>
            <w:szCs w:val="16"/>
          </w:rPr>
          <w:t>https://unfccc.int/sites/default/files/resource/CMA2021_L10a2E.pdf#page=2</w:t>
        </w:r>
      </w:hyperlink>
    </w:p>
  </w:footnote>
  <w:footnote w:id="43">
    <w:p w14:paraId="761FA6BC" w14:textId="77777777" w:rsidR="003E6EAD" w:rsidRDefault="003A4514">
      <w:pPr>
        <w:pStyle w:val="FootnoteText"/>
      </w:pPr>
      <w:r>
        <w:rPr>
          <w:rStyle w:val="FootnoteReference"/>
        </w:rPr>
        <w:footnoteRef/>
      </w:r>
      <w:r>
        <w:rPr>
          <w:rFonts w:ascii="Cambria" w:hAnsi="Cambria"/>
          <w:sz w:val="16"/>
          <w:szCs w:val="16"/>
        </w:rPr>
        <w:t> Ziņojumā aprakstīta SEG emisiju un CO</w:t>
      </w:r>
      <w:r>
        <w:rPr>
          <w:rFonts w:ascii="Cambria" w:hAnsi="Cambria"/>
          <w:sz w:val="16"/>
          <w:szCs w:val="16"/>
          <w:vertAlign w:val="subscript"/>
        </w:rPr>
        <w:t>2</w:t>
      </w:r>
      <w:r>
        <w:rPr>
          <w:rFonts w:ascii="Cambria" w:hAnsi="Cambria"/>
          <w:sz w:val="16"/>
          <w:szCs w:val="16"/>
        </w:rPr>
        <w:t xml:space="preserve"> piesaistes aprēķinu gaita, izmantotie SEG emisiju faktori, darbību dati, pieņēmumi u.c. informācija par katru nozari atsevišķi. </w:t>
      </w:r>
    </w:p>
  </w:footnote>
  <w:footnote w:id="44">
    <w:p w14:paraId="05D8B567" w14:textId="4CCDAA62" w:rsidR="00785C5A" w:rsidRDefault="003A4514">
      <w:pPr>
        <w:pStyle w:val="FootnoteText"/>
      </w:pPr>
      <w:r>
        <w:rPr>
          <w:rStyle w:val="FootnoteReference"/>
        </w:rPr>
        <w:footnoteRef/>
      </w:r>
      <w:r>
        <w:rPr>
          <w:rFonts w:ascii="Cambria" w:hAnsi="Cambria"/>
          <w:sz w:val="16"/>
          <w:szCs w:val="16"/>
        </w:rPr>
        <w:t xml:space="preserve"> 2006. gada IPCC vadlīnijas nacionālo SEG inventarizāciju sagatavošanai: </w:t>
      </w:r>
      <w:hyperlink r:id="rId34" w:history="1">
        <w:r w:rsidR="00785C5A" w:rsidRPr="007C05DC">
          <w:rPr>
            <w:rStyle w:val="Hyperlink"/>
            <w:rFonts w:ascii="Cambria" w:hAnsi="Cambria"/>
            <w:sz w:val="16"/>
            <w:szCs w:val="16"/>
          </w:rPr>
          <w:t>http://www.ipcc-nggip.iges.or.jp/public/2006gl/</w:t>
        </w:r>
      </w:hyperlink>
    </w:p>
  </w:footnote>
  <w:footnote w:id="45">
    <w:p w14:paraId="266ABB28" w14:textId="7897B44A" w:rsidR="00CA4192" w:rsidRDefault="003A4514">
      <w:pPr>
        <w:pStyle w:val="FootnoteText"/>
      </w:pPr>
      <w:r>
        <w:rPr>
          <w:rStyle w:val="FootnoteReference"/>
        </w:rPr>
        <w:footnoteRef/>
      </w:r>
      <w:r>
        <w:rPr>
          <w:rFonts w:ascii="Cambria" w:hAnsi="Cambria"/>
          <w:sz w:val="16"/>
          <w:szCs w:val="16"/>
        </w:rPr>
        <w:t xml:space="preserve"> 2016. gada EMEP/EEA vadlīnijas: </w:t>
      </w:r>
      <w:hyperlink r:id="rId35" w:history="1">
        <w:r w:rsidR="00CA4192" w:rsidRPr="007C05DC">
          <w:rPr>
            <w:rStyle w:val="Hyperlink"/>
            <w:rFonts w:ascii="Cambria" w:hAnsi="Cambria"/>
            <w:sz w:val="16"/>
            <w:szCs w:val="16"/>
          </w:rPr>
          <w:t>https://www.eea.europa.eu/publications/emep-eea-guidebook-2016</w:t>
        </w:r>
      </w:hyperlink>
    </w:p>
  </w:footnote>
  <w:footnote w:id="46">
    <w:p w14:paraId="7D3B7AC7" w14:textId="267BAE24" w:rsidR="00CA4192" w:rsidRDefault="003A4514">
      <w:pPr>
        <w:pStyle w:val="FootnoteText"/>
      </w:pPr>
      <w:r>
        <w:rPr>
          <w:rStyle w:val="FootnoteReference"/>
        </w:rPr>
        <w:footnoteRef/>
      </w:r>
      <w:r>
        <w:rPr>
          <w:rFonts w:ascii="Cambria" w:hAnsi="Cambria"/>
          <w:sz w:val="16"/>
          <w:szCs w:val="16"/>
        </w:rPr>
        <w:t xml:space="preserve"> 2019. gada EMEP/EEA vadlīnijas: </w:t>
      </w:r>
      <w:hyperlink r:id="rId36" w:history="1">
        <w:r w:rsidR="00CA4192" w:rsidRPr="007C05DC">
          <w:rPr>
            <w:rStyle w:val="Hyperlink"/>
            <w:rFonts w:ascii="Cambria" w:hAnsi="Cambria"/>
            <w:sz w:val="16"/>
            <w:szCs w:val="16"/>
          </w:rPr>
          <w:t>https://www.eea.europa.eu/publications/emep-eea-guidebook-2019</w:t>
        </w:r>
      </w:hyperlink>
    </w:p>
  </w:footnote>
  <w:footnote w:id="47">
    <w:p w14:paraId="18558B8B" w14:textId="2DFD834E" w:rsidR="003E6EAD" w:rsidRDefault="003A4514">
      <w:pPr>
        <w:pStyle w:val="FootnoteText"/>
      </w:pPr>
      <w:r>
        <w:rPr>
          <w:rStyle w:val="FootnoteReference"/>
        </w:rPr>
        <w:footnoteRef/>
      </w:r>
      <w:r>
        <w:rPr>
          <w:rFonts w:ascii="Cambria" w:hAnsi="Cambria"/>
          <w:sz w:val="16"/>
          <w:szCs w:val="16"/>
        </w:rPr>
        <w:t xml:space="preserve"> Šāda aprēķinu pieeja attieksies arī uz ikgadējo un prognozēto SEG aprēķinu </w:t>
      </w:r>
      <w:r w:rsidR="00352854" w:rsidRPr="00352854">
        <w:rPr>
          <w:rFonts w:ascii="Cambria" w:hAnsi="Cambria"/>
          <w:sz w:val="16"/>
          <w:szCs w:val="16"/>
        </w:rPr>
        <w:t>Regula</w:t>
      </w:r>
      <w:r w:rsidR="00352854">
        <w:rPr>
          <w:rFonts w:ascii="Cambria" w:hAnsi="Cambria"/>
          <w:sz w:val="16"/>
          <w:szCs w:val="16"/>
        </w:rPr>
        <w:t>s</w:t>
      </w:r>
      <w:r w:rsidR="00352854" w:rsidRPr="00352854">
        <w:rPr>
          <w:rFonts w:ascii="Cambria" w:hAnsi="Cambria"/>
          <w:sz w:val="16"/>
          <w:szCs w:val="16"/>
        </w:rPr>
        <w:t xml:space="preserve"> 2018/842</w:t>
      </w:r>
      <w:r>
        <w:rPr>
          <w:rFonts w:ascii="Cambria" w:hAnsi="Cambria"/>
          <w:sz w:val="16"/>
          <w:szCs w:val="16"/>
        </w:rPr>
        <w:t xml:space="preserve"> ietvaros.</w:t>
      </w:r>
    </w:p>
  </w:footnote>
  <w:footnote w:id="48">
    <w:p w14:paraId="24D703D4" w14:textId="77777777" w:rsidR="003E6EAD" w:rsidRDefault="003A4514">
      <w:pPr>
        <w:pStyle w:val="FootnoteText"/>
      </w:pPr>
      <w:r>
        <w:rPr>
          <w:rStyle w:val="FootnoteReference"/>
        </w:rPr>
        <w:footnoteRef/>
      </w:r>
      <w:r>
        <w:rPr>
          <w:rFonts w:ascii="Cambria" w:hAnsi="Cambria"/>
          <w:sz w:val="16"/>
          <w:szCs w:val="16"/>
        </w:rPr>
        <w:t xml:space="preserve"> 1 kt – 1000 tonnas</w:t>
      </w:r>
    </w:p>
  </w:footnote>
  <w:footnote w:id="49">
    <w:p w14:paraId="4118D639" w14:textId="74D282EC" w:rsidR="00857CB6" w:rsidRDefault="003A4514">
      <w:pPr>
        <w:pStyle w:val="FootnoteText"/>
        <w:jc w:val="both"/>
      </w:pPr>
      <w:r>
        <w:rPr>
          <w:rStyle w:val="FootnoteReference"/>
        </w:rPr>
        <w:footnoteRef/>
      </w:r>
      <w:r>
        <w:rPr>
          <w:rFonts w:ascii="Cambria" w:hAnsi="Cambria"/>
          <w:sz w:val="16"/>
          <w:szCs w:val="16"/>
        </w:rPr>
        <w:t xml:space="preserve"> Informatīvajā ziņojumā informācija ir balstīta uz 2024. gadā </w:t>
      </w:r>
      <w:r w:rsidR="005B3DF2">
        <w:rPr>
          <w:rFonts w:ascii="Cambria" w:hAnsi="Cambria"/>
          <w:sz w:val="16"/>
          <w:szCs w:val="16"/>
        </w:rPr>
        <w:t>EK</w:t>
      </w:r>
      <w:r>
        <w:rPr>
          <w:rFonts w:ascii="Cambria" w:hAnsi="Cambria"/>
          <w:sz w:val="16"/>
          <w:szCs w:val="16"/>
        </w:rPr>
        <w:t xml:space="preserve"> iesniegto ziņojumu par SEG prognozēm, politiku un pasākumiem: </w:t>
      </w:r>
      <w:hyperlink r:id="rId37" w:history="1">
        <w:r w:rsidR="00857CB6" w:rsidRPr="007C05DC">
          <w:rPr>
            <w:rStyle w:val="Hyperlink"/>
            <w:rFonts w:ascii="Cambria" w:hAnsi="Cambria"/>
            <w:sz w:val="16"/>
            <w:szCs w:val="16"/>
          </w:rPr>
          <w:t>https://reportnet.europa.eu/public/dataflow/1057</w:t>
        </w:r>
      </w:hyperlink>
    </w:p>
  </w:footnote>
  <w:footnote w:id="50">
    <w:p w14:paraId="2455DCEB" w14:textId="745DAAFA" w:rsidR="00A60961" w:rsidRDefault="00A60961">
      <w:pPr>
        <w:pStyle w:val="FootnoteText"/>
      </w:pPr>
      <w:r>
        <w:rPr>
          <w:rStyle w:val="FootnoteReference"/>
        </w:rPr>
        <w:footnoteRef/>
      </w:r>
      <w:r>
        <w:t xml:space="preserve"> </w:t>
      </w:r>
      <w:r w:rsidRPr="0014681F">
        <w:rPr>
          <w:rFonts w:ascii="Cambria" w:hAnsi="Cambria"/>
          <w:sz w:val="18"/>
          <w:szCs w:val="18"/>
        </w:rPr>
        <w:t xml:space="preserve">Aptver vēsturisko informāciju par </w:t>
      </w:r>
      <w:r w:rsidR="0014681F" w:rsidRPr="0014681F">
        <w:rPr>
          <w:rFonts w:ascii="Cambria" w:hAnsi="Cambria"/>
          <w:sz w:val="18"/>
          <w:szCs w:val="18"/>
        </w:rPr>
        <w:t>1990. – 2022.gadu.</w:t>
      </w:r>
    </w:p>
  </w:footnote>
  <w:footnote w:id="51">
    <w:p w14:paraId="7C087BF7" w14:textId="77777777" w:rsidR="003E6EAD" w:rsidRDefault="003A4514">
      <w:pPr>
        <w:pStyle w:val="FootnoteText"/>
      </w:pPr>
      <w:r>
        <w:rPr>
          <w:rStyle w:val="FootnoteReference"/>
        </w:rPr>
        <w:footnoteRef/>
      </w:r>
      <w:r>
        <w:rPr>
          <w:rFonts w:ascii="Cambria" w:hAnsi="Cambria"/>
          <w:sz w:val="16"/>
          <w:szCs w:val="16"/>
        </w:rPr>
        <w:t xml:space="preserve"> 2024. gada SEG inventarizācija un 2030. gads scenārijam ar esošām politikām un pasākumiem, balstoties uz 2024. gada atjaunināto 2023. gada integrēto ziņojumu par SEG prognozēm, politiku un pasākumiem</w:t>
      </w:r>
    </w:p>
  </w:footnote>
  <w:footnote w:id="52">
    <w:p w14:paraId="6C88BDF2" w14:textId="77777777" w:rsidR="003E6EAD" w:rsidRDefault="003A4514">
      <w:pPr>
        <w:pStyle w:val="FootnoteText"/>
      </w:pPr>
      <w:r>
        <w:rPr>
          <w:rStyle w:val="FootnoteReference"/>
        </w:rPr>
        <w:footnoteRef/>
      </w:r>
      <w:r>
        <w:rPr>
          <w:rFonts w:ascii="Cambria" w:hAnsi="Cambria"/>
        </w:rPr>
        <w:t xml:space="preserve"> Arī 2023. gadā dominēja ne-ETS darbības ar 83 %, savukārt ES ETS – 17 %.</w:t>
      </w:r>
    </w:p>
  </w:footnote>
  <w:footnote w:id="53">
    <w:p w14:paraId="54EBD9A2" w14:textId="77777777" w:rsidR="003E6EAD" w:rsidRDefault="003A4514">
      <w:pPr>
        <w:pStyle w:val="FootnoteText"/>
      </w:pPr>
      <w:r>
        <w:rPr>
          <w:rStyle w:val="FootnoteReference"/>
        </w:rPr>
        <w:footnoteRef/>
      </w:r>
      <w:r>
        <w:rPr>
          <w:rFonts w:ascii="Cambria" w:hAnsi="Cambria"/>
          <w:sz w:val="16"/>
          <w:szCs w:val="16"/>
        </w:rPr>
        <w:t xml:space="preserve"> 2024. gada SEG inventarizācija un 2030. gads scenārijam ar esošām politikām un pasākumiem, balstoties uz  2024.gada atjaunoto 2023. gada integrēto ziņojumu par SEG prognozēm, politiku un pasākumiem</w:t>
      </w:r>
    </w:p>
  </w:footnote>
  <w:footnote w:id="54">
    <w:p w14:paraId="77090B44" w14:textId="77777777" w:rsidR="003E6EAD" w:rsidRDefault="003A4514">
      <w:pPr>
        <w:pStyle w:val="FootnoteText"/>
        <w:jc w:val="both"/>
      </w:pPr>
      <w:r>
        <w:rPr>
          <w:rStyle w:val="FootnoteReference"/>
        </w:rPr>
        <w:footnoteRef/>
      </w:r>
      <w:r>
        <w:rPr>
          <w:rFonts w:ascii="Cambria" w:hAnsi="Cambria"/>
          <w:sz w:val="16"/>
          <w:szCs w:val="16"/>
        </w:rPr>
        <w:t> 2024. gada SEG inventarizācija, aptuvenā SEG inventarizācija par 2023. gadu, 2024.gada atjauninātais 2023. gada integrētais ziņojums par politikām, pasākumiem un SEG prognozēm.</w:t>
      </w:r>
    </w:p>
  </w:footnote>
  <w:footnote w:id="55">
    <w:p w14:paraId="310233BA" w14:textId="77777777" w:rsidR="003E6EAD" w:rsidRDefault="003A4514">
      <w:pPr>
        <w:pStyle w:val="FootnoteText"/>
        <w:jc w:val="both"/>
      </w:pPr>
      <w:r>
        <w:rPr>
          <w:rStyle w:val="FootnoteReference"/>
        </w:rPr>
        <w:footnoteRef/>
      </w:r>
      <w:r>
        <w:rPr>
          <w:rFonts w:ascii="Cambria" w:hAnsi="Cambria"/>
          <w:sz w:val="16"/>
          <w:szCs w:val="16"/>
        </w:rPr>
        <w:t> 2024. gada SEG inventarizācija; aptuvenā SEG inventarizācija par 2023. gadu.</w:t>
      </w:r>
    </w:p>
  </w:footnote>
  <w:footnote w:id="56">
    <w:p w14:paraId="3C874282" w14:textId="77777777" w:rsidR="003E6EAD" w:rsidRDefault="003A4514">
      <w:pPr>
        <w:pStyle w:val="FootnoteText"/>
        <w:jc w:val="both"/>
      </w:pPr>
      <w:r>
        <w:rPr>
          <w:rStyle w:val="FootnoteReference"/>
        </w:rPr>
        <w:footnoteRef/>
      </w:r>
      <w:r>
        <w:rPr>
          <w:rStyle w:val="FootnoteReference"/>
          <w:rFonts w:ascii="Cambria" w:hAnsi="Cambria"/>
          <w:sz w:val="16"/>
          <w:szCs w:val="16"/>
          <w:vertAlign w:val="baseline"/>
        </w:rPr>
        <w:t xml:space="preserve"> Kurināmā gaistošās emisijas, ne-ETS enerģētikas emisijas no enerģētikas nozarēm, apstrādes būvniecības un rūpniecības, komerciālā un sabiedriskā sektora,</w:t>
      </w:r>
      <w:r>
        <w:rPr>
          <w:rFonts w:ascii="Cambria" w:hAnsi="Cambria"/>
          <w:sz w:val="16"/>
          <w:szCs w:val="16"/>
        </w:rPr>
        <w:t xml:space="preserve"> </w:t>
      </w:r>
      <w:r>
        <w:rPr>
          <w:rStyle w:val="FootnoteReference"/>
          <w:rFonts w:ascii="Cambria" w:hAnsi="Cambria"/>
          <w:sz w:val="16"/>
          <w:szCs w:val="16"/>
          <w:vertAlign w:val="baseline"/>
        </w:rPr>
        <w:t>lauksaimniecības/mežsaimniecības un zivsaimniecības sektora, kā arī ne-ETS emisijas no sektora "Citi"</w:t>
      </w:r>
      <w:r>
        <w:rPr>
          <w:rFonts w:ascii="Cambria" w:hAnsi="Cambria"/>
          <w:sz w:val="16"/>
          <w:szCs w:val="16"/>
        </w:rPr>
        <w:t>.</w:t>
      </w:r>
    </w:p>
  </w:footnote>
  <w:footnote w:id="57">
    <w:p w14:paraId="5FA5EB7E" w14:textId="6FC6931C" w:rsidR="00DF482F" w:rsidRDefault="00DF482F" w:rsidP="00BC7AAB">
      <w:pPr>
        <w:pStyle w:val="FootnoteText"/>
        <w:jc w:val="both"/>
      </w:pPr>
      <w:r w:rsidRPr="00BC7AAB">
        <w:rPr>
          <w:rStyle w:val="FootnoteReference"/>
          <w:rFonts w:ascii="Cambria" w:hAnsi="Cambria"/>
          <w:sz w:val="16"/>
          <w:szCs w:val="16"/>
          <w:vertAlign w:val="baseline"/>
        </w:rPr>
        <w:footnoteRef/>
      </w:r>
      <w:r w:rsidR="009E5421" w:rsidRPr="00BC7AAB">
        <w:rPr>
          <w:rStyle w:val="FootnoteReference"/>
          <w:rFonts w:ascii="Cambria" w:hAnsi="Cambria"/>
          <w:sz w:val="16"/>
          <w:szCs w:val="16"/>
          <w:vertAlign w:val="baseline"/>
        </w:rPr>
        <w:t xml:space="preserve"> Informāci</w:t>
      </w:r>
      <w:r w:rsidR="00086E61" w:rsidRPr="00BC7AAB">
        <w:rPr>
          <w:rStyle w:val="FootnoteReference"/>
          <w:rFonts w:ascii="Cambria" w:hAnsi="Cambria"/>
          <w:sz w:val="16"/>
          <w:szCs w:val="16"/>
          <w:vertAlign w:val="baseline"/>
        </w:rPr>
        <w:t xml:space="preserve">ja sagatavota atbilstoši </w:t>
      </w:r>
      <w:r w:rsidR="00BC7AAB" w:rsidRPr="00BC7AAB">
        <w:rPr>
          <w:rStyle w:val="FootnoteReference"/>
          <w:rFonts w:ascii="Cambria" w:hAnsi="Cambria"/>
          <w:sz w:val="16"/>
          <w:szCs w:val="16"/>
          <w:vertAlign w:val="baseline"/>
        </w:rPr>
        <w:t>Ministru kabineta 2022. gada 25. oktobra noteikumiem Nr. 675 "Siltumnīcefekta gāzu inventarizācijas sistēmas, prognožu sistēmas un sistēmas ziņošanai par pielāgošanos klimata pārmaiņām izveidošanas un uzturēšanas kārtība".</w:t>
      </w:r>
    </w:p>
  </w:footnote>
  <w:footnote w:id="58">
    <w:p w14:paraId="27156DB3" w14:textId="678E8B33" w:rsidR="00740B21" w:rsidRPr="00740B21" w:rsidRDefault="007C567A">
      <w:pPr>
        <w:pStyle w:val="FootnoteText"/>
        <w:rPr>
          <w:rFonts w:ascii="Cambria" w:hAnsi="Cambria"/>
        </w:rPr>
      </w:pPr>
      <w:r w:rsidRPr="00740B21">
        <w:rPr>
          <w:rStyle w:val="FootnoteReference"/>
          <w:rFonts w:ascii="Cambria" w:hAnsi="Cambria"/>
          <w:sz w:val="18"/>
          <w:szCs w:val="18"/>
        </w:rPr>
        <w:footnoteRef/>
      </w:r>
      <w:r w:rsidRPr="00740B21">
        <w:rPr>
          <w:rFonts w:ascii="Cambria" w:hAnsi="Cambria"/>
          <w:sz w:val="18"/>
          <w:szCs w:val="18"/>
        </w:rPr>
        <w:t xml:space="preserve"> </w:t>
      </w:r>
      <w:r w:rsidRPr="00672110">
        <w:rPr>
          <w:rFonts w:ascii="Cambria" w:hAnsi="Cambria"/>
          <w:sz w:val="18"/>
          <w:szCs w:val="18"/>
        </w:rPr>
        <w:t xml:space="preserve">2024. gada atjauninātais 2023. gada integrētais ziņojums par politikām, pasākumiem un SEG prognozēm pieejams: </w:t>
      </w:r>
      <w:hyperlink r:id="rId38" w:history="1">
        <w:r w:rsidR="00740B21" w:rsidRPr="00672110">
          <w:rPr>
            <w:rStyle w:val="Hyperlink"/>
            <w:rFonts w:ascii="Cambria" w:hAnsi="Cambria"/>
            <w:sz w:val="18"/>
            <w:szCs w:val="18"/>
          </w:rPr>
          <w:t>https://reportnet.europa.eu/public/country/LV</w:t>
        </w:r>
      </w:hyperlink>
    </w:p>
  </w:footnote>
  <w:footnote w:id="59">
    <w:p w14:paraId="2C0F4A32" w14:textId="01417733" w:rsidR="003E6EAD" w:rsidRDefault="003A4514">
      <w:pPr>
        <w:pStyle w:val="FootnoteText"/>
        <w:jc w:val="both"/>
      </w:pPr>
      <w:r>
        <w:rPr>
          <w:rStyle w:val="FootnoteReference"/>
        </w:rPr>
        <w:footnoteRef/>
      </w:r>
      <w:r>
        <w:rPr>
          <w:rFonts w:ascii="Cambria" w:hAnsi="Cambria"/>
          <w:sz w:val="16"/>
          <w:szCs w:val="16"/>
        </w:rPr>
        <w:t xml:space="preserve"> Ikgadējie emisiju sadales apjomi (ne-ETS sektora mērķis, GES) 2021., 2022., un 2005.gads ir noteikti saskaņā ar</w:t>
      </w:r>
      <w:r w:rsidR="007F46D9">
        <w:rPr>
          <w:rFonts w:ascii="Cambria" w:hAnsi="Cambria"/>
          <w:sz w:val="16"/>
          <w:szCs w:val="16"/>
        </w:rPr>
        <w:t xml:space="preserve"> </w:t>
      </w:r>
      <w:r w:rsidR="009F5590">
        <w:rPr>
          <w:rFonts w:ascii="Cambria" w:hAnsi="Cambria"/>
          <w:sz w:val="16"/>
          <w:szCs w:val="16"/>
        </w:rPr>
        <w:t xml:space="preserve">Regulas </w:t>
      </w:r>
      <w:r w:rsidR="00FE710E">
        <w:rPr>
          <w:rFonts w:ascii="Cambria" w:hAnsi="Cambria"/>
          <w:sz w:val="16"/>
          <w:szCs w:val="16"/>
        </w:rPr>
        <w:t>2018/842</w:t>
      </w:r>
      <w:r>
        <w:rPr>
          <w:rFonts w:ascii="Cambria" w:hAnsi="Cambria"/>
          <w:sz w:val="16"/>
          <w:szCs w:val="16"/>
        </w:rPr>
        <w:t xml:space="preserve"> grozījumiem (</w:t>
      </w:r>
      <w:hyperlink r:id="rId39" w:history="1">
        <w:r>
          <w:rPr>
            <w:rStyle w:val="Hyperlink"/>
            <w:rFonts w:ascii="Cambria" w:hAnsi="Cambria"/>
            <w:sz w:val="16"/>
            <w:szCs w:val="16"/>
          </w:rPr>
          <w:t>https://eur-lex.europa.eu/eli/reg/2023/857</w:t>
        </w:r>
      </w:hyperlink>
      <w:r>
        <w:rPr>
          <w:rFonts w:ascii="Cambria" w:hAnsi="Cambria"/>
          <w:sz w:val="16"/>
          <w:szCs w:val="16"/>
        </w:rPr>
        <w:t>)</w:t>
      </w:r>
      <w:r w:rsidR="009F5590">
        <w:rPr>
          <w:rFonts w:ascii="Cambria" w:hAnsi="Cambria"/>
          <w:sz w:val="16"/>
          <w:szCs w:val="16"/>
        </w:rPr>
        <w:t xml:space="preserve"> un </w:t>
      </w:r>
      <w:r w:rsidR="009306DC" w:rsidRPr="009306DC">
        <w:rPr>
          <w:rFonts w:ascii="Cambria" w:hAnsi="Cambria"/>
          <w:sz w:val="16"/>
          <w:szCs w:val="16"/>
        </w:rPr>
        <w:t>Komisijas 2020. gada 16. decembra Īstenošanas Lēmumu (ES) Nr. 2020/2126 par dalībvalstu ikgadējo emisiju sadales apjomu noteikšanu 2021.–2030. gada periodam saskaņā ar Eiropas Parlamenta un Padomes Regulu (ES) 2018/842 (turpmāk - lēmums 2020/2126</w:t>
      </w:r>
      <w:r w:rsidR="009306DC">
        <w:rPr>
          <w:rFonts w:ascii="Cambria" w:hAnsi="Cambria"/>
          <w:sz w:val="16"/>
          <w:szCs w:val="16"/>
        </w:rPr>
        <w:t xml:space="preserve">), </w:t>
      </w:r>
      <w:r>
        <w:rPr>
          <w:rFonts w:ascii="Cambria" w:hAnsi="Cambria"/>
          <w:sz w:val="16"/>
          <w:szCs w:val="16"/>
        </w:rPr>
        <w:t>savukārt 2023-2025.gada ne-ETS sektora mērķi ir noteikti, balstoties uz lēmuma 2020/2126 grozījumiem (</w:t>
      </w:r>
      <w:hyperlink r:id="rId40" w:anchor="ntr3-L_2023163LV.01000901-E0003" w:history="1">
        <w:r w:rsidRPr="008F31A2">
          <w:rPr>
            <w:rStyle w:val="Hyperlink"/>
            <w:rFonts w:ascii="Cambria" w:hAnsi="Cambria"/>
            <w:i/>
            <w:iCs/>
            <w:sz w:val="16"/>
            <w:szCs w:val="16"/>
          </w:rPr>
          <w:t>Komisijas</w:t>
        </w:r>
        <w:r w:rsidR="00D43BF1" w:rsidRPr="008F31A2">
          <w:rPr>
            <w:rStyle w:val="Hyperlink"/>
            <w:rFonts w:ascii="Cambria" w:hAnsi="Cambria"/>
            <w:i/>
            <w:iCs/>
            <w:sz w:val="16"/>
            <w:szCs w:val="16"/>
          </w:rPr>
          <w:t xml:space="preserve"> 2023.gada 28.</w:t>
        </w:r>
        <w:r w:rsidR="00B679AA" w:rsidRPr="008F31A2">
          <w:rPr>
            <w:rStyle w:val="Hyperlink"/>
            <w:rFonts w:ascii="Cambria" w:hAnsi="Cambria"/>
            <w:i/>
            <w:iCs/>
            <w:sz w:val="16"/>
            <w:szCs w:val="16"/>
          </w:rPr>
          <w:t xml:space="preserve"> </w:t>
        </w:r>
        <w:r w:rsidR="00D43BF1" w:rsidRPr="008F31A2">
          <w:rPr>
            <w:rStyle w:val="Hyperlink"/>
            <w:rFonts w:ascii="Cambria" w:hAnsi="Cambria"/>
            <w:i/>
            <w:iCs/>
            <w:sz w:val="16"/>
            <w:szCs w:val="16"/>
          </w:rPr>
          <w:t xml:space="preserve">jūnija </w:t>
        </w:r>
        <w:r w:rsidR="00DB5A94">
          <w:rPr>
            <w:rStyle w:val="Hyperlink"/>
            <w:rFonts w:ascii="Cambria" w:hAnsi="Cambria"/>
            <w:i/>
            <w:iCs/>
            <w:sz w:val="16"/>
            <w:szCs w:val="16"/>
          </w:rPr>
          <w:t>Ī</w:t>
        </w:r>
        <w:r w:rsidRPr="008F31A2">
          <w:rPr>
            <w:rStyle w:val="Hyperlink"/>
            <w:rFonts w:ascii="Cambria" w:hAnsi="Cambria"/>
            <w:i/>
            <w:iCs/>
            <w:sz w:val="16"/>
            <w:szCs w:val="16"/>
          </w:rPr>
          <w:t xml:space="preserve">stenošanas lēmums (ES) </w:t>
        </w:r>
        <w:r w:rsidR="00D43BF1" w:rsidRPr="008F31A2">
          <w:rPr>
            <w:rStyle w:val="Hyperlink"/>
            <w:rFonts w:ascii="Cambria" w:hAnsi="Cambria"/>
            <w:i/>
            <w:iCs/>
            <w:sz w:val="16"/>
            <w:szCs w:val="16"/>
          </w:rPr>
          <w:t xml:space="preserve">Nr. </w:t>
        </w:r>
        <w:r w:rsidRPr="008F31A2">
          <w:rPr>
            <w:rStyle w:val="Hyperlink"/>
            <w:rFonts w:ascii="Cambria" w:hAnsi="Cambria"/>
            <w:i/>
            <w:iCs/>
            <w:sz w:val="16"/>
            <w:szCs w:val="16"/>
          </w:rPr>
          <w:t>2023/1319</w:t>
        </w:r>
      </w:hyperlink>
      <w:r w:rsidRPr="008F31A2">
        <w:rPr>
          <w:rFonts w:ascii="Cambria" w:hAnsi="Cambria"/>
          <w:i/>
          <w:iCs/>
          <w:sz w:val="16"/>
          <w:szCs w:val="16"/>
        </w:rPr>
        <w:t xml:space="preserve"> ar ko groza Īstenošanas lēmumu (ES) 2020/2126, lai pārskatītu dalībvalstu ikgadējo emisiju sadales apjomu 2023.–2030. gada periodam</w:t>
      </w:r>
      <w:r>
        <w:rPr>
          <w:rFonts w:ascii="Cambria" w:hAnsi="Cambria"/>
          <w:sz w:val="16"/>
          <w:szCs w:val="16"/>
        </w:rPr>
        <w:t>). Savukārt 2026.-2029.gada indikatīvie mērķi ir noteikti, balstoties uz LVĢMC aprēķiniem, ņemot vērā EK noteikto metodiku Regulā 2018/842, jo ne-ETS sektora mērķi katrai dalībvalstij no 2026. līdz 2030. gadam tiks noteikti, pamatojoties uz lineāru trajektoriju, kas katrai dalībvalstij sākas no 2021., 2022. un 2023. gada SEG emisiju vidējās vērtības. Šāda vidējā vērtība tiks noteikta pēc dalībvalstu iesniegto 2021., 2022. un 2023. gada SEG inventarizācijas datu visaptverošas pārbaudes, kuru veiks EK sadarbībā ar Eiropas Vides aģentūru 2025. gadā. Līdz šīs visaptverošās pārskatīšanas pabeigšanai AEA 2026.-2030. gadam netiks noteikti.</w:t>
      </w:r>
    </w:p>
  </w:footnote>
  <w:footnote w:id="60">
    <w:p w14:paraId="619E3941" w14:textId="77777777" w:rsidR="003E6EAD" w:rsidRDefault="003A4514">
      <w:pPr>
        <w:pStyle w:val="FootnoteText"/>
        <w:jc w:val="both"/>
      </w:pPr>
      <w:r>
        <w:rPr>
          <w:rStyle w:val="FootnoteReference"/>
        </w:rPr>
        <w:footnoteRef/>
      </w:r>
      <w:r>
        <w:rPr>
          <w:rFonts w:ascii="Cambria" w:hAnsi="Cambria"/>
          <w:sz w:val="16"/>
          <w:szCs w:val="16"/>
        </w:rPr>
        <w:t xml:space="preserve"> Izpildes vērtība ar negatīvu zīmi nozīmē ikgadēji noteikto emisiju sadales apjomu neizpildi, savukārt pozitīva vērtība nozīmē  ikgadējo emisiju sadales apjoma izpildi vai pārpildi.</w:t>
      </w:r>
    </w:p>
  </w:footnote>
  <w:footnote w:id="61">
    <w:p w14:paraId="0E074B55" w14:textId="77777777" w:rsidR="003E6EAD" w:rsidRDefault="003A4514">
      <w:pPr>
        <w:pStyle w:val="FootnoteText"/>
        <w:jc w:val="both"/>
      </w:pPr>
      <w:r>
        <w:rPr>
          <w:rStyle w:val="FootnoteReference"/>
        </w:rPr>
        <w:footnoteRef/>
      </w:r>
      <w:r>
        <w:rPr>
          <w:rFonts w:ascii="Cambria" w:hAnsi="Cambria"/>
          <w:sz w:val="16"/>
          <w:szCs w:val="16"/>
        </w:rPr>
        <w:t xml:space="preserve"> 2024. gada SEG inventarizācija</w:t>
      </w:r>
    </w:p>
  </w:footnote>
  <w:footnote w:id="62">
    <w:p w14:paraId="48E1B1C1" w14:textId="77777777" w:rsidR="003E6EAD" w:rsidRDefault="003A4514">
      <w:pPr>
        <w:pStyle w:val="FootnoteText"/>
        <w:jc w:val="both"/>
      </w:pPr>
      <w:r>
        <w:rPr>
          <w:rStyle w:val="FootnoteReference"/>
        </w:rPr>
        <w:footnoteRef/>
      </w:r>
      <w:r>
        <w:rPr>
          <w:rFonts w:ascii="Cambria" w:hAnsi="Cambria"/>
          <w:sz w:val="16"/>
          <w:szCs w:val="16"/>
        </w:rPr>
        <w:t xml:space="preserve"> 2024. gada SEG inventarizācija</w:t>
      </w:r>
    </w:p>
  </w:footnote>
  <w:footnote w:id="63">
    <w:p w14:paraId="156D0398" w14:textId="77777777" w:rsidR="003E6EAD" w:rsidRDefault="003A4514">
      <w:pPr>
        <w:pStyle w:val="FootnoteText"/>
        <w:jc w:val="both"/>
      </w:pPr>
      <w:r>
        <w:rPr>
          <w:rStyle w:val="FootnoteReference"/>
        </w:rPr>
        <w:footnoteRef/>
      </w:r>
      <w:r>
        <w:rPr>
          <w:rFonts w:ascii="Cambria" w:hAnsi="Cambria"/>
          <w:sz w:val="16"/>
          <w:szCs w:val="16"/>
        </w:rPr>
        <w:t xml:space="preserve"> </w:t>
      </w:r>
      <w:hyperlink r:id="rId41" w:history="1">
        <w:r>
          <w:rPr>
            <w:rStyle w:val="Hyperlink"/>
            <w:rFonts w:ascii="Cambria" w:hAnsi="Cambria"/>
            <w:color w:val="auto"/>
            <w:sz w:val="16"/>
            <w:szCs w:val="16"/>
            <w:u w:val="none"/>
          </w:rPr>
          <w:t>2024. gada</w:t>
        </w:r>
      </w:hyperlink>
      <w:r>
        <w:rPr>
          <w:rFonts w:ascii="Cambria" w:hAnsi="Cambria"/>
          <w:sz w:val="16"/>
          <w:szCs w:val="16"/>
        </w:rPr>
        <w:t xml:space="preserve"> aptuvenā SEG inventarizācija par 2023. gadu.</w:t>
      </w:r>
    </w:p>
  </w:footnote>
  <w:footnote w:id="64">
    <w:p w14:paraId="122FA6D4" w14:textId="77777777" w:rsidR="003E6EAD" w:rsidRDefault="003A4514">
      <w:pPr>
        <w:spacing w:after="0"/>
        <w:jc w:val="both"/>
      </w:pPr>
      <w:r>
        <w:rPr>
          <w:rStyle w:val="FootnoteReference"/>
        </w:rPr>
        <w:footnoteRef/>
      </w:r>
      <w:r>
        <w:rPr>
          <w:rFonts w:ascii="Cambria" w:hAnsi="Cambria"/>
          <w:sz w:val="16"/>
          <w:szCs w:val="16"/>
          <w:vertAlign w:val="superscript"/>
        </w:rPr>
        <w:t xml:space="preserve"> </w:t>
      </w:r>
      <w:r>
        <w:rPr>
          <w:rFonts w:ascii="Cambria" w:hAnsi="Cambria"/>
          <w:sz w:val="16"/>
          <w:szCs w:val="16"/>
        </w:rPr>
        <w:t>Sākot no 2024.gada, izmantoti dati no 2024. gada atjaunotā 2023. gada integrētā ziņojuma par politikām, pasākumiem un SEG prognozēm: https://reportnet.europa.eu/public/country/LV</w:t>
      </w:r>
    </w:p>
  </w:footnote>
  <w:footnote w:id="65">
    <w:p w14:paraId="5C3CFC6E" w14:textId="749A7A4B" w:rsidR="00740B21" w:rsidRDefault="003A4514">
      <w:pPr>
        <w:pStyle w:val="FootnoteText"/>
        <w:jc w:val="both"/>
      </w:pPr>
      <w:r>
        <w:rPr>
          <w:rStyle w:val="FootnoteReference"/>
        </w:rPr>
        <w:footnoteRef/>
      </w:r>
      <w:r>
        <w:rPr>
          <w:rFonts w:ascii="Cambria" w:hAnsi="Cambria"/>
          <w:sz w:val="16"/>
          <w:szCs w:val="16"/>
        </w:rPr>
        <w:t xml:space="preserve"> 2024. gada atjauninātais </w:t>
      </w:r>
      <w:r>
        <w:rPr>
          <w:rFonts w:ascii="Cambria" w:hAnsi="Cambria"/>
          <w:sz w:val="16"/>
          <w:szCs w:val="16"/>
          <w:shd w:val="clear" w:color="auto" w:fill="FFFFFF"/>
        </w:rPr>
        <w:t xml:space="preserve">2023. gada integrētais ziņojums par politikām, pasākumiem un SEG prognozēm pieejams: </w:t>
      </w:r>
      <w:hyperlink r:id="rId42" w:history="1">
        <w:r w:rsidR="00740B21" w:rsidRPr="007C05DC">
          <w:rPr>
            <w:rStyle w:val="Hyperlink"/>
            <w:rFonts w:ascii="Cambria" w:hAnsi="Cambria"/>
            <w:sz w:val="16"/>
            <w:szCs w:val="16"/>
            <w:shd w:val="clear" w:color="auto" w:fill="FFFFFF"/>
          </w:rPr>
          <w:t>https://reportnet.europa.eu/public/country/LV</w:t>
        </w:r>
      </w:hyperlink>
    </w:p>
  </w:footnote>
  <w:footnote w:id="66">
    <w:p w14:paraId="140D622F" w14:textId="2422BE0D" w:rsidR="00206C50" w:rsidRDefault="003A4514">
      <w:pPr>
        <w:pStyle w:val="FootnoteText"/>
      </w:pPr>
      <w:r>
        <w:rPr>
          <w:rStyle w:val="FootnoteReference"/>
        </w:rPr>
        <w:footnoteRef/>
      </w:r>
      <w:r>
        <w:rPr>
          <w:rFonts w:ascii="Cambria" w:hAnsi="Cambria"/>
          <w:sz w:val="16"/>
          <w:szCs w:val="16"/>
        </w:rPr>
        <w:t xml:space="preserve"> EK 2024. gada progresa ziņojums “</w:t>
      </w:r>
      <w:r>
        <w:rPr>
          <w:rFonts w:ascii="Cambria" w:hAnsi="Cambria"/>
          <w:i/>
          <w:iCs/>
          <w:sz w:val="16"/>
          <w:szCs w:val="16"/>
        </w:rPr>
        <w:t>Climate Action</w:t>
      </w:r>
      <w:r>
        <w:rPr>
          <w:rFonts w:ascii="Cambria" w:hAnsi="Cambria"/>
          <w:sz w:val="16"/>
          <w:szCs w:val="16"/>
        </w:rPr>
        <w:t xml:space="preserve">” </w:t>
      </w:r>
      <w:hyperlink r:id="rId43" w:history="1">
        <w:r w:rsidR="00206C50" w:rsidRPr="007C05DC">
          <w:rPr>
            <w:rStyle w:val="Hyperlink"/>
            <w:rFonts w:ascii="Cambria" w:hAnsi="Cambria"/>
            <w:sz w:val="16"/>
            <w:szCs w:val="16"/>
          </w:rPr>
          <w:t>https://climate.ec.europa.eu/document/download/d0671350-37f2-4bc4-88e8-088d0508fb03_en</w:t>
        </w:r>
      </w:hyperlink>
    </w:p>
  </w:footnote>
  <w:footnote w:id="67">
    <w:p w14:paraId="29361D14" w14:textId="77777777" w:rsidR="003E6EAD" w:rsidRDefault="003A4514">
      <w:pPr>
        <w:pStyle w:val="FootnoteText"/>
      </w:pPr>
      <w:r>
        <w:rPr>
          <w:rStyle w:val="FootnoteReference"/>
        </w:rPr>
        <w:footnoteRef/>
      </w:r>
      <w:r>
        <w:rPr>
          <w:rFonts w:ascii="Cambria" w:hAnsi="Cambria"/>
          <w:sz w:val="16"/>
          <w:szCs w:val="16"/>
        </w:rPr>
        <w:t xml:space="preserve"> Saskaņā ar Regulas 2018/841 uzskaites noteikumiem (bāzes perioda (2005–2009) vidējā vērtība saskaņā ar Regulas 2018/841 7. panta 1. punktu līdz 7. panta 3. punktu. Lai aprēķinātu bāzes perioda vērtības, tika veikta vēsturisko datu (2005-2009) pārrēķins pa uzskaites kategorijām.</w:t>
      </w:r>
    </w:p>
  </w:footnote>
  <w:footnote w:id="68">
    <w:p w14:paraId="1C06426A" w14:textId="77777777" w:rsidR="003E6EAD" w:rsidRDefault="003A4514">
      <w:pPr>
        <w:pStyle w:val="FootnoteText"/>
      </w:pPr>
      <w:r>
        <w:rPr>
          <w:rStyle w:val="FootnoteReference"/>
        </w:rPr>
        <w:footnoteRef/>
      </w:r>
      <w:r>
        <w:rPr>
          <w:rFonts w:ascii="Cambria" w:hAnsi="Cambria"/>
          <w:sz w:val="16"/>
          <w:szCs w:val="16"/>
        </w:rPr>
        <w:t xml:space="preserve"> Emisijas norāda kā pozitīvas vērtības (+), piesaisti norāda kā negatīvas vērtības (-).</w:t>
      </w:r>
    </w:p>
  </w:footnote>
  <w:footnote w:id="69">
    <w:p w14:paraId="372E8E30" w14:textId="77777777" w:rsidR="003E6EAD" w:rsidRDefault="003A4514">
      <w:pPr>
        <w:pStyle w:val="FootnoteText"/>
      </w:pPr>
      <w:r>
        <w:rPr>
          <w:rStyle w:val="FootnoteReference"/>
        </w:rPr>
        <w:footnoteRef/>
      </w:r>
      <w:r>
        <w:rPr>
          <w:rFonts w:ascii="Cambria" w:hAnsi="Cambria"/>
          <w:sz w:val="16"/>
          <w:szCs w:val="16"/>
        </w:rPr>
        <w:t xml:space="preserve"> Saskaņā ar Regulas 2018/841uzskaites noteikumiem.</w:t>
      </w:r>
    </w:p>
  </w:footnote>
  <w:footnote w:id="70">
    <w:p w14:paraId="10118B53" w14:textId="77777777" w:rsidR="003E6EAD" w:rsidRDefault="003A4514">
      <w:pPr>
        <w:pStyle w:val="FootnoteText"/>
      </w:pPr>
      <w:r>
        <w:rPr>
          <w:rStyle w:val="FootnoteReference"/>
        </w:rPr>
        <w:footnoteRef/>
      </w:r>
      <w:r>
        <w:rPr>
          <w:rFonts w:ascii="Cambria" w:hAnsi="Cambria"/>
          <w:sz w:val="16"/>
          <w:szCs w:val="16"/>
        </w:rPr>
        <w:t xml:space="preserve"> Pēc 2023.gada SEG inventarizācijas, veicot papildus pārrēķinu pa uzskaites kategorijām.</w:t>
      </w:r>
    </w:p>
  </w:footnote>
  <w:footnote w:id="71">
    <w:p w14:paraId="0C1AB85C" w14:textId="77777777" w:rsidR="003E6EAD" w:rsidRDefault="003A4514">
      <w:pPr>
        <w:pStyle w:val="FootnoteText"/>
      </w:pPr>
      <w:r>
        <w:rPr>
          <w:rStyle w:val="FootnoteReference"/>
        </w:rPr>
        <w:footnoteRef/>
      </w:r>
      <w:r>
        <w:rPr>
          <w:rFonts w:ascii="Cambria" w:hAnsi="Cambria"/>
          <w:sz w:val="16"/>
          <w:szCs w:val="16"/>
        </w:rPr>
        <w:t xml:space="preserve"> Sākot no 2022.gada izmantots 2023. gada ziņojums par politikām, pasākumiem un SEG prognozēm</w:t>
      </w:r>
    </w:p>
  </w:footnote>
  <w:footnote w:id="72">
    <w:p w14:paraId="781F66A7" w14:textId="77777777" w:rsidR="003E6EAD" w:rsidRDefault="003A4514">
      <w:pPr>
        <w:pStyle w:val="FootnoteText"/>
      </w:pPr>
      <w:r>
        <w:rPr>
          <w:rStyle w:val="FootnoteReference"/>
        </w:rPr>
        <w:footnoteRef/>
      </w:r>
      <w:r>
        <w:rPr>
          <w:rFonts w:ascii="Cambria" w:hAnsi="Cambria"/>
          <w:sz w:val="16"/>
          <w:szCs w:val="16"/>
        </w:rPr>
        <w:t xml:space="preserve"> Kumulatīvās neto emisijas un piesaistījumi visos atbilstības perioda gados.</w:t>
      </w:r>
    </w:p>
  </w:footnote>
  <w:footnote w:id="73">
    <w:p w14:paraId="67B20E93" w14:textId="2F888F39" w:rsidR="003E6EAD" w:rsidRDefault="003A4514">
      <w:pPr>
        <w:pStyle w:val="FootnoteText"/>
      </w:pPr>
      <w:r>
        <w:rPr>
          <w:rStyle w:val="FootnoteReference"/>
        </w:rPr>
        <w:footnoteRef/>
      </w:r>
      <w:r>
        <w:rPr>
          <w:rFonts w:ascii="Cambria" w:hAnsi="Cambria"/>
          <w:sz w:val="16"/>
          <w:szCs w:val="16"/>
        </w:rPr>
        <w:t xml:space="preserve"> Komisijas 2020. gada 28. oktobra deleģētā regula (ES) </w:t>
      </w:r>
      <w:r w:rsidR="00022F63">
        <w:rPr>
          <w:rFonts w:ascii="Cambria" w:hAnsi="Cambria"/>
          <w:sz w:val="16"/>
          <w:szCs w:val="16"/>
        </w:rPr>
        <w:t xml:space="preserve">Nr. </w:t>
      </w:r>
      <w:r>
        <w:rPr>
          <w:rFonts w:ascii="Cambria" w:hAnsi="Cambria"/>
          <w:sz w:val="16"/>
          <w:szCs w:val="16"/>
        </w:rPr>
        <w:t>2021/268 ar ko attiecībā uz meža references līmeņiem, kas dalībvalstīm jāpiemēro 2021.–2025. gada periodā, groza Regulas 2018/841 IV pielikumu.</w:t>
      </w:r>
    </w:p>
  </w:footnote>
  <w:footnote w:id="74">
    <w:p w14:paraId="34E60B9F" w14:textId="3DDF8CFC" w:rsidR="003E6EAD" w:rsidRDefault="003A4514">
      <w:pPr>
        <w:pStyle w:val="FootnoteText"/>
      </w:pPr>
      <w:r>
        <w:rPr>
          <w:rStyle w:val="FootnoteReference"/>
        </w:rPr>
        <w:footnoteRef/>
      </w:r>
      <w:r>
        <w:rPr>
          <w:rFonts w:ascii="Cambria" w:hAnsi="Cambria"/>
          <w:sz w:val="16"/>
          <w:szCs w:val="16"/>
        </w:rPr>
        <w:t xml:space="preserve"> Atbilstoši Regulas 2018/841 8.</w:t>
      </w:r>
      <w:r w:rsidR="00A34D8E">
        <w:rPr>
          <w:rFonts w:ascii="Cambria" w:hAnsi="Cambria"/>
          <w:sz w:val="16"/>
          <w:szCs w:val="16"/>
        </w:rPr>
        <w:t xml:space="preserve"> </w:t>
      </w:r>
      <w:r>
        <w:rPr>
          <w:rFonts w:ascii="Cambria" w:hAnsi="Cambria"/>
          <w:sz w:val="16"/>
          <w:szCs w:val="16"/>
        </w:rPr>
        <w:t>panta</w:t>
      </w:r>
      <w:r w:rsidR="00432D28">
        <w:rPr>
          <w:rFonts w:ascii="Cambria" w:hAnsi="Cambria"/>
          <w:sz w:val="16"/>
          <w:szCs w:val="16"/>
        </w:rPr>
        <w:t xml:space="preserve"> </w:t>
      </w:r>
      <w:r w:rsidR="00A34D8E">
        <w:rPr>
          <w:rFonts w:ascii="Cambria" w:hAnsi="Cambria"/>
          <w:sz w:val="16"/>
          <w:szCs w:val="16"/>
        </w:rPr>
        <w:t>2. punktam</w:t>
      </w:r>
      <w:r>
        <w:rPr>
          <w:rFonts w:ascii="Cambria" w:hAnsi="Cambria"/>
          <w:sz w:val="16"/>
          <w:szCs w:val="16"/>
        </w:rPr>
        <w:t>. Informatīvos nolūkos šeit CAP piemērots piesaistei, kas uzskaitīta pret MRL, bet CAP neattiecas uz atmirušo koksni un HWP (bez papīra), kas tiks ņemts vērā gala aprēķinos 2027.gadā.</w:t>
      </w:r>
    </w:p>
  </w:footnote>
  <w:footnote w:id="75">
    <w:p w14:paraId="7858B404" w14:textId="77777777" w:rsidR="003E6EAD" w:rsidRDefault="003A4514">
      <w:pPr>
        <w:pStyle w:val="FootnoteText"/>
      </w:pPr>
      <w:r>
        <w:rPr>
          <w:rStyle w:val="FootnoteReference"/>
        </w:rPr>
        <w:footnoteRef/>
      </w:r>
      <w:r>
        <w:rPr>
          <w:rFonts w:ascii="Cambria" w:hAnsi="Cambria"/>
          <w:sz w:val="16"/>
          <w:szCs w:val="16"/>
        </w:rPr>
        <w:t xml:space="preserve"> Pēc 2023.gada SEG inventarizācijas  datiem 3,5% no bāzes gada (1990.g.) LV kopējām emisijām  x 5</w:t>
      </w:r>
    </w:p>
  </w:footnote>
  <w:footnote w:id="76">
    <w:p w14:paraId="7DFEF4CF" w14:textId="77777777" w:rsidR="003E6EAD" w:rsidRDefault="003A4514">
      <w:pPr>
        <w:pStyle w:val="FootnoteText"/>
      </w:pPr>
      <w:r>
        <w:rPr>
          <w:rStyle w:val="FootnoteReference"/>
        </w:rPr>
        <w:footnoteRef/>
      </w:r>
      <w:r>
        <w:rPr>
          <w:rFonts w:ascii="Cambria" w:hAnsi="Cambria"/>
          <w:sz w:val="16"/>
          <w:szCs w:val="16"/>
        </w:rPr>
        <w:t xml:space="preserve"> </w:t>
      </w:r>
      <w:r>
        <w:rPr>
          <w:rFonts w:ascii="Cambria" w:eastAsia="Times New Roman" w:hAnsi="Cambria"/>
          <w:color w:val="000000"/>
          <w:sz w:val="16"/>
          <w:szCs w:val="16"/>
          <w:lang w:eastAsia="lv-LV"/>
        </w:rPr>
        <w:t>2021.-2025.g. SEG emisiju/CO</w:t>
      </w:r>
      <w:r>
        <w:rPr>
          <w:rFonts w:ascii="Cambria" w:eastAsia="Times New Roman" w:hAnsi="Cambria"/>
          <w:color w:val="000000"/>
          <w:sz w:val="16"/>
          <w:szCs w:val="16"/>
          <w:vertAlign w:val="subscript"/>
          <w:lang w:eastAsia="lv-LV"/>
        </w:rPr>
        <w:t>2</w:t>
      </w:r>
      <w:r>
        <w:rPr>
          <w:rFonts w:ascii="Cambria" w:eastAsia="Times New Roman" w:hAnsi="Cambria"/>
          <w:color w:val="000000"/>
          <w:sz w:val="16"/>
          <w:szCs w:val="16"/>
          <w:lang w:eastAsia="lv-LV"/>
        </w:rPr>
        <w:t xml:space="preserve"> piesaistes kopsumma mīnuss bāzes vērtība x 5</w:t>
      </w:r>
    </w:p>
  </w:footnote>
  <w:footnote w:id="77">
    <w:p w14:paraId="3902B70A" w14:textId="1BFBFCBF" w:rsidR="003A4514" w:rsidRDefault="003A4514">
      <w:r>
        <w:rPr>
          <w:rStyle w:val="FootnoteReference"/>
        </w:rPr>
        <w:footnoteRef/>
      </w:r>
      <w:r w:rsidR="00C2323B">
        <w:rPr>
          <w:rFonts w:ascii="Cambria" w:eastAsia="Times New Roman" w:hAnsi="Cambria"/>
          <w:color w:val="000000"/>
          <w:sz w:val="16"/>
          <w:szCs w:val="16"/>
          <w:lang w:eastAsia="lv-LV"/>
        </w:rPr>
        <w:t>2021.-2025.g. SEG emisiju/CO</w:t>
      </w:r>
      <w:r w:rsidR="00C2323B">
        <w:rPr>
          <w:rFonts w:ascii="Cambria" w:eastAsia="Times New Roman" w:hAnsi="Cambria"/>
          <w:color w:val="000000"/>
          <w:sz w:val="16"/>
          <w:szCs w:val="16"/>
          <w:vertAlign w:val="subscript"/>
          <w:lang w:eastAsia="lv-LV"/>
        </w:rPr>
        <w:t>2</w:t>
      </w:r>
      <w:r w:rsidR="00C2323B">
        <w:rPr>
          <w:rFonts w:ascii="Cambria" w:eastAsia="Times New Roman" w:hAnsi="Cambria"/>
          <w:color w:val="000000"/>
          <w:sz w:val="16"/>
          <w:szCs w:val="16"/>
          <w:lang w:eastAsia="lv-LV"/>
        </w:rPr>
        <w:t xml:space="preserve"> piesaistes kopsumma mīnuss bāzes vērtība x 5</w:t>
      </w:r>
    </w:p>
  </w:footnote>
  <w:footnote w:id="78">
    <w:p w14:paraId="37F49F3D" w14:textId="5FF24D0F" w:rsidR="00EB666C" w:rsidRDefault="00EB666C">
      <w:pPr>
        <w:pStyle w:val="FootnoteText"/>
      </w:pPr>
      <w:r>
        <w:rPr>
          <w:rStyle w:val="FootnoteReference"/>
        </w:rPr>
        <w:footnoteRef/>
      </w:r>
      <w:r>
        <w:t xml:space="preserve"> </w:t>
      </w:r>
      <w:r w:rsidRPr="00B411F5">
        <w:rPr>
          <w:rFonts w:ascii="Cambria" w:hAnsi="Cambria"/>
          <w:sz w:val="16"/>
          <w:szCs w:val="16"/>
        </w:rPr>
        <w:t xml:space="preserve">Atbilstoši </w:t>
      </w:r>
      <w:r>
        <w:rPr>
          <w:rFonts w:ascii="Cambria" w:hAnsi="Cambria"/>
          <w:sz w:val="16"/>
          <w:szCs w:val="16"/>
        </w:rPr>
        <w:t>2024. gad</w:t>
      </w:r>
      <w:r w:rsidR="00B411F5">
        <w:rPr>
          <w:rFonts w:ascii="Cambria" w:hAnsi="Cambria"/>
          <w:sz w:val="16"/>
          <w:szCs w:val="16"/>
        </w:rPr>
        <w:t>ā</w:t>
      </w:r>
      <w:r>
        <w:rPr>
          <w:rFonts w:ascii="Cambria" w:hAnsi="Cambria"/>
          <w:sz w:val="16"/>
          <w:szCs w:val="16"/>
        </w:rPr>
        <w:t xml:space="preserve"> atjauninātajam 2023. gada integrētajam ziņojumam  par politikām, pasākumiem un SEG prognozēm</w:t>
      </w:r>
      <w:r w:rsidR="00B411F5">
        <w:rPr>
          <w:rFonts w:ascii="Cambria" w:hAnsi="Cambria"/>
          <w:sz w:val="16"/>
          <w:szCs w:val="16"/>
        </w:rPr>
        <w:t xml:space="preserve"> ZIZIMM sektorā WEM un WAM scenāriji ir vienādi.</w:t>
      </w:r>
    </w:p>
  </w:footnote>
  <w:footnote w:id="79">
    <w:p w14:paraId="3834CEA1" w14:textId="77777777" w:rsidR="003E6EAD" w:rsidRDefault="003A4514">
      <w:pPr>
        <w:pStyle w:val="FootnoteText"/>
      </w:pPr>
      <w:r>
        <w:rPr>
          <w:rStyle w:val="FootnoteReference"/>
        </w:rPr>
        <w:footnoteRef/>
      </w:r>
      <w:r>
        <w:rPr>
          <w:rFonts w:ascii="Cambria" w:hAnsi="Cambria"/>
          <w:sz w:val="16"/>
          <w:szCs w:val="16"/>
        </w:rPr>
        <w:t xml:space="preserve"> 2024. gada atjauninātais 2023. gada integrētais ziņojums par politikām, pasākumiem un SEG prognozēm</w:t>
      </w:r>
      <w:r>
        <w:rPr>
          <w:rFonts w:ascii="Cambria" w:hAnsi="Cambria"/>
          <w:sz w:val="18"/>
          <w:szCs w:val="18"/>
          <w:shd w:val="clear" w:color="auto" w:fill="FFFF00"/>
        </w:rPr>
        <w:t xml:space="preserve"> </w:t>
      </w:r>
    </w:p>
  </w:footnote>
  <w:footnote w:id="80">
    <w:p w14:paraId="5CE7C1B7" w14:textId="77777777" w:rsidR="003E6EAD" w:rsidRDefault="003A4514">
      <w:pPr>
        <w:pStyle w:val="FootnoteText"/>
      </w:pPr>
      <w:r>
        <w:rPr>
          <w:rStyle w:val="FootnoteReference"/>
        </w:rPr>
        <w:footnoteRef/>
      </w:r>
      <w:r>
        <w:rPr>
          <w:rFonts w:ascii="Cambria" w:hAnsi="Cambria"/>
          <w:sz w:val="16"/>
          <w:szCs w:val="16"/>
        </w:rPr>
        <w:t xml:space="preserve"> Starpība starp SEG emisijām un CO</w:t>
      </w:r>
      <w:r>
        <w:rPr>
          <w:rFonts w:ascii="Cambria" w:hAnsi="Cambria"/>
          <w:sz w:val="16"/>
          <w:szCs w:val="16"/>
          <w:vertAlign w:val="subscript"/>
        </w:rPr>
        <w:t>2</w:t>
      </w:r>
      <w:r>
        <w:rPr>
          <w:rFonts w:ascii="Cambria" w:hAnsi="Cambria"/>
          <w:sz w:val="16"/>
          <w:szCs w:val="16"/>
        </w:rPr>
        <w:t xml:space="preserve"> piesaisti, kas rodas ZIZIMM sektorā</w:t>
      </w:r>
    </w:p>
  </w:footnote>
  <w:footnote w:id="81">
    <w:p w14:paraId="41FF7168" w14:textId="77777777" w:rsidR="003E6EAD" w:rsidRDefault="003A4514">
      <w:pPr>
        <w:pStyle w:val="FootnoteText"/>
      </w:pPr>
      <w:r>
        <w:rPr>
          <w:rStyle w:val="FootnoteReference"/>
        </w:rPr>
        <w:footnoteRef/>
      </w:r>
      <w:r>
        <w:rPr>
          <w:rFonts w:ascii="Cambria" w:hAnsi="Cambria"/>
          <w:sz w:val="16"/>
          <w:szCs w:val="16"/>
        </w:rPr>
        <w:t xml:space="preserve"> 2024. gada atjaunotais 2023. gada integrētais ziņojums  par politikām, pasākumiem un SEG prognozēm</w:t>
      </w:r>
    </w:p>
  </w:footnote>
  <w:footnote w:id="82">
    <w:p w14:paraId="749B7B8E" w14:textId="113A83C3" w:rsidR="00C2323B" w:rsidRDefault="003A4514">
      <w:pPr>
        <w:pStyle w:val="FootnoteText"/>
      </w:pPr>
      <w:r>
        <w:rPr>
          <w:rStyle w:val="FootnoteReference"/>
        </w:rPr>
        <w:footnoteRef/>
      </w:r>
      <w:r>
        <w:rPr>
          <w:rFonts w:ascii="Cambria" w:hAnsi="Cambria"/>
          <w:sz w:val="16"/>
          <w:szCs w:val="16"/>
        </w:rPr>
        <w:t xml:space="preserve"> </w:t>
      </w:r>
      <w:hyperlink r:id="rId44" w:history="1">
        <w:r w:rsidR="00C2323B" w:rsidRPr="007C05DC">
          <w:rPr>
            <w:rStyle w:val="Hyperlink"/>
            <w:rFonts w:ascii="Cambria" w:hAnsi="Cambria"/>
            <w:sz w:val="16"/>
            <w:szCs w:val="16"/>
          </w:rPr>
          <w:t>https://www.eea.europa.eu/en/analysis/publications/trends-and-projections-in-europe-2024</w:t>
        </w:r>
      </w:hyperlink>
    </w:p>
  </w:footnote>
  <w:footnote w:id="83">
    <w:p w14:paraId="2A737B8C" w14:textId="4D80B808" w:rsidR="00C2323B" w:rsidRDefault="003A4514">
      <w:pPr>
        <w:pStyle w:val="FootnoteText"/>
      </w:pPr>
      <w:r>
        <w:rPr>
          <w:rStyle w:val="FootnoteReference"/>
        </w:rPr>
        <w:footnoteRef/>
      </w:r>
      <w:r>
        <w:rPr>
          <w:rFonts w:ascii="Cambria" w:hAnsi="Cambria"/>
          <w:sz w:val="16"/>
          <w:szCs w:val="16"/>
        </w:rPr>
        <w:t xml:space="preserve"> </w:t>
      </w:r>
      <w:hyperlink r:id="rId45" w:history="1">
        <w:r w:rsidR="00C2323B" w:rsidRPr="007C05DC">
          <w:rPr>
            <w:rStyle w:val="Hyperlink"/>
            <w:rFonts w:ascii="Cambria" w:hAnsi="Cambria"/>
            <w:sz w:val="16"/>
            <w:szCs w:val="16"/>
          </w:rPr>
          <w:t>https://climate.ec.europa.eu/document/download/d0671350-37f2-4bc4-88e8-088d0508fb03_en</w:t>
        </w:r>
      </w:hyperlink>
    </w:p>
  </w:footnote>
  <w:footnote w:id="84">
    <w:p w14:paraId="46632266" w14:textId="11A84882" w:rsidR="003E6EAD" w:rsidRPr="00835C63" w:rsidRDefault="003A4514">
      <w:pPr>
        <w:pStyle w:val="Default"/>
        <w:rPr>
          <w:rFonts w:ascii="Cambria" w:hAnsi="Cambria"/>
          <w:sz w:val="18"/>
          <w:szCs w:val="18"/>
        </w:rPr>
      </w:pPr>
      <w:r w:rsidRPr="003254ED">
        <w:rPr>
          <w:rStyle w:val="FootnoteReference"/>
          <w:rFonts w:ascii="Cambria" w:hAnsi="Cambria"/>
          <w:sz w:val="18"/>
          <w:szCs w:val="18"/>
        </w:rPr>
        <w:footnoteRef/>
      </w:r>
      <w:r w:rsidRPr="003254ED">
        <w:rPr>
          <w:rFonts w:ascii="Cambria" w:hAnsi="Cambria"/>
          <w:color w:val="auto"/>
          <w:sz w:val="18"/>
          <w:szCs w:val="18"/>
        </w:rPr>
        <w:t xml:space="preserve"> </w:t>
      </w:r>
      <w:r w:rsidRPr="00835C63">
        <w:rPr>
          <w:rFonts w:ascii="Cambria" w:hAnsi="Cambria"/>
          <w:color w:val="auto"/>
          <w:sz w:val="18"/>
          <w:szCs w:val="18"/>
        </w:rPr>
        <w:t xml:space="preserve">Sagatavots saskaņā ar </w:t>
      </w:r>
      <w:r w:rsidR="005B3DF2" w:rsidRPr="00835C63">
        <w:rPr>
          <w:rFonts w:ascii="Cambria" w:hAnsi="Cambria"/>
          <w:color w:val="auto"/>
          <w:sz w:val="18"/>
          <w:szCs w:val="18"/>
        </w:rPr>
        <w:t xml:space="preserve">EK </w:t>
      </w:r>
      <w:r w:rsidRPr="00835C63">
        <w:rPr>
          <w:rFonts w:ascii="Cambria" w:hAnsi="Cambria"/>
          <w:color w:val="auto"/>
          <w:sz w:val="18"/>
          <w:szCs w:val="18"/>
        </w:rPr>
        <w:t>ziņojuma “</w:t>
      </w:r>
      <w:r w:rsidRPr="00835C63">
        <w:rPr>
          <w:rFonts w:ascii="Cambria" w:hAnsi="Cambria"/>
          <w:i/>
          <w:iCs/>
          <w:color w:val="auto"/>
          <w:sz w:val="18"/>
          <w:szCs w:val="18"/>
          <w:lang w:val="en-US"/>
        </w:rPr>
        <w:t>EU Climate Action Progress Report 2024</w:t>
      </w:r>
      <w:r w:rsidRPr="00835C63">
        <w:rPr>
          <w:rFonts w:ascii="Cambria" w:hAnsi="Cambria"/>
          <w:color w:val="auto"/>
          <w:sz w:val="18"/>
          <w:szCs w:val="18"/>
        </w:rPr>
        <w:t>” 1.1. tabulu.</w:t>
      </w:r>
    </w:p>
  </w:footnote>
  <w:footnote w:id="85">
    <w:p w14:paraId="66D11444" w14:textId="5A3CFF90" w:rsidR="003254ED" w:rsidRPr="00835C63" w:rsidRDefault="003254ED">
      <w:pPr>
        <w:pStyle w:val="FootnoteText"/>
        <w:rPr>
          <w:rFonts w:ascii="Cambria" w:hAnsi="Cambria"/>
          <w:sz w:val="18"/>
          <w:szCs w:val="18"/>
        </w:rPr>
      </w:pPr>
      <w:r w:rsidRPr="00835C63">
        <w:rPr>
          <w:rStyle w:val="FootnoteReference"/>
          <w:rFonts w:ascii="Cambria" w:hAnsi="Cambria"/>
          <w:sz w:val="18"/>
          <w:szCs w:val="18"/>
        </w:rPr>
        <w:footnoteRef/>
      </w:r>
      <w:r w:rsidRPr="00835C63">
        <w:rPr>
          <w:rFonts w:ascii="Cambria" w:hAnsi="Cambria"/>
          <w:sz w:val="18"/>
          <w:szCs w:val="18"/>
        </w:rPr>
        <w:t xml:space="preserve"> Nav vairs</w:t>
      </w:r>
      <w:r w:rsidR="003B4374" w:rsidRPr="00835C63">
        <w:rPr>
          <w:rFonts w:ascii="Cambria" w:hAnsi="Cambria"/>
          <w:sz w:val="18"/>
          <w:szCs w:val="18"/>
        </w:rPr>
        <w:t xml:space="preserve"> aktuāl</w:t>
      </w:r>
      <w:r w:rsidR="00621306" w:rsidRPr="00835C63">
        <w:rPr>
          <w:rFonts w:ascii="Cambria" w:hAnsi="Cambria"/>
          <w:sz w:val="18"/>
          <w:szCs w:val="18"/>
        </w:rPr>
        <w:t>s</w:t>
      </w:r>
      <w:r w:rsidRPr="00835C63">
        <w:rPr>
          <w:rFonts w:ascii="Cambria" w:hAnsi="Cambria"/>
          <w:sz w:val="18"/>
          <w:szCs w:val="18"/>
        </w:rPr>
        <w:t>, norādīt</w:t>
      </w:r>
      <w:r w:rsidR="00621306" w:rsidRPr="00835C63">
        <w:rPr>
          <w:rFonts w:ascii="Cambria" w:hAnsi="Cambria"/>
          <w:sz w:val="18"/>
          <w:szCs w:val="18"/>
        </w:rPr>
        <w:t>s</w:t>
      </w:r>
      <w:r w:rsidRPr="00835C63">
        <w:rPr>
          <w:rFonts w:ascii="Cambria" w:hAnsi="Cambria"/>
          <w:sz w:val="18"/>
          <w:szCs w:val="18"/>
        </w:rPr>
        <w:t xml:space="preserve"> informatīvos nolūkos</w:t>
      </w:r>
      <w:r w:rsidR="00EE3740" w:rsidRPr="00835C63">
        <w:rPr>
          <w:rFonts w:ascii="Cambria" w:hAnsi="Cambria"/>
          <w:sz w:val="18"/>
          <w:szCs w:val="18"/>
        </w:rPr>
        <w:t>.</w:t>
      </w:r>
    </w:p>
  </w:footnote>
  <w:footnote w:id="86">
    <w:p w14:paraId="01631299" w14:textId="0CC770BF" w:rsidR="00962018" w:rsidRPr="00835C63" w:rsidRDefault="00DD02D4">
      <w:pPr>
        <w:pStyle w:val="FootnoteText"/>
        <w:rPr>
          <w:rFonts w:ascii="Cambria" w:hAnsi="Cambria"/>
          <w:sz w:val="18"/>
          <w:szCs w:val="18"/>
        </w:rPr>
      </w:pPr>
      <w:r w:rsidRPr="00835C63">
        <w:rPr>
          <w:rStyle w:val="FootnoteReference"/>
          <w:rFonts w:ascii="Cambria" w:hAnsi="Cambria"/>
          <w:sz w:val="18"/>
          <w:szCs w:val="18"/>
        </w:rPr>
        <w:footnoteRef/>
      </w:r>
      <w:r w:rsidRPr="00835C63">
        <w:rPr>
          <w:rFonts w:ascii="Cambria" w:hAnsi="Cambria"/>
          <w:sz w:val="18"/>
          <w:szCs w:val="18"/>
        </w:rPr>
        <w:t xml:space="preserve"> Nav vairs</w:t>
      </w:r>
      <w:r w:rsidR="003B4374" w:rsidRPr="00835C63">
        <w:rPr>
          <w:rFonts w:ascii="Cambria" w:hAnsi="Cambria"/>
          <w:sz w:val="18"/>
          <w:szCs w:val="18"/>
        </w:rPr>
        <w:t xml:space="preserve"> aktuāla</w:t>
      </w:r>
      <w:r w:rsidRPr="00835C63">
        <w:rPr>
          <w:rFonts w:ascii="Cambria" w:hAnsi="Cambria"/>
          <w:sz w:val="18"/>
          <w:szCs w:val="18"/>
        </w:rPr>
        <w:t>, norādīta informatīvos nolūkos</w:t>
      </w:r>
      <w:r w:rsidR="005667A7" w:rsidRPr="00835C63">
        <w:rPr>
          <w:rFonts w:ascii="Cambria" w:hAnsi="Cambria"/>
          <w:sz w:val="18"/>
          <w:szCs w:val="18"/>
        </w:rPr>
        <w:t xml:space="preserve">. </w:t>
      </w:r>
      <w:r w:rsidR="005667A7" w:rsidRPr="00835C63">
        <w:rPr>
          <w:rFonts w:ascii="Cambria" w:hAnsi="Cambria"/>
          <w:sz w:val="18"/>
          <w:szCs w:val="18"/>
        </w:rPr>
        <w:t>Klimata un enerģētikas pakotne aptv</w:t>
      </w:r>
      <w:r w:rsidR="00962018" w:rsidRPr="00835C63">
        <w:rPr>
          <w:rFonts w:ascii="Cambria" w:hAnsi="Cambria"/>
          <w:sz w:val="18"/>
          <w:szCs w:val="18"/>
        </w:rPr>
        <w:t>ēra</w:t>
      </w:r>
      <w:r w:rsidR="005667A7" w:rsidRPr="00835C63">
        <w:rPr>
          <w:rFonts w:ascii="Cambria" w:hAnsi="Cambria"/>
          <w:sz w:val="18"/>
          <w:szCs w:val="18"/>
        </w:rPr>
        <w:t xml:space="preserve"> papildinošus tiesību aktus, kuru mērķis</w:t>
      </w:r>
      <w:r w:rsidR="00962018" w:rsidRPr="00835C63">
        <w:rPr>
          <w:rFonts w:ascii="Cambria" w:hAnsi="Cambria"/>
          <w:sz w:val="18"/>
          <w:szCs w:val="18"/>
        </w:rPr>
        <w:t xml:space="preserve"> bija</w:t>
      </w:r>
      <w:r w:rsidR="005667A7" w:rsidRPr="00835C63">
        <w:rPr>
          <w:rFonts w:ascii="Cambria" w:hAnsi="Cambria"/>
          <w:sz w:val="18"/>
          <w:szCs w:val="18"/>
        </w:rPr>
        <w:t xml:space="preserve"> nodrošināt, ka ES sasniedz savus 2020. gada</w:t>
      </w:r>
      <w:r w:rsidR="00EE3740" w:rsidRPr="00835C63">
        <w:rPr>
          <w:rFonts w:ascii="Cambria" w:hAnsi="Cambria"/>
          <w:sz w:val="18"/>
          <w:szCs w:val="18"/>
        </w:rPr>
        <w:t xml:space="preserve"> </w:t>
      </w:r>
      <w:r w:rsidR="005667A7" w:rsidRPr="00835C63">
        <w:rPr>
          <w:rFonts w:ascii="Cambria" w:hAnsi="Cambria"/>
          <w:sz w:val="18"/>
          <w:szCs w:val="18"/>
        </w:rPr>
        <w:t>mērķus klimata un enerģētikas jomā</w:t>
      </w:r>
      <w:r w:rsidR="00962018" w:rsidRPr="00835C63">
        <w:rPr>
          <w:rFonts w:ascii="Cambria" w:hAnsi="Cambria"/>
          <w:sz w:val="18"/>
          <w:szCs w:val="18"/>
        </w:rPr>
        <w:t xml:space="preserve">. </w:t>
      </w:r>
      <w:hyperlink r:id="rId46" w:history="1">
        <w:r w:rsidR="00962018" w:rsidRPr="00835C63">
          <w:rPr>
            <w:rStyle w:val="Hyperlink"/>
            <w:rFonts w:ascii="Cambria" w:hAnsi="Cambria"/>
            <w:sz w:val="18"/>
            <w:szCs w:val="18"/>
          </w:rPr>
          <w:t>https://eur-lex.europa.eu/legal-content/EN/TXT/?uri=legissum:2001_8</w:t>
        </w:r>
      </w:hyperlink>
    </w:p>
  </w:footnote>
  <w:footnote w:id="87">
    <w:p w14:paraId="7A8A592E" w14:textId="4ADEC1F7" w:rsidR="00553964" w:rsidRPr="00835C63" w:rsidRDefault="00DB0031">
      <w:pPr>
        <w:pStyle w:val="FootnoteText"/>
        <w:rPr>
          <w:rFonts w:ascii="Cambria" w:hAnsi="Cambria"/>
          <w:sz w:val="18"/>
          <w:szCs w:val="18"/>
        </w:rPr>
      </w:pPr>
      <w:r w:rsidRPr="00835C63">
        <w:rPr>
          <w:rStyle w:val="FootnoteReference"/>
          <w:rFonts w:ascii="Cambria" w:hAnsi="Cambria"/>
          <w:sz w:val="18"/>
          <w:szCs w:val="18"/>
        </w:rPr>
        <w:footnoteRef/>
      </w:r>
      <w:r w:rsidR="00553964" w:rsidRPr="00835C63">
        <w:rPr>
          <w:rFonts w:ascii="Cambria" w:hAnsi="Cambria"/>
          <w:sz w:val="18"/>
          <w:szCs w:val="18"/>
        </w:rPr>
        <w:t xml:space="preserve"> </w:t>
      </w:r>
      <w:r w:rsidR="00553964" w:rsidRPr="00835C63">
        <w:rPr>
          <w:rFonts w:ascii="Cambria" w:hAnsi="Cambria"/>
          <w:sz w:val="18"/>
          <w:szCs w:val="18"/>
        </w:rPr>
        <w:t xml:space="preserve">Klimata un enerģētikas </w:t>
      </w:r>
      <w:r w:rsidR="00553964" w:rsidRPr="00835C63">
        <w:rPr>
          <w:rFonts w:ascii="Cambria" w:hAnsi="Cambria"/>
          <w:sz w:val="18"/>
          <w:szCs w:val="18"/>
        </w:rPr>
        <w:t xml:space="preserve">satvars </w:t>
      </w:r>
      <w:r w:rsidR="00553964" w:rsidRPr="00835C63">
        <w:rPr>
          <w:rFonts w:ascii="Cambria" w:hAnsi="Cambria"/>
          <w:sz w:val="18"/>
          <w:szCs w:val="18"/>
        </w:rPr>
        <w:t>aptv</w:t>
      </w:r>
      <w:r w:rsidR="00553964" w:rsidRPr="00835C63">
        <w:rPr>
          <w:rFonts w:ascii="Cambria" w:hAnsi="Cambria"/>
          <w:sz w:val="18"/>
          <w:szCs w:val="18"/>
        </w:rPr>
        <w:t>er</w:t>
      </w:r>
      <w:r w:rsidR="00553964" w:rsidRPr="00835C63">
        <w:rPr>
          <w:rFonts w:ascii="Cambria" w:hAnsi="Cambria"/>
          <w:sz w:val="18"/>
          <w:szCs w:val="18"/>
        </w:rPr>
        <w:t xml:space="preserve"> tiesību aktus, kuru mērķis </w:t>
      </w:r>
      <w:r w:rsidR="00553964" w:rsidRPr="00835C63">
        <w:rPr>
          <w:rFonts w:ascii="Cambria" w:hAnsi="Cambria"/>
          <w:sz w:val="18"/>
          <w:szCs w:val="18"/>
        </w:rPr>
        <w:t>ir</w:t>
      </w:r>
      <w:r w:rsidR="00553964" w:rsidRPr="00835C63">
        <w:rPr>
          <w:rFonts w:ascii="Cambria" w:hAnsi="Cambria"/>
          <w:sz w:val="18"/>
          <w:szCs w:val="18"/>
        </w:rPr>
        <w:t xml:space="preserve"> nodrošināt, ka ES sasniedz savus 20</w:t>
      </w:r>
      <w:r w:rsidR="00553964" w:rsidRPr="00835C63">
        <w:rPr>
          <w:rFonts w:ascii="Cambria" w:hAnsi="Cambria"/>
          <w:sz w:val="18"/>
          <w:szCs w:val="18"/>
        </w:rPr>
        <w:t>3</w:t>
      </w:r>
      <w:r w:rsidR="00553964" w:rsidRPr="00835C63">
        <w:rPr>
          <w:rFonts w:ascii="Cambria" w:hAnsi="Cambria"/>
          <w:sz w:val="18"/>
          <w:szCs w:val="18"/>
        </w:rPr>
        <w:t>0. gada mērķus klimata un enerģētikas jomā</w:t>
      </w:r>
      <w:r w:rsidRPr="00835C63">
        <w:rPr>
          <w:rFonts w:ascii="Cambria" w:hAnsi="Cambria"/>
          <w:sz w:val="18"/>
          <w:szCs w:val="18"/>
        </w:rPr>
        <w:t xml:space="preserve"> </w:t>
      </w:r>
      <w:hyperlink r:id="rId47" w:history="1">
        <w:r w:rsidR="00553964" w:rsidRPr="00835C63">
          <w:rPr>
            <w:rStyle w:val="Hyperlink"/>
            <w:rFonts w:ascii="Cambria" w:hAnsi="Cambria"/>
            <w:sz w:val="18"/>
            <w:szCs w:val="18"/>
          </w:rPr>
          <w:t>https://climate.ec.europa.eu/eu-action/climate-strategies-targets/2030-climate-targets_en</w:t>
        </w:r>
      </w:hyperlink>
    </w:p>
  </w:footnote>
  <w:footnote w:id="88">
    <w:p w14:paraId="1AB15B57" w14:textId="26068873" w:rsidR="003A2573" w:rsidRPr="00835C63" w:rsidRDefault="003A2573">
      <w:pPr>
        <w:pStyle w:val="FootnoteText"/>
        <w:rPr>
          <w:rFonts w:ascii="Cambria" w:hAnsi="Cambria"/>
          <w:sz w:val="18"/>
          <w:szCs w:val="18"/>
        </w:rPr>
      </w:pPr>
      <w:r w:rsidRPr="00835C63">
        <w:rPr>
          <w:rStyle w:val="FootnoteReference"/>
          <w:rFonts w:ascii="Cambria" w:hAnsi="Cambria"/>
          <w:sz w:val="18"/>
          <w:szCs w:val="18"/>
        </w:rPr>
        <w:footnoteRef/>
      </w:r>
      <w:r w:rsidRPr="00835C63">
        <w:rPr>
          <w:rFonts w:ascii="Cambria" w:hAnsi="Cambria"/>
          <w:sz w:val="18"/>
          <w:szCs w:val="18"/>
        </w:rPr>
        <w:t xml:space="preserve"> </w:t>
      </w:r>
      <w:r w:rsidR="0083663A" w:rsidRPr="00835C63">
        <w:rPr>
          <w:rFonts w:ascii="Cambria" w:hAnsi="Cambria"/>
          <w:sz w:val="18"/>
          <w:szCs w:val="18"/>
        </w:rPr>
        <w:t>Eiropas klimata liku</w:t>
      </w:r>
      <w:r w:rsidR="007643FA">
        <w:rPr>
          <w:rFonts w:ascii="Cambria" w:hAnsi="Cambria"/>
          <w:sz w:val="18"/>
          <w:szCs w:val="18"/>
        </w:rPr>
        <w:t>mā noteikts</w:t>
      </w:r>
      <w:r w:rsidR="00856F4F" w:rsidRPr="00835C63">
        <w:rPr>
          <w:rFonts w:ascii="Cambria" w:hAnsi="Cambria"/>
          <w:sz w:val="18"/>
          <w:szCs w:val="18"/>
        </w:rPr>
        <w:t>, ka ES apņemas sasniegt klimatneitralitāti līdz 2050. gadam.</w:t>
      </w:r>
    </w:p>
  </w:footnote>
  <w:footnote w:id="89">
    <w:p w14:paraId="642B6BE2" w14:textId="7D499EBE" w:rsidR="003E6EAD" w:rsidRDefault="003A4514">
      <w:pPr>
        <w:pStyle w:val="FootnoteText"/>
      </w:pPr>
      <w:r w:rsidRPr="00835C63">
        <w:rPr>
          <w:rStyle w:val="FootnoteReference"/>
          <w:rFonts w:ascii="Cambria" w:hAnsi="Cambria"/>
          <w:sz w:val="18"/>
          <w:szCs w:val="18"/>
        </w:rPr>
        <w:footnoteRef/>
      </w:r>
      <w:r w:rsidRPr="00835C63">
        <w:rPr>
          <w:rFonts w:ascii="Cambria" w:hAnsi="Cambria"/>
          <w:bCs/>
          <w:sz w:val="18"/>
          <w:szCs w:val="18"/>
          <w:vertAlign w:val="superscript"/>
          <w:lang w:eastAsia="lv-LV"/>
        </w:rPr>
        <w:t xml:space="preserve"> </w:t>
      </w:r>
      <w:r w:rsidR="008559B5" w:rsidRPr="00835C63">
        <w:rPr>
          <w:rFonts w:ascii="Cambria" w:hAnsi="Cambria"/>
          <w:bCs/>
          <w:sz w:val="18"/>
          <w:szCs w:val="18"/>
          <w:lang w:eastAsia="lv-LV"/>
        </w:rPr>
        <w:t>ETS2 kvotu nodošana sāksies ar 2028. gadu par 2027. gada verificētajām CO</w:t>
      </w:r>
      <w:r w:rsidR="008559B5" w:rsidRPr="00835C63">
        <w:rPr>
          <w:rFonts w:ascii="Cambria" w:hAnsi="Cambria"/>
          <w:bCs/>
          <w:sz w:val="18"/>
          <w:szCs w:val="18"/>
          <w:vertAlign w:val="subscript"/>
          <w:lang w:eastAsia="lv-LV"/>
        </w:rPr>
        <w:t>2</w:t>
      </w:r>
      <w:r w:rsidR="008559B5" w:rsidRPr="00835C63">
        <w:rPr>
          <w:rFonts w:ascii="Cambria" w:hAnsi="Cambria"/>
          <w:bCs/>
          <w:sz w:val="18"/>
          <w:szCs w:val="18"/>
          <w:lang w:eastAsia="lv-LV"/>
        </w:rPr>
        <w:t xml:space="preserve"> emisijām.</w:t>
      </w:r>
    </w:p>
  </w:footnote>
  <w:footnote w:id="90">
    <w:p w14:paraId="7699C87E" w14:textId="771A2147" w:rsidR="003E6EAD" w:rsidRDefault="003A4514">
      <w:pPr>
        <w:pStyle w:val="FootnoteText"/>
      </w:pPr>
      <w:r>
        <w:rPr>
          <w:rStyle w:val="FootnoteReference"/>
        </w:rPr>
        <w:footnoteRef/>
      </w:r>
      <w:r>
        <w:rPr>
          <w:rFonts w:ascii="Times New Roman" w:hAnsi="Times New Roman"/>
          <w:sz w:val="16"/>
          <w:szCs w:val="16"/>
        </w:rPr>
        <w:t xml:space="preserve"> </w:t>
      </w:r>
      <w:r>
        <w:rPr>
          <w:rFonts w:ascii="Times New Roman" w:hAnsi="Times New Roman"/>
          <w:sz w:val="16"/>
          <w:szCs w:val="16"/>
          <w:lang w:eastAsia="lv-LV"/>
        </w:rPr>
        <w:t xml:space="preserve">Uz otro Kioto protokola saistību periodu (2013.-2020.gads) iespējama vienību pārnese no pirmā Kioto protokola saistību perioda (2008. – 2012.gads).  ES ETS emisijas kvotas sistēmas robežās var pārnest no iepriekšējā perioda.  </w:t>
      </w:r>
    </w:p>
  </w:footnote>
  <w:footnote w:id="91">
    <w:p w14:paraId="04AD7633" w14:textId="77777777" w:rsidR="003E6EAD" w:rsidRDefault="003A4514">
      <w:pPr>
        <w:pStyle w:val="FootnoteText"/>
      </w:pPr>
      <w:r>
        <w:rPr>
          <w:rStyle w:val="FootnoteReference"/>
        </w:rPr>
        <w:footnoteRef/>
      </w:r>
      <w:r>
        <w:rPr>
          <w:rFonts w:ascii="Times New Roman" w:hAnsi="Times New Roman"/>
          <w:sz w:val="16"/>
          <w:szCs w:val="16"/>
        </w:rPr>
        <w:t xml:space="preserve"> Uz HFC attiecas arī Monreālas protokola Kigali grozījumi, kas stājās spēkā 2019. gada 1. janvārī.</w:t>
      </w:r>
    </w:p>
  </w:footnote>
  <w:footnote w:id="92">
    <w:p w14:paraId="0D9C2FB6" w14:textId="15E71182" w:rsidR="003E6EAD" w:rsidRPr="006C05B4" w:rsidRDefault="003A4514">
      <w:pPr>
        <w:pStyle w:val="FootnoteText"/>
        <w:rPr>
          <w:rFonts w:ascii="Times New Roman" w:hAnsi="Times New Roman"/>
          <w:sz w:val="16"/>
          <w:szCs w:val="16"/>
        </w:rPr>
      </w:pPr>
      <w:r w:rsidRPr="006C05B4">
        <w:rPr>
          <w:rStyle w:val="FootnoteReference"/>
          <w:rFonts w:ascii="Times New Roman" w:hAnsi="Times New Roman"/>
        </w:rPr>
        <w:footnoteRef/>
      </w:r>
      <w:r w:rsidRPr="00725A67">
        <w:rPr>
          <w:rFonts w:ascii="Times New Roman" w:hAnsi="Times New Roman"/>
          <w:sz w:val="16"/>
          <w:szCs w:val="16"/>
        </w:rPr>
        <w:t xml:space="preserve"> Emisijas no lidojumiem starp EEZ lidostām, kā arī lidojumiem, kas izlido uz Šveices un Apvienotās Karalistes lidostām.</w:t>
      </w:r>
      <w:r w:rsidR="00164D9B" w:rsidRPr="00725A67">
        <w:rPr>
          <w:rFonts w:ascii="Times New Roman" w:hAnsi="Times New Roman"/>
          <w:sz w:val="16"/>
          <w:szCs w:val="16"/>
        </w:rPr>
        <w:t xml:space="preserve"> Sākot ar 2025. gada 1. janvāri</w:t>
      </w:r>
      <w:r w:rsidR="008040CF" w:rsidRPr="00725A67">
        <w:rPr>
          <w:rFonts w:ascii="Times New Roman" w:hAnsi="Times New Roman"/>
          <w:sz w:val="16"/>
          <w:szCs w:val="16"/>
        </w:rPr>
        <w:t xml:space="preserve"> gaisa</w:t>
      </w:r>
      <w:r w:rsidR="00D037C9" w:rsidRPr="00725A67">
        <w:rPr>
          <w:rFonts w:ascii="Times New Roman" w:hAnsi="Times New Roman"/>
          <w:sz w:val="16"/>
          <w:szCs w:val="16"/>
        </w:rPr>
        <w:t xml:space="preserve"> kuģa operator</w:t>
      </w:r>
      <w:r w:rsidR="0082697B" w:rsidRPr="00725A67">
        <w:rPr>
          <w:rFonts w:ascii="Times New Roman" w:hAnsi="Times New Roman"/>
          <w:sz w:val="16"/>
          <w:szCs w:val="16"/>
        </w:rPr>
        <w:t>am</w:t>
      </w:r>
      <w:r w:rsidR="00D037C9" w:rsidRPr="00725A67">
        <w:rPr>
          <w:rFonts w:ascii="Times New Roman" w:hAnsi="Times New Roman"/>
          <w:sz w:val="16"/>
          <w:szCs w:val="16"/>
        </w:rPr>
        <w:t xml:space="preserve"> ir jāveic </w:t>
      </w:r>
      <w:r w:rsidR="00265C07" w:rsidRPr="00725A67">
        <w:rPr>
          <w:rFonts w:ascii="Times New Roman" w:hAnsi="Times New Roman"/>
          <w:sz w:val="16"/>
          <w:szCs w:val="16"/>
        </w:rPr>
        <w:t>monitorings</w:t>
      </w:r>
      <w:r w:rsidR="00F505C8" w:rsidRPr="006C05B4">
        <w:rPr>
          <w:rFonts w:ascii="Times New Roman" w:hAnsi="Times New Roman"/>
          <w:sz w:val="16"/>
          <w:szCs w:val="16"/>
        </w:rPr>
        <w:t xml:space="preserve"> </w:t>
      </w:r>
      <w:r w:rsidR="008D66C2" w:rsidRPr="006C05B4">
        <w:rPr>
          <w:rFonts w:ascii="Times New Roman" w:hAnsi="Times New Roman"/>
          <w:sz w:val="16"/>
          <w:szCs w:val="16"/>
        </w:rPr>
        <w:t>par</w:t>
      </w:r>
      <w:r w:rsidR="008D66C2" w:rsidRPr="006C05B4">
        <w:rPr>
          <w:rFonts w:ascii="Times New Roman" w:hAnsi="Times New Roman"/>
        </w:rPr>
        <w:t xml:space="preserve"> </w:t>
      </w:r>
      <w:r w:rsidR="00F505C8" w:rsidRPr="006C05B4">
        <w:rPr>
          <w:rFonts w:ascii="Times New Roman" w:hAnsi="Times New Roman"/>
          <w:sz w:val="16"/>
          <w:szCs w:val="16"/>
        </w:rPr>
        <w:t>gaisa kuģu veikto lidojumu ietekmei, kas nav saistīta ar oglekļa dioksīda emisijām</w:t>
      </w:r>
      <w:r w:rsidR="008D66C2" w:rsidRPr="00725A67">
        <w:rPr>
          <w:rFonts w:ascii="Times New Roman" w:hAnsi="Times New Roman"/>
          <w:sz w:val="16"/>
          <w:szCs w:val="16"/>
        </w:rPr>
        <w:t>.</w:t>
      </w:r>
    </w:p>
  </w:footnote>
  <w:footnote w:id="93">
    <w:p w14:paraId="3BDF20E6" w14:textId="011D7842" w:rsidR="003E6EAD" w:rsidRPr="006C05B4" w:rsidRDefault="003A4514">
      <w:pPr>
        <w:pStyle w:val="FootnoteText"/>
        <w:rPr>
          <w:rFonts w:ascii="Times New Roman" w:hAnsi="Times New Roman"/>
        </w:rPr>
      </w:pPr>
      <w:r w:rsidRPr="006C05B4">
        <w:rPr>
          <w:rStyle w:val="FootnoteReference"/>
          <w:rFonts w:ascii="Times New Roman" w:hAnsi="Times New Roman"/>
        </w:rPr>
        <w:footnoteRef/>
      </w:r>
      <w:r w:rsidRPr="00725A67">
        <w:rPr>
          <w:rFonts w:ascii="Times New Roman" w:hAnsi="Times New Roman"/>
          <w:sz w:val="16"/>
          <w:szCs w:val="16"/>
        </w:rPr>
        <w:t xml:space="preserve"> Emisijas no visiem lielajiem kuģiem</w:t>
      </w:r>
      <w:r w:rsidR="00D96A19" w:rsidRPr="00725A67">
        <w:rPr>
          <w:rFonts w:ascii="Times New Roman" w:hAnsi="Times New Roman"/>
          <w:sz w:val="16"/>
          <w:szCs w:val="16"/>
        </w:rPr>
        <w:t xml:space="preserve"> (</w:t>
      </w:r>
      <w:r w:rsidR="005D7982" w:rsidRPr="00725A67">
        <w:rPr>
          <w:rFonts w:ascii="Times New Roman" w:hAnsi="Times New Roman"/>
          <w:sz w:val="16"/>
          <w:szCs w:val="16"/>
        </w:rPr>
        <w:t>kravas un pasažieru kuģi</w:t>
      </w:r>
      <w:r w:rsidR="00450F5B" w:rsidRPr="00725A67">
        <w:rPr>
          <w:rFonts w:ascii="Times New Roman" w:hAnsi="Times New Roman"/>
          <w:sz w:val="16"/>
          <w:szCs w:val="16"/>
        </w:rPr>
        <w:t xml:space="preserve"> ar bruto tilpību vismaz 5 000 tonnu apmērā)</w:t>
      </w:r>
      <w:r w:rsidRPr="00725A67">
        <w:rPr>
          <w:rFonts w:ascii="Times New Roman" w:hAnsi="Times New Roman"/>
          <w:sz w:val="16"/>
          <w:szCs w:val="16"/>
        </w:rPr>
        <w:t>, kas ienāk ES ostās attiecībā uz 50 % no emisijām, kas rodas reisos, kas sākas vai beidzas ārpus ES, un 100 % no emisijām, kas rodas starp divām ES ostām un kad kuģi atrodas ES ostās.</w:t>
      </w:r>
      <w:r w:rsidR="005E5DDC" w:rsidRPr="00725A67">
        <w:rPr>
          <w:rFonts w:ascii="Times New Roman" w:hAnsi="Times New Roman"/>
          <w:sz w:val="16"/>
          <w:szCs w:val="16"/>
        </w:rPr>
        <w:t xml:space="preserve"> </w:t>
      </w:r>
      <w:r w:rsidR="006E595B" w:rsidRPr="00725A67">
        <w:rPr>
          <w:rFonts w:ascii="Times New Roman" w:hAnsi="Times New Roman"/>
          <w:sz w:val="16"/>
          <w:szCs w:val="16"/>
        </w:rPr>
        <w:t>Kuģošanas sabiedrībām p</w:t>
      </w:r>
      <w:r w:rsidR="00033B72" w:rsidRPr="00725A67">
        <w:rPr>
          <w:rFonts w:ascii="Times New Roman" w:hAnsi="Times New Roman"/>
          <w:sz w:val="16"/>
          <w:szCs w:val="16"/>
        </w:rPr>
        <w:t>ar kuģiem</w:t>
      </w:r>
      <w:r w:rsidR="002D5BD2" w:rsidRPr="00725A67">
        <w:rPr>
          <w:rFonts w:ascii="Times New Roman" w:hAnsi="Times New Roman"/>
          <w:sz w:val="16"/>
          <w:szCs w:val="16"/>
        </w:rPr>
        <w:t>,</w:t>
      </w:r>
      <w:r w:rsidR="00033B72" w:rsidRPr="00725A67">
        <w:rPr>
          <w:rFonts w:ascii="Times New Roman" w:hAnsi="Times New Roman"/>
          <w:sz w:val="16"/>
          <w:szCs w:val="16"/>
        </w:rPr>
        <w:t xml:space="preserve"> </w:t>
      </w:r>
      <w:r w:rsidR="002D5BD2" w:rsidRPr="00725A67">
        <w:rPr>
          <w:rFonts w:ascii="Times New Roman" w:hAnsi="Times New Roman"/>
          <w:sz w:val="16"/>
          <w:szCs w:val="16"/>
        </w:rPr>
        <w:t xml:space="preserve">uz kuriem attiecas ES ETS, </w:t>
      </w:r>
      <w:r w:rsidR="006E595B" w:rsidRPr="00725A67">
        <w:rPr>
          <w:rFonts w:ascii="Times New Roman" w:hAnsi="Times New Roman"/>
          <w:sz w:val="16"/>
          <w:szCs w:val="16"/>
        </w:rPr>
        <w:t xml:space="preserve">sākot ar 2025. gadu ir jānodod </w:t>
      </w:r>
      <w:r w:rsidR="00622023" w:rsidRPr="00725A67">
        <w:rPr>
          <w:rFonts w:ascii="Times New Roman" w:hAnsi="Times New Roman"/>
          <w:sz w:val="16"/>
          <w:szCs w:val="16"/>
        </w:rPr>
        <w:t>kvotas par CO</w:t>
      </w:r>
      <w:r w:rsidR="00622023" w:rsidRPr="006C05B4">
        <w:rPr>
          <w:rFonts w:ascii="Times New Roman" w:hAnsi="Times New Roman"/>
          <w:sz w:val="16"/>
          <w:szCs w:val="16"/>
          <w:vertAlign w:val="subscript"/>
        </w:rPr>
        <w:t>2</w:t>
      </w:r>
      <w:r w:rsidR="00622023" w:rsidRPr="00725A67">
        <w:rPr>
          <w:rFonts w:ascii="Times New Roman" w:hAnsi="Times New Roman"/>
          <w:sz w:val="16"/>
          <w:szCs w:val="16"/>
        </w:rPr>
        <w:t xml:space="preserve"> emisijām.</w:t>
      </w:r>
      <w:r w:rsidR="002D5BD2" w:rsidRPr="00725A67">
        <w:rPr>
          <w:rFonts w:ascii="Times New Roman" w:hAnsi="Times New Roman"/>
          <w:sz w:val="16"/>
          <w:szCs w:val="16"/>
        </w:rPr>
        <w:t xml:space="preserve"> </w:t>
      </w:r>
      <w:r w:rsidR="003605AF" w:rsidRPr="00725A67">
        <w:rPr>
          <w:rFonts w:ascii="Times New Roman" w:hAnsi="Times New Roman"/>
          <w:sz w:val="16"/>
          <w:szCs w:val="16"/>
        </w:rPr>
        <w:t xml:space="preserve">Sākot ar 2026. gadu </w:t>
      </w:r>
      <w:r w:rsidR="003E64B9" w:rsidRPr="00725A67">
        <w:rPr>
          <w:rFonts w:ascii="Times New Roman" w:hAnsi="Times New Roman"/>
          <w:sz w:val="16"/>
          <w:szCs w:val="16"/>
        </w:rPr>
        <w:t>kvotas būs jānodod par CO</w:t>
      </w:r>
      <w:r w:rsidR="003E64B9" w:rsidRPr="006C05B4">
        <w:rPr>
          <w:rFonts w:ascii="Times New Roman" w:hAnsi="Times New Roman"/>
          <w:sz w:val="16"/>
          <w:szCs w:val="16"/>
          <w:vertAlign w:val="subscript"/>
        </w:rPr>
        <w:t>2</w:t>
      </w:r>
      <w:r w:rsidR="003E64B9" w:rsidRPr="00725A67">
        <w:rPr>
          <w:rFonts w:ascii="Times New Roman" w:hAnsi="Times New Roman"/>
          <w:sz w:val="16"/>
          <w:szCs w:val="16"/>
        </w:rPr>
        <w:t>, CH</w:t>
      </w:r>
      <w:r w:rsidR="003E64B9" w:rsidRPr="006C05B4">
        <w:rPr>
          <w:rFonts w:ascii="Times New Roman" w:hAnsi="Times New Roman"/>
          <w:sz w:val="16"/>
          <w:szCs w:val="16"/>
          <w:vertAlign w:val="subscript"/>
        </w:rPr>
        <w:t>4</w:t>
      </w:r>
      <w:r w:rsidR="003E64B9" w:rsidRPr="00725A67">
        <w:rPr>
          <w:rFonts w:ascii="Times New Roman" w:hAnsi="Times New Roman"/>
          <w:sz w:val="16"/>
          <w:szCs w:val="16"/>
        </w:rPr>
        <w:t xml:space="preserve"> un N</w:t>
      </w:r>
      <w:r w:rsidR="003E64B9" w:rsidRPr="006C05B4">
        <w:rPr>
          <w:rFonts w:ascii="Times New Roman" w:hAnsi="Times New Roman"/>
          <w:sz w:val="16"/>
          <w:szCs w:val="16"/>
          <w:vertAlign w:val="subscript"/>
        </w:rPr>
        <w:t>2</w:t>
      </w:r>
      <w:r w:rsidR="003E64B9" w:rsidRPr="00725A67">
        <w:rPr>
          <w:rFonts w:ascii="Times New Roman" w:hAnsi="Times New Roman"/>
          <w:sz w:val="16"/>
          <w:szCs w:val="16"/>
        </w:rPr>
        <w:t>O emisijām.</w:t>
      </w:r>
    </w:p>
  </w:footnote>
  <w:footnote w:id="94">
    <w:p w14:paraId="79FDF1D7" w14:textId="77777777" w:rsidR="003E6EAD" w:rsidRPr="006C05B4" w:rsidRDefault="003A4514">
      <w:pPr>
        <w:pStyle w:val="FootnoteText"/>
        <w:rPr>
          <w:rFonts w:ascii="Times New Roman" w:hAnsi="Times New Roman"/>
        </w:rPr>
      </w:pPr>
      <w:r w:rsidRPr="006C05B4">
        <w:rPr>
          <w:rStyle w:val="FootnoteReference"/>
          <w:rFonts w:ascii="Times New Roman" w:hAnsi="Times New Roman"/>
        </w:rPr>
        <w:footnoteRef/>
      </w:r>
      <w:r w:rsidRPr="006C05B4">
        <w:rPr>
          <w:rFonts w:ascii="Times New Roman" w:hAnsi="Times New Roman"/>
          <w:sz w:val="16"/>
          <w:szCs w:val="16"/>
        </w:rPr>
        <w:t xml:space="preserve"> Papildus 27 dalībvalstīm ES ETS attiecas arī uz Islandi, Lihtenšteinu un Norvēģiju, kuras arī  piedalās ES – ETS. Sākotnēji ESD attiecās arī uz Apvienoto Karalisti.</w:t>
      </w:r>
    </w:p>
  </w:footnote>
  <w:footnote w:id="95">
    <w:p w14:paraId="1E33C097" w14:textId="77777777" w:rsidR="003E6EAD" w:rsidRPr="006C05B4" w:rsidRDefault="003A4514">
      <w:pPr>
        <w:pStyle w:val="FootnoteText"/>
        <w:rPr>
          <w:rFonts w:ascii="Times New Roman" w:hAnsi="Times New Roman"/>
        </w:rPr>
      </w:pPr>
      <w:r w:rsidRPr="006C05B4">
        <w:rPr>
          <w:rStyle w:val="FootnoteReference"/>
          <w:rFonts w:ascii="Times New Roman" w:hAnsi="Times New Roman"/>
        </w:rPr>
        <w:footnoteRef/>
      </w:r>
      <w:r w:rsidRPr="006C05B4">
        <w:rPr>
          <w:rFonts w:ascii="Times New Roman" w:hAnsi="Times New Roman"/>
          <w:sz w:val="16"/>
          <w:szCs w:val="16"/>
        </w:rPr>
        <w:t xml:space="preserve"> Papildus 27 dalībvalstīm ES ETS attiecas arī uz Islandi, Lihtenšteinu un Norvēģiju, kuras arī  piedalās ES – ETS. Norvēģija un Islande arī ir iekļāvušas ESR.</w:t>
      </w:r>
    </w:p>
  </w:footnote>
  <w:footnote w:id="96">
    <w:p w14:paraId="42702185" w14:textId="49D962EC" w:rsidR="003E6EAD" w:rsidRDefault="003A4514">
      <w:pPr>
        <w:pStyle w:val="FootnoteText"/>
      </w:pPr>
      <w:r w:rsidRPr="006C05B4">
        <w:rPr>
          <w:rStyle w:val="FootnoteReference"/>
          <w:rFonts w:ascii="Times New Roman" w:hAnsi="Times New Roman"/>
        </w:rPr>
        <w:footnoteRef/>
      </w:r>
      <w:r w:rsidRPr="006C05B4">
        <w:rPr>
          <w:rFonts w:ascii="Times New Roman" w:hAnsi="Times New Roman"/>
          <w:sz w:val="16"/>
          <w:szCs w:val="16"/>
        </w:rPr>
        <w:t xml:space="preserve"> Nolīguma par Eiropas Ekonomikas zonu ietvaros Islande un Norvēģija sadarbojas ar ES-27, lai sasniegtu 2030. gada ZIZIMM un </w:t>
      </w:r>
      <w:r w:rsidR="002F0ABD" w:rsidRPr="002F0ABD">
        <w:rPr>
          <w:rFonts w:ascii="Times New Roman" w:hAnsi="Times New Roman"/>
          <w:sz w:val="16"/>
          <w:szCs w:val="16"/>
        </w:rPr>
        <w:t>Regul</w:t>
      </w:r>
      <w:r w:rsidR="002F0ABD">
        <w:rPr>
          <w:rFonts w:ascii="Times New Roman" w:hAnsi="Times New Roman"/>
          <w:sz w:val="16"/>
          <w:szCs w:val="16"/>
        </w:rPr>
        <w:t>ā</w:t>
      </w:r>
      <w:r w:rsidR="002F0ABD" w:rsidRPr="002F0ABD">
        <w:rPr>
          <w:rFonts w:ascii="Times New Roman" w:hAnsi="Times New Roman"/>
          <w:sz w:val="16"/>
          <w:szCs w:val="16"/>
        </w:rPr>
        <w:t xml:space="preserve"> 2018/842</w:t>
      </w:r>
      <w:r w:rsidR="002F0ABD">
        <w:rPr>
          <w:rFonts w:ascii="Times New Roman" w:hAnsi="Times New Roman"/>
          <w:sz w:val="16"/>
          <w:szCs w:val="16"/>
        </w:rPr>
        <w:t xml:space="preserve"> </w:t>
      </w:r>
      <w:r w:rsidRPr="006C05B4">
        <w:rPr>
          <w:rFonts w:ascii="Times New Roman" w:hAnsi="Times New Roman"/>
          <w:sz w:val="16"/>
          <w:szCs w:val="16"/>
        </w:rPr>
        <w:t>noteiktos mērķus.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5" w:type="dxa"/>
      <w:tblLayout w:type="fixed"/>
      <w:tblCellMar>
        <w:left w:w="10" w:type="dxa"/>
        <w:right w:w="10" w:type="dxa"/>
      </w:tblCellMar>
      <w:tblLook w:val="04A0" w:firstRow="1" w:lastRow="0" w:firstColumn="1" w:lastColumn="0" w:noHBand="0" w:noVBand="1"/>
    </w:tblPr>
    <w:tblGrid>
      <w:gridCol w:w="3115"/>
      <w:gridCol w:w="3115"/>
      <w:gridCol w:w="3115"/>
    </w:tblGrid>
    <w:tr w:rsidR="00536552" w14:paraId="00432B97" w14:textId="77777777">
      <w:trPr>
        <w:trHeight w:val="300"/>
      </w:trPr>
      <w:tc>
        <w:tcPr>
          <w:tcW w:w="3115" w:type="dxa"/>
          <w:shd w:val="clear" w:color="auto" w:fill="auto"/>
          <w:tcMar>
            <w:top w:w="0" w:type="dxa"/>
            <w:left w:w="108" w:type="dxa"/>
            <w:bottom w:w="0" w:type="dxa"/>
            <w:right w:w="108" w:type="dxa"/>
          </w:tcMar>
        </w:tcPr>
        <w:p w14:paraId="0203F4E8" w14:textId="77777777" w:rsidR="003A4514" w:rsidRDefault="003A4514">
          <w:pPr>
            <w:pStyle w:val="Header"/>
            <w:ind w:left="-115"/>
          </w:pPr>
        </w:p>
      </w:tc>
      <w:tc>
        <w:tcPr>
          <w:tcW w:w="3115" w:type="dxa"/>
          <w:shd w:val="clear" w:color="auto" w:fill="auto"/>
          <w:tcMar>
            <w:top w:w="0" w:type="dxa"/>
            <w:left w:w="108" w:type="dxa"/>
            <w:bottom w:w="0" w:type="dxa"/>
            <w:right w:w="108" w:type="dxa"/>
          </w:tcMar>
        </w:tcPr>
        <w:p w14:paraId="6CD71FA7" w14:textId="77777777" w:rsidR="003A4514" w:rsidRDefault="003A4514">
          <w:pPr>
            <w:pStyle w:val="Header"/>
            <w:jc w:val="center"/>
          </w:pPr>
        </w:p>
      </w:tc>
      <w:tc>
        <w:tcPr>
          <w:tcW w:w="3115" w:type="dxa"/>
          <w:shd w:val="clear" w:color="auto" w:fill="auto"/>
          <w:tcMar>
            <w:top w:w="0" w:type="dxa"/>
            <w:left w:w="108" w:type="dxa"/>
            <w:bottom w:w="0" w:type="dxa"/>
            <w:right w:w="108" w:type="dxa"/>
          </w:tcMar>
        </w:tcPr>
        <w:p w14:paraId="13E62C6E" w14:textId="77777777" w:rsidR="003A4514" w:rsidRDefault="003A4514">
          <w:pPr>
            <w:pStyle w:val="Header"/>
            <w:ind w:right="-115"/>
            <w:jc w:val="right"/>
          </w:pPr>
        </w:p>
      </w:tc>
    </w:tr>
  </w:tbl>
  <w:p w14:paraId="2BEBF91A" w14:textId="77777777" w:rsidR="003A4514" w:rsidRDefault="003A45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B2E49" w14:textId="77777777" w:rsidR="003A4514" w:rsidRDefault="003A4514">
    <w:pPr>
      <w:pStyle w:val="Header"/>
      <w:tabs>
        <w:tab w:val="left" w:pos="6375"/>
        <w:tab w:val="right" w:pos="9356"/>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2547" w14:textId="77777777" w:rsidR="003A4514" w:rsidRDefault="003A45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21ED0" w14:textId="77777777" w:rsidR="003A4514" w:rsidRDefault="003A4514">
    <w:pPr>
      <w:pStyle w:val="Header"/>
      <w:tabs>
        <w:tab w:val="left" w:pos="6375"/>
        <w:tab w:val="right" w:pos="9356"/>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1EC"/>
    <w:multiLevelType w:val="multilevel"/>
    <w:tmpl w:val="B0CC0508"/>
    <w:lvl w:ilvl="0">
      <w:start w:val="2"/>
      <w:numFmt w:val="decimal"/>
      <w:lvlText w:val="%1."/>
      <w:lvlJc w:val="left"/>
      <w:pPr>
        <w:ind w:left="400" w:hanging="4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20A6898"/>
    <w:multiLevelType w:val="hybridMultilevel"/>
    <w:tmpl w:val="DD44F3FE"/>
    <w:lvl w:ilvl="0" w:tplc="04260001">
      <w:start w:val="1"/>
      <w:numFmt w:val="bullet"/>
      <w:lvlText w:val=""/>
      <w:lvlJc w:val="left"/>
      <w:pPr>
        <w:ind w:left="1176" w:hanging="360"/>
      </w:pPr>
      <w:rPr>
        <w:rFonts w:ascii="Symbol" w:hAnsi="Symbol" w:hint="default"/>
      </w:rPr>
    </w:lvl>
    <w:lvl w:ilvl="1" w:tplc="04260003" w:tentative="1">
      <w:start w:val="1"/>
      <w:numFmt w:val="bullet"/>
      <w:lvlText w:val="o"/>
      <w:lvlJc w:val="left"/>
      <w:pPr>
        <w:ind w:left="1896" w:hanging="360"/>
      </w:pPr>
      <w:rPr>
        <w:rFonts w:ascii="Courier New" w:hAnsi="Courier New" w:cs="Courier New" w:hint="default"/>
      </w:rPr>
    </w:lvl>
    <w:lvl w:ilvl="2" w:tplc="04260005" w:tentative="1">
      <w:start w:val="1"/>
      <w:numFmt w:val="bullet"/>
      <w:lvlText w:val=""/>
      <w:lvlJc w:val="left"/>
      <w:pPr>
        <w:ind w:left="2616" w:hanging="360"/>
      </w:pPr>
      <w:rPr>
        <w:rFonts w:ascii="Wingdings" w:hAnsi="Wingdings" w:hint="default"/>
      </w:rPr>
    </w:lvl>
    <w:lvl w:ilvl="3" w:tplc="04260001" w:tentative="1">
      <w:start w:val="1"/>
      <w:numFmt w:val="bullet"/>
      <w:lvlText w:val=""/>
      <w:lvlJc w:val="left"/>
      <w:pPr>
        <w:ind w:left="3336" w:hanging="360"/>
      </w:pPr>
      <w:rPr>
        <w:rFonts w:ascii="Symbol" w:hAnsi="Symbol" w:hint="default"/>
      </w:rPr>
    </w:lvl>
    <w:lvl w:ilvl="4" w:tplc="04260003" w:tentative="1">
      <w:start w:val="1"/>
      <w:numFmt w:val="bullet"/>
      <w:lvlText w:val="o"/>
      <w:lvlJc w:val="left"/>
      <w:pPr>
        <w:ind w:left="4056" w:hanging="360"/>
      </w:pPr>
      <w:rPr>
        <w:rFonts w:ascii="Courier New" w:hAnsi="Courier New" w:cs="Courier New" w:hint="default"/>
      </w:rPr>
    </w:lvl>
    <w:lvl w:ilvl="5" w:tplc="04260005" w:tentative="1">
      <w:start w:val="1"/>
      <w:numFmt w:val="bullet"/>
      <w:lvlText w:val=""/>
      <w:lvlJc w:val="left"/>
      <w:pPr>
        <w:ind w:left="4776" w:hanging="360"/>
      </w:pPr>
      <w:rPr>
        <w:rFonts w:ascii="Wingdings" w:hAnsi="Wingdings" w:hint="default"/>
      </w:rPr>
    </w:lvl>
    <w:lvl w:ilvl="6" w:tplc="04260001" w:tentative="1">
      <w:start w:val="1"/>
      <w:numFmt w:val="bullet"/>
      <w:lvlText w:val=""/>
      <w:lvlJc w:val="left"/>
      <w:pPr>
        <w:ind w:left="5496" w:hanging="360"/>
      </w:pPr>
      <w:rPr>
        <w:rFonts w:ascii="Symbol" w:hAnsi="Symbol" w:hint="default"/>
      </w:rPr>
    </w:lvl>
    <w:lvl w:ilvl="7" w:tplc="04260003" w:tentative="1">
      <w:start w:val="1"/>
      <w:numFmt w:val="bullet"/>
      <w:lvlText w:val="o"/>
      <w:lvlJc w:val="left"/>
      <w:pPr>
        <w:ind w:left="6216" w:hanging="360"/>
      </w:pPr>
      <w:rPr>
        <w:rFonts w:ascii="Courier New" w:hAnsi="Courier New" w:cs="Courier New" w:hint="default"/>
      </w:rPr>
    </w:lvl>
    <w:lvl w:ilvl="8" w:tplc="04260005" w:tentative="1">
      <w:start w:val="1"/>
      <w:numFmt w:val="bullet"/>
      <w:lvlText w:val=""/>
      <w:lvlJc w:val="left"/>
      <w:pPr>
        <w:ind w:left="6936" w:hanging="360"/>
      </w:pPr>
      <w:rPr>
        <w:rFonts w:ascii="Wingdings" w:hAnsi="Wingdings" w:hint="default"/>
      </w:rPr>
    </w:lvl>
  </w:abstractNum>
  <w:abstractNum w:abstractNumId="2" w15:restartNumberingAfterBreak="0">
    <w:nsid w:val="12B44645"/>
    <w:multiLevelType w:val="multilevel"/>
    <w:tmpl w:val="329E23DC"/>
    <w:lvl w:ilvl="0">
      <w:start w:val="1"/>
      <w:numFmt w:val="decimal"/>
      <w:lvlText w:val="%1."/>
      <w:lvlJc w:val="left"/>
      <w:pPr>
        <w:ind w:left="1080" w:hanging="360"/>
      </w:pPr>
      <w:rPr>
        <w:b/>
      </w:rPr>
    </w:lvl>
    <w:lvl w:ilvl="1">
      <w:start w:val="2"/>
      <w:numFmt w:val="decimal"/>
      <w:lvlText w:val="%1.%2."/>
      <w:lvlJc w:val="left"/>
      <w:pPr>
        <w:ind w:left="1440" w:hanging="720"/>
      </w:pPr>
      <w:rPr>
        <w:rFonts w:ascii="Cambria" w:hAnsi="Cambria"/>
        <w:b/>
        <w:sz w:val="24"/>
      </w:rPr>
    </w:lvl>
    <w:lvl w:ilvl="2">
      <w:start w:val="1"/>
      <w:numFmt w:val="decimal"/>
      <w:lvlText w:val="%1.%2.%3."/>
      <w:lvlJc w:val="left"/>
      <w:pPr>
        <w:ind w:left="1440" w:hanging="720"/>
      </w:pPr>
      <w:rPr>
        <w:rFonts w:ascii="Cambria" w:hAnsi="Cambria"/>
        <w:b/>
        <w:sz w:val="24"/>
      </w:rPr>
    </w:lvl>
    <w:lvl w:ilvl="3">
      <w:start w:val="1"/>
      <w:numFmt w:val="decimal"/>
      <w:lvlText w:val="%1.%2.%3.%4."/>
      <w:lvlJc w:val="left"/>
      <w:pPr>
        <w:ind w:left="1800" w:hanging="1080"/>
      </w:pPr>
      <w:rPr>
        <w:rFonts w:ascii="Cambria" w:hAnsi="Cambria"/>
        <w:b/>
        <w:sz w:val="24"/>
      </w:rPr>
    </w:lvl>
    <w:lvl w:ilvl="4">
      <w:start w:val="1"/>
      <w:numFmt w:val="decimal"/>
      <w:lvlText w:val="%1.%2.%3.%4.%5."/>
      <w:lvlJc w:val="left"/>
      <w:pPr>
        <w:ind w:left="1800" w:hanging="1080"/>
      </w:pPr>
      <w:rPr>
        <w:rFonts w:ascii="Cambria" w:hAnsi="Cambria"/>
        <w:b/>
        <w:sz w:val="24"/>
      </w:rPr>
    </w:lvl>
    <w:lvl w:ilvl="5">
      <w:start w:val="1"/>
      <w:numFmt w:val="decimal"/>
      <w:lvlText w:val="%1.%2.%3.%4.%5.%6."/>
      <w:lvlJc w:val="left"/>
      <w:pPr>
        <w:ind w:left="2160" w:hanging="1440"/>
      </w:pPr>
      <w:rPr>
        <w:rFonts w:ascii="Cambria" w:hAnsi="Cambria"/>
        <w:b/>
        <w:sz w:val="24"/>
      </w:rPr>
    </w:lvl>
    <w:lvl w:ilvl="6">
      <w:start w:val="1"/>
      <w:numFmt w:val="decimal"/>
      <w:lvlText w:val="%1.%2.%3.%4.%5.%6.%7."/>
      <w:lvlJc w:val="left"/>
      <w:pPr>
        <w:ind w:left="2520" w:hanging="1800"/>
      </w:pPr>
      <w:rPr>
        <w:rFonts w:ascii="Cambria" w:hAnsi="Cambria"/>
        <w:b/>
        <w:sz w:val="24"/>
      </w:rPr>
    </w:lvl>
    <w:lvl w:ilvl="7">
      <w:start w:val="1"/>
      <w:numFmt w:val="decimal"/>
      <w:lvlText w:val="%1.%2.%3.%4.%5.%6.%7.%8."/>
      <w:lvlJc w:val="left"/>
      <w:pPr>
        <w:ind w:left="2520" w:hanging="1800"/>
      </w:pPr>
      <w:rPr>
        <w:rFonts w:ascii="Cambria" w:hAnsi="Cambria"/>
        <w:b/>
        <w:sz w:val="24"/>
      </w:rPr>
    </w:lvl>
    <w:lvl w:ilvl="8">
      <w:start w:val="1"/>
      <w:numFmt w:val="decimal"/>
      <w:lvlText w:val="%1.%2.%3.%4.%5.%6.%7.%8.%9."/>
      <w:lvlJc w:val="left"/>
      <w:pPr>
        <w:ind w:left="2880" w:hanging="2160"/>
      </w:pPr>
      <w:rPr>
        <w:rFonts w:ascii="Cambria" w:hAnsi="Cambria"/>
        <w:b/>
        <w:sz w:val="24"/>
      </w:rPr>
    </w:lvl>
  </w:abstractNum>
  <w:abstractNum w:abstractNumId="3" w15:restartNumberingAfterBreak="0">
    <w:nsid w:val="17DD23BA"/>
    <w:multiLevelType w:val="multilevel"/>
    <w:tmpl w:val="8D14BB16"/>
    <w:lvl w:ilvl="0">
      <w:start w:val="5"/>
      <w:numFmt w:val="decimal"/>
      <w:lvlText w:val="%1."/>
      <w:lvlJc w:val="left"/>
      <w:pPr>
        <w:ind w:left="408" w:hanging="408"/>
      </w:pPr>
      <w:rPr>
        <w:rFonts w:ascii="Cambria" w:eastAsia="Yu Gothic" w:hAnsi="Cambria" w:cs="Arial" w:hint="default"/>
        <w:b/>
        <w:color w:val="155452"/>
        <w:sz w:val="24"/>
      </w:rPr>
    </w:lvl>
    <w:lvl w:ilvl="1">
      <w:start w:val="1"/>
      <w:numFmt w:val="decimal"/>
      <w:lvlText w:val="%1.%2."/>
      <w:lvlJc w:val="left"/>
      <w:pPr>
        <w:ind w:left="720" w:hanging="720"/>
      </w:pPr>
      <w:rPr>
        <w:rFonts w:ascii="Cambria" w:eastAsia="Yu Gothic" w:hAnsi="Cambria" w:cs="Arial" w:hint="default"/>
        <w:b/>
        <w:color w:val="155452"/>
        <w:sz w:val="24"/>
      </w:rPr>
    </w:lvl>
    <w:lvl w:ilvl="2">
      <w:start w:val="1"/>
      <w:numFmt w:val="decimal"/>
      <w:lvlText w:val="%1.%2.%3."/>
      <w:lvlJc w:val="left"/>
      <w:pPr>
        <w:ind w:left="1080" w:hanging="1080"/>
      </w:pPr>
      <w:rPr>
        <w:rFonts w:ascii="Cambria" w:eastAsia="Yu Gothic" w:hAnsi="Cambria" w:cs="Arial" w:hint="default"/>
        <w:b/>
        <w:color w:val="155452"/>
        <w:sz w:val="24"/>
      </w:rPr>
    </w:lvl>
    <w:lvl w:ilvl="3">
      <w:start w:val="1"/>
      <w:numFmt w:val="decimal"/>
      <w:lvlText w:val="%1.%2.%3.%4."/>
      <w:lvlJc w:val="left"/>
      <w:pPr>
        <w:ind w:left="1080" w:hanging="1080"/>
      </w:pPr>
      <w:rPr>
        <w:rFonts w:ascii="Cambria" w:eastAsia="Yu Gothic" w:hAnsi="Cambria" w:cs="Arial" w:hint="default"/>
        <w:b/>
        <w:color w:val="155452"/>
        <w:sz w:val="24"/>
      </w:rPr>
    </w:lvl>
    <w:lvl w:ilvl="4">
      <w:start w:val="1"/>
      <w:numFmt w:val="decimal"/>
      <w:lvlText w:val="%1.%2.%3.%4.%5."/>
      <w:lvlJc w:val="left"/>
      <w:pPr>
        <w:ind w:left="1440" w:hanging="1440"/>
      </w:pPr>
      <w:rPr>
        <w:rFonts w:ascii="Cambria" w:eastAsia="Yu Gothic" w:hAnsi="Cambria" w:cs="Arial" w:hint="default"/>
        <w:b/>
        <w:color w:val="155452"/>
        <w:sz w:val="24"/>
      </w:rPr>
    </w:lvl>
    <w:lvl w:ilvl="5">
      <w:start w:val="1"/>
      <w:numFmt w:val="decimal"/>
      <w:lvlText w:val="%1.%2.%3.%4.%5.%6."/>
      <w:lvlJc w:val="left"/>
      <w:pPr>
        <w:ind w:left="1800" w:hanging="1800"/>
      </w:pPr>
      <w:rPr>
        <w:rFonts w:ascii="Cambria" w:eastAsia="Yu Gothic" w:hAnsi="Cambria" w:cs="Arial" w:hint="default"/>
        <w:b/>
        <w:color w:val="155452"/>
        <w:sz w:val="24"/>
      </w:rPr>
    </w:lvl>
    <w:lvl w:ilvl="6">
      <w:start w:val="1"/>
      <w:numFmt w:val="decimal"/>
      <w:lvlText w:val="%1.%2.%3.%4.%5.%6.%7."/>
      <w:lvlJc w:val="left"/>
      <w:pPr>
        <w:ind w:left="1800" w:hanging="1800"/>
      </w:pPr>
      <w:rPr>
        <w:rFonts w:ascii="Cambria" w:eastAsia="Yu Gothic" w:hAnsi="Cambria" w:cs="Arial" w:hint="default"/>
        <w:b/>
        <w:color w:val="155452"/>
        <w:sz w:val="24"/>
      </w:rPr>
    </w:lvl>
    <w:lvl w:ilvl="7">
      <w:start w:val="1"/>
      <w:numFmt w:val="decimal"/>
      <w:lvlText w:val="%1.%2.%3.%4.%5.%6.%7.%8."/>
      <w:lvlJc w:val="left"/>
      <w:pPr>
        <w:ind w:left="2160" w:hanging="2160"/>
      </w:pPr>
      <w:rPr>
        <w:rFonts w:ascii="Cambria" w:eastAsia="Yu Gothic" w:hAnsi="Cambria" w:cs="Arial" w:hint="default"/>
        <w:b/>
        <w:color w:val="155452"/>
        <w:sz w:val="24"/>
      </w:rPr>
    </w:lvl>
    <w:lvl w:ilvl="8">
      <w:start w:val="1"/>
      <w:numFmt w:val="decimal"/>
      <w:lvlText w:val="%1.%2.%3.%4.%5.%6.%7.%8.%9."/>
      <w:lvlJc w:val="left"/>
      <w:pPr>
        <w:ind w:left="2520" w:hanging="2520"/>
      </w:pPr>
      <w:rPr>
        <w:rFonts w:ascii="Cambria" w:eastAsia="Yu Gothic" w:hAnsi="Cambria" w:cs="Arial" w:hint="default"/>
        <w:b/>
        <w:color w:val="155452"/>
        <w:sz w:val="24"/>
      </w:rPr>
    </w:lvl>
  </w:abstractNum>
  <w:abstractNum w:abstractNumId="4" w15:restartNumberingAfterBreak="0">
    <w:nsid w:val="23AB208E"/>
    <w:multiLevelType w:val="multilevel"/>
    <w:tmpl w:val="3F70FB90"/>
    <w:lvl w:ilvl="0">
      <w:start w:val="1"/>
      <w:numFmt w:val="decimal"/>
      <w:lvlText w:val="%1."/>
      <w:lvlJc w:val="left"/>
      <w:pPr>
        <w:ind w:left="1440" w:hanging="360"/>
      </w:pPr>
      <w:rPr>
        <w:rFonts w:ascii="Times New Roman" w:hAnsi="Times New Roman"/>
        <w:b/>
        <w:sz w:val="24"/>
      </w:rPr>
    </w:lvl>
    <w:lvl w:ilvl="1">
      <w:start w:val="1"/>
      <w:numFmt w:val="lowerLetter"/>
      <w:lvlText w:val="."/>
      <w:lvlJc w:val="left"/>
      <w:pPr>
        <w:ind w:left="2160" w:hanging="360"/>
      </w:pPr>
    </w:lvl>
    <w:lvl w:ilvl="2">
      <w:start w:val="1"/>
      <w:numFmt w:val="lowerRoman"/>
      <w:lvlText w:val="."/>
      <w:lvlJc w:val="right"/>
      <w:pPr>
        <w:ind w:left="2880" w:hanging="180"/>
      </w:pPr>
    </w:lvl>
    <w:lvl w:ilvl="3">
      <w:start w:val="1"/>
      <w:numFmt w:val="decimal"/>
      <w:lvlText w:val="."/>
      <w:lvlJc w:val="left"/>
      <w:pPr>
        <w:ind w:left="3600" w:hanging="360"/>
      </w:pPr>
    </w:lvl>
    <w:lvl w:ilvl="4">
      <w:start w:val="1"/>
      <w:numFmt w:val="lowerLetter"/>
      <w:lvlText w:val="."/>
      <w:lvlJc w:val="left"/>
      <w:pPr>
        <w:ind w:left="4320" w:hanging="360"/>
      </w:pPr>
    </w:lvl>
    <w:lvl w:ilvl="5">
      <w:start w:val="1"/>
      <w:numFmt w:val="lowerRoman"/>
      <w:lvlText w:val="."/>
      <w:lvlJc w:val="right"/>
      <w:pPr>
        <w:ind w:left="5040" w:hanging="180"/>
      </w:pPr>
    </w:lvl>
    <w:lvl w:ilvl="6">
      <w:start w:val="1"/>
      <w:numFmt w:val="decimal"/>
      <w:lvlText w:val="."/>
      <w:lvlJc w:val="left"/>
      <w:pPr>
        <w:ind w:left="5760" w:hanging="360"/>
      </w:pPr>
    </w:lvl>
    <w:lvl w:ilvl="7">
      <w:start w:val="1"/>
      <w:numFmt w:val="lowerLetter"/>
      <w:lvlText w:val="."/>
      <w:lvlJc w:val="left"/>
      <w:pPr>
        <w:ind w:left="6480" w:hanging="360"/>
      </w:pPr>
    </w:lvl>
    <w:lvl w:ilvl="8">
      <w:start w:val="1"/>
      <w:numFmt w:val="lowerRoman"/>
      <w:lvlText w:val="."/>
      <w:lvlJc w:val="right"/>
      <w:pPr>
        <w:ind w:left="7200" w:hanging="180"/>
      </w:pPr>
    </w:lvl>
  </w:abstractNum>
  <w:abstractNum w:abstractNumId="5" w15:restartNumberingAfterBreak="0">
    <w:nsid w:val="25847BF7"/>
    <w:multiLevelType w:val="multilevel"/>
    <w:tmpl w:val="1F1CFF62"/>
    <w:lvl w:ilvl="0">
      <w:start w:val="1"/>
      <w:numFmt w:val="lowerLetter"/>
      <w:lvlText w:val="%1."/>
      <w:lvlJc w:val="left"/>
      <w:pPr>
        <w:ind w:left="991" w:hanging="424"/>
      </w:pPr>
      <w:rPr>
        <w:rFonts w:ascii="Times New Roman" w:eastAsia="Calibri" w:hAnsi="Times New Roman" w:cs="Times New Roman"/>
        <w:sz w:val="24"/>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6" w15:restartNumberingAfterBreak="0">
    <w:nsid w:val="2AA076F5"/>
    <w:multiLevelType w:val="multilevel"/>
    <w:tmpl w:val="F3104B2E"/>
    <w:lvl w:ilvl="0">
      <w:start w:val="2"/>
      <w:numFmt w:val="decimal"/>
      <w:lvlText w:val="%1."/>
      <w:lvlJc w:val="left"/>
      <w:pPr>
        <w:ind w:left="644" w:hanging="360"/>
      </w:pPr>
    </w:lvl>
    <w:lvl w:ilvl="1">
      <w:start w:val="1"/>
      <w:numFmt w:val="lowerLetter"/>
      <w:lvlText w:val="."/>
      <w:lvlJc w:val="left"/>
      <w:pPr>
        <w:ind w:left="1364" w:hanging="360"/>
      </w:pPr>
    </w:lvl>
    <w:lvl w:ilvl="2">
      <w:start w:val="1"/>
      <w:numFmt w:val="lowerRoman"/>
      <w:lvlText w:val="."/>
      <w:lvlJc w:val="right"/>
      <w:pPr>
        <w:ind w:left="2084" w:hanging="180"/>
      </w:pPr>
    </w:lvl>
    <w:lvl w:ilvl="3">
      <w:start w:val="1"/>
      <w:numFmt w:val="decimal"/>
      <w:lvlText w:val="."/>
      <w:lvlJc w:val="left"/>
      <w:pPr>
        <w:ind w:left="2804" w:hanging="360"/>
      </w:pPr>
    </w:lvl>
    <w:lvl w:ilvl="4">
      <w:start w:val="1"/>
      <w:numFmt w:val="lowerLetter"/>
      <w:lvlText w:val="."/>
      <w:lvlJc w:val="left"/>
      <w:pPr>
        <w:ind w:left="3524" w:hanging="360"/>
      </w:pPr>
    </w:lvl>
    <w:lvl w:ilvl="5">
      <w:start w:val="1"/>
      <w:numFmt w:val="lowerRoman"/>
      <w:lvlText w:val="."/>
      <w:lvlJc w:val="right"/>
      <w:pPr>
        <w:ind w:left="4244" w:hanging="180"/>
      </w:pPr>
    </w:lvl>
    <w:lvl w:ilvl="6">
      <w:start w:val="1"/>
      <w:numFmt w:val="decimal"/>
      <w:lvlText w:val="."/>
      <w:lvlJc w:val="left"/>
      <w:pPr>
        <w:ind w:left="4964" w:hanging="360"/>
      </w:pPr>
    </w:lvl>
    <w:lvl w:ilvl="7">
      <w:start w:val="1"/>
      <w:numFmt w:val="lowerLetter"/>
      <w:lvlText w:val="."/>
      <w:lvlJc w:val="left"/>
      <w:pPr>
        <w:ind w:left="5684" w:hanging="360"/>
      </w:pPr>
    </w:lvl>
    <w:lvl w:ilvl="8">
      <w:start w:val="1"/>
      <w:numFmt w:val="lowerRoman"/>
      <w:lvlText w:val="."/>
      <w:lvlJc w:val="right"/>
      <w:pPr>
        <w:ind w:left="6404" w:hanging="180"/>
      </w:pPr>
    </w:lvl>
  </w:abstractNum>
  <w:abstractNum w:abstractNumId="7" w15:restartNumberingAfterBreak="0">
    <w:nsid w:val="330C0935"/>
    <w:multiLevelType w:val="multilevel"/>
    <w:tmpl w:val="CA664BC8"/>
    <w:lvl w:ilvl="0">
      <w:start w:val="1"/>
      <w:numFmt w:val="decimal"/>
      <w:lvlText w:val="%1."/>
      <w:lvlJc w:val="left"/>
      <w:pPr>
        <w:ind w:left="1080" w:hanging="360"/>
      </w:pPr>
      <w:rPr>
        <w:rFonts w:ascii="Cambria" w:eastAsia="Yu Gothic" w:hAnsi="Cambria" w:cs="Arial"/>
        <w:b/>
        <w:color w:val="155452"/>
      </w:rPr>
    </w:lvl>
    <w:lvl w:ilvl="1">
      <w:start w:val="2"/>
      <w:numFmt w:val="decimal"/>
      <w:lvlText w:val="%1.%2."/>
      <w:lvlJc w:val="left"/>
      <w:pPr>
        <w:ind w:left="1440" w:hanging="720"/>
      </w:pPr>
    </w:lvl>
    <w:lvl w:ilvl="2">
      <w:start w:val="5"/>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880" w:hanging="2160"/>
      </w:pPr>
    </w:lvl>
  </w:abstractNum>
  <w:abstractNum w:abstractNumId="8" w15:restartNumberingAfterBreak="0">
    <w:nsid w:val="34EA45D1"/>
    <w:multiLevelType w:val="multilevel"/>
    <w:tmpl w:val="3CDE5A50"/>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354E3C17"/>
    <w:multiLevelType w:val="multilevel"/>
    <w:tmpl w:val="1E16BC14"/>
    <w:lvl w:ilvl="0">
      <w:start w:val="1"/>
      <w:numFmt w:val="decimal"/>
      <w:lvlText w:val="%1."/>
      <w:lvlJc w:val="left"/>
      <w:pPr>
        <w:ind w:left="612" w:hanging="612"/>
      </w:pPr>
    </w:lvl>
    <w:lvl w:ilvl="1">
      <w:start w:val="2"/>
      <w:numFmt w:val="decimal"/>
      <w:lvlText w:val="%1.%2."/>
      <w:lvlJc w:val="left"/>
      <w:pPr>
        <w:ind w:left="1080" w:hanging="720"/>
      </w:pPr>
    </w:lvl>
    <w:lvl w:ilvl="2">
      <w:start w:val="4"/>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 w15:restartNumberingAfterBreak="0">
    <w:nsid w:val="35D44E7F"/>
    <w:multiLevelType w:val="multilevel"/>
    <w:tmpl w:val="41D61E5C"/>
    <w:lvl w:ilvl="0">
      <w:start w:val="3"/>
      <w:numFmt w:val="decimal"/>
      <w:lvlText w:val="%1."/>
      <w:lvlJc w:val="left"/>
      <w:pPr>
        <w:ind w:left="408" w:hanging="408"/>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1" w15:restartNumberingAfterBreak="0">
    <w:nsid w:val="3802732C"/>
    <w:multiLevelType w:val="multilevel"/>
    <w:tmpl w:val="50BEF754"/>
    <w:styleLink w:val="CurrentList1"/>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421D0262"/>
    <w:multiLevelType w:val="multilevel"/>
    <w:tmpl w:val="4B2681A0"/>
    <w:lvl w:ilvl="0">
      <w:start w:val="1"/>
      <w:numFmt w:val="decimal"/>
      <w:lvlText w:val="%1."/>
      <w:lvlJc w:val="left"/>
      <w:pPr>
        <w:ind w:left="786" w:hanging="360"/>
      </w:pPr>
    </w:lvl>
    <w:lvl w:ilvl="1">
      <w:start w:val="1"/>
      <w:numFmt w:val="lowerLetter"/>
      <w:lvlText w:val="."/>
      <w:lvlJc w:val="left"/>
      <w:pPr>
        <w:ind w:left="1506" w:hanging="360"/>
      </w:pPr>
    </w:lvl>
    <w:lvl w:ilvl="2">
      <w:start w:val="1"/>
      <w:numFmt w:val="lowerRoman"/>
      <w:lvlText w:val="."/>
      <w:lvlJc w:val="right"/>
      <w:pPr>
        <w:ind w:left="2226" w:hanging="180"/>
      </w:pPr>
    </w:lvl>
    <w:lvl w:ilvl="3">
      <w:start w:val="1"/>
      <w:numFmt w:val="decimal"/>
      <w:lvlText w:val="."/>
      <w:lvlJc w:val="left"/>
      <w:pPr>
        <w:ind w:left="2946" w:hanging="360"/>
      </w:pPr>
    </w:lvl>
    <w:lvl w:ilvl="4">
      <w:start w:val="1"/>
      <w:numFmt w:val="lowerLetter"/>
      <w:lvlText w:val="."/>
      <w:lvlJc w:val="left"/>
      <w:pPr>
        <w:ind w:left="3666" w:hanging="360"/>
      </w:pPr>
    </w:lvl>
    <w:lvl w:ilvl="5">
      <w:start w:val="1"/>
      <w:numFmt w:val="lowerRoman"/>
      <w:lvlText w:val="."/>
      <w:lvlJc w:val="right"/>
      <w:pPr>
        <w:ind w:left="4386" w:hanging="180"/>
      </w:pPr>
    </w:lvl>
    <w:lvl w:ilvl="6">
      <w:start w:val="1"/>
      <w:numFmt w:val="decimal"/>
      <w:lvlText w:val="."/>
      <w:lvlJc w:val="left"/>
      <w:pPr>
        <w:ind w:left="5106" w:hanging="360"/>
      </w:pPr>
    </w:lvl>
    <w:lvl w:ilvl="7">
      <w:start w:val="1"/>
      <w:numFmt w:val="lowerLetter"/>
      <w:lvlText w:val="."/>
      <w:lvlJc w:val="left"/>
      <w:pPr>
        <w:ind w:left="5826" w:hanging="360"/>
      </w:pPr>
    </w:lvl>
    <w:lvl w:ilvl="8">
      <w:start w:val="1"/>
      <w:numFmt w:val="lowerRoman"/>
      <w:lvlText w:val="."/>
      <w:lvlJc w:val="right"/>
      <w:pPr>
        <w:ind w:left="6546" w:hanging="180"/>
      </w:pPr>
    </w:lvl>
  </w:abstractNum>
  <w:abstractNum w:abstractNumId="13" w15:restartNumberingAfterBreak="0">
    <w:nsid w:val="498838B4"/>
    <w:multiLevelType w:val="multilevel"/>
    <w:tmpl w:val="0F441DE8"/>
    <w:styleLink w:val="LFO3"/>
    <w:lvl w:ilvl="0">
      <w:numFmt w:val="bullet"/>
      <w:pStyle w:val="Bullet0"/>
      <w:lvlText w:val=""/>
      <w:lvlJc w:val="left"/>
      <w:pPr>
        <w:ind w:left="850" w:hanging="850"/>
      </w:pPr>
      <w:rPr>
        <w:rFonts w:ascii="Symbol" w:hAnsi="Symbol" w:cs="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B361B41"/>
    <w:multiLevelType w:val="multilevel"/>
    <w:tmpl w:val="6B60DA9C"/>
    <w:lvl w:ilvl="0">
      <w:numFmt w:val="bullet"/>
      <w:lvlText w:val=""/>
      <w:lvlJc w:val="left"/>
      <w:pPr>
        <w:ind w:left="1335" w:hanging="360"/>
      </w:pPr>
      <w:rPr>
        <w:rFonts w:ascii="Symbol" w:hAnsi="Symbol"/>
      </w:rPr>
    </w:lvl>
    <w:lvl w:ilvl="1">
      <w:numFmt w:val="bullet"/>
      <w:lvlText w:val="o"/>
      <w:lvlJc w:val="left"/>
      <w:pPr>
        <w:ind w:left="2055" w:hanging="360"/>
      </w:pPr>
      <w:rPr>
        <w:rFonts w:ascii="Courier New" w:hAnsi="Courier New" w:cs="Courier New"/>
      </w:rPr>
    </w:lvl>
    <w:lvl w:ilvl="2">
      <w:numFmt w:val="bullet"/>
      <w:lvlText w:val=""/>
      <w:lvlJc w:val="left"/>
      <w:pPr>
        <w:ind w:left="2775" w:hanging="360"/>
      </w:pPr>
      <w:rPr>
        <w:rFonts w:ascii="Wingdings" w:hAnsi="Wingdings"/>
      </w:rPr>
    </w:lvl>
    <w:lvl w:ilvl="3">
      <w:numFmt w:val="bullet"/>
      <w:lvlText w:val=""/>
      <w:lvlJc w:val="left"/>
      <w:pPr>
        <w:ind w:left="3495" w:hanging="360"/>
      </w:pPr>
      <w:rPr>
        <w:rFonts w:ascii="Symbol" w:hAnsi="Symbol"/>
      </w:rPr>
    </w:lvl>
    <w:lvl w:ilvl="4">
      <w:numFmt w:val="bullet"/>
      <w:lvlText w:val="o"/>
      <w:lvlJc w:val="left"/>
      <w:pPr>
        <w:ind w:left="4215" w:hanging="360"/>
      </w:pPr>
      <w:rPr>
        <w:rFonts w:ascii="Courier New" w:hAnsi="Courier New" w:cs="Courier New"/>
      </w:rPr>
    </w:lvl>
    <w:lvl w:ilvl="5">
      <w:numFmt w:val="bullet"/>
      <w:lvlText w:val=""/>
      <w:lvlJc w:val="left"/>
      <w:pPr>
        <w:ind w:left="4935" w:hanging="360"/>
      </w:pPr>
      <w:rPr>
        <w:rFonts w:ascii="Wingdings" w:hAnsi="Wingdings"/>
      </w:rPr>
    </w:lvl>
    <w:lvl w:ilvl="6">
      <w:numFmt w:val="bullet"/>
      <w:lvlText w:val=""/>
      <w:lvlJc w:val="left"/>
      <w:pPr>
        <w:ind w:left="5655" w:hanging="360"/>
      </w:pPr>
      <w:rPr>
        <w:rFonts w:ascii="Symbol" w:hAnsi="Symbol"/>
      </w:rPr>
    </w:lvl>
    <w:lvl w:ilvl="7">
      <w:numFmt w:val="bullet"/>
      <w:lvlText w:val="o"/>
      <w:lvlJc w:val="left"/>
      <w:pPr>
        <w:ind w:left="6375" w:hanging="360"/>
      </w:pPr>
      <w:rPr>
        <w:rFonts w:ascii="Courier New" w:hAnsi="Courier New" w:cs="Courier New"/>
      </w:rPr>
    </w:lvl>
    <w:lvl w:ilvl="8">
      <w:numFmt w:val="bullet"/>
      <w:lvlText w:val=""/>
      <w:lvlJc w:val="left"/>
      <w:pPr>
        <w:ind w:left="7095" w:hanging="360"/>
      </w:pPr>
      <w:rPr>
        <w:rFonts w:ascii="Wingdings" w:hAnsi="Wingdings"/>
      </w:rPr>
    </w:lvl>
  </w:abstractNum>
  <w:abstractNum w:abstractNumId="15" w15:restartNumberingAfterBreak="0">
    <w:nsid w:val="4EC227F1"/>
    <w:multiLevelType w:val="multilevel"/>
    <w:tmpl w:val="05CA8DD0"/>
    <w:lvl w:ilvl="0">
      <w:start w:val="5"/>
      <w:numFmt w:val="decimal"/>
      <w:lvlText w:val="%1."/>
      <w:lvlJc w:val="left"/>
      <w:pPr>
        <w:ind w:left="612" w:hanging="612"/>
      </w:pPr>
      <w:rPr>
        <w:rFonts w:hint="default"/>
      </w:rPr>
    </w:lvl>
    <w:lvl w:ilvl="1">
      <w:start w:val="1"/>
      <w:numFmt w:val="decimal"/>
      <w:lvlText w:val="%1.%2."/>
      <w:lvlJc w:val="left"/>
      <w:pPr>
        <w:ind w:left="948" w:hanging="720"/>
      </w:pPr>
      <w:rPr>
        <w:rFonts w:hint="default"/>
      </w:rPr>
    </w:lvl>
    <w:lvl w:ilvl="2">
      <w:start w:val="2"/>
      <w:numFmt w:val="decimal"/>
      <w:lvlText w:val="%1.%2.%3."/>
      <w:lvlJc w:val="left"/>
      <w:pPr>
        <w:ind w:left="1176" w:hanging="720"/>
      </w:pPr>
      <w:rPr>
        <w:rFonts w:hint="default"/>
      </w:rPr>
    </w:lvl>
    <w:lvl w:ilvl="3">
      <w:start w:val="1"/>
      <w:numFmt w:val="decimal"/>
      <w:lvlText w:val="%1.%2.%3.%4."/>
      <w:lvlJc w:val="left"/>
      <w:pPr>
        <w:ind w:left="1764" w:hanging="1080"/>
      </w:pPr>
      <w:rPr>
        <w:rFonts w:hint="default"/>
      </w:rPr>
    </w:lvl>
    <w:lvl w:ilvl="4">
      <w:start w:val="1"/>
      <w:numFmt w:val="decimal"/>
      <w:lvlText w:val="%1.%2.%3.%4.%5."/>
      <w:lvlJc w:val="left"/>
      <w:pPr>
        <w:ind w:left="1992" w:hanging="1080"/>
      </w:pPr>
      <w:rPr>
        <w:rFonts w:hint="default"/>
      </w:rPr>
    </w:lvl>
    <w:lvl w:ilvl="5">
      <w:start w:val="1"/>
      <w:numFmt w:val="decimal"/>
      <w:lvlText w:val="%1.%2.%3.%4.%5.%6."/>
      <w:lvlJc w:val="left"/>
      <w:pPr>
        <w:ind w:left="2580" w:hanging="1440"/>
      </w:pPr>
      <w:rPr>
        <w:rFonts w:hint="default"/>
      </w:rPr>
    </w:lvl>
    <w:lvl w:ilvl="6">
      <w:start w:val="1"/>
      <w:numFmt w:val="decimal"/>
      <w:lvlText w:val="%1.%2.%3.%4.%5.%6.%7."/>
      <w:lvlJc w:val="left"/>
      <w:pPr>
        <w:ind w:left="2808" w:hanging="1440"/>
      </w:pPr>
      <w:rPr>
        <w:rFonts w:hint="default"/>
      </w:rPr>
    </w:lvl>
    <w:lvl w:ilvl="7">
      <w:start w:val="1"/>
      <w:numFmt w:val="decimal"/>
      <w:lvlText w:val="%1.%2.%3.%4.%5.%6.%7.%8."/>
      <w:lvlJc w:val="left"/>
      <w:pPr>
        <w:ind w:left="3396" w:hanging="1800"/>
      </w:pPr>
      <w:rPr>
        <w:rFonts w:hint="default"/>
      </w:rPr>
    </w:lvl>
    <w:lvl w:ilvl="8">
      <w:start w:val="1"/>
      <w:numFmt w:val="decimal"/>
      <w:lvlText w:val="%1.%2.%3.%4.%5.%6.%7.%8.%9."/>
      <w:lvlJc w:val="left"/>
      <w:pPr>
        <w:ind w:left="3984" w:hanging="2160"/>
      </w:pPr>
      <w:rPr>
        <w:rFonts w:hint="default"/>
      </w:rPr>
    </w:lvl>
  </w:abstractNum>
  <w:abstractNum w:abstractNumId="16" w15:restartNumberingAfterBreak="0">
    <w:nsid w:val="52887AB3"/>
    <w:multiLevelType w:val="multilevel"/>
    <w:tmpl w:val="912A5FE0"/>
    <w:lvl w:ilvl="0">
      <w:start w:val="1"/>
      <w:numFmt w:val="bullet"/>
      <w:lvlText w:val=""/>
      <w:lvlJc w:val="left"/>
      <w:pPr>
        <w:ind w:left="456" w:hanging="456"/>
      </w:pPr>
      <w:rPr>
        <w:rFonts w:ascii="Symbol" w:hAnsi="Symbol" w:hint="default"/>
      </w:rPr>
    </w:lvl>
    <w:lvl w:ilvl="1">
      <w:start w:val="1"/>
      <w:numFmt w:val="decimal"/>
      <w:lvlText w:val="%1.%2."/>
      <w:lvlJc w:val="left"/>
      <w:pPr>
        <w:ind w:left="720" w:hanging="720"/>
      </w:pPr>
      <w:rPr>
        <w:b/>
        <w:bCs/>
        <w:sz w:val="24"/>
        <w:szCs w:val="24"/>
      </w:rPr>
    </w:lvl>
    <w:lvl w:ilvl="2">
      <w:start w:val="1"/>
      <w:numFmt w:val="decimal"/>
      <w:lvlText w:val="%1.%2.%3."/>
      <w:lvlJc w:val="left"/>
      <w:pPr>
        <w:ind w:left="720" w:hanging="720"/>
      </w:pPr>
      <w:rPr>
        <w:rFonts w:ascii="Cambria" w:hAnsi="Cambria" w:hint="default"/>
        <w:b/>
        <w:bCs/>
        <w:sz w:val="24"/>
        <w:szCs w:val="24"/>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15:restartNumberingAfterBreak="0">
    <w:nsid w:val="53676C8F"/>
    <w:multiLevelType w:val="multilevel"/>
    <w:tmpl w:val="D4206A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206F2E"/>
    <w:multiLevelType w:val="multilevel"/>
    <w:tmpl w:val="0E1231B2"/>
    <w:lvl w:ilvl="0">
      <w:numFmt w:val="bullet"/>
      <w:lvlText w:val=""/>
      <w:lvlJc w:val="left"/>
      <w:pPr>
        <w:ind w:left="720" w:hanging="360"/>
      </w:pPr>
      <w:rPr>
        <w:rFonts w:ascii="Symbol" w:hAnsi="Symbol" w:cs="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24071EA"/>
    <w:multiLevelType w:val="multilevel"/>
    <w:tmpl w:val="ED42A4E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0" w15:restartNumberingAfterBreak="0">
    <w:nsid w:val="649B5BD7"/>
    <w:multiLevelType w:val="multilevel"/>
    <w:tmpl w:val="3C8C52E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6A453920"/>
    <w:multiLevelType w:val="multilevel"/>
    <w:tmpl w:val="25F0E142"/>
    <w:lvl w:ilvl="0">
      <w:start w:val="5"/>
      <w:numFmt w:val="decimal"/>
      <w:lvlText w:val="%1."/>
      <w:lvlJc w:val="left"/>
      <w:pPr>
        <w:ind w:left="456" w:hanging="456"/>
      </w:pPr>
    </w:lvl>
    <w:lvl w:ilvl="1">
      <w:start w:val="1"/>
      <w:numFmt w:val="decimal"/>
      <w:lvlText w:val="%2."/>
      <w:lvlJc w:val="left"/>
      <w:pPr>
        <w:ind w:left="360" w:hanging="360"/>
      </w:pPr>
    </w:lvl>
    <w:lvl w:ilvl="2">
      <w:start w:val="1"/>
      <w:numFmt w:val="decimal"/>
      <w:lvlText w:val="%1.%2.%3."/>
      <w:lvlJc w:val="left"/>
      <w:pPr>
        <w:ind w:left="720" w:hanging="720"/>
      </w:pPr>
      <w:rPr>
        <w:rFonts w:ascii="Cambria" w:hAnsi="Cambria" w:hint="default"/>
        <w:b/>
        <w:bCs/>
        <w:sz w:val="24"/>
        <w:szCs w:val="24"/>
      </w:rPr>
    </w:lvl>
    <w:lvl w:ilvl="3">
      <w:start w:val="1"/>
      <w:numFmt w:val="decimal"/>
      <w:lvlText w:val="%1.%2.%3.%4."/>
      <w:lvlJc w:val="left"/>
      <w:pPr>
        <w:ind w:left="1080" w:hanging="1080"/>
      </w:pPr>
      <w:rPr>
        <w:rFonts w:ascii="Cambria" w:hAnsi="Cambria" w:hint="default"/>
        <w:sz w:val="24"/>
        <w:szCs w:val="24"/>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2" w15:restartNumberingAfterBreak="0">
    <w:nsid w:val="6E1560AD"/>
    <w:multiLevelType w:val="multilevel"/>
    <w:tmpl w:val="4D88EF30"/>
    <w:lvl w:ilvl="0">
      <w:numFmt w:val="bullet"/>
      <w:lvlText w:val=""/>
      <w:lvlJc w:val="left"/>
      <w:pPr>
        <w:ind w:left="786" w:hanging="360"/>
      </w:pPr>
      <w:rPr>
        <w:rFonts w:ascii="Symbol" w:hAnsi="Symbo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23" w15:restartNumberingAfterBreak="0">
    <w:nsid w:val="72921B00"/>
    <w:multiLevelType w:val="multilevel"/>
    <w:tmpl w:val="EB302A42"/>
    <w:lvl w:ilvl="0">
      <w:numFmt w:val="bullet"/>
      <w:lvlText w:val=""/>
      <w:lvlJc w:val="left"/>
      <w:pPr>
        <w:ind w:left="765" w:hanging="360"/>
      </w:pPr>
      <w:rPr>
        <w:rFonts w:ascii="Symbol" w:hAnsi="Symbol" w:cs="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ACF28F6"/>
    <w:multiLevelType w:val="multilevel"/>
    <w:tmpl w:val="4E0A5F0C"/>
    <w:lvl w:ilvl="0">
      <w:start w:val="1"/>
      <w:numFmt w:val="decimal"/>
      <w:lvlText w:val="(%1)"/>
      <w:lvlJc w:val="left"/>
      <w:pPr>
        <w:ind w:left="720" w:hanging="360"/>
      </w:pPr>
      <w:rPr>
        <w:rFonts w:ascii="Times New Roman" w:eastAsia="Calibri"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5772591">
    <w:abstractNumId w:val="11"/>
  </w:num>
  <w:num w:numId="2" w16cid:durableId="1296721898">
    <w:abstractNumId w:val="13"/>
  </w:num>
  <w:num w:numId="3" w16cid:durableId="1142774949">
    <w:abstractNumId w:val="7"/>
  </w:num>
  <w:num w:numId="4" w16cid:durableId="1743521572">
    <w:abstractNumId w:val="20"/>
  </w:num>
  <w:num w:numId="5" w16cid:durableId="376972741">
    <w:abstractNumId w:val="2"/>
  </w:num>
  <w:num w:numId="6" w16cid:durableId="2022732656">
    <w:abstractNumId w:val="9"/>
  </w:num>
  <w:num w:numId="7" w16cid:durableId="15543805">
    <w:abstractNumId w:val="18"/>
  </w:num>
  <w:num w:numId="8" w16cid:durableId="1128550395">
    <w:abstractNumId w:val="23"/>
  </w:num>
  <w:num w:numId="9" w16cid:durableId="229653886">
    <w:abstractNumId w:val="5"/>
  </w:num>
  <w:num w:numId="10" w16cid:durableId="145436232">
    <w:abstractNumId w:val="14"/>
  </w:num>
  <w:num w:numId="11" w16cid:durableId="482937422">
    <w:abstractNumId w:val="10"/>
  </w:num>
  <w:num w:numId="12" w16cid:durableId="1411005392">
    <w:abstractNumId w:val="24"/>
  </w:num>
  <w:num w:numId="13" w16cid:durableId="1585139451">
    <w:abstractNumId w:val="21"/>
  </w:num>
  <w:num w:numId="14" w16cid:durableId="599072098">
    <w:abstractNumId w:val="12"/>
  </w:num>
  <w:num w:numId="15" w16cid:durableId="1658609068">
    <w:abstractNumId w:val="22"/>
  </w:num>
  <w:num w:numId="16" w16cid:durableId="1647200711">
    <w:abstractNumId w:val="17"/>
  </w:num>
  <w:num w:numId="17" w16cid:durableId="667367828">
    <w:abstractNumId w:val="4"/>
  </w:num>
  <w:num w:numId="18" w16cid:durableId="1184857181">
    <w:abstractNumId w:val="6"/>
  </w:num>
  <w:num w:numId="19" w16cid:durableId="1702127544">
    <w:abstractNumId w:val="19"/>
  </w:num>
  <w:num w:numId="20" w16cid:durableId="259260509">
    <w:abstractNumId w:val="8"/>
  </w:num>
  <w:num w:numId="21" w16cid:durableId="928662469">
    <w:abstractNumId w:val="0"/>
  </w:num>
  <w:num w:numId="22" w16cid:durableId="1758011782">
    <w:abstractNumId w:val="16"/>
  </w:num>
  <w:num w:numId="23" w16cid:durableId="60910685">
    <w:abstractNumId w:val="1"/>
  </w:num>
  <w:num w:numId="24" w16cid:durableId="1950696012">
    <w:abstractNumId w:val="3"/>
  </w:num>
  <w:num w:numId="25" w16cid:durableId="17444537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EAD"/>
    <w:rsid w:val="0000356B"/>
    <w:rsid w:val="000036D5"/>
    <w:rsid w:val="0000505D"/>
    <w:rsid w:val="00006605"/>
    <w:rsid w:val="000077CC"/>
    <w:rsid w:val="00010FDD"/>
    <w:rsid w:val="000112B7"/>
    <w:rsid w:val="00014EB7"/>
    <w:rsid w:val="00016812"/>
    <w:rsid w:val="00020F06"/>
    <w:rsid w:val="00022214"/>
    <w:rsid w:val="00022F63"/>
    <w:rsid w:val="0002364B"/>
    <w:rsid w:val="0002499A"/>
    <w:rsid w:val="00033B72"/>
    <w:rsid w:val="00036DB1"/>
    <w:rsid w:val="00040FD8"/>
    <w:rsid w:val="00042A23"/>
    <w:rsid w:val="00043B34"/>
    <w:rsid w:val="00043D9B"/>
    <w:rsid w:val="00052237"/>
    <w:rsid w:val="00055BEA"/>
    <w:rsid w:val="00065262"/>
    <w:rsid w:val="00070C9C"/>
    <w:rsid w:val="00071049"/>
    <w:rsid w:val="00072832"/>
    <w:rsid w:val="00072861"/>
    <w:rsid w:val="00080070"/>
    <w:rsid w:val="00084C4C"/>
    <w:rsid w:val="00086E61"/>
    <w:rsid w:val="00093E90"/>
    <w:rsid w:val="00093E9A"/>
    <w:rsid w:val="000A28AA"/>
    <w:rsid w:val="000A61C1"/>
    <w:rsid w:val="000A7F9A"/>
    <w:rsid w:val="000C090C"/>
    <w:rsid w:val="000C0D18"/>
    <w:rsid w:val="000C3B3B"/>
    <w:rsid w:val="000C7927"/>
    <w:rsid w:val="000D36D6"/>
    <w:rsid w:val="000D50D0"/>
    <w:rsid w:val="000D695C"/>
    <w:rsid w:val="000E5CD7"/>
    <w:rsid w:val="000E6497"/>
    <w:rsid w:val="000F0963"/>
    <w:rsid w:val="000F31A9"/>
    <w:rsid w:val="000F46EA"/>
    <w:rsid w:val="000F669F"/>
    <w:rsid w:val="00102340"/>
    <w:rsid w:val="0010491A"/>
    <w:rsid w:val="001069CF"/>
    <w:rsid w:val="00107400"/>
    <w:rsid w:val="0011000C"/>
    <w:rsid w:val="00110C1B"/>
    <w:rsid w:val="00122A34"/>
    <w:rsid w:val="001273FE"/>
    <w:rsid w:val="0013318C"/>
    <w:rsid w:val="00136E31"/>
    <w:rsid w:val="0014352E"/>
    <w:rsid w:val="00145F3D"/>
    <w:rsid w:val="0014681F"/>
    <w:rsid w:val="001479DF"/>
    <w:rsid w:val="00161499"/>
    <w:rsid w:val="0016363C"/>
    <w:rsid w:val="001642C5"/>
    <w:rsid w:val="00164D9B"/>
    <w:rsid w:val="001733DE"/>
    <w:rsid w:val="00175358"/>
    <w:rsid w:val="001814F1"/>
    <w:rsid w:val="0018258B"/>
    <w:rsid w:val="001834E5"/>
    <w:rsid w:val="001846F9"/>
    <w:rsid w:val="00184D95"/>
    <w:rsid w:val="00191F0E"/>
    <w:rsid w:val="001948D8"/>
    <w:rsid w:val="00197DC6"/>
    <w:rsid w:val="001A122B"/>
    <w:rsid w:val="001A79AD"/>
    <w:rsid w:val="001B12BF"/>
    <w:rsid w:val="001B3FA4"/>
    <w:rsid w:val="001B6D08"/>
    <w:rsid w:val="001B7F51"/>
    <w:rsid w:val="001C266A"/>
    <w:rsid w:val="001C2793"/>
    <w:rsid w:val="001C3482"/>
    <w:rsid w:val="001C4A40"/>
    <w:rsid w:val="001C6BB4"/>
    <w:rsid w:val="001D29BC"/>
    <w:rsid w:val="001E08EA"/>
    <w:rsid w:val="001E0991"/>
    <w:rsid w:val="001E2C25"/>
    <w:rsid w:val="001E344D"/>
    <w:rsid w:val="001E3A14"/>
    <w:rsid w:val="001E6ADA"/>
    <w:rsid w:val="001F0863"/>
    <w:rsid w:val="001F3486"/>
    <w:rsid w:val="001F6A7F"/>
    <w:rsid w:val="0020048E"/>
    <w:rsid w:val="00201B44"/>
    <w:rsid w:val="002030AB"/>
    <w:rsid w:val="00206C50"/>
    <w:rsid w:val="00210E8F"/>
    <w:rsid w:val="002127BF"/>
    <w:rsid w:val="00216416"/>
    <w:rsid w:val="002235B2"/>
    <w:rsid w:val="00224932"/>
    <w:rsid w:val="00226546"/>
    <w:rsid w:val="00226E20"/>
    <w:rsid w:val="0023049B"/>
    <w:rsid w:val="00231072"/>
    <w:rsid w:val="0023482F"/>
    <w:rsid w:val="00236230"/>
    <w:rsid w:val="00237F67"/>
    <w:rsid w:val="0024249B"/>
    <w:rsid w:val="0024316E"/>
    <w:rsid w:val="002503BA"/>
    <w:rsid w:val="0025043B"/>
    <w:rsid w:val="002527FE"/>
    <w:rsid w:val="002562F2"/>
    <w:rsid w:val="00265C07"/>
    <w:rsid w:val="0026651B"/>
    <w:rsid w:val="00276F9A"/>
    <w:rsid w:val="0028230C"/>
    <w:rsid w:val="00283387"/>
    <w:rsid w:val="002860E7"/>
    <w:rsid w:val="00292DF9"/>
    <w:rsid w:val="00295089"/>
    <w:rsid w:val="002A10A5"/>
    <w:rsid w:val="002B48C5"/>
    <w:rsid w:val="002B4E32"/>
    <w:rsid w:val="002C35A6"/>
    <w:rsid w:val="002C40C5"/>
    <w:rsid w:val="002C5F5A"/>
    <w:rsid w:val="002C6F78"/>
    <w:rsid w:val="002D16E7"/>
    <w:rsid w:val="002D3557"/>
    <w:rsid w:val="002D3CC2"/>
    <w:rsid w:val="002D3D6A"/>
    <w:rsid w:val="002D5BD2"/>
    <w:rsid w:val="002E128D"/>
    <w:rsid w:val="002E1C2B"/>
    <w:rsid w:val="002E1C5B"/>
    <w:rsid w:val="002E2B2A"/>
    <w:rsid w:val="002F0ABD"/>
    <w:rsid w:val="002F6A02"/>
    <w:rsid w:val="00300E8B"/>
    <w:rsid w:val="00301150"/>
    <w:rsid w:val="00304778"/>
    <w:rsid w:val="00305174"/>
    <w:rsid w:val="00305C2D"/>
    <w:rsid w:val="003116B3"/>
    <w:rsid w:val="0031223A"/>
    <w:rsid w:val="003138E0"/>
    <w:rsid w:val="003154F5"/>
    <w:rsid w:val="003155C6"/>
    <w:rsid w:val="00325347"/>
    <w:rsid w:val="003254ED"/>
    <w:rsid w:val="00327F51"/>
    <w:rsid w:val="003308EF"/>
    <w:rsid w:val="00336380"/>
    <w:rsid w:val="003373BD"/>
    <w:rsid w:val="0034293E"/>
    <w:rsid w:val="00342F8A"/>
    <w:rsid w:val="00344B24"/>
    <w:rsid w:val="00344C4B"/>
    <w:rsid w:val="00345BE6"/>
    <w:rsid w:val="003462CE"/>
    <w:rsid w:val="00347A3B"/>
    <w:rsid w:val="00350AF0"/>
    <w:rsid w:val="00351641"/>
    <w:rsid w:val="00352854"/>
    <w:rsid w:val="003605AF"/>
    <w:rsid w:val="00362199"/>
    <w:rsid w:val="00365BEA"/>
    <w:rsid w:val="003747AF"/>
    <w:rsid w:val="00375271"/>
    <w:rsid w:val="003820E2"/>
    <w:rsid w:val="003835E1"/>
    <w:rsid w:val="00387293"/>
    <w:rsid w:val="00390B46"/>
    <w:rsid w:val="003A0104"/>
    <w:rsid w:val="003A2573"/>
    <w:rsid w:val="003A2C20"/>
    <w:rsid w:val="003A3DA3"/>
    <w:rsid w:val="003A4514"/>
    <w:rsid w:val="003A4EA8"/>
    <w:rsid w:val="003B4374"/>
    <w:rsid w:val="003B4523"/>
    <w:rsid w:val="003B6067"/>
    <w:rsid w:val="003B6166"/>
    <w:rsid w:val="003C476A"/>
    <w:rsid w:val="003C60FD"/>
    <w:rsid w:val="003C7C54"/>
    <w:rsid w:val="003D4E0A"/>
    <w:rsid w:val="003D66AA"/>
    <w:rsid w:val="003D6E27"/>
    <w:rsid w:val="003D7D52"/>
    <w:rsid w:val="003E64B9"/>
    <w:rsid w:val="003E6EAD"/>
    <w:rsid w:val="003F0093"/>
    <w:rsid w:val="003F1698"/>
    <w:rsid w:val="003F2680"/>
    <w:rsid w:val="003F66D9"/>
    <w:rsid w:val="0040378D"/>
    <w:rsid w:val="00404E54"/>
    <w:rsid w:val="00406F0B"/>
    <w:rsid w:val="0041371E"/>
    <w:rsid w:val="00415356"/>
    <w:rsid w:val="0042681E"/>
    <w:rsid w:val="00427857"/>
    <w:rsid w:val="004306CF"/>
    <w:rsid w:val="00430A35"/>
    <w:rsid w:val="00431502"/>
    <w:rsid w:val="004322CF"/>
    <w:rsid w:val="00432D28"/>
    <w:rsid w:val="00435E85"/>
    <w:rsid w:val="00437AFB"/>
    <w:rsid w:val="00441B49"/>
    <w:rsid w:val="004451D9"/>
    <w:rsid w:val="00445DE2"/>
    <w:rsid w:val="0045026B"/>
    <w:rsid w:val="00450775"/>
    <w:rsid w:val="00450F5B"/>
    <w:rsid w:val="0045199E"/>
    <w:rsid w:val="004555AD"/>
    <w:rsid w:val="00455DA1"/>
    <w:rsid w:val="00457D9E"/>
    <w:rsid w:val="004617D3"/>
    <w:rsid w:val="00465A2B"/>
    <w:rsid w:val="00465A48"/>
    <w:rsid w:val="004731C4"/>
    <w:rsid w:val="00477FE5"/>
    <w:rsid w:val="00485129"/>
    <w:rsid w:val="0049080A"/>
    <w:rsid w:val="0049298A"/>
    <w:rsid w:val="004945FA"/>
    <w:rsid w:val="00495716"/>
    <w:rsid w:val="004A3CEE"/>
    <w:rsid w:val="004A47B0"/>
    <w:rsid w:val="004A6144"/>
    <w:rsid w:val="004B0114"/>
    <w:rsid w:val="004B2B55"/>
    <w:rsid w:val="004B368B"/>
    <w:rsid w:val="004B7E32"/>
    <w:rsid w:val="004C1442"/>
    <w:rsid w:val="004C7CF8"/>
    <w:rsid w:val="004D0599"/>
    <w:rsid w:val="004D0B61"/>
    <w:rsid w:val="004D2368"/>
    <w:rsid w:val="004D23FB"/>
    <w:rsid w:val="004E223E"/>
    <w:rsid w:val="004E67C6"/>
    <w:rsid w:val="004F16C2"/>
    <w:rsid w:val="004F4223"/>
    <w:rsid w:val="004F5B51"/>
    <w:rsid w:val="004F5C57"/>
    <w:rsid w:val="004F7458"/>
    <w:rsid w:val="004F74E0"/>
    <w:rsid w:val="00501BE0"/>
    <w:rsid w:val="00503C7B"/>
    <w:rsid w:val="00504A4E"/>
    <w:rsid w:val="00507627"/>
    <w:rsid w:val="0051173B"/>
    <w:rsid w:val="00514F99"/>
    <w:rsid w:val="0051640D"/>
    <w:rsid w:val="005204EC"/>
    <w:rsid w:val="005204F5"/>
    <w:rsid w:val="00524B16"/>
    <w:rsid w:val="00531C20"/>
    <w:rsid w:val="00533DAF"/>
    <w:rsid w:val="00535F45"/>
    <w:rsid w:val="00536552"/>
    <w:rsid w:val="005373E2"/>
    <w:rsid w:val="00542C2A"/>
    <w:rsid w:val="00550D25"/>
    <w:rsid w:val="00553964"/>
    <w:rsid w:val="00560EEF"/>
    <w:rsid w:val="0056223D"/>
    <w:rsid w:val="005667A7"/>
    <w:rsid w:val="00571B5F"/>
    <w:rsid w:val="00571CCE"/>
    <w:rsid w:val="0057709A"/>
    <w:rsid w:val="005772F4"/>
    <w:rsid w:val="00580F61"/>
    <w:rsid w:val="0058105D"/>
    <w:rsid w:val="00583068"/>
    <w:rsid w:val="00583087"/>
    <w:rsid w:val="0058796E"/>
    <w:rsid w:val="00587B91"/>
    <w:rsid w:val="0059688F"/>
    <w:rsid w:val="005A23CF"/>
    <w:rsid w:val="005A42CB"/>
    <w:rsid w:val="005A6BC4"/>
    <w:rsid w:val="005B12CB"/>
    <w:rsid w:val="005B182A"/>
    <w:rsid w:val="005B3628"/>
    <w:rsid w:val="005B3DF2"/>
    <w:rsid w:val="005B45FE"/>
    <w:rsid w:val="005B7939"/>
    <w:rsid w:val="005C2385"/>
    <w:rsid w:val="005C2DDC"/>
    <w:rsid w:val="005C5314"/>
    <w:rsid w:val="005D1958"/>
    <w:rsid w:val="005D1A4D"/>
    <w:rsid w:val="005D378A"/>
    <w:rsid w:val="005D7982"/>
    <w:rsid w:val="005E1BF7"/>
    <w:rsid w:val="005E28E3"/>
    <w:rsid w:val="005E5DDC"/>
    <w:rsid w:val="005E651C"/>
    <w:rsid w:val="005F5002"/>
    <w:rsid w:val="005F5388"/>
    <w:rsid w:val="00602F7D"/>
    <w:rsid w:val="00605653"/>
    <w:rsid w:val="00611F0B"/>
    <w:rsid w:val="00612C96"/>
    <w:rsid w:val="00613979"/>
    <w:rsid w:val="006151F8"/>
    <w:rsid w:val="00615A01"/>
    <w:rsid w:val="00621306"/>
    <w:rsid w:val="00622023"/>
    <w:rsid w:val="0062245E"/>
    <w:rsid w:val="00624995"/>
    <w:rsid w:val="006251D1"/>
    <w:rsid w:val="00626050"/>
    <w:rsid w:val="00627541"/>
    <w:rsid w:val="00630778"/>
    <w:rsid w:val="0063409C"/>
    <w:rsid w:val="00635442"/>
    <w:rsid w:val="006416AB"/>
    <w:rsid w:val="00641F7A"/>
    <w:rsid w:val="006435E2"/>
    <w:rsid w:val="00645ABA"/>
    <w:rsid w:val="00646C50"/>
    <w:rsid w:val="00651C73"/>
    <w:rsid w:val="006529BB"/>
    <w:rsid w:val="00656B12"/>
    <w:rsid w:val="0066047D"/>
    <w:rsid w:val="00660DDB"/>
    <w:rsid w:val="00661F21"/>
    <w:rsid w:val="00662D85"/>
    <w:rsid w:val="0066393E"/>
    <w:rsid w:val="0066494D"/>
    <w:rsid w:val="006717DB"/>
    <w:rsid w:val="00672110"/>
    <w:rsid w:val="00685E9D"/>
    <w:rsid w:val="00690AE7"/>
    <w:rsid w:val="0069651C"/>
    <w:rsid w:val="00696C01"/>
    <w:rsid w:val="006A0D3A"/>
    <w:rsid w:val="006A115D"/>
    <w:rsid w:val="006A121B"/>
    <w:rsid w:val="006A225B"/>
    <w:rsid w:val="006A252D"/>
    <w:rsid w:val="006A2BC1"/>
    <w:rsid w:val="006A5CCE"/>
    <w:rsid w:val="006B3678"/>
    <w:rsid w:val="006B47E9"/>
    <w:rsid w:val="006B4950"/>
    <w:rsid w:val="006B6E72"/>
    <w:rsid w:val="006B7A1A"/>
    <w:rsid w:val="006B7EA0"/>
    <w:rsid w:val="006C05B4"/>
    <w:rsid w:val="006C1D0B"/>
    <w:rsid w:val="006C26D7"/>
    <w:rsid w:val="006C2CA5"/>
    <w:rsid w:val="006C5547"/>
    <w:rsid w:val="006C6838"/>
    <w:rsid w:val="006C6EDD"/>
    <w:rsid w:val="006D20F4"/>
    <w:rsid w:val="006D3929"/>
    <w:rsid w:val="006D4BA8"/>
    <w:rsid w:val="006D7D27"/>
    <w:rsid w:val="006E46D6"/>
    <w:rsid w:val="006E4B83"/>
    <w:rsid w:val="006E595B"/>
    <w:rsid w:val="006E64DA"/>
    <w:rsid w:val="006E6685"/>
    <w:rsid w:val="006E7C10"/>
    <w:rsid w:val="00700FAA"/>
    <w:rsid w:val="007010B7"/>
    <w:rsid w:val="0070175F"/>
    <w:rsid w:val="00702233"/>
    <w:rsid w:val="007029B3"/>
    <w:rsid w:val="00703160"/>
    <w:rsid w:val="0070345D"/>
    <w:rsid w:val="0070434B"/>
    <w:rsid w:val="00712913"/>
    <w:rsid w:val="00714C97"/>
    <w:rsid w:val="00715B4A"/>
    <w:rsid w:val="0072166E"/>
    <w:rsid w:val="00721873"/>
    <w:rsid w:val="00723AC2"/>
    <w:rsid w:val="00724658"/>
    <w:rsid w:val="00725A67"/>
    <w:rsid w:val="007374DB"/>
    <w:rsid w:val="00740B21"/>
    <w:rsid w:val="0074520C"/>
    <w:rsid w:val="00745448"/>
    <w:rsid w:val="0075311D"/>
    <w:rsid w:val="00754054"/>
    <w:rsid w:val="00760B06"/>
    <w:rsid w:val="00761F51"/>
    <w:rsid w:val="007643FA"/>
    <w:rsid w:val="00765815"/>
    <w:rsid w:val="0077560A"/>
    <w:rsid w:val="00776E33"/>
    <w:rsid w:val="00782785"/>
    <w:rsid w:val="00785C5A"/>
    <w:rsid w:val="00785D44"/>
    <w:rsid w:val="00797888"/>
    <w:rsid w:val="00797C93"/>
    <w:rsid w:val="007A0241"/>
    <w:rsid w:val="007A248E"/>
    <w:rsid w:val="007A25E9"/>
    <w:rsid w:val="007A2FD1"/>
    <w:rsid w:val="007B03B8"/>
    <w:rsid w:val="007B2368"/>
    <w:rsid w:val="007B2BF5"/>
    <w:rsid w:val="007B7FAE"/>
    <w:rsid w:val="007C3DE1"/>
    <w:rsid w:val="007C567A"/>
    <w:rsid w:val="007D1740"/>
    <w:rsid w:val="007D1E7B"/>
    <w:rsid w:val="007D3643"/>
    <w:rsid w:val="007D5770"/>
    <w:rsid w:val="007D7723"/>
    <w:rsid w:val="007E07A1"/>
    <w:rsid w:val="007E1AFF"/>
    <w:rsid w:val="007E1FE4"/>
    <w:rsid w:val="007E3AE4"/>
    <w:rsid w:val="007F0FA3"/>
    <w:rsid w:val="007F1737"/>
    <w:rsid w:val="007F3459"/>
    <w:rsid w:val="007F46D9"/>
    <w:rsid w:val="00800861"/>
    <w:rsid w:val="00802FD1"/>
    <w:rsid w:val="008040CF"/>
    <w:rsid w:val="0080782A"/>
    <w:rsid w:val="00812A8C"/>
    <w:rsid w:val="00822E27"/>
    <w:rsid w:val="0082697B"/>
    <w:rsid w:val="008313B9"/>
    <w:rsid w:val="00831485"/>
    <w:rsid w:val="00831928"/>
    <w:rsid w:val="00833214"/>
    <w:rsid w:val="00835C63"/>
    <w:rsid w:val="0083663A"/>
    <w:rsid w:val="00840C3A"/>
    <w:rsid w:val="00845F28"/>
    <w:rsid w:val="008517B9"/>
    <w:rsid w:val="00852C56"/>
    <w:rsid w:val="00853B6C"/>
    <w:rsid w:val="008559B5"/>
    <w:rsid w:val="00856F4F"/>
    <w:rsid w:val="00857CB6"/>
    <w:rsid w:val="008600E3"/>
    <w:rsid w:val="00860DF6"/>
    <w:rsid w:val="00861012"/>
    <w:rsid w:val="008622CE"/>
    <w:rsid w:val="008718D4"/>
    <w:rsid w:val="00876593"/>
    <w:rsid w:val="008771B5"/>
    <w:rsid w:val="008778B2"/>
    <w:rsid w:val="00885E80"/>
    <w:rsid w:val="00894F96"/>
    <w:rsid w:val="008A181E"/>
    <w:rsid w:val="008A2221"/>
    <w:rsid w:val="008A47E0"/>
    <w:rsid w:val="008A6224"/>
    <w:rsid w:val="008B0DAE"/>
    <w:rsid w:val="008C09A5"/>
    <w:rsid w:val="008C34DE"/>
    <w:rsid w:val="008C3727"/>
    <w:rsid w:val="008C3972"/>
    <w:rsid w:val="008D66C2"/>
    <w:rsid w:val="008D6C4F"/>
    <w:rsid w:val="008D6F9A"/>
    <w:rsid w:val="008E1FD9"/>
    <w:rsid w:val="008E458B"/>
    <w:rsid w:val="008F31A2"/>
    <w:rsid w:val="008F48AB"/>
    <w:rsid w:val="00903856"/>
    <w:rsid w:val="00904460"/>
    <w:rsid w:val="00905EA4"/>
    <w:rsid w:val="009065F5"/>
    <w:rsid w:val="00906C6C"/>
    <w:rsid w:val="00910972"/>
    <w:rsid w:val="00913606"/>
    <w:rsid w:val="00915C88"/>
    <w:rsid w:val="009209F5"/>
    <w:rsid w:val="00921B2A"/>
    <w:rsid w:val="0092444A"/>
    <w:rsid w:val="00926B12"/>
    <w:rsid w:val="009306DC"/>
    <w:rsid w:val="00930A62"/>
    <w:rsid w:val="00934298"/>
    <w:rsid w:val="009350DB"/>
    <w:rsid w:val="009356A3"/>
    <w:rsid w:val="009525CC"/>
    <w:rsid w:val="00962018"/>
    <w:rsid w:val="0096375B"/>
    <w:rsid w:val="0096428A"/>
    <w:rsid w:val="009707E5"/>
    <w:rsid w:val="0097439C"/>
    <w:rsid w:val="00982812"/>
    <w:rsid w:val="009831C0"/>
    <w:rsid w:val="00986D37"/>
    <w:rsid w:val="009903F9"/>
    <w:rsid w:val="00991A5E"/>
    <w:rsid w:val="009923A5"/>
    <w:rsid w:val="00992E2A"/>
    <w:rsid w:val="0099448B"/>
    <w:rsid w:val="009953DA"/>
    <w:rsid w:val="009A4556"/>
    <w:rsid w:val="009A63C4"/>
    <w:rsid w:val="009A7BBF"/>
    <w:rsid w:val="009B5D8C"/>
    <w:rsid w:val="009B603D"/>
    <w:rsid w:val="009B68BE"/>
    <w:rsid w:val="009B697A"/>
    <w:rsid w:val="009B7372"/>
    <w:rsid w:val="009C40D4"/>
    <w:rsid w:val="009C4B9F"/>
    <w:rsid w:val="009C74C3"/>
    <w:rsid w:val="009C7C19"/>
    <w:rsid w:val="009D3D87"/>
    <w:rsid w:val="009D3E7C"/>
    <w:rsid w:val="009E0B1A"/>
    <w:rsid w:val="009E0DB3"/>
    <w:rsid w:val="009E5421"/>
    <w:rsid w:val="009E607D"/>
    <w:rsid w:val="009E68F9"/>
    <w:rsid w:val="009F0B91"/>
    <w:rsid w:val="009F5590"/>
    <w:rsid w:val="00A012D8"/>
    <w:rsid w:val="00A0235B"/>
    <w:rsid w:val="00A04CE7"/>
    <w:rsid w:val="00A266DF"/>
    <w:rsid w:val="00A268FE"/>
    <w:rsid w:val="00A302D7"/>
    <w:rsid w:val="00A32A65"/>
    <w:rsid w:val="00A33C3E"/>
    <w:rsid w:val="00A34D8E"/>
    <w:rsid w:val="00A354B5"/>
    <w:rsid w:val="00A3759A"/>
    <w:rsid w:val="00A403E9"/>
    <w:rsid w:val="00A405BF"/>
    <w:rsid w:val="00A40FB1"/>
    <w:rsid w:val="00A43CD0"/>
    <w:rsid w:val="00A46A3F"/>
    <w:rsid w:val="00A52A87"/>
    <w:rsid w:val="00A551C1"/>
    <w:rsid w:val="00A55812"/>
    <w:rsid w:val="00A55D2C"/>
    <w:rsid w:val="00A56BF5"/>
    <w:rsid w:val="00A575A5"/>
    <w:rsid w:val="00A57BF3"/>
    <w:rsid w:val="00A60961"/>
    <w:rsid w:val="00A62F70"/>
    <w:rsid w:val="00A633FB"/>
    <w:rsid w:val="00A64548"/>
    <w:rsid w:val="00A65651"/>
    <w:rsid w:val="00A700D3"/>
    <w:rsid w:val="00A75C8D"/>
    <w:rsid w:val="00A80191"/>
    <w:rsid w:val="00A84A64"/>
    <w:rsid w:val="00A850A8"/>
    <w:rsid w:val="00A8662C"/>
    <w:rsid w:val="00A9108A"/>
    <w:rsid w:val="00A9121A"/>
    <w:rsid w:val="00A93211"/>
    <w:rsid w:val="00A94A4C"/>
    <w:rsid w:val="00A9535E"/>
    <w:rsid w:val="00A9718E"/>
    <w:rsid w:val="00AA06FF"/>
    <w:rsid w:val="00AA1226"/>
    <w:rsid w:val="00AA21B7"/>
    <w:rsid w:val="00AA2256"/>
    <w:rsid w:val="00AB398C"/>
    <w:rsid w:val="00AB4118"/>
    <w:rsid w:val="00AB5395"/>
    <w:rsid w:val="00AB7BC0"/>
    <w:rsid w:val="00AC022A"/>
    <w:rsid w:val="00AC1815"/>
    <w:rsid w:val="00AC34DF"/>
    <w:rsid w:val="00AC533A"/>
    <w:rsid w:val="00AC7A82"/>
    <w:rsid w:val="00AD38C9"/>
    <w:rsid w:val="00AD5CAB"/>
    <w:rsid w:val="00AE03A6"/>
    <w:rsid w:val="00AE0DAD"/>
    <w:rsid w:val="00AE50E0"/>
    <w:rsid w:val="00AF01C5"/>
    <w:rsid w:val="00AF1F2F"/>
    <w:rsid w:val="00AF5B83"/>
    <w:rsid w:val="00B00765"/>
    <w:rsid w:val="00B00F6E"/>
    <w:rsid w:val="00B01F95"/>
    <w:rsid w:val="00B02A0B"/>
    <w:rsid w:val="00B03933"/>
    <w:rsid w:val="00B04C64"/>
    <w:rsid w:val="00B17544"/>
    <w:rsid w:val="00B20FFA"/>
    <w:rsid w:val="00B2136F"/>
    <w:rsid w:val="00B21A9E"/>
    <w:rsid w:val="00B2398A"/>
    <w:rsid w:val="00B25084"/>
    <w:rsid w:val="00B303AF"/>
    <w:rsid w:val="00B30AD9"/>
    <w:rsid w:val="00B30EC1"/>
    <w:rsid w:val="00B32051"/>
    <w:rsid w:val="00B35C3B"/>
    <w:rsid w:val="00B37779"/>
    <w:rsid w:val="00B4025E"/>
    <w:rsid w:val="00B40622"/>
    <w:rsid w:val="00B411F5"/>
    <w:rsid w:val="00B54C91"/>
    <w:rsid w:val="00B572AF"/>
    <w:rsid w:val="00B60DF7"/>
    <w:rsid w:val="00B6137C"/>
    <w:rsid w:val="00B6349D"/>
    <w:rsid w:val="00B679AA"/>
    <w:rsid w:val="00B71051"/>
    <w:rsid w:val="00B741A0"/>
    <w:rsid w:val="00B756D5"/>
    <w:rsid w:val="00B7676C"/>
    <w:rsid w:val="00B82121"/>
    <w:rsid w:val="00B84314"/>
    <w:rsid w:val="00B85AD6"/>
    <w:rsid w:val="00B87FF3"/>
    <w:rsid w:val="00B90887"/>
    <w:rsid w:val="00B91F58"/>
    <w:rsid w:val="00B93B56"/>
    <w:rsid w:val="00B957C4"/>
    <w:rsid w:val="00BA39EE"/>
    <w:rsid w:val="00BA42A7"/>
    <w:rsid w:val="00BA643C"/>
    <w:rsid w:val="00BB0FAD"/>
    <w:rsid w:val="00BB5441"/>
    <w:rsid w:val="00BC2BE0"/>
    <w:rsid w:val="00BC7AAB"/>
    <w:rsid w:val="00BD2149"/>
    <w:rsid w:val="00BD4926"/>
    <w:rsid w:val="00BE2670"/>
    <w:rsid w:val="00BE39CC"/>
    <w:rsid w:val="00BE5C26"/>
    <w:rsid w:val="00BE66A7"/>
    <w:rsid w:val="00BF3994"/>
    <w:rsid w:val="00BF4E52"/>
    <w:rsid w:val="00BF54A9"/>
    <w:rsid w:val="00C03BE2"/>
    <w:rsid w:val="00C04DBE"/>
    <w:rsid w:val="00C04EB0"/>
    <w:rsid w:val="00C06500"/>
    <w:rsid w:val="00C11F8A"/>
    <w:rsid w:val="00C1513D"/>
    <w:rsid w:val="00C2102F"/>
    <w:rsid w:val="00C21BAC"/>
    <w:rsid w:val="00C22E4A"/>
    <w:rsid w:val="00C2323B"/>
    <w:rsid w:val="00C26791"/>
    <w:rsid w:val="00C269E5"/>
    <w:rsid w:val="00C279CF"/>
    <w:rsid w:val="00C30B2F"/>
    <w:rsid w:val="00C41385"/>
    <w:rsid w:val="00C437ED"/>
    <w:rsid w:val="00C44C37"/>
    <w:rsid w:val="00C45985"/>
    <w:rsid w:val="00C519AA"/>
    <w:rsid w:val="00C51AA6"/>
    <w:rsid w:val="00C537B1"/>
    <w:rsid w:val="00C53A92"/>
    <w:rsid w:val="00C5522F"/>
    <w:rsid w:val="00C658D1"/>
    <w:rsid w:val="00C65C82"/>
    <w:rsid w:val="00C72D86"/>
    <w:rsid w:val="00C75E26"/>
    <w:rsid w:val="00C82E9D"/>
    <w:rsid w:val="00C90780"/>
    <w:rsid w:val="00C91B4C"/>
    <w:rsid w:val="00C91FDD"/>
    <w:rsid w:val="00C93F61"/>
    <w:rsid w:val="00C955AF"/>
    <w:rsid w:val="00C96237"/>
    <w:rsid w:val="00C97154"/>
    <w:rsid w:val="00CA29F9"/>
    <w:rsid w:val="00CA2FF9"/>
    <w:rsid w:val="00CA4192"/>
    <w:rsid w:val="00CB2EC6"/>
    <w:rsid w:val="00CB3424"/>
    <w:rsid w:val="00CC34BA"/>
    <w:rsid w:val="00CC5908"/>
    <w:rsid w:val="00CC5D88"/>
    <w:rsid w:val="00CC764B"/>
    <w:rsid w:val="00CD08D8"/>
    <w:rsid w:val="00CD27C2"/>
    <w:rsid w:val="00CD2C27"/>
    <w:rsid w:val="00CD2DA1"/>
    <w:rsid w:val="00CD6D90"/>
    <w:rsid w:val="00CE24F4"/>
    <w:rsid w:val="00CF7118"/>
    <w:rsid w:val="00CF78CF"/>
    <w:rsid w:val="00D00E64"/>
    <w:rsid w:val="00D037C9"/>
    <w:rsid w:val="00D03E64"/>
    <w:rsid w:val="00D04EFA"/>
    <w:rsid w:val="00D057BF"/>
    <w:rsid w:val="00D062CF"/>
    <w:rsid w:val="00D06AF4"/>
    <w:rsid w:val="00D06EFF"/>
    <w:rsid w:val="00D07337"/>
    <w:rsid w:val="00D1043C"/>
    <w:rsid w:val="00D1164A"/>
    <w:rsid w:val="00D13BD0"/>
    <w:rsid w:val="00D16ABC"/>
    <w:rsid w:val="00D17E3F"/>
    <w:rsid w:val="00D20CD5"/>
    <w:rsid w:val="00D263BD"/>
    <w:rsid w:val="00D26C97"/>
    <w:rsid w:val="00D34195"/>
    <w:rsid w:val="00D43BF1"/>
    <w:rsid w:val="00D46325"/>
    <w:rsid w:val="00D51A9B"/>
    <w:rsid w:val="00D51F4E"/>
    <w:rsid w:val="00D54E10"/>
    <w:rsid w:val="00D57B11"/>
    <w:rsid w:val="00D618BE"/>
    <w:rsid w:val="00D640E7"/>
    <w:rsid w:val="00D6743E"/>
    <w:rsid w:val="00D74899"/>
    <w:rsid w:val="00D8307E"/>
    <w:rsid w:val="00D84D3D"/>
    <w:rsid w:val="00D86A02"/>
    <w:rsid w:val="00D90B1D"/>
    <w:rsid w:val="00D94880"/>
    <w:rsid w:val="00D95686"/>
    <w:rsid w:val="00D95B1A"/>
    <w:rsid w:val="00D95F0D"/>
    <w:rsid w:val="00D966A1"/>
    <w:rsid w:val="00D96A19"/>
    <w:rsid w:val="00D96C68"/>
    <w:rsid w:val="00D97123"/>
    <w:rsid w:val="00DA6354"/>
    <w:rsid w:val="00DA66DF"/>
    <w:rsid w:val="00DA7C06"/>
    <w:rsid w:val="00DB0031"/>
    <w:rsid w:val="00DB1E2E"/>
    <w:rsid w:val="00DB3FD4"/>
    <w:rsid w:val="00DB5A94"/>
    <w:rsid w:val="00DB6972"/>
    <w:rsid w:val="00DB6995"/>
    <w:rsid w:val="00DC632E"/>
    <w:rsid w:val="00DC6FD8"/>
    <w:rsid w:val="00DC7556"/>
    <w:rsid w:val="00DD02D4"/>
    <w:rsid w:val="00DD0469"/>
    <w:rsid w:val="00DD070A"/>
    <w:rsid w:val="00DD076E"/>
    <w:rsid w:val="00DD270B"/>
    <w:rsid w:val="00DD3701"/>
    <w:rsid w:val="00DD5205"/>
    <w:rsid w:val="00DD6D6C"/>
    <w:rsid w:val="00DE0131"/>
    <w:rsid w:val="00DE167D"/>
    <w:rsid w:val="00DE1B83"/>
    <w:rsid w:val="00DE254D"/>
    <w:rsid w:val="00DE2B69"/>
    <w:rsid w:val="00DE48E3"/>
    <w:rsid w:val="00DE5B96"/>
    <w:rsid w:val="00DE6CF2"/>
    <w:rsid w:val="00DE6E1D"/>
    <w:rsid w:val="00DF0E60"/>
    <w:rsid w:val="00DF17D7"/>
    <w:rsid w:val="00DF1A4C"/>
    <w:rsid w:val="00DF2EE4"/>
    <w:rsid w:val="00DF2EF1"/>
    <w:rsid w:val="00DF35DB"/>
    <w:rsid w:val="00DF482F"/>
    <w:rsid w:val="00DF6E23"/>
    <w:rsid w:val="00DF7C50"/>
    <w:rsid w:val="00E012C8"/>
    <w:rsid w:val="00E06596"/>
    <w:rsid w:val="00E10DDE"/>
    <w:rsid w:val="00E10E1C"/>
    <w:rsid w:val="00E13B86"/>
    <w:rsid w:val="00E14E8A"/>
    <w:rsid w:val="00E2701E"/>
    <w:rsid w:val="00E313CB"/>
    <w:rsid w:val="00E33E01"/>
    <w:rsid w:val="00E3555E"/>
    <w:rsid w:val="00E423A7"/>
    <w:rsid w:val="00E47601"/>
    <w:rsid w:val="00E507FF"/>
    <w:rsid w:val="00E558AC"/>
    <w:rsid w:val="00E6340B"/>
    <w:rsid w:val="00E648BD"/>
    <w:rsid w:val="00E65653"/>
    <w:rsid w:val="00E66B6D"/>
    <w:rsid w:val="00E7282B"/>
    <w:rsid w:val="00E7469C"/>
    <w:rsid w:val="00E754DA"/>
    <w:rsid w:val="00E76A7A"/>
    <w:rsid w:val="00E908A2"/>
    <w:rsid w:val="00E9255F"/>
    <w:rsid w:val="00E94DFA"/>
    <w:rsid w:val="00E96855"/>
    <w:rsid w:val="00EA6368"/>
    <w:rsid w:val="00EB1BEA"/>
    <w:rsid w:val="00EB383C"/>
    <w:rsid w:val="00EB61B0"/>
    <w:rsid w:val="00EB666C"/>
    <w:rsid w:val="00EB75D8"/>
    <w:rsid w:val="00EB7CC5"/>
    <w:rsid w:val="00EC171A"/>
    <w:rsid w:val="00EC5BF6"/>
    <w:rsid w:val="00EC5F56"/>
    <w:rsid w:val="00EC6B04"/>
    <w:rsid w:val="00ED075A"/>
    <w:rsid w:val="00ED34AC"/>
    <w:rsid w:val="00ED6EFD"/>
    <w:rsid w:val="00ED7E3E"/>
    <w:rsid w:val="00EE04A2"/>
    <w:rsid w:val="00EE2992"/>
    <w:rsid w:val="00EE3740"/>
    <w:rsid w:val="00EE5162"/>
    <w:rsid w:val="00EE5857"/>
    <w:rsid w:val="00EE69DF"/>
    <w:rsid w:val="00EF0A72"/>
    <w:rsid w:val="00EF4BEA"/>
    <w:rsid w:val="00F046AF"/>
    <w:rsid w:val="00F076D3"/>
    <w:rsid w:val="00F0776E"/>
    <w:rsid w:val="00F12BB6"/>
    <w:rsid w:val="00F21479"/>
    <w:rsid w:val="00F22E84"/>
    <w:rsid w:val="00F2336B"/>
    <w:rsid w:val="00F26D5A"/>
    <w:rsid w:val="00F27D3C"/>
    <w:rsid w:val="00F311EF"/>
    <w:rsid w:val="00F31B45"/>
    <w:rsid w:val="00F37B6D"/>
    <w:rsid w:val="00F37E56"/>
    <w:rsid w:val="00F42E74"/>
    <w:rsid w:val="00F44B04"/>
    <w:rsid w:val="00F46163"/>
    <w:rsid w:val="00F502F9"/>
    <w:rsid w:val="00F505C8"/>
    <w:rsid w:val="00F610AA"/>
    <w:rsid w:val="00F62666"/>
    <w:rsid w:val="00F6387A"/>
    <w:rsid w:val="00F657CE"/>
    <w:rsid w:val="00F67701"/>
    <w:rsid w:val="00F706DC"/>
    <w:rsid w:val="00F72502"/>
    <w:rsid w:val="00F73B7E"/>
    <w:rsid w:val="00F75E00"/>
    <w:rsid w:val="00F77AE9"/>
    <w:rsid w:val="00F80541"/>
    <w:rsid w:val="00F80E86"/>
    <w:rsid w:val="00F811D2"/>
    <w:rsid w:val="00F81CAE"/>
    <w:rsid w:val="00F86E49"/>
    <w:rsid w:val="00F871C3"/>
    <w:rsid w:val="00FA0AF5"/>
    <w:rsid w:val="00FA3348"/>
    <w:rsid w:val="00FA3FFF"/>
    <w:rsid w:val="00FA7945"/>
    <w:rsid w:val="00FB0387"/>
    <w:rsid w:val="00FB07CB"/>
    <w:rsid w:val="00FB0FEB"/>
    <w:rsid w:val="00FB38A3"/>
    <w:rsid w:val="00FB3C7C"/>
    <w:rsid w:val="00FB4485"/>
    <w:rsid w:val="00FB592D"/>
    <w:rsid w:val="00FB5969"/>
    <w:rsid w:val="00FB6EB2"/>
    <w:rsid w:val="00FB712B"/>
    <w:rsid w:val="00FB7DA8"/>
    <w:rsid w:val="00FC1CC6"/>
    <w:rsid w:val="00FD07D6"/>
    <w:rsid w:val="00FD7858"/>
    <w:rsid w:val="00FE1AFE"/>
    <w:rsid w:val="00FE4144"/>
    <w:rsid w:val="00FE6308"/>
    <w:rsid w:val="00FE710E"/>
    <w:rsid w:val="00FF1401"/>
    <w:rsid w:val="00FF1D52"/>
    <w:rsid w:val="00FF3803"/>
    <w:rsid w:val="00FF697C"/>
    <w:rsid w:val="00FF7FE4"/>
    <w:rsid w:val="01496198"/>
    <w:rsid w:val="02746420"/>
    <w:rsid w:val="02F6954E"/>
    <w:rsid w:val="02FFC039"/>
    <w:rsid w:val="045D8672"/>
    <w:rsid w:val="052BE5D7"/>
    <w:rsid w:val="08787121"/>
    <w:rsid w:val="0B7DC2FF"/>
    <w:rsid w:val="0D608205"/>
    <w:rsid w:val="0E2CB396"/>
    <w:rsid w:val="0F38C539"/>
    <w:rsid w:val="10EFDD97"/>
    <w:rsid w:val="1349CB80"/>
    <w:rsid w:val="143094F8"/>
    <w:rsid w:val="14772F8C"/>
    <w:rsid w:val="18B4C531"/>
    <w:rsid w:val="1C3CF147"/>
    <w:rsid w:val="1C4D0FE0"/>
    <w:rsid w:val="1FB87A60"/>
    <w:rsid w:val="20147C65"/>
    <w:rsid w:val="2210C9DB"/>
    <w:rsid w:val="223623BC"/>
    <w:rsid w:val="22C4B7FA"/>
    <w:rsid w:val="24E120B2"/>
    <w:rsid w:val="24F3FCAB"/>
    <w:rsid w:val="251862FB"/>
    <w:rsid w:val="25ED714E"/>
    <w:rsid w:val="26232E54"/>
    <w:rsid w:val="26A1149C"/>
    <w:rsid w:val="2775F5F0"/>
    <w:rsid w:val="27EB1253"/>
    <w:rsid w:val="2A3D2D26"/>
    <w:rsid w:val="2B56BEBE"/>
    <w:rsid w:val="2CE54D5F"/>
    <w:rsid w:val="2D22D682"/>
    <w:rsid w:val="2EE0F91B"/>
    <w:rsid w:val="2FD82A53"/>
    <w:rsid w:val="303D1E58"/>
    <w:rsid w:val="340F328A"/>
    <w:rsid w:val="35122696"/>
    <w:rsid w:val="35167C8C"/>
    <w:rsid w:val="37DE923C"/>
    <w:rsid w:val="396F8634"/>
    <w:rsid w:val="3A0DB68F"/>
    <w:rsid w:val="3A13D7B1"/>
    <w:rsid w:val="3BF25E3E"/>
    <w:rsid w:val="3D7C59DC"/>
    <w:rsid w:val="3EC6ADB4"/>
    <w:rsid w:val="3F270778"/>
    <w:rsid w:val="3F569672"/>
    <w:rsid w:val="3FE6917E"/>
    <w:rsid w:val="402087C1"/>
    <w:rsid w:val="41800E99"/>
    <w:rsid w:val="4216B07F"/>
    <w:rsid w:val="42E5CB90"/>
    <w:rsid w:val="43196E94"/>
    <w:rsid w:val="441E94E3"/>
    <w:rsid w:val="44DE0C26"/>
    <w:rsid w:val="44E0287D"/>
    <w:rsid w:val="47C1705B"/>
    <w:rsid w:val="4B4D7D6A"/>
    <w:rsid w:val="4C195B2A"/>
    <w:rsid w:val="4CA73B8E"/>
    <w:rsid w:val="4D1AEF3E"/>
    <w:rsid w:val="4D79D391"/>
    <w:rsid w:val="4E00B0C4"/>
    <w:rsid w:val="4EDD2C88"/>
    <w:rsid w:val="4F7712F0"/>
    <w:rsid w:val="50CC5FB6"/>
    <w:rsid w:val="50FD55AB"/>
    <w:rsid w:val="5248D22B"/>
    <w:rsid w:val="57E36467"/>
    <w:rsid w:val="58560E99"/>
    <w:rsid w:val="5A4DFBA1"/>
    <w:rsid w:val="5ACEC5BD"/>
    <w:rsid w:val="5B9FE7F0"/>
    <w:rsid w:val="5C990DD7"/>
    <w:rsid w:val="5CF136AD"/>
    <w:rsid w:val="5EC7125E"/>
    <w:rsid w:val="649EA34E"/>
    <w:rsid w:val="655B9094"/>
    <w:rsid w:val="6640513F"/>
    <w:rsid w:val="6798709E"/>
    <w:rsid w:val="681A5E01"/>
    <w:rsid w:val="68EC1969"/>
    <w:rsid w:val="68F23CA5"/>
    <w:rsid w:val="69C7AB2F"/>
    <w:rsid w:val="6A0C6F8F"/>
    <w:rsid w:val="6AA4AEFC"/>
    <w:rsid w:val="6B94E626"/>
    <w:rsid w:val="6BDDAF81"/>
    <w:rsid w:val="6BF417B5"/>
    <w:rsid w:val="7080B269"/>
    <w:rsid w:val="71F1742A"/>
    <w:rsid w:val="733EF336"/>
    <w:rsid w:val="73BCE096"/>
    <w:rsid w:val="748BBC95"/>
    <w:rsid w:val="76690CF4"/>
    <w:rsid w:val="78832465"/>
    <w:rsid w:val="78A104DE"/>
    <w:rsid w:val="7A8B4F80"/>
    <w:rsid w:val="7D40AF1D"/>
    <w:rsid w:val="7E409DA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76F58"/>
  <w15:docId w15:val="{E9CD25F5-E07C-45F4-A735-7DB2245B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2"/>
        <w:szCs w:val="22"/>
        <w:lang w:val="lv-LV"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cs="Times New Roman"/>
      <w:kern w:val="0"/>
      <w:lang w:eastAsia="zh-CN"/>
    </w:rPr>
  </w:style>
  <w:style w:type="paragraph" w:styleId="Heading1">
    <w:name w:val="heading 1"/>
    <w:basedOn w:val="Normal"/>
    <w:next w:val="Normal"/>
    <w:uiPriority w:val="9"/>
    <w:qFormat/>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Yu Gothic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Yu Gothic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Yu Gothic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Yu Gothic Light"/>
      <w:i/>
      <w:iCs/>
      <w:color w:val="595959"/>
    </w:rPr>
  </w:style>
  <w:style w:type="paragraph" w:styleId="Heading7">
    <w:name w:val="heading 7"/>
    <w:basedOn w:val="Normal"/>
    <w:next w:val="Normal"/>
    <w:pPr>
      <w:keepNext/>
      <w:keepLines/>
      <w:spacing w:before="40" w:after="0"/>
      <w:outlineLvl w:val="6"/>
    </w:pPr>
    <w:rPr>
      <w:rFonts w:eastAsia="Yu Gothic Light"/>
      <w:color w:val="595959"/>
    </w:rPr>
  </w:style>
  <w:style w:type="paragraph" w:styleId="Heading8">
    <w:name w:val="heading 8"/>
    <w:basedOn w:val="Normal"/>
    <w:next w:val="Normal"/>
    <w:pPr>
      <w:keepNext/>
      <w:keepLines/>
      <w:spacing w:after="0"/>
      <w:outlineLvl w:val="7"/>
    </w:pPr>
    <w:rPr>
      <w:rFonts w:eastAsia="Yu Gothic Light"/>
      <w:i/>
      <w:iCs/>
      <w:color w:val="272727"/>
    </w:rPr>
  </w:style>
  <w:style w:type="paragraph" w:styleId="Heading9">
    <w:name w:val="heading 9"/>
    <w:basedOn w:val="Normal"/>
    <w:next w:val="Normal"/>
    <w:pPr>
      <w:keepNext/>
      <w:keepLines/>
      <w:spacing w:after="0"/>
      <w:outlineLvl w:val="8"/>
    </w:pPr>
    <w:rPr>
      <w:rFonts w:eastAsia="Yu Gothic Light"/>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Yu Gothic Light" w:hAnsi="Aptos Display" w:cs="Times New Roman"/>
      <w:color w:val="0F4761"/>
      <w:sz w:val="40"/>
      <w:szCs w:val="40"/>
    </w:rPr>
  </w:style>
  <w:style w:type="character" w:customStyle="1" w:styleId="Heading2Char">
    <w:name w:val="Heading 2 Char"/>
    <w:basedOn w:val="DefaultParagraphFont"/>
    <w:rPr>
      <w:rFonts w:ascii="Aptos Display" w:eastAsia="Yu Gothic Light" w:hAnsi="Aptos Display" w:cs="Times New Roman"/>
      <w:color w:val="0F4761"/>
      <w:sz w:val="32"/>
      <w:szCs w:val="32"/>
    </w:rPr>
  </w:style>
  <w:style w:type="character" w:customStyle="1" w:styleId="Heading3Char">
    <w:name w:val="Heading 3 Char"/>
    <w:basedOn w:val="DefaultParagraphFont"/>
    <w:rPr>
      <w:rFonts w:eastAsia="Yu Gothic Light" w:cs="Times New Roman"/>
      <w:color w:val="0F4761"/>
      <w:sz w:val="28"/>
      <w:szCs w:val="28"/>
    </w:rPr>
  </w:style>
  <w:style w:type="character" w:customStyle="1" w:styleId="Heading4Char">
    <w:name w:val="Heading 4 Char"/>
    <w:basedOn w:val="DefaultParagraphFont"/>
    <w:rPr>
      <w:rFonts w:eastAsia="Yu Gothic Light" w:cs="Times New Roman"/>
      <w:i/>
      <w:iCs/>
      <w:color w:val="0F4761"/>
    </w:rPr>
  </w:style>
  <w:style w:type="character" w:customStyle="1" w:styleId="Heading5Char">
    <w:name w:val="Heading 5 Char"/>
    <w:basedOn w:val="DefaultParagraphFont"/>
    <w:rPr>
      <w:rFonts w:eastAsia="Yu Gothic Light" w:cs="Times New Roman"/>
      <w:color w:val="0F4761"/>
    </w:rPr>
  </w:style>
  <w:style w:type="character" w:customStyle="1" w:styleId="Heading6Char">
    <w:name w:val="Heading 6 Char"/>
    <w:basedOn w:val="DefaultParagraphFont"/>
    <w:rPr>
      <w:rFonts w:eastAsia="Yu Gothic Light" w:cs="Times New Roman"/>
      <w:i/>
      <w:iCs/>
      <w:color w:val="595959"/>
    </w:rPr>
  </w:style>
  <w:style w:type="character" w:customStyle="1" w:styleId="Heading7Char">
    <w:name w:val="Heading 7 Char"/>
    <w:basedOn w:val="DefaultParagraphFont"/>
    <w:rPr>
      <w:rFonts w:eastAsia="Yu Gothic Light" w:cs="Times New Roman"/>
      <w:color w:val="595959"/>
    </w:rPr>
  </w:style>
  <w:style w:type="character" w:customStyle="1" w:styleId="Heading8Char">
    <w:name w:val="Heading 8 Char"/>
    <w:basedOn w:val="DefaultParagraphFont"/>
    <w:rPr>
      <w:rFonts w:eastAsia="Yu Gothic Light" w:cs="Times New Roman"/>
      <w:i/>
      <w:iCs/>
      <w:color w:val="272727"/>
    </w:rPr>
  </w:style>
  <w:style w:type="character" w:customStyle="1" w:styleId="Heading9Char">
    <w:name w:val="Heading 9 Char"/>
    <w:basedOn w:val="DefaultParagraphFont"/>
    <w:rPr>
      <w:rFonts w:eastAsia="Yu Gothic Light" w:cs="Times New Roman"/>
      <w:color w:val="272727"/>
    </w:rPr>
  </w:style>
  <w:style w:type="paragraph" w:styleId="Title">
    <w:name w:val="Title"/>
    <w:basedOn w:val="Normal"/>
    <w:next w:val="Normal"/>
    <w:uiPriority w:val="10"/>
    <w:qFormat/>
    <w:pPr>
      <w:spacing w:after="80" w:line="240" w:lineRule="auto"/>
      <w:contextualSpacing/>
    </w:pPr>
    <w:rPr>
      <w:rFonts w:ascii="Aptos Display" w:eastAsia="Yu Gothic Light" w:hAnsi="Aptos Display"/>
      <w:spacing w:val="-10"/>
      <w:kern w:val="3"/>
      <w:sz w:val="56"/>
      <w:szCs w:val="56"/>
    </w:rPr>
  </w:style>
  <w:style w:type="character" w:customStyle="1" w:styleId="TitleChar">
    <w:name w:val="Title Char"/>
    <w:basedOn w:val="DefaultParagraphFont"/>
    <w:rPr>
      <w:rFonts w:ascii="Aptos Display" w:eastAsia="Yu Gothic Light" w:hAnsi="Aptos Display" w:cs="Times New Roman"/>
      <w:spacing w:val="-10"/>
      <w:kern w:val="3"/>
      <w:sz w:val="56"/>
      <w:szCs w:val="56"/>
    </w:rPr>
  </w:style>
  <w:style w:type="paragraph" w:styleId="Subtitle">
    <w:name w:val="Subtitle"/>
    <w:basedOn w:val="Normal"/>
    <w:next w:val="Normal"/>
    <w:uiPriority w:val="11"/>
    <w:qFormat/>
    <w:rPr>
      <w:rFonts w:eastAsia="Yu Gothic Light"/>
      <w:color w:val="595959"/>
      <w:spacing w:val="15"/>
      <w:sz w:val="28"/>
      <w:szCs w:val="28"/>
    </w:rPr>
  </w:style>
  <w:style w:type="character" w:customStyle="1" w:styleId="SubtitleChar">
    <w:name w:val="Subtitle Char"/>
    <w:basedOn w:val="DefaultParagraphFont"/>
    <w:rPr>
      <w:rFonts w:eastAsia="Yu Gothic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rPr>
      <w:rFonts w:ascii="Symbol" w:eastAsia="Calibri" w:hAnsi="Symbol" w:cs="Calibri"/>
      <w:sz w:val="22"/>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b w:val="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rPr>
      <w:rFonts w:ascii="Times New Roman" w:eastAsia="Calibri" w:hAnsi="Times New Roman" w:cs="Times New Roman"/>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eastAsia="Times New Roman" w:hAnsi="Symbol" w:cs="Symbol"/>
      <w:sz w:val="24"/>
      <w:szCs w:val="24"/>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sz w:val="24"/>
      <w:szCs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0">
    <w:name w:val="WW8Num16z0"/>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color w:val="000000"/>
      <w:sz w:val="24"/>
      <w:szCs w:val="24"/>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styleId="CommentReference">
    <w:name w:val="annotation reference"/>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ahoma"/>
      <w:szCs w:val="16"/>
    </w:rPr>
  </w:style>
  <w:style w:type="character" w:styleId="Hyperlink">
    <w:name w:val="Hyperlink"/>
    <w:uiPriority w:val="99"/>
    <w:rPr>
      <w:color w:val="0000FF"/>
      <w:u w:val="single"/>
    </w:rPr>
  </w:style>
  <w:style w:type="character" w:customStyle="1" w:styleId="ListParagraphChar">
    <w:name w:val="List Paragraph Char"/>
  </w:style>
  <w:style w:type="character" w:customStyle="1" w:styleId="FootnoteTextChar">
    <w:name w:val="Footnote Text Char"/>
    <w:rPr>
      <w:rFonts w:ascii="Calibri" w:eastAsia="Calibri" w:hAnsi="Calibri" w:cs="Times New Roman"/>
      <w:sz w:val="20"/>
      <w:szCs w:val="20"/>
    </w:rPr>
  </w:style>
  <w:style w:type="character" w:customStyle="1" w:styleId="FootnoteCharacters">
    <w:name w:val="Footnote Characters"/>
    <w:rPr>
      <w:position w:val="0"/>
      <w:vertAlign w:val="superscript"/>
    </w:rPr>
  </w:style>
  <w:style w:type="character" w:customStyle="1" w:styleId="BodyText2Char">
    <w:name w:val="Body Text 2 Char"/>
    <w:rPr>
      <w:rFonts w:ascii="Calibri" w:eastAsia="Calibri" w:hAnsi="Calibri" w:cs="Times New Roman"/>
    </w:rPr>
  </w:style>
  <w:style w:type="character" w:customStyle="1" w:styleId="apple-converted-space">
    <w:name w:val="apple-converted-space"/>
    <w:basedOn w:val="DefaultParagraphFont"/>
  </w:style>
  <w:style w:type="character" w:customStyle="1" w:styleId="StrongEmphasis">
    <w:name w:val="Strong Emphasis"/>
    <w:rPr>
      <w:b/>
      <w:bCs/>
    </w:rPr>
  </w:style>
  <w:style w:type="character" w:customStyle="1" w:styleId="HeaderChar">
    <w:name w:val="Header Char"/>
    <w:rPr>
      <w:rFonts w:ascii="Calibri" w:eastAsia="Calibri" w:hAnsi="Calibri" w:cs="Times New Roman"/>
    </w:rPr>
  </w:style>
  <w:style w:type="character" w:customStyle="1" w:styleId="FooterChar">
    <w:name w:val="Footer Char"/>
    <w:rPr>
      <w:rFonts w:ascii="Calibri" w:eastAsia="Calibri" w:hAnsi="Calibri" w:cs="Times New Roman"/>
    </w:rPr>
  </w:style>
  <w:style w:type="character" w:styleId="Emphasis">
    <w:name w:val="Emphasis"/>
    <w:rPr>
      <w:i/>
      <w:iCs/>
    </w:rPr>
  </w:style>
  <w:style w:type="character" w:customStyle="1" w:styleId="PlainTextChar">
    <w:name w:val="Plain Text Char"/>
    <w:rPr>
      <w:rFonts w:ascii="Calibri" w:hAnsi="Calibri" w:cs="Times New Roman"/>
    </w:rPr>
  </w:style>
  <w:style w:type="character" w:customStyle="1" w:styleId="BodyTextIndentChar">
    <w:name w:val="Body Text Indent Char"/>
    <w:rPr>
      <w:rFonts w:ascii="Calibri" w:eastAsia="Calibri" w:hAnsi="Calibri" w:cs="Times New Roman"/>
    </w:rPr>
  </w:style>
  <w:style w:type="character" w:customStyle="1" w:styleId="hps">
    <w:name w:val="hps"/>
    <w:basedOn w:val="DefaultParagraphFont"/>
  </w:style>
  <w:style w:type="character" w:styleId="FollowedHyperlink">
    <w:name w:val="FollowedHyperlink"/>
    <w:rPr>
      <w:color w:val="800080"/>
      <w:u w:val="single"/>
    </w:rPr>
  </w:style>
  <w:style w:type="character" w:customStyle="1" w:styleId="italic">
    <w:name w:val="italic"/>
    <w:basedOn w:val="DefaultParagraphFont"/>
  </w:style>
  <w:style w:type="character" w:customStyle="1" w:styleId="CaptionChar">
    <w:name w:val="Caption Char"/>
    <w:rPr>
      <w:rFonts w:ascii="Times New Roman" w:eastAsia="Times New Roman" w:hAnsi="Times New Roman" w:cs="Times New Roman"/>
      <w:b/>
      <w:iCs/>
      <w:sz w:val="20"/>
      <w:szCs w:val="20"/>
    </w:rPr>
  </w:style>
  <w:style w:type="character" w:customStyle="1" w:styleId="italics">
    <w:name w:val="italics"/>
    <w:basedOn w:val="DefaultParagraphFont"/>
  </w:style>
  <w:style w:type="character" w:customStyle="1" w:styleId="bold">
    <w:name w:val="bold"/>
    <w:basedOn w:val="DefaultParagraphFont"/>
  </w:style>
  <w:style w:type="character" w:customStyle="1" w:styleId="sub">
    <w:name w:val="sub"/>
    <w:basedOn w:val="DefaultParagraphFont"/>
  </w:style>
  <w:style w:type="character" w:customStyle="1" w:styleId="normaltextrun">
    <w:name w:val="normaltextrun"/>
    <w:basedOn w:val="DefaultParagraphFont"/>
  </w:style>
  <w:style w:type="character" w:customStyle="1" w:styleId="BodyTextChar">
    <w:name w:val="Body Text Char"/>
    <w:rPr>
      <w:rFonts w:ascii="Calibri" w:eastAsia="Calibri" w:hAnsi="Calibri" w:cs="Times New Roman"/>
    </w:rPr>
  </w:style>
  <w:style w:type="character" w:customStyle="1" w:styleId="WW-FootnoteCharacters">
    <w:name w:val="WW-Footnote Characters"/>
    <w:rPr>
      <w:position w:val="0"/>
      <w:vertAlign w:val="superscript"/>
    </w:rPr>
  </w:style>
  <w:style w:type="character" w:customStyle="1" w:styleId="FootnoteAnchor">
    <w:name w:val="Footnote Anchor"/>
    <w:rPr>
      <w:position w:val="0"/>
      <w:vertAlign w:val="superscript"/>
    </w:rPr>
  </w:style>
  <w:style w:type="character" w:customStyle="1" w:styleId="eop">
    <w:name w:val="eop"/>
    <w:basedOn w:val="DefaultParagraphFont"/>
  </w:style>
  <w:style w:type="character" w:customStyle="1" w:styleId="UnresolvedMention1">
    <w:name w:val="Unresolved Mention1"/>
    <w:rPr>
      <w:color w:val="605E5C"/>
      <w:shd w:val="clear" w:color="auto" w:fill="E1DFDD"/>
    </w:rPr>
  </w:style>
  <w:style w:type="character" w:customStyle="1" w:styleId="IndexLink">
    <w:name w:val="Index Link"/>
  </w:style>
  <w:style w:type="character" w:customStyle="1" w:styleId="EndnoteAnchor">
    <w:name w:val="Endnote Anchor"/>
    <w:rPr>
      <w:position w:val="0"/>
      <w:vertAlign w:val="superscript"/>
    </w:rPr>
  </w:style>
  <w:style w:type="character" w:customStyle="1" w:styleId="EndnoteCharacters">
    <w:name w:val="Endnote Characters"/>
  </w:style>
  <w:style w:type="paragraph" w:customStyle="1" w:styleId="Heading">
    <w:name w:val="Heading"/>
    <w:basedOn w:val="Normal"/>
    <w:next w:val="BodyText"/>
    <w:pPr>
      <w:keepNext/>
      <w:spacing w:before="240" w:after="120"/>
    </w:pPr>
    <w:rPr>
      <w:rFonts w:ascii="Linux Libertine Display G" w:eastAsia="Noto Sans CJK SC" w:hAnsi="Linux Libertine Display G" w:cs="FreeSans"/>
      <w:sz w:val="28"/>
      <w:szCs w:val="28"/>
    </w:rPr>
  </w:style>
  <w:style w:type="paragraph" w:styleId="BodyText">
    <w:name w:val="Body Text"/>
    <w:basedOn w:val="Normal"/>
    <w:pPr>
      <w:spacing w:after="120"/>
    </w:pPr>
  </w:style>
  <w:style w:type="character" w:customStyle="1" w:styleId="BodyTextChar1">
    <w:name w:val="Body Text Char1"/>
    <w:basedOn w:val="DefaultParagraphFont"/>
    <w:rPr>
      <w:rFonts w:ascii="Calibri" w:eastAsia="Calibri" w:hAnsi="Calibri" w:cs="Times New Roman"/>
      <w:kern w:val="0"/>
      <w:lang w:eastAsia="zh-CN"/>
    </w:rPr>
  </w:style>
  <w:style w:type="paragraph" w:styleId="List">
    <w:name w:val="List"/>
    <w:basedOn w:val="BodyText"/>
    <w:rPr>
      <w:rFonts w:ascii="Ubuntu;Segoe Script" w:hAnsi="Ubuntu;Segoe Script" w:cs="FreeSans"/>
    </w:rPr>
  </w:style>
  <w:style w:type="paragraph" w:styleId="Caption">
    <w:name w:val="caption"/>
    <w:basedOn w:val="Normal"/>
    <w:pPr>
      <w:suppressLineNumbers/>
      <w:spacing w:before="120" w:after="120"/>
    </w:pPr>
    <w:rPr>
      <w:rFonts w:ascii="Linux Libertine Display G" w:hAnsi="Linux Libertine Display G" w:cs="FreeSans"/>
      <w:i/>
      <w:iCs/>
      <w:sz w:val="24"/>
      <w:szCs w:val="24"/>
    </w:rPr>
  </w:style>
  <w:style w:type="paragraph" w:customStyle="1" w:styleId="Index">
    <w:name w:val="Index"/>
    <w:basedOn w:val="Normal"/>
    <w:pPr>
      <w:suppressLineNumbers/>
    </w:pPr>
    <w:rPr>
      <w:rFonts w:ascii="Ubuntu;Segoe Script" w:hAnsi="Ubuntu;Segoe Script" w:cs="FreeSans"/>
    </w:rPr>
  </w:style>
  <w:style w:type="paragraph" w:styleId="CommentText">
    <w:name w:val="annotation text"/>
    <w:basedOn w:val="Normal"/>
    <w:pPr>
      <w:spacing w:line="240" w:lineRule="auto"/>
    </w:pPr>
    <w:rPr>
      <w:sz w:val="20"/>
      <w:szCs w:val="20"/>
    </w:rPr>
  </w:style>
  <w:style w:type="character" w:customStyle="1" w:styleId="CommentTextChar1">
    <w:name w:val="Comment Text Char1"/>
    <w:basedOn w:val="DefaultParagraphFont"/>
    <w:rPr>
      <w:rFonts w:ascii="Calibri" w:eastAsia="Calibri" w:hAnsi="Calibri" w:cs="Times New Roman"/>
      <w:kern w:val="0"/>
      <w:sz w:val="20"/>
      <w:szCs w:val="20"/>
      <w:lang w:eastAsia="zh-CN"/>
    </w:rPr>
  </w:style>
  <w:style w:type="paragraph" w:styleId="CommentSubject">
    <w:name w:val="annotation subject"/>
    <w:basedOn w:val="CommentText"/>
    <w:next w:val="CommentText"/>
    <w:rPr>
      <w:b/>
      <w:bCs/>
    </w:rPr>
  </w:style>
  <w:style w:type="character" w:customStyle="1" w:styleId="CommentSubjectChar1">
    <w:name w:val="Comment Subject Char1"/>
    <w:basedOn w:val="CommentTextChar1"/>
    <w:rPr>
      <w:rFonts w:ascii="Calibri" w:eastAsia="Calibri" w:hAnsi="Calibri" w:cs="Times New Roman"/>
      <w:b/>
      <w:bCs/>
      <w:kern w:val="0"/>
      <w:sz w:val="20"/>
      <w:szCs w:val="20"/>
      <w:lang w:eastAsia="zh-CN"/>
    </w:rPr>
  </w:style>
  <w:style w:type="paragraph" w:styleId="BalloonText">
    <w:name w:val="Balloon Text"/>
    <w:basedOn w:val="Normal"/>
    <w:pPr>
      <w:spacing w:after="0" w:line="240" w:lineRule="auto"/>
    </w:pPr>
    <w:rPr>
      <w:rFonts w:ascii="Tahoma" w:hAnsi="Tahoma" w:cs="Tahoma"/>
      <w:szCs w:val="16"/>
    </w:rPr>
  </w:style>
  <w:style w:type="character" w:customStyle="1" w:styleId="BalloonTextChar1">
    <w:name w:val="Balloon Text Char1"/>
    <w:basedOn w:val="DefaultParagraphFont"/>
    <w:rPr>
      <w:rFonts w:ascii="Tahoma" w:eastAsia="Calibri" w:hAnsi="Tahoma" w:cs="Tahoma"/>
      <w:kern w:val="0"/>
      <w:szCs w:val="16"/>
      <w:lang w:eastAsia="zh-CN"/>
    </w:rPr>
  </w:style>
  <w:style w:type="paragraph" w:styleId="FootnoteText">
    <w:name w:val="footnote text"/>
    <w:basedOn w:val="Normal"/>
    <w:pPr>
      <w:spacing w:after="0" w:line="240" w:lineRule="auto"/>
    </w:pPr>
    <w:rPr>
      <w:sz w:val="20"/>
      <w:szCs w:val="20"/>
    </w:rPr>
  </w:style>
  <w:style w:type="character" w:customStyle="1" w:styleId="FootnoteTextChar1">
    <w:name w:val="Footnote Text Char1"/>
    <w:basedOn w:val="DefaultParagraphFont"/>
    <w:rPr>
      <w:rFonts w:ascii="Calibri" w:eastAsia="Calibri" w:hAnsi="Calibri" w:cs="Times New Roman"/>
      <w:kern w:val="0"/>
      <w:sz w:val="20"/>
      <w:szCs w:val="20"/>
      <w:lang w:eastAsia="zh-CN"/>
    </w:rPr>
  </w:style>
  <w:style w:type="paragraph" w:customStyle="1" w:styleId="FootnoteRefernece">
    <w:name w:val="Footnote Refernece"/>
    <w:basedOn w:val="Normal"/>
    <w:next w:val="Normal"/>
    <w:pPr>
      <w:spacing w:after="160" w:line="240" w:lineRule="exact"/>
      <w:jc w:val="both"/>
      <w:textAlignment w:val="baseline"/>
    </w:pPr>
    <w:rPr>
      <w:rFonts w:cs="DokChampa"/>
      <w:vertAlign w:val="superscript"/>
    </w:rPr>
  </w:style>
  <w:style w:type="paragraph" w:styleId="BodyText2">
    <w:name w:val="Body Text 2"/>
    <w:basedOn w:val="Normal"/>
    <w:pPr>
      <w:spacing w:after="120" w:line="480" w:lineRule="auto"/>
    </w:pPr>
  </w:style>
  <w:style w:type="character" w:customStyle="1" w:styleId="BodyText2Char1">
    <w:name w:val="Body Text 2 Char1"/>
    <w:basedOn w:val="DefaultParagraphFont"/>
    <w:rPr>
      <w:rFonts w:ascii="Calibri" w:eastAsia="Calibri" w:hAnsi="Calibri" w:cs="Times New Roman"/>
      <w:kern w:val="0"/>
      <w:lang w:eastAsia="zh-CN"/>
    </w:rPr>
  </w:style>
  <w:style w:type="paragraph" w:customStyle="1" w:styleId="Bullet0">
    <w:name w:val="Bullet 0"/>
    <w:basedOn w:val="Normal"/>
    <w:pPr>
      <w:numPr>
        <w:numId w:val="2"/>
      </w:numPr>
      <w:spacing w:before="120" w:after="120" w:line="240" w:lineRule="auto"/>
      <w:jc w:val="both"/>
    </w:pPr>
    <w:rPr>
      <w:rFonts w:ascii="Times New Roman" w:eastAsia="Times New Roman" w:hAnsi="Times New Roman"/>
      <w:sz w:val="24"/>
      <w:szCs w:val="20"/>
    </w:rPr>
  </w:style>
  <w:style w:type="paragraph" w:styleId="NoSpacing">
    <w:name w:val="No Spacing"/>
    <w:pPr>
      <w:widowControl w:val="0"/>
      <w:suppressAutoHyphens/>
      <w:spacing w:after="0" w:line="240" w:lineRule="auto"/>
    </w:pPr>
    <w:rPr>
      <w:rFonts w:ascii="Calibri" w:eastAsia="Calibri" w:hAnsi="Calibri" w:cs="Times New Roman"/>
      <w:kern w:val="0"/>
      <w:lang w:val="en-US" w:eastAsia="zh-CN"/>
    </w:rPr>
  </w:style>
  <w:style w:type="paragraph" w:styleId="TOCHeading">
    <w:name w:val="TOC Heading"/>
    <w:basedOn w:val="Heading1"/>
    <w:next w:val="Normal"/>
    <w:pPr>
      <w:spacing w:before="480" w:after="0"/>
    </w:pPr>
    <w:rPr>
      <w:rFonts w:ascii="Cambria" w:eastAsia="Times New Roman" w:hAnsi="Cambria" w:cs="DokChampa"/>
      <w:b/>
      <w:bCs/>
      <w:caps/>
      <w:color w:val="365F91"/>
      <w:sz w:val="28"/>
      <w:szCs w:val="28"/>
      <w:lang w:val="en-US" w:eastAsia="ja-JP"/>
    </w:rPr>
  </w:style>
  <w:style w:type="paragraph" w:styleId="TOC1">
    <w:name w:val="toc 1"/>
    <w:basedOn w:val="Normal"/>
    <w:next w:val="Normal"/>
    <w:uiPriority w:val="39"/>
    <w:pPr>
      <w:spacing w:after="100"/>
      <w:jc w:val="both"/>
    </w:pPr>
  </w:style>
  <w:style w:type="paragraph" w:styleId="TOC3">
    <w:name w:val="toc 3"/>
    <w:basedOn w:val="Normal"/>
    <w:next w:val="Normal"/>
    <w:pPr>
      <w:spacing w:after="100"/>
      <w:ind w:left="440"/>
    </w:pPr>
  </w:style>
  <w:style w:type="paragraph" w:styleId="TOC2">
    <w:name w:val="toc 2"/>
    <w:basedOn w:val="Normal"/>
    <w:next w:val="Normal"/>
    <w:uiPriority w:val="39"/>
    <w:pPr>
      <w:spacing w:after="100"/>
    </w:pPr>
  </w:style>
  <w:style w:type="paragraph" w:styleId="NormalWeb">
    <w:name w:val="Normal (Web)"/>
    <w:basedOn w:val="Normal"/>
    <w:pPr>
      <w:spacing w:after="240" w:line="240" w:lineRule="auto"/>
    </w:pPr>
    <w:rPr>
      <w:rFonts w:ascii="Times New Roman" w:eastAsia="Times New Roman" w:hAnsi="Times New Roman"/>
      <w:sz w:val="24"/>
      <w:szCs w:val="24"/>
    </w:rPr>
  </w:style>
  <w:style w:type="paragraph" w:customStyle="1" w:styleId="HeaderandFooter">
    <w:name w:val="Header and Footer"/>
    <w:basedOn w:val="Normal"/>
    <w:pPr>
      <w:suppressLineNumbers/>
      <w:tabs>
        <w:tab w:val="center" w:pos="4819"/>
        <w:tab w:val="right" w:pos="9638"/>
      </w:tabs>
    </w:pPr>
  </w:style>
  <w:style w:type="paragraph" w:styleId="Header">
    <w:name w:val="header"/>
    <w:basedOn w:val="Normal"/>
    <w:pPr>
      <w:spacing w:after="0" w:line="240" w:lineRule="auto"/>
    </w:pPr>
  </w:style>
  <w:style w:type="character" w:customStyle="1" w:styleId="HeaderChar1">
    <w:name w:val="Header Char1"/>
    <w:basedOn w:val="DefaultParagraphFont"/>
    <w:rPr>
      <w:rFonts w:ascii="Calibri" w:eastAsia="Calibri" w:hAnsi="Calibri" w:cs="Times New Roman"/>
      <w:kern w:val="0"/>
      <w:lang w:eastAsia="zh-CN"/>
    </w:rPr>
  </w:style>
  <w:style w:type="paragraph" w:styleId="Footer">
    <w:name w:val="footer"/>
    <w:basedOn w:val="Normal"/>
    <w:pPr>
      <w:spacing w:after="0" w:line="240" w:lineRule="auto"/>
    </w:pPr>
  </w:style>
  <w:style w:type="character" w:customStyle="1" w:styleId="FooterChar1">
    <w:name w:val="Footer Char1"/>
    <w:basedOn w:val="DefaultParagraphFont"/>
    <w:rPr>
      <w:rFonts w:ascii="Calibri" w:eastAsia="Calibri" w:hAnsi="Calibri" w:cs="Times New Roman"/>
      <w:kern w:val="0"/>
      <w:lang w:eastAsia="zh-CN"/>
    </w:rPr>
  </w:style>
  <w:style w:type="paragraph" w:customStyle="1" w:styleId="TableContents">
    <w:name w:val="Table Contents"/>
    <w:basedOn w:val="Normal"/>
    <w:pPr>
      <w:widowControl w:val="0"/>
      <w:suppressLineNumbers/>
      <w:spacing w:after="0" w:line="240" w:lineRule="auto"/>
    </w:pPr>
    <w:rPr>
      <w:rFonts w:ascii="Carlito" w:eastAsia="DejaVu Sans" w:hAnsi="Carlito" w:cs="FreeSans;Cambria"/>
      <w:kern w:val="3"/>
      <w:szCs w:val="24"/>
      <w:lang w:bidi="hi-IN"/>
    </w:rPr>
  </w:style>
  <w:style w:type="paragraph" w:customStyle="1" w:styleId="tv213">
    <w:name w:val="tv213"/>
    <w:basedOn w:val="Normal"/>
    <w:pPr>
      <w:spacing w:before="280" w:after="280" w:line="240" w:lineRule="auto"/>
    </w:pPr>
    <w:rPr>
      <w:rFonts w:ascii="Times New Roman" w:eastAsia="Times New Roman" w:hAnsi="Times New Roman"/>
      <w:sz w:val="24"/>
      <w:szCs w:val="24"/>
    </w:rPr>
  </w:style>
  <w:style w:type="paragraph" w:customStyle="1" w:styleId="Default">
    <w:name w:val="Default"/>
    <w:pPr>
      <w:suppressAutoHyphens/>
      <w:autoSpaceDE w:val="0"/>
      <w:spacing w:after="0" w:line="240" w:lineRule="auto"/>
    </w:pPr>
    <w:rPr>
      <w:rFonts w:ascii="Times New Roman" w:eastAsia="Calibri" w:hAnsi="Times New Roman" w:cs="Times New Roman"/>
      <w:color w:val="000000"/>
      <w:kern w:val="0"/>
      <w:sz w:val="24"/>
      <w:szCs w:val="24"/>
      <w:lang w:eastAsia="zh-CN"/>
    </w:rPr>
  </w:style>
  <w:style w:type="paragraph" w:styleId="PlainText">
    <w:name w:val="Plain Text"/>
    <w:basedOn w:val="Normal"/>
    <w:pPr>
      <w:spacing w:after="0" w:line="240" w:lineRule="auto"/>
    </w:pPr>
  </w:style>
  <w:style w:type="character" w:customStyle="1" w:styleId="PlainTextChar1">
    <w:name w:val="Plain Text Char1"/>
    <w:basedOn w:val="DefaultParagraphFont"/>
    <w:rPr>
      <w:rFonts w:ascii="Calibri" w:eastAsia="Calibri" w:hAnsi="Calibri" w:cs="Times New Roman"/>
      <w:kern w:val="0"/>
      <w:lang w:eastAsia="zh-CN"/>
    </w:rPr>
  </w:style>
  <w:style w:type="paragraph" w:styleId="BodyTextIndent">
    <w:name w:val="Body Text Indent"/>
    <w:basedOn w:val="Normal"/>
    <w:pPr>
      <w:spacing w:after="120"/>
      <w:ind w:left="283"/>
    </w:pPr>
  </w:style>
  <w:style w:type="character" w:customStyle="1" w:styleId="BodyTextIndentChar1">
    <w:name w:val="Body Text Indent Char1"/>
    <w:basedOn w:val="DefaultParagraphFont"/>
    <w:rPr>
      <w:rFonts w:ascii="Calibri" w:eastAsia="Calibri" w:hAnsi="Calibri" w:cs="Times New Roman"/>
      <w:kern w:val="0"/>
      <w:lang w:eastAsia="zh-CN"/>
    </w:rPr>
  </w:style>
  <w:style w:type="paragraph" w:styleId="Revision">
    <w:name w:val="Revision"/>
    <w:pPr>
      <w:suppressAutoHyphens/>
      <w:spacing w:after="0" w:line="240" w:lineRule="auto"/>
    </w:pPr>
    <w:rPr>
      <w:rFonts w:ascii="Calibri" w:eastAsia="Calibri" w:hAnsi="Calibri" w:cs="Times New Roman"/>
      <w:kern w:val="0"/>
      <w:lang w:eastAsia="zh-CN"/>
    </w:rPr>
  </w:style>
  <w:style w:type="paragraph" w:customStyle="1" w:styleId="doc-ti">
    <w:name w:val="doc-ti"/>
    <w:basedOn w:val="Normal"/>
    <w:pPr>
      <w:spacing w:before="280" w:after="280" w:line="240" w:lineRule="auto"/>
    </w:pPr>
    <w:rPr>
      <w:rFonts w:ascii="Times New Roman" w:eastAsia="Times New Roman" w:hAnsi="Times New Roman"/>
      <w:sz w:val="24"/>
      <w:szCs w:val="24"/>
    </w:rPr>
  </w:style>
  <w:style w:type="paragraph" w:customStyle="1" w:styleId="WW-Caption">
    <w:name w:val="WW-Caption"/>
    <w:basedOn w:val="Normal"/>
    <w:next w:val="Normal"/>
    <w:pPr>
      <w:keepNext/>
      <w:spacing w:before="120" w:after="120" w:line="240" w:lineRule="auto"/>
      <w:jc w:val="center"/>
    </w:pPr>
    <w:rPr>
      <w:rFonts w:ascii="Times New Roman" w:eastAsia="Times New Roman" w:hAnsi="Times New Roman"/>
      <w:b/>
      <w:iCs/>
      <w:sz w:val="20"/>
      <w:szCs w:val="20"/>
    </w:rPr>
  </w:style>
  <w:style w:type="paragraph" w:customStyle="1" w:styleId="Normal1">
    <w:name w:val="Normal1"/>
    <w:basedOn w:val="Normal"/>
    <w:pPr>
      <w:spacing w:before="280" w:after="280" w:line="240" w:lineRule="auto"/>
    </w:pPr>
    <w:rPr>
      <w:rFonts w:ascii="Times New Roman" w:eastAsia="Times New Roman" w:hAnsi="Times New Roman"/>
      <w:sz w:val="24"/>
      <w:szCs w:val="24"/>
      <w:lang w:bidi="lo-LA"/>
    </w:rPr>
  </w:style>
  <w:style w:type="paragraph" w:customStyle="1" w:styleId="Normal2">
    <w:name w:val="Normal2"/>
    <w:basedOn w:val="Normal"/>
    <w:pPr>
      <w:spacing w:before="280" w:after="280" w:line="240" w:lineRule="auto"/>
    </w:pPr>
    <w:rPr>
      <w:rFonts w:ascii="Times New Roman" w:eastAsia="Times New Roman" w:hAnsi="Times New Roman"/>
      <w:sz w:val="24"/>
      <w:szCs w:val="24"/>
      <w:lang w:bidi="lo-LA"/>
    </w:rPr>
  </w:style>
  <w:style w:type="paragraph" w:customStyle="1" w:styleId="ti-art">
    <w:name w:val="ti-art"/>
    <w:basedOn w:val="Normal"/>
    <w:pPr>
      <w:spacing w:before="280" w:after="280" w:line="240" w:lineRule="auto"/>
    </w:pPr>
    <w:rPr>
      <w:rFonts w:ascii="Times New Roman" w:eastAsia="Times New Roman" w:hAnsi="Times New Roman"/>
      <w:sz w:val="24"/>
      <w:szCs w:val="24"/>
      <w:lang w:bidi="lo-LA"/>
    </w:rPr>
  </w:style>
  <w:style w:type="paragraph" w:customStyle="1" w:styleId="sti-art">
    <w:name w:val="sti-art"/>
    <w:basedOn w:val="Normal"/>
    <w:pPr>
      <w:spacing w:before="280" w:after="280" w:line="240" w:lineRule="auto"/>
    </w:pPr>
    <w:rPr>
      <w:rFonts w:ascii="Times New Roman" w:eastAsia="Times New Roman" w:hAnsi="Times New Roman"/>
      <w:sz w:val="24"/>
      <w:szCs w:val="24"/>
      <w:lang w:bidi="lo-LA"/>
    </w:rPr>
  </w:style>
  <w:style w:type="paragraph" w:customStyle="1" w:styleId="Normal3">
    <w:name w:val="Normal3"/>
    <w:basedOn w:val="Normal"/>
    <w:pPr>
      <w:spacing w:before="280" w:after="280" w:line="240" w:lineRule="auto"/>
    </w:pPr>
    <w:rPr>
      <w:rFonts w:ascii="Times New Roman" w:eastAsia="Times New Roman" w:hAnsi="Times New Roman"/>
      <w:sz w:val="24"/>
      <w:szCs w:val="24"/>
      <w:lang w:bidi="lo-LA"/>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basedOn w:val="Normal"/>
    <w:pPr>
      <w:spacing w:after="160" w:line="240" w:lineRule="exact"/>
    </w:pPr>
    <w:rPr>
      <w:rFonts w:cs="DokChampa"/>
      <w:vertAlign w:val="superscript"/>
    </w:rPr>
  </w:style>
  <w:style w:type="paragraph" w:customStyle="1" w:styleId="TableHeading">
    <w:name w:val="Table Heading"/>
    <w:basedOn w:val="TableContents"/>
    <w:pPr>
      <w:jc w:val="center"/>
    </w:pPr>
    <w:rPr>
      <w:b/>
      <w:bCs/>
    </w:rPr>
  </w:style>
  <w:style w:type="character" w:styleId="FootnoteReference">
    <w:name w:val="footnote reference"/>
    <w:basedOn w:val="DefaultParagraphFont"/>
    <w:rPr>
      <w:position w:val="0"/>
      <w:vertAlign w:val="superscript"/>
    </w:rPr>
  </w:style>
  <w:style w:type="paragraph" w:customStyle="1" w:styleId="FootnotesymbolCarZchn">
    <w:name w:val="Footnote symbol Car Zchn"/>
    <w:basedOn w:val="Normal"/>
    <w:pPr>
      <w:spacing w:after="160" w:line="240" w:lineRule="exact"/>
      <w:jc w:val="both"/>
    </w:pPr>
    <w:rPr>
      <w:rFonts w:ascii="Aptos" w:eastAsia="Aptos" w:hAnsi="Aptos" w:cs="Arial"/>
      <w:kern w:val="3"/>
      <w:vertAlign w:val="superscript"/>
      <w:lang w:eastAsia="en-US"/>
    </w:rPr>
  </w:style>
  <w:style w:type="character" w:customStyle="1" w:styleId="UnresolvedMention2">
    <w:name w:val="Unresolved Mention2"/>
    <w:basedOn w:val="DefaultParagraphFont"/>
    <w:rPr>
      <w:color w:val="605E5C"/>
      <w:shd w:val="clear" w:color="auto" w:fill="E1DFDD"/>
    </w:rPr>
  </w:style>
  <w:style w:type="character" w:customStyle="1" w:styleId="UnresolvedMention3">
    <w:name w:val="Unresolved Mention3"/>
    <w:basedOn w:val="DefaultParagraphFont"/>
    <w:rPr>
      <w:color w:val="605E5C"/>
      <w:shd w:val="clear" w:color="auto" w:fill="E1DFDD"/>
    </w:rPr>
  </w:style>
  <w:style w:type="character" w:styleId="Mention">
    <w:name w:val="Mention"/>
    <w:basedOn w:val="DefaultParagraphFont"/>
    <w:rPr>
      <w:color w:val="2B579A"/>
      <w:shd w:val="clear" w:color="auto" w:fill="E1DFDD"/>
    </w:rPr>
  </w:style>
  <w:style w:type="character" w:styleId="UnresolvedMention">
    <w:name w:val="Unresolved Mention"/>
    <w:basedOn w:val="DefaultParagraphFont"/>
    <w:rPr>
      <w:color w:val="605E5C"/>
      <w:shd w:val="clear" w:color="auto" w:fill="E1DFDD"/>
    </w:rPr>
  </w:style>
  <w:style w:type="paragraph" w:customStyle="1" w:styleId="pf0">
    <w:name w:val="pf0"/>
    <w:basedOn w:val="Normal"/>
    <w:pPr>
      <w:spacing w:before="100" w:after="100" w:line="240" w:lineRule="auto"/>
    </w:pPr>
    <w:rPr>
      <w:rFonts w:ascii="Times New Roman" w:eastAsia="Times New Roman" w:hAnsi="Times New Roman"/>
      <w:sz w:val="24"/>
      <w:szCs w:val="24"/>
      <w:lang w:eastAsia="lv-LV"/>
    </w:rPr>
  </w:style>
  <w:style w:type="character" w:customStyle="1" w:styleId="cf01">
    <w:name w:val="cf01"/>
    <w:basedOn w:val="DefaultParagraphFont"/>
    <w:rPr>
      <w:rFonts w:ascii="Segoe UI" w:hAnsi="Segoe UI" w:cs="Segoe UI"/>
      <w:b/>
      <w:bCs/>
      <w:sz w:val="18"/>
      <w:szCs w:val="18"/>
    </w:rPr>
  </w:style>
  <w:style w:type="character" w:customStyle="1" w:styleId="NoSpacingChar">
    <w:name w:val="No Spacing Char"/>
    <w:basedOn w:val="DefaultParagraphFont"/>
    <w:rPr>
      <w:rFonts w:ascii="Calibri" w:eastAsia="Calibri" w:hAnsi="Calibri" w:cs="Times New Roman"/>
      <w:kern w:val="0"/>
      <w:lang w:val="en-US" w:eastAsia="zh-CN"/>
    </w:rPr>
  </w:style>
  <w:style w:type="paragraph" w:customStyle="1" w:styleId="CharCharCharChar">
    <w:name w:val="Char Char Char Char"/>
    <w:basedOn w:val="Normal"/>
    <w:next w:val="Normal"/>
    <w:pPr>
      <w:spacing w:after="160" w:line="240" w:lineRule="exact"/>
    </w:pPr>
    <w:rPr>
      <w:rFonts w:ascii="Aptos" w:eastAsia="Aptos" w:hAnsi="Aptos" w:cs="Arial"/>
      <w:vertAlign w:val="superscript"/>
      <w:lang w:val="en-US" w:eastAsia="en-US"/>
    </w:rPr>
  </w:style>
  <w:style w:type="character" w:customStyle="1" w:styleId="ui-provider">
    <w:name w:val="ui-provider"/>
    <w:basedOn w:val="DefaultParagraphFont"/>
  </w:style>
  <w:style w:type="paragraph" w:customStyle="1" w:styleId="msonormal0">
    <w:name w:val="msonormal"/>
    <w:basedOn w:val="Normal"/>
    <w:pPr>
      <w:spacing w:before="100" w:after="100" w:line="240" w:lineRule="auto"/>
    </w:pPr>
    <w:rPr>
      <w:rFonts w:ascii="Times New Roman" w:eastAsia="Times New Roman" w:hAnsi="Times New Roman"/>
      <w:sz w:val="24"/>
      <w:szCs w:val="24"/>
      <w:lang w:eastAsia="lv-LV"/>
    </w:rPr>
  </w:style>
  <w:style w:type="paragraph" w:customStyle="1" w:styleId="paragraph">
    <w:name w:val="paragraph"/>
    <w:basedOn w:val="Normal"/>
    <w:pPr>
      <w:spacing w:before="100" w:after="100" w:line="240" w:lineRule="auto"/>
    </w:pPr>
    <w:rPr>
      <w:rFonts w:ascii="Times New Roman" w:eastAsia="Times New Roman" w:hAnsi="Times New Roman"/>
      <w:sz w:val="24"/>
      <w:szCs w:val="24"/>
      <w:lang w:eastAsia="lv-LV"/>
    </w:rPr>
  </w:style>
  <w:style w:type="character" w:customStyle="1" w:styleId="textrun">
    <w:name w:val="textrun"/>
    <w:basedOn w:val="DefaultParagraphFont"/>
  </w:style>
  <w:style w:type="character" w:customStyle="1" w:styleId="linebreakblob">
    <w:name w:val="linebreakblob"/>
    <w:basedOn w:val="DefaultParagraphFont"/>
  </w:style>
  <w:style w:type="character" w:customStyle="1" w:styleId="scxw184423137">
    <w:name w:val="scxw184423137"/>
    <w:basedOn w:val="DefaultParagraphFont"/>
  </w:style>
  <w:style w:type="numbering" w:customStyle="1" w:styleId="CurrentList1">
    <w:name w:val="Current List1"/>
    <w:basedOn w:val="NoList"/>
    <w:pPr>
      <w:numPr>
        <w:numId w:val="1"/>
      </w:numPr>
    </w:pPr>
  </w:style>
  <w:style w:type="numbering" w:customStyle="1" w:styleId="LFO3">
    <w:name w:val="LFO3"/>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18200">
      <w:bodyDiv w:val="1"/>
      <w:marLeft w:val="0"/>
      <w:marRight w:val="0"/>
      <w:marTop w:val="0"/>
      <w:marBottom w:val="0"/>
      <w:divBdr>
        <w:top w:val="none" w:sz="0" w:space="0" w:color="auto"/>
        <w:left w:val="none" w:sz="0" w:space="0" w:color="auto"/>
        <w:bottom w:val="none" w:sz="0" w:space="0" w:color="auto"/>
        <w:right w:val="none" w:sz="0" w:space="0" w:color="auto"/>
      </w:divBdr>
    </w:div>
    <w:div w:id="194805610">
      <w:bodyDiv w:val="1"/>
      <w:marLeft w:val="0"/>
      <w:marRight w:val="0"/>
      <w:marTop w:val="0"/>
      <w:marBottom w:val="0"/>
      <w:divBdr>
        <w:top w:val="none" w:sz="0" w:space="0" w:color="auto"/>
        <w:left w:val="none" w:sz="0" w:space="0" w:color="auto"/>
        <w:bottom w:val="none" w:sz="0" w:space="0" w:color="auto"/>
        <w:right w:val="none" w:sz="0" w:space="0" w:color="auto"/>
      </w:divBdr>
    </w:div>
    <w:div w:id="365760795">
      <w:bodyDiv w:val="1"/>
      <w:marLeft w:val="0"/>
      <w:marRight w:val="0"/>
      <w:marTop w:val="0"/>
      <w:marBottom w:val="0"/>
      <w:divBdr>
        <w:top w:val="none" w:sz="0" w:space="0" w:color="auto"/>
        <w:left w:val="none" w:sz="0" w:space="0" w:color="auto"/>
        <w:bottom w:val="none" w:sz="0" w:space="0" w:color="auto"/>
        <w:right w:val="none" w:sz="0" w:space="0" w:color="auto"/>
      </w:divBdr>
      <w:divsChild>
        <w:div w:id="392197799">
          <w:marLeft w:val="0"/>
          <w:marRight w:val="0"/>
          <w:marTop w:val="0"/>
          <w:marBottom w:val="0"/>
          <w:divBdr>
            <w:top w:val="none" w:sz="0" w:space="0" w:color="auto"/>
            <w:left w:val="none" w:sz="0" w:space="0" w:color="auto"/>
            <w:bottom w:val="none" w:sz="0" w:space="0" w:color="auto"/>
            <w:right w:val="none" w:sz="0" w:space="0" w:color="auto"/>
          </w:divBdr>
          <w:divsChild>
            <w:div w:id="937713781">
              <w:marLeft w:val="0"/>
              <w:marRight w:val="0"/>
              <w:marTop w:val="0"/>
              <w:marBottom w:val="0"/>
              <w:divBdr>
                <w:top w:val="none" w:sz="0" w:space="0" w:color="auto"/>
                <w:left w:val="none" w:sz="0" w:space="0" w:color="auto"/>
                <w:bottom w:val="none" w:sz="0" w:space="0" w:color="auto"/>
                <w:right w:val="none" w:sz="0" w:space="0" w:color="auto"/>
              </w:divBdr>
              <w:divsChild>
                <w:div w:id="1572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275014">
          <w:marLeft w:val="0"/>
          <w:marRight w:val="0"/>
          <w:marTop w:val="0"/>
          <w:marBottom w:val="0"/>
          <w:divBdr>
            <w:top w:val="none" w:sz="0" w:space="0" w:color="auto"/>
            <w:left w:val="none" w:sz="0" w:space="0" w:color="auto"/>
            <w:bottom w:val="none" w:sz="0" w:space="0" w:color="auto"/>
            <w:right w:val="none" w:sz="0" w:space="0" w:color="auto"/>
          </w:divBdr>
          <w:divsChild>
            <w:div w:id="1268851120">
              <w:marLeft w:val="0"/>
              <w:marRight w:val="0"/>
              <w:marTop w:val="0"/>
              <w:marBottom w:val="0"/>
              <w:divBdr>
                <w:top w:val="none" w:sz="0" w:space="0" w:color="auto"/>
                <w:left w:val="none" w:sz="0" w:space="0" w:color="auto"/>
                <w:bottom w:val="none" w:sz="0" w:space="0" w:color="auto"/>
                <w:right w:val="none" w:sz="0" w:space="0" w:color="auto"/>
              </w:divBdr>
              <w:divsChild>
                <w:div w:id="913196472">
                  <w:marLeft w:val="0"/>
                  <w:marRight w:val="0"/>
                  <w:marTop w:val="0"/>
                  <w:marBottom w:val="0"/>
                  <w:divBdr>
                    <w:top w:val="none" w:sz="0" w:space="0" w:color="auto"/>
                    <w:left w:val="none" w:sz="0" w:space="0" w:color="auto"/>
                    <w:bottom w:val="none" w:sz="0" w:space="0" w:color="auto"/>
                    <w:right w:val="none" w:sz="0" w:space="0" w:color="auto"/>
                  </w:divBdr>
                  <w:divsChild>
                    <w:div w:id="12415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222861">
      <w:bodyDiv w:val="1"/>
      <w:marLeft w:val="0"/>
      <w:marRight w:val="0"/>
      <w:marTop w:val="0"/>
      <w:marBottom w:val="0"/>
      <w:divBdr>
        <w:top w:val="none" w:sz="0" w:space="0" w:color="auto"/>
        <w:left w:val="none" w:sz="0" w:space="0" w:color="auto"/>
        <w:bottom w:val="none" w:sz="0" w:space="0" w:color="auto"/>
        <w:right w:val="none" w:sz="0" w:space="0" w:color="auto"/>
      </w:divBdr>
      <w:divsChild>
        <w:div w:id="120274184">
          <w:marLeft w:val="0"/>
          <w:marRight w:val="0"/>
          <w:marTop w:val="0"/>
          <w:marBottom w:val="0"/>
          <w:divBdr>
            <w:top w:val="none" w:sz="0" w:space="0" w:color="auto"/>
            <w:left w:val="none" w:sz="0" w:space="0" w:color="auto"/>
            <w:bottom w:val="none" w:sz="0" w:space="0" w:color="auto"/>
            <w:right w:val="none" w:sz="0" w:space="0" w:color="auto"/>
          </w:divBdr>
          <w:divsChild>
            <w:div w:id="344139308">
              <w:marLeft w:val="0"/>
              <w:marRight w:val="0"/>
              <w:marTop w:val="0"/>
              <w:marBottom w:val="0"/>
              <w:divBdr>
                <w:top w:val="none" w:sz="0" w:space="0" w:color="auto"/>
                <w:left w:val="none" w:sz="0" w:space="0" w:color="auto"/>
                <w:bottom w:val="none" w:sz="0" w:space="0" w:color="auto"/>
                <w:right w:val="none" w:sz="0" w:space="0" w:color="auto"/>
              </w:divBdr>
              <w:divsChild>
                <w:div w:id="38981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04836">
          <w:marLeft w:val="0"/>
          <w:marRight w:val="0"/>
          <w:marTop w:val="0"/>
          <w:marBottom w:val="0"/>
          <w:divBdr>
            <w:top w:val="none" w:sz="0" w:space="0" w:color="auto"/>
            <w:left w:val="none" w:sz="0" w:space="0" w:color="auto"/>
            <w:bottom w:val="none" w:sz="0" w:space="0" w:color="auto"/>
            <w:right w:val="none" w:sz="0" w:space="0" w:color="auto"/>
          </w:divBdr>
          <w:divsChild>
            <w:div w:id="1722710173">
              <w:marLeft w:val="0"/>
              <w:marRight w:val="0"/>
              <w:marTop w:val="0"/>
              <w:marBottom w:val="0"/>
              <w:divBdr>
                <w:top w:val="none" w:sz="0" w:space="0" w:color="auto"/>
                <w:left w:val="none" w:sz="0" w:space="0" w:color="auto"/>
                <w:bottom w:val="none" w:sz="0" w:space="0" w:color="auto"/>
                <w:right w:val="none" w:sz="0" w:space="0" w:color="auto"/>
              </w:divBdr>
              <w:divsChild>
                <w:div w:id="1085153982">
                  <w:marLeft w:val="0"/>
                  <w:marRight w:val="0"/>
                  <w:marTop w:val="0"/>
                  <w:marBottom w:val="0"/>
                  <w:divBdr>
                    <w:top w:val="none" w:sz="0" w:space="0" w:color="auto"/>
                    <w:left w:val="none" w:sz="0" w:space="0" w:color="auto"/>
                    <w:bottom w:val="none" w:sz="0" w:space="0" w:color="auto"/>
                    <w:right w:val="none" w:sz="0" w:space="0" w:color="auto"/>
                  </w:divBdr>
                  <w:divsChild>
                    <w:div w:id="183121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925911">
      <w:bodyDiv w:val="1"/>
      <w:marLeft w:val="0"/>
      <w:marRight w:val="0"/>
      <w:marTop w:val="0"/>
      <w:marBottom w:val="0"/>
      <w:divBdr>
        <w:top w:val="none" w:sz="0" w:space="0" w:color="auto"/>
        <w:left w:val="none" w:sz="0" w:space="0" w:color="auto"/>
        <w:bottom w:val="none" w:sz="0" w:space="0" w:color="auto"/>
        <w:right w:val="none" w:sz="0" w:space="0" w:color="auto"/>
      </w:divBdr>
    </w:div>
    <w:div w:id="929700074">
      <w:bodyDiv w:val="1"/>
      <w:marLeft w:val="0"/>
      <w:marRight w:val="0"/>
      <w:marTop w:val="0"/>
      <w:marBottom w:val="0"/>
      <w:divBdr>
        <w:top w:val="none" w:sz="0" w:space="0" w:color="auto"/>
        <w:left w:val="none" w:sz="0" w:space="0" w:color="auto"/>
        <w:bottom w:val="none" w:sz="0" w:space="0" w:color="auto"/>
        <w:right w:val="none" w:sz="0" w:space="0" w:color="auto"/>
      </w:divBdr>
    </w:div>
    <w:div w:id="1034189602">
      <w:bodyDiv w:val="1"/>
      <w:marLeft w:val="0"/>
      <w:marRight w:val="0"/>
      <w:marTop w:val="0"/>
      <w:marBottom w:val="0"/>
      <w:divBdr>
        <w:top w:val="none" w:sz="0" w:space="0" w:color="auto"/>
        <w:left w:val="none" w:sz="0" w:space="0" w:color="auto"/>
        <w:bottom w:val="none" w:sz="0" w:space="0" w:color="auto"/>
        <w:right w:val="none" w:sz="0" w:space="0" w:color="auto"/>
      </w:divBdr>
    </w:div>
    <w:div w:id="1337610021">
      <w:bodyDiv w:val="1"/>
      <w:marLeft w:val="0"/>
      <w:marRight w:val="0"/>
      <w:marTop w:val="0"/>
      <w:marBottom w:val="0"/>
      <w:divBdr>
        <w:top w:val="none" w:sz="0" w:space="0" w:color="auto"/>
        <w:left w:val="none" w:sz="0" w:space="0" w:color="auto"/>
        <w:bottom w:val="none" w:sz="0" w:space="0" w:color="auto"/>
        <w:right w:val="none" w:sz="0" w:space="0" w:color="auto"/>
      </w:divBdr>
    </w:div>
    <w:div w:id="1529561657">
      <w:bodyDiv w:val="1"/>
      <w:marLeft w:val="0"/>
      <w:marRight w:val="0"/>
      <w:marTop w:val="0"/>
      <w:marBottom w:val="0"/>
      <w:divBdr>
        <w:top w:val="none" w:sz="0" w:space="0" w:color="auto"/>
        <w:left w:val="none" w:sz="0" w:space="0" w:color="auto"/>
        <w:bottom w:val="none" w:sz="0" w:space="0" w:color="auto"/>
        <w:right w:val="none" w:sz="0" w:space="0" w:color="auto"/>
      </w:divBdr>
    </w:div>
    <w:div w:id="1585803147">
      <w:bodyDiv w:val="1"/>
      <w:marLeft w:val="0"/>
      <w:marRight w:val="0"/>
      <w:marTop w:val="0"/>
      <w:marBottom w:val="0"/>
      <w:divBdr>
        <w:top w:val="none" w:sz="0" w:space="0" w:color="auto"/>
        <w:left w:val="none" w:sz="0" w:space="0" w:color="auto"/>
        <w:bottom w:val="none" w:sz="0" w:space="0" w:color="auto"/>
        <w:right w:val="none" w:sz="0" w:space="0" w:color="auto"/>
      </w:divBdr>
    </w:div>
    <w:div w:id="1855344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Data" Target="diagrams/data1.xml"/><Relationship Id="rId26" Type="http://schemas.openxmlformats.org/officeDocument/2006/relationships/header" Target="header1.xml"/><Relationship Id="rId21" Type="http://schemas.openxmlformats.org/officeDocument/2006/relationships/diagramColors" Target="diagrams/colors1.xm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2.xm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QuickStyle" Target="diagrams/quickStyle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1.xml"/><Relationship Id="rId28"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hyperlink" Target="https://likumi.lv/ta/id/353615-aktualizetais-nacionalais-energetikas-un-klimata-plans-20212030-gadam" TargetMode="External"/><Relationship Id="rId19" Type="http://schemas.openxmlformats.org/officeDocument/2006/relationships/diagramLayout" Target="diagrams/layout1.xm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microsoft.com/office/2007/relationships/diagramDrawing" Target="diagrams/drawing1.xml"/><Relationship Id="rId27" Type="http://schemas.openxmlformats.org/officeDocument/2006/relationships/footer" Target="footer1.xml"/><Relationship Id="rId30" Type="http://schemas.openxmlformats.org/officeDocument/2006/relationships/image" Target="media/image11.png"/><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LV/TXT/?uri=CELEX%3A02018R0842-20230516&amp;qid=1691394347773" TargetMode="External"/><Relationship Id="rId18" Type="http://schemas.openxmlformats.org/officeDocument/2006/relationships/hyperlink" Target="https://eur-lex.europa.eu/legal-content/LV/TXT/?uri=CELEX%3A02018L2001-20240716" TargetMode="External"/><Relationship Id="rId26" Type="http://schemas.openxmlformats.org/officeDocument/2006/relationships/hyperlink" Target="https://eur-lex.europa.eu/legal-content/LV/TXT/?uri=CELEX%3A02018R0842-20230516" TargetMode="External"/><Relationship Id="rId39" Type="http://schemas.openxmlformats.org/officeDocument/2006/relationships/hyperlink" Target="https://eur-lex.europa.eu/eli/reg/2023/857" TargetMode="External"/><Relationship Id="rId21" Type="http://schemas.openxmlformats.org/officeDocument/2006/relationships/hyperlink" Target="https://eur-lex.europa.eu/legal-content/LV/TXT/?uri=CELEX:32023R1804" TargetMode="External"/><Relationship Id="rId34" Type="http://schemas.openxmlformats.org/officeDocument/2006/relationships/hyperlink" Target="http://www.ipcc-nggip.iges.or.jp/public/2006gl/" TargetMode="External"/><Relationship Id="rId42" Type="http://schemas.openxmlformats.org/officeDocument/2006/relationships/hyperlink" Target="https://reportnet.europa.eu/public/country/LV" TargetMode="External"/><Relationship Id="rId47" Type="http://schemas.openxmlformats.org/officeDocument/2006/relationships/hyperlink" Target="https://climate.ec.europa.eu/eu-action/climate-strategies-targets/2030-climate-targets_en" TargetMode="External"/><Relationship Id="rId7" Type="http://schemas.openxmlformats.org/officeDocument/2006/relationships/hyperlink" Target="https://unfccc.int/sites/default/files/NDC/2023-10/ES-2023-10-17%20EU%20submission%20NDC%20update.pdf" TargetMode="External"/><Relationship Id="rId2" Type="http://schemas.openxmlformats.org/officeDocument/2006/relationships/hyperlink" Target="https://videscentrs.lvgmc.lv/lapas/informacija-par-latvijas-seg-emisijam" TargetMode="External"/><Relationship Id="rId16" Type="http://schemas.openxmlformats.org/officeDocument/2006/relationships/hyperlink" Target="https://eur-lex.europa.eu/legal-content/LV/TXT/HTML/?uri=CELEX:32023R0955&amp;qid=1695630897917" TargetMode="External"/><Relationship Id="rId29" Type="http://schemas.openxmlformats.org/officeDocument/2006/relationships/hyperlink" Target="https://eur-lex.europa.eu/legal-content/LV/TXT/PDF/?uri=CELEX:02018R0842-20230516" TargetMode="External"/><Relationship Id="rId1" Type="http://schemas.openxmlformats.org/officeDocument/2006/relationships/hyperlink" Target="https://tapportals.mk.gov.lv/structuralizer/data/nodes/9118929b-b9c1-494b-8586-9ab914731aad/preview" TargetMode="External"/><Relationship Id="rId6" Type="http://schemas.openxmlformats.org/officeDocument/2006/relationships/hyperlink" Target="https://unfccc.int/NDCREG" TargetMode="External"/><Relationship Id="rId11" Type="http://schemas.openxmlformats.org/officeDocument/2006/relationships/hyperlink" Target="https://eur-lex.europa.eu/legal-content/EN/TXT/?uri=CELEX%3A02003L0087-20240301" TargetMode="External"/><Relationship Id="rId24" Type="http://schemas.openxmlformats.org/officeDocument/2006/relationships/hyperlink" Target="https://eur-lex.europa.eu/legal-content/LV/TXT/?uri=CELEX%3A02023R2405-20231031" TargetMode="External"/><Relationship Id="rId32" Type="http://schemas.openxmlformats.org/officeDocument/2006/relationships/hyperlink" Target="https://unfccc.int/sites/default/files/resource/CMA2018_03a02E.pdf" TargetMode="External"/><Relationship Id="rId37" Type="http://schemas.openxmlformats.org/officeDocument/2006/relationships/hyperlink" Target="https://reportnet.europa.eu/public/dataflow/1057" TargetMode="External"/><Relationship Id="rId40" Type="http://schemas.openxmlformats.org/officeDocument/2006/relationships/hyperlink" Target="https://eur-lex.europa.eu/legal-content/LV/TXT/HTML/?uri=CELEX:32023D1319" TargetMode="External"/><Relationship Id="rId45" Type="http://schemas.openxmlformats.org/officeDocument/2006/relationships/hyperlink" Target="https://climate.ec.europa.eu/document/download/d0671350-37f2-4bc4-88e8-088d0508fb03_en" TargetMode="External"/><Relationship Id="rId5" Type="http://schemas.openxmlformats.org/officeDocument/2006/relationships/hyperlink" Target="https://likumi.lv/ta/lv/starptautiskie-ligumi/id/1730" TargetMode="External"/><Relationship Id="rId15" Type="http://schemas.openxmlformats.org/officeDocument/2006/relationships/hyperlink" Target="https://eur-lex.europa.eu/legal-content/EN/TXT/?uri=CELEX%3A02015R0757-20250101" TargetMode="External"/><Relationship Id="rId23" Type="http://schemas.openxmlformats.org/officeDocument/2006/relationships/hyperlink" Target="file:///C:\Users\Anete.Apsite\AppData\Local\Microsoft\Windows\INetCache\Content.Outlook\KR5ADMAN\konsolid&#275;t&#257;" TargetMode="External"/><Relationship Id="rId28" Type="http://schemas.openxmlformats.org/officeDocument/2006/relationships/hyperlink" Target="https://eur-lex.europa.eu/legal-content/EN/TXT/?uri=uriserv%3AOJ.L_.2023.107.01.0001.01.ENG&amp;toc=OJ%3AL%3A2023%3A107%3ATOC" TargetMode="External"/><Relationship Id="rId36" Type="http://schemas.openxmlformats.org/officeDocument/2006/relationships/hyperlink" Target="https://www.eea.europa.eu/publications/emep-eea-guidebook-2019" TargetMode="External"/><Relationship Id="rId10" Type="http://schemas.openxmlformats.org/officeDocument/2006/relationships/hyperlink" Target="https://likumi.lv/ta/id/342214-latvijas-strategija-klimatneitralitates-sasniegsanai-lidz-2050-gadam" TargetMode="External"/><Relationship Id="rId19" Type="http://schemas.openxmlformats.org/officeDocument/2006/relationships/hyperlink" Target="https://eur-lex.europa.eu/legal-content/LV/TXT/?uri=OJ%3AL_202302413" TargetMode="External"/><Relationship Id="rId31" Type="http://schemas.openxmlformats.org/officeDocument/2006/relationships/hyperlink" Target="https://likumi.lv/ta/id/308330-par-latvijas-pielagosanas-klimata-parmainam-planu-laika-posmam-lidz-2030-gadam" TargetMode="External"/><Relationship Id="rId44" Type="http://schemas.openxmlformats.org/officeDocument/2006/relationships/hyperlink" Target="https://www.eea.europa.eu/en/analysis/publications/trends-and-projections-in-europe-2024" TargetMode="External"/><Relationship Id="rId4" Type="http://schemas.openxmlformats.org/officeDocument/2006/relationships/hyperlink" Target="https://unfccc.int/sites/default/files/resource/docs/2015/cop21/eng/10a01.pdf" TargetMode="External"/><Relationship Id="rId9" Type="http://schemas.openxmlformats.org/officeDocument/2006/relationships/hyperlink" Target="https://eur-lex.europa.eu/legal-content/LV/TXT/?uri=CELEX%3A32021R1119" TargetMode="External"/><Relationship Id="rId14" Type="http://schemas.openxmlformats.org/officeDocument/2006/relationships/hyperlink" Target="https://eur-lex.europa.eu/legal-content/LV/TXT/?uri=CELEX%3A02018R1999-20231120" TargetMode="External"/><Relationship Id="rId22" Type="http://schemas.openxmlformats.org/officeDocument/2006/relationships/hyperlink" Target="https://eur-lex.europa.eu/legal-content/LV/TXT/HTML/?uri=CELEX:32023R1805" TargetMode="External"/><Relationship Id="rId27" Type="http://schemas.openxmlformats.org/officeDocument/2006/relationships/hyperlink" Target="https://eur-lex.europa.eu/legal-content/EN/TXT/?uri=CELEX%3A02018R0841-20230511" TargetMode="External"/><Relationship Id="rId30" Type="http://schemas.openxmlformats.org/officeDocument/2006/relationships/hyperlink" Target="https://klimats.meteo.lv/klimats_latvija/klimata_riks/" TargetMode="External"/><Relationship Id="rId35" Type="http://schemas.openxmlformats.org/officeDocument/2006/relationships/hyperlink" Target="https://www.eea.europa.eu/publications/emep-eea-guidebook-2016" TargetMode="External"/><Relationship Id="rId43" Type="http://schemas.openxmlformats.org/officeDocument/2006/relationships/hyperlink" Target="https://climate.ec.europa.eu/document/download/d0671350-37f2-4bc4-88e8-088d0508fb03_en" TargetMode="External"/><Relationship Id="rId8" Type="http://schemas.openxmlformats.org/officeDocument/2006/relationships/hyperlink" Target="https://unfccc.int/resource/docs/2015/cop21/eng/10a01.pdf" TargetMode="External"/><Relationship Id="rId3" Type="http://schemas.openxmlformats.org/officeDocument/2006/relationships/hyperlink" Target="https://tapportals.mk.gov.lv/meetings/protocols/38bb8794-c96c-4d83-8c99-3c25464f2af6" TargetMode="External"/><Relationship Id="rId12" Type="http://schemas.openxmlformats.org/officeDocument/2006/relationships/hyperlink" Target="https://eur-lex.europa.eu/legal-content/EN/TXT/?uri=CELEX%3A02018R0841-20230511" TargetMode="External"/><Relationship Id="rId17" Type="http://schemas.openxmlformats.org/officeDocument/2006/relationships/hyperlink" Target="https://eur-lex.europa.eu/legal-content/LV/TXT/HTML/?uri=CELEX:32023R0956&amp;qid=1695630955252" TargetMode="External"/><Relationship Id="rId25" Type="http://schemas.openxmlformats.org/officeDocument/2006/relationships/hyperlink" Target="https://www.consilium.europa.eu/media/46358/161020-euco-final-conclusions-lv.pdf" TargetMode="External"/><Relationship Id="rId33" Type="http://schemas.openxmlformats.org/officeDocument/2006/relationships/hyperlink" Target="https://unfccc.int/sites/default/files/resource/CMA2021_L10a2E.pdf" TargetMode="External"/><Relationship Id="rId38" Type="http://schemas.openxmlformats.org/officeDocument/2006/relationships/hyperlink" Target="https://reportnet.europa.eu/public/country/LV" TargetMode="External"/><Relationship Id="rId46" Type="http://schemas.openxmlformats.org/officeDocument/2006/relationships/hyperlink" Target="https://eur-lex.europa.eu/legal-content/EN/TXT/?uri=legissum:2001_8" TargetMode="External"/><Relationship Id="rId20" Type="http://schemas.openxmlformats.org/officeDocument/2006/relationships/hyperlink" Target="https://eur-lex.europa.eu/legal-content/LV/TXT/?uri=CELEX%3A32023L1791&amp;qid=1740053890143" TargetMode="External"/><Relationship Id="rId41" Type="http://schemas.openxmlformats.org/officeDocument/2006/relationships/hyperlink" Target="https://reportnet.europa.eu/public/country/LV2024.gada"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liga.platace\AppData\Local\Microsoft\Windows\INetCache\Content.Outlook\VITCV8HU\saistibu_izpildes_2025_08.01_.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autoTitleDeleted val="1"/>
    <c:plotArea>
      <c:layout/>
      <c:barChart>
        <c:barDir val="col"/>
        <c:grouping val="clustered"/>
        <c:varyColors val="0"/>
        <c:ser>
          <c:idx val="0"/>
          <c:order val="0"/>
          <c:tx>
            <c:v>Ne-ETS SEG emisijas WEM scenārijā</c:v>
          </c:tx>
          <c:spPr>
            <a:solidFill>
              <a:srgbClr val="008080"/>
            </a:solidFill>
            <a:ln>
              <a:noFill/>
            </a:ln>
          </c:spPr>
          <c:invertIfNegative val="0"/>
          <c:cat>
            <c:numLit>
              <c:formatCode>General</c:formatCode>
              <c:ptCount val="10"/>
              <c:pt idx="0">
                <c:v>2021</c:v>
              </c:pt>
              <c:pt idx="1">
                <c:v>2022</c:v>
              </c:pt>
              <c:pt idx="2">
                <c:v>2023</c:v>
              </c:pt>
              <c:pt idx="3">
                <c:v>2024</c:v>
              </c:pt>
              <c:pt idx="4">
                <c:v>2025</c:v>
              </c:pt>
              <c:pt idx="5">
                <c:v>2026</c:v>
              </c:pt>
              <c:pt idx="6">
                <c:v>2027</c:v>
              </c:pt>
              <c:pt idx="7">
                <c:v>2028</c:v>
              </c:pt>
              <c:pt idx="8">
                <c:v>2029</c:v>
              </c:pt>
              <c:pt idx="9">
                <c:v>2030</c:v>
              </c:pt>
            </c:numLit>
          </c:cat>
          <c:val>
            <c:numLit>
              <c:formatCode>General</c:formatCode>
              <c:ptCount val="10"/>
              <c:pt idx="0">
                <c:v>8680.240963762948</c:v>
              </c:pt>
              <c:pt idx="1">
                <c:v>8436.4194337416902</c:v>
              </c:pt>
              <c:pt idx="2">
                <c:v>8240.6867861063911</c:v>
              </c:pt>
              <c:pt idx="3">
                <c:v>8301.0431201337633</c:v>
              </c:pt>
              <c:pt idx="4">
                <c:v>8224.3729042173036</c:v>
              </c:pt>
              <c:pt idx="5">
                <c:v>8072.0180113276783</c:v>
              </c:pt>
              <c:pt idx="6">
                <c:v>8004.6279505049633</c:v>
              </c:pt>
              <c:pt idx="7">
                <c:v>7866.161017102786</c:v>
              </c:pt>
              <c:pt idx="8">
                <c:v>7768.124000019483</c:v>
              </c:pt>
              <c:pt idx="9">
                <c:v>7555.7029451208637</c:v>
              </c:pt>
            </c:numLit>
          </c:val>
          <c:extLst>
            <c:ext xmlns:c16="http://schemas.microsoft.com/office/drawing/2014/chart" uri="{C3380CC4-5D6E-409C-BE32-E72D297353CC}">
              <c16:uniqueId val="{00000000-3AE7-4315-A385-05B829296D95}"/>
            </c:ext>
          </c:extLst>
        </c:ser>
        <c:ser>
          <c:idx val="1"/>
          <c:order val="1"/>
          <c:tx>
            <c:v>Ne-ETS SEG emisijas WAM scenārijā</c:v>
          </c:tx>
          <c:spPr>
            <a:solidFill>
              <a:srgbClr val="B3BE46"/>
            </a:solidFill>
            <a:ln>
              <a:noFill/>
            </a:ln>
          </c:spPr>
          <c:invertIfNegative val="0"/>
          <c:cat>
            <c:numLit>
              <c:formatCode>General</c:formatCode>
              <c:ptCount val="10"/>
              <c:pt idx="0">
                <c:v>2021</c:v>
              </c:pt>
              <c:pt idx="1">
                <c:v>2022</c:v>
              </c:pt>
              <c:pt idx="2">
                <c:v>2023</c:v>
              </c:pt>
              <c:pt idx="3">
                <c:v>2024</c:v>
              </c:pt>
              <c:pt idx="4">
                <c:v>2025</c:v>
              </c:pt>
              <c:pt idx="5">
                <c:v>2026</c:v>
              </c:pt>
              <c:pt idx="6">
                <c:v>2027</c:v>
              </c:pt>
              <c:pt idx="7">
                <c:v>2028</c:v>
              </c:pt>
              <c:pt idx="8">
                <c:v>2029</c:v>
              </c:pt>
              <c:pt idx="9">
                <c:v>2030</c:v>
              </c:pt>
            </c:numLit>
          </c:cat>
          <c:val>
            <c:numLit>
              <c:formatCode>General</c:formatCode>
              <c:ptCount val="10"/>
              <c:pt idx="0">
                <c:v>8680.240963762948</c:v>
              </c:pt>
              <c:pt idx="1">
                <c:v>8436.4194337416902</c:v>
              </c:pt>
              <c:pt idx="2">
                <c:v>8240.6867861063911</c:v>
              </c:pt>
              <c:pt idx="3">
                <c:v>8243.4630622795175</c:v>
              </c:pt>
              <c:pt idx="4">
                <c:v>8118.5330585027004</c:v>
              </c:pt>
              <c:pt idx="5">
                <c:v>7959.9430366826118</c:v>
              </c:pt>
              <c:pt idx="6">
                <c:v>7873.7099788424421</c:v>
              </c:pt>
              <c:pt idx="7">
                <c:v>7722.4386633305667</c:v>
              </c:pt>
              <c:pt idx="8">
                <c:v>7618.5746352214064</c:v>
              </c:pt>
              <c:pt idx="9">
                <c:v>7348.4055728222447</c:v>
              </c:pt>
            </c:numLit>
          </c:val>
          <c:extLst>
            <c:ext xmlns:c16="http://schemas.microsoft.com/office/drawing/2014/chart" uri="{C3380CC4-5D6E-409C-BE32-E72D297353CC}">
              <c16:uniqueId val="{00000001-3AE7-4315-A385-05B829296D95}"/>
            </c:ext>
          </c:extLst>
        </c:ser>
        <c:dLbls>
          <c:showLegendKey val="0"/>
          <c:showVal val="0"/>
          <c:showCatName val="0"/>
          <c:showSerName val="0"/>
          <c:showPercent val="0"/>
          <c:showBubbleSize val="0"/>
        </c:dLbls>
        <c:gapWidth val="150"/>
        <c:axId val="1989655967"/>
        <c:axId val="1989656927"/>
      </c:barChart>
      <c:lineChart>
        <c:grouping val="standard"/>
        <c:varyColors val="0"/>
        <c:ser>
          <c:idx val="2"/>
          <c:order val="2"/>
          <c:tx>
            <c:v>Ne-ETS sektora mērķis, GES</c:v>
          </c:tx>
          <c:spPr>
            <a:ln w="28575" cap="rnd">
              <a:solidFill>
                <a:srgbClr val="E97132"/>
              </a:solidFill>
              <a:prstDash val="solid"/>
              <a:round/>
            </a:ln>
          </c:spPr>
          <c:marker>
            <c:symbol val="none"/>
          </c:marker>
          <c:cat>
            <c:numLit>
              <c:formatCode>General</c:formatCode>
              <c:ptCount val="10"/>
              <c:pt idx="0">
                <c:v>2021</c:v>
              </c:pt>
              <c:pt idx="1">
                <c:v>2022</c:v>
              </c:pt>
              <c:pt idx="2">
                <c:v>2023</c:v>
              </c:pt>
              <c:pt idx="3">
                <c:v>2024</c:v>
              </c:pt>
              <c:pt idx="4">
                <c:v>2025</c:v>
              </c:pt>
              <c:pt idx="5">
                <c:v>2026</c:v>
              </c:pt>
              <c:pt idx="6">
                <c:v>2027</c:v>
              </c:pt>
              <c:pt idx="7">
                <c:v>2028</c:v>
              </c:pt>
              <c:pt idx="8">
                <c:v>2029</c:v>
              </c:pt>
              <c:pt idx="9">
                <c:v>2030</c:v>
              </c:pt>
            </c:numLit>
          </c:cat>
          <c:val>
            <c:numLit>
              <c:formatCode>General</c:formatCode>
              <c:ptCount val="10"/>
              <c:pt idx="0">
                <c:v>10649.507</c:v>
              </c:pt>
              <c:pt idx="1">
                <c:v>8854.8340000000007</c:v>
              </c:pt>
              <c:pt idx="2">
                <c:v>8640.0020000000004</c:v>
              </c:pt>
              <c:pt idx="3">
                <c:v>8425.17</c:v>
              </c:pt>
              <c:pt idx="4">
                <c:v>8210.3389999999999</c:v>
              </c:pt>
              <c:pt idx="5">
                <c:v>7978.5921307703538</c:v>
              </c:pt>
              <c:pt idx="6">
                <c:v>7767.9890505777657</c:v>
              </c:pt>
              <c:pt idx="7">
                <c:v>7557.3859703851776</c:v>
              </c:pt>
              <c:pt idx="8">
                <c:v>7346.7828901925895</c:v>
              </c:pt>
              <c:pt idx="9">
                <c:v>7136.1798100000005</c:v>
              </c:pt>
            </c:numLit>
          </c:val>
          <c:smooth val="0"/>
          <c:extLst>
            <c:ext xmlns:c16="http://schemas.microsoft.com/office/drawing/2014/chart" uri="{C3380CC4-5D6E-409C-BE32-E72D297353CC}">
              <c16:uniqueId val="{00000002-3AE7-4315-A385-05B829296D95}"/>
            </c:ext>
          </c:extLst>
        </c:ser>
        <c:dLbls>
          <c:showLegendKey val="0"/>
          <c:showVal val="0"/>
          <c:showCatName val="0"/>
          <c:showSerName val="0"/>
          <c:showPercent val="0"/>
          <c:showBubbleSize val="0"/>
        </c:dLbls>
        <c:marker val="1"/>
        <c:smooth val="0"/>
        <c:axId val="1989655967"/>
        <c:axId val="1989656927"/>
      </c:lineChart>
      <c:valAx>
        <c:axId val="1989656927"/>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800" b="0" i="0" u="none" strike="noStrike" kern="1200" baseline="0">
                    <a:solidFill>
                      <a:srgbClr val="595959"/>
                    </a:solidFill>
                    <a:latin typeface="Cambria" pitchFamily="18"/>
                    <a:ea typeface="Cambria" pitchFamily="18"/>
                  </a:defRPr>
                </a:pPr>
                <a:r>
                  <a:rPr lang="lv-LV" sz="800" b="0" i="0" u="none" strike="noStrike" kern="1200" cap="none" spc="0" baseline="0">
                    <a:solidFill>
                      <a:srgbClr val="595959"/>
                    </a:solidFill>
                    <a:uFillTx/>
                    <a:latin typeface="Cambria" pitchFamily="18"/>
                    <a:ea typeface="Cambria" pitchFamily="18"/>
                  </a:rPr>
                  <a:t>kt CO2 ekv.</a:t>
                </a:r>
              </a:p>
            </c:rich>
          </c:tx>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800" b="0" i="0" u="none" strike="noStrike" kern="1200" baseline="0">
                <a:solidFill>
                  <a:srgbClr val="595959"/>
                </a:solidFill>
                <a:latin typeface="Cambria" pitchFamily="18"/>
                <a:ea typeface="Cambria" pitchFamily="18"/>
              </a:defRPr>
            </a:pPr>
            <a:endParaRPr lang="lv-LV"/>
          </a:p>
        </c:txPr>
        <c:crossAx val="1989655967"/>
        <c:crosses val="autoZero"/>
        <c:crossBetween val="between"/>
      </c:valAx>
      <c:catAx>
        <c:axId val="1989655967"/>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800" b="0" i="0" u="none" strike="noStrike" kern="1200" baseline="0">
                <a:solidFill>
                  <a:srgbClr val="595959"/>
                </a:solidFill>
                <a:latin typeface="Cambria" pitchFamily="18"/>
                <a:ea typeface="Cambria" pitchFamily="18"/>
              </a:defRPr>
            </a:pPr>
            <a:endParaRPr lang="lv-LV"/>
          </a:p>
        </c:txPr>
        <c:crossAx val="1989656927"/>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800" b="0" i="0" u="none" strike="noStrike" kern="1200" baseline="0">
              <a:solidFill>
                <a:srgbClr val="595959"/>
              </a:solidFill>
              <a:latin typeface="Cambria" pitchFamily="18"/>
              <a:ea typeface="Cambria" pitchFamily="18"/>
            </a:defRPr>
          </a:pPr>
          <a:endParaRPr lang="lv-LV"/>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800" b="0" i="0" u="none" strike="noStrike" kern="1200" baseline="0">
          <a:solidFill>
            <a:srgbClr val="000000"/>
          </a:solidFill>
          <a:latin typeface="Cambria" pitchFamily="18"/>
          <a:ea typeface="Cambria" pitchFamily="18"/>
        </a:defRPr>
      </a:pPr>
      <a:endParaRPr lang="lv-LV"/>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koparZIZIMM_2050_WAM!$A$6</c:f>
              <c:strCache>
                <c:ptCount val="1"/>
                <c:pt idx="0">
                  <c:v>Enerģētika (bez Transporta + netiešās CO₂)</c:v>
                </c:pt>
              </c:strCache>
            </c:strRef>
          </c:tx>
          <c:spPr>
            <a:solidFill>
              <a:schemeClr val="accent1"/>
            </a:solidFill>
            <a:ln>
              <a:noFill/>
            </a:ln>
            <a:effectLst/>
          </c:spPr>
          <c:invertIfNegative val="0"/>
          <c:cat>
            <c:numRef>
              <c:f>koparZIZIMM_2050_WAM!$B$5:$BK$5</c:f>
              <c:numCache>
                <c:formatCode>General</c:formatCode>
                <c:ptCount val="25"/>
                <c:pt idx="0">
                  <c:v>1990</c:v>
                </c:pt>
                <c:pt idx="1">
                  <c:v>1995</c:v>
                </c:pt>
                <c:pt idx="2">
                  <c:v>2000</c:v>
                </c:pt>
                <c:pt idx="3">
                  <c:v>2005</c:v>
                </c:pt>
                <c:pt idx="4">
                  <c:v>2010</c:v>
                </c:pt>
                <c:pt idx="5">
                  <c:v>2015</c:v>
                </c:pt>
                <c:pt idx="6">
                  <c:v>2016</c:v>
                </c:pt>
                <c:pt idx="7">
                  <c:v>2017</c:v>
                </c:pt>
                <c:pt idx="8">
                  <c:v>2018</c:v>
                </c:pt>
                <c:pt idx="9">
                  <c:v>2019</c:v>
                </c:pt>
                <c:pt idx="10">
                  <c:v>2020</c:v>
                </c:pt>
                <c:pt idx="11">
                  <c:v>2021</c:v>
                </c:pt>
                <c:pt idx="12">
                  <c:v>2022</c:v>
                </c:pt>
                <c:pt idx="13">
                  <c:v>2023</c:v>
                </c:pt>
                <c:pt idx="15">
                  <c:v>2024</c:v>
                </c:pt>
                <c:pt idx="16">
                  <c:v>2025</c:v>
                </c:pt>
                <c:pt idx="17">
                  <c:v>2026</c:v>
                </c:pt>
                <c:pt idx="18">
                  <c:v>2027</c:v>
                </c:pt>
                <c:pt idx="19">
                  <c:v>2028</c:v>
                </c:pt>
                <c:pt idx="20">
                  <c:v>2029</c:v>
                </c:pt>
                <c:pt idx="21">
                  <c:v>2030</c:v>
                </c:pt>
                <c:pt idx="22">
                  <c:v>2040</c:v>
                </c:pt>
                <c:pt idx="23">
                  <c:v>2045</c:v>
                </c:pt>
                <c:pt idx="24">
                  <c:v>2050</c:v>
                </c:pt>
              </c:numCache>
            </c:numRef>
          </c:cat>
          <c:val>
            <c:numRef>
              <c:f>koparZIZIMM_2050_WAM!$B$6:$BK$6</c:f>
              <c:numCache>
                <c:formatCode>General</c:formatCode>
                <c:ptCount val="25"/>
                <c:pt idx="0">
                  <c:v>16529.089562690795</c:v>
                </c:pt>
                <c:pt idx="1">
                  <c:v>7554.2272578240763</c:v>
                </c:pt>
                <c:pt idx="2">
                  <c:v>5247.0267158109555</c:v>
                </c:pt>
                <c:pt idx="3">
                  <c:v>5086.0506303116044</c:v>
                </c:pt>
                <c:pt idx="4">
                  <c:v>5271.8210520141574</c:v>
                </c:pt>
                <c:pt idx="5">
                  <c:v>4063.8120858231373</c:v>
                </c:pt>
                <c:pt idx="6">
                  <c:v>4119.6635212104366</c:v>
                </c:pt>
                <c:pt idx="7">
                  <c:v>3958.6316670511292</c:v>
                </c:pt>
                <c:pt idx="8">
                  <c:v>4366.5905186588243</c:v>
                </c:pt>
                <c:pt idx="9">
                  <c:v>4158.7077816683541</c:v>
                </c:pt>
                <c:pt idx="10">
                  <c:v>3700.7626899850952</c:v>
                </c:pt>
                <c:pt idx="11">
                  <c:v>3823.6812524686716</c:v>
                </c:pt>
                <c:pt idx="12">
                  <c:v>3288.0793071436792</c:v>
                </c:pt>
                <c:pt idx="13">
                  <c:v>3263.2644139524305</c:v>
                </c:pt>
                <c:pt idx="15">
                  <c:v>2742.3338821102288</c:v>
                </c:pt>
                <c:pt idx="16">
                  <c:v>2682.6216457855812</c:v>
                </c:pt>
                <c:pt idx="17">
                  <c:v>2620.0664747988599</c:v>
                </c:pt>
                <c:pt idx="18">
                  <c:v>2570.7237031980744</c:v>
                </c:pt>
                <c:pt idx="19">
                  <c:v>2485.4283584643681</c:v>
                </c:pt>
                <c:pt idx="20">
                  <c:v>2433.1004266858472</c:v>
                </c:pt>
                <c:pt idx="21">
                  <c:v>2325.7341390405477</c:v>
                </c:pt>
                <c:pt idx="22">
                  <c:v>1195.7794849986822</c:v>
                </c:pt>
                <c:pt idx="23">
                  <c:v>893.99143449092264</c:v>
                </c:pt>
                <c:pt idx="24">
                  <c:v>834.47521282498951</c:v>
                </c:pt>
              </c:numCache>
            </c:numRef>
          </c:val>
          <c:extLst>
            <c:ext xmlns:c16="http://schemas.microsoft.com/office/drawing/2014/chart" uri="{C3380CC4-5D6E-409C-BE32-E72D297353CC}">
              <c16:uniqueId val="{00000000-B0E4-4EB9-9ACE-60B5B1E0062D}"/>
            </c:ext>
          </c:extLst>
        </c:ser>
        <c:ser>
          <c:idx val="1"/>
          <c:order val="1"/>
          <c:tx>
            <c:strRef>
              <c:f>koparZIZIMM_2050_WAM!$A$7</c:f>
              <c:strCache>
                <c:ptCount val="1"/>
                <c:pt idx="0">
                  <c:v>Transports (+netiešās CO₂)</c:v>
                </c:pt>
              </c:strCache>
            </c:strRef>
          </c:tx>
          <c:spPr>
            <a:solidFill>
              <a:schemeClr val="accent2"/>
            </a:solidFill>
            <a:ln>
              <a:noFill/>
            </a:ln>
            <a:effectLst/>
          </c:spPr>
          <c:invertIfNegative val="0"/>
          <c:cat>
            <c:numRef>
              <c:f>koparZIZIMM_2050_WAM!$B$5:$BK$5</c:f>
              <c:numCache>
                <c:formatCode>General</c:formatCode>
                <c:ptCount val="25"/>
                <c:pt idx="0">
                  <c:v>1990</c:v>
                </c:pt>
                <c:pt idx="1">
                  <c:v>1995</c:v>
                </c:pt>
                <c:pt idx="2">
                  <c:v>2000</c:v>
                </c:pt>
                <c:pt idx="3">
                  <c:v>2005</c:v>
                </c:pt>
                <c:pt idx="4">
                  <c:v>2010</c:v>
                </c:pt>
                <c:pt idx="5">
                  <c:v>2015</c:v>
                </c:pt>
                <c:pt idx="6">
                  <c:v>2016</c:v>
                </c:pt>
                <c:pt idx="7">
                  <c:v>2017</c:v>
                </c:pt>
                <c:pt idx="8">
                  <c:v>2018</c:v>
                </c:pt>
                <c:pt idx="9">
                  <c:v>2019</c:v>
                </c:pt>
                <c:pt idx="10">
                  <c:v>2020</c:v>
                </c:pt>
                <c:pt idx="11">
                  <c:v>2021</c:v>
                </c:pt>
                <c:pt idx="12">
                  <c:v>2022</c:v>
                </c:pt>
                <c:pt idx="13">
                  <c:v>2023</c:v>
                </c:pt>
                <c:pt idx="15">
                  <c:v>2024</c:v>
                </c:pt>
                <c:pt idx="16">
                  <c:v>2025</c:v>
                </c:pt>
                <c:pt idx="17">
                  <c:v>2026</c:v>
                </c:pt>
                <c:pt idx="18">
                  <c:v>2027</c:v>
                </c:pt>
                <c:pt idx="19">
                  <c:v>2028</c:v>
                </c:pt>
                <c:pt idx="20">
                  <c:v>2029</c:v>
                </c:pt>
                <c:pt idx="21">
                  <c:v>2030</c:v>
                </c:pt>
                <c:pt idx="22">
                  <c:v>2040</c:v>
                </c:pt>
                <c:pt idx="23">
                  <c:v>2045</c:v>
                </c:pt>
                <c:pt idx="24">
                  <c:v>2050</c:v>
                </c:pt>
              </c:numCache>
            </c:numRef>
          </c:cat>
          <c:val>
            <c:numRef>
              <c:f>koparZIZIMM_2050_WAM!$B$7:$BK$7</c:f>
              <c:numCache>
                <c:formatCode>General</c:formatCode>
                <c:ptCount val="25"/>
                <c:pt idx="0">
                  <c:v>3041.4759917735405</c:v>
                </c:pt>
                <c:pt idx="1">
                  <c:v>2107.2377590141432</c:v>
                </c:pt>
                <c:pt idx="2">
                  <c:v>2216.145760913078</c:v>
                </c:pt>
                <c:pt idx="3">
                  <c:v>3111.3453420251703</c:v>
                </c:pt>
                <c:pt idx="4">
                  <c:v>3276.7542225029561</c:v>
                </c:pt>
                <c:pt idx="5">
                  <c:v>3148.6325020346785</c:v>
                </c:pt>
                <c:pt idx="6">
                  <c:v>3168.1496417323806</c:v>
                </c:pt>
                <c:pt idx="7">
                  <c:v>3320.8620215118326</c:v>
                </c:pt>
                <c:pt idx="8">
                  <c:v>3346.7382761559284</c:v>
                </c:pt>
                <c:pt idx="9">
                  <c:v>3329.0763138125258</c:v>
                </c:pt>
                <c:pt idx="10">
                  <c:v>3108.4395467538257</c:v>
                </c:pt>
                <c:pt idx="11">
                  <c:v>3226.0450447005078</c:v>
                </c:pt>
                <c:pt idx="12">
                  <c:v>3142.0248822081762</c:v>
                </c:pt>
                <c:pt idx="13">
                  <c:v>3113.0983007247046</c:v>
                </c:pt>
                <c:pt idx="15">
                  <c:v>3219.7177658482042</c:v>
                </c:pt>
                <c:pt idx="16">
                  <c:v>3188.0722288199372</c:v>
                </c:pt>
                <c:pt idx="17">
                  <c:v>3108.6471882867468</c:v>
                </c:pt>
                <c:pt idx="18">
                  <c:v>3083.764797085752</c:v>
                </c:pt>
                <c:pt idx="19">
                  <c:v>3041.452552882718</c:v>
                </c:pt>
                <c:pt idx="20">
                  <c:v>3015.0063516147202</c:v>
                </c:pt>
                <c:pt idx="21">
                  <c:v>2877.4642581631228</c:v>
                </c:pt>
                <c:pt idx="22">
                  <c:v>675.52344748204143</c:v>
                </c:pt>
                <c:pt idx="23">
                  <c:v>190.4357390467836</c:v>
                </c:pt>
                <c:pt idx="24">
                  <c:v>111.9223456936565</c:v>
                </c:pt>
              </c:numCache>
            </c:numRef>
          </c:val>
          <c:extLst>
            <c:ext xmlns:c16="http://schemas.microsoft.com/office/drawing/2014/chart" uri="{C3380CC4-5D6E-409C-BE32-E72D297353CC}">
              <c16:uniqueId val="{00000001-B0E4-4EB9-9ACE-60B5B1E0062D}"/>
            </c:ext>
          </c:extLst>
        </c:ser>
        <c:ser>
          <c:idx val="2"/>
          <c:order val="2"/>
          <c:tx>
            <c:strRef>
              <c:f>koparZIZIMM_2050_WAM!$A$8</c:f>
              <c:strCache>
                <c:ptCount val="1"/>
                <c:pt idx="0">
                  <c:v>Rūpnieciskie procesi un produktu izmantošana</c:v>
                </c:pt>
              </c:strCache>
            </c:strRef>
          </c:tx>
          <c:spPr>
            <a:solidFill>
              <a:schemeClr val="accent3"/>
            </a:solidFill>
            <a:ln>
              <a:noFill/>
            </a:ln>
            <a:effectLst/>
          </c:spPr>
          <c:invertIfNegative val="0"/>
          <c:cat>
            <c:numRef>
              <c:f>koparZIZIMM_2050_WAM!$B$5:$BK$5</c:f>
              <c:numCache>
                <c:formatCode>General</c:formatCode>
                <c:ptCount val="25"/>
                <c:pt idx="0">
                  <c:v>1990</c:v>
                </c:pt>
                <c:pt idx="1">
                  <c:v>1995</c:v>
                </c:pt>
                <c:pt idx="2">
                  <c:v>2000</c:v>
                </c:pt>
                <c:pt idx="3">
                  <c:v>2005</c:v>
                </c:pt>
                <c:pt idx="4">
                  <c:v>2010</c:v>
                </c:pt>
                <c:pt idx="5">
                  <c:v>2015</c:v>
                </c:pt>
                <c:pt idx="6">
                  <c:v>2016</c:v>
                </c:pt>
                <c:pt idx="7">
                  <c:v>2017</c:v>
                </c:pt>
                <c:pt idx="8">
                  <c:v>2018</c:v>
                </c:pt>
                <c:pt idx="9">
                  <c:v>2019</c:v>
                </c:pt>
                <c:pt idx="10">
                  <c:v>2020</c:v>
                </c:pt>
                <c:pt idx="11">
                  <c:v>2021</c:v>
                </c:pt>
                <c:pt idx="12">
                  <c:v>2022</c:v>
                </c:pt>
                <c:pt idx="13">
                  <c:v>2023</c:v>
                </c:pt>
                <c:pt idx="15">
                  <c:v>2024</c:v>
                </c:pt>
                <c:pt idx="16">
                  <c:v>2025</c:v>
                </c:pt>
                <c:pt idx="17">
                  <c:v>2026</c:v>
                </c:pt>
                <c:pt idx="18">
                  <c:v>2027</c:v>
                </c:pt>
                <c:pt idx="19">
                  <c:v>2028</c:v>
                </c:pt>
                <c:pt idx="20">
                  <c:v>2029</c:v>
                </c:pt>
                <c:pt idx="21">
                  <c:v>2030</c:v>
                </c:pt>
                <c:pt idx="22">
                  <c:v>2040</c:v>
                </c:pt>
                <c:pt idx="23">
                  <c:v>2045</c:v>
                </c:pt>
                <c:pt idx="24">
                  <c:v>2050</c:v>
                </c:pt>
              </c:numCache>
            </c:numRef>
          </c:cat>
          <c:val>
            <c:numRef>
              <c:f>koparZIZIMM_2050_WAM!$B$8:$BK$8</c:f>
              <c:numCache>
                <c:formatCode>General</c:formatCode>
                <c:ptCount val="25"/>
                <c:pt idx="0">
                  <c:v>655.39947000940822</c:v>
                </c:pt>
                <c:pt idx="1">
                  <c:v>225.71488651316685</c:v>
                </c:pt>
                <c:pt idx="2">
                  <c:v>283.31889236653865</c:v>
                </c:pt>
                <c:pt idx="3">
                  <c:v>366.93462836954768</c:v>
                </c:pt>
                <c:pt idx="4">
                  <c:v>751.59844839074742</c:v>
                </c:pt>
                <c:pt idx="5">
                  <c:v>788.37517893614756</c:v>
                </c:pt>
                <c:pt idx="6">
                  <c:v>687.40901933330542</c:v>
                </c:pt>
                <c:pt idx="7">
                  <c:v>764.39890225221484</c:v>
                </c:pt>
                <c:pt idx="8">
                  <c:v>889.90909286269823</c:v>
                </c:pt>
                <c:pt idx="9">
                  <c:v>887.48045040327929</c:v>
                </c:pt>
                <c:pt idx="10">
                  <c:v>865.93047892334266</c:v>
                </c:pt>
                <c:pt idx="11">
                  <c:v>877.143765030125</c:v>
                </c:pt>
                <c:pt idx="12">
                  <c:v>858.46794298268787</c:v>
                </c:pt>
                <c:pt idx="13">
                  <c:v>860.69992659805962</c:v>
                </c:pt>
                <c:pt idx="15">
                  <c:v>856.30701452610344</c:v>
                </c:pt>
                <c:pt idx="16">
                  <c:v>844.13882393550148</c:v>
                </c:pt>
                <c:pt idx="17">
                  <c:v>831.99620738157819</c:v>
                </c:pt>
                <c:pt idx="18">
                  <c:v>834.96201935495583</c:v>
                </c:pt>
                <c:pt idx="19">
                  <c:v>828.88193050563495</c:v>
                </c:pt>
                <c:pt idx="20">
                  <c:v>819.32281341214605</c:v>
                </c:pt>
                <c:pt idx="21">
                  <c:v>807.79902139197179</c:v>
                </c:pt>
                <c:pt idx="22">
                  <c:v>797.63830902844995</c:v>
                </c:pt>
                <c:pt idx="23">
                  <c:v>799.66152324228176</c:v>
                </c:pt>
                <c:pt idx="24">
                  <c:v>799.89739968779656</c:v>
                </c:pt>
              </c:numCache>
            </c:numRef>
          </c:val>
          <c:extLst>
            <c:ext xmlns:c16="http://schemas.microsoft.com/office/drawing/2014/chart" uri="{C3380CC4-5D6E-409C-BE32-E72D297353CC}">
              <c16:uniqueId val="{00000002-B0E4-4EB9-9ACE-60B5B1E0062D}"/>
            </c:ext>
          </c:extLst>
        </c:ser>
        <c:ser>
          <c:idx val="3"/>
          <c:order val="3"/>
          <c:tx>
            <c:strRef>
              <c:f>koparZIZIMM_2050_WAM!$A$9</c:f>
              <c:strCache>
                <c:ptCount val="1"/>
                <c:pt idx="0">
                  <c:v>Lauksaimniecība</c:v>
                </c:pt>
              </c:strCache>
            </c:strRef>
          </c:tx>
          <c:spPr>
            <a:solidFill>
              <a:schemeClr val="accent4"/>
            </a:solidFill>
            <a:ln>
              <a:noFill/>
            </a:ln>
            <a:effectLst/>
          </c:spPr>
          <c:invertIfNegative val="0"/>
          <c:cat>
            <c:numRef>
              <c:f>koparZIZIMM_2050_WAM!$B$5:$BK$5</c:f>
              <c:numCache>
                <c:formatCode>General</c:formatCode>
                <c:ptCount val="25"/>
                <c:pt idx="0">
                  <c:v>1990</c:v>
                </c:pt>
                <c:pt idx="1">
                  <c:v>1995</c:v>
                </c:pt>
                <c:pt idx="2">
                  <c:v>2000</c:v>
                </c:pt>
                <c:pt idx="3">
                  <c:v>2005</c:v>
                </c:pt>
                <c:pt idx="4">
                  <c:v>2010</c:v>
                </c:pt>
                <c:pt idx="5">
                  <c:v>2015</c:v>
                </c:pt>
                <c:pt idx="6">
                  <c:v>2016</c:v>
                </c:pt>
                <c:pt idx="7">
                  <c:v>2017</c:v>
                </c:pt>
                <c:pt idx="8">
                  <c:v>2018</c:v>
                </c:pt>
                <c:pt idx="9">
                  <c:v>2019</c:v>
                </c:pt>
                <c:pt idx="10">
                  <c:v>2020</c:v>
                </c:pt>
                <c:pt idx="11">
                  <c:v>2021</c:v>
                </c:pt>
                <c:pt idx="12">
                  <c:v>2022</c:v>
                </c:pt>
                <c:pt idx="13">
                  <c:v>2023</c:v>
                </c:pt>
                <c:pt idx="15">
                  <c:v>2024</c:v>
                </c:pt>
                <c:pt idx="16">
                  <c:v>2025</c:v>
                </c:pt>
                <c:pt idx="17">
                  <c:v>2026</c:v>
                </c:pt>
                <c:pt idx="18">
                  <c:v>2027</c:v>
                </c:pt>
                <c:pt idx="19">
                  <c:v>2028</c:v>
                </c:pt>
                <c:pt idx="20">
                  <c:v>2029</c:v>
                </c:pt>
                <c:pt idx="21">
                  <c:v>2030</c:v>
                </c:pt>
                <c:pt idx="22">
                  <c:v>2040</c:v>
                </c:pt>
                <c:pt idx="23">
                  <c:v>2045</c:v>
                </c:pt>
                <c:pt idx="24">
                  <c:v>2050</c:v>
                </c:pt>
              </c:numCache>
            </c:numRef>
          </c:cat>
          <c:val>
            <c:numRef>
              <c:f>koparZIZIMM_2050_WAM!$B$9:$BK$9</c:f>
              <c:numCache>
                <c:formatCode>General</c:formatCode>
                <c:ptCount val="25"/>
                <c:pt idx="0">
                  <c:v>5030.4777094636629</c:v>
                </c:pt>
                <c:pt idx="1">
                  <c:v>2030.4537987802071</c:v>
                </c:pt>
                <c:pt idx="2">
                  <c:v>1680.5543060691539</c:v>
                </c:pt>
                <c:pt idx="3">
                  <c:v>1790.8367396846859</c:v>
                </c:pt>
                <c:pt idx="4">
                  <c:v>1870.0663858421735</c:v>
                </c:pt>
                <c:pt idx="5">
                  <c:v>2151.4654945819025</c:v>
                </c:pt>
                <c:pt idx="6">
                  <c:v>2163.2663267234402</c:v>
                </c:pt>
                <c:pt idx="7">
                  <c:v>2176.6616653546425</c:v>
                </c:pt>
                <c:pt idx="8">
                  <c:v>2096.4117370306108</c:v>
                </c:pt>
                <c:pt idx="9">
                  <c:v>2198.3568462467929</c:v>
                </c:pt>
                <c:pt idx="10">
                  <c:v>2250.414362452349</c:v>
                </c:pt>
                <c:pt idx="11">
                  <c:v>2252.9560061446427</c:v>
                </c:pt>
                <c:pt idx="12">
                  <c:v>2253.8277138091466</c:v>
                </c:pt>
                <c:pt idx="13">
                  <c:v>2169.6229168976943</c:v>
                </c:pt>
                <c:pt idx="15">
                  <c:v>2224.253205995893</c:v>
                </c:pt>
                <c:pt idx="16">
                  <c:v>2216.8821480177044</c:v>
                </c:pt>
                <c:pt idx="17">
                  <c:v>2212.3321385175304</c:v>
                </c:pt>
                <c:pt idx="18">
                  <c:v>2207.7821290173561</c:v>
                </c:pt>
                <c:pt idx="19">
                  <c:v>2203.2321195171821</c:v>
                </c:pt>
                <c:pt idx="20">
                  <c:v>2198.6821100170077</c:v>
                </c:pt>
                <c:pt idx="21">
                  <c:v>2194.1321005168334</c:v>
                </c:pt>
                <c:pt idx="22">
                  <c:v>2154.9897716470182</c:v>
                </c:pt>
                <c:pt idx="23">
                  <c:v>2154.5768770198365</c:v>
                </c:pt>
                <c:pt idx="24">
                  <c:v>2154.1639823926548</c:v>
                </c:pt>
              </c:numCache>
            </c:numRef>
          </c:val>
          <c:extLst>
            <c:ext xmlns:c16="http://schemas.microsoft.com/office/drawing/2014/chart" uri="{C3380CC4-5D6E-409C-BE32-E72D297353CC}">
              <c16:uniqueId val="{00000003-B0E4-4EB9-9ACE-60B5B1E0062D}"/>
            </c:ext>
          </c:extLst>
        </c:ser>
        <c:ser>
          <c:idx val="4"/>
          <c:order val="4"/>
          <c:tx>
            <c:strRef>
              <c:f>koparZIZIMM_2050_WAM!$A$10</c:f>
              <c:strCache>
                <c:ptCount val="1"/>
                <c:pt idx="0">
                  <c:v>Atkritumu apsaimniekošana</c:v>
                </c:pt>
              </c:strCache>
            </c:strRef>
          </c:tx>
          <c:spPr>
            <a:solidFill>
              <a:schemeClr val="accent5"/>
            </a:solidFill>
            <a:ln>
              <a:noFill/>
            </a:ln>
            <a:effectLst/>
          </c:spPr>
          <c:invertIfNegative val="0"/>
          <c:cat>
            <c:numRef>
              <c:f>koparZIZIMM_2050_WAM!$B$5:$BK$5</c:f>
              <c:numCache>
                <c:formatCode>General</c:formatCode>
                <c:ptCount val="25"/>
                <c:pt idx="0">
                  <c:v>1990</c:v>
                </c:pt>
                <c:pt idx="1">
                  <c:v>1995</c:v>
                </c:pt>
                <c:pt idx="2">
                  <c:v>2000</c:v>
                </c:pt>
                <c:pt idx="3">
                  <c:v>2005</c:v>
                </c:pt>
                <c:pt idx="4">
                  <c:v>2010</c:v>
                </c:pt>
                <c:pt idx="5">
                  <c:v>2015</c:v>
                </c:pt>
                <c:pt idx="6">
                  <c:v>2016</c:v>
                </c:pt>
                <c:pt idx="7">
                  <c:v>2017</c:v>
                </c:pt>
                <c:pt idx="8">
                  <c:v>2018</c:v>
                </c:pt>
                <c:pt idx="9">
                  <c:v>2019</c:v>
                </c:pt>
                <c:pt idx="10">
                  <c:v>2020</c:v>
                </c:pt>
                <c:pt idx="11">
                  <c:v>2021</c:v>
                </c:pt>
                <c:pt idx="12">
                  <c:v>2022</c:v>
                </c:pt>
                <c:pt idx="13">
                  <c:v>2023</c:v>
                </c:pt>
                <c:pt idx="15">
                  <c:v>2024</c:v>
                </c:pt>
                <c:pt idx="16">
                  <c:v>2025</c:v>
                </c:pt>
                <c:pt idx="17">
                  <c:v>2026</c:v>
                </c:pt>
                <c:pt idx="18">
                  <c:v>2027</c:v>
                </c:pt>
                <c:pt idx="19">
                  <c:v>2028</c:v>
                </c:pt>
                <c:pt idx="20">
                  <c:v>2029</c:v>
                </c:pt>
                <c:pt idx="21">
                  <c:v>2030</c:v>
                </c:pt>
                <c:pt idx="22">
                  <c:v>2040</c:v>
                </c:pt>
                <c:pt idx="23">
                  <c:v>2045</c:v>
                </c:pt>
                <c:pt idx="24">
                  <c:v>2050</c:v>
                </c:pt>
              </c:numCache>
            </c:numRef>
          </c:cat>
          <c:val>
            <c:numRef>
              <c:f>koparZIZIMM_2050_WAM!$B$10:$BK$10</c:f>
              <c:numCache>
                <c:formatCode>General</c:formatCode>
                <c:ptCount val="25"/>
                <c:pt idx="0">
                  <c:v>805.03180430618352</c:v>
                </c:pt>
                <c:pt idx="1">
                  <c:v>702.49916749212593</c:v>
                </c:pt>
                <c:pt idx="2">
                  <c:v>764.58823842702031</c:v>
                </c:pt>
                <c:pt idx="3">
                  <c:v>686.51075380917007</c:v>
                </c:pt>
                <c:pt idx="4">
                  <c:v>717.26410506807235</c:v>
                </c:pt>
                <c:pt idx="5">
                  <c:v>619.23278422209603</c:v>
                </c:pt>
                <c:pt idx="6">
                  <c:v>630.19801045679185</c:v>
                </c:pt>
                <c:pt idx="7">
                  <c:v>582.52482141858218</c:v>
                </c:pt>
                <c:pt idx="8">
                  <c:v>589.58566337153002</c:v>
                </c:pt>
                <c:pt idx="9">
                  <c:v>580.08190210617079</c:v>
                </c:pt>
                <c:pt idx="10">
                  <c:v>578.986197307</c:v>
                </c:pt>
                <c:pt idx="11">
                  <c:v>567.09979592399998</c:v>
                </c:pt>
                <c:pt idx="12">
                  <c:v>588.61415645299996</c:v>
                </c:pt>
                <c:pt idx="13">
                  <c:v>577.74545958672343</c:v>
                </c:pt>
                <c:pt idx="15">
                  <c:v>535.90342124528479</c:v>
                </c:pt>
                <c:pt idx="16">
                  <c:v>521.40144969182461</c:v>
                </c:pt>
                <c:pt idx="17">
                  <c:v>501.24756676074355</c:v>
                </c:pt>
                <c:pt idx="18">
                  <c:v>479.75939479302804</c:v>
                </c:pt>
                <c:pt idx="19">
                  <c:v>455.49298535743714</c:v>
                </c:pt>
                <c:pt idx="20">
                  <c:v>432.98856903763584</c:v>
                </c:pt>
                <c:pt idx="21">
                  <c:v>413.00551889269457</c:v>
                </c:pt>
                <c:pt idx="22">
                  <c:v>271.87275207996436</c:v>
                </c:pt>
                <c:pt idx="23">
                  <c:v>240.19272141622903</c:v>
                </c:pt>
                <c:pt idx="24">
                  <c:v>226.24190339678</c:v>
                </c:pt>
              </c:numCache>
            </c:numRef>
          </c:val>
          <c:extLst>
            <c:ext xmlns:c16="http://schemas.microsoft.com/office/drawing/2014/chart" uri="{C3380CC4-5D6E-409C-BE32-E72D297353CC}">
              <c16:uniqueId val="{00000004-B0E4-4EB9-9ACE-60B5B1E0062D}"/>
            </c:ext>
          </c:extLst>
        </c:ser>
        <c:ser>
          <c:idx val="6"/>
          <c:order val="6"/>
          <c:tx>
            <c:strRef>
              <c:f>koparZIZIMM_2050_WAM!$A$11</c:f>
              <c:strCache>
                <c:ptCount val="1"/>
                <c:pt idx="0">
                  <c:v>ZIZIMM</c:v>
                </c:pt>
              </c:strCache>
            </c:strRef>
          </c:tx>
          <c:spPr>
            <a:solidFill>
              <a:schemeClr val="accent1">
                <a:lumMod val="60000"/>
              </a:schemeClr>
            </a:solidFill>
            <a:ln>
              <a:noFill/>
            </a:ln>
            <a:effectLst/>
          </c:spPr>
          <c:invertIfNegative val="0"/>
          <c:val>
            <c:numRef>
              <c:f>koparZIZIMM_2050_WAM!$B$11:$BK$11</c:f>
              <c:numCache>
                <c:formatCode>General</c:formatCode>
                <c:ptCount val="25"/>
                <c:pt idx="0">
                  <c:v>-12390.086213772494</c:v>
                </c:pt>
                <c:pt idx="1">
                  <c:v>-14838.261614171053</c:v>
                </c:pt>
                <c:pt idx="2">
                  <c:v>-11851.12609315617</c:v>
                </c:pt>
                <c:pt idx="3">
                  <c:v>-5905.3312142210525</c:v>
                </c:pt>
                <c:pt idx="4">
                  <c:v>-1894.7690292024906</c:v>
                </c:pt>
                <c:pt idx="5">
                  <c:v>362.90361156528883</c:v>
                </c:pt>
                <c:pt idx="6">
                  <c:v>-1448.6970923925608</c:v>
                </c:pt>
                <c:pt idx="7">
                  <c:v>-2890.7155948634804</c:v>
                </c:pt>
                <c:pt idx="8">
                  <c:v>-387.90984146629302</c:v>
                </c:pt>
                <c:pt idx="9">
                  <c:v>-1968.5132450695432</c:v>
                </c:pt>
                <c:pt idx="10">
                  <c:v>758.28588136271924</c:v>
                </c:pt>
                <c:pt idx="11">
                  <c:v>2201.6627980329959</c:v>
                </c:pt>
                <c:pt idx="12">
                  <c:v>4944.1639193915453</c:v>
                </c:pt>
                <c:pt idx="13">
                  <c:v>2638.9674474393528</c:v>
                </c:pt>
                <c:pt idx="15">
                  <c:v>1978.9049558698944</c:v>
                </c:pt>
                <c:pt idx="16">
                  <c:v>2146.7164219050151</c:v>
                </c:pt>
                <c:pt idx="17">
                  <c:v>1843.7681106384539</c:v>
                </c:pt>
                <c:pt idx="18">
                  <c:v>2220.7948206069686</c:v>
                </c:pt>
                <c:pt idx="19">
                  <c:v>2519.6592147962356</c:v>
                </c:pt>
                <c:pt idx="20">
                  <c:v>2583.1747806628655</c:v>
                </c:pt>
                <c:pt idx="21">
                  <c:v>2909.7745733141992</c:v>
                </c:pt>
                <c:pt idx="22">
                  <c:v>3794.2460282018496</c:v>
                </c:pt>
                <c:pt idx="23">
                  <c:v>3719.973731145019</c:v>
                </c:pt>
                <c:pt idx="24">
                  <c:v>4032.1753554948918</c:v>
                </c:pt>
              </c:numCache>
            </c:numRef>
          </c:val>
          <c:extLst>
            <c:ext xmlns:c16="http://schemas.microsoft.com/office/drawing/2014/chart" uri="{C3380CC4-5D6E-409C-BE32-E72D297353CC}">
              <c16:uniqueId val="{00000005-B0E4-4EB9-9ACE-60B5B1E0062D}"/>
            </c:ext>
          </c:extLst>
        </c:ser>
        <c:dLbls>
          <c:showLegendKey val="0"/>
          <c:showVal val="0"/>
          <c:showCatName val="0"/>
          <c:showSerName val="0"/>
          <c:showPercent val="0"/>
          <c:showBubbleSize val="0"/>
        </c:dLbls>
        <c:gapWidth val="150"/>
        <c:overlap val="100"/>
        <c:axId val="444133023"/>
        <c:axId val="444155583"/>
      </c:barChart>
      <c:lineChart>
        <c:grouping val="standard"/>
        <c:varyColors val="0"/>
        <c:ser>
          <c:idx val="5"/>
          <c:order val="5"/>
          <c:tx>
            <c:strRef>
              <c:f>koparZIZIMM_2050_WAM!$A$12</c:f>
              <c:strCache>
                <c:ptCount val="1"/>
                <c:pt idx="0">
                  <c:v>Kopējās emisijas (ieskaitot netiešās CO₂)</c:v>
                </c:pt>
              </c:strCache>
            </c:strRef>
          </c:tx>
          <c:spPr>
            <a:ln w="28575" cap="rnd">
              <a:solidFill>
                <a:schemeClr val="accent6"/>
              </a:solidFill>
              <a:round/>
            </a:ln>
            <a:effectLst/>
          </c:spPr>
          <c:marker>
            <c:symbol val="none"/>
          </c:marker>
          <c:cat>
            <c:numRef>
              <c:f>koparZIZIMM_2050_WAM!$B$13:$BK$13</c:f>
              <c:numCache>
                <c:formatCode>General</c:formatCode>
                <c:ptCount val="25"/>
                <c:pt idx="24">
                  <c:v>0</c:v>
                </c:pt>
              </c:numCache>
            </c:numRef>
          </c:cat>
          <c:val>
            <c:numRef>
              <c:f>koparZIZIMM_2050_WAM!$B$12:$BK$12</c:f>
              <c:numCache>
                <c:formatCode>General</c:formatCode>
                <c:ptCount val="25"/>
                <c:pt idx="0">
                  <c:v>13671.388324471096</c:v>
                </c:pt>
                <c:pt idx="1">
                  <c:v>-2218.1287445473354</c:v>
                </c:pt>
                <c:pt idx="2">
                  <c:v>-1659.4921795694231</c:v>
                </c:pt>
                <c:pt idx="3">
                  <c:v>5136.3468799791262</c:v>
                </c:pt>
                <c:pt idx="4">
                  <c:v>9992.7351846156162</c:v>
                </c:pt>
                <c:pt idx="5">
                  <c:v>11134.421657163251</c:v>
                </c:pt>
                <c:pt idx="6">
                  <c:v>9319.9894270637924</c:v>
                </c:pt>
                <c:pt idx="7">
                  <c:v>7912.3634827249207</c:v>
                </c:pt>
                <c:pt idx="8">
                  <c:v>10901.325446613298</c:v>
                </c:pt>
                <c:pt idx="9">
                  <c:v>9185.1900491675788</c:v>
                </c:pt>
                <c:pt idx="10">
                  <c:v>11262.819156784331</c:v>
                </c:pt>
                <c:pt idx="11">
                  <c:v>12948.588662300943</c:v>
                </c:pt>
                <c:pt idx="12">
                  <c:v>15075.177921988236</c:v>
                </c:pt>
                <c:pt idx="13">
                  <c:v>12623.398465198965</c:v>
                </c:pt>
                <c:pt idx="15">
                  <c:v>11557.420245595607</c:v>
                </c:pt>
                <c:pt idx="16">
                  <c:v>11599.832718155565</c:v>
                </c:pt>
                <c:pt idx="17">
                  <c:v>11118.057686383911</c:v>
                </c:pt>
                <c:pt idx="18">
                  <c:v>11397.786864056134</c:v>
                </c:pt>
                <c:pt idx="19">
                  <c:v>11534.147161523575</c:v>
                </c:pt>
                <c:pt idx="20">
                  <c:v>11482.275051430222</c:v>
                </c:pt>
                <c:pt idx="21">
                  <c:v>11527.909611319368</c:v>
                </c:pt>
                <c:pt idx="22">
                  <c:v>8890.0497934380037</c:v>
                </c:pt>
                <c:pt idx="23">
                  <c:v>7998.8320263610722</c:v>
                </c:pt>
                <c:pt idx="24">
                  <c:v>8158.8761994907691</c:v>
                </c:pt>
              </c:numCache>
            </c:numRef>
          </c:val>
          <c:smooth val="0"/>
          <c:extLst>
            <c:ext xmlns:c16="http://schemas.microsoft.com/office/drawing/2014/chart" uri="{C3380CC4-5D6E-409C-BE32-E72D297353CC}">
              <c16:uniqueId val="{00000006-B0E4-4EB9-9ACE-60B5B1E0062D}"/>
            </c:ext>
          </c:extLst>
        </c:ser>
        <c:ser>
          <c:idx val="8"/>
          <c:order val="8"/>
          <c:tx>
            <c:v>Klimatneitralitāte</c:v>
          </c:tx>
          <c:spPr>
            <a:ln w="25400" cap="rnd">
              <a:noFill/>
              <a:round/>
            </a:ln>
            <a:effectLst/>
          </c:spPr>
          <c:marker>
            <c:symbol val="circle"/>
            <c:size val="5"/>
            <c:spPr>
              <a:solidFill>
                <a:srgbClr val="FF0000"/>
              </a:solidFill>
              <a:ln w="9525">
                <a:noFill/>
              </a:ln>
              <a:effectLst/>
            </c:spPr>
          </c:marker>
          <c:dPt>
            <c:idx val="24"/>
            <c:marker>
              <c:symbol val="circle"/>
              <c:size val="5"/>
              <c:spPr>
                <a:solidFill>
                  <a:srgbClr val="FF0000"/>
                </a:solidFill>
                <a:ln w="44450">
                  <a:solidFill>
                    <a:srgbClr val="FF0000"/>
                  </a:solidFill>
                </a:ln>
                <a:effectLst/>
              </c:spPr>
            </c:marker>
            <c:bubble3D val="0"/>
            <c:extLst>
              <c:ext xmlns:c16="http://schemas.microsoft.com/office/drawing/2014/chart" uri="{C3380CC4-5D6E-409C-BE32-E72D297353CC}">
                <c16:uniqueId val="{00000007-B0E4-4EB9-9ACE-60B5B1E0062D}"/>
              </c:ext>
            </c:extLst>
          </c:dPt>
          <c:dPt>
            <c:idx val="25"/>
            <c:marker>
              <c:symbol val="circle"/>
              <c:size val="5"/>
              <c:spPr>
                <a:noFill/>
                <a:ln w="9525">
                  <a:solidFill>
                    <a:schemeClr val="bg1"/>
                  </a:solidFill>
                </a:ln>
                <a:effectLst/>
              </c:spPr>
            </c:marker>
            <c:bubble3D val="0"/>
            <c:extLst>
              <c:ext xmlns:c16="http://schemas.microsoft.com/office/drawing/2014/chart" uri="{C3380CC4-5D6E-409C-BE32-E72D297353CC}">
                <c16:uniqueId val="{00000008-B0E4-4EB9-9ACE-60B5B1E0062D}"/>
              </c:ext>
            </c:extLst>
          </c:dPt>
          <c:val>
            <c:numRef>
              <c:f>koparZIZIMM_2050_WAM!$B$13:$BL$13</c:f>
              <c:numCache>
                <c:formatCode>General</c:formatCode>
                <c:ptCount val="26"/>
                <c:pt idx="24">
                  <c:v>0</c:v>
                </c:pt>
                <c:pt idx="25">
                  <c:v>0</c:v>
                </c:pt>
              </c:numCache>
            </c:numRef>
          </c:val>
          <c:smooth val="0"/>
          <c:extLst>
            <c:ext xmlns:c16="http://schemas.microsoft.com/office/drawing/2014/chart" uri="{C3380CC4-5D6E-409C-BE32-E72D297353CC}">
              <c16:uniqueId val="{00000009-B0E4-4EB9-9ACE-60B5B1E0062D}"/>
            </c:ext>
          </c:extLst>
        </c:ser>
        <c:dLbls>
          <c:showLegendKey val="0"/>
          <c:showVal val="0"/>
          <c:showCatName val="0"/>
          <c:showSerName val="0"/>
          <c:showPercent val="0"/>
          <c:showBubbleSize val="0"/>
        </c:dLbls>
        <c:marker val="1"/>
        <c:smooth val="0"/>
        <c:axId val="444133023"/>
        <c:axId val="444155583"/>
        <c:extLst>
          <c:ext xmlns:c15="http://schemas.microsoft.com/office/drawing/2012/chart" uri="{02D57815-91ED-43cb-92C2-25804820EDAC}">
            <c15:filteredLineSeries>
              <c15:ser>
                <c:idx val="7"/>
                <c:order val="7"/>
                <c:tx>
                  <c:strRef>
                    <c:extLst>
                      <c:ext uri="{02D57815-91ED-43cb-92C2-25804820EDAC}">
                        <c15:formulaRef>
                          <c15:sqref>koparZIZIMM_2050_WAM!$A$13</c15:sqref>
                        </c15:formulaRef>
                      </c:ext>
                    </c:extLst>
                    <c:strCache>
                      <c:ptCount val="1"/>
                      <c:pt idx="0">
                        <c:v>Klimatneitralitātes mērķis - 2050</c:v>
                      </c:pt>
                    </c:strCache>
                  </c:strRef>
                </c:tx>
                <c:spPr>
                  <a:ln w="28575" cap="rnd">
                    <a:solidFill>
                      <a:schemeClr val="accent2">
                        <a:lumMod val="60000"/>
                      </a:schemeClr>
                    </a:solidFill>
                    <a:round/>
                  </a:ln>
                  <a:effectLst/>
                </c:spPr>
                <c:marker>
                  <c:symbol val="none"/>
                </c:marker>
                <c:cat>
                  <c:numRef>
                    <c:extLst>
                      <c:ext uri="{02D57815-91ED-43cb-92C2-25804820EDAC}">
                        <c15:formulaRef>
                          <c15:sqref>koparZIZIMM_2050_WAM!$B$13:$BK$13</c15:sqref>
                        </c15:formulaRef>
                      </c:ext>
                    </c:extLst>
                    <c:numCache>
                      <c:formatCode>General</c:formatCode>
                      <c:ptCount val="25"/>
                      <c:pt idx="24">
                        <c:v>0</c:v>
                      </c:pt>
                    </c:numCache>
                  </c:numRef>
                </c:cat>
                <c:val>
                  <c:numLit>
                    <c:formatCode>General</c:formatCode>
                    <c:ptCount val="1"/>
                    <c:pt idx="0">
                      <c:v>1</c:v>
                    </c:pt>
                  </c:numLit>
                </c:val>
                <c:smooth val="0"/>
                <c:extLst>
                  <c:ext xmlns:c16="http://schemas.microsoft.com/office/drawing/2014/chart" uri="{C3380CC4-5D6E-409C-BE32-E72D297353CC}">
                    <c16:uniqueId val="{0000000A-B0E4-4EB9-9ACE-60B5B1E0062D}"/>
                  </c:ext>
                </c:extLst>
              </c15:ser>
            </c15:filteredLineSeries>
          </c:ext>
        </c:extLst>
      </c:lineChart>
      <c:catAx>
        <c:axId val="444133023"/>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chemeClr val="tx1">
                    <a:lumMod val="65000"/>
                    <a:lumOff val="35000"/>
                  </a:schemeClr>
                </a:solidFill>
                <a:latin typeface="+mj-lt"/>
                <a:ea typeface="+mn-ea"/>
                <a:cs typeface="+mn-cs"/>
              </a:defRPr>
            </a:pPr>
            <a:endParaRPr lang="lv-LV"/>
          </a:p>
        </c:txPr>
        <c:crossAx val="444155583"/>
        <c:crosses val="autoZero"/>
        <c:auto val="1"/>
        <c:lblAlgn val="ctr"/>
        <c:lblOffset val="100"/>
        <c:noMultiLvlLbl val="0"/>
      </c:catAx>
      <c:valAx>
        <c:axId val="444155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j-lt"/>
                    <a:ea typeface="+mn-ea"/>
                    <a:cs typeface="+mn-cs"/>
                  </a:defRPr>
                </a:pPr>
                <a:r>
                  <a:rPr lang="en-US"/>
                  <a:t>kt CO2 ekv.</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j-lt"/>
                  <a:ea typeface="+mn-ea"/>
                  <a:cs typeface="+mn-cs"/>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j-lt"/>
                <a:ea typeface="+mn-ea"/>
                <a:cs typeface="+mn-cs"/>
              </a:defRPr>
            </a:pPr>
            <a:endParaRPr lang="lv-LV"/>
          </a:p>
        </c:txPr>
        <c:crossAx val="444133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j-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mj-lt"/>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4A07B0-AA2C-493A-B56C-E889D4FC4671}" type="doc">
      <dgm:prSet loTypeId="urn:microsoft.com/office/officeart/2005/8/layout/process2" loCatId="process" qsTypeId="urn:microsoft.com/office/officeart/2005/8/quickstyle/simple1" qsCatId="simple" csTypeId="urn:microsoft.com/office/officeart/2005/8/colors/accent3_5" csCatId="accent3" phldr="1"/>
      <dgm:spPr/>
    </dgm:pt>
    <dgm:pt modelId="{F5860E07-3B20-4276-B3DA-66AA13388884}">
      <dgm:prSet phldrT="[Text]" custT="1"/>
      <dgm:spPr/>
      <dgm:t>
        <a:bodyPr/>
        <a:lstStyle/>
        <a:p>
          <a:pPr algn="ctr"/>
          <a:r>
            <a:rPr lang="lv-LV" sz="1200" b="1">
              <a:latin typeface="Cambria" panose="02040503050406030204" pitchFamily="18" charset="0"/>
              <a:ea typeface="Cambria" panose="02040503050406030204" pitchFamily="18" charset="0"/>
            </a:rPr>
            <a:t>A.  Novērtē GES mērķu izpildi (neņemot vērā elastības)</a:t>
          </a:r>
        </a:p>
        <a:p>
          <a:pPr algn="ctr"/>
          <a:r>
            <a:rPr lang="lv-LV" sz="1000">
              <a:latin typeface="Cambria" panose="02040503050406030204" pitchFamily="18" charset="0"/>
              <a:ea typeface="Cambria" panose="02040503050406030204" pitchFamily="18" charset="0"/>
            </a:rPr>
            <a:t>2021.-2030.g. katram gadam ne-ETS emisijas tiek atskaitītas no GES daudzuma </a:t>
          </a:r>
          <a:br>
            <a:rPr lang="lv-LV" sz="1000">
              <a:latin typeface="Cambria" panose="02040503050406030204" pitchFamily="18" charset="0"/>
              <a:ea typeface="Cambria" panose="02040503050406030204" pitchFamily="18" charset="0"/>
            </a:rPr>
          </a:br>
          <a:r>
            <a:rPr lang="lv-LV" sz="1000">
              <a:latin typeface="Cambria" panose="02040503050406030204" pitchFamily="18" charset="0"/>
              <a:ea typeface="Cambria" panose="02040503050406030204" pitchFamily="18" charset="0"/>
            </a:rPr>
            <a:t>(negatīvs rezultāts apzīmē iztrūkumu jeb neizpildi)</a:t>
          </a:r>
        </a:p>
      </dgm:t>
    </dgm:pt>
    <dgm:pt modelId="{D2CFB4D4-F75D-4BD2-94AF-201E5835436C}" type="parTrans" cxnId="{E62E77CB-78B3-4B61-A0E7-A5B2AAEEEA57}">
      <dgm:prSet/>
      <dgm:spPr/>
      <dgm:t>
        <a:bodyPr/>
        <a:lstStyle/>
        <a:p>
          <a:pPr algn="ctr"/>
          <a:endParaRPr lang="lv-LV">
            <a:solidFill>
              <a:sysClr val="windowText" lastClr="000000"/>
            </a:solidFill>
          </a:endParaRPr>
        </a:p>
      </dgm:t>
    </dgm:pt>
    <dgm:pt modelId="{DABA9FA4-C3F8-4095-B93D-733CFB7CA5B5}" type="sibTrans" cxnId="{E62E77CB-78B3-4B61-A0E7-A5B2AAEEEA57}">
      <dgm:prSet/>
      <dgm:spPr/>
      <dgm:t>
        <a:bodyPr/>
        <a:lstStyle/>
        <a:p>
          <a:pPr algn="ctr"/>
          <a:endParaRPr lang="lv-LV">
            <a:solidFill>
              <a:sysClr val="windowText" lastClr="000000"/>
            </a:solidFill>
          </a:endParaRPr>
        </a:p>
      </dgm:t>
    </dgm:pt>
    <dgm:pt modelId="{6F0C4432-476B-4E9A-8ED1-FE353694D2DC}">
      <dgm:prSet phldrT="[Text]" custT="1"/>
      <dgm:spPr/>
      <dgm:t>
        <a:bodyPr/>
        <a:lstStyle/>
        <a:p>
          <a:pPr algn="ctr"/>
          <a:r>
            <a:rPr lang="lv-LV" sz="1200" b="1">
              <a:latin typeface="Cambria" panose="02040503050406030204" pitchFamily="18" charset="0"/>
              <a:ea typeface="Cambria" panose="02040503050406030204" pitchFamily="18" charset="0"/>
            </a:rPr>
            <a:t>B. Nosaka, cik lielā mērā (paredzētās) elastības var segt neizpildi, kas noteikta saskaņā ar A.</a:t>
          </a:r>
        </a:p>
        <a:p>
          <a:pPr algn="ctr"/>
          <a:r>
            <a:rPr lang="lv-LV" sz="1000">
              <a:latin typeface="Cambria" panose="02040503050406030204" pitchFamily="18" charset="0"/>
              <a:ea typeface="Cambria" panose="02040503050406030204" pitchFamily="18" charset="0"/>
            </a:rPr>
            <a:t>Uzkrāšana, aizņemšanās elastība ir atkarīga tikai no dalībvalstu izvēlēm, turpretim ZIZIMM elastības pieejamība un GES  pirkšana/pārdošana atkarīga no ZIZIMM izpildes un GES pieejamības no citām dalībvalstīm.</a:t>
          </a:r>
        </a:p>
        <a:p>
          <a:pPr algn="ctr"/>
          <a:endParaRPr lang="lv-LV" sz="1200"/>
        </a:p>
      </dgm:t>
    </dgm:pt>
    <dgm:pt modelId="{DA68DEEB-0828-4311-817C-061D79F4DA36}" type="parTrans" cxnId="{E76B89E1-80F0-4F05-9136-B6057B3D7116}">
      <dgm:prSet/>
      <dgm:spPr/>
      <dgm:t>
        <a:bodyPr/>
        <a:lstStyle/>
        <a:p>
          <a:pPr algn="ctr"/>
          <a:endParaRPr lang="lv-LV">
            <a:solidFill>
              <a:sysClr val="windowText" lastClr="000000"/>
            </a:solidFill>
          </a:endParaRPr>
        </a:p>
      </dgm:t>
    </dgm:pt>
    <dgm:pt modelId="{D92A76C6-98C6-46F8-86D8-7CC292A2EE24}" type="sibTrans" cxnId="{E76B89E1-80F0-4F05-9136-B6057B3D7116}">
      <dgm:prSet/>
      <dgm:spPr>
        <a:noFill/>
      </dgm:spPr>
      <dgm:t>
        <a:bodyPr/>
        <a:lstStyle/>
        <a:p>
          <a:pPr algn="ctr"/>
          <a:endParaRPr lang="lv-LV"/>
        </a:p>
      </dgm:t>
    </dgm:pt>
    <dgm:pt modelId="{3F33FD76-72F6-4374-B091-48228619B9AD}">
      <dgm:prSet phldrT="[Text]" custT="1"/>
      <dgm:spPr/>
      <dgm:t>
        <a:bodyPr/>
        <a:lstStyle/>
        <a:p>
          <a:pPr algn="ctr"/>
          <a:r>
            <a:rPr lang="lv-LV" sz="1200" b="1"/>
            <a:t> </a:t>
          </a:r>
          <a:r>
            <a:rPr lang="lv-LV" sz="1200" b="1">
              <a:latin typeface="Cambria" panose="02040503050406030204" pitchFamily="18" charset="0"/>
              <a:ea typeface="Cambria" panose="02040503050406030204" pitchFamily="18" charset="0"/>
            </a:rPr>
            <a:t>Katra gadījuma novērtējums</a:t>
          </a:r>
        </a:p>
        <a:p>
          <a:pPr algn="ctr"/>
          <a:r>
            <a:rPr lang="lv-LV" sz="1000">
              <a:latin typeface="Cambria" panose="02040503050406030204" pitchFamily="18" charset="0"/>
              <a:ea typeface="Cambria" panose="02040503050406030204" pitchFamily="18" charset="0"/>
            </a:rPr>
            <a:t>Nosaka iztrūkumu un elastību pieejamību, kā arī jebkādu ietekmi no pārskaitījumiem uz ZIZIMM</a:t>
          </a:r>
          <a:endParaRPr lang="lv-LV" sz="800">
            <a:latin typeface="Cambria" panose="02040503050406030204" pitchFamily="18" charset="0"/>
            <a:ea typeface="Cambria" panose="02040503050406030204" pitchFamily="18" charset="0"/>
          </a:endParaRPr>
        </a:p>
      </dgm:t>
    </dgm:pt>
    <dgm:pt modelId="{077D2B39-2BF5-430A-8C10-A7FDFCF9F336}" type="parTrans" cxnId="{AFC79683-71DC-4829-A70F-79021951A96B}">
      <dgm:prSet/>
      <dgm:spPr/>
      <dgm:t>
        <a:bodyPr/>
        <a:lstStyle/>
        <a:p>
          <a:pPr algn="ctr"/>
          <a:endParaRPr lang="lv-LV">
            <a:solidFill>
              <a:sysClr val="windowText" lastClr="000000"/>
            </a:solidFill>
          </a:endParaRPr>
        </a:p>
      </dgm:t>
    </dgm:pt>
    <dgm:pt modelId="{29EE1A7E-20F4-4CFE-8E90-C74DE0666B27}" type="sibTrans" cxnId="{AFC79683-71DC-4829-A70F-79021951A96B}">
      <dgm:prSet/>
      <dgm:spPr/>
      <dgm:t>
        <a:bodyPr/>
        <a:lstStyle/>
        <a:p>
          <a:pPr algn="ctr"/>
          <a:endParaRPr lang="lv-LV">
            <a:solidFill>
              <a:sysClr val="windowText" lastClr="000000"/>
            </a:solidFill>
          </a:endParaRPr>
        </a:p>
      </dgm:t>
    </dgm:pt>
    <dgm:pt modelId="{36F512D1-BB72-4FC4-BE97-BF3D8508C507}">
      <dgm:prSet phldrT="[Text]" custT="1"/>
      <dgm:spPr/>
      <dgm:t>
        <a:bodyPr/>
        <a:lstStyle/>
        <a:p>
          <a:pPr algn="ctr"/>
          <a:r>
            <a:rPr lang="lv-LV" sz="1200" b="1">
              <a:latin typeface="Cambria" panose="02040503050406030204" pitchFamily="18" charset="0"/>
              <a:ea typeface="Cambria" panose="02040503050406030204" pitchFamily="18" charset="0"/>
            </a:rPr>
            <a:t>C. Novērtē ZIZIMM mērķu izpildi</a:t>
          </a:r>
        </a:p>
        <a:p>
          <a:pPr algn="ctr"/>
          <a:r>
            <a:rPr lang="lv-LV" sz="1000">
              <a:latin typeface="Cambria" panose="02040503050406030204" pitchFamily="18" charset="0"/>
              <a:ea typeface="Cambria" panose="02040503050406030204" pitchFamily="18" charset="0"/>
            </a:rPr>
            <a:t>Iztrūkums automātiski tiek pārskaitīts uz  ne-ETS 2021.-2025. periodā un 2026.-2030.g.  periodā dalībvalsts var nolemt, vai ar GES  nosegt ZIZIMM iztrūkumu </a:t>
          </a:r>
        </a:p>
      </dgm:t>
    </dgm:pt>
    <dgm:pt modelId="{FD39786E-09C4-45FC-A08B-4C26F4960764}" type="parTrans" cxnId="{A1D9A2F6-23B2-4326-996B-60B7AF2413E2}">
      <dgm:prSet/>
      <dgm:spPr/>
      <dgm:t>
        <a:bodyPr/>
        <a:lstStyle/>
        <a:p>
          <a:pPr algn="ctr"/>
          <a:endParaRPr lang="lv-LV">
            <a:solidFill>
              <a:sysClr val="windowText" lastClr="000000"/>
            </a:solidFill>
          </a:endParaRPr>
        </a:p>
      </dgm:t>
    </dgm:pt>
    <dgm:pt modelId="{EC7B8A80-59F6-42D5-97FE-3E1799190AB2}" type="sibTrans" cxnId="{A1D9A2F6-23B2-4326-996B-60B7AF2413E2}">
      <dgm:prSet/>
      <dgm:spPr/>
      <dgm:t>
        <a:bodyPr/>
        <a:lstStyle/>
        <a:p>
          <a:pPr algn="ctr"/>
          <a:endParaRPr lang="lv-LV">
            <a:solidFill>
              <a:sysClr val="windowText" lastClr="000000"/>
            </a:solidFill>
          </a:endParaRPr>
        </a:p>
      </dgm:t>
    </dgm:pt>
    <dgm:pt modelId="{C0CD8CCB-321D-4E09-8F8A-61B77F7DEE86}" type="pres">
      <dgm:prSet presAssocID="{604A07B0-AA2C-493A-B56C-E889D4FC4671}" presName="linearFlow" presStyleCnt="0">
        <dgm:presLayoutVars>
          <dgm:resizeHandles val="exact"/>
        </dgm:presLayoutVars>
      </dgm:prSet>
      <dgm:spPr/>
    </dgm:pt>
    <dgm:pt modelId="{85E6D77B-7C74-4239-8FA2-D00273773C12}" type="pres">
      <dgm:prSet presAssocID="{F5860E07-3B20-4276-B3DA-66AA13388884}" presName="node" presStyleLbl="node1" presStyleIdx="0" presStyleCnt="4" custScaleX="440493" custScaleY="272902">
        <dgm:presLayoutVars>
          <dgm:bulletEnabled val="1"/>
        </dgm:presLayoutVars>
      </dgm:prSet>
      <dgm:spPr/>
    </dgm:pt>
    <dgm:pt modelId="{38CAB71F-AC79-4491-B2CB-A4D62601C2A1}" type="pres">
      <dgm:prSet presAssocID="{DABA9FA4-C3F8-4095-B93D-733CFB7CA5B5}" presName="sibTrans" presStyleLbl="sibTrans2D1" presStyleIdx="0" presStyleCnt="3" custAng="734025" custFlipVert="1" custFlipHor="1" custScaleX="16105" custScaleY="23947"/>
      <dgm:spPr/>
    </dgm:pt>
    <dgm:pt modelId="{B65176FE-73B8-499A-AAFD-9EFF1210A36B}" type="pres">
      <dgm:prSet presAssocID="{DABA9FA4-C3F8-4095-B93D-733CFB7CA5B5}" presName="connectorText" presStyleLbl="sibTrans2D1" presStyleIdx="0" presStyleCnt="3"/>
      <dgm:spPr/>
    </dgm:pt>
    <dgm:pt modelId="{DDAFA5D0-53BC-4A2D-AB63-E53D98001EE0}" type="pres">
      <dgm:prSet presAssocID="{6F0C4432-476B-4E9A-8ED1-FE353694D2DC}" presName="node" presStyleLbl="node1" presStyleIdx="1" presStyleCnt="4" custScaleX="438446" custScaleY="508279" custLinFactNeighborY="-58141">
        <dgm:presLayoutVars>
          <dgm:bulletEnabled val="1"/>
        </dgm:presLayoutVars>
      </dgm:prSet>
      <dgm:spPr/>
    </dgm:pt>
    <dgm:pt modelId="{FCE4CE10-C7E2-49DF-9AEA-38F0DB74C427}" type="pres">
      <dgm:prSet presAssocID="{D92A76C6-98C6-46F8-86D8-7CC292A2EE24}" presName="sibTrans" presStyleLbl="sibTrans2D1" presStyleIdx="1" presStyleCnt="3" custScaleX="460394" custScaleY="275847"/>
      <dgm:spPr/>
    </dgm:pt>
    <dgm:pt modelId="{6921F46E-4FAC-4B74-824E-378F7512A3A6}" type="pres">
      <dgm:prSet presAssocID="{D92A76C6-98C6-46F8-86D8-7CC292A2EE24}" presName="connectorText" presStyleLbl="sibTrans2D1" presStyleIdx="1" presStyleCnt="3"/>
      <dgm:spPr/>
    </dgm:pt>
    <dgm:pt modelId="{5D731693-00B5-445A-88A8-7F80FE2BE47B}" type="pres">
      <dgm:prSet presAssocID="{3F33FD76-72F6-4374-B091-48228619B9AD}" presName="node" presStyleLbl="node1" presStyleIdx="2" presStyleCnt="4" custScaleX="357177" custScaleY="240745" custLinFactY="-11241" custLinFactNeighborX="6584" custLinFactNeighborY="-100000">
        <dgm:presLayoutVars>
          <dgm:bulletEnabled val="1"/>
        </dgm:presLayoutVars>
      </dgm:prSet>
      <dgm:spPr/>
    </dgm:pt>
    <dgm:pt modelId="{581FD64C-D699-48EA-9C9E-2F2A0FF8D48F}" type="pres">
      <dgm:prSet presAssocID="{29EE1A7E-20F4-4CFE-8E90-C74DE0666B27}" presName="sibTrans" presStyleLbl="sibTrans2D1" presStyleIdx="2" presStyleCnt="3" custAng="21178272" custScaleX="177013" custScaleY="328171" custLinFactY="-300000" custLinFactNeighborX="52330" custLinFactNeighborY="-325307"/>
      <dgm:spPr/>
    </dgm:pt>
    <dgm:pt modelId="{3459FA2C-C715-43F0-BA1E-49248C2297FB}" type="pres">
      <dgm:prSet presAssocID="{29EE1A7E-20F4-4CFE-8E90-C74DE0666B27}" presName="connectorText" presStyleLbl="sibTrans2D1" presStyleIdx="2" presStyleCnt="3"/>
      <dgm:spPr/>
    </dgm:pt>
    <dgm:pt modelId="{4FF013B1-6747-484D-9B8F-BA9C6F40D7C3}" type="pres">
      <dgm:prSet presAssocID="{36F512D1-BB72-4FC4-BE97-BF3D8508C507}" presName="node" presStyleLbl="node1" presStyleIdx="3" presStyleCnt="4" custScaleX="425009" custScaleY="270538" custLinFactNeighborX="-260" custLinFactNeighborY="-91089">
        <dgm:presLayoutVars>
          <dgm:bulletEnabled val="1"/>
        </dgm:presLayoutVars>
      </dgm:prSet>
      <dgm:spPr/>
    </dgm:pt>
  </dgm:ptLst>
  <dgm:cxnLst>
    <dgm:cxn modelId="{299F2705-5256-44E5-BF58-155BC2632AFC}" type="presOf" srcId="{D92A76C6-98C6-46F8-86D8-7CC292A2EE24}" destId="{6921F46E-4FAC-4B74-824E-378F7512A3A6}" srcOrd="1" destOrd="0" presId="urn:microsoft.com/office/officeart/2005/8/layout/process2"/>
    <dgm:cxn modelId="{DB00AD05-CF21-4E3C-ABC6-FCA8811FB1C2}" type="presOf" srcId="{D92A76C6-98C6-46F8-86D8-7CC292A2EE24}" destId="{FCE4CE10-C7E2-49DF-9AEA-38F0DB74C427}" srcOrd="0" destOrd="0" presId="urn:microsoft.com/office/officeart/2005/8/layout/process2"/>
    <dgm:cxn modelId="{BE46EA20-AB65-421B-A648-CC16DEA01102}" type="presOf" srcId="{29EE1A7E-20F4-4CFE-8E90-C74DE0666B27}" destId="{3459FA2C-C715-43F0-BA1E-49248C2297FB}" srcOrd="1" destOrd="0" presId="urn:microsoft.com/office/officeart/2005/8/layout/process2"/>
    <dgm:cxn modelId="{DE4A343D-4A96-4C89-B9F5-8037319F9A1A}" type="presOf" srcId="{DABA9FA4-C3F8-4095-B93D-733CFB7CA5B5}" destId="{B65176FE-73B8-499A-AAFD-9EFF1210A36B}" srcOrd="1" destOrd="0" presId="urn:microsoft.com/office/officeart/2005/8/layout/process2"/>
    <dgm:cxn modelId="{9ED8C44C-0AAA-4E23-AC13-3C798FBEBCDF}" type="presOf" srcId="{29EE1A7E-20F4-4CFE-8E90-C74DE0666B27}" destId="{581FD64C-D699-48EA-9C9E-2F2A0FF8D48F}" srcOrd="0" destOrd="0" presId="urn:microsoft.com/office/officeart/2005/8/layout/process2"/>
    <dgm:cxn modelId="{90AE9374-E8BF-4729-90E5-DEC17A7C77DF}" type="presOf" srcId="{6F0C4432-476B-4E9A-8ED1-FE353694D2DC}" destId="{DDAFA5D0-53BC-4A2D-AB63-E53D98001EE0}" srcOrd="0" destOrd="0" presId="urn:microsoft.com/office/officeart/2005/8/layout/process2"/>
    <dgm:cxn modelId="{AFC79683-71DC-4829-A70F-79021951A96B}" srcId="{604A07B0-AA2C-493A-B56C-E889D4FC4671}" destId="{3F33FD76-72F6-4374-B091-48228619B9AD}" srcOrd="2" destOrd="0" parTransId="{077D2B39-2BF5-430A-8C10-A7FDFCF9F336}" sibTransId="{29EE1A7E-20F4-4CFE-8E90-C74DE0666B27}"/>
    <dgm:cxn modelId="{E7341A8D-1BA1-4E70-82D5-23AC313E7EE9}" type="presOf" srcId="{DABA9FA4-C3F8-4095-B93D-733CFB7CA5B5}" destId="{38CAB71F-AC79-4491-B2CB-A4D62601C2A1}" srcOrd="0" destOrd="0" presId="urn:microsoft.com/office/officeart/2005/8/layout/process2"/>
    <dgm:cxn modelId="{45F3DB8F-91DC-4454-BCCD-8E7F174915B1}" type="presOf" srcId="{3F33FD76-72F6-4374-B091-48228619B9AD}" destId="{5D731693-00B5-445A-88A8-7F80FE2BE47B}" srcOrd="0" destOrd="0" presId="urn:microsoft.com/office/officeart/2005/8/layout/process2"/>
    <dgm:cxn modelId="{83D2CC91-6C76-4170-993D-292DE6F97F16}" type="presOf" srcId="{36F512D1-BB72-4FC4-BE97-BF3D8508C507}" destId="{4FF013B1-6747-484D-9B8F-BA9C6F40D7C3}" srcOrd="0" destOrd="0" presId="urn:microsoft.com/office/officeart/2005/8/layout/process2"/>
    <dgm:cxn modelId="{0CBADABD-83AB-45F6-B85B-274E259E09CD}" type="presOf" srcId="{F5860E07-3B20-4276-B3DA-66AA13388884}" destId="{85E6D77B-7C74-4239-8FA2-D00273773C12}" srcOrd="0" destOrd="0" presId="urn:microsoft.com/office/officeart/2005/8/layout/process2"/>
    <dgm:cxn modelId="{E62E77CB-78B3-4B61-A0E7-A5B2AAEEEA57}" srcId="{604A07B0-AA2C-493A-B56C-E889D4FC4671}" destId="{F5860E07-3B20-4276-B3DA-66AA13388884}" srcOrd="0" destOrd="0" parTransId="{D2CFB4D4-F75D-4BD2-94AF-201E5835436C}" sibTransId="{DABA9FA4-C3F8-4095-B93D-733CFB7CA5B5}"/>
    <dgm:cxn modelId="{E76B89E1-80F0-4F05-9136-B6057B3D7116}" srcId="{604A07B0-AA2C-493A-B56C-E889D4FC4671}" destId="{6F0C4432-476B-4E9A-8ED1-FE353694D2DC}" srcOrd="1" destOrd="0" parTransId="{DA68DEEB-0828-4311-817C-061D79F4DA36}" sibTransId="{D92A76C6-98C6-46F8-86D8-7CC292A2EE24}"/>
    <dgm:cxn modelId="{A1D9A2F6-23B2-4326-996B-60B7AF2413E2}" srcId="{604A07B0-AA2C-493A-B56C-E889D4FC4671}" destId="{36F512D1-BB72-4FC4-BE97-BF3D8508C507}" srcOrd="3" destOrd="0" parTransId="{FD39786E-09C4-45FC-A08B-4C26F4960764}" sibTransId="{EC7B8A80-59F6-42D5-97FE-3E1799190AB2}"/>
    <dgm:cxn modelId="{E1D02CFC-DDA6-4292-896A-721F01B6B60D}" type="presOf" srcId="{604A07B0-AA2C-493A-B56C-E889D4FC4671}" destId="{C0CD8CCB-321D-4E09-8F8A-61B77F7DEE86}" srcOrd="0" destOrd="0" presId="urn:microsoft.com/office/officeart/2005/8/layout/process2"/>
    <dgm:cxn modelId="{56064022-9CEF-41A5-A7AD-C1D44841EDF1}" type="presParOf" srcId="{C0CD8CCB-321D-4E09-8F8A-61B77F7DEE86}" destId="{85E6D77B-7C74-4239-8FA2-D00273773C12}" srcOrd="0" destOrd="0" presId="urn:microsoft.com/office/officeart/2005/8/layout/process2"/>
    <dgm:cxn modelId="{0840847E-E036-4177-B88B-FA946D6C45F7}" type="presParOf" srcId="{C0CD8CCB-321D-4E09-8F8A-61B77F7DEE86}" destId="{38CAB71F-AC79-4491-B2CB-A4D62601C2A1}" srcOrd="1" destOrd="0" presId="urn:microsoft.com/office/officeart/2005/8/layout/process2"/>
    <dgm:cxn modelId="{6482A94F-BAD9-4727-9171-C089D68DDB09}" type="presParOf" srcId="{38CAB71F-AC79-4491-B2CB-A4D62601C2A1}" destId="{B65176FE-73B8-499A-AAFD-9EFF1210A36B}" srcOrd="0" destOrd="0" presId="urn:microsoft.com/office/officeart/2005/8/layout/process2"/>
    <dgm:cxn modelId="{BA95F5DD-D818-4B07-90AC-F0B276A1AFBC}" type="presParOf" srcId="{C0CD8CCB-321D-4E09-8F8A-61B77F7DEE86}" destId="{DDAFA5D0-53BC-4A2D-AB63-E53D98001EE0}" srcOrd="2" destOrd="0" presId="urn:microsoft.com/office/officeart/2005/8/layout/process2"/>
    <dgm:cxn modelId="{C8FFBE15-D6FD-4212-873D-A81DA2EFF233}" type="presParOf" srcId="{C0CD8CCB-321D-4E09-8F8A-61B77F7DEE86}" destId="{FCE4CE10-C7E2-49DF-9AEA-38F0DB74C427}" srcOrd="3" destOrd="0" presId="urn:microsoft.com/office/officeart/2005/8/layout/process2"/>
    <dgm:cxn modelId="{3A9B3631-0039-4C5B-9480-21164991FFBB}" type="presParOf" srcId="{FCE4CE10-C7E2-49DF-9AEA-38F0DB74C427}" destId="{6921F46E-4FAC-4B74-824E-378F7512A3A6}" srcOrd="0" destOrd="0" presId="urn:microsoft.com/office/officeart/2005/8/layout/process2"/>
    <dgm:cxn modelId="{4DAD2557-2E37-410D-869C-A2AC1B0858FD}" type="presParOf" srcId="{C0CD8CCB-321D-4E09-8F8A-61B77F7DEE86}" destId="{5D731693-00B5-445A-88A8-7F80FE2BE47B}" srcOrd="4" destOrd="0" presId="urn:microsoft.com/office/officeart/2005/8/layout/process2"/>
    <dgm:cxn modelId="{20112ADE-75A8-4B15-8481-6B729C6BB711}" type="presParOf" srcId="{C0CD8CCB-321D-4E09-8F8A-61B77F7DEE86}" destId="{581FD64C-D699-48EA-9C9E-2F2A0FF8D48F}" srcOrd="5" destOrd="0" presId="urn:microsoft.com/office/officeart/2005/8/layout/process2"/>
    <dgm:cxn modelId="{1884D8FB-1DFC-4FBC-B84A-7EC777545E58}" type="presParOf" srcId="{581FD64C-D699-48EA-9C9E-2F2A0FF8D48F}" destId="{3459FA2C-C715-43F0-BA1E-49248C2297FB}" srcOrd="0" destOrd="0" presId="urn:microsoft.com/office/officeart/2005/8/layout/process2"/>
    <dgm:cxn modelId="{AD36AFDC-AB4C-4EF2-B350-55C63EFC67FB}" type="presParOf" srcId="{C0CD8CCB-321D-4E09-8F8A-61B77F7DEE86}" destId="{4FF013B1-6747-484D-9B8F-BA9C6F40D7C3}" srcOrd="6"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E6D77B-7C74-4239-8FA2-D00273773C12}">
      <dsp:nvSpPr>
        <dsp:cNvPr id="0" name=""/>
        <dsp:cNvSpPr/>
      </dsp:nvSpPr>
      <dsp:spPr>
        <a:xfrm>
          <a:off x="655232" y="4316"/>
          <a:ext cx="4061634" cy="629083"/>
        </a:xfrm>
        <a:prstGeom prst="roundRect">
          <a:avLst>
            <a:gd name="adj" fmla="val 10000"/>
          </a:avLst>
        </a:prstGeom>
        <a:solidFill>
          <a:schemeClr val="accent3">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b="1" kern="1200">
              <a:latin typeface="Cambria" panose="02040503050406030204" pitchFamily="18" charset="0"/>
              <a:ea typeface="Cambria" panose="02040503050406030204" pitchFamily="18" charset="0"/>
            </a:rPr>
            <a:t>A.  Novērtē GES mērķu izpildi (neņemot vērā elastības)</a:t>
          </a:r>
        </a:p>
        <a:p>
          <a:pPr marL="0" lvl="0" indent="0" algn="ctr" defTabSz="533400">
            <a:lnSpc>
              <a:spcPct val="90000"/>
            </a:lnSpc>
            <a:spcBef>
              <a:spcPct val="0"/>
            </a:spcBef>
            <a:spcAft>
              <a:spcPct val="35000"/>
            </a:spcAft>
            <a:buNone/>
          </a:pPr>
          <a:r>
            <a:rPr lang="lv-LV" sz="1000" kern="1200">
              <a:latin typeface="Cambria" panose="02040503050406030204" pitchFamily="18" charset="0"/>
              <a:ea typeface="Cambria" panose="02040503050406030204" pitchFamily="18" charset="0"/>
            </a:rPr>
            <a:t>2021.-2030.g. katram gadam ne-ETS emisijas tiek atskaitītas no GES daudzuma </a:t>
          </a:r>
          <a:br>
            <a:rPr lang="lv-LV" sz="1000" kern="1200">
              <a:latin typeface="Cambria" panose="02040503050406030204" pitchFamily="18" charset="0"/>
              <a:ea typeface="Cambria" panose="02040503050406030204" pitchFamily="18" charset="0"/>
            </a:rPr>
          </a:br>
          <a:r>
            <a:rPr lang="lv-LV" sz="1000" kern="1200">
              <a:latin typeface="Cambria" panose="02040503050406030204" pitchFamily="18" charset="0"/>
              <a:ea typeface="Cambria" panose="02040503050406030204" pitchFamily="18" charset="0"/>
            </a:rPr>
            <a:t>(negatīvs rezultāts apzīmē iztrūkumu jeb neizpildi)</a:t>
          </a:r>
        </a:p>
      </dsp:txBody>
      <dsp:txXfrm>
        <a:off x="673657" y="22741"/>
        <a:ext cx="4024784" cy="592233"/>
      </dsp:txXfrm>
    </dsp:sp>
    <dsp:sp modelId="{38CAB71F-AC79-4491-B2CB-A4D62601C2A1}">
      <dsp:nvSpPr>
        <dsp:cNvPr id="0" name=""/>
        <dsp:cNvSpPr/>
      </dsp:nvSpPr>
      <dsp:spPr>
        <a:xfrm rot="6134025" flipH="1" flipV="1">
          <a:off x="2680556" y="666462"/>
          <a:ext cx="10987" cy="24840"/>
        </a:xfrm>
        <a:prstGeom prs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lv-LV" sz="500" kern="1200">
            <a:solidFill>
              <a:sysClr val="windowText" lastClr="000000"/>
            </a:solidFill>
          </a:endParaRPr>
        </a:p>
      </dsp:txBody>
      <dsp:txXfrm rot="-5400000">
        <a:off x="2678249" y="676647"/>
        <a:ext cx="14904" cy="7691"/>
      </dsp:txXfrm>
    </dsp:sp>
    <dsp:sp modelId="{DDAFA5D0-53BC-4A2D-AB63-E53D98001EE0}">
      <dsp:nvSpPr>
        <dsp:cNvPr id="0" name=""/>
        <dsp:cNvSpPr/>
      </dsp:nvSpPr>
      <dsp:spPr>
        <a:xfrm>
          <a:off x="664670" y="724365"/>
          <a:ext cx="4042759" cy="1171666"/>
        </a:xfrm>
        <a:prstGeom prst="roundRect">
          <a:avLst>
            <a:gd name="adj" fmla="val 10000"/>
          </a:avLst>
        </a:prstGeom>
        <a:solidFill>
          <a:schemeClr val="accent3">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b="1" kern="1200">
              <a:latin typeface="Cambria" panose="02040503050406030204" pitchFamily="18" charset="0"/>
              <a:ea typeface="Cambria" panose="02040503050406030204" pitchFamily="18" charset="0"/>
            </a:rPr>
            <a:t>B. Nosaka, cik lielā mērā (paredzētās) elastības var segt neizpildi, kas noteikta saskaņā ar A.</a:t>
          </a:r>
        </a:p>
        <a:p>
          <a:pPr marL="0" lvl="0" indent="0" algn="ctr" defTabSz="533400">
            <a:lnSpc>
              <a:spcPct val="90000"/>
            </a:lnSpc>
            <a:spcBef>
              <a:spcPct val="0"/>
            </a:spcBef>
            <a:spcAft>
              <a:spcPct val="35000"/>
            </a:spcAft>
            <a:buNone/>
          </a:pPr>
          <a:r>
            <a:rPr lang="lv-LV" sz="1000" kern="1200">
              <a:latin typeface="Cambria" panose="02040503050406030204" pitchFamily="18" charset="0"/>
              <a:ea typeface="Cambria" panose="02040503050406030204" pitchFamily="18" charset="0"/>
            </a:rPr>
            <a:t>Uzkrāšana, aizņemšanās elastība ir atkarīga tikai no dalībvalstu izvēlēm, turpretim ZIZIMM elastības pieejamība un GES  pirkšana/pārdošana atkarīga no ZIZIMM izpildes un GES pieejamības no citām dalībvalstīm.</a:t>
          </a:r>
        </a:p>
        <a:p>
          <a:pPr marL="0" lvl="0" indent="0" algn="ctr" defTabSz="533400">
            <a:lnSpc>
              <a:spcPct val="90000"/>
            </a:lnSpc>
            <a:spcBef>
              <a:spcPct val="0"/>
            </a:spcBef>
            <a:spcAft>
              <a:spcPct val="35000"/>
            </a:spcAft>
            <a:buNone/>
          </a:pPr>
          <a:endParaRPr lang="lv-LV" sz="1200" kern="1200"/>
        </a:p>
      </dsp:txBody>
      <dsp:txXfrm>
        <a:off x="698987" y="758682"/>
        <a:ext cx="3974125" cy="1103032"/>
      </dsp:txXfrm>
    </dsp:sp>
    <dsp:sp modelId="{FCE4CE10-C7E2-49DF-9AEA-38F0DB74C427}">
      <dsp:nvSpPr>
        <dsp:cNvPr id="0" name=""/>
        <dsp:cNvSpPr/>
      </dsp:nvSpPr>
      <dsp:spPr>
        <a:xfrm rot="5178715">
          <a:off x="2590501" y="1792219"/>
          <a:ext cx="271680" cy="286142"/>
        </a:xfrm>
        <a:prstGeom prs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lv-LV" sz="1300" kern="1200"/>
        </a:p>
      </dsp:txBody>
      <dsp:txXfrm rot="-5400000">
        <a:off x="2637877" y="1799534"/>
        <a:ext cx="171686" cy="190176"/>
      </dsp:txXfrm>
    </dsp:sp>
    <dsp:sp modelId="{5D731693-00B5-445A-88A8-7F80FE2BE47B}">
      <dsp:nvSpPr>
        <dsp:cNvPr id="0" name=""/>
        <dsp:cNvSpPr/>
      </dsp:nvSpPr>
      <dsp:spPr>
        <a:xfrm>
          <a:off x="1100055" y="1974549"/>
          <a:ext cx="3293406" cy="554956"/>
        </a:xfrm>
        <a:prstGeom prst="roundRect">
          <a:avLst>
            <a:gd name="adj" fmla="val 10000"/>
          </a:avLst>
        </a:prstGeom>
        <a:solidFill>
          <a:schemeClr val="accent3">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b="1" kern="1200"/>
            <a:t> </a:t>
          </a:r>
          <a:r>
            <a:rPr lang="lv-LV" sz="1200" b="1" kern="1200">
              <a:latin typeface="Cambria" panose="02040503050406030204" pitchFamily="18" charset="0"/>
              <a:ea typeface="Cambria" panose="02040503050406030204" pitchFamily="18" charset="0"/>
            </a:rPr>
            <a:t>Katra gadījuma novērtējums</a:t>
          </a:r>
        </a:p>
        <a:p>
          <a:pPr marL="0" lvl="0" indent="0" algn="ctr" defTabSz="533400">
            <a:lnSpc>
              <a:spcPct val="90000"/>
            </a:lnSpc>
            <a:spcBef>
              <a:spcPct val="0"/>
            </a:spcBef>
            <a:spcAft>
              <a:spcPct val="35000"/>
            </a:spcAft>
            <a:buNone/>
          </a:pPr>
          <a:r>
            <a:rPr lang="lv-LV" sz="1000" kern="1200">
              <a:latin typeface="Cambria" panose="02040503050406030204" pitchFamily="18" charset="0"/>
              <a:ea typeface="Cambria" panose="02040503050406030204" pitchFamily="18" charset="0"/>
            </a:rPr>
            <a:t>Nosaka iztrūkumu un elastību pieejamību, kā arī jebkādu ietekmi no pārskaitījumiem uz ZIZIMM</a:t>
          </a:r>
          <a:endParaRPr lang="lv-LV" sz="800" kern="1200">
            <a:latin typeface="Cambria" panose="02040503050406030204" pitchFamily="18" charset="0"/>
            <a:ea typeface="Cambria" panose="02040503050406030204" pitchFamily="18" charset="0"/>
          </a:endParaRPr>
        </a:p>
      </dsp:txBody>
      <dsp:txXfrm>
        <a:off x="1116309" y="1990803"/>
        <a:ext cx="3260898" cy="522448"/>
      </dsp:txXfrm>
    </dsp:sp>
    <dsp:sp modelId="{581FD64C-D699-48EA-9C9E-2F2A0FF8D48F}">
      <dsp:nvSpPr>
        <dsp:cNvPr id="0" name=""/>
        <dsp:cNvSpPr/>
      </dsp:nvSpPr>
      <dsp:spPr>
        <a:xfrm rot="5273271">
          <a:off x="2677386" y="1782801"/>
          <a:ext cx="192280" cy="340419"/>
        </a:xfrm>
        <a:prstGeom prst="rightArrow">
          <a:avLst>
            <a:gd name="adj1" fmla="val 60000"/>
            <a:gd name="adj2" fmla="val 50000"/>
          </a:avLst>
        </a:prstGeom>
        <a:solidFill>
          <a:schemeClr val="accent3">
            <a:shade val="90000"/>
            <a:hueOff val="-267820"/>
            <a:satOff val="-53691"/>
            <a:lumOff val="5148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lv-LV" sz="900" kern="1200">
            <a:solidFill>
              <a:sysClr val="windowText" lastClr="000000"/>
            </a:solidFill>
          </a:endParaRPr>
        </a:p>
      </dsp:txBody>
      <dsp:txXfrm rot="-5400000">
        <a:off x="2670338" y="1856890"/>
        <a:ext cx="204251" cy="134596"/>
      </dsp:txXfrm>
    </dsp:sp>
    <dsp:sp modelId="{4FF013B1-6747-484D-9B8F-BA9C6F40D7C3}">
      <dsp:nvSpPr>
        <dsp:cNvPr id="0" name=""/>
        <dsp:cNvSpPr/>
      </dsp:nvSpPr>
      <dsp:spPr>
        <a:xfrm>
          <a:off x="724221" y="2673806"/>
          <a:ext cx="3918861" cy="623634"/>
        </a:xfrm>
        <a:prstGeom prst="roundRect">
          <a:avLst>
            <a:gd name="adj" fmla="val 10000"/>
          </a:avLst>
        </a:prstGeom>
        <a:solidFill>
          <a:schemeClr val="accent3">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b="1" kern="1200">
              <a:latin typeface="Cambria" panose="02040503050406030204" pitchFamily="18" charset="0"/>
              <a:ea typeface="Cambria" panose="02040503050406030204" pitchFamily="18" charset="0"/>
            </a:rPr>
            <a:t>C. Novērtē ZIZIMM mērķu izpildi</a:t>
          </a:r>
        </a:p>
        <a:p>
          <a:pPr marL="0" lvl="0" indent="0" algn="ctr" defTabSz="533400">
            <a:lnSpc>
              <a:spcPct val="90000"/>
            </a:lnSpc>
            <a:spcBef>
              <a:spcPct val="0"/>
            </a:spcBef>
            <a:spcAft>
              <a:spcPct val="35000"/>
            </a:spcAft>
            <a:buNone/>
          </a:pPr>
          <a:r>
            <a:rPr lang="lv-LV" sz="1000" kern="1200">
              <a:latin typeface="Cambria" panose="02040503050406030204" pitchFamily="18" charset="0"/>
              <a:ea typeface="Cambria" panose="02040503050406030204" pitchFamily="18" charset="0"/>
            </a:rPr>
            <a:t>Iztrūkums automātiski tiek pārskaitīts uz  ne-ETS 2021.-2025. periodā un 2026.-2030.g.  periodā dalībvalsts var nolemt, vai ar GES  nosegt ZIZIMM iztrūkumu </a:t>
          </a:r>
        </a:p>
      </dsp:txBody>
      <dsp:txXfrm>
        <a:off x="742487" y="2692072"/>
        <a:ext cx="3882329" cy="58710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99FA4-2A0F-4DA7-A370-BDC5BAEA8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38</Pages>
  <Words>10340</Words>
  <Characters>60701</Characters>
  <Application>Microsoft Office Word</Application>
  <DocSecurity>0</DocSecurity>
  <Lines>1167</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70545</CharactersWithSpaces>
  <SharedDoc>false</SharedDoc>
  <HLinks>
    <vt:vector size="396" baseType="variant">
      <vt:variant>
        <vt:i4>3407913</vt:i4>
      </vt:variant>
      <vt:variant>
        <vt:i4>111</vt:i4>
      </vt:variant>
      <vt:variant>
        <vt:i4>0</vt:i4>
      </vt:variant>
      <vt:variant>
        <vt:i4>5</vt:i4>
      </vt:variant>
      <vt:variant>
        <vt:lpwstr>https://likumi.lv/ta/id/353615-aktualizetais-nacionalais-energetikas-un-klimata-plans-20212030-gadam</vt:lpwstr>
      </vt:variant>
      <vt:variant>
        <vt:lpwstr>p2</vt:lpwstr>
      </vt:variant>
      <vt:variant>
        <vt:i4>1507376</vt:i4>
      </vt:variant>
      <vt:variant>
        <vt:i4>104</vt:i4>
      </vt:variant>
      <vt:variant>
        <vt:i4>0</vt:i4>
      </vt:variant>
      <vt:variant>
        <vt:i4>5</vt:i4>
      </vt:variant>
      <vt:variant>
        <vt:lpwstr/>
      </vt:variant>
      <vt:variant>
        <vt:lpwstr>_Toc190952428</vt:lpwstr>
      </vt:variant>
      <vt:variant>
        <vt:i4>1507376</vt:i4>
      </vt:variant>
      <vt:variant>
        <vt:i4>98</vt:i4>
      </vt:variant>
      <vt:variant>
        <vt:i4>0</vt:i4>
      </vt:variant>
      <vt:variant>
        <vt:i4>5</vt:i4>
      </vt:variant>
      <vt:variant>
        <vt:lpwstr/>
      </vt:variant>
      <vt:variant>
        <vt:lpwstr>_Toc190952427</vt:lpwstr>
      </vt:variant>
      <vt:variant>
        <vt:i4>1507376</vt:i4>
      </vt:variant>
      <vt:variant>
        <vt:i4>92</vt:i4>
      </vt:variant>
      <vt:variant>
        <vt:i4>0</vt:i4>
      </vt:variant>
      <vt:variant>
        <vt:i4>5</vt:i4>
      </vt:variant>
      <vt:variant>
        <vt:lpwstr/>
      </vt:variant>
      <vt:variant>
        <vt:lpwstr>_Toc190952426</vt:lpwstr>
      </vt:variant>
      <vt:variant>
        <vt:i4>1507376</vt:i4>
      </vt:variant>
      <vt:variant>
        <vt:i4>86</vt:i4>
      </vt:variant>
      <vt:variant>
        <vt:i4>0</vt:i4>
      </vt:variant>
      <vt:variant>
        <vt:i4>5</vt:i4>
      </vt:variant>
      <vt:variant>
        <vt:lpwstr/>
      </vt:variant>
      <vt:variant>
        <vt:lpwstr>_Toc190952425</vt:lpwstr>
      </vt:variant>
      <vt:variant>
        <vt:i4>1507376</vt:i4>
      </vt:variant>
      <vt:variant>
        <vt:i4>80</vt:i4>
      </vt:variant>
      <vt:variant>
        <vt:i4>0</vt:i4>
      </vt:variant>
      <vt:variant>
        <vt:i4>5</vt:i4>
      </vt:variant>
      <vt:variant>
        <vt:lpwstr/>
      </vt:variant>
      <vt:variant>
        <vt:lpwstr>_Toc190952424</vt:lpwstr>
      </vt:variant>
      <vt:variant>
        <vt:i4>1507376</vt:i4>
      </vt:variant>
      <vt:variant>
        <vt:i4>74</vt:i4>
      </vt:variant>
      <vt:variant>
        <vt:i4>0</vt:i4>
      </vt:variant>
      <vt:variant>
        <vt:i4>5</vt:i4>
      </vt:variant>
      <vt:variant>
        <vt:lpwstr/>
      </vt:variant>
      <vt:variant>
        <vt:lpwstr>_Toc190952423</vt:lpwstr>
      </vt:variant>
      <vt:variant>
        <vt:i4>1507376</vt:i4>
      </vt:variant>
      <vt:variant>
        <vt:i4>68</vt:i4>
      </vt:variant>
      <vt:variant>
        <vt:i4>0</vt:i4>
      </vt:variant>
      <vt:variant>
        <vt:i4>5</vt:i4>
      </vt:variant>
      <vt:variant>
        <vt:lpwstr/>
      </vt:variant>
      <vt:variant>
        <vt:lpwstr>_Toc190952422</vt:lpwstr>
      </vt:variant>
      <vt:variant>
        <vt:i4>1507376</vt:i4>
      </vt:variant>
      <vt:variant>
        <vt:i4>62</vt:i4>
      </vt:variant>
      <vt:variant>
        <vt:i4>0</vt:i4>
      </vt:variant>
      <vt:variant>
        <vt:i4>5</vt:i4>
      </vt:variant>
      <vt:variant>
        <vt:lpwstr/>
      </vt:variant>
      <vt:variant>
        <vt:lpwstr>_Toc190952421</vt:lpwstr>
      </vt:variant>
      <vt:variant>
        <vt:i4>1507376</vt:i4>
      </vt:variant>
      <vt:variant>
        <vt:i4>56</vt:i4>
      </vt:variant>
      <vt:variant>
        <vt:i4>0</vt:i4>
      </vt:variant>
      <vt:variant>
        <vt:i4>5</vt:i4>
      </vt:variant>
      <vt:variant>
        <vt:lpwstr/>
      </vt:variant>
      <vt:variant>
        <vt:lpwstr>_Toc190952420</vt:lpwstr>
      </vt:variant>
      <vt:variant>
        <vt:i4>1310768</vt:i4>
      </vt:variant>
      <vt:variant>
        <vt:i4>50</vt:i4>
      </vt:variant>
      <vt:variant>
        <vt:i4>0</vt:i4>
      </vt:variant>
      <vt:variant>
        <vt:i4>5</vt:i4>
      </vt:variant>
      <vt:variant>
        <vt:lpwstr/>
      </vt:variant>
      <vt:variant>
        <vt:lpwstr>_Toc190952419</vt:lpwstr>
      </vt:variant>
      <vt:variant>
        <vt:i4>1310768</vt:i4>
      </vt:variant>
      <vt:variant>
        <vt:i4>44</vt:i4>
      </vt:variant>
      <vt:variant>
        <vt:i4>0</vt:i4>
      </vt:variant>
      <vt:variant>
        <vt:i4>5</vt:i4>
      </vt:variant>
      <vt:variant>
        <vt:lpwstr/>
      </vt:variant>
      <vt:variant>
        <vt:lpwstr>_Toc190952418</vt:lpwstr>
      </vt:variant>
      <vt:variant>
        <vt:i4>1310768</vt:i4>
      </vt:variant>
      <vt:variant>
        <vt:i4>38</vt:i4>
      </vt:variant>
      <vt:variant>
        <vt:i4>0</vt:i4>
      </vt:variant>
      <vt:variant>
        <vt:i4>5</vt:i4>
      </vt:variant>
      <vt:variant>
        <vt:lpwstr/>
      </vt:variant>
      <vt:variant>
        <vt:lpwstr>_Toc190952417</vt:lpwstr>
      </vt:variant>
      <vt:variant>
        <vt:i4>1310768</vt:i4>
      </vt:variant>
      <vt:variant>
        <vt:i4>32</vt:i4>
      </vt:variant>
      <vt:variant>
        <vt:i4>0</vt:i4>
      </vt:variant>
      <vt:variant>
        <vt:i4>5</vt:i4>
      </vt:variant>
      <vt:variant>
        <vt:lpwstr/>
      </vt:variant>
      <vt:variant>
        <vt:lpwstr>_Toc190952416</vt:lpwstr>
      </vt:variant>
      <vt:variant>
        <vt:i4>1310768</vt:i4>
      </vt:variant>
      <vt:variant>
        <vt:i4>26</vt:i4>
      </vt:variant>
      <vt:variant>
        <vt:i4>0</vt:i4>
      </vt:variant>
      <vt:variant>
        <vt:i4>5</vt:i4>
      </vt:variant>
      <vt:variant>
        <vt:lpwstr/>
      </vt:variant>
      <vt:variant>
        <vt:lpwstr>_Toc190952415</vt:lpwstr>
      </vt:variant>
      <vt:variant>
        <vt:i4>1310768</vt:i4>
      </vt:variant>
      <vt:variant>
        <vt:i4>20</vt:i4>
      </vt:variant>
      <vt:variant>
        <vt:i4>0</vt:i4>
      </vt:variant>
      <vt:variant>
        <vt:i4>5</vt:i4>
      </vt:variant>
      <vt:variant>
        <vt:lpwstr/>
      </vt:variant>
      <vt:variant>
        <vt:lpwstr>_Toc190952414</vt:lpwstr>
      </vt:variant>
      <vt:variant>
        <vt:i4>1310768</vt:i4>
      </vt:variant>
      <vt:variant>
        <vt:i4>14</vt:i4>
      </vt:variant>
      <vt:variant>
        <vt:i4>0</vt:i4>
      </vt:variant>
      <vt:variant>
        <vt:i4>5</vt:i4>
      </vt:variant>
      <vt:variant>
        <vt:lpwstr/>
      </vt:variant>
      <vt:variant>
        <vt:lpwstr>_Toc190952413</vt:lpwstr>
      </vt:variant>
      <vt:variant>
        <vt:i4>1310768</vt:i4>
      </vt:variant>
      <vt:variant>
        <vt:i4>8</vt:i4>
      </vt:variant>
      <vt:variant>
        <vt:i4>0</vt:i4>
      </vt:variant>
      <vt:variant>
        <vt:i4>5</vt:i4>
      </vt:variant>
      <vt:variant>
        <vt:lpwstr/>
      </vt:variant>
      <vt:variant>
        <vt:lpwstr>_Toc190952412</vt:lpwstr>
      </vt:variant>
      <vt:variant>
        <vt:i4>1310768</vt:i4>
      </vt:variant>
      <vt:variant>
        <vt:i4>2</vt:i4>
      </vt:variant>
      <vt:variant>
        <vt:i4>0</vt:i4>
      </vt:variant>
      <vt:variant>
        <vt:i4>5</vt:i4>
      </vt:variant>
      <vt:variant>
        <vt:lpwstr/>
      </vt:variant>
      <vt:variant>
        <vt:lpwstr>_Toc190952411</vt:lpwstr>
      </vt:variant>
      <vt:variant>
        <vt:i4>6225969</vt:i4>
      </vt:variant>
      <vt:variant>
        <vt:i4>141</vt:i4>
      </vt:variant>
      <vt:variant>
        <vt:i4>0</vt:i4>
      </vt:variant>
      <vt:variant>
        <vt:i4>5</vt:i4>
      </vt:variant>
      <vt:variant>
        <vt:lpwstr>https://climate.ec.europa.eu/document/download/d0671350-37f2-4bc4-88e8-088d0508fb03_en</vt:lpwstr>
      </vt:variant>
      <vt:variant>
        <vt:lpwstr/>
      </vt:variant>
      <vt:variant>
        <vt:i4>1769537</vt:i4>
      </vt:variant>
      <vt:variant>
        <vt:i4>138</vt:i4>
      </vt:variant>
      <vt:variant>
        <vt:i4>0</vt:i4>
      </vt:variant>
      <vt:variant>
        <vt:i4>5</vt:i4>
      </vt:variant>
      <vt:variant>
        <vt:lpwstr>https://www.eea.europa.eu/en/analysis/publications/trends-and-projections-in-europe-2024</vt:lpwstr>
      </vt:variant>
      <vt:variant>
        <vt:lpwstr/>
      </vt:variant>
      <vt:variant>
        <vt:i4>6225969</vt:i4>
      </vt:variant>
      <vt:variant>
        <vt:i4>135</vt:i4>
      </vt:variant>
      <vt:variant>
        <vt:i4>0</vt:i4>
      </vt:variant>
      <vt:variant>
        <vt:i4>5</vt:i4>
      </vt:variant>
      <vt:variant>
        <vt:lpwstr>https://climate.ec.europa.eu/document/download/d0671350-37f2-4bc4-88e8-088d0508fb03_en</vt:lpwstr>
      </vt:variant>
      <vt:variant>
        <vt:lpwstr/>
      </vt:variant>
      <vt:variant>
        <vt:i4>393305</vt:i4>
      </vt:variant>
      <vt:variant>
        <vt:i4>132</vt:i4>
      </vt:variant>
      <vt:variant>
        <vt:i4>0</vt:i4>
      </vt:variant>
      <vt:variant>
        <vt:i4>5</vt:i4>
      </vt:variant>
      <vt:variant>
        <vt:lpwstr>https://likumi.lv/ta/id/353615-aktualizetais-nacionalais-energetikas-un-klimata-plans-20212030-gadam</vt:lpwstr>
      </vt:variant>
      <vt:variant>
        <vt:lpwstr/>
      </vt:variant>
      <vt:variant>
        <vt:i4>1572894</vt:i4>
      </vt:variant>
      <vt:variant>
        <vt:i4>129</vt:i4>
      </vt:variant>
      <vt:variant>
        <vt:i4>0</vt:i4>
      </vt:variant>
      <vt:variant>
        <vt:i4>5</vt:i4>
      </vt:variant>
      <vt:variant>
        <vt:lpwstr>https://reportnet.europa.eu/public/country/LV</vt:lpwstr>
      </vt:variant>
      <vt:variant>
        <vt:lpwstr/>
      </vt:variant>
      <vt:variant>
        <vt:i4>3539055</vt:i4>
      </vt:variant>
      <vt:variant>
        <vt:i4>126</vt:i4>
      </vt:variant>
      <vt:variant>
        <vt:i4>0</vt:i4>
      </vt:variant>
      <vt:variant>
        <vt:i4>5</vt:i4>
      </vt:variant>
      <vt:variant>
        <vt:lpwstr>https://reportnet.europa.eu/public/country/LV2024.gada</vt:lpwstr>
      </vt:variant>
      <vt:variant>
        <vt:lpwstr/>
      </vt:variant>
      <vt:variant>
        <vt:i4>3473488</vt:i4>
      </vt:variant>
      <vt:variant>
        <vt:i4>123</vt:i4>
      </vt:variant>
      <vt:variant>
        <vt:i4>0</vt:i4>
      </vt:variant>
      <vt:variant>
        <vt:i4>5</vt:i4>
      </vt:variant>
      <vt:variant>
        <vt:lpwstr>https://eur-lex.europa.eu/legal-content/LV/TXT/HTML/?uri=CELEX:32023D1319</vt:lpwstr>
      </vt:variant>
      <vt:variant>
        <vt:lpwstr>ntr3-L_2023163LV.01000901-E0003</vt:lpwstr>
      </vt:variant>
      <vt:variant>
        <vt:i4>786541</vt:i4>
      </vt:variant>
      <vt:variant>
        <vt:i4>120</vt:i4>
      </vt:variant>
      <vt:variant>
        <vt:i4>0</vt:i4>
      </vt:variant>
      <vt:variant>
        <vt:i4>5</vt:i4>
      </vt:variant>
      <vt:variant>
        <vt:lpwstr>https://eur-lex.europa.eu/eli/dec_impl/2020/2126/oj</vt:lpwstr>
      </vt:variant>
      <vt:variant>
        <vt:lpwstr/>
      </vt:variant>
      <vt:variant>
        <vt:i4>3539068</vt:i4>
      </vt:variant>
      <vt:variant>
        <vt:i4>117</vt:i4>
      </vt:variant>
      <vt:variant>
        <vt:i4>0</vt:i4>
      </vt:variant>
      <vt:variant>
        <vt:i4>5</vt:i4>
      </vt:variant>
      <vt:variant>
        <vt:lpwstr>https://eur-lex.europa.eu/eli/reg/2023/857</vt:lpwstr>
      </vt:variant>
      <vt:variant>
        <vt:lpwstr/>
      </vt:variant>
      <vt:variant>
        <vt:i4>1572894</vt:i4>
      </vt:variant>
      <vt:variant>
        <vt:i4>114</vt:i4>
      </vt:variant>
      <vt:variant>
        <vt:i4>0</vt:i4>
      </vt:variant>
      <vt:variant>
        <vt:i4>5</vt:i4>
      </vt:variant>
      <vt:variant>
        <vt:lpwstr>https://reportnet.europa.eu/public/country/LV</vt:lpwstr>
      </vt:variant>
      <vt:variant>
        <vt:lpwstr/>
      </vt:variant>
      <vt:variant>
        <vt:i4>6160477</vt:i4>
      </vt:variant>
      <vt:variant>
        <vt:i4>111</vt:i4>
      </vt:variant>
      <vt:variant>
        <vt:i4>0</vt:i4>
      </vt:variant>
      <vt:variant>
        <vt:i4>5</vt:i4>
      </vt:variant>
      <vt:variant>
        <vt:lpwstr>https://reportnet.europa.eu/public/dataflow/1057</vt:lpwstr>
      </vt:variant>
      <vt:variant>
        <vt:lpwstr/>
      </vt:variant>
      <vt:variant>
        <vt:i4>8192063</vt:i4>
      </vt:variant>
      <vt:variant>
        <vt:i4>108</vt:i4>
      </vt:variant>
      <vt:variant>
        <vt:i4>0</vt:i4>
      </vt:variant>
      <vt:variant>
        <vt:i4>5</vt:i4>
      </vt:variant>
      <vt:variant>
        <vt:lpwstr>https://www.eea.europa.eu/publications/emep-eea-guidebook-2019</vt:lpwstr>
      </vt:variant>
      <vt:variant>
        <vt:lpwstr/>
      </vt:variant>
      <vt:variant>
        <vt:i4>7471167</vt:i4>
      </vt:variant>
      <vt:variant>
        <vt:i4>105</vt:i4>
      </vt:variant>
      <vt:variant>
        <vt:i4>0</vt:i4>
      </vt:variant>
      <vt:variant>
        <vt:i4>5</vt:i4>
      </vt:variant>
      <vt:variant>
        <vt:lpwstr>https://www.eea.europa.eu/publications/emep-eea-guidebook-2016</vt:lpwstr>
      </vt:variant>
      <vt:variant>
        <vt:lpwstr/>
      </vt:variant>
      <vt:variant>
        <vt:i4>3604528</vt:i4>
      </vt:variant>
      <vt:variant>
        <vt:i4>102</vt:i4>
      </vt:variant>
      <vt:variant>
        <vt:i4>0</vt:i4>
      </vt:variant>
      <vt:variant>
        <vt:i4>5</vt:i4>
      </vt:variant>
      <vt:variant>
        <vt:lpwstr>http://www.ipcc-nggip.iges.or.jp/public/2006gl/</vt:lpwstr>
      </vt:variant>
      <vt:variant>
        <vt:lpwstr/>
      </vt:variant>
      <vt:variant>
        <vt:i4>7536648</vt:i4>
      </vt:variant>
      <vt:variant>
        <vt:i4>99</vt:i4>
      </vt:variant>
      <vt:variant>
        <vt:i4>0</vt:i4>
      </vt:variant>
      <vt:variant>
        <vt:i4>5</vt:i4>
      </vt:variant>
      <vt:variant>
        <vt:lpwstr>https://unfccc.int/sites/default/files/resource/CMA2021_L10a2E.pdf</vt:lpwstr>
      </vt:variant>
      <vt:variant>
        <vt:lpwstr>page=2</vt:lpwstr>
      </vt:variant>
      <vt:variant>
        <vt:i4>1376294</vt:i4>
      </vt:variant>
      <vt:variant>
        <vt:i4>96</vt:i4>
      </vt:variant>
      <vt:variant>
        <vt:i4>0</vt:i4>
      </vt:variant>
      <vt:variant>
        <vt:i4>5</vt:i4>
      </vt:variant>
      <vt:variant>
        <vt:lpwstr>https://unfccc.int/sites/default/files/resource/CMA2018_03a02E.pdf</vt:lpwstr>
      </vt:variant>
      <vt:variant>
        <vt:lpwstr/>
      </vt:variant>
      <vt:variant>
        <vt:i4>1179676</vt:i4>
      </vt:variant>
      <vt:variant>
        <vt:i4>93</vt:i4>
      </vt:variant>
      <vt:variant>
        <vt:i4>0</vt:i4>
      </vt:variant>
      <vt:variant>
        <vt:i4>5</vt:i4>
      </vt:variant>
      <vt:variant>
        <vt:lpwstr>https://likumi.lv/ta/id/308330-par-latvijas-pielagosanas-klimata-parmainam-planu-laika-posmam-lidz-2030-gadam</vt:lpwstr>
      </vt:variant>
      <vt:variant>
        <vt:lpwstr/>
      </vt:variant>
      <vt:variant>
        <vt:i4>2490413</vt:i4>
      </vt:variant>
      <vt:variant>
        <vt:i4>90</vt:i4>
      </vt:variant>
      <vt:variant>
        <vt:i4>0</vt:i4>
      </vt:variant>
      <vt:variant>
        <vt:i4>5</vt:i4>
      </vt:variant>
      <vt:variant>
        <vt:lpwstr>https://klimats.meteo.lv/klimats_latvija/klimata_riks/</vt:lpwstr>
      </vt:variant>
      <vt:variant>
        <vt:lpwstr/>
      </vt:variant>
      <vt:variant>
        <vt:i4>1048599</vt:i4>
      </vt:variant>
      <vt:variant>
        <vt:i4>87</vt:i4>
      </vt:variant>
      <vt:variant>
        <vt:i4>0</vt:i4>
      </vt:variant>
      <vt:variant>
        <vt:i4>5</vt:i4>
      </vt:variant>
      <vt:variant>
        <vt:lpwstr>https://eur-lex.europa.eu/legal-content/LV/TXT/PDF/?uri=CELEX:02018R0842-20230516</vt:lpwstr>
      </vt:variant>
      <vt:variant>
        <vt:lpwstr/>
      </vt:variant>
      <vt:variant>
        <vt:i4>393266</vt:i4>
      </vt:variant>
      <vt:variant>
        <vt:i4>84</vt:i4>
      </vt:variant>
      <vt:variant>
        <vt:i4>0</vt:i4>
      </vt:variant>
      <vt:variant>
        <vt:i4>5</vt:i4>
      </vt:variant>
      <vt:variant>
        <vt:lpwstr>https://eur-lex.europa.eu/legal-content/EN/TXT/?uri=uriserv%3AOJ.L_.2023.107.01.0001.01.ENG&amp;toc=OJ%3AL%3A2023%3A107%3ATOC</vt:lpwstr>
      </vt:variant>
      <vt:variant>
        <vt:lpwstr/>
      </vt:variant>
      <vt:variant>
        <vt:i4>6488166</vt:i4>
      </vt:variant>
      <vt:variant>
        <vt:i4>81</vt:i4>
      </vt:variant>
      <vt:variant>
        <vt:i4>0</vt:i4>
      </vt:variant>
      <vt:variant>
        <vt:i4>5</vt:i4>
      </vt:variant>
      <vt:variant>
        <vt:lpwstr>https://eur-lex.europa.eu/legal-content/EN/TXT/?uri=CELEX%3A02018R0841-20230511</vt:lpwstr>
      </vt:variant>
      <vt:variant>
        <vt:lpwstr/>
      </vt:variant>
      <vt:variant>
        <vt:i4>7864431</vt:i4>
      </vt:variant>
      <vt:variant>
        <vt:i4>78</vt:i4>
      </vt:variant>
      <vt:variant>
        <vt:i4>0</vt:i4>
      </vt:variant>
      <vt:variant>
        <vt:i4>5</vt:i4>
      </vt:variant>
      <vt:variant>
        <vt:lpwstr>https://eur-lex.europa.eu/legal-content/LV/TXT/?uri=CELEX%3A02018R0842-20230516</vt:lpwstr>
      </vt:variant>
      <vt:variant>
        <vt:lpwstr/>
      </vt:variant>
      <vt:variant>
        <vt:i4>5636098</vt:i4>
      </vt:variant>
      <vt:variant>
        <vt:i4>75</vt:i4>
      </vt:variant>
      <vt:variant>
        <vt:i4>0</vt:i4>
      </vt:variant>
      <vt:variant>
        <vt:i4>5</vt:i4>
      </vt:variant>
      <vt:variant>
        <vt:lpwstr>https://www.consilium.europa.eu/media/46358/161020-euco-final-conclusions-lv.pdf</vt:lpwstr>
      </vt:variant>
      <vt:variant>
        <vt:lpwstr/>
      </vt:variant>
      <vt:variant>
        <vt:i4>7536743</vt:i4>
      </vt:variant>
      <vt:variant>
        <vt:i4>72</vt:i4>
      </vt:variant>
      <vt:variant>
        <vt:i4>0</vt:i4>
      </vt:variant>
      <vt:variant>
        <vt:i4>5</vt:i4>
      </vt:variant>
      <vt:variant>
        <vt:lpwstr>https://eur-lex.europa.eu/legal-content/LV/TXT/?uri=CELEX%3A02023R2405-20231031</vt:lpwstr>
      </vt:variant>
      <vt:variant>
        <vt:lpwstr/>
      </vt:variant>
      <vt:variant>
        <vt:i4>2555946</vt:i4>
      </vt:variant>
      <vt:variant>
        <vt:i4>69</vt:i4>
      </vt:variant>
      <vt:variant>
        <vt:i4>0</vt:i4>
      </vt:variant>
      <vt:variant>
        <vt:i4>5</vt:i4>
      </vt:variant>
      <vt:variant>
        <vt:lpwstr>C:\Users\Anete.Apsite\AppData\Local\Microsoft\Windows\INetCache\Content.Outlook\KR5ADMAN\konsolidētā</vt:lpwstr>
      </vt:variant>
      <vt:variant>
        <vt:lpwstr/>
      </vt:variant>
      <vt:variant>
        <vt:i4>4587528</vt:i4>
      </vt:variant>
      <vt:variant>
        <vt:i4>66</vt:i4>
      </vt:variant>
      <vt:variant>
        <vt:i4>0</vt:i4>
      </vt:variant>
      <vt:variant>
        <vt:i4>5</vt:i4>
      </vt:variant>
      <vt:variant>
        <vt:lpwstr>https://eur-lex.europa.eu/legal-content/LV/TXT/HTML/?uri=CELEX:32023R1805</vt:lpwstr>
      </vt:variant>
      <vt:variant>
        <vt:lpwstr/>
      </vt:variant>
      <vt:variant>
        <vt:i4>131146</vt:i4>
      </vt:variant>
      <vt:variant>
        <vt:i4>63</vt:i4>
      </vt:variant>
      <vt:variant>
        <vt:i4>0</vt:i4>
      </vt:variant>
      <vt:variant>
        <vt:i4>5</vt:i4>
      </vt:variant>
      <vt:variant>
        <vt:lpwstr>https://eur-lex.europa.eu/legal-content/LV/TXT/?uri=CELEX:32023R1804</vt:lpwstr>
      </vt:variant>
      <vt:variant>
        <vt:lpwstr/>
      </vt:variant>
      <vt:variant>
        <vt:i4>4194316</vt:i4>
      </vt:variant>
      <vt:variant>
        <vt:i4>60</vt:i4>
      </vt:variant>
      <vt:variant>
        <vt:i4>0</vt:i4>
      </vt:variant>
      <vt:variant>
        <vt:i4>5</vt:i4>
      </vt:variant>
      <vt:variant>
        <vt:lpwstr>https://eur-lex.europa.eu/legal-content/LV/TXT/?uri=CELEX%3A32023L1791&amp;qid=1740053890143</vt:lpwstr>
      </vt:variant>
      <vt:variant>
        <vt:lpwstr/>
      </vt:variant>
      <vt:variant>
        <vt:i4>4456568</vt:i4>
      </vt:variant>
      <vt:variant>
        <vt:i4>57</vt:i4>
      </vt:variant>
      <vt:variant>
        <vt:i4>0</vt:i4>
      </vt:variant>
      <vt:variant>
        <vt:i4>5</vt:i4>
      </vt:variant>
      <vt:variant>
        <vt:lpwstr>https://eur-lex.europa.eu/legal-content/LV/TXT/?uri=OJ%3AL_202302413</vt:lpwstr>
      </vt:variant>
      <vt:variant>
        <vt:lpwstr/>
      </vt:variant>
      <vt:variant>
        <vt:i4>7143532</vt:i4>
      </vt:variant>
      <vt:variant>
        <vt:i4>54</vt:i4>
      </vt:variant>
      <vt:variant>
        <vt:i4>0</vt:i4>
      </vt:variant>
      <vt:variant>
        <vt:i4>5</vt:i4>
      </vt:variant>
      <vt:variant>
        <vt:lpwstr>https://eur-lex.europa.eu/legal-content/LV/TXT/?uri=CELEX%3A02018L2001-20240716</vt:lpwstr>
      </vt:variant>
      <vt:variant>
        <vt:lpwstr/>
      </vt:variant>
      <vt:variant>
        <vt:i4>3735587</vt:i4>
      </vt:variant>
      <vt:variant>
        <vt:i4>51</vt:i4>
      </vt:variant>
      <vt:variant>
        <vt:i4>0</vt:i4>
      </vt:variant>
      <vt:variant>
        <vt:i4>5</vt:i4>
      </vt:variant>
      <vt:variant>
        <vt:lpwstr>https://eur-lex.europa.eu/legal-content/LV/TXT/HTML/?uri=CELEX:32023R0956&amp;qid=1695630955252</vt:lpwstr>
      </vt:variant>
      <vt:variant>
        <vt:lpwstr/>
      </vt:variant>
      <vt:variant>
        <vt:i4>4063271</vt:i4>
      </vt:variant>
      <vt:variant>
        <vt:i4>48</vt:i4>
      </vt:variant>
      <vt:variant>
        <vt:i4>0</vt:i4>
      </vt:variant>
      <vt:variant>
        <vt:i4>5</vt:i4>
      </vt:variant>
      <vt:variant>
        <vt:lpwstr>https://eur-lex.europa.eu/legal-content/LV/TXT/HTML/?uri=CELEX:32023R0955&amp;qid=1695630897917</vt:lpwstr>
      </vt:variant>
      <vt:variant>
        <vt:lpwstr/>
      </vt:variant>
      <vt:variant>
        <vt:i4>7012456</vt:i4>
      </vt:variant>
      <vt:variant>
        <vt:i4>45</vt:i4>
      </vt:variant>
      <vt:variant>
        <vt:i4>0</vt:i4>
      </vt:variant>
      <vt:variant>
        <vt:i4>5</vt:i4>
      </vt:variant>
      <vt:variant>
        <vt:lpwstr>https://eur-lex.europa.eu/legal-content/EN/TXT/?uri=CELEX%3A02015R0757-20250101</vt:lpwstr>
      </vt:variant>
      <vt:variant>
        <vt:lpwstr/>
      </vt:variant>
      <vt:variant>
        <vt:i4>7340135</vt:i4>
      </vt:variant>
      <vt:variant>
        <vt:i4>42</vt:i4>
      </vt:variant>
      <vt:variant>
        <vt:i4>0</vt:i4>
      </vt:variant>
      <vt:variant>
        <vt:i4>5</vt:i4>
      </vt:variant>
      <vt:variant>
        <vt:lpwstr>https://eur-lex.europa.eu/legal-content/LV/TXT/?uri=CELEX%3A02018R1999-20231120</vt:lpwstr>
      </vt:variant>
      <vt:variant>
        <vt:lpwstr/>
      </vt:variant>
      <vt:variant>
        <vt:i4>458816</vt:i4>
      </vt:variant>
      <vt:variant>
        <vt:i4>39</vt:i4>
      </vt:variant>
      <vt:variant>
        <vt:i4>0</vt:i4>
      </vt:variant>
      <vt:variant>
        <vt:i4>5</vt:i4>
      </vt:variant>
      <vt:variant>
        <vt:lpwstr>https://eur-lex.europa.eu/legal-content/LV/TXT/?uri=CELEX%3A02018R0842-20230516&amp;qid=1691394347773</vt:lpwstr>
      </vt:variant>
      <vt:variant>
        <vt:lpwstr/>
      </vt:variant>
      <vt:variant>
        <vt:i4>6488166</vt:i4>
      </vt:variant>
      <vt:variant>
        <vt:i4>36</vt:i4>
      </vt:variant>
      <vt:variant>
        <vt:i4>0</vt:i4>
      </vt:variant>
      <vt:variant>
        <vt:i4>5</vt:i4>
      </vt:variant>
      <vt:variant>
        <vt:lpwstr>https://eur-lex.europa.eu/legal-content/EN/TXT/?uri=CELEX%3A02018R0841-20230511</vt:lpwstr>
      </vt:variant>
      <vt:variant>
        <vt:lpwstr/>
      </vt:variant>
      <vt:variant>
        <vt:i4>7536736</vt:i4>
      </vt:variant>
      <vt:variant>
        <vt:i4>33</vt:i4>
      </vt:variant>
      <vt:variant>
        <vt:i4>0</vt:i4>
      </vt:variant>
      <vt:variant>
        <vt:i4>5</vt:i4>
      </vt:variant>
      <vt:variant>
        <vt:lpwstr>https://eur-lex.europa.eu/legal-content/EN/TXT/?uri=CELEX%3A02003L0087-20240301</vt:lpwstr>
      </vt:variant>
      <vt:variant>
        <vt:lpwstr/>
      </vt:variant>
      <vt:variant>
        <vt:i4>6553718</vt:i4>
      </vt:variant>
      <vt:variant>
        <vt:i4>30</vt:i4>
      </vt:variant>
      <vt:variant>
        <vt:i4>0</vt:i4>
      </vt:variant>
      <vt:variant>
        <vt:i4>5</vt:i4>
      </vt:variant>
      <vt:variant>
        <vt:lpwstr>https://likumi.lv/ta/id/342214-latvijas-strategija-klimatneitralitates-sasniegsanai-lidz-2050-gadam</vt:lpwstr>
      </vt:variant>
      <vt:variant>
        <vt:lpwstr/>
      </vt:variant>
      <vt:variant>
        <vt:i4>7864442</vt:i4>
      </vt:variant>
      <vt:variant>
        <vt:i4>27</vt:i4>
      </vt:variant>
      <vt:variant>
        <vt:i4>0</vt:i4>
      </vt:variant>
      <vt:variant>
        <vt:i4>5</vt:i4>
      </vt:variant>
      <vt:variant>
        <vt:lpwstr>https://eur-lex.europa.eu/legal-content/LV/TXT/?uri=CELEX%3A32021R1119</vt:lpwstr>
      </vt:variant>
      <vt:variant>
        <vt:lpwstr/>
      </vt:variant>
      <vt:variant>
        <vt:i4>2424948</vt:i4>
      </vt:variant>
      <vt:variant>
        <vt:i4>24</vt:i4>
      </vt:variant>
      <vt:variant>
        <vt:i4>0</vt:i4>
      </vt:variant>
      <vt:variant>
        <vt:i4>5</vt:i4>
      </vt:variant>
      <vt:variant>
        <vt:lpwstr>https://unfccc.int/resource/docs/2015/cop21/eng/10a01.pdf</vt:lpwstr>
      </vt:variant>
      <vt:variant>
        <vt:lpwstr>page=2</vt:lpwstr>
      </vt:variant>
      <vt:variant>
        <vt:i4>1507392</vt:i4>
      </vt:variant>
      <vt:variant>
        <vt:i4>21</vt:i4>
      </vt:variant>
      <vt:variant>
        <vt:i4>0</vt:i4>
      </vt:variant>
      <vt:variant>
        <vt:i4>5</vt:i4>
      </vt:variant>
      <vt:variant>
        <vt:lpwstr>https://unfccc.int/sites/default/files/NDC/2023-10/ES-2023-10-17 EU submission NDC update.pdf</vt:lpwstr>
      </vt:variant>
      <vt:variant>
        <vt:lpwstr/>
      </vt:variant>
      <vt:variant>
        <vt:i4>655433</vt:i4>
      </vt:variant>
      <vt:variant>
        <vt:i4>18</vt:i4>
      </vt:variant>
      <vt:variant>
        <vt:i4>0</vt:i4>
      </vt:variant>
      <vt:variant>
        <vt:i4>5</vt:i4>
      </vt:variant>
      <vt:variant>
        <vt:lpwstr>https://unfccc.int/NDCREG</vt:lpwstr>
      </vt:variant>
      <vt:variant>
        <vt:lpwstr/>
      </vt:variant>
      <vt:variant>
        <vt:i4>4849691</vt:i4>
      </vt:variant>
      <vt:variant>
        <vt:i4>15</vt:i4>
      </vt:variant>
      <vt:variant>
        <vt:i4>0</vt:i4>
      </vt:variant>
      <vt:variant>
        <vt:i4>5</vt:i4>
      </vt:variant>
      <vt:variant>
        <vt:lpwstr>https://likumi.lv/ta/lv/starptautiskie-ligumi/id/1730</vt:lpwstr>
      </vt:variant>
      <vt:variant>
        <vt:lpwstr/>
      </vt:variant>
      <vt:variant>
        <vt:i4>1900569</vt:i4>
      </vt:variant>
      <vt:variant>
        <vt:i4>12</vt:i4>
      </vt:variant>
      <vt:variant>
        <vt:i4>0</vt:i4>
      </vt:variant>
      <vt:variant>
        <vt:i4>5</vt:i4>
      </vt:variant>
      <vt:variant>
        <vt:lpwstr>https://unfccc.int/sites/default/files/resource/docs/2015/cop21/eng/10a01.pdf</vt:lpwstr>
      </vt:variant>
      <vt:variant>
        <vt:lpwstr/>
      </vt:variant>
      <vt:variant>
        <vt:i4>1048653</vt:i4>
      </vt:variant>
      <vt:variant>
        <vt:i4>9</vt:i4>
      </vt:variant>
      <vt:variant>
        <vt:i4>0</vt:i4>
      </vt:variant>
      <vt:variant>
        <vt:i4>5</vt:i4>
      </vt:variant>
      <vt:variant>
        <vt:lpwstr>https://tapportals.mk.gov.lv/meetings/protocols/38bb8794-c96c-4d83-8c99-3c25464f2af6</vt:lpwstr>
      </vt:variant>
      <vt:variant>
        <vt:lpwstr/>
      </vt:variant>
      <vt:variant>
        <vt:i4>6815863</vt:i4>
      </vt:variant>
      <vt:variant>
        <vt:i4>3</vt:i4>
      </vt:variant>
      <vt:variant>
        <vt:i4>0</vt:i4>
      </vt:variant>
      <vt:variant>
        <vt:i4>5</vt:i4>
      </vt:variant>
      <vt:variant>
        <vt:lpwstr>https://likumi.lv/ta/id/353615-aktualizetais-nacionalais-energetikas-un-klimata-plans-20212030gadam</vt:lpwstr>
      </vt:variant>
      <vt:variant>
        <vt:lpwstr/>
      </vt:variant>
      <vt:variant>
        <vt:i4>1704029</vt:i4>
      </vt:variant>
      <vt:variant>
        <vt:i4>0</vt:i4>
      </vt:variant>
      <vt:variant>
        <vt:i4>0</vt:i4>
      </vt:variant>
      <vt:variant>
        <vt:i4>5</vt:i4>
      </vt:variant>
      <vt:variant>
        <vt:lpwstr>https://videscentrs.lvgmc.lv/lapas/informacija-par-latvijas-seg-emisijam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Agita Gancone</dc:creator>
  <cp:keywords/>
  <dc:description/>
  <cp:lastModifiedBy>Līga Platace</cp:lastModifiedBy>
  <cp:revision>21</cp:revision>
  <cp:lastPrinted>2024-12-20T05:24:00Z</cp:lastPrinted>
  <dcterms:created xsi:type="dcterms:W3CDTF">2025-03-04T10:57:00Z</dcterms:created>
  <dcterms:modified xsi:type="dcterms:W3CDTF">2025-03-04T11:17:00Z</dcterms:modified>
</cp:coreProperties>
</file>