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B22F7" w14:textId="77777777" w:rsidR="009D720E" w:rsidRPr="00DA11E4" w:rsidRDefault="009D720E" w:rsidP="009D720E">
      <w:pPr>
        <w:jc w:val="center"/>
      </w:pPr>
      <w:r w:rsidRPr="00DA11E4">
        <w:t>Informatīvais ziņojums</w:t>
      </w:r>
    </w:p>
    <w:p w14:paraId="4CA4F698" w14:textId="4D689E92" w:rsidR="009D720E" w:rsidRPr="00DA11E4" w:rsidRDefault="009D720E" w:rsidP="009D720E">
      <w:pPr>
        <w:jc w:val="center"/>
        <w:rPr>
          <w:b/>
          <w:bCs/>
        </w:rPr>
      </w:pPr>
      <w:r w:rsidRPr="00DA11E4">
        <w:rPr>
          <w:b/>
          <w:bCs/>
        </w:rPr>
        <w:t xml:space="preserve">“Par drošu </w:t>
      </w:r>
      <w:r w:rsidR="005A2C97" w:rsidRPr="00DA11E4">
        <w:rPr>
          <w:b/>
          <w:bCs/>
        </w:rPr>
        <w:t xml:space="preserve">veselības aprūpes </w:t>
      </w:r>
      <w:r w:rsidRPr="00DA11E4">
        <w:rPr>
          <w:b/>
          <w:bCs/>
        </w:rPr>
        <w:t>pakalpojumu nodrošināšanu”</w:t>
      </w:r>
    </w:p>
    <w:p w14:paraId="668BFDF3" w14:textId="77777777" w:rsidR="009D720E" w:rsidRPr="00DA11E4" w:rsidRDefault="009D720E" w:rsidP="00385455"/>
    <w:p w14:paraId="406C3C8D" w14:textId="23BD8674" w:rsidR="00385455" w:rsidRPr="00DA11E4" w:rsidRDefault="00385455" w:rsidP="00385455">
      <w:r w:rsidRPr="00DA11E4">
        <w:t xml:space="preserve">Atbilstoši Ministru prezidenta uzdotajam uzdevumam (ID 21-MPI-5), saistībā ar straujo ar Covid-19 inficēto personu skaita pieaugumu un nepieciešamību laicīgi noteikt vīrusa klātbūtni cilvēku organismā, </w:t>
      </w:r>
      <w:r w:rsidR="008A46E7" w:rsidRPr="00DA11E4">
        <w:t>Veselības ministrija ir izstrādājusi</w:t>
      </w:r>
      <w:r w:rsidRPr="00DA11E4">
        <w:t xml:space="preserve"> risinājumu Covid-19 testēšanas paplašināšanai. </w:t>
      </w:r>
    </w:p>
    <w:p w14:paraId="42CE99C3" w14:textId="77777777" w:rsidR="008A46E7" w:rsidRPr="00DA11E4" w:rsidRDefault="008A46E7" w:rsidP="008A46E7">
      <w:pPr>
        <w:ind w:firstLine="720"/>
        <w:rPr>
          <w:rFonts w:cs="Times New Roman"/>
          <w:szCs w:val="24"/>
        </w:rPr>
      </w:pPr>
      <w:r w:rsidRPr="00DA11E4">
        <w:rPr>
          <w:rFonts w:cs="Times New Roman"/>
          <w:szCs w:val="24"/>
          <w:u w:val="single"/>
        </w:rPr>
        <w:t>Testēšanas pakalpojumu paplašināšanas mērķis ir</w:t>
      </w:r>
      <w:r w:rsidRPr="00DA11E4">
        <w:rPr>
          <w:rFonts w:cs="Times New Roman"/>
          <w:szCs w:val="24"/>
        </w:rPr>
        <w:t xml:space="preserve"> nodrošināt epidemioloģiski drošu veselības aprūpes pakalpojumu sniegšanu un saņemšanu, tādējādi arī mazinot slimības izplatību sabiedrībā.</w:t>
      </w:r>
    </w:p>
    <w:p w14:paraId="782C60AA" w14:textId="52048D6E" w:rsidR="004C7863" w:rsidRPr="00DA11E4" w:rsidRDefault="008A46E7" w:rsidP="008A46E7">
      <w:pPr>
        <w:ind w:firstLine="720"/>
      </w:pPr>
      <w:r w:rsidRPr="00DA11E4">
        <w:t xml:space="preserve">Ņemot vērā epidemioloģiskās situācijas pasliktināšanos, straujš Covid-19 gadījumu skaita pieaugums populācijā, ietekmē arī </w:t>
      </w:r>
      <w:r w:rsidR="00EA2BD5" w:rsidRPr="00DA11E4">
        <w:t xml:space="preserve">ambulatorās </w:t>
      </w:r>
      <w:r w:rsidRPr="00DA11E4">
        <w:t>ārstniecības iestādes</w:t>
      </w:r>
      <w:r w:rsidR="00EA2BD5" w:rsidRPr="00DA11E4">
        <w:t>.</w:t>
      </w:r>
      <w:r w:rsidRPr="00DA11E4">
        <w:t xml:space="preserve"> </w:t>
      </w:r>
      <w:r w:rsidR="00EA2BD5" w:rsidRPr="00DA11E4">
        <w:t>V</w:t>
      </w:r>
      <w:r w:rsidRPr="00DA11E4">
        <w:t xml:space="preserve">eselības aprūpes pakalpojumu saņemšana </w:t>
      </w:r>
      <w:r w:rsidR="00EA2BD5" w:rsidRPr="00DA11E4">
        <w:t xml:space="preserve">šobrīd </w:t>
      </w:r>
      <w:r w:rsidRPr="00DA11E4">
        <w:t xml:space="preserve">pacientiem </w:t>
      </w:r>
      <w:r w:rsidR="00EA2BD5" w:rsidRPr="00DA11E4">
        <w:t xml:space="preserve">var radīt papildus </w:t>
      </w:r>
      <w:r w:rsidRPr="00DA11E4">
        <w:t>epidemioloģisko risku</w:t>
      </w:r>
      <w:r w:rsidR="00EA2BD5" w:rsidRPr="00DA11E4">
        <w:t>. A</w:t>
      </w:r>
      <w:r w:rsidRPr="00DA11E4">
        <w:t xml:space="preserve">rī ierobežotā un ilgstoši nepietiekamā ārstniecības personu skaita dēļ būtiski ir samazināt saslimušo vai mājas karantīnā esošo ārstniecības personu skaitu. </w:t>
      </w:r>
      <w:r w:rsidR="004C7863" w:rsidRPr="00DA11E4">
        <w:rPr>
          <w:rFonts w:eastAsia="Calibri" w:cs="Times New Roman"/>
          <w:szCs w:val="24"/>
        </w:rPr>
        <w:t xml:space="preserve">Jau </w:t>
      </w:r>
      <w:r w:rsidR="00B37BDE" w:rsidRPr="00DA11E4">
        <w:rPr>
          <w:rFonts w:eastAsia="Calibri" w:cs="Times New Roman"/>
          <w:szCs w:val="24"/>
        </w:rPr>
        <w:t>V</w:t>
      </w:r>
      <w:r w:rsidR="004C7863" w:rsidRPr="00DA11E4">
        <w:rPr>
          <w:rFonts w:eastAsia="Calibri" w:cs="Times New Roman"/>
          <w:szCs w:val="24"/>
        </w:rPr>
        <w:t xml:space="preserve">eselības ministrijas š.g. septembrī izstrādātajā informatīvajā ziņojumā “Priekšlikumi Covid-19 testēšanas politikas izmaiņām” tika akcentēta nepieciešamība iedzīvotājiem dodot iespēju saņemt epidemioloģiski drošus primāri nepieciešamos pakalpojumus, t.sk., veselības aprūpi. </w:t>
      </w:r>
      <w:r w:rsidR="004C7863" w:rsidRPr="00DA11E4">
        <w:t xml:space="preserve">Tas ir būtiski, lai ārstniecības iestāde varētu organizēt drošu pakalpojumu sniegšanu apmeklētājiem un mazinātu inficēšanās iespējas tieši ārstniecības iestādēs, kur ikdienā pulcējas liels iedzīvotāju skaits. </w:t>
      </w:r>
    </w:p>
    <w:p w14:paraId="683A87C0" w14:textId="77777777" w:rsidR="00EA2BD5" w:rsidRPr="00DA11E4" w:rsidRDefault="00EA2BD5" w:rsidP="00EA2BD5">
      <w:pPr>
        <w:ind w:firstLine="720"/>
        <w:rPr>
          <w:rFonts w:cs="Times New Roman"/>
          <w:szCs w:val="24"/>
        </w:rPr>
      </w:pPr>
      <w:r w:rsidRPr="00DA11E4">
        <w:t xml:space="preserve">Līdz ar to nepieciešams ieviest preventīvu pasākumu Covid-19 izplatības ierobežošanai ārstniecības iestādēs – uzsākt visu ārstniecības iestāžu apmeklētāju izmeklēšanu uz Covid-19. </w:t>
      </w:r>
    </w:p>
    <w:p w14:paraId="5B9A410A" w14:textId="47BE09F4" w:rsidR="00385455" w:rsidRPr="00DA11E4" w:rsidRDefault="00385455" w:rsidP="00385455"/>
    <w:p w14:paraId="6090B001" w14:textId="559D71AF" w:rsidR="00385455" w:rsidRPr="00DA11E4" w:rsidRDefault="00385455" w:rsidP="008D6973">
      <w:pPr>
        <w:pStyle w:val="Heading2"/>
        <w:numPr>
          <w:ilvl w:val="0"/>
          <w:numId w:val="1"/>
        </w:numPr>
        <w:tabs>
          <w:tab w:val="num" w:pos="360"/>
        </w:tabs>
        <w:spacing w:before="0" w:line="240" w:lineRule="auto"/>
        <w:ind w:left="0" w:firstLine="720"/>
        <w:rPr>
          <w:rFonts w:cs="Times New Roman"/>
          <w:sz w:val="24"/>
          <w:szCs w:val="24"/>
          <w:shd w:val="clear" w:color="auto" w:fill="FFFFFF"/>
        </w:rPr>
      </w:pPr>
      <w:r w:rsidRPr="00DA11E4">
        <w:rPr>
          <w:rFonts w:cs="Times New Roman"/>
          <w:sz w:val="24"/>
          <w:szCs w:val="24"/>
          <w:shd w:val="clear" w:color="auto" w:fill="FFFFFF"/>
        </w:rPr>
        <w:t>Situācijas apraksts</w:t>
      </w:r>
    </w:p>
    <w:p w14:paraId="61CF05B6" w14:textId="3236A532" w:rsidR="004C7863" w:rsidRPr="00DA11E4" w:rsidRDefault="00264096" w:rsidP="00385455">
      <w:r w:rsidRPr="00DA11E4">
        <w:rPr>
          <w:noProof/>
        </w:rPr>
        <w:drawing>
          <wp:anchor distT="0" distB="0" distL="114300" distR="114300" simplePos="0" relativeHeight="251659264" behindDoc="1" locked="0" layoutInCell="1" allowOverlap="1" wp14:anchorId="799B392F" wp14:editId="2EB653BD">
            <wp:simplePos x="0" y="0"/>
            <wp:positionH relativeFrom="column">
              <wp:posOffset>259080</wp:posOffset>
            </wp:positionH>
            <wp:positionV relativeFrom="paragraph">
              <wp:posOffset>654685</wp:posOffset>
            </wp:positionV>
            <wp:extent cx="5522595" cy="2753360"/>
            <wp:effectExtent l="0" t="0" r="1905" b="8890"/>
            <wp:wrapTight wrapText="bothSides">
              <wp:wrapPolygon edited="0">
                <wp:start x="0" y="0"/>
                <wp:lineTo x="0" y="21520"/>
                <wp:lineTo x="21533" y="21520"/>
                <wp:lineTo x="21533" y="0"/>
                <wp:lineTo x="0" y="0"/>
              </wp:wrapPolygon>
            </wp:wrapTight>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22595" cy="2753360"/>
                    </a:xfrm>
                    <a:prstGeom prst="rect">
                      <a:avLst/>
                    </a:prstGeom>
                  </pic:spPr>
                </pic:pic>
              </a:graphicData>
            </a:graphic>
            <wp14:sizeRelH relativeFrom="margin">
              <wp14:pctWidth>0</wp14:pctWidth>
            </wp14:sizeRelH>
            <wp14:sizeRelV relativeFrom="margin">
              <wp14:pctHeight>0</wp14:pctHeight>
            </wp14:sizeRelV>
          </wp:anchor>
        </w:drawing>
      </w:r>
      <w:r w:rsidRPr="00DA11E4">
        <w:t>Jau no š.g. septembra vidus novērojama strauja epidemioloģiskās situācijas pasliktināšanās un šobrīd ir ļoti au</w:t>
      </w:r>
      <w:r w:rsidR="00EA2BD5" w:rsidRPr="00DA11E4">
        <w:t>gst</w:t>
      </w:r>
      <w:r w:rsidRPr="00DA11E4">
        <w:t>s inficēšanās risks. Straujo Covid-19 izplatību atspoguļo 14 dienu kumulatīvais Covid-19 gadījumu skaits uz 100 000 iedzīvotāju</w:t>
      </w:r>
      <w:r w:rsidR="00EA2BD5" w:rsidRPr="00DA11E4">
        <w:t xml:space="preserve"> (skat. 1.attēls).</w:t>
      </w:r>
      <w:r w:rsidRPr="00DA11E4">
        <w:t xml:space="preserve"> </w:t>
      </w:r>
    </w:p>
    <w:p w14:paraId="553108EF" w14:textId="2ADCF301" w:rsidR="00EA2BD5" w:rsidRPr="00DA11E4" w:rsidRDefault="00EA2BD5" w:rsidP="005D10D0">
      <w:pPr>
        <w:jc w:val="center"/>
        <w:rPr>
          <w:b/>
          <w:bCs/>
          <w:sz w:val="22"/>
          <w:szCs w:val="20"/>
        </w:rPr>
      </w:pPr>
      <w:r w:rsidRPr="00DA11E4">
        <w:rPr>
          <w:b/>
          <w:bCs/>
          <w:sz w:val="22"/>
          <w:szCs w:val="20"/>
        </w:rPr>
        <w:t xml:space="preserve">1.attēls </w:t>
      </w:r>
      <w:r w:rsidR="005D10D0" w:rsidRPr="00DA11E4">
        <w:rPr>
          <w:b/>
          <w:bCs/>
          <w:sz w:val="22"/>
          <w:szCs w:val="20"/>
        </w:rPr>
        <w:t>14 dienu kumulatīvais Covid-19 gadījumu skaits uz 100 000 iedzīvotāju</w:t>
      </w:r>
    </w:p>
    <w:p w14:paraId="0491CB2E" w14:textId="77777777" w:rsidR="005D10D0" w:rsidRPr="00DA11E4" w:rsidRDefault="005D10D0" w:rsidP="005A1B5E"/>
    <w:p w14:paraId="7882D2D6" w14:textId="0C6D8A8A" w:rsidR="00B37BDE" w:rsidRPr="00DA11E4" w:rsidRDefault="00B37BDE" w:rsidP="00C57054">
      <w:r w:rsidRPr="00DA11E4">
        <w:t>Ņemot vērā saslimstības ar Covid-19 pieaugumu un slimnīcu noslodzes rādītājus, kā arī sniegtās prognozes hospitalizēto Covid-19 pacientu skaita pieaugumam, Valsts operatīvā medicīniskā komisija 2021. gada 7. oktobrī izsludināja ārkārtas medicīnisko situāciju valstī. Savukārt, lai mazinātu Covid-19 infekcijas izplatību un medicīnas sistēmas pārslodzi, no 21. oktobra ir ieviesti papildus ierobežojošie pasākumi, lai pēc iespējas mazinātu galveno Covid-19 izplatības ceļu – klātienes kontaktēšanos.</w:t>
      </w:r>
    </w:p>
    <w:p w14:paraId="0759CC77" w14:textId="1B62641F" w:rsidR="004424D3" w:rsidRPr="00DA11E4" w:rsidRDefault="00E7263D" w:rsidP="004424D3">
      <w:pPr>
        <w:rPr>
          <w:rFonts w:cs="Times New Roman"/>
          <w:szCs w:val="24"/>
        </w:rPr>
      </w:pPr>
      <w:r w:rsidRPr="00DA11E4">
        <w:lastRenderedPageBreak/>
        <w:t>Tomēr ir situācijas, kad klātienes pakalpojumu sniegšana nav aizstājama un īstenojama attālināt</w:t>
      </w:r>
      <w:r w:rsidR="00A956BD" w:rsidRPr="00DA11E4">
        <w:t xml:space="preserve">i. </w:t>
      </w:r>
      <w:r w:rsidRPr="00DA11E4">
        <w:t xml:space="preserve"> </w:t>
      </w:r>
      <w:r w:rsidR="00193A14" w:rsidRPr="00DA11E4">
        <w:t xml:space="preserve">Savlaicīga veselības aprūpes pakalpojumu pieejamība ir būtiska, lai mazināt </w:t>
      </w:r>
      <w:proofErr w:type="spellStart"/>
      <w:r w:rsidR="00193A14" w:rsidRPr="00DA11E4">
        <w:t>neinfekciju</w:t>
      </w:r>
      <w:proofErr w:type="spellEnd"/>
      <w:r w:rsidR="00193A14" w:rsidRPr="00DA11E4">
        <w:t xml:space="preserve"> slimību izplatību sabiedrībā, piemēram, s</w:t>
      </w:r>
      <w:r w:rsidR="00A956BD" w:rsidRPr="00DA11E4">
        <w:rPr>
          <w:rFonts w:cs="Times New Roman"/>
          <w:szCs w:val="24"/>
        </w:rPr>
        <w:t>irds un asinsvadu sistēmas slimības ir galvenais mirstības cēlonis Latvijā</w:t>
      </w:r>
      <w:r w:rsidR="00193A14" w:rsidRPr="00DA11E4">
        <w:rPr>
          <w:rFonts w:cs="Times New Roman"/>
          <w:szCs w:val="24"/>
        </w:rPr>
        <w:t xml:space="preserve"> -</w:t>
      </w:r>
      <w:r w:rsidR="00A956BD" w:rsidRPr="00DA11E4">
        <w:rPr>
          <w:rFonts w:cs="Times New Roman"/>
          <w:szCs w:val="24"/>
        </w:rPr>
        <w:t xml:space="preserve"> 25% no visiem sirds un asinsvadu sistēmas nāves gadījumiem Latvijā var novērst </w:t>
      </w:r>
      <w:r w:rsidR="00193A14" w:rsidRPr="00DA11E4">
        <w:rPr>
          <w:rFonts w:cs="Times New Roman"/>
          <w:szCs w:val="24"/>
        </w:rPr>
        <w:t>(n</w:t>
      </w:r>
      <w:r w:rsidR="00A956BD" w:rsidRPr="00DA11E4">
        <w:rPr>
          <w:rFonts w:cs="Times New Roman"/>
          <w:szCs w:val="24"/>
        </w:rPr>
        <w:t xml:space="preserve">o tiem 51% ir medicīniski novēršami </w:t>
      </w:r>
      <w:r w:rsidR="00E1055F" w:rsidRPr="00DA11E4">
        <w:rPr>
          <w:rFonts w:cs="Times New Roman"/>
          <w:szCs w:val="24"/>
        </w:rPr>
        <w:t xml:space="preserve">- </w:t>
      </w:r>
      <w:r w:rsidR="00A956BD" w:rsidRPr="00DA11E4">
        <w:rPr>
          <w:rFonts w:cs="Times New Roman"/>
          <w:szCs w:val="24"/>
        </w:rPr>
        <w:t>savlaicīga diagnostika, kvalitatīva aprūpe, atbilstoša ārstēšana). Tā pat arī</w:t>
      </w:r>
      <w:r w:rsidR="00B0077E" w:rsidRPr="00DA11E4">
        <w:rPr>
          <w:rFonts w:cs="Times New Roman"/>
          <w:szCs w:val="24"/>
        </w:rPr>
        <w:t xml:space="preserve"> onkoloģijā un citu saslimšanu gadījumā ir būtiski pēc iespējas ātrāk uzstādīt diagnozi un uzsākt atbilstošo ārstēšanu.</w:t>
      </w:r>
      <w:r w:rsidR="00A956BD" w:rsidRPr="00DA11E4">
        <w:rPr>
          <w:rStyle w:val="FootnoteReference"/>
          <w:rFonts w:cs="Times New Roman"/>
          <w:szCs w:val="24"/>
        </w:rPr>
        <w:footnoteReference w:id="1"/>
      </w:r>
      <w:r w:rsidR="004424D3" w:rsidRPr="00DA11E4">
        <w:rPr>
          <w:rFonts w:cs="Times New Roman"/>
          <w:szCs w:val="24"/>
        </w:rPr>
        <w:t xml:space="preserve"> </w:t>
      </w:r>
    </w:p>
    <w:p w14:paraId="0B727771" w14:textId="452FEE19" w:rsidR="00B0077E" w:rsidRPr="00DA11E4" w:rsidRDefault="00B0077E" w:rsidP="007426E4">
      <w:pPr>
        <w:rPr>
          <w:rFonts w:cs="Times New Roman"/>
          <w:szCs w:val="24"/>
        </w:rPr>
      </w:pPr>
      <w:r w:rsidRPr="00DA11E4">
        <w:rPr>
          <w:rFonts w:cs="Times New Roman"/>
          <w:szCs w:val="24"/>
        </w:rPr>
        <w:t xml:space="preserve">Esošā epidemioloģiskā situācija rada būtisku risku </w:t>
      </w:r>
      <w:r w:rsidR="007426E4" w:rsidRPr="00DA11E4">
        <w:rPr>
          <w:rFonts w:cs="Times New Roman"/>
          <w:szCs w:val="24"/>
        </w:rPr>
        <w:t xml:space="preserve">ambulatoro </w:t>
      </w:r>
      <w:r w:rsidRPr="00DA11E4">
        <w:rPr>
          <w:rFonts w:cs="Times New Roman"/>
          <w:szCs w:val="24"/>
        </w:rPr>
        <w:t>veselības aprūpes pakalpojumu nodrošināšanai, jo īpaši poliklīnikās, kurās pieejams plašs veselības aprūpes pakalpojumu klāsts</w:t>
      </w:r>
      <w:r w:rsidR="00E1055F" w:rsidRPr="00DA11E4">
        <w:rPr>
          <w:rFonts w:cs="Times New Roman"/>
          <w:szCs w:val="24"/>
        </w:rPr>
        <w:t>,</w:t>
      </w:r>
      <w:r w:rsidRPr="00DA11E4">
        <w:rPr>
          <w:rFonts w:cs="Times New Roman"/>
          <w:szCs w:val="24"/>
        </w:rPr>
        <w:t xml:space="preserve"> un koplietošanas telpās pulcējas liels pacientu skaits, t.sk.</w:t>
      </w:r>
      <w:r w:rsidR="004424D3" w:rsidRPr="00DA11E4">
        <w:rPr>
          <w:rFonts w:cs="Times New Roman"/>
          <w:szCs w:val="24"/>
        </w:rPr>
        <w:t xml:space="preserve"> </w:t>
      </w:r>
      <w:r w:rsidRPr="00DA11E4">
        <w:rPr>
          <w:rFonts w:cs="Times New Roman"/>
          <w:szCs w:val="24"/>
        </w:rPr>
        <w:t>hronisk</w:t>
      </w:r>
      <w:r w:rsidR="004424D3" w:rsidRPr="00DA11E4">
        <w:rPr>
          <w:rFonts w:cs="Times New Roman"/>
          <w:szCs w:val="24"/>
        </w:rPr>
        <w:t>o slimību pacienti.</w:t>
      </w:r>
      <w:r w:rsidR="007426E4" w:rsidRPr="00DA11E4">
        <w:rPr>
          <w:rFonts w:cs="Times New Roman"/>
          <w:szCs w:val="24"/>
        </w:rPr>
        <w:t xml:space="preserve"> </w:t>
      </w:r>
      <w:r w:rsidR="00DE3681" w:rsidRPr="00DA11E4">
        <w:rPr>
          <w:rFonts w:cs="Times New Roman"/>
          <w:szCs w:val="24"/>
        </w:rPr>
        <w:t>V</w:t>
      </w:r>
      <w:r w:rsidR="007426E4" w:rsidRPr="00DA11E4">
        <w:rPr>
          <w:rFonts w:cs="Times New Roman"/>
          <w:szCs w:val="24"/>
        </w:rPr>
        <w:t>ēl vairāk ierobežojot veselības aprūpes pakalpojumu saņemšanu nākotnē var palielināties iedzīvotāju mirstības un invaliditātes rādītāji.</w:t>
      </w:r>
    </w:p>
    <w:p w14:paraId="3F303D72" w14:textId="7EF2F40B" w:rsidR="005A1B5E" w:rsidRPr="00DA11E4" w:rsidRDefault="00DE3681" w:rsidP="00C57054">
      <w:r w:rsidRPr="00DA11E4">
        <w:t xml:space="preserve">Vienlaikus jāņem vērā Covid-19 izplatība ārstniecības personu vidū. </w:t>
      </w:r>
      <w:r w:rsidR="005D10D0" w:rsidRPr="00DA11E4">
        <w:t>Slimību profilakses un kontroles centrs norāda, ka, v</w:t>
      </w:r>
      <w:r w:rsidR="005A1B5E" w:rsidRPr="00DA11E4">
        <w:t xml:space="preserve">eicot Covid-19 gadījumu skaita pieauguma tendenču salīdzinājumu populācijā kopumā vecuma grupā 18-65 gadi un veselības aprūpes nozarē nodarbināto vidū (pēc Valsts ieņēmumu dienesta datiem), var secināt, ka no 35. līdz 38. nedēļai ārstniecības iestāžu darbinieku saslimstība pieaugusi </w:t>
      </w:r>
      <w:r w:rsidR="005D10D0" w:rsidRPr="00DA11E4">
        <w:t>straujāk. Tas norāda</w:t>
      </w:r>
      <w:r w:rsidR="005A1B5E" w:rsidRPr="00DA11E4">
        <w:t xml:space="preserve"> uz papildu risku, kas ir saistīts ar profesiju. Ņemot vērā augstu ārstniecības iestāžu darbinieku vakcinācijas pret Covid-19 aptveri un līdz ar to lielāku aizsardzību (respektīvi gaidāmu zemāku saslimstību), var pieņemt, ka grafikā</w:t>
      </w:r>
      <w:r w:rsidR="005D10D0" w:rsidRPr="00DA11E4">
        <w:t xml:space="preserve"> (2.attēls)</w:t>
      </w:r>
      <w:r w:rsidR="005A1B5E" w:rsidRPr="00DA11E4">
        <w:t xml:space="preserve"> redzam</w:t>
      </w:r>
      <w:r w:rsidR="005D10D0" w:rsidRPr="00DA11E4">
        <w:t>ā</w:t>
      </w:r>
      <w:r w:rsidR="005A1B5E" w:rsidRPr="00DA11E4">
        <w:t xml:space="preserve"> tendence liecina par vēl lielāku veselības aprūpes darbinieku inficēšanās risku, kas būtu mazināms ar papildu epidemioloģiskās drošības pasākumiem, ieskaitot regulāru testēšanu. </w:t>
      </w:r>
    </w:p>
    <w:p w14:paraId="6EA37BF7" w14:textId="77777777" w:rsidR="00205BC5" w:rsidRPr="00DA11E4" w:rsidRDefault="00205BC5" w:rsidP="005D10D0"/>
    <w:p w14:paraId="38B21E79" w14:textId="77777777" w:rsidR="005A1B5E" w:rsidRPr="00DA11E4" w:rsidRDefault="005A1B5E" w:rsidP="005A1B5E">
      <w:r w:rsidRPr="00DA11E4">
        <w:rPr>
          <w:noProof/>
        </w:rPr>
        <w:drawing>
          <wp:inline distT="0" distB="0" distL="0" distR="0" wp14:anchorId="5F5E7D48" wp14:editId="7E54639C">
            <wp:extent cx="5274310" cy="2182495"/>
            <wp:effectExtent l="0" t="0" r="2540" b="8255"/>
            <wp:docPr id="4" name="Chart 4">
              <a:extLst xmlns:a="http://schemas.openxmlformats.org/drawingml/2006/main">
                <a:ext uri="{FF2B5EF4-FFF2-40B4-BE49-F238E27FC236}">
                  <a16:creationId xmlns:a16="http://schemas.microsoft.com/office/drawing/2014/main" id="{C5F5BCDE-9DA0-4009-8409-F40082F19C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BF46ED" w14:textId="77777777" w:rsidR="005D10D0" w:rsidRPr="00DA11E4" w:rsidRDefault="005D10D0" w:rsidP="005D10D0"/>
    <w:p w14:paraId="7183B255" w14:textId="57651C4C" w:rsidR="005D10D0" w:rsidRPr="00DA11E4" w:rsidRDefault="005D10D0" w:rsidP="005D10D0">
      <w:pPr>
        <w:jc w:val="center"/>
        <w:rPr>
          <w:b/>
          <w:bCs/>
          <w:sz w:val="22"/>
          <w:szCs w:val="20"/>
        </w:rPr>
      </w:pPr>
      <w:r w:rsidRPr="00DA11E4">
        <w:rPr>
          <w:b/>
          <w:bCs/>
          <w:sz w:val="22"/>
          <w:szCs w:val="20"/>
        </w:rPr>
        <w:t>2.attēls Covid-19 gadījumu skaits vispārēja populācijā un veselības aprūpes nozarē vecuma grupā 18-65 pa nedēļām</w:t>
      </w:r>
    </w:p>
    <w:p w14:paraId="48395C18" w14:textId="6F10C5DD" w:rsidR="005D10D0" w:rsidRPr="00DA11E4" w:rsidRDefault="005D10D0" w:rsidP="005D10D0">
      <w:r w:rsidRPr="00DA11E4">
        <w:t xml:space="preserve">Straujš Covid-19 gadījumu skaita pieaugums populācijā (39. nedēļa), visticamāk tuvākajā laikā sekundāri skars arī ārstniecības iestādes, līdz ar to preventīvie pasākumi, ieskaitot testēšanu, nepieciešami pēc iespējas ātrāk. </w:t>
      </w:r>
    </w:p>
    <w:p w14:paraId="73E4E9D5" w14:textId="1273DCED" w:rsidR="005A1B5E" w:rsidRPr="00DA11E4" w:rsidRDefault="005D10D0" w:rsidP="005A1B5E">
      <w:pPr>
        <w:shd w:val="clear" w:color="auto" w:fill="FFFFFF"/>
        <w:textAlignment w:val="baseline"/>
        <w:rPr>
          <w:rFonts w:eastAsia="Times New Roman"/>
          <w:szCs w:val="24"/>
          <w:lang w:eastAsia="lv-LV"/>
        </w:rPr>
      </w:pPr>
      <w:r w:rsidRPr="00DA11E4">
        <w:rPr>
          <w:rFonts w:eastAsia="Times New Roman"/>
          <w:szCs w:val="24"/>
          <w:lang w:eastAsia="lv-LV"/>
        </w:rPr>
        <w:t>Savukārt a</w:t>
      </w:r>
      <w:r w:rsidR="005A1B5E" w:rsidRPr="00DA11E4">
        <w:rPr>
          <w:rFonts w:eastAsia="Times New Roman"/>
          <w:szCs w:val="24"/>
          <w:lang w:eastAsia="lv-LV"/>
        </w:rPr>
        <w:t>nalizējot Covid</w:t>
      </w:r>
      <w:r w:rsidRPr="00DA11E4">
        <w:rPr>
          <w:rFonts w:eastAsia="Times New Roman"/>
          <w:szCs w:val="24"/>
          <w:lang w:eastAsia="lv-LV"/>
        </w:rPr>
        <w:t>-19</w:t>
      </w:r>
      <w:r w:rsidR="005A1B5E" w:rsidRPr="00DA11E4">
        <w:rPr>
          <w:rFonts w:eastAsia="Times New Roman"/>
          <w:szCs w:val="24"/>
          <w:lang w:eastAsia="lv-LV"/>
        </w:rPr>
        <w:t xml:space="preserve"> gadījumus</w:t>
      </w:r>
      <w:r w:rsidRPr="00DA11E4">
        <w:rPr>
          <w:rFonts w:eastAsia="Times New Roman"/>
          <w:szCs w:val="24"/>
          <w:lang w:eastAsia="lv-LV"/>
        </w:rPr>
        <w:t xml:space="preserve"> SPKC</w:t>
      </w:r>
      <w:r w:rsidR="00CE5550" w:rsidRPr="00DA11E4">
        <w:rPr>
          <w:rFonts w:eastAsia="Times New Roman"/>
          <w:szCs w:val="24"/>
          <w:lang w:eastAsia="lv-LV"/>
        </w:rPr>
        <w:t xml:space="preserve"> pieejamajās datubāzēs (</w:t>
      </w:r>
      <w:r w:rsidR="005A1B5E" w:rsidRPr="00DA11E4">
        <w:rPr>
          <w:rFonts w:eastAsia="Times New Roman"/>
          <w:szCs w:val="24"/>
          <w:lang w:eastAsia="lv-LV"/>
        </w:rPr>
        <w:t>EGRIS</w:t>
      </w:r>
      <w:r w:rsidR="00CE5550" w:rsidRPr="00DA11E4">
        <w:rPr>
          <w:rFonts w:eastAsia="Times New Roman"/>
          <w:szCs w:val="24"/>
          <w:lang w:eastAsia="lv-LV"/>
        </w:rPr>
        <w:t xml:space="preserve">, </w:t>
      </w:r>
      <w:proofErr w:type="spellStart"/>
      <w:r w:rsidR="00CE5550" w:rsidRPr="00DA11E4">
        <w:rPr>
          <w:rFonts w:eastAsia="Times New Roman"/>
          <w:szCs w:val="24"/>
          <w:lang w:eastAsia="lv-LV"/>
        </w:rPr>
        <w:t>TESSy</w:t>
      </w:r>
      <w:proofErr w:type="spellEnd"/>
      <w:r w:rsidR="00CE5550" w:rsidRPr="00DA11E4">
        <w:rPr>
          <w:rFonts w:eastAsia="Times New Roman"/>
          <w:szCs w:val="24"/>
          <w:lang w:eastAsia="lv-LV"/>
        </w:rPr>
        <w:t xml:space="preserve">), </w:t>
      </w:r>
      <w:r w:rsidR="00987300" w:rsidRPr="00DA11E4">
        <w:rPr>
          <w:rFonts w:eastAsia="Times New Roman"/>
          <w:szCs w:val="24"/>
          <w:lang w:eastAsia="lv-LV"/>
        </w:rPr>
        <w:t xml:space="preserve">secināms, ka </w:t>
      </w:r>
      <w:r w:rsidR="00CE5550" w:rsidRPr="00DA11E4">
        <w:rPr>
          <w:rFonts w:eastAsia="Times New Roman"/>
          <w:szCs w:val="24"/>
          <w:lang w:eastAsia="lv-LV"/>
        </w:rPr>
        <w:t xml:space="preserve">Covid-19 gadījumu skaits pieaug visās grupās, tomēr veselības aprūpes darbinieki uzskatāmi par vienu no </w:t>
      </w:r>
      <w:r w:rsidR="005A1B5E" w:rsidRPr="00DA11E4">
        <w:rPr>
          <w:rFonts w:eastAsia="Times New Roman"/>
          <w:szCs w:val="24"/>
          <w:lang w:eastAsia="lv-LV"/>
        </w:rPr>
        <w:t xml:space="preserve">riska </w:t>
      </w:r>
      <w:r w:rsidR="00CE5550" w:rsidRPr="00DA11E4">
        <w:rPr>
          <w:rFonts w:eastAsia="Times New Roman"/>
          <w:szCs w:val="24"/>
          <w:lang w:eastAsia="lv-LV"/>
        </w:rPr>
        <w:t xml:space="preserve">grupas objektiem. </w:t>
      </w:r>
      <w:r w:rsidR="00987300" w:rsidRPr="00DA11E4">
        <w:rPr>
          <w:rFonts w:eastAsia="Times New Roman"/>
          <w:szCs w:val="24"/>
          <w:lang w:eastAsia="lv-LV"/>
        </w:rPr>
        <w:t xml:space="preserve">Informācija par </w:t>
      </w:r>
      <w:r w:rsidR="00205BC5" w:rsidRPr="00DA11E4">
        <w:rPr>
          <w:rFonts w:eastAsia="Times New Roman"/>
          <w:szCs w:val="24"/>
          <w:lang w:eastAsia="lv-LV"/>
        </w:rPr>
        <w:t xml:space="preserve">stacionārajās un ambulatorajās (t.sk. aptiekas, laboratorijas, citas </w:t>
      </w:r>
      <w:r w:rsidR="00987300" w:rsidRPr="00DA11E4">
        <w:rPr>
          <w:rFonts w:eastAsia="Times New Roman"/>
          <w:szCs w:val="24"/>
          <w:lang w:eastAsia="lv-LV"/>
        </w:rPr>
        <w:t>ārstniecības iestādēs</w:t>
      </w:r>
      <w:r w:rsidR="00205BC5" w:rsidRPr="00DA11E4">
        <w:rPr>
          <w:rFonts w:eastAsia="Times New Roman"/>
          <w:szCs w:val="24"/>
          <w:lang w:eastAsia="lv-LV"/>
        </w:rPr>
        <w:t>)</w:t>
      </w:r>
      <w:r w:rsidR="00987300" w:rsidRPr="00DA11E4">
        <w:rPr>
          <w:rFonts w:eastAsia="Times New Roman"/>
          <w:szCs w:val="24"/>
          <w:lang w:eastAsia="lv-LV"/>
        </w:rPr>
        <w:t xml:space="preserve"> reģistrētajiem </w:t>
      </w:r>
      <w:r w:rsidR="00205BC5" w:rsidRPr="00DA11E4">
        <w:rPr>
          <w:rFonts w:eastAsia="Times New Roman"/>
          <w:szCs w:val="24"/>
          <w:lang w:eastAsia="lv-LV"/>
        </w:rPr>
        <w:t xml:space="preserve">nodarbināto </w:t>
      </w:r>
      <w:r w:rsidR="00987300" w:rsidRPr="00DA11E4">
        <w:rPr>
          <w:rFonts w:eastAsia="Times New Roman"/>
          <w:szCs w:val="24"/>
          <w:lang w:eastAsia="lv-LV"/>
        </w:rPr>
        <w:t>Covid-19 saslimšanas gadījumiem apkopota tabulā 1.tabulā.</w:t>
      </w:r>
    </w:p>
    <w:p w14:paraId="01EF254D" w14:textId="4E76AD19" w:rsidR="00875953" w:rsidRPr="00DA11E4" w:rsidRDefault="00875953" w:rsidP="005A1B5E">
      <w:pPr>
        <w:shd w:val="clear" w:color="auto" w:fill="FFFFFF"/>
        <w:textAlignment w:val="baseline"/>
        <w:rPr>
          <w:rFonts w:eastAsia="Times New Roman"/>
          <w:szCs w:val="24"/>
          <w:lang w:eastAsia="lv-LV"/>
        </w:rPr>
      </w:pPr>
    </w:p>
    <w:p w14:paraId="39DB85C8" w14:textId="35A81124" w:rsidR="00875953" w:rsidRPr="00DA11E4" w:rsidRDefault="00875953" w:rsidP="005A1B5E">
      <w:pPr>
        <w:shd w:val="clear" w:color="auto" w:fill="FFFFFF"/>
        <w:textAlignment w:val="baseline"/>
        <w:rPr>
          <w:rFonts w:eastAsia="Times New Roman"/>
          <w:szCs w:val="24"/>
          <w:lang w:eastAsia="lv-LV"/>
        </w:rPr>
      </w:pPr>
    </w:p>
    <w:p w14:paraId="0BA6507F" w14:textId="066AD761" w:rsidR="00875953" w:rsidRPr="00DA11E4" w:rsidRDefault="00875953" w:rsidP="005A1B5E">
      <w:pPr>
        <w:shd w:val="clear" w:color="auto" w:fill="FFFFFF"/>
        <w:textAlignment w:val="baseline"/>
        <w:rPr>
          <w:rFonts w:eastAsia="Times New Roman"/>
          <w:szCs w:val="24"/>
          <w:lang w:eastAsia="lv-LV"/>
        </w:rPr>
      </w:pPr>
    </w:p>
    <w:p w14:paraId="4BD56367" w14:textId="77777777" w:rsidR="00875953" w:rsidRPr="00DA11E4" w:rsidRDefault="00875953" w:rsidP="005A1B5E">
      <w:pPr>
        <w:shd w:val="clear" w:color="auto" w:fill="FFFFFF"/>
        <w:textAlignment w:val="baseline"/>
        <w:rPr>
          <w:rFonts w:eastAsia="Times New Roman"/>
          <w:szCs w:val="24"/>
          <w:lang w:eastAsia="lv-LV"/>
        </w:rPr>
      </w:pPr>
    </w:p>
    <w:p w14:paraId="3011C8DC" w14:textId="0FDC9DF4" w:rsidR="00C57054" w:rsidRPr="00DA11E4" w:rsidRDefault="00C57054" w:rsidP="00C57054">
      <w:pPr>
        <w:shd w:val="clear" w:color="auto" w:fill="FFFFFF"/>
        <w:jc w:val="right"/>
        <w:textAlignment w:val="baseline"/>
        <w:rPr>
          <w:rFonts w:eastAsia="Times New Roman"/>
          <w:i/>
          <w:iCs/>
          <w:szCs w:val="24"/>
          <w:lang w:eastAsia="lv-LV"/>
        </w:rPr>
      </w:pPr>
      <w:r w:rsidRPr="00DA11E4">
        <w:rPr>
          <w:rFonts w:eastAsia="Times New Roman"/>
          <w:i/>
          <w:iCs/>
          <w:szCs w:val="24"/>
          <w:lang w:eastAsia="lv-LV"/>
        </w:rPr>
        <w:lastRenderedPageBreak/>
        <w:t>1.tabula</w:t>
      </w:r>
    </w:p>
    <w:tbl>
      <w:tblPr>
        <w:tblW w:w="8620" w:type="dxa"/>
        <w:tblLook w:val="04A0" w:firstRow="1" w:lastRow="0" w:firstColumn="1" w:lastColumn="0" w:noHBand="0" w:noVBand="1"/>
      </w:tblPr>
      <w:tblGrid>
        <w:gridCol w:w="1123"/>
        <w:gridCol w:w="1397"/>
        <w:gridCol w:w="546"/>
        <w:gridCol w:w="546"/>
        <w:gridCol w:w="545"/>
        <w:gridCol w:w="545"/>
        <w:gridCol w:w="545"/>
        <w:gridCol w:w="545"/>
        <w:gridCol w:w="737"/>
        <w:gridCol w:w="737"/>
        <w:gridCol w:w="737"/>
        <w:gridCol w:w="737"/>
      </w:tblGrid>
      <w:tr w:rsidR="00C57054" w:rsidRPr="00DA11E4" w14:paraId="15FB66BE" w14:textId="77777777" w:rsidTr="00C57054">
        <w:trPr>
          <w:trHeight w:val="290"/>
        </w:trPr>
        <w:tc>
          <w:tcPr>
            <w:tcW w:w="1080" w:type="dxa"/>
            <w:tcBorders>
              <w:top w:val="nil"/>
              <w:left w:val="nil"/>
              <w:bottom w:val="nil"/>
              <w:right w:val="nil"/>
            </w:tcBorders>
            <w:shd w:val="clear" w:color="auto" w:fill="auto"/>
            <w:noWrap/>
            <w:vAlign w:val="bottom"/>
            <w:hideMark/>
          </w:tcPr>
          <w:p w14:paraId="06835555" w14:textId="77777777" w:rsidR="00C57054" w:rsidRPr="00DA11E4" w:rsidRDefault="00C57054" w:rsidP="00C57054">
            <w:pPr>
              <w:ind w:firstLine="0"/>
              <w:jc w:val="left"/>
              <w:rPr>
                <w:rFonts w:eastAsia="Times New Roman" w:cs="Times New Roman"/>
                <w:sz w:val="20"/>
                <w:szCs w:val="24"/>
                <w:lang w:eastAsia="lv-LV"/>
              </w:rPr>
            </w:pPr>
          </w:p>
        </w:tc>
        <w:tc>
          <w:tcPr>
            <w:tcW w:w="1320" w:type="dxa"/>
            <w:tcBorders>
              <w:top w:val="nil"/>
              <w:left w:val="nil"/>
              <w:bottom w:val="nil"/>
              <w:right w:val="nil"/>
            </w:tcBorders>
            <w:shd w:val="clear" w:color="auto" w:fill="auto"/>
            <w:noWrap/>
            <w:vAlign w:val="bottom"/>
            <w:hideMark/>
          </w:tcPr>
          <w:p w14:paraId="776D62E3" w14:textId="77777777" w:rsidR="00C57054" w:rsidRPr="00DA11E4" w:rsidRDefault="00C57054" w:rsidP="00C57054">
            <w:pPr>
              <w:ind w:firstLine="0"/>
              <w:jc w:val="left"/>
              <w:rPr>
                <w:rFonts w:eastAsia="Times New Roman" w:cs="Times New Roman"/>
                <w:sz w:val="20"/>
                <w:szCs w:val="20"/>
                <w:lang w:eastAsia="lv-LV"/>
              </w:rPr>
            </w:pPr>
          </w:p>
        </w:tc>
        <w:tc>
          <w:tcPr>
            <w:tcW w:w="622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78378"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2021. gada nedēļa</w:t>
            </w:r>
          </w:p>
        </w:tc>
      </w:tr>
      <w:tr w:rsidR="00C57054" w:rsidRPr="00DA11E4" w14:paraId="1D6C5887" w14:textId="77777777" w:rsidTr="00C57054">
        <w:trPr>
          <w:trHeight w:val="580"/>
        </w:trPr>
        <w:tc>
          <w:tcPr>
            <w:tcW w:w="1080"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68A139D3" w14:textId="77777777" w:rsidR="00C57054" w:rsidRPr="00DA11E4" w:rsidRDefault="00C57054" w:rsidP="00C57054">
            <w:pPr>
              <w:ind w:firstLine="0"/>
              <w:rPr>
                <w:rFonts w:eastAsia="Times New Roman" w:cs="Times New Roman"/>
                <w:color w:val="000000"/>
                <w:szCs w:val="24"/>
                <w:lang w:eastAsia="lv-LV"/>
              </w:rPr>
            </w:pPr>
            <w:r w:rsidRPr="00DA11E4">
              <w:rPr>
                <w:rFonts w:eastAsia="Times New Roman" w:cs="Times New Roman"/>
                <w:color w:val="000000"/>
                <w:szCs w:val="24"/>
                <w:lang w:eastAsia="lv-LV"/>
              </w:rPr>
              <w:t>Persona</w:t>
            </w:r>
          </w:p>
        </w:tc>
        <w:tc>
          <w:tcPr>
            <w:tcW w:w="1320" w:type="dxa"/>
            <w:tcBorders>
              <w:top w:val="single" w:sz="4" w:space="0" w:color="auto"/>
              <w:left w:val="nil"/>
              <w:bottom w:val="single" w:sz="4" w:space="0" w:color="auto"/>
              <w:right w:val="single" w:sz="4" w:space="0" w:color="auto"/>
            </w:tcBorders>
            <w:shd w:val="clear" w:color="000000" w:fill="D9D9D9"/>
            <w:vAlign w:val="bottom"/>
            <w:hideMark/>
          </w:tcPr>
          <w:p w14:paraId="0C343357"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Ārstniecības iestādes</w:t>
            </w:r>
          </w:p>
        </w:tc>
        <w:tc>
          <w:tcPr>
            <w:tcW w:w="546" w:type="dxa"/>
            <w:tcBorders>
              <w:top w:val="nil"/>
              <w:left w:val="nil"/>
              <w:bottom w:val="single" w:sz="4" w:space="0" w:color="auto"/>
              <w:right w:val="single" w:sz="4" w:space="0" w:color="auto"/>
            </w:tcBorders>
            <w:shd w:val="clear" w:color="000000" w:fill="DBDBDB"/>
            <w:noWrap/>
            <w:vAlign w:val="center"/>
            <w:hideMark/>
          </w:tcPr>
          <w:p w14:paraId="49A2425C"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31</w:t>
            </w:r>
          </w:p>
        </w:tc>
        <w:tc>
          <w:tcPr>
            <w:tcW w:w="546" w:type="dxa"/>
            <w:tcBorders>
              <w:top w:val="nil"/>
              <w:left w:val="nil"/>
              <w:bottom w:val="single" w:sz="4" w:space="0" w:color="auto"/>
              <w:right w:val="single" w:sz="4" w:space="0" w:color="auto"/>
            </w:tcBorders>
            <w:shd w:val="clear" w:color="000000" w:fill="DBDBDB"/>
            <w:noWrap/>
            <w:vAlign w:val="center"/>
            <w:hideMark/>
          </w:tcPr>
          <w:p w14:paraId="70D88E46"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32</w:t>
            </w:r>
          </w:p>
        </w:tc>
        <w:tc>
          <w:tcPr>
            <w:tcW w:w="545" w:type="dxa"/>
            <w:tcBorders>
              <w:top w:val="nil"/>
              <w:left w:val="nil"/>
              <w:bottom w:val="single" w:sz="4" w:space="0" w:color="auto"/>
              <w:right w:val="single" w:sz="4" w:space="0" w:color="auto"/>
            </w:tcBorders>
            <w:shd w:val="clear" w:color="000000" w:fill="DBDBDB"/>
            <w:noWrap/>
            <w:vAlign w:val="center"/>
            <w:hideMark/>
          </w:tcPr>
          <w:p w14:paraId="3ED6FEE1"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33</w:t>
            </w:r>
          </w:p>
        </w:tc>
        <w:tc>
          <w:tcPr>
            <w:tcW w:w="545" w:type="dxa"/>
            <w:tcBorders>
              <w:top w:val="nil"/>
              <w:left w:val="nil"/>
              <w:bottom w:val="single" w:sz="4" w:space="0" w:color="auto"/>
              <w:right w:val="single" w:sz="4" w:space="0" w:color="auto"/>
            </w:tcBorders>
            <w:shd w:val="clear" w:color="000000" w:fill="DBDBDB"/>
            <w:noWrap/>
            <w:vAlign w:val="center"/>
            <w:hideMark/>
          </w:tcPr>
          <w:p w14:paraId="58FCC37F"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34</w:t>
            </w:r>
          </w:p>
        </w:tc>
        <w:tc>
          <w:tcPr>
            <w:tcW w:w="545" w:type="dxa"/>
            <w:tcBorders>
              <w:top w:val="nil"/>
              <w:left w:val="nil"/>
              <w:bottom w:val="single" w:sz="4" w:space="0" w:color="auto"/>
              <w:right w:val="single" w:sz="4" w:space="0" w:color="auto"/>
            </w:tcBorders>
            <w:shd w:val="clear" w:color="000000" w:fill="DBDBDB"/>
            <w:noWrap/>
            <w:vAlign w:val="center"/>
            <w:hideMark/>
          </w:tcPr>
          <w:p w14:paraId="73E4BD18"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35</w:t>
            </w:r>
          </w:p>
        </w:tc>
        <w:tc>
          <w:tcPr>
            <w:tcW w:w="545" w:type="dxa"/>
            <w:tcBorders>
              <w:top w:val="nil"/>
              <w:left w:val="nil"/>
              <w:bottom w:val="single" w:sz="4" w:space="0" w:color="auto"/>
              <w:right w:val="single" w:sz="4" w:space="0" w:color="auto"/>
            </w:tcBorders>
            <w:shd w:val="clear" w:color="000000" w:fill="DBDBDB"/>
            <w:noWrap/>
            <w:vAlign w:val="center"/>
            <w:hideMark/>
          </w:tcPr>
          <w:p w14:paraId="29373962"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36</w:t>
            </w:r>
          </w:p>
        </w:tc>
        <w:tc>
          <w:tcPr>
            <w:tcW w:w="737" w:type="dxa"/>
            <w:tcBorders>
              <w:top w:val="nil"/>
              <w:left w:val="nil"/>
              <w:bottom w:val="single" w:sz="4" w:space="0" w:color="auto"/>
              <w:right w:val="single" w:sz="4" w:space="0" w:color="auto"/>
            </w:tcBorders>
            <w:shd w:val="clear" w:color="000000" w:fill="DBDBDB"/>
            <w:noWrap/>
            <w:vAlign w:val="center"/>
            <w:hideMark/>
          </w:tcPr>
          <w:p w14:paraId="46A11B39"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37</w:t>
            </w:r>
          </w:p>
        </w:tc>
        <w:tc>
          <w:tcPr>
            <w:tcW w:w="737" w:type="dxa"/>
            <w:tcBorders>
              <w:top w:val="nil"/>
              <w:left w:val="nil"/>
              <w:bottom w:val="single" w:sz="4" w:space="0" w:color="auto"/>
              <w:right w:val="single" w:sz="4" w:space="0" w:color="auto"/>
            </w:tcBorders>
            <w:shd w:val="clear" w:color="000000" w:fill="DBDBDB"/>
            <w:noWrap/>
            <w:vAlign w:val="center"/>
            <w:hideMark/>
          </w:tcPr>
          <w:p w14:paraId="2D9E4382"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38</w:t>
            </w:r>
          </w:p>
        </w:tc>
        <w:tc>
          <w:tcPr>
            <w:tcW w:w="737" w:type="dxa"/>
            <w:tcBorders>
              <w:top w:val="nil"/>
              <w:left w:val="nil"/>
              <w:bottom w:val="single" w:sz="4" w:space="0" w:color="auto"/>
              <w:right w:val="single" w:sz="4" w:space="0" w:color="auto"/>
            </w:tcBorders>
            <w:shd w:val="clear" w:color="000000" w:fill="DBDBDB"/>
            <w:noWrap/>
            <w:vAlign w:val="center"/>
            <w:hideMark/>
          </w:tcPr>
          <w:p w14:paraId="2B9097FD"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39</w:t>
            </w:r>
          </w:p>
        </w:tc>
        <w:tc>
          <w:tcPr>
            <w:tcW w:w="737" w:type="dxa"/>
            <w:tcBorders>
              <w:top w:val="nil"/>
              <w:left w:val="nil"/>
              <w:bottom w:val="single" w:sz="4" w:space="0" w:color="auto"/>
              <w:right w:val="single" w:sz="4" w:space="0" w:color="auto"/>
            </w:tcBorders>
            <w:shd w:val="clear" w:color="000000" w:fill="DBDBDB"/>
            <w:noWrap/>
            <w:vAlign w:val="center"/>
            <w:hideMark/>
          </w:tcPr>
          <w:p w14:paraId="65237C81" w14:textId="77777777" w:rsidR="00C57054" w:rsidRPr="00DA11E4" w:rsidRDefault="00C57054" w:rsidP="00C57054">
            <w:pPr>
              <w:ind w:firstLine="0"/>
              <w:jc w:val="center"/>
              <w:rPr>
                <w:rFonts w:eastAsia="Times New Roman" w:cs="Times New Roman"/>
                <w:b/>
                <w:bCs/>
                <w:i/>
                <w:iCs/>
                <w:color w:val="000000"/>
                <w:szCs w:val="24"/>
                <w:lang w:eastAsia="lv-LV"/>
              </w:rPr>
            </w:pPr>
            <w:r w:rsidRPr="00DA11E4">
              <w:rPr>
                <w:rFonts w:eastAsia="Times New Roman" w:cs="Times New Roman"/>
                <w:b/>
                <w:bCs/>
                <w:i/>
                <w:iCs/>
                <w:color w:val="000000"/>
                <w:szCs w:val="24"/>
                <w:lang w:val="en-US" w:eastAsia="lv-LV"/>
              </w:rPr>
              <w:t>40</w:t>
            </w:r>
          </w:p>
        </w:tc>
      </w:tr>
      <w:tr w:rsidR="00C57054" w:rsidRPr="00DA11E4" w14:paraId="55509C39" w14:textId="77777777" w:rsidTr="00C57054">
        <w:trPr>
          <w:trHeight w:val="360"/>
        </w:trPr>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8CE997" w14:textId="77777777" w:rsidR="00C57054" w:rsidRPr="00DA11E4" w:rsidRDefault="00C57054" w:rsidP="00C57054">
            <w:pPr>
              <w:ind w:firstLine="0"/>
              <w:jc w:val="center"/>
              <w:rPr>
                <w:rFonts w:eastAsia="Times New Roman" w:cs="Times New Roman"/>
                <w:color w:val="000000"/>
                <w:szCs w:val="24"/>
                <w:lang w:eastAsia="lv-LV"/>
              </w:rPr>
            </w:pPr>
            <w:proofErr w:type="spellStart"/>
            <w:r w:rsidRPr="00DA11E4">
              <w:rPr>
                <w:rFonts w:eastAsia="Times New Roman" w:cs="Times New Roman"/>
                <w:color w:val="000000"/>
                <w:szCs w:val="24"/>
                <w:lang w:val="en-US" w:eastAsia="lv-LV"/>
              </w:rPr>
              <w:t>Ārsts</w:t>
            </w:r>
            <w:proofErr w:type="spellEnd"/>
          </w:p>
        </w:tc>
        <w:tc>
          <w:tcPr>
            <w:tcW w:w="1320" w:type="dxa"/>
            <w:tcBorders>
              <w:top w:val="nil"/>
              <w:left w:val="nil"/>
              <w:bottom w:val="single" w:sz="4" w:space="0" w:color="auto"/>
              <w:right w:val="single" w:sz="4" w:space="0" w:color="auto"/>
            </w:tcBorders>
            <w:shd w:val="clear" w:color="auto" w:fill="auto"/>
            <w:vAlign w:val="bottom"/>
            <w:hideMark/>
          </w:tcPr>
          <w:p w14:paraId="18EA28B0"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Stacionārās</w:t>
            </w:r>
          </w:p>
        </w:tc>
        <w:tc>
          <w:tcPr>
            <w:tcW w:w="546" w:type="dxa"/>
            <w:tcBorders>
              <w:top w:val="nil"/>
              <w:left w:val="nil"/>
              <w:bottom w:val="single" w:sz="4" w:space="0" w:color="auto"/>
              <w:right w:val="single" w:sz="4" w:space="0" w:color="auto"/>
            </w:tcBorders>
            <w:shd w:val="clear" w:color="auto" w:fill="auto"/>
            <w:noWrap/>
            <w:vAlign w:val="center"/>
            <w:hideMark/>
          </w:tcPr>
          <w:p w14:paraId="6A27B1D1"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6" w:type="dxa"/>
            <w:tcBorders>
              <w:top w:val="nil"/>
              <w:left w:val="nil"/>
              <w:bottom w:val="single" w:sz="4" w:space="0" w:color="auto"/>
              <w:right w:val="single" w:sz="4" w:space="0" w:color="auto"/>
            </w:tcBorders>
            <w:shd w:val="clear" w:color="auto" w:fill="auto"/>
            <w:noWrap/>
            <w:vAlign w:val="center"/>
            <w:hideMark/>
          </w:tcPr>
          <w:p w14:paraId="0FDD7C8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3EFE8269"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5" w:type="dxa"/>
            <w:tcBorders>
              <w:top w:val="nil"/>
              <w:left w:val="nil"/>
              <w:bottom w:val="single" w:sz="4" w:space="0" w:color="auto"/>
              <w:right w:val="single" w:sz="4" w:space="0" w:color="auto"/>
            </w:tcBorders>
            <w:shd w:val="clear" w:color="auto" w:fill="auto"/>
            <w:noWrap/>
            <w:vAlign w:val="center"/>
            <w:hideMark/>
          </w:tcPr>
          <w:p w14:paraId="44DDC14C"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0A4D619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4</w:t>
            </w:r>
          </w:p>
        </w:tc>
        <w:tc>
          <w:tcPr>
            <w:tcW w:w="545" w:type="dxa"/>
            <w:tcBorders>
              <w:top w:val="nil"/>
              <w:left w:val="nil"/>
              <w:bottom w:val="single" w:sz="4" w:space="0" w:color="auto"/>
              <w:right w:val="single" w:sz="4" w:space="0" w:color="auto"/>
            </w:tcBorders>
            <w:shd w:val="clear" w:color="auto" w:fill="auto"/>
            <w:noWrap/>
            <w:vAlign w:val="center"/>
            <w:hideMark/>
          </w:tcPr>
          <w:p w14:paraId="55A4D32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7</w:t>
            </w:r>
          </w:p>
        </w:tc>
        <w:tc>
          <w:tcPr>
            <w:tcW w:w="737" w:type="dxa"/>
            <w:tcBorders>
              <w:top w:val="nil"/>
              <w:left w:val="nil"/>
              <w:bottom w:val="single" w:sz="4" w:space="0" w:color="auto"/>
              <w:right w:val="single" w:sz="4" w:space="0" w:color="auto"/>
            </w:tcBorders>
            <w:shd w:val="clear" w:color="auto" w:fill="auto"/>
            <w:noWrap/>
            <w:vAlign w:val="center"/>
            <w:hideMark/>
          </w:tcPr>
          <w:p w14:paraId="2F45C3C8"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11</w:t>
            </w:r>
          </w:p>
        </w:tc>
        <w:tc>
          <w:tcPr>
            <w:tcW w:w="737" w:type="dxa"/>
            <w:tcBorders>
              <w:top w:val="nil"/>
              <w:left w:val="nil"/>
              <w:bottom w:val="single" w:sz="4" w:space="0" w:color="auto"/>
              <w:right w:val="single" w:sz="4" w:space="0" w:color="auto"/>
            </w:tcBorders>
            <w:shd w:val="clear" w:color="auto" w:fill="auto"/>
            <w:noWrap/>
            <w:vAlign w:val="center"/>
            <w:hideMark/>
          </w:tcPr>
          <w:p w14:paraId="22749B1C"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13</w:t>
            </w:r>
          </w:p>
        </w:tc>
        <w:tc>
          <w:tcPr>
            <w:tcW w:w="737" w:type="dxa"/>
            <w:tcBorders>
              <w:top w:val="nil"/>
              <w:left w:val="nil"/>
              <w:bottom w:val="single" w:sz="4" w:space="0" w:color="auto"/>
              <w:right w:val="single" w:sz="4" w:space="0" w:color="auto"/>
            </w:tcBorders>
            <w:shd w:val="clear" w:color="auto" w:fill="auto"/>
            <w:noWrap/>
            <w:vAlign w:val="center"/>
            <w:hideMark/>
          </w:tcPr>
          <w:p w14:paraId="6E6F57A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15</w:t>
            </w:r>
          </w:p>
        </w:tc>
        <w:tc>
          <w:tcPr>
            <w:tcW w:w="737" w:type="dxa"/>
            <w:tcBorders>
              <w:top w:val="nil"/>
              <w:left w:val="nil"/>
              <w:bottom w:val="single" w:sz="4" w:space="0" w:color="auto"/>
              <w:right w:val="single" w:sz="4" w:space="0" w:color="auto"/>
            </w:tcBorders>
            <w:shd w:val="clear" w:color="auto" w:fill="auto"/>
            <w:noWrap/>
            <w:vAlign w:val="center"/>
            <w:hideMark/>
          </w:tcPr>
          <w:p w14:paraId="4081F995"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27</w:t>
            </w:r>
          </w:p>
        </w:tc>
      </w:tr>
      <w:tr w:rsidR="00C57054" w:rsidRPr="00DA11E4" w14:paraId="6C367B7D" w14:textId="77777777" w:rsidTr="00C57054">
        <w:trPr>
          <w:trHeight w:val="280"/>
        </w:trPr>
        <w:tc>
          <w:tcPr>
            <w:tcW w:w="1080" w:type="dxa"/>
            <w:vMerge/>
            <w:tcBorders>
              <w:top w:val="nil"/>
              <w:left w:val="single" w:sz="4" w:space="0" w:color="auto"/>
              <w:bottom w:val="single" w:sz="4" w:space="0" w:color="auto"/>
              <w:right w:val="single" w:sz="4" w:space="0" w:color="auto"/>
            </w:tcBorders>
            <w:vAlign w:val="center"/>
            <w:hideMark/>
          </w:tcPr>
          <w:p w14:paraId="10862168" w14:textId="77777777" w:rsidR="00C57054" w:rsidRPr="00DA11E4" w:rsidRDefault="00C57054" w:rsidP="00C57054">
            <w:pPr>
              <w:ind w:firstLine="0"/>
              <w:jc w:val="left"/>
              <w:rPr>
                <w:rFonts w:eastAsia="Times New Roman" w:cs="Times New Roman"/>
                <w:color w:val="000000"/>
                <w:szCs w:val="24"/>
                <w:lang w:eastAsia="lv-LV"/>
              </w:rPr>
            </w:pPr>
          </w:p>
        </w:tc>
        <w:tc>
          <w:tcPr>
            <w:tcW w:w="1320" w:type="dxa"/>
            <w:tcBorders>
              <w:top w:val="nil"/>
              <w:left w:val="nil"/>
              <w:bottom w:val="single" w:sz="4" w:space="0" w:color="auto"/>
              <w:right w:val="single" w:sz="4" w:space="0" w:color="auto"/>
            </w:tcBorders>
            <w:shd w:val="clear" w:color="auto" w:fill="auto"/>
            <w:vAlign w:val="bottom"/>
            <w:hideMark/>
          </w:tcPr>
          <w:p w14:paraId="04BC5F70"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Ambulatorās</w:t>
            </w:r>
          </w:p>
        </w:tc>
        <w:tc>
          <w:tcPr>
            <w:tcW w:w="546" w:type="dxa"/>
            <w:tcBorders>
              <w:top w:val="nil"/>
              <w:left w:val="nil"/>
              <w:bottom w:val="single" w:sz="4" w:space="0" w:color="auto"/>
              <w:right w:val="single" w:sz="4" w:space="0" w:color="auto"/>
            </w:tcBorders>
            <w:shd w:val="clear" w:color="auto" w:fill="auto"/>
            <w:noWrap/>
            <w:vAlign w:val="center"/>
            <w:hideMark/>
          </w:tcPr>
          <w:p w14:paraId="49A5F83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6" w:type="dxa"/>
            <w:tcBorders>
              <w:top w:val="nil"/>
              <w:left w:val="nil"/>
              <w:bottom w:val="single" w:sz="4" w:space="0" w:color="auto"/>
              <w:right w:val="single" w:sz="4" w:space="0" w:color="auto"/>
            </w:tcBorders>
            <w:shd w:val="clear" w:color="auto" w:fill="auto"/>
            <w:noWrap/>
            <w:vAlign w:val="center"/>
            <w:hideMark/>
          </w:tcPr>
          <w:p w14:paraId="7F2F6BF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5" w:type="dxa"/>
            <w:tcBorders>
              <w:top w:val="nil"/>
              <w:left w:val="nil"/>
              <w:bottom w:val="single" w:sz="4" w:space="0" w:color="auto"/>
              <w:right w:val="single" w:sz="4" w:space="0" w:color="auto"/>
            </w:tcBorders>
            <w:shd w:val="clear" w:color="auto" w:fill="auto"/>
            <w:noWrap/>
            <w:vAlign w:val="center"/>
            <w:hideMark/>
          </w:tcPr>
          <w:p w14:paraId="594D6F0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0AA8E491"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0C5548AC"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7</w:t>
            </w:r>
          </w:p>
        </w:tc>
        <w:tc>
          <w:tcPr>
            <w:tcW w:w="545" w:type="dxa"/>
            <w:tcBorders>
              <w:top w:val="nil"/>
              <w:left w:val="nil"/>
              <w:bottom w:val="single" w:sz="4" w:space="0" w:color="auto"/>
              <w:right w:val="single" w:sz="4" w:space="0" w:color="auto"/>
            </w:tcBorders>
            <w:shd w:val="clear" w:color="auto" w:fill="auto"/>
            <w:noWrap/>
            <w:vAlign w:val="center"/>
            <w:hideMark/>
          </w:tcPr>
          <w:p w14:paraId="3ED1B897"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9</w:t>
            </w:r>
          </w:p>
        </w:tc>
        <w:tc>
          <w:tcPr>
            <w:tcW w:w="737" w:type="dxa"/>
            <w:tcBorders>
              <w:top w:val="nil"/>
              <w:left w:val="nil"/>
              <w:bottom w:val="single" w:sz="4" w:space="0" w:color="auto"/>
              <w:right w:val="single" w:sz="4" w:space="0" w:color="auto"/>
            </w:tcBorders>
            <w:shd w:val="clear" w:color="auto" w:fill="auto"/>
            <w:noWrap/>
            <w:vAlign w:val="center"/>
            <w:hideMark/>
          </w:tcPr>
          <w:p w14:paraId="0EA344FC"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9</w:t>
            </w:r>
          </w:p>
        </w:tc>
        <w:tc>
          <w:tcPr>
            <w:tcW w:w="737" w:type="dxa"/>
            <w:tcBorders>
              <w:top w:val="nil"/>
              <w:left w:val="nil"/>
              <w:bottom w:val="single" w:sz="4" w:space="0" w:color="auto"/>
              <w:right w:val="single" w:sz="4" w:space="0" w:color="auto"/>
            </w:tcBorders>
            <w:shd w:val="clear" w:color="auto" w:fill="auto"/>
            <w:noWrap/>
            <w:vAlign w:val="center"/>
            <w:hideMark/>
          </w:tcPr>
          <w:p w14:paraId="289A4001"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13</w:t>
            </w:r>
          </w:p>
        </w:tc>
        <w:tc>
          <w:tcPr>
            <w:tcW w:w="737" w:type="dxa"/>
            <w:tcBorders>
              <w:top w:val="nil"/>
              <w:left w:val="nil"/>
              <w:bottom w:val="single" w:sz="4" w:space="0" w:color="auto"/>
              <w:right w:val="single" w:sz="4" w:space="0" w:color="auto"/>
            </w:tcBorders>
            <w:shd w:val="clear" w:color="auto" w:fill="auto"/>
            <w:noWrap/>
            <w:vAlign w:val="center"/>
            <w:hideMark/>
          </w:tcPr>
          <w:p w14:paraId="409632A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19</w:t>
            </w:r>
          </w:p>
        </w:tc>
        <w:tc>
          <w:tcPr>
            <w:tcW w:w="737" w:type="dxa"/>
            <w:tcBorders>
              <w:top w:val="nil"/>
              <w:left w:val="nil"/>
              <w:bottom w:val="single" w:sz="4" w:space="0" w:color="auto"/>
              <w:right w:val="single" w:sz="4" w:space="0" w:color="auto"/>
            </w:tcBorders>
            <w:shd w:val="clear" w:color="auto" w:fill="auto"/>
            <w:noWrap/>
            <w:vAlign w:val="center"/>
            <w:hideMark/>
          </w:tcPr>
          <w:p w14:paraId="5D2193F8"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25</w:t>
            </w:r>
          </w:p>
        </w:tc>
      </w:tr>
      <w:tr w:rsidR="00C57054" w:rsidRPr="00DA11E4" w14:paraId="536093B5" w14:textId="77777777" w:rsidTr="00C57054">
        <w:trPr>
          <w:trHeight w:val="33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12C67EB" w14:textId="77777777" w:rsidR="00C57054" w:rsidRPr="00DA11E4" w:rsidRDefault="00C57054" w:rsidP="00C57054">
            <w:pPr>
              <w:ind w:firstLine="0"/>
              <w:jc w:val="center"/>
              <w:rPr>
                <w:rFonts w:eastAsia="Times New Roman" w:cs="Times New Roman"/>
                <w:color w:val="000000"/>
                <w:szCs w:val="24"/>
                <w:lang w:eastAsia="lv-LV"/>
              </w:rPr>
            </w:pPr>
            <w:proofErr w:type="spellStart"/>
            <w:r w:rsidRPr="00DA11E4">
              <w:rPr>
                <w:rFonts w:eastAsia="Times New Roman" w:cs="Times New Roman"/>
                <w:color w:val="000000"/>
                <w:szCs w:val="24"/>
                <w:lang w:val="en-US" w:eastAsia="lv-LV"/>
              </w:rPr>
              <w:t>Ārsta</w:t>
            </w:r>
            <w:proofErr w:type="spellEnd"/>
            <w:r w:rsidRPr="00DA11E4">
              <w:rPr>
                <w:rFonts w:eastAsia="Times New Roman" w:cs="Times New Roman"/>
                <w:color w:val="000000"/>
                <w:szCs w:val="24"/>
                <w:lang w:val="en-US" w:eastAsia="lv-LV"/>
              </w:rPr>
              <w:t xml:space="preserve"> </w:t>
            </w:r>
            <w:proofErr w:type="spellStart"/>
            <w:r w:rsidRPr="00DA11E4">
              <w:rPr>
                <w:rFonts w:eastAsia="Times New Roman" w:cs="Times New Roman"/>
                <w:color w:val="000000"/>
                <w:szCs w:val="24"/>
                <w:lang w:val="en-US" w:eastAsia="lv-LV"/>
              </w:rPr>
              <w:t>palīgs</w:t>
            </w:r>
            <w:proofErr w:type="spellEnd"/>
          </w:p>
        </w:tc>
        <w:tc>
          <w:tcPr>
            <w:tcW w:w="1320" w:type="dxa"/>
            <w:tcBorders>
              <w:top w:val="nil"/>
              <w:left w:val="nil"/>
              <w:bottom w:val="single" w:sz="4" w:space="0" w:color="auto"/>
              <w:right w:val="single" w:sz="4" w:space="0" w:color="auto"/>
            </w:tcBorders>
            <w:shd w:val="clear" w:color="auto" w:fill="auto"/>
            <w:vAlign w:val="bottom"/>
            <w:hideMark/>
          </w:tcPr>
          <w:p w14:paraId="1F9B5F71"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Stacionārās</w:t>
            </w:r>
          </w:p>
        </w:tc>
        <w:tc>
          <w:tcPr>
            <w:tcW w:w="546" w:type="dxa"/>
            <w:tcBorders>
              <w:top w:val="nil"/>
              <w:left w:val="nil"/>
              <w:bottom w:val="single" w:sz="4" w:space="0" w:color="auto"/>
              <w:right w:val="single" w:sz="4" w:space="0" w:color="auto"/>
            </w:tcBorders>
            <w:shd w:val="clear" w:color="auto" w:fill="auto"/>
            <w:noWrap/>
            <w:vAlign w:val="center"/>
            <w:hideMark/>
          </w:tcPr>
          <w:p w14:paraId="26A926F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6" w:type="dxa"/>
            <w:tcBorders>
              <w:top w:val="nil"/>
              <w:left w:val="nil"/>
              <w:bottom w:val="single" w:sz="4" w:space="0" w:color="auto"/>
              <w:right w:val="single" w:sz="4" w:space="0" w:color="auto"/>
            </w:tcBorders>
            <w:shd w:val="clear" w:color="auto" w:fill="auto"/>
            <w:noWrap/>
            <w:vAlign w:val="center"/>
            <w:hideMark/>
          </w:tcPr>
          <w:p w14:paraId="424826C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6503C6F0"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bottom"/>
            <w:hideMark/>
          </w:tcPr>
          <w:p w14:paraId="5CF3E144"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 </w:t>
            </w:r>
          </w:p>
        </w:tc>
        <w:tc>
          <w:tcPr>
            <w:tcW w:w="545" w:type="dxa"/>
            <w:tcBorders>
              <w:top w:val="nil"/>
              <w:left w:val="nil"/>
              <w:bottom w:val="single" w:sz="4" w:space="0" w:color="auto"/>
              <w:right w:val="single" w:sz="4" w:space="0" w:color="auto"/>
            </w:tcBorders>
            <w:shd w:val="clear" w:color="auto" w:fill="auto"/>
            <w:noWrap/>
            <w:vAlign w:val="center"/>
            <w:hideMark/>
          </w:tcPr>
          <w:p w14:paraId="1315E61E"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4A29BC67"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737" w:type="dxa"/>
            <w:tcBorders>
              <w:top w:val="nil"/>
              <w:left w:val="nil"/>
              <w:bottom w:val="single" w:sz="4" w:space="0" w:color="auto"/>
              <w:right w:val="single" w:sz="4" w:space="0" w:color="auto"/>
            </w:tcBorders>
            <w:shd w:val="clear" w:color="auto" w:fill="auto"/>
            <w:noWrap/>
            <w:vAlign w:val="center"/>
            <w:hideMark/>
          </w:tcPr>
          <w:p w14:paraId="3E2D9B67"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737" w:type="dxa"/>
            <w:tcBorders>
              <w:top w:val="nil"/>
              <w:left w:val="nil"/>
              <w:bottom w:val="single" w:sz="4" w:space="0" w:color="auto"/>
              <w:right w:val="single" w:sz="4" w:space="0" w:color="auto"/>
            </w:tcBorders>
            <w:shd w:val="clear" w:color="auto" w:fill="auto"/>
            <w:noWrap/>
            <w:vAlign w:val="center"/>
            <w:hideMark/>
          </w:tcPr>
          <w:p w14:paraId="76AF8C0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737" w:type="dxa"/>
            <w:tcBorders>
              <w:top w:val="nil"/>
              <w:left w:val="nil"/>
              <w:bottom w:val="single" w:sz="4" w:space="0" w:color="auto"/>
              <w:right w:val="single" w:sz="4" w:space="0" w:color="auto"/>
            </w:tcBorders>
            <w:shd w:val="clear" w:color="auto" w:fill="auto"/>
            <w:noWrap/>
            <w:vAlign w:val="center"/>
            <w:hideMark/>
          </w:tcPr>
          <w:p w14:paraId="479C62B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10</w:t>
            </w:r>
          </w:p>
        </w:tc>
        <w:tc>
          <w:tcPr>
            <w:tcW w:w="737" w:type="dxa"/>
            <w:tcBorders>
              <w:top w:val="nil"/>
              <w:left w:val="nil"/>
              <w:bottom w:val="single" w:sz="4" w:space="0" w:color="auto"/>
              <w:right w:val="single" w:sz="4" w:space="0" w:color="auto"/>
            </w:tcBorders>
            <w:shd w:val="clear" w:color="auto" w:fill="auto"/>
            <w:noWrap/>
            <w:vAlign w:val="center"/>
            <w:hideMark/>
          </w:tcPr>
          <w:p w14:paraId="55846697"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w:t>
            </w:r>
          </w:p>
        </w:tc>
      </w:tr>
      <w:tr w:rsidR="00C57054" w:rsidRPr="00DA11E4" w14:paraId="704F1B65" w14:textId="77777777" w:rsidTr="00C57054">
        <w:trPr>
          <w:trHeight w:val="310"/>
        </w:trPr>
        <w:tc>
          <w:tcPr>
            <w:tcW w:w="1080" w:type="dxa"/>
            <w:vMerge/>
            <w:tcBorders>
              <w:top w:val="nil"/>
              <w:left w:val="single" w:sz="4" w:space="0" w:color="auto"/>
              <w:bottom w:val="single" w:sz="4" w:space="0" w:color="auto"/>
              <w:right w:val="single" w:sz="4" w:space="0" w:color="auto"/>
            </w:tcBorders>
            <w:vAlign w:val="center"/>
            <w:hideMark/>
          </w:tcPr>
          <w:p w14:paraId="3B0F7353" w14:textId="77777777" w:rsidR="00C57054" w:rsidRPr="00DA11E4" w:rsidRDefault="00C57054" w:rsidP="00C57054">
            <w:pPr>
              <w:ind w:firstLine="0"/>
              <w:jc w:val="left"/>
              <w:rPr>
                <w:rFonts w:eastAsia="Times New Roman" w:cs="Times New Roman"/>
                <w:color w:val="000000"/>
                <w:szCs w:val="24"/>
                <w:lang w:eastAsia="lv-LV"/>
              </w:rPr>
            </w:pPr>
          </w:p>
        </w:tc>
        <w:tc>
          <w:tcPr>
            <w:tcW w:w="1320" w:type="dxa"/>
            <w:tcBorders>
              <w:top w:val="nil"/>
              <w:left w:val="nil"/>
              <w:bottom w:val="single" w:sz="4" w:space="0" w:color="auto"/>
              <w:right w:val="single" w:sz="4" w:space="0" w:color="auto"/>
            </w:tcBorders>
            <w:shd w:val="clear" w:color="auto" w:fill="auto"/>
            <w:vAlign w:val="bottom"/>
            <w:hideMark/>
          </w:tcPr>
          <w:p w14:paraId="5AC8188F"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Ambulatorās</w:t>
            </w:r>
          </w:p>
        </w:tc>
        <w:tc>
          <w:tcPr>
            <w:tcW w:w="546" w:type="dxa"/>
            <w:tcBorders>
              <w:top w:val="nil"/>
              <w:left w:val="nil"/>
              <w:bottom w:val="single" w:sz="4" w:space="0" w:color="auto"/>
              <w:right w:val="single" w:sz="4" w:space="0" w:color="auto"/>
            </w:tcBorders>
            <w:shd w:val="clear" w:color="auto" w:fill="auto"/>
            <w:noWrap/>
            <w:vAlign w:val="center"/>
            <w:hideMark/>
          </w:tcPr>
          <w:p w14:paraId="496304E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6" w:type="dxa"/>
            <w:tcBorders>
              <w:top w:val="nil"/>
              <w:left w:val="nil"/>
              <w:bottom w:val="single" w:sz="4" w:space="0" w:color="auto"/>
              <w:right w:val="single" w:sz="4" w:space="0" w:color="auto"/>
            </w:tcBorders>
            <w:shd w:val="clear" w:color="auto" w:fill="auto"/>
            <w:noWrap/>
            <w:vAlign w:val="center"/>
            <w:hideMark/>
          </w:tcPr>
          <w:p w14:paraId="76BF314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5" w:type="dxa"/>
            <w:tcBorders>
              <w:top w:val="nil"/>
              <w:left w:val="nil"/>
              <w:bottom w:val="single" w:sz="4" w:space="0" w:color="auto"/>
              <w:right w:val="single" w:sz="4" w:space="0" w:color="auto"/>
            </w:tcBorders>
            <w:shd w:val="clear" w:color="auto" w:fill="auto"/>
            <w:noWrap/>
            <w:vAlign w:val="center"/>
            <w:hideMark/>
          </w:tcPr>
          <w:p w14:paraId="1FD1A50B"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5" w:type="dxa"/>
            <w:tcBorders>
              <w:top w:val="nil"/>
              <w:left w:val="nil"/>
              <w:bottom w:val="single" w:sz="4" w:space="0" w:color="auto"/>
              <w:right w:val="single" w:sz="4" w:space="0" w:color="auto"/>
            </w:tcBorders>
            <w:shd w:val="clear" w:color="auto" w:fill="auto"/>
            <w:noWrap/>
            <w:vAlign w:val="center"/>
            <w:hideMark/>
          </w:tcPr>
          <w:p w14:paraId="48B55869"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700D7D9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50974A8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w:t>
            </w:r>
          </w:p>
        </w:tc>
        <w:tc>
          <w:tcPr>
            <w:tcW w:w="737" w:type="dxa"/>
            <w:tcBorders>
              <w:top w:val="nil"/>
              <w:left w:val="nil"/>
              <w:bottom w:val="single" w:sz="4" w:space="0" w:color="auto"/>
              <w:right w:val="single" w:sz="4" w:space="0" w:color="auto"/>
            </w:tcBorders>
            <w:shd w:val="clear" w:color="auto" w:fill="auto"/>
            <w:noWrap/>
            <w:vAlign w:val="center"/>
            <w:hideMark/>
          </w:tcPr>
          <w:p w14:paraId="57137DC0"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8</w:t>
            </w:r>
          </w:p>
        </w:tc>
        <w:tc>
          <w:tcPr>
            <w:tcW w:w="737" w:type="dxa"/>
            <w:tcBorders>
              <w:top w:val="nil"/>
              <w:left w:val="nil"/>
              <w:bottom w:val="single" w:sz="4" w:space="0" w:color="auto"/>
              <w:right w:val="single" w:sz="4" w:space="0" w:color="auto"/>
            </w:tcBorders>
            <w:shd w:val="clear" w:color="auto" w:fill="auto"/>
            <w:noWrap/>
            <w:vAlign w:val="center"/>
            <w:hideMark/>
          </w:tcPr>
          <w:p w14:paraId="21CC24FD"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12</w:t>
            </w:r>
          </w:p>
        </w:tc>
        <w:tc>
          <w:tcPr>
            <w:tcW w:w="737" w:type="dxa"/>
            <w:tcBorders>
              <w:top w:val="nil"/>
              <w:left w:val="nil"/>
              <w:bottom w:val="single" w:sz="4" w:space="0" w:color="auto"/>
              <w:right w:val="single" w:sz="4" w:space="0" w:color="auto"/>
            </w:tcBorders>
            <w:shd w:val="clear" w:color="auto" w:fill="auto"/>
            <w:noWrap/>
            <w:vAlign w:val="center"/>
            <w:hideMark/>
          </w:tcPr>
          <w:p w14:paraId="2FB3C98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8</w:t>
            </w:r>
          </w:p>
        </w:tc>
        <w:tc>
          <w:tcPr>
            <w:tcW w:w="737" w:type="dxa"/>
            <w:tcBorders>
              <w:top w:val="nil"/>
              <w:left w:val="nil"/>
              <w:bottom w:val="single" w:sz="4" w:space="0" w:color="auto"/>
              <w:right w:val="single" w:sz="4" w:space="0" w:color="auto"/>
            </w:tcBorders>
            <w:shd w:val="clear" w:color="auto" w:fill="auto"/>
            <w:noWrap/>
            <w:vAlign w:val="center"/>
            <w:hideMark/>
          </w:tcPr>
          <w:p w14:paraId="1F468AFF"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23</w:t>
            </w:r>
          </w:p>
        </w:tc>
      </w:tr>
      <w:tr w:rsidR="00C57054" w:rsidRPr="00DA11E4" w14:paraId="64E42740" w14:textId="77777777" w:rsidTr="00C57054">
        <w:trPr>
          <w:trHeight w:val="280"/>
        </w:trPr>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DAEBD4" w14:textId="77777777" w:rsidR="00C57054" w:rsidRPr="00DA11E4" w:rsidRDefault="00C57054" w:rsidP="00C57054">
            <w:pPr>
              <w:ind w:firstLine="0"/>
              <w:jc w:val="center"/>
              <w:rPr>
                <w:rFonts w:eastAsia="Times New Roman" w:cs="Times New Roman"/>
                <w:color w:val="000000"/>
                <w:szCs w:val="24"/>
                <w:lang w:eastAsia="lv-LV"/>
              </w:rPr>
            </w:pPr>
            <w:proofErr w:type="spellStart"/>
            <w:r w:rsidRPr="00DA11E4">
              <w:rPr>
                <w:rFonts w:eastAsia="Times New Roman" w:cs="Times New Roman"/>
                <w:color w:val="000000"/>
                <w:szCs w:val="24"/>
                <w:lang w:val="en-US" w:eastAsia="lv-LV"/>
              </w:rPr>
              <w:t>Māsa</w:t>
            </w:r>
            <w:proofErr w:type="spellEnd"/>
          </w:p>
        </w:tc>
        <w:tc>
          <w:tcPr>
            <w:tcW w:w="1320" w:type="dxa"/>
            <w:tcBorders>
              <w:top w:val="nil"/>
              <w:left w:val="nil"/>
              <w:bottom w:val="single" w:sz="4" w:space="0" w:color="auto"/>
              <w:right w:val="single" w:sz="4" w:space="0" w:color="auto"/>
            </w:tcBorders>
            <w:shd w:val="clear" w:color="auto" w:fill="auto"/>
            <w:vAlign w:val="bottom"/>
            <w:hideMark/>
          </w:tcPr>
          <w:p w14:paraId="5A95DA7D"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Stacionārās</w:t>
            </w:r>
          </w:p>
        </w:tc>
        <w:tc>
          <w:tcPr>
            <w:tcW w:w="546" w:type="dxa"/>
            <w:tcBorders>
              <w:top w:val="nil"/>
              <w:left w:val="nil"/>
              <w:bottom w:val="single" w:sz="4" w:space="0" w:color="auto"/>
              <w:right w:val="single" w:sz="4" w:space="0" w:color="auto"/>
            </w:tcBorders>
            <w:shd w:val="clear" w:color="auto" w:fill="auto"/>
            <w:noWrap/>
            <w:vAlign w:val="center"/>
            <w:hideMark/>
          </w:tcPr>
          <w:p w14:paraId="41EBC946"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6" w:type="dxa"/>
            <w:tcBorders>
              <w:top w:val="nil"/>
              <w:left w:val="nil"/>
              <w:bottom w:val="single" w:sz="4" w:space="0" w:color="auto"/>
              <w:right w:val="single" w:sz="4" w:space="0" w:color="auto"/>
            </w:tcBorders>
            <w:shd w:val="clear" w:color="auto" w:fill="auto"/>
            <w:noWrap/>
            <w:vAlign w:val="center"/>
            <w:hideMark/>
          </w:tcPr>
          <w:p w14:paraId="0D95506F"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343B692C"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663E955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09F370E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13</w:t>
            </w:r>
          </w:p>
        </w:tc>
        <w:tc>
          <w:tcPr>
            <w:tcW w:w="545" w:type="dxa"/>
            <w:tcBorders>
              <w:top w:val="nil"/>
              <w:left w:val="nil"/>
              <w:bottom w:val="single" w:sz="4" w:space="0" w:color="auto"/>
              <w:right w:val="single" w:sz="4" w:space="0" w:color="auto"/>
            </w:tcBorders>
            <w:shd w:val="clear" w:color="auto" w:fill="auto"/>
            <w:noWrap/>
            <w:vAlign w:val="center"/>
            <w:hideMark/>
          </w:tcPr>
          <w:p w14:paraId="5B3F79B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10</w:t>
            </w:r>
          </w:p>
        </w:tc>
        <w:tc>
          <w:tcPr>
            <w:tcW w:w="737" w:type="dxa"/>
            <w:tcBorders>
              <w:top w:val="nil"/>
              <w:left w:val="nil"/>
              <w:bottom w:val="single" w:sz="4" w:space="0" w:color="auto"/>
              <w:right w:val="single" w:sz="4" w:space="0" w:color="auto"/>
            </w:tcBorders>
            <w:shd w:val="clear" w:color="auto" w:fill="auto"/>
            <w:noWrap/>
            <w:vAlign w:val="center"/>
            <w:hideMark/>
          </w:tcPr>
          <w:p w14:paraId="2D2DC1AB"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20</w:t>
            </w:r>
          </w:p>
        </w:tc>
        <w:tc>
          <w:tcPr>
            <w:tcW w:w="737" w:type="dxa"/>
            <w:tcBorders>
              <w:top w:val="nil"/>
              <w:left w:val="nil"/>
              <w:bottom w:val="single" w:sz="4" w:space="0" w:color="auto"/>
              <w:right w:val="single" w:sz="4" w:space="0" w:color="auto"/>
            </w:tcBorders>
            <w:shd w:val="clear" w:color="auto" w:fill="auto"/>
            <w:noWrap/>
            <w:vAlign w:val="center"/>
            <w:hideMark/>
          </w:tcPr>
          <w:p w14:paraId="4F6B829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21</w:t>
            </w:r>
          </w:p>
        </w:tc>
        <w:tc>
          <w:tcPr>
            <w:tcW w:w="737" w:type="dxa"/>
            <w:tcBorders>
              <w:top w:val="nil"/>
              <w:left w:val="nil"/>
              <w:bottom w:val="single" w:sz="4" w:space="0" w:color="auto"/>
              <w:right w:val="single" w:sz="4" w:space="0" w:color="auto"/>
            </w:tcBorders>
            <w:shd w:val="clear" w:color="auto" w:fill="auto"/>
            <w:noWrap/>
            <w:vAlign w:val="center"/>
            <w:hideMark/>
          </w:tcPr>
          <w:p w14:paraId="6A7D5037"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27</w:t>
            </w:r>
          </w:p>
        </w:tc>
        <w:tc>
          <w:tcPr>
            <w:tcW w:w="737" w:type="dxa"/>
            <w:tcBorders>
              <w:top w:val="nil"/>
              <w:left w:val="nil"/>
              <w:bottom w:val="single" w:sz="4" w:space="0" w:color="auto"/>
              <w:right w:val="single" w:sz="4" w:space="0" w:color="auto"/>
            </w:tcBorders>
            <w:shd w:val="clear" w:color="auto" w:fill="auto"/>
            <w:noWrap/>
            <w:vAlign w:val="center"/>
            <w:hideMark/>
          </w:tcPr>
          <w:p w14:paraId="647B2FC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31</w:t>
            </w:r>
          </w:p>
        </w:tc>
      </w:tr>
      <w:tr w:rsidR="00C57054" w:rsidRPr="00DA11E4" w14:paraId="49642FB8" w14:textId="77777777" w:rsidTr="00C57054">
        <w:trPr>
          <w:trHeight w:val="300"/>
        </w:trPr>
        <w:tc>
          <w:tcPr>
            <w:tcW w:w="1080" w:type="dxa"/>
            <w:vMerge/>
            <w:tcBorders>
              <w:top w:val="nil"/>
              <w:left w:val="single" w:sz="4" w:space="0" w:color="auto"/>
              <w:bottom w:val="single" w:sz="4" w:space="0" w:color="auto"/>
              <w:right w:val="single" w:sz="4" w:space="0" w:color="auto"/>
            </w:tcBorders>
            <w:vAlign w:val="center"/>
            <w:hideMark/>
          </w:tcPr>
          <w:p w14:paraId="1FC2B32B" w14:textId="77777777" w:rsidR="00C57054" w:rsidRPr="00DA11E4" w:rsidRDefault="00C57054" w:rsidP="00C57054">
            <w:pPr>
              <w:ind w:firstLine="0"/>
              <w:jc w:val="left"/>
              <w:rPr>
                <w:rFonts w:eastAsia="Times New Roman" w:cs="Times New Roman"/>
                <w:color w:val="000000"/>
                <w:szCs w:val="24"/>
                <w:lang w:eastAsia="lv-LV"/>
              </w:rPr>
            </w:pPr>
          </w:p>
        </w:tc>
        <w:tc>
          <w:tcPr>
            <w:tcW w:w="1320" w:type="dxa"/>
            <w:tcBorders>
              <w:top w:val="nil"/>
              <w:left w:val="nil"/>
              <w:bottom w:val="single" w:sz="4" w:space="0" w:color="auto"/>
              <w:right w:val="single" w:sz="4" w:space="0" w:color="auto"/>
            </w:tcBorders>
            <w:shd w:val="clear" w:color="auto" w:fill="auto"/>
            <w:vAlign w:val="bottom"/>
            <w:hideMark/>
          </w:tcPr>
          <w:p w14:paraId="0B604833"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Ambulatorās</w:t>
            </w:r>
          </w:p>
        </w:tc>
        <w:tc>
          <w:tcPr>
            <w:tcW w:w="546" w:type="dxa"/>
            <w:tcBorders>
              <w:top w:val="nil"/>
              <w:left w:val="nil"/>
              <w:bottom w:val="single" w:sz="4" w:space="0" w:color="auto"/>
              <w:right w:val="single" w:sz="4" w:space="0" w:color="auto"/>
            </w:tcBorders>
            <w:shd w:val="clear" w:color="auto" w:fill="auto"/>
            <w:noWrap/>
            <w:vAlign w:val="center"/>
            <w:hideMark/>
          </w:tcPr>
          <w:p w14:paraId="07BE7C4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6" w:type="dxa"/>
            <w:tcBorders>
              <w:top w:val="nil"/>
              <w:left w:val="nil"/>
              <w:bottom w:val="single" w:sz="4" w:space="0" w:color="auto"/>
              <w:right w:val="single" w:sz="4" w:space="0" w:color="auto"/>
            </w:tcBorders>
            <w:shd w:val="clear" w:color="auto" w:fill="auto"/>
            <w:noWrap/>
            <w:vAlign w:val="bottom"/>
            <w:hideMark/>
          </w:tcPr>
          <w:p w14:paraId="31B1BE81"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 </w:t>
            </w:r>
          </w:p>
        </w:tc>
        <w:tc>
          <w:tcPr>
            <w:tcW w:w="545" w:type="dxa"/>
            <w:tcBorders>
              <w:top w:val="nil"/>
              <w:left w:val="nil"/>
              <w:bottom w:val="single" w:sz="4" w:space="0" w:color="auto"/>
              <w:right w:val="single" w:sz="4" w:space="0" w:color="auto"/>
            </w:tcBorders>
            <w:shd w:val="clear" w:color="auto" w:fill="auto"/>
            <w:noWrap/>
            <w:vAlign w:val="center"/>
            <w:hideMark/>
          </w:tcPr>
          <w:p w14:paraId="0AE61C21"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5" w:type="dxa"/>
            <w:tcBorders>
              <w:top w:val="nil"/>
              <w:left w:val="nil"/>
              <w:bottom w:val="single" w:sz="4" w:space="0" w:color="auto"/>
              <w:right w:val="single" w:sz="4" w:space="0" w:color="auto"/>
            </w:tcBorders>
            <w:shd w:val="clear" w:color="auto" w:fill="auto"/>
            <w:noWrap/>
            <w:vAlign w:val="center"/>
            <w:hideMark/>
          </w:tcPr>
          <w:p w14:paraId="38D1D97B"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65912610"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w:t>
            </w:r>
          </w:p>
        </w:tc>
        <w:tc>
          <w:tcPr>
            <w:tcW w:w="545" w:type="dxa"/>
            <w:tcBorders>
              <w:top w:val="nil"/>
              <w:left w:val="nil"/>
              <w:bottom w:val="single" w:sz="4" w:space="0" w:color="auto"/>
              <w:right w:val="single" w:sz="4" w:space="0" w:color="auto"/>
            </w:tcBorders>
            <w:shd w:val="clear" w:color="auto" w:fill="auto"/>
            <w:noWrap/>
            <w:vAlign w:val="center"/>
            <w:hideMark/>
          </w:tcPr>
          <w:p w14:paraId="0C6E209D"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9</w:t>
            </w:r>
          </w:p>
        </w:tc>
        <w:tc>
          <w:tcPr>
            <w:tcW w:w="737" w:type="dxa"/>
            <w:tcBorders>
              <w:top w:val="nil"/>
              <w:left w:val="nil"/>
              <w:bottom w:val="single" w:sz="4" w:space="0" w:color="auto"/>
              <w:right w:val="single" w:sz="4" w:space="0" w:color="auto"/>
            </w:tcBorders>
            <w:shd w:val="clear" w:color="auto" w:fill="auto"/>
            <w:noWrap/>
            <w:vAlign w:val="center"/>
            <w:hideMark/>
          </w:tcPr>
          <w:p w14:paraId="77E5D09E"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4</w:t>
            </w:r>
          </w:p>
        </w:tc>
        <w:tc>
          <w:tcPr>
            <w:tcW w:w="737" w:type="dxa"/>
            <w:tcBorders>
              <w:top w:val="nil"/>
              <w:left w:val="nil"/>
              <w:bottom w:val="single" w:sz="4" w:space="0" w:color="auto"/>
              <w:right w:val="single" w:sz="4" w:space="0" w:color="auto"/>
            </w:tcBorders>
            <w:shd w:val="clear" w:color="auto" w:fill="auto"/>
            <w:noWrap/>
            <w:vAlign w:val="center"/>
            <w:hideMark/>
          </w:tcPr>
          <w:p w14:paraId="46813655"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4</w:t>
            </w:r>
          </w:p>
        </w:tc>
        <w:tc>
          <w:tcPr>
            <w:tcW w:w="737" w:type="dxa"/>
            <w:tcBorders>
              <w:top w:val="nil"/>
              <w:left w:val="nil"/>
              <w:bottom w:val="single" w:sz="4" w:space="0" w:color="auto"/>
              <w:right w:val="single" w:sz="4" w:space="0" w:color="auto"/>
            </w:tcBorders>
            <w:shd w:val="clear" w:color="auto" w:fill="auto"/>
            <w:noWrap/>
            <w:vAlign w:val="center"/>
            <w:hideMark/>
          </w:tcPr>
          <w:p w14:paraId="660E3B4F"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9</w:t>
            </w:r>
          </w:p>
        </w:tc>
        <w:tc>
          <w:tcPr>
            <w:tcW w:w="737" w:type="dxa"/>
            <w:tcBorders>
              <w:top w:val="nil"/>
              <w:left w:val="nil"/>
              <w:bottom w:val="single" w:sz="4" w:space="0" w:color="auto"/>
              <w:right w:val="single" w:sz="4" w:space="0" w:color="auto"/>
            </w:tcBorders>
            <w:shd w:val="clear" w:color="auto" w:fill="auto"/>
            <w:noWrap/>
            <w:vAlign w:val="center"/>
            <w:hideMark/>
          </w:tcPr>
          <w:p w14:paraId="4B063D2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19</w:t>
            </w:r>
          </w:p>
        </w:tc>
      </w:tr>
      <w:tr w:rsidR="00C57054" w:rsidRPr="00DA11E4" w14:paraId="1EF05D23" w14:textId="77777777" w:rsidTr="00C57054">
        <w:trPr>
          <w:trHeight w:val="28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387950A" w14:textId="77777777" w:rsidR="00C57054" w:rsidRPr="00DA11E4" w:rsidRDefault="00C57054" w:rsidP="00C57054">
            <w:pPr>
              <w:ind w:firstLine="0"/>
              <w:jc w:val="center"/>
              <w:rPr>
                <w:rFonts w:eastAsia="Times New Roman" w:cs="Times New Roman"/>
                <w:color w:val="000000"/>
                <w:szCs w:val="24"/>
                <w:lang w:eastAsia="lv-LV"/>
              </w:rPr>
            </w:pPr>
            <w:proofErr w:type="spellStart"/>
            <w:r w:rsidRPr="00DA11E4">
              <w:rPr>
                <w:rFonts w:eastAsia="Times New Roman" w:cs="Times New Roman"/>
                <w:color w:val="000000"/>
                <w:szCs w:val="24"/>
                <w:lang w:val="en-US" w:eastAsia="lv-LV"/>
              </w:rPr>
              <w:t>Māsu</w:t>
            </w:r>
            <w:proofErr w:type="spellEnd"/>
            <w:r w:rsidRPr="00DA11E4">
              <w:rPr>
                <w:rFonts w:eastAsia="Times New Roman" w:cs="Times New Roman"/>
                <w:color w:val="000000"/>
                <w:szCs w:val="24"/>
                <w:lang w:val="en-US" w:eastAsia="lv-LV"/>
              </w:rPr>
              <w:t xml:space="preserve"> </w:t>
            </w:r>
            <w:proofErr w:type="spellStart"/>
            <w:r w:rsidRPr="00DA11E4">
              <w:rPr>
                <w:rFonts w:eastAsia="Times New Roman" w:cs="Times New Roman"/>
                <w:color w:val="000000"/>
                <w:szCs w:val="24"/>
                <w:lang w:val="en-US" w:eastAsia="lv-LV"/>
              </w:rPr>
              <w:t>palīgs</w:t>
            </w:r>
            <w:proofErr w:type="spellEnd"/>
          </w:p>
        </w:tc>
        <w:tc>
          <w:tcPr>
            <w:tcW w:w="1320" w:type="dxa"/>
            <w:tcBorders>
              <w:top w:val="nil"/>
              <w:left w:val="nil"/>
              <w:bottom w:val="single" w:sz="4" w:space="0" w:color="auto"/>
              <w:right w:val="single" w:sz="4" w:space="0" w:color="auto"/>
            </w:tcBorders>
            <w:shd w:val="clear" w:color="auto" w:fill="auto"/>
            <w:vAlign w:val="bottom"/>
            <w:hideMark/>
          </w:tcPr>
          <w:p w14:paraId="236D6964"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Stacionārās</w:t>
            </w:r>
          </w:p>
        </w:tc>
        <w:tc>
          <w:tcPr>
            <w:tcW w:w="546" w:type="dxa"/>
            <w:tcBorders>
              <w:top w:val="nil"/>
              <w:left w:val="nil"/>
              <w:bottom w:val="single" w:sz="4" w:space="0" w:color="auto"/>
              <w:right w:val="single" w:sz="4" w:space="0" w:color="auto"/>
            </w:tcBorders>
            <w:shd w:val="clear" w:color="auto" w:fill="auto"/>
            <w:noWrap/>
            <w:vAlign w:val="center"/>
            <w:hideMark/>
          </w:tcPr>
          <w:p w14:paraId="3770E31E"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6" w:type="dxa"/>
            <w:tcBorders>
              <w:top w:val="nil"/>
              <w:left w:val="nil"/>
              <w:bottom w:val="single" w:sz="4" w:space="0" w:color="auto"/>
              <w:right w:val="single" w:sz="4" w:space="0" w:color="auto"/>
            </w:tcBorders>
            <w:shd w:val="clear" w:color="auto" w:fill="auto"/>
            <w:noWrap/>
            <w:vAlign w:val="center"/>
            <w:hideMark/>
          </w:tcPr>
          <w:p w14:paraId="00C5BBD0"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3CC2B9BC"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155C2A5B"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0BD1A7D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w:t>
            </w:r>
          </w:p>
        </w:tc>
        <w:tc>
          <w:tcPr>
            <w:tcW w:w="545" w:type="dxa"/>
            <w:tcBorders>
              <w:top w:val="nil"/>
              <w:left w:val="nil"/>
              <w:bottom w:val="single" w:sz="4" w:space="0" w:color="auto"/>
              <w:right w:val="single" w:sz="4" w:space="0" w:color="auto"/>
            </w:tcBorders>
            <w:shd w:val="clear" w:color="auto" w:fill="auto"/>
            <w:noWrap/>
            <w:vAlign w:val="center"/>
            <w:hideMark/>
          </w:tcPr>
          <w:p w14:paraId="051FF710"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4</w:t>
            </w:r>
          </w:p>
        </w:tc>
        <w:tc>
          <w:tcPr>
            <w:tcW w:w="737" w:type="dxa"/>
            <w:tcBorders>
              <w:top w:val="nil"/>
              <w:left w:val="nil"/>
              <w:bottom w:val="single" w:sz="4" w:space="0" w:color="auto"/>
              <w:right w:val="single" w:sz="4" w:space="0" w:color="auto"/>
            </w:tcBorders>
            <w:shd w:val="clear" w:color="auto" w:fill="auto"/>
            <w:noWrap/>
            <w:vAlign w:val="center"/>
            <w:hideMark/>
          </w:tcPr>
          <w:p w14:paraId="3655D72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12</w:t>
            </w:r>
          </w:p>
        </w:tc>
        <w:tc>
          <w:tcPr>
            <w:tcW w:w="737" w:type="dxa"/>
            <w:tcBorders>
              <w:top w:val="nil"/>
              <w:left w:val="nil"/>
              <w:bottom w:val="single" w:sz="4" w:space="0" w:color="auto"/>
              <w:right w:val="single" w:sz="4" w:space="0" w:color="auto"/>
            </w:tcBorders>
            <w:shd w:val="clear" w:color="auto" w:fill="auto"/>
            <w:noWrap/>
            <w:vAlign w:val="center"/>
            <w:hideMark/>
          </w:tcPr>
          <w:p w14:paraId="162B27A5"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11</w:t>
            </w:r>
          </w:p>
        </w:tc>
        <w:tc>
          <w:tcPr>
            <w:tcW w:w="737" w:type="dxa"/>
            <w:tcBorders>
              <w:top w:val="nil"/>
              <w:left w:val="nil"/>
              <w:bottom w:val="single" w:sz="4" w:space="0" w:color="auto"/>
              <w:right w:val="single" w:sz="4" w:space="0" w:color="auto"/>
            </w:tcBorders>
            <w:shd w:val="clear" w:color="auto" w:fill="auto"/>
            <w:noWrap/>
            <w:vAlign w:val="center"/>
            <w:hideMark/>
          </w:tcPr>
          <w:p w14:paraId="109C94D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19</w:t>
            </w:r>
          </w:p>
        </w:tc>
        <w:tc>
          <w:tcPr>
            <w:tcW w:w="737" w:type="dxa"/>
            <w:tcBorders>
              <w:top w:val="nil"/>
              <w:left w:val="nil"/>
              <w:bottom w:val="single" w:sz="4" w:space="0" w:color="auto"/>
              <w:right w:val="single" w:sz="4" w:space="0" w:color="auto"/>
            </w:tcBorders>
            <w:shd w:val="clear" w:color="auto" w:fill="auto"/>
            <w:noWrap/>
            <w:vAlign w:val="center"/>
            <w:hideMark/>
          </w:tcPr>
          <w:p w14:paraId="620618C0"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9</w:t>
            </w:r>
          </w:p>
        </w:tc>
      </w:tr>
      <w:tr w:rsidR="00C57054" w:rsidRPr="00DA11E4" w14:paraId="332357CF" w14:textId="77777777" w:rsidTr="00C57054">
        <w:trPr>
          <w:trHeight w:val="310"/>
        </w:trPr>
        <w:tc>
          <w:tcPr>
            <w:tcW w:w="1080" w:type="dxa"/>
            <w:vMerge/>
            <w:tcBorders>
              <w:top w:val="nil"/>
              <w:left w:val="single" w:sz="4" w:space="0" w:color="auto"/>
              <w:bottom w:val="single" w:sz="4" w:space="0" w:color="auto"/>
              <w:right w:val="single" w:sz="4" w:space="0" w:color="auto"/>
            </w:tcBorders>
            <w:vAlign w:val="center"/>
            <w:hideMark/>
          </w:tcPr>
          <w:p w14:paraId="0631C3F6" w14:textId="77777777" w:rsidR="00C57054" w:rsidRPr="00DA11E4" w:rsidRDefault="00C57054" w:rsidP="00C57054">
            <w:pPr>
              <w:ind w:firstLine="0"/>
              <w:jc w:val="left"/>
              <w:rPr>
                <w:rFonts w:eastAsia="Times New Roman" w:cs="Times New Roman"/>
                <w:color w:val="000000"/>
                <w:szCs w:val="24"/>
                <w:lang w:eastAsia="lv-LV"/>
              </w:rPr>
            </w:pPr>
          </w:p>
        </w:tc>
        <w:tc>
          <w:tcPr>
            <w:tcW w:w="1320" w:type="dxa"/>
            <w:tcBorders>
              <w:top w:val="nil"/>
              <w:left w:val="nil"/>
              <w:bottom w:val="single" w:sz="4" w:space="0" w:color="auto"/>
              <w:right w:val="single" w:sz="4" w:space="0" w:color="auto"/>
            </w:tcBorders>
            <w:shd w:val="clear" w:color="auto" w:fill="auto"/>
            <w:vAlign w:val="bottom"/>
            <w:hideMark/>
          </w:tcPr>
          <w:p w14:paraId="3E376958"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Ambulatorās</w:t>
            </w:r>
          </w:p>
        </w:tc>
        <w:tc>
          <w:tcPr>
            <w:tcW w:w="546" w:type="dxa"/>
            <w:tcBorders>
              <w:top w:val="nil"/>
              <w:left w:val="nil"/>
              <w:bottom w:val="single" w:sz="4" w:space="0" w:color="auto"/>
              <w:right w:val="single" w:sz="4" w:space="0" w:color="auto"/>
            </w:tcBorders>
            <w:shd w:val="clear" w:color="auto" w:fill="auto"/>
            <w:noWrap/>
            <w:vAlign w:val="bottom"/>
            <w:hideMark/>
          </w:tcPr>
          <w:p w14:paraId="6ED1188D"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 </w:t>
            </w:r>
          </w:p>
        </w:tc>
        <w:tc>
          <w:tcPr>
            <w:tcW w:w="546" w:type="dxa"/>
            <w:tcBorders>
              <w:top w:val="nil"/>
              <w:left w:val="nil"/>
              <w:bottom w:val="single" w:sz="4" w:space="0" w:color="auto"/>
              <w:right w:val="single" w:sz="4" w:space="0" w:color="auto"/>
            </w:tcBorders>
            <w:shd w:val="clear" w:color="auto" w:fill="auto"/>
            <w:noWrap/>
            <w:vAlign w:val="bottom"/>
            <w:hideMark/>
          </w:tcPr>
          <w:p w14:paraId="66A7D347"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 </w:t>
            </w:r>
          </w:p>
        </w:tc>
        <w:tc>
          <w:tcPr>
            <w:tcW w:w="545" w:type="dxa"/>
            <w:tcBorders>
              <w:top w:val="nil"/>
              <w:left w:val="nil"/>
              <w:bottom w:val="single" w:sz="4" w:space="0" w:color="auto"/>
              <w:right w:val="single" w:sz="4" w:space="0" w:color="auto"/>
            </w:tcBorders>
            <w:shd w:val="clear" w:color="auto" w:fill="auto"/>
            <w:noWrap/>
            <w:vAlign w:val="center"/>
            <w:hideMark/>
          </w:tcPr>
          <w:p w14:paraId="4F6146F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5" w:type="dxa"/>
            <w:tcBorders>
              <w:top w:val="nil"/>
              <w:left w:val="nil"/>
              <w:bottom w:val="single" w:sz="4" w:space="0" w:color="auto"/>
              <w:right w:val="single" w:sz="4" w:space="0" w:color="auto"/>
            </w:tcBorders>
            <w:shd w:val="clear" w:color="auto" w:fill="auto"/>
            <w:noWrap/>
            <w:vAlign w:val="bottom"/>
            <w:hideMark/>
          </w:tcPr>
          <w:p w14:paraId="61EBB14A"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 </w:t>
            </w:r>
          </w:p>
        </w:tc>
        <w:tc>
          <w:tcPr>
            <w:tcW w:w="545" w:type="dxa"/>
            <w:tcBorders>
              <w:top w:val="nil"/>
              <w:left w:val="nil"/>
              <w:bottom w:val="single" w:sz="4" w:space="0" w:color="auto"/>
              <w:right w:val="single" w:sz="4" w:space="0" w:color="auto"/>
            </w:tcBorders>
            <w:shd w:val="clear" w:color="auto" w:fill="auto"/>
            <w:noWrap/>
            <w:vAlign w:val="bottom"/>
            <w:hideMark/>
          </w:tcPr>
          <w:p w14:paraId="29FD5BFF"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 </w:t>
            </w:r>
          </w:p>
        </w:tc>
        <w:tc>
          <w:tcPr>
            <w:tcW w:w="545" w:type="dxa"/>
            <w:tcBorders>
              <w:top w:val="nil"/>
              <w:left w:val="nil"/>
              <w:bottom w:val="single" w:sz="4" w:space="0" w:color="auto"/>
              <w:right w:val="single" w:sz="4" w:space="0" w:color="auto"/>
            </w:tcBorders>
            <w:shd w:val="clear" w:color="auto" w:fill="auto"/>
            <w:noWrap/>
            <w:vAlign w:val="center"/>
            <w:hideMark/>
          </w:tcPr>
          <w:p w14:paraId="77BEFFA1"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737" w:type="dxa"/>
            <w:tcBorders>
              <w:top w:val="nil"/>
              <w:left w:val="nil"/>
              <w:bottom w:val="single" w:sz="4" w:space="0" w:color="auto"/>
              <w:right w:val="single" w:sz="4" w:space="0" w:color="auto"/>
            </w:tcBorders>
            <w:shd w:val="clear" w:color="auto" w:fill="auto"/>
            <w:noWrap/>
            <w:vAlign w:val="center"/>
            <w:hideMark/>
          </w:tcPr>
          <w:p w14:paraId="7561B3F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737" w:type="dxa"/>
            <w:tcBorders>
              <w:top w:val="nil"/>
              <w:left w:val="nil"/>
              <w:bottom w:val="single" w:sz="4" w:space="0" w:color="auto"/>
              <w:right w:val="single" w:sz="4" w:space="0" w:color="auto"/>
            </w:tcBorders>
            <w:shd w:val="clear" w:color="auto" w:fill="auto"/>
            <w:noWrap/>
            <w:vAlign w:val="center"/>
            <w:hideMark/>
          </w:tcPr>
          <w:p w14:paraId="40418A35"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737" w:type="dxa"/>
            <w:tcBorders>
              <w:top w:val="nil"/>
              <w:left w:val="nil"/>
              <w:bottom w:val="single" w:sz="4" w:space="0" w:color="auto"/>
              <w:right w:val="single" w:sz="4" w:space="0" w:color="auto"/>
            </w:tcBorders>
            <w:shd w:val="clear" w:color="auto" w:fill="auto"/>
            <w:noWrap/>
            <w:vAlign w:val="bottom"/>
            <w:hideMark/>
          </w:tcPr>
          <w:p w14:paraId="2D5FE2C1"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 </w:t>
            </w:r>
          </w:p>
        </w:tc>
        <w:tc>
          <w:tcPr>
            <w:tcW w:w="737" w:type="dxa"/>
            <w:tcBorders>
              <w:top w:val="nil"/>
              <w:left w:val="nil"/>
              <w:bottom w:val="single" w:sz="4" w:space="0" w:color="auto"/>
              <w:right w:val="single" w:sz="4" w:space="0" w:color="auto"/>
            </w:tcBorders>
            <w:shd w:val="clear" w:color="auto" w:fill="auto"/>
            <w:noWrap/>
            <w:vAlign w:val="center"/>
            <w:hideMark/>
          </w:tcPr>
          <w:p w14:paraId="528AD53D"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r>
      <w:tr w:rsidR="00C57054" w:rsidRPr="00DA11E4" w14:paraId="11A6CBAB" w14:textId="77777777" w:rsidTr="00C57054">
        <w:trPr>
          <w:trHeight w:val="32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DEC6116" w14:textId="77777777" w:rsidR="00C57054" w:rsidRPr="00DA11E4" w:rsidRDefault="00C57054" w:rsidP="00C57054">
            <w:pPr>
              <w:ind w:firstLine="0"/>
              <w:jc w:val="center"/>
              <w:rPr>
                <w:rFonts w:eastAsia="Times New Roman" w:cs="Times New Roman"/>
                <w:color w:val="000000"/>
                <w:szCs w:val="24"/>
                <w:lang w:eastAsia="lv-LV"/>
              </w:rPr>
            </w:pPr>
            <w:proofErr w:type="spellStart"/>
            <w:r w:rsidRPr="00DA11E4">
              <w:rPr>
                <w:rFonts w:eastAsia="Times New Roman" w:cs="Times New Roman"/>
                <w:color w:val="000000"/>
                <w:szCs w:val="24"/>
                <w:lang w:val="en-US" w:eastAsia="lv-LV"/>
              </w:rPr>
              <w:t>Cits</w:t>
            </w:r>
            <w:proofErr w:type="spellEnd"/>
            <w:r w:rsidRPr="00DA11E4">
              <w:rPr>
                <w:rFonts w:eastAsia="Times New Roman" w:cs="Times New Roman"/>
                <w:color w:val="000000"/>
                <w:szCs w:val="24"/>
                <w:lang w:val="en-US" w:eastAsia="lv-LV"/>
              </w:rPr>
              <w:t xml:space="preserve"> </w:t>
            </w:r>
            <w:proofErr w:type="spellStart"/>
            <w:r w:rsidRPr="00DA11E4">
              <w:rPr>
                <w:rFonts w:eastAsia="Times New Roman" w:cs="Times New Roman"/>
                <w:color w:val="000000"/>
                <w:szCs w:val="24"/>
                <w:lang w:val="en-US" w:eastAsia="lv-LV"/>
              </w:rPr>
              <w:t>personāls</w:t>
            </w:r>
            <w:proofErr w:type="spellEnd"/>
          </w:p>
        </w:tc>
        <w:tc>
          <w:tcPr>
            <w:tcW w:w="1320" w:type="dxa"/>
            <w:tcBorders>
              <w:top w:val="nil"/>
              <w:left w:val="nil"/>
              <w:bottom w:val="single" w:sz="4" w:space="0" w:color="auto"/>
              <w:right w:val="single" w:sz="4" w:space="0" w:color="auto"/>
            </w:tcBorders>
            <w:shd w:val="clear" w:color="auto" w:fill="auto"/>
            <w:vAlign w:val="bottom"/>
            <w:hideMark/>
          </w:tcPr>
          <w:p w14:paraId="20556E5F"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Stacionārās</w:t>
            </w:r>
          </w:p>
        </w:tc>
        <w:tc>
          <w:tcPr>
            <w:tcW w:w="546" w:type="dxa"/>
            <w:tcBorders>
              <w:top w:val="nil"/>
              <w:left w:val="nil"/>
              <w:bottom w:val="single" w:sz="4" w:space="0" w:color="auto"/>
              <w:right w:val="single" w:sz="4" w:space="0" w:color="auto"/>
            </w:tcBorders>
            <w:shd w:val="clear" w:color="auto" w:fill="auto"/>
            <w:noWrap/>
            <w:vAlign w:val="center"/>
            <w:hideMark/>
          </w:tcPr>
          <w:p w14:paraId="08780337"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6" w:type="dxa"/>
            <w:tcBorders>
              <w:top w:val="nil"/>
              <w:left w:val="nil"/>
              <w:bottom w:val="single" w:sz="4" w:space="0" w:color="auto"/>
              <w:right w:val="single" w:sz="4" w:space="0" w:color="auto"/>
            </w:tcBorders>
            <w:shd w:val="clear" w:color="auto" w:fill="auto"/>
            <w:noWrap/>
            <w:vAlign w:val="center"/>
            <w:hideMark/>
          </w:tcPr>
          <w:p w14:paraId="7F1FFA24"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08CC3AE1"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5" w:type="dxa"/>
            <w:tcBorders>
              <w:top w:val="nil"/>
              <w:left w:val="nil"/>
              <w:bottom w:val="single" w:sz="4" w:space="0" w:color="auto"/>
              <w:right w:val="single" w:sz="4" w:space="0" w:color="auto"/>
            </w:tcBorders>
            <w:shd w:val="clear" w:color="auto" w:fill="auto"/>
            <w:noWrap/>
            <w:vAlign w:val="center"/>
            <w:hideMark/>
          </w:tcPr>
          <w:p w14:paraId="1DFB90B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w:t>
            </w:r>
          </w:p>
        </w:tc>
        <w:tc>
          <w:tcPr>
            <w:tcW w:w="545" w:type="dxa"/>
            <w:tcBorders>
              <w:top w:val="nil"/>
              <w:left w:val="nil"/>
              <w:bottom w:val="single" w:sz="4" w:space="0" w:color="auto"/>
              <w:right w:val="single" w:sz="4" w:space="0" w:color="auto"/>
            </w:tcBorders>
            <w:shd w:val="clear" w:color="auto" w:fill="auto"/>
            <w:noWrap/>
            <w:vAlign w:val="center"/>
            <w:hideMark/>
          </w:tcPr>
          <w:p w14:paraId="56EAD707"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w:t>
            </w:r>
          </w:p>
        </w:tc>
        <w:tc>
          <w:tcPr>
            <w:tcW w:w="545" w:type="dxa"/>
            <w:tcBorders>
              <w:top w:val="nil"/>
              <w:left w:val="nil"/>
              <w:bottom w:val="single" w:sz="4" w:space="0" w:color="auto"/>
              <w:right w:val="single" w:sz="4" w:space="0" w:color="auto"/>
            </w:tcBorders>
            <w:shd w:val="clear" w:color="auto" w:fill="auto"/>
            <w:noWrap/>
            <w:vAlign w:val="center"/>
            <w:hideMark/>
          </w:tcPr>
          <w:p w14:paraId="0A4803A2"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8</w:t>
            </w:r>
          </w:p>
        </w:tc>
        <w:tc>
          <w:tcPr>
            <w:tcW w:w="737" w:type="dxa"/>
            <w:tcBorders>
              <w:top w:val="nil"/>
              <w:left w:val="nil"/>
              <w:bottom w:val="single" w:sz="4" w:space="0" w:color="auto"/>
              <w:right w:val="single" w:sz="4" w:space="0" w:color="auto"/>
            </w:tcBorders>
            <w:shd w:val="clear" w:color="auto" w:fill="auto"/>
            <w:noWrap/>
            <w:vAlign w:val="center"/>
            <w:hideMark/>
          </w:tcPr>
          <w:p w14:paraId="07C01A66"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12</w:t>
            </w:r>
          </w:p>
        </w:tc>
        <w:tc>
          <w:tcPr>
            <w:tcW w:w="737" w:type="dxa"/>
            <w:tcBorders>
              <w:top w:val="nil"/>
              <w:left w:val="nil"/>
              <w:bottom w:val="single" w:sz="4" w:space="0" w:color="auto"/>
              <w:right w:val="single" w:sz="4" w:space="0" w:color="auto"/>
            </w:tcBorders>
            <w:shd w:val="clear" w:color="auto" w:fill="auto"/>
            <w:noWrap/>
            <w:vAlign w:val="center"/>
            <w:hideMark/>
          </w:tcPr>
          <w:p w14:paraId="6FC16589"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12</w:t>
            </w:r>
          </w:p>
        </w:tc>
        <w:tc>
          <w:tcPr>
            <w:tcW w:w="737" w:type="dxa"/>
            <w:tcBorders>
              <w:top w:val="nil"/>
              <w:left w:val="nil"/>
              <w:bottom w:val="single" w:sz="4" w:space="0" w:color="auto"/>
              <w:right w:val="single" w:sz="4" w:space="0" w:color="auto"/>
            </w:tcBorders>
            <w:shd w:val="clear" w:color="auto" w:fill="auto"/>
            <w:noWrap/>
            <w:vAlign w:val="center"/>
            <w:hideMark/>
          </w:tcPr>
          <w:p w14:paraId="69613898"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43</w:t>
            </w:r>
          </w:p>
        </w:tc>
        <w:tc>
          <w:tcPr>
            <w:tcW w:w="737" w:type="dxa"/>
            <w:tcBorders>
              <w:top w:val="nil"/>
              <w:left w:val="nil"/>
              <w:bottom w:val="single" w:sz="4" w:space="0" w:color="auto"/>
              <w:right w:val="single" w:sz="4" w:space="0" w:color="auto"/>
            </w:tcBorders>
            <w:shd w:val="clear" w:color="auto" w:fill="auto"/>
            <w:noWrap/>
            <w:vAlign w:val="center"/>
            <w:hideMark/>
          </w:tcPr>
          <w:p w14:paraId="51C51AED"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50</w:t>
            </w:r>
          </w:p>
        </w:tc>
      </w:tr>
      <w:tr w:rsidR="00C57054" w:rsidRPr="00DA11E4" w14:paraId="5109C14A" w14:textId="77777777" w:rsidTr="00C57054">
        <w:trPr>
          <w:trHeight w:val="310"/>
        </w:trPr>
        <w:tc>
          <w:tcPr>
            <w:tcW w:w="1080" w:type="dxa"/>
            <w:vMerge/>
            <w:tcBorders>
              <w:top w:val="nil"/>
              <w:left w:val="single" w:sz="4" w:space="0" w:color="auto"/>
              <w:bottom w:val="single" w:sz="4" w:space="0" w:color="auto"/>
              <w:right w:val="single" w:sz="4" w:space="0" w:color="auto"/>
            </w:tcBorders>
            <w:vAlign w:val="center"/>
            <w:hideMark/>
          </w:tcPr>
          <w:p w14:paraId="46E0233B" w14:textId="77777777" w:rsidR="00C57054" w:rsidRPr="00DA11E4" w:rsidRDefault="00C57054" w:rsidP="00C57054">
            <w:pPr>
              <w:ind w:firstLine="0"/>
              <w:jc w:val="left"/>
              <w:rPr>
                <w:rFonts w:eastAsia="Times New Roman" w:cs="Times New Roman"/>
                <w:color w:val="000000"/>
                <w:szCs w:val="24"/>
                <w:lang w:eastAsia="lv-LV"/>
              </w:rPr>
            </w:pPr>
          </w:p>
        </w:tc>
        <w:tc>
          <w:tcPr>
            <w:tcW w:w="1320" w:type="dxa"/>
            <w:tcBorders>
              <w:top w:val="nil"/>
              <w:left w:val="nil"/>
              <w:bottom w:val="single" w:sz="4" w:space="0" w:color="auto"/>
              <w:right w:val="single" w:sz="4" w:space="0" w:color="auto"/>
            </w:tcBorders>
            <w:shd w:val="clear" w:color="auto" w:fill="auto"/>
            <w:vAlign w:val="bottom"/>
            <w:hideMark/>
          </w:tcPr>
          <w:p w14:paraId="1FB46C8C" w14:textId="77777777" w:rsidR="00C57054" w:rsidRPr="00DA11E4" w:rsidRDefault="00C57054" w:rsidP="00C57054">
            <w:pPr>
              <w:ind w:firstLine="0"/>
              <w:jc w:val="lef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Ambulatorās</w:t>
            </w:r>
          </w:p>
        </w:tc>
        <w:tc>
          <w:tcPr>
            <w:tcW w:w="546" w:type="dxa"/>
            <w:tcBorders>
              <w:top w:val="nil"/>
              <w:left w:val="nil"/>
              <w:bottom w:val="single" w:sz="4" w:space="0" w:color="auto"/>
              <w:right w:val="single" w:sz="4" w:space="0" w:color="auto"/>
            </w:tcBorders>
            <w:shd w:val="clear" w:color="auto" w:fill="auto"/>
            <w:noWrap/>
            <w:vAlign w:val="center"/>
            <w:hideMark/>
          </w:tcPr>
          <w:p w14:paraId="67B4EFB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w:t>
            </w:r>
          </w:p>
        </w:tc>
        <w:tc>
          <w:tcPr>
            <w:tcW w:w="546" w:type="dxa"/>
            <w:tcBorders>
              <w:top w:val="nil"/>
              <w:left w:val="nil"/>
              <w:bottom w:val="single" w:sz="4" w:space="0" w:color="auto"/>
              <w:right w:val="single" w:sz="4" w:space="0" w:color="auto"/>
            </w:tcBorders>
            <w:shd w:val="clear" w:color="auto" w:fill="auto"/>
            <w:noWrap/>
            <w:vAlign w:val="center"/>
            <w:hideMark/>
          </w:tcPr>
          <w:p w14:paraId="235DAD9B"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w:t>
            </w:r>
          </w:p>
        </w:tc>
        <w:tc>
          <w:tcPr>
            <w:tcW w:w="545" w:type="dxa"/>
            <w:tcBorders>
              <w:top w:val="nil"/>
              <w:left w:val="nil"/>
              <w:bottom w:val="single" w:sz="4" w:space="0" w:color="auto"/>
              <w:right w:val="single" w:sz="4" w:space="0" w:color="auto"/>
            </w:tcBorders>
            <w:shd w:val="clear" w:color="auto" w:fill="auto"/>
            <w:noWrap/>
            <w:vAlign w:val="center"/>
            <w:hideMark/>
          </w:tcPr>
          <w:p w14:paraId="5BD9D086"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3</w:t>
            </w:r>
          </w:p>
        </w:tc>
        <w:tc>
          <w:tcPr>
            <w:tcW w:w="545" w:type="dxa"/>
            <w:tcBorders>
              <w:top w:val="nil"/>
              <w:left w:val="nil"/>
              <w:bottom w:val="single" w:sz="4" w:space="0" w:color="auto"/>
              <w:right w:val="single" w:sz="4" w:space="0" w:color="auto"/>
            </w:tcBorders>
            <w:shd w:val="clear" w:color="auto" w:fill="auto"/>
            <w:noWrap/>
            <w:vAlign w:val="center"/>
            <w:hideMark/>
          </w:tcPr>
          <w:p w14:paraId="4E218DE1"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w:t>
            </w:r>
          </w:p>
        </w:tc>
        <w:tc>
          <w:tcPr>
            <w:tcW w:w="545" w:type="dxa"/>
            <w:tcBorders>
              <w:top w:val="nil"/>
              <w:left w:val="nil"/>
              <w:bottom w:val="single" w:sz="4" w:space="0" w:color="auto"/>
              <w:right w:val="single" w:sz="4" w:space="0" w:color="auto"/>
            </w:tcBorders>
            <w:shd w:val="clear" w:color="auto" w:fill="auto"/>
            <w:noWrap/>
            <w:vAlign w:val="center"/>
            <w:hideMark/>
          </w:tcPr>
          <w:p w14:paraId="784CCB79"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17</w:t>
            </w:r>
          </w:p>
        </w:tc>
        <w:tc>
          <w:tcPr>
            <w:tcW w:w="545" w:type="dxa"/>
            <w:tcBorders>
              <w:top w:val="nil"/>
              <w:left w:val="nil"/>
              <w:bottom w:val="single" w:sz="4" w:space="0" w:color="auto"/>
              <w:right w:val="single" w:sz="4" w:space="0" w:color="auto"/>
            </w:tcBorders>
            <w:shd w:val="clear" w:color="auto" w:fill="auto"/>
            <w:noWrap/>
            <w:vAlign w:val="center"/>
            <w:hideMark/>
          </w:tcPr>
          <w:p w14:paraId="3526DFE3"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12</w:t>
            </w:r>
          </w:p>
        </w:tc>
        <w:tc>
          <w:tcPr>
            <w:tcW w:w="737" w:type="dxa"/>
            <w:tcBorders>
              <w:top w:val="nil"/>
              <w:left w:val="nil"/>
              <w:bottom w:val="single" w:sz="4" w:space="0" w:color="auto"/>
              <w:right w:val="single" w:sz="4" w:space="0" w:color="auto"/>
            </w:tcBorders>
            <w:shd w:val="clear" w:color="auto" w:fill="auto"/>
            <w:noWrap/>
            <w:vAlign w:val="center"/>
            <w:hideMark/>
          </w:tcPr>
          <w:p w14:paraId="2F67D5EB"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28</w:t>
            </w:r>
          </w:p>
        </w:tc>
        <w:tc>
          <w:tcPr>
            <w:tcW w:w="737" w:type="dxa"/>
            <w:tcBorders>
              <w:top w:val="nil"/>
              <w:left w:val="nil"/>
              <w:bottom w:val="single" w:sz="4" w:space="0" w:color="auto"/>
              <w:right w:val="single" w:sz="4" w:space="0" w:color="auto"/>
            </w:tcBorders>
            <w:shd w:val="clear" w:color="auto" w:fill="auto"/>
            <w:noWrap/>
            <w:vAlign w:val="center"/>
            <w:hideMark/>
          </w:tcPr>
          <w:p w14:paraId="3D8652AA"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20</w:t>
            </w:r>
          </w:p>
        </w:tc>
        <w:tc>
          <w:tcPr>
            <w:tcW w:w="737" w:type="dxa"/>
            <w:tcBorders>
              <w:top w:val="nil"/>
              <w:left w:val="nil"/>
              <w:bottom w:val="single" w:sz="4" w:space="0" w:color="auto"/>
              <w:right w:val="single" w:sz="4" w:space="0" w:color="auto"/>
            </w:tcBorders>
            <w:shd w:val="clear" w:color="auto" w:fill="auto"/>
            <w:noWrap/>
            <w:vAlign w:val="center"/>
            <w:hideMark/>
          </w:tcPr>
          <w:p w14:paraId="651E29BC"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44</w:t>
            </w:r>
          </w:p>
        </w:tc>
        <w:tc>
          <w:tcPr>
            <w:tcW w:w="737" w:type="dxa"/>
            <w:tcBorders>
              <w:top w:val="nil"/>
              <w:left w:val="nil"/>
              <w:bottom w:val="single" w:sz="4" w:space="0" w:color="auto"/>
              <w:right w:val="single" w:sz="4" w:space="0" w:color="auto"/>
            </w:tcBorders>
            <w:shd w:val="clear" w:color="auto" w:fill="auto"/>
            <w:noWrap/>
            <w:vAlign w:val="center"/>
            <w:hideMark/>
          </w:tcPr>
          <w:p w14:paraId="5133F34D" w14:textId="77777777" w:rsidR="00C57054" w:rsidRPr="00DA11E4" w:rsidRDefault="00C57054" w:rsidP="00C57054">
            <w:pPr>
              <w:ind w:firstLine="0"/>
              <w:jc w:val="center"/>
              <w:rPr>
                <w:rFonts w:eastAsia="Times New Roman" w:cs="Times New Roman"/>
                <w:color w:val="000000"/>
                <w:szCs w:val="24"/>
                <w:lang w:eastAsia="lv-LV"/>
              </w:rPr>
            </w:pPr>
            <w:r w:rsidRPr="00DA11E4">
              <w:rPr>
                <w:rFonts w:eastAsia="Times New Roman" w:cs="Times New Roman"/>
                <w:color w:val="000000"/>
                <w:szCs w:val="24"/>
                <w:lang w:val="en-US" w:eastAsia="lv-LV"/>
              </w:rPr>
              <w:t>69</w:t>
            </w:r>
          </w:p>
        </w:tc>
      </w:tr>
      <w:tr w:rsidR="00C57054" w:rsidRPr="00DA11E4" w14:paraId="27E4E65E" w14:textId="77777777" w:rsidTr="00C57054">
        <w:trPr>
          <w:trHeight w:val="290"/>
        </w:trPr>
        <w:tc>
          <w:tcPr>
            <w:tcW w:w="108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7E49186F"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eastAsia="lv-LV"/>
              </w:rPr>
              <w:t>KOPĀ</w:t>
            </w:r>
          </w:p>
        </w:tc>
        <w:tc>
          <w:tcPr>
            <w:tcW w:w="1320" w:type="dxa"/>
            <w:tcBorders>
              <w:top w:val="nil"/>
              <w:left w:val="nil"/>
              <w:bottom w:val="single" w:sz="4" w:space="0" w:color="auto"/>
              <w:right w:val="single" w:sz="4" w:space="0" w:color="auto"/>
            </w:tcBorders>
            <w:shd w:val="clear" w:color="000000" w:fill="D9D9D9"/>
            <w:vAlign w:val="bottom"/>
            <w:hideMark/>
          </w:tcPr>
          <w:p w14:paraId="553B5162" w14:textId="77777777" w:rsidR="00C57054" w:rsidRPr="00DA11E4" w:rsidRDefault="00C57054" w:rsidP="00C57054">
            <w:pPr>
              <w:ind w:firstLine="0"/>
              <w:jc w:val="left"/>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eastAsia="lv-LV"/>
              </w:rPr>
              <w:t>Stacionārās</w:t>
            </w:r>
          </w:p>
        </w:tc>
        <w:tc>
          <w:tcPr>
            <w:tcW w:w="546" w:type="dxa"/>
            <w:tcBorders>
              <w:top w:val="nil"/>
              <w:left w:val="nil"/>
              <w:bottom w:val="single" w:sz="4" w:space="0" w:color="auto"/>
              <w:right w:val="single" w:sz="4" w:space="0" w:color="auto"/>
            </w:tcBorders>
            <w:shd w:val="clear" w:color="000000" w:fill="D9D9D9"/>
            <w:noWrap/>
            <w:vAlign w:val="center"/>
            <w:hideMark/>
          </w:tcPr>
          <w:p w14:paraId="5FAE0E91"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7</w:t>
            </w:r>
          </w:p>
        </w:tc>
        <w:tc>
          <w:tcPr>
            <w:tcW w:w="546" w:type="dxa"/>
            <w:tcBorders>
              <w:top w:val="nil"/>
              <w:left w:val="nil"/>
              <w:bottom w:val="single" w:sz="4" w:space="0" w:color="auto"/>
              <w:right w:val="single" w:sz="4" w:space="0" w:color="auto"/>
            </w:tcBorders>
            <w:shd w:val="clear" w:color="000000" w:fill="D9D9D9"/>
            <w:noWrap/>
            <w:vAlign w:val="center"/>
            <w:hideMark/>
          </w:tcPr>
          <w:p w14:paraId="3371B515"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13</w:t>
            </w:r>
          </w:p>
        </w:tc>
        <w:tc>
          <w:tcPr>
            <w:tcW w:w="545" w:type="dxa"/>
            <w:tcBorders>
              <w:top w:val="nil"/>
              <w:left w:val="nil"/>
              <w:bottom w:val="single" w:sz="4" w:space="0" w:color="auto"/>
              <w:right w:val="single" w:sz="4" w:space="0" w:color="auto"/>
            </w:tcBorders>
            <w:shd w:val="clear" w:color="000000" w:fill="D9D9D9"/>
            <w:noWrap/>
            <w:vAlign w:val="center"/>
            <w:hideMark/>
          </w:tcPr>
          <w:p w14:paraId="2C3CA964"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11</w:t>
            </w:r>
          </w:p>
        </w:tc>
        <w:tc>
          <w:tcPr>
            <w:tcW w:w="545" w:type="dxa"/>
            <w:tcBorders>
              <w:top w:val="nil"/>
              <w:left w:val="nil"/>
              <w:bottom w:val="single" w:sz="4" w:space="0" w:color="auto"/>
              <w:right w:val="single" w:sz="4" w:space="0" w:color="auto"/>
            </w:tcBorders>
            <w:shd w:val="clear" w:color="000000" w:fill="D9D9D9"/>
            <w:noWrap/>
            <w:vAlign w:val="center"/>
            <w:hideMark/>
          </w:tcPr>
          <w:p w14:paraId="2E3B3519"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13</w:t>
            </w:r>
          </w:p>
        </w:tc>
        <w:tc>
          <w:tcPr>
            <w:tcW w:w="545" w:type="dxa"/>
            <w:tcBorders>
              <w:top w:val="nil"/>
              <w:left w:val="nil"/>
              <w:bottom w:val="single" w:sz="4" w:space="0" w:color="auto"/>
              <w:right w:val="single" w:sz="4" w:space="0" w:color="auto"/>
            </w:tcBorders>
            <w:shd w:val="clear" w:color="000000" w:fill="D9D9D9"/>
            <w:noWrap/>
            <w:vAlign w:val="center"/>
            <w:hideMark/>
          </w:tcPr>
          <w:p w14:paraId="3070DCC5"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31</w:t>
            </w:r>
          </w:p>
        </w:tc>
        <w:tc>
          <w:tcPr>
            <w:tcW w:w="545" w:type="dxa"/>
            <w:tcBorders>
              <w:top w:val="nil"/>
              <w:left w:val="nil"/>
              <w:bottom w:val="single" w:sz="4" w:space="0" w:color="auto"/>
              <w:right w:val="single" w:sz="4" w:space="0" w:color="auto"/>
            </w:tcBorders>
            <w:shd w:val="clear" w:color="000000" w:fill="D9D9D9"/>
            <w:noWrap/>
            <w:vAlign w:val="center"/>
            <w:hideMark/>
          </w:tcPr>
          <w:p w14:paraId="74D23F7D"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30</w:t>
            </w:r>
          </w:p>
        </w:tc>
        <w:tc>
          <w:tcPr>
            <w:tcW w:w="737" w:type="dxa"/>
            <w:tcBorders>
              <w:top w:val="nil"/>
              <w:left w:val="nil"/>
              <w:bottom w:val="single" w:sz="4" w:space="0" w:color="auto"/>
              <w:right w:val="single" w:sz="4" w:space="0" w:color="auto"/>
            </w:tcBorders>
            <w:shd w:val="clear" w:color="000000" w:fill="D9D9D9"/>
            <w:noWrap/>
            <w:vAlign w:val="center"/>
            <w:hideMark/>
          </w:tcPr>
          <w:p w14:paraId="40DA9B04"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57</w:t>
            </w:r>
          </w:p>
        </w:tc>
        <w:tc>
          <w:tcPr>
            <w:tcW w:w="737" w:type="dxa"/>
            <w:tcBorders>
              <w:top w:val="nil"/>
              <w:left w:val="nil"/>
              <w:bottom w:val="single" w:sz="4" w:space="0" w:color="auto"/>
              <w:right w:val="single" w:sz="4" w:space="0" w:color="auto"/>
            </w:tcBorders>
            <w:shd w:val="clear" w:color="000000" w:fill="D9D9D9"/>
            <w:noWrap/>
            <w:vAlign w:val="center"/>
            <w:hideMark/>
          </w:tcPr>
          <w:p w14:paraId="1D79C4FE"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59</w:t>
            </w:r>
          </w:p>
        </w:tc>
        <w:tc>
          <w:tcPr>
            <w:tcW w:w="737" w:type="dxa"/>
            <w:tcBorders>
              <w:top w:val="nil"/>
              <w:left w:val="nil"/>
              <w:bottom w:val="single" w:sz="4" w:space="0" w:color="auto"/>
              <w:right w:val="single" w:sz="4" w:space="0" w:color="auto"/>
            </w:tcBorders>
            <w:shd w:val="clear" w:color="000000" w:fill="D9D9D9"/>
            <w:noWrap/>
            <w:vAlign w:val="center"/>
            <w:hideMark/>
          </w:tcPr>
          <w:p w14:paraId="63870443"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114</w:t>
            </w:r>
          </w:p>
        </w:tc>
        <w:tc>
          <w:tcPr>
            <w:tcW w:w="737" w:type="dxa"/>
            <w:tcBorders>
              <w:top w:val="nil"/>
              <w:left w:val="nil"/>
              <w:bottom w:val="single" w:sz="4" w:space="0" w:color="auto"/>
              <w:right w:val="single" w:sz="4" w:space="0" w:color="auto"/>
            </w:tcBorders>
            <w:shd w:val="clear" w:color="000000" w:fill="D9D9D9"/>
            <w:noWrap/>
            <w:vAlign w:val="center"/>
            <w:hideMark/>
          </w:tcPr>
          <w:p w14:paraId="4DBB5CD3"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123</w:t>
            </w:r>
          </w:p>
        </w:tc>
      </w:tr>
      <w:tr w:rsidR="00C57054" w:rsidRPr="00DA11E4" w14:paraId="07513871" w14:textId="77777777" w:rsidTr="00C57054">
        <w:trPr>
          <w:trHeight w:val="290"/>
        </w:trPr>
        <w:tc>
          <w:tcPr>
            <w:tcW w:w="1080" w:type="dxa"/>
            <w:vMerge/>
            <w:tcBorders>
              <w:top w:val="nil"/>
              <w:left w:val="single" w:sz="4" w:space="0" w:color="auto"/>
              <w:bottom w:val="single" w:sz="4" w:space="0" w:color="auto"/>
              <w:right w:val="single" w:sz="4" w:space="0" w:color="auto"/>
            </w:tcBorders>
            <w:vAlign w:val="center"/>
            <w:hideMark/>
          </w:tcPr>
          <w:p w14:paraId="13666437" w14:textId="77777777" w:rsidR="00C57054" w:rsidRPr="00DA11E4" w:rsidRDefault="00C57054" w:rsidP="00C57054">
            <w:pPr>
              <w:ind w:firstLine="0"/>
              <w:jc w:val="left"/>
              <w:rPr>
                <w:rFonts w:ascii="Calibri" w:eastAsia="Times New Roman" w:hAnsi="Calibri" w:cs="Calibri"/>
                <w:b/>
                <w:bCs/>
                <w:color w:val="000000"/>
                <w:sz w:val="22"/>
                <w:lang w:eastAsia="lv-LV"/>
              </w:rPr>
            </w:pPr>
          </w:p>
        </w:tc>
        <w:tc>
          <w:tcPr>
            <w:tcW w:w="1320" w:type="dxa"/>
            <w:tcBorders>
              <w:top w:val="nil"/>
              <w:left w:val="nil"/>
              <w:bottom w:val="single" w:sz="4" w:space="0" w:color="auto"/>
              <w:right w:val="single" w:sz="4" w:space="0" w:color="auto"/>
            </w:tcBorders>
            <w:shd w:val="clear" w:color="000000" w:fill="D9D9D9"/>
            <w:vAlign w:val="bottom"/>
            <w:hideMark/>
          </w:tcPr>
          <w:p w14:paraId="5A1F5112" w14:textId="77777777" w:rsidR="00C57054" w:rsidRPr="00DA11E4" w:rsidRDefault="00C57054" w:rsidP="00C57054">
            <w:pPr>
              <w:ind w:firstLine="0"/>
              <w:jc w:val="left"/>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eastAsia="lv-LV"/>
              </w:rPr>
              <w:t>Ambulatorās</w:t>
            </w:r>
          </w:p>
        </w:tc>
        <w:tc>
          <w:tcPr>
            <w:tcW w:w="546" w:type="dxa"/>
            <w:tcBorders>
              <w:top w:val="nil"/>
              <w:left w:val="nil"/>
              <w:bottom w:val="single" w:sz="4" w:space="0" w:color="auto"/>
              <w:right w:val="single" w:sz="4" w:space="0" w:color="auto"/>
            </w:tcBorders>
            <w:shd w:val="clear" w:color="000000" w:fill="D9D9D9"/>
            <w:noWrap/>
            <w:vAlign w:val="center"/>
            <w:hideMark/>
          </w:tcPr>
          <w:p w14:paraId="7E75F720"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6</w:t>
            </w:r>
          </w:p>
        </w:tc>
        <w:tc>
          <w:tcPr>
            <w:tcW w:w="546" w:type="dxa"/>
            <w:tcBorders>
              <w:top w:val="nil"/>
              <w:left w:val="nil"/>
              <w:bottom w:val="single" w:sz="4" w:space="0" w:color="auto"/>
              <w:right w:val="single" w:sz="4" w:space="0" w:color="auto"/>
            </w:tcBorders>
            <w:shd w:val="clear" w:color="000000" w:fill="D9D9D9"/>
            <w:noWrap/>
            <w:vAlign w:val="center"/>
            <w:hideMark/>
          </w:tcPr>
          <w:p w14:paraId="0E9693CB"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3</w:t>
            </w:r>
          </w:p>
        </w:tc>
        <w:tc>
          <w:tcPr>
            <w:tcW w:w="545" w:type="dxa"/>
            <w:tcBorders>
              <w:top w:val="nil"/>
              <w:left w:val="nil"/>
              <w:bottom w:val="single" w:sz="4" w:space="0" w:color="auto"/>
              <w:right w:val="single" w:sz="4" w:space="0" w:color="auto"/>
            </w:tcBorders>
            <w:shd w:val="clear" w:color="000000" w:fill="D9D9D9"/>
            <w:noWrap/>
            <w:vAlign w:val="center"/>
            <w:hideMark/>
          </w:tcPr>
          <w:p w14:paraId="41B08E50"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9</w:t>
            </w:r>
          </w:p>
        </w:tc>
        <w:tc>
          <w:tcPr>
            <w:tcW w:w="545" w:type="dxa"/>
            <w:tcBorders>
              <w:top w:val="nil"/>
              <w:left w:val="nil"/>
              <w:bottom w:val="single" w:sz="4" w:space="0" w:color="auto"/>
              <w:right w:val="single" w:sz="4" w:space="0" w:color="auto"/>
            </w:tcBorders>
            <w:shd w:val="clear" w:color="000000" w:fill="D9D9D9"/>
            <w:noWrap/>
            <w:vAlign w:val="center"/>
            <w:hideMark/>
          </w:tcPr>
          <w:p w14:paraId="2D507C6A"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14</w:t>
            </w:r>
          </w:p>
        </w:tc>
        <w:tc>
          <w:tcPr>
            <w:tcW w:w="545" w:type="dxa"/>
            <w:tcBorders>
              <w:top w:val="nil"/>
              <w:left w:val="nil"/>
              <w:bottom w:val="single" w:sz="4" w:space="0" w:color="auto"/>
              <w:right w:val="single" w:sz="4" w:space="0" w:color="auto"/>
            </w:tcBorders>
            <w:shd w:val="clear" w:color="000000" w:fill="D9D9D9"/>
            <w:noWrap/>
            <w:vAlign w:val="center"/>
            <w:hideMark/>
          </w:tcPr>
          <w:p w14:paraId="03C1B0D3"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33</w:t>
            </w:r>
          </w:p>
        </w:tc>
        <w:tc>
          <w:tcPr>
            <w:tcW w:w="545" w:type="dxa"/>
            <w:tcBorders>
              <w:top w:val="nil"/>
              <w:left w:val="nil"/>
              <w:bottom w:val="single" w:sz="4" w:space="0" w:color="auto"/>
              <w:right w:val="single" w:sz="4" w:space="0" w:color="auto"/>
            </w:tcBorders>
            <w:shd w:val="clear" w:color="000000" w:fill="D9D9D9"/>
            <w:noWrap/>
            <w:vAlign w:val="center"/>
            <w:hideMark/>
          </w:tcPr>
          <w:p w14:paraId="38A9389D"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38</w:t>
            </w:r>
          </w:p>
        </w:tc>
        <w:tc>
          <w:tcPr>
            <w:tcW w:w="737" w:type="dxa"/>
            <w:tcBorders>
              <w:top w:val="nil"/>
              <w:left w:val="nil"/>
              <w:bottom w:val="single" w:sz="4" w:space="0" w:color="auto"/>
              <w:right w:val="single" w:sz="4" w:space="0" w:color="auto"/>
            </w:tcBorders>
            <w:shd w:val="clear" w:color="000000" w:fill="D9D9D9"/>
            <w:noWrap/>
            <w:vAlign w:val="center"/>
            <w:hideMark/>
          </w:tcPr>
          <w:p w14:paraId="4EEDAE15"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50</w:t>
            </w:r>
          </w:p>
        </w:tc>
        <w:tc>
          <w:tcPr>
            <w:tcW w:w="737" w:type="dxa"/>
            <w:tcBorders>
              <w:top w:val="nil"/>
              <w:left w:val="nil"/>
              <w:bottom w:val="single" w:sz="4" w:space="0" w:color="auto"/>
              <w:right w:val="single" w:sz="4" w:space="0" w:color="auto"/>
            </w:tcBorders>
            <w:shd w:val="clear" w:color="000000" w:fill="D9D9D9"/>
            <w:noWrap/>
            <w:vAlign w:val="center"/>
            <w:hideMark/>
          </w:tcPr>
          <w:p w14:paraId="0F3C4DAC"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51</w:t>
            </w:r>
          </w:p>
        </w:tc>
        <w:tc>
          <w:tcPr>
            <w:tcW w:w="737" w:type="dxa"/>
            <w:tcBorders>
              <w:top w:val="nil"/>
              <w:left w:val="nil"/>
              <w:bottom w:val="single" w:sz="4" w:space="0" w:color="auto"/>
              <w:right w:val="single" w:sz="4" w:space="0" w:color="auto"/>
            </w:tcBorders>
            <w:shd w:val="clear" w:color="000000" w:fill="D9D9D9"/>
            <w:noWrap/>
            <w:vAlign w:val="center"/>
            <w:hideMark/>
          </w:tcPr>
          <w:p w14:paraId="177C847F"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80</w:t>
            </w:r>
          </w:p>
        </w:tc>
        <w:tc>
          <w:tcPr>
            <w:tcW w:w="737" w:type="dxa"/>
            <w:tcBorders>
              <w:top w:val="nil"/>
              <w:left w:val="nil"/>
              <w:bottom w:val="single" w:sz="4" w:space="0" w:color="auto"/>
              <w:right w:val="single" w:sz="4" w:space="0" w:color="auto"/>
            </w:tcBorders>
            <w:shd w:val="clear" w:color="000000" w:fill="D9D9D9"/>
            <w:noWrap/>
            <w:vAlign w:val="center"/>
            <w:hideMark/>
          </w:tcPr>
          <w:p w14:paraId="1EF3BAC7" w14:textId="77777777" w:rsidR="00C57054" w:rsidRPr="00DA11E4" w:rsidRDefault="00C57054" w:rsidP="00C57054">
            <w:pPr>
              <w:ind w:firstLine="0"/>
              <w:jc w:val="center"/>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139</w:t>
            </w:r>
          </w:p>
        </w:tc>
      </w:tr>
      <w:tr w:rsidR="00C57054" w:rsidRPr="00DA11E4" w14:paraId="4D705866" w14:textId="77777777" w:rsidTr="00C57054">
        <w:trPr>
          <w:trHeight w:val="290"/>
        </w:trPr>
        <w:tc>
          <w:tcPr>
            <w:tcW w:w="1080" w:type="dxa"/>
            <w:vMerge/>
            <w:tcBorders>
              <w:top w:val="nil"/>
              <w:left w:val="single" w:sz="4" w:space="0" w:color="auto"/>
              <w:bottom w:val="single" w:sz="4" w:space="0" w:color="auto"/>
              <w:right w:val="single" w:sz="4" w:space="0" w:color="auto"/>
            </w:tcBorders>
            <w:vAlign w:val="center"/>
            <w:hideMark/>
          </w:tcPr>
          <w:p w14:paraId="51EEF9DA" w14:textId="77777777" w:rsidR="00C57054" w:rsidRPr="00DA11E4" w:rsidRDefault="00C57054" w:rsidP="00C57054">
            <w:pPr>
              <w:ind w:firstLine="0"/>
              <w:jc w:val="left"/>
              <w:rPr>
                <w:rFonts w:ascii="Calibri" w:eastAsia="Times New Roman" w:hAnsi="Calibri" w:cs="Calibri"/>
                <w:b/>
                <w:bCs/>
                <w:color w:val="000000"/>
                <w:sz w:val="22"/>
                <w:lang w:eastAsia="lv-LV"/>
              </w:rPr>
            </w:pPr>
          </w:p>
        </w:tc>
        <w:tc>
          <w:tcPr>
            <w:tcW w:w="1320" w:type="dxa"/>
            <w:tcBorders>
              <w:top w:val="nil"/>
              <w:left w:val="nil"/>
              <w:bottom w:val="single" w:sz="4" w:space="0" w:color="auto"/>
              <w:right w:val="single" w:sz="4" w:space="0" w:color="auto"/>
            </w:tcBorders>
            <w:shd w:val="clear" w:color="000000" w:fill="D9D9D9"/>
            <w:noWrap/>
            <w:vAlign w:val="bottom"/>
            <w:hideMark/>
          </w:tcPr>
          <w:p w14:paraId="57F3FFE1" w14:textId="77777777" w:rsidR="00C57054" w:rsidRPr="00DA11E4" w:rsidRDefault="00C57054" w:rsidP="00C57054">
            <w:pPr>
              <w:ind w:firstLine="0"/>
              <w:jc w:val="right"/>
              <w:rPr>
                <w:rFonts w:ascii="Calibri" w:eastAsia="Times New Roman" w:hAnsi="Calibri" w:cs="Calibri"/>
                <w:color w:val="000000"/>
                <w:sz w:val="22"/>
                <w:lang w:eastAsia="lv-LV"/>
              </w:rPr>
            </w:pPr>
            <w:r w:rsidRPr="00DA11E4">
              <w:rPr>
                <w:rFonts w:ascii="Calibri" w:eastAsia="Times New Roman" w:hAnsi="Calibri" w:cs="Calibri"/>
                <w:color w:val="000000"/>
                <w:sz w:val="22"/>
                <w:lang w:eastAsia="lv-LV"/>
              </w:rPr>
              <w:t>KOPĀ</w:t>
            </w:r>
          </w:p>
        </w:tc>
        <w:tc>
          <w:tcPr>
            <w:tcW w:w="546" w:type="dxa"/>
            <w:tcBorders>
              <w:top w:val="nil"/>
              <w:left w:val="nil"/>
              <w:bottom w:val="single" w:sz="4" w:space="0" w:color="auto"/>
              <w:right w:val="single" w:sz="4" w:space="0" w:color="auto"/>
            </w:tcBorders>
            <w:shd w:val="clear" w:color="000000" w:fill="D9D9D9"/>
            <w:noWrap/>
            <w:vAlign w:val="center"/>
            <w:hideMark/>
          </w:tcPr>
          <w:p w14:paraId="46AC32DB"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13</w:t>
            </w:r>
          </w:p>
        </w:tc>
        <w:tc>
          <w:tcPr>
            <w:tcW w:w="546" w:type="dxa"/>
            <w:tcBorders>
              <w:top w:val="nil"/>
              <w:left w:val="nil"/>
              <w:bottom w:val="single" w:sz="4" w:space="0" w:color="auto"/>
              <w:right w:val="single" w:sz="4" w:space="0" w:color="auto"/>
            </w:tcBorders>
            <w:shd w:val="clear" w:color="000000" w:fill="D9D9D9"/>
            <w:noWrap/>
            <w:vAlign w:val="center"/>
            <w:hideMark/>
          </w:tcPr>
          <w:p w14:paraId="5727C669"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16</w:t>
            </w:r>
          </w:p>
        </w:tc>
        <w:tc>
          <w:tcPr>
            <w:tcW w:w="545" w:type="dxa"/>
            <w:tcBorders>
              <w:top w:val="nil"/>
              <w:left w:val="nil"/>
              <w:bottom w:val="single" w:sz="4" w:space="0" w:color="auto"/>
              <w:right w:val="single" w:sz="4" w:space="0" w:color="auto"/>
            </w:tcBorders>
            <w:shd w:val="clear" w:color="000000" w:fill="D9D9D9"/>
            <w:noWrap/>
            <w:vAlign w:val="center"/>
            <w:hideMark/>
          </w:tcPr>
          <w:p w14:paraId="2BF39598"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20</w:t>
            </w:r>
          </w:p>
        </w:tc>
        <w:tc>
          <w:tcPr>
            <w:tcW w:w="545" w:type="dxa"/>
            <w:tcBorders>
              <w:top w:val="nil"/>
              <w:left w:val="nil"/>
              <w:bottom w:val="single" w:sz="4" w:space="0" w:color="auto"/>
              <w:right w:val="single" w:sz="4" w:space="0" w:color="auto"/>
            </w:tcBorders>
            <w:shd w:val="clear" w:color="000000" w:fill="D9D9D9"/>
            <w:noWrap/>
            <w:vAlign w:val="center"/>
            <w:hideMark/>
          </w:tcPr>
          <w:p w14:paraId="3ABEADD4"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27</w:t>
            </w:r>
          </w:p>
        </w:tc>
        <w:tc>
          <w:tcPr>
            <w:tcW w:w="545" w:type="dxa"/>
            <w:tcBorders>
              <w:top w:val="nil"/>
              <w:left w:val="nil"/>
              <w:bottom w:val="single" w:sz="4" w:space="0" w:color="auto"/>
              <w:right w:val="single" w:sz="4" w:space="0" w:color="auto"/>
            </w:tcBorders>
            <w:shd w:val="clear" w:color="000000" w:fill="D9D9D9"/>
            <w:noWrap/>
            <w:vAlign w:val="center"/>
            <w:hideMark/>
          </w:tcPr>
          <w:p w14:paraId="401F6E0A"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64</w:t>
            </w:r>
          </w:p>
        </w:tc>
        <w:tc>
          <w:tcPr>
            <w:tcW w:w="545" w:type="dxa"/>
            <w:tcBorders>
              <w:top w:val="nil"/>
              <w:left w:val="nil"/>
              <w:bottom w:val="single" w:sz="4" w:space="0" w:color="auto"/>
              <w:right w:val="single" w:sz="4" w:space="0" w:color="auto"/>
            </w:tcBorders>
            <w:shd w:val="clear" w:color="000000" w:fill="D9D9D9"/>
            <w:noWrap/>
            <w:vAlign w:val="center"/>
            <w:hideMark/>
          </w:tcPr>
          <w:p w14:paraId="10CD4F2D"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68</w:t>
            </w:r>
          </w:p>
        </w:tc>
        <w:tc>
          <w:tcPr>
            <w:tcW w:w="737" w:type="dxa"/>
            <w:tcBorders>
              <w:top w:val="nil"/>
              <w:left w:val="nil"/>
              <w:bottom w:val="single" w:sz="4" w:space="0" w:color="auto"/>
              <w:right w:val="single" w:sz="4" w:space="0" w:color="auto"/>
            </w:tcBorders>
            <w:shd w:val="clear" w:color="000000" w:fill="D9D9D9"/>
            <w:noWrap/>
            <w:vAlign w:val="center"/>
            <w:hideMark/>
          </w:tcPr>
          <w:p w14:paraId="2F632726"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107</w:t>
            </w:r>
          </w:p>
        </w:tc>
        <w:tc>
          <w:tcPr>
            <w:tcW w:w="737" w:type="dxa"/>
            <w:tcBorders>
              <w:top w:val="nil"/>
              <w:left w:val="nil"/>
              <w:bottom w:val="single" w:sz="4" w:space="0" w:color="auto"/>
              <w:right w:val="single" w:sz="4" w:space="0" w:color="auto"/>
            </w:tcBorders>
            <w:shd w:val="clear" w:color="000000" w:fill="D9D9D9"/>
            <w:noWrap/>
            <w:vAlign w:val="center"/>
            <w:hideMark/>
          </w:tcPr>
          <w:p w14:paraId="09E1A052"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110</w:t>
            </w:r>
          </w:p>
        </w:tc>
        <w:tc>
          <w:tcPr>
            <w:tcW w:w="737" w:type="dxa"/>
            <w:tcBorders>
              <w:top w:val="nil"/>
              <w:left w:val="nil"/>
              <w:bottom w:val="single" w:sz="4" w:space="0" w:color="auto"/>
              <w:right w:val="single" w:sz="4" w:space="0" w:color="auto"/>
            </w:tcBorders>
            <w:shd w:val="clear" w:color="000000" w:fill="D9D9D9"/>
            <w:noWrap/>
            <w:vAlign w:val="center"/>
            <w:hideMark/>
          </w:tcPr>
          <w:p w14:paraId="2FD01027"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194</w:t>
            </w:r>
          </w:p>
        </w:tc>
        <w:tc>
          <w:tcPr>
            <w:tcW w:w="737" w:type="dxa"/>
            <w:tcBorders>
              <w:top w:val="nil"/>
              <w:left w:val="nil"/>
              <w:bottom w:val="single" w:sz="4" w:space="0" w:color="auto"/>
              <w:right w:val="single" w:sz="4" w:space="0" w:color="auto"/>
            </w:tcBorders>
            <w:shd w:val="clear" w:color="000000" w:fill="D9D9D9"/>
            <w:noWrap/>
            <w:vAlign w:val="center"/>
            <w:hideMark/>
          </w:tcPr>
          <w:p w14:paraId="5C088201" w14:textId="77777777" w:rsidR="00C57054" w:rsidRPr="00DA11E4" w:rsidRDefault="00C57054" w:rsidP="00C57054">
            <w:pPr>
              <w:ind w:firstLine="0"/>
              <w:jc w:val="center"/>
              <w:rPr>
                <w:rFonts w:ascii="Calibri" w:eastAsia="Times New Roman" w:hAnsi="Calibri" w:cs="Calibri"/>
                <w:b/>
                <w:bCs/>
                <w:color w:val="000000"/>
                <w:sz w:val="22"/>
                <w:lang w:eastAsia="lv-LV"/>
              </w:rPr>
            </w:pPr>
            <w:r w:rsidRPr="00DA11E4">
              <w:rPr>
                <w:rFonts w:ascii="Calibri" w:eastAsia="Times New Roman" w:hAnsi="Calibri" w:cs="Calibri"/>
                <w:b/>
                <w:bCs/>
                <w:color w:val="000000"/>
                <w:sz w:val="22"/>
                <w:lang w:val="en-US" w:eastAsia="lv-LV"/>
              </w:rPr>
              <w:t>262</w:t>
            </w:r>
          </w:p>
        </w:tc>
      </w:tr>
    </w:tbl>
    <w:p w14:paraId="2FEB7DB3" w14:textId="4ADF63CC" w:rsidR="005A1B5E" w:rsidRPr="00DA11E4" w:rsidRDefault="005A1B5E" w:rsidP="005A1B5E">
      <w:pPr>
        <w:shd w:val="clear" w:color="auto" w:fill="FFFFFF"/>
        <w:textAlignment w:val="baseline"/>
        <w:rPr>
          <w:rFonts w:ascii="Calibri" w:eastAsia="Times New Roman" w:hAnsi="Calibri" w:cs="Calibri"/>
          <w:color w:val="000000"/>
          <w:szCs w:val="24"/>
        </w:rPr>
      </w:pPr>
    </w:p>
    <w:p w14:paraId="22622E1B" w14:textId="7D01E564" w:rsidR="009D56BC" w:rsidRPr="00DA11E4" w:rsidRDefault="009D56BC" w:rsidP="004C7863">
      <w:pPr>
        <w:pStyle w:val="NormalWeb"/>
        <w:shd w:val="clear" w:color="auto" w:fill="FFFFFF"/>
        <w:spacing w:before="0" w:beforeAutospacing="0" w:after="0" w:afterAutospacing="0"/>
        <w:ind w:firstLine="709"/>
        <w:jc w:val="both"/>
      </w:pPr>
      <w:r w:rsidRPr="00DA11E4">
        <w:t>Vienlaikus vēršam uzmanību, ka pacienti stacionārajās ārstniecības iestādēs jau šobrīd tiek izmeklēti iz Covid-19, atbilstoši spēkā esošajiem normatīvajiem akt</w:t>
      </w:r>
      <w:r w:rsidR="00661D69" w:rsidRPr="00DA11E4">
        <w:t>iem (arī manipulāciju sarakstam un Slimību profilakses un kontroles centra mājaslapā publicētajam testēšanas algoritmam).</w:t>
      </w:r>
    </w:p>
    <w:p w14:paraId="08D5057D" w14:textId="528798D9" w:rsidR="00937FA6" w:rsidRPr="00DA11E4" w:rsidRDefault="00C57054" w:rsidP="004C7863">
      <w:pPr>
        <w:pStyle w:val="NormalWeb"/>
        <w:shd w:val="clear" w:color="auto" w:fill="FFFFFF"/>
        <w:spacing w:before="0" w:beforeAutospacing="0" w:after="0" w:afterAutospacing="0"/>
        <w:ind w:firstLine="709"/>
        <w:jc w:val="both"/>
        <w:rPr>
          <w:rFonts w:eastAsiaTheme="minorHAnsi" w:cstheme="minorBidi"/>
          <w:szCs w:val="22"/>
          <w:lang w:eastAsia="en-US"/>
        </w:rPr>
      </w:pPr>
      <w:r w:rsidRPr="00DA11E4">
        <w:t>Papildus, l</w:t>
      </w:r>
      <w:r w:rsidR="000E3EF1" w:rsidRPr="00DA11E4">
        <w:t>ai izvērtētu SARS-CoV-2 vīrusa antigēna noteikšanas testa ieviešanu ambulatorajās ārstniecības iestādēs pirms plānotā veselības aprūpes pakalpojuma saņemšanas, n</w:t>
      </w:r>
      <w:r w:rsidR="00385455" w:rsidRPr="00DA11E4">
        <w:rPr>
          <w:rFonts w:cstheme="minorBidi"/>
        </w:rPr>
        <w:t xml:space="preserve">o š.g. 27.septembra līdz 1.oktobrim </w:t>
      </w:r>
      <w:r w:rsidR="000E3EF1" w:rsidRPr="00DA11E4">
        <w:t>AS "Veselības centru apvienība"</w:t>
      </w:r>
      <w:r w:rsidR="00385455" w:rsidRPr="00DA11E4">
        <w:rPr>
          <w:rFonts w:cstheme="minorBidi"/>
        </w:rPr>
        <w:t xml:space="preserve"> poliklīnikā Pļavnieki sadarbībā ar Veselības ministriju tika realizēts pilotprojekts “</w:t>
      </w:r>
      <w:proofErr w:type="spellStart"/>
      <w:r w:rsidR="00385455" w:rsidRPr="00DA11E4">
        <w:rPr>
          <w:rFonts w:cstheme="minorBidi"/>
        </w:rPr>
        <w:t>Jūties</w:t>
      </w:r>
      <w:proofErr w:type="spellEnd"/>
      <w:r w:rsidR="00385455" w:rsidRPr="00DA11E4">
        <w:rPr>
          <w:rFonts w:cstheme="minorBidi"/>
        </w:rPr>
        <w:t xml:space="preserve"> droši medicīnas iestādē”. </w:t>
      </w:r>
      <w:r w:rsidR="004C7863" w:rsidRPr="00DA11E4">
        <w:rPr>
          <w:rFonts w:eastAsiaTheme="minorHAnsi" w:cstheme="minorBidi"/>
          <w:szCs w:val="22"/>
          <w:lang w:eastAsia="en-US"/>
        </w:rPr>
        <w:t xml:space="preserve">Pilotprojekta mērķis bija noteikt Covid-19 izplatību ambulatoro ārstniecības iestāžu apmeklētāju vidū. </w:t>
      </w:r>
      <w:r w:rsidR="00385455" w:rsidRPr="00DA11E4">
        <w:rPr>
          <w:rFonts w:cstheme="minorBidi"/>
        </w:rPr>
        <w:t>Šī projekta ietvaros ārstniecības iestādes apmeklētājiem bez maksas tiks veikti ātrie antigēnu testi</w:t>
      </w:r>
      <w:r w:rsidR="000E3EF1" w:rsidRPr="00DA11E4">
        <w:t xml:space="preserve"> (RAT)</w:t>
      </w:r>
      <w:r w:rsidR="000E3EF1" w:rsidRPr="00DA11E4">
        <w:rPr>
          <w:rStyle w:val="FootnoteReference"/>
        </w:rPr>
        <w:footnoteReference w:id="2"/>
      </w:r>
      <w:r w:rsidR="000E3EF1" w:rsidRPr="00DA11E4">
        <w:t>.</w:t>
      </w:r>
      <w:r w:rsidR="004C7863" w:rsidRPr="00DA11E4">
        <w:t xml:space="preserve"> </w:t>
      </w:r>
      <w:r w:rsidR="00385455" w:rsidRPr="00DA11E4">
        <w:rPr>
          <w:rFonts w:eastAsiaTheme="minorHAnsi" w:cstheme="minorBidi"/>
          <w:szCs w:val="22"/>
          <w:lang w:eastAsia="en-US"/>
        </w:rPr>
        <w:t xml:space="preserve">Covid-19 testa veikšana tiks piedāvāta visiem </w:t>
      </w:r>
      <w:r w:rsidR="000E3EF1" w:rsidRPr="00DA11E4">
        <w:rPr>
          <w:rFonts w:eastAsiaTheme="minorHAnsi" w:cstheme="minorBidi"/>
          <w:szCs w:val="22"/>
          <w:lang w:eastAsia="en-US"/>
        </w:rPr>
        <w:t>minētās ārstniecības iestādes</w:t>
      </w:r>
      <w:r w:rsidR="00385455" w:rsidRPr="00DA11E4">
        <w:rPr>
          <w:rFonts w:eastAsiaTheme="minorHAnsi" w:cstheme="minorBidi"/>
          <w:szCs w:val="22"/>
          <w:lang w:eastAsia="en-US"/>
        </w:rPr>
        <w:t xml:space="preserve"> apmeklētājiem – gan nevakcinētām, gan vakcinētām personām. Pēc testa veikšanas personām līdz rezultātu saņemšanai jāuzgaida aptuveni 15 līdz 20 minūtes. Ja tests rezultāts </w:t>
      </w:r>
      <w:r w:rsidR="000E3EF1" w:rsidRPr="00DA11E4">
        <w:rPr>
          <w:rFonts w:eastAsiaTheme="minorHAnsi" w:cstheme="minorBidi"/>
          <w:szCs w:val="22"/>
          <w:lang w:eastAsia="en-US"/>
        </w:rPr>
        <w:t xml:space="preserve">bija pozitīvs - </w:t>
      </w:r>
      <w:r w:rsidR="00385455" w:rsidRPr="00DA11E4">
        <w:rPr>
          <w:rFonts w:eastAsiaTheme="minorHAnsi" w:cstheme="minorBidi"/>
          <w:szCs w:val="22"/>
          <w:lang w:eastAsia="en-US"/>
        </w:rPr>
        <w:t>tik</w:t>
      </w:r>
      <w:r w:rsidR="000E3EF1" w:rsidRPr="00DA11E4">
        <w:rPr>
          <w:rFonts w:eastAsiaTheme="minorHAnsi" w:cstheme="minorBidi"/>
          <w:szCs w:val="22"/>
          <w:lang w:eastAsia="en-US"/>
        </w:rPr>
        <w:t>a</w:t>
      </w:r>
      <w:r w:rsidR="00385455" w:rsidRPr="00DA11E4">
        <w:rPr>
          <w:rFonts w:eastAsiaTheme="minorHAnsi" w:cstheme="minorBidi"/>
          <w:szCs w:val="22"/>
          <w:lang w:eastAsia="en-US"/>
        </w:rPr>
        <w:t xml:space="preserve"> veikts </w:t>
      </w:r>
      <w:r w:rsidR="000E3EF1" w:rsidRPr="00DA11E4">
        <w:rPr>
          <w:rFonts w:eastAsiaTheme="minorHAnsi" w:cstheme="minorBidi"/>
          <w:szCs w:val="22"/>
          <w:lang w:eastAsia="en-US"/>
        </w:rPr>
        <w:t>atkārtots apstiprinošais tests</w:t>
      </w:r>
      <w:r w:rsidR="00385455" w:rsidRPr="00DA11E4">
        <w:rPr>
          <w:rFonts w:eastAsiaTheme="minorHAnsi" w:cstheme="minorBidi"/>
          <w:szCs w:val="22"/>
          <w:lang w:eastAsia="en-US"/>
        </w:rPr>
        <w:t xml:space="preserve">. </w:t>
      </w:r>
      <w:r w:rsidR="000E3EF1" w:rsidRPr="00DA11E4">
        <w:rPr>
          <w:rFonts w:eastAsiaTheme="minorHAnsi" w:cstheme="minorBidi"/>
          <w:szCs w:val="22"/>
          <w:lang w:eastAsia="en-US"/>
        </w:rPr>
        <w:t>Savukārt n</w:t>
      </w:r>
      <w:r w:rsidR="00385455" w:rsidRPr="00DA11E4">
        <w:rPr>
          <w:rFonts w:eastAsiaTheme="minorHAnsi" w:cstheme="minorBidi"/>
          <w:szCs w:val="22"/>
          <w:lang w:eastAsia="en-US"/>
        </w:rPr>
        <w:t>egatīva testa rezultāt</w:t>
      </w:r>
      <w:r w:rsidR="004C7863" w:rsidRPr="00DA11E4">
        <w:rPr>
          <w:rFonts w:eastAsiaTheme="minorHAnsi" w:cstheme="minorBidi"/>
          <w:szCs w:val="22"/>
          <w:lang w:eastAsia="en-US"/>
        </w:rPr>
        <w:t>ā</w:t>
      </w:r>
      <w:r w:rsidR="00385455" w:rsidRPr="00DA11E4">
        <w:rPr>
          <w:rFonts w:eastAsiaTheme="minorHAnsi" w:cstheme="minorBidi"/>
          <w:szCs w:val="22"/>
          <w:lang w:eastAsia="en-US"/>
        </w:rPr>
        <w:t xml:space="preserve"> </w:t>
      </w:r>
      <w:r w:rsidR="004C7863" w:rsidRPr="00DA11E4">
        <w:rPr>
          <w:rFonts w:eastAsiaTheme="minorHAnsi" w:cstheme="minorBidi"/>
          <w:szCs w:val="22"/>
          <w:lang w:eastAsia="en-US"/>
        </w:rPr>
        <w:t xml:space="preserve">testa veicējam tika izsniegts </w:t>
      </w:r>
      <w:proofErr w:type="spellStart"/>
      <w:r w:rsidR="004C7863" w:rsidRPr="00DA11E4">
        <w:rPr>
          <w:rFonts w:eastAsiaTheme="minorHAnsi" w:cstheme="minorBidi"/>
          <w:szCs w:val="22"/>
          <w:lang w:eastAsia="en-US"/>
        </w:rPr>
        <w:t>sadarbspējīgs</w:t>
      </w:r>
      <w:proofErr w:type="spellEnd"/>
      <w:r w:rsidR="004C7863" w:rsidRPr="00DA11E4">
        <w:rPr>
          <w:rFonts w:eastAsiaTheme="minorHAnsi" w:cstheme="minorBidi"/>
          <w:szCs w:val="22"/>
          <w:lang w:eastAsia="en-US"/>
        </w:rPr>
        <w:t xml:space="preserve"> </w:t>
      </w:r>
      <w:r w:rsidR="00385455" w:rsidRPr="00DA11E4">
        <w:rPr>
          <w:rFonts w:eastAsiaTheme="minorHAnsi" w:cstheme="minorBidi"/>
          <w:szCs w:val="22"/>
          <w:lang w:eastAsia="en-US"/>
        </w:rPr>
        <w:t>Covid-19 sertifikāt</w:t>
      </w:r>
      <w:r w:rsidR="004C7863" w:rsidRPr="00DA11E4">
        <w:rPr>
          <w:rFonts w:eastAsiaTheme="minorHAnsi" w:cstheme="minorBidi"/>
          <w:szCs w:val="22"/>
          <w:lang w:eastAsia="en-US"/>
        </w:rPr>
        <w:t>s</w:t>
      </w:r>
      <w:r w:rsidR="00385455" w:rsidRPr="00DA11E4">
        <w:rPr>
          <w:rFonts w:eastAsiaTheme="minorHAnsi" w:cstheme="minorBidi"/>
          <w:szCs w:val="22"/>
          <w:lang w:eastAsia="en-US"/>
        </w:rPr>
        <w:t>.</w:t>
      </w:r>
      <w:r w:rsidR="00264096" w:rsidRPr="00DA11E4">
        <w:rPr>
          <w:rFonts w:eastAsiaTheme="minorHAnsi" w:cstheme="minorBidi"/>
          <w:szCs w:val="22"/>
          <w:lang w:eastAsia="en-US"/>
        </w:rPr>
        <w:t xml:space="preserve"> Pilotprojekta rezultāti atspoguļoti </w:t>
      </w:r>
      <w:r w:rsidR="00661D69" w:rsidRPr="00DA11E4">
        <w:rPr>
          <w:rFonts w:eastAsiaTheme="minorHAnsi" w:cstheme="minorBidi"/>
          <w:szCs w:val="22"/>
          <w:lang w:eastAsia="en-US"/>
        </w:rPr>
        <w:t xml:space="preserve">2. </w:t>
      </w:r>
      <w:r w:rsidR="00264096" w:rsidRPr="00DA11E4">
        <w:rPr>
          <w:rFonts w:eastAsiaTheme="minorHAnsi" w:cstheme="minorBidi"/>
          <w:szCs w:val="22"/>
          <w:lang w:eastAsia="en-US"/>
        </w:rPr>
        <w:t>tabulā.</w:t>
      </w:r>
    </w:p>
    <w:p w14:paraId="041C0254" w14:textId="30CE607B" w:rsidR="00661D69" w:rsidRPr="00DA11E4" w:rsidRDefault="00661D69" w:rsidP="00661D69">
      <w:pPr>
        <w:pStyle w:val="NormalWeb"/>
        <w:shd w:val="clear" w:color="auto" w:fill="FFFFFF"/>
        <w:spacing w:before="0" w:beforeAutospacing="0" w:after="0" w:afterAutospacing="0"/>
        <w:ind w:firstLine="709"/>
        <w:jc w:val="right"/>
        <w:rPr>
          <w:rFonts w:eastAsiaTheme="minorHAnsi" w:cstheme="minorBidi"/>
          <w:i/>
          <w:iCs/>
          <w:szCs w:val="22"/>
          <w:lang w:eastAsia="en-US"/>
        </w:rPr>
      </w:pPr>
      <w:r w:rsidRPr="00DA11E4">
        <w:rPr>
          <w:rFonts w:eastAsiaTheme="minorHAnsi" w:cstheme="minorBidi"/>
          <w:i/>
          <w:iCs/>
          <w:szCs w:val="22"/>
          <w:lang w:eastAsia="en-US"/>
        </w:rPr>
        <w:t>2. Tabula</w:t>
      </w:r>
    </w:p>
    <w:tbl>
      <w:tblPr>
        <w:tblStyle w:val="TableGrid"/>
        <w:tblW w:w="0" w:type="auto"/>
        <w:tblLook w:val="04A0" w:firstRow="1" w:lastRow="0" w:firstColumn="1" w:lastColumn="0" w:noHBand="0" w:noVBand="1"/>
      </w:tblPr>
      <w:tblGrid>
        <w:gridCol w:w="1356"/>
        <w:gridCol w:w="1250"/>
        <w:gridCol w:w="1258"/>
        <w:gridCol w:w="1363"/>
        <w:gridCol w:w="1416"/>
        <w:gridCol w:w="1416"/>
        <w:gridCol w:w="1282"/>
      </w:tblGrid>
      <w:tr w:rsidR="00937FA6" w:rsidRPr="00DA11E4" w14:paraId="2BBFEEE9" w14:textId="77777777" w:rsidTr="00264096">
        <w:tc>
          <w:tcPr>
            <w:tcW w:w="1356" w:type="dxa"/>
          </w:tcPr>
          <w:p w14:paraId="4A2438A3" w14:textId="179E7EA3"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Datums</w:t>
            </w:r>
          </w:p>
        </w:tc>
        <w:tc>
          <w:tcPr>
            <w:tcW w:w="1250" w:type="dxa"/>
          </w:tcPr>
          <w:p w14:paraId="6A9D9E27" w14:textId="50D5A61C"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Pacientu skaits</w:t>
            </w:r>
          </w:p>
        </w:tc>
        <w:tc>
          <w:tcPr>
            <w:tcW w:w="1258" w:type="dxa"/>
          </w:tcPr>
          <w:p w14:paraId="3BC92F4F" w14:textId="23D382CF"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Pozitīvie antigēna testi</w:t>
            </w:r>
          </w:p>
        </w:tc>
        <w:tc>
          <w:tcPr>
            <w:tcW w:w="1363" w:type="dxa"/>
          </w:tcPr>
          <w:p w14:paraId="3028CE2E" w14:textId="5D3349C6"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Apstiprināti ar PĶR</w:t>
            </w:r>
          </w:p>
        </w:tc>
        <w:tc>
          <w:tcPr>
            <w:tcW w:w="1416" w:type="dxa"/>
          </w:tcPr>
          <w:p w14:paraId="287A8471" w14:textId="6172AB80"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Ar simptomiem</w:t>
            </w:r>
          </w:p>
        </w:tc>
        <w:tc>
          <w:tcPr>
            <w:tcW w:w="1416" w:type="dxa"/>
          </w:tcPr>
          <w:p w14:paraId="7F37B2B2" w14:textId="2B820E8C"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Bez simptomiem</w:t>
            </w:r>
          </w:p>
        </w:tc>
        <w:tc>
          <w:tcPr>
            <w:tcW w:w="1282" w:type="dxa"/>
          </w:tcPr>
          <w:p w14:paraId="16CF5A17" w14:textId="01F575B4"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Vakcinēti</w:t>
            </w:r>
          </w:p>
        </w:tc>
      </w:tr>
      <w:tr w:rsidR="00937FA6" w:rsidRPr="00DA11E4" w14:paraId="3C04F605" w14:textId="77777777" w:rsidTr="00264096">
        <w:tc>
          <w:tcPr>
            <w:tcW w:w="1356" w:type="dxa"/>
          </w:tcPr>
          <w:p w14:paraId="7D3D3037" w14:textId="30ECA4C2"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27.09.2021.</w:t>
            </w:r>
          </w:p>
        </w:tc>
        <w:tc>
          <w:tcPr>
            <w:tcW w:w="1250" w:type="dxa"/>
          </w:tcPr>
          <w:p w14:paraId="2F6FAA70" w14:textId="26B7866E"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251</w:t>
            </w:r>
          </w:p>
        </w:tc>
        <w:tc>
          <w:tcPr>
            <w:tcW w:w="1258" w:type="dxa"/>
          </w:tcPr>
          <w:p w14:paraId="69EA5949" w14:textId="69ACEC6C"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7</w:t>
            </w:r>
          </w:p>
        </w:tc>
        <w:tc>
          <w:tcPr>
            <w:tcW w:w="1363" w:type="dxa"/>
          </w:tcPr>
          <w:p w14:paraId="5E70341D" w14:textId="29F6C97F"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7</w:t>
            </w:r>
          </w:p>
        </w:tc>
        <w:tc>
          <w:tcPr>
            <w:tcW w:w="1416" w:type="dxa"/>
          </w:tcPr>
          <w:p w14:paraId="118C1A46" w14:textId="7B9CD3F1"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7</w:t>
            </w:r>
          </w:p>
        </w:tc>
        <w:tc>
          <w:tcPr>
            <w:tcW w:w="1416" w:type="dxa"/>
          </w:tcPr>
          <w:p w14:paraId="46D8ABD2" w14:textId="4A7BB757"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0</w:t>
            </w:r>
          </w:p>
        </w:tc>
        <w:tc>
          <w:tcPr>
            <w:tcW w:w="1282" w:type="dxa"/>
          </w:tcPr>
          <w:p w14:paraId="01448091" w14:textId="073568F0"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w:t>
            </w:r>
          </w:p>
        </w:tc>
      </w:tr>
      <w:tr w:rsidR="00937FA6" w:rsidRPr="00DA11E4" w14:paraId="68286B39" w14:textId="77777777" w:rsidTr="00264096">
        <w:tc>
          <w:tcPr>
            <w:tcW w:w="1356" w:type="dxa"/>
          </w:tcPr>
          <w:p w14:paraId="255EF244" w14:textId="1AD423C9"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28.09.2021.</w:t>
            </w:r>
          </w:p>
        </w:tc>
        <w:tc>
          <w:tcPr>
            <w:tcW w:w="1250" w:type="dxa"/>
          </w:tcPr>
          <w:p w14:paraId="4680CE7A" w14:textId="29B30037"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147</w:t>
            </w:r>
          </w:p>
        </w:tc>
        <w:tc>
          <w:tcPr>
            <w:tcW w:w="1258" w:type="dxa"/>
          </w:tcPr>
          <w:p w14:paraId="567E0BDD" w14:textId="7688B371"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13</w:t>
            </w:r>
          </w:p>
        </w:tc>
        <w:tc>
          <w:tcPr>
            <w:tcW w:w="1363" w:type="dxa"/>
          </w:tcPr>
          <w:p w14:paraId="3C9A0C8E" w14:textId="7108AC10"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12</w:t>
            </w:r>
          </w:p>
        </w:tc>
        <w:tc>
          <w:tcPr>
            <w:tcW w:w="1416" w:type="dxa"/>
          </w:tcPr>
          <w:p w14:paraId="7CE0734E" w14:textId="34243EBC"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10</w:t>
            </w:r>
          </w:p>
        </w:tc>
        <w:tc>
          <w:tcPr>
            <w:tcW w:w="1416" w:type="dxa"/>
          </w:tcPr>
          <w:p w14:paraId="49B481BA" w14:textId="6D87847E"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3</w:t>
            </w:r>
          </w:p>
        </w:tc>
        <w:tc>
          <w:tcPr>
            <w:tcW w:w="1282" w:type="dxa"/>
          </w:tcPr>
          <w:p w14:paraId="2CE1A94B" w14:textId="02F2B995"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2</w:t>
            </w:r>
          </w:p>
        </w:tc>
      </w:tr>
      <w:tr w:rsidR="00937FA6" w:rsidRPr="00DA11E4" w14:paraId="7C3365BF" w14:textId="77777777" w:rsidTr="00264096">
        <w:tc>
          <w:tcPr>
            <w:tcW w:w="1356" w:type="dxa"/>
          </w:tcPr>
          <w:p w14:paraId="71A666C2" w14:textId="71071D71"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29.09.2021.</w:t>
            </w:r>
          </w:p>
        </w:tc>
        <w:tc>
          <w:tcPr>
            <w:tcW w:w="1250" w:type="dxa"/>
          </w:tcPr>
          <w:p w14:paraId="17C126C0" w14:textId="66479457"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147</w:t>
            </w:r>
          </w:p>
        </w:tc>
        <w:tc>
          <w:tcPr>
            <w:tcW w:w="1258" w:type="dxa"/>
          </w:tcPr>
          <w:p w14:paraId="67F85A68" w14:textId="6312C15E"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6</w:t>
            </w:r>
          </w:p>
        </w:tc>
        <w:tc>
          <w:tcPr>
            <w:tcW w:w="1363" w:type="dxa"/>
          </w:tcPr>
          <w:p w14:paraId="3DB12CA3" w14:textId="61912556"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3</w:t>
            </w:r>
          </w:p>
        </w:tc>
        <w:tc>
          <w:tcPr>
            <w:tcW w:w="1416" w:type="dxa"/>
          </w:tcPr>
          <w:p w14:paraId="510A2F6C" w14:textId="18524D8E"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5</w:t>
            </w:r>
          </w:p>
        </w:tc>
        <w:tc>
          <w:tcPr>
            <w:tcW w:w="1416" w:type="dxa"/>
          </w:tcPr>
          <w:p w14:paraId="0ECA23A5" w14:textId="2875F6FC"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w:t>
            </w:r>
          </w:p>
        </w:tc>
        <w:tc>
          <w:tcPr>
            <w:tcW w:w="1282" w:type="dxa"/>
          </w:tcPr>
          <w:p w14:paraId="7BC62982" w14:textId="5090F671"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2</w:t>
            </w:r>
          </w:p>
        </w:tc>
      </w:tr>
      <w:tr w:rsidR="00937FA6" w:rsidRPr="00DA11E4" w14:paraId="1C2EBDFE" w14:textId="77777777" w:rsidTr="00264096">
        <w:tc>
          <w:tcPr>
            <w:tcW w:w="1356" w:type="dxa"/>
          </w:tcPr>
          <w:p w14:paraId="5AD34499" w14:textId="717E1B66"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30.09.2021.</w:t>
            </w:r>
          </w:p>
        </w:tc>
        <w:tc>
          <w:tcPr>
            <w:tcW w:w="1250" w:type="dxa"/>
          </w:tcPr>
          <w:p w14:paraId="75FB974B" w14:textId="2A53CF27"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163</w:t>
            </w:r>
          </w:p>
        </w:tc>
        <w:tc>
          <w:tcPr>
            <w:tcW w:w="1258" w:type="dxa"/>
          </w:tcPr>
          <w:p w14:paraId="4FE7FFCC" w14:textId="6C3ED92A"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7</w:t>
            </w:r>
          </w:p>
        </w:tc>
        <w:tc>
          <w:tcPr>
            <w:tcW w:w="1363" w:type="dxa"/>
          </w:tcPr>
          <w:p w14:paraId="124D1026" w14:textId="421E23D5"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7</w:t>
            </w:r>
          </w:p>
        </w:tc>
        <w:tc>
          <w:tcPr>
            <w:tcW w:w="1416" w:type="dxa"/>
          </w:tcPr>
          <w:p w14:paraId="31714FE2" w14:textId="19517AB9"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6</w:t>
            </w:r>
          </w:p>
        </w:tc>
        <w:tc>
          <w:tcPr>
            <w:tcW w:w="1416" w:type="dxa"/>
          </w:tcPr>
          <w:p w14:paraId="63124EEA" w14:textId="3E0224A4"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w:t>
            </w:r>
          </w:p>
        </w:tc>
        <w:tc>
          <w:tcPr>
            <w:tcW w:w="1282" w:type="dxa"/>
          </w:tcPr>
          <w:p w14:paraId="506A6197" w14:textId="652EA6C6"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w:t>
            </w:r>
          </w:p>
        </w:tc>
      </w:tr>
      <w:tr w:rsidR="00937FA6" w:rsidRPr="00DA11E4" w14:paraId="7BC7E262" w14:textId="77777777" w:rsidTr="00264096">
        <w:tc>
          <w:tcPr>
            <w:tcW w:w="1356" w:type="dxa"/>
          </w:tcPr>
          <w:p w14:paraId="483B6E79" w14:textId="1C7B97D8" w:rsidR="00937FA6" w:rsidRPr="00DA11E4" w:rsidRDefault="00937FA6" w:rsidP="004C7863">
            <w:pPr>
              <w:pStyle w:val="NormalWeb"/>
              <w:spacing w:before="0" w:beforeAutospacing="0" w:after="0" w:afterAutospacing="0"/>
              <w:jc w:val="both"/>
              <w:rPr>
                <w:rFonts w:eastAsiaTheme="minorHAnsi" w:cstheme="minorBidi"/>
                <w:szCs w:val="22"/>
                <w:lang w:eastAsia="en-US"/>
              </w:rPr>
            </w:pPr>
            <w:r w:rsidRPr="00DA11E4">
              <w:rPr>
                <w:rFonts w:eastAsiaTheme="minorHAnsi" w:cstheme="minorBidi"/>
                <w:szCs w:val="22"/>
                <w:lang w:eastAsia="en-US"/>
              </w:rPr>
              <w:t>01.10.2021.</w:t>
            </w:r>
          </w:p>
        </w:tc>
        <w:tc>
          <w:tcPr>
            <w:tcW w:w="1250" w:type="dxa"/>
          </w:tcPr>
          <w:p w14:paraId="2B09F073" w14:textId="78E7B924"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119</w:t>
            </w:r>
          </w:p>
        </w:tc>
        <w:tc>
          <w:tcPr>
            <w:tcW w:w="1258" w:type="dxa"/>
          </w:tcPr>
          <w:p w14:paraId="375A331C" w14:textId="52D95B53" w:rsidR="00937FA6" w:rsidRPr="00DA11E4" w:rsidRDefault="003407CC"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8</w:t>
            </w:r>
          </w:p>
        </w:tc>
        <w:tc>
          <w:tcPr>
            <w:tcW w:w="1363" w:type="dxa"/>
          </w:tcPr>
          <w:p w14:paraId="1A679004" w14:textId="400D21E0" w:rsidR="00937FA6" w:rsidRPr="00DA11E4" w:rsidRDefault="003407CC"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8</w:t>
            </w:r>
          </w:p>
        </w:tc>
        <w:tc>
          <w:tcPr>
            <w:tcW w:w="1416" w:type="dxa"/>
          </w:tcPr>
          <w:p w14:paraId="120CB0F0" w14:textId="42532E0B"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5</w:t>
            </w:r>
          </w:p>
        </w:tc>
        <w:tc>
          <w:tcPr>
            <w:tcW w:w="1416" w:type="dxa"/>
          </w:tcPr>
          <w:p w14:paraId="0BECA59B" w14:textId="0C1A27FA"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0</w:t>
            </w:r>
          </w:p>
        </w:tc>
        <w:tc>
          <w:tcPr>
            <w:tcW w:w="1282" w:type="dxa"/>
          </w:tcPr>
          <w:p w14:paraId="1099EA8D" w14:textId="627C5C56" w:rsidR="00937FA6" w:rsidRPr="00DA11E4" w:rsidRDefault="00937FA6" w:rsidP="00264096">
            <w:pPr>
              <w:pStyle w:val="NormalWeb"/>
              <w:spacing w:before="0" w:beforeAutospacing="0" w:after="0" w:afterAutospacing="0"/>
              <w:jc w:val="center"/>
              <w:rPr>
                <w:rFonts w:eastAsiaTheme="minorHAnsi" w:cstheme="minorBidi"/>
                <w:szCs w:val="22"/>
                <w:lang w:eastAsia="en-US"/>
              </w:rPr>
            </w:pPr>
            <w:r w:rsidRPr="00DA11E4">
              <w:rPr>
                <w:rFonts w:eastAsiaTheme="minorHAnsi" w:cstheme="minorBidi"/>
                <w:szCs w:val="22"/>
                <w:lang w:eastAsia="en-US"/>
              </w:rPr>
              <w:t>0</w:t>
            </w:r>
          </w:p>
        </w:tc>
      </w:tr>
      <w:tr w:rsidR="00937FA6" w:rsidRPr="00DA11E4" w14:paraId="6DAEDE49" w14:textId="77777777" w:rsidTr="00264096">
        <w:tc>
          <w:tcPr>
            <w:tcW w:w="1356" w:type="dxa"/>
          </w:tcPr>
          <w:p w14:paraId="3E44CE86" w14:textId="13666FC6" w:rsidR="00937FA6" w:rsidRPr="00DA11E4" w:rsidRDefault="00264096" w:rsidP="00264096">
            <w:pPr>
              <w:pStyle w:val="NormalWeb"/>
              <w:spacing w:before="0" w:beforeAutospacing="0" w:after="0" w:afterAutospacing="0"/>
              <w:jc w:val="right"/>
              <w:rPr>
                <w:rFonts w:eastAsiaTheme="minorHAnsi" w:cstheme="minorBidi"/>
                <w:b/>
                <w:bCs/>
                <w:szCs w:val="22"/>
                <w:lang w:eastAsia="en-US"/>
              </w:rPr>
            </w:pPr>
            <w:r w:rsidRPr="00DA11E4">
              <w:rPr>
                <w:rFonts w:eastAsiaTheme="minorHAnsi" w:cstheme="minorBidi"/>
                <w:b/>
                <w:bCs/>
                <w:szCs w:val="22"/>
                <w:lang w:eastAsia="en-US"/>
              </w:rPr>
              <w:t>Kopā</w:t>
            </w:r>
          </w:p>
        </w:tc>
        <w:tc>
          <w:tcPr>
            <w:tcW w:w="1250" w:type="dxa"/>
          </w:tcPr>
          <w:p w14:paraId="70B3CD82" w14:textId="1E7DE2EB" w:rsidR="00937FA6" w:rsidRPr="00DA11E4" w:rsidRDefault="00937FA6" w:rsidP="00264096">
            <w:pPr>
              <w:pStyle w:val="NormalWeb"/>
              <w:spacing w:before="0" w:beforeAutospacing="0" w:after="0" w:afterAutospacing="0"/>
              <w:jc w:val="center"/>
              <w:rPr>
                <w:rFonts w:eastAsiaTheme="minorHAnsi" w:cstheme="minorBidi"/>
                <w:b/>
                <w:bCs/>
                <w:szCs w:val="22"/>
                <w:lang w:eastAsia="en-US"/>
              </w:rPr>
            </w:pPr>
            <w:r w:rsidRPr="00DA11E4">
              <w:rPr>
                <w:rFonts w:eastAsiaTheme="minorHAnsi" w:cstheme="minorBidi"/>
                <w:b/>
                <w:bCs/>
                <w:szCs w:val="22"/>
                <w:lang w:eastAsia="en-US"/>
              </w:rPr>
              <w:t>827</w:t>
            </w:r>
          </w:p>
        </w:tc>
        <w:tc>
          <w:tcPr>
            <w:tcW w:w="1258" w:type="dxa"/>
          </w:tcPr>
          <w:p w14:paraId="3CDFE478" w14:textId="1312B102" w:rsidR="00937FA6" w:rsidRPr="00DA11E4" w:rsidRDefault="003407CC" w:rsidP="00264096">
            <w:pPr>
              <w:pStyle w:val="NormalWeb"/>
              <w:spacing w:before="0" w:beforeAutospacing="0" w:after="0" w:afterAutospacing="0"/>
              <w:jc w:val="center"/>
              <w:rPr>
                <w:rFonts w:eastAsiaTheme="minorHAnsi" w:cstheme="minorBidi"/>
                <w:b/>
                <w:bCs/>
                <w:szCs w:val="22"/>
                <w:lang w:eastAsia="en-US"/>
              </w:rPr>
            </w:pPr>
            <w:r w:rsidRPr="00DA11E4">
              <w:rPr>
                <w:rFonts w:eastAsiaTheme="minorHAnsi" w:cstheme="minorBidi"/>
                <w:b/>
                <w:bCs/>
                <w:szCs w:val="22"/>
                <w:lang w:eastAsia="en-US"/>
              </w:rPr>
              <w:t>41</w:t>
            </w:r>
          </w:p>
        </w:tc>
        <w:tc>
          <w:tcPr>
            <w:tcW w:w="1363" w:type="dxa"/>
          </w:tcPr>
          <w:p w14:paraId="744CAD54" w14:textId="08E152FC" w:rsidR="00937FA6" w:rsidRPr="00DA11E4" w:rsidRDefault="00937FA6" w:rsidP="00264096">
            <w:pPr>
              <w:pStyle w:val="NormalWeb"/>
              <w:spacing w:before="0" w:beforeAutospacing="0" w:after="0" w:afterAutospacing="0"/>
              <w:jc w:val="center"/>
              <w:rPr>
                <w:rFonts w:eastAsiaTheme="minorHAnsi" w:cstheme="minorBidi"/>
                <w:b/>
                <w:bCs/>
                <w:szCs w:val="22"/>
                <w:lang w:eastAsia="en-US"/>
              </w:rPr>
            </w:pPr>
            <w:r w:rsidRPr="00DA11E4">
              <w:rPr>
                <w:rFonts w:eastAsiaTheme="minorHAnsi" w:cstheme="minorBidi"/>
                <w:b/>
                <w:bCs/>
                <w:szCs w:val="22"/>
                <w:lang w:eastAsia="en-US"/>
              </w:rPr>
              <w:t>3</w:t>
            </w:r>
            <w:r w:rsidR="00EB2F35" w:rsidRPr="00DA11E4">
              <w:rPr>
                <w:rFonts w:eastAsiaTheme="minorHAnsi" w:cstheme="minorBidi"/>
                <w:b/>
                <w:bCs/>
                <w:szCs w:val="22"/>
                <w:lang w:eastAsia="en-US"/>
              </w:rPr>
              <w:t>7</w:t>
            </w:r>
          </w:p>
        </w:tc>
        <w:tc>
          <w:tcPr>
            <w:tcW w:w="1416" w:type="dxa"/>
          </w:tcPr>
          <w:p w14:paraId="3CA25246" w14:textId="12D82676" w:rsidR="00937FA6" w:rsidRPr="00DA11E4" w:rsidRDefault="00937FA6" w:rsidP="00264096">
            <w:pPr>
              <w:pStyle w:val="NormalWeb"/>
              <w:spacing w:before="0" w:beforeAutospacing="0" w:after="0" w:afterAutospacing="0"/>
              <w:jc w:val="center"/>
              <w:rPr>
                <w:rFonts w:eastAsiaTheme="minorHAnsi" w:cstheme="minorBidi"/>
                <w:b/>
                <w:bCs/>
                <w:szCs w:val="22"/>
                <w:lang w:eastAsia="en-US"/>
              </w:rPr>
            </w:pPr>
            <w:r w:rsidRPr="00DA11E4">
              <w:rPr>
                <w:rFonts w:eastAsiaTheme="minorHAnsi" w:cstheme="minorBidi"/>
                <w:b/>
                <w:bCs/>
                <w:szCs w:val="22"/>
                <w:lang w:eastAsia="en-US"/>
              </w:rPr>
              <w:t>33</w:t>
            </w:r>
          </w:p>
        </w:tc>
        <w:tc>
          <w:tcPr>
            <w:tcW w:w="1416" w:type="dxa"/>
          </w:tcPr>
          <w:p w14:paraId="3A3B0A7E" w14:textId="09482AA7" w:rsidR="00937FA6" w:rsidRPr="00DA11E4" w:rsidRDefault="00937FA6" w:rsidP="00264096">
            <w:pPr>
              <w:pStyle w:val="NormalWeb"/>
              <w:spacing w:before="0" w:beforeAutospacing="0" w:after="0" w:afterAutospacing="0"/>
              <w:jc w:val="center"/>
              <w:rPr>
                <w:rFonts w:eastAsiaTheme="minorHAnsi" w:cstheme="minorBidi"/>
                <w:b/>
                <w:bCs/>
                <w:szCs w:val="22"/>
                <w:lang w:eastAsia="en-US"/>
              </w:rPr>
            </w:pPr>
            <w:r w:rsidRPr="00DA11E4">
              <w:rPr>
                <w:rFonts w:eastAsiaTheme="minorHAnsi" w:cstheme="minorBidi"/>
                <w:b/>
                <w:bCs/>
                <w:szCs w:val="22"/>
                <w:lang w:eastAsia="en-US"/>
              </w:rPr>
              <w:t>4</w:t>
            </w:r>
          </w:p>
        </w:tc>
        <w:tc>
          <w:tcPr>
            <w:tcW w:w="1282" w:type="dxa"/>
          </w:tcPr>
          <w:p w14:paraId="060E4D0F" w14:textId="3098FB78" w:rsidR="00937FA6" w:rsidRPr="00DA11E4" w:rsidRDefault="00937FA6" w:rsidP="00264096">
            <w:pPr>
              <w:pStyle w:val="NormalWeb"/>
              <w:spacing w:before="0" w:beforeAutospacing="0" w:after="0" w:afterAutospacing="0"/>
              <w:jc w:val="center"/>
              <w:rPr>
                <w:rFonts w:eastAsiaTheme="minorHAnsi" w:cstheme="minorBidi"/>
                <w:b/>
                <w:bCs/>
                <w:szCs w:val="22"/>
                <w:lang w:eastAsia="en-US"/>
              </w:rPr>
            </w:pPr>
            <w:r w:rsidRPr="00DA11E4">
              <w:rPr>
                <w:rFonts w:eastAsiaTheme="minorHAnsi" w:cstheme="minorBidi"/>
                <w:b/>
                <w:bCs/>
                <w:szCs w:val="22"/>
                <w:lang w:eastAsia="en-US"/>
              </w:rPr>
              <w:t>6</w:t>
            </w:r>
          </w:p>
        </w:tc>
      </w:tr>
    </w:tbl>
    <w:p w14:paraId="65E055E7" w14:textId="5FFA4A7B" w:rsidR="00937FA6" w:rsidRPr="00DA11E4" w:rsidRDefault="00937FA6" w:rsidP="004C7863">
      <w:pPr>
        <w:pStyle w:val="NormalWeb"/>
        <w:shd w:val="clear" w:color="auto" w:fill="FFFFFF"/>
        <w:spacing w:before="0" w:beforeAutospacing="0" w:after="0" w:afterAutospacing="0"/>
        <w:ind w:firstLine="709"/>
        <w:jc w:val="both"/>
        <w:rPr>
          <w:rFonts w:eastAsiaTheme="minorHAnsi" w:cstheme="minorBidi"/>
          <w:szCs w:val="22"/>
          <w:lang w:eastAsia="en-US"/>
        </w:rPr>
      </w:pPr>
    </w:p>
    <w:p w14:paraId="73D44515" w14:textId="1280216E" w:rsidR="00EB2F35" w:rsidRPr="00DA11E4" w:rsidRDefault="00EB2F35" w:rsidP="003407CC">
      <w:pPr>
        <w:pStyle w:val="NormalWeb"/>
        <w:shd w:val="clear" w:color="auto" w:fill="FFFFFF"/>
        <w:spacing w:before="0" w:beforeAutospacing="0" w:after="0" w:afterAutospacing="0"/>
        <w:ind w:firstLine="720"/>
        <w:jc w:val="both"/>
        <w:rPr>
          <w:rFonts w:eastAsiaTheme="minorHAnsi" w:cstheme="minorBidi"/>
          <w:szCs w:val="22"/>
          <w:lang w:eastAsia="en-US"/>
        </w:rPr>
      </w:pPr>
      <w:r w:rsidRPr="00DA11E4">
        <w:rPr>
          <w:rFonts w:eastAsiaTheme="minorHAnsi" w:cstheme="minorBidi"/>
          <w:szCs w:val="22"/>
          <w:lang w:eastAsia="en-US"/>
        </w:rPr>
        <w:t xml:space="preserve">Kā norāda </w:t>
      </w:r>
      <w:r w:rsidRPr="00DA11E4">
        <w:t>AS "Veselības centru apvienība"</w:t>
      </w:r>
      <w:r w:rsidRPr="00DA11E4">
        <w:rPr>
          <w:rFonts w:cstheme="minorBidi"/>
        </w:rPr>
        <w:t xml:space="preserve"> poliklīnika Pļavnieki, p</w:t>
      </w:r>
      <w:r w:rsidRPr="00DA11E4">
        <w:rPr>
          <w:rFonts w:eastAsiaTheme="minorHAnsi" w:cstheme="minorBidi"/>
          <w:szCs w:val="22"/>
          <w:lang w:eastAsia="en-US"/>
        </w:rPr>
        <w:t xml:space="preserve">iecās dienās tika </w:t>
      </w:r>
      <w:r w:rsidR="003407CC" w:rsidRPr="00DA11E4">
        <w:rPr>
          <w:rFonts w:eastAsiaTheme="minorHAnsi" w:cstheme="minorBidi"/>
          <w:szCs w:val="22"/>
          <w:lang w:eastAsia="en-US"/>
        </w:rPr>
        <w:t>testēti kopumā</w:t>
      </w:r>
      <w:r w:rsidRPr="00DA11E4">
        <w:rPr>
          <w:rFonts w:eastAsiaTheme="minorHAnsi" w:cstheme="minorBidi"/>
          <w:szCs w:val="22"/>
          <w:lang w:eastAsia="en-US"/>
        </w:rPr>
        <w:t xml:space="preserve"> 827 apmeklētāji, no tiem 37 pacientiem laboratoriski (PĶR) tika apstiprināta saslimšana ar Covid 19. Kopumā 33 personas atzīmēja, ka tiek novēroti Covid-19 raksturīgie simptomi, bet </w:t>
      </w:r>
      <w:r w:rsidRPr="00DA11E4">
        <w:rPr>
          <w:rFonts w:eastAsiaTheme="minorHAnsi" w:cstheme="minorBidi"/>
          <w:szCs w:val="22"/>
          <w:lang w:eastAsia="en-US"/>
        </w:rPr>
        <w:lastRenderedPageBreak/>
        <w:t xml:space="preserve">pacienti </w:t>
      </w:r>
      <w:r w:rsidR="003407CC" w:rsidRPr="00DA11E4">
        <w:rPr>
          <w:rFonts w:eastAsiaTheme="minorHAnsi" w:cstheme="minorBidi"/>
          <w:szCs w:val="22"/>
          <w:lang w:eastAsia="en-US"/>
        </w:rPr>
        <w:t xml:space="preserve">visbiežāk </w:t>
      </w:r>
      <w:r w:rsidRPr="00DA11E4">
        <w:rPr>
          <w:rFonts w:eastAsiaTheme="minorHAnsi" w:cstheme="minorBidi"/>
          <w:szCs w:val="22"/>
          <w:lang w:eastAsia="en-US"/>
        </w:rPr>
        <w:t xml:space="preserve">simptomus nesaistīja ar minēto saslimšanu. Četros gadījumos Covid-19 tika konstatēts </w:t>
      </w:r>
      <w:proofErr w:type="spellStart"/>
      <w:r w:rsidRPr="00DA11E4">
        <w:rPr>
          <w:rFonts w:eastAsiaTheme="minorHAnsi" w:cstheme="minorBidi"/>
          <w:szCs w:val="22"/>
          <w:lang w:eastAsia="en-US"/>
        </w:rPr>
        <w:t>asimptomatiskām</w:t>
      </w:r>
      <w:proofErr w:type="spellEnd"/>
      <w:r w:rsidRPr="00DA11E4">
        <w:rPr>
          <w:rFonts w:eastAsiaTheme="minorHAnsi" w:cstheme="minorBidi"/>
          <w:szCs w:val="22"/>
          <w:lang w:eastAsia="en-US"/>
        </w:rPr>
        <w:t xml:space="preserve"> personām. Savukārt sešos gadījumos Covid-1</w:t>
      </w:r>
      <w:r w:rsidR="003407CC" w:rsidRPr="00DA11E4">
        <w:rPr>
          <w:rFonts w:eastAsiaTheme="minorHAnsi" w:cstheme="minorBidi"/>
          <w:szCs w:val="22"/>
          <w:lang w:eastAsia="en-US"/>
        </w:rPr>
        <w:t>9</w:t>
      </w:r>
      <w:r w:rsidRPr="00DA11E4">
        <w:rPr>
          <w:rFonts w:eastAsiaTheme="minorHAnsi" w:cstheme="minorBidi"/>
          <w:szCs w:val="22"/>
          <w:lang w:eastAsia="en-US"/>
        </w:rPr>
        <w:t xml:space="preserve"> tika konstatēts pret Covid-19 vakcinētām personām, diemžēl, pilotprojekta ietvaros netika atzīmēts vai vakcinācija pret Covid-19 ir pabeigta. </w:t>
      </w:r>
    </w:p>
    <w:p w14:paraId="520655B3" w14:textId="54FBF155" w:rsidR="00EB2F35" w:rsidRPr="00DA11E4" w:rsidRDefault="00EB2F35" w:rsidP="003407CC">
      <w:pPr>
        <w:pStyle w:val="NormalWeb"/>
        <w:shd w:val="clear" w:color="auto" w:fill="FFFFFF"/>
        <w:spacing w:before="0" w:beforeAutospacing="0" w:after="0" w:afterAutospacing="0"/>
        <w:ind w:firstLine="720"/>
        <w:jc w:val="both"/>
        <w:rPr>
          <w:rFonts w:eastAsiaTheme="minorHAnsi" w:cstheme="minorBidi"/>
          <w:szCs w:val="22"/>
          <w:lang w:eastAsia="en-US"/>
        </w:rPr>
      </w:pPr>
      <w:r w:rsidRPr="00DA11E4">
        <w:rPr>
          <w:rFonts w:eastAsiaTheme="minorHAnsi" w:cstheme="minorBidi"/>
          <w:szCs w:val="22"/>
          <w:lang w:eastAsia="en-US"/>
        </w:rPr>
        <w:t xml:space="preserve">Vienlaikus </w:t>
      </w:r>
      <w:r w:rsidRPr="00DA11E4">
        <w:t xml:space="preserve">AS "Veselības centru apvienība" </w:t>
      </w:r>
      <w:r w:rsidR="003407CC" w:rsidRPr="00DA11E4">
        <w:t>norāda</w:t>
      </w:r>
      <w:r w:rsidRPr="00DA11E4">
        <w:t xml:space="preserve">, ka, </w:t>
      </w:r>
      <w:r w:rsidR="003407CC" w:rsidRPr="00DA11E4">
        <w:t>ievērojot to, ka</w:t>
      </w:r>
      <w:r w:rsidRPr="00DA11E4">
        <w:rPr>
          <w:rFonts w:eastAsiaTheme="minorHAnsi" w:cstheme="minorBidi"/>
          <w:szCs w:val="22"/>
          <w:lang w:eastAsia="en-US"/>
        </w:rPr>
        <w:t xml:space="preserve"> testēšana bija bezmaksas un tika izveidots </w:t>
      </w:r>
      <w:proofErr w:type="spellStart"/>
      <w:r w:rsidR="002A5BF2" w:rsidRPr="00DA11E4">
        <w:rPr>
          <w:rFonts w:eastAsiaTheme="minorHAnsi" w:cstheme="minorBidi"/>
          <w:szCs w:val="22"/>
          <w:lang w:eastAsia="en-US"/>
        </w:rPr>
        <w:t>sadarbspējīgs</w:t>
      </w:r>
      <w:proofErr w:type="spellEnd"/>
      <w:r w:rsidR="002A5BF2" w:rsidRPr="00DA11E4">
        <w:rPr>
          <w:rFonts w:eastAsiaTheme="minorHAnsi" w:cstheme="minorBidi"/>
          <w:szCs w:val="22"/>
          <w:lang w:eastAsia="en-US"/>
        </w:rPr>
        <w:t xml:space="preserve"> testēšanas </w:t>
      </w:r>
      <w:r w:rsidRPr="00DA11E4">
        <w:rPr>
          <w:rFonts w:eastAsiaTheme="minorHAnsi" w:cstheme="minorBidi"/>
          <w:szCs w:val="22"/>
          <w:lang w:eastAsia="en-US"/>
        </w:rPr>
        <w:t xml:space="preserve">sertifikāts, </w:t>
      </w:r>
      <w:r w:rsidR="003407CC" w:rsidRPr="00DA11E4">
        <w:rPr>
          <w:rFonts w:eastAsiaTheme="minorHAnsi" w:cstheme="minorBidi"/>
          <w:szCs w:val="22"/>
          <w:lang w:eastAsia="en-US"/>
        </w:rPr>
        <w:t xml:space="preserve">pakalpojumu </w:t>
      </w:r>
      <w:r w:rsidRPr="00DA11E4">
        <w:rPr>
          <w:rFonts w:eastAsiaTheme="minorHAnsi" w:cstheme="minorBidi"/>
          <w:szCs w:val="22"/>
          <w:lang w:eastAsia="en-US"/>
        </w:rPr>
        <w:t>varēja</w:t>
      </w:r>
      <w:r w:rsidR="002A5BF2" w:rsidRPr="00DA11E4">
        <w:rPr>
          <w:rFonts w:eastAsiaTheme="minorHAnsi" w:cstheme="minorBidi"/>
          <w:szCs w:val="22"/>
          <w:lang w:eastAsia="en-US"/>
        </w:rPr>
        <w:t xml:space="preserve"> saņemt</w:t>
      </w:r>
      <w:r w:rsidRPr="00DA11E4">
        <w:rPr>
          <w:rFonts w:eastAsiaTheme="minorHAnsi" w:cstheme="minorBidi"/>
          <w:szCs w:val="22"/>
          <w:lang w:eastAsia="en-US"/>
        </w:rPr>
        <w:t xml:space="preserve"> cilvēki, kuri nebija plānojuši apmeklēt ārstniecības iestādi.</w:t>
      </w:r>
    </w:p>
    <w:p w14:paraId="20082AF9" w14:textId="74B788EF" w:rsidR="00EB2F35" w:rsidRPr="00DA11E4" w:rsidRDefault="00EB2F35" w:rsidP="003407CC">
      <w:pPr>
        <w:pStyle w:val="NormalWeb"/>
        <w:shd w:val="clear" w:color="auto" w:fill="FFFFFF"/>
        <w:spacing w:before="0" w:beforeAutospacing="0" w:after="0" w:afterAutospacing="0"/>
        <w:ind w:firstLine="709"/>
        <w:jc w:val="both"/>
        <w:rPr>
          <w:rFonts w:eastAsiaTheme="minorHAnsi" w:cstheme="minorBidi"/>
          <w:szCs w:val="22"/>
          <w:lang w:eastAsia="en-US"/>
        </w:rPr>
      </w:pPr>
      <w:r w:rsidRPr="00DA11E4">
        <w:rPr>
          <w:rFonts w:eastAsiaTheme="minorHAnsi" w:cstheme="minorBidi"/>
          <w:szCs w:val="22"/>
          <w:lang w:eastAsia="en-US"/>
        </w:rPr>
        <w:t xml:space="preserve">Attiecībā uz testēšanai novirzāmajiem cilvēkresursiem, </w:t>
      </w:r>
      <w:r w:rsidR="003407CC" w:rsidRPr="00DA11E4">
        <w:t>AS "Veselības centru apvienība" pārstāvji informē, ka, l</w:t>
      </w:r>
      <w:r w:rsidRPr="00DA11E4">
        <w:rPr>
          <w:rFonts w:eastAsiaTheme="minorHAnsi" w:cstheme="minorBidi"/>
          <w:szCs w:val="22"/>
          <w:lang w:eastAsia="en-US"/>
        </w:rPr>
        <w:t xml:space="preserve">ai testētu 280 cilvēkus bija nepieciešami </w:t>
      </w:r>
      <w:r w:rsidR="003407CC" w:rsidRPr="00DA11E4">
        <w:rPr>
          <w:rFonts w:eastAsiaTheme="minorHAnsi" w:cstheme="minorBidi"/>
          <w:szCs w:val="22"/>
          <w:lang w:eastAsia="en-US"/>
        </w:rPr>
        <w:t>trīs</w:t>
      </w:r>
      <w:r w:rsidRPr="00DA11E4">
        <w:rPr>
          <w:rFonts w:eastAsiaTheme="minorHAnsi" w:cstheme="minorBidi"/>
          <w:szCs w:val="22"/>
          <w:lang w:eastAsia="en-US"/>
        </w:rPr>
        <w:t xml:space="preserve"> darbinieki, bet</w:t>
      </w:r>
      <w:r w:rsidR="003407CC" w:rsidRPr="00DA11E4">
        <w:rPr>
          <w:rFonts w:eastAsiaTheme="minorHAnsi" w:cstheme="minorBidi"/>
          <w:szCs w:val="22"/>
          <w:lang w:eastAsia="en-US"/>
        </w:rPr>
        <w:t>,</w:t>
      </w:r>
      <w:r w:rsidRPr="00DA11E4">
        <w:rPr>
          <w:rFonts w:eastAsiaTheme="minorHAnsi" w:cstheme="minorBidi"/>
          <w:szCs w:val="22"/>
          <w:lang w:eastAsia="en-US"/>
        </w:rPr>
        <w:t xml:space="preserve"> ja </w:t>
      </w:r>
      <w:r w:rsidR="003407CC" w:rsidRPr="00DA11E4">
        <w:rPr>
          <w:rFonts w:eastAsiaTheme="minorHAnsi" w:cstheme="minorBidi"/>
          <w:szCs w:val="22"/>
          <w:lang w:eastAsia="en-US"/>
        </w:rPr>
        <w:t xml:space="preserve">netiek veidots </w:t>
      </w:r>
      <w:proofErr w:type="spellStart"/>
      <w:r w:rsidR="003407CC" w:rsidRPr="00DA11E4">
        <w:rPr>
          <w:rFonts w:eastAsiaTheme="minorHAnsi" w:cstheme="minorBidi"/>
          <w:szCs w:val="22"/>
          <w:lang w:eastAsia="en-US"/>
        </w:rPr>
        <w:t>sadarbspējīgs</w:t>
      </w:r>
      <w:proofErr w:type="spellEnd"/>
      <w:r w:rsidR="003407CC" w:rsidRPr="00DA11E4">
        <w:rPr>
          <w:rFonts w:eastAsiaTheme="minorHAnsi" w:cstheme="minorBidi"/>
          <w:szCs w:val="22"/>
          <w:lang w:eastAsia="en-US"/>
        </w:rPr>
        <w:t xml:space="preserve"> testēšanas sertifikāts –</w:t>
      </w:r>
      <w:r w:rsidRPr="00DA11E4">
        <w:rPr>
          <w:rFonts w:eastAsiaTheme="minorHAnsi" w:cstheme="minorBidi"/>
          <w:szCs w:val="22"/>
          <w:lang w:eastAsia="en-US"/>
        </w:rPr>
        <w:t xml:space="preserve"> </w:t>
      </w:r>
      <w:r w:rsidR="003407CC" w:rsidRPr="00DA11E4">
        <w:rPr>
          <w:rFonts w:eastAsiaTheme="minorHAnsi" w:cstheme="minorBidi"/>
          <w:szCs w:val="22"/>
          <w:lang w:eastAsia="en-US"/>
        </w:rPr>
        <w:t>pakalpojuma nodrošināšanai varētu tikt piesaistīti</w:t>
      </w:r>
      <w:r w:rsidRPr="00DA11E4">
        <w:rPr>
          <w:rFonts w:eastAsiaTheme="minorHAnsi" w:cstheme="minorBidi"/>
          <w:szCs w:val="22"/>
          <w:lang w:eastAsia="en-US"/>
        </w:rPr>
        <w:t xml:space="preserve"> </w:t>
      </w:r>
      <w:r w:rsidR="003407CC" w:rsidRPr="00DA11E4">
        <w:rPr>
          <w:rFonts w:eastAsiaTheme="minorHAnsi" w:cstheme="minorBidi"/>
          <w:szCs w:val="22"/>
          <w:lang w:eastAsia="en-US"/>
        </w:rPr>
        <w:t>divi darbinieki</w:t>
      </w:r>
      <w:r w:rsidRPr="00DA11E4">
        <w:rPr>
          <w:rFonts w:eastAsiaTheme="minorHAnsi" w:cstheme="minorBidi"/>
          <w:szCs w:val="22"/>
          <w:lang w:eastAsia="en-US"/>
        </w:rPr>
        <w:t>.</w:t>
      </w:r>
    </w:p>
    <w:p w14:paraId="4902588E" w14:textId="71DC235D" w:rsidR="004C7863" w:rsidRPr="00DA11E4" w:rsidRDefault="004C7863" w:rsidP="008D6973">
      <w:pPr>
        <w:pStyle w:val="Heading2"/>
        <w:numPr>
          <w:ilvl w:val="0"/>
          <w:numId w:val="1"/>
        </w:numPr>
        <w:tabs>
          <w:tab w:val="num" w:pos="360"/>
        </w:tabs>
        <w:spacing w:before="0" w:line="240" w:lineRule="auto"/>
        <w:ind w:left="0" w:firstLine="720"/>
        <w:rPr>
          <w:rFonts w:cs="Times New Roman"/>
          <w:sz w:val="24"/>
          <w:szCs w:val="24"/>
          <w:shd w:val="clear" w:color="auto" w:fill="FFFFFF"/>
        </w:rPr>
      </w:pPr>
      <w:r w:rsidRPr="00DA11E4">
        <w:rPr>
          <w:rFonts w:cs="Times New Roman"/>
          <w:sz w:val="24"/>
          <w:szCs w:val="24"/>
          <w:shd w:val="clear" w:color="auto" w:fill="FFFFFF"/>
        </w:rPr>
        <w:t>Priekšlikumi turpmākai rīcībai</w:t>
      </w:r>
    </w:p>
    <w:p w14:paraId="574C0A8B" w14:textId="3EBD832B" w:rsidR="004C7863" w:rsidRPr="00DA11E4" w:rsidRDefault="004C7863" w:rsidP="00776329">
      <w:pPr>
        <w:ind w:firstLine="706"/>
        <w:rPr>
          <w:rFonts w:eastAsia="Times New Roman"/>
          <w:szCs w:val="24"/>
          <w:lang w:eastAsia="lv-LV"/>
        </w:rPr>
      </w:pPr>
      <w:r w:rsidRPr="00DA11E4">
        <w:rPr>
          <w:rFonts w:eastAsia="Times New Roman"/>
          <w:szCs w:val="24"/>
          <w:lang w:eastAsia="lv-LV"/>
        </w:rPr>
        <w:t>Kā liecina esošā situācija, ļoti nozīmīga ir agrīna inficēto personu atklāšana</w:t>
      </w:r>
      <w:r w:rsidR="000A0DA8" w:rsidRPr="00DA11E4">
        <w:rPr>
          <w:rFonts w:eastAsia="Times New Roman"/>
          <w:szCs w:val="24"/>
          <w:lang w:eastAsia="lv-LV"/>
        </w:rPr>
        <w:t>, kas mazinās epidemioloģisko risku ārstniecības iestādēs</w:t>
      </w:r>
      <w:r w:rsidRPr="00DA11E4">
        <w:rPr>
          <w:rFonts w:eastAsia="Times New Roman"/>
          <w:szCs w:val="24"/>
          <w:lang w:eastAsia="lv-LV"/>
        </w:rPr>
        <w:t xml:space="preserve">. Līdz ar to, </w:t>
      </w:r>
      <w:r w:rsidR="00661D69" w:rsidRPr="00DA11E4">
        <w:rPr>
          <w:rFonts w:eastAsia="Times New Roman"/>
          <w:szCs w:val="24"/>
          <w:lang w:eastAsia="lv-LV"/>
        </w:rPr>
        <w:t xml:space="preserve">ambulatorajās ārstniecības </w:t>
      </w:r>
      <w:r w:rsidRPr="00DA11E4">
        <w:rPr>
          <w:rFonts w:eastAsia="Times New Roman"/>
          <w:szCs w:val="24"/>
          <w:lang w:eastAsia="lv-LV"/>
        </w:rPr>
        <w:t>iestādēs, kas saistītas ar augstu epidemioloģisko risku</w:t>
      </w:r>
      <w:r w:rsidR="00C57054" w:rsidRPr="00DA11E4">
        <w:rPr>
          <w:rFonts w:eastAsia="Times New Roman"/>
          <w:szCs w:val="24"/>
          <w:lang w:eastAsia="lv-LV"/>
        </w:rPr>
        <w:t xml:space="preserve"> un primāri nepieciešamo pakalpojumu saņemšanu</w:t>
      </w:r>
      <w:r w:rsidR="000A0DA8" w:rsidRPr="00DA11E4">
        <w:rPr>
          <w:rFonts w:eastAsia="Times New Roman"/>
          <w:szCs w:val="24"/>
          <w:lang w:eastAsia="lv-LV"/>
        </w:rPr>
        <w:t>,</w:t>
      </w:r>
      <w:r w:rsidRPr="00DA11E4">
        <w:rPr>
          <w:rFonts w:eastAsia="Times New Roman"/>
          <w:szCs w:val="24"/>
          <w:lang w:eastAsia="lv-LV"/>
        </w:rPr>
        <w:t xml:space="preserve"> nepieciešams nodrošināt </w:t>
      </w:r>
      <w:r w:rsidR="00661D69" w:rsidRPr="00DA11E4">
        <w:rPr>
          <w:rFonts w:eastAsia="Times New Roman"/>
          <w:szCs w:val="24"/>
          <w:lang w:eastAsia="lv-LV"/>
        </w:rPr>
        <w:t>apmeklētāju (pakalpojumu saņēmēju)</w:t>
      </w:r>
      <w:r w:rsidRPr="00DA11E4">
        <w:rPr>
          <w:rFonts w:eastAsia="Times New Roman"/>
          <w:szCs w:val="24"/>
          <w:lang w:eastAsia="lv-LV"/>
        </w:rPr>
        <w:t xml:space="preserve"> testēšanu</w:t>
      </w:r>
      <w:r w:rsidR="000A0DA8" w:rsidRPr="00DA11E4">
        <w:rPr>
          <w:rFonts w:eastAsia="Times New Roman"/>
          <w:szCs w:val="24"/>
          <w:lang w:eastAsia="lv-LV"/>
        </w:rPr>
        <w:t xml:space="preserve">. </w:t>
      </w:r>
    </w:p>
    <w:p w14:paraId="1E44D69E" w14:textId="48F082BD" w:rsidR="004C7863" w:rsidRPr="00DA11E4" w:rsidRDefault="00661D69" w:rsidP="00661D69">
      <w:pPr>
        <w:ind w:firstLine="706"/>
        <w:rPr>
          <w:rFonts w:eastAsia="Times New Roman"/>
          <w:szCs w:val="24"/>
          <w:lang w:eastAsia="lv-LV"/>
        </w:rPr>
      </w:pPr>
      <w:r w:rsidRPr="00DA11E4">
        <w:rPr>
          <w:rFonts w:eastAsia="Times New Roman"/>
          <w:szCs w:val="24"/>
          <w:lang w:eastAsia="lv-LV"/>
        </w:rPr>
        <w:t>L</w:t>
      </w:r>
      <w:r w:rsidR="004C7863" w:rsidRPr="00DA11E4">
        <w:rPr>
          <w:rFonts w:eastAsia="Times New Roman"/>
          <w:szCs w:val="24"/>
          <w:lang w:eastAsia="lv-LV"/>
        </w:rPr>
        <w:t>ai iedzīvotāji varētu turpināt saņemt ambulatoros veselības aprūpes pakalpojumus drošā vidē, nepieciešams noteikt kā obligātu prasību – pie ieejas ārstniecības iestādē nodrošināt apmeklētāju</w:t>
      </w:r>
      <w:r w:rsidR="00085136" w:rsidRPr="00DA11E4">
        <w:rPr>
          <w:rFonts w:eastAsia="Times New Roman"/>
          <w:szCs w:val="24"/>
          <w:lang w:eastAsia="lv-LV"/>
        </w:rPr>
        <w:t xml:space="preserve"> </w:t>
      </w:r>
      <w:r w:rsidR="004C7863" w:rsidRPr="00DA11E4">
        <w:rPr>
          <w:rFonts w:eastAsia="Times New Roman"/>
          <w:szCs w:val="24"/>
          <w:lang w:eastAsia="lv-LV"/>
        </w:rPr>
        <w:t xml:space="preserve">testēšanu (ātrie antigēnu testi), paredzot, ka testēšana </w:t>
      </w:r>
      <w:r w:rsidR="00AD55CF" w:rsidRPr="00DA11E4">
        <w:rPr>
          <w:rFonts w:eastAsia="Times New Roman"/>
          <w:szCs w:val="24"/>
          <w:lang w:eastAsia="lv-LV"/>
        </w:rPr>
        <w:t xml:space="preserve">ārstniecības iestādēs, kur sniedz valsts apmaksātus veselības aprūpes pakalpojumus, </w:t>
      </w:r>
      <w:r w:rsidR="004C7863" w:rsidRPr="00DA11E4">
        <w:rPr>
          <w:rFonts w:eastAsia="Times New Roman"/>
          <w:szCs w:val="24"/>
          <w:lang w:eastAsia="lv-LV"/>
        </w:rPr>
        <w:t>tiek veikta par valsts budžeta līdzekļiem, tādejādi novēršot iespējamās veselības aprūpes pakalpojumu pieejamības problēmas gadījumos</w:t>
      </w:r>
      <w:r w:rsidRPr="00DA11E4">
        <w:rPr>
          <w:rFonts w:eastAsia="Times New Roman"/>
          <w:szCs w:val="24"/>
          <w:lang w:eastAsia="lv-LV"/>
        </w:rPr>
        <w:t>,</w:t>
      </w:r>
      <w:r w:rsidR="004C7863" w:rsidRPr="00DA11E4">
        <w:rPr>
          <w:rFonts w:eastAsia="Times New Roman"/>
          <w:szCs w:val="24"/>
          <w:lang w:eastAsia="lv-LV"/>
        </w:rPr>
        <w:t xml:space="preserve"> kad pacientam ierobežojošais faktors ir finansējums. </w:t>
      </w:r>
    </w:p>
    <w:p w14:paraId="526352C6" w14:textId="3DA957B5" w:rsidR="0043317F" w:rsidRPr="00DA11E4" w:rsidRDefault="00937065" w:rsidP="0043317F">
      <w:pPr>
        <w:ind w:firstLine="706"/>
        <w:rPr>
          <w:rFonts w:eastAsia="Times New Roman"/>
          <w:szCs w:val="24"/>
          <w:lang w:eastAsia="lv-LV"/>
        </w:rPr>
      </w:pPr>
      <w:r w:rsidRPr="00DA11E4">
        <w:rPr>
          <w:rFonts w:eastAsia="Times New Roman"/>
          <w:szCs w:val="24"/>
          <w:lang w:eastAsia="lv-LV"/>
        </w:rPr>
        <w:t xml:space="preserve">Normatīvajos aktos plānots noteikt, ka izmeklējumu uz Covid-19 veic visās </w:t>
      </w:r>
      <w:r w:rsidR="0043317F" w:rsidRPr="00DA11E4">
        <w:rPr>
          <w:rFonts w:eastAsia="Times New Roman"/>
          <w:szCs w:val="24"/>
          <w:lang w:eastAsia="lv-LV"/>
        </w:rPr>
        <w:t xml:space="preserve">ambulatorajās </w:t>
      </w:r>
      <w:r w:rsidRPr="00DA11E4">
        <w:rPr>
          <w:rFonts w:eastAsia="Times New Roman"/>
          <w:szCs w:val="24"/>
          <w:lang w:eastAsia="lv-LV"/>
        </w:rPr>
        <w:t>ārstniecības iestādes,</w:t>
      </w:r>
      <w:r w:rsidR="0043317F" w:rsidRPr="00DA11E4">
        <w:rPr>
          <w:rFonts w:eastAsia="Times New Roman"/>
          <w:szCs w:val="24"/>
          <w:lang w:eastAsia="lv-LV"/>
        </w:rPr>
        <w:t xml:space="preserve"> izņemot laboratorijās,</w:t>
      </w:r>
      <w:r w:rsidRPr="00DA11E4">
        <w:rPr>
          <w:rFonts w:eastAsia="Times New Roman"/>
          <w:szCs w:val="24"/>
          <w:lang w:eastAsia="lv-LV"/>
        </w:rPr>
        <w:t xml:space="preserve"> visiem iestādes apmeklētājiem pirms ambulatorā veselības aprūpes pakalpojuma sniegšanas, tādējādi  līdzvērtīgas epidemioloģiskās drošības prasības tiks noteiktas visās ārstniecības iestādēs. Attiecībā</w:t>
      </w:r>
      <w:r w:rsidR="00DC65DB" w:rsidRPr="00DA11E4">
        <w:rPr>
          <w:rFonts w:eastAsia="Times New Roman"/>
          <w:szCs w:val="24"/>
          <w:lang w:eastAsia="lv-LV"/>
        </w:rPr>
        <w:t xml:space="preserve"> uz ambulatorajām ārstniecības iestādēm, kas sniedz </w:t>
      </w:r>
      <w:r w:rsidRPr="00DA11E4">
        <w:rPr>
          <w:rFonts w:eastAsia="Times New Roman"/>
          <w:szCs w:val="24"/>
          <w:lang w:eastAsia="lv-LV"/>
        </w:rPr>
        <w:t xml:space="preserve">no valsts budžeta līdzekļiem neapmaksātus </w:t>
      </w:r>
      <w:r w:rsidR="00DC65DB" w:rsidRPr="00DA11E4">
        <w:rPr>
          <w:rFonts w:eastAsia="Times New Roman"/>
          <w:szCs w:val="24"/>
          <w:lang w:eastAsia="lv-LV"/>
        </w:rPr>
        <w:t xml:space="preserve">veselības aprūpes pakalpojumus, </w:t>
      </w:r>
      <w:r w:rsidRPr="00DA11E4">
        <w:rPr>
          <w:rFonts w:eastAsia="Times New Roman"/>
          <w:szCs w:val="24"/>
          <w:lang w:eastAsia="lv-LV"/>
        </w:rPr>
        <w:t xml:space="preserve">ieviestā pakalpojuma izmaksas tiks iekļautas pakalpojumu maksas cenrādī - </w:t>
      </w:r>
      <w:r w:rsidR="00DC65DB" w:rsidRPr="00DA11E4">
        <w:rPr>
          <w:rFonts w:eastAsia="Times New Roman"/>
          <w:szCs w:val="24"/>
          <w:lang w:eastAsia="lv-LV"/>
        </w:rPr>
        <w:t xml:space="preserve">līdzīgi kā citos gadījumos, ja valsts uzliek </w:t>
      </w:r>
      <w:r w:rsidR="0043317F" w:rsidRPr="00DA11E4">
        <w:rPr>
          <w:rFonts w:eastAsia="Times New Roman"/>
          <w:szCs w:val="24"/>
          <w:lang w:eastAsia="lv-LV"/>
        </w:rPr>
        <w:t xml:space="preserve">papildu </w:t>
      </w:r>
      <w:r w:rsidR="00DC65DB" w:rsidRPr="00DA11E4">
        <w:rPr>
          <w:rFonts w:eastAsia="Times New Roman"/>
          <w:szCs w:val="24"/>
          <w:lang w:eastAsia="lv-LV"/>
        </w:rPr>
        <w:t xml:space="preserve">pienākumus, kas </w:t>
      </w:r>
      <w:r w:rsidRPr="00DA11E4">
        <w:rPr>
          <w:rFonts w:eastAsia="Times New Roman"/>
          <w:szCs w:val="24"/>
          <w:lang w:eastAsia="lv-LV"/>
        </w:rPr>
        <w:t xml:space="preserve">ārstniecības </w:t>
      </w:r>
      <w:r w:rsidR="00DC65DB" w:rsidRPr="00DA11E4">
        <w:rPr>
          <w:rFonts w:eastAsia="Times New Roman"/>
          <w:szCs w:val="24"/>
          <w:lang w:eastAsia="lv-LV"/>
        </w:rPr>
        <w:t>iestādei jānodrošina</w:t>
      </w:r>
      <w:r w:rsidRPr="00DA11E4">
        <w:rPr>
          <w:rFonts w:eastAsia="Times New Roman"/>
          <w:szCs w:val="24"/>
          <w:lang w:eastAsia="lv-LV"/>
        </w:rPr>
        <w:t xml:space="preserve"> (tiks palielināta pakalpojuma pašizmaksa).</w:t>
      </w:r>
      <w:r w:rsidR="0043317F" w:rsidRPr="00DA11E4">
        <w:rPr>
          <w:rFonts w:eastAsia="Times New Roman"/>
          <w:szCs w:val="24"/>
          <w:lang w:eastAsia="lv-LV"/>
        </w:rPr>
        <w:t xml:space="preserve"> Vienlaikus, lai nodrošinātu racionālu valsts budžeta līdzekļu izlietojumu, rutīnas </w:t>
      </w:r>
      <w:proofErr w:type="spellStart"/>
      <w:r w:rsidR="0043317F" w:rsidRPr="00DA11E4">
        <w:rPr>
          <w:rFonts w:eastAsia="Times New Roman"/>
          <w:szCs w:val="24"/>
          <w:lang w:eastAsia="lv-LV"/>
        </w:rPr>
        <w:t>skrīningā</w:t>
      </w:r>
      <w:proofErr w:type="spellEnd"/>
      <w:r w:rsidR="0043317F" w:rsidRPr="00DA11E4">
        <w:rPr>
          <w:rFonts w:eastAsia="Times New Roman"/>
          <w:szCs w:val="24"/>
          <w:lang w:eastAsia="lv-LV"/>
        </w:rPr>
        <w:t xml:space="preserve"> pirms veselības aprūpes pakalpojuma saņemšanas netiek iekļauti laboratorisko pakalpojumu saņēmēji, piemēram, lai nerastos situācija, kad valsts </w:t>
      </w:r>
      <w:r w:rsidR="004B6955" w:rsidRPr="00DA11E4">
        <w:rPr>
          <w:rFonts w:eastAsia="Times New Roman"/>
          <w:szCs w:val="24"/>
          <w:lang w:eastAsia="lv-LV"/>
        </w:rPr>
        <w:t xml:space="preserve">uz Covid-19 vispirms personu izmeklē ar antigēna testu, bet pēc neilga laika – ar SARS-CoV-2 vīrusa RNS testu. Tā pat rutīnas </w:t>
      </w:r>
      <w:proofErr w:type="spellStart"/>
      <w:r w:rsidR="004B6955" w:rsidRPr="00DA11E4">
        <w:rPr>
          <w:rFonts w:eastAsia="Times New Roman"/>
          <w:szCs w:val="24"/>
          <w:lang w:eastAsia="lv-LV"/>
        </w:rPr>
        <w:t>skrīningā</w:t>
      </w:r>
      <w:proofErr w:type="spellEnd"/>
      <w:r w:rsidR="004B6955" w:rsidRPr="00DA11E4">
        <w:rPr>
          <w:rFonts w:eastAsia="Times New Roman"/>
          <w:szCs w:val="24"/>
          <w:lang w:eastAsia="lv-LV"/>
        </w:rPr>
        <w:t xml:space="preserve"> netiks iekļauti pacienti, kuri saņem veselības aprūpi mājas aprūpes ietvaros, jo pakalpojuma saņemšana saistāma ar zemāku epidemioloģisko risku (pakalpojuma nodrošināšanā mazs iesaistīto personu logs – nav savstarpējie pacientu kontakti koplietošanas telpās).</w:t>
      </w:r>
    </w:p>
    <w:p w14:paraId="4286A887" w14:textId="52B552C8" w:rsidR="00776329" w:rsidRPr="00DA11E4" w:rsidRDefault="00085136" w:rsidP="00776329">
      <w:pPr>
        <w:ind w:firstLine="706"/>
        <w:rPr>
          <w:rFonts w:eastAsia="Times New Roman"/>
          <w:szCs w:val="24"/>
          <w:lang w:eastAsia="lv-LV"/>
        </w:rPr>
      </w:pPr>
      <w:r w:rsidRPr="00DA11E4">
        <w:rPr>
          <w:rFonts w:eastAsia="Times New Roman"/>
          <w:szCs w:val="24"/>
          <w:lang w:eastAsia="lv-LV"/>
        </w:rPr>
        <w:t xml:space="preserve">Būtiski ir paredzēt </w:t>
      </w:r>
      <w:r w:rsidR="00661D69" w:rsidRPr="00DA11E4">
        <w:rPr>
          <w:rFonts w:eastAsia="Times New Roman"/>
          <w:szCs w:val="24"/>
          <w:lang w:eastAsia="lv-LV"/>
        </w:rPr>
        <w:t xml:space="preserve">arī </w:t>
      </w:r>
      <w:r w:rsidRPr="00DA11E4">
        <w:rPr>
          <w:rFonts w:eastAsia="Times New Roman"/>
          <w:szCs w:val="24"/>
          <w:lang w:eastAsia="lv-LV"/>
        </w:rPr>
        <w:t xml:space="preserve">turpmāko rīcību pozitīva </w:t>
      </w:r>
      <w:r w:rsidRPr="00DA11E4">
        <w:t xml:space="preserve">SARS-CoV-2 vīrusa antigēna noteikšanas testa gadījumā. Jau šobrīd ir noteikta nepieciešamība veikt apstiprinošo SARS-CoV-2 noteikšanu ar SARS-CoV-2 vīrusa RNS testu, ja Covid-19 diagnostikai sākotnēji izmantots SARS-CoV-2 </w:t>
      </w:r>
      <w:r w:rsidR="00661D69" w:rsidRPr="00DA11E4">
        <w:t>antigēna</w:t>
      </w:r>
      <w:r w:rsidRPr="00DA11E4">
        <w:t xml:space="preserve"> noteikšanas </w:t>
      </w:r>
      <w:proofErr w:type="spellStart"/>
      <w:r w:rsidRPr="00DA11E4">
        <w:t>skrīninga</w:t>
      </w:r>
      <w:proofErr w:type="spellEnd"/>
      <w:r w:rsidRPr="00DA11E4">
        <w:t xml:space="preserve"> tests, kas uzrāda pozitīvu rezultātu. </w:t>
      </w:r>
      <w:r w:rsidR="004B5166" w:rsidRPr="00DA11E4">
        <w:t xml:space="preserve">Tā pat jau šobrīd akūti nepieciešamo veselības aprūpes pakalpojumu saņemšanai, ārstniecības iestādēs tiek organizēta atsevišķa </w:t>
      </w:r>
      <w:r w:rsidR="00C335A9" w:rsidRPr="00DA11E4">
        <w:t xml:space="preserve">plūsma Covid-19 inficētiem pacientiem. </w:t>
      </w:r>
      <w:proofErr w:type="spellStart"/>
      <w:r w:rsidR="00C335A9" w:rsidRPr="00DA11E4">
        <w:t>Skrīninga</w:t>
      </w:r>
      <w:proofErr w:type="spellEnd"/>
      <w:r w:rsidR="00C335A9" w:rsidRPr="00DA11E4">
        <w:t xml:space="preserve"> testu ieviešana pirms veselības aprūpes pakalpojumu saņemšanas ļautu savlaicīgi pacientu novirzīt atbilstošajā plūsmā, tādējādi samazinot nekontrolētu Covid-19 izplatību ārstniecības iestādēs, padarītu arī epidemioloģiski drošāku pakalpojumu saņemšanu citiem ārstniecības iestādes apmeklētājiem</w:t>
      </w:r>
      <w:r w:rsidR="00661D69" w:rsidRPr="00DA11E4">
        <w:t xml:space="preserve"> (skat. 3.attēls)</w:t>
      </w:r>
      <w:r w:rsidR="00C335A9" w:rsidRPr="00DA11E4">
        <w:t>.</w:t>
      </w:r>
    </w:p>
    <w:p w14:paraId="5F2EA1C7" w14:textId="26B754C2" w:rsidR="00776329" w:rsidRPr="00DA11E4" w:rsidRDefault="00021344" w:rsidP="00776329">
      <w:pPr>
        <w:ind w:firstLine="706"/>
        <w:rPr>
          <w:rFonts w:eastAsia="Times New Roman"/>
          <w:szCs w:val="24"/>
          <w:lang w:eastAsia="lv-LV"/>
        </w:rPr>
      </w:pPr>
      <w:r>
        <w:rPr>
          <w:noProof/>
        </w:rPr>
        <w:lastRenderedPageBreak/>
        <w:drawing>
          <wp:inline distT="0" distB="0" distL="0" distR="0" wp14:anchorId="4AA9EAF2" wp14:editId="187DA1DD">
            <wp:extent cx="4584700" cy="3149600"/>
            <wp:effectExtent l="0" t="0" r="635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4700" cy="3149600"/>
                    </a:xfrm>
                    <a:prstGeom prst="rect">
                      <a:avLst/>
                    </a:prstGeom>
                    <a:noFill/>
                    <a:ln>
                      <a:noFill/>
                    </a:ln>
                  </pic:spPr>
                </pic:pic>
              </a:graphicData>
            </a:graphic>
          </wp:inline>
        </w:drawing>
      </w:r>
    </w:p>
    <w:p w14:paraId="64212B2D" w14:textId="10780B4D" w:rsidR="00661D69" w:rsidRPr="00DA11E4" w:rsidRDefault="00661D69" w:rsidP="00661D69">
      <w:pPr>
        <w:ind w:firstLine="706"/>
        <w:jc w:val="center"/>
        <w:rPr>
          <w:rFonts w:eastAsia="Times New Roman"/>
          <w:b/>
          <w:bCs/>
          <w:sz w:val="22"/>
          <w:lang w:eastAsia="lv-LV"/>
        </w:rPr>
      </w:pPr>
      <w:r w:rsidRPr="00DA11E4">
        <w:rPr>
          <w:rFonts w:eastAsia="Times New Roman"/>
          <w:b/>
          <w:bCs/>
          <w:sz w:val="22"/>
          <w:lang w:eastAsia="lv-LV"/>
        </w:rPr>
        <w:t>3. attēls Ambulatoro veselības aprūpes pakalpojumu saņēmēju testēšana un novirzīšana atbilstošajā plūsmā</w:t>
      </w:r>
    </w:p>
    <w:p w14:paraId="5000EE79" w14:textId="77777777" w:rsidR="00661D69" w:rsidRPr="00DA11E4" w:rsidRDefault="00661D69" w:rsidP="00085136">
      <w:pPr>
        <w:ind w:firstLine="706"/>
        <w:rPr>
          <w:rFonts w:eastAsia="Times New Roman"/>
          <w:szCs w:val="24"/>
          <w:lang w:eastAsia="lv-LV"/>
        </w:rPr>
      </w:pPr>
    </w:p>
    <w:p w14:paraId="7C42F88A" w14:textId="1135977A" w:rsidR="00C335A9" w:rsidRPr="00DA11E4" w:rsidRDefault="00085136" w:rsidP="00085136">
      <w:pPr>
        <w:ind w:firstLine="706"/>
        <w:rPr>
          <w:rFonts w:eastAsia="Times New Roman"/>
          <w:szCs w:val="24"/>
          <w:lang w:eastAsia="lv-LV"/>
        </w:rPr>
      </w:pPr>
      <w:r w:rsidRPr="00DA11E4">
        <w:rPr>
          <w:rFonts w:eastAsia="Times New Roman"/>
          <w:szCs w:val="24"/>
          <w:lang w:eastAsia="lv-LV"/>
        </w:rPr>
        <w:t xml:space="preserve">Lai ieviestu šādu risinājumu, </w:t>
      </w:r>
      <w:r w:rsidR="00C335A9" w:rsidRPr="00DA11E4">
        <w:rPr>
          <w:rFonts w:eastAsia="Times New Roman"/>
          <w:szCs w:val="24"/>
          <w:lang w:eastAsia="lv-LV"/>
        </w:rPr>
        <w:t>Nacionālais veselības dienests aptaujāja ārstniecības iestādes, kas norādīja</w:t>
      </w:r>
      <w:r w:rsidRPr="00DA11E4">
        <w:rPr>
          <w:rFonts w:eastAsia="Times New Roman"/>
          <w:szCs w:val="24"/>
          <w:lang w:eastAsia="lv-LV"/>
        </w:rPr>
        <w:t xml:space="preserve">, ka resursu ietilpīgākais posms </w:t>
      </w:r>
      <w:r w:rsidR="00C335A9" w:rsidRPr="00DA11E4">
        <w:rPr>
          <w:rFonts w:eastAsia="Times New Roman"/>
          <w:szCs w:val="24"/>
          <w:lang w:eastAsia="lv-LV"/>
        </w:rPr>
        <w:t xml:space="preserve">aprakstītā pakalpojuma nodrošināšanai </w:t>
      </w:r>
      <w:r w:rsidRPr="00DA11E4">
        <w:rPr>
          <w:rFonts w:eastAsia="Times New Roman"/>
          <w:szCs w:val="24"/>
          <w:lang w:eastAsia="lv-LV"/>
        </w:rPr>
        <w:t xml:space="preserve">ir testu personificēšana un datu ievade dažādās informācijas sistēmās, t.sk. lokālā iestādes datu uzskaites sistēma, Vadības informācijas sistēma, e-veselība u.c., ja procesu paredz līdzšinējā testēšanas un informācijas uzskaties kārtībā. </w:t>
      </w:r>
      <w:r w:rsidR="00C335A9" w:rsidRPr="00DA11E4">
        <w:rPr>
          <w:rFonts w:eastAsia="Times New Roman"/>
          <w:szCs w:val="24"/>
          <w:lang w:eastAsia="lv-LV"/>
        </w:rPr>
        <w:t>Ārstniecības iestādes norāda</w:t>
      </w:r>
      <w:r w:rsidRPr="00DA11E4">
        <w:rPr>
          <w:rFonts w:eastAsia="Times New Roman"/>
          <w:szCs w:val="24"/>
          <w:lang w:eastAsia="lv-LV"/>
        </w:rPr>
        <w:t>, ka</w:t>
      </w:r>
      <w:r w:rsidR="00C335A9" w:rsidRPr="00DA11E4">
        <w:rPr>
          <w:rFonts w:eastAsia="Times New Roman"/>
          <w:szCs w:val="24"/>
          <w:lang w:eastAsia="lv-LV"/>
        </w:rPr>
        <w:t>,</w:t>
      </w:r>
      <w:r w:rsidRPr="00DA11E4">
        <w:rPr>
          <w:rFonts w:eastAsia="Times New Roman"/>
          <w:szCs w:val="24"/>
          <w:lang w:eastAsia="lv-LV"/>
        </w:rPr>
        <w:t xml:space="preserve"> samazinot birokrātisko slogu, tiktu optimizēts process.</w:t>
      </w:r>
    </w:p>
    <w:p w14:paraId="4C1D7D9E" w14:textId="4B1AA321" w:rsidR="00085136" w:rsidRPr="00DA11E4" w:rsidRDefault="00C335A9" w:rsidP="00085136">
      <w:pPr>
        <w:ind w:firstLine="706"/>
        <w:rPr>
          <w:rFonts w:eastAsia="Times New Roman"/>
          <w:szCs w:val="24"/>
          <w:lang w:eastAsia="lv-LV"/>
        </w:rPr>
      </w:pPr>
      <w:r w:rsidRPr="00DA11E4">
        <w:rPr>
          <w:rFonts w:eastAsia="Times New Roman"/>
          <w:szCs w:val="24"/>
          <w:lang w:eastAsia="lv-LV"/>
        </w:rPr>
        <w:t>Lai testēšana pirms veselības aprūpes pakalpojumu saņemšanas neradītu lieku administratīvo slogu ārstniecības iestādēm, līdz ar to lieku pakalpojumu sadārdzinājumu, plānots</w:t>
      </w:r>
      <w:r w:rsidR="00085136" w:rsidRPr="00DA11E4">
        <w:rPr>
          <w:rFonts w:eastAsia="Times New Roman"/>
          <w:szCs w:val="24"/>
          <w:lang w:eastAsia="lv-LV"/>
        </w:rPr>
        <w:t>, ka</w:t>
      </w:r>
      <w:r w:rsidR="00AD55CF" w:rsidRPr="00DA11E4">
        <w:rPr>
          <w:rFonts w:eastAsia="Times New Roman"/>
          <w:szCs w:val="24"/>
          <w:lang w:eastAsia="lv-LV"/>
        </w:rPr>
        <w:t xml:space="preserve"> personas ar pozitīvu antigēna testa rezultātu tiktu nosūtītas veikt parauga paņemšanu SARS-CoV-2 ribonukleīnskābes (RNS) klātbūtnes noteikšanai un sistēmā tiktu ievadīta informācija tikai par apstiprinātiem pozitīviem antigēna testa rezultātu gadījumiem</w:t>
      </w:r>
      <w:r w:rsidR="00085136" w:rsidRPr="00DA11E4">
        <w:rPr>
          <w:rFonts w:eastAsia="Times New Roman"/>
          <w:szCs w:val="24"/>
          <w:lang w:eastAsia="lv-LV"/>
        </w:rPr>
        <w:t>.</w:t>
      </w:r>
      <w:r w:rsidR="008B39D4" w:rsidRPr="00DA11E4">
        <w:rPr>
          <w:rFonts w:eastAsia="Times New Roman"/>
          <w:szCs w:val="24"/>
          <w:lang w:eastAsia="lv-LV"/>
        </w:rPr>
        <w:t xml:space="preserve"> Ņemot vērā, ka netiks veikta dok</w:t>
      </w:r>
      <w:r w:rsidR="006C2952" w:rsidRPr="00DA11E4">
        <w:rPr>
          <w:rFonts w:eastAsia="Times New Roman"/>
          <w:szCs w:val="24"/>
          <w:lang w:eastAsia="lv-LV"/>
        </w:rPr>
        <w:t>u</w:t>
      </w:r>
      <w:r w:rsidR="008B39D4" w:rsidRPr="00DA11E4">
        <w:rPr>
          <w:rFonts w:eastAsia="Times New Roman"/>
          <w:szCs w:val="24"/>
          <w:lang w:eastAsia="lv-LV"/>
        </w:rPr>
        <w:t>mentu kontrole, pakalpoju</w:t>
      </w:r>
      <w:r w:rsidR="006C2952" w:rsidRPr="00DA11E4">
        <w:rPr>
          <w:rFonts w:eastAsia="Times New Roman"/>
          <w:szCs w:val="24"/>
          <w:lang w:eastAsia="lv-LV"/>
        </w:rPr>
        <w:t>m</w:t>
      </w:r>
      <w:r w:rsidR="00B314F5" w:rsidRPr="00DA11E4">
        <w:rPr>
          <w:rFonts w:eastAsia="Times New Roman"/>
          <w:szCs w:val="24"/>
          <w:lang w:eastAsia="lv-LV"/>
        </w:rPr>
        <w:t>am</w:t>
      </w:r>
      <w:r w:rsidR="008B39D4" w:rsidRPr="00DA11E4">
        <w:rPr>
          <w:rFonts w:eastAsia="Times New Roman"/>
          <w:szCs w:val="24"/>
          <w:lang w:eastAsia="lv-LV"/>
        </w:rPr>
        <w:t xml:space="preserve"> </w:t>
      </w:r>
      <w:r w:rsidR="006C2952" w:rsidRPr="00DA11E4">
        <w:rPr>
          <w:rFonts w:eastAsia="Times New Roman"/>
          <w:szCs w:val="24"/>
          <w:lang w:eastAsia="lv-LV"/>
        </w:rPr>
        <w:t xml:space="preserve">rutīnas </w:t>
      </w:r>
      <w:proofErr w:type="spellStart"/>
      <w:r w:rsidR="006C2952" w:rsidRPr="00DA11E4">
        <w:rPr>
          <w:rFonts w:eastAsia="Times New Roman"/>
          <w:szCs w:val="24"/>
          <w:lang w:eastAsia="lv-LV"/>
        </w:rPr>
        <w:t>skrīningā</w:t>
      </w:r>
      <w:proofErr w:type="spellEnd"/>
      <w:r w:rsidR="006C2952" w:rsidRPr="00DA11E4">
        <w:rPr>
          <w:rFonts w:eastAsia="Times New Roman"/>
          <w:szCs w:val="24"/>
          <w:lang w:eastAsia="lv-LV"/>
        </w:rPr>
        <w:t xml:space="preserve"> plānots iekļaut arī personas ar </w:t>
      </w:r>
      <w:proofErr w:type="spellStart"/>
      <w:r w:rsidR="006C2952" w:rsidRPr="00DA11E4">
        <w:rPr>
          <w:rFonts w:eastAsia="Times New Roman"/>
          <w:szCs w:val="24"/>
          <w:lang w:eastAsia="lv-LV"/>
        </w:rPr>
        <w:t>sadarbspējīgu</w:t>
      </w:r>
      <w:proofErr w:type="spellEnd"/>
      <w:r w:rsidR="006C2952" w:rsidRPr="00DA11E4">
        <w:rPr>
          <w:rFonts w:eastAsia="Times New Roman"/>
          <w:szCs w:val="24"/>
          <w:lang w:eastAsia="lv-LV"/>
        </w:rPr>
        <w:t xml:space="preserve"> vakcinācijas vai pārslimošanas sertifikātu.</w:t>
      </w:r>
      <w:r w:rsidR="00085136" w:rsidRPr="00DA11E4">
        <w:rPr>
          <w:rFonts w:eastAsia="Times New Roman"/>
          <w:szCs w:val="24"/>
          <w:lang w:eastAsia="lv-LV"/>
        </w:rPr>
        <w:t xml:space="preserve"> </w:t>
      </w:r>
      <w:r w:rsidR="006C2952" w:rsidRPr="00DA11E4">
        <w:rPr>
          <w:rFonts w:eastAsia="Times New Roman"/>
          <w:szCs w:val="24"/>
          <w:lang w:eastAsia="lv-LV"/>
        </w:rPr>
        <w:t>Vienlaikus</w:t>
      </w:r>
      <w:r w:rsidR="00085136" w:rsidRPr="00DA11E4">
        <w:rPr>
          <w:rFonts w:eastAsia="Times New Roman"/>
          <w:szCs w:val="24"/>
          <w:lang w:eastAsia="lv-LV"/>
        </w:rPr>
        <w:t xml:space="preserve"> par veikto antigēna testu netiktu izsniegts </w:t>
      </w:r>
      <w:proofErr w:type="spellStart"/>
      <w:r w:rsidR="00085136" w:rsidRPr="00DA11E4">
        <w:rPr>
          <w:rFonts w:eastAsia="Times New Roman"/>
          <w:szCs w:val="24"/>
          <w:lang w:eastAsia="lv-LV"/>
        </w:rPr>
        <w:t>sadarbspējīgs</w:t>
      </w:r>
      <w:proofErr w:type="spellEnd"/>
      <w:r w:rsidR="00085136" w:rsidRPr="00DA11E4">
        <w:rPr>
          <w:rFonts w:eastAsia="Times New Roman"/>
          <w:szCs w:val="24"/>
          <w:lang w:eastAsia="lv-LV"/>
        </w:rPr>
        <w:t xml:space="preserve"> testēšanas sertifikāts.</w:t>
      </w:r>
    </w:p>
    <w:p w14:paraId="3D002FA4" w14:textId="7602499D" w:rsidR="00085136" w:rsidRPr="00DA11E4" w:rsidRDefault="00085136" w:rsidP="00776329">
      <w:pPr>
        <w:ind w:firstLine="706"/>
        <w:rPr>
          <w:rFonts w:eastAsia="Times New Roman"/>
          <w:szCs w:val="24"/>
          <w:lang w:eastAsia="lv-LV"/>
        </w:rPr>
      </w:pPr>
      <w:r w:rsidRPr="00DA11E4">
        <w:rPr>
          <w:rFonts w:eastAsia="Times New Roman"/>
          <w:szCs w:val="24"/>
          <w:lang w:eastAsia="lv-LV"/>
        </w:rPr>
        <w:t xml:space="preserve">Lai spriestu par iespējamo pakalpojuma apjomu, Nacionālais veselības dienests ir apkopojis informāciju par </w:t>
      </w:r>
      <w:r w:rsidR="00AD55CF" w:rsidRPr="00DA11E4">
        <w:rPr>
          <w:rFonts w:eastAsia="Times New Roman"/>
          <w:szCs w:val="24"/>
          <w:lang w:eastAsia="lv-LV"/>
        </w:rPr>
        <w:t xml:space="preserve">valsts apmaksāto </w:t>
      </w:r>
      <w:r w:rsidRPr="00DA11E4">
        <w:rPr>
          <w:rFonts w:eastAsia="Times New Roman"/>
          <w:szCs w:val="24"/>
          <w:lang w:eastAsia="lv-LV"/>
        </w:rPr>
        <w:t>apmeklējumu skaitu ārstniecības iestādēs.</w:t>
      </w:r>
    </w:p>
    <w:tbl>
      <w:tblPr>
        <w:tblW w:w="7000" w:type="dxa"/>
        <w:jc w:val="center"/>
        <w:tblCellMar>
          <w:left w:w="0" w:type="dxa"/>
          <w:right w:w="0" w:type="dxa"/>
        </w:tblCellMar>
        <w:tblLook w:val="04A0" w:firstRow="1" w:lastRow="0" w:firstColumn="1" w:lastColumn="0" w:noHBand="0" w:noVBand="1"/>
      </w:tblPr>
      <w:tblGrid>
        <w:gridCol w:w="3476"/>
        <w:gridCol w:w="3524"/>
      </w:tblGrid>
      <w:tr w:rsidR="00085136" w:rsidRPr="00DA11E4" w14:paraId="69C8459D" w14:textId="77777777" w:rsidTr="00995920">
        <w:trPr>
          <w:trHeight w:val="315"/>
          <w:jc w:val="center"/>
        </w:trPr>
        <w:tc>
          <w:tcPr>
            <w:tcW w:w="347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5D70AC" w14:textId="77777777" w:rsidR="00085136" w:rsidRPr="00DA11E4" w:rsidRDefault="00085136" w:rsidP="00475839">
            <w:pPr>
              <w:jc w:val="center"/>
              <w:rPr>
                <w:rFonts w:cs="Times New Roman"/>
                <w:b/>
                <w:bCs/>
                <w:color w:val="000000"/>
                <w:szCs w:val="24"/>
                <w:lang w:eastAsia="lv-LV"/>
              </w:rPr>
            </w:pPr>
            <w:r w:rsidRPr="00DA11E4">
              <w:rPr>
                <w:rFonts w:cs="Times New Roman"/>
                <w:b/>
                <w:bCs/>
                <w:color w:val="000000"/>
                <w:szCs w:val="24"/>
                <w:lang w:eastAsia="lv-LV"/>
              </w:rPr>
              <w:t>Pazīme</w:t>
            </w:r>
          </w:p>
        </w:tc>
        <w:tc>
          <w:tcPr>
            <w:tcW w:w="352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CB86A07" w14:textId="707C69A4" w:rsidR="00085136" w:rsidRPr="00DA11E4" w:rsidRDefault="00085136" w:rsidP="00475839">
            <w:pPr>
              <w:jc w:val="center"/>
              <w:rPr>
                <w:rFonts w:cs="Times New Roman"/>
                <w:b/>
                <w:bCs/>
                <w:color w:val="000000"/>
                <w:szCs w:val="24"/>
                <w:lang w:eastAsia="lv-LV"/>
              </w:rPr>
            </w:pPr>
            <w:r w:rsidRPr="00DA11E4">
              <w:rPr>
                <w:rFonts w:cs="Times New Roman"/>
                <w:b/>
                <w:bCs/>
                <w:color w:val="000000"/>
                <w:szCs w:val="24"/>
                <w:lang w:eastAsia="lv-LV"/>
              </w:rPr>
              <w:t>Apmeklējumi</w:t>
            </w:r>
            <w:r w:rsidR="00807C46" w:rsidRPr="00DA11E4">
              <w:rPr>
                <w:rFonts w:cs="Times New Roman"/>
                <w:b/>
                <w:bCs/>
                <w:color w:val="000000"/>
                <w:szCs w:val="24"/>
                <w:lang w:eastAsia="lv-LV"/>
              </w:rPr>
              <w:t>, mēnesī</w:t>
            </w:r>
          </w:p>
        </w:tc>
      </w:tr>
      <w:tr w:rsidR="00085136" w:rsidRPr="00DA11E4" w14:paraId="1F18776F" w14:textId="77777777" w:rsidTr="00995920">
        <w:trPr>
          <w:trHeight w:val="315"/>
          <w:jc w:val="center"/>
        </w:trPr>
        <w:tc>
          <w:tcPr>
            <w:tcW w:w="34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3238548" w14:textId="6098BD43" w:rsidR="00085136" w:rsidRPr="00DA11E4" w:rsidRDefault="00085136" w:rsidP="00475839">
            <w:pPr>
              <w:jc w:val="center"/>
              <w:rPr>
                <w:rFonts w:cs="Times New Roman"/>
                <w:color w:val="000000"/>
                <w:szCs w:val="24"/>
                <w:lang w:eastAsia="lv-LV"/>
              </w:rPr>
            </w:pPr>
            <w:r w:rsidRPr="00DA11E4">
              <w:rPr>
                <w:rFonts w:cs="Times New Roman"/>
                <w:color w:val="000000"/>
                <w:szCs w:val="24"/>
                <w:lang w:eastAsia="lv-LV"/>
              </w:rPr>
              <w:t>Sekundārās veselības aprūpes pakalpojumu sniedzēji</w:t>
            </w:r>
          </w:p>
        </w:tc>
        <w:tc>
          <w:tcPr>
            <w:tcW w:w="352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BCEE8D" w14:textId="268EE588" w:rsidR="00085136" w:rsidRPr="00DA11E4" w:rsidRDefault="00804ED8" w:rsidP="00475839">
            <w:pPr>
              <w:jc w:val="center"/>
              <w:rPr>
                <w:rFonts w:cs="Times New Roman"/>
                <w:color w:val="000000"/>
                <w:szCs w:val="24"/>
                <w:lang w:eastAsia="lv-LV"/>
              </w:rPr>
            </w:pPr>
            <w:r w:rsidRPr="00DA11E4">
              <w:rPr>
                <w:rFonts w:cs="Times New Roman"/>
                <w:color w:val="000000"/>
                <w:szCs w:val="24"/>
                <w:lang w:eastAsia="lv-LV"/>
              </w:rPr>
              <w:t>554 774</w:t>
            </w:r>
          </w:p>
        </w:tc>
      </w:tr>
      <w:tr w:rsidR="00085136" w:rsidRPr="00DA11E4" w14:paraId="12829227" w14:textId="77777777" w:rsidTr="00995920">
        <w:trPr>
          <w:trHeight w:val="315"/>
          <w:jc w:val="center"/>
        </w:trPr>
        <w:tc>
          <w:tcPr>
            <w:tcW w:w="34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AA997F" w14:textId="60C70979" w:rsidR="00085136" w:rsidRPr="00DA11E4" w:rsidRDefault="00085136" w:rsidP="00475839">
            <w:pPr>
              <w:jc w:val="center"/>
              <w:rPr>
                <w:rFonts w:cs="Times New Roman"/>
                <w:color w:val="000000"/>
                <w:szCs w:val="24"/>
                <w:lang w:eastAsia="lv-LV"/>
              </w:rPr>
            </w:pPr>
            <w:r w:rsidRPr="00DA11E4">
              <w:rPr>
                <w:rFonts w:cs="Times New Roman"/>
                <w:color w:val="000000"/>
                <w:szCs w:val="24"/>
                <w:lang w:eastAsia="lv-LV"/>
              </w:rPr>
              <w:t>Ģimenes ārstu praksēs</w:t>
            </w:r>
          </w:p>
        </w:tc>
        <w:tc>
          <w:tcPr>
            <w:tcW w:w="352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CF4B25" w14:textId="3495032E" w:rsidR="00085136" w:rsidRPr="00DA11E4" w:rsidRDefault="00085136" w:rsidP="00475839">
            <w:pPr>
              <w:jc w:val="center"/>
              <w:rPr>
                <w:rFonts w:cs="Times New Roman"/>
                <w:color w:val="000000"/>
                <w:szCs w:val="24"/>
                <w:lang w:eastAsia="lv-LV"/>
              </w:rPr>
            </w:pPr>
            <w:r w:rsidRPr="00DA11E4">
              <w:rPr>
                <w:rFonts w:cs="Times New Roman"/>
                <w:color w:val="000000"/>
                <w:szCs w:val="24"/>
                <w:lang w:eastAsia="lv-LV"/>
              </w:rPr>
              <w:t>593</w:t>
            </w:r>
            <w:r w:rsidR="00AD55CF" w:rsidRPr="00DA11E4">
              <w:rPr>
                <w:rFonts w:cs="Times New Roman"/>
                <w:color w:val="000000"/>
                <w:szCs w:val="24"/>
                <w:lang w:eastAsia="lv-LV"/>
              </w:rPr>
              <w:t xml:space="preserve"> </w:t>
            </w:r>
            <w:r w:rsidRPr="00DA11E4">
              <w:rPr>
                <w:rFonts w:cs="Times New Roman"/>
                <w:color w:val="000000"/>
                <w:szCs w:val="24"/>
                <w:lang w:eastAsia="lv-LV"/>
              </w:rPr>
              <w:t>330</w:t>
            </w:r>
          </w:p>
        </w:tc>
      </w:tr>
      <w:tr w:rsidR="00085136" w:rsidRPr="00DA11E4" w14:paraId="7FDCCDD7" w14:textId="77777777" w:rsidTr="00995920">
        <w:trPr>
          <w:trHeight w:val="315"/>
          <w:jc w:val="center"/>
        </w:trPr>
        <w:tc>
          <w:tcPr>
            <w:tcW w:w="3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609CE2E" w14:textId="77777777" w:rsidR="00085136" w:rsidRPr="00DA11E4" w:rsidRDefault="00085136" w:rsidP="00475839">
            <w:pPr>
              <w:jc w:val="center"/>
              <w:rPr>
                <w:rFonts w:cs="Times New Roman"/>
                <w:color w:val="000000"/>
                <w:szCs w:val="24"/>
                <w:lang w:eastAsia="lv-LV"/>
              </w:rPr>
            </w:pPr>
            <w:r w:rsidRPr="00DA11E4">
              <w:rPr>
                <w:rFonts w:cs="Times New Roman"/>
                <w:color w:val="000000"/>
                <w:szCs w:val="24"/>
                <w:lang w:eastAsia="lv-LV"/>
              </w:rPr>
              <w:t>Zobārstniecība</w:t>
            </w:r>
          </w:p>
        </w:tc>
        <w:tc>
          <w:tcPr>
            <w:tcW w:w="35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37AC60" w14:textId="5F2560E5" w:rsidR="00085136" w:rsidRPr="00DA11E4" w:rsidRDefault="00085136" w:rsidP="00475839">
            <w:pPr>
              <w:jc w:val="center"/>
              <w:rPr>
                <w:rFonts w:cs="Times New Roman"/>
                <w:color w:val="000000"/>
                <w:szCs w:val="24"/>
                <w:lang w:eastAsia="lv-LV"/>
              </w:rPr>
            </w:pPr>
            <w:r w:rsidRPr="00DA11E4">
              <w:rPr>
                <w:rFonts w:cs="Times New Roman"/>
                <w:color w:val="000000"/>
                <w:szCs w:val="24"/>
                <w:lang w:eastAsia="lv-LV"/>
              </w:rPr>
              <w:t>40</w:t>
            </w:r>
            <w:r w:rsidR="00AD55CF" w:rsidRPr="00DA11E4">
              <w:rPr>
                <w:rFonts w:cs="Times New Roman"/>
                <w:color w:val="000000"/>
                <w:szCs w:val="24"/>
                <w:lang w:eastAsia="lv-LV"/>
              </w:rPr>
              <w:t xml:space="preserve"> </w:t>
            </w:r>
            <w:r w:rsidRPr="00DA11E4">
              <w:rPr>
                <w:rFonts w:cs="Times New Roman"/>
                <w:color w:val="000000"/>
                <w:szCs w:val="24"/>
                <w:lang w:eastAsia="lv-LV"/>
              </w:rPr>
              <w:t>234</w:t>
            </w:r>
          </w:p>
        </w:tc>
      </w:tr>
    </w:tbl>
    <w:p w14:paraId="36186D9E" w14:textId="4EC35567" w:rsidR="00085136" w:rsidRPr="00DA11E4" w:rsidRDefault="00085136" w:rsidP="00776329">
      <w:pPr>
        <w:ind w:firstLine="706"/>
        <w:rPr>
          <w:rFonts w:eastAsia="Times New Roman"/>
          <w:szCs w:val="24"/>
          <w:lang w:eastAsia="lv-LV"/>
        </w:rPr>
      </w:pPr>
    </w:p>
    <w:p w14:paraId="3D2FBCC5" w14:textId="25C27FCE" w:rsidR="008C3021" w:rsidRPr="00DA11E4" w:rsidRDefault="008D6973" w:rsidP="008D6973">
      <w:pPr>
        <w:ind w:firstLine="706"/>
        <w:rPr>
          <w:rFonts w:eastAsia="Times New Roman"/>
          <w:szCs w:val="24"/>
          <w:lang w:eastAsia="lv-LV"/>
        </w:rPr>
      </w:pPr>
      <w:r w:rsidRPr="00DA11E4">
        <w:rPr>
          <w:rFonts w:eastAsia="Times New Roman"/>
          <w:szCs w:val="24"/>
          <w:lang w:eastAsia="lv-LV"/>
        </w:rPr>
        <w:t>Lai ieviestu šādu sistēmu, nepieciešams mainīt līdzšinējo testēšanas apmaksas kārtību</w:t>
      </w:r>
      <w:r w:rsidR="00E54FFB" w:rsidRPr="00DA11E4">
        <w:rPr>
          <w:rFonts w:eastAsia="Times New Roman"/>
          <w:szCs w:val="24"/>
          <w:lang w:eastAsia="lv-LV"/>
        </w:rPr>
        <w:t xml:space="preserve">. Šobrīd </w:t>
      </w:r>
      <w:r w:rsidR="00BF6663" w:rsidRPr="00DA11E4">
        <w:rPr>
          <w:rFonts w:eastAsia="Times New Roman"/>
          <w:szCs w:val="24"/>
          <w:lang w:eastAsia="lv-LV"/>
        </w:rPr>
        <w:t xml:space="preserve">ārstniecības iestādēm tiek veikta samaksa, atbilstoši faktiski veiktajam darbam (izmantotajiem testiem, pielietotajām manipulācijām). Savukārt, lai nodrošinātu ambulatoro ārstniecības iestāžu apmeklētāju </w:t>
      </w:r>
      <w:proofErr w:type="spellStart"/>
      <w:r w:rsidR="00BF6663" w:rsidRPr="00DA11E4">
        <w:rPr>
          <w:rFonts w:eastAsia="Times New Roman"/>
          <w:szCs w:val="24"/>
          <w:lang w:eastAsia="lv-LV"/>
        </w:rPr>
        <w:t>skrīningu</w:t>
      </w:r>
      <w:proofErr w:type="spellEnd"/>
      <w:r w:rsidR="00BF6663" w:rsidRPr="00DA11E4">
        <w:rPr>
          <w:rFonts w:eastAsia="Times New Roman"/>
          <w:szCs w:val="24"/>
          <w:lang w:eastAsia="lv-LV"/>
        </w:rPr>
        <w:t xml:space="preserve"> </w:t>
      </w:r>
      <w:r w:rsidRPr="00DA11E4">
        <w:rPr>
          <w:rFonts w:eastAsia="Times New Roman"/>
          <w:szCs w:val="24"/>
          <w:lang w:eastAsia="lv-LV"/>
        </w:rPr>
        <w:t>pie ieejas ārstniecības iestādē</w:t>
      </w:r>
      <w:r w:rsidR="00BF6663" w:rsidRPr="00DA11E4">
        <w:rPr>
          <w:rFonts w:eastAsia="Times New Roman"/>
          <w:szCs w:val="24"/>
          <w:lang w:eastAsia="lv-LV"/>
        </w:rPr>
        <w:t>, plānots noteikt fiksētu ikmēneša</w:t>
      </w:r>
      <w:r w:rsidRPr="00DA11E4">
        <w:rPr>
          <w:rFonts w:eastAsia="Times New Roman"/>
          <w:szCs w:val="24"/>
          <w:lang w:eastAsia="lv-LV"/>
        </w:rPr>
        <w:t xml:space="preserve"> maksājumu</w:t>
      </w:r>
      <w:r w:rsidR="00BF6663" w:rsidRPr="00DA11E4">
        <w:rPr>
          <w:rFonts w:eastAsia="Times New Roman"/>
          <w:szCs w:val="24"/>
          <w:lang w:eastAsia="lv-LV"/>
        </w:rPr>
        <w:t>,</w:t>
      </w:r>
      <w:r w:rsidRPr="00DA11E4">
        <w:rPr>
          <w:rFonts w:eastAsia="Times New Roman"/>
          <w:szCs w:val="24"/>
          <w:lang w:eastAsia="lv-LV"/>
        </w:rPr>
        <w:t xml:space="preserve"> ietverot </w:t>
      </w:r>
      <w:r w:rsidR="00BF6663" w:rsidRPr="00DA11E4">
        <w:rPr>
          <w:rFonts w:eastAsia="Times New Roman"/>
          <w:szCs w:val="24"/>
          <w:lang w:eastAsia="lv-LV"/>
        </w:rPr>
        <w:t xml:space="preserve">apmaksā gan </w:t>
      </w:r>
      <w:r w:rsidRPr="00DA11E4">
        <w:rPr>
          <w:rFonts w:eastAsia="Times New Roman"/>
          <w:szCs w:val="24"/>
          <w:lang w:eastAsia="lv-LV"/>
        </w:rPr>
        <w:t xml:space="preserve">personāla darba samaksu par testa izsniegšanu un savākšanu </w:t>
      </w:r>
      <w:r w:rsidR="00B86D11" w:rsidRPr="00DA11E4">
        <w:rPr>
          <w:rFonts w:eastAsia="Times New Roman"/>
          <w:szCs w:val="24"/>
          <w:lang w:eastAsia="lv-LV"/>
        </w:rPr>
        <w:t>(aptuveni 5 minūtes)</w:t>
      </w:r>
      <w:r w:rsidR="00BF6663" w:rsidRPr="00DA11E4">
        <w:rPr>
          <w:rFonts w:eastAsia="Times New Roman"/>
          <w:szCs w:val="24"/>
          <w:lang w:eastAsia="lv-LV"/>
        </w:rPr>
        <w:t xml:space="preserve">, gan </w:t>
      </w:r>
      <w:r w:rsidRPr="00DA11E4">
        <w:rPr>
          <w:rFonts w:eastAsia="Times New Roman"/>
          <w:szCs w:val="24"/>
          <w:lang w:eastAsia="lv-LV"/>
        </w:rPr>
        <w:t xml:space="preserve">antigēna testa izmaksas. Ikmēneša fiksētā maksājuma apjoms tiek noteikts atbilstoši 2021.gadā martā (iespējami atbilstošākie rādītāji šī brīža situācijai) faktiski veiktajam darbam ārstniecības iestādēs (dienas stacionārs, izmeklējumi, speciālistu konsultācijas), </w:t>
      </w:r>
      <w:r w:rsidRPr="00DA11E4">
        <w:rPr>
          <w:rFonts w:eastAsia="Times New Roman"/>
          <w:szCs w:val="24"/>
          <w:lang w:eastAsia="lv-LV"/>
        </w:rPr>
        <w:lastRenderedPageBreak/>
        <w:t>pieņemot, ka tas ir vidējais personu skaits mēnesī, kas apmeklē ārstniecības iestādes ambulatoro veselības aprūpes pakalpojumu saņemšanai, nosakot, ka viena tes</w:t>
      </w:r>
      <w:r w:rsidR="00B86D11" w:rsidRPr="00DA11E4">
        <w:rPr>
          <w:rFonts w:eastAsia="Times New Roman"/>
          <w:szCs w:val="24"/>
          <w:lang w:eastAsia="lv-LV"/>
        </w:rPr>
        <w:t>tēšanas pakalpojuma</w:t>
      </w:r>
      <w:r w:rsidRPr="00DA11E4">
        <w:rPr>
          <w:rFonts w:eastAsia="Times New Roman"/>
          <w:szCs w:val="24"/>
          <w:lang w:eastAsia="lv-LV"/>
        </w:rPr>
        <w:t xml:space="preserve"> vidējās izmaksas ir 4.43 EUR. Fiksētā maksājuma ietvaros katra ārstniecības iestāde nodrošina ārstniecības iestādes apmeklētāju testēšanu pie ieejas ārstniecības iestādē.</w:t>
      </w:r>
    </w:p>
    <w:p w14:paraId="7E26CA26" w14:textId="4BA99ADD" w:rsidR="00DC65DB" w:rsidRPr="00DA11E4" w:rsidRDefault="008C3021" w:rsidP="00DC65DB">
      <w:pPr>
        <w:ind w:firstLine="706"/>
        <w:rPr>
          <w:rFonts w:eastAsia="Times New Roman"/>
          <w:szCs w:val="24"/>
          <w:lang w:eastAsia="lv-LV"/>
        </w:rPr>
      </w:pPr>
      <w:r w:rsidRPr="00DA11E4">
        <w:rPr>
          <w:rFonts w:eastAsia="Times New Roman"/>
          <w:szCs w:val="24"/>
          <w:lang w:eastAsia="lv-LV"/>
        </w:rPr>
        <w:t xml:space="preserve">Pakalpojuma nodrošināšanai nepieciešamo finansējumu plānots aprēķināt kā tarifu - fiksētu maksājumu, atbilstoši vidējam apmeklējuma skaitam ārstniecības iestādē (līdzīgi kā šobrīd tiek </w:t>
      </w:r>
      <w:r w:rsidR="000A50AD" w:rsidRPr="00DA11E4">
        <w:rPr>
          <w:rFonts w:eastAsia="Times New Roman"/>
          <w:szCs w:val="24"/>
          <w:lang w:eastAsia="lv-LV"/>
        </w:rPr>
        <w:t>finansēts</w:t>
      </w:r>
      <w:r w:rsidRPr="00DA11E4">
        <w:rPr>
          <w:rFonts w:eastAsia="Times New Roman"/>
          <w:szCs w:val="24"/>
          <w:lang w:eastAsia="lv-LV"/>
        </w:rPr>
        <w:t>, piemēram, Reto slimību kabinet</w:t>
      </w:r>
      <w:r w:rsidR="00126B3A" w:rsidRPr="00DA11E4">
        <w:rPr>
          <w:rFonts w:eastAsia="Times New Roman"/>
          <w:szCs w:val="24"/>
          <w:lang w:eastAsia="lv-LV"/>
        </w:rPr>
        <w:t>s</w:t>
      </w:r>
      <w:r w:rsidR="000A50AD" w:rsidRPr="00DA11E4">
        <w:rPr>
          <w:rFonts w:eastAsia="Times New Roman"/>
          <w:szCs w:val="24"/>
          <w:lang w:eastAsia="lv-LV"/>
        </w:rPr>
        <w:t>)</w:t>
      </w:r>
      <w:r w:rsidRPr="00DA11E4">
        <w:rPr>
          <w:rFonts w:eastAsia="Times New Roman"/>
          <w:szCs w:val="24"/>
          <w:lang w:eastAsia="lv-LV"/>
        </w:rPr>
        <w:t>. Atbilstoši spēka esošajam veselības aprūpes pakalpojumu apmaksas modelim, gadījumā, ja tiek uzskaitīts katrs sniegtais pakalpojums (cik reāli tiek notestēt</w:t>
      </w:r>
      <w:r w:rsidR="000A50AD" w:rsidRPr="00DA11E4">
        <w:rPr>
          <w:rFonts w:eastAsia="Times New Roman"/>
          <w:szCs w:val="24"/>
          <w:lang w:eastAsia="lv-LV"/>
        </w:rPr>
        <w:t>as personas</w:t>
      </w:r>
      <w:r w:rsidRPr="00DA11E4">
        <w:rPr>
          <w:rFonts w:eastAsia="Times New Roman"/>
          <w:szCs w:val="24"/>
          <w:lang w:eastAsia="lv-LV"/>
        </w:rPr>
        <w:t>), palielinās pakalpojuma nodrošināšanai nepieciešamais ārstniecības personu darbs</w:t>
      </w:r>
      <w:r w:rsidR="00126B3A" w:rsidRPr="00DA11E4">
        <w:rPr>
          <w:rFonts w:eastAsia="Times New Roman"/>
          <w:szCs w:val="24"/>
          <w:lang w:eastAsia="lv-LV"/>
        </w:rPr>
        <w:t xml:space="preserve"> līdz ar to arī tarifā iekļautā apmaksa par veikto darbu</w:t>
      </w:r>
      <w:r w:rsidRPr="00DA11E4">
        <w:rPr>
          <w:rFonts w:eastAsia="Times New Roman"/>
          <w:szCs w:val="24"/>
          <w:lang w:eastAsia="lv-LV"/>
        </w:rPr>
        <w:t xml:space="preserve"> (uzskaites dokumenta (ambulatorā talona) aizpildīšanai, kas izmaksā ap 1 </w:t>
      </w:r>
      <w:proofErr w:type="spellStart"/>
      <w:r w:rsidRPr="00DA11E4">
        <w:rPr>
          <w:rFonts w:eastAsia="Times New Roman"/>
          <w:szCs w:val="24"/>
          <w:lang w:eastAsia="lv-LV"/>
        </w:rPr>
        <w:t>euro</w:t>
      </w:r>
      <w:proofErr w:type="spellEnd"/>
      <w:r w:rsidRPr="00DA11E4">
        <w:rPr>
          <w:rFonts w:eastAsia="Times New Roman"/>
          <w:szCs w:val="24"/>
          <w:lang w:eastAsia="lv-LV"/>
        </w:rPr>
        <w:t xml:space="preserve"> uz apmeklējumu). Konkrētā pakalpojuma ieviešanai</w:t>
      </w:r>
      <w:r w:rsidR="00126B3A" w:rsidRPr="00DA11E4">
        <w:rPr>
          <w:rFonts w:eastAsia="Times New Roman"/>
          <w:szCs w:val="24"/>
          <w:lang w:eastAsia="lv-LV"/>
        </w:rPr>
        <w:t xml:space="preserve"> katra izmeklējuma personalizēšana</w:t>
      </w:r>
      <w:r w:rsidRPr="00DA11E4">
        <w:rPr>
          <w:rFonts w:eastAsia="Times New Roman"/>
          <w:szCs w:val="24"/>
          <w:lang w:eastAsia="lv-LV"/>
        </w:rPr>
        <w:t xml:space="preserve"> veido</w:t>
      </w:r>
      <w:r w:rsidR="00126B3A" w:rsidRPr="00DA11E4">
        <w:rPr>
          <w:rFonts w:eastAsia="Times New Roman"/>
          <w:szCs w:val="24"/>
          <w:lang w:eastAsia="lv-LV"/>
        </w:rPr>
        <w:t>tu</w:t>
      </w:r>
      <w:r w:rsidRPr="00DA11E4">
        <w:rPr>
          <w:rFonts w:eastAsia="Times New Roman"/>
          <w:szCs w:val="24"/>
          <w:lang w:eastAsia="lv-LV"/>
        </w:rPr>
        <w:t xml:space="preserve"> lieku pakalpojuma sadārdzinājumu un </w:t>
      </w:r>
      <w:r w:rsidR="00126B3A" w:rsidRPr="00DA11E4">
        <w:rPr>
          <w:rFonts w:eastAsia="Times New Roman"/>
          <w:szCs w:val="24"/>
          <w:lang w:eastAsia="lv-LV"/>
        </w:rPr>
        <w:t xml:space="preserve">administratīvo funkciju nodrošināšanai piesaistītu jau tā ierobežotos cilvēkresursus. </w:t>
      </w:r>
    </w:p>
    <w:p w14:paraId="31971A34" w14:textId="1C3B2E87" w:rsidR="00937065" w:rsidRPr="00DA11E4" w:rsidRDefault="00ED6224" w:rsidP="00937065">
      <w:pPr>
        <w:ind w:firstLine="706"/>
        <w:rPr>
          <w:rFonts w:eastAsia="Times New Roman"/>
          <w:szCs w:val="24"/>
          <w:lang w:eastAsia="lv-LV"/>
        </w:rPr>
      </w:pPr>
      <w:r w:rsidRPr="00DA11E4">
        <w:rPr>
          <w:rFonts w:eastAsia="Times New Roman"/>
          <w:szCs w:val="24"/>
          <w:lang w:eastAsia="lv-LV"/>
        </w:rPr>
        <w:t>Vienlaikus</w:t>
      </w:r>
      <w:r w:rsidR="000A50AD" w:rsidRPr="00DA11E4">
        <w:rPr>
          <w:rFonts w:eastAsia="Times New Roman"/>
          <w:szCs w:val="24"/>
          <w:lang w:eastAsia="lv-LV"/>
        </w:rPr>
        <w:t xml:space="preserve"> pakalpojuma nodrošināšanai nepieciešamo materiālu (testu) apjoms iepērkams katrai ārstniecības iestādei atsevišķi, jo š</w:t>
      </w:r>
      <w:r w:rsidR="00937065" w:rsidRPr="00DA11E4">
        <w:rPr>
          <w:rFonts w:eastAsia="Times New Roman"/>
          <w:szCs w:val="24"/>
          <w:lang w:eastAsia="lv-LV"/>
        </w:rPr>
        <w:t xml:space="preserve">obrīd </w:t>
      </w:r>
      <w:r w:rsidR="000A50AD" w:rsidRPr="00DA11E4">
        <w:t>Valsts aizsardzības loģistikas un iepirkumu centrs</w:t>
      </w:r>
      <w:r w:rsidR="00937065" w:rsidRPr="00DA11E4">
        <w:rPr>
          <w:rFonts w:eastAsia="Times New Roman"/>
          <w:szCs w:val="24"/>
          <w:lang w:eastAsia="lv-LV"/>
        </w:rPr>
        <w:t xml:space="preserve"> </w:t>
      </w:r>
      <w:r w:rsidR="00E54FFB" w:rsidRPr="00DA11E4">
        <w:rPr>
          <w:rFonts w:eastAsia="Times New Roman"/>
          <w:szCs w:val="24"/>
          <w:lang w:eastAsia="lv-LV"/>
        </w:rPr>
        <w:t>veic materiālu iepirkšanu, bet nenodrošina m</w:t>
      </w:r>
      <w:r w:rsidR="000A50AD" w:rsidRPr="00DA11E4">
        <w:rPr>
          <w:rFonts w:eastAsia="Times New Roman"/>
          <w:szCs w:val="24"/>
          <w:lang w:eastAsia="lv-LV"/>
        </w:rPr>
        <w:t>ateriālu nogādāšanu</w:t>
      </w:r>
      <w:r w:rsidR="00937065" w:rsidRPr="00DA11E4">
        <w:rPr>
          <w:rFonts w:eastAsia="Times New Roman"/>
          <w:szCs w:val="24"/>
          <w:lang w:eastAsia="lv-LV"/>
        </w:rPr>
        <w:t xml:space="preserve"> </w:t>
      </w:r>
      <w:r w:rsidR="000A50AD" w:rsidRPr="00DA11E4">
        <w:rPr>
          <w:rFonts w:eastAsia="Times New Roman"/>
          <w:szCs w:val="24"/>
          <w:lang w:eastAsia="lv-LV"/>
        </w:rPr>
        <w:t>(</w:t>
      </w:r>
      <w:r w:rsidR="00937065" w:rsidRPr="00DA11E4">
        <w:rPr>
          <w:rFonts w:eastAsia="Times New Roman"/>
          <w:szCs w:val="24"/>
          <w:lang w:eastAsia="lv-LV"/>
        </w:rPr>
        <w:t>loģistik</w:t>
      </w:r>
      <w:r w:rsidR="000A50AD" w:rsidRPr="00DA11E4">
        <w:rPr>
          <w:rFonts w:eastAsia="Times New Roman"/>
          <w:szCs w:val="24"/>
          <w:lang w:eastAsia="lv-LV"/>
        </w:rPr>
        <w:t>as pakalpojumi)</w:t>
      </w:r>
      <w:r w:rsidR="00937065" w:rsidRPr="00DA11E4">
        <w:rPr>
          <w:rFonts w:eastAsia="Times New Roman"/>
          <w:szCs w:val="24"/>
          <w:lang w:eastAsia="lv-LV"/>
        </w:rPr>
        <w:t>.</w:t>
      </w:r>
      <w:r w:rsidR="000A50AD" w:rsidRPr="00DA11E4">
        <w:rPr>
          <w:rFonts w:eastAsia="Times New Roman"/>
          <w:szCs w:val="24"/>
          <w:lang w:eastAsia="lv-LV"/>
        </w:rPr>
        <w:t xml:space="preserve"> </w:t>
      </w:r>
      <w:r w:rsidR="00937065" w:rsidRPr="00DA11E4">
        <w:rPr>
          <w:rFonts w:eastAsia="Times New Roman"/>
          <w:szCs w:val="24"/>
          <w:lang w:eastAsia="lv-LV"/>
        </w:rPr>
        <w:t xml:space="preserve">Veselības nozarē </w:t>
      </w:r>
      <w:r w:rsidR="000A50AD" w:rsidRPr="00DA11E4">
        <w:rPr>
          <w:rFonts w:eastAsia="Times New Roman"/>
          <w:szCs w:val="24"/>
          <w:lang w:eastAsia="lv-LV"/>
        </w:rPr>
        <w:t xml:space="preserve">šobrīd </w:t>
      </w:r>
      <w:r w:rsidR="00937065" w:rsidRPr="00DA11E4">
        <w:rPr>
          <w:rFonts w:eastAsia="Times New Roman"/>
          <w:szCs w:val="24"/>
          <w:lang w:eastAsia="lv-LV"/>
        </w:rPr>
        <w:t>nav resursu, lai nodrošinātu antigēnu</w:t>
      </w:r>
      <w:r w:rsidR="000A50AD" w:rsidRPr="00DA11E4">
        <w:rPr>
          <w:rFonts w:eastAsia="Times New Roman"/>
          <w:szCs w:val="24"/>
          <w:lang w:eastAsia="lv-LV"/>
        </w:rPr>
        <w:t xml:space="preserve"> testu sadali un nogādāšanu </w:t>
      </w:r>
      <w:r w:rsidR="00E54FFB" w:rsidRPr="00DA11E4">
        <w:rPr>
          <w:rFonts w:eastAsia="Times New Roman"/>
          <w:szCs w:val="24"/>
          <w:lang w:eastAsia="lv-LV"/>
        </w:rPr>
        <w:t>ap 2000 ārstniecības iestādēm. Ņemot vērā minēto pakalpojuma īstenošanai nepieciešamo materiālu (testu) iepirkšanu nav plānots organizēt centralizēt</w:t>
      </w:r>
      <w:r w:rsidR="000A50AD" w:rsidRPr="00DA11E4">
        <w:rPr>
          <w:rFonts w:eastAsia="Times New Roman"/>
          <w:szCs w:val="24"/>
          <w:lang w:eastAsia="lv-LV"/>
        </w:rPr>
        <w:t xml:space="preserve"> </w:t>
      </w:r>
      <w:r w:rsidR="00E54FFB" w:rsidRPr="00DA11E4">
        <w:rPr>
          <w:rFonts w:eastAsia="Times New Roman"/>
          <w:szCs w:val="24"/>
          <w:lang w:eastAsia="lv-LV"/>
        </w:rPr>
        <w:t xml:space="preserve">- </w:t>
      </w:r>
      <w:r w:rsidR="00937065" w:rsidRPr="00DA11E4">
        <w:rPr>
          <w:rFonts w:eastAsia="Times New Roman"/>
          <w:szCs w:val="24"/>
          <w:lang w:eastAsia="lv-LV"/>
        </w:rPr>
        <w:t>ārstniecības iestādes organizē antigēnu iegādi, iekļaujoties valsts noteiktajā tarifā.</w:t>
      </w:r>
    </w:p>
    <w:p w14:paraId="4829184A" w14:textId="7A75395E" w:rsidR="004C7863" w:rsidRPr="00DA11E4" w:rsidRDefault="00BF19F0" w:rsidP="00DC65DB">
      <w:pPr>
        <w:ind w:firstLine="706"/>
        <w:rPr>
          <w:rFonts w:eastAsia="Times New Roman"/>
          <w:szCs w:val="24"/>
          <w:lang w:eastAsia="lv-LV"/>
        </w:rPr>
      </w:pPr>
      <w:r w:rsidRPr="00DA11E4">
        <w:rPr>
          <w:rFonts w:eastAsia="Times New Roman"/>
          <w:szCs w:val="24"/>
          <w:lang w:eastAsia="lv-LV"/>
        </w:rPr>
        <w:t>P</w:t>
      </w:r>
      <w:r w:rsidR="008D6973" w:rsidRPr="00DA11E4">
        <w:rPr>
          <w:rFonts w:eastAsia="Times New Roman"/>
          <w:szCs w:val="24"/>
          <w:lang w:eastAsia="lv-LV"/>
        </w:rPr>
        <w:t>asākuma nodrošināšanai nepieciešamais papildus finansējums mēnesī</w:t>
      </w:r>
      <w:r w:rsidRPr="00DA11E4">
        <w:rPr>
          <w:rFonts w:eastAsia="Times New Roman"/>
          <w:szCs w:val="24"/>
          <w:lang w:eastAsia="lv-LV"/>
        </w:rPr>
        <w:t xml:space="preserve"> apkopots 3.tabulā.</w:t>
      </w:r>
    </w:p>
    <w:p w14:paraId="27DB8F76" w14:textId="77777777" w:rsidR="002766B2" w:rsidRPr="00DA11E4" w:rsidRDefault="002766B2" w:rsidP="00BF19F0">
      <w:pPr>
        <w:ind w:firstLine="706"/>
        <w:jc w:val="right"/>
        <w:rPr>
          <w:rFonts w:eastAsia="Times New Roman"/>
          <w:i/>
          <w:iCs/>
          <w:szCs w:val="24"/>
          <w:lang w:eastAsia="lv-LV"/>
        </w:rPr>
      </w:pPr>
    </w:p>
    <w:p w14:paraId="02CBD5EE" w14:textId="09C6BA09" w:rsidR="008D6973" w:rsidRPr="00DA11E4" w:rsidRDefault="00BF19F0" w:rsidP="00BF19F0">
      <w:pPr>
        <w:ind w:firstLine="706"/>
        <w:jc w:val="right"/>
        <w:rPr>
          <w:rFonts w:eastAsia="Times New Roman"/>
          <w:i/>
          <w:iCs/>
          <w:szCs w:val="24"/>
          <w:lang w:eastAsia="lv-LV"/>
        </w:rPr>
      </w:pPr>
      <w:r w:rsidRPr="00DA11E4">
        <w:rPr>
          <w:rFonts w:eastAsia="Times New Roman"/>
          <w:i/>
          <w:iCs/>
          <w:szCs w:val="24"/>
          <w:lang w:eastAsia="lv-LV"/>
        </w:rPr>
        <w:t>3.Tabula</w:t>
      </w:r>
    </w:p>
    <w:tbl>
      <w:tblPr>
        <w:tblW w:w="9331" w:type="dxa"/>
        <w:jc w:val="center"/>
        <w:tblCellMar>
          <w:left w:w="0" w:type="dxa"/>
          <w:right w:w="0" w:type="dxa"/>
        </w:tblCellMar>
        <w:tblLook w:val="04A0" w:firstRow="1" w:lastRow="0" w:firstColumn="1" w:lastColumn="0" w:noHBand="0" w:noVBand="1"/>
      </w:tblPr>
      <w:tblGrid>
        <w:gridCol w:w="1406"/>
        <w:gridCol w:w="1561"/>
        <w:gridCol w:w="1327"/>
        <w:gridCol w:w="825"/>
        <w:gridCol w:w="1596"/>
        <w:gridCol w:w="1287"/>
        <w:gridCol w:w="1329"/>
      </w:tblGrid>
      <w:tr w:rsidR="00056BD6" w:rsidRPr="00DA11E4" w14:paraId="365FB69D" w14:textId="4E085793" w:rsidTr="002766B2">
        <w:trPr>
          <w:trHeight w:val="315"/>
          <w:jc w:val="center"/>
        </w:trPr>
        <w:tc>
          <w:tcPr>
            <w:tcW w:w="140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95AF9D" w14:textId="5FA803FD" w:rsidR="00056BD6" w:rsidRPr="00DA11E4" w:rsidRDefault="00056BD6" w:rsidP="00BF19F0">
            <w:pPr>
              <w:ind w:firstLine="0"/>
              <w:jc w:val="center"/>
              <w:rPr>
                <w:rFonts w:cs="Times New Roman"/>
                <w:b/>
                <w:bCs/>
                <w:color w:val="000000"/>
                <w:sz w:val="20"/>
                <w:szCs w:val="20"/>
                <w:lang w:eastAsia="lv-LV"/>
              </w:rPr>
            </w:pPr>
            <w:r w:rsidRPr="00DA11E4">
              <w:rPr>
                <w:rFonts w:cs="Times New Roman"/>
                <w:b/>
                <w:bCs/>
                <w:color w:val="000000"/>
                <w:sz w:val="20"/>
                <w:szCs w:val="20"/>
                <w:lang w:eastAsia="lv-LV"/>
              </w:rPr>
              <w:t>Pakalpojumu sniedzējs</w:t>
            </w:r>
          </w:p>
        </w:tc>
        <w:tc>
          <w:tcPr>
            <w:tcW w:w="15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87F06FB" w14:textId="091BD8F0" w:rsidR="00056BD6" w:rsidRPr="00DA11E4" w:rsidRDefault="00056BD6" w:rsidP="00BF19F0">
            <w:pPr>
              <w:ind w:firstLine="0"/>
              <w:jc w:val="center"/>
              <w:rPr>
                <w:rFonts w:cs="Times New Roman"/>
                <w:b/>
                <w:bCs/>
                <w:color w:val="000000"/>
                <w:sz w:val="20"/>
                <w:szCs w:val="20"/>
                <w:lang w:eastAsia="lv-LV"/>
              </w:rPr>
            </w:pPr>
            <w:r w:rsidRPr="00DA11E4">
              <w:rPr>
                <w:rFonts w:cs="Times New Roman"/>
                <w:b/>
                <w:bCs/>
                <w:color w:val="000000"/>
                <w:sz w:val="20"/>
                <w:szCs w:val="20"/>
                <w:lang w:eastAsia="lv-LV"/>
              </w:rPr>
              <w:t>Apmeklējumi, izsaukumi (mēnesī)</w:t>
            </w:r>
          </w:p>
        </w:tc>
        <w:tc>
          <w:tcPr>
            <w:tcW w:w="1327" w:type="dxa"/>
            <w:tcBorders>
              <w:top w:val="single" w:sz="4" w:space="0" w:color="auto"/>
              <w:left w:val="single" w:sz="4" w:space="0" w:color="auto"/>
              <w:bottom w:val="single" w:sz="4" w:space="0" w:color="auto"/>
              <w:right w:val="single" w:sz="4" w:space="0" w:color="auto"/>
            </w:tcBorders>
            <w:vAlign w:val="center"/>
          </w:tcPr>
          <w:p w14:paraId="62724E1C" w14:textId="6BF1F4CE" w:rsidR="00056BD6" w:rsidRPr="00DA11E4" w:rsidRDefault="00056BD6" w:rsidP="00BF19F0">
            <w:pPr>
              <w:ind w:firstLine="0"/>
              <w:jc w:val="center"/>
              <w:rPr>
                <w:rFonts w:cs="Times New Roman"/>
                <w:b/>
                <w:bCs/>
                <w:color w:val="000000"/>
                <w:sz w:val="20"/>
                <w:szCs w:val="20"/>
                <w:lang w:eastAsia="lv-LV"/>
              </w:rPr>
            </w:pPr>
            <w:r w:rsidRPr="00DA11E4">
              <w:rPr>
                <w:rFonts w:cs="Times New Roman"/>
                <w:b/>
                <w:bCs/>
                <w:color w:val="000000"/>
                <w:sz w:val="20"/>
                <w:szCs w:val="20"/>
                <w:lang w:eastAsia="lv-LV"/>
              </w:rPr>
              <w:t>Apmeklējumi, izsaukumi (no 2022.gada 1.janvāra līdz 2022.gada 11.janvārim)</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3BA937" w14:textId="7CE7C4B5" w:rsidR="00056BD6" w:rsidRPr="00DA11E4" w:rsidRDefault="00056BD6" w:rsidP="00BF19F0">
            <w:pPr>
              <w:ind w:firstLine="0"/>
              <w:jc w:val="center"/>
              <w:rPr>
                <w:rFonts w:cs="Times New Roman"/>
                <w:b/>
                <w:bCs/>
                <w:color w:val="000000"/>
                <w:sz w:val="20"/>
                <w:szCs w:val="20"/>
                <w:lang w:eastAsia="lv-LV"/>
              </w:rPr>
            </w:pPr>
            <w:r w:rsidRPr="00DA11E4">
              <w:rPr>
                <w:rFonts w:cs="Times New Roman"/>
                <w:b/>
                <w:bCs/>
                <w:color w:val="000000"/>
                <w:sz w:val="20"/>
                <w:szCs w:val="20"/>
                <w:lang w:eastAsia="lv-LV"/>
              </w:rPr>
              <w:t xml:space="preserve">Tarifs, </w:t>
            </w:r>
            <w:proofErr w:type="spellStart"/>
            <w:r w:rsidRPr="00DA11E4">
              <w:rPr>
                <w:rFonts w:cs="Times New Roman"/>
                <w:b/>
                <w:bCs/>
                <w:color w:val="000000"/>
                <w:sz w:val="20"/>
                <w:szCs w:val="20"/>
                <w:lang w:eastAsia="lv-LV"/>
              </w:rPr>
              <w:t>euro</w:t>
            </w:r>
            <w:proofErr w:type="spellEnd"/>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D7A19C" w14:textId="41BE926A" w:rsidR="00056BD6" w:rsidRPr="00DA11E4" w:rsidRDefault="00056BD6" w:rsidP="00BF19F0">
            <w:pPr>
              <w:ind w:firstLine="0"/>
              <w:jc w:val="center"/>
              <w:rPr>
                <w:rFonts w:cs="Times New Roman"/>
                <w:b/>
                <w:bCs/>
                <w:color w:val="000000"/>
                <w:sz w:val="20"/>
                <w:szCs w:val="20"/>
                <w:lang w:eastAsia="lv-LV"/>
              </w:rPr>
            </w:pPr>
            <w:r w:rsidRPr="00DA11E4">
              <w:rPr>
                <w:rFonts w:cs="Times New Roman"/>
                <w:b/>
                <w:bCs/>
                <w:color w:val="000000"/>
                <w:sz w:val="20"/>
                <w:szCs w:val="20"/>
              </w:rPr>
              <w:t xml:space="preserve">Faktiski nepieciešamais finansējums antigēnu testēšanai 2021.gada novembrī, </w:t>
            </w:r>
            <w:proofErr w:type="spellStart"/>
            <w:r w:rsidRPr="00DA11E4">
              <w:rPr>
                <w:rFonts w:cs="Times New Roman"/>
                <w:b/>
                <w:bCs/>
                <w:color w:val="000000"/>
                <w:sz w:val="20"/>
                <w:szCs w:val="20"/>
              </w:rPr>
              <w:t>euro</w:t>
            </w:r>
            <w:proofErr w:type="spellEnd"/>
          </w:p>
        </w:tc>
        <w:tc>
          <w:tcPr>
            <w:tcW w:w="1287" w:type="dxa"/>
            <w:tcBorders>
              <w:top w:val="single" w:sz="4" w:space="0" w:color="auto"/>
              <w:left w:val="single" w:sz="4" w:space="0" w:color="auto"/>
              <w:bottom w:val="single" w:sz="4" w:space="0" w:color="auto"/>
              <w:right w:val="single" w:sz="4" w:space="0" w:color="auto"/>
            </w:tcBorders>
            <w:vAlign w:val="center"/>
          </w:tcPr>
          <w:p w14:paraId="30414D36" w14:textId="23EF3955" w:rsidR="00056BD6" w:rsidRPr="00DA11E4" w:rsidRDefault="00056BD6" w:rsidP="00BF19F0">
            <w:pPr>
              <w:ind w:firstLine="0"/>
              <w:jc w:val="center"/>
              <w:rPr>
                <w:rFonts w:cs="Times New Roman"/>
                <w:b/>
                <w:bCs/>
                <w:color w:val="000000"/>
                <w:sz w:val="20"/>
                <w:szCs w:val="20"/>
              </w:rPr>
            </w:pPr>
            <w:r w:rsidRPr="00DA11E4">
              <w:rPr>
                <w:rFonts w:cs="Times New Roman"/>
                <w:b/>
                <w:bCs/>
                <w:color w:val="000000"/>
                <w:sz w:val="20"/>
                <w:szCs w:val="20"/>
              </w:rPr>
              <w:t xml:space="preserve">Faktiski nepieciešamais finansējums antigēnu testēšanai 2021.gada decembrī, </w:t>
            </w:r>
            <w:proofErr w:type="spellStart"/>
            <w:r w:rsidRPr="00DA11E4">
              <w:rPr>
                <w:rFonts w:cs="Times New Roman"/>
                <w:b/>
                <w:bCs/>
                <w:color w:val="000000"/>
                <w:sz w:val="20"/>
                <w:szCs w:val="20"/>
              </w:rPr>
              <w:t>euro</w:t>
            </w:r>
            <w:proofErr w:type="spellEnd"/>
          </w:p>
        </w:tc>
        <w:tc>
          <w:tcPr>
            <w:tcW w:w="1329" w:type="dxa"/>
            <w:tcBorders>
              <w:top w:val="single" w:sz="4" w:space="0" w:color="auto"/>
              <w:left w:val="single" w:sz="4" w:space="0" w:color="auto"/>
              <w:bottom w:val="single" w:sz="4" w:space="0" w:color="auto"/>
              <w:right w:val="single" w:sz="4" w:space="0" w:color="auto"/>
            </w:tcBorders>
            <w:vAlign w:val="center"/>
          </w:tcPr>
          <w:p w14:paraId="31148ADB" w14:textId="19832ADE" w:rsidR="00056BD6" w:rsidRPr="00DA11E4" w:rsidRDefault="00056BD6" w:rsidP="00BF19F0">
            <w:pPr>
              <w:ind w:firstLine="0"/>
              <w:jc w:val="center"/>
              <w:rPr>
                <w:rFonts w:cs="Times New Roman"/>
                <w:b/>
                <w:bCs/>
                <w:color w:val="000000"/>
                <w:sz w:val="20"/>
                <w:szCs w:val="20"/>
              </w:rPr>
            </w:pPr>
            <w:r w:rsidRPr="00DA11E4">
              <w:rPr>
                <w:rFonts w:cs="Times New Roman"/>
                <w:b/>
                <w:bCs/>
                <w:color w:val="000000"/>
                <w:sz w:val="20"/>
                <w:szCs w:val="20"/>
              </w:rPr>
              <w:t>Faktiski nepieciešamais finansējums antigēnu testēšanai</w:t>
            </w:r>
            <w:r w:rsidR="009A72F3" w:rsidRPr="00DA11E4">
              <w:rPr>
                <w:rFonts w:cs="Times New Roman"/>
                <w:b/>
                <w:bCs/>
                <w:color w:val="000000"/>
                <w:sz w:val="20"/>
                <w:szCs w:val="20"/>
              </w:rPr>
              <w:t xml:space="preserve"> no </w:t>
            </w:r>
            <w:r w:rsidRPr="00DA11E4">
              <w:rPr>
                <w:rFonts w:cs="Times New Roman"/>
                <w:b/>
                <w:bCs/>
                <w:color w:val="000000"/>
                <w:sz w:val="20"/>
                <w:szCs w:val="20"/>
              </w:rPr>
              <w:t xml:space="preserve"> 202</w:t>
            </w:r>
            <w:r w:rsidR="009A72F3" w:rsidRPr="00DA11E4">
              <w:rPr>
                <w:rFonts w:cs="Times New Roman"/>
                <w:b/>
                <w:bCs/>
                <w:color w:val="000000"/>
                <w:sz w:val="20"/>
                <w:szCs w:val="20"/>
              </w:rPr>
              <w:t>2</w:t>
            </w:r>
            <w:r w:rsidRPr="00DA11E4">
              <w:rPr>
                <w:rFonts w:cs="Times New Roman"/>
                <w:b/>
                <w:bCs/>
                <w:color w:val="000000"/>
                <w:sz w:val="20"/>
                <w:szCs w:val="20"/>
              </w:rPr>
              <w:t>.gada</w:t>
            </w:r>
            <w:r w:rsidR="009A72F3" w:rsidRPr="00DA11E4">
              <w:rPr>
                <w:rFonts w:cs="Times New Roman"/>
                <w:b/>
                <w:bCs/>
                <w:color w:val="000000"/>
                <w:sz w:val="20"/>
                <w:szCs w:val="20"/>
              </w:rPr>
              <w:t xml:space="preserve"> 1.janvāra līdz 2022.gada 11.janvārim</w:t>
            </w:r>
            <w:r w:rsidRPr="00DA11E4">
              <w:rPr>
                <w:rFonts w:cs="Times New Roman"/>
                <w:b/>
                <w:bCs/>
                <w:color w:val="000000"/>
                <w:sz w:val="20"/>
                <w:szCs w:val="20"/>
              </w:rPr>
              <w:t xml:space="preserve">, </w:t>
            </w:r>
            <w:proofErr w:type="spellStart"/>
            <w:r w:rsidRPr="00DA11E4">
              <w:rPr>
                <w:rFonts w:cs="Times New Roman"/>
                <w:b/>
                <w:bCs/>
                <w:color w:val="000000"/>
                <w:sz w:val="20"/>
                <w:szCs w:val="20"/>
              </w:rPr>
              <w:t>euro</w:t>
            </w:r>
            <w:proofErr w:type="spellEnd"/>
          </w:p>
        </w:tc>
      </w:tr>
      <w:tr w:rsidR="00056BD6" w:rsidRPr="00DA11E4" w14:paraId="17FBEA7B" w14:textId="7C1FAEF9" w:rsidTr="002766B2">
        <w:trPr>
          <w:trHeight w:val="315"/>
          <w:jc w:val="center"/>
        </w:trPr>
        <w:tc>
          <w:tcPr>
            <w:tcW w:w="140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0ED6FD1" w14:textId="6C7736D3"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Sekundārā veselības aprūpe</w:t>
            </w:r>
          </w:p>
        </w:tc>
        <w:tc>
          <w:tcPr>
            <w:tcW w:w="15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E7630A" w14:textId="2BCA88C2" w:rsidR="00056BD6" w:rsidRPr="00DA11E4" w:rsidRDefault="00804ED8" w:rsidP="00056BD6">
            <w:pPr>
              <w:ind w:firstLine="0"/>
              <w:jc w:val="center"/>
              <w:rPr>
                <w:rFonts w:cs="Times New Roman"/>
                <w:color w:val="000000"/>
                <w:sz w:val="20"/>
                <w:szCs w:val="20"/>
                <w:lang w:eastAsia="lv-LV"/>
              </w:rPr>
            </w:pPr>
            <w:r w:rsidRPr="00DA11E4">
              <w:rPr>
                <w:rFonts w:cs="Times New Roman"/>
                <w:color w:val="000000"/>
                <w:sz w:val="20"/>
                <w:szCs w:val="20"/>
                <w:lang w:eastAsia="lv-LV"/>
              </w:rPr>
              <w:t>554 774</w:t>
            </w:r>
          </w:p>
        </w:tc>
        <w:tc>
          <w:tcPr>
            <w:tcW w:w="1327" w:type="dxa"/>
            <w:tcBorders>
              <w:top w:val="single" w:sz="4" w:space="0" w:color="auto"/>
              <w:left w:val="single" w:sz="4" w:space="0" w:color="auto"/>
              <w:bottom w:val="single" w:sz="4" w:space="0" w:color="auto"/>
              <w:right w:val="single" w:sz="4" w:space="0" w:color="auto"/>
            </w:tcBorders>
            <w:vAlign w:val="center"/>
          </w:tcPr>
          <w:p w14:paraId="5CEDF5A2" w14:textId="13ED4110" w:rsidR="00056BD6" w:rsidRPr="00DA11E4" w:rsidRDefault="00804ED8" w:rsidP="00056BD6">
            <w:pPr>
              <w:ind w:firstLine="0"/>
              <w:jc w:val="center"/>
              <w:rPr>
                <w:rFonts w:cs="Times New Roman"/>
                <w:color w:val="000000"/>
                <w:sz w:val="20"/>
                <w:szCs w:val="20"/>
                <w:lang w:eastAsia="lv-LV"/>
              </w:rPr>
            </w:pPr>
            <w:r w:rsidRPr="00DA11E4">
              <w:rPr>
                <w:rFonts w:cs="Times New Roman"/>
                <w:color w:val="000000"/>
                <w:sz w:val="20"/>
                <w:szCs w:val="20"/>
                <w:lang w:eastAsia="lv-LV"/>
              </w:rPr>
              <w:t>196 856</w:t>
            </w:r>
          </w:p>
        </w:tc>
        <w:tc>
          <w:tcPr>
            <w:tcW w:w="8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ACF66B9" w14:textId="562B79D6"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4.43</w:t>
            </w:r>
          </w:p>
        </w:tc>
        <w:tc>
          <w:tcPr>
            <w:tcW w:w="159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A4BD38" w14:textId="0FE5BA56" w:rsidR="00056BD6" w:rsidRPr="00DA11E4" w:rsidRDefault="00804ED8" w:rsidP="00056BD6">
            <w:pPr>
              <w:ind w:firstLine="0"/>
              <w:jc w:val="center"/>
              <w:rPr>
                <w:rFonts w:cs="Times New Roman"/>
                <w:color w:val="000000"/>
                <w:sz w:val="20"/>
                <w:szCs w:val="20"/>
                <w:lang w:eastAsia="lv-LV"/>
              </w:rPr>
            </w:pPr>
            <w:r w:rsidRPr="00DA11E4">
              <w:rPr>
                <w:rFonts w:cs="Times New Roman"/>
                <w:color w:val="000000"/>
                <w:sz w:val="20"/>
                <w:szCs w:val="20"/>
                <w:lang w:eastAsia="lv-LV"/>
              </w:rPr>
              <w:t>2 457 649</w:t>
            </w:r>
          </w:p>
        </w:tc>
        <w:tc>
          <w:tcPr>
            <w:tcW w:w="1287" w:type="dxa"/>
            <w:tcBorders>
              <w:top w:val="single" w:sz="4" w:space="0" w:color="auto"/>
              <w:left w:val="single" w:sz="4" w:space="0" w:color="auto"/>
              <w:bottom w:val="single" w:sz="4" w:space="0" w:color="auto"/>
              <w:right w:val="single" w:sz="4" w:space="0" w:color="auto"/>
            </w:tcBorders>
            <w:vAlign w:val="center"/>
          </w:tcPr>
          <w:p w14:paraId="14F291FA" w14:textId="7B2A3F91" w:rsidR="00056BD6" w:rsidRPr="00DA11E4" w:rsidRDefault="00804ED8" w:rsidP="00056BD6">
            <w:pPr>
              <w:ind w:firstLine="0"/>
              <w:jc w:val="center"/>
              <w:rPr>
                <w:rFonts w:cs="Times New Roman"/>
                <w:color w:val="000000"/>
                <w:sz w:val="20"/>
                <w:szCs w:val="20"/>
                <w:lang w:eastAsia="lv-LV"/>
              </w:rPr>
            </w:pPr>
            <w:r w:rsidRPr="00DA11E4">
              <w:rPr>
                <w:rFonts w:cs="Times New Roman"/>
                <w:color w:val="000000"/>
                <w:sz w:val="20"/>
                <w:szCs w:val="20"/>
                <w:lang w:eastAsia="lv-LV"/>
              </w:rPr>
              <w:t>2 457 649</w:t>
            </w:r>
          </w:p>
        </w:tc>
        <w:tc>
          <w:tcPr>
            <w:tcW w:w="1329" w:type="dxa"/>
            <w:tcBorders>
              <w:top w:val="single" w:sz="4" w:space="0" w:color="auto"/>
              <w:left w:val="single" w:sz="4" w:space="0" w:color="auto"/>
              <w:bottom w:val="single" w:sz="4" w:space="0" w:color="auto"/>
              <w:right w:val="single" w:sz="4" w:space="0" w:color="auto"/>
            </w:tcBorders>
            <w:vAlign w:val="center"/>
          </w:tcPr>
          <w:p w14:paraId="6688883B" w14:textId="1ED5A513" w:rsidR="00056BD6" w:rsidRPr="00DA11E4" w:rsidRDefault="00804ED8" w:rsidP="00056BD6">
            <w:pPr>
              <w:ind w:firstLine="0"/>
              <w:jc w:val="center"/>
              <w:rPr>
                <w:rFonts w:cs="Times New Roman"/>
                <w:color w:val="000000"/>
                <w:sz w:val="20"/>
                <w:szCs w:val="20"/>
                <w:lang w:eastAsia="lv-LV"/>
              </w:rPr>
            </w:pPr>
            <w:r w:rsidRPr="00DA11E4">
              <w:rPr>
                <w:rFonts w:cs="Times New Roman"/>
                <w:color w:val="000000"/>
                <w:sz w:val="20"/>
                <w:szCs w:val="20"/>
                <w:lang w:eastAsia="lv-LV"/>
              </w:rPr>
              <w:t>872 072</w:t>
            </w:r>
          </w:p>
        </w:tc>
      </w:tr>
      <w:tr w:rsidR="00056BD6" w:rsidRPr="00DA11E4" w14:paraId="11DCFF7A" w14:textId="1EDF305A" w:rsidTr="002766B2">
        <w:trPr>
          <w:trHeight w:val="315"/>
          <w:jc w:val="center"/>
        </w:trPr>
        <w:tc>
          <w:tcPr>
            <w:tcW w:w="140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5F420E" w14:textId="252FEEA7"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Ģimenes ārstu prakses</w:t>
            </w:r>
          </w:p>
        </w:tc>
        <w:tc>
          <w:tcPr>
            <w:tcW w:w="15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75F6F6" w14:textId="61A8A1BB"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593 330</w:t>
            </w:r>
          </w:p>
        </w:tc>
        <w:tc>
          <w:tcPr>
            <w:tcW w:w="1327" w:type="dxa"/>
            <w:tcBorders>
              <w:top w:val="single" w:sz="4" w:space="0" w:color="auto"/>
              <w:left w:val="single" w:sz="4" w:space="0" w:color="auto"/>
              <w:bottom w:val="single" w:sz="4" w:space="0" w:color="auto"/>
              <w:right w:val="single" w:sz="4" w:space="0" w:color="auto"/>
            </w:tcBorders>
            <w:vAlign w:val="center"/>
          </w:tcPr>
          <w:p w14:paraId="6EDD1E23" w14:textId="00B61924"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210 537</w:t>
            </w:r>
          </w:p>
        </w:tc>
        <w:tc>
          <w:tcPr>
            <w:tcW w:w="8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904070" w14:textId="2FF54176"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4.43</w:t>
            </w:r>
          </w:p>
        </w:tc>
        <w:tc>
          <w:tcPr>
            <w:tcW w:w="159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04F94F" w14:textId="023AF8B7"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2 628 452</w:t>
            </w:r>
          </w:p>
        </w:tc>
        <w:tc>
          <w:tcPr>
            <w:tcW w:w="1287" w:type="dxa"/>
            <w:tcBorders>
              <w:top w:val="single" w:sz="4" w:space="0" w:color="auto"/>
              <w:left w:val="single" w:sz="4" w:space="0" w:color="auto"/>
              <w:bottom w:val="single" w:sz="4" w:space="0" w:color="auto"/>
              <w:right w:val="single" w:sz="4" w:space="0" w:color="auto"/>
            </w:tcBorders>
            <w:vAlign w:val="center"/>
          </w:tcPr>
          <w:p w14:paraId="28F0E389" w14:textId="0111118E"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2 628 452</w:t>
            </w:r>
          </w:p>
        </w:tc>
        <w:tc>
          <w:tcPr>
            <w:tcW w:w="1329" w:type="dxa"/>
            <w:tcBorders>
              <w:top w:val="single" w:sz="4" w:space="0" w:color="auto"/>
              <w:left w:val="single" w:sz="4" w:space="0" w:color="auto"/>
              <w:bottom w:val="single" w:sz="4" w:space="0" w:color="auto"/>
              <w:right w:val="single" w:sz="4" w:space="0" w:color="auto"/>
            </w:tcBorders>
            <w:vAlign w:val="center"/>
          </w:tcPr>
          <w:p w14:paraId="734EBC44" w14:textId="273231AB" w:rsidR="00056BD6" w:rsidRPr="00DA11E4" w:rsidRDefault="009A72F3" w:rsidP="00056BD6">
            <w:pPr>
              <w:ind w:firstLine="0"/>
              <w:jc w:val="center"/>
              <w:rPr>
                <w:rFonts w:cs="Times New Roman"/>
                <w:color w:val="000000"/>
                <w:sz w:val="20"/>
                <w:szCs w:val="20"/>
                <w:lang w:eastAsia="lv-LV"/>
              </w:rPr>
            </w:pPr>
            <w:r w:rsidRPr="00DA11E4">
              <w:rPr>
                <w:rFonts w:cs="Times New Roman"/>
                <w:color w:val="000000"/>
                <w:sz w:val="20"/>
                <w:szCs w:val="20"/>
                <w:lang w:eastAsia="lv-LV"/>
              </w:rPr>
              <w:t>932 6</w:t>
            </w:r>
            <w:r w:rsidR="007D3C7E" w:rsidRPr="00DA11E4">
              <w:rPr>
                <w:rFonts w:cs="Times New Roman"/>
                <w:color w:val="000000"/>
                <w:sz w:val="20"/>
                <w:szCs w:val="20"/>
                <w:lang w:eastAsia="lv-LV"/>
              </w:rPr>
              <w:t>7</w:t>
            </w:r>
            <w:r w:rsidRPr="00DA11E4">
              <w:rPr>
                <w:rFonts w:cs="Times New Roman"/>
                <w:color w:val="000000"/>
                <w:sz w:val="20"/>
                <w:szCs w:val="20"/>
                <w:lang w:eastAsia="lv-LV"/>
              </w:rPr>
              <w:t>9</w:t>
            </w:r>
          </w:p>
        </w:tc>
      </w:tr>
      <w:tr w:rsidR="00056BD6" w:rsidRPr="00DA11E4" w14:paraId="0CC3E360" w14:textId="6CE9185D" w:rsidTr="00066325">
        <w:trPr>
          <w:trHeight w:val="315"/>
          <w:jc w:val="center"/>
        </w:trPr>
        <w:tc>
          <w:tcPr>
            <w:tcW w:w="140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628508C" w14:textId="77777777"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Zobārstniecība</w:t>
            </w:r>
          </w:p>
        </w:tc>
        <w:tc>
          <w:tcPr>
            <w:tcW w:w="15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3A6DBEE" w14:textId="56553E9C"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40 234</w:t>
            </w:r>
          </w:p>
        </w:tc>
        <w:tc>
          <w:tcPr>
            <w:tcW w:w="1327" w:type="dxa"/>
            <w:tcBorders>
              <w:top w:val="single" w:sz="4" w:space="0" w:color="auto"/>
              <w:left w:val="single" w:sz="4" w:space="0" w:color="auto"/>
              <w:bottom w:val="single" w:sz="4" w:space="0" w:color="auto"/>
              <w:right w:val="single" w:sz="4" w:space="0" w:color="auto"/>
            </w:tcBorders>
            <w:vAlign w:val="center"/>
          </w:tcPr>
          <w:p w14:paraId="76FD5C16" w14:textId="45A94FAA"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14 277</w:t>
            </w:r>
          </w:p>
        </w:tc>
        <w:tc>
          <w:tcPr>
            <w:tcW w:w="8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5027D5" w14:textId="090A9B88"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4.43</w:t>
            </w:r>
          </w:p>
        </w:tc>
        <w:tc>
          <w:tcPr>
            <w:tcW w:w="159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14DF37" w14:textId="41500652"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178 237</w:t>
            </w:r>
          </w:p>
        </w:tc>
        <w:tc>
          <w:tcPr>
            <w:tcW w:w="1287" w:type="dxa"/>
            <w:tcBorders>
              <w:top w:val="single" w:sz="4" w:space="0" w:color="auto"/>
              <w:left w:val="single" w:sz="4" w:space="0" w:color="auto"/>
              <w:bottom w:val="single" w:sz="4" w:space="0" w:color="auto"/>
              <w:right w:val="single" w:sz="4" w:space="0" w:color="auto"/>
            </w:tcBorders>
            <w:vAlign w:val="center"/>
          </w:tcPr>
          <w:p w14:paraId="3E3B83FE" w14:textId="67F50F86" w:rsidR="00056BD6" w:rsidRPr="00DA11E4" w:rsidRDefault="00056BD6" w:rsidP="00056BD6">
            <w:pPr>
              <w:ind w:firstLine="0"/>
              <w:jc w:val="center"/>
              <w:rPr>
                <w:rFonts w:cs="Times New Roman"/>
                <w:color w:val="000000"/>
                <w:sz w:val="20"/>
                <w:szCs w:val="20"/>
                <w:lang w:eastAsia="lv-LV"/>
              </w:rPr>
            </w:pPr>
            <w:r w:rsidRPr="00DA11E4">
              <w:rPr>
                <w:rFonts w:cs="Times New Roman"/>
                <w:color w:val="000000"/>
                <w:sz w:val="20"/>
                <w:szCs w:val="20"/>
                <w:lang w:eastAsia="lv-LV"/>
              </w:rPr>
              <w:t>178 237</w:t>
            </w:r>
          </w:p>
        </w:tc>
        <w:tc>
          <w:tcPr>
            <w:tcW w:w="1329" w:type="dxa"/>
            <w:tcBorders>
              <w:top w:val="single" w:sz="4" w:space="0" w:color="auto"/>
              <w:left w:val="single" w:sz="4" w:space="0" w:color="auto"/>
              <w:bottom w:val="single" w:sz="4" w:space="0" w:color="auto"/>
              <w:right w:val="single" w:sz="4" w:space="0" w:color="auto"/>
            </w:tcBorders>
            <w:vAlign w:val="center"/>
          </w:tcPr>
          <w:p w14:paraId="4558ABE2" w14:textId="3B6B2F4B" w:rsidR="00056BD6" w:rsidRPr="00DA11E4" w:rsidRDefault="009A72F3" w:rsidP="00056BD6">
            <w:pPr>
              <w:ind w:firstLine="0"/>
              <w:jc w:val="center"/>
              <w:rPr>
                <w:rFonts w:cs="Times New Roman"/>
                <w:color w:val="000000"/>
                <w:sz w:val="20"/>
                <w:szCs w:val="20"/>
                <w:lang w:eastAsia="lv-LV"/>
              </w:rPr>
            </w:pPr>
            <w:r w:rsidRPr="00DA11E4">
              <w:rPr>
                <w:rFonts w:cs="Times New Roman"/>
                <w:color w:val="000000"/>
                <w:sz w:val="20"/>
                <w:szCs w:val="20"/>
                <w:lang w:eastAsia="lv-LV"/>
              </w:rPr>
              <w:t>63 247</w:t>
            </w:r>
          </w:p>
        </w:tc>
      </w:tr>
      <w:tr w:rsidR="004237DF" w:rsidRPr="00DA11E4" w14:paraId="3573FBA8" w14:textId="5F73E020" w:rsidTr="002766B2">
        <w:trPr>
          <w:trHeight w:val="315"/>
          <w:jc w:val="center"/>
        </w:trPr>
        <w:tc>
          <w:tcPr>
            <w:tcW w:w="5119" w:type="dxa"/>
            <w:gridSpan w:val="4"/>
            <w:tcBorders>
              <w:top w:val="single" w:sz="4" w:space="0" w:color="auto"/>
              <w:left w:val="single" w:sz="4" w:space="0" w:color="auto"/>
              <w:bottom w:val="single" w:sz="4" w:space="0" w:color="auto"/>
              <w:right w:val="single" w:sz="4" w:space="0" w:color="auto"/>
            </w:tcBorders>
            <w:vAlign w:val="center"/>
          </w:tcPr>
          <w:p w14:paraId="51F69BA9" w14:textId="3373E9BE" w:rsidR="004237DF" w:rsidRPr="00DA11E4" w:rsidRDefault="004237DF" w:rsidP="004237DF">
            <w:pPr>
              <w:ind w:firstLine="0"/>
              <w:jc w:val="right"/>
              <w:rPr>
                <w:rFonts w:cs="Times New Roman"/>
                <w:b/>
                <w:bCs/>
                <w:color w:val="000000"/>
                <w:sz w:val="20"/>
                <w:szCs w:val="20"/>
                <w:lang w:eastAsia="lv-LV"/>
              </w:rPr>
            </w:pPr>
            <w:r w:rsidRPr="00DA11E4">
              <w:rPr>
                <w:rFonts w:cs="Times New Roman"/>
                <w:b/>
                <w:bCs/>
                <w:color w:val="000000"/>
                <w:sz w:val="20"/>
                <w:szCs w:val="20"/>
                <w:lang w:eastAsia="lv-LV"/>
              </w:rPr>
              <w:t>KOPĀ, EUR</w:t>
            </w:r>
          </w:p>
        </w:tc>
        <w:tc>
          <w:tcPr>
            <w:tcW w:w="159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BE8EAA" w14:textId="550D82E2" w:rsidR="004237DF" w:rsidRPr="00DA11E4" w:rsidRDefault="00804ED8" w:rsidP="00BF19F0">
            <w:pPr>
              <w:ind w:firstLine="0"/>
              <w:jc w:val="center"/>
              <w:rPr>
                <w:rFonts w:cs="Times New Roman"/>
                <w:b/>
                <w:bCs/>
                <w:color w:val="000000"/>
                <w:sz w:val="20"/>
                <w:szCs w:val="20"/>
                <w:lang w:eastAsia="lv-LV"/>
              </w:rPr>
            </w:pPr>
            <w:r w:rsidRPr="00DA11E4">
              <w:rPr>
                <w:rFonts w:cs="Times New Roman"/>
                <w:b/>
                <w:bCs/>
                <w:color w:val="000000"/>
                <w:sz w:val="20"/>
                <w:szCs w:val="20"/>
                <w:lang w:eastAsia="lv-LV"/>
              </w:rPr>
              <w:t>5</w:t>
            </w:r>
            <w:r w:rsidR="007D3C7E" w:rsidRPr="00DA11E4">
              <w:rPr>
                <w:rFonts w:cs="Times New Roman"/>
                <w:b/>
                <w:bCs/>
                <w:color w:val="000000"/>
                <w:sz w:val="20"/>
                <w:szCs w:val="20"/>
                <w:lang w:eastAsia="lv-LV"/>
              </w:rPr>
              <w:t> 264 338</w:t>
            </w:r>
          </w:p>
        </w:tc>
        <w:tc>
          <w:tcPr>
            <w:tcW w:w="1287" w:type="dxa"/>
            <w:tcBorders>
              <w:top w:val="single" w:sz="4" w:space="0" w:color="auto"/>
              <w:left w:val="single" w:sz="4" w:space="0" w:color="auto"/>
              <w:bottom w:val="single" w:sz="4" w:space="0" w:color="auto"/>
              <w:right w:val="single" w:sz="4" w:space="0" w:color="auto"/>
            </w:tcBorders>
            <w:vAlign w:val="center"/>
          </w:tcPr>
          <w:p w14:paraId="1B30F148" w14:textId="7A37761D" w:rsidR="004237DF" w:rsidRPr="00DA11E4" w:rsidRDefault="007D3C7E" w:rsidP="00070402">
            <w:pPr>
              <w:ind w:firstLine="0"/>
              <w:jc w:val="center"/>
              <w:rPr>
                <w:rFonts w:cs="Times New Roman"/>
                <w:b/>
                <w:bCs/>
                <w:color w:val="000000"/>
                <w:sz w:val="20"/>
                <w:szCs w:val="20"/>
                <w:lang w:eastAsia="lv-LV"/>
              </w:rPr>
            </w:pPr>
            <w:r w:rsidRPr="00DA11E4">
              <w:rPr>
                <w:rFonts w:cs="Times New Roman"/>
                <w:b/>
                <w:bCs/>
                <w:color w:val="000000"/>
                <w:sz w:val="20"/>
                <w:szCs w:val="20"/>
                <w:lang w:eastAsia="lv-LV"/>
              </w:rPr>
              <w:t>5 264 338</w:t>
            </w:r>
          </w:p>
        </w:tc>
        <w:tc>
          <w:tcPr>
            <w:tcW w:w="1329" w:type="dxa"/>
            <w:tcBorders>
              <w:top w:val="single" w:sz="4" w:space="0" w:color="auto"/>
              <w:left w:val="single" w:sz="4" w:space="0" w:color="auto"/>
              <w:bottom w:val="single" w:sz="4" w:space="0" w:color="auto"/>
              <w:right w:val="single" w:sz="4" w:space="0" w:color="auto"/>
            </w:tcBorders>
            <w:vAlign w:val="center"/>
          </w:tcPr>
          <w:p w14:paraId="7B6A0E61" w14:textId="1E7A77A4" w:rsidR="004237DF" w:rsidRPr="00DA11E4" w:rsidRDefault="007D3C7E" w:rsidP="00BF19F0">
            <w:pPr>
              <w:ind w:firstLine="0"/>
              <w:jc w:val="center"/>
              <w:rPr>
                <w:rFonts w:cs="Times New Roman"/>
                <w:b/>
                <w:bCs/>
                <w:color w:val="000000"/>
                <w:sz w:val="20"/>
                <w:szCs w:val="20"/>
                <w:lang w:eastAsia="lv-LV"/>
              </w:rPr>
            </w:pPr>
            <w:r w:rsidRPr="00DA11E4">
              <w:rPr>
                <w:rFonts w:cs="Times New Roman"/>
                <w:b/>
                <w:bCs/>
                <w:color w:val="000000"/>
                <w:sz w:val="20"/>
                <w:szCs w:val="20"/>
                <w:lang w:eastAsia="lv-LV"/>
              </w:rPr>
              <w:t>1 867 998</w:t>
            </w:r>
          </w:p>
        </w:tc>
      </w:tr>
    </w:tbl>
    <w:p w14:paraId="3FBB3DCC" w14:textId="5024FA9F" w:rsidR="004B6955" w:rsidRPr="00DA11E4" w:rsidRDefault="00B86D11" w:rsidP="00B86D11">
      <w:pPr>
        <w:ind w:firstLine="0"/>
      </w:pPr>
      <w:r w:rsidRPr="00DA11E4">
        <w:tab/>
      </w:r>
    </w:p>
    <w:p w14:paraId="2094A434" w14:textId="77777777" w:rsidR="00113EBC" w:rsidRPr="00DA11E4" w:rsidRDefault="005F436A" w:rsidP="005F436A">
      <w:pPr>
        <w:ind w:firstLine="720"/>
      </w:pPr>
      <w:r w:rsidRPr="00DA11E4">
        <w:t xml:space="preserve">Epidemioloģiskai situācijai turpinot pasliktināties, turpināsies jau tā nekontrolējamā Covid-19 izplatība sabiedrībā. Vēl vairāk ierobežojot veselības aprūpes pakalpojumu saņemšanu nākotnē var pieaugt </w:t>
      </w:r>
      <w:proofErr w:type="spellStart"/>
      <w:r w:rsidRPr="00DA11E4">
        <w:t>neinfekciju</w:t>
      </w:r>
      <w:proofErr w:type="spellEnd"/>
      <w:r w:rsidRPr="00DA11E4">
        <w:t xml:space="preserve"> slimību izplatība un iepriekš novēršamo nāves gadījumu skaits. Savukārt neieviešot papildus drošības prasības, lai saņemtu nepieciešamos veselības aprūpes pakalpojumus, pieaugs to Covid-19 inficēto personu skaits, kuras apmeklē ambulatorās ārstniecības iestādēs. Tas palielina risku Covid-19 infekciju izplatīt tālāk, kopumā sekmējot pieaugošo pacientu skaitu stacionārās ārstniecības iestādēs, samazinot iespēju ik katram iedzīvotājam nepieciešamības gadījumā saņemt nepieciešamos veselības aprūpes pakalpojumus, kā arī novērst priekšlaicīgu </w:t>
      </w:r>
      <w:r w:rsidR="00113EBC" w:rsidRPr="00DA11E4">
        <w:t>nāvi</w:t>
      </w:r>
      <w:r w:rsidRPr="00DA11E4">
        <w:t xml:space="preserve">. </w:t>
      </w:r>
    </w:p>
    <w:p w14:paraId="2BE6C447" w14:textId="4C797956" w:rsidR="005F436A" w:rsidRPr="00DA11E4" w:rsidRDefault="005F436A" w:rsidP="005F436A">
      <w:pPr>
        <w:ind w:firstLine="720"/>
      </w:pPr>
      <w:r w:rsidRPr="00DA11E4">
        <w:t>Ja steidzami netiks uzsākta ārstniecības iestāžu apmeklētāju testēšana uz Covid-19, ar laiku var tikt ierobežota arī ambulatoro veselības aprūpes pakalpojumu sniegšana, kas kopumā veselības aprūpes pakalpojumu</w:t>
      </w:r>
      <w:r w:rsidR="00113EBC" w:rsidRPr="00DA11E4">
        <w:t>s</w:t>
      </w:r>
      <w:r w:rsidRPr="00DA11E4">
        <w:t xml:space="preserve"> valstī padarīs nepieejamus un ietekmēs slimnīcu, jo īpaši uzņemšanas nodaļu noslodzi. Tā pat potenciāli pieaugs arī mirušo iedzīvotāju skaits gan šobrīd - personas, </w:t>
      </w:r>
      <w:r w:rsidRPr="00DA11E4">
        <w:lastRenderedPageBreak/>
        <w:t xml:space="preserve">kuras mirušas no Covid-19 stacionāru pārslodzes dēļ, gan vēlāk - personas, kuras mirs savlaicīgi nediagnosticētu un neārstētu </w:t>
      </w:r>
      <w:proofErr w:type="spellStart"/>
      <w:r w:rsidRPr="00DA11E4">
        <w:t>neinfekciju</w:t>
      </w:r>
      <w:proofErr w:type="spellEnd"/>
      <w:r w:rsidRPr="00DA11E4">
        <w:t xml:space="preserve"> slimības dēļ. Līdz ar to ambulatoro ārstniecības iestāžu apmeklētāju testēšana</w:t>
      </w:r>
      <w:r w:rsidR="00113EBC" w:rsidRPr="00DA11E4">
        <w:t xml:space="preserve">, veselības aprūpes pakalpojumu nepārtrauktības nodrošināšanai, </w:t>
      </w:r>
      <w:r w:rsidRPr="00DA11E4">
        <w:t>esošajā epidemioloģiskajā situācijā uzskatām</w:t>
      </w:r>
      <w:r w:rsidR="00113EBC" w:rsidRPr="00DA11E4">
        <w:t>a</w:t>
      </w:r>
      <w:r w:rsidRPr="00DA11E4">
        <w:t xml:space="preserve"> kā instruments, lai mazinātu arī valsts drošības apdraudējuma risku. </w:t>
      </w:r>
    </w:p>
    <w:p w14:paraId="4F04AA10" w14:textId="77777777" w:rsidR="005F436A" w:rsidRPr="00DA11E4" w:rsidRDefault="005F436A" w:rsidP="005F436A">
      <w:pPr>
        <w:ind w:firstLine="720"/>
      </w:pPr>
      <w:r w:rsidRPr="00DA11E4">
        <w:t xml:space="preserve">Ņemot vērā minēto un pieaugošo ar Covid-19 inficēšanās risku ārstniecības iestādēs, ir nepieciešams rast iespēju antigēnu testa iepirkumiem ļaut piemērot atvieglotas iepirkuma procedūras nosacījumus, lai ārstniecības iestādes pēc iespējas ātrāk uzsāktu apmeklētāju izmeklēšanu pirms veselības aprūpes pakalpojuma saņemšanas. </w:t>
      </w:r>
    </w:p>
    <w:p w14:paraId="35AF94A8" w14:textId="77777777" w:rsidR="005F436A" w:rsidRPr="00DA11E4" w:rsidRDefault="005F436A" w:rsidP="00B86D11">
      <w:pPr>
        <w:ind w:firstLine="0"/>
      </w:pPr>
    </w:p>
    <w:p w14:paraId="3FDBCBE5" w14:textId="77777777" w:rsidR="002766B2" w:rsidRPr="00DA11E4" w:rsidRDefault="002766B2" w:rsidP="002766B2">
      <w:pPr>
        <w:ind w:firstLine="706"/>
        <w:rPr>
          <w:rFonts w:eastAsia="Times New Roman"/>
          <w:szCs w:val="24"/>
          <w:lang w:eastAsia="lv-LV"/>
        </w:rPr>
      </w:pPr>
      <w:r w:rsidRPr="00DA11E4">
        <w:rPr>
          <w:rFonts w:eastAsia="Times New Roman"/>
          <w:szCs w:val="24"/>
          <w:lang w:eastAsia="lv-LV"/>
        </w:rPr>
        <w:t xml:space="preserve">Tā pat izmeklējumu uz Covid-19, izmantojot antigēna testus, plānots ieviests arī Neatliekamās medicīniskās palīdzības dienesta (turpmāk - NMPD) izsaukumos, lai hospitalizācijas gadījumā pacients savlaicīgi  tiktu novirzīts atbilstošā plūsmā. </w:t>
      </w:r>
    </w:p>
    <w:p w14:paraId="79E6362B" w14:textId="4443382C" w:rsidR="002766B2" w:rsidRPr="00DA11E4" w:rsidRDefault="002766B2" w:rsidP="002766B2">
      <w:pPr>
        <w:ind w:firstLine="706"/>
        <w:rPr>
          <w:rFonts w:eastAsia="Times New Roman"/>
          <w:szCs w:val="24"/>
          <w:lang w:eastAsia="lv-LV"/>
        </w:rPr>
      </w:pPr>
      <w:r w:rsidRPr="00DA11E4">
        <w:rPr>
          <w:rFonts w:eastAsia="Times New Roman"/>
          <w:szCs w:val="24"/>
          <w:lang w:eastAsia="lv-LV"/>
        </w:rPr>
        <w:t xml:space="preserve">Ņemot vērā, ka no oktobra sākuma NMPD ir uzsācis izsaukumu </w:t>
      </w:r>
      <w:proofErr w:type="spellStart"/>
      <w:r w:rsidRPr="00DA11E4">
        <w:rPr>
          <w:rFonts w:eastAsia="Times New Roman"/>
          <w:szCs w:val="24"/>
          <w:lang w:eastAsia="lv-LV"/>
        </w:rPr>
        <w:t>prioritizēšanu</w:t>
      </w:r>
      <w:proofErr w:type="spellEnd"/>
      <w:r w:rsidRPr="00DA11E4">
        <w:rPr>
          <w:rFonts w:eastAsia="Times New Roman"/>
          <w:szCs w:val="24"/>
          <w:lang w:eastAsia="lv-LV"/>
        </w:rPr>
        <w:t>, izpildīto izsaukumu skaits pēdējās nedēļas laikā samazinājies un uz š.g. 18. oktobri vidēji diennaktī tiek veikti 1034 izsaukumi</w:t>
      </w:r>
      <w:r w:rsidR="00113EBC" w:rsidRPr="00DA11E4">
        <w:rPr>
          <w:rFonts w:eastAsia="Times New Roman"/>
          <w:szCs w:val="24"/>
          <w:lang w:eastAsia="lv-LV"/>
        </w:rPr>
        <w:t xml:space="preserve"> (skat. 4.attēls)</w:t>
      </w:r>
      <w:r w:rsidRPr="00DA11E4">
        <w:rPr>
          <w:rFonts w:eastAsia="Times New Roman"/>
          <w:szCs w:val="24"/>
          <w:lang w:eastAsia="lv-LV"/>
        </w:rPr>
        <w:t xml:space="preserve">. </w:t>
      </w:r>
    </w:p>
    <w:p w14:paraId="0FB8FEAB" w14:textId="77777777" w:rsidR="002766B2" w:rsidRPr="00DA11E4" w:rsidRDefault="002766B2" w:rsidP="002766B2">
      <w:pPr>
        <w:ind w:firstLine="706"/>
        <w:jc w:val="center"/>
        <w:rPr>
          <w:rFonts w:eastAsia="Times New Roman"/>
          <w:szCs w:val="24"/>
          <w:lang w:eastAsia="lv-LV"/>
        </w:rPr>
      </w:pPr>
      <w:r w:rsidRPr="00DA11E4">
        <w:rPr>
          <w:noProof/>
        </w:rPr>
        <w:drawing>
          <wp:anchor distT="0" distB="0" distL="114300" distR="114300" simplePos="0" relativeHeight="251661312" behindDoc="0" locked="0" layoutInCell="1" allowOverlap="1" wp14:anchorId="470EA117" wp14:editId="1746C753">
            <wp:simplePos x="0" y="0"/>
            <wp:positionH relativeFrom="column">
              <wp:posOffset>58420</wp:posOffset>
            </wp:positionH>
            <wp:positionV relativeFrom="paragraph">
              <wp:posOffset>271780</wp:posOffset>
            </wp:positionV>
            <wp:extent cx="5937885" cy="2814955"/>
            <wp:effectExtent l="0" t="0" r="5715" b="4445"/>
            <wp:wrapSquare wrapText="bothSides"/>
            <wp:docPr id="2" name="Chart 2">
              <a:extLst xmlns:a="http://schemas.openxmlformats.org/drawingml/2006/main">
                <a:ext uri="{FF2B5EF4-FFF2-40B4-BE49-F238E27FC236}">
                  <a16:creationId xmlns:a16="http://schemas.microsoft.com/office/drawing/2014/main" id="{DF293E87-54E4-445A-BCF5-95DD55EB03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7B97573" w14:textId="77777777" w:rsidR="002766B2" w:rsidRPr="00DA11E4" w:rsidRDefault="002766B2" w:rsidP="002766B2">
      <w:pPr>
        <w:ind w:firstLine="706"/>
        <w:rPr>
          <w:rFonts w:eastAsia="Times New Roman"/>
          <w:szCs w:val="24"/>
          <w:lang w:eastAsia="lv-LV"/>
        </w:rPr>
      </w:pPr>
    </w:p>
    <w:p w14:paraId="0527E650" w14:textId="22635017" w:rsidR="002766B2" w:rsidRPr="00DA11E4" w:rsidRDefault="00113EBC" w:rsidP="00113EBC">
      <w:pPr>
        <w:ind w:firstLine="706"/>
        <w:jc w:val="center"/>
        <w:rPr>
          <w:rFonts w:eastAsia="Times New Roman"/>
          <w:b/>
          <w:bCs/>
          <w:sz w:val="22"/>
          <w:lang w:eastAsia="lv-LV"/>
        </w:rPr>
      </w:pPr>
      <w:r w:rsidRPr="00DA11E4">
        <w:rPr>
          <w:rFonts w:eastAsia="Times New Roman"/>
          <w:b/>
          <w:bCs/>
          <w:sz w:val="22"/>
          <w:lang w:eastAsia="lv-LV"/>
        </w:rPr>
        <w:t>4.attēls katru dienu NMPD ienākošie zvani un izpildītie izsaukumi</w:t>
      </w:r>
    </w:p>
    <w:p w14:paraId="762F37C5" w14:textId="7544C37B" w:rsidR="002766B2" w:rsidRPr="00DA11E4" w:rsidRDefault="002766B2" w:rsidP="002766B2">
      <w:pPr>
        <w:ind w:firstLine="706"/>
      </w:pPr>
      <w:r w:rsidRPr="00DA11E4">
        <w:rPr>
          <w:rFonts w:eastAsia="Times New Roman"/>
          <w:szCs w:val="24"/>
          <w:lang w:eastAsia="lv-LV"/>
        </w:rPr>
        <w:t xml:space="preserve">Vienlaikus atzīmējam, ka testēšana tiks organizēta tā, lai </w:t>
      </w:r>
      <w:r w:rsidR="005F436A" w:rsidRPr="00DA11E4">
        <w:rPr>
          <w:rFonts w:eastAsia="Times New Roman"/>
          <w:szCs w:val="24"/>
          <w:lang w:eastAsia="lv-LV"/>
        </w:rPr>
        <w:t>neietekmētu</w:t>
      </w:r>
      <w:r w:rsidRPr="00DA11E4">
        <w:rPr>
          <w:rFonts w:eastAsia="Times New Roman"/>
          <w:szCs w:val="24"/>
          <w:lang w:eastAsia="lv-LV"/>
        </w:rPr>
        <w:t xml:space="preserve"> neatliekamās medicīniskās palīdzības nodrošināšanu pacientam. SARS-CoV-2 vīrusa antigēna tests netiks veikts pacientiem,  kuriem ir apstiprināta SARS-CoV-2 infekcija vai veselības stāvokļa dēļ jebkura papildus kavēšanās var radīt draudus vai kaitēt pacienta dzīvībai/veselībai. Testēšana uz Covid-19 NMPD izsaukuma laikā tiks organizēta un nodrošināta tikai pilngadīgiem pacientiem, kurus plānots nogādāt stacionārajā ārstniecības iestādē un kuri piekrīt manipulācijas veikšanai. </w:t>
      </w:r>
      <w:proofErr w:type="spellStart"/>
      <w:r w:rsidRPr="00DA11E4">
        <w:t>Pirmsslimnīcas</w:t>
      </w:r>
      <w:proofErr w:type="spellEnd"/>
      <w:r w:rsidRPr="00DA11E4">
        <w:t xml:space="preserve"> etapā atkārtots antigēnu tests netiks veikts un pacients nesaņems </w:t>
      </w:r>
      <w:proofErr w:type="spellStart"/>
      <w:r w:rsidRPr="00DA11E4">
        <w:t>sadarbīgspējīgu</w:t>
      </w:r>
      <w:proofErr w:type="spellEnd"/>
      <w:r w:rsidRPr="00DA11E4">
        <w:t xml:space="preserve"> Covid-19 testēšanas sertifikātu pamatojoties uz testa rezultātu.  NMPD operatīvajā medicīniskajā transportlīdzeklī tiks veikts antigēna tests. Testa kasetne tiks ievietota maisiņā, uz kura ar marķieri būs uzrakstīts pacienta vārds, uzvārds, testa veikšanas laiks un rezultāts,   un kopā ar pacientu tiks nodots stacionārās ārstniecības iestādes Uzņemšanas nodaļā. </w:t>
      </w:r>
    </w:p>
    <w:p w14:paraId="1AA54575" w14:textId="17187F4A" w:rsidR="004D0ABF" w:rsidRPr="00DA11E4" w:rsidRDefault="004D0ABF" w:rsidP="004D0ABF">
      <w:pPr>
        <w:ind w:firstLine="720"/>
      </w:pPr>
      <w:r w:rsidRPr="00DA11E4">
        <w:t>Kā jau iepriekš minēts pakalpojumu apmaksa ambulatorās ārstniecības tiek nodrošināta, atbilstoši pakalpojuma apmaksas tarifam. Savukārt NMPD tiek finansēts atšķirīgi, līdz ar to nav iespējams piemērot līdzvērtīgu apmaksas kārtību. Ņemot vērā minēto</w:t>
      </w:r>
      <w:r w:rsidR="002766B2" w:rsidRPr="00DA11E4">
        <w:t>,</w:t>
      </w:r>
      <w:r w:rsidRPr="00DA11E4">
        <w:t xml:space="preserve"> pacientu testēšanai NMPD izsaukumos plānots izmantot antigēna testus no Valsts aizsardzības loģistikas un iepirkumu centra, ievērojot līdzīgu kārtību kā šobrīd tiek organizēta individuālo aizsarglīdzekļu nodrošināšana.</w:t>
      </w:r>
    </w:p>
    <w:p w14:paraId="29775D96" w14:textId="37D1C7B7" w:rsidR="002766B2" w:rsidRPr="00DA11E4" w:rsidRDefault="002766B2" w:rsidP="002766B2">
      <w:pPr>
        <w:ind w:firstLine="720"/>
      </w:pPr>
      <w:r w:rsidRPr="00DA11E4">
        <w:lastRenderedPageBreak/>
        <w:t>Laika posmā no 2021. gada 26. oktobra līdz 19. novembrim NMPD testēšan</w:t>
      </w:r>
      <w:r w:rsidR="00B314F5" w:rsidRPr="00DA11E4">
        <w:t>a tiks nodrošināta</w:t>
      </w:r>
      <w:r w:rsidRPr="00DA11E4">
        <w:t xml:space="preserve"> no SIA “Rīgas Austrumu klīniskā universitātes slimnīca” ziedotajiem </w:t>
      </w:r>
      <w:r w:rsidR="00B314F5" w:rsidRPr="00DA11E4">
        <w:t xml:space="preserve">10 000 gab. </w:t>
      </w:r>
      <w:r w:rsidRPr="00DA11E4">
        <w:t>antigēnu testiem, izmantojot vidēji 400 antigēnu testu dienā, savukārt laika periodā no 2021. gada 20. novembra līdz 2022. gada 11. janvārim NMPD būs nepieciešami 21 600 antigēni testi (vidēji 400 testi dienā atlikušajām 54 dienām), kurus saņems no Valsts aizsardzības loģistikas un iepirkumu centra.</w:t>
      </w:r>
    </w:p>
    <w:p w14:paraId="5514D110" w14:textId="77777777" w:rsidR="004D0ABF" w:rsidRPr="00DA11E4" w:rsidRDefault="004D0ABF" w:rsidP="00B86D11">
      <w:pPr>
        <w:ind w:firstLine="0"/>
      </w:pPr>
    </w:p>
    <w:p w14:paraId="258C3C04" w14:textId="77777777" w:rsidR="008D6973" w:rsidRPr="00DA11E4" w:rsidRDefault="008D6973" w:rsidP="008D6973">
      <w:pPr>
        <w:pStyle w:val="Heading2"/>
        <w:numPr>
          <w:ilvl w:val="0"/>
          <w:numId w:val="1"/>
        </w:numPr>
        <w:tabs>
          <w:tab w:val="num" w:pos="360"/>
        </w:tabs>
        <w:spacing w:before="0" w:line="240" w:lineRule="auto"/>
        <w:ind w:left="0" w:firstLine="720"/>
        <w:rPr>
          <w:rFonts w:cs="Times New Roman"/>
          <w:sz w:val="24"/>
          <w:szCs w:val="24"/>
          <w:shd w:val="clear" w:color="auto" w:fill="FFFFFF"/>
        </w:rPr>
      </w:pPr>
      <w:r w:rsidRPr="00DA11E4">
        <w:rPr>
          <w:rFonts w:cs="Times New Roman"/>
          <w:sz w:val="24"/>
          <w:szCs w:val="24"/>
          <w:shd w:val="clear" w:color="auto" w:fill="FFFFFF"/>
        </w:rPr>
        <w:t>Secinājumi, nepieciešamais finansējums</w:t>
      </w:r>
    </w:p>
    <w:p w14:paraId="6F00B7AF" w14:textId="7E7B1FC2" w:rsidR="00BC69D1" w:rsidRPr="00DA11E4" w:rsidRDefault="00B4177D">
      <w:pPr>
        <w:ind w:firstLine="720"/>
      </w:pPr>
      <w:r w:rsidRPr="00DA11E4">
        <w:t xml:space="preserve">Ņemot vērā epidemioloģiskās situācijas pasliktināšanos, straujš Covid-19 gadījumu skaita pieaugums populācijā, visticamāk tuvākajā </w:t>
      </w:r>
      <w:r w:rsidR="00BC69D1" w:rsidRPr="00DA11E4">
        <w:t xml:space="preserve">laikā </w:t>
      </w:r>
      <w:r w:rsidRPr="00DA11E4">
        <w:t>sekundāri skars arī ārstniecības iestādes</w:t>
      </w:r>
      <w:r w:rsidR="00113EBC" w:rsidRPr="00DA11E4">
        <w:t xml:space="preserve">. Vēl vairāk ierobežota veselības aprūpes pakalpojumu saņemšana var radīt negatīvas sekas nākotnē, t. sk. palielināt potenciāli novēršamo nāves gadījumu skaitu no </w:t>
      </w:r>
      <w:proofErr w:type="spellStart"/>
      <w:r w:rsidR="00113EBC" w:rsidRPr="00DA11E4">
        <w:t>neinfekciju</w:t>
      </w:r>
      <w:proofErr w:type="spellEnd"/>
      <w:r w:rsidR="00113EBC" w:rsidRPr="00DA11E4">
        <w:t xml:space="preserve"> slimībām. L</w:t>
      </w:r>
      <w:r w:rsidRPr="00DA11E4">
        <w:t xml:space="preserve">īdz ar to </w:t>
      </w:r>
      <w:r w:rsidR="00113EBC" w:rsidRPr="00DA11E4">
        <w:t>nepieciešams pēc iespējas ātrāk ieviest papildu epidemioloģiskās drošības prasības ārstniecības iestādēs – ieviešot visu apmeklētāju izmeklēšanu uz Covid-19.</w:t>
      </w:r>
      <w:r w:rsidRPr="00DA11E4">
        <w:t xml:space="preserve"> Vienlaikus atzīmējams ierobežotais ārstniecības personu skaits, kas jau ilgstoši veselības aprūpes pakalpojumu nodrošināšanai ir nepietiekams</w:t>
      </w:r>
      <w:r w:rsidR="00BC69D1" w:rsidRPr="00DA11E4">
        <w:t>, tādējādi ir būtiski samazināt saslimušo vai mājas karantīnā esošo ārstniecības personu skaitu</w:t>
      </w:r>
      <w:r w:rsidRPr="00DA11E4">
        <w:t>.</w:t>
      </w:r>
      <w:r w:rsidR="00BC69D1" w:rsidRPr="00DA11E4">
        <w:t xml:space="preserve"> </w:t>
      </w:r>
    </w:p>
    <w:p w14:paraId="592A389F" w14:textId="04FCD7AE" w:rsidR="00BC69D1" w:rsidRPr="00DA11E4" w:rsidRDefault="00BC69D1" w:rsidP="00BC69D1">
      <w:pPr>
        <w:ind w:firstLine="720"/>
        <w:rPr>
          <w:rFonts w:eastAsia="Times New Roman"/>
          <w:szCs w:val="24"/>
          <w:lang w:eastAsia="lv-LV"/>
        </w:rPr>
      </w:pPr>
      <w:r w:rsidRPr="00DA11E4">
        <w:rPr>
          <w:rFonts w:eastAsia="Times New Roman"/>
          <w:szCs w:val="24"/>
          <w:lang w:eastAsia="lv-LV"/>
        </w:rPr>
        <w:t xml:space="preserve">Ņemot vērā minēto, nepieciešams </w:t>
      </w:r>
      <w:r w:rsidR="00B86D11" w:rsidRPr="00DA11E4">
        <w:rPr>
          <w:rFonts w:eastAsia="Times New Roman"/>
          <w:szCs w:val="24"/>
          <w:lang w:eastAsia="lv-LV"/>
        </w:rPr>
        <w:t xml:space="preserve">ieviest </w:t>
      </w:r>
      <w:r w:rsidRPr="00DA11E4">
        <w:rPr>
          <w:rFonts w:eastAsia="Times New Roman"/>
          <w:szCs w:val="24"/>
          <w:lang w:eastAsia="lv-LV"/>
        </w:rPr>
        <w:t xml:space="preserve">ambulatoro veselības aprūpes pakalpojumu sniegšanu/saņemšanu epidemioloģiski drošā vidē, ko plānots īstenot, nosakot kā obligātu prasību pirms veselības aprūpes pakalpojuma saņemšanas izmeklēt </w:t>
      </w:r>
      <w:r w:rsidR="00B86D11" w:rsidRPr="00DA11E4">
        <w:rPr>
          <w:rFonts w:eastAsia="Times New Roman"/>
          <w:szCs w:val="24"/>
          <w:lang w:eastAsia="lv-LV"/>
        </w:rPr>
        <w:t xml:space="preserve">visus </w:t>
      </w:r>
      <w:r w:rsidRPr="00DA11E4">
        <w:rPr>
          <w:rFonts w:eastAsia="Times New Roman"/>
          <w:szCs w:val="24"/>
          <w:lang w:eastAsia="lv-LV"/>
        </w:rPr>
        <w:t>pacientu</w:t>
      </w:r>
      <w:r w:rsidR="00514DBE" w:rsidRPr="00DA11E4">
        <w:rPr>
          <w:rFonts w:eastAsia="Times New Roman"/>
          <w:szCs w:val="24"/>
          <w:lang w:eastAsia="lv-LV"/>
        </w:rPr>
        <w:t>s</w:t>
      </w:r>
      <w:r w:rsidRPr="00DA11E4">
        <w:rPr>
          <w:rFonts w:eastAsia="Times New Roman"/>
          <w:szCs w:val="24"/>
          <w:lang w:eastAsia="lv-LV"/>
        </w:rPr>
        <w:t xml:space="preserve"> </w:t>
      </w:r>
      <w:r w:rsidR="00B86D11" w:rsidRPr="00DA11E4">
        <w:rPr>
          <w:rFonts w:eastAsia="Times New Roman"/>
          <w:szCs w:val="24"/>
          <w:lang w:eastAsia="lv-LV"/>
        </w:rPr>
        <w:t xml:space="preserve">(ārstniecības iestādes apmeklētājus) </w:t>
      </w:r>
      <w:r w:rsidRPr="00DA11E4">
        <w:rPr>
          <w:rFonts w:eastAsia="Times New Roman"/>
          <w:szCs w:val="24"/>
          <w:lang w:eastAsia="lv-LV"/>
        </w:rPr>
        <w:t>uz Covid-19</w:t>
      </w:r>
      <w:r w:rsidR="00EF78AC" w:rsidRPr="00DA11E4">
        <w:rPr>
          <w:rFonts w:eastAsia="Times New Roman"/>
          <w:szCs w:val="24"/>
          <w:lang w:eastAsia="lv-LV"/>
        </w:rPr>
        <w:t xml:space="preserve">, izmantojot </w:t>
      </w:r>
      <w:r w:rsidRPr="00DA11E4">
        <w:rPr>
          <w:rFonts w:eastAsia="Times New Roman"/>
          <w:szCs w:val="24"/>
          <w:lang w:eastAsia="lv-LV"/>
        </w:rPr>
        <w:t>ātr</w:t>
      </w:r>
      <w:r w:rsidR="00EF78AC" w:rsidRPr="00DA11E4">
        <w:rPr>
          <w:rFonts w:eastAsia="Times New Roman"/>
          <w:szCs w:val="24"/>
          <w:lang w:eastAsia="lv-LV"/>
        </w:rPr>
        <w:t>os</w:t>
      </w:r>
      <w:r w:rsidRPr="00DA11E4">
        <w:rPr>
          <w:rFonts w:eastAsia="Times New Roman"/>
          <w:szCs w:val="24"/>
          <w:lang w:eastAsia="lv-LV"/>
        </w:rPr>
        <w:t xml:space="preserve"> antigēnu test</w:t>
      </w:r>
      <w:r w:rsidR="00EF78AC" w:rsidRPr="00DA11E4">
        <w:rPr>
          <w:rFonts w:eastAsia="Times New Roman"/>
          <w:szCs w:val="24"/>
          <w:lang w:eastAsia="lv-LV"/>
        </w:rPr>
        <w:t>us</w:t>
      </w:r>
      <w:r w:rsidRPr="00DA11E4">
        <w:rPr>
          <w:rFonts w:eastAsia="Times New Roman"/>
          <w:szCs w:val="24"/>
          <w:lang w:eastAsia="lv-LV"/>
        </w:rPr>
        <w:t xml:space="preserve">. Tā pat izmeklējums </w:t>
      </w:r>
      <w:r w:rsidR="00514DBE" w:rsidRPr="00DA11E4">
        <w:rPr>
          <w:rFonts w:eastAsia="Times New Roman"/>
          <w:szCs w:val="24"/>
          <w:lang w:eastAsia="lv-LV"/>
        </w:rPr>
        <w:t>uz Covid-19</w:t>
      </w:r>
      <w:r w:rsidRPr="00DA11E4">
        <w:rPr>
          <w:rFonts w:eastAsia="Times New Roman"/>
          <w:szCs w:val="24"/>
          <w:lang w:eastAsia="lv-LV"/>
        </w:rPr>
        <w:t xml:space="preserve"> </w:t>
      </w:r>
      <w:r w:rsidR="00633FAF" w:rsidRPr="00DA11E4">
        <w:rPr>
          <w:rFonts w:eastAsia="Times New Roman"/>
          <w:szCs w:val="24"/>
          <w:lang w:eastAsia="lv-LV"/>
        </w:rPr>
        <w:t xml:space="preserve">tiktu veikts NMPD </w:t>
      </w:r>
      <w:r w:rsidR="00514DBE" w:rsidRPr="00DA11E4">
        <w:rPr>
          <w:rFonts w:eastAsia="Times New Roman"/>
          <w:szCs w:val="24"/>
          <w:lang w:eastAsia="lv-LV"/>
        </w:rPr>
        <w:t xml:space="preserve">izsaukums </w:t>
      </w:r>
      <w:r w:rsidRPr="00DA11E4">
        <w:rPr>
          <w:rFonts w:eastAsia="Times New Roman"/>
          <w:szCs w:val="24"/>
          <w:lang w:eastAsia="lv-LV"/>
        </w:rPr>
        <w:t xml:space="preserve">ietvaros, tādējādi uzreiz nodrošinot nepieciešamos drošības pasākumus </w:t>
      </w:r>
      <w:r w:rsidR="00EF78AC" w:rsidRPr="00DA11E4">
        <w:rPr>
          <w:rFonts w:eastAsia="Times New Roman"/>
          <w:szCs w:val="24"/>
          <w:lang w:eastAsia="lv-LV"/>
        </w:rPr>
        <w:t>hospitalizācijas gadījumā.</w:t>
      </w:r>
    </w:p>
    <w:p w14:paraId="56B3C995" w14:textId="63D08D2E" w:rsidR="00205BC5" w:rsidRPr="00DA11E4" w:rsidRDefault="00EF78AC" w:rsidP="00BC69D1">
      <w:pPr>
        <w:ind w:firstLine="720"/>
        <w:rPr>
          <w:rFonts w:cs="Times New Roman"/>
          <w:color w:val="000000"/>
          <w:szCs w:val="24"/>
          <w:lang w:eastAsia="lv-LV"/>
        </w:rPr>
      </w:pPr>
      <w:r w:rsidRPr="00DA11E4">
        <w:rPr>
          <w:rFonts w:eastAsia="Times New Roman"/>
          <w:szCs w:val="24"/>
          <w:lang w:eastAsia="lv-LV"/>
        </w:rPr>
        <w:t>Pakalpojumu plānots ieviest no 2021. gada 1.</w:t>
      </w:r>
      <w:r w:rsidR="00633FAF" w:rsidRPr="00DA11E4">
        <w:rPr>
          <w:rFonts w:eastAsia="Times New Roman"/>
          <w:szCs w:val="24"/>
          <w:lang w:eastAsia="lv-LV"/>
        </w:rPr>
        <w:t xml:space="preserve"> </w:t>
      </w:r>
      <w:r w:rsidRPr="00DA11E4">
        <w:rPr>
          <w:rFonts w:eastAsia="Times New Roman"/>
          <w:szCs w:val="24"/>
          <w:lang w:eastAsia="lv-LV"/>
        </w:rPr>
        <w:t>novembra un īstenot visu ārkārtējās situācijas laiku</w:t>
      </w:r>
      <w:r w:rsidR="004237DF" w:rsidRPr="00DA11E4">
        <w:rPr>
          <w:rFonts w:eastAsia="Times New Roman"/>
          <w:szCs w:val="24"/>
          <w:lang w:eastAsia="lv-LV"/>
        </w:rPr>
        <w:t xml:space="preserve"> (līdz 2022.gada 11.janvārim)</w:t>
      </w:r>
      <w:r w:rsidRPr="00DA11E4">
        <w:rPr>
          <w:rFonts w:eastAsia="Times New Roman"/>
          <w:szCs w:val="24"/>
          <w:lang w:eastAsia="lv-LV"/>
        </w:rPr>
        <w:t xml:space="preserve">. Ambulatoro iestāžu apmeklētāju testēšanai </w:t>
      </w:r>
      <w:r w:rsidR="004237DF" w:rsidRPr="00DA11E4">
        <w:rPr>
          <w:rFonts w:eastAsia="Times New Roman"/>
          <w:szCs w:val="24"/>
          <w:lang w:eastAsia="lv-LV"/>
        </w:rPr>
        <w:t>novembrī</w:t>
      </w:r>
      <w:r w:rsidRPr="00DA11E4">
        <w:rPr>
          <w:rFonts w:eastAsia="Times New Roman"/>
          <w:szCs w:val="24"/>
          <w:lang w:eastAsia="lv-LV"/>
        </w:rPr>
        <w:t xml:space="preserve"> nepieciešams novirzīt </w:t>
      </w:r>
      <w:r w:rsidR="007D3C7E" w:rsidRPr="00DA11E4">
        <w:rPr>
          <w:rFonts w:cs="Times New Roman"/>
          <w:color w:val="000000"/>
          <w:szCs w:val="24"/>
          <w:lang w:eastAsia="lv-LV"/>
        </w:rPr>
        <w:t xml:space="preserve">5 264 338 </w:t>
      </w:r>
      <w:proofErr w:type="spellStart"/>
      <w:r w:rsidRPr="00DA11E4">
        <w:rPr>
          <w:rFonts w:cs="Times New Roman"/>
          <w:color w:val="000000"/>
          <w:szCs w:val="24"/>
          <w:lang w:eastAsia="lv-LV"/>
        </w:rPr>
        <w:t>euro</w:t>
      </w:r>
      <w:proofErr w:type="spellEnd"/>
      <w:r w:rsidR="004237DF" w:rsidRPr="00DA11E4">
        <w:rPr>
          <w:rFonts w:cs="Times New Roman"/>
          <w:color w:val="000000"/>
          <w:szCs w:val="24"/>
          <w:lang w:eastAsia="lv-LV"/>
        </w:rPr>
        <w:t xml:space="preserve">, decembrī </w:t>
      </w:r>
      <w:r w:rsidR="004237DF" w:rsidRPr="00DA11E4">
        <w:rPr>
          <w:rFonts w:eastAsia="Times New Roman"/>
          <w:szCs w:val="24"/>
          <w:lang w:eastAsia="lv-LV"/>
        </w:rPr>
        <w:t xml:space="preserve">nepieciešams novirzīt </w:t>
      </w:r>
      <w:r w:rsidR="007D3C7E" w:rsidRPr="00DA11E4">
        <w:rPr>
          <w:rFonts w:cs="Times New Roman"/>
          <w:color w:val="000000"/>
          <w:szCs w:val="24"/>
          <w:lang w:eastAsia="lv-LV"/>
        </w:rPr>
        <w:t xml:space="preserve">5 264 338 </w:t>
      </w:r>
      <w:proofErr w:type="spellStart"/>
      <w:r w:rsidR="004237DF" w:rsidRPr="00DA11E4">
        <w:rPr>
          <w:rFonts w:cs="Times New Roman"/>
          <w:color w:val="000000"/>
          <w:szCs w:val="24"/>
          <w:lang w:eastAsia="lv-LV"/>
        </w:rPr>
        <w:t>euro</w:t>
      </w:r>
      <w:proofErr w:type="spellEnd"/>
      <w:r w:rsidR="004237DF" w:rsidRPr="00DA11E4">
        <w:rPr>
          <w:rFonts w:cs="Times New Roman"/>
          <w:color w:val="000000"/>
          <w:szCs w:val="24"/>
          <w:lang w:eastAsia="lv-LV"/>
        </w:rPr>
        <w:t>, kā arī no 2022.</w:t>
      </w:r>
      <w:r w:rsidR="00633FAF" w:rsidRPr="00DA11E4">
        <w:rPr>
          <w:rFonts w:cs="Times New Roman"/>
          <w:color w:val="000000"/>
          <w:szCs w:val="24"/>
          <w:lang w:eastAsia="lv-LV"/>
        </w:rPr>
        <w:t xml:space="preserve"> </w:t>
      </w:r>
      <w:r w:rsidR="004237DF" w:rsidRPr="00DA11E4">
        <w:rPr>
          <w:rFonts w:cs="Times New Roman"/>
          <w:color w:val="000000"/>
          <w:szCs w:val="24"/>
          <w:lang w:eastAsia="lv-LV"/>
        </w:rPr>
        <w:t>gada 1.</w:t>
      </w:r>
      <w:r w:rsidR="00633FAF" w:rsidRPr="00DA11E4">
        <w:rPr>
          <w:rFonts w:cs="Times New Roman"/>
          <w:color w:val="000000"/>
          <w:szCs w:val="24"/>
          <w:lang w:eastAsia="lv-LV"/>
        </w:rPr>
        <w:t xml:space="preserve"> </w:t>
      </w:r>
      <w:r w:rsidR="004237DF" w:rsidRPr="00DA11E4">
        <w:rPr>
          <w:rFonts w:cs="Times New Roman"/>
          <w:color w:val="000000"/>
          <w:szCs w:val="24"/>
          <w:lang w:eastAsia="lv-LV"/>
        </w:rPr>
        <w:t>janvāra līdz 2022. gada 11.</w:t>
      </w:r>
      <w:r w:rsidR="00633FAF" w:rsidRPr="00DA11E4">
        <w:rPr>
          <w:rFonts w:cs="Times New Roman"/>
          <w:color w:val="000000"/>
          <w:szCs w:val="24"/>
          <w:lang w:eastAsia="lv-LV"/>
        </w:rPr>
        <w:t xml:space="preserve"> </w:t>
      </w:r>
      <w:r w:rsidR="004237DF" w:rsidRPr="00DA11E4">
        <w:rPr>
          <w:rFonts w:cs="Times New Roman"/>
          <w:color w:val="000000"/>
          <w:szCs w:val="24"/>
          <w:lang w:eastAsia="lv-LV"/>
        </w:rPr>
        <w:t xml:space="preserve">janvārim </w:t>
      </w:r>
      <w:r w:rsidR="004237DF" w:rsidRPr="00DA11E4">
        <w:rPr>
          <w:rFonts w:eastAsia="Times New Roman"/>
          <w:szCs w:val="24"/>
          <w:lang w:eastAsia="lv-LV"/>
        </w:rPr>
        <w:t xml:space="preserve">nepieciešams novirzīt </w:t>
      </w:r>
      <w:r w:rsidR="007D3C7E" w:rsidRPr="00DA11E4">
        <w:rPr>
          <w:rFonts w:cs="Times New Roman"/>
          <w:color w:val="000000"/>
          <w:szCs w:val="24"/>
          <w:lang w:eastAsia="lv-LV"/>
        </w:rPr>
        <w:t xml:space="preserve">1 867 998 </w:t>
      </w:r>
      <w:proofErr w:type="spellStart"/>
      <w:r w:rsidR="004237DF" w:rsidRPr="00DA11E4">
        <w:rPr>
          <w:rFonts w:cs="Times New Roman"/>
          <w:color w:val="000000"/>
          <w:szCs w:val="24"/>
          <w:lang w:eastAsia="lv-LV"/>
        </w:rPr>
        <w:t>euro</w:t>
      </w:r>
      <w:proofErr w:type="spellEnd"/>
      <w:r w:rsidRPr="00DA11E4">
        <w:rPr>
          <w:rFonts w:cs="Times New Roman"/>
          <w:color w:val="000000"/>
          <w:szCs w:val="24"/>
          <w:lang w:eastAsia="lv-LV"/>
        </w:rPr>
        <w:t>.</w:t>
      </w:r>
    </w:p>
    <w:p w14:paraId="52C50975" w14:textId="2DD803B3" w:rsidR="00633FAF" w:rsidRPr="00DA11E4" w:rsidRDefault="00633FAF" w:rsidP="00633FAF">
      <w:pPr>
        <w:ind w:firstLine="720"/>
      </w:pPr>
      <w:r w:rsidRPr="00DA11E4">
        <w:t>Savukārt NMPD pacientu testēšanai laika posmā no 2021. gada 26. oktobra līdz 19. novembrim tiks izmantoti SIA “Rīgas Austrumu klīniskā universitātes slimnīca” ziedotie 10 000 gab. antigēnu testi. Laika periodā no 2021. gada 20. novembra līdz 2022. gada 11. janvārim NMPD būs nepieciešami 21 600 antigēni testi (vidēji 400 testi dienā atlikušajām 54 dienām), kurus saņems no Valsts aizsardzības loģistikas un iepirkumu centra.</w:t>
      </w:r>
    </w:p>
    <w:p w14:paraId="7FFAFA8F" w14:textId="4013188A" w:rsidR="004237DF" w:rsidRPr="00DA11E4" w:rsidRDefault="005D3DD2" w:rsidP="004237DF">
      <w:pPr>
        <w:ind w:firstLine="720"/>
        <w:rPr>
          <w:rFonts w:eastAsia="Times New Roman"/>
          <w:szCs w:val="24"/>
          <w:lang w:eastAsia="lv-LV"/>
        </w:rPr>
      </w:pPr>
      <w:r w:rsidRPr="00DA11E4">
        <w:rPr>
          <w:rFonts w:cs="Times New Roman"/>
          <w:color w:val="000000"/>
          <w:szCs w:val="24"/>
          <w:lang w:eastAsia="lv-LV"/>
        </w:rPr>
        <w:t>Informatīvajā ziņojumā iekļautajiem pasākumiem, kas ir radušies saistībā ar antigēnu testēšanas nodrošināšanu ārstniecības iestādēs</w:t>
      </w:r>
      <w:r w:rsidR="004237DF" w:rsidRPr="00DA11E4">
        <w:rPr>
          <w:rFonts w:eastAsia="Times New Roman"/>
          <w:szCs w:val="24"/>
          <w:lang w:eastAsia="lv-LV"/>
        </w:rPr>
        <w:t>, Veselības ministrija normatīvos aktos noteiktā kārtībā sagatav</w:t>
      </w:r>
      <w:r w:rsidR="00633FAF" w:rsidRPr="00DA11E4">
        <w:rPr>
          <w:rFonts w:eastAsia="Times New Roman"/>
          <w:szCs w:val="24"/>
          <w:lang w:eastAsia="lv-LV"/>
        </w:rPr>
        <w:t>os</w:t>
      </w:r>
      <w:r w:rsidR="004237DF" w:rsidRPr="00DA11E4">
        <w:rPr>
          <w:rFonts w:eastAsia="Times New Roman"/>
          <w:szCs w:val="24"/>
          <w:lang w:eastAsia="lv-LV"/>
        </w:rPr>
        <w:t xml:space="preserve"> un iesnieg</w:t>
      </w:r>
      <w:r w:rsidR="00633FAF" w:rsidRPr="00DA11E4">
        <w:rPr>
          <w:rFonts w:eastAsia="Times New Roman"/>
          <w:szCs w:val="24"/>
          <w:lang w:eastAsia="lv-LV"/>
        </w:rPr>
        <w:t>s</w:t>
      </w:r>
      <w:r w:rsidR="004237DF" w:rsidRPr="00DA11E4">
        <w:rPr>
          <w:rFonts w:eastAsia="Times New Roman"/>
          <w:szCs w:val="24"/>
          <w:lang w:eastAsia="lv-LV"/>
        </w:rPr>
        <w:t xml:space="preserve"> izskatīšanai Ministru kabinetā rīkojuma projektu par finanšu līdzekļu piešķiršanu no valsts budžeta programmas 02.00.00 “Līdzekļi neparedzētiem gadījumiem” 2021.</w:t>
      </w:r>
      <w:r w:rsidR="00633FAF" w:rsidRPr="00DA11E4">
        <w:rPr>
          <w:rFonts w:eastAsia="Times New Roman"/>
          <w:szCs w:val="24"/>
          <w:lang w:eastAsia="lv-LV"/>
        </w:rPr>
        <w:t xml:space="preserve"> </w:t>
      </w:r>
      <w:r w:rsidR="004237DF" w:rsidRPr="00DA11E4">
        <w:rPr>
          <w:rFonts w:eastAsia="Times New Roman"/>
          <w:szCs w:val="24"/>
          <w:lang w:eastAsia="lv-LV"/>
        </w:rPr>
        <w:t xml:space="preserve">gadā </w:t>
      </w:r>
      <w:r w:rsidR="007D3C7E" w:rsidRPr="00DA11E4">
        <w:rPr>
          <w:rFonts w:eastAsia="Times New Roman"/>
          <w:szCs w:val="24"/>
          <w:lang w:eastAsia="lv-LV"/>
        </w:rPr>
        <w:t xml:space="preserve">5 264 338 </w:t>
      </w:r>
      <w:proofErr w:type="spellStart"/>
      <w:r w:rsidR="004237DF" w:rsidRPr="00DA11E4">
        <w:rPr>
          <w:rFonts w:eastAsia="Times New Roman"/>
          <w:szCs w:val="24"/>
          <w:lang w:eastAsia="lv-LV"/>
        </w:rPr>
        <w:t>euro</w:t>
      </w:r>
      <w:proofErr w:type="spellEnd"/>
      <w:r w:rsidR="004237DF" w:rsidRPr="00DA11E4">
        <w:rPr>
          <w:rFonts w:eastAsia="Times New Roman"/>
          <w:szCs w:val="24"/>
          <w:lang w:eastAsia="lv-LV"/>
        </w:rPr>
        <w:t xml:space="preserve"> apmērā. Par 2021.</w:t>
      </w:r>
      <w:r w:rsidR="00633FAF" w:rsidRPr="00DA11E4">
        <w:rPr>
          <w:rFonts w:eastAsia="Times New Roman"/>
          <w:szCs w:val="24"/>
          <w:lang w:eastAsia="lv-LV"/>
        </w:rPr>
        <w:t xml:space="preserve"> </w:t>
      </w:r>
      <w:r w:rsidR="004237DF" w:rsidRPr="00DA11E4">
        <w:rPr>
          <w:rFonts w:eastAsia="Times New Roman"/>
          <w:szCs w:val="24"/>
          <w:lang w:eastAsia="lv-LV"/>
        </w:rPr>
        <w:t xml:space="preserve">gada novembri ir veicams avansa norēķins </w:t>
      </w:r>
      <w:r w:rsidR="007D3C7E" w:rsidRPr="00DA11E4">
        <w:rPr>
          <w:rFonts w:eastAsia="Times New Roman"/>
          <w:szCs w:val="24"/>
          <w:lang w:eastAsia="lv-LV"/>
        </w:rPr>
        <w:t xml:space="preserve">5 264 338 </w:t>
      </w:r>
      <w:proofErr w:type="spellStart"/>
      <w:r w:rsidR="004237DF" w:rsidRPr="00DA11E4">
        <w:rPr>
          <w:rFonts w:eastAsia="Times New Roman"/>
          <w:szCs w:val="24"/>
          <w:lang w:eastAsia="lv-LV"/>
        </w:rPr>
        <w:t>euro</w:t>
      </w:r>
      <w:proofErr w:type="spellEnd"/>
      <w:r w:rsidR="004237DF" w:rsidRPr="00DA11E4">
        <w:rPr>
          <w:rFonts w:eastAsia="Times New Roman"/>
          <w:szCs w:val="24"/>
          <w:lang w:eastAsia="lv-LV"/>
        </w:rPr>
        <w:t xml:space="preserve"> apmērā.</w:t>
      </w:r>
    </w:p>
    <w:p w14:paraId="37549D0E" w14:textId="4D7643FC" w:rsidR="004237DF" w:rsidRPr="00DA11E4" w:rsidRDefault="004237DF" w:rsidP="00BC69D1">
      <w:pPr>
        <w:ind w:firstLine="720"/>
        <w:rPr>
          <w:rFonts w:cs="Times New Roman"/>
          <w:color w:val="000000"/>
          <w:szCs w:val="24"/>
          <w:lang w:eastAsia="lv-LV"/>
        </w:rPr>
      </w:pPr>
      <w:r w:rsidRPr="00DA11E4">
        <w:rPr>
          <w:rFonts w:cs="Times New Roman"/>
          <w:color w:val="000000"/>
          <w:szCs w:val="24"/>
          <w:lang w:eastAsia="lv-LV"/>
        </w:rPr>
        <w:t>Informatīvajā ziņojumā iekļautajiem pasākumiem, kas ir radušies saistībā ar antigēnu testēšanas nodrošināšanu ārstniecības iestādēs laika periodā no 2021.</w:t>
      </w:r>
      <w:r w:rsidR="00633FAF" w:rsidRPr="00DA11E4">
        <w:rPr>
          <w:rFonts w:cs="Times New Roman"/>
          <w:color w:val="000000"/>
          <w:szCs w:val="24"/>
          <w:lang w:eastAsia="lv-LV"/>
        </w:rPr>
        <w:t xml:space="preserve"> </w:t>
      </w:r>
      <w:r w:rsidRPr="00DA11E4">
        <w:rPr>
          <w:rFonts w:cs="Times New Roman"/>
          <w:color w:val="000000"/>
          <w:szCs w:val="24"/>
          <w:lang w:eastAsia="lv-LV"/>
        </w:rPr>
        <w:t>gada 1.</w:t>
      </w:r>
      <w:r w:rsidR="00633FAF" w:rsidRPr="00DA11E4">
        <w:rPr>
          <w:rFonts w:cs="Times New Roman"/>
          <w:color w:val="000000"/>
          <w:szCs w:val="24"/>
          <w:lang w:eastAsia="lv-LV"/>
        </w:rPr>
        <w:t xml:space="preserve"> </w:t>
      </w:r>
      <w:r w:rsidRPr="00DA11E4">
        <w:rPr>
          <w:rFonts w:cs="Times New Roman"/>
          <w:color w:val="000000"/>
          <w:szCs w:val="24"/>
          <w:lang w:eastAsia="lv-LV"/>
        </w:rPr>
        <w:t>decembra līdz 2022.</w:t>
      </w:r>
      <w:r w:rsidR="00633FAF" w:rsidRPr="00DA11E4">
        <w:rPr>
          <w:rFonts w:cs="Times New Roman"/>
          <w:color w:val="000000"/>
          <w:szCs w:val="24"/>
          <w:lang w:eastAsia="lv-LV"/>
        </w:rPr>
        <w:t xml:space="preserve"> </w:t>
      </w:r>
      <w:r w:rsidRPr="00DA11E4">
        <w:rPr>
          <w:rFonts w:cs="Times New Roman"/>
          <w:color w:val="000000"/>
          <w:szCs w:val="24"/>
          <w:lang w:eastAsia="lv-LV"/>
        </w:rPr>
        <w:t>gada 11.</w:t>
      </w:r>
      <w:r w:rsidR="00633FAF" w:rsidRPr="00DA11E4">
        <w:rPr>
          <w:rFonts w:cs="Times New Roman"/>
          <w:color w:val="000000"/>
          <w:szCs w:val="24"/>
          <w:lang w:eastAsia="lv-LV"/>
        </w:rPr>
        <w:t xml:space="preserve"> </w:t>
      </w:r>
      <w:r w:rsidRPr="00DA11E4">
        <w:rPr>
          <w:rFonts w:cs="Times New Roman"/>
          <w:color w:val="000000"/>
          <w:szCs w:val="24"/>
          <w:lang w:eastAsia="lv-LV"/>
        </w:rPr>
        <w:t xml:space="preserve">janvārim, nepieciešamos izdevumus ne vairāk kā </w:t>
      </w:r>
      <w:r w:rsidR="00A238DB" w:rsidRPr="00DA11E4">
        <w:rPr>
          <w:rFonts w:cs="Times New Roman"/>
          <w:color w:val="000000"/>
          <w:szCs w:val="24"/>
          <w:lang w:eastAsia="lv-LV"/>
        </w:rPr>
        <w:t>7</w:t>
      </w:r>
      <w:r w:rsidR="007D3C7E" w:rsidRPr="00DA11E4">
        <w:rPr>
          <w:rFonts w:cs="Times New Roman"/>
          <w:color w:val="000000"/>
          <w:szCs w:val="24"/>
          <w:lang w:eastAsia="lv-LV"/>
        </w:rPr>
        <w:t> 132 336</w:t>
      </w:r>
      <w:r w:rsidRPr="00DA11E4">
        <w:rPr>
          <w:rFonts w:cs="Times New Roman"/>
          <w:color w:val="000000"/>
          <w:szCs w:val="24"/>
          <w:lang w:eastAsia="lv-LV"/>
        </w:rPr>
        <w:t xml:space="preserve"> </w:t>
      </w:r>
      <w:proofErr w:type="spellStart"/>
      <w:r w:rsidRPr="00DA11E4">
        <w:rPr>
          <w:rFonts w:cs="Times New Roman"/>
          <w:color w:val="000000"/>
          <w:szCs w:val="24"/>
          <w:lang w:eastAsia="lv-LV"/>
        </w:rPr>
        <w:t>euro</w:t>
      </w:r>
      <w:proofErr w:type="spellEnd"/>
      <w:r w:rsidRPr="00DA11E4">
        <w:rPr>
          <w:rFonts w:cs="Times New Roman"/>
          <w:color w:val="000000"/>
          <w:szCs w:val="24"/>
          <w:lang w:eastAsia="lv-LV"/>
        </w:rPr>
        <w:t xml:space="preserve"> apmērā </w:t>
      </w:r>
      <w:r w:rsidR="00633FAF" w:rsidRPr="00DA11E4">
        <w:rPr>
          <w:rFonts w:cs="Times New Roman"/>
          <w:color w:val="000000"/>
          <w:szCs w:val="24"/>
          <w:lang w:eastAsia="lv-LV"/>
        </w:rPr>
        <w:t xml:space="preserve">plānots </w:t>
      </w:r>
      <w:r w:rsidRPr="00DA11E4">
        <w:rPr>
          <w:rFonts w:cs="Times New Roman"/>
          <w:color w:val="000000"/>
          <w:szCs w:val="24"/>
          <w:lang w:eastAsia="lv-LV"/>
        </w:rPr>
        <w:t>segt no valsts budžeta programmas 02.00.00 “Līdzekļi neparedzētiem gadījumiem” 2022. gadā.</w:t>
      </w:r>
    </w:p>
    <w:p w14:paraId="20D5A862" w14:textId="6F2DD632" w:rsidR="007D3C7E" w:rsidRPr="00DA11E4" w:rsidRDefault="007D3C7E" w:rsidP="00BC69D1">
      <w:pPr>
        <w:ind w:firstLine="720"/>
        <w:rPr>
          <w:rFonts w:cs="Times New Roman"/>
          <w:color w:val="000000"/>
          <w:szCs w:val="24"/>
          <w:lang w:eastAsia="lv-LV"/>
        </w:rPr>
      </w:pPr>
      <w:r w:rsidRPr="00DA11E4">
        <w:rPr>
          <w:rFonts w:cs="Times New Roman"/>
          <w:color w:val="000000"/>
          <w:szCs w:val="24"/>
          <w:lang w:eastAsia="lv-LV"/>
        </w:rPr>
        <w:t xml:space="preserve">Lai nodrošinātu ambulatorās ārstniecības iestādēs antigēnu testēšanu pavisam kopā no 2021.gada 1.novembra līdz 2022.gada 11. janvārim nepieciešami 12 396 674 </w:t>
      </w:r>
      <w:proofErr w:type="spellStart"/>
      <w:r w:rsidRPr="00DA11E4">
        <w:rPr>
          <w:rFonts w:cs="Times New Roman"/>
          <w:color w:val="000000"/>
          <w:szCs w:val="24"/>
          <w:lang w:eastAsia="lv-LV"/>
        </w:rPr>
        <w:t>euro</w:t>
      </w:r>
      <w:proofErr w:type="spellEnd"/>
      <w:r w:rsidRPr="00DA11E4">
        <w:rPr>
          <w:rFonts w:cs="Times New Roman"/>
          <w:color w:val="000000"/>
          <w:szCs w:val="24"/>
          <w:lang w:eastAsia="lv-LV"/>
        </w:rPr>
        <w:t>.</w:t>
      </w:r>
    </w:p>
    <w:p w14:paraId="75F2061B" w14:textId="7A0D09B5" w:rsidR="004237DF" w:rsidRPr="00DA11E4" w:rsidRDefault="004237DF" w:rsidP="004237DF">
      <w:pPr>
        <w:ind w:firstLine="720"/>
        <w:rPr>
          <w:rFonts w:eastAsia="Times New Roman"/>
          <w:szCs w:val="24"/>
          <w:lang w:eastAsia="lv-LV"/>
        </w:rPr>
      </w:pPr>
      <w:r w:rsidRPr="00DA11E4">
        <w:rPr>
          <w:rFonts w:eastAsia="Times New Roman"/>
          <w:szCs w:val="24"/>
          <w:lang w:eastAsia="lv-LV"/>
        </w:rPr>
        <w:t>Papildus Veselības ministrija normatīvajos aktos noteiktā kārtībā sagatavo</w:t>
      </w:r>
      <w:r w:rsidR="00633FAF" w:rsidRPr="00DA11E4">
        <w:rPr>
          <w:rFonts w:eastAsia="Times New Roman"/>
          <w:szCs w:val="24"/>
          <w:lang w:eastAsia="lv-LV"/>
        </w:rPr>
        <w:t>s</w:t>
      </w:r>
      <w:r w:rsidRPr="00DA11E4">
        <w:rPr>
          <w:rFonts w:eastAsia="Times New Roman"/>
          <w:szCs w:val="24"/>
          <w:lang w:eastAsia="lv-LV"/>
        </w:rPr>
        <w:t xml:space="preserve"> un iesnie</w:t>
      </w:r>
      <w:r w:rsidR="00633FAF" w:rsidRPr="00DA11E4">
        <w:rPr>
          <w:rFonts w:eastAsia="Times New Roman"/>
          <w:szCs w:val="24"/>
          <w:lang w:eastAsia="lv-LV"/>
        </w:rPr>
        <w:t>gs</w:t>
      </w:r>
      <w:r w:rsidRPr="00DA11E4">
        <w:rPr>
          <w:rFonts w:eastAsia="Times New Roman"/>
          <w:szCs w:val="24"/>
          <w:lang w:eastAsia="lv-LV"/>
        </w:rPr>
        <w:t xml:space="preserve"> izskatīšanai Ministru kabinetā rīkojuma projektus par finanšu līdzekļu piešķiršanu no valsts budžeta programmas 02.00.00 “Līdzekļi neparedzētiem gadījumiem”.</w:t>
      </w:r>
    </w:p>
    <w:p w14:paraId="161000B7" w14:textId="71387BBD" w:rsidR="002766B2" w:rsidRPr="00DA11E4" w:rsidRDefault="002766B2" w:rsidP="004237DF">
      <w:pPr>
        <w:ind w:firstLine="720"/>
        <w:rPr>
          <w:rFonts w:cs="Times New Roman"/>
          <w:szCs w:val="24"/>
        </w:rPr>
      </w:pPr>
      <w:r w:rsidRPr="00DA11E4">
        <w:rPr>
          <w:rFonts w:cs="Times New Roman"/>
          <w:szCs w:val="24"/>
        </w:rPr>
        <w:t xml:space="preserve">Informatīvajā ziņojumā iekļautie iepirkumi tiks veikti saskaņā ar Ministru kabineta sēdē 2021.gada 12.oktobrī apstiprinātā informatīvā ziņojuma “Plānotā rīcība situācijā, ja </w:t>
      </w:r>
      <w:proofErr w:type="spellStart"/>
      <w:r w:rsidRPr="00DA11E4">
        <w:rPr>
          <w:rFonts w:cs="Times New Roman"/>
          <w:szCs w:val="24"/>
        </w:rPr>
        <w:t>stacionēto</w:t>
      </w:r>
      <w:proofErr w:type="spellEnd"/>
      <w:r w:rsidRPr="00DA11E4">
        <w:rPr>
          <w:rFonts w:cs="Times New Roman"/>
          <w:szCs w:val="24"/>
        </w:rPr>
        <w:t xml:space="preserve"> skaits sasniegtu stacionāros pieejamo gultasvietu skaitu” protokola 4.punktā noteikto.</w:t>
      </w:r>
    </w:p>
    <w:p w14:paraId="76BE2176" w14:textId="77777777" w:rsidR="00633FAF" w:rsidRPr="00DA11E4" w:rsidRDefault="00633FAF" w:rsidP="00633FAF">
      <w:pPr>
        <w:spacing w:after="120"/>
        <w:rPr>
          <w:rFonts w:cs="Times New Roman"/>
          <w:sz w:val="28"/>
          <w:szCs w:val="28"/>
        </w:rPr>
      </w:pPr>
    </w:p>
    <w:p w14:paraId="7716B189" w14:textId="77777777" w:rsidR="00633FAF" w:rsidRPr="00DA11E4" w:rsidRDefault="00633FAF" w:rsidP="00633FAF">
      <w:pPr>
        <w:pStyle w:val="NoSpacing"/>
        <w:jc w:val="both"/>
        <w:rPr>
          <w:rFonts w:ascii="Times New Roman" w:hAnsi="Times New Roman" w:cs="Times New Roman"/>
          <w:sz w:val="28"/>
          <w:szCs w:val="28"/>
        </w:rPr>
      </w:pPr>
      <w:r w:rsidRPr="00DA11E4">
        <w:rPr>
          <w:rFonts w:ascii="Times New Roman" w:hAnsi="Times New Roman" w:cs="Times New Roman"/>
          <w:sz w:val="28"/>
          <w:szCs w:val="28"/>
        </w:rPr>
        <w:lastRenderedPageBreak/>
        <w:t>Veselības ministrs</w:t>
      </w:r>
      <w:r w:rsidRPr="00DA11E4">
        <w:rPr>
          <w:rFonts w:ascii="Times New Roman" w:hAnsi="Times New Roman" w:cs="Times New Roman"/>
          <w:sz w:val="28"/>
          <w:szCs w:val="28"/>
        </w:rPr>
        <w:tab/>
      </w:r>
      <w:r w:rsidRPr="00DA11E4">
        <w:rPr>
          <w:rFonts w:ascii="Times New Roman" w:hAnsi="Times New Roman" w:cs="Times New Roman"/>
          <w:sz w:val="28"/>
          <w:szCs w:val="28"/>
        </w:rPr>
        <w:tab/>
      </w:r>
      <w:r w:rsidRPr="00DA11E4">
        <w:rPr>
          <w:rFonts w:ascii="Times New Roman" w:hAnsi="Times New Roman" w:cs="Times New Roman"/>
          <w:sz w:val="28"/>
          <w:szCs w:val="28"/>
        </w:rPr>
        <w:tab/>
      </w:r>
      <w:r w:rsidRPr="00DA11E4">
        <w:rPr>
          <w:rFonts w:ascii="Times New Roman" w:hAnsi="Times New Roman" w:cs="Times New Roman"/>
          <w:sz w:val="28"/>
          <w:szCs w:val="28"/>
        </w:rPr>
        <w:tab/>
      </w:r>
      <w:r w:rsidRPr="00DA11E4">
        <w:rPr>
          <w:rFonts w:ascii="Times New Roman" w:hAnsi="Times New Roman" w:cs="Times New Roman"/>
          <w:sz w:val="28"/>
          <w:szCs w:val="28"/>
        </w:rPr>
        <w:tab/>
      </w:r>
      <w:r w:rsidRPr="00DA11E4">
        <w:rPr>
          <w:rFonts w:ascii="Times New Roman" w:hAnsi="Times New Roman" w:cs="Times New Roman"/>
          <w:sz w:val="28"/>
          <w:szCs w:val="28"/>
        </w:rPr>
        <w:tab/>
        <w:t xml:space="preserve">               </w:t>
      </w:r>
      <w:r w:rsidRPr="00DA11E4">
        <w:rPr>
          <w:rFonts w:ascii="Times New Roman" w:hAnsi="Times New Roman" w:cs="Times New Roman"/>
          <w:sz w:val="28"/>
          <w:szCs w:val="28"/>
        </w:rPr>
        <w:tab/>
      </w:r>
      <w:r w:rsidRPr="00DA11E4">
        <w:rPr>
          <w:rFonts w:ascii="Times New Roman" w:hAnsi="Times New Roman" w:cs="Times New Roman"/>
          <w:sz w:val="28"/>
          <w:szCs w:val="28"/>
        </w:rPr>
        <w:tab/>
        <w:t xml:space="preserve">    </w:t>
      </w:r>
      <w:proofErr w:type="spellStart"/>
      <w:r w:rsidRPr="00DA11E4">
        <w:rPr>
          <w:rFonts w:ascii="Times New Roman" w:hAnsi="Times New Roman" w:cs="Times New Roman"/>
          <w:sz w:val="28"/>
          <w:szCs w:val="28"/>
        </w:rPr>
        <w:t>D.Pavļuts</w:t>
      </w:r>
      <w:proofErr w:type="spellEnd"/>
    </w:p>
    <w:p w14:paraId="3CA5D6C5" w14:textId="77777777" w:rsidR="00633FAF" w:rsidRPr="00DA11E4" w:rsidRDefault="00633FAF" w:rsidP="00633FAF">
      <w:pPr>
        <w:pStyle w:val="NoSpacing"/>
        <w:jc w:val="both"/>
        <w:rPr>
          <w:rFonts w:ascii="Times New Roman" w:hAnsi="Times New Roman" w:cs="Times New Roman"/>
          <w:sz w:val="28"/>
          <w:szCs w:val="28"/>
        </w:rPr>
      </w:pPr>
    </w:p>
    <w:p w14:paraId="412D231A" w14:textId="77777777" w:rsidR="00633FAF" w:rsidRPr="00DA11E4" w:rsidRDefault="00633FAF" w:rsidP="00633FAF">
      <w:pPr>
        <w:pStyle w:val="NoSpacing"/>
        <w:jc w:val="both"/>
        <w:rPr>
          <w:rFonts w:ascii="Times New Roman" w:hAnsi="Times New Roman" w:cs="Times New Roman"/>
          <w:sz w:val="28"/>
          <w:szCs w:val="28"/>
        </w:rPr>
      </w:pPr>
    </w:p>
    <w:p w14:paraId="7BA8669F" w14:textId="77777777" w:rsidR="00633FAF" w:rsidRPr="00DA11E4" w:rsidRDefault="00633FAF" w:rsidP="00633FAF">
      <w:pPr>
        <w:pStyle w:val="NoSpacing"/>
        <w:jc w:val="both"/>
        <w:rPr>
          <w:rFonts w:ascii="Times New Roman" w:eastAsia="Calibri" w:hAnsi="Times New Roman" w:cs="Times New Roman"/>
          <w:sz w:val="28"/>
          <w:szCs w:val="28"/>
        </w:rPr>
      </w:pPr>
      <w:r w:rsidRPr="00DA11E4">
        <w:rPr>
          <w:rFonts w:ascii="Times New Roman" w:eastAsia="Calibri" w:hAnsi="Times New Roman" w:cs="Times New Roman"/>
          <w:sz w:val="28"/>
          <w:szCs w:val="28"/>
        </w:rPr>
        <w:t>Iesniedzējs: veselības ministre</w:t>
      </w:r>
      <w:r w:rsidRPr="00DA11E4">
        <w:rPr>
          <w:rFonts w:ascii="Times New Roman" w:eastAsia="Calibri" w:hAnsi="Times New Roman" w:cs="Times New Roman"/>
          <w:sz w:val="28"/>
          <w:szCs w:val="28"/>
        </w:rPr>
        <w:tab/>
        <w:t xml:space="preserve">                                                                  </w:t>
      </w:r>
      <w:proofErr w:type="spellStart"/>
      <w:r w:rsidRPr="00DA11E4">
        <w:rPr>
          <w:rFonts w:ascii="Times New Roman" w:eastAsia="Calibri" w:hAnsi="Times New Roman" w:cs="Times New Roman"/>
          <w:sz w:val="28"/>
          <w:szCs w:val="28"/>
        </w:rPr>
        <w:t>D.Pavļuts</w:t>
      </w:r>
      <w:proofErr w:type="spellEnd"/>
    </w:p>
    <w:p w14:paraId="0675DB39" w14:textId="77777777" w:rsidR="00633FAF" w:rsidRPr="00DA11E4" w:rsidRDefault="00633FAF" w:rsidP="00633FAF">
      <w:pPr>
        <w:pStyle w:val="NoSpacing"/>
        <w:jc w:val="both"/>
        <w:rPr>
          <w:rFonts w:ascii="Times New Roman" w:hAnsi="Times New Roman" w:cs="Times New Roman"/>
          <w:sz w:val="28"/>
          <w:szCs w:val="28"/>
        </w:rPr>
      </w:pPr>
    </w:p>
    <w:p w14:paraId="7267DE1D" w14:textId="77777777" w:rsidR="00633FAF" w:rsidRPr="00DA11E4" w:rsidRDefault="00633FAF" w:rsidP="00633FAF">
      <w:pPr>
        <w:pStyle w:val="NoSpacing"/>
        <w:jc w:val="both"/>
        <w:rPr>
          <w:rFonts w:ascii="Times New Roman" w:hAnsi="Times New Roman" w:cs="Times New Roman"/>
          <w:sz w:val="28"/>
          <w:szCs w:val="28"/>
        </w:rPr>
      </w:pPr>
    </w:p>
    <w:p w14:paraId="15C0F885" w14:textId="77777777" w:rsidR="00633FAF" w:rsidRDefault="00633FAF" w:rsidP="00633FAF">
      <w:pPr>
        <w:pStyle w:val="NoSpacing"/>
        <w:jc w:val="both"/>
        <w:rPr>
          <w:rFonts w:ascii="Times New Roman" w:hAnsi="Times New Roman" w:cs="Times New Roman"/>
          <w:sz w:val="28"/>
          <w:szCs w:val="28"/>
        </w:rPr>
      </w:pPr>
      <w:r w:rsidRPr="00DA11E4">
        <w:rPr>
          <w:rFonts w:ascii="Times New Roman" w:hAnsi="Times New Roman" w:cs="Times New Roman"/>
          <w:sz w:val="28"/>
          <w:szCs w:val="28"/>
        </w:rPr>
        <w:t xml:space="preserve">Vīza: valsts sekretāre                                                                                        </w:t>
      </w:r>
      <w:proofErr w:type="spellStart"/>
      <w:r w:rsidRPr="00DA11E4">
        <w:rPr>
          <w:rFonts w:ascii="Times New Roman" w:hAnsi="Times New Roman" w:cs="Times New Roman"/>
          <w:sz w:val="28"/>
          <w:szCs w:val="28"/>
        </w:rPr>
        <w:t>I.Dreika</w:t>
      </w:r>
      <w:proofErr w:type="spellEnd"/>
    </w:p>
    <w:p w14:paraId="270AD511" w14:textId="77777777" w:rsidR="00633FAF" w:rsidRDefault="00633FAF" w:rsidP="00633FAF">
      <w:pPr>
        <w:pStyle w:val="NoSpacing"/>
        <w:jc w:val="both"/>
        <w:rPr>
          <w:rFonts w:ascii="Times New Roman" w:hAnsi="Times New Roman" w:cs="Times New Roman"/>
          <w:sz w:val="28"/>
          <w:szCs w:val="28"/>
        </w:rPr>
      </w:pPr>
    </w:p>
    <w:p w14:paraId="1EEFF607" w14:textId="77777777" w:rsidR="00633FAF" w:rsidRDefault="00633FAF" w:rsidP="004237DF">
      <w:pPr>
        <w:ind w:firstLine="720"/>
        <w:rPr>
          <w:rFonts w:eastAsia="Times New Roman"/>
          <w:szCs w:val="24"/>
          <w:lang w:eastAsia="lv-LV"/>
        </w:rPr>
      </w:pPr>
    </w:p>
    <w:sectPr w:rsidR="00633FAF" w:rsidSect="003F620F">
      <w:footerReference w:type="default" r:id="rId15"/>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C5B9E" w14:textId="77777777" w:rsidR="00385455" w:rsidRDefault="00385455" w:rsidP="003F620F">
      <w:r>
        <w:separator/>
      </w:r>
    </w:p>
  </w:endnote>
  <w:endnote w:type="continuationSeparator" w:id="0">
    <w:p w14:paraId="0D2B0C26" w14:textId="77777777" w:rsidR="00385455" w:rsidRDefault="0038545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956336"/>
      <w:docPartObj>
        <w:docPartGallery w:val="Page Numbers (Bottom of Page)"/>
        <w:docPartUnique/>
      </w:docPartObj>
    </w:sdtPr>
    <w:sdtEndPr>
      <w:rPr>
        <w:noProof/>
      </w:rPr>
    </w:sdtEndPr>
    <w:sdtContent>
      <w:p w14:paraId="55A3B6B6" w14:textId="536624BE" w:rsidR="00DC65DB" w:rsidRDefault="00DC65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06B589" w14:textId="77777777" w:rsidR="00DC65DB" w:rsidRDefault="00DC6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04F01" w14:textId="77777777" w:rsidR="00385455" w:rsidRDefault="00385455" w:rsidP="003F620F">
      <w:r>
        <w:separator/>
      </w:r>
    </w:p>
  </w:footnote>
  <w:footnote w:type="continuationSeparator" w:id="0">
    <w:p w14:paraId="316EA390" w14:textId="77777777" w:rsidR="00385455" w:rsidRDefault="00385455" w:rsidP="003F620F">
      <w:r>
        <w:continuationSeparator/>
      </w:r>
    </w:p>
  </w:footnote>
  <w:footnote w:id="1">
    <w:p w14:paraId="49D23C4C" w14:textId="0613B7B1" w:rsidR="00A956BD" w:rsidRDefault="00A956BD" w:rsidP="00A956BD">
      <w:pPr>
        <w:pStyle w:val="FootnoteText"/>
      </w:pPr>
      <w:r>
        <w:rPr>
          <w:rStyle w:val="FootnoteReference"/>
        </w:rPr>
        <w:footnoteRef/>
      </w:r>
      <w:r>
        <w:t xml:space="preserve"> Projekts “Sabiedrības veselības pamatnostādnes 2021.-2027. gadam”</w:t>
      </w:r>
    </w:p>
  </w:footnote>
  <w:footnote w:id="2">
    <w:p w14:paraId="77922321" w14:textId="020680D3" w:rsidR="000E3EF1" w:rsidRDefault="000E3EF1">
      <w:pPr>
        <w:pStyle w:val="FootnoteText"/>
      </w:pPr>
      <w:r>
        <w:rPr>
          <w:rStyle w:val="FootnoteReference"/>
        </w:rPr>
        <w:footnoteRef/>
      </w:r>
      <w:r>
        <w:t xml:space="preserve"> </w:t>
      </w:r>
      <w:r w:rsidRPr="00385455">
        <w:t xml:space="preserve">Ātrie antigēnu testi ir ērti izmantojami iedzīvotāju masveida testēšanā vai </w:t>
      </w:r>
      <w:proofErr w:type="spellStart"/>
      <w:r w:rsidRPr="00385455">
        <w:t>skrīningā</w:t>
      </w:r>
      <w:proofErr w:type="spellEnd"/>
      <w:r w:rsidRPr="00385455">
        <w:t>, ļaujot identificēt personas, kuras ir visinfekciozākās un potenciāli varētu izplatīt vīrusu lielam skaitam citu cilvēku.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06BD4"/>
    <w:multiLevelType w:val="hybridMultilevel"/>
    <w:tmpl w:val="E2D6D1DA"/>
    <w:lvl w:ilvl="0" w:tplc="F25C4372">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5525AB"/>
    <w:multiLevelType w:val="hybridMultilevel"/>
    <w:tmpl w:val="ACC6C044"/>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55"/>
    <w:rsid w:val="00001D58"/>
    <w:rsid w:val="00005B88"/>
    <w:rsid w:val="00021344"/>
    <w:rsid w:val="00056BD6"/>
    <w:rsid w:val="00066325"/>
    <w:rsid w:val="00070402"/>
    <w:rsid w:val="00085136"/>
    <w:rsid w:val="000A0DA8"/>
    <w:rsid w:val="000A50AD"/>
    <w:rsid w:val="000E3EF1"/>
    <w:rsid w:val="00113EBC"/>
    <w:rsid w:val="00126B3A"/>
    <w:rsid w:val="00193A14"/>
    <w:rsid w:val="001C1700"/>
    <w:rsid w:val="00205BC5"/>
    <w:rsid w:val="00231AF3"/>
    <w:rsid w:val="00264096"/>
    <w:rsid w:val="002766B2"/>
    <w:rsid w:val="002A5BF2"/>
    <w:rsid w:val="002B43D9"/>
    <w:rsid w:val="002E17ED"/>
    <w:rsid w:val="003102B8"/>
    <w:rsid w:val="003407CC"/>
    <w:rsid w:val="003705D6"/>
    <w:rsid w:val="00385455"/>
    <w:rsid w:val="003F620F"/>
    <w:rsid w:val="003F6632"/>
    <w:rsid w:val="004237DF"/>
    <w:rsid w:val="0043317F"/>
    <w:rsid w:val="004424D3"/>
    <w:rsid w:val="004B5166"/>
    <w:rsid w:val="004B6955"/>
    <w:rsid w:val="004C7863"/>
    <w:rsid w:val="004D0ABF"/>
    <w:rsid w:val="004D7911"/>
    <w:rsid w:val="00514DBE"/>
    <w:rsid w:val="005A1B5E"/>
    <w:rsid w:val="005A2C97"/>
    <w:rsid w:val="005D10D0"/>
    <w:rsid w:val="005D3DD2"/>
    <w:rsid w:val="005F436A"/>
    <w:rsid w:val="00633FAF"/>
    <w:rsid w:val="00661D69"/>
    <w:rsid w:val="00672A4A"/>
    <w:rsid w:val="00691825"/>
    <w:rsid w:val="006A2041"/>
    <w:rsid w:val="006B3B3B"/>
    <w:rsid w:val="006C2952"/>
    <w:rsid w:val="007132B1"/>
    <w:rsid w:val="007426E4"/>
    <w:rsid w:val="007634B3"/>
    <w:rsid w:val="00776329"/>
    <w:rsid w:val="007A5CF3"/>
    <w:rsid w:val="007D3C7E"/>
    <w:rsid w:val="00804ED8"/>
    <w:rsid w:val="00807C46"/>
    <w:rsid w:val="008449C3"/>
    <w:rsid w:val="00871472"/>
    <w:rsid w:val="00875953"/>
    <w:rsid w:val="008A46E7"/>
    <w:rsid w:val="008B39D4"/>
    <w:rsid w:val="008B65EC"/>
    <w:rsid w:val="008C3021"/>
    <w:rsid w:val="008D6973"/>
    <w:rsid w:val="00937065"/>
    <w:rsid w:val="00937FA6"/>
    <w:rsid w:val="00987300"/>
    <w:rsid w:val="00995920"/>
    <w:rsid w:val="009A72F3"/>
    <w:rsid w:val="009D56BC"/>
    <w:rsid w:val="009D720E"/>
    <w:rsid w:val="00A238DB"/>
    <w:rsid w:val="00A67A77"/>
    <w:rsid w:val="00A956BD"/>
    <w:rsid w:val="00AD55CF"/>
    <w:rsid w:val="00AF7BDF"/>
    <w:rsid w:val="00B0077E"/>
    <w:rsid w:val="00B314F5"/>
    <w:rsid w:val="00B37BDE"/>
    <w:rsid w:val="00B4177D"/>
    <w:rsid w:val="00B76F77"/>
    <w:rsid w:val="00B86D11"/>
    <w:rsid w:val="00BB656B"/>
    <w:rsid w:val="00BC33B8"/>
    <w:rsid w:val="00BC69D1"/>
    <w:rsid w:val="00BF19F0"/>
    <w:rsid w:val="00BF6663"/>
    <w:rsid w:val="00C335A9"/>
    <w:rsid w:val="00C57054"/>
    <w:rsid w:val="00C57EB3"/>
    <w:rsid w:val="00CE5550"/>
    <w:rsid w:val="00D33E19"/>
    <w:rsid w:val="00D806F3"/>
    <w:rsid w:val="00DA11E4"/>
    <w:rsid w:val="00DC65DB"/>
    <w:rsid w:val="00DE3681"/>
    <w:rsid w:val="00E1055F"/>
    <w:rsid w:val="00E54FFB"/>
    <w:rsid w:val="00E7263D"/>
    <w:rsid w:val="00E86E54"/>
    <w:rsid w:val="00EA2BD5"/>
    <w:rsid w:val="00EB2F35"/>
    <w:rsid w:val="00ED6224"/>
    <w:rsid w:val="00EF78AC"/>
    <w:rsid w:val="00F157E6"/>
    <w:rsid w:val="00F25949"/>
    <w:rsid w:val="00F648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FB511"/>
  <w15:chartTrackingRefBased/>
  <w15:docId w15:val="{A69C23A2-D74D-467D-8F81-597E4737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2">
    <w:name w:val="heading 2"/>
    <w:basedOn w:val="Normal"/>
    <w:next w:val="Normal"/>
    <w:link w:val="Heading2Char"/>
    <w:uiPriority w:val="9"/>
    <w:unhideWhenUsed/>
    <w:qFormat/>
    <w:rsid w:val="008D6973"/>
    <w:pPr>
      <w:keepNext/>
      <w:keepLines/>
      <w:spacing w:before="40" w:line="259" w:lineRule="auto"/>
      <w:ind w:firstLine="0"/>
      <w:jc w:val="center"/>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NormalWeb">
    <w:name w:val="Normal (Web)"/>
    <w:basedOn w:val="Normal"/>
    <w:uiPriority w:val="99"/>
    <w:unhideWhenUsed/>
    <w:rsid w:val="00385455"/>
    <w:pPr>
      <w:spacing w:before="100" w:beforeAutospacing="1" w:after="100" w:afterAutospacing="1"/>
      <w:ind w:firstLine="0"/>
      <w:jc w:val="left"/>
    </w:pPr>
    <w:rPr>
      <w:rFonts w:eastAsia="Times New Roman" w:cs="Times New Roman"/>
      <w:szCs w:val="24"/>
      <w:lang w:eastAsia="lv-LV"/>
    </w:rPr>
  </w:style>
  <w:style w:type="character" w:styleId="Emphasis">
    <w:name w:val="Emphasis"/>
    <w:basedOn w:val="DefaultParagraphFont"/>
    <w:uiPriority w:val="20"/>
    <w:qFormat/>
    <w:rsid w:val="00385455"/>
    <w:rPr>
      <w:i/>
      <w:iCs/>
    </w:rPr>
  </w:style>
  <w:style w:type="paragraph" w:styleId="FootnoteText">
    <w:name w:val="footnote text"/>
    <w:basedOn w:val="Normal"/>
    <w:link w:val="FootnoteTextChar"/>
    <w:uiPriority w:val="99"/>
    <w:semiHidden/>
    <w:unhideWhenUsed/>
    <w:rsid w:val="00385455"/>
    <w:rPr>
      <w:sz w:val="20"/>
      <w:szCs w:val="20"/>
    </w:rPr>
  </w:style>
  <w:style w:type="character" w:customStyle="1" w:styleId="FootnoteTextChar">
    <w:name w:val="Footnote Text Char"/>
    <w:basedOn w:val="DefaultParagraphFont"/>
    <w:link w:val="FootnoteText"/>
    <w:uiPriority w:val="99"/>
    <w:semiHidden/>
    <w:rsid w:val="00385455"/>
    <w:rPr>
      <w:rFonts w:ascii="Times New Roman" w:hAnsi="Times New Roman"/>
      <w:sz w:val="20"/>
      <w:szCs w:val="20"/>
    </w:rPr>
  </w:style>
  <w:style w:type="character" w:styleId="FootnoteReference">
    <w:name w:val="footnote reference"/>
    <w:basedOn w:val="DefaultParagraphFont"/>
    <w:uiPriority w:val="99"/>
    <w:semiHidden/>
    <w:unhideWhenUsed/>
    <w:rsid w:val="00385455"/>
    <w:rPr>
      <w:vertAlign w:val="superscript"/>
    </w:rPr>
  </w:style>
  <w:style w:type="character" w:styleId="CommentReference">
    <w:name w:val="annotation reference"/>
    <w:basedOn w:val="DefaultParagraphFont"/>
    <w:uiPriority w:val="99"/>
    <w:semiHidden/>
    <w:unhideWhenUsed/>
    <w:rsid w:val="004C7863"/>
    <w:rPr>
      <w:sz w:val="16"/>
      <w:szCs w:val="16"/>
    </w:rPr>
  </w:style>
  <w:style w:type="paragraph" w:styleId="CommentText">
    <w:name w:val="annotation text"/>
    <w:basedOn w:val="Normal"/>
    <w:link w:val="CommentTextChar"/>
    <w:uiPriority w:val="99"/>
    <w:unhideWhenUsed/>
    <w:rsid w:val="004C7863"/>
    <w:pPr>
      <w:spacing w:after="160"/>
      <w:ind w:firstLine="0"/>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4C7863"/>
    <w:rPr>
      <w:sz w:val="20"/>
      <w:szCs w:val="20"/>
    </w:rPr>
  </w:style>
  <w:style w:type="character" w:customStyle="1" w:styleId="Heading2Char">
    <w:name w:val="Heading 2 Char"/>
    <w:basedOn w:val="DefaultParagraphFont"/>
    <w:link w:val="Heading2"/>
    <w:uiPriority w:val="9"/>
    <w:rsid w:val="008D6973"/>
    <w:rPr>
      <w:rFonts w:ascii="Times New Roman" w:eastAsiaTheme="majorEastAsia" w:hAnsi="Times New Roman" w:cstheme="majorBidi"/>
      <w:b/>
      <w:sz w:val="26"/>
      <w:szCs w:val="26"/>
    </w:rPr>
  </w:style>
  <w:style w:type="table" w:styleId="TableGrid">
    <w:name w:val="Table Grid"/>
    <w:basedOn w:val="TableNormal"/>
    <w:uiPriority w:val="39"/>
    <w:rsid w:val="00937F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Colorful List - Accent 12,List Paragraph1,List1,Saraksta rindkopa1,Normal bullet 2,Bullet list,Bullet 1,Bullet Points,Dot pt,F5 List Paragraph,IFCL - List Paragraph,Indicator Text,MAIN CONTE"/>
    <w:basedOn w:val="Normal"/>
    <w:link w:val="ListParagraphChar"/>
    <w:uiPriority w:val="34"/>
    <w:qFormat/>
    <w:rsid w:val="00264096"/>
    <w:pPr>
      <w:spacing w:after="160" w:line="259" w:lineRule="auto"/>
      <w:ind w:left="720" w:firstLine="0"/>
      <w:contextualSpacing/>
      <w:jc w:val="left"/>
    </w:pPr>
    <w:rPr>
      <w:rFonts w:asciiTheme="minorHAnsi" w:hAnsiTheme="minorHAnsi"/>
      <w:sz w:val="22"/>
    </w:rPr>
  </w:style>
  <w:style w:type="character" w:customStyle="1" w:styleId="ListParagraphChar">
    <w:name w:val="List Paragraph Char"/>
    <w:aliases w:val="2 Char,Akapit z listą BS Char,H&amp;P List Paragraph Char,Strip Char,Colorful List - Accent 12 Char,List Paragraph1 Char,List1 Char,Saraksta rindkopa1 Char,Normal bullet 2 Char,Bullet list Char,Bullet 1 Char,Bullet Points Char"/>
    <w:link w:val="ListParagraph"/>
    <w:uiPriority w:val="34"/>
    <w:qFormat/>
    <w:locked/>
    <w:rsid w:val="00264096"/>
  </w:style>
  <w:style w:type="paragraph" w:styleId="CommentSubject">
    <w:name w:val="annotation subject"/>
    <w:basedOn w:val="CommentText"/>
    <w:next w:val="CommentText"/>
    <w:link w:val="CommentSubjectChar"/>
    <w:uiPriority w:val="99"/>
    <w:semiHidden/>
    <w:unhideWhenUsed/>
    <w:rsid w:val="00871472"/>
    <w:pPr>
      <w:spacing w:after="0"/>
      <w:ind w:firstLine="709"/>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871472"/>
    <w:rPr>
      <w:rFonts w:ascii="Times New Roman" w:hAnsi="Times New Roman"/>
      <w:b/>
      <w:bCs/>
      <w:sz w:val="20"/>
      <w:szCs w:val="20"/>
    </w:rPr>
  </w:style>
  <w:style w:type="paragraph" w:styleId="NoSpacing">
    <w:name w:val="No Spacing"/>
    <w:basedOn w:val="Normal"/>
    <w:link w:val="NoSpacingChar"/>
    <w:uiPriority w:val="1"/>
    <w:qFormat/>
    <w:rsid w:val="00633FAF"/>
    <w:pPr>
      <w:ind w:firstLine="0"/>
      <w:jc w:val="left"/>
    </w:pPr>
    <w:rPr>
      <w:rFonts w:ascii="Calibri" w:eastAsia="Times New Roman" w:hAnsi="Calibri" w:cs="Calibri"/>
      <w:sz w:val="22"/>
      <w:lang w:eastAsia="lv-LV"/>
    </w:rPr>
  </w:style>
  <w:style w:type="character" w:customStyle="1" w:styleId="NoSpacingChar">
    <w:name w:val="No Spacing Char"/>
    <w:basedOn w:val="DefaultParagraphFont"/>
    <w:link w:val="NoSpacing"/>
    <w:uiPriority w:val="1"/>
    <w:locked/>
    <w:rsid w:val="00633FAF"/>
    <w:rPr>
      <w:rFonts w:ascii="Calibri" w:eastAsia="Times New Roman"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34757">
      <w:bodyDiv w:val="1"/>
      <w:marLeft w:val="0"/>
      <w:marRight w:val="0"/>
      <w:marTop w:val="0"/>
      <w:marBottom w:val="0"/>
      <w:divBdr>
        <w:top w:val="none" w:sz="0" w:space="0" w:color="auto"/>
        <w:left w:val="none" w:sz="0" w:space="0" w:color="auto"/>
        <w:bottom w:val="none" w:sz="0" w:space="0" w:color="auto"/>
        <w:right w:val="none" w:sz="0" w:space="0" w:color="auto"/>
      </w:divBdr>
    </w:div>
    <w:div w:id="290015482">
      <w:bodyDiv w:val="1"/>
      <w:marLeft w:val="0"/>
      <w:marRight w:val="0"/>
      <w:marTop w:val="0"/>
      <w:marBottom w:val="0"/>
      <w:divBdr>
        <w:top w:val="none" w:sz="0" w:space="0" w:color="auto"/>
        <w:left w:val="none" w:sz="0" w:space="0" w:color="auto"/>
        <w:bottom w:val="none" w:sz="0" w:space="0" w:color="auto"/>
        <w:right w:val="none" w:sz="0" w:space="0" w:color="auto"/>
      </w:divBdr>
    </w:div>
    <w:div w:id="1444962013">
      <w:bodyDiv w:val="1"/>
      <w:marLeft w:val="0"/>
      <w:marRight w:val="0"/>
      <w:marTop w:val="0"/>
      <w:marBottom w:val="0"/>
      <w:divBdr>
        <w:top w:val="none" w:sz="0" w:space="0" w:color="auto"/>
        <w:left w:val="none" w:sz="0" w:space="0" w:color="auto"/>
        <w:bottom w:val="none" w:sz="0" w:space="0" w:color="auto"/>
        <w:right w:val="none" w:sz="0" w:space="0" w:color="auto"/>
      </w:divBdr>
    </w:div>
    <w:div w:id="1563247444">
      <w:bodyDiv w:val="1"/>
      <w:marLeft w:val="0"/>
      <w:marRight w:val="0"/>
      <w:marTop w:val="0"/>
      <w:marBottom w:val="0"/>
      <w:divBdr>
        <w:top w:val="none" w:sz="0" w:space="0" w:color="auto"/>
        <w:left w:val="none" w:sz="0" w:space="0" w:color="auto"/>
        <w:bottom w:val="none" w:sz="0" w:space="0" w:color="auto"/>
        <w:right w:val="none" w:sz="0" w:space="0" w:color="auto"/>
      </w:divBdr>
    </w:div>
    <w:div w:id="1760952353">
      <w:bodyDiv w:val="1"/>
      <w:marLeft w:val="0"/>
      <w:marRight w:val="0"/>
      <w:marTop w:val="0"/>
      <w:marBottom w:val="0"/>
      <w:divBdr>
        <w:top w:val="none" w:sz="0" w:space="0" w:color="auto"/>
        <w:left w:val="none" w:sz="0" w:space="0" w:color="auto"/>
        <w:bottom w:val="none" w:sz="0" w:space="0" w:color="auto"/>
        <w:right w:val="none" w:sz="0" w:space="0" w:color="auto"/>
      </w:divBdr>
    </w:div>
    <w:div w:id="2001956713">
      <w:bodyDiv w:val="1"/>
      <w:marLeft w:val="0"/>
      <w:marRight w:val="0"/>
      <w:marTop w:val="0"/>
      <w:marBottom w:val="0"/>
      <w:divBdr>
        <w:top w:val="none" w:sz="0" w:space="0" w:color="auto"/>
        <w:left w:val="none" w:sz="0" w:space="0" w:color="auto"/>
        <w:bottom w:val="none" w:sz="0" w:space="0" w:color="auto"/>
        <w:right w:val="none" w:sz="0" w:space="0" w:color="auto"/>
      </w:divBdr>
    </w:div>
    <w:div w:id="21043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8917132641028568E-2"/>
          <c:y val="2.8500658877798051E-2"/>
          <c:w val="0.91251369394043136"/>
          <c:h val="0.82851780302978062"/>
        </c:manualLayout>
      </c:layout>
      <c:lineChart>
        <c:grouping val="standard"/>
        <c:varyColors val="0"/>
        <c:ser>
          <c:idx val="0"/>
          <c:order val="0"/>
          <c:tx>
            <c:strRef>
              <c:f>Sheet1!$E$1</c:f>
              <c:strCache>
                <c:ptCount val="1"/>
                <c:pt idx="0">
                  <c:v>Vispārejā populācija 18-65 gadi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Sheet1!$D$2:$D$10</c:f>
              <c:strCache>
                <c:ptCount val="9"/>
                <c:pt idx="0">
                  <c:v>31. ned.</c:v>
                </c:pt>
                <c:pt idx="1">
                  <c:v>32. ned.</c:v>
                </c:pt>
                <c:pt idx="2">
                  <c:v>33. ned.</c:v>
                </c:pt>
                <c:pt idx="3">
                  <c:v>34. ned.</c:v>
                </c:pt>
                <c:pt idx="4">
                  <c:v>35. ned.</c:v>
                </c:pt>
                <c:pt idx="5">
                  <c:v>36. ned.</c:v>
                </c:pt>
                <c:pt idx="6">
                  <c:v>37. ned.</c:v>
                </c:pt>
                <c:pt idx="7">
                  <c:v>38. ned.</c:v>
                </c:pt>
                <c:pt idx="8">
                  <c:v>39. ned.</c:v>
                </c:pt>
              </c:strCache>
            </c:strRef>
          </c:cat>
          <c:val>
            <c:numRef>
              <c:f>Sheet1!$E$2:$E$10</c:f>
              <c:numCache>
                <c:formatCode>General</c:formatCode>
                <c:ptCount val="9"/>
                <c:pt idx="0">
                  <c:v>399</c:v>
                </c:pt>
                <c:pt idx="1">
                  <c:v>489</c:v>
                </c:pt>
                <c:pt idx="2">
                  <c:v>639</c:v>
                </c:pt>
                <c:pt idx="3">
                  <c:v>811</c:v>
                </c:pt>
                <c:pt idx="4">
                  <c:v>1361</c:v>
                </c:pt>
                <c:pt idx="5">
                  <c:v>1688</c:v>
                </c:pt>
                <c:pt idx="6">
                  <c:v>2137</c:v>
                </c:pt>
                <c:pt idx="7">
                  <c:v>2697</c:v>
                </c:pt>
                <c:pt idx="8">
                  <c:v>4372</c:v>
                </c:pt>
              </c:numCache>
            </c:numRef>
          </c:val>
          <c:smooth val="0"/>
          <c:extLst>
            <c:ext xmlns:c16="http://schemas.microsoft.com/office/drawing/2014/chart" uri="{C3380CC4-5D6E-409C-BE32-E72D297353CC}">
              <c16:uniqueId val="{00000000-8BFF-48C4-A2CF-AB11A5425C54}"/>
            </c:ext>
          </c:extLst>
        </c:ser>
        <c:dLbls>
          <c:showLegendKey val="0"/>
          <c:showVal val="0"/>
          <c:showCatName val="0"/>
          <c:showSerName val="0"/>
          <c:showPercent val="0"/>
          <c:showBubbleSize val="0"/>
        </c:dLbls>
        <c:marker val="1"/>
        <c:smooth val="0"/>
        <c:axId val="647922656"/>
        <c:axId val="647918496"/>
      </c:lineChart>
      <c:lineChart>
        <c:grouping val="standard"/>
        <c:varyColors val="0"/>
        <c:ser>
          <c:idx val="1"/>
          <c:order val="1"/>
          <c:tx>
            <c:strRef>
              <c:f>Sheet1!$F$1</c:f>
              <c:strCache>
                <c:ptCount val="1"/>
                <c:pt idx="0">
                  <c:v>Veselības aprūpes nozare 18-65 gadi</c:v>
                </c:pt>
              </c:strCache>
            </c:strRef>
          </c:tx>
          <c:spPr>
            <a:ln w="28575" cap="rnd">
              <a:solidFill>
                <a:schemeClr val="accent2"/>
              </a:solidFill>
              <a:round/>
            </a:ln>
            <a:effectLst/>
          </c:spPr>
          <c:marker>
            <c:symbol val="none"/>
          </c:marker>
          <c:dLbls>
            <c:dLbl>
              <c:idx val="8"/>
              <c:layout>
                <c:manualLayout>
                  <c:x val="-5.7094009409244398E-3"/>
                  <c:y val="-5.422413290018835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FF-48C4-A2CF-AB11A5425C5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Sheet1!$D$2:$D$10</c:f>
              <c:strCache>
                <c:ptCount val="9"/>
                <c:pt idx="0">
                  <c:v>31. ned.</c:v>
                </c:pt>
                <c:pt idx="1">
                  <c:v>32. ned.</c:v>
                </c:pt>
                <c:pt idx="2">
                  <c:v>33. ned.</c:v>
                </c:pt>
                <c:pt idx="3">
                  <c:v>34. ned.</c:v>
                </c:pt>
                <c:pt idx="4">
                  <c:v>35. ned.</c:v>
                </c:pt>
                <c:pt idx="5">
                  <c:v>36. ned.</c:v>
                </c:pt>
                <c:pt idx="6">
                  <c:v>37. ned.</c:v>
                </c:pt>
                <c:pt idx="7">
                  <c:v>38. ned.</c:v>
                </c:pt>
                <c:pt idx="8">
                  <c:v>39. ned.</c:v>
                </c:pt>
              </c:strCache>
            </c:strRef>
          </c:cat>
          <c:val>
            <c:numRef>
              <c:f>Sheet1!$F$2:$F$10</c:f>
              <c:numCache>
                <c:formatCode>General</c:formatCode>
                <c:ptCount val="9"/>
                <c:pt idx="0">
                  <c:v>20</c:v>
                </c:pt>
                <c:pt idx="1">
                  <c:v>21</c:v>
                </c:pt>
                <c:pt idx="2">
                  <c:v>31</c:v>
                </c:pt>
                <c:pt idx="3">
                  <c:v>37</c:v>
                </c:pt>
                <c:pt idx="4">
                  <c:v>69</c:v>
                </c:pt>
                <c:pt idx="5">
                  <c:v>84</c:v>
                </c:pt>
                <c:pt idx="6">
                  <c:v>109</c:v>
                </c:pt>
                <c:pt idx="7">
                  <c:v>142</c:v>
                </c:pt>
                <c:pt idx="8">
                  <c:v>139</c:v>
                </c:pt>
              </c:numCache>
            </c:numRef>
          </c:val>
          <c:smooth val="0"/>
          <c:extLst>
            <c:ext xmlns:c16="http://schemas.microsoft.com/office/drawing/2014/chart" uri="{C3380CC4-5D6E-409C-BE32-E72D297353CC}">
              <c16:uniqueId val="{00000002-8BFF-48C4-A2CF-AB11A5425C54}"/>
            </c:ext>
          </c:extLst>
        </c:ser>
        <c:dLbls>
          <c:showLegendKey val="0"/>
          <c:showVal val="0"/>
          <c:showCatName val="0"/>
          <c:showSerName val="0"/>
          <c:showPercent val="0"/>
          <c:showBubbleSize val="0"/>
        </c:dLbls>
        <c:marker val="1"/>
        <c:smooth val="0"/>
        <c:axId val="991006880"/>
        <c:axId val="991002720"/>
      </c:lineChart>
      <c:catAx>
        <c:axId val="64792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47918496"/>
        <c:crosses val="autoZero"/>
        <c:auto val="1"/>
        <c:lblAlgn val="ctr"/>
        <c:lblOffset val="100"/>
        <c:noMultiLvlLbl val="0"/>
      </c:catAx>
      <c:valAx>
        <c:axId val="647918496"/>
        <c:scaling>
          <c:orientation val="minMax"/>
          <c:max val="45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47922656"/>
        <c:crosses val="autoZero"/>
        <c:crossBetween val="between"/>
      </c:valAx>
      <c:valAx>
        <c:axId val="991002720"/>
        <c:scaling>
          <c:orientation val="minMax"/>
          <c:max val="16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991006880"/>
        <c:crosses val="max"/>
        <c:crossBetween val="between"/>
      </c:valAx>
      <c:catAx>
        <c:axId val="991006880"/>
        <c:scaling>
          <c:orientation val="minMax"/>
        </c:scaling>
        <c:delete val="1"/>
        <c:axPos val="b"/>
        <c:numFmt formatCode="General" sourceLinked="1"/>
        <c:majorTickMark val="out"/>
        <c:minorTickMark val="none"/>
        <c:tickLblPos val="nextTo"/>
        <c:crossAx val="991002720"/>
        <c:crosses val="autoZero"/>
        <c:auto val="1"/>
        <c:lblAlgn val="ctr"/>
        <c:lblOffset val="100"/>
        <c:noMultiLvlLbl val="0"/>
      </c:catAx>
      <c:spPr>
        <a:noFill/>
        <a:ln>
          <a:noFill/>
        </a:ln>
        <a:effectLst/>
      </c:spPr>
    </c:plotArea>
    <c:legend>
      <c:legendPos val="b"/>
      <c:layout>
        <c:manualLayout>
          <c:xMode val="edge"/>
          <c:yMode val="edge"/>
          <c:x val="0"/>
          <c:y val="2.0609440113264865E-3"/>
          <c:w val="0.41801532960553833"/>
          <c:h val="0.3383260505159562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0"/>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6950541338582679E-2"/>
          <c:y val="0.16035615227133457"/>
          <c:w val="0.9330616797900263"/>
          <c:h val="0.66970132855229769"/>
        </c:manualLayout>
      </c:layout>
      <c:lineChart>
        <c:grouping val="standard"/>
        <c:varyColors val="0"/>
        <c:ser>
          <c:idx val="0"/>
          <c:order val="0"/>
          <c:tx>
            <c:strRef>
              <c:f>Sheet1!$B$1</c:f>
              <c:strCache>
                <c:ptCount val="1"/>
                <c:pt idx="0">
                  <c:v>Ienākošie zvani '113'</c:v>
                </c:pt>
              </c:strCache>
            </c:strRef>
          </c:tx>
          <c:spPr>
            <a:ln w="28575" cap="rnd">
              <a:solidFill>
                <a:srgbClr val="D56509"/>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Sheet1!$A$153:$A$284</c:f>
              <c:numCache>
                <c:formatCode>dd\.mm\.yyyy</c:formatCode>
                <c:ptCount val="132"/>
                <c:pt idx="0">
                  <c:v>44348</c:v>
                </c:pt>
                <c:pt idx="1">
                  <c:v>44349</c:v>
                </c:pt>
                <c:pt idx="2">
                  <c:v>44350</c:v>
                </c:pt>
                <c:pt idx="3">
                  <c:v>44351</c:v>
                </c:pt>
                <c:pt idx="4">
                  <c:v>44352</c:v>
                </c:pt>
                <c:pt idx="5">
                  <c:v>44353</c:v>
                </c:pt>
                <c:pt idx="6">
                  <c:v>44354</c:v>
                </c:pt>
                <c:pt idx="7">
                  <c:v>44355</c:v>
                </c:pt>
                <c:pt idx="8">
                  <c:v>44356</c:v>
                </c:pt>
                <c:pt idx="9">
                  <c:v>44357</c:v>
                </c:pt>
                <c:pt idx="10">
                  <c:v>44358</c:v>
                </c:pt>
                <c:pt idx="11">
                  <c:v>44359</c:v>
                </c:pt>
                <c:pt idx="12">
                  <c:v>44360</c:v>
                </c:pt>
                <c:pt idx="13">
                  <c:v>44361</c:v>
                </c:pt>
                <c:pt idx="14">
                  <c:v>44362</c:v>
                </c:pt>
                <c:pt idx="15">
                  <c:v>44363</c:v>
                </c:pt>
                <c:pt idx="16">
                  <c:v>44364</c:v>
                </c:pt>
                <c:pt idx="17">
                  <c:v>44365</c:v>
                </c:pt>
                <c:pt idx="18">
                  <c:v>44366</c:v>
                </c:pt>
                <c:pt idx="19">
                  <c:v>44367</c:v>
                </c:pt>
                <c:pt idx="20">
                  <c:v>44368</c:v>
                </c:pt>
                <c:pt idx="21">
                  <c:v>44369</c:v>
                </c:pt>
                <c:pt idx="22">
                  <c:v>44370</c:v>
                </c:pt>
                <c:pt idx="23">
                  <c:v>44371</c:v>
                </c:pt>
                <c:pt idx="24">
                  <c:v>44372</c:v>
                </c:pt>
                <c:pt idx="25">
                  <c:v>44373</c:v>
                </c:pt>
                <c:pt idx="26">
                  <c:v>44374</c:v>
                </c:pt>
                <c:pt idx="27">
                  <c:v>44375</c:v>
                </c:pt>
                <c:pt idx="28">
                  <c:v>44376</c:v>
                </c:pt>
                <c:pt idx="29">
                  <c:v>44377</c:v>
                </c:pt>
                <c:pt idx="30">
                  <c:v>44378</c:v>
                </c:pt>
                <c:pt idx="31">
                  <c:v>44379</c:v>
                </c:pt>
                <c:pt idx="32">
                  <c:v>44380</c:v>
                </c:pt>
                <c:pt idx="33">
                  <c:v>44381</c:v>
                </c:pt>
                <c:pt idx="34">
                  <c:v>44382</c:v>
                </c:pt>
                <c:pt idx="35">
                  <c:v>44383</c:v>
                </c:pt>
                <c:pt idx="36">
                  <c:v>44384</c:v>
                </c:pt>
                <c:pt idx="37">
                  <c:v>44385</c:v>
                </c:pt>
                <c:pt idx="38">
                  <c:v>44386</c:v>
                </c:pt>
                <c:pt idx="39">
                  <c:v>44387</c:v>
                </c:pt>
                <c:pt idx="40">
                  <c:v>44388</c:v>
                </c:pt>
                <c:pt idx="41">
                  <c:v>44389</c:v>
                </c:pt>
                <c:pt idx="42">
                  <c:v>44390</c:v>
                </c:pt>
                <c:pt idx="43">
                  <c:v>44391</c:v>
                </c:pt>
                <c:pt idx="44">
                  <c:v>44392</c:v>
                </c:pt>
                <c:pt idx="45">
                  <c:v>44393</c:v>
                </c:pt>
                <c:pt idx="46">
                  <c:v>44394</c:v>
                </c:pt>
                <c:pt idx="47">
                  <c:v>44395</c:v>
                </c:pt>
                <c:pt idx="48">
                  <c:v>44396</c:v>
                </c:pt>
                <c:pt idx="49">
                  <c:v>44397</c:v>
                </c:pt>
                <c:pt idx="50">
                  <c:v>44398</c:v>
                </c:pt>
                <c:pt idx="51">
                  <c:v>44399</c:v>
                </c:pt>
                <c:pt idx="52">
                  <c:v>44400</c:v>
                </c:pt>
                <c:pt idx="53">
                  <c:v>44401</c:v>
                </c:pt>
                <c:pt idx="54">
                  <c:v>44402</c:v>
                </c:pt>
                <c:pt idx="55">
                  <c:v>44403</c:v>
                </c:pt>
                <c:pt idx="56">
                  <c:v>44404</c:v>
                </c:pt>
                <c:pt idx="57">
                  <c:v>44405</c:v>
                </c:pt>
                <c:pt idx="58">
                  <c:v>44406</c:v>
                </c:pt>
                <c:pt idx="59">
                  <c:v>44407</c:v>
                </c:pt>
                <c:pt idx="60">
                  <c:v>44408</c:v>
                </c:pt>
                <c:pt idx="61">
                  <c:v>44409</c:v>
                </c:pt>
                <c:pt idx="62">
                  <c:v>44410</c:v>
                </c:pt>
                <c:pt idx="63">
                  <c:v>44411</c:v>
                </c:pt>
                <c:pt idx="64">
                  <c:v>44412</c:v>
                </c:pt>
                <c:pt idx="65">
                  <c:v>44413</c:v>
                </c:pt>
                <c:pt idx="66">
                  <c:v>44414</c:v>
                </c:pt>
                <c:pt idx="67">
                  <c:v>44415</c:v>
                </c:pt>
                <c:pt idx="68">
                  <c:v>44416</c:v>
                </c:pt>
                <c:pt idx="69">
                  <c:v>44417</c:v>
                </c:pt>
                <c:pt idx="70">
                  <c:v>44418</c:v>
                </c:pt>
                <c:pt idx="71">
                  <c:v>44419</c:v>
                </c:pt>
                <c:pt idx="72">
                  <c:v>44420</c:v>
                </c:pt>
                <c:pt idx="73">
                  <c:v>44421</c:v>
                </c:pt>
                <c:pt idx="74">
                  <c:v>44422</c:v>
                </c:pt>
                <c:pt idx="75">
                  <c:v>44423</c:v>
                </c:pt>
                <c:pt idx="76">
                  <c:v>44424</c:v>
                </c:pt>
                <c:pt idx="77">
                  <c:v>44425</c:v>
                </c:pt>
                <c:pt idx="78">
                  <c:v>44426</c:v>
                </c:pt>
                <c:pt idx="79">
                  <c:v>44427</c:v>
                </c:pt>
                <c:pt idx="80">
                  <c:v>44428</c:v>
                </c:pt>
                <c:pt idx="81">
                  <c:v>44429</c:v>
                </c:pt>
                <c:pt idx="82">
                  <c:v>44430</c:v>
                </c:pt>
                <c:pt idx="83">
                  <c:v>44431</c:v>
                </c:pt>
                <c:pt idx="84">
                  <c:v>44432</c:v>
                </c:pt>
                <c:pt idx="85">
                  <c:v>44433</c:v>
                </c:pt>
                <c:pt idx="86">
                  <c:v>44434</c:v>
                </c:pt>
                <c:pt idx="87">
                  <c:v>44435</c:v>
                </c:pt>
                <c:pt idx="88">
                  <c:v>44436</c:v>
                </c:pt>
                <c:pt idx="89">
                  <c:v>44437</c:v>
                </c:pt>
                <c:pt idx="90">
                  <c:v>44438</c:v>
                </c:pt>
                <c:pt idx="91">
                  <c:v>44439</c:v>
                </c:pt>
                <c:pt idx="92">
                  <c:v>44440</c:v>
                </c:pt>
                <c:pt idx="93">
                  <c:v>44441</c:v>
                </c:pt>
                <c:pt idx="94">
                  <c:v>44442</c:v>
                </c:pt>
                <c:pt idx="95">
                  <c:v>44443</c:v>
                </c:pt>
                <c:pt idx="96">
                  <c:v>44444</c:v>
                </c:pt>
                <c:pt idx="97">
                  <c:v>44445</c:v>
                </c:pt>
                <c:pt idx="98">
                  <c:v>44446</c:v>
                </c:pt>
                <c:pt idx="99">
                  <c:v>44447</c:v>
                </c:pt>
                <c:pt idx="100">
                  <c:v>44448</c:v>
                </c:pt>
                <c:pt idx="101">
                  <c:v>44449</c:v>
                </c:pt>
                <c:pt idx="102">
                  <c:v>44450</c:v>
                </c:pt>
                <c:pt idx="103">
                  <c:v>44451</c:v>
                </c:pt>
                <c:pt idx="104">
                  <c:v>44452</c:v>
                </c:pt>
                <c:pt idx="105">
                  <c:v>44453</c:v>
                </c:pt>
                <c:pt idx="106">
                  <c:v>44454</c:v>
                </c:pt>
                <c:pt idx="107">
                  <c:v>44455</c:v>
                </c:pt>
                <c:pt idx="108">
                  <c:v>44456</c:v>
                </c:pt>
                <c:pt idx="109">
                  <c:v>44457</c:v>
                </c:pt>
                <c:pt idx="110">
                  <c:v>44458</c:v>
                </c:pt>
                <c:pt idx="111">
                  <c:v>44459</c:v>
                </c:pt>
                <c:pt idx="112">
                  <c:v>44460</c:v>
                </c:pt>
                <c:pt idx="113">
                  <c:v>44461</c:v>
                </c:pt>
                <c:pt idx="114">
                  <c:v>44462</c:v>
                </c:pt>
                <c:pt idx="115">
                  <c:v>44463</c:v>
                </c:pt>
                <c:pt idx="116">
                  <c:v>44464</c:v>
                </c:pt>
                <c:pt idx="117">
                  <c:v>44465</c:v>
                </c:pt>
                <c:pt idx="118">
                  <c:v>44466</c:v>
                </c:pt>
                <c:pt idx="119">
                  <c:v>44467</c:v>
                </c:pt>
                <c:pt idx="120">
                  <c:v>44468</c:v>
                </c:pt>
                <c:pt idx="121">
                  <c:v>44469</c:v>
                </c:pt>
                <c:pt idx="122">
                  <c:v>44470</c:v>
                </c:pt>
                <c:pt idx="123">
                  <c:v>44471</c:v>
                </c:pt>
                <c:pt idx="124">
                  <c:v>44472</c:v>
                </c:pt>
                <c:pt idx="125">
                  <c:v>44473</c:v>
                </c:pt>
                <c:pt idx="126">
                  <c:v>44474</c:v>
                </c:pt>
                <c:pt idx="127">
                  <c:v>44475</c:v>
                </c:pt>
                <c:pt idx="128">
                  <c:v>44476</c:v>
                </c:pt>
                <c:pt idx="129">
                  <c:v>44477</c:v>
                </c:pt>
                <c:pt idx="130">
                  <c:v>44478</c:v>
                </c:pt>
                <c:pt idx="131">
                  <c:v>44479</c:v>
                </c:pt>
              </c:numCache>
            </c:numRef>
          </c:cat>
          <c:val>
            <c:numRef>
              <c:f>Sheet1!$B$153:$B$284</c:f>
              <c:numCache>
                <c:formatCode>General</c:formatCode>
                <c:ptCount val="132"/>
                <c:pt idx="0">
                  <c:v>1555</c:v>
                </c:pt>
                <c:pt idx="1">
                  <c:v>1585</c:v>
                </c:pt>
                <c:pt idx="2">
                  <c:v>1545</c:v>
                </c:pt>
                <c:pt idx="3">
                  <c:v>1624</c:v>
                </c:pt>
                <c:pt idx="4">
                  <c:v>1703</c:v>
                </c:pt>
                <c:pt idx="5">
                  <c:v>1713</c:v>
                </c:pt>
                <c:pt idx="6">
                  <c:v>1796</c:v>
                </c:pt>
                <c:pt idx="7">
                  <c:v>1630</c:v>
                </c:pt>
                <c:pt idx="8">
                  <c:v>1642</c:v>
                </c:pt>
                <c:pt idx="9">
                  <c:v>1478</c:v>
                </c:pt>
                <c:pt idx="10">
                  <c:v>1564</c:v>
                </c:pt>
                <c:pt idx="11">
                  <c:v>1538</c:v>
                </c:pt>
                <c:pt idx="12">
                  <c:v>1575</c:v>
                </c:pt>
                <c:pt idx="13">
                  <c:v>1713</c:v>
                </c:pt>
                <c:pt idx="14">
                  <c:v>1551</c:v>
                </c:pt>
                <c:pt idx="15">
                  <c:v>1449</c:v>
                </c:pt>
                <c:pt idx="16">
                  <c:v>1566</c:v>
                </c:pt>
                <c:pt idx="17">
                  <c:v>1703</c:v>
                </c:pt>
                <c:pt idx="18">
                  <c:v>1753</c:v>
                </c:pt>
                <c:pt idx="19">
                  <c:v>1800</c:v>
                </c:pt>
                <c:pt idx="20">
                  <c:v>2060</c:v>
                </c:pt>
                <c:pt idx="21">
                  <c:v>2006</c:v>
                </c:pt>
                <c:pt idx="22">
                  <c:v>1952</c:v>
                </c:pt>
                <c:pt idx="23">
                  <c:v>2511</c:v>
                </c:pt>
                <c:pt idx="24">
                  <c:v>2067</c:v>
                </c:pt>
                <c:pt idx="25">
                  <c:v>1852</c:v>
                </c:pt>
                <c:pt idx="26">
                  <c:v>1774</c:v>
                </c:pt>
                <c:pt idx="27">
                  <c:v>1826</c:v>
                </c:pt>
                <c:pt idx="28">
                  <c:v>1743</c:v>
                </c:pt>
                <c:pt idx="29">
                  <c:v>1818</c:v>
                </c:pt>
                <c:pt idx="30">
                  <c:v>1831</c:v>
                </c:pt>
                <c:pt idx="31">
                  <c:v>1777</c:v>
                </c:pt>
                <c:pt idx="32">
                  <c:v>1721</c:v>
                </c:pt>
                <c:pt idx="33">
                  <c:v>1623</c:v>
                </c:pt>
                <c:pt idx="34">
                  <c:v>1682</c:v>
                </c:pt>
                <c:pt idx="35">
                  <c:v>1546</c:v>
                </c:pt>
                <c:pt idx="36">
                  <c:v>1557</c:v>
                </c:pt>
                <c:pt idx="37">
                  <c:v>1633</c:v>
                </c:pt>
                <c:pt idx="38">
                  <c:v>1840</c:v>
                </c:pt>
                <c:pt idx="39">
                  <c:v>1910</c:v>
                </c:pt>
                <c:pt idx="40">
                  <c:v>1839</c:v>
                </c:pt>
                <c:pt idx="41">
                  <c:v>1875</c:v>
                </c:pt>
                <c:pt idx="42">
                  <c:v>1936</c:v>
                </c:pt>
                <c:pt idx="43">
                  <c:v>1739</c:v>
                </c:pt>
                <c:pt idx="44">
                  <c:v>1811</c:v>
                </c:pt>
                <c:pt idx="45">
                  <c:v>1965</c:v>
                </c:pt>
                <c:pt idx="46">
                  <c:v>2033</c:v>
                </c:pt>
                <c:pt idx="47">
                  <c:v>1887</c:v>
                </c:pt>
                <c:pt idx="48">
                  <c:v>1795</c:v>
                </c:pt>
                <c:pt idx="49">
                  <c:v>1678</c:v>
                </c:pt>
                <c:pt idx="50">
                  <c:v>1625</c:v>
                </c:pt>
                <c:pt idx="51">
                  <c:v>1763</c:v>
                </c:pt>
                <c:pt idx="52">
                  <c:v>1619</c:v>
                </c:pt>
                <c:pt idx="53">
                  <c:v>1715</c:v>
                </c:pt>
                <c:pt idx="54">
                  <c:v>1683</c:v>
                </c:pt>
                <c:pt idx="55">
                  <c:v>1811</c:v>
                </c:pt>
                <c:pt idx="56">
                  <c:v>1581</c:v>
                </c:pt>
                <c:pt idx="57">
                  <c:v>1590</c:v>
                </c:pt>
                <c:pt idx="58">
                  <c:v>1518</c:v>
                </c:pt>
                <c:pt idx="59">
                  <c:v>1432</c:v>
                </c:pt>
                <c:pt idx="60">
                  <c:v>1617</c:v>
                </c:pt>
                <c:pt idx="61">
                  <c:v>1713</c:v>
                </c:pt>
                <c:pt idx="62">
                  <c:v>1727</c:v>
                </c:pt>
                <c:pt idx="63">
                  <c:v>1554</c:v>
                </c:pt>
                <c:pt idx="64">
                  <c:v>1462</c:v>
                </c:pt>
                <c:pt idx="65">
                  <c:v>1583</c:v>
                </c:pt>
                <c:pt idx="66">
                  <c:v>1611</c:v>
                </c:pt>
                <c:pt idx="67">
                  <c:v>1746</c:v>
                </c:pt>
                <c:pt idx="68">
                  <c:v>1695</c:v>
                </c:pt>
                <c:pt idx="69">
                  <c:v>1555</c:v>
                </c:pt>
                <c:pt idx="70">
                  <c:v>1666</c:v>
                </c:pt>
                <c:pt idx="71">
                  <c:v>1535</c:v>
                </c:pt>
                <c:pt idx="72">
                  <c:v>1552</c:v>
                </c:pt>
                <c:pt idx="73">
                  <c:v>1620</c:v>
                </c:pt>
                <c:pt idx="74">
                  <c:v>1748</c:v>
                </c:pt>
                <c:pt idx="75">
                  <c:v>1503</c:v>
                </c:pt>
                <c:pt idx="76">
                  <c:v>1769</c:v>
                </c:pt>
                <c:pt idx="77">
                  <c:v>1503</c:v>
                </c:pt>
                <c:pt idx="78">
                  <c:v>1534</c:v>
                </c:pt>
                <c:pt idx="79">
                  <c:v>1434</c:v>
                </c:pt>
                <c:pt idx="80">
                  <c:v>1540</c:v>
                </c:pt>
                <c:pt idx="81">
                  <c:v>1714</c:v>
                </c:pt>
                <c:pt idx="82">
                  <c:v>1687</c:v>
                </c:pt>
                <c:pt idx="83">
                  <c:v>1684</c:v>
                </c:pt>
                <c:pt idx="84">
                  <c:v>1469</c:v>
                </c:pt>
                <c:pt idx="85">
                  <c:v>1426</c:v>
                </c:pt>
                <c:pt idx="86">
                  <c:v>1523</c:v>
                </c:pt>
                <c:pt idx="87">
                  <c:v>1580</c:v>
                </c:pt>
                <c:pt idx="88">
                  <c:v>1700</c:v>
                </c:pt>
                <c:pt idx="89">
                  <c:v>1749</c:v>
                </c:pt>
                <c:pt idx="90">
                  <c:v>1691</c:v>
                </c:pt>
                <c:pt idx="91">
                  <c:v>1575</c:v>
                </c:pt>
                <c:pt idx="92">
                  <c:v>1521</c:v>
                </c:pt>
                <c:pt idx="93">
                  <c:v>1580</c:v>
                </c:pt>
                <c:pt idx="94">
                  <c:v>1546</c:v>
                </c:pt>
                <c:pt idx="95">
                  <c:v>1578</c:v>
                </c:pt>
                <c:pt idx="96">
                  <c:v>1621</c:v>
                </c:pt>
                <c:pt idx="97">
                  <c:v>1806</c:v>
                </c:pt>
                <c:pt idx="98">
                  <c:v>1544</c:v>
                </c:pt>
                <c:pt idx="99">
                  <c:v>1724</c:v>
                </c:pt>
                <c:pt idx="100">
                  <c:v>1751</c:v>
                </c:pt>
                <c:pt idx="101">
                  <c:v>1770</c:v>
                </c:pt>
                <c:pt idx="102">
                  <c:v>2109</c:v>
                </c:pt>
                <c:pt idx="103">
                  <c:v>1844</c:v>
                </c:pt>
                <c:pt idx="104">
                  <c:v>1856</c:v>
                </c:pt>
                <c:pt idx="105">
                  <c:v>1733</c:v>
                </c:pt>
                <c:pt idx="106">
                  <c:v>1803</c:v>
                </c:pt>
                <c:pt idx="107">
                  <c:v>1861</c:v>
                </c:pt>
                <c:pt idx="108">
                  <c:v>1807</c:v>
                </c:pt>
                <c:pt idx="109">
                  <c:v>1787</c:v>
                </c:pt>
                <c:pt idx="110">
                  <c:v>1594</c:v>
                </c:pt>
                <c:pt idx="111">
                  <c:v>1864</c:v>
                </c:pt>
                <c:pt idx="112">
                  <c:v>1574</c:v>
                </c:pt>
                <c:pt idx="113">
                  <c:v>1633</c:v>
                </c:pt>
                <c:pt idx="114">
                  <c:v>1694</c:v>
                </c:pt>
                <c:pt idx="115">
                  <c:v>1617</c:v>
                </c:pt>
                <c:pt idx="116">
                  <c:v>1688</c:v>
                </c:pt>
                <c:pt idx="117">
                  <c:v>1746</c:v>
                </c:pt>
                <c:pt idx="118">
                  <c:v>1708</c:v>
                </c:pt>
                <c:pt idx="119">
                  <c:v>1628</c:v>
                </c:pt>
                <c:pt idx="120">
                  <c:v>1533</c:v>
                </c:pt>
                <c:pt idx="121">
                  <c:v>1666</c:v>
                </c:pt>
                <c:pt idx="122">
                  <c:v>1948</c:v>
                </c:pt>
                <c:pt idx="123">
                  <c:v>1873</c:v>
                </c:pt>
                <c:pt idx="124">
                  <c:v>1650</c:v>
                </c:pt>
                <c:pt idx="125">
                  <c:v>1991</c:v>
                </c:pt>
                <c:pt idx="126">
                  <c:v>1840</c:v>
                </c:pt>
                <c:pt idx="127">
                  <c:v>1708</c:v>
                </c:pt>
                <c:pt idx="128">
                  <c:v>1614</c:v>
                </c:pt>
                <c:pt idx="129">
                  <c:v>1813</c:v>
                </c:pt>
                <c:pt idx="130">
                  <c:v>1813</c:v>
                </c:pt>
                <c:pt idx="131">
                  <c:v>1872</c:v>
                </c:pt>
              </c:numCache>
            </c:numRef>
          </c:val>
          <c:smooth val="0"/>
          <c:extLst>
            <c:ext xmlns:c16="http://schemas.microsoft.com/office/drawing/2014/chart" uri="{C3380CC4-5D6E-409C-BE32-E72D297353CC}">
              <c16:uniqueId val="{00000000-6C3E-4554-AAE6-239F790D9D7A}"/>
            </c:ext>
          </c:extLst>
        </c:ser>
        <c:ser>
          <c:idx val="1"/>
          <c:order val="1"/>
          <c:tx>
            <c:strRef>
              <c:f>Sheet1!$C$1</c:f>
              <c:strCache>
                <c:ptCount val="1"/>
                <c:pt idx="0">
                  <c:v>Izpildītie izsaukumi</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Sheet1!$A$153:$A$284</c:f>
              <c:numCache>
                <c:formatCode>dd\.mm\.yyyy</c:formatCode>
                <c:ptCount val="132"/>
                <c:pt idx="0">
                  <c:v>44348</c:v>
                </c:pt>
                <c:pt idx="1">
                  <c:v>44349</c:v>
                </c:pt>
                <c:pt idx="2">
                  <c:v>44350</c:v>
                </c:pt>
                <c:pt idx="3">
                  <c:v>44351</c:v>
                </c:pt>
                <c:pt idx="4">
                  <c:v>44352</c:v>
                </c:pt>
                <c:pt idx="5">
                  <c:v>44353</c:v>
                </c:pt>
                <c:pt idx="6">
                  <c:v>44354</c:v>
                </c:pt>
                <c:pt idx="7">
                  <c:v>44355</c:v>
                </c:pt>
                <c:pt idx="8">
                  <c:v>44356</c:v>
                </c:pt>
                <c:pt idx="9">
                  <c:v>44357</c:v>
                </c:pt>
                <c:pt idx="10">
                  <c:v>44358</c:v>
                </c:pt>
                <c:pt idx="11">
                  <c:v>44359</c:v>
                </c:pt>
                <c:pt idx="12">
                  <c:v>44360</c:v>
                </c:pt>
                <c:pt idx="13">
                  <c:v>44361</c:v>
                </c:pt>
                <c:pt idx="14">
                  <c:v>44362</c:v>
                </c:pt>
                <c:pt idx="15">
                  <c:v>44363</c:v>
                </c:pt>
                <c:pt idx="16">
                  <c:v>44364</c:v>
                </c:pt>
                <c:pt idx="17">
                  <c:v>44365</c:v>
                </c:pt>
                <c:pt idx="18">
                  <c:v>44366</c:v>
                </c:pt>
                <c:pt idx="19">
                  <c:v>44367</c:v>
                </c:pt>
                <c:pt idx="20">
                  <c:v>44368</c:v>
                </c:pt>
                <c:pt idx="21">
                  <c:v>44369</c:v>
                </c:pt>
                <c:pt idx="22">
                  <c:v>44370</c:v>
                </c:pt>
                <c:pt idx="23">
                  <c:v>44371</c:v>
                </c:pt>
                <c:pt idx="24">
                  <c:v>44372</c:v>
                </c:pt>
                <c:pt idx="25">
                  <c:v>44373</c:v>
                </c:pt>
                <c:pt idx="26">
                  <c:v>44374</c:v>
                </c:pt>
                <c:pt idx="27">
                  <c:v>44375</c:v>
                </c:pt>
                <c:pt idx="28">
                  <c:v>44376</c:v>
                </c:pt>
                <c:pt idx="29">
                  <c:v>44377</c:v>
                </c:pt>
                <c:pt idx="30">
                  <c:v>44378</c:v>
                </c:pt>
                <c:pt idx="31">
                  <c:v>44379</c:v>
                </c:pt>
                <c:pt idx="32">
                  <c:v>44380</c:v>
                </c:pt>
                <c:pt idx="33">
                  <c:v>44381</c:v>
                </c:pt>
                <c:pt idx="34">
                  <c:v>44382</c:v>
                </c:pt>
                <c:pt idx="35">
                  <c:v>44383</c:v>
                </c:pt>
                <c:pt idx="36">
                  <c:v>44384</c:v>
                </c:pt>
                <c:pt idx="37">
                  <c:v>44385</c:v>
                </c:pt>
                <c:pt idx="38">
                  <c:v>44386</c:v>
                </c:pt>
                <c:pt idx="39">
                  <c:v>44387</c:v>
                </c:pt>
                <c:pt idx="40">
                  <c:v>44388</c:v>
                </c:pt>
                <c:pt idx="41">
                  <c:v>44389</c:v>
                </c:pt>
                <c:pt idx="42">
                  <c:v>44390</c:v>
                </c:pt>
                <c:pt idx="43">
                  <c:v>44391</c:v>
                </c:pt>
                <c:pt idx="44">
                  <c:v>44392</c:v>
                </c:pt>
                <c:pt idx="45">
                  <c:v>44393</c:v>
                </c:pt>
                <c:pt idx="46">
                  <c:v>44394</c:v>
                </c:pt>
                <c:pt idx="47">
                  <c:v>44395</c:v>
                </c:pt>
                <c:pt idx="48">
                  <c:v>44396</c:v>
                </c:pt>
                <c:pt idx="49">
                  <c:v>44397</c:v>
                </c:pt>
                <c:pt idx="50">
                  <c:v>44398</c:v>
                </c:pt>
                <c:pt idx="51">
                  <c:v>44399</c:v>
                </c:pt>
                <c:pt idx="52">
                  <c:v>44400</c:v>
                </c:pt>
                <c:pt idx="53">
                  <c:v>44401</c:v>
                </c:pt>
                <c:pt idx="54">
                  <c:v>44402</c:v>
                </c:pt>
                <c:pt idx="55">
                  <c:v>44403</c:v>
                </c:pt>
                <c:pt idx="56">
                  <c:v>44404</c:v>
                </c:pt>
                <c:pt idx="57">
                  <c:v>44405</c:v>
                </c:pt>
                <c:pt idx="58">
                  <c:v>44406</c:v>
                </c:pt>
                <c:pt idx="59">
                  <c:v>44407</c:v>
                </c:pt>
                <c:pt idx="60">
                  <c:v>44408</c:v>
                </c:pt>
                <c:pt idx="61">
                  <c:v>44409</c:v>
                </c:pt>
                <c:pt idx="62">
                  <c:v>44410</c:v>
                </c:pt>
                <c:pt idx="63">
                  <c:v>44411</c:v>
                </c:pt>
                <c:pt idx="64">
                  <c:v>44412</c:v>
                </c:pt>
                <c:pt idx="65">
                  <c:v>44413</c:v>
                </c:pt>
                <c:pt idx="66">
                  <c:v>44414</c:v>
                </c:pt>
                <c:pt idx="67">
                  <c:v>44415</c:v>
                </c:pt>
                <c:pt idx="68">
                  <c:v>44416</c:v>
                </c:pt>
                <c:pt idx="69">
                  <c:v>44417</c:v>
                </c:pt>
                <c:pt idx="70">
                  <c:v>44418</c:v>
                </c:pt>
                <c:pt idx="71">
                  <c:v>44419</c:v>
                </c:pt>
                <c:pt idx="72">
                  <c:v>44420</c:v>
                </c:pt>
                <c:pt idx="73">
                  <c:v>44421</c:v>
                </c:pt>
                <c:pt idx="74">
                  <c:v>44422</c:v>
                </c:pt>
                <c:pt idx="75">
                  <c:v>44423</c:v>
                </c:pt>
                <c:pt idx="76">
                  <c:v>44424</c:v>
                </c:pt>
                <c:pt idx="77">
                  <c:v>44425</c:v>
                </c:pt>
                <c:pt idx="78">
                  <c:v>44426</c:v>
                </c:pt>
                <c:pt idx="79">
                  <c:v>44427</c:v>
                </c:pt>
                <c:pt idx="80">
                  <c:v>44428</c:v>
                </c:pt>
                <c:pt idx="81">
                  <c:v>44429</c:v>
                </c:pt>
                <c:pt idx="82">
                  <c:v>44430</c:v>
                </c:pt>
                <c:pt idx="83">
                  <c:v>44431</c:v>
                </c:pt>
                <c:pt idx="84">
                  <c:v>44432</c:v>
                </c:pt>
                <c:pt idx="85">
                  <c:v>44433</c:v>
                </c:pt>
                <c:pt idx="86">
                  <c:v>44434</c:v>
                </c:pt>
                <c:pt idx="87">
                  <c:v>44435</c:v>
                </c:pt>
                <c:pt idx="88">
                  <c:v>44436</c:v>
                </c:pt>
                <c:pt idx="89">
                  <c:v>44437</c:v>
                </c:pt>
                <c:pt idx="90">
                  <c:v>44438</c:v>
                </c:pt>
                <c:pt idx="91">
                  <c:v>44439</c:v>
                </c:pt>
                <c:pt idx="92">
                  <c:v>44440</c:v>
                </c:pt>
                <c:pt idx="93">
                  <c:v>44441</c:v>
                </c:pt>
                <c:pt idx="94">
                  <c:v>44442</c:v>
                </c:pt>
                <c:pt idx="95">
                  <c:v>44443</c:v>
                </c:pt>
                <c:pt idx="96">
                  <c:v>44444</c:v>
                </c:pt>
                <c:pt idx="97">
                  <c:v>44445</c:v>
                </c:pt>
                <c:pt idx="98">
                  <c:v>44446</c:v>
                </c:pt>
                <c:pt idx="99">
                  <c:v>44447</c:v>
                </c:pt>
                <c:pt idx="100">
                  <c:v>44448</c:v>
                </c:pt>
                <c:pt idx="101">
                  <c:v>44449</c:v>
                </c:pt>
                <c:pt idx="102">
                  <c:v>44450</c:v>
                </c:pt>
                <c:pt idx="103">
                  <c:v>44451</c:v>
                </c:pt>
                <c:pt idx="104">
                  <c:v>44452</c:v>
                </c:pt>
                <c:pt idx="105">
                  <c:v>44453</c:v>
                </c:pt>
                <c:pt idx="106">
                  <c:v>44454</c:v>
                </c:pt>
                <c:pt idx="107">
                  <c:v>44455</c:v>
                </c:pt>
                <c:pt idx="108">
                  <c:v>44456</c:v>
                </c:pt>
                <c:pt idx="109">
                  <c:v>44457</c:v>
                </c:pt>
                <c:pt idx="110">
                  <c:v>44458</c:v>
                </c:pt>
                <c:pt idx="111">
                  <c:v>44459</c:v>
                </c:pt>
                <c:pt idx="112">
                  <c:v>44460</c:v>
                </c:pt>
                <c:pt idx="113">
                  <c:v>44461</c:v>
                </c:pt>
                <c:pt idx="114">
                  <c:v>44462</c:v>
                </c:pt>
                <c:pt idx="115">
                  <c:v>44463</c:v>
                </c:pt>
                <c:pt idx="116">
                  <c:v>44464</c:v>
                </c:pt>
                <c:pt idx="117">
                  <c:v>44465</c:v>
                </c:pt>
                <c:pt idx="118">
                  <c:v>44466</c:v>
                </c:pt>
                <c:pt idx="119">
                  <c:v>44467</c:v>
                </c:pt>
                <c:pt idx="120">
                  <c:v>44468</c:v>
                </c:pt>
                <c:pt idx="121">
                  <c:v>44469</c:v>
                </c:pt>
                <c:pt idx="122">
                  <c:v>44470</c:v>
                </c:pt>
                <c:pt idx="123">
                  <c:v>44471</c:v>
                </c:pt>
                <c:pt idx="124">
                  <c:v>44472</c:v>
                </c:pt>
                <c:pt idx="125">
                  <c:v>44473</c:v>
                </c:pt>
                <c:pt idx="126">
                  <c:v>44474</c:v>
                </c:pt>
                <c:pt idx="127">
                  <c:v>44475</c:v>
                </c:pt>
                <c:pt idx="128">
                  <c:v>44476</c:v>
                </c:pt>
                <c:pt idx="129">
                  <c:v>44477</c:v>
                </c:pt>
                <c:pt idx="130">
                  <c:v>44478</c:v>
                </c:pt>
                <c:pt idx="131">
                  <c:v>44479</c:v>
                </c:pt>
              </c:numCache>
            </c:numRef>
          </c:cat>
          <c:val>
            <c:numRef>
              <c:f>Sheet1!$C$153:$C$284</c:f>
              <c:numCache>
                <c:formatCode>General</c:formatCode>
                <c:ptCount val="132"/>
                <c:pt idx="0">
                  <c:v>1007</c:v>
                </c:pt>
                <c:pt idx="1">
                  <c:v>983</c:v>
                </c:pt>
                <c:pt idx="2">
                  <c:v>997</c:v>
                </c:pt>
                <c:pt idx="3">
                  <c:v>1049</c:v>
                </c:pt>
                <c:pt idx="4">
                  <c:v>1026</c:v>
                </c:pt>
                <c:pt idx="5">
                  <c:v>1054</c:v>
                </c:pt>
                <c:pt idx="6">
                  <c:v>1137</c:v>
                </c:pt>
                <c:pt idx="7">
                  <c:v>1028</c:v>
                </c:pt>
                <c:pt idx="8">
                  <c:v>1055</c:v>
                </c:pt>
                <c:pt idx="9">
                  <c:v>960</c:v>
                </c:pt>
                <c:pt idx="10">
                  <c:v>1036</c:v>
                </c:pt>
                <c:pt idx="11">
                  <c:v>966</c:v>
                </c:pt>
                <c:pt idx="12">
                  <c:v>996</c:v>
                </c:pt>
                <c:pt idx="13">
                  <c:v>1153</c:v>
                </c:pt>
                <c:pt idx="14">
                  <c:v>1030</c:v>
                </c:pt>
                <c:pt idx="15">
                  <c:v>1012</c:v>
                </c:pt>
                <c:pt idx="16">
                  <c:v>1051</c:v>
                </c:pt>
                <c:pt idx="17">
                  <c:v>1098</c:v>
                </c:pt>
                <c:pt idx="18">
                  <c:v>1085</c:v>
                </c:pt>
                <c:pt idx="19">
                  <c:v>1078</c:v>
                </c:pt>
                <c:pt idx="20">
                  <c:v>1240</c:v>
                </c:pt>
                <c:pt idx="21">
                  <c:v>1232</c:v>
                </c:pt>
                <c:pt idx="22">
                  <c:v>1166</c:v>
                </c:pt>
                <c:pt idx="23">
                  <c:v>1275</c:v>
                </c:pt>
                <c:pt idx="24">
                  <c:v>1172</c:v>
                </c:pt>
                <c:pt idx="25">
                  <c:v>1060</c:v>
                </c:pt>
                <c:pt idx="26">
                  <c:v>1040</c:v>
                </c:pt>
                <c:pt idx="27">
                  <c:v>1117</c:v>
                </c:pt>
                <c:pt idx="28">
                  <c:v>1047</c:v>
                </c:pt>
                <c:pt idx="29">
                  <c:v>1102</c:v>
                </c:pt>
                <c:pt idx="30">
                  <c:v>1050</c:v>
                </c:pt>
                <c:pt idx="31">
                  <c:v>1013</c:v>
                </c:pt>
                <c:pt idx="32">
                  <c:v>1040</c:v>
                </c:pt>
                <c:pt idx="33">
                  <c:v>1013</c:v>
                </c:pt>
                <c:pt idx="34">
                  <c:v>1084</c:v>
                </c:pt>
                <c:pt idx="35">
                  <c:v>1023</c:v>
                </c:pt>
                <c:pt idx="36">
                  <c:v>1000</c:v>
                </c:pt>
                <c:pt idx="37">
                  <c:v>1061</c:v>
                </c:pt>
                <c:pt idx="38">
                  <c:v>1113</c:v>
                </c:pt>
                <c:pt idx="39">
                  <c:v>1123</c:v>
                </c:pt>
                <c:pt idx="40">
                  <c:v>1100</c:v>
                </c:pt>
                <c:pt idx="41">
                  <c:v>1182</c:v>
                </c:pt>
                <c:pt idx="42">
                  <c:v>1198</c:v>
                </c:pt>
                <c:pt idx="43">
                  <c:v>1052</c:v>
                </c:pt>
                <c:pt idx="44">
                  <c:v>1095</c:v>
                </c:pt>
                <c:pt idx="45">
                  <c:v>1161</c:v>
                </c:pt>
                <c:pt idx="46">
                  <c:v>1115</c:v>
                </c:pt>
                <c:pt idx="47">
                  <c:v>1196</c:v>
                </c:pt>
                <c:pt idx="48">
                  <c:v>1136</c:v>
                </c:pt>
                <c:pt idx="49">
                  <c:v>1067</c:v>
                </c:pt>
                <c:pt idx="50">
                  <c:v>1054</c:v>
                </c:pt>
                <c:pt idx="51">
                  <c:v>1042</c:v>
                </c:pt>
                <c:pt idx="52">
                  <c:v>1016</c:v>
                </c:pt>
                <c:pt idx="53">
                  <c:v>1049</c:v>
                </c:pt>
                <c:pt idx="54">
                  <c:v>1087</c:v>
                </c:pt>
                <c:pt idx="55">
                  <c:v>1125</c:v>
                </c:pt>
                <c:pt idx="56">
                  <c:v>1057</c:v>
                </c:pt>
                <c:pt idx="57">
                  <c:v>1050</c:v>
                </c:pt>
                <c:pt idx="58">
                  <c:v>1014</c:v>
                </c:pt>
                <c:pt idx="59">
                  <c:v>978</c:v>
                </c:pt>
                <c:pt idx="60">
                  <c:v>1018</c:v>
                </c:pt>
                <c:pt idx="61">
                  <c:v>1065</c:v>
                </c:pt>
                <c:pt idx="62">
                  <c:v>1079</c:v>
                </c:pt>
                <c:pt idx="63">
                  <c:v>1080</c:v>
                </c:pt>
                <c:pt idx="64">
                  <c:v>969</c:v>
                </c:pt>
                <c:pt idx="65">
                  <c:v>1071</c:v>
                </c:pt>
                <c:pt idx="66">
                  <c:v>993</c:v>
                </c:pt>
                <c:pt idx="67">
                  <c:v>1037</c:v>
                </c:pt>
                <c:pt idx="68">
                  <c:v>1091</c:v>
                </c:pt>
                <c:pt idx="69">
                  <c:v>986</c:v>
                </c:pt>
                <c:pt idx="70">
                  <c:v>1061</c:v>
                </c:pt>
                <c:pt idx="71">
                  <c:v>972</c:v>
                </c:pt>
                <c:pt idx="72">
                  <c:v>989</c:v>
                </c:pt>
                <c:pt idx="73">
                  <c:v>1068</c:v>
                </c:pt>
                <c:pt idx="74">
                  <c:v>1112</c:v>
                </c:pt>
                <c:pt idx="75">
                  <c:v>996</c:v>
                </c:pt>
                <c:pt idx="76">
                  <c:v>1172</c:v>
                </c:pt>
                <c:pt idx="77">
                  <c:v>1015</c:v>
                </c:pt>
                <c:pt idx="78">
                  <c:v>978</c:v>
                </c:pt>
                <c:pt idx="79">
                  <c:v>962</c:v>
                </c:pt>
                <c:pt idx="80">
                  <c:v>1082</c:v>
                </c:pt>
                <c:pt idx="81">
                  <c:v>1049</c:v>
                </c:pt>
                <c:pt idx="82">
                  <c:v>1073</c:v>
                </c:pt>
                <c:pt idx="83">
                  <c:v>1055</c:v>
                </c:pt>
                <c:pt idx="84">
                  <c:v>958</c:v>
                </c:pt>
                <c:pt idx="85">
                  <c:v>945</c:v>
                </c:pt>
                <c:pt idx="86">
                  <c:v>930</c:v>
                </c:pt>
                <c:pt idx="87">
                  <c:v>934</c:v>
                </c:pt>
                <c:pt idx="88">
                  <c:v>1044</c:v>
                </c:pt>
                <c:pt idx="89">
                  <c:v>1159</c:v>
                </c:pt>
                <c:pt idx="90">
                  <c:v>1089</c:v>
                </c:pt>
                <c:pt idx="91">
                  <c:v>992</c:v>
                </c:pt>
                <c:pt idx="92">
                  <c:v>971</c:v>
                </c:pt>
                <c:pt idx="93">
                  <c:v>974</c:v>
                </c:pt>
                <c:pt idx="94">
                  <c:v>1016</c:v>
                </c:pt>
                <c:pt idx="95">
                  <c:v>993</c:v>
                </c:pt>
                <c:pt idx="96">
                  <c:v>1008</c:v>
                </c:pt>
                <c:pt idx="97">
                  <c:v>1113</c:v>
                </c:pt>
                <c:pt idx="98">
                  <c:v>967</c:v>
                </c:pt>
                <c:pt idx="99">
                  <c:v>1005</c:v>
                </c:pt>
                <c:pt idx="100">
                  <c:v>1103</c:v>
                </c:pt>
                <c:pt idx="101">
                  <c:v>1108</c:v>
                </c:pt>
                <c:pt idx="102">
                  <c:v>1132</c:v>
                </c:pt>
                <c:pt idx="103">
                  <c:v>1088</c:v>
                </c:pt>
                <c:pt idx="104">
                  <c:v>1102</c:v>
                </c:pt>
                <c:pt idx="105">
                  <c:v>1014</c:v>
                </c:pt>
                <c:pt idx="106">
                  <c:v>1089</c:v>
                </c:pt>
                <c:pt idx="107">
                  <c:v>1122</c:v>
                </c:pt>
                <c:pt idx="108">
                  <c:v>1011</c:v>
                </c:pt>
                <c:pt idx="109">
                  <c:v>1069</c:v>
                </c:pt>
                <c:pt idx="110">
                  <c:v>951</c:v>
                </c:pt>
                <c:pt idx="111">
                  <c:v>1080</c:v>
                </c:pt>
                <c:pt idx="112">
                  <c:v>936</c:v>
                </c:pt>
                <c:pt idx="113">
                  <c:v>991</c:v>
                </c:pt>
                <c:pt idx="114">
                  <c:v>1011</c:v>
                </c:pt>
                <c:pt idx="115">
                  <c:v>1053</c:v>
                </c:pt>
                <c:pt idx="116">
                  <c:v>990</c:v>
                </c:pt>
                <c:pt idx="117">
                  <c:v>1035</c:v>
                </c:pt>
                <c:pt idx="118">
                  <c:v>1073</c:v>
                </c:pt>
                <c:pt idx="119">
                  <c:v>1054</c:v>
                </c:pt>
                <c:pt idx="120">
                  <c:v>975</c:v>
                </c:pt>
                <c:pt idx="121">
                  <c:v>1066</c:v>
                </c:pt>
                <c:pt idx="122">
                  <c:v>1034</c:v>
                </c:pt>
                <c:pt idx="123">
                  <c:v>1058</c:v>
                </c:pt>
                <c:pt idx="124">
                  <c:v>1057</c:v>
                </c:pt>
                <c:pt idx="125">
                  <c:v>1139</c:v>
                </c:pt>
                <c:pt idx="126">
                  <c:v>1107</c:v>
                </c:pt>
                <c:pt idx="127">
                  <c:v>1018</c:v>
                </c:pt>
                <c:pt idx="128">
                  <c:v>903</c:v>
                </c:pt>
                <c:pt idx="129">
                  <c:v>876</c:v>
                </c:pt>
                <c:pt idx="130">
                  <c:v>826</c:v>
                </c:pt>
                <c:pt idx="131">
                  <c:v>818</c:v>
                </c:pt>
              </c:numCache>
            </c:numRef>
          </c:val>
          <c:smooth val="0"/>
          <c:extLst>
            <c:ext xmlns:c16="http://schemas.microsoft.com/office/drawing/2014/chart" uri="{C3380CC4-5D6E-409C-BE32-E72D297353CC}">
              <c16:uniqueId val="{00000001-6C3E-4554-AAE6-239F790D9D7A}"/>
            </c:ext>
          </c:extLst>
        </c:ser>
        <c:ser>
          <c:idx val="2"/>
          <c:order val="2"/>
          <c:tx>
            <c:strRef>
              <c:f>Sheet1!$D$1</c:f>
              <c:strCache>
                <c:ptCount val="1"/>
              </c:strCache>
            </c:strRef>
          </c:tx>
          <c:spPr>
            <a:ln w="28575" cap="rnd">
              <a:solidFill>
                <a:schemeClr val="accent3"/>
              </a:solidFill>
              <a:round/>
            </a:ln>
            <a:effectLst/>
          </c:spPr>
          <c:marker>
            <c:symbol val="none"/>
          </c:marker>
          <c:cat>
            <c:numRef>
              <c:f>Sheet1!$A$153:$A$284</c:f>
              <c:numCache>
                <c:formatCode>dd\.mm\.yyyy</c:formatCode>
                <c:ptCount val="132"/>
                <c:pt idx="0">
                  <c:v>44348</c:v>
                </c:pt>
                <c:pt idx="1">
                  <c:v>44349</c:v>
                </c:pt>
                <c:pt idx="2">
                  <c:v>44350</c:v>
                </c:pt>
                <c:pt idx="3">
                  <c:v>44351</c:v>
                </c:pt>
                <c:pt idx="4">
                  <c:v>44352</c:v>
                </c:pt>
                <c:pt idx="5">
                  <c:v>44353</c:v>
                </c:pt>
                <c:pt idx="6">
                  <c:v>44354</c:v>
                </c:pt>
                <c:pt idx="7">
                  <c:v>44355</c:v>
                </c:pt>
                <c:pt idx="8">
                  <c:v>44356</c:v>
                </c:pt>
                <c:pt idx="9">
                  <c:v>44357</c:v>
                </c:pt>
                <c:pt idx="10">
                  <c:v>44358</c:v>
                </c:pt>
                <c:pt idx="11">
                  <c:v>44359</c:v>
                </c:pt>
                <c:pt idx="12">
                  <c:v>44360</c:v>
                </c:pt>
                <c:pt idx="13">
                  <c:v>44361</c:v>
                </c:pt>
                <c:pt idx="14">
                  <c:v>44362</c:v>
                </c:pt>
                <c:pt idx="15">
                  <c:v>44363</c:v>
                </c:pt>
                <c:pt idx="16">
                  <c:v>44364</c:v>
                </c:pt>
                <c:pt idx="17">
                  <c:v>44365</c:v>
                </c:pt>
                <c:pt idx="18">
                  <c:v>44366</c:v>
                </c:pt>
                <c:pt idx="19">
                  <c:v>44367</c:v>
                </c:pt>
                <c:pt idx="20">
                  <c:v>44368</c:v>
                </c:pt>
                <c:pt idx="21">
                  <c:v>44369</c:v>
                </c:pt>
                <c:pt idx="22">
                  <c:v>44370</c:v>
                </c:pt>
                <c:pt idx="23">
                  <c:v>44371</c:v>
                </c:pt>
                <c:pt idx="24">
                  <c:v>44372</c:v>
                </c:pt>
                <c:pt idx="25">
                  <c:v>44373</c:v>
                </c:pt>
                <c:pt idx="26">
                  <c:v>44374</c:v>
                </c:pt>
                <c:pt idx="27">
                  <c:v>44375</c:v>
                </c:pt>
                <c:pt idx="28">
                  <c:v>44376</c:v>
                </c:pt>
                <c:pt idx="29">
                  <c:v>44377</c:v>
                </c:pt>
                <c:pt idx="30">
                  <c:v>44378</c:v>
                </c:pt>
                <c:pt idx="31">
                  <c:v>44379</c:v>
                </c:pt>
                <c:pt idx="32">
                  <c:v>44380</c:v>
                </c:pt>
                <c:pt idx="33">
                  <c:v>44381</c:v>
                </c:pt>
                <c:pt idx="34">
                  <c:v>44382</c:v>
                </c:pt>
                <c:pt idx="35">
                  <c:v>44383</c:v>
                </c:pt>
                <c:pt idx="36">
                  <c:v>44384</c:v>
                </c:pt>
                <c:pt idx="37">
                  <c:v>44385</c:v>
                </c:pt>
                <c:pt idx="38">
                  <c:v>44386</c:v>
                </c:pt>
                <c:pt idx="39">
                  <c:v>44387</c:v>
                </c:pt>
                <c:pt idx="40">
                  <c:v>44388</c:v>
                </c:pt>
                <c:pt idx="41">
                  <c:v>44389</c:v>
                </c:pt>
                <c:pt idx="42">
                  <c:v>44390</c:v>
                </c:pt>
                <c:pt idx="43">
                  <c:v>44391</c:v>
                </c:pt>
                <c:pt idx="44">
                  <c:v>44392</c:v>
                </c:pt>
                <c:pt idx="45">
                  <c:v>44393</c:v>
                </c:pt>
                <c:pt idx="46">
                  <c:v>44394</c:v>
                </c:pt>
                <c:pt idx="47">
                  <c:v>44395</c:v>
                </c:pt>
                <c:pt idx="48">
                  <c:v>44396</c:v>
                </c:pt>
                <c:pt idx="49">
                  <c:v>44397</c:v>
                </c:pt>
                <c:pt idx="50">
                  <c:v>44398</c:v>
                </c:pt>
                <c:pt idx="51">
                  <c:v>44399</c:v>
                </c:pt>
                <c:pt idx="52">
                  <c:v>44400</c:v>
                </c:pt>
                <c:pt idx="53">
                  <c:v>44401</c:v>
                </c:pt>
                <c:pt idx="54">
                  <c:v>44402</c:v>
                </c:pt>
                <c:pt idx="55">
                  <c:v>44403</c:v>
                </c:pt>
                <c:pt idx="56">
                  <c:v>44404</c:v>
                </c:pt>
                <c:pt idx="57">
                  <c:v>44405</c:v>
                </c:pt>
                <c:pt idx="58">
                  <c:v>44406</c:v>
                </c:pt>
                <c:pt idx="59">
                  <c:v>44407</c:v>
                </c:pt>
                <c:pt idx="60">
                  <c:v>44408</c:v>
                </c:pt>
                <c:pt idx="61">
                  <c:v>44409</c:v>
                </c:pt>
                <c:pt idx="62">
                  <c:v>44410</c:v>
                </c:pt>
                <c:pt idx="63">
                  <c:v>44411</c:v>
                </c:pt>
                <c:pt idx="64">
                  <c:v>44412</c:v>
                </c:pt>
                <c:pt idx="65">
                  <c:v>44413</c:v>
                </c:pt>
                <c:pt idx="66">
                  <c:v>44414</c:v>
                </c:pt>
                <c:pt idx="67">
                  <c:v>44415</c:v>
                </c:pt>
                <c:pt idx="68">
                  <c:v>44416</c:v>
                </c:pt>
                <c:pt idx="69">
                  <c:v>44417</c:v>
                </c:pt>
                <c:pt idx="70">
                  <c:v>44418</c:v>
                </c:pt>
                <c:pt idx="71">
                  <c:v>44419</c:v>
                </c:pt>
                <c:pt idx="72">
                  <c:v>44420</c:v>
                </c:pt>
                <c:pt idx="73">
                  <c:v>44421</c:v>
                </c:pt>
                <c:pt idx="74">
                  <c:v>44422</c:v>
                </c:pt>
                <c:pt idx="75">
                  <c:v>44423</c:v>
                </c:pt>
                <c:pt idx="76">
                  <c:v>44424</c:v>
                </c:pt>
                <c:pt idx="77">
                  <c:v>44425</c:v>
                </c:pt>
                <c:pt idx="78">
                  <c:v>44426</c:v>
                </c:pt>
                <c:pt idx="79">
                  <c:v>44427</c:v>
                </c:pt>
                <c:pt idx="80">
                  <c:v>44428</c:v>
                </c:pt>
                <c:pt idx="81">
                  <c:v>44429</c:v>
                </c:pt>
                <c:pt idx="82">
                  <c:v>44430</c:v>
                </c:pt>
                <c:pt idx="83">
                  <c:v>44431</c:v>
                </c:pt>
                <c:pt idx="84">
                  <c:v>44432</c:v>
                </c:pt>
                <c:pt idx="85">
                  <c:v>44433</c:v>
                </c:pt>
                <c:pt idx="86">
                  <c:v>44434</c:v>
                </c:pt>
                <c:pt idx="87">
                  <c:v>44435</c:v>
                </c:pt>
                <c:pt idx="88">
                  <c:v>44436</c:v>
                </c:pt>
                <c:pt idx="89">
                  <c:v>44437</c:v>
                </c:pt>
                <c:pt idx="90">
                  <c:v>44438</c:v>
                </c:pt>
                <c:pt idx="91">
                  <c:v>44439</c:v>
                </c:pt>
                <c:pt idx="92">
                  <c:v>44440</c:v>
                </c:pt>
                <c:pt idx="93">
                  <c:v>44441</c:v>
                </c:pt>
                <c:pt idx="94">
                  <c:v>44442</c:v>
                </c:pt>
                <c:pt idx="95">
                  <c:v>44443</c:v>
                </c:pt>
                <c:pt idx="96">
                  <c:v>44444</c:v>
                </c:pt>
                <c:pt idx="97">
                  <c:v>44445</c:v>
                </c:pt>
                <c:pt idx="98">
                  <c:v>44446</c:v>
                </c:pt>
                <c:pt idx="99">
                  <c:v>44447</c:v>
                </c:pt>
                <c:pt idx="100">
                  <c:v>44448</c:v>
                </c:pt>
                <c:pt idx="101">
                  <c:v>44449</c:v>
                </c:pt>
                <c:pt idx="102">
                  <c:v>44450</c:v>
                </c:pt>
                <c:pt idx="103">
                  <c:v>44451</c:v>
                </c:pt>
                <c:pt idx="104">
                  <c:v>44452</c:v>
                </c:pt>
                <c:pt idx="105">
                  <c:v>44453</c:v>
                </c:pt>
                <c:pt idx="106">
                  <c:v>44454</c:v>
                </c:pt>
                <c:pt idx="107">
                  <c:v>44455</c:v>
                </c:pt>
                <c:pt idx="108">
                  <c:v>44456</c:v>
                </c:pt>
                <c:pt idx="109">
                  <c:v>44457</c:v>
                </c:pt>
                <c:pt idx="110">
                  <c:v>44458</c:v>
                </c:pt>
                <c:pt idx="111">
                  <c:v>44459</c:v>
                </c:pt>
                <c:pt idx="112">
                  <c:v>44460</c:v>
                </c:pt>
                <c:pt idx="113">
                  <c:v>44461</c:v>
                </c:pt>
                <c:pt idx="114">
                  <c:v>44462</c:v>
                </c:pt>
                <c:pt idx="115">
                  <c:v>44463</c:v>
                </c:pt>
                <c:pt idx="116">
                  <c:v>44464</c:v>
                </c:pt>
                <c:pt idx="117">
                  <c:v>44465</c:v>
                </c:pt>
                <c:pt idx="118">
                  <c:v>44466</c:v>
                </c:pt>
                <c:pt idx="119">
                  <c:v>44467</c:v>
                </c:pt>
                <c:pt idx="120">
                  <c:v>44468</c:v>
                </c:pt>
                <c:pt idx="121">
                  <c:v>44469</c:v>
                </c:pt>
                <c:pt idx="122">
                  <c:v>44470</c:v>
                </c:pt>
                <c:pt idx="123">
                  <c:v>44471</c:v>
                </c:pt>
                <c:pt idx="124">
                  <c:v>44472</c:v>
                </c:pt>
                <c:pt idx="125">
                  <c:v>44473</c:v>
                </c:pt>
                <c:pt idx="126">
                  <c:v>44474</c:v>
                </c:pt>
                <c:pt idx="127">
                  <c:v>44475</c:v>
                </c:pt>
                <c:pt idx="128">
                  <c:v>44476</c:v>
                </c:pt>
                <c:pt idx="129">
                  <c:v>44477</c:v>
                </c:pt>
                <c:pt idx="130">
                  <c:v>44478</c:v>
                </c:pt>
                <c:pt idx="131">
                  <c:v>44479</c:v>
                </c:pt>
              </c:numCache>
            </c:numRef>
          </c:cat>
          <c:val>
            <c:numRef>
              <c:f>Sheet1!$D$153:$D$284</c:f>
              <c:numCache>
                <c:formatCode>#,##0_);\(#,##0\)</c:formatCode>
                <c:ptCount val="132"/>
                <c:pt idx="0">
                  <c:v>1100</c:v>
                </c:pt>
                <c:pt idx="1">
                  <c:v>1100</c:v>
                </c:pt>
                <c:pt idx="2">
                  <c:v>1100</c:v>
                </c:pt>
                <c:pt idx="3">
                  <c:v>1100</c:v>
                </c:pt>
                <c:pt idx="4">
                  <c:v>1100</c:v>
                </c:pt>
                <c:pt idx="5">
                  <c:v>1100</c:v>
                </c:pt>
                <c:pt idx="6">
                  <c:v>1100</c:v>
                </c:pt>
                <c:pt idx="7">
                  <c:v>1100</c:v>
                </c:pt>
                <c:pt idx="8">
                  <c:v>1100</c:v>
                </c:pt>
                <c:pt idx="9">
                  <c:v>1100</c:v>
                </c:pt>
                <c:pt idx="10">
                  <c:v>1100</c:v>
                </c:pt>
                <c:pt idx="11">
                  <c:v>1100</c:v>
                </c:pt>
                <c:pt idx="12">
                  <c:v>1100</c:v>
                </c:pt>
                <c:pt idx="13">
                  <c:v>1100</c:v>
                </c:pt>
                <c:pt idx="14">
                  <c:v>1100</c:v>
                </c:pt>
                <c:pt idx="15">
                  <c:v>1100</c:v>
                </c:pt>
                <c:pt idx="16">
                  <c:v>1100</c:v>
                </c:pt>
                <c:pt idx="17">
                  <c:v>1100</c:v>
                </c:pt>
                <c:pt idx="18">
                  <c:v>1100</c:v>
                </c:pt>
                <c:pt idx="19">
                  <c:v>1100</c:v>
                </c:pt>
                <c:pt idx="20">
                  <c:v>1100</c:v>
                </c:pt>
                <c:pt idx="21">
                  <c:v>1100</c:v>
                </c:pt>
                <c:pt idx="22">
                  <c:v>1100</c:v>
                </c:pt>
                <c:pt idx="23">
                  <c:v>1100</c:v>
                </c:pt>
                <c:pt idx="24">
                  <c:v>1100</c:v>
                </c:pt>
                <c:pt idx="25">
                  <c:v>1100</c:v>
                </c:pt>
                <c:pt idx="26">
                  <c:v>1100</c:v>
                </c:pt>
                <c:pt idx="27">
                  <c:v>1100</c:v>
                </c:pt>
                <c:pt idx="28">
                  <c:v>1100</c:v>
                </c:pt>
                <c:pt idx="29">
                  <c:v>1100</c:v>
                </c:pt>
                <c:pt idx="30">
                  <c:v>1100</c:v>
                </c:pt>
                <c:pt idx="31">
                  <c:v>1100</c:v>
                </c:pt>
                <c:pt idx="32">
                  <c:v>1100</c:v>
                </c:pt>
                <c:pt idx="33">
                  <c:v>1100</c:v>
                </c:pt>
                <c:pt idx="34">
                  <c:v>1100</c:v>
                </c:pt>
                <c:pt idx="35">
                  <c:v>1100</c:v>
                </c:pt>
                <c:pt idx="36">
                  <c:v>1100</c:v>
                </c:pt>
                <c:pt idx="37">
                  <c:v>1100</c:v>
                </c:pt>
                <c:pt idx="38">
                  <c:v>1100</c:v>
                </c:pt>
                <c:pt idx="39">
                  <c:v>1100</c:v>
                </c:pt>
                <c:pt idx="40">
                  <c:v>1100</c:v>
                </c:pt>
                <c:pt idx="41">
                  <c:v>1100</c:v>
                </c:pt>
                <c:pt idx="42">
                  <c:v>1100</c:v>
                </c:pt>
                <c:pt idx="43">
                  <c:v>1100</c:v>
                </c:pt>
                <c:pt idx="44">
                  <c:v>1100</c:v>
                </c:pt>
                <c:pt idx="45">
                  <c:v>1100</c:v>
                </c:pt>
                <c:pt idx="46">
                  <c:v>1100</c:v>
                </c:pt>
                <c:pt idx="47">
                  <c:v>1100</c:v>
                </c:pt>
                <c:pt idx="48">
                  <c:v>1100</c:v>
                </c:pt>
                <c:pt idx="49">
                  <c:v>1100</c:v>
                </c:pt>
                <c:pt idx="50">
                  <c:v>1100</c:v>
                </c:pt>
                <c:pt idx="51">
                  <c:v>1100</c:v>
                </c:pt>
                <c:pt idx="52">
                  <c:v>1100</c:v>
                </c:pt>
                <c:pt idx="53">
                  <c:v>1100</c:v>
                </c:pt>
                <c:pt idx="54">
                  <c:v>1100</c:v>
                </c:pt>
                <c:pt idx="55">
                  <c:v>1100</c:v>
                </c:pt>
                <c:pt idx="56">
                  <c:v>1100</c:v>
                </c:pt>
                <c:pt idx="57">
                  <c:v>1100</c:v>
                </c:pt>
                <c:pt idx="58">
                  <c:v>1100</c:v>
                </c:pt>
                <c:pt idx="59">
                  <c:v>1100</c:v>
                </c:pt>
                <c:pt idx="60">
                  <c:v>1100</c:v>
                </c:pt>
                <c:pt idx="61">
                  <c:v>1100</c:v>
                </c:pt>
                <c:pt idx="62">
                  <c:v>1100</c:v>
                </c:pt>
                <c:pt idx="63">
                  <c:v>1100</c:v>
                </c:pt>
                <c:pt idx="64">
                  <c:v>1100</c:v>
                </c:pt>
                <c:pt idx="65">
                  <c:v>1100</c:v>
                </c:pt>
                <c:pt idx="66">
                  <c:v>1100</c:v>
                </c:pt>
                <c:pt idx="67">
                  <c:v>1100</c:v>
                </c:pt>
                <c:pt idx="68">
                  <c:v>1100</c:v>
                </c:pt>
                <c:pt idx="69">
                  <c:v>1100</c:v>
                </c:pt>
                <c:pt idx="70">
                  <c:v>1100</c:v>
                </c:pt>
                <c:pt idx="71">
                  <c:v>1100</c:v>
                </c:pt>
                <c:pt idx="72">
                  <c:v>1100</c:v>
                </c:pt>
                <c:pt idx="73">
                  <c:v>1100</c:v>
                </c:pt>
                <c:pt idx="74">
                  <c:v>1100</c:v>
                </c:pt>
                <c:pt idx="75">
                  <c:v>1100</c:v>
                </c:pt>
                <c:pt idx="76">
                  <c:v>1100</c:v>
                </c:pt>
                <c:pt idx="77">
                  <c:v>1100</c:v>
                </c:pt>
                <c:pt idx="78">
                  <c:v>1100</c:v>
                </c:pt>
                <c:pt idx="79">
                  <c:v>1100</c:v>
                </c:pt>
                <c:pt idx="80">
                  <c:v>1100</c:v>
                </c:pt>
                <c:pt idx="81">
                  <c:v>1100</c:v>
                </c:pt>
                <c:pt idx="82">
                  <c:v>1100</c:v>
                </c:pt>
                <c:pt idx="83">
                  <c:v>1100</c:v>
                </c:pt>
                <c:pt idx="84">
                  <c:v>1100</c:v>
                </c:pt>
                <c:pt idx="85">
                  <c:v>1100</c:v>
                </c:pt>
                <c:pt idx="86">
                  <c:v>1100</c:v>
                </c:pt>
                <c:pt idx="87">
                  <c:v>1100</c:v>
                </c:pt>
                <c:pt idx="88">
                  <c:v>1100</c:v>
                </c:pt>
                <c:pt idx="89">
                  <c:v>1100</c:v>
                </c:pt>
                <c:pt idx="90">
                  <c:v>1100</c:v>
                </c:pt>
                <c:pt idx="91">
                  <c:v>1100</c:v>
                </c:pt>
                <c:pt idx="92">
                  <c:v>1100</c:v>
                </c:pt>
                <c:pt idx="93">
                  <c:v>1100</c:v>
                </c:pt>
                <c:pt idx="94">
                  <c:v>1100</c:v>
                </c:pt>
                <c:pt idx="95">
                  <c:v>1100</c:v>
                </c:pt>
                <c:pt idx="96">
                  <c:v>1100</c:v>
                </c:pt>
                <c:pt idx="97">
                  <c:v>1100</c:v>
                </c:pt>
                <c:pt idx="98">
                  <c:v>1100</c:v>
                </c:pt>
                <c:pt idx="99">
                  <c:v>1100</c:v>
                </c:pt>
                <c:pt idx="100">
                  <c:v>1100</c:v>
                </c:pt>
                <c:pt idx="101">
                  <c:v>1100</c:v>
                </c:pt>
                <c:pt idx="102">
                  <c:v>1100</c:v>
                </c:pt>
                <c:pt idx="103">
                  <c:v>1100</c:v>
                </c:pt>
                <c:pt idx="104">
                  <c:v>1100</c:v>
                </c:pt>
                <c:pt idx="105">
                  <c:v>1100</c:v>
                </c:pt>
                <c:pt idx="106">
                  <c:v>1100</c:v>
                </c:pt>
                <c:pt idx="107">
                  <c:v>1100</c:v>
                </c:pt>
                <c:pt idx="108">
                  <c:v>1100</c:v>
                </c:pt>
                <c:pt idx="109">
                  <c:v>1100</c:v>
                </c:pt>
                <c:pt idx="110">
                  <c:v>1100</c:v>
                </c:pt>
                <c:pt idx="111">
                  <c:v>1100</c:v>
                </c:pt>
                <c:pt idx="112">
                  <c:v>1100</c:v>
                </c:pt>
                <c:pt idx="113">
                  <c:v>1100</c:v>
                </c:pt>
                <c:pt idx="114">
                  <c:v>1100</c:v>
                </c:pt>
                <c:pt idx="115">
                  <c:v>1100</c:v>
                </c:pt>
                <c:pt idx="116">
                  <c:v>1100</c:v>
                </c:pt>
                <c:pt idx="117">
                  <c:v>1100</c:v>
                </c:pt>
                <c:pt idx="118">
                  <c:v>1100</c:v>
                </c:pt>
                <c:pt idx="119">
                  <c:v>1100</c:v>
                </c:pt>
                <c:pt idx="120">
                  <c:v>1100</c:v>
                </c:pt>
                <c:pt idx="121">
                  <c:v>1100</c:v>
                </c:pt>
                <c:pt idx="122">
                  <c:v>1100</c:v>
                </c:pt>
                <c:pt idx="123">
                  <c:v>1100</c:v>
                </c:pt>
                <c:pt idx="124">
                  <c:v>1100</c:v>
                </c:pt>
                <c:pt idx="125">
                  <c:v>1100</c:v>
                </c:pt>
                <c:pt idx="126">
                  <c:v>1100</c:v>
                </c:pt>
                <c:pt idx="127">
                  <c:v>1100</c:v>
                </c:pt>
                <c:pt idx="128">
                  <c:v>1100</c:v>
                </c:pt>
                <c:pt idx="129">
                  <c:v>1100</c:v>
                </c:pt>
                <c:pt idx="130">
                  <c:v>1100</c:v>
                </c:pt>
                <c:pt idx="131">
                  <c:v>1100</c:v>
                </c:pt>
              </c:numCache>
            </c:numRef>
          </c:val>
          <c:smooth val="0"/>
          <c:extLst>
            <c:ext xmlns:c16="http://schemas.microsoft.com/office/drawing/2014/chart" uri="{C3380CC4-5D6E-409C-BE32-E72D297353CC}">
              <c16:uniqueId val="{00000002-6C3E-4554-AAE6-239F790D9D7A}"/>
            </c:ext>
          </c:extLst>
        </c:ser>
        <c:ser>
          <c:idx val="3"/>
          <c:order val="3"/>
          <c:tx>
            <c:strRef>
              <c:f>Sheet1!$E$1</c:f>
              <c:strCache>
                <c:ptCount val="1"/>
                <c:pt idx="0">
                  <c:v>Ienākošo zvanu riska robeža</c:v>
                </c:pt>
              </c:strCache>
            </c:strRef>
          </c:tx>
          <c:spPr>
            <a:ln w="28575" cap="rnd">
              <a:solidFill>
                <a:schemeClr val="accent4"/>
              </a:solidFill>
              <a:round/>
            </a:ln>
            <a:effectLst/>
          </c:spPr>
          <c:marker>
            <c:symbol val="none"/>
          </c:marker>
          <c:cat>
            <c:numRef>
              <c:f>Sheet1!$A$153:$A$284</c:f>
              <c:numCache>
                <c:formatCode>dd\.mm\.yyyy</c:formatCode>
                <c:ptCount val="132"/>
                <c:pt idx="0">
                  <c:v>44348</c:v>
                </c:pt>
                <c:pt idx="1">
                  <c:v>44349</c:v>
                </c:pt>
                <c:pt idx="2">
                  <c:v>44350</c:v>
                </c:pt>
                <c:pt idx="3">
                  <c:v>44351</c:v>
                </c:pt>
                <c:pt idx="4">
                  <c:v>44352</c:v>
                </c:pt>
                <c:pt idx="5">
                  <c:v>44353</c:v>
                </c:pt>
                <c:pt idx="6">
                  <c:v>44354</c:v>
                </c:pt>
                <c:pt idx="7">
                  <c:v>44355</c:v>
                </c:pt>
                <c:pt idx="8">
                  <c:v>44356</c:v>
                </c:pt>
                <c:pt idx="9">
                  <c:v>44357</c:v>
                </c:pt>
                <c:pt idx="10">
                  <c:v>44358</c:v>
                </c:pt>
                <c:pt idx="11">
                  <c:v>44359</c:v>
                </c:pt>
                <c:pt idx="12">
                  <c:v>44360</c:v>
                </c:pt>
                <c:pt idx="13">
                  <c:v>44361</c:v>
                </c:pt>
                <c:pt idx="14">
                  <c:v>44362</c:v>
                </c:pt>
                <c:pt idx="15">
                  <c:v>44363</c:v>
                </c:pt>
                <c:pt idx="16">
                  <c:v>44364</c:v>
                </c:pt>
                <c:pt idx="17">
                  <c:v>44365</c:v>
                </c:pt>
                <c:pt idx="18">
                  <c:v>44366</c:v>
                </c:pt>
                <c:pt idx="19">
                  <c:v>44367</c:v>
                </c:pt>
                <c:pt idx="20">
                  <c:v>44368</c:v>
                </c:pt>
                <c:pt idx="21">
                  <c:v>44369</c:v>
                </c:pt>
                <c:pt idx="22">
                  <c:v>44370</c:v>
                </c:pt>
                <c:pt idx="23">
                  <c:v>44371</c:v>
                </c:pt>
                <c:pt idx="24">
                  <c:v>44372</c:v>
                </c:pt>
                <c:pt idx="25">
                  <c:v>44373</c:v>
                </c:pt>
                <c:pt idx="26">
                  <c:v>44374</c:v>
                </c:pt>
                <c:pt idx="27">
                  <c:v>44375</c:v>
                </c:pt>
                <c:pt idx="28">
                  <c:v>44376</c:v>
                </c:pt>
                <c:pt idx="29">
                  <c:v>44377</c:v>
                </c:pt>
                <c:pt idx="30">
                  <c:v>44378</c:v>
                </c:pt>
                <c:pt idx="31">
                  <c:v>44379</c:v>
                </c:pt>
                <c:pt idx="32">
                  <c:v>44380</c:v>
                </c:pt>
                <c:pt idx="33">
                  <c:v>44381</c:v>
                </c:pt>
                <c:pt idx="34">
                  <c:v>44382</c:v>
                </c:pt>
                <c:pt idx="35">
                  <c:v>44383</c:v>
                </c:pt>
                <c:pt idx="36">
                  <c:v>44384</c:v>
                </c:pt>
                <c:pt idx="37">
                  <c:v>44385</c:v>
                </c:pt>
                <c:pt idx="38">
                  <c:v>44386</c:v>
                </c:pt>
                <c:pt idx="39">
                  <c:v>44387</c:v>
                </c:pt>
                <c:pt idx="40">
                  <c:v>44388</c:v>
                </c:pt>
                <c:pt idx="41">
                  <c:v>44389</c:v>
                </c:pt>
                <c:pt idx="42">
                  <c:v>44390</c:v>
                </c:pt>
                <c:pt idx="43">
                  <c:v>44391</c:v>
                </c:pt>
                <c:pt idx="44">
                  <c:v>44392</c:v>
                </c:pt>
                <c:pt idx="45">
                  <c:v>44393</c:v>
                </c:pt>
                <c:pt idx="46">
                  <c:v>44394</c:v>
                </c:pt>
                <c:pt idx="47">
                  <c:v>44395</c:v>
                </c:pt>
                <c:pt idx="48">
                  <c:v>44396</c:v>
                </c:pt>
                <c:pt idx="49">
                  <c:v>44397</c:v>
                </c:pt>
                <c:pt idx="50">
                  <c:v>44398</c:v>
                </c:pt>
                <c:pt idx="51">
                  <c:v>44399</c:v>
                </c:pt>
                <c:pt idx="52">
                  <c:v>44400</c:v>
                </c:pt>
                <c:pt idx="53">
                  <c:v>44401</c:v>
                </c:pt>
                <c:pt idx="54">
                  <c:v>44402</c:v>
                </c:pt>
                <c:pt idx="55">
                  <c:v>44403</c:v>
                </c:pt>
                <c:pt idx="56">
                  <c:v>44404</c:v>
                </c:pt>
                <c:pt idx="57">
                  <c:v>44405</c:v>
                </c:pt>
                <c:pt idx="58">
                  <c:v>44406</c:v>
                </c:pt>
                <c:pt idx="59">
                  <c:v>44407</c:v>
                </c:pt>
                <c:pt idx="60">
                  <c:v>44408</c:v>
                </c:pt>
                <c:pt idx="61">
                  <c:v>44409</c:v>
                </c:pt>
                <c:pt idx="62">
                  <c:v>44410</c:v>
                </c:pt>
                <c:pt idx="63">
                  <c:v>44411</c:v>
                </c:pt>
                <c:pt idx="64">
                  <c:v>44412</c:v>
                </c:pt>
                <c:pt idx="65">
                  <c:v>44413</c:v>
                </c:pt>
                <c:pt idx="66">
                  <c:v>44414</c:v>
                </c:pt>
                <c:pt idx="67">
                  <c:v>44415</c:v>
                </c:pt>
                <c:pt idx="68">
                  <c:v>44416</c:v>
                </c:pt>
                <c:pt idx="69">
                  <c:v>44417</c:v>
                </c:pt>
                <c:pt idx="70">
                  <c:v>44418</c:v>
                </c:pt>
                <c:pt idx="71">
                  <c:v>44419</c:v>
                </c:pt>
                <c:pt idx="72">
                  <c:v>44420</c:v>
                </c:pt>
                <c:pt idx="73">
                  <c:v>44421</c:v>
                </c:pt>
                <c:pt idx="74">
                  <c:v>44422</c:v>
                </c:pt>
                <c:pt idx="75">
                  <c:v>44423</c:v>
                </c:pt>
                <c:pt idx="76">
                  <c:v>44424</c:v>
                </c:pt>
                <c:pt idx="77">
                  <c:v>44425</c:v>
                </c:pt>
                <c:pt idx="78">
                  <c:v>44426</c:v>
                </c:pt>
                <c:pt idx="79">
                  <c:v>44427</c:v>
                </c:pt>
                <c:pt idx="80">
                  <c:v>44428</c:v>
                </c:pt>
                <c:pt idx="81">
                  <c:v>44429</c:v>
                </c:pt>
                <c:pt idx="82">
                  <c:v>44430</c:v>
                </c:pt>
                <c:pt idx="83">
                  <c:v>44431</c:v>
                </c:pt>
                <c:pt idx="84">
                  <c:v>44432</c:v>
                </c:pt>
                <c:pt idx="85">
                  <c:v>44433</c:v>
                </c:pt>
                <c:pt idx="86">
                  <c:v>44434</c:v>
                </c:pt>
                <c:pt idx="87">
                  <c:v>44435</c:v>
                </c:pt>
                <c:pt idx="88">
                  <c:v>44436</c:v>
                </c:pt>
                <c:pt idx="89">
                  <c:v>44437</c:v>
                </c:pt>
                <c:pt idx="90">
                  <c:v>44438</c:v>
                </c:pt>
                <c:pt idx="91">
                  <c:v>44439</c:v>
                </c:pt>
                <c:pt idx="92">
                  <c:v>44440</c:v>
                </c:pt>
                <c:pt idx="93">
                  <c:v>44441</c:v>
                </c:pt>
                <c:pt idx="94">
                  <c:v>44442</c:v>
                </c:pt>
                <c:pt idx="95">
                  <c:v>44443</c:v>
                </c:pt>
                <c:pt idx="96">
                  <c:v>44444</c:v>
                </c:pt>
                <c:pt idx="97">
                  <c:v>44445</c:v>
                </c:pt>
                <c:pt idx="98">
                  <c:v>44446</c:v>
                </c:pt>
                <c:pt idx="99">
                  <c:v>44447</c:v>
                </c:pt>
                <c:pt idx="100">
                  <c:v>44448</c:v>
                </c:pt>
                <c:pt idx="101">
                  <c:v>44449</c:v>
                </c:pt>
                <c:pt idx="102">
                  <c:v>44450</c:v>
                </c:pt>
                <c:pt idx="103">
                  <c:v>44451</c:v>
                </c:pt>
                <c:pt idx="104">
                  <c:v>44452</c:v>
                </c:pt>
                <c:pt idx="105">
                  <c:v>44453</c:v>
                </c:pt>
                <c:pt idx="106">
                  <c:v>44454</c:v>
                </c:pt>
                <c:pt idx="107">
                  <c:v>44455</c:v>
                </c:pt>
                <c:pt idx="108">
                  <c:v>44456</c:v>
                </c:pt>
                <c:pt idx="109">
                  <c:v>44457</c:v>
                </c:pt>
                <c:pt idx="110">
                  <c:v>44458</c:v>
                </c:pt>
                <c:pt idx="111">
                  <c:v>44459</c:v>
                </c:pt>
                <c:pt idx="112">
                  <c:v>44460</c:v>
                </c:pt>
                <c:pt idx="113">
                  <c:v>44461</c:v>
                </c:pt>
                <c:pt idx="114">
                  <c:v>44462</c:v>
                </c:pt>
                <c:pt idx="115">
                  <c:v>44463</c:v>
                </c:pt>
                <c:pt idx="116">
                  <c:v>44464</c:v>
                </c:pt>
                <c:pt idx="117">
                  <c:v>44465</c:v>
                </c:pt>
                <c:pt idx="118">
                  <c:v>44466</c:v>
                </c:pt>
                <c:pt idx="119">
                  <c:v>44467</c:v>
                </c:pt>
                <c:pt idx="120">
                  <c:v>44468</c:v>
                </c:pt>
                <c:pt idx="121">
                  <c:v>44469</c:v>
                </c:pt>
                <c:pt idx="122">
                  <c:v>44470</c:v>
                </c:pt>
                <c:pt idx="123">
                  <c:v>44471</c:v>
                </c:pt>
                <c:pt idx="124">
                  <c:v>44472</c:v>
                </c:pt>
                <c:pt idx="125">
                  <c:v>44473</c:v>
                </c:pt>
                <c:pt idx="126">
                  <c:v>44474</c:v>
                </c:pt>
                <c:pt idx="127">
                  <c:v>44475</c:v>
                </c:pt>
                <c:pt idx="128">
                  <c:v>44476</c:v>
                </c:pt>
                <c:pt idx="129">
                  <c:v>44477</c:v>
                </c:pt>
                <c:pt idx="130">
                  <c:v>44478</c:v>
                </c:pt>
                <c:pt idx="131">
                  <c:v>44479</c:v>
                </c:pt>
              </c:numCache>
            </c:numRef>
          </c:cat>
          <c:val>
            <c:numRef>
              <c:f>Sheet1!$E$153:$E$284</c:f>
              <c:numCache>
                <c:formatCode>General</c:formatCode>
                <c:ptCount val="132"/>
                <c:pt idx="0">
                  <c:v>1700</c:v>
                </c:pt>
                <c:pt idx="1">
                  <c:v>1700</c:v>
                </c:pt>
                <c:pt idx="2">
                  <c:v>1700</c:v>
                </c:pt>
                <c:pt idx="3">
                  <c:v>1700</c:v>
                </c:pt>
                <c:pt idx="4">
                  <c:v>1700</c:v>
                </c:pt>
                <c:pt idx="5">
                  <c:v>1700</c:v>
                </c:pt>
                <c:pt idx="6">
                  <c:v>1700</c:v>
                </c:pt>
                <c:pt idx="7">
                  <c:v>1700</c:v>
                </c:pt>
                <c:pt idx="8">
                  <c:v>1700</c:v>
                </c:pt>
                <c:pt idx="9">
                  <c:v>1700</c:v>
                </c:pt>
                <c:pt idx="10">
                  <c:v>1700</c:v>
                </c:pt>
                <c:pt idx="11">
                  <c:v>1700</c:v>
                </c:pt>
                <c:pt idx="12">
                  <c:v>1700</c:v>
                </c:pt>
                <c:pt idx="13">
                  <c:v>1700</c:v>
                </c:pt>
                <c:pt idx="14">
                  <c:v>1700</c:v>
                </c:pt>
                <c:pt idx="15">
                  <c:v>1700</c:v>
                </c:pt>
                <c:pt idx="16">
                  <c:v>1700</c:v>
                </c:pt>
                <c:pt idx="17">
                  <c:v>1700</c:v>
                </c:pt>
                <c:pt idx="18">
                  <c:v>1700</c:v>
                </c:pt>
                <c:pt idx="19">
                  <c:v>1700</c:v>
                </c:pt>
                <c:pt idx="20">
                  <c:v>1700</c:v>
                </c:pt>
                <c:pt idx="21">
                  <c:v>1700</c:v>
                </c:pt>
                <c:pt idx="22">
                  <c:v>1700</c:v>
                </c:pt>
                <c:pt idx="23">
                  <c:v>1700</c:v>
                </c:pt>
                <c:pt idx="24">
                  <c:v>1700</c:v>
                </c:pt>
                <c:pt idx="25">
                  <c:v>1700</c:v>
                </c:pt>
                <c:pt idx="26">
                  <c:v>1700</c:v>
                </c:pt>
                <c:pt idx="27">
                  <c:v>1700</c:v>
                </c:pt>
                <c:pt idx="28">
                  <c:v>1700</c:v>
                </c:pt>
                <c:pt idx="29">
                  <c:v>1700</c:v>
                </c:pt>
                <c:pt idx="30">
                  <c:v>1700</c:v>
                </c:pt>
                <c:pt idx="31">
                  <c:v>1700</c:v>
                </c:pt>
                <c:pt idx="32">
                  <c:v>1700</c:v>
                </c:pt>
                <c:pt idx="33">
                  <c:v>1700</c:v>
                </c:pt>
                <c:pt idx="34">
                  <c:v>1700</c:v>
                </c:pt>
                <c:pt idx="35">
                  <c:v>1700</c:v>
                </c:pt>
                <c:pt idx="36">
                  <c:v>1700</c:v>
                </c:pt>
                <c:pt idx="37">
                  <c:v>1700</c:v>
                </c:pt>
                <c:pt idx="38">
                  <c:v>1700</c:v>
                </c:pt>
                <c:pt idx="39">
                  <c:v>1700</c:v>
                </c:pt>
                <c:pt idx="40">
                  <c:v>1700</c:v>
                </c:pt>
                <c:pt idx="41">
                  <c:v>1700</c:v>
                </c:pt>
                <c:pt idx="42">
                  <c:v>1700</c:v>
                </c:pt>
                <c:pt idx="43">
                  <c:v>1700</c:v>
                </c:pt>
                <c:pt idx="44">
                  <c:v>1700</c:v>
                </c:pt>
                <c:pt idx="45">
                  <c:v>1700</c:v>
                </c:pt>
                <c:pt idx="46">
                  <c:v>1700</c:v>
                </c:pt>
                <c:pt idx="47">
                  <c:v>1700</c:v>
                </c:pt>
                <c:pt idx="48">
                  <c:v>1700</c:v>
                </c:pt>
                <c:pt idx="49">
                  <c:v>1700</c:v>
                </c:pt>
                <c:pt idx="50">
                  <c:v>1700</c:v>
                </c:pt>
                <c:pt idx="51">
                  <c:v>1700</c:v>
                </c:pt>
                <c:pt idx="52">
                  <c:v>1700</c:v>
                </c:pt>
                <c:pt idx="53">
                  <c:v>1700</c:v>
                </c:pt>
                <c:pt idx="54">
                  <c:v>1700</c:v>
                </c:pt>
                <c:pt idx="55">
                  <c:v>1700</c:v>
                </c:pt>
                <c:pt idx="56">
                  <c:v>1700</c:v>
                </c:pt>
                <c:pt idx="57">
                  <c:v>1700</c:v>
                </c:pt>
                <c:pt idx="58">
                  <c:v>1700</c:v>
                </c:pt>
                <c:pt idx="59">
                  <c:v>1700</c:v>
                </c:pt>
                <c:pt idx="60">
                  <c:v>1700</c:v>
                </c:pt>
                <c:pt idx="61">
                  <c:v>1700</c:v>
                </c:pt>
                <c:pt idx="62">
                  <c:v>1700</c:v>
                </c:pt>
                <c:pt idx="63">
                  <c:v>1700</c:v>
                </c:pt>
                <c:pt idx="64">
                  <c:v>1700</c:v>
                </c:pt>
                <c:pt idx="65">
                  <c:v>1700</c:v>
                </c:pt>
                <c:pt idx="66">
                  <c:v>1700</c:v>
                </c:pt>
                <c:pt idx="67">
                  <c:v>1700</c:v>
                </c:pt>
                <c:pt idx="68">
                  <c:v>1700</c:v>
                </c:pt>
                <c:pt idx="69">
                  <c:v>1700</c:v>
                </c:pt>
                <c:pt idx="70">
                  <c:v>1700</c:v>
                </c:pt>
                <c:pt idx="71">
                  <c:v>1700</c:v>
                </c:pt>
                <c:pt idx="72">
                  <c:v>1700</c:v>
                </c:pt>
                <c:pt idx="73">
                  <c:v>1700</c:v>
                </c:pt>
                <c:pt idx="74">
                  <c:v>1700</c:v>
                </c:pt>
                <c:pt idx="75">
                  <c:v>1700</c:v>
                </c:pt>
                <c:pt idx="76">
                  <c:v>1700</c:v>
                </c:pt>
                <c:pt idx="77">
                  <c:v>1700</c:v>
                </c:pt>
                <c:pt idx="78">
                  <c:v>1700</c:v>
                </c:pt>
                <c:pt idx="79">
                  <c:v>1700</c:v>
                </c:pt>
                <c:pt idx="80">
                  <c:v>1700</c:v>
                </c:pt>
                <c:pt idx="81">
                  <c:v>1700</c:v>
                </c:pt>
                <c:pt idx="82">
                  <c:v>1700</c:v>
                </c:pt>
                <c:pt idx="83">
                  <c:v>1700</c:v>
                </c:pt>
                <c:pt idx="84">
                  <c:v>1700</c:v>
                </c:pt>
                <c:pt idx="85">
                  <c:v>1700</c:v>
                </c:pt>
                <c:pt idx="86">
                  <c:v>1700</c:v>
                </c:pt>
                <c:pt idx="87">
                  <c:v>1700</c:v>
                </c:pt>
                <c:pt idx="88">
                  <c:v>1700</c:v>
                </c:pt>
                <c:pt idx="89">
                  <c:v>1700</c:v>
                </c:pt>
                <c:pt idx="90">
                  <c:v>1700</c:v>
                </c:pt>
                <c:pt idx="91">
                  <c:v>1700</c:v>
                </c:pt>
                <c:pt idx="92">
                  <c:v>1700</c:v>
                </c:pt>
                <c:pt idx="93">
                  <c:v>1700</c:v>
                </c:pt>
                <c:pt idx="94">
                  <c:v>1700</c:v>
                </c:pt>
                <c:pt idx="95">
                  <c:v>1700</c:v>
                </c:pt>
                <c:pt idx="96">
                  <c:v>1700</c:v>
                </c:pt>
                <c:pt idx="97">
                  <c:v>1700</c:v>
                </c:pt>
                <c:pt idx="98">
                  <c:v>1700</c:v>
                </c:pt>
                <c:pt idx="99">
                  <c:v>1700</c:v>
                </c:pt>
                <c:pt idx="100">
                  <c:v>1700</c:v>
                </c:pt>
                <c:pt idx="101">
                  <c:v>1700</c:v>
                </c:pt>
                <c:pt idx="102">
                  <c:v>1700</c:v>
                </c:pt>
                <c:pt idx="103">
                  <c:v>1700</c:v>
                </c:pt>
                <c:pt idx="104">
                  <c:v>1700</c:v>
                </c:pt>
                <c:pt idx="105">
                  <c:v>1700</c:v>
                </c:pt>
                <c:pt idx="106">
                  <c:v>1700</c:v>
                </c:pt>
                <c:pt idx="107">
                  <c:v>1700</c:v>
                </c:pt>
                <c:pt idx="108">
                  <c:v>1700</c:v>
                </c:pt>
                <c:pt idx="109">
                  <c:v>1700</c:v>
                </c:pt>
                <c:pt idx="110">
                  <c:v>1700</c:v>
                </c:pt>
                <c:pt idx="111">
                  <c:v>1700</c:v>
                </c:pt>
                <c:pt idx="112">
                  <c:v>1700</c:v>
                </c:pt>
                <c:pt idx="113">
                  <c:v>1700</c:v>
                </c:pt>
                <c:pt idx="114">
                  <c:v>1700</c:v>
                </c:pt>
                <c:pt idx="115">
                  <c:v>1700</c:v>
                </c:pt>
                <c:pt idx="116">
                  <c:v>1700</c:v>
                </c:pt>
                <c:pt idx="117">
                  <c:v>1700</c:v>
                </c:pt>
                <c:pt idx="118">
                  <c:v>1700</c:v>
                </c:pt>
                <c:pt idx="119">
                  <c:v>1700</c:v>
                </c:pt>
                <c:pt idx="120">
                  <c:v>1700</c:v>
                </c:pt>
                <c:pt idx="121">
                  <c:v>1700</c:v>
                </c:pt>
                <c:pt idx="122">
                  <c:v>1700</c:v>
                </c:pt>
                <c:pt idx="123">
                  <c:v>1700</c:v>
                </c:pt>
                <c:pt idx="124">
                  <c:v>1700</c:v>
                </c:pt>
                <c:pt idx="125">
                  <c:v>1700</c:v>
                </c:pt>
                <c:pt idx="126">
                  <c:v>1700</c:v>
                </c:pt>
                <c:pt idx="127">
                  <c:v>1700</c:v>
                </c:pt>
                <c:pt idx="128">
                  <c:v>1700</c:v>
                </c:pt>
                <c:pt idx="129">
                  <c:v>1700</c:v>
                </c:pt>
                <c:pt idx="130">
                  <c:v>1700</c:v>
                </c:pt>
                <c:pt idx="131">
                  <c:v>1700</c:v>
                </c:pt>
              </c:numCache>
            </c:numRef>
          </c:val>
          <c:smooth val="0"/>
          <c:extLst>
            <c:ext xmlns:c16="http://schemas.microsoft.com/office/drawing/2014/chart" uri="{C3380CC4-5D6E-409C-BE32-E72D297353CC}">
              <c16:uniqueId val="{00000003-6C3E-4554-AAE6-239F790D9D7A}"/>
            </c:ext>
          </c:extLst>
        </c:ser>
        <c:dLbls>
          <c:showLegendKey val="0"/>
          <c:showVal val="0"/>
          <c:showCatName val="0"/>
          <c:showSerName val="0"/>
          <c:showPercent val="0"/>
          <c:showBubbleSize val="0"/>
        </c:dLbls>
        <c:smooth val="0"/>
        <c:axId val="179364992"/>
        <c:axId val="179366528"/>
      </c:lineChart>
      <c:dateAx>
        <c:axId val="179364992"/>
        <c:scaling>
          <c:orientation val="minMax"/>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9366528"/>
        <c:crosses val="autoZero"/>
        <c:auto val="1"/>
        <c:lblOffset val="100"/>
        <c:baseTimeUnit val="days"/>
      </c:dateAx>
      <c:valAx>
        <c:axId val="179366528"/>
        <c:scaling>
          <c:orientation val="minMax"/>
          <c:max val="2520"/>
          <c:min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9364992"/>
        <c:crosses val="autoZero"/>
        <c:crossBetween val="between"/>
      </c:valAx>
      <c:spPr>
        <a:noFill/>
        <a:ln>
          <a:noFill/>
        </a:ln>
        <a:effectLst/>
      </c:spPr>
    </c:plotArea>
    <c:legend>
      <c:legendPos val="t"/>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edicalHealth">
    <a:dk1>
      <a:sysClr val="windowText" lastClr="000000"/>
    </a:dk1>
    <a:lt1>
      <a:sysClr val="window" lastClr="FFFFFF"/>
    </a:lt1>
    <a:dk2>
      <a:srgbClr val="656367"/>
    </a:dk2>
    <a:lt2>
      <a:srgbClr val="F2F2F2"/>
    </a:lt2>
    <a:accent1>
      <a:srgbClr val="B82D2F"/>
    </a:accent1>
    <a:accent2>
      <a:srgbClr val="333333"/>
    </a:accent2>
    <a:accent3>
      <a:srgbClr val="2B4A63"/>
    </a:accent3>
    <a:accent4>
      <a:srgbClr val="445E45"/>
    </a:accent4>
    <a:accent5>
      <a:srgbClr val="5A3A64"/>
    </a:accent5>
    <a:accent6>
      <a:srgbClr val="DB8526"/>
    </a:accent6>
    <a:hlink>
      <a:srgbClr val="164E6E"/>
    </a:hlink>
    <a:folHlink>
      <a:srgbClr val="667F6D"/>
    </a:folHlink>
  </a:clrScheme>
  <a:fontScheme name="Franklin Gothic Medium">
    <a:majorFont>
      <a:latin typeface="Franklin Gothic Medium"/>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Franklin Gothic Medium"/>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25EF5E-A94E-4B42-8620-5E83177D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15747</Words>
  <Characters>8977</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Reinholde</dc:creator>
  <cp:keywords/>
  <dc:description/>
  <cp:lastModifiedBy>Zane Reinholde</cp:lastModifiedBy>
  <cp:revision>4</cp:revision>
  <dcterms:created xsi:type="dcterms:W3CDTF">2021-10-25T11:16:00Z</dcterms:created>
  <dcterms:modified xsi:type="dcterms:W3CDTF">2021-10-25T14:03:00Z</dcterms:modified>
</cp:coreProperties>
</file>