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45BE7" w14:textId="0BE65805" w:rsidR="00802E2A" w:rsidRPr="00E17B92" w:rsidRDefault="0036641F" w:rsidP="00802E2A">
      <w:pPr>
        <w:pStyle w:val="Title"/>
        <w:jc w:val="right"/>
        <w:rPr>
          <w:rFonts w:ascii="Times New Roman" w:hAnsi="Times New Roman" w:cs="Times New Roman"/>
          <w:bCs/>
          <w:i/>
          <w:iCs/>
          <w:sz w:val="24"/>
          <w:szCs w:val="24"/>
        </w:rPr>
      </w:pPr>
      <w:r w:rsidRPr="00E17B92">
        <w:rPr>
          <w:rFonts w:ascii="Times New Roman" w:hAnsi="Times New Roman" w:cs="Times New Roman"/>
          <w:bCs/>
          <w:i/>
          <w:iCs/>
          <w:sz w:val="24"/>
          <w:szCs w:val="24"/>
        </w:rPr>
        <w:t>P</w:t>
      </w:r>
      <w:r w:rsidR="00802E2A" w:rsidRPr="00E17B92">
        <w:rPr>
          <w:rFonts w:ascii="Times New Roman" w:hAnsi="Times New Roman" w:cs="Times New Roman"/>
          <w:bCs/>
          <w:i/>
          <w:iCs/>
          <w:sz w:val="24"/>
          <w:szCs w:val="24"/>
        </w:rPr>
        <w:t>ielikums</w:t>
      </w:r>
      <w:r w:rsidR="00E17B92" w:rsidRPr="00E17B92">
        <w:rPr>
          <w:rFonts w:ascii="Times New Roman" w:hAnsi="Times New Roman" w:cs="Times New Roman"/>
          <w:bCs/>
          <w:i/>
          <w:iCs/>
          <w:sz w:val="24"/>
          <w:szCs w:val="24"/>
        </w:rPr>
        <w:t xml:space="preserve"> konceptuālam ziņojumam</w:t>
      </w:r>
      <w:r w:rsidR="00E17B92" w:rsidRPr="00E17B92">
        <w:rPr>
          <w:rFonts w:ascii="Times New Roman" w:hAnsi="Times New Roman" w:cs="Times New Roman"/>
          <w:bCs/>
          <w:i/>
          <w:iCs/>
          <w:sz w:val="24"/>
          <w:szCs w:val="24"/>
        </w:rPr>
        <w:br/>
        <w:t>“Par kopējo statistiski teritoriālo vienību (NUTS) klasifikāciju”</w:t>
      </w:r>
    </w:p>
    <w:p w14:paraId="23167F57" w14:textId="77777777" w:rsidR="00802E2A" w:rsidRPr="008B658E" w:rsidRDefault="00802E2A" w:rsidP="00BD6820"/>
    <w:p w14:paraId="311FFEF4" w14:textId="3B7630EC" w:rsidR="00802E2A" w:rsidRDefault="00802E2A" w:rsidP="00802E2A">
      <w:pPr>
        <w:pStyle w:val="Title"/>
        <w:jc w:val="center"/>
        <w:rPr>
          <w:rFonts w:ascii="Times New Roman" w:hAnsi="Times New Roman" w:cs="Times New Roman"/>
          <w:b/>
          <w:sz w:val="24"/>
          <w:szCs w:val="24"/>
        </w:rPr>
      </w:pPr>
      <w:r w:rsidRPr="002F64A6">
        <w:rPr>
          <w:rFonts w:ascii="Times New Roman" w:hAnsi="Times New Roman" w:cs="Times New Roman"/>
          <w:b/>
          <w:sz w:val="24"/>
          <w:szCs w:val="24"/>
        </w:rPr>
        <w:t xml:space="preserve">Latvijas </w:t>
      </w:r>
      <w:r w:rsidRPr="008B658E">
        <w:rPr>
          <w:rFonts w:ascii="Times New Roman" w:hAnsi="Times New Roman" w:cs="Times New Roman"/>
          <w:b/>
          <w:i/>
          <w:iCs/>
          <w:sz w:val="24"/>
          <w:szCs w:val="24"/>
        </w:rPr>
        <w:t>NUTS</w:t>
      </w:r>
      <w:r>
        <w:rPr>
          <w:rFonts w:ascii="Times New Roman" w:hAnsi="Times New Roman" w:cs="Times New Roman"/>
          <w:b/>
          <w:sz w:val="24"/>
          <w:szCs w:val="24"/>
        </w:rPr>
        <w:t> </w:t>
      </w:r>
      <w:r w:rsidRPr="002F64A6">
        <w:rPr>
          <w:rFonts w:ascii="Times New Roman" w:hAnsi="Times New Roman" w:cs="Times New Roman"/>
          <w:b/>
          <w:sz w:val="24"/>
          <w:szCs w:val="24"/>
        </w:rPr>
        <w:t>2 reģionu dalījuma izmaiņu ietekmes analīze uz Kohēzijas politikas ieviešanas sistēmu</w:t>
      </w:r>
    </w:p>
    <w:p w14:paraId="3384A205" w14:textId="77777777" w:rsidR="00802E2A" w:rsidRPr="00BB6E42" w:rsidRDefault="00802E2A" w:rsidP="00BB6E42">
      <w:pPr>
        <w:pStyle w:val="Heading2"/>
      </w:pPr>
      <w:r w:rsidRPr="00BB6E42">
        <w:t>1. Kohēzijas politikas piešķīruma aprēķina principi</w:t>
      </w:r>
    </w:p>
    <w:p w14:paraId="02486952" w14:textId="77777777" w:rsidR="00802E2A" w:rsidRDefault="00802E2A" w:rsidP="00802E2A">
      <w:pPr>
        <w:ind w:firstLine="720"/>
        <w:rPr>
          <w:rFonts w:cs="Times New Roman"/>
          <w:szCs w:val="24"/>
        </w:rPr>
      </w:pPr>
      <w:r w:rsidRPr="002F64A6">
        <w:rPr>
          <w:rFonts w:cs="Times New Roman"/>
          <w:szCs w:val="24"/>
        </w:rPr>
        <w:t xml:space="preserve">Lai izprastu </w:t>
      </w:r>
      <w:r w:rsidRPr="00FC049C">
        <w:rPr>
          <w:rFonts w:cs="Times New Roman"/>
          <w:i/>
          <w:iCs/>
          <w:szCs w:val="24"/>
        </w:rPr>
        <w:t>NUTS</w:t>
      </w:r>
      <w:r w:rsidRPr="002F64A6">
        <w:rPr>
          <w:rFonts w:cs="Times New Roman"/>
          <w:szCs w:val="24"/>
        </w:rPr>
        <w:t xml:space="preserve"> 2 reģionu dalījuma nozīmi ES Kohēzijas politikas fondu (</w:t>
      </w:r>
      <w:r w:rsidRPr="00D059E6">
        <w:rPr>
          <w:rFonts w:cs="Times New Roman"/>
          <w:i/>
          <w:iCs/>
          <w:szCs w:val="24"/>
        </w:rPr>
        <w:t>Eiropas Sociālais fonds (ESF), Eiropas Reģionālās attīstības fonds (ERAF), Kohēzijas fonds (KF)</w:t>
      </w:r>
      <w:r w:rsidRPr="002F64A6">
        <w:rPr>
          <w:rFonts w:cs="Times New Roman"/>
          <w:szCs w:val="24"/>
        </w:rPr>
        <w:t>) piešķīrumu kontekstā, nepieciešams sniegt ieskatu, no kādiem elementiem tas veidojas.</w:t>
      </w:r>
    </w:p>
    <w:p w14:paraId="2EFD178D" w14:textId="77777777" w:rsidR="00802E2A" w:rsidRPr="00FC049C" w:rsidRDefault="00802E2A" w:rsidP="00802E2A">
      <w:pPr>
        <w:ind w:firstLine="720"/>
        <w:rPr>
          <w:rFonts w:cs="Times New Roman"/>
          <w:szCs w:val="24"/>
        </w:rPr>
      </w:pPr>
      <w:r w:rsidRPr="002F64A6">
        <w:rPr>
          <w:rFonts w:eastAsia="Calibri" w:cs="Times New Roman"/>
          <w:szCs w:val="24"/>
        </w:rPr>
        <w:t xml:space="preserve">Valsts ES Kohēzijas politikas fondu aploksne veidojas kā summa no dažādu kategoriju piešķīrumiem: </w:t>
      </w:r>
    </w:p>
    <w:p w14:paraId="3E7D4EDF" w14:textId="77777777" w:rsidR="00802E2A" w:rsidRPr="00D059E6" w:rsidRDefault="00802E2A" w:rsidP="00802E2A">
      <w:pPr>
        <w:pStyle w:val="ListParagraph"/>
        <w:numPr>
          <w:ilvl w:val="0"/>
          <w:numId w:val="30"/>
        </w:numPr>
        <w:spacing w:after="0"/>
        <w:ind w:right="-31"/>
        <w:contextualSpacing/>
        <w:rPr>
          <w:rFonts w:eastAsia="Calibri" w:cs="Times New Roman"/>
          <w:szCs w:val="24"/>
        </w:rPr>
      </w:pPr>
      <w:r>
        <w:rPr>
          <w:rFonts w:eastAsia="Calibri" w:cs="Times New Roman"/>
          <w:szCs w:val="24"/>
        </w:rPr>
        <w:t>p</w:t>
      </w:r>
      <w:r w:rsidRPr="00D059E6">
        <w:rPr>
          <w:rFonts w:eastAsia="Calibri" w:cs="Times New Roman"/>
          <w:szCs w:val="24"/>
        </w:rPr>
        <w:t>iešķīrums mērķim “</w:t>
      </w:r>
      <w:r w:rsidRPr="00D059E6">
        <w:rPr>
          <w:rFonts w:eastAsia="Calibri" w:cs="Times New Roman"/>
          <w:b/>
          <w:i/>
          <w:szCs w:val="24"/>
        </w:rPr>
        <w:t>Investīcijas nodarbinātībai un izaugsmei”</w:t>
      </w:r>
    </w:p>
    <w:p w14:paraId="684798E7" w14:textId="77777777" w:rsidR="00802E2A" w:rsidRDefault="00802E2A" w:rsidP="00802E2A">
      <w:pPr>
        <w:pStyle w:val="ListParagraph"/>
        <w:numPr>
          <w:ilvl w:val="0"/>
          <w:numId w:val="38"/>
        </w:numPr>
        <w:spacing w:after="0"/>
        <w:ind w:right="-31"/>
        <w:contextualSpacing/>
        <w:rPr>
          <w:rFonts w:eastAsia="Calibri" w:cs="Times New Roman"/>
          <w:szCs w:val="24"/>
        </w:rPr>
      </w:pPr>
      <w:r w:rsidRPr="00D059E6">
        <w:rPr>
          <w:rFonts w:eastAsia="Calibri" w:cs="Times New Roman"/>
          <w:szCs w:val="24"/>
        </w:rPr>
        <w:t xml:space="preserve">piešķīrums </w:t>
      </w:r>
      <w:r>
        <w:rPr>
          <w:rFonts w:eastAsia="Calibri" w:cs="Times New Roman"/>
          <w:b/>
          <w:i/>
          <w:szCs w:val="24"/>
        </w:rPr>
        <w:t>m</w:t>
      </w:r>
      <w:r w:rsidRPr="00D059E6">
        <w:rPr>
          <w:rFonts w:eastAsia="Calibri" w:cs="Times New Roman"/>
          <w:b/>
          <w:i/>
          <w:szCs w:val="24"/>
        </w:rPr>
        <w:t xml:space="preserve">azāk attīstītiem </w:t>
      </w:r>
      <w:r w:rsidRPr="003A3D0B">
        <w:rPr>
          <w:rFonts w:eastAsia="Calibri" w:cs="Times New Roman"/>
          <w:b/>
          <w:iCs/>
          <w:szCs w:val="24"/>
        </w:rPr>
        <w:t>reģioniem</w:t>
      </w:r>
      <w:r w:rsidRPr="00D059E6">
        <w:rPr>
          <w:rFonts w:eastAsia="Calibri" w:cs="Times New Roman"/>
          <w:i/>
          <w:szCs w:val="24"/>
        </w:rPr>
        <w:t xml:space="preserve"> </w:t>
      </w:r>
      <w:r w:rsidRPr="00D059E6">
        <w:rPr>
          <w:rFonts w:eastAsia="Calibri" w:cs="Times New Roman"/>
          <w:szCs w:val="24"/>
        </w:rPr>
        <w:t>(</w:t>
      </w:r>
      <w:r w:rsidRPr="00D059E6">
        <w:rPr>
          <w:rFonts w:eastAsia="Calibri" w:cs="Times New Roman"/>
          <w:i/>
          <w:iCs/>
          <w:szCs w:val="24"/>
        </w:rPr>
        <w:t>NUTS</w:t>
      </w:r>
      <w:r>
        <w:rPr>
          <w:rFonts w:eastAsia="Calibri" w:cs="Times New Roman"/>
          <w:szCs w:val="24"/>
        </w:rPr>
        <w:t> </w:t>
      </w:r>
      <w:r w:rsidRPr="00D059E6">
        <w:rPr>
          <w:rFonts w:eastAsia="Calibri" w:cs="Times New Roman"/>
          <w:szCs w:val="24"/>
        </w:rPr>
        <w:t>2 līmenī</w:t>
      </w:r>
      <w:r w:rsidRPr="002F64A6">
        <w:rPr>
          <w:rStyle w:val="FootnoteReference"/>
          <w:rFonts w:eastAsia="Calibri" w:cs="Times New Roman"/>
          <w:szCs w:val="24"/>
        </w:rPr>
        <w:footnoteReference w:id="2"/>
      </w:r>
      <w:r w:rsidRPr="00D059E6">
        <w:rPr>
          <w:rFonts w:eastAsia="Calibri" w:cs="Times New Roman"/>
          <w:szCs w:val="24"/>
        </w:rPr>
        <w:t>);</w:t>
      </w:r>
    </w:p>
    <w:p w14:paraId="1DC1B23B" w14:textId="77777777" w:rsidR="00802E2A" w:rsidRDefault="00802E2A" w:rsidP="00802E2A">
      <w:pPr>
        <w:pStyle w:val="ListParagraph"/>
        <w:numPr>
          <w:ilvl w:val="0"/>
          <w:numId w:val="38"/>
        </w:numPr>
        <w:spacing w:after="0"/>
        <w:ind w:right="-31"/>
        <w:contextualSpacing/>
        <w:rPr>
          <w:rFonts w:eastAsia="Calibri" w:cs="Times New Roman"/>
          <w:szCs w:val="24"/>
        </w:rPr>
      </w:pPr>
      <w:r w:rsidRPr="00D059E6">
        <w:rPr>
          <w:rFonts w:eastAsia="Calibri" w:cs="Times New Roman"/>
          <w:szCs w:val="24"/>
        </w:rPr>
        <w:t xml:space="preserve">piešķīrums </w:t>
      </w:r>
      <w:r>
        <w:rPr>
          <w:rFonts w:eastAsia="Calibri" w:cs="Times New Roman"/>
          <w:b/>
          <w:i/>
          <w:szCs w:val="24"/>
        </w:rPr>
        <w:t>p</w:t>
      </w:r>
      <w:r w:rsidRPr="00D059E6">
        <w:rPr>
          <w:rFonts w:eastAsia="Calibri" w:cs="Times New Roman"/>
          <w:b/>
          <w:i/>
          <w:szCs w:val="24"/>
        </w:rPr>
        <w:t xml:space="preserve">ārejas </w:t>
      </w:r>
      <w:r w:rsidRPr="003A3D0B">
        <w:rPr>
          <w:rFonts w:eastAsia="Calibri" w:cs="Times New Roman"/>
          <w:b/>
          <w:iCs/>
          <w:szCs w:val="24"/>
        </w:rPr>
        <w:t>reģioniem</w:t>
      </w:r>
      <w:r w:rsidRPr="00D059E6">
        <w:rPr>
          <w:rFonts w:eastAsia="Calibri" w:cs="Times New Roman"/>
          <w:i/>
          <w:szCs w:val="24"/>
        </w:rPr>
        <w:t xml:space="preserve"> </w:t>
      </w:r>
      <w:r w:rsidRPr="00D059E6">
        <w:rPr>
          <w:rFonts w:eastAsia="Calibri" w:cs="Times New Roman"/>
          <w:szCs w:val="24"/>
        </w:rPr>
        <w:t>(</w:t>
      </w:r>
      <w:r w:rsidRPr="00D059E6">
        <w:rPr>
          <w:rFonts w:eastAsia="Calibri" w:cs="Times New Roman"/>
          <w:i/>
          <w:iCs/>
          <w:szCs w:val="24"/>
        </w:rPr>
        <w:t>NUTS</w:t>
      </w:r>
      <w:r>
        <w:rPr>
          <w:rFonts w:eastAsia="Calibri" w:cs="Times New Roman"/>
          <w:szCs w:val="24"/>
        </w:rPr>
        <w:t> </w:t>
      </w:r>
      <w:r w:rsidRPr="00D059E6">
        <w:rPr>
          <w:rFonts w:eastAsia="Calibri" w:cs="Times New Roman"/>
          <w:szCs w:val="24"/>
        </w:rPr>
        <w:t>2 līmenī);</w:t>
      </w:r>
    </w:p>
    <w:p w14:paraId="2ADF52E2" w14:textId="77777777" w:rsidR="00802E2A" w:rsidRPr="00D059E6" w:rsidRDefault="00802E2A" w:rsidP="00802E2A">
      <w:pPr>
        <w:pStyle w:val="ListParagraph"/>
        <w:numPr>
          <w:ilvl w:val="0"/>
          <w:numId w:val="38"/>
        </w:numPr>
        <w:spacing w:after="0"/>
        <w:ind w:right="-31"/>
        <w:contextualSpacing/>
        <w:rPr>
          <w:rFonts w:eastAsia="Calibri" w:cs="Times New Roman"/>
          <w:szCs w:val="24"/>
        </w:rPr>
      </w:pPr>
      <w:r w:rsidRPr="00D059E6">
        <w:rPr>
          <w:rFonts w:eastAsia="Calibri" w:cs="Times New Roman"/>
          <w:szCs w:val="24"/>
        </w:rPr>
        <w:t xml:space="preserve">piešķīrums </w:t>
      </w:r>
      <w:r>
        <w:rPr>
          <w:rFonts w:eastAsia="Calibri" w:cs="Times New Roman"/>
          <w:b/>
          <w:i/>
          <w:szCs w:val="24"/>
        </w:rPr>
        <w:t>v</w:t>
      </w:r>
      <w:r w:rsidRPr="00D059E6">
        <w:rPr>
          <w:rFonts w:eastAsia="Calibri" w:cs="Times New Roman"/>
          <w:b/>
          <w:i/>
          <w:szCs w:val="24"/>
        </w:rPr>
        <w:t xml:space="preserve">airāk attīstītiem </w:t>
      </w:r>
      <w:r w:rsidRPr="003A3D0B">
        <w:rPr>
          <w:rFonts w:eastAsia="Calibri" w:cs="Times New Roman"/>
          <w:b/>
          <w:iCs/>
          <w:szCs w:val="24"/>
        </w:rPr>
        <w:t>reģioniem</w:t>
      </w:r>
      <w:r w:rsidRPr="00D059E6">
        <w:rPr>
          <w:rFonts w:eastAsia="Calibri" w:cs="Times New Roman"/>
          <w:szCs w:val="24"/>
        </w:rPr>
        <w:t xml:space="preserve"> (</w:t>
      </w:r>
      <w:r w:rsidRPr="00D059E6">
        <w:rPr>
          <w:rFonts w:eastAsia="Calibri" w:cs="Times New Roman"/>
          <w:i/>
          <w:iCs/>
          <w:szCs w:val="24"/>
        </w:rPr>
        <w:t>NUTS</w:t>
      </w:r>
      <w:r>
        <w:rPr>
          <w:rFonts w:eastAsia="Calibri" w:cs="Times New Roman"/>
          <w:szCs w:val="24"/>
        </w:rPr>
        <w:t> </w:t>
      </w:r>
      <w:r w:rsidRPr="00D059E6">
        <w:rPr>
          <w:rFonts w:eastAsia="Calibri" w:cs="Times New Roman"/>
          <w:szCs w:val="24"/>
        </w:rPr>
        <w:t xml:space="preserve">2 līmenī); </w:t>
      </w:r>
    </w:p>
    <w:p w14:paraId="547B6C96" w14:textId="77777777" w:rsidR="00802E2A" w:rsidRDefault="00802E2A" w:rsidP="00802E2A">
      <w:pPr>
        <w:pStyle w:val="ListParagraph"/>
        <w:numPr>
          <w:ilvl w:val="0"/>
          <w:numId w:val="30"/>
        </w:numPr>
        <w:spacing w:after="0"/>
        <w:ind w:right="-31"/>
        <w:contextualSpacing/>
        <w:rPr>
          <w:rFonts w:eastAsia="Calibri" w:cs="Times New Roman"/>
          <w:szCs w:val="24"/>
        </w:rPr>
      </w:pPr>
      <w:r w:rsidRPr="00D059E6">
        <w:rPr>
          <w:rFonts w:eastAsia="Calibri" w:cs="Times New Roman"/>
          <w:szCs w:val="24"/>
        </w:rPr>
        <w:t xml:space="preserve">piešķīrums no </w:t>
      </w:r>
      <w:r w:rsidRPr="00D059E6">
        <w:rPr>
          <w:rFonts w:eastAsia="Calibri" w:cs="Times New Roman"/>
          <w:b/>
          <w:szCs w:val="24"/>
        </w:rPr>
        <w:t>Kohēzijas fonda</w:t>
      </w:r>
      <w:r w:rsidRPr="00D059E6">
        <w:rPr>
          <w:rFonts w:eastAsia="Calibri" w:cs="Times New Roman"/>
          <w:szCs w:val="24"/>
        </w:rPr>
        <w:t xml:space="preserve"> (valstu līmenī), t.sk. no tā – </w:t>
      </w:r>
      <w:r w:rsidRPr="00D059E6">
        <w:rPr>
          <w:rFonts w:eastAsia="Calibri" w:cs="Times New Roman"/>
          <w:b/>
          <w:szCs w:val="24"/>
        </w:rPr>
        <w:t>pārvedums CEF transportam (EISI)</w:t>
      </w:r>
      <w:r>
        <w:rPr>
          <w:rFonts w:eastAsia="Calibri" w:cs="Times New Roman"/>
          <w:szCs w:val="24"/>
        </w:rPr>
        <w:t>;</w:t>
      </w:r>
    </w:p>
    <w:p w14:paraId="1E019115" w14:textId="77777777" w:rsidR="00802E2A" w:rsidRDefault="00802E2A" w:rsidP="00802E2A">
      <w:pPr>
        <w:pStyle w:val="ListParagraph"/>
        <w:numPr>
          <w:ilvl w:val="0"/>
          <w:numId w:val="30"/>
        </w:numPr>
        <w:spacing w:after="0"/>
        <w:ind w:right="-31"/>
        <w:contextualSpacing/>
        <w:rPr>
          <w:rFonts w:eastAsia="Calibri" w:cs="Times New Roman"/>
          <w:szCs w:val="24"/>
        </w:rPr>
      </w:pPr>
      <w:r w:rsidRPr="00D059E6">
        <w:rPr>
          <w:rFonts w:eastAsia="Calibri" w:cs="Times New Roman"/>
          <w:szCs w:val="24"/>
        </w:rPr>
        <w:t xml:space="preserve">piešķīrums </w:t>
      </w:r>
      <w:r w:rsidRPr="00D059E6">
        <w:rPr>
          <w:rFonts w:eastAsia="Calibri" w:cs="Times New Roman"/>
          <w:b/>
          <w:i/>
          <w:szCs w:val="24"/>
        </w:rPr>
        <w:t>Tālākajiem un ziemeļu mazapdzīvotiem reģioniem</w:t>
      </w:r>
      <w:r w:rsidRPr="00D059E6">
        <w:rPr>
          <w:rFonts w:eastAsia="Calibri" w:cs="Times New Roman"/>
          <w:szCs w:val="24"/>
        </w:rPr>
        <w:t xml:space="preserve"> (</w:t>
      </w:r>
      <w:r w:rsidRPr="00D059E6">
        <w:rPr>
          <w:rFonts w:eastAsia="Calibri" w:cs="Times New Roman"/>
          <w:i/>
          <w:iCs/>
          <w:szCs w:val="24"/>
        </w:rPr>
        <w:t>NUTS</w:t>
      </w:r>
      <w:r>
        <w:rPr>
          <w:rFonts w:eastAsia="Calibri" w:cs="Times New Roman"/>
          <w:szCs w:val="24"/>
        </w:rPr>
        <w:t> </w:t>
      </w:r>
      <w:r w:rsidRPr="00D059E6">
        <w:rPr>
          <w:rFonts w:eastAsia="Calibri" w:cs="Times New Roman"/>
          <w:szCs w:val="24"/>
        </w:rPr>
        <w:t>2 līmenī);</w:t>
      </w:r>
    </w:p>
    <w:p w14:paraId="3D279D42" w14:textId="77777777" w:rsidR="00802E2A" w:rsidRDefault="00802E2A" w:rsidP="00802E2A">
      <w:pPr>
        <w:pStyle w:val="ListParagraph"/>
        <w:numPr>
          <w:ilvl w:val="0"/>
          <w:numId w:val="30"/>
        </w:numPr>
        <w:spacing w:after="0"/>
        <w:ind w:right="-31"/>
        <w:contextualSpacing/>
        <w:rPr>
          <w:rFonts w:eastAsia="Calibri" w:cs="Times New Roman"/>
          <w:szCs w:val="24"/>
        </w:rPr>
      </w:pPr>
      <w:r w:rsidRPr="00D059E6">
        <w:rPr>
          <w:rFonts w:eastAsia="Calibri" w:cs="Times New Roman"/>
          <w:szCs w:val="24"/>
        </w:rPr>
        <w:t>piešķīrums mērķim “</w:t>
      </w:r>
      <w:r w:rsidRPr="00D059E6">
        <w:rPr>
          <w:rFonts w:eastAsia="Calibri" w:cs="Times New Roman"/>
          <w:b/>
          <w:szCs w:val="24"/>
        </w:rPr>
        <w:t>Eiropas teritoriāla sadarbība</w:t>
      </w:r>
      <w:r w:rsidRPr="00D059E6">
        <w:rPr>
          <w:rFonts w:eastAsia="Calibri" w:cs="Times New Roman"/>
          <w:szCs w:val="24"/>
        </w:rPr>
        <w:t>” (</w:t>
      </w:r>
      <w:r w:rsidRPr="00D059E6">
        <w:rPr>
          <w:rFonts w:eastAsia="Calibri" w:cs="Times New Roman"/>
          <w:i/>
          <w:iCs/>
          <w:szCs w:val="24"/>
        </w:rPr>
        <w:t>NUTS</w:t>
      </w:r>
      <w:r>
        <w:rPr>
          <w:rFonts w:eastAsia="Calibri" w:cs="Times New Roman"/>
          <w:szCs w:val="24"/>
        </w:rPr>
        <w:t> </w:t>
      </w:r>
      <w:r w:rsidRPr="00D059E6">
        <w:rPr>
          <w:rFonts w:eastAsia="Calibri" w:cs="Times New Roman"/>
          <w:szCs w:val="24"/>
        </w:rPr>
        <w:t>3/valsts līmenī);</w:t>
      </w:r>
    </w:p>
    <w:p w14:paraId="33C8C385" w14:textId="77777777" w:rsidR="00802E2A" w:rsidRPr="00D059E6" w:rsidRDefault="00802E2A" w:rsidP="00802E2A">
      <w:pPr>
        <w:pStyle w:val="ListParagraph"/>
        <w:numPr>
          <w:ilvl w:val="0"/>
          <w:numId w:val="30"/>
        </w:numPr>
        <w:spacing w:after="0"/>
        <w:ind w:right="-31"/>
        <w:contextualSpacing/>
        <w:rPr>
          <w:rFonts w:eastAsia="Calibri" w:cs="Times New Roman"/>
          <w:szCs w:val="24"/>
        </w:rPr>
      </w:pPr>
      <w:r w:rsidRPr="00D059E6">
        <w:rPr>
          <w:rFonts w:eastAsia="Calibri" w:cs="Times New Roman"/>
          <w:szCs w:val="24"/>
        </w:rPr>
        <w:t>sarunu rezultātā tika pieņemti papildu noteikumi, kuri papildina dalībvalstu aploksnes pa kategoriju piešķīrumiem ar papildu finansējumu jeb t.s. “</w:t>
      </w:r>
      <w:r w:rsidRPr="00802E2A">
        <w:rPr>
          <w:rFonts w:eastAsia="Calibri" w:cs="Times New Roman"/>
          <w:i/>
          <w:iCs/>
          <w:szCs w:val="24"/>
        </w:rPr>
        <w:t>top-</w:t>
      </w:r>
      <w:proofErr w:type="spellStart"/>
      <w:r w:rsidRPr="00802E2A">
        <w:rPr>
          <w:rFonts w:eastAsia="Calibri" w:cs="Times New Roman"/>
          <w:i/>
          <w:iCs/>
          <w:szCs w:val="24"/>
        </w:rPr>
        <w:t>up</w:t>
      </w:r>
      <w:proofErr w:type="spellEnd"/>
      <w:r w:rsidRPr="00D059E6">
        <w:rPr>
          <w:rFonts w:eastAsia="Calibri" w:cs="Times New Roman"/>
          <w:szCs w:val="24"/>
        </w:rPr>
        <w:t>” piešķīrumi.</w:t>
      </w:r>
      <w:r w:rsidRPr="002F64A6">
        <w:rPr>
          <w:rStyle w:val="FootnoteReference"/>
          <w:rFonts w:eastAsia="Calibri" w:cs="Times New Roman"/>
          <w:szCs w:val="24"/>
        </w:rPr>
        <w:footnoteReference w:id="3"/>
      </w:r>
    </w:p>
    <w:p w14:paraId="3801974A" w14:textId="77777777" w:rsidR="00802E2A" w:rsidRPr="002F64A6" w:rsidRDefault="00802E2A" w:rsidP="00802E2A">
      <w:pPr>
        <w:ind w:right="-31"/>
        <w:contextualSpacing/>
        <w:rPr>
          <w:rFonts w:eastAsia="Calibri" w:cs="Times New Roman"/>
          <w:szCs w:val="24"/>
        </w:rPr>
      </w:pPr>
    </w:p>
    <w:p w14:paraId="3015C0C9" w14:textId="77777777" w:rsidR="00802E2A" w:rsidRPr="00D176F4" w:rsidRDefault="00802E2A" w:rsidP="00802E2A">
      <w:pPr>
        <w:pStyle w:val="ListParagraph"/>
        <w:spacing w:after="0"/>
        <w:ind w:left="0"/>
        <w:jc w:val="right"/>
        <w:rPr>
          <w:i/>
          <w:szCs w:val="22"/>
        </w:rPr>
      </w:pPr>
      <w:r w:rsidRPr="00AA350D">
        <w:rPr>
          <w:i/>
        </w:rPr>
        <w:t xml:space="preserve">Tabula Nr. 1. </w:t>
      </w:r>
      <w:r w:rsidRPr="00D176F4">
        <w:rPr>
          <w:i/>
          <w:szCs w:val="22"/>
        </w:rPr>
        <w:t>Piešķīrumus ietekmējošie kritēriji</w:t>
      </w:r>
      <w:r>
        <w:rPr>
          <w:i/>
        </w:rPr>
        <w:t>.</w:t>
      </w:r>
    </w:p>
    <w:tbl>
      <w:tblPr>
        <w:tblStyle w:val="TableGrid"/>
        <w:tblW w:w="0" w:type="auto"/>
        <w:jc w:val="center"/>
        <w:tblLook w:val="04A0" w:firstRow="1" w:lastRow="0" w:firstColumn="1" w:lastColumn="0" w:noHBand="0" w:noVBand="1"/>
      </w:tblPr>
      <w:tblGrid>
        <w:gridCol w:w="2689"/>
        <w:gridCol w:w="2976"/>
        <w:gridCol w:w="3963"/>
      </w:tblGrid>
      <w:tr w:rsidR="00802E2A" w:rsidRPr="002F64A6" w14:paraId="0AFC3BDD" w14:textId="77777777" w:rsidTr="0036641F">
        <w:trPr>
          <w:trHeight w:val="448"/>
          <w:jc w:val="center"/>
        </w:trPr>
        <w:tc>
          <w:tcPr>
            <w:tcW w:w="2689" w:type="dxa"/>
            <w:shd w:val="clear" w:color="auto" w:fill="BFBFBF" w:themeFill="background1" w:themeFillShade="BF"/>
            <w:vAlign w:val="center"/>
          </w:tcPr>
          <w:p w14:paraId="4D919CC3" w14:textId="77777777" w:rsidR="00802E2A" w:rsidRPr="002F64A6" w:rsidRDefault="00802E2A" w:rsidP="007B6A5B">
            <w:pPr>
              <w:ind w:right="-31"/>
              <w:contextualSpacing/>
              <w:jc w:val="center"/>
              <w:rPr>
                <w:rFonts w:eastAsia="Calibri" w:cs="Times New Roman"/>
                <w:b/>
                <w:szCs w:val="24"/>
              </w:rPr>
            </w:pPr>
            <w:r w:rsidRPr="00CC1B5E">
              <w:rPr>
                <w:rFonts w:eastAsia="Calibri" w:cs="Times New Roman"/>
                <w:b/>
                <w:i/>
                <w:iCs/>
                <w:szCs w:val="24"/>
              </w:rPr>
              <w:t>Mazāk attīstītie</w:t>
            </w:r>
            <w:r w:rsidRPr="002F64A6">
              <w:rPr>
                <w:rFonts w:eastAsia="Calibri" w:cs="Times New Roman"/>
                <w:b/>
                <w:szCs w:val="24"/>
              </w:rPr>
              <w:t xml:space="preserve"> reģioni</w:t>
            </w:r>
          </w:p>
        </w:tc>
        <w:tc>
          <w:tcPr>
            <w:tcW w:w="2976" w:type="dxa"/>
            <w:shd w:val="clear" w:color="auto" w:fill="BFBFBF" w:themeFill="background1" w:themeFillShade="BF"/>
            <w:vAlign w:val="center"/>
          </w:tcPr>
          <w:p w14:paraId="6637B217" w14:textId="77777777" w:rsidR="00802E2A" w:rsidRPr="002F64A6" w:rsidRDefault="00802E2A" w:rsidP="007B6A5B">
            <w:pPr>
              <w:ind w:right="-31"/>
              <w:contextualSpacing/>
              <w:jc w:val="center"/>
              <w:rPr>
                <w:rFonts w:eastAsia="Calibri" w:cs="Times New Roman"/>
                <w:b/>
                <w:szCs w:val="24"/>
              </w:rPr>
            </w:pPr>
            <w:r w:rsidRPr="00CC1B5E">
              <w:rPr>
                <w:rFonts w:eastAsia="Calibri" w:cs="Times New Roman"/>
                <w:b/>
                <w:i/>
                <w:iCs/>
                <w:szCs w:val="24"/>
              </w:rPr>
              <w:t>Pārejas</w:t>
            </w:r>
            <w:r w:rsidRPr="002F64A6">
              <w:rPr>
                <w:rFonts w:eastAsia="Calibri" w:cs="Times New Roman"/>
                <w:b/>
                <w:szCs w:val="24"/>
              </w:rPr>
              <w:t xml:space="preserve"> reģioni</w:t>
            </w:r>
          </w:p>
        </w:tc>
        <w:tc>
          <w:tcPr>
            <w:tcW w:w="3963" w:type="dxa"/>
            <w:shd w:val="clear" w:color="auto" w:fill="BFBFBF" w:themeFill="background1" w:themeFillShade="BF"/>
            <w:vAlign w:val="center"/>
          </w:tcPr>
          <w:p w14:paraId="01B8009D" w14:textId="77777777" w:rsidR="00802E2A" w:rsidRPr="002F64A6" w:rsidRDefault="00802E2A" w:rsidP="007B6A5B">
            <w:pPr>
              <w:ind w:right="-31"/>
              <w:contextualSpacing/>
              <w:jc w:val="center"/>
              <w:rPr>
                <w:rFonts w:eastAsia="Calibri" w:cs="Times New Roman"/>
                <w:b/>
                <w:szCs w:val="24"/>
              </w:rPr>
            </w:pPr>
            <w:r w:rsidRPr="00CC1B5E">
              <w:rPr>
                <w:rFonts w:eastAsia="Calibri" w:cs="Times New Roman"/>
                <w:b/>
                <w:i/>
                <w:iCs/>
                <w:szCs w:val="24"/>
              </w:rPr>
              <w:t>Vairāk attīstītie</w:t>
            </w:r>
            <w:r w:rsidRPr="002F64A6">
              <w:rPr>
                <w:rFonts w:eastAsia="Calibri" w:cs="Times New Roman"/>
                <w:b/>
                <w:szCs w:val="24"/>
              </w:rPr>
              <w:t xml:space="preserve"> reģioni</w:t>
            </w:r>
          </w:p>
        </w:tc>
      </w:tr>
      <w:tr w:rsidR="00802E2A" w:rsidRPr="002F64A6" w14:paraId="6BF05AD0" w14:textId="77777777" w:rsidTr="0036641F">
        <w:trPr>
          <w:jc w:val="center"/>
        </w:trPr>
        <w:tc>
          <w:tcPr>
            <w:tcW w:w="2689" w:type="dxa"/>
          </w:tcPr>
          <w:p w14:paraId="099142F1"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reģionālais iedzīvotāju skaits</w:t>
            </w:r>
            <w:r>
              <w:rPr>
                <w:rFonts w:eastAsia="Calibri" w:cs="Times New Roman"/>
                <w:szCs w:val="24"/>
              </w:rPr>
              <w:t>;</w:t>
            </w:r>
          </w:p>
          <w:p w14:paraId="24C1BDC2"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NKI valsts līmenī;</w:t>
            </w:r>
          </w:p>
          <w:p w14:paraId="3799781F"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bezdarba līmenis</w:t>
            </w:r>
          </w:p>
        </w:tc>
        <w:tc>
          <w:tcPr>
            <w:tcW w:w="2976" w:type="dxa"/>
          </w:tcPr>
          <w:p w14:paraId="15A21C80"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reģionālais iedzīvotāju skaits</w:t>
            </w:r>
            <w:r>
              <w:rPr>
                <w:rFonts w:eastAsia="Calibri" w:cs="Times New Roman"/>
                <w:szCs w:val="24"/>
              </w:rPr>
              <w:t>;</w:t>
            </w:r>
          </w:p>
          <w:p w14:paraId="072C08CF"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NKI valsts līmenī;</w:t>
            </w:r>
          </w:p>
          <w:p w14:paraId="3F5AAA6A"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bezdarba līmenis</w:t>
            </w:r>
          </w:p>
        </w:tc>
        <w:tc>
          <w:tcPr>
            <w:tcW w:w="3963" w:type="dxa"/>
          </w:tcPr>
          <w:p w14:paraId="14488DB6" w14:textId="77777777" w:rsidR="00802E2A"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reģionālais iedzīvotāju skaits;</w:t>
            </w:r>
          </w:p>
          <w:p w14:paraId="3E71337E" w14:textId="77777777" w:rsidR="00802E2A" w:rsidRPr="009B2787" w:rsidRDefault="00802E2A" w:rsidP="00802E2A">
            <w:pPr>
              <w:pStyle w:val="ListParagraph"/>
              <w:numPr>
                <w:ilvl w:val="0"/>
                <w:numId w:val="31"/>
              </w:numPr>
              <w:spacing w:after="0"/>
              <w:ind w:left="0" w:right="-31" w:firstLine="0"/>
              <w:contextualSpacing/>
              <w:rPr>
                <w:rFonts w:eastAsia="Calibri" w:cs="Times New Roman"/>
                <w:szCs w:val="24"/>
              </w:rPr>
            </w:pPr>
            <w:r w:rsidRPr="009B2787">
              <w:rPr>
                <w:rFonts w:eastAsia="Calibri" w:cs="Times New Roman"/>
                <w:szCs w:val="24"/>
              </w:rPr>
              <w:t>plaisa starp vidējiem rādītājiem reģionu kategorijā tādiem kritērijiem kā:</w:t>
            </w:r>
          </w:p>
          <w:p w14:paraId="17D14157" w14:textId="77777777" w:rsidR="00802E2A" w:rsidRDefault="00802E2A" w:rsidP="00802E2A">
            <w:pPr>
              <w:pStyle w:val="ListParagraph"/>
              <w:numPr>
                <w:ilvl w:val="0"/>
                <w:numId w:val="39"/>
              </w:numPr>
              <w:spacing w:after="0"/>
              <w:ind w:right="-31"/>
              <w:contextualSpacing/>
              <w:rPr>
                <w:rFonts w:eastAsia="Calibri" w:cs="Times New Roman"/>
                <w:szCs w:val="24"/>
              </w:rPr>
            </w:pPr>
            <w:r w:rsidRPr="002F64A6">
              <w:rPr>
                <w:rFonts w:eastAsia="Calibri" w:cs="Times New Roman"/>
                <w:szCs w:val="24"/>
              </w:rPr>
              <w:t>bezdarba un nodarbinātības rādītāji</w:t>
            </w:r>
            <w:r>
              <w:rPr>
                <w:rFonts w:eastAsia="Calibri" w:cs="Times New Roman"/>
                <w:szCs w:val="24"/>
              </w:rPr>
              <w:t>;</w:t>
            </w:r>
          </w:p>
          <w:p w14:paraId="51C474E8" w14:textId="77777777" w:rsidR="00802E2A" w:rsidRDefault="00802E2A" w:rsidP="00802E2A">
            <w:pPr>
              <w:pStyle w:val="ListParagraph"/>
              <w:numPr>
                <w:ilvl w:val="0"/>
                <w:numId w:val="39"/>
              </w:numPr>
              <w:spacing w:after="0"/>
              <w:ind w:right="-31"/>
              <w:contextualSpacing/>
              <w:rPr>
                <w:rFonts w:eastAsia="Calibri" w:cs="Times New Roman"/>
                <w:szCs w:val="24"/>
              </w:rPr>
            </w:pPr>
            <w:r w:rsidRPr="008B7DF5">
              <w:rPr>
                <w:rFonts w:eastAsia="Calibri" w:cs="Times New Roman"/>
                <w:szCs w:val="24"/>
              </w:rPr>
              <w:t>cilvēku skaits ar augstāko izglītību</w:t>
            </w:r>
            <w:r>
              <w:rPr>
                <w:rFonts w:eastAsia="Calibri" w:cs="Times New Roman"/>
                <w:szCs w:val="24"/>
              </w:rPr>
              <w:t>;</w:t>
            </w:r>
          </w:p>
          <w:p w14:paraId="78C5BB00" w14:textId="77777777" w:rsidR="00802E2A" w:rsidRDefault="00802E2A" w:rsidP="00802E2A">
            <w:pPr>
              <w:pStyle w:val="ListParagraph"/>
              <w:numPr>
                <w:ilvl w:val="0"/>
                <w:numId w:val="39"/>
              </w:numPr>
              <w:spacing w:after="0"/>
              <w:ind w:right="-31"/>
              <w:contextualSpacing/>
              <w:rPr>
                <w:rFonts w:eastAsia="Calibri" w:cs="Times New Roman"/>
                <w:szCs w:val="24"/>
              </w:rPr>
            </w:pPr>
            <w:r w:rsidRPr="008B7DF5">
              <w:rPr>
                <w:rFonts w:eastAsia="Calibri" w:cs="Times New Roman"/>
                <w:szCs w:val="24"/>
              </w:rPr>
              <w:t>mācības priekšlaicīgi pārtraukušo jauniešu skaits</w:t>
            </w:r>
            <w:r>
              <w:rPr>
                <w:rFonts w:eastAsia="Calibri" w:cs="Times New Roman"/>
                <w:szCs w:val="24"/>
              </w:rPr>
              <w:t>;</w:t>
            </w:r>
            <w:r w:rsidRPr="008B7DF5">
              <w:rPr>
                <w:rFonts w:eastAsia="Calibri" w:cs="Times New Roman"/>
                <w:szCs w:val="24"/>
              </w:rPr>
              <w:t xml:space="preserve"> </w:t>
            </w:r>
          </w:p>
          <w:p w14:paraId="54A3DD38" w14:textId="77777777" w:rsidR="00802E2A" w:rsidRDefault="00802E2A" w:rsidP="00802E2A">
            <w:pPr>
              <w:pStyle w:val="ListParagraph"/>
              <w:numPr>
                <w:ilvl w:val="0"/>
                <w:numId w:val="39"/>
              </w:numPr>
              <w:spacing w:after="0"/>
              <w:ind w:right="-31"/>
              <w:contextualSpacing/>
              <w:rPr>
                <w:rFonts w:eastAsia="Calibri" w:cs="Times New Roman"/>
                <w:szCs w:val="24"/>
              </w:rPr>
            </w:pPr>
            <w:r w:rsidRPr="00AD6D91">
              <w:rPr>
                <w:rFonts w:eastAsia="Calibri" w:cs="Times New Roman"/>
                <w:szCs w:val="24"/>
              </w:rPr>
              <w:t>IKP plaisa starp attiecīgā reģiona faktisko IKP un reģiona IKP ar augtāko labklājību;</w:t>
            </w:r>
          </w:p>
          <w:p w14:paraId="2D6A8EAD" w14:textId="77777777" w:rsidR="00802E2A" w:rsidRPr="00AD6D91" w:rsidRDefault="00802E2A" w:rsidP="00802E2A">
            <w:pPr>
              <w:pStyle w:val="ListParagraph"/>
              <w:numPr>
                <w:ilvl w:val="0"/>
                <w:numId w:val="39"/>
              </w:numPr>
              <w:spacing w:after="0"/>
              <w:ind w:right="-31"/>
              <w:contextualSpacing/>
              <w:rPr>
                <w:rFonts w:eastAsia="Calibri" w:cs="Times New Roman"/>
                <w:szCs w:val="24"/>
              </w:rPr>
            </w:pPr>
            <w:r w:rsidRPr="00AD6D91">
              <w:rPr>
                <w:rFonts w:eastAsia="Calibri" w:cs="Times New Roman"/>
                <w:szCs w:val="24"/>
              </w:rPr>
              <w:t xml:space="preserve">iedzīvotāju skaits </w:t>
            </w:r>
            <w:r w:rsidRPr="00AD6D91">
              <w:rPr>
                <w:rFonts w:eastAsia="Calibri" w:cs="Times New Roman"/>
                <w:i/>
                <w:szCs w:val="24"/>
              </w:rPr>
              <w:t>NUTS </w:t>
            </w:r>
            <w:r w:rsidRPr="00AD6D91">
              <w:rPr>
                <w:rFonts w:eastAsia="Calibri" w:cs="Times New Roman"/>
                <w:szCs w:val="24"/>
              </w:rPr>
              <w:t>3 līmeņa reģionos, kur iedzīvotāju blīvums ir mazāks par 12,5 iedzīvotājiem uz km</w:t>
            </w:r>
            <w:r w:rsidRPr="00AD6D91">
              <w:rPr>
                <w:rFonts w:eastAsia="Calibri" w:cs="Times New Roman"/>
                <w:szCs w:val="24"/>
                <w:vertAlign w:val="superscript"/>
              </w:rPr>
              <w:t>2</w:t>
            </w:r>
          </w:p>
        </w:tc>
      </w:tr>
      <w:tr w:rsidR="00802E2A" w:rsidRPr="002F64A6" w14:paraId="2A901A56" w14:textId="77777777" w:rsidTr="0036641F">
        <w:trPr>
          <w:jc w:val="center"/>
        </w:trPr>
        <w:tc>
          <w:tcPr>
            <w:tcW w:w="2689" w:type="dxa"/>
          </w:tcPr>
          <w:p w14:paraId="7ED8C0D7"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jauniešu bezdarba līmenis</w:t>
            </w:r>
            <w:r>
              <w:rPr>
                <w:rFonts w:eastAsia="Calibri" w:cs="Times New Roman"/>
                <w:szCs w:val="24"/>
              </w:rPr>
              <w:t>;</w:t>
            </w:r>
          </w:p>
          <w:p w14:paraId="5C6AEBDE"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iedzīvotāju ar zemu izglītības līmeni skaits</w:t>
            </w:r>
            <w:r>
              <w:rPr>
                <w:rFonts w:eastAsia="Calibri" w:cs="Times New Roman"/>
                <w:szCs w:val="24"/>
              </w:rPr>
              <w:t>;</w:t>
            </w:r>
            <w:r w:rsidRPr="002F64A6">
              <w:rPr>
                <w:rFonts w:eastAsia="Calibri" w:cs="Times New Roman"/>
                <w:szCs w:val="24"/>
              </w:rPr>
              <w:t xml:space="preserve"> </w:t>
            </w:r>
          </w:p>
          <w:p w14:paraId="0CE795EB"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lastRenderedPageBreak/>
              <w:t>attālums līdz siltumnīcas gāzu emisijas samazinājuma mērķim</w:t>
            </w:r>
            <w:r>
              <w:rPr>
                <w:rFonts w:eastAsia="Calibri" w:cs="Times New Roman"/>
                <w:szCs w:val="24"/>
              </w:rPr>
              <w:t>;</w:t>
            </w:r>
          </w:p>
          <w:p w14:paraId="2B6F0BEC"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no ne-ES valstīm iebraukušo cilvēku skaits, kas pārsniedz uz ne-ES valstīm emigrējošo cilvēku skaitu</w:t>
            </w:r>
          </w:p>
        </w:tc>
        <w:tc>
          <w:tcPr>
            <w:tcW w:w="2976" w:type="dxa"/>
          </w:tcPr>
          <w:p w14:paraId="5E29355F"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lastRenderedPageBreak/>
              <w:t>jauniešu bezdarba līmenis</w:t>
            </w:r>
            <w:r>
              <w:rPr>
                <w:rFonts w:eastAsia="Calibri" w:cs="Times New Roman"/>
                <w:szCs w:val="24"/>
              </w:rPr>
              <w:t>;</w:t>
            </w:r>
          </w:p>
          <w:p w14:paraId="6DF17924"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iedzīvotāju ar zemu izglītības līmeni skaits</w:t>
            </w:r>
            <w:r>
              <w:rPr>
                <w:rFonts w:eastAsia="Calibri" w:cs="Times New Roman"/>
                <w:szCs w:val="24"/>
              </w:rPr>
              <w:t>;</w:t>
            </w:r>
          </w:p>
          <w:p w14:paraId="63C14F0A"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lastRenderedPageBreak/>
              <w:t>attālums līdz siltumnīcas gāzu emisijas samazinājuma mērķim</w:t>
            </w:r>
            <w:r>
              <w:rPr>
                <w:rFonts w:eastAsia="Calibri" w:cs="Times New Roman"/>
                <w:szCs w:val="24"/>
              </w:rPr>
              <w:t>;</w:t>
            </w:r>
          </w:p>
          <w:p w14:paraId="0A02214E"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no ne-ES valstīm iebraukušo cilvēku skaits, kas pārsniedz uz ne-ES valstīm emigrējošo cilvēku skaitu</w:t>
            </w:r>
          </w:p>
        </w:tc>
        <w:tc>
          <w:tcPr>
            <w:tcW w:w="3963" w:type="dxa"/>
          </w:tcPr>
          <w:p w14:paraId="0EC46BAE"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lastRenderedPageBreak/>
              <w:t>attālums līdz siltumnīcas gāzu emisijas samazinājuma mērķim</w:t>
            </w:r>
            <w:r>
              <w:rPr>
                <w:rFonts w:eastAsia="Calibri" w:cs="Times New Roman"/>
                <w:szCs w:val="24"/>
              </w:rPr>
              <w:t>;</w:t>
            </w:r>
          </w:p>
          <w:p w14:paraId="2063AA7C" w14:textId="77777777" w:rsidR="00802E2A" w:rsidRPr="002F64A6" w:rsidRDefault="00802E2A" w:rsidP="00802E2A">
            <w:pPr>
              <w:pStyle w:val="ListParagraph"/>
              <w:numPr>
                <w:ilvl w:val="0"/>
                <w:numId w:val="31"/>
              </w:numPr>
              <w:spacing w:after="0"/>
              <w:ind w:left="0" w:right="-31" w:firstLine="0"/>
              <w:contextualSpacing/>
              <w:rPr>
                <w:rFonts w:eastAsia="Calibri" w:cs="Times New Roman"/>
                <w:szCs w:val="24"/>
              </w:rPr>
            </w:pPr>
            <w:r w:rsidRPr="002F64A6">
              <w:rPr>
                <w:rFonts w:eastAsia="Calibri" w:cs="Times New Roman"/>
                <w:szCs w:val="24"/>
              </w:rPr>
              <w:t>no ne-ES valstīm iebraukušo cilvēku skaits, kas pārsniedz uz ne-ES valstīm emigrējošo cilvēku skaitu</w:t>
            </w:r>
          </w:p>
        </w:tc>
      </w:tr>
    </w:tbl>
    <w:p w14:paraId="754F0D10" w14:textId="77777777" w:rsidR="00802E2A" w:rsidRPr="002F64A6" w:rsidRDefault="00802E2A" w:rsidP="00802E2A">
      <w:pPr>
        <w:ind w:right="-31"/>
        <w:contextualSpacing/>
        <w:rPr>
          <w:rFonts w:eastAsia="Calibri" w:cs="Times New Roman"/>
          <w:szCs w:val="24"/>
        </w:rPr>
      </w:pPr>
    </w:p>
    <w:p w14:paraId="74B50503" w14:textId="77777777" w:rsidR="00802E2A" w:rsidRDefault="00802E2A" w:rsidP="00802E2A">
      <w:pPr>
        <w:ind w:right="-31" w:firstLine="720"/>
        <w:rPr>
          <w:rFonts w:eastAsia="Calibri" w:cs="Times New Roman"/>
          <w:szCs w:val="24"/>
        </w:rPr>
      </w:pPr>
      <w:r w:rsidRPr="00A92DF4">
        <w:rPr>
          <w:rFonts w:eastAsia="Calibri" w:cs="Times New Roman"/>
          <w:b/>
          <w:i/>
          <w:iCs/>
          <w:szCs w:val="24"/>
        </w:rPr>
        <w:t>Pārejas</w:t>
      </w:r>
      <w:r w:rsidRPr="002F64A6">
        <w:rPr>
          <w:rFonts w:eastAsia="Calibri" w:cs="Times New Roman"/>
          <w:b/>
          <w:szCs w:val="24"/>
        </w:rPr>
        <w:t xml:space="preserve"> reģionu piešķīrumu </w:t>
      </w:r>
      <w:r w:rsidRPr="002F64A6">
        <w:rPr>
          <w:rFonts w:eastAsia="Calibri" w:cs="Times New Roman"/>
          <w:szCs w:val="24"/>
        </w:rPr>
        <w:t xml:space="preserve">ietekmē arī vidējā atbalsta intensitāte </w:t>
      </w:r>
      <w:r w:rsidRPr="000C6BC1">
        <w:rPr>
          <w:rFonts w:eastAsia="Calibri" w:cs="Times New Roman"/>
          <w:i/>
          <w:iCs/>
          <w:szCs w:val="24"/>
        </w:rPr>
        <w:t>vairāk attīstīt</w:t>
      </w:r>
      <w:r>
        <w:rPr>
          <w:rFonts w:eastAsia="Calibri" w:cs="Times New Roman"/>
          <w:i/>
          <w:iCs/>
          <w:szCs w:val="24"/>
        </w:rPr>
        <w:t>iem</w:t>
      </w:r>
      <w:r w:rsidRPr="002F64A6">
        <w:rPr>
          <w:rFonts w:eastAsia="Calibri" w:cs="Times New Roman"/>
          <w:szCs w:val="24"/>
        </w:rPr>
        <w:t xml:space="preserve"> reģioniem. Piemērojot lineāro interpolāciju starp minimālo atbalstu (</w:t>
      </w:r>
      <w:r w:rsidRPr="000C6BC1">
        <w:rPr>
          <w:rFonts w:eastAsia="Calibri" w:cs="Times New Roman"/>
          <w:i/>
          <w:iCs/>
          <w:szCs w:val="24"/>
        </w:rPr>
        <w:t>vairāk attīstīto</w:t>
      </w:r>
      <w:r w:rsidRPr="002F64A6">
        <w:rPr>
          <w:rFonts w:eastAsia="Calibri" w:cs="Times New Roman"/>
          <w:szCs w:val="24"/>
        </w:rPr>
        <w:t xml:space="preserve"> reģionu atbalsta intensitāti) un maksimālo atbalstu (teorētisko </w:t>
      </w:r>
      <w:r w:rsidRPr="00CC1B5E">
        <w:rPr>
          <w:rFonts w:eastAsia="Calibri" w:cs="Times New Roman"/>
          <w:i/>
          <w:iCs/>
          <w:szCs w:val="24"/>
        </w:rPr>
        <w:t>mazāk attīstītā</w:t>
      </w:r>
      <w:r w:rsidRPr="002F64A6">
        <w:rPr>
          <w:rFonts w:eastAsia="Calibri" w:cs="Times New Roman"/>
          <w:szCs w:val="24"/>
        </w:rPr>
        <w:t xml:space="preserve"> reģiona atbalstu), tiek noteikts sākotnējais piešķīrums, kuru papildina papildu piešķīrumi atbilstoši kritērijiem.</w:t>
      </w:r>
      <w:r>
        <w:rPr>
          <w:rFonts w:eastAsia="Calibri" w:cs="Times New Roman"/>
          <w:szCs w:val="24"/>
        </w:rPr>
        <w:t xml:space="preserve"> </w:t>
      </w:r>
      <w:r w:rsidRPr="002F64A6">
        <w:rPr>
          <w:rFonts w:eastAsia="Calibri" w:cs="Times New Roman"/>
          <w:szCs w:val="24"/>
        </w:rPr>
        <w:t xml:space="preserve">Rādītāji </w:t>
      </w:r>
      <w:r w:rsidRPr="000C6BC1">
        <w:rPr>
          <w:rFonts w:eastAsia="Calibri" w:cs="Times New Roman"/>
          <w:b/>
          <w:i/>
          <w:iCs/>
          <w:szCs w:val="24"/>
        </w:rPr>
        <w:t>vairāk attīstīto</w:t>
      </w:r>
      <w:r w:rsidRPr="002F64A6">
        <w:rPr>
          <w:rFonts w:eastAsia="Calibri" w:cs="Times New Roman"/>
          <w:b/>
          <w:szCs w:val="24"/>
        </w:rPr>
        <w:t xml:space="preserve"> reģionu</w:t>
      </w:r>
      <w:r w:rsidRPr="002F64A6">
        <w:rPr>
          <w:rFonts w:eastAsia="Calibri" w:cs="Times New Roman"/>
          <w:szCs w:val="24"/>
        </w:rPr>
        <w:t xml:space="preserve"> starpā tiek svērti atkarībā no to rādītājiem šajā grupā.</w:t>
      </w:r>
    </w:p>
    <w:p w14:paraId="5F8E3B00" w14:textId="77777777" w:rsidR="00802E2A" w:rsidRPr="004F0514" w:rsidRDefault="00802E2A" w:rsidP="00802E2A">
      <w:pPr>
        <w:ind w:right="-31" w:firstLine="720"/>
        <w:rPr>
          <w:rFonts w:eastAsia="Calibri" w:cs="Times New Roman"/>
          <w:szCs w:val="24"/>
        </w:rPr>
      </w:pPr>
      <w:r w:rsidRPr="002F64A6">
        <w:rPr>
          <w:rFonts w:cs="Times New Roman"/>
          <w:szCs w:val="24"/>
        </w:rPr>
        <w:t xml:space="preserve">Piešķīrumu no </w:t>
      </w:r>
      <w:r w:rsidRPr="002F64A6">
        <w:rPr>
          <w:rFonts w:cs="Times New Roman"/>
          <w:b/>
          <w:szCs w:val="24"/>
          <w:u w:val="single"/>
        </w:rPr>
        <w:t>Kohēzijas fonda</w:t>
      </w:r>
      <w:r w:rsidRPr="002F64A6">
        <w:rPr>
          <w:rFonts w:cs="Times New Roman"/>
          <w:szCs w:val="24"/>
        </w:rPr>
        <w:t xml:space="preserve"> ietekmējošie faktori nav mainīti</w:t>
      </w:r>
      <w:r>
        <w:rPr>
          <w:rFonts w:cs="Times New Roman"/>
          <w:szCs w:val="24"/>
        </w:rPr>
        <w:t>,</w:t>
      </w:r>
      <w:r w:rsidRPr="002F64A6">
        <w:rPr>
          <w:rFonts w:cs="Times New Roman"/>
          <w:szCs w:val="24"/>
        </w:rPr>
        <w:t xml:space="preserve"> salīdzinot ar metodoloģiju 2014.–2020.</w:t>
      </w:r>
      <w:r>
        <w:rPr>
          <w:rFonts w:cs="Times New Roman"/>
          <w:szCs w:val="24"/>
        </w:rPr>
        <w:t> gada plānošanas periodu</w:t>
      </w:r>
      <w:r w:rsidRPr="002F64A6">
        <w:rPr>
          <w:rFonts w:cs="Times New Roman"/>
          <w:szCs w:val="24"/>
        </w:rPr>
        <w:t xml:space="preserve"> un tie ir:</w:t>
      </w:r>
    </w:p>
    <w:p w14:paraId="6E7A5307" w14:textId="77777777" w:rsidR="00802E2A" w:rsidRDefault="00802E2A" w:rsidP="00802E2A">
      <w:pPr>
        <w:pStyle w:val="ListParagraph"/>
        <w:numPr>
          <w:ilvl w:val="0"/>
          <w:numId w:val="31"/>
        </w:numPr>
        <w:spacing w:after="0"/>
        <w:ind w:right="-31"/>
        <w:contextualSpacing/>
        <w:rPr>
          <w:rFonts w:eastAsia="Calibri" w:cs="Times New Roman"/>
          <w:szCs w:val="24"/>
        </w:rPr>
      </w:pPr>
      <w:r w:rsidRPr="002F64A6">
        <w:rPr>
          <w:rFonts w:cs="Times New Roman"/>
          <w:szCs w:val="24"/>
        </w:rPr>
        <w:t>d</w:t>
      </w:r>
      <w:r w:rsidRPr="002F64A6">
        <w:rPr>
          <w:rFonts w:eastAsia="Calibri" w:cs="Times New Roman"/>
          <w:szCs w:val="24"/>
        </w:rPr>
        <w:t>alībvalsts NKI (PPS)</w:t>
      </w:r>
      <w:r>
        <w:rPr>
          <w:rFonts w:eastAsia="Calibri" w:cs="Times New Roman"/>
          <w:szCs w:val="24"/>
        </w:rPr>
        <w:t>;</w:t>
      </w:r>
    </w:p>
    <w:p w14:paraId="65D02030" w14:textId="77777777" w:rsidR="00802E2A" w:rsidRDefault="00802E2A" w:rsidP="00802E2A">
      <w:pPr>
        <w:pStyle w:val="ListParagraph"/>
        <w:numPr>
          <w:ilvl w:val="0"/>
          <w:numId w:val="31"/>
        </w:numPr>
        <w:spacing w:after="0"/>
        <w:ind w:right="-31"/>
        <w:contextualSpacing/>
        <w:rPr>
          <w:rFonts w:eastAsia="Calibri" w:cs="Times New Roman"/>
          <w:szCs w:val="24"/>
        </w:rPr>
      </w:pPr>
      <w:r w:rsidRPr="00FF0073">
        <w:rPr>
          <w:rFonts w:eastAsia="Calibri" w:cs="Times New Roman"/>
          <w:szCs w:val="24"/>
        </w:rPr>
        <w:t>valsts iedzīvotāju skaits</w:t>
      </w:r>
      <w:r>
        <w:rPr>
          <w:rFonts w:eastAsia="Calibri" w:cs="Times New Roman"/>
          <w:szCs w:val="24"/>
        </w:rPr>
        <w:t>;</w:t>
      </w:r>
    </w:p>
    <w:p w14:paraId="7C6FB9F6" w14:textId="77777777" w:rsidR="00802E2A" w:rsidRPr="00FF0073" w:rsidRDefault="00802E2A" w:rsidP="00802E2A">
      <w:pPr>
        <w:pStyle w:val="ListParagraph"/>
        <w:numPr>
          <w:ilvl w:val="0"/>
          <w:numId w:val="31"/>
        </w:numPr>
        <w:spacing w:after="0"/>
        <w:ind w:right="-31"/>
        <w:contextualSpacing/>
        <w:rPr>
          <w:rFonts w:eastAsia="Calibri" w:cs="Times New Roman"/>
          <w:szCs w:val="24"/>
        </w:rPr>
      </w:pPr>
      <w:r w:rsidRPr="00FF0073">
        <w:rPr>
          <w:rFonts w:eastAsia="Calibri" w:cs="Times New Roman"/>
          <w:szCs w:val="24"/>
        </w:rPr>
        <w:t xml:space="preserve">valsts platība. </w:t>
      </w:r>
    </w:p>
    <w:p w14:paraId="407D1387" w14:textId="77777777" w:rsidR="006208E7" w:rsidRDefault="00802E2A" w:rsidP="006208E7">
      <w:pPr>
        <w:ind w:right="-31"/>
        <w:rPr>
          <w:rFonts w:cs="Times New Roman"/>
          <w:szCs w:val="24"/>
        </w:rPr>
      </w:pPr>
      <w:r w:rsidRPr="006208E7">
        <w:rPr>
          <w:rFonts w:cs="Times New Roman"/>
          <w:szCs w:val="24"/>
        </w:rPr>
        <w:t>Šie rādītāji tiek svērti atkarībā no dalībvalstu rādītājiem šajā grupā.</w:t>
      </w:r>
    </w:p>
    <w:p w14:paraId="07AA84A7" w14:textId="77777777" w:rsidR="006208E7" w:rsidRDefault="006208E7" w:rsidP="006208E7">
      <w:pPr>
        <w:ind w:right="-31"/>
        <w:rPr>
          <w:rFonts w:cs="Times New Roman"/>
          <w:szCs w:val="24"/>
        </w:rPr>
      </w:pPr>
    </w:p>
    <w:p w14:paraId="08233379" w14:textId="19630B05" w:rsidR="00802E2A" w:rsidRPr="006208E7" w:rsidRDefault="00802E2A" w:rsidP="009C0F22">
      <w:pPr>
        <w:ind w:right="-31"/>
        <w:rPr>
          <w:rFonts w:cs="Times New Roman"/>
          <w:szCs w:val="24"/>
        </w:rPr>
      </w:pPr>
      <w:r w:rsidRPr="002F64A6">
        <w:rPr>
          <w:rFonts w:eastAsia="Calibri" w:cs="Times New Roman"/>
          <w:szCs w:val="24"/>
        </w:rPr>
        <w:t>MFF</w:t>
      </w:r>
      <w:r>
        <w:rPr>
          <w:rStyle w:val="FootnoteReference"/>
          <w:rFonts w:eastAsia="Calibri" w:cs="Times New Roman"/>
          <w:szCs w:val="24"/>
        </w:rPr>
        <w:footnoteReference w:id="4"/>
      </w:r>
      <w:r w:rsidRPr="002F64A6">
        <w:rPr>
          <w:rFonts w:eastAsia="Calibri" w:cs="Times New Roman"/>
          <w:szCs w:val="24"/>
        </w:rPr>
        <w:t xml:space="preserve"> 2021.–2027.</w:t>
      </w:r>
      <w:r>
        <w:rPr>
          <w:rFonts w:eastAsia="Calibri" w:cs="Times New Roman"/>
          <w:szCs w:val="24"/>
        </w:rPr>
        <w:t> </w:t>
      </w:r>
      <w:r w:rsidRPr="002F64A6">
        <w:rPr>
          <w:rFonts w:eastAsia="Calibri" w:cs="Times New Roman"/>
          <w:szCs w:val="24"/>
        </w:rPr>
        <w:t>g</w:t>
      </w:r>
      <w:r>
        <w:rPr>
          <w:rFonts w:eastAsia="Calibri" w:cs="Times New Roman"/>
          <w:szCs w:val="24"/>
        </w:rPr>
        <w:t>ada</w:t>
      </w:r>
      <w:r w:rsidRPr="002F64A6">
        <w:rPr>
          <w:rFonts w:eastAsia="Calibri" w:cs="Times New Roman"/>
          <w:szCs w:val="24"/>
        </w:rPr>
        <w:t xml:space="preserve"> </w:t>
      </w:r>
      <w:r>
        <w:rPr>
          <w:rFonts w:cs="Times New Roman"/>
          <w:szCs w:val="24"/>
        </w:rPr>
        <w:t xml:space="preserve">plānošanas </w:t>
      </w:r>
      <w:r>
        <w:rPr>
          <w:rFonts w:eastAsia="Calibri" w:cs="Times New Roman"/>
          <w:szCs w:val="24"/>
        </w:rPr>
        <w:t xml:space="preserve">perioda </w:t>
      </w:r>
      <w:r w:rsidRPr="002F64A6">
        <w:rPr>
          <w:rFonts w:eastAsia="Calibri" w:cs="Times New Roman"/>
          <w:szCs w:val="24"/>
        </w:rPr>
        <w:t xml:space="preserve">atbalstam ir apstiprināti šādi </w:t>
      </w:r>
      <w:r w:rsidRPr="002F64A6">
        <w:rPr>
          <w:rFonts w:eastAsia="Calibri" w:cs="Times New Roman"/>
          <w:b/>
          <w:szCs w:val="24"/>
        </w:rPr>
        <w:t xml:space="preserve">ierobežojumi </w:t>
      </w:r>
      <w:r w:rsidRPr="002F64A6">
        <w:rPr>
          <w:rFonts w:eastAsia="Calibri" w:cs="Times New Roman"/>
          <w:szCs w:val="24"/>
        </w:rPr>
        <w:t>piešķīrumiem no fondiem ekonomiskās, sociālās un teritoriālās kohēzijas atbalsta</w:t>
      </w:r>
      <w:r>
        <w:rPr>
          <w:rFonts w:eastAsia="Calibri" w:cs="Times New Roman"/>
          <w:szCs w:val="24"/>
        </w:rPr>
        <w:t>m:</w:t>
      </w:r>
    </w:p>
    <w:p w14:paraId="497A6CC4" w14:textId="77777777" w:rsidR="00802E2A" w:rsidRDefault="00802E2A" w:rsidP="00802E2A">
      <w:pPr>
        <w:pStyle w:val="ListParagraph"/>
        <w:numPr>
          <w:ilvl w:val="0"/>
          <w:numId w:val="40"/>
        </w:numPr>
        <w:spacing w:after="0"/>
        <w:ind w:right="-31"/>
        <w:contextualSpacing/>
        <w:rPr>
          <w:rFonts w:eastAsia="Calibri" w:cs="Times New Roman"/>
          <w:szCs w:val="24"/>
        </w:rPr>
      </w:pPr>
      <w:r w:rsidRPr="002F64A6">
        <w:rPr>
          <w:rFonts w:eastAsia="Calibri" w:cs="Times New Roman"/>
          <w:szCs w:val="24"/>
        </w:rPr>
        <w:t xml:space="preserve">Visiem reģioniem, kas </w:t>
      </w:r>
      <w:r w:rsidRPr="002F64A6">
        <w:rPr>
          <w:rFonts w:cs="Times New Roman"/>
          <w:szCs w:val="24"/>
        </w:rPr>
        <w:t>2014.–2020.</w:t>
      </w:r>
      <w:r>
        <w:rPr>
          <w:rFonts w:cs="Times New Roman"/>
          <w:szCs w:val="24"/>
        </w:rPr>
        <w:t xml:space="preserve"> gada </w:t>
      </w:r>
      <w:r w:rsidRPr="002F64A6">
        <w:rPr>
          <w:rFonts w:eastAsia="Calibri" w:cs="Times New Roman"/>
          <w:szCs w:val="24"/>
        </w:rPr>
        <w:t xml:space="preserve">plānošanas periodam klasificēti kā </w:t>
      </w:r>
      <w:r w:rsidRPr="00CC1B5E">
        <w:rPr>
          <w:rFonts w:eastAsia="Calibri" w:cs="Times New Roman"/>
          <w:i/>
          <w:iCs/>
          <w:szCs w:val="24"/>
        </w:rPr>
        <w:t>mazāk attīstīti</w:t>
      </w:r>
      <w:r w:rsidRPr="002F64A6">
        <w:rPr>
          <w:rFonts w:eastAsia="Calibri" w:cs="Times New Roman"/>
          <w:szCs w:val="24"/>
        </w:rPr>
        <w:t xml:space="preserve"> reģioni, bet kuru IKP uz vienu iedzīvotāju pārsniedz 75% no ES</w:t>
      </w:r>
      <w:r w:rsidRPr="00085148">
        <w:rPr>
          <w:rFonts w:eastAsia="Times New Roman" w:cs="Times New Roman"/>
          <w:szCs w:val="24"/>
        </w:rPr>
        <w:t>–</w:t>
      </w:r>
      <w:r w:rsidRPr="002F64A6">
        <w:rPr>
          <w:rFonts w:eastAsia="Calibri" w:cs="Times New Roman"/>
          <w:szCs w:val="24"/>
        </w:rPr>
        <w:t xml:space="preserve">27 vidējā rādītāja, </w:t>
      </w:r>
      <w:r w:rsidRPr="002F64A6">
        <w:rPr>
          <w:rFonts w:eastAsia="Calibri" w:cs="Times New Roman"/>
          <w:b/>
          <w:szCs w:val="24"/>
        </w:rPr>
        <w:t>minimālais</w:t>
      </w:r>
      <w:r w:rsidRPr="002F64A6">
        <w:rPr>
          <w:rFonts w:eastAsia="Calibri" w:cs="Times New Roman"/>
          <w:szCs w:val="24"/>
        </w:rPr>
        <w:t xml:space="preserve"> </w:t>
      </w:r>
      <w:r w:rsidRPr="002F64A6">
        <w:rPr>
          <w:rFonts w:eastAsia="Calibri" w:cs="Times New Roman"/>
          <w:b/>
          <w:szCs w:val="24"/>
        </w:rPr>
        <w:t>gada atbalsta līmenis</w:t>
      </w:r>
      <w:r w:rsidRPr="002F64A6">
        <w:rPr>
          <w:rFonts w:eastAsia="Calibri" w:cs="Times New Roman"/>
          <w:szCs w:val="24"/>
        </w:rPr>
        <w:t xml:space="preserve"> saskaņā ar investīciju izaugsmei un nodarbinātībai mērķi atbildīs </w:t>
      </w:r>
      <w:r w:rsidRPr="002F64A6">
        <w:rPr>
          <w:rFonts w:eastAsia="Calibri" w:cs="Times New Roman"/>
          <w:b/>
          <w:szCs w:val="24"/>
        </w:rPr>
        <w:t xml:space="preserve">60% </w:t>
      </w:r>
      <w:r w:rsidRPr="002F64A6">
        <w:rPr>
          <w:rFonts w:eastAsia="Calibri" w:cs="Times New Roman"/>
          <w:szCs w:val="24"/>
        </w:rPr>
        <w:t xml:space="preserve">no to iepriekšējā indikatīvā vidējā gada piešķīruma saskaņā ar mērķi “Investīcijas izaugsmei un nodarbinātībai”, ko Komisija aprēķinājusi </w:t>
      </w:r>
      <w:r w:rsidRPr="002F64A6">
        <w:rPr>
          <w:rFonts w:cs="Times New Roman"/>
          <w:szCs w:val="24"/>
        </w:rPr>
        <w:t>2014.–2020.</w:t>
      </w:r>
      <w:r>
        <w:rPr>
          <w:rFonts w:cs="Times New Roman"/>
          <w:szCs w:val="24"/>
        </w:rPr>
        <w:t xml:space="preserve"> gada </w:t>
      </w:r>
      <w:r w:rsidRPr="002F64A6">
        <w:rPr>
          <w:rFonts w:eastAsia="Calibri" w:cs="Times New Roman"/>
          <w:szCs w:val="24"/>
        </w:rPr>
        <w:t xml:space="preserve">daudzgadu finanšu shēmas ietvaros (bez izmaiņām salīdzinot ar MFF </w:t>
      </w:r>
      <w:r w:rsidRPr="002F64A6">
        <w:rPr>
          <w:rFonts w:cs="Times New Roman"/>
          <w:szCs w:val="24"/>
        </w:rPr>
        <w:t>2014.–2020.</w:t>
      </w:r>
      <w:r>
        <w:rPr>
          <w:rFonts w:cs="Times New Roman"/>
          <w:szCs w:val="24"/>
        </w:rPr>
        <w:t xml:space="preserve"> gada </w:t>
      </w:r>
      <w:r w:rsidRPr="002F64A6">
        <w:rPr>
          <w:rFonts w:eastAsia="Calibri" w:cs="Times New Roman"/>
          <w:szCs w:val="24"/>
        </w:rPr>
        <w:t>metodoloģiju).</w:t>
      </w:r>
    </w:p>
    <w:p w14:paraId="78AB83CD" w14:textId="77777777" w:rsidR="00802E2A" w:rsidRPr="006839F2" w:rsidRDefault="00802E2A" w:rsidP="00802E2A">
      <w:pPr>
        <w:pStyle w:val="ListParagraph"/>
        <w:numPr>
          <w:ilvl w:val="0"/>
          <w:numId w:val="40"/>
        </w:numPr>
        <w:spacing w:after="0"/>
        <w:ind w:right="-31"/>
        <w:contextualSpacing/>
        <w:rPr>
          <w:rFonts w:eastAsia="Calibri" w:cs="Times New Roman"/>
          <w:szCs w:val="24"/>
        </w:rPr>
      </w:pPr>
      <w:r w:rsidRPr="006839F2">
        <w:rPr>
          <w:rFonts w:eastAsia="Calibri" w:cs="Times New Roman"/>
          <w:szCs w:val="24"/>
        </w:rPr>
        <w:t xml:space="preserve">Neviens </w:t>
      </w:r>
      <w:r w:rsidRPr="006839F2">
        <w:rPr>
          <w:rFonts w:eastAsia="Calibri" w:cs="Times New Roman"/>
          <w:i/>
          <w:iCs/>
          <w:szCs w:val="24"/>
        </w:rPr>
        <w:t>pārejas</w:t>
      </w:r>
      <w:r w:rsidRPr="006839F2">
        <w:rPr>
          <w:rFonts w:eastAsia="Calibri" w:cs="Times New Roman"/>
          <w:szCs w:val="24"/>
        </w:rPr>
        <w:t xml:space="preserve"> reģions nesaņem mazāk par to, ko tas būtu saņēmis, ja būtu </w:t>
      </w:r>
      <w:r w:rsidRPr="006839F2">
        <w:rPr>
          <w:rFonts w:eastAsia="Calibri" w:cs="Times New Roman"/>
          <w:i/>
          <w:iCs/>
          <w:szCs w:val="24"/>
        </w:rPr>
        <w:t>vairāk attīstīts</w:t>
      </w:r>
      <w:r w:rsidRPr="006839F2">
        <w:rPr>
          <w:rFonts w:eastAsia="Calibri" w:cs="Times New Roman"/>
          <w:szCs w:val="24"/>
        </w:rPr>
        <w:t xml:space="preserve"> reģions (bez izmaiņām salīdzinot ar MFF </w:t>
      </w:r>
      <w:r w:rsidRPr="002F64A6">
        <w:rPr>
          <w:rFonts w:cs="Times New Roman"/>
          <w:szCs w:val="24"/>
        </w:rPr>
        <w:t>2014.–2020.</w:t>
      </w:r>
      <w:r>
        <w:rPr>
          <w:rFonts w:cs="Times New Roman"/>
          <w:szCs w:val="24"/>
        </w:rPr>
        <w:t xml:space="preserve"> gada </w:t>
      </w:r>
      <w:r w:rsidRPr="006839F2">
        <w:rPr>
          <w:rFonts w:eastAsia="Calibri" w:cs="Times New Roman"/>
          <w:szCs w:val="24"/>
        </w:rPr>
        <w:t>metodoloģiju).</w:t>
      </w:r>
    </w:p>
    <w:p w14:paraId="19B94A1E" w14:textId="745D2A66" w:rsidR="006208E7" w:rsidRDefault="006208E7" w:rsidP="006208E7">
      <w:pPr>
        <w:ind w:left="720"/>
      </w:pPr>
    </w:p>
    <w:p w14:paraId="10410E0D" w14:textId="52802932" w:rsidR="00802E2A" w:rsidRPr="002F64A6" w:rsidRDefault="00802E2A" w:rsidP="006208E7">
      <w:pPr>
        <w:ind w:firstLine="720"/>
        <w:rPr>
          <w:i/>
          <w:iCs/>
        </w:rPr>
      </w:pPr>
      <w:r w:rsidRPr="006208E7">
        <w:rPr>
          <w:b/>
          <w:bCs/>
          <w:u w:val="single"/>
        </w:rPr>
        <w:t xml:space="preserve">Lai palīdzētu panākt pienācīgu kohēzijas finansējuma koncentrāciju </w:t>
      </w:r>
      <w:r w:rsidRPr="006208E7">
        <w:rPr>
          <w:b/>
          <w:bCs/>
          <w:i/>
          <w:iCs/>
          <w:u w:val="single"/>
        </w:rPr>
        <w:t>mazāk attīstītajos</w:t>
      </w:r>
      <w:r w:rsidRPr="006208E7">
        <w:rPr>
          <w:b/>
          <w:bCs/>
          <w:u w:val="single"/>
        </w:rPr>
        <w:t xml:space="preserve"> reģionos un dalībvalstīs un mazināt vidējās atbalsta intensitātes uz vienu iedzīvotāju atšķirības</w:t>
      </w:r>
      <w:r w:rsidRPr="002F64A6">
        <w:t xml:space="preserve">, piešķīrumu no fondiem maksimālais apmērs (piemērojot ierobežojumu) – </w:t>
      </w:r>
      <w:proofErr w:type="spellStart"/>
      <w:r w:rsidRPr="00802E2A">
        <w:rPr>
          <w:i/>
        </w:rPr>
        <w:t>capping</w:t>
      </w:r>
      <w:proofErr w:type="spellEnd"/>
      <w:r w:rsidRPr="002F64A6">
        <w:t xml:space="preserve"> </w:t>
      </w:r>
      <w:r>
        <w:t>–</w:t>
      </w:r>
      <w:r w:rsidRPr="002F64A6">
        <w:t xml:space="preserve"> katrai atsevišķai dalībvalstij tiek noteikts procentos no attiecīgās dalībvalsts IKP: </w:t>
      </w:r>
    </w:p>
    <w:p w14:paraId="2AC4B4A2" w14:textId="77777777" w:rsidR="00802E2A" w:rsidRPr="003D51F4" w:rsidRDefault="00802E2A" w:rsidP="006208E7"/>
    <w:p w14:paraId="57526F43" w14:textId="77777777" w:rsidR="00802E2A" w:rsidRPr="00600FB2" w:rsidRDefault="00802E2A" w:rsidP="00802E2A">
      <w:pPr>
        <w:pStyle w:val="ListParagraph"/>
        <w:spacing w:after="0"/>
        <w:ind w:left="0"/>
        <w:jc w:val="right"/>
        <w:rPr>
          <w:rFonts w:eastAsiaTheme="minorHAnsi"/>
          <w:i/>
          <w:szCs w:val="22"/>
        </w:rPr>
      </w:pPr>
      <w:r w:rsidRPr="00AA350D">
        <w:rPr>
          <w:i/>
        </w:rPr>
        <w:t>Tabula Nr.</w:t>
      </w:r>
      <w:r>
        <w:rPr>
          <w:i/>
        </w:rPr>
        <w:t xml:space="preserve"> 2</w:t>
      </w:r>
      <w:r w:rsidRPr="00AA350D">
        <w:rPr>
          <w:i/>
        </w:rPr>
        <w:t xml:space="preserve">. </w:t>
      </w:r>
      <w:r w:rsidRPr="00600FB2">
        <w:rPr>
          <w:rFonts w:eastAsiaTheme="minorHAnsi"/>
          <w:i/>
          <w:szCs w:val="22"/>
        </w:rPr>
        <w:t xml:space="preserve">Diferencētais </w:t>
      </w:r>
      <w:r w:rsidRPr="00600FB2">
        <w:rPr>
          <w:rFonts w:eastAsiaTheme="minorHAnsi"/>
          <w:i/>
          <w:szCs w:val="22"/>
          <w:lang w:val="en-GB"/>
        </w:rPr>
        <w:t>capping</w:t>
      </w:r>
      <w:r>
        <w:rPr>
          <w:i/>
        </w:rPr>
        <w:t>.</w:t>
      </w:r>
    </w:p>
    <w:tbl>
      <w:tblPr>
        <w:tblStyle w:val="TableGrid"/>
        <w:tblW w:w="9914" w:type="dxa"/>
        <w:jc w:val="center"/>
        <w:tblLook w:val="04A0" w:firstRow="1" w:lastRow="0" w:firstColumn="1" w:lastColumn="0" w:noHBand="0" w:noVBand="1"/>
      </w:tblPr>
      <w:tblGrid>
        <w:gridCol w:w="5168"/>
        <w:gridCol w:w="4746"/>
      </w:tblGrid>
      <w:tr w:rsidR="00802E2A" w:rsidRPr="002F64A6" w14:paraId="7D158110" w14:textId="77777777" w:rsidTr="007B6A5B">
        <w:trPr>
          <w:trHeight w:val="896"/>
          <w:jc w:val="center"/>
        </w:trPr>
        <w:tc>
          <w:tcPr>
            <w:tcW w:w="5168" w:type="dxa"/>
            <w:shd w:val="clear" w:color="auto" w:fill="BFBFBF" w:themeFill="background1" w:themeFillShade="BF"/>
            <w:vAlign w:val="center"/>
          </w:tcPr>
          <w:p w14:paraId="108330F7" w14:textId="77777777" w:rsidR="00802E2A" w:rsidRPr="002F64A6" w:rsidRDefault="00802E2A" w:rsidP="007B6A5B">
            <w:pPr>
              <w:ind w:right="-31"/>
              <w:jc w:val="center"/>
              <w:rPr>
                <w:rFonts w:eastAsia="Calibri" w:cs="Times New Roman"/>
                <w:b/>
                <w:szCs w:val="24"/>
              </w:rPr>
            </w:pPr>
            <w:r w:rsidRPr="002F64A6">
              <w:rPr>
                <w:rFonts w:eastAsia="Calibri" w:cs="Times New Roman"/>
                <w:b/>
                <w:szCs w:val="24"/>
              </w:rPr>
              <w:t>NKI uz vienu iedzīvotāju (izteiktu PPS) laika posmā 2015.</w:t>
            </w:r>
            <w:r w:rsidRPr="002F64A6">
              <w:rPr>
                <w:rFonts w:cs="Times New Roman"/>
                <w:szCs w:val="24"/>
              </w:rPr>
              <w:t>–</w:t>
            </w:r>
            <w:r w:rsidRPr="002F64A6">
              <w:rPr>
                <w:rFonts w:eastAsia="Calibri" w:cs="Times New Roman"/>
                <w:b/>
                <w:szCs w:val="24"/>
              </w:rPr>
              <w:t>2017.</w:t>
            </w:r>
            <w:r>
              <w:rPr>
                <w:rFonts w:eastAsia="Calibri" w:cs="Times New Roman"/>
                <w:b/>
                <w:szCs w:val="24"/>
              </w:rPr>
              <w:t> </w:t>
            </w:r>
            <w:r w:rsidRPr="002F64A6">
              <w:rPr>
                <w:rFonts w:eastAsia="Calibri" w:cs="Times New Roman"/>
                <w:b/>
                <w:szCs w:val="24"/>
              </w:rPr>
              <w:t>g. laika posmā no ES</w:t>
            </w:r>
            <w:r w:rsidRPr="00402789">
              <w:rPr>
                <w:rFonts w:eastAsia="Times New Roman" w:cs="Times New Roman"/>
                <w:b/>
                <w:bCs/>
                <w:szCs w:val="24"/>
              </w:rPr>
              <w:t>–</w:t>
            </w:r>
            <w:r w:rsidRPr="002F64A6">
              <w:rPr>
                <w:rFonts w:eastAsia="Calibri" w:cs="Times New Roman"/>
                <w:b/>
                <w:szCs w:val="24"/>
              </w:rPr>
              <w:t>27 vidējā rādītāja</w:t>
            </w:r>
          </w:p>
        </w:tc>
        <w:tc>
          <w:tcPr>
            <w:tcW w:w="4746" w:type="dxa"/>
            <w:shd w:val="clear" w:color="auto" w:fill="BFBFBF" w:themeFill="background1" w:themeFillShade="BF"/>
            <w:vAlign w:val="center"/>
          </w:tcPr>
          <w:p w14:paraId="13FA1C1F" w14:textId="77777777" w:rsidR="00802E2A" w:rsidRPr="002F64A6" w:rsidRDefault="00802E2A" w:rsidP="007B6A5B">
            <w:pPr>
              <w:ind w:right="-31"/>
              <w:jc w:val="center"/>
              <w:rPr>
                <w:rFonts w:eastAsia="Calibri" w:cs="Times New Roman"/>
                <w:b/>
                <w:szCs w:val="24"/>
              </w:rPr>
            </w:pPr>
            <w:r w:rsidRPr="002F64A6">
              <w:rPr>
                <w:rFonts w:eastAsia="Calibri" w:cs="Times New Roman"/>
                <w:b/>
                <w:szCs w:val="24"/>
              </w:rPr>
              <w:t>Piešķīrumu ierobežojuma</w:t>
            </w:r>
            <w:r w:rsidRPr="002F64A6">
              <w:rPr>
                <w:rFonts w:eastAsia="Calibri" w:cs="Times New Roman"/>
                <w:b/>
                <w:i/>
                <w:szCs w:val="24"/>
              </w:rPr>
              <w:t xml:space="preserve"> (</w:t>
            </w:r>
            <w:r w:rsidRPr="00600FB2">
              <w:rPr>
                <w:rFonts w:eastAsia="Calibri" w:cs="Times New Roman"/>
                <w:b/>
                <w:i/>
                <w:szCs w:val="24"/>
                <w:lang w:val="en-GB"/>
              </w:rPr>
              <w:t>Capping</w:t>
            </w:r>
            <w:r w:rsidRPr="002F64A6">
              <w:rPr>
                <w:rFonts w:eastAsia="Calibri" w:cs="Times New Roman"/>
                <w:b/>
                <w:i/>
                <w:szCs w:val="24"/>
              </w:rPr>
              <w:t>)</w:t>
            </w:r>
            <w:r w:rsidRPr="002F64A6">
              <w:rPr>
                <w:rFonts w:eastAsia="Calibri" w:cs="Times New Roman"/>
                <w:b/>
                <w:szCs w:val="24"/>
              </w:rPr>
              <w:t xml:space="preserve"> likme</w:t>
            </w:r>
            <w:r w:rsidRPr="002F64A6">
              <w:rPr>
                <w:rStyle w:val="FootnoteReference"/>
                <w:rFonts w:eastAsia="Calibri" w:cs="Times New Roman"/>
                <w:b/>
                <w:szCs w:val="24"/>
              </w:rPr>
              <w:footnoteReference w:id="5"/>
            </w:r>
          </w:p>
        </w:tc>
      </w:tr>
      <w:tr w:rsidR="00802E2A" w:rsidRPr="002F64A6" w14:paraId="397B013A" w14:textId="77777777" w:rsidTr="007B6A5B">
        <w:trPr>
          <w:trHeight w:val="221"/>
          <w:jc w:val="center"/>
        </w:trPr>
        <w:tc>
          <w:tcPr>
            <w:tcW w:w="5168" w:type="dxa"/>
          </w:tcPr>
          <w:p w14:paraId="3D053EAB" w14:textId="77777777" w:rsidR="00802E2A" w:rsidRPr="002F64A6" w:rsidRDefault="00802E2A" w:rsidP="007B6A5B">
            <w:pPr>
              <w:ind w:right="-31"/>
              <w:jc w:val="center"/>
              <w:rPr>
                <w:rFonts w:eastAsia="Calibri" w:cs="Times New Roman"/>
                <w:szCs w:val="24"/>
              </w:rPr>
            </w:pPr>
            <w:r w:rsidRPr="002F64A6">
              <w:rPr>
                <w:rFonts w:eastAsia="Calibri" w:cs="Times New Roman"/>
                <w:szCs w:val="24"/>
              </w:rPr>
              <w:t>zemāks par 55 %</w:t>
            </w:r>
          </w:p>
        </w:tc>
        <w:tc>
          <w:tcPr>
            <w:tcW w:w="4746" w:type="dxa"/>
          </w:tcPr>
          <w:p w14:paraId="0D4209B4" w14:textId="77777777" w:rsidR="00802E2A" w:rsidRPr="002F64A6" w:rsidRDefault="00802E2A" w:rsidP="007B6A5B">
            <w:pPr>
              <w:ind w:right="-31"/>
              <w:jc w:val="center"/>
              <w:rPr>
                <w:rFonts w:eastAsia="Calibri" w:cs="Times New Roman"/>
                <w:szCs w:val="24"/>
              </w:rPr>
            </w:pPr>
            <w:r w:rsidRPr="002F64A6">
              <w:rPr>
                <w:rFonts w:eastAsia="Calibri" w:cs="Times New Roman"/>
                <w:szCs w:val="24"/>
              </w:rPr>
              <w:t>2,3 % no to IKP</w:t>
            </w:r>
          </w:p>
        </w:tc>
      </w:tr>
      <w:tr w:rsidR="00802E2A" w:rsidRPr="002F64A6" w14:paraId="689F9E80" w14:textId="77777777" w:rsidTr="007B6A5B">
        <w:trPr>
          <w:trHeight w:val="230"/>
          <w:jc w:val="center"/>
        </w:trPr>
        <w:tc>
          <w:tcPr>
            <w:tcW w:w="5168" w:type="dxa"/>
          </w:tcPr>
          <w:p w14:paraId="3EEAE8CF" w14:textId="77777777" w:rsidR="00802E2A" w:rsidRPr="002F64A6" w:rsidRDefault="00802E2A" w:rsidP="007B6A5B">
            <w:pPr>
              <w:ind w:right="-31"/>
              <w:jc w:val="center"/>
              <w:rPr>
                <w:rFonts w:eastAsia="Calibri" w:cs="Times New Roman"/>
                <w:szCs w:val="24"/>
              </w:rPr>
            </w:pPr>
            <w:r w:rsidRPr="002F64A6">
              <w:rPr>
                <w:rFonts w:eastAsia="Calibri" w:cs="Times New Roman"/>
                <w:szCs w:val="24"/>
              </w:rPr>
              <w:t>vienāds vai lielāks par 68%</w:t>
            </w:r>
          </w:p>
        </w:tc>
        <w:tc>
          <w:tcPr>
            <w:tcW w:w="4746" w:type="dxa"/>
          </w:tcPr>
          <w:p w14:paraId="54F225C3" w14:textId="77777777" w:rsidR="00802E2A" w:rsidRPr="002F64A6" w:rsidRDefault="00802E2A" w:rsidP="007B6A5B">
            <w:pPr>
              <w:ind w:right="-31"/>
              <w:jc w:val="center"/>
              <w:rPr>
                <w:rFonts w:eastAsia="Calibri" w:cs="Times New Roman"/>
                <w:szCs w:val="24"/>
              </w:rPr>
            </w:pPr>
            <w:r w:rsidRPr="002F64A6">
              <w:rPr>
                <w:rFonts w:eastAsia="Calibri" w:cs="Times New Roman"/>
                <w:szCs w:val="24"/>
              </w:rPr>
              <w:t>1,5 % no to IKP</w:t>
            </w:r>
          </w:p>
        </w:tc>
      </w:tr>
      <w:tr w:rsidR="00802E2A" w:rsidRPr="002F64A6" w14:paraId="4D4CE697" w14:textId="77777777" w:rsidTr="007B6A5B">
        <w:trPr>
          <w:trHeight w:val="443"/>
          <w:jc w:val="center"/>
        </w:trPr>
        <w:tc>
          <w:tcPr>
            <w:tcW w:w="5168" w:type="dxa"/>
          </w:tcPr>
          <w:p w14:paraId="4E908D95" w14:textId="77777777" w:rsidR="00802E2A" w:rsidRPr="002F64A6" w:rsidRDefault="00802E2A" w:rsidP="007B6A5B">
            <w:pPr>
              <w:ind w:right="-31"/>
              <w:jc w:val="center"/>
              <w:rPr>
                <w:rFonts w:eastAsia="Calibri" w:cs="Times New Roman"/>
                <w:szCs w:val="24"/>
              </w:rPr>
            </w:pPr>
            <w:r w:rsidRPr="002F64A6">
              <w:rPr>
                <w:rFonts w:eastAsia="Calibri" w:cs="Times New Roman"/>
                <w:szCs w:val="24"/>
              </w:rPr>
              <w:t>vienāds ar vai lielāks par 55% un zemāks pa 68%</w:t>
            </w:r>
          </w:p>
        </w:tc>
        <w:tc>
          <w:tcPr>
            <w:tcW w:w="4746" w:type="dxa"/>
          </w:tcPr>
          <w:p w14:paraId="1A947B5A" w14:textId="00DCD49A" w:rsidR="00802E2A" w:rsidRPr="002F64A6" w:rsidRDefault="00802E2A" w:rsidP="007B6A5B">
            <w:pPr>
              <w:ind w:right="-31"/>
              <w:jc w:val="center"/>
              <w:rPr>
                <w:rFonts w:eastAsia="Calibri" w:cs="Times New Roman"/>
                <w:szCs w:val="24"/>
              </w:rPr>
            </w:pPr>
            <w:r w:rsidRPr="002F64A6">
              <w:rPr>
                <w:rFonts w:eastAsia="Calibri" w:cs="Times New Roman"/>
                <w:szCs w:val="24"/>
              </w:rPr>
              <w:t>lineārā interpolācija starp 2,3% un 1,5%</w:t>
            </w:r>
            <w:r w:rsidR="0036641F">
              <w:rPr>
                <w:rFonts w:eastAsia="Calibri" w:cs="Times New Roman"/>
                <w:szCs w:val="24"/>
              </w:rPr>
              <w:t xml:space="preserve"> </w:t>
            </w:r>
            <w:r w:rsidRPr="002F64A6">
              <w:rPr>
                <w:rFonts w:eastAsia="Calibri" w:cs="Times New Roman"/>
                <w:szCs w:val="24"/>
              </w:rPr>
              <w:t>no to IKP</w:t>
            </w:r>
          </w:p>
        </w:tc>
      </w:tr>
    </w:tbl>
    <w:p w14:paraId="1A36FFDB" w14:textId="77777777" w:rsidR="00802E2A" w:rsidRPr="002F64A6" w:rsidRDefault="00802E2A" w:rsidP="00802E2A">
      <w:pPr>
        <w:ind w:right="-31"/>
        <w:rPr>
          <w:rFonts w:eastAsia="Calibri" w:cs="Times New Roman"/>
          <w:szCs w:val="24"/>
        </w:rPr>
      </w:pPr>
    </w:p>
    <w:p w14:paraId="4B023599" w14:textId="77777777" w:rsidR="00802E2A" w:rsidRDefault="00802E2A" w:rsidP="00802E2A">
      <w:pPr>
        <w:ind w:right="-31" w:firstLine="720"/>
        <w:rPr>
          <w:rFonts w:eastAsia="Calibri" w:cs="Times New Roman"/>
          <w:szCs w:val="24"/>
        </w:rPr>
      </w:pPr>
      <w:r w:rsidRPr="002F64A6">
        <w:rPr>
          <w:rFonts w:eastAsia="Calibri" w:cs="Times New Roman"/>
          <w:szCs w:val="24"/>
        </w:rPr>
        <w:lastRenderedPageBreak/>
        <w:t xml:space="preserve">Ierobežojumu piemēro piešķīrumiem, izņemot </w:t>
      </w:r>
      <w:r w:rsidRPr="000C6BC1">
        <w:rPr>
          <w:rFonts w:eastAsia="Calibri" w:cs="Times New Roman"/>
          <w:i/>
          <w:iCs/>
          <w:szCs w:val="24"/>
        </w:rPr>
        <w:t>vairāk attīstītajiem</w:t>
      </w:r>
      <w:r w:rsidRPr="002F64A6">
        <w:rPr>
          <w:rFonts w:eastAsia="Calibri" w:cs="Times New Roman"/>
          <w:szCs w:val="24"/>
        </w:rPr>
        <w:t xml:space="preserve"> reģioniem, un mērķim “Eiropas teritoriālā sadarbība”, bet tā, lai tiktu ievērots maksimālais apjoms.</w:t>
      </w:r>
      <w:r>
        <w:rPr>
          <w:rFonts w:eastAsia="Calibri" w:cs="Times New Roman"/>
          <w:szCs w:val="24"/>
        </w:rPr>
        <w:t xml:space="preserve"> </w:t>
      </w:r>
      <w:r w:rsidRPr="002F64A6">
        <w:rPr>
          <w:rFonts w:eastAsia="Calibri" w:cs="Times New Roman"/>
          <w:szCs w:val="24"/>
        </w:rPr>
        <w:t>Dalībvalstij</w:t>
      </w:r>
      <w:r>
        <w:rPr>
          <w:rFonts w:eastAsia="Calibri" w:cs="Times New Roman"/>
          <w:szCs w:val="24"/>
        </w:rPr>
        <w:t xml:space="preserve"> </w:t>
      </w:r>
      <w:r w:rsidRPr="002F64A6">
        <w:rPr>
          <w:rFonts w:eastAsia="Calibri" w:cs="Times New Roman"/>
          <w:b/>
          <w:szCs w:val="24"/>
        </w:rPr>
        <w:t>nevar piešķirt vairāk nekā 107%</w:t>
      </w:r>
      <w:r w:rsidRPr="002F64A6">
        <w:rPr>
          <w:rStyle w:val="FootnoteReference"/>
          <w:rFonts w:eastAsia="Calibri" w:cs="Times New Roman"/>
          <w:b/>
          <w:szCs w:val="24"/>
        </w:rPr>
        <w:footnoteReference w:id="6"/>
      </w:r>
      <w:r w:rsidRPr="002F64A6">
        <w:rPr>
          <w:rFonts w:eastAsia="Calibri" w:cs="Times New Roman"/>
          <w:szCs w:val="24"/>
        </w:rPr>
        <w:t xml:space="preserve"> no tās piešķīrumu līmeņa reālā izteiksmē </w:t>
      </w:r>
      <w:r w:rsidRPr="002F64A6">
        <w:rPr>
          <w:rFonts w:cs="Times New Roman"/>
          <w:szCs w:val="24"/>
        </w:rPr>
        <w:t>2014.–2020.</w:t>
      </w:r>
      <w:r>
        <w:rPr>
          <w:rFonts w:cs="Times New Roman"/>
          <w:szCs w:val="24"/>
        </w:rPr>
        <w:t xml:space="preserve"> gada </w:t>
      </w:r>
      <w:r w:rsidRPr="002F64A6">
        <w:rPr>
          <w:rFonts w:eastAsia="Calibri" w:cs="Times New Roman"/>
          <w:szCs w:val="24"/>
        </w:rPr>
        <w:t>plānošanas periodā. Šo korekciju piemēro proporcionāli visiem pārvietojumiem (izņemot mērķim “Eiropas teritoriālā attīstība”) attiecīgajai dalībvalstij, lai iegūtu pārvietojuma maksimālo apmēru.</w:t>
      </w:r>
    </w:p>
    <w:p w14:paraId="2ECEFB89" w14:textId="77777777" w:rsidR="00802E2A" w:rsidRDefault="00802E2A" w:rsidP="00802E2A">
      <w:pPr>
        <w:ind w:right="-31" w:firstLine="720"/>
        <w:rPr>
          <w:rFonts w:eastAsia="Calibri" w:cs="Times New Roman"/>
          <w:szCs w:val="24"/>
        </w:rPr>
      </w:pPr>
      <w:r w:rsidRPr="002F64A6">
        <w:rPr>
          <w:rFonts w:eastAsia="Calibri" w:cs="Times New Roman"/>
          <w:b/>
          <w:szCs w:val="24"/>
        </w:rPr>
        <w:t>Minimālais</w:t>
      </w:r>
      <w:r w:rsidRPr="002F64A6">
        <w:rPr>
          <w:rFonts w:eastAsia="Calibri" w:cs="Times New Roman"/>
          <w:szCs w:val="24"/>
        </w:rPr>
        <w:t xml:space="preserve"> kopējais fondu piešķīrums dalībvalstij atbilst </w:t>
      </w:r>
      <w:r w:rsidRPr="002F64A6">
        <w:rPr>
          <w:rFonts w:eastAsia="Calibri" w:cs="Times New Roman"/>
          <w:b/>
          <w:szCs w:val="24"/>
        </w:rPr>
        <w:t>76%</w:t>
      </w:r>
      <w:r w:rsidRPr="002F64A6">
        <w:rPr>
          <w:rStyle w:val="FootnoteReference"/>
          <w:rFonts w:eastAsia="Calibri" w:cs="Times New Roman"/>
          <w:b/>
          <w:szCs w:val="24"/>
        </w:rPr>
        <w:footnoteReference w:id="7"/>
      </w:r>
      <w:r w:rsidRPr="002F64A6">
        <w:rPr>
          <w:rFonts w:eastAsia="Calibri" w:cs="Times New Roman"/>
          <w:szCs w:val="24"/>
        </w:rPr>
        <w:t xml:space="preserve"> no tās individuālā kopējā piešķīruma laikposmā no 2014. līdz 2020. gadam. Savukārt dalībvalstīs, kurās vismaz viena trešdaļa iedzīvotāju dzīvo </w:t>
      </w:r>
      <w:r w:rsidRPr="00E442F8">
        <w:rPr>
          <w:rFonts w:eastAsia="Calibri" w:cs="Times New Roman"/>
          <w:i/>
          <w:iCs/>
          <w:szCs w:val="24"/>
        </w:rPr>
        <w:t>NUTS</w:t>
      </w:r>
      <w:r>
        <w:rPr>
          <w:rFonts w:eastAsia="Calibri" w:cs="Times New Roman"/>
          <w:szCs w:val="24"/>
        </w:rPr>
        <w:t> </w:t>
      </w:r>
      <w:r w:rsidRPr="002F64A6">
        <w:rPr>
          <w:rFonts w:eastAsia="Calibri" w:cs="Times New Roman"/>
          <w:szCs w:val="24"/>
        </w:rPr>
        <w:t>2 reģionos, kuru IKP uz vienu iedzīvotāju (izteiktu PLS) ir mazāks par 50% no ES</w:t>
      </w:r>
      <w:r w:rsidRPr="00085148">
        <w:rPr>
          <w:rFonts w:eastAsia="Times New Roman" w:cs="Times New Roman"/>
          <w:szCs w:val="24"/>
        </w:rPr>
        <w:t>–</w:t>
      </w:r>
      <w:r w:rsidRPr="002F64A6">
        <w:rPr>
          <w:rFonts w:eastAsia="Calibri" w:cs="Times New Roman"/>
          <w:szCs w:val="24"/>
        </w:rPr>
        <w:t xml:space="preserve">27 vidējā rādītāja, minimālais kopējais fondu piešķīrums atbilst 85% no tās individuālā kopējā piešķīruma laika posmā no </w:t>
      </w:r>
      <w:r w:rsidRPr="002F64A6">
        <w:rPr>
          <w:rFonts w:cs="Times New Roman"/>
          <w:szCs w:val="24"/>
        </w:rPr>
        <w:t>2014.–2020.</w:t>
      </w:r>
      <w:r>
        <w:rPr>
          <w:rFonts w:cs="Times New Roman"/>
          <w:szCs w:val="24"/>
        </w:rPr>
        <w:t> gadam</w:t>
      </w:r>
      <w:r w:rsidRPr="002F64A6">
        <w:rPr>
          <w:rFonts w:eastAsia="Calibri" w:cs="Times New Roman"/>
          <w:szCs w:val="24"/>
        </w:rPr>
        <w:t>. Korekcijas, kas vajadzīgas, lai izpildītu šo prasību, piemēro proporcionāli piešķīrumiem no fondiem, izņemot piešķīrumus mērķim “Eiropas teritoriālā sadarbība”.</w:t>
      </w:r>
    </w:p>
    <w:p w14:paraId="55947F26" w14:textId="77777777" w:rsidR="00802E2A" w:rsidRDefault="00802E2A" w:rsidP="00802E2A">
      <w:pPr>
        <w:ind w:right="-31" w:firstLine="720"/>
        <w:rPr>
          <w:rFonts w:eastAsia="Calibri" w:cs="Times New Roman"/>
          <w:szCs w:val="24"/>
        </w:rPr>
      </w:pPr>
      <w:r w:rsidRPr="002F64A6">
        <w:rPr>
          <w:rFonts w:eastAsia="Calibri" w:cs="Times New Roman"/>
          <w:b/>
          <w:szCs w:val="24"/>
        </w:rPr>
        <w:t>Maksimālais</w:t>
      </w:r>
      <w:r w:rsidRPr="002F64A6">
        <w:rPr>
          <w:rFonts w:eastAsia="Calibri" w:cs="Times New Roman"/>
          <w:szCs w:val="24"/>
        </w:rPr>
        <w:t xml:space="preserve"> kopējais piešķīrums no fondiem dalībvalstij, kuras NKI uz vienu iedzīvotāju (izteiktu PSL) ir </w:t>
      </w:r>
      <w:r w:rsidRPr="002F64A6">
        <w:rPr>
          <w:rFonts w:eastAsia="Calibri" w:cs="Times New Roman"/>
          <w:b/>
          <w:szCs w:val="24"/>
        </w:rPr>
        <w:t>vismaz 120%</w:t>
      </w:r>
      <w:r w:rsidRPr="002F64A6">
        <w:rPr>
          <w:rFonts w:eastAsia="Calibri" w:cs="Times New Roman"/>
          <w:szCs w:val="24"/>
        </w:rPr>
        <w:t xml:space="preserve"> no ES</w:t>
      </w:r>
      <w:r w:rsidRPr="00085148">
        <w:rPr>
          <w:rFonts w:eastAsia="Times New Roman" w:cs="Times New Roman"/>
          <w:szCs w:val="24"/>
        </w:rPr>
        <w:t>–</w:t>
      </w:r>
      <w:r w:rsidRPr="002F64A6">
        <w:rPr>
          <w:rFonts w:eastAsia="Calibri" w:cs="Times New Roman"/>
          <w:szCs w:val="24"/>
        </w:rPr>
        <w:t xml:space="preserve">27 vidējā rādītāja, </w:t>
      </w:r>
      <w:r w:rsidRPr="002F64A6">
        <w:rPr>
          <w:rFonts w:eastAsia="Calibri" w:cs="Times New Roman"/>
          <w:b/>
          <w:szCs w:val="24"/>
          <w:u w:val="single"/>
        </w:rPr>
        <w:t xml:space="preserve">atbilst 80% no tās individuālā kopējā </w:t>
      </w:r>
      <w:r w:rsidRPr="006674D3">
        <w:rPr>
          <w:rFonts w:eastAsia="Calibri" w:cs="Times New Roman"/>
          <w:b/>
          <w:szCs w:val="24"/>
          <w:u w:val="single"/>
        </w:rPr>
        <w:t xml:space="preserve">piešķīruma </w:t>
      </w:r>
      <w:r w:rsidRPr="006674D3">
        <w:rPr>
          <w:rFonts w:cs="Times New Roman"/>
          <w:b/>
          <w:szCs w:val="24"/>
          <w:u w:val="single"/>
        </w:rPr>
        <w:t>2014.–2020. gadam</w:t>
      </w:r>
      <w:r w:rsidRPr="002F64A6">
        <w:rPr>
          <w:rFonts w:eastAsia="Calibri" w:cs="Times New Roman"/>
          <w:b/>
          <w:szCs w:val="24"/>
        </w:rPr>
        <w:t xml:space="preserve">. Maksimālais </w:t>
      </w:r>
      <w:r w:rsidRPr="002F64A6">
        <w:rPr>
          <w:rFonts w:eastAsia="Calibri" w:cs="Times New Roman"/>
          <w:bCs/>
          <w:szCs w:val="24"/>
        </w:rPr>
        <w:t xml:space="preserve">kopējais piešķīrums no fondiem dalībvalstij, kuras NKI uz vienu iedzīvotāju (izteiktu PLS) ir </w:t>
      </w:r>
      <w:r w:rsidRPr="002F64A6">
        <w:rPr>
          <w:rFonts w:eastAsia="Calibri" w:cs="Times New Roman"/>
          <w:b/>
          <w:szCs w:val="24"/>
        </w:rPr>
        <w:t>vienāds vai lielāks par 110%</w:t>
      </w:r>
      <w:r w:rsidRPr="002F64A6">
        <w:rPr>
          <w:rFonts w:eastAsia="Calibri" w:cs="Times New Roman"/>
          <w:szCs w:val="24"/>
        </w:rPr>
        <w:t xml:space="preserve"> </w:t>
      </w:r>
      <w:r w:rsidRPr="002F64A6">
        <w:rPr>
          <w:rFonts w:eastAsia="Calibri" w:cs="Times New Roman"/>
          <w:b/>
          <w:bCs/>
          <w:szCs w:val="24"/>
        </w:rPr>
        <w:t xml:space="preserve">un mazāks par 120% </w:t>
      </w:r>
      <w:r w:rsidRPr="002F64A6">
        <w:rPr>
          <w:rFonts w:eastAsia="Calibri" w:cs="Times New Roman"/>
          <w:szCs w:val="24"/>
        </w:rPr>
        <w:t>no ES</w:t>
      </w:r>
      <w:r w:rsidRPr="00085148">
        <w:rPr>
          <w:rFonts w:eastAsia="Times New Roman" w:cs="Times New Roman"/>
          <w:szCs w:val="24"/>
        </w:rPr>
        <w:t>–</w:t>
      </w:r>
      <w:r w:rsidRPr="002F64A6">
        <w:rPr>
          <w:rFonts w:eastAsia="Calibri" w:cs="Times New Roman"/>
          <w:szCs w:val="24"/>
        </w:rPr>
        <w:t xml:space="preserve">27 vidējā rādītāja, </w:t>
      </w:r>
      <w:r w:rsidRPr="002F64A6">
        <w:rPr>
          <w:rFonts w:eastAsia="Calibri" w:cs="Times New Roman"/>
          <w:b/>
          <w:bCs/>
          <w:szCs w:val="24"/>
        </w:rPr>
        <w:t xml:space="preserve">atbilst 90% no tās individuālā kopējā </w:t>
      </w:r>
      <w:r w:rsidRPr="006674D3">
        <w:rPr>
          <w:rFonts w:eastAsia="Calibri" w:cs="Times New Roman"/>
          <w:b/>
          <w:bCs/>
          <w:szCs w:val="24"/>
        </w:rPr>
        <w:t xml:space="preserve">piešķīruma </w:t>
      </w:r>
      <w:r w:rsidRPr="006674D3">
        <w:rPr>
          <w:rFonts w:cs="Times New Roman"/>
          <w:b/>
          <w:bCs/>
          <w:szCs w:val="24"/>
        </w:rPr>
        <w:t>2014.–2020. gadam</w:t>
      </w:r>
      <w:r w:rsidRPr="006674D3">
        <w:rPr>
          <w:rFonts w:eastAsia="Calibri" w:cs="Times New Roman"/>
          <w:szCs w:val="24"/>
        </w:rPr>
        <w:t>.</w:t>
      </w:r>
      <w:r w:rsidRPr="002F64A6">
        <w:rPr>
          <w:rFonts w:eastAsia="Calibri" w:cs="Times New Roman"/>
          <w:szCs w:val="24"/>
        </w:rPr>
        <w:t xml:space="preserve"> Korekcijas, kas vajadzīgas, lai izpildītu šo prasību, piemēro proporcionāli piešķīrumiem no fondiem, izņemot piešķīrumu mērķim “Eiropas teritoriālā sadarbība”. Turklāt</w:t>
      </w:r>
      <w:r>
        <w:rPr>
          <w:rFonts w:eastAsia="Calibri" w:cs="Times New Roman"/>
          <w:szCs w:val="24"/>
        </w:rPr>
        <w:t xml:space="preserve"> </w:t>
      </w:r>
      <w:r w:rsidRPr="002F64A6">
        <w:rPr>
          <w:rFonts w:eastAsia="Calibri" w:cs="Times New Roman"/>
          <w:szCs w:val="24"/>
        </w:rPr>
        <w:t xml:space="preserve">dalībvalstī, kurai minimālais kopējais piešķīrums </w:t>
      </w:r>
      <w:r w:rsidRPr="00A92DF4">
        <w:rPr>
          <w:rFonts w:eastAsia="Calibri" w:cs="Times New Roman"/>
          <w:i/>
          <w:iCs/>
          <w:szCs w:val="24"/>
        </w:rPr>
        <w:t>pārejas</w:t>
      </w:r>
      <w:r w:rsidRPr="002F64A6">
        <w:rPr>
          <w:rFonts w:eastAsia="Calibri" w:cs="Times New Roman"/>
          <w:szCs w:val="24"/>
        </w:rPr>
        <w:t xml:space="preserve"> reģioniem, kuri bija </w:t>
      </w:r>
      <w:r w:rsidRPr="00A92DF4">
        <w:rPr>
          <w:rFonts w:eastAsia="Calibri" w:cs="Times New Roman"/>
          <w:i/>
          <w:iCs/>
          <w:szCs w:val="24"/>
        </w:rPr>
        <w:t>pārejas</w:t>
      </w:r>
      <w:r w:rsidRPr="002F64A6">
        <w:rPr>
          <w:rFonts w:eastAsia="Calibri" w:cs="Times New Roman"/>
          <w:szCs w:val="24"/>
        </w:rPr>
        <w:t xml:space="preserve"> reģioni jau </w:t>
      </w:r>
      <w:r w:rsidRPr="002F64A6">
        <w:rPr>
          <w:rFonts w:cs="Times New Roman"/>
          <w:szCs w:val="24"/>
        </w:rPr>
        <w:t>2014.–2020.</w:t>
      </w:r>
      <w:r>
        <w:rPr>
          <w:rFonts w:cs="Times New Roman"/>
          <w:szCs w:val="24"/>
        </w:rPr>
        <w:t xml:space="preserve"> gada </w:t>
      </w:r>
      <w:r w:rsidRPr="002F64A6">
        <w:rPr>
          <w:rFonts w:eastAsia="Calibri" w:cs="Times New Roman"/>
          <w:szCs w:val="24"/>
        </w:rPr>
        <w:t xml:space="preserve">periodā, atbilst vismaz 65% no </w:t>
      </w:r>
      <w:r w:rsidRPr="002F64A6">
        <w:rPr>
          <w:rFonts w:cs="Times New Roman"/>
          <w:szCs w:val="24"/>
        </w:rPr>
        <w:t>2014.–2020.</w:t>
      </w:r>
      <w:r>
        <w:rPr>
          <w:rFonts w:cs="Times New Roman"/>
          <w:szCs w:val="24"/>
        </w:rPr>
        <w:t xml:space="preserve"> gada </w:t>
      </w:r>
      <w:r w:rsidRPr="002F64A6">
        <w:rPr>
          <w:rFonts w:eastAsia="Calibri" w:cs="Times New Roman"/>
          <w:szCs w:val="24"/>
        </w:rPr>
        <w:t xml:space="preserve">kopējā piešķīruma, 25% no minētās dalībvalsts piešķīruma </w:t>
      </w:r>
      <w:r w:rsidRPr="000C6BC1">
        <w:rPr>
          <w:rFonts w:eastAsia="Calibri" w:cs="Times New Roman"/>
          <w:i/>
          <w:iCs/>
          <w:szCs w:val="24"/>
        </w:rPr>
        <w:t>vairāk attīstītajiem</w:t>
      </w:r>
      <w:r w:rsidRPr="002F64A6">
        <w:rPr>
          <w:rFonts w:eastAsia="Calibri" w:cs="Times New Roman"/>
          <w:szCs w:val="24"/>
        </w:rPr>
        <w:t xml:space="preserve"> reģioniem pārnes uz konkrētās dalībvalsts piešķīrumu </w:t>
      </w:r>
      <w:r w:rsidRPr="00A92DF4">
        <w:rPr>
          <w:rFonts w:eastAsia="Calibri" w:cs="Times New Roman"/>
          <w:i/>
          <w:iCs/>
          <w:szCs w:val="24"/>
        </w:rPr>
        <w:t>pārejas</w:t>
      </w:r>
      <w:r w:rsidRPr="002F64A6">
        <w:rPr>
          <w:rFonts w:eastAsia="Calibri" w:cs="Times New Roman"/>
          <w:szCs w:val="24"/>
        </w:rPr>
        <w:t xml:space="preserve"> reģioniem.</w:t>
      </w:r>
    </w:p>
    <w:p w14:paraId="3CDEC07A" w14:textId="77777777" w:rsidR="00802E2A" w:rsidRDefault="00802E2A" w:rsidP="00802E2A">
      <w:pPr>
        <w:ind w:right="-31" w:firstLine="720"/>
        <w:rPr>
          <w:rFonts w:eastAsia="Calibri" w:cs="Times New Roman"/>
          <w:szCs w:val="24"/>
        </w:rPr>
      </w:pPr>
      <w:r w:rsidRPr="002F64A6">
        <w:rPr>
          <w:rFonts w:eastAsia="Calibri" w:cs="Times New Roman"/>
          <w:szCs w:val="24"/>
        </w:rPr>
        <w:t xml:space="preserve">Katrai atbalsttiesīgai dalībvalstij </w:t>
      </w:r>
      <w:r w:rsidRPr="002F64A6">
        <w:rPr>
          <w:rFonts w:eastAsia="Calibri" w:cs="Times New Roman"/>
          <w:b/>
          <w:szCs w:val="24"/>
        </w:rPr>
        <w:t>Kohēzijas fonda</w:t>
      </w:r>
      <w:r w:rsidRPr="002F64A6">
        <w:rPr>
          <w:rFonts w:eastAsia="Calibri" w:cs="Times New Roman"/>
          <w:szCs w:val="24"/>
        </w:rPr>
        <w:t xml:space="preserve"> daļa </w:t>
      </w:r>
      <w:r w:rsidRPr="002F64A6">
        <w:rPr>
          <w:rFonts w:eastAsia="Calibri" w:cs="Times New Roman"/>
          <w:szCs w:val="24"/>
          <w:u w:val="single"/>
        </w:rPr>
        <w:t>nedrīkst pārsniegt</w:t>
      </w:r>
      <w:r w:rsidRPr="002F64A6">
        <w:rPr>
          <w:rFonts w:eastAsia="Calibri" w:cs="Times New Roman"/>
          <w:szCs w:val="24"/>
        </w:rPr>
        <w:t xml:space="preserve"> </w:t>
      </w:r>
      <w:r w:rsidRPr="002F64A6">
        <w:rPr>
          <w:rFonts w:eastAsia="Calibri" w:cs="Times New Roman"/>
          <w:b/>
          <w:szCs w:val="24"/>
          <w:u w:val="single"/>
        </w:rPr>
        <w:t>vienu trešdaļu no kopējā piešķīruma</w:t>
      </w:r>
      <w:r w:rsidRPr="002F64A6">
        <w:rPr>
          <w:rFonts w:eastAsia="Calibri" w:cs="Times New Roman"/>
          <w:szCs w:val="24"/>
        </w:rPr>
        <w:t xml:space="preserve">, no kura atņemts piešķīrums mērķim “Eiropas teritoriālā attīstība”. Šī korekcija proporcionāli palielina visus citus piešķīrumus. Salīdzinājumam MFF </w:t>
      </w:r>
      <w:r w:rsidRPr="002F64A6">
        <w:rPr>
          <w:rFonts w:cs="Times New Roman"/>
          <w:szCs w:val="24"/>
        </w:rPr>
        <w:t>2014.–2020.</w:t>
      </w:r>
      <w:r>
        <w:rPr>
          <w:rFonts w:cs="Times New Roman"/>
          <w:szCs w:val="24"/>
        </w:rPr>
        <w:t xml:space="preserve"> gada </w:t>
      </w:r>
      <w:r w:rsidRPr="002F64A6">
        <w:rPr>
          <w:rFonts w:eastAsia="Calibri" w:cs="Times New Roman"/>
          <w:szCs w:val="24"/>
        </w:rPr>
        <w:t xml:space="preserve">Kohēzijas fonda daļa kopējā piešķīrumā tām </w:t>
      </w:r>
      <w:r>
        <w:rPr>
          <w:rFonts w:eastAsia="Calibri" w:cs="Times New Roman"/>
          <w:szCs w:val="24"/>
        </w:rPr>
        <w:t>dalībvalstīm</w:t>
      </w:r>
      <w:r w:rsidRPr="002F64A6">
        <w:rPr>
          <w:rFonts w:eastAsia="Calibri" w:cs="Times New Roman"/>
          <w:szCs w:val="24"/>
        </w:rPr>
        <w:t xml:space="preserve">, kas iestājās </w:t>
      </w:r>
      <w:r>
        <w:rPr>
          <w:rFonts w:eastAsia="Calibri" w:cs="Times New Roman"/>
          <w:szCs w:val="24"/>
        </w:rPr>
        <w:t>2004. gada 1. maijā vai</w:t>
      </w:r>
      <w:r w:rsidRPr="002F64A6">
        <w:rPr>
          <w:rFonts w:eastAsia="Calibri" w:cs="Times New Roman"/>
          <w:szCs w:val="24"/>
        </w:rPr>
        <w:t xml:space="preserve"> vēlāk (t.sk. Latvija), bija nosakāma </w:t>
      </w:r>
      <w:r w:rsidRPr="002F64A6">
        <w:rPr>
          <w:rFonts w:eastAsia="Calibri" w:cs="Times New Roman"/>
          <w:b/>
          <w:szCs w:val="24"/>
        </w:rPr>
        <w:t>kā minimums viena trešdaļa</w:t>
      </w:r>
      <w:r w:rsidRPr="002F64A6">
        <w:rPr>
          <w:rFonts w:eastAsia="Calibri" w:cs="Times New Roman"/>
          <w:szCs w:val="24"/>
        </w:rPr>
        <w:t xml:space="preserve">, kas pēc </w:t>
      </w:r>
      <w:proofErr w:type="spellStart"/>
      <w:r w:rsidRPr="00375557">
        <w:rPr>
          <w:rFonts w:eastAsia="Calibri" w:cs="Times New Roman"/>
          <w:i/>
          <w:iCs/>
          <w:szCs w:val="24"/>
        </w:rPr>
        <w:t>capping</w:t>
      </w:r>
      <w:proofErr w:type="spellEnd"/>
      <w:r w:rsidRPr="002F64A6">
        <w:rPr>
          <w:rFonts w:eastAsia="Calibri" w:cs="Times New Roman"/>
          <w:szCs w:val="24"/>
        </w:rPr>
        <w:t xml:space="preserve"> piemērošanas attiecīgi palielināja Latvijai Kohēzijas fonda piešķīrumu un samazināja piešķīrumu </w:t>
      </w:r>
      <w:r w:rsidRPr="00CC1B5E">
        <w:rPr>
          <w:rFonts w:eastAsia="Calibri" w:cs="Times New Roman"/>
          <w:i/>
          <w:iCs/>
          <w:szCs w:val="24"/>
        </w:rPr>
        <w:t>mazāk attīstītiem</w:t>
      </w:r>
      <w:r w:rsidRPr="002F64A6">
        <w:rPr>
          <w:rFonts w:eastAsia="Calibri" w:cs="Times New Roman"/>
          <w:szCs w:val="24"/>
        </w:rPr>
        <w:t xml:space="preserve"> reģioniem, ievērojot kopējo ierobežojuma summu.</w:t>
      </w:r>
    </w:p>
    <w:p w14:paraId="488AE2D5" w14:textId="77777777" w:rsidR="00802E2A" w:rsidRDefault="00802E2A" w:rsidP="00802E2A">
      <w:pPr>
        <w:ind w:right="-31" w:firstLine="720"/>
        <w:rPr>
          <w:rFonts w:eastAsia="Calibri" w:cs="Times New Roman"/>
          <w:szCs w:val="24"/>
        </w:rPr>
      </w:pPr>
      <w:r w:rsidRPr="002F64A6">
        <w:rPr>
          <w:rFonts w:eastAsia="Calibri" w:cs="Times New Roman"/>
          <w:szCs w:val="24"/>
        </w:rPr>
        <w:t>No Kohēzijas fonda uz EISI pārvietojamā atbalsta apmērs ir 10 000 000</w:t>
      </w:r>
      <w:r>
        <w:rPr>
          <w:rFonts w:eastAsia="Calibri" w:cs="Times New Roman"/>
          <w:szCs w:val="24"/>
        </w:rPr>
        <w:t> </w:t>
      </w:r>
      <w:r w:rsidRPr="002F64A6">
        <w:rPr>
          <w:rFonts w:eastAsia="Calibri" w:cs="Times New Roman"/>
          <w:szCs w:val="24"/>
        </w:rPr>
        <w:t>000</w:t>
      </w:r>
      <w:r>
        <w:rPr>
          <w:rFonts w:eastAsia="Calibri" w:cs="Times New Roman"/>
          <w:szCs w:val="24"/>
        </w:rPr>
        <w:t> </w:t>
      </w:r>
      <w:r>
        <w:rPr>
          <w:rFonts w:eastAsia="Calibri" w:cs="Times New Roman"/>
          <w:i/>
          <w:iCs/>
          <w:szCs w:val="24"/>
        </w:rPr>
        <w:t>euro</w:t>
      </w:r>
      <w:r w:rsidRPr="002F64A6">
        <w:rPr>
          <w:rFonts w:eastAsia="Calibri" w:cs="Times New Roman"/>
          <w:szCs w:val="24"/>
        </w:rPr>
        <w:t xml:space="preserve"> (2018.</w:t>
      </w:r>
      <w:r>
        <w:rPr>
          <w:rFonts w:eastAsia="Calibri" w:cs="Times New Roman"/>
          <w:szCs w:val="24"/>
        </w:rPr>
        <w:t> </w:t>
      </w:r>
      <w:r w:rsidRPr="002F64A6">
        <w:rPr>
          <w:rFonts w:eastAsia="Calibri" w:cs="Times New Roman"/>
          <w:szCs w:val="24"/>
        </w:rPr>
        <w:t>g</w:t>
      </w:r>
      <w:r>
        <w:rPr>
          <w:rFonts w:eastAsia="Calibri" w:cs="Times New Roman"/>
          <w:szCs w:val="24"/>
        </w:rPr>
        <w:t>ada</w:t>
      </w:r>
      <w:r w:rsidRPr="002F64A6">
        <w:rPr>
          <w:rFonts w:eastAsia="Calibri" w:cs="Times New Roman"/>
          <w:szCs w:val="24"/>
        </w:rPr>
        <w:t xml:space="preserve"> cenās). To izmanto transporta infrastruktūras projektiem tikai tajās dalībvalstīs, kuras ir tiesīgas saņemt finansējumu no Kohēzijas fonda.</w:t>
      </w:r>
    </w:p>
    <w:p w14:paraId="132CEF68" w14:textId="77777777" w:rsidR="00802E2A" w:rsidRDefault="00802E2A" w:rsidP="00802E2A">
      <w:pPr>
        <w:ind w:right="-31" w:firstLine="720"/>
        <w:rPr>
          <w:rFonts w:eastAsia="Calibri" w:cs="Times New Roman"/>
          <w:szCs w:val="24"/>
        </w:rPr>
      </w:pPr>
      <w:r w:rsidRPr="002F64A6">
        <w:rPr>
          <w:rFonts w:eastAsia="Calibri" w:cs="Times New Roman"/>
          <w:szCs w:val="24"/>
        </w:rPr>
        <w:t>Pārveduma uz EISI no Kohēzijas fonda piešķīruma apmēru dalībvalstij nosaka proporcionāli. Kohēzijas fonda piešķīrumu katrai dalībvalstij samazina par attiecīgo summu.</w:t>
      </w:r>
    </w:p>
    <w:p w14:paraId="3DE91D15" w14:textId="77777777" w:rsidR="00802E2A" w:rsidRPr="002F64A6" w:rsidRDefault="00802E2A" w:rsidP="00802E2A">
      <w:pPr>
        <w:ind w:right="-31" w:firstLine="720"/>
        <w:rPr>
          <w:rFonts w:eastAsia="Calibri" w:cs="Times New Roman"/>
          <w:szCs w:val="24"/>
        </w:rPr>
      </w:pPr>
      <w:r w:rsidRPr="002F64A6">
        <w:rPr>
          <w:rFonts w:eastAsia="Calibri" w:cs="Times New Roman"/>
          <w:szCs w:val="24"/>
        </w:rPr>
        <w:t xml:space="preserve">Papildu noteikumos iekļauti tādi kritēriji, kā 120 000 000 </w:t>
      </w:r>
      <w:r>
        <w:rPr>
          <w:rFonts w:eastAsia="Calibri" w:cs="Times New Roman"/>
          <w:i/>
          <w:iCs/>
          <w:szCs w:val="24"/>
        </w:rPr>
        <w:t>euro</w:t>
      </w:r>
      <w:r w:rsidRPr="002F64A6">
        <w:rPr>
          <w:rFonts w:eastAsia="Calibri" w:cs="Times New Roman"/>
          <w:szCs w:val="24"/>
        </w:rPr>
        <w:t xml:space="preserve"> (2018.</w:t>
      </w:r>
      <w:r>
        <w:rPr>
          <w:rFonts w:eastAsia="Calibri" w:cs="Times New Roman"/>
          <w:szCs w:val="24"/>
        </w:rPr>
        <w:t> </w:t>
      </w:r>
      <w:r w:rsidRPr="002F64A6">
        <w:rPr>
          <w:rFonts w:eastAsia="Calibri" w:cs="Times New Roman"/>
          <w:szCs w:val="24"/>
        </w:rPr>
        <w:t>g</w:t>
      </w:r>
      <w:r>
        <w:rPr>
          <w:rFonts w:eastAsia="Calibri" w:cs="Times New Roman"/>
          <w:szCs w:val="24"/>
        </w:rPr>
        <w:t>ada</w:t>
      </w:r>
      <w:r w:rsidRPr="002F64A6">
        <w:rPr>
          <w:rFonts w:eastAsia="Calibri" w:cs="Times New Roman"/>
          <w:szCs w:val="24"/>
        </w:rPr>
        <w:t xml:space="preserve"> cenās) </w:t>
      </w:r>
      <w:r w:rsidRPr="002F64A6">
        <w:rPr>
          <w:rFonts w:eastAsia="Calibri" w:cs="Times New Roman"/>
          <w:i/>
          <w:iCs/>
          <w:szCs w:val="24"/>
        </w:rPr>
        <w:t xml:space="preserve">PEACE PLUS </w:t>
      </w:r>
      <w:r w:rsidRPr="002F64A6">
        <w:rPr>
          <w:rFonts w:eastAsia="Calibri" w:cs="Times New Roman"/>
          <w:szCs w:val="24"/>
        </w:rPr>
        <w:t>programmai (ziemeļu-dienvidu pārrobežu sadarbības turpināšanai), papildus vismaz 60</w:t>
      </w:r>
      <w:r>
        <w:rPr>
          <w:rFonts w:eastAsia="Calibri" w:cs="Times New Roman"/>
          <w:szCs w:val="24"/>
        </w:rPr>
        <w:t> </w:t>
      </w:r>
      <w:r w:rsidRPr="002F64A6">
        <w:rPr>
          <w:rFonts w:eastAsia="Calibri" w:cs="Times New Roman"/>
          <w:szCs w:val="24"/>
        </w:rPr>
        <w:t>000</w:t>
      </w:r>
      <w:r>
        <w:rPr>
          <w:rFonts w:eastAsia="Calibri" w:cs="Times New Roman"/>
          <w:szCs w:val="24"/>
        </w:rPr>
        <w:t> </w:t>
      </w:r>
      <w:r w:rsidRPr="002F64A6">
        <w:rPr>
          <w:rFonts w:eastAsia="Calibri" w:cs="Times New Roman"/>
          <w:szCs w:val="24"/>
        </w:rPr>
        <w:t>000</w:t>
      </w:r>
      <w:r>
        <w:rPr>
          <w:rFonts w:eastAsia="Calibri" w:cs="Times New Roman"/>
          <w:szCs w:val="24"/>
        </w:rPr>
        <w:t> </w:t>
      </w:r>
      <w:r>
        <w:rPr>
          <w:rFonts w:eastAsia="Calibri" w:cs="Times New Roman"/>
          <w:i/>
          <w:iCs/>
          <w:szCs w:val="24"/>
        </w:rPr>
        <w:t>euro</w:t>
      </w:r>
      <w:r w:rsidRPr="002F64A6">
        <w:rPr>
          <w:rFonts w:eastAsia="Calibri" w:cs="Times New Roman"/>
          <w:szCs w:val="24"/>
        </w:rPr>
        <w:t xml:space="preserve"> (2018.</w:t>
      </w:r>
      <w:r>
        <w:rPr>
          <w:rFonts w:eastAsia="Calibri" w:cs="Times New Roman"/>
          <w:szCs w:val="24"/>
        </w:rPr>
        <w:t> </w:t>
      </w:r>
      <w:r w:rsidRPr="002F64A6">
        <w:rPr>
          <w:rFonts w:eastAsia="Calibri" w:cs="Times New Roman"/>
          <w:szCs w:val="24"/>
        </w:rPr>
        <w:t>g</w:t>
      </w:r>
      <w:r>
        <w:rPr>
          <w:rFonts w:eastAsia="Calibri" w:cs="Times New Roman"/>
          <w:szCs w:val="24"/>
        </w:rPr>
        <w:t>ada</w:t>
      </w:r>
      <w:r w:rsidRPr="002F64A6">
        <w:rPr>
          <w:rFonts w:eastAsia="Calibri" w:cs="Times New Roman"/>
          <w:szCs w:val="24"/>
        </w:rPr>
        <w:t xml:space="preserve"> cenās) </w:t>
      </w:r>
      <w:r w:rsidRPr="002F64A6">
        <w:rPr>
          <w:rFonts w:eastAsia="Calibri" w:cs="Times New Roman"/>
          <w:i/>
          <w:iCs/>
          <w:szCs w:val="24"/>
        </w:rPr>
        <w:t xml:space="preserve">PEACE PLUS programmai </w:t>
      </w:r>
      <w:r w:rsidRPr="002F64A6">
        <w:rPr>
          <w:rFonts w:eastAsia="Calibri" w:cs="Times New Roman"/>
          <w:szCs w:val="24"/>
        </w:rPr>
        <w:t xml:space="preserve">Īrijai no ETS mērķa; </w:t>
      </w:r>
      <w:r w:rsidRPr="002F64A6">
        <w:rPr>
          <w:rFonts w:eastAsia="Calibri" w:cs="Times New Roman"/>
          <w:b/>
          <w:bCs/>
          <w:szCs w:val="24"/>
        </w:rPr>
        <w:t xml:space="preserve">finansējums Latvijas un Lietuvas depopulācijas problēmai izteikts, kā iedzīvotāju kopskaita krituma salīdzinājums </w:t>
      </w:r>
      <w:r w:rsidRPr="00E06E72">
        <w:rPr>
          <w:rFonts w:eastAsia="Calibri" w:cs="Times New Roman"/>
          <w:b/>
          <w:bCs/>
          <w:szCs w:val="24"/>
        </w:rPr>
        <w:t>2007.</w:t>
      </w:r>
      <w:r w:rsidRPr="00E06E72">
        <w:rPr>
          <w:rFonts w:cs="Times New Roman"/>
          <w:b/>
          <w:bCs/>
          <w:szCs w:val="24"/>
        </w:rPr>
        <w:t>–</w:t>
      </w:r>
      <w:r w:rsidRPr="00E06E72">
        <w:rPr>
          <w:rFonts w:eastAsia="Calibri" w:cs="Times New Roman"/>
          <w:b/>
          <w:bCs/>
          <w:szCs w:val="24"/>
        </w:rPr>
        <w:t>20</w:t>
      </w:r>
      <w:r w:rsidRPr="002F64A6">
        <w:rPr>
          <w:rFonts w:eastAsia="Calibri" w:cs="Times New Roman"/>
          <w:b/>
          <w:bCs/>
          <w:szCs w:val="24"/>
        </w:rPr>
        <w:t>09.</w:t>
      </w:r>
      <w:r>
        <w:rPr>
          <w:rFonts w:eastAsia="Calibri" w:cs="Times New Roman"/>
          <w:b/>
          <w:bCs/>
          <w:szCs w:val="24"/>
        </w:rPr>
        <w:t> gada</w:t>
      </w:r>
      <w:r w:rsidRPr="002F64A6">
        <w:rPr>
          <w:rFonts w:eastAsia="Calibri" w:cs="Times New Roman"/>
          <w:b/>
          <w:bCs/>
          <w:szCs w:val="24"/>
        </w:rPr>
        <w:t xml:space="preserve"> un 2016</w:t>
      </w:r>
      <w:r w:rsidRPr="00E06E72">
        <w:rPr>
          <w:rFonts w:eastAsia="Calibri" w:cs="Times New Roman"/>
          <w:b/>
          <w:bCs/>
          <w:szCs w:val="24"/>
        </w:rPr>
        <w:t>.</w:t>
      </w:r>
      <w:r w:rsidRPr="00E06E72">
        <w:rPr>
          <w:rFonts w:cs="Times New Roman"/>
          <w:b/>
          <w:bCs/>
          <w:szCs w:val="24"/>
        </w:rPr>
        <w:t>–</w:t>
      </w:r>
      <w:r w:rsidRPr="002F64A6">
        <w:rPr>
          <w:rFonts w:eastAsia="Calibri" w:cs="Times New Roman"/>
          <w:b/>
          <w:bCs/>
          <w:szCs w:val="24"/>
        </w:rPr>
        <w:t>2018.</w:t>
      </w:r>
      <w:r>
        <w:rPr>
          <w:rFonts w:eastAsia="Calibri" w:cs="Times New Roman"/>
          <w:b/>
          <w:bCs/>
          <w:szCs w:val="24"/>
        </w:rPr>
        <w:t> gada</w:t>
      </w:r>
      <w:r w:rsidRPr="002F64A6">
        <w:rPr>
          <w:rFonts w:eastAsia="Calibri" w:cs="Times New Roman"/>
          <w:b/>
          <w:bCs/>
          <w:szCs w:val="24"/>
        </w:rPr>
        <w:t xml:space="preserve"> periodā un aprēķināts reizinot iedzīvotāju kopskaita kritumu laikā starp abiem laikposmiem ar 500 </w:t>
      </w:r>
      <w:r w:rsidRPr="00CF4655">
        <w:rPr>
          <w:rFonts w:eastAsia="Calibri" w:cs="Times New Roman"/>
          <w:b/>
          <w:bCs/>
          <w:i/>
          <w:iCs/>
          <w:szCs w:val="24"/>
        </w:rPr>
        <w:t>euro</w:t>
      </w:r>
      <w:r w:rsidRPr="002F64A6">
        <w:rPr>
          <w:rFonts w:eastAsia="Calibri" w:cs="Times New Roman"/>
          <w:szCs w:val="24"/>
        </w:rPr>
        <w:t xml:space="preserve">; atbalsts 400 000 000 </w:t>
      </w:r>
      <w:r>
        <w:rPr>
          <w:rFonts w:eastAsia="Calibri" w:cs="Times New Roman"/>
          <w:i/>
          <w:iCs/>
          <w:szCs w:val="24"/>
        </w:rPr>
        <w:t>euro</w:t>
      </w:r>
      <w:r w:rsidRPr="002F64A6">
        <w:rPr>
          <w:rFonts w:eastAsia="Calibri" w:cs="Times New Roman"/>
          <w:szCs w:val="24"/>
        </w:rPr>
        <w:t xml:space="preserve"> apmērā tiem </w:t>
      </w:r>
      <w:r w:rsidRPr="00CC1B5E">
        <w:rPr>
          <w:rFonts w:eastAsia="Calibri" w:cs="Times New Roman"/>
          <w:i/>
          <w:iCs/>
          <w:szCs w:val="24"/>
        </w:rPr>
        <w:t>mazāk attīstītiem</w:t>
      </w:r>
      <w:r w:rsidRPr="002F64A6">
        <w:rPr>
          <w:rFonts w:eastAsia="Calibri" w:cs="Times New Roman"/>
          <w:szCs w:val="24"/>
        </w:rPr>
        <w:t xml:space="preserve"> reģioniem, kuri sākuši saņemt atbalstu no fondiem tikai </w:t>
      </w:r>
      <w:r w:rsidRPr="002F64A6">
        <w:rPr>
          <w:rFonts w:cs="Times New Roman"/>
          <w:szCs w:val="24"/>
        </w:rPr>
        <w:t>2014.–2020.</w:t>
      </w:r>
      <w:r>
        <w:rPr>
          <w:rFonts w:cs="Times New Roman"/>
          <w:szCs w:val="24"/>
        </w:rPr>
        <w:t xml:space="preserve"> gada </w:t>
      </w:r>
      <w:r w:rsidRPr="002F64A6">
        <w:rPr>
          <w:rFonts w:eastAsia="Calibri" w:cs="Times New Roman"/>
          <w:szCs w:val="24"/>
        </w:rPr>
        <w:t xml:space="preserve">plānošanas periodā (Horvātija); papildus piešķīrums 100 000 000 </w:t>
      </w:r>
      <w:r>
        <w:rPr>
          <w:rFonts w:eastAsia="Calibri" w:cs="Times New Roman"/>
          <w:i/>
          <w:iCs/>
          <w:szCs w:val="24"/>
        </w:rPr>
        <w:t>euro</w:t>
      </w:r>
      <w:r w:rsidRPr="002F64A6">
        <w:rPr>
          <w:rFonts w:eastAsia="Calibri" w:cs="Times New Roman"/>
          <w:szCs w:val="24"/>
        </w:rPr>
        <w:t xml:space="preserve"> (Malta un Kipra) saistībā ar ģeogrāfisko </w:t>
      </w:r>
      <w:proofErr w:type="spellStart"/>
      <w:r w:rsidRPr="002F64A6">
        <w:rPr>
          <w:rFonts w:eastAsia="Calibri" w:cs="Times New Roman"/>
          <w:szCs w:val="24"/>
        </w:rPr>
        <w:t>attālinātību</w:t>
      </w:r>
      <w:proofErr w:type="spellEnd"/>
      <w:r w:rsidRPr="002F64A6">
        <w:rPr>
          <w:rFonts w:eastAsia="Calibri" w:cs="Times New Roman"/>
          <w:szCs w:val="24"/>
        </w:rPr>
        <w:t xml:space="preserve">, kā arī, Somijas mazapdzīvotie apgabali saņem papildu 100 000 000 </w:t>
      </w:r>
      <w:r>
        <w:rPr>
          <w:rFonts w:eastAsia="Calibri" w:cs="Times New Roman"/>
          <w:i/>
          <w:iCs/>
          <w:szCs w:val="24"/>
        </w:rPr>
        <w:t>euro</w:t>
      </w:r>
      <w:r w:rsidRPr="002F64A6">
        <w:rPr>
          <w:rFonts w:eastAsia="Calibri" w:cs="Times New Roman"/>
          <w:szCs w:val="24"/>
        </w:rPr>
        <w:t xml:space="preserve">. Papildus piešķīrumus dažādos apmēros saņēma arī dažādu kategoriju reģioni Beļģijā, Čehijā, Igaunijā, Bulgārijā, Polijā, Portugālē un Slovēnijā. </w:t>
      </w:r>
    </w:p>
    <w:p w14:paraId="330D803A" w14:textId="77777777" w:rsidR="00802E2A" w:rsidRPr="000C5182" w:rsidRDefault="00802E2A" w:rsidP="00802E2A">
      <w:pPr>
        <w:pStyle w:val="Heading2"/>
      </w:pPr>
      <w:r w:rsidRPr="000C5182">
        <w:t xml:space="preserve">2. </w:t>
      </w:r>
      <w:r w:rsidRPr="000C5182">
        <w:rPr>
          <w:i/>
          <w:iCs/>
        </w:rPr>
        <w:t>NUTS</w:t>
      </w:r>
      <w:r w:rsidRPr="000C5182">
        <w:t xml:space="preserve"> 2 dalījuma ietekme uz dalībvalstu piešķīrumiem</w:t>
      </w:r>
    </w:p>
    <w:p w14:paraId="27FD037E" w14:textId="77777777" w:rsidR="00802E2A" w:rsidRPr="002F64A6" w:rsidRDefault="00802E2A" w:rsidP="00802E2A">
      <w:pPr>
        <w:ind w:firstLine="720"/>
        <w:rPr>
          <w:rFonts w:eastAsia="Times New Roman" w:cs="Times New Roman"/>
          <w:szCs w:val="24"/>
        </w:rPr>
      </w:pPr>
      <w:r w:rsidRPr="002F64A6">
        <w:rPr>
          <w:rFonts w:eastAsia="Times New Roman" w:cs="Times New Roman"/>
          <w:szCs w:val="24"/>
        </w:rPr>
        <w:t xml:space="preserve">Modelējot iespējamo Latvijas piešķīrumu no ES Kohēzijas politikas fondiem (ESF, ERAF, KF) nepieciešams minēt vairākus būtiskus faktorus, kas ietekmēja šādas analīzes veikšanu. Pirmkārt, </w:t>
      </w:r>
      <w:r w:rsidRPr="002F64A6">
        <w:rPr>
          <w:rFonts w:eastAsia="Times New Roman" w:cs="Times New Roman"/>
          <w:szCs w:val="24"/>
        </w:rPr>
        <w:lastRenderedPageBreak/>
        <w:t>nepieciešams izcelt būtiskākos ES daudzgadu budžeta diskusiju jautājumus, kam ir nozīmīga ietekme uz dalībvalstu potenciālajiem piešķīrumiem nākošajos ES budžeta periodos. Kā svarīgākie izceļami:</w:t>
      </w:r>
    </w:p>
    <w:p w14:paraId="307BCB1F" w14:textId="77777777" w:rsidR="00802E2A" w:rsidRDefault="00802E2A" w:rsidP="00802E2A">
      <w:pPr>
        <w:pStyle w:val="ListParagraph"/>
        <w:numPr>
          <w:ilvl w:val="0"/>
          <w:numId w:val="41"/>
        </w:numPr>
        <w:spacing w:after="0"/>
        <w:rPr>
          <w:rFonts w:eastAsia="Times New Roman" w:cs="Times New Roman"/>
          <w:szCs w:val="24"/>
        </w:rPr>
      </w:pPr>
      <w:r w:rsidRPr="002F64A6">
        <w:rPr>
          <w:rFonts w:eastAsia="Times New Roman" w:cs="Times New Roman"/>
          <w:szCs w:val="24"/>
        </w:rPr>
        <w:t>ES daudzgadu budžeta perioda ilgums;</w:t>
      </w:r>
    </w:p>
    <w:p w14:paraId="182C2FA4" w14:textId="77777777" w:rsidR="00802E2A" w:rsidRPr="000C5182" w:rsidRDefault="00802E2A" w:rsidP="00802E2A">
      <w:pPr>
        <w:pStyle w:val="ListParagraph"/>
        <w:numPr>
          <w:ilvl w:val="0"/>
          <w:numId w:val="41"/>
        </w:numPr>
        <w:spacing w:after="0"/>
        <w:rPr>
          <w:rFonts w:eastAsia="Times New Roman" w:cs="Times New Roman"/>
          <w:szCs w:val="24"/>
        </w:rPr>
      </w:pPr>
      <w:r w:rsidRPr="000C5182">
        <w:rPr>
          <w:rFonts w:eastAsia="Times New Roman" w:cs="Times New Roman"/>
          <w:szCs w:val="24"/>
        </w:rPr>
        <w:t>ES budžeta sadalījums starp politikām, programmām, fondiem;</w:t>
      </w:r>
    </w:p>
    <w:p w14:paraId="722C7613" w14:textId="77777777" w:rsidR="00802E2A" w:rsidRPr="002F64A6" w:rsidRDefault="00802E2A" w:rsidP="00802E2A">
      <w:pPr>
        <w:pStyle w:val="ListParagraph"/>
        <w:numPr>
          <w:ilvl w:val="0"/>
          <w:numId w:val="41"/>
        </w:numPr>
        <w:spacing w:after="0"/>
        <w:rPr>
          <w:rFonts w:eastAsia="Times New Roman" w:cs="Times New Roman"/>
          <w:szCs w:val="24"/>
        </w:rPr>
      </w:pPr>
      <w:r w:rsidRPr="002F64A6">
        <w:rPr>
          <w:rFonts w:eastAsia="Times New Roman" w:cs="Times New Roman"/>
          <w:szCs w:val="24"/>
        </w:rPr>
        <w:t>Reģionu piederības noteikšanas metode;</w:t>
      </w:r>
    </w:p>
    <w:p w14:paraId="2EBAAC64" w14:textId="77777777" w:rsidR="00802E2A" w:rsidRPr="002F64A6" w:rsidRDefault="00802E2A" w:rsidP="00802E2A">
      <w:pPr>
        <w:pStyle w:val="ListParagraph"/>
        <w:numPr>
          <w:ilvl w:val="0"/>
          <w:numId w:val="41"/>
        </w:numPr>
        <w:spacing w:after="0"/>
        <w:rPr>
          <w:rFonts w:eastAsia="Times New Roman" w:cs="Times New Roman"/>
          <w:szCs w:val="24"/>
        </w:rPr>
      </w:pPr>
      <w:r w:rsidRPr="002F64A6">
        <w:rPr>
          <w:rFonts w:eastAsia="Times New Roman" w:cs="Times New Roman"/>
          <w:szCs w:val="24"/>
        </w:rPr>
        <w:t>Izmantojamais atsauces periods;</w:t>
      </w:r>
    </w:p>
    <w:p w14:paraId="4A744AF9" w14:textId="77777777" w:rsidR="00802E2A" w:rsidRPr="000C5182" w:rsidRDefault="00802E2A" w:rsidP="00802E2A">
      <w:pPr>
        <w:pStyle w:val="ListParagraph"/>
        <w:numPr>
          <w:ilvl w:val="0"/>
          <w:numId w:val="41"/>
        </w:numPr>
        <w:spacing w:after="0"/>
        <w:rPr>
          <w:rFonts w:eastAsia="Times New Roman" w:cs="Times New Roman"/>
          <w:szCs w:val="24"/>
        </w:rPr>
      </w:pPr>
      <w:r w:rsidRPr="002F64A6">
        <w:rPr>
          <w:rFonts w:eastAsia="Times New Roman" w:cs="Times New Roman"/>
          <w:szCs w:val="24"/>
        </w:rPr>
        <w:t>Finansējuma sadales metodoloģija fondu vai instrumentu ietvaros.</w:t>
      </w:r>
    </w:p>
    <w:p w14:paraId="6A6D19B5" w14:textId="77777777" w:rsidR="00802E2A" w:rsidRDefault="00802E2A" w:rsidP="00802E2A">
      <w:pPr>
        <w:ind w:firstLine="720"/>
        <w:rPr>
          <w:rFonts w:eastAsia="Times New Roman" w:cs="Times New Roman"/>
          <w:bCs/>
          <w:szCs w:val="24"/>
        </w:rPr>
      </w:pPr>
    </w:p>
    <w:p w14:paraId="76801A21" w14:textId="77777777" w:rsidR="00802E2A" w:rsidRDefault="00802E2A" w:rsidP="00802E2A">
      <w:pPr>
        <w:ind w:firstLine="720"/>
        <w:rPr>
          <w:rFonts w:eastAsia="Times New Roman" w:cs="Times New Roman"/>
          <w:szCs w:val="24"/>
        </w:rPr>
      </w:pPr>
      <w:r w:rsidRPr="002F64A6">
        <w:rPr>
          <w:rFonts w:eastAsia="Times New Roman" w:cs="Times New Roman"/>
          <w:bCs/>
          <w:szCs w:val="24"/>
        </w:rPr>
        <w:t>Ņemot vērā minētos faktorus, pašlaik paredzēt precīzu ES fondu atbalsta reģionu sadalījumu periodā pēc 2027.</w:t>
      </w:r>
      <w:r>
        <w:rPr>
          <w:rFonts w:eastAsia="Times New Roman" w:cs="Times New Roman"/>
          <w:bCs/>
          <w:szCs w:val="24"/>
        </w:rPr>
        <w:t> </w:t>
      </w:r>
      <w:r w:rsidRPr="002F64A6">
        <w:rPr>
          <w:rFonts w:eastAsia="Times New Roman" w:cs="Times New Roman"/>
          <w:bCs/>
          <w:szCs w:val="24"/>
        </w:rPr>
        <w:t>gada nav iespējams</w:t>
      </w:r>
      <w:r w:rsidRPr="002F64A6">
        <w:rPr>
          <w:rFonts w:eastAsia="Times New Roman" w:cs="Times New Roman"/>
          <w:szCs w:val="24"/>
        </w:rPr>
        <w:t>. Jāatzīmē, ka reģionu piederības noteikšanas metode, sadales metodoloģija un budžeta sadalījums starp politikām pēdējos trīs ES daudzgadu budžeta ciklus ir atšķirīgs.</w:t>
      </w:r>
    </w:p>
    <w:p w14:paraId="2B775AFA" w14:textId="77777777" w:rsidR="00802E2A" w:rsidRPr="002F64A6" w:rsidRDefault="00802E2A" w:rsidP="00802E2A">
      <w:pPr>
        <w:ind w:firstLine="720"/>
        <w:rPr>
          <w:rFonts w:eastAsia="Times New Roman" w:cs="Times New Roman"/>
          <w:szCs w:val="24"/>
        </w:rPr>
      </w:pPr>
      <w:r w:rsidRPr="002F64A6">
        <w:rPr>
          <w:rFonts w:eastAsia="Times New Roman" w:cs="Times New Roman"/>
          <w:bCs/>
          <w:szCs w:val="24"/>
        </w:rPr>
        <w:t xml:space="preserve">Ņemot vērā, ka par teritorijām, kuras VARAM piedāvā jaunajam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 dalījumam, nav pieejami vēsturiskie statistikas dati, tad nav iespējams pēc 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 xml:space="preserve">gada Kohēzijas politikas piešķīrumu aprēķinu metodes modelēt iespējamos piešķīrumus konkrētajām teritorijām. Vienlaikus, lai sniegtu lēmumu pieņēmējiem indikatīvu ieskatu par </w:t>
      </w:r>
      <w:r w:rsidRPr="00E442F8">
        <w:rPr>
          <w:rFonts w:eastAsia="Times New Roman" w:cs="Times New Roman"/>
          <w:i/>
          <w:iCs/>
          <w:szCs w:val="24"/>
        </w:rPr>
        <w:t>NUTS</w:t>
      </w:r>
      <w:r>
        <w:rPr>
          <w:rFonts w:eastAsia="Times New Roman" w:cs="Times New Roman"/>
          <w:szCs w:val="24"/>
        </w:rPr>
        <w:t> </w:t>
      </w:r>
      <w:r w:rsidRPr="002F64A6">
        <w:rPr>
          <w:rFonts w:eastAsia="Times New Roman" w:cs="Times New Roman"/>
          <w:szCs w:val="24"/>
        </w:rPr>
        <w:t>2 reģionu izmaiņu ietekmi piešķīrumiem ir iespējams analizēt citu dalībvalstu pieredzi.</w:t>
      </w:r>
    </w:p>
    <w:p w14:paraId="1CE9ED62" w14:textId="77777777" w:rsidR="00802E2A" w:rsidRPr="000C5182" w:rsidRDefault="00802E2A" w:rsidP="00802E2A">
      <w:pPr>
        <w:pStyle w:val="Heading2"/>
      </w:pPr>
      <w:r w:rsidRPr="000C5182">
        <w:t>3. Lietuvas, Igaunijas un Slovēnijas piemērs un potenciālais scenārijs Latvijai</w:t>
      </w:r>
    </w:p>
    <w:p w14:paraId="554483CB" w14:textId="77777777" w:rsidR="00802E2A" w:rsidRDefault="00802E2A" w:rsidP="00802E2A">
      <w:pPr>
        <w:ind w:firstLine="720"/>
        <w:rPr>
          <w:rFonts w:eastAsia="Times New Roman" w:cs="Times New Roman"/>
          <w:szCs w:val="24"/>
        </w:rPr>
      </w:pPr>
      <w:r w:rsidRPr="002F64A6">
        <w:rPr>
          <w:rFonts w:eastAsia="Times New Roman" w:cs="Times New Roman"/>
          <w:szCs w:val="24"/>
        </w:rPr>
        <w:t xml:space="preserve">Lai demonstrētu </w:t>
      </w:r>
      <w:r w:rsidRPr="00E442F8">
        <w:rPr>
          <w:rFonts w:eastAsia="Times New Roman" w:cs="Times New Roman"/>
          <w:i/>
          <w:iCs/>
          <w:szCs w:val="24"/>
        </w:rPr>
        <w:t>NUTS</w:t>
      </w:r>
      <w:r>
        <w:rPr>
          <w:rFonts w:eastAsia="Times New Roman" w:cs="Times New Roman"/>
          <w:szCs w:val="24"/>
        </w:rPr>
        <w:t> </w:t>
      </w:r>
      <w:r w:rsidRPr="002F64A6">
        <w:rPr>
          <w:rFonts w:eastAsia="Times New Roman" w:cs="Times New Roman"/>
          <w:szCs w:val="24"/>
        </w:rPr>
        <w:t>2 dalījuma ietekmi uz dalībvalstu piešķīrumiem</w:t>
      </w:r>
      <w:r>
        <w:rPr>
          <w:rFonts w:eastAsia="Times New Roman" w:cs="Times New Roman"/>
          <w:szCs w:val="24"/>
        </w:rPr>
        <w:t>,</w:t>
      </w:r>
      <w:r w:rsidRPr="002F64A6">
        <w:rPr>
          <w:rFonts w:eastAsia="Times New Roman" w:cs="Times New Roman"/>
          <w:szCs w:val="24"/>
        </w:rPr>
        <w:t xml:space="preserve"> ir izvēlēti trīs piemēri – Igaunija, Lietuva un Slovēnija. Lietuvas un Igaunijas piemēri izvēlēti, jo abas valstis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gada plānošanas periodā pārsniedza 75% slieksni IKP uz</w:t>
      </w:r>
      <w:r>
        <w:rPr>
          <w:rFonts w:eastAsia="Times New Roman" w:cs="Times New Roman"/>
          <w:szCs w:val="24"/>
        </w:rPr>
        <w:t xml:space="preserve"> </w:t>
      </w:r>
      <w:r w:rsidRPr="002F64A6">
        <w:rPr>
          <w:rFonts w:eastAsia="Times New Roman" w:cs="Times New Roman"/>
          <w:szCs w:val="24"/>
        </w:rPr>
        <w:t xml:space="preserve">iedzīvotāju, tādējādi valsts līmenī pārsniedzot 75% no ES vidējā IKP uz iedzīvotāju. Savukārt Slovēnijas piemērs iekļauts, ņemot vērā reģionu struktūras pēc iedzīvotāju skaita līdzību ar VARAM piedāvāto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 xml:space="preserve">2 </w:t>
      </w:r>
      <w:r w:rsidRPr="002F64A6">
        <w:rPr>
          <w:rFonts w:eastAsia="Times New Roman" w:cs="Times New Roman"/>
          <w:szCs w:val="24"/>
        </w:rPr>
        <w:t xml:space="preserve">dalījumu Latvijai. </w:t>
      </w:r>
    </w:p>
    <w:p w14:paraId="4080EF9E" w14:textId="77777777" w:rsidR="00802E2A" w:rsidRDefault="00802E2A" w:rsidP="00802E2A">
      <w:pPr>
        <w:ind w:firstLine="720"/>
        <w:rPr>
          <w:rFonts w:eastAsia="Times New Roman" w:cs="Times New Roman"/>
          <w:szCs w:val="24"/>
        </w:rPr>
      </w:pPr>
      <w:r w:rsidRPr="002F64A6">
        <w:rPr>
          <w:rFonts w:eastAsia="Times New Roman" w:cs="Times New Roman"/>
          <w:szCs w:val="24"/>
        </w:rPr>
        <w:t xml:space="preserve">Uz Igaunijas, Lietuvas, Slovēnijas aploksnēm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gada periodā attiecināmā maksimālā samazinājuma likme (</w:t>
      </w:r>
      <w:proofErr w:type="spellStart"/>
      <w:r w:rsidRPr="000C5182">
        <w:rPr>
          <w:rFonts w:eastAsia="Times New Roman" w:cs="Times New Roman"/>
          <w:i/>
          <w:iCs/>
          <w:szCs w:val="24"/>
        </w:rPr>
        <w:t>safety</w:t>
      </w:r>
      <w:proofErr w:type="spellEnd"/>
      <w:r w:rsidRPr="000C5182">
        <w:rPr>
          <w:rFonts w:eastAsia="Times New Roman" w:cs="Times New Roman"/>
          <w:i/>
          <w:iCs/>
          <w:szCs w:val="24"/>
        </w:rPr>
        <w:t xml:space="preserve"> </w:t>
      </w:r>
      <w:proofErr w:type="spellStart"/>
      <w:r w:rsidRPr="000C5182">
        <w:rPr>
          <w:rFonts w:eastAsia="Times New Roman" w:cs="Times New Roman"/>
          <w:i/>
          <w:iCs/>
          <w:szCs w:val="24"/>
        </w:rPr>
        <w:t>net</w:t>
      </w:r>
      <w:proofErr w:type="spellEnd"/>
      <w:r w:rsidRPr="002F64A6">
        <w:rPr>
          <w:rFonts w:eastAsia="Times New Roman" w:cs="Times New Roman"/>
          <w:szCs w:val="24"/>
        </w:rPr>
        <w:t xml:space="preserve">) pret </w:t>
      </w:r>
      <w:r w:rsidRPr="002F64A6">
        <w:rPr>
          <w:rFonts w:eastAsia="Times New Roman" w:cs="Times New Roman"/>
          <w:bCs/>
          <w:szCs w:val="24"/>
        </w:rPr>
        <w:t>20</w:t>
      </w:r>
      <w:r>
        <w:rPr>
          <w:rFonts w:eastAsia="Times New Roman" w:cs="Times New Roman"/>
          <w:bCs/>
          <w:szCs w:val="24"/>
        </w:rPr>
        <w:t>14</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w:t>
      </w:r>
      <w:r>
        <w:rPr>
          <w:rFonts w:eastAsia="Times New Roman" w:cs="Times New Roman"/>
          <w:szCs w:val="24"/>
        </w:rPr>
        <w:t>0</w:t>
      </w:r>
      <w:r w:rsidRPr="002F64A6">
        <w:rPr>
          <w:rFonts w:eastAsia="Times New Roman" w:cs="Times New Roman"/>
          <w:szCs w:val="24"/>
        </w:rPr>
        <w:t>.</w:t>
      </w:r>
      <w:r>
        <w:rPr>
          <w:rFonts w:eastAsia="Times New Roman" w:cs="Times New Roman"/>
          <w:szCs w:val="24"/>
        </w:rPr>
        <w:t> </w:t>
      </w:r>
      <w:r w:rsidRPr="002F64A6">
        <w:rPr>
          <w:rFonts w:eastAsia="Times New Roman" w:cs="Times New Roman"/>
          <w:szCs w:val="24"/>
        </w:rPr>
        <w:t xml:space="preserve">gada </w:t>
      </w:r>
      <w:r>
        <w:rPr>
          <w:rFonts w:eastAsia="Times New Roman" w:cs="Times New Roman"/>
          <w:szCs w:val="24"/>
        </w:rPr>
        <w:t xml:space="preserve">periodu </w:t>
      </w:r>
      <w:r w:rsidRPr="002F64A6">
        <w:rPr>
          <w:rFonts w:eastAsia="Times New Roman" w:cs="Times New Roman"/>
          <w:szCs w:val="24"/>
        </w:rPr>
        <w:t xml:space="preserve">saskaņā ar piemēroto metodoloģiju ir 24% (reālā izteiksmē). Jāatzīmē, ka maksimālais samazinājums </w:t>
      </w:r>
      <w:r w:rsidRPr="002F64A6">
        <w:rPr>
          <w:rFonts w:eastAsia="Times New Roman" w:cs="Times New Roman"/>
          <w:bCs/>
          <w:szCs w:val="24"/>
        </w:rPr>
        <w:t>20</w:t>
      </w:r>
      <w:r>
        <w:rPr>
          <w:rFonts w:eastAsia="Times New Roman" w:cs="Times New Roman"/>
          <w:bCs/>
          <w:szCs w:val="24"/>
        </w:rPr>
        <w:t>14</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w:t>
      </w:r>
      <w:r>
        <w:rPr>
          <w:rFonts w:eastAsia="Times New Roman" w:cs="Times New Roman"/>
          <w:szCs w:val="24"/>
        </w:rPr>
        <w:t>0</w:t>
      </w:r>
      <w:r w:rsidRPr="002F64A6">
        <w:rPr>
          <w:rFonts w:eastAsia="Times New Roman" w:cs="Times New Roman"/>
          <w:szCs w:val="24"/>
        </w:rPr>
        <w:t>.</w:t>
      </w:r>
      <w:r>
        <w:rPr>
          <w:rFonts w:eastAsia="Times New Roman" w:cs="Times New Roman"/>
          <w:szCs w:val="24"/>
        </w:rPr>
        <w:t> </w:t>
      </w:r>
      <w:r w:rsidRPr="002F64A6">
        <w:rPr>
          <w:rFonts w:eastAsia="Times New Roman" w:cs="Times New Roman"/>
          <w:szCs w:val="24"/>
        </w:rPr>
        <w:t>gada periodā ir gandrīz divas reizes lielāks - 45% (reālā izteiksmē).</w:t>
      </w:r>
    </w:p>
    <w:p w14:paraId="2D755751" w14:textId="77777777" w:rsidR="00802E2A" w:rsidRPr="002F64A6" w:rsidRDefault="00802E2A" w:rsidP="00802E2A">
      <w:pPr>
        <w:spacing w:before="120" w:after="120"/>
        <w:rPr>
          <w:rFonts w:eastAsia="Times New Roman" w:cs="Times New Roman"/>
          <w:szCs w:val="24"/>
        </w:rPr>
      </w:pPr>
      <w:r>
        <w:rPr>
          <w:rFonts w:eastAsia="Times New Roman" w:cs="Times New Roman"/>
          <w:szCs w:val="24"/>
        </w:rPr>
        <w:t xml:space="preserve">1. </w:t>
      </w:r>
      <w:r w:rsidRPr="002F64A6">
        <w:rPr>
          <w:rFonts w:eastAsia="Times New Roman" w:cs="Times New Roman"/>
          <w:szCs w:val="24"/>
        </w:rPr>
        <w:t xml:space="preserve">Minētajām valstīm sarunu noslēgumā piešķirti t.s. </w:t>
      </w:r>
      <w:r>
        <w:rPr>
          <w:rFonts w:eastAsia="Times New Roman" w:cs="Times New Roman"/>
          <w:szCs w:val="24"/>
        </w:rPr>
        <w:t>“</w:t>
      </w:r>
      <w:r w:rsidRPr="00521B1D">
        <w:rPr>
          <w:rFonts w:eastAsia="Times New Roman" w:cs="Times New Roman"/>
          <w:szCs w:val="24"/>
        </w:rPr>
        <w:t>top-</w:t>
      </w:r>
      <w:proofErr w:type="spellStart"/>
      <w:r w:rsidRPr="00521B1D">
        <w:rPr>
          <w:rFonts w:eastAsia="Times New Roman" w:cs="Times New Roman"/>
          <w:szCs w:val="24"/>
        </w:rPr>
        <w:t>up</w:t>
      </w:r>
      <w:proofErr w:type="spellEnd"/>
      <w:r w:rsidRPr="002F64A6">
        <w:rPr>
          <w:rFonts w:eastAsia="Times New Roman" w:cs="Times New Roman"/>
          <w:szCs w:val="24"/>
        </w:rPr>
        <w:t xml:space="preserve"> piešķīrumi”, kā rezultātā:</w:t>
      </w:r>
    </w:p>
    <w:p w14:paraId="09A38CE1" w14:textId="77777777" w:rsidR="00802E2A" w:rsidRDefault="00802E2A" w:rsidP="00802E2A">
      <w:pPr>
        <w:pStyle w:val="ListParagraph"/>
        <w:numPr>
          <w:ilvl w:val="0"/>
          <w:numId w:val="42"/>
        </w:numPr>
        <w:spacing w:after="0"/>
        <w:contextualSpacing/>
        <w:rPr>
          <w:rFonts w:eastAsia="Times New Roman" w:cs="Times New Roman"/>
          <w:szCs w:val="24"/>
        </w:rPr>
      </w:pPr>
      <w:r w:rsidRPr="000C5182">
        <w:rPr>
          <w:rFonts w:eastAsia="Times New Roman" w:cs="Times New Roman"/>
          <w:szCs w:val="24"/>
        </w:rPr>
        <w:t xml:space="preserve">Lietuvas kopējā Kohēzijas politikas fondu (ERDF, ESF+, KF) aploksne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 xml:space="preserve">gada periodā </w:t>
      </w:r>
      <w:r w:rsidRPr="000C5182">
        <w:rPr>
          <w:rFonts w:eastAsia="Times New Roman" w:cs="Times New Roman"/>
          <w:szCs w:val="24"/>
        </w:rPr>
        <w:t>samazinājās par 22% (</w:t>
      </w:r>
      <w:r w:rsidRPr="000C5182">
        <w:rPr>
          <w:rFonts w:eastAsia="Times New Roman" w:cs="Times New Roman"/>
          <w:b/>
          <w:bCs/>
          <w:szCs w:val="24"/>
          <w:u w:val="single"/>
        </w:rPr>
        <w:t>reālā izteiksmē, faktiskajās cenās par 11%</w:t>
      </w:r>
      <w:r w:rsidRPr="000C5182">
        <w:rPr>
          <w:rFonts w:eastAsia="Times New Roman" w:cs="Times New Roman"/>
          <w:szCs w:val="24"/>
        </w:rPr>
        <w:t>)</w:t>
      </w:r>
      <w:r>
        <w:rPr>
          <w:rFonts w:eastAsia="Times New Roman" w:cs="Times New Roman"/>
          <w:szCs w:val="24"/>
        </w:rPr>
        <w:t>,</w:t>
      </w:r>
      <w:r w:rsidRPr="000C5182">
        <w:rPr>
          <w:rFonts w:eastAsia="Times New Roman" w:cs="Times New Roman"/>
          <w:szCs w:val="24"/>
        </w:rPr>
        <w:t xml:space="preserve"> salīdzinot</w:t>
      </w:r>
      <w:r>
        <w:rPr>
          <w:rFonts w:eastAsia="Times New Roman" w:cs="Times New Roman"/>
          <w:szCs w:val="24"/>
        </w:rPr>
        <w:t xml:space="preserve"> </w:t>
      </w:r>
      <w:r w:rsidRPr="000C5182">
        <w:rPr>
          <w:rFonts w:eastAsia="Times New Roman" w:cs="Times New Roman"/>
          <w:szCs w:val="24"/>
        </w:rPr>
        <w:t xml:space="preserve">ar </w:t>
      </w:r>
      <w:r w:rsidRPr="002F64A6">
        <w:rPr>
          <w:rFonts w:eastAsia="Times New Roman" w:cs="Times New Roman"/>
          <w:bCs/>
          <w:szCs w:val="24"/>
        </w:rPr>
        <w:t>20</w:t>
      </w:r>
      <w:r>
        <w:rPr>
          <w:rFonts w:eastAsia="Times New Roman" w:cs="Times New Roman"/>
          <w:bCs/>
          <w:szCs w:val="24"/>
        </w:rPr>
        <w:t>14.</w:t>
      </w:r>
      <w:r>
        <w:rPr>
          <w:rFonts w:eastAsia="Times New Roman" w:cs="Times New Roman"/>
          <w:szCs w:val="24"/>
        </w:rPr>
        <w:t>–</w:t>
      </w:r>
      <w:r w:rsidRPr="002F64A6">
        <w:rPr>
          <w:rFonts w:eastAsia="Times New Roman" w:cs="Times New Roman"/>
          <w:szCs w:val="24"/>
        </w:rPr>
        <w:t>202</w:t>
      </w:r>
      <w:r>
        <w:rPr>
          <w:rFonts w:eastAsia="Times New Roman" w:cs="Times New Roman"/>
          <w:szCs w:val="24"/>
        </w:rPr>
        <w:t>0</w:t>
      </w:r>
      <w:r w:rsidRPr="002F64A6">
        <w:rPr>
          <w:rFonts w:eastAsia="Times New Roman" w:cs="Times New Roman"/>
          <w:szCs w:val="24"/>
        </w:rPr>
        <w:t>.</w:t>
      </w:r>
      <w:r>
        <w:rPr>
          <w:rFonts w:eastAsia="Times New Roman" w:cs="Times New Roman"/>
          <w:szCs w:val="24"/>
        </w:rPr>
        <w:t> </w:t>
      </w:r>
      <w:r w:rsidRPr="002F64A6">
        <w:rPr>
          <w:rFonts w:eastAsia="Times New Roman" w:cs="Times New Roman"/>
          <w:szCs w:val="24"/>
        </w:rPr>
        <w:t xml:space="preserve">gada </w:t>
      </w:r>
      <w:r w:rsidRPr="000C5182">
        <w:rPr>
          <w:rFonts w:eastAsia="Times New Roman" w:cs="Times New Roman"/>
          <w:szCs w:val="24"/>
        </w:rPr>
        <w:t>piešķīrumu</w:t>
      </w:r>
      <w:r>
        <w:rPr>
          <w:rFonts w:eastAsia="Times New Roman" w:cs="Times New Roman"/>
          <w:szCs w:val="24"/>
        </w:rPr>
        <w:t>;</w:t>
      </w:r>
    </w:p>
    <w:p w14:paraId="62604E08" w14:textId="77777777" w:rsidR="00802E2A" w:rsidRDefault="00802E2A" w:rsidP="00802E2A">
      <w:pPr>
        <w:pStyle w:val="ListParagraph"/>
        <w:numPr>
          <w:ilvl w:val="0"/>
          <w:numId w:val="42"/>
        </w:numPr>
        <w:spacing w:after="0"/>
        <w:contextualSpacing/>
        <w:rPr>
          <w:rFonts w:eastAsia="Times New Roman" w:cs="Times New Roman"/>
          <w:szCs w:val="24"/>
        </w:rPr>
      </w:pPr>
      <w:r w:rsidRPr="000C5182">
        <w:rPr>
          <w:rFonts w:eastAsia="Times New Roman" w:cs="Times New Roman"/>
          <w:szCs w:val="24"/>
        </w:rPr>
        <w:t xml:space="preserve">Igaunijas, kas nav mainījusi </w:t>
      </w:r>
      <w:r w:rsidRPr="000C5182">
        <w:rPr>
          <w:rFonts w:eastAsia="Times New Roman" w:cs="Times New Roman"/>
          <w:bCs/>
          <w:i/>
          <w:iCs/>
          <w:szCs w:val="24"/>
        </w:rPr>
        <w:t>NUTS</w:t>
      </w:r>
      <w:r w:rsidRPr="000C5182">
        <w:rPr>
          <w:rFonts w:eastAsia="Times New Roman" w:cs="Times New Roman"/>
          <w:bCs/>
          <w:szCs w:val="24"/>
        </w:rPr>
        <w:t xml:space="preserve"> 2 </w:t>
      </w:r>
      <w:r w:rsidRPr="000C5182">
        <w:rPr>
          <w:rFonts w:eastAsia="Times New Roman" w:cs="Times New Roman"/>
          <w:szCs w:val="24"/>
        </w:rPr>
        <w:t xml:space="preserve">klasifikāciju, kopējā Kohēzijas politikas fondu (ERDF, ESF+, KF) aploksne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 xml:space="preserve">gada periodā </w:t>
      </w:r>
      <w:r w:rsidRPr="000C5182">
        <w:rPr>
          <w:rFonts w:eastAsia="Times New Roman" w:cs="Times New Roman"/>
          <w:szCs w:val="24"/>
        </w:rPr>
        <w:t>samazinājās par 23% (</w:t>
      </w:r>
      <w:r w:rsidRPr="000C5182">
        <w:rPr>
          <w:rFonts w:eastAsia="Times New Roman" w:cs="Times New Roman"/>
          <w:b/>
          <w:bCs/>
          <w:szCs w:val="24"/>
          <w:u w:val="single"/>
        </w:rPr>
        <w:t>reālā izteiksmē, faktiskajās cenās par 12%</w:t>
      </w:r>
      <w:r w:rsidRPr="000C5182">
        <w:rPr>
          <w:rFonts w:eastAsia="Times New Roman" w:cs="Times New Roman"/>
          <w:szCs w:val="24"/>
        </w:rPr>
        <w:t>)</w:t>
      </w:r>
      <w:r>
        <w:rPr>
          <w:rFonts w:eastAsia="Times New Roman" w:cs="Times New Roman"/>
          <w:szCs w:val="24"/>
        </w:rPr>
        <w:t xml:space="preserve">, </w:t>
      </w:r>
      <w:r w:rsidRPr="000C5182">
        <w:rPr>
          <w:rFonts w:eastAsia="Times New Roman" w:cs="Times New Roman"/>
          <w:szCs w:val="24"/>
        </w:rPr>
        <w:t xml:space="preserve">salīdzinot ar </w:t>
      </w:r>
      <w:r w:rsidRPr="002F64A6">
        <w:rPr>
          <w:rFonts w:eastAsia="Times New Roman" w:cs="Times New Roman"/>
          <w:bCs/>
          <w:szCs w:val="24"/>
        </w:rPr>
        <w:t>20</w:t>
      </w:r>
      <w:r>
        <w:rPr>
          <w:rFonts w:eastAsia="Times New Roman" w:cs="Times New Roman"/>
          <w:bCs/>
          <w:szCs w:val="24"/>
        </w:rPr>
        <w:t>14.</w:t>
      </w:r>
      <w:r>
        <w:rPr>
          <w:rFonts w:eastAsia="Times New Roman" w:cs="Times New Roman"/>
          <w:szCs w:val="24"/>
        </w:rPr>
        <w:t>–</w:t>
      </w:r>
      <w:r w:rsidRPr="002F64A6">
        <w:rPr>
          <w:rFonts w:eastAsia="Times New Roman" w:cs="Times New Roman"/>
          <w:szCs w:val="24"/>
        </w:rPr>
        <w:t>202</w:t>
      </w:r>
      <w:r>
        <w:rPr>
          <w:rFonts w:eastAsia="Times New Roman" w:cs="Times New Roman"/>
          <w:szCs w:val="24"/>
        </w:rPr>
        <w:t>0</w:t>
      </w:r>
      <w:r w:rsidRPr="002F64A6">
        <w:rPr>
          <w:rFonts w:eastAsia="Times New Roman" w:cs="Times New Roman"/>
          <w:szCs w:val="24"/>
        </w:rPr>
        <w:t>.</w:t>
      </w:r>
      <w:r>
        <w:rPr>
          <w:rFonts w:eastAsia="Times New Roman" w:cs="Times New Roman"/>
          <w:szCs w:val="24"/>
        </w:rPr>
        <w:t> </w:t>
      </w:r>
      <w:r w:rsidRPr="002F64A6">
        <w:rPr>
          <w:rFonts w:eastAsia="Times New Roman" w:cs="Times New Roman"/>
          <w:szCs w:val="24"/>
        </w:rPr>
        <w:t xml:space="preserve">gada </w:t>
      </w:r>
      <w:r w:rsidRPr="000C5182">
        <w:rPr>
          <w:rFonts w:eastAsia="Times New Roman" w:cs="Times New Roman"/>
          <w:szCs w:val="24"/>
        </w:rPr>
        <w:t>piešķīrumu</w:t>
      </w:r>
      <w:r>
        <w:rPr>
          <w:rFonts w:eastAsia="Times New Roman" w:cs="Times New Roman"/>
          <w:szCs w:val="24"/>
        </w:rPr>
        <w:t>;</w:t>
      </w:r>
    </w:p>
    <w:p w14:paraId="239E6EE3" w14:textId="77777777" w:rsidR="00802E2A" w:rsidRPr="000C5182" w:rsidRDefault="00802E2A" w:rsidP="00802E2A">
      <w:pPr>
        <w:pStyle w:val="ListParagraph"/>
        <w:numPr>
          <w:ilvl w:val="0"/>
          <w:numId w:val="42"/>
        </w:numPr>
        <w:spacing w:after="0"/>
        <w:contextualSpacing/>
        <w:rPr>
          <w:rFonts w:eastAsia="Times New Roman" w:cs="Times New Roman"/>
          <w:szCs w:val="24"/>
        </w:rPr>
      </w:pPr>
      <w:r w:rsidRPr="000C5182">
        <w:rPr>
          <w:rFonts w:eastAsia="Times New Roman" w:cs="Times New Roman"/>
          <w:szCs w:val="24"/>
        </w:rPr>
        <w:t xml:space="preserve">Slovēnijas kopējā Kohēzijas politikas fondu (ERDF, ESF+, KF) aploksne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 xml:space="preserve">gada periodā </w:t>
      </w:r>
      <w:r w:rsidRPr="000C5182">
        <w:rPr>
          <w:rFonts w:eastAsia="Times New Roman" w:cs="Times New Roman"/>
          <w:szCs w:val="24"/>
        </w:rPr>
        <w:t>samazinājās par 14% (</w:t>
      </w:r>
      <w:r w:rsidRPr="000C5182">
        <w:rPr>
          <w:rFonts w:eastAsia="Times New Roman" w:cs="Times New Roman"/>
          <w:b/>
          <w:bCs/>
          <w:szCs w:val="24"/>
          <w:u w:val="single"/>
        </w:rPr>
        <w:t>reālā izteiksmē, faktiskajās cenās par 2 %</w:t>
      </w:r>
      <w:r w:rsidRPr="000C5182">
        <w:rPr>
          <w:rFonts w:eastAsia="Times New Roman" w:cs="Times New Roman"/>
          <w:szCs w:val="24"/>
        </w:rPr>
        <w:t>)</w:t>
      </w:r>
      <w:r>
        <w:rPr>
          <w:rFonts w:eastAsia="Times New Roman" w:cs="Times New Roman"/>
          <w:szCs w:val="24"/>
        </w:rPr>
        <w:t>,</w:t>
      </w:r>
      <w:r w:rsidRPr="000C5182">
        <w:rPr>
          <w:rFonts w:eastAsia="Times New Roman" w:cs="Times New Roman"/>
          <w:szCs w:val="24"/>
        </w:rPr>
        <w:t xml:space="preserve"> salīdzinot ar </w:t>
      </w:r>
      <w:r w:rsidRPr="002F64A6">
        <w:rPr>
          <w:rFonts w:eastAsia="Times New Roman" w:cs="Times New Roman"/>
          <w:bCs/>
          <w:szCs w:val="24"/>
        </w:rPr>
        <w:t>20</w:t>
      </w:r>
      <w:r>
        <w:rPr>
          <w:rFonts w:eastAsia="Times New Roman" w:cs="Times New Roman"/>
          <w:bCs/>
          <w:szCs w:val="24"/>
        </w:rPr>
        <w:t>14.</w:t>
      </w:r>
      <w:r>
        <w:rPr>
          <w:rFonts w:eastAsia="Times New Roman" w:cs="Times New Roman"/>
          <w:szCs w:val="24"/>
        </w:rPr>
        <w:t>–</w:t>
      </w:r>
      <w:r w:rsidRPr="002F64A6">
        <w:rPr>
          <w:rFonts w:eastAsia="Times New Roman" w:cs="Times New Roman"/>
          <w:szCs w:val="24"/>
        </w:rPr>
        <w:t>202</w:t>
      </w:r>
      <w:r>
        <w:rPr>
          <w:rFonts w:eastAsia="Times New Roman" w:cs="Times New Roman"/>
          <w:szCs w:val="24"/>
        </w:rPr>
        <w:t>0</w:t>
      </w:r>
      <w:r w:rsidRPr="002F64A6">
        <w:rPr>
          <w:rFonts w:eastAsia="Times New Roman" w:cs="Times New Roman"/>
          <w:szCs w:val="24"/>
        </w:rPr>
        <w:t>.</w:t>
      </w:r>
      <w:r>
        <w:rPr>
          <w:rFonts w:eastAsia="Times New Roman" w:cs="Times New Roman"/>
          <w:szCs w:val="24"/>
        </w:rPr>
        <w:t> </w:t>
      </w:r>
      <w:r w:rsidRPr="002F64A6">
        <w:rPr>
          <w:rFonts w:eastAsia="Times New Roman" w:cs="Times New Roman"/>
          <w:szCs w:val="24"/>
        </w:rPr>
        <w:t xml:space="preserve">gada </w:t>
      </w:r>
      <w:r w:rsidRPr="000C5182">
        <w:rPr>
          <w:rFonts w:eastAsia="Times New Roman" w:cs="Times New Roman"/>
          <w:szCs w:val="24"/>
        </w:rPr>
        <w:t>piešķīrumu.</w:t>
      </w:r>
    </w:p>
    <w:p w14:paraId="1010B61C" w14:textId="77777777" w:rsidR="00802E2A" w:rsidRDefault="00802E2A" w:rsidP="00802E2A">
      <w:pPr>
        <w:rPr>
          <w:rFonts w:eastAsia="Times New Roman" w:cs="Times New Roman"/>
          <w:szCs w:val="24"/>
        </w:rPr>
      </w:pPr>
      <w:r w:rsidRPr="002F64A6">
        <w:rPr>
          <w:rFonts w:eastAsia="Times New Roman" w:cs="Times New Roman"/>
          <w:szCs w:val="24"/>
        </w:rPr>
        <w:t>Šo valstu aplokšņu galīgo summu noteica ierobežojušie faktori (maksimālais samazinājums (</w:t>
      </w:r>
      <w:proofErr w:type="spellStart"/>
      <w:r w:rsidRPr="00C27500">
        <w:rPr>
          <w:rFonts w:eastAsia="Times New Roman" w:cs="Times New Roman"/>
          <w:i/>
          <w:iCs/>
          <w:szCs w:val="24"/>
        </w:rPr>
        <w:t>safety</w:t>
      </w:r>
      <w:proofErr w:type="spellEnd"/>
      <w:r w:rsidRPr="00C27500">
        <w:rPr>
          <w:rFonts w:eastAsia="Times New Roman" w:cs="Times New Roman"/>
          <w:i/>
          <w:iCs/>
          <w:szCs w:val="24"/>
        </w:rPr>
        <w:t xml:space="preserve"> </w:t>
      </w:r>
      <w:proofErr w:type="spellStart"/>
      <w:r w:rsidRPr="00C27500">
        <w:rPr>
          <w:rFonts w:eastAsia="Times New Roman" w:cs="Times New Roman"/>
          <w:i/>
          <w:iCs/>
          <w:szCs w:val="24"/>
        </w:rPr>
        <w:t>net</w:t>
      </w:r>
      <w:proofErr w:type="spellEnd"/>
      <w:r w:rsidRPr="002F64A6">
        <w:rPr>
          <w:rFonts w:eastAsia="Times New Roman" w:cs="Times New Roman"/>
          <w:szCs w:val="24"/>
        </w:rPr>
        <w:t>) un maksimālais apjoms (</w:t>
      </w:r>
      <w:proofErr w:type="spellStart"/>
      <w:r w:rsidRPr="00C27500">
        <w:rPr>
          <w:rFonts w:eastAsia="Times New Roman" w:cs="Times New Roman"/>
          <w:i/>
          <w:iCs/>
          <w:szCs w:val="24"/>
        </w:rPr>
        <w:t>capping</w:t>
      </w:r>
      <w:proofErr w:type="spellEnd"/>
      <w:r w:rsidRPr="002F64A6">
        <w:rPr>
          <w:rFonts w:eastAsia="Times New Roman" w:cs="Times New Roman"/>
          <w:szCs w:val="24"/>
        </w:rPr>
        <w:t>)).</w:t>
      </w:r>
    </w:p>
    <w:p w14:paraId="6C271A20" w14:textId="77777777" w:rsidR="00802E2A" w:rsidRDefault="00802E2A" w:rsidP="007E3271"/>
    <w:p w14:paraId="3322222E" w14:textId="77777777" w:rsidR="00802E2A" w:rsidRPr="007E3271" w:rsidRDefault="00802E2A" w:rsidP="007E3271">
      <w:pPr>
        <w:jc w:val="right"/>
        <w:rPr>
          <w:rFonts w:cs="Times New Roman"/>
          <w:b/>
          <w:i/>
          <w:iCs/>
          <w:szCs w:val="24"/>
        </w:rPr>
      </w:pPr>
      <w:r w:rsidRPr="007E3271">
        <w:rPr>
          <w:i/>
          <w:iCs/>
        </w:rPr>
        <w:t xml:space="preserve">Tabula Nr. 3. </w:t>
      </w:r>
      <w:r w:rsidRPr="007E3271">
        <w:rPr>
          <w:rFonts w:eastAsia="Times New Roman" w:cs="Times New Roman"/>
          <w:bCs/>
          <w:i/>
          <w:iCs/>
          <w:szCs w:val="24"/>
        </w:rPr>
        <w:t>2021</w:t>
      </w:r>
      <w:r w:rsidRPr="007E3271">
        <w:rPr>
          <w:rFonts w:eastAsia="Times New Roman" w:cs="Times New Roman"/>
          <w:i/>
          <w:iCs/>
          <w:szCs w:val="24"/>
        </w:rPr>
        <w:t xml:space="preserve">.–2027. gada perioda </w:t>
      </w:r>
      <w:r w:rsidRPr="007E3271">
        <w:rPr>
          <w:i/>
          <w:iCs/>
        </w:rPr>
        <w:t>Kohēzijas politikas piešķīrumi Baltijas valstīs un Slovēnijā</w:t>
      </w:r>
    </w:p>
    <w:tbl>
      <w:tblPr>
        <w:tblW w:w="9634" w:type="dxa"/>
        <w:jc w:val="center"/>
        <w:tblLook w:val="04A0" w:firstRow="1" w:lastRow="0" w:firstColumn="1" w:lastColumn="0" w:noHBand="0" w:noVBand="1"/>
      </w:tblPr>
      <w:tblGrid>
        <w:gridCol w:w="1611"/>
        <w:gridCol w:w="2323"/>
        <w:gridCol w:w="2015"/>
        <w:gridCol w:w="1843"/>
        <w:gridCol w:w="1842"/>
      </w:tblGrid>
      <w:tr w:rsidR="00802E2A" w:rsidRPr="002F64A6" w14:paraId="336EDEC5" w14:textId="77777777" w:rsidTr="007B6A5B">
        <w:trPr>
          <w:trHeight w:val="257"/>
          <w:jc w:val="center"/>
        </w:trPr>
        <w:tc>
          <w:tcPr>
            <w:tcW w:w="1611"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F860F8F" w14:textId="77777777" w:rsidR="00802E2A" w:rsidRPr="002F64A6" w:rsidRDefault="00802E2A" w:rsidP="007B6A5B">
            <w:pPr>
              <w:jc w:val="center"/>
              <w:rPr>
                <w:rFonts w:eastAsia="Times New Roman" w:cs="Times New Roman"/>
                <w:b/>
                <w:bCs/>
                <w:szCs w:val="24"/>
                <w:lang w:eastAsia="lv-LV"/>
              </w:rPr>
            </w:pPr>
            <w:r w:rsidRPr="002F64A6">
              <w:rPr>
                <w:rFonts w:eastAsia="Times New Roman" w:cs="Times New Roman"/>
                <w:b/>
                <w:bCs/>
                <w:szCs w:val="24"/>
                <w:lang w:eastAsia="lv-LV"/>
              </w:rPr>
              <w:t>Valsts</w:t>
            </w:r>
          </w:p>
        </w:tc>
        <w:tc>
          <w:tcPr>
            <w:tcW w:w="2323" w:type="dxa"/>
            <w:tcBorders>
              <w:top w:val="single" w:sz="4" w:space="0" w:color="auto"/>
              <w:left w:val="nil"/>
              <w:bottom w:val="single" w:sz="4" w:space="0" w:color="auto"/>
              <w:right w:val="single" w:sz="4" w:space="0" w:color="auto"/>
            </w:tcBorders>
            <w:shd w:val="clear" w:color="000000" w:fill="A6A6A6"/>
            <w:vAlign w:val="center"/>
            <w:hideMark/>
          </w:tcPr>
          <w:p w14:paraId="150FBA6B" w14:textId="77777777" w:rsidR="00802E2A" w:rsidRPr="002F64A6" w:rsidRDefault="00802E2A" w:rsidP="007B6A5B">
            <w:pPr>
              <w:jc w:val="center"/>
              <w:rPr>
                <w:rFonts w:eastAsia="Times New Roman" w:cs="Times New Roman"/>
                <w:b/>
                <w:bCs/>
                <w:szCs w:val="24"/>
                <w:lang w:eastAsia="lv-LV"/>
              </w:rPr>
            </w:pPr>
            <w:r w:rsidRPr="002F64A6">
              <w:rPr>
                <w:rFonts w:eastAsia="Times New Roman" w:cs="Times New Roman"/>
                <w:b/>
                <w:bCs/>
                <w:szCs w:val="24"/>
                <w:lang w:eastAsia="lv-LV"/>
              </w:rPr>
              <w:t>Reģionu kategorija/fonds</w:t>
            </w:r>
          </w:p>
        </w:tc>
        <w:tc>
          <w:tcPr>
            <w:tcW w:w="2015" w:type="dxa"/>
            <w:tcBorders>
              <w:top w:val="single" w:sz="4" w:space="0" w:color="auto"/>
              <w:left w:val="nil"/>
              <w:bottom w:val="single" w:sz="4" w:space="0" w:color="auto"/>
              <w:right w:val="single" w:sz="4" w:space="0" w:color="auto"/>
            </w:tcBorders>
            <w:shd w:val="clear" w:color="000000" w:fill="A6A6A6"/>
            <w:vAlign w:val="center"/>
            <w:hideMark/>
          </w:tcPr>
          <w:p w14:paraId="176F49B4" w14:textId="77777777" w:rsidR="00802E2A" w:rsidRPr="002F64A6" w:rsidRDefault="00802E2A" w:rsidP="007B6A5B">
            <w:pPr>
              <w:jc w:val="center"/>
              <w:rPr>
                <w:rFonts w:eastAsia="Times New Roman" w:cs="Times New Roman"/>
                <w:b/>
                <w:bCs/>
                <w:szCs w:val="24"/>
                <w:lang w:eastAsia="lv-LV"/>
              </w:rPr>
            </w:pPr>
            <w:r w:rsidRPr="002F64A6">
              <w:rPr>
                <w:rFonts w:eastAsia="Times New Roman" w:cs="Times New Roman"/>
                <w:b/>
                <w:bCs/>
                <w:szCs w:val="24"/>
                <w:lang w:eastAsia="lv-LV"/>
              </w:rPr>
              <w:t xml:space="preserve">Piešķīrums </w:t>
            </w:r>
            <w:r w:rsidRPr="00CF4655">
              <w:rPr>
                <w:rFonts w:eastAsia="Calibri" w:cs="Times New Roman"/>
                <w:b/>
                <w:bCs/>
                <w:i/>
                <w:iCs/>
                <w:szCs w:val="24"/>
              </w:rPr>
              <w:t>euro</w:t>
            </w:r>
            <w:r w:rsidRPr="002F64A6">
              <w:rPr>
                <w:rFonts w:eastAsia="Calibri" w:cs="Times New Roman"/>
                <w:szCs w:val="24"/>
              </w:rPr>
              <w:t xml:space="preserve"> </w:t>
            </w:r>
            <w:r w:rsidRPr="002F64A6">
              <w:rPr>
                <w:rFonts w:eastAsia="Times New Roman" w:cs="Times New Roman"/>
                <w:b/>
                <w:bCs/>
                <w:szCs w:val="24"/>
                <w:lang w:eastAsia="lv-LV"/>
              </w:rPr>
              <w:t>(faktiskās cenas)</w:t>
            </w:r>
          </w:p>
        </w:tc>
        <w:tc>
          <w:tcPr>
            <w:tcW w:w="1843" w:type="dxa"/>
            <w:tcBorders>
              <w:top w:val="single" w:sz="4" w:space="0" w:color="auto"/>
              <w:left w:val="nil"/>
              <w:bottom w:val="single" w:sz="4" w:space="0" w:color="auto"/>
              <w:right w:val="single" w:sz="4" w:space="0" w:color="auto"/>
            </w:tcBorders>
            <w:shd w:val="clear" w:color="000000" w:fill="A6A6A6"/>
            <w:vAlign w:val="center"/>
            <w:hideMark/>
          </w:tcPr>
          <w:p w14:paraId="236B4606" w14:textId="77777777" w:rsidR="00802E2A" w:rsidRPr="002F64A6" w:rsidRDefault="00802E2A" w:rsidP="007B6A5B">
            <w:pPr>
              <w:jc w:val="center"/>
              <w:rPr>
                <w:rFonts w:eastAsia="Times New Roman" w:cs="Times New Roman"/>
                <w:b/>
                <w:bCs/>
                <w:szCs w:val="24"/>
                <w:lang w:eastAsia="lv-LV"/>
              </w:rPr>
            </w:pPr>
            <w:r w:rsidRPr="002F64A6">
              <w:rPr>
                <w:rFonts w:eastAsia="Times New Roman" w:cs="Times New Roman"/>
                <w:b/>
                <w:bCs/>
                <w:szCs w:val="24"/>
                <w:lang w:eastAsia="lv-LV"/>
              </w:rPr>
              <w:t>% no kopējā piešķīruma*</w:t>
            </w:r>
          </w:p>
        </w:tc>
        <w:tc>
          <w:tcPr>
            <w:tcW w:w="1842" w:type="dxa"/>
            <w:tcBorders>
              <w:top w:val="single" w:sz="4" w:space="0" w:color="auto"/>
              <w:left w:val="nil"/>
              <w:bottom w:val="single" w:sz="4" w:space="0" w:color="auto"/>
              <w:right w:val="single" w:sz="4" w:space="0" w:color="auto"/>
            </w:tcBorders>
            <w:shd w:val="clear" w:color="000000" w:fill="A6A6A6"/>
          </w:tcPr>
          <w:p w14:paraId="656A2088" w14:textId="77777777" w:rsidR="00802E2A" w:rsidRPr="002F64A6" w:rsidRDefault="00802E2A" w:rsidP="007B6A5B">
            <w:pPr>
              <w:jc w:val="center"/>
              <w:rPr>
                <w:rFonts w:eastAsia="Times New Roman" w:cs="Times New Roman"/>
                <w:b/>
                <w:bCs/>
                <w:szCs w:val="24"/>
                <w:lang w:eastAsia="lv-LV"/>
              </w:rPr>
            </w:pPr>
            <w:r w:rsidRPr="002F64A6">
              <w:rPr>
                <w:rFonts w:eastAsia="Times New Roman" w:cs="Times New Roman"/>
                <w:b/>
                <w:bCs/>
                <w:szCs w:val="24"/>
                <w:lang w:eastAsia="lv-LV"/>
              </w:rPr>
              <w:t>Iedzīvotāju skaits aprēķinos iekļautajās reģionu kategorijās</w:t>
            </w:r>
          </w:p>
        </w:tc>
      </w:tr>
      <w:tr w:rsidR="00802E2A" w:rsidRPr="002F64A6" w14:paraId="7853E8A7" w14:textId="77777777" w:rsidTr="007B6A5B">
        <w:trPr>
          <w:trHeight w:val="250"/>
          <w:jc w:val="center"/>
        </w:trPr>
        <w:tc>
          <w:tcPr>
            <w:tcW w:w="161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F64EB7B" w14:textId="77777777" w:rsidR="00802E2A" w:rsidRPr="002F64A6" w:rsidRDefault="00802E2A" w:rsidP="007B6A5B">
            <w:pPr>
              <w:jc w:val="center"/>
              <w:rPr>
                <w:rFonts w:eastAsia="Times New Roman" w:cs="Times New Roman"/>
                <w:szCs w:val="24"/>
                <w:lang w:eastAsia="lv-LV"/>
              </w:rPr>
            </w:pPr>
            <w:r w:rsidRPr="002F64A6">
              <w:rPr>
                <w:rFonts w:eastAsia="Times New Roman" w:cs="Times New Roman"/>
                <w:szCs w:val="24"/>
                <w:lang w:eastAsia="lv-LV"/>
              </w:rPr>
              <w:t>Lietuva</w:t>
            </w:r>
          </w:p>
        </w:tc>
        <w:tc>
          <w:tcPr>
            <w:tcW w:w="2323" w:type="dxa"/>
            <w:tcBorders>
              <w:top w:val="nil"/>
              <w:left w:val="nil"/>
              <w:bottom w:val="single" w:sz="4" w:space="0" w:color="auto"/>
              <w:right w:val="single" w:sz="4" w:space="0" w:color="auto"/>
            </w:tcBorders>
            <w:shd w:val="clear" w:color="000000" w:fill="FFFFFF"/>
            <w:noWrap/>
            <w:vAlign w:val="center"/>
            <w:hideMark/>
          </w:tcPr>
          <w:p w14:paraId="1DAAA534"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mazāk attīstītais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000000" w:fill="FFFFFF"/>
            <w:noWrap/>
            <w:vAlign w:val="center"/>
            <w:hideMark/>
          </w:tcPr>
          <w:p w14:paraId="3690755D"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4,558,026,206</w:t>
            </w:r>
          </w:p>
        </w:tc>
        <w:tc>
          <w:tcPr>
            <w:tcW w:w="1843" w:type="dxa"/>
            <w:tcBorders>
              <w:top w:val="nil"/>
              <w:left w:val="nil"/>
              <w:bottom w:val="single" w:sz="4" w:space="0" w:color="auto"/>
              <w:right w:val="single" w:sz="4" w:space="0" w:color="auto"/>
            </w:tcBorders>
            <w:shd w:val="clear" w:color="000000" w:fill="FFFFFF"/>
            <w:noWrap/>
            <w:vAlign w:val="center"/>
            <w:hideMark/>
          </w:tcPr>
          <w:p w14:paraId="5EF33079"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76%</w:t>
            </w:r>
          </w:p>
        </w:tc>
        <w:tc>
          <w:tcPr>
            <w:tcW w:w="1842" w:type="dxa"/>
            <w:tcBorders>
              <w:top w:val="nil"/>
              <w:left w:val="nil"/>
              <w:bottom w:val="single" w:sz="4" w:space="0" w:color="auto"/>
              <w:right w:val="single" w:sz="4" w:space="0" w:color="auto"/>
            </w:tcBorders>
            <w:shd w:val="clear" w:color="000000" w:fill="FFFFFF"/>
            <w:vAlign w:val="center"/>
          </w:tcPr>
          <w:p w14:paraId="32977AEF" w14:textId="77777777" w:rsidR="00802E2A" w:rsidRPr="002F64A6" w:rsidRDefault="00802E2A" w:rsidP="007B6A5B">
            <w:pPr>
              <w:jc w:val="right"/>
              <w:rPr>
                <w:rFonts w:eastAsia="Times New Roman" w:cs="Times New Roman"/>
                <w:szCs w:val="24"/>
                <w:lang w:eastAsia="lv-LV"/>
              </w:rPr>
            </w:pPr>
            <w:r w:rsidRPr="002F64A6">
              <w:rPr>
                <w:rFonts w:cs="Times New Roman"/>
                <w:szCs w:val="24"/>
              </w:rPr>
              <w:t>2</w:t>
            </w:r>
            <w:r>
              <w:rPr>
                <w:rFonts w:cs="Times New Roman"/>
                <w:szCs w:val="24"/>
              </w:rPr>
              <w:t> </w:t>
            </w:r>
            <w:r w:rsidRPr="002F64A6">
              <w:rPr>
                <w:rFonts w:cs="Times New Roman"/>
                <w:szCs w:val="24"/>
              </w:rPr>
              <w:t>061</w:t>
            </w:r>
            <w:r>
              <w:rPr>
                <w:rFonts w:cs="Times New Roman"/>
                <w:szCs w:val="24"/>
              </w:rPr>
              <w:t> </w:t>
            </w:r>
            <w:r w:rsidRPr="002F64A6">
              <w:rPr>
                <w:rFonts w:cs="Times New Roman"/>
                <w:szCs w:val="24"/>
              </w:rPr>
              <w:t>533</w:t>
            </w:r>
          </w:p>
        </w:tc>
      </w:tr>
      <w:tr w:rsidR="00802E2A" w:rsidRPr="002F64A6" w14:paraId="0D9F42FB"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461159F6"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000000" w:fill="FFFFFF"/>
            <w:noWrap/>
            <w:vAlign w:val="center"/>
            <w:hideMark/>
          </w:tcPr>
          <w:p w14:paraId="22B4FF9F" w14:textId="77777777" w:rsidR="00802E2A" w:rsidRPr="002F64A6" w:rsidRDefault="00802E2A" w:rsidP="007B6A5B">
            <w:pPr>
              <w:rPr>
                <w:rFonts w:eastAsia="Times New Roman" w:cs="Times New Roman"/>
                <w:szCs w:val="24"/>
                <w:lang w:eastAsia="lv-LV"/>
              </w:rPr>
            </w:pPr>
            <w:r w:rsidRPr="002F64A6">
              <w:rPr>
                <w:rFonts w:eastAsia="Times New Roman" w:cs="Times New Roman"/>
                <w:szCs w:val="24"/>
                <w:lang w:eastAsia="lv-LV"/>
              </w:rPr>
              <w:t>KF</w:t>
            </w:r>
          </w:p>
        </w:tc>
        <w:tc>
          <w:tcPr>
            <w:tcW w:w="2015" w:type="dxa"/>
            <w:tcBorders>
              <w:top w:val="nil"/>
              <w:left w:val="nil"/>
              <w:bottom w:val="single" w:sz="4" w:space="0" w:color="auto"/>
              <w:right w:val="single" w:sz="4" w:space="0" w:color="auto"/>
            </w:tcBorders>
            <w:shd w:val="clear" w:color="000000" w:fill="FFFFFF"/>
            <w:noWrap/>
            <w:vAlign w:val="center"/>
            <w:hideMark/>
          </w:tcPr>
          <w:p w14:paraId="14BF34A8"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1,418,699,724</w:t>
            </w:r>
          </w:p>
        </w:tc>
        <w:tc>
          <w:tcPr>
            <w:tcW w:w="1843" w:type="dxa"/>
            <w:tcBorders>
              <w:top w:val="nil"/>
              <w:left w:val="nil"/>
              <w:bottom w:val="single" w:sz="4" w:space="0" w:color="auto"/>
              <w:right w:val="single" w:sz="4" w:space="0" w:color="auto"/>
            </w:tcBorders>
            <w:shd w:val="clear" w:color="000000" w:fill="FFFFFF"/>
            <w:noWrap/>
            <w:vAlign w:val="center"/>
            <w:hideMark/>
          </w:tcPr>
          <w:p w14:paraId="0653C5DC"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24%</w:t>
            </w:r>
          </w:p>
        </w:tc>
        <w:tc>
          <w:tcPr>
            <w:tcW w:w="1842" w:type="dxa"/>
            <w:tcBorders>
              <w:top w:val="nil"/>
              <w:left w:val="nil"/>
              <w:bottom w:val="single" w:sz="4" w:space="0" w:color="auto"/>
              <w:right w:val="single" w:sz="4" w:space="0" w:color="auto"/>
            </w:tcBorders>
            <w:shd w:val="clear" w:color="000000" w:fill="FFFFFF"/>
            <w:vAlign w:val="bottom"/>
          </w:tcPr>
          <w:p w14:paraId="56DA3E92"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5C41328B"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31D945CA"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000000" w:fill="FFFFFF"/>
            <w:noWrap/>
            <w:vAlign w:val="center"/>
            <w:hideMark/>
          </w:tcPr>
          <w:p w14:paraId="77572F78"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pārejas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000000" w:fill="FFFFFF"/>
            <w:vAlign w:val="center"/>
            <w:hideMark/>
          </w:tcPr>
          <w:p w14:paraId="66C50DAC"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30AA5BB9"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0%</w:t>
            </w:r>
          </w:p>
        </w:tc>
        <w:tc>
          <w:tcPr>
            <w:tcW w:w="1842" w:type="dxa"/>
            <w:tcBorders>
              <w:top w:val="nil"/>
              <w:left w:val="nil"/>
              <w:bottom w:val="single" w:sz="4" w:space="0" w:color="auto"/>
              <w:right w:val="single" w:sz="4" w:space="0" w:color="auto"/>
            </w:tcBorders>
            <w:shd w:val="clear" w:color="000000" w:fill="FFFFFF"/>
            <w:vAlign w:val="bottom"/>
          </w:tcPr>
          <w:p w14:paraId="128D92B0"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6B02B327"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4C3CD8B6"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000000" w:fill="FFFFFF"/>
            <w:noWrap/>
            <w:vAlign w:val="center"/>
            <w:hideMark/>
          </w:tcPr>
          <w:p w14:paraId="55528C44"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vairāk attīstītais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000000" w:fill="FFFFFF"/>
            <w:noWrap/>
            <w:vAlign w:val="center"/>
            <w:hideMark/>
          </w:tcPr>
          <w:p w14:paraId="5ADBF7D9"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42,773,152</w:t>
            </w:r>
          </w:p>
        </w:tc>
        <w:tc>
          <w:tcPr>
            <w:tcW w:w="1843" w:type="dxa"/>
            <w:tcBorders>
              <w:top w:val="nil"/>
              <w:left w:val="nil"/>
              <w:bottom w:val="single" w:sz="4" w:space="0" w:color="auto"/>
              <w:right w:val="single" w:sz="4" w:space="0" w:color="auto"/>
            </w:tcBorders>
            <w:shd w:val="clear" w:color="000000" w:fill="FFFFFF"/>
            <w:noWrap/>
            <w:vAlign w:val="center"/>
            <w:hideMark/>
          </w:tcPr>
          <w:p w14:paraId="43C0364B"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1%</w:t>
            </w:r>
          </w:p>
        </w:tc>
        <w:tc>
          <w:tcPr>
            <w:tcW w:w="1842" w:type="dxa"/>
            <w:tcBorders>
              <w:top w:val="nil"/>
              <w:left w:val="nil"/>
              <w:bottom w:val="single" w:sz="4" w:space="0" w:color="auto"/>
              <w:right w:val="single" w:sz="4" w:space="0" w:color="auto"/>
            </w:tcBorders>
            <w:shd w:val="clear" w:color="000000" w:fill="FFFFFF"/>
            <w:vAlign w:val="center"/>
          </w:tcPr>
          <w:p w14:paraId="3FEFBBC1" w14:textId="77777777" w:rsidR="00802E2A" w:rsidRPr="002F64A6" w:rsidRDefault="00802E2A" w:rsidP="007B6A5B">
            <w:pPr>
              <w:jc w:val="right"/>
              <w:rPr>
                <w:rFonts w:eastAsia="Times New Roman" w:cs="Times New Roman"/>
                <w:szCs w:val="24"/>
                <w:lang w:eastAsia="lv-LV"/>
              </w:rPr>
            </w:pPr>
            <w:r w:rsidRPr="002F64A6">
              <w:rPr>
                <w:rFonts w:cs="Times New Roman"/>
                <w:szCs w:val="24"/>
              </w:rPr>
              <w:t>805 700</w:t>
            </w:r>
          </w:p>
        </w:tc>
      </w:tr>
      <w:tr w:rsidR="00802E2A" w:rsidRPr="002F64A6" w14:paraId="48309F1B" w14:textId="77777777" w:rsidTr="007B6A5B">
        <w:trPr>
          <w:trHeight w:val="250"/>
          <w:jc w:val="center"/>
        </w:trPr>
        <w:tc>
          <w:tcPr>
            <w:tcW w:w="1611"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619FC96A" w14:textId="77777777" w:rsidR="00802E2A" w:rsidRPr="002F64A6" w:rsidRDefault="00802E2A" w:rsidP="007B6A5B">
            <w:pPr>
              <w:jc w:val="center"/>
              <w:rPr>
                <w:rFonts w:eastAsia="Times New Roman" w:cs="Times New Roman"/>
                <w:szCs w:val="24"/>
                <w:lang w:eastAsia="lv-LV"/>
              </w:rPr>
            </w:pPr>
            <w:r w:rsidRPr="002F64A6">
              <w:rPr>
                <w:rFonts w:eastAsia="Times New Roman" w:cs="Times New Roman"/>
                <w:szCs w:val="24"/>
                <w:lang w:eastAsia="lv-LV"/>
              </w:rPr>
              <w:t>Latvija</w:t>
            </w:r>
          </w:p>
        </w:tc>
        <w:tc>
          <w:tcPr>
            <w:tcW w:w="2323" w:type="dxa"/>
            <w:tcBorders>
              <w:top w:val="nil"/>
              <w:left w:val="nil"/>
              <w:bottom w:val="single" w:sz="4" w:space="0" w:color="auto"/>
              <w:right w:val="single" w:sz="4" w:space="0" w:color="auto"/>
            </w:tcBorders>
            <w:shd w:val="clear" w:color="000000" w:fill="F2F2F2"/>
            <w:noWrap/>
            <w:vAlign w:val="center"/>
            <w:hideMark/>
          </w:tcPr>
          <w:p w14:paraId="49FED73A"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mazāk attīstītais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000000" w:fill="F2F2F2"/>
            <w:noWrap/>
            <w:vAlign w:val="center"/>
            <w:hideMark/>
          </w:tcPr>
          <w:p w14:paraId="50939F3D"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3,203,950,243</w:t>
            </w:r>
          </w:p>
        </w:tc>
        <w:tc>
          <w:tcPr>
            <w:tcW w:w="1843" w:type="dxa"/>
            <w:tcBorders>
              <w:top w:val="nil"/>
              <w:left w:val="nil"/>
              <w:bottom w:val="single" w:sz="4" w:space="0" w:color="auto"/>
              <w:right w:val="single" w:sz="4" w:space="0" w:color="auto"/>
            </w:tcBorders>
            <w:shd w:val="clear" w:color="000000" w:fill="F2F2F2"/>
            <w:noWrap/>
            <w:vAlign w:val="center"/>
            <w:hideMark/>
          </w:tcPr>
          <w:p w14:paraId="4A50D8D3"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76%</w:t>
            </w:r>
          </w:p>
        </w:tc>
        <w:tc>
          <w:tcPr>
            <w:tcW w:w="1842" w:type="dxa"/>
            <w:tcBorders>
              <w:top w:val="nil"/>
              <w:left w:val="nil"/>
              <w:bottom w:val="single" w:sz="4" w:space="0" w:color="auto"/>
              <w:right w:val="single" w:sz="4" w:space="0" w:color="auto"/>
            </w:tcBorders>
            <w:shd w:val="clear" w:color="000000" w:fill="F2F2F2"/>
            <w:vAlign w:val="center"/>
          </w:tcPr>
          <w:p w14:paraId="1A9B058C" w14:textId="77777777" w:rsidR="00802E2A" w:rsidRPr="002F64A6" w:rsidRDefault="00802E2A" w:rsidP="007B6A5B">
            <w:pPr>
              <w:jc w:val="right"/>
              <w:rPr>
                <w:rFonts w:eastAsia="Times New Roman" w:cs="Times New Roman"/>
                <w:szCs w:val="24"/>
                <w:lang w:eastAsia="lv-LV"/>
              </w:rPr>
            </w:pPr>
            <w:r w:rsidRPr="002F64A6">
              <w:rPr>
                <w:rFonts w:cs="Times New Roman"/>
                <w:szCs w:val="24"/>
              </w:rPr>
              <w:t>1 959 267</w:t>
            </w:r>
          </w:p>
        </w:tc>
      </w:tr>
      <w:tr w:rsidR="00802E2A" w:rsidRPr="002F64A6" w14:paraId="2A119923"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0C54A115"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000000" w:fill="F2F2F2"/>
            <w:noWrap/>
            <w:vAlign w:val="center"/>
            <w:hideMark/>
          </w:tcPr>
          <w:p w14:paraId="25B4670A" w14:textId="77777777" w:rsidR="00802E2A" w:rsidRPr="002F64A6" w:rsidRDefault="00802E2A" w:rsidP="007B6A5B">
            <w:pPr>
              <w:rPr>
                <w:rFonts w:eastAsia="Times New Roman" w:cs="Times New Roman"/>
                <w:szCs w:val="24"/>
                <w:lang w:eastAsia="lv-LV"/>
              </w:rPr>
            </w:pPr>
            <w:r w:rsidRPr="002F64A6">
              <w:rPr>
                <w:rFonts w:eastAsia="Times New Roman" w:cs="Times New Roman"/>
                <w:szCs w:val="24"/>
                <w:lang w:eastAsia="lv-LV"/>
              </w:rPr>
              <w:t>KF</w:t>
            </w:r>
          </w:p>
        </w:tc>
        <w:tc>
          <w:tcPr>
            <w:tcW w:w="2015" w:type="dxa"/>
            <w:tcBorders>
              <w:top w:val="nil"/>
              <w:left w:val="nil"/>
              <w:bottom w:val="single" w:sz="4" w:space="0" w:color="auto"/>
              <w:right w:val="single" w:sz="4" w:space="0" w:color="auto"/>
            </w:tcBorders>
            <w:shd w:val="clear" w:color="000000" w:fill="F2F2F2"/>
            <w:noWrap/>
            <w:vAlign w:val="center"/>
            <w:hideMark/>
          </w:tcPr>
          <w:p w14:paraId="14E1BE41"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1,038,729,857</w:t>
            </w:r>
          </w:p>
        </w:tc>
        <w:tc>
          <w:tcPr>
            <w:tcW w:w="1843" w:type="dxa"/>
            <w:tcBorders>
              <w:top w:val="nil"/>
              <w:left w:val="nil"/>
              <w:bottom w:val="single" w:sz="4" w:space="0" w:color="auto"/>
              <w:right w:val="single" w:sz="4" w:space="0" w:color="auto"/>
            </w:tcBorders>
            <w:shd w:val="clear" w:color="000000" w:fill="F2F2F2"/>
            <w:noWrap/>
            <w:vAlign w:val="center"/>
            <w:hideMark/>
          </w:tcPr>
          <w:p w14:paraId="334C925D"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24%</w:t>
            </w:r>
          </w:p>
        </w:tc>
        <w:tc>
          <w:tcPr>
            <w:tcW w:w="1842" w:type="dxa"/>
            <w:tcBorders>
              <w:top w:val="nil"/>
              <w:left w:val="nil"/>
              <w:bottom w:val="single" w:sz="4" w:space="0" w:color="auto"/>
              <w:right w:val="single" w:sz="4" w:space="0" w:color="auto"/>
            </w:tcBorders>
            <w:shd w:val="clear" w:color="000000" w:fill="F2F2F2"/>
            <w:vAlign w:val="bottom"/>
          </w:tcPr>
          <w:p w14:paraId="1B97CFF5"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3E823B4E"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002C90DC"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000000" w:fill="F2F2F2"/>
            <w:noWrap/>
            <w:vAlign w:val="center"/>
            <w:hideMark/>
          </w:tcPr>
          <w:p w14:paraId="48BE03CA"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pārejas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000000" w:fill="F2F2F2"/>
            <w:vAlign w:val="center"/>
            <w:hideMark/>
          </w:tcPr>
          <w:p w14:paraId="3CA43B3E"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 </w:t>
            </w:r>
          </w:p>
        </w:tc>
        <w:tc>
          <w:tcPr>
            <w:tcW w:w="1843" w:type="dxa"/>
            <w:tcBorders>
              <w:top w:val="nil"/>
              <w:left w:val="nil"/>
              <w:bottom w:val="single" w:sz="4" w:space="0" w:color="auto"/>
              <w:right w:val="single" w:sz="4" w:space="0" w:color="auto"/>
            </w:tcBorders>
            <w:shd w:val="clear" w:color="000000" w:fill="F2F2F2"/>
            <w:noWrap/>
            <w:vAlign w:val="center"/>
            <w:hideMark/>
          </w:tcPr>
          <w:p w14:paraId="0381A01B"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0%</w:t>
            </w:r>
          </w:p>
        </w:tc>
        <w:tc>
          <w:tcPr>
            <w:tcW w:w="1842" w:type="dxa"/>
            <w:tcBorders>
              <w:top w:val="nil"/>
              <w:left w:val="nil"/>
              <w:bottom w:val="single" w:sz="4" w:space="0" w:color="auto"/>
              <w:right w:val="single" w:sz="4" w:space="0" w:color="auto"/>
            </w:tcBorders>
            <w:shd w:val="clear" w:color="000000" w:fill="F2F2F2"/>
            <w:vAlign w:val="bottom"/>
          </w:tcPr>
          <w:p w14:paraId="1EE7D279"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22E4838C"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252A06E4"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000000" w:fill="F2F2F2"/>
            <w:noWrap/>
            <w:vAlign w:val="center"/>
            <w:hideMark/>
          </w:tcPr>
          <w:p w14:paraId="58570D5A"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vairāk attīstītais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000000" w:fill="F2F2F2"/>
            <w:vAlign w:val="center"/>
            <w:hideMark/>
          </w:tcPr>
          <w:p w14:paraId="1EA81C33"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 </w:t>
            </w:r>
          </w:p>
        </w:tc>
        <w:tc>
          <w:tcPr>
            <w:tcW w:w="1843" w:type="dxa"/>
            <w:tcBorders>
              <w:top w:val="nil"/>
              <w:left w:val="nil"/>
              <w:bottom w:val="single" w:sz="4" w:space="0" w:color="auto"/>
              <w:right w:val="single" w:sz="4" w:space="0" w:color="auto"/>
            </w:tcBorders>
            <w:shd w:val="clear" w:color="000000" w:fill="F2F2F2"/>
            <w:noWrap/>
            <w:vAlign w:val="center"/>
            <w:hideMark/>
          </w:tcPr>
          <w:p w14:paraId="324E9696"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0%</w:t>
            </w:r>
          </w:p>
        </w:tc>
        <w:tc>
          <w:tcPr>
            <w:tcW w:w="1842" w:type="dxa"/>
            <w:tcBorders>
              <w:top w:val="nil"/>
              <w:left w:val="nil"/>
              <w:bottom w:val="single" w:sz="4" w:space="0" w:color="auto"/>
              <w:right w:val="single" w:sz="4" w:space="0" w:color="auto"/>
            </w:tcBorders>
            <w:shd w:val="clear" w:color="000000" w:fill="F2F2F2"/>
            <w:vAlign w:val="bottom"/>
          </w:tcPr>
          <w:p w14:paraId="0BF3CBF7"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6E243EEA" w14:textId="77777777" w:rsidTr="007B6A5B">
        <w:trPr>
          <w:trHeight w:val="250"/>
          <w:jc w:val="center"/>
        </w:trPr>
        <w:tc>
          <w:tcPr>
            <w:tcW w:w="161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39749E8" w14:textId="77777777" w:rsidR="00802E2A" w:rsidRPr="002F64A6" w:rsidRDefault="00802E2A" w:rsidP="007B6A5B">
            <w:pPr>
              <w:jc w:val="center"/>
              <w:rPr>
                <w:rFonts w:eastAsia="Times New Roman" w:cs="Times New Roman"/>
                <w:szCs w:val="24"/>
                <w:lang w:eastAsia="lv-LV"/>
              </w:rPr>
            </w:pPr>
            <w:r w:rsidRPr="002F64A6">
              <w:rPr>
                <w:rFonts w:eastAsia="Times New Roman" w:cs="Times New Roman"/>
                <w:szCs w:val="24"/>
                <w:lang w:eastAsia="lv-LV"/>
              </w:rPr>
              <w:t>Igaunija</w:t>
            </w:r>
          </w:p>
        </w:tc>
        <w:tc>
          <w:tcPr>
            <w:tcW w:w="2323" w:type="dxa"/>
            <w:tcBorders>
              <w:top w:val="nil"/>
              <w:left w:val="nil"/>
              <w:bottom w:val="single" w:sz="4" w:space="0" w:color="auto"/>
              <w:right w:val="single" w:sz="4" w:space="0" w:color="auto"/>
            </w:tcBorders>
            <w:shd w:val="clear" w:color="auto" w:fill="auto"/>
            <w:noWrap/>
            <w:vAlign w:val="center"/>
            <w:hideMark/>
          </w:tcPr>
          <w:p w14:paraId="4DFB1E06"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mazāk attīstītais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auto" w:fill="auto"/>
            <w:vAlign w:val="center"/>
            <w:hideMark/>
          </w:tcPr>
          <w:p w14:paraId="35BBB6BB"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 </w:t>
            </w:r>
          </w:p>
        </w:tc>
        <w:tc>
          <w:tcPr>
            <w:tcW w:w="1843" w:type="dxa"/>
            <w:tcBorders>
              <w:top w:val="nil"/>
              <w:left w:val="nil"/>
              <w:bottom w:val="single" w:sz="4" w:space="0" w:color="auto"/>
              <w:right w:val="single" w:sz="4" w:space="0" w:color="auto"/>
            </w:tcBorders>
            <w:shd w:val="clear" w:color="auto" w:fill="auto"/>
            <w:noWrap/>
            <w:vAlign w:val="center"/>
            <w:hideMark/>
          </w:tcPr>
          <w:p w14:paraId="7D5DE2A5"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0%</w:t>
            </w:r>
          </w:p>
        </w:tc>
        <w:tc>
          <w:tcPr>
            <w:tcW w:w="1842" w:type="dxa"/>
            <w:tcBorders>
              <w:top w:val="nil"/>
              <w:left w:val="nil"/>
              <w:bottom w:val="single" w:sz="4" w:space="0" w:color="auto"/>
              <w:right w:val="single" w:sz="4" w:space="0" w:color="auto"/>
            </w:tcBorders>
            <w:vAlign w:val="bottom"/>
          </w:tcPr>
          <w:p w14:paraId="15CCD56C"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654D7A13"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7F8E7710"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auto" w:fill="auto"/>
            <w:noWrap/>
            <w:vAlign w:val="center"/>
            <w:hideMark/>
          </w:tcPr>
          <w:p w14:paraId="177A9BEC" w14:textId="77777777" w:rsidR="00802E2A" w:rsidRPr="002F64A6" w:rsidRDefault="00802E2A" w:rsidP="007B6A5B">
            <w:pPr>
              <w:rPr>
                <w:rFonts w:eastAsia="Times New Roman" w:cs="Times New Roman"/>
                <w:szCs w:val="24"/>
                <w:lang w:eastAsia="lv-LV"/>
              </w:rPr>
            </w:pPr>
            <w:r w:rsidRPr="002F64A6">
              <w:rPr>
                <w:rFonts w:eastAsia="Times New Roman" w:cs="Times New Roman"/>
                <w:szCs w:val="24"/>
                <w:lang w:eastAsia="lv-LV"/>
              </w:rPr>
              <w:t>KF</w:t>
            </w:r>
          </w:p>
        </w:tc>
        <w:tc>
          <w:tcPr>
            <w:tcW w:w="2015" w:type="dxa"/>
            <w:tcBorders>
              <w:top w:val="nil"/>
              <w:left w:val="nil"/>
              <w:bottom w:val="single" w:sz="4" w:space="0" w:color="auto"/>
              <w:right w:val="single" w:sz="4" w:space="0" w:color="auto"/>
            </w:tcBorders>
            <w:shd w:val="clear" w:color="auto" w:fill="auto"/>
            <w:noWrap/>
            <w:vAlign w:val="center"/>
            <w:hideMark/>
          </w:tcPr>
          <w:p w14:paraId="55BC70FE"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820,247,039</w:t>
            </w:r>
          </w:p>
        </w:tc>
        <w:tc>
          <w:tcPr>
            <w:tcW w:w="1843" w:type="dxa"/>
            <w:tcBorders>
              <w:top w:val="nil"/>
              <w:left w:val="nil"/>
              <w:bottom w:val="single" w:sz="4" w:space="0" w:color="auto"/>
              <w:right w:val="single" w:sz="4" w:space="0" w:color="auto"/>
            </w:tcBorders>
            <w:shd w:val="clear" w:color="auto" w:fill="auto"/>
            <w:noWrap/>
            <w:vAlign w:val="center"/>
            <w:hideMark/>
          </w:tcPr>
          <w:p w14:paraId="3947AC52"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27%</w:t>
            </w:r>
          </w:p>
        </w:tc>
        <w:tc>
          <w:tcPr>
            <w:tcW w:w="1842" w:type="dxa"/>
            <w:tcBorders>
              <w:top w:val="nil"/>
              <w:left w:val="nil"/>
              <w:bottom w:val="single" w:sz="4" w:space="0" w:color="auto"/>
              <w:right w:val="single" w:sz="4" w:space="0" w:color="auto"/>
            </w:tcBorders>
            <w:vAlign w:val="bottom"/>
          </w:tcPr>
          <w:p w14:paraId="0DAA9CC9"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155E499D"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68510770"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auto" w:fill="auto"/>
            <w:noWrap/>
            <w:vAlign w:val="center"/>
            <w:hideMark/>
          </w:tcPr>
          <w:p w14:paraId="07973A0B"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pārejas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auto" w:fill="auto"/>
            <w:noWrap/>
            <w:vAlign w:val="center"/>
            <w:hideMark/>
          </w:tcPr>
          <w:p w14:paraId="4F9A701E"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2,195,193,465</w:t>
            </w:r>
          </w:p>
        </w:tc>
        <w:tc>
          <w:tcPr>
            <w:tcW w:w="1843" w:type="dxa"/>
            <w:tcBorders>
              <w:top w:val="nil"/>
              <w:left w:val="nil"/>
              <w:bottom w:val="single" w:sz="4" w:space="0" w:color="auto"/>
              <w:right w:val="single" w:sz="4" w:space="0" w:color="auto"/>
            </w:tcBorders>
            <w:shd w:val="clear" w:color="auto" w:fill="auto"/>
            <w:noWrap/>
            <w:vAlign w:val="center"/>
            <w:hideMark/>
          </w:tcPr>
          <w:p w14:paraId="72CC0A9C"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73%</w:t>
            </w:r>
          </w:p>
        </w:tc>
        <w:tc>
          <w:tcPr>
            <w:tcW w:w="1842" w:type="dxa"/>
            <w:tcBorders>
              <w:top w:val="nil"/>
              <w:left w:val="nil"/>
              <w:bottom w:val="single" w:sz="4" w:space="0" w:color="auto"/>
              <w:right w:val="single" w:sz="4" w:space="0" w:color="auto"/>
            </w:tcBorders>
            <w:vAlign w:val="center"/>
          </w:tcPr>
          <w:p w14:paraId="18BFE91A" w14:textId="77777777" w:rsidR="00802E2A" w:rsidRPr="002F64A6" w:rsidRDefault="00802E2A" w:rsidP="007B6A5B">
            <w:pPr>
              <w:jc w:val="right"/>
              <w:rPr>
                <w:rFonts w:eastAsia="Times New Roman" w:cs="Times New Roman"/>
                <w:szCs w:val="24"/>
                <w:lang w:eastAsia="lv-LV"/>
              </w:rPr>
            </w:pPr>
            <w:r w:rsidRPr="002F64A6">
              <w:rPr>
                <w:rFonts w:cs="Times New Roman"/>
                <w:szCs w:val="24"/>
              </w:rPr>
              <w:t>1 314 933</w:t>
            </w:r>
          </w:p>
        </w:tc>
      </w:tr>
      <w:tr w:rsidR="00802E2A" w:rsidRPr="002F64A6" w14:paraId="109ACC43"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5D3AC43B"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auto" w:fill="auto"/>
            <w:noWrap/>
            <w:vAlign w:val="center"/>
            <w:hideMark/>
          </w:tcPr>
          <w:p w14:paraId="3286EE1E"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vairāk attīstītais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auto" w:fill="auto"/>
            <w:vAlign w:val="center"/>
            <w:hideMark/>
          </w:tcPr>
          <w:p w14:paraId="7D69B0D6"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 </w:t>
            </w:r>
          </w:p>
        </w:tc>
        <w:tc>
          <w:tcPr>
            <w:tcW w:w="1843" w:type="dxa"/>
            <w:tcBorders>
              <w:top w:val="nil"/>
              <w:left w:val="nil"/>
              <w:bottom w:val="single" w:sz="4" w:space="0" w:color="auto"/>
              <w:right w:val="single" w:sz="4" w:space="0" w:color="auto"/>
            </w:tcBorders>
            <w:shd w:val="clear" w:color="auto" w:fill="auto"/>
            <w:noWrap/>
            <w:vAlign w:val="center"/>
            <w:hideMark/>
          </w:tcPr>
          <w:p w14:paraId="5AB20DEF"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0%</w:t>
            </w:r>
          </w:p>
        </w:tc>
        <w:tc>
          <w:tcPr>
            <w:tcW w:w="1842" w:type="dxa"/>
            <w:tcBorders>
              <w:top w:val="nil"/>
              <w:left w:val="nil"/>
              <w:bottom w:val="single" w:sz="4" w:space="0" w:color="auto"/>
              <w:right w:val="single" w:sz="4" w:space="0" w:color="auto"/>
            </w:tcBorders>
            <w:vAlign w:val="bottom"/>
          </w:tcPr>
          <w:p w14:paraId="7BCD5DF7"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3AB00002" w14:textId="77777777" w:rsidTr="007B6A5B">
        <w:trPr>
          <w:trHeight w:val="250"/>
          <w:jc w:val="center"/>
        </w:trPr>
        <w:tc>
          <w:tcPr>
            <w:tcW w:w="161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D9ADFD0" w14:textId="77777777" w:rsidR="00802E2A" w:rsidRPr="002F64A6" w:rsidRDefault="00802E2A" w:rsidP="007B6A5B">
            <w:pPr>
              <w:jc w:val="center"/>
              <w:rPr>
                <w:rFonts w:eastAsia="Times New Roman" w:cs="Times New Roman"/>
                <w:szCs w:val="24"/>
                <w:lang w:eastAsia="lv-LV"/>
              </w:rPr>
            </w:pPr>
            <w:r w:rsidRPr="002F64A6">
              <w:rPr>
                <w:rFonts w:eastAsia="Times New Roman" w:cs="Times New Roman"/>
                <w:szCs w:val="24"/>
                <w:lang w:eastAsia="lv-LV"/>
              </w:rPr>
              <w:t>Slovēnija</w:t>
            </w:r>
          </w:p>
        </w:tc>
        <w:tc>
          <w:tcPr>
            <w:tcW w:w="2323" w:type="dxa"/>
            <w:tcBorders>
              <w:top w:val="nil"/>
              <w:left w:val="nil"/>
              <w:bottom w:val="single" w:sz="4" w:space="0" w:color="auto"/>
              <w:right w:val="single" w:sz="4" w:space="0" w:color="auto"/>
            </w:tcBorders>
            <w:shd w:val="clear" w:color="auto" w:fill="auto"/>
            <w:noWrap/>
            <w:vAlign w:val="center"/>
            <w:hideMark/>
          </w:tcPr>
          <w:p w14:paraId="5988EE40"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mazāk attīstītais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auto" w:fill="auto"/>
            <w:noWrap/>
            <w:vAlign w:val="center"/>
            <w:hideMark/>
          </w:tcPr>
          <w:p w14:paraId="7528F639"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1,721,977,251</w:t>
            </w:r>
          </w:p>
        </w:tc>
        <w:tc>
          <w:tcPr>
            <w:tcW w:w="1843" w:type="dxa"/>
            <w:tcBorders>
              <w:top w:val="nil"/>
              <w:left w:val="nil"/>
              <w:bottom w:val="single" w:sz="4" w:space="0" w:color="auto"/>
              <w:right w:val="single" w:sz="4" w:space="0" w:color="auto"/>
            </w:tcBorders>
            <w:shd w:val="clear" w:color="auto" w:fill="auto"/>
            <w:noWrap/>
            <w:vAlign w:val="center"/>
            <w:hideMark/>
          </w:tcPr>
          <w:p w14:paraId="3F7AD4E7"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58%</w:t>
            </w:r>
          </w:p>
        </w:tc>
        <w:tc>
          <w:tcPr>
            <w:tcW w:w="1842" w:type="dxa"/>
            <w:tcBorders>
              <w:top w:val="nil"/>
              <w:left w:val="nil"/>
              <w:bottom w:val="single" w:sz="4" w:space="0" w:color="auto"/>
              <w:right w:val="single" w:sz="4" w:space="0" w:color="auto"/>
            </w:tcBorders>
            <w:vAlign w:val="center"/>
          </w:tcPr>
          <w:p w14:paraId="664686D8" w14:textId="77777777" w:rsidR="00802E2A" w:rsidRPr="002F64A6" w:rsidRDefault="00802E2A" w:rsidP="007B6A5B">
            <w:pPr>
              <w:jc w:val="right"/>
              <w:rPr>
                <w:rFonts w:eastAsia="Times New Roman" w:cs="Times New Roman"/>
                <w:szCs w:val="24"/>
                <w:lang w:eastAsia="lv-LV"/>
              </w:rPr>
            </w:pPr>
            <w:r w:rsidRPr="002F64A6">
              <w:rPr>
                <w:rFonts w:cs="Times New Roman"/>
                <w:szCs w:val="24"/>
              </w:rPr>
              <w:t>1 091 667</w:t>
            </w:r>
          </w:p>
        </w:tc>
      </w:tr>
      <w:tr w:rsidR="00802E2A" w:rsidRPr="002F64A6" w14:paraId="55F92AF0"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0CFD2A04"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auto" w:fill="auto"/>
            <w:noWrap/>
            <w:vAlign w:val="center"/>
            <w:hideMark/>
          </w:tcPr>
          <w:p w14:paraId="67419466" w14:textId="77777777" w:rsidR="00802E2A" w:rsidRPr="002F64A6" w:rsidRDefault="00802E2A" w:rsidP="007B6A5B">
            <w:pPr>
              <w:rPr>
                <w:rFonts w:eastAsia="Times New Roman" w:cs="Times New Roman"/>
                <w:szCs w:val="24"/>
                <w:lang w:eastAsia="lv-LV"/>
              </w:rPr>
            </w:pPr>
            <w:r w:rsidRPr="002F64A6">
              <w:rPr>
                <w:rFonts w:eastAsia="Times New Roman" w:cs="Times New Roman"/>
                <w:szCs w:val="24"/>
                <w:lang w:eastAsia="lv-LV"/>
              </w:rPr>
              <w:t>KF</w:t>
            </w:r>
          </w:p>
        </w:tc>
        <w:tc>
          <w:tcPr>
            <w:tcW w:w="2015" w:type="dxa"/>
            <w:tcBorders>
              <w:top w:val="nil"/>
              <w:left w:val="nil"/>
              <w:bottom w:val="single" w:sz="4" w:space="0" w:color="auto"/>
              <w:right w:val="single" w:sz="4" w:space="0" w:color="auto"/>
            </w:tcBorders>
            <w:shd w:val="clear" w:color="auto" w:fill="auto"/>
            <w:noWrap/>
            <w:vAlign w:val="center"/>
            <w:hideMark/>
          </w:tcPr>
          <w:p w14:paraId="59E6E8B1"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718,192,613</w:t>
            </w:r>
          </w:p>
        </w:tc>
        <w:tc>
          <w:tcPr>
            <w:tcW w:w="1843" w:type="dxa"/>
            <w:tcBorders>
              <w:top w:val="nil"/>
              <w:left w:val="nil"/>
              <w:bottom w:val="single" w:sz="4" w:space="0" w:color="auto"/>
              <w:right w:val="single" w:sz="4" w:space="0" w:color="auto"/>
            </w:tcBorders>
            <w:shd w:val="clear" w:color="auto" w:fill="auto"/>
            <w:noWrap/>
            <w:vAlign w:val="center"/>
            <w:hideMark/>
          </w:tcPr>
          <w:p w14:paraId="0A79ADC3"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24%</w:t>
            </w:r>
          </w:p>
        </w:tc>
        <w:tc>
          <w:tcPr>
            <w:tcW w:w="1842" w:type="dxa"/>
            <w:tcBorders>
              <w:top w:val="nil"/>
              <w:left w:val="nil"/>
              <w:bottom w:val="single" w:sz="4" w:space="0" w:color="auto"/>
              <w:right w:val="single" w:sz="4" w:space="0" w:color="auto"/>
            </w:tcBorders>
            <w:vAlign w:val="bottom"/>
          </w:tcPr>
          <w:p w14:paraId="790BD50C"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1E2735E8"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52F12383"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auto" w:fill="auto"/>
            <w:noWrap/>
            <w:vAlign w:val="center"/>
            <w:hideMark/>
          </w:tcPr>
          <w:p w14:paraId="07EC28C4"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pārejas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auto" w:fill="auto"/>
            <w:vAlign w:val="center"/>
            <w:hideMark/>
          </w:tcPr>
          <w:p w14:paraId="09E4A852"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 </w:t>
            </w:r>
          </w:p>
        </w:tc>
        <w:tc>
          <w:tcPr>
            <w:tcW w:w="1843" w:type="dxa"/>
            <w:tcBorders>
              <w:top w:val="nil"/>
              <w:left w:val="nil"/>
              <w:bottom w:val="single" w:sz="4" w:space="0" w:color="auto"/>
              <w:right w:val="single" w:sz="4" w:space="0" w:color="auto"/>
            </w:tcBorders>
            <w:shd w:val="clear" w:color="auto" w:fill="auto"/>
            <w:noWrap/>
            <w:vAlign w:val="center"/>
            <w:hideMark/>
          </w:tcPr>
          <w:p w14:paraId="2419FF59"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0%</w:t>
            </w:r>
          </w:p>
        </w:tc>
        <w:tc>
          <w:tcPr>
            <w:tcW w:w="1842" w:type="dxa"/>
            <w:tcBorders>
              <w:top w:val="nil"/>
              <w:left w:val="nil"/>
              <w:bottom w:val="single" w:sz="4" w:space="0" w:color="auto"/>
              <w:right w:val="single" w:sz="4" w:space="0" w:color="auto"/>
            </w:tcBorders>
            <w:vAlign w:val="bottom"/>
          </w:tcPr>
          <w:p w14:paraId="1465BD98" w14:textId="77777777" w:rsidR="00802E2A" w:rsidRPr="002F64A6" w:rsidRDefault="00802E2A" w:rsidP="007B6A5B">
            <w:pPr>
              <w:jc w:val="right"/>
              <w:rPr>
                <w:rFonts w:eastAsia="Times New Roman" w:cs="Times New Roman"/>
                <w:szCs w:val="24"/>
                <w:lang w:eastAsia="lv-LV"/>
              </w:rPr>
            </w:pPr>
            <w:r w:rsidRPr="002F64A6">
              <w:rPr>
                <w:rFonts w:cs="Times New Roman"/>
                <w:szCs w:val="24"/>
              </w:rPr>
              <w:t> </w:t>
            </w:r>
          </w:p>
        </w:tc>
      </w:tr>
      <w:tr w:rsidR="00802E2A" w:rsidRPr="002F64A6" w14:paraId="22D28A2A" w14:textId="77777777" w:rsidTr="007B6A5B">
        <w:trPr>
          <w:trHeight w:val="250"/>
          <w:jc w:val="center"/>
        </w:trPr>
        <w:tc>
          <w:tcPr>
            <w:tcW w:w="1611" w:type="dxa"/>
            <w:vMerge/>
            <w:tcBorders>
              <w:top w:val="nil"/>
              <w:left w:val="single" w:sz="4" w:space="0" w:color="auto"/>
              <w:bottom w:val="single" w:sz="4" w:space="0" w:color="000000"/>
              <w:right w:val="single" w:sz="4" w:space="0" w:color="auto"/>
            </w:tcBorders>
            <w:vAlign w:val="center"/>
            <w:hideMark/>
          </w:tcPr>
          <w:p w14:paraId="614BB5E8" w14:textId="77777777" w:rsidR="00802E2A" w:rsidRPr="002F64A6" w:rsidRDefault="00802E2A" w:rsidP="007B6A5B">
            <w:pPr>
              <w:rPr>
                <w:rFonts w:eastAsia="Times New Roman" w:cs="Times New Roman"/>
                <w:szCs w:val="24"/>
                <w:lang w:eastAsia="lv-LV"/>
              </w:rPr>
            </w:pPr>
          </w:p>
        </w:tc>
        <w:tc>
          <w:tcPr>
            <w:tcW w:w="2323" w:type="dxa"/>
            <w:tcBorders>
              <w:top w:val="nil"/>
              <w:left w:val="nil"/>
              <w:bottom w:val="single" w:sz="4" w:space="0" w:color="auto"/>
              <w:right w:val="single" w:sz="4" w:space="0" w:color="auto"/>
            </w:tcBorders>
            <w:shd w:val="clear" w:color="auto" w:fill="auto"/>
            <w:noWrap/>
            <w:vAlign w:val="center"/>
            <w:hideMark/>
          </w:tcPr>
          <w:p w14:paraId="308E8110" w14:textId="77777777" w:rsidR="00802E2A" w:rsidRPr="002F64A6" w:rsidRDefault="00802E2A" w:rsidP="007B6A5B">
            <w:pPr>
              <w:rPr>
                <w:rFonts w:eastAsia="Times New Roman" w:cs="Times New Roman"/>
                <w:szCs w:val="24"/>
                <w:lang w:eastAsia="lv-LV"/>
              </w:rPr>
            </w:pPr>
            <w:r w:rsidRPr="00CC1B5E">
              <w:rPr>
                <w:rFonts w:eastAsia="Times New Roman" w:cs="Times New Roman"/>
                <w:i/>
                <w:iCs/>
                <w:szCs w:val="24"/>
                <w:lang w:eastAsia="lv-LV"/>
              </w:rPr>
              <w:t>vairāk attīstītais</w:t>
            </w:r>
            <w:r w:rsidRPr="002F64A6">
              <w:rPr>
                <w:rFonts w:eastAsia="Times New Roman" w:cs="Times New Roman"/>
                <w:szCs w:val="24"/>
                <w:lang w:eastAsia="lv-LV"/>
              </w:rPr>
              <w:t xml:space="preserve"> reģions</w:t>
            </w:r>
          </w:p>
        </w:tc>
        <w:tc>
          <w:tcPr>
            <w:tcW w:w="2015" w:type="dxa"/>
            <w:tcBorders>
              <w:top w:val="nil"/>
              <w:left w:val="nil"/>
              <w:bottom w:val="single" w:sz="4" w:space="0" w:color="auto"/>
              <w:right w:val="single" w:sz="4" w:space="0" w:color="auto"/>
            </w:tcBorders>
            <w:shd w:val="clear" w:color="auto" w:fill="auto"/>
            <w:noWrap/>
            <w:vAlign w:val="center"/>
            <w:hideMark/>
          </w:tcPr>
          <w:p w14:paraId="65FA1F59"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543,173,046</w:t>
            </w:r>
          </w:p>
        </w:tc>
        <w:tc>
          <w:tcPr>
            <w:tcW w:w="1843" w:type="dxa"/>
            <w:tcBorders>
              <w:top w:val="nil"/>
              <w:left w:val="nil"/>
              <w:bottom w:val="single" w:sz="4" w:space="0" w:color="auto"/>
              <w:right w:val="single" w:sz="4" w:space="0" w:color="auto"/>
            </w:tcBorders>
            <w:shd w:val="clear" w:color="auto" w:fill="auto"/>
            <w:noWrap/>
            <w:vAlign w:val="center"/>
            <w:hideMark/>
          </w:tcPr>
          <w:p w14:paraId="47917FAF" w14:textId="77777777" w:rsidR="00802E2A" w:rsidRPr="002F64A6" w:rsidRDefault="00802E2A" w:rsidP="007B6A5B">
            <w:pPr>
              <w:jc w:val="right"/>
              <w:rPr>
                <w:rFonts w:eastAsia="Times New Roman" w:cs="Times New Roman"/>
                <w:szCs w:val="24"/>
                <w:lang w:eastAsia="lv-LV"/>
              </w:rPr>
            </w:pPr>
            <w:r w:rsidRPr="002F64A6">
              <w:rPr>
                <w:rFonts w:eastAsia="Times New Roman" w:cs="Times New Roman"/>
                <w:szCs w:val="24"/>
                <w:lang w:eastAsia="lv-LV"/>
              </w:rPr>
              <w:t>18%</w:t>
            </w:r>
          </w:p>
        </w:tc>
        <w:tc>
          <w:tcPr>
            <w:tcW w:w="1842" w:type="dxa"/>
            <w:tcBorders>
              <w:top w:val="nil"/>
              <w:left w:val="nil"/>
              <w:bottom w:val="single" w:sz="4" w:space="0" w:color="auto"/>
              <w:right w:val="single" w:sz="4" w:space="0" w:color="auto"/>
            </w:tcBorders>
            <w:vAlign w:val="center"/>
          </w:tcPr>
          <w:p w14:paraId="33DC3B0F" w14:textId="77777777" w:rsidR="00802E2A" w:rsidRPr="002F64A6" w:rsidRDefault="00802E2A" w:rsidP="007B6A5B">
            <w:pPr>
              <w:jc w:val="right"/>
              <w:rPr>
                <w:rFonts w:eastAsia="Times New Roman" w:cs="Times New Roman"/>
                <w:szCs w:val="24"/>
                <w:lang w:eastAsia="lv-LV"/>
              </w:rPr>
            </w:pPr>
            <w:r w:rsidRPr="002F64A6">
              <w:rPr>
                <w:rFonts w:cs="Times New Roman"/>
                <w:szCs w:val="24"/>
              </w:rPr>
              <w:t>972 933</w:t>
            </w:r>
          </w:p>
        </w:tc>
      </w:tr>
    </w:tbl>
    <w:p w14:paraId="020B2D53" w14:textId="77777777" w:rsidR="00802E2A" w:rsidRPr="00D20E6C" w:rsidRDefault="00802E2A" w:rsidP="00802E2A">
      <w:pPr>
        <w:rPr>
          <w:rFonts w:cs="Times New Roman"/>
          <w:i/>
          <w:iCs/>
          <w:sz w:val="20"/>
          <w:szCs w:val="20"/>
        </w:rPr>
      </w:pPr>
      <w:r w:rsidRPr="00D20E6C">
        <w:rPr>
          <w:rFonts w:cs="Times New Roman"/>
          <w:i/>
          <w:iCs/>
          <w:sz w:val="20"/>
          <w:szCs w:val="20"/>
        </w:rPr>
        <w:t>*neiekļauj paskaitījumus CEF un ETS mērķim.</w:t>
      </w:r>
    </w:p>
    <w:p w14:paraId="01D6883F" w14:textId="77777777" w:rsidR="00802E2A" w:rsidRPr="002F64A6" w:rsidRDefault="00802E2A" w:rsidP="00802E2A">
      <w:pPr>
        <w:rPr>
          <w:rFonts w:cs="Times New Roman"/>
          <w:szCs w:val="24"/>
        </w:rPr>
      </w:pPr>
    </w:p>
    <w:p w14:paraId="1E358A1F" w14:textId="77777777" w:rsidR="00802E2A" w:rsidRPr="002F64A6" w:rsidRDefault="00802E2A" w:rsidP="00802E2A">
      <w:pPr>
        <w:ind w:firstLine="720"/>
        <w:rPr>
          <w:rFonts w:eastAsia="Times New Roman" w:cs="Times New Roman"/>
          <w:szCs w:val="24"/>
        </w:rPr>
      </w:pPr>
      <w:r w:rsidRPr="002F64A6">
        <w:rPr>
          <w:rFonts w:eastAsia="Times New Roman" w:cs="Times New Roman"/>
          <w:szCs w:val="24"/>
        </w:rPr>
        <w:t xml:space="preserve">Aplūkojot Kohēzijas politikas fondu (ESF, ERDF) atbalsta intensitāti minēto valstu reģionu kategorijām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 xml:space="preserve">gada periodā, var secināt, ka tās ievērojami atšķiras. Piemēram, </w:t>
      </w:r>
      <w:r w:rsidRPr="00CC1B5E">
        <w:rPr>
          <w:rFonts w:eastAsia="Times New Roman" w:cs="Times New Roman"/>
          <w:b/>
          <w:bCs/>
          <w:i/>
          <w:iCs/>
          <w:szCs w:val="24"/>
        </w:rPr>
        <w:t>mazāk attīstīto</w:t>
      </w:r>
      <w:r w:rsidRPr="002F64A6">
        <w:rPr>
          <w:rFonts w:eastAsia="Times New Roman" w:cs="Times New Roman"/>
          <w:b/>
          <w:bCs/>
          <w:szCs w:val="24"/>
        </w:rPr>
        <w:t xml:space="preserve"> reģionu </w:t>
      </w:r>
      <w:r w:rsidRPr="002F64A6">
        <w:rPr>
          <w:rFonts w:eastAsia="Times New Roman" w:cs="Times New Roman"/>
          <w:b/>
          <w:bCs/>
          <w:szCs w:val="24"/>
          <w:u w:val="single"/>
        </w:rPr>
        <w:t>vidējā</w:t>
      </w:r>
      <w:r w:rsidRPr="002F64A6">
        <w:rPr>
          <w:rFonts w:eastAsia="Times New Roman" w:cs="Times New Roman"/>
          <w:b/>
          <w:bCs/>
          <w:szCs w:val="24"/>
        </w:rPr>
        <w:t xml:space="preserve"> atbalsta</w:t>
      </w:r>
      <w:r w:rsidRPr="002F64A6">
        <w:rPr>
          <w:rFonts w:eastAsia="Times New Roman" w:cs="Times New Roman"/>
          <w:szCs w:val="24"/>
        </w:rPr>
        <w:t xml:space="preserve"> intensitāte mērķim “Investīcijas nodarbinātībai un izaugsmei” ir ~258 </w:t>
      </w:r>
      <w:r>
        <w:rPr>
          <w:rFonts w:eastAsia="Calibri" w:cs="Times New Roman"/>
          <w:i/>
          <w:iCs/>
          <w:szCs w:val="24"/>
        </w:rPr>
        <w:t>euro</w:t>
      </w:r>
      <w:r w:rsidRPr="002F64A6">
        <w:rPr>
          <w:rFonts w:eastAsia="Times New Roman" w:cs="Times New Roman"/>
          <w:szCs w:val="24"/>
        </w:rPr>
        <w:t>/</w:t>
      </w:r>
      <w:proofErr w:type="spellStart"/>
      <w:r w:rsidRPr="002F64A6">
        <w:rPr>
          <w:rFonts w:eastAsia="Times New Roman" w:cs="Times New Roman"/>
          <w:szCs w:val="24"/>
        </w:rPr>
        <w:t>cilv</w:t>
      </w:r>
      <w:proofErr w:type="spellEnd"/>
      <w:r w:rsidRPr="002F64A6">
        <w:rPr>
          <w:rFonts w:eastAsia="Times New Roman" w:cs="Times New Roman"/>
          <w:szCs w:val="24"/>
        </w:rPr>
        <w:t xml:space="preserve">. (salīdzināmajās cenās ~230 </w:t>
      </w:r>
      <w:r>
        <w:rPr>
          <w:rFonts w:eastAsia="Calibri" w:cs="Times New Roman"/>
          <w:i/>
          <w:iCs/>
          <w:szCs w:val="24"/>
        </w:rPr>
        <w:t>euro</w:t>
      </w:r>
      <w:r w:rsidRPr="002F64A6">
        <w:rPr>
          <w:rFonts w:eastAsia="Times New Roman" w:cs="Times New Roman"/>
          <w:szCs w:val="24"/>
        </w:rPr>
        <w:t>/</w:t>
      </w:r>
      <w:proofErr w:type="spellStart"/>
      <w:r w:rsidRPr="002F64A6">
        <w:rPr>
          <w:rFonts w:eastAsia="Times New Roman" w:cs="Times New Roman"/>
          <w:szCs w:val="24"/>
        </w:rPr>
        <w:t>cilv</w:t>
      </w:r>
      <w:proofErr w:type="spellEnd"/>
      <w:r w:rsidRPr="002F64A6">
        <w:rPr>
          <w:rFonts w:eastAsia="Times New Roman" w:cs="Times New Roman"/>
          <w:szCs w:val="24"/>
        </w:rPr>
        <w:t xml:space="preserve">.), kas ir </w:t>
      </w:r>
      <w:r w:rsidRPr="002F64A6">
        <w:rPr>
          <w:rFonts w:eastAsia="Times New Roman" w:cs="Times New Roman"/>
          <w:b/>
          <w:bCs/>
          <w:szCs w:val="24"/>
        </w:rPr>
        <w:t xml:space="preserve">4 reizes vairāk nekā </w:t>
      </w:r>
      <w:r w:rsidRPr="00A92DF4">
        <w:rPr>
          <w:rFonts w:eastAsia="Times New Roman" w:cs="Times New Roman"/>
          <w:b/>
          <w:bCs/>
          <w:i/>
          <w:iCs/>
          <w:szCs w:val="24"/>
        </w:rPr>
        <w:t>pārejas</w:t>
      </w:r>
      <w:r w:rsidRPr="002F64A6">
        <w:rPr>
          <w:rFonts w:eastAsia="Times New Roman" w:cs="Times New Roman"/>
          <w:b/>
          <w:bCs/>
          <w:szCs w:val="24"/>
        </w:rPr>
        <w:t xml:space="preserve"> reģioniem</w:t>
      </w:r>
      <w:r w:rsidRPr="002F64A6">
        <w:rPr>
          <w:rFonts w:eastAsia="Times New Roman" w:cs="Times New Roman"/>
          <w:szCs w:val="24"/>
        </w:rPr>
        <w:t xml:space="preserve"> (~68 </w:t>
      </w:r>
      <w:r>
        <w:rPr>
          <w:rFonts w:eastAsia="Calibri" w:cs="Times New Roman"/>
          <w:i/>
          <w:iCs/>
          <w:szCs w:val="24"/>
        </w:rPr>
        <w:t>euro</w:t>
      </w:r>
      <w:r w:rsidRPr="002F64A6">
        <w:rPr>
          <w:rFonts w:eastAsia="Times New Roman" w:cs="Times New Roman"/>
          <w:szCs w:val="24"/>
        </w:rPr>
        <w:t xml:space="preserve">/iedz. (~61 </w:t>
      </w:r>
      <w:r>
        <w:rPr>
          <w:rFonts w:eastAsia="Calibri" w:cs="Times New Roman"/>
          <w:i/>
          <w:iCs/>
          <w:szCs w:val="24"/>
        </w:rPr>
        <w:t>euro</w:t>
      </w:r>
      <w:r w:rsidRPr="002F64A6">
        <w:rPr>
          <w:rFonts w:eastAsia="Times New Roman" w:cs="Times New Roman"/>
          <w:szCs w:val="24"/>
        </w:rPr>
        <w:t>/</w:t>
      </w:r>
      <w:proofErr w:type="spellStart"/>
      <w:r w:rsidRPr="002F64A6">
        <w:rPr>
          <w:rFonts w:eastAsia="Times New Roman" w:cs="Times New Roman"/>
          <w:szCs w:val="24"/>
        </w:rPr>
        <w:t>cilv</w:t>
      </w:r>
      <w:proofErr w:type="spellEnd"/>
      <w:r w:rsidRPr="002F64A6">
        <w:rPr>
          <w:rFonts w:eastAsia="Times New Roman" w:cs="Times New Roman"/>
          <w:szCs w:val="24"/>
        </w:rPr>
        <w:t xml:space="preserve">. salīdzināmajās cenās)) un </w:t>
      </w:r>
      <w:r w:rsidRPr="002F64A6">
        <w:rPr>
          <w:rFonts w:eastAsia="Times New Roman" w:cs="Times New Roman"/>
          <w:b/>
          <w:bCs/>
          <w:szCs w:val="24"/>
        </w:rPr>
        <w:t xml:space="preserve">12 reizes vairāk nekā </w:t>
      </w:r>
      <w:r w:rsidRPr="00177612">
        <w:rPr>
          <w:rFonts w:eastAsia="Times New Roman" w:cs="Times New Roman"/>
          <w:b/>
          <w:bCs/>
          <w:i/>
          <w:iCs/>
          <w:szCs w:val="24"/>
        </w:rPr>
        <w:t>vairāk attīstītiem</w:t>
      </w:r>
      <w:r w:rsidRPr="002F64A6">
        <w:rPr>
          <w:rFonts w:eastAsia="Times New Roman" w:cs="Times New Roman"/>
          <w:b/>
          <w:bCs/>
          <w:szCs w:val="24"/>
        </w:rPr>
        <w:t xml:space="preserve"> reģioniem</w:t>
      </w:r>
      <w:r w:rsidRPr="002F64A6">
        <w:rPr>
          <w:rFonts w:eastAsia="Times New Roman" w:cs="Times New Roman"/>
          <w:szCs w:val="24"/>
        </w:rPr>
        <w:t xml:space="preserve"> (~21 </w:t>
      </w:r>
      <w:r>
        <w:rPr>
          <w:rFonts w:eastAsia="Calibri" w:cs="Times New Roman"/>
          <w:i/>
          <w:iCs/>
          <w:szCs w:val="24"/>
        </w:rPr>
        <w:t>euro</w:t>
      </w:r>
      <w:r w:rsidRPr="002F64A6">
        <w:rPr>
          <w:rFonts w:eastAsia="Times New Roman" w:cs="Times New Roman"/>
          <w:szCs w:val="24"/>
        </w:rPr>
        <w:t xml:space="preserve">/cilv.(~19 </w:t>
      </w:r>
      <w:r>
        <w:rPr>
          <w:rFonts w:eastAsia="Calibri" w:cs="Times New Roman"/>
          <w:i/>
          <w:iCs/>
          <w:szCs w:val="24"/>
        </w:rPr>
        <w:t>euro</w:t>
      </w:r>
      <w:r w:rsidRPr="002F64A6">
        <w:rPr>
          <w:rFonts w:eastAsia="Times New Roman" w:cs="Times New Roman"/>
          <w:szCs w:val="24"/>
        </w:rPr>
        <w:t>/</w:t>
      </w:r>
      <w:proofErr w:type="spellStart"/>
      <w:r w:rsidRPr="002F64A6">
        <w:rPr>
          <w:rFonts w:eastAsia="Times New Roman" w:cs="Times New Roman"/>
          <w:szCs w:val="24"/>
        </w:rPr>
        <w:t>cilv</w:t>
      </w:r>
      <w:proofErr w:type="spellEnd"/>
      <w:r w:rsidRPr="002F64A6">
        <w:rPr>
          <w:rFonts w:eastAsia="Times New Roman" w:cs="Times New Roman"/>
          <w:szCs w:val="24"/>
        </w:rPr>
        <w:t xml:space="preserve">. salīdzināmajās cenās). Līdzīgas atbalsta intensitātes atšķirības reģionu kategorijām ir arī ES fondu plānošanas </w:t>
      </w:r>
      <w:r w:rsidRPr="002F64A6">
        <w:rPr>
          <w:rFonts w:eastAsia="Times New Roman" w:cs="Times New Roman"/>
          <w:bCs/>
          <w:szCs w:val="24"/>
        </w:rPr>
        <w:t>20</w:t>
      </w:r>
      <w:r>
        <w:rPr>
          <w:rFonts w:eastAsia="Times New Roman" w:cs="Times New Roman"/>
          <w:bCs/>
          <w:szCs w:val="24"/>
        </w:rPr>
        <w:t>14.</w:t>
      </w:r>
      <w:r>
        <w:rPr>
          <w:rFonts w:eastAsia="Times New Roman" w:cs="Times New Roman"/>
          <w:szCs w:val="24"/>
        </w:rPr>
        <w:t>–</w:t>
      </w:r>
      <w:r w:rsidRPr="002F64A6">
        <w:rPr>
          <w:rFonts w:eastAsia="Times New Roman" w:cs="Times New Roman"/>
          <w:szCs w:val="24"/>
        </w:rPr>
        <w:t>202</w:t>
      </w:r>
      <w:r>
        <w:rPr>
          <w:rFonts w:eastAsia="Times New Roman" w:cs="Times New Roman"/>
          <w:szCs w:val="24"/>
        </w:rPr>
        <w:t>0</w:t>
      </w:r>
      <w:r w:rsidRPr="002F64A6">
        <w:rPr>
          <w:rFonts w:eastAsia="Times New Roman" w:cs="Times New Roman"/>
          <w:szCs w:val="24"/>
        </w:rPr>
        <w:t>.</w:t>
      </w:r>
      <w:r>
        <w:rPr>
          <w:rFonts w:eastAsia="Times New Roman" w:cs="Times New Roman"/>
          <w:szCs w:val="24"/>
        </w:rPr>
        <w:t> </w:t>
      </w:r>
      <w:r w:rsidRPr="002F64A6">
        <w:rPr>
          <w:rFonts w:eastAsia="Times New Roman" w:cs="Times New Roman"/>
          <w:szCs w:val="24"/>
        </w:rPr>
        <w:t xml:space="preserve">gada periodā. </w:t>
      </w:r>
    </w:p>
    <w:p w14:paraId="07007857" w14:textId="77777777" w:rsidR="00802E2A" w:rsidRPr="002F64A6" w:rsidRDefault="00802E2A" w:rsidP="00802E2A">
      <w:pPr>
        <w:spacing w:before="120" w:after="120"/>
        <w:rPr>
          <w:rFonts w:eastAsia="Times New Roman" w:cs="Times New Roman"/>
          <w:szCs w:val="24"/>
        </w:rPr>
      </w:pPr>
      <w:r>
        <w:rPr>
          <w:rFonts w:eastAsia="Times New Roman" w:cs="Times New Roman"/>
          <w:szCs w:val="24"/>
        </w:rPr>
        <w:t xml:space="preserve">2. </w:t>
      </w:r>
      <w:r w:rsidRPr="002F64A6">
        <w:rPr>
          <w:rFonts w:eastAsia="Times New Roman" w:cs="Times New Roman"/>
          <w:szCs w:val="24"/>
        </w:rPr>
        <w:t>Vienlaikus konkrētajām valstīm ir vērojamas lielas atšķirības atbalsta intensitātē:</w:t>
      </w:r>
    </w:p>
    <w:p w14:paraId="38154C77" w14:textId="77777777" w:rsidR="00802E2A" w:rsidRDefault="00802E2A" w:rsidP="00802E2A">
      <w:pPr>
        <w:pStyle w:val="ListParagraph"/>
        <w:numPr>
          <w:ilvl w:val="0"/>
          <w:numId w:val="43"/>
        </w:numPr>
        <w:spacing w:after="0"/>
        <w:contextualSpacing/>
        <w:rPr>
          <w:rFonts w:eastAsia="Times New Roman" w:cs="Times New Roman"/>
          <w:szCs w:val="24"/>
        </w:rPr>
      </w:pPr>
      <w:r w:rsidRPr="00521B1D">
        <w:rPr>
          <w:rFonts w:eastAsia="Times New Roman" w:cs="Times New Roman"/>
          <w:szCs w:val="24"/>
        </w:rPr>
        <w:t xml:space="preserve">Lietuvas </w:t>
      </w:r>
      <w:r w:rsidRPr="00521B1D">
        <w:rPr>
          <w:rFonts w:eastAsia="Times New Roman" w:cs="Times New Roman"/>
          <w:i/>
          <w:iCs/>
          <w:szCs w:val="24"/>
        </w:rPr>
        <w:t>mazāk attīstītā</w:t>
      </w:r>
      <w:r w:rsidRPr="00521B1D">
        <w:rPr>
          <w:rFonts w:eastAsia="Times New Roman" w:cs="Times New Roman"/>
          <w:szCs w:val="24"/>
        </w:rPr>
        <w:t xml:space="preserve"> reģiona plānošanai pieejamā finansējuma atbalsta intensitāte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gada periodā</w:t>
      </w:r>
      <w:r w:rsidRPr="00521B1D">
        <w:rPr>
          <w:rFonts w:eastAsia="Times New Roman" w:cs="Times New Roman"/>
          <w:szCs w:val="24"/>
        </w:rPr>
        <w:t xml:space="preserve"> mērķim “Investīcijas nodarbinātībai un izaugsmei” ir ~316 </w:t>
      </w:r>
      <w:r w:rsidRPr="00521B1D">
        <w:rPr>
          <w:rFonts w:eastAsia="Calibri" w:cs="Times New Roman"/>
          <w:i/>
          <w:iCs/>
          <w:szCs w:val="24"/>
        </w:rPr>
        <w:t>euro</w:t>
      </w:r>
      <w:r w:rsidRPr="00521B1D">
        <w:rPr>
          <w:rFonts w:eastAsia="Times New Roman" w:cs="Times New Roman"/>
          <w:szCs w:val="24"/>
        </w:rPr>
        <w:t xml:space="preserve"> (plānošanai pieejamais piešķīrums </w:t>
      </w:r>
      <w:r w:rsidRPr="00521B1D">
        <w:rPr>
          <w:rFonts w:eastAsia="Times New Roman" w:cs="Times New Roman"/>
          <w:i/>
          <w:iCs/>
          <w:szCs w:val="24"/>
        </w:rPr>
        <w:t>mazāk attīstītam</w:t>
      </w:r>
      <w:r w:rsidRPr="00521B1D">
        <w:rPr>
          <w:rFonts w:eastAsia="Times New Roman" w:cs="Times New Roman"/>
          <w:szCs w:val="24"/>
        </w:rPr>
        <w:t xml:space="preserve"> reģionam mērķim “Investīcijas nodarbinātībai un izaugsmei” ir ~4,6 mljrd. </w:t>
      </w:r>
      <w:r w:rsidRPr="00521B1D">
        <w:rPr>
          <w:rFonts w:eastAsia="Calibri" w:cs="Times New Roman"/>
          <w:i/>
          <w:iCs/>
          <w:szCs w:val="24"/>
        </w:rPr>
        <w:t>euro</w:t>
      </w:r>
      <w:r w:rsidRPr="00521B1D">
        <w:rPr>
          <w:rFonts w:eastAsia="Times New Roman" w:cs="Times New Roman"/>
          <w:szCs w:val="24"/>
        </w:rPr>
        <w:t xml:space="preserve"> faktiskajās cenās) un </w:t>
      </w:r>
      <w:r w:rsidRPr="00521B1D">
        <w:rPr>
          <w:rFonts w:eastAsia="Times New Roman" w:cs="Times New Roman"/>
          <w:i/>
          <w:iCs/>
          <w:szCs w:val="24"/>
        </w:rPr>
        <w:t>vairāk attīstītā</w:t>
      </w:r>
      <w:r w:rsidRPr="00521B1D">
        <w:rPr>
          <w:rFonts w:eastAsia="Times New Roman" w:cs="Times New Roman"/>
          <w:szCs w:val="24"/>
        </w:rPr>
        <w:t xml:space="preserve"> reģiona – vien ~8 </w:t>
      </w:r>
      <w:r w:rsidRPr="00521B1D">
        <w:rPr>
          <w:rFonts w:eastAsia="Calibri" w:cs="Times New Roman"/>
          <w:i/>
          <w:iCs/>
          <w:szCs w:val="24"/>
        </w:rPr>
        <w:t>euro</w:t>
      </w:r>
      <w:r w:rsidRPr="00521B1D">
        <w:rPr>
          <w:rFonts w:eastAsia="Times New Roman" w:cs="Times New Roman"/>
          <w:szCs w:val="24"/>
        </w:rPr>
        <w:t xml:space="preserve"> uz vienu cilvēku (plānošanai pieejamais piešķīrums </w:t>
      </w:r>
      <w:r w:rsidRPr="00521B1D">
        <w:rPr>
          <w:rFonts w:eastAsia="Times New Roman" w:cs="Times New Roman"/>
          <w:i/>
          <w:iCs/>
          <w:szCs w:val="24"/>
        </w:rPr>
        <w:t>vairāk attīstītam</w:t>
      </w:r>
      <w:r w:rsidRPr="00521B1D">
        <w:rPr>
          <w:rFonts w:eastAsia="Times New Roman" w:cs="Times New Roman"/>
          <w:szCs w:val="24"/>
        </w:rPr>
        <w:t xml:space="preserve"> reģionam mērķim “Investīcijas nodarbinātībai un izaugsmei” ir ~42,8 milj. </w:t>
      </w:r>
      <w:r w:rsidRPr="00521B1D">
        <w:rPr>
          <w:rFonts w:eastAsia="Calibri" w:cs="Times New Roman"/>
          <w:i/>
          <w:iCs/>
          <w:szCs w:val="24"/>
        </w:rPr>
        <w:t>euro</w:t>
      </w:r>
      <w:r w:rsidRPr="00521B1D">
        <w:rPr>
          <w:rFonts w:eastAsia="Times New Roman" w:cs="Times New Roman"/>
          <w:szCs w:val="24"/>
        </w:rPr>
        <w:t xml:space="preserve"> faktiskajās cenās)</w:t>
      </w:r>
      <w:r>
        <w:rPr>
          <w:rFonts w:eastAsia="Times New Roman" w:cs="Times New Roman"/>
          <w:szCs w:val="24"/>
        </w:rPr>
        <w:t>;</w:t>
      </w:r>
    </w:p>
    <w:p w14:paraId="2423472D" w14:textId="77777777" w:rsidR="00802E2A" w:rsidRDefault="00802E2A" w:rsidP="00802E2A">
      <w:pPr>
        <w:pStyle w:val="ListParagraph"/>
        <w:numPr>
          <w:ilvl w:val="0"/>
          <w:numId w:val="43"/>
        </w:numPr>
        <w:spacing w:after="0"/>
        <w:contextualSpacing/>
        <w:rPr>
          <w:rFonts w:eastAsia="Times New Roman" w:cs="Times New Roman"/>
          <w:szCs w:val="24"/>
        </w:rPr>
      </w:pPr>
      <w:r w:rsidRPr="00521B1D">
        <w:rPr>
          <w:rFonts w:eastAsia="Times New Roman" w:cs="Times New Roman"/>
          <w:szCs w:val="24"/>
        </w:rPr>
        <w:t xml:space="preserve">Igaunijas gadījumā </w:t>
      </w:r>
      <w:r w:rsidRPr="00521B1D">
        <w:rPr>
          <w:rFonts w:eastAsia="Times New Roman" w:cs="Times New Roman"/>
          <w:i/>
          <w:iCs/>
          <w:szCs w:val="24"/>
        </w:rPr>
        <w:t>pārejas</w:t>
      </w:r>
      <w:r w:rsidRPr="00521B1D">
        <w:rPr>
          <w:rFonts w:eastAsia="Times New Roman" w:cs="Times New Roman"/>
          <w:szCs w:val="24"/>
        </w:rPr>
        <w:t xml:space="preserve"> reģiona plānošanai pieejamā finansējuma atbalsta intensitāte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gada periodā</w:t>
      </w:r>
      <w:r w:rsidRPr="00521B1D">
        <w:rPr>
          <w:rFonts w:eastAsia="Times New Roman" w:cs="Times New Roman"/>
          <w:szCs w:val="24"/>
        </w:rPr>
        <w:t xml:space="preserve"> mērķim “Investīcijas nodarbinātībai un izaugsmei” ir ~238 </w:t>
      </w:r>
      <w:r w:rsidRPr="00521B1D">
        <w:rPr>
          <w:rFonts w:eastAsia="Calibri" w:cs="Times New Roman"/>
          <w:i/>
          <w:iCs/>
          <w:szCs w:val="24"/>
        </w:rPr>
        <w:t>euro</w:t>
      </w:r>
      <w:r w:rsidRPr="00521B1D">
        <w:rPr>
          <w:rFonts w:eastAsia="Times New Roman" w:cs="Times New Roman"/>
          <w:szCs w:val="24"/>
        </w:rPr>
        <w:t xml:space="preserve"> (plānošanai pieejamais piešķīrums </w:t>
      </w:r>
      <w:r w:rsidRPr="00521B1D">
        <w:rPr>
          <w:rFonts w:eastAsia="Times New Roman" w:cs="Times New Roman"/>
          <w:i/>
          <w:iCs/>
          <w:szCs w:val="24"/>
        </w:rPr>
        <w:t>pārejas</w:t>
      </w:r>
      <w:r w:rsidRPr="00521B1D">
        <w:rPr>
          <w:rFonts w:eastAsia="Times New Roman" w:cs="Times New Roman"/>
          <w:szCs w:val="24"/>
        </w:rPr>
        <w:t xml:space="preserve"> reģionam mērķim “Investīcijas nodarbinātībai un izaugsmei” ir ~2,2 mljrd. </w:t>
      </w:r>
      <w:r w:rsidRPr="00521B1D">
        <w:rPr>
          <w:rFonts w:eastAsia="Calibri" w:cs="Times New Roman"/>
          <w:i/>
          <w:iCs/>
          <w:szCs w:val="24"/>
        </w:rPr>
        <w:t>euro</w:t>
      </w:r>
      <w:r w:rsidRPr="00521B1D">
        <w:rPr>
          <w:rFonts w:eastAsia="Times New Roman" w:cs="Times New Roman"/>
          <w:szCs w:val="24"/>
        </w:rPr>
        <w:t xml:space="preserve"> faktiskajās cenās)</w:t>
      </w:r>
      <w:r>
        <w:rPr>
          <w:rFonts w:eastAsia="Times New Roman" w:cs="Times New Roman"/>
          <w:szCs w:val="24"/>
        </w:rPr>
        <w:t>;</w:t>
      </w:r>
    </w:p>
    <w:p w14:paraId="786E49EF" w14:textId="77777777" w:rsidR="00802E2A" w:rsidRPr="00521B1D" w:rsidRDefault="00802E2A" w:rsidP="00802E2A">
      <w:pPr>
        <w:pStyle w:val="ListParagraph"/>
        <w:numPr>
          <w:ilvl w:val="0"/>
          <w:numId w:val="43"/>
        </w:numPr>
        <w:spacing w:after="0"/>
        <w:contextualSpacing/>
        <w:rPr>
          <w:rFonts w:eastAsia="Times New Roman" w:cs="Times New Roman"/>
          <w:szCs w:val="24"/>
        </w:rPr>
      </w:pPr>
      <w:r w:rsidRPr="00521B1D">
        <w:rPr>
          <w:rFonts w:eastAsia="Times New Roman" w:cs="Times New Roman"/>
          <w:szCs w:val="24"/>
        </w:rPr>
        <w:t xml:space="preserve">Slovēnijas </w:t>
      </w:r>
      <w:r w:rsidRPr="00521B1D">
        <w:rPr>
          <w:rFonts w:eastAsia="Times New Roman" w:cs="Times New Roman"/>
          <w:i/>
          <w:iCs/>
          <w:szCs w:val="24"/>
        </w:rPr>
        <w:t>mazāk attīstītā</w:t>
      </w:r>
      <w:r w:rsidRPr="00521B1D">
        <w:rPr>
          <w:rFonts w:eastAsia="Times New Roman" w:cs="Times New Roman"/>
          <w:szCs w:val="24"/>
        </w:rPr>
        <w:t xml:space="preserve"> reģiona plānošanai pieejamā finansējuma atbalsta intensitāte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gada periodā</w:t>
      </w:r>
      <w:r w:rsidRPr="00521B1D">
        <w:rPr>
          <w:rFonts w:eastAsia="Times New Roman" w:cs="Times New Roman"/>
          <w:szCs w:val="24"/>
        </w:rPr>
        <w:t xml:space="preserve"> mērķim “Investīcijas nodarbinātībai un izaugsmei” ir ~225 </w:t>
      </w:r>
      <w:r w:rsidRPr="00521B1D">
        <w:rPr>
          <w:rFonts w:eastAsia="Calibri" w:cs="Times New Roman"/>
          <w:i/>
          <w:iCs/>
          <w:szCs w:val="24"/>
        </w:rPr>
        <w:t>euro</w:t>
      </w:r>
      <w:r w:rsidRPr="00521B1D">
        <w:rPr>
          <w:rFonts w:eastAsia="Times New Roman" w:cs="Times New Roman"/>
          <w:szCs w:val="24"/>
        </w:rPr>
        <w:t xml:space="preserve"> (plānošanai pieejamais piešķīrums </w:t>
      </w:r>
      <w:r w:rsidRPr="00521B1D">
        <w:rPr>
          <w:rFonts w:eastAsia="Times New Roman" w:cs="Times New Roman"/>
          <w:i/>
          <w:iCs/>
          <w:szCs w:val="24"/>
        </w:rPr>
        <w:t>mazāk attīstītam</w:t>
      </w:r>
      <w:r w:rsidRPr="00521B1D">
        <w:rPr>
          <w:rFonts w:eastAsia="Times New Roman" w:cs="Times New Roman"/>
          <w:szCs w:val="24"/>
        </w:rPr>
        <w:t xml:space="preserve"> reģionam mērķim “Investīcijas nodarbinātībai un izaugsmei” ir ~1,7 mljrd. </w:t>
      </w:r>
      <w:r w:rsidRPr="00521B1D">
        <w:rPr>
          <w:rFonts w:eastAsia="Calibri" w:cs="Times New Roman"/>
          <w:i/>
          <w:iCs/>
          <w:szCs w:val="24"/>
        </w:rPr>
        <w:t>euro</w:t>
      </w:r>
      <w:r w:rsidRPr="00521B1D">
        <w:rPr>
          <w:rFonts w:eastAsia="Times New Roman" w:cs="Times New Roman"/>
          <w:szCs w:val="24"/>
        </w:rPr>
        <w:t xml:space="preserve"> faktiskajās cenās) un </w:t>
      </w:r>
      <w:r w:rsidRPr="00521B1D">
        <w:rPr>
          <w:rFonts w:eastAsia="Times New Roman" w:cs="Times New Roman"/>
          <w:i/>
          <w:iCs/>
          <w:szCs w:val="24"/>
        </w:rPr>
        <w:t>vairāk attīstītā</w:t>
      </w:r>
      <w:r w:rsidRPr="00521B1D">
        <w:rPr>
          <w:rFonts w:eastAsia="Times New Roman" w:cs="Times New Roman"/>
          <w:szCs w:val="24"/>
        </w:rPr>
        <w:t xml:space="preserve"> reģiona – vien ~80 </w:t>
      </w:r>
      <w:r w:rsidRPr="00521B1D">
        <w:rPr>
          <w:rFonts w:eastAsia="Calibri" w:cs="Times New Roman"/>
          <w:i/>
          <w:iCs/>
          <w:szCs w:val="24"/>
        </w:rPr>
        <w:t>euro</w:t>
      </w:r>
      <w:r w:rsidRPr="00521B1D">
        <w:rPr>
          <w:rFonts w:eastAsia="Times New Roman" w:cs="Times New Roman"/>
          <w:szCs w:val="24"/>
        </w:rPr>
        <w:t xml:space="preserve"> uz vienu cilvēku (plānošanai pieejamais piešķīrums </w:t>
      </w:r>
      <w:r w:rsidRPr="00521B1D">
        <w:rPr>
          <w:rFonts w:eastAsia="Times New Roman" w:cs="Times New Roman"/>
          <w:i/>
          <w:iCs/>
          <w:szCs w:val="24"/>
        </w:rPr>
        <w:t>vairāk attīstītam</w:t>
      </w:r>
      <w:r w:rsidRPr="00521B1D">
        <w:rPr>
          <w:rFonts w:eastAsia="Times New Roman" w:cs="Times New Roman"/>
          <w:szCs w:val="24"/>
        </w:rPr>
        <w:t xml:space="preserve"> reģionam mērķim “Investīcijas nodarbinātībai un izaugsmei” ir ~543 milj. </w:t>
      </w:r>
      <w:r w:rsidRPr="00521B1D">
        <w:rPr>
          <w:rFonts w:eastAsia="Calibri" w:cs="Times New Roman"/>
          <w:i/>
          <w:iCs/>
          <w:szCs w:val="24"/>
        </w:rPr>
        <w:t>euro</w:t>
      </w:r>
      <w:r w:rsidRPr="00521B1D">
        <w:rPr>
          <w:rFonts w:eastAsia="Times New Roman" w:cs="Times New Roman"/>
          <w:szCs w:val="24"/>
        </w:rPr>
        <w:t xml:space="preserve"> faktiskajās cenās).</w:t>
      </w:r>
    </w:p>
    <w:p w14:paraId="3A1745B1" w14:textId="77777777" w:rsidR="00802E2A" w:rsidRPr="00085148" w:rsidRDefault="00802E2A" w:rsidP="00802E2A">
      <w:pPr>
        <w:rPr>
          <w:rFonts w:eastAsia="Times New Roman" w:cs="Times New Roman"/>
          <w:bCs/>
          <w:szCs w:val="24"/>
          <w:u w:val="single"/>
        </w:rPr>
      </w:pPr>
      <w:r w:rsidRPr="002F64A6">
        <w:rPr>
          <w:rFonts w:eastAsia="Times New Roman" w:cs="Times New Roman"/>
          <w:szCs w:val="24"/>
        </w:rPr>
        <w:lastRenderedPageBreak/>
        <w:t>Svarīgi atzīmēt, ka tām valstīm, kurām Kohēzijas fondu finansējuma sadales metodoloģijas īpatnību dēļ tiek piemēroti dažāda veida ierobežojumi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 xml:space="preserve">gada periodā tās ir 20 no 27 dalībvalstīm, t.sk. </w:t>
      </w:r>
      <w:r>
        <w:rPr>
          <w:rFonts w:eastAsia="Times New Roman" w:cs="Times New Roman"/>
          <w:szCs w:val="24"/>
        </w:rPr>
        <w:t>Latvija</w:t>
      </w:r>
      <w:r w:rsidRPr="002F64A6">
        <w:rPr>
          <w:rFonts w:eastAsia="Times New Roman" w:cs="Times New Roman"/>
          <w:szCs w:val="24"/>
        </w:rPr>
        <w:t xml:space="preserve">, </w:t>
      </w:r>
      <w:r>
        <w:rPr>
          <w:rFonts w:eastAsia="Times New Roman" w:cs="Times New Roman"/>
          <w:szCs w:val="24"/>
        </w:rPr>
        <w:t>Lietuva</w:t>
      </w:r>
      <w:r w:rsidRPr="002F64A6">
        <w:rPr>
          <w:rFonts w:eastAsia="Times New Roman" w:cs="Times New Roman"/>
          <w:szCs w:val="24"/>
        </w:rPr>
        <w:t xml:space="preserve">, </w:t>
      </w:r>
      <w:r>
        <w:rPr>
          <w:rFonts w:eastAsia="Times New Roman" w:cs="Times New Roman"/>
          <w:szCs w:val="24"/>
        </w:rPr>
        <w:t>Igaunija</w:t>
      </w:r>
      <w:r w:rsidRPr="002F64A6">
        <w:rPr>
          <w:rFonts w:eastAsia="Times New Roman" w:cs="Times New Roman"/>
          <w:szCs w:val="24"/>
        </w:rPr>
        <w:t xml:space="preserve">, </w:t>
      </w:r>
      <w:r>
        <w:rPr>
          <w:rFonts w:eastAsia="Times New Roman" w:cs="Times New Roman"/>
          <w:szCs w:val="24"/>
        </w:rPr>
        <w:t>Slovēnija</w:t>
      </w:r>
      <w:r w:rsidRPr="002F64A6">
        <w:rPr>
          <w:rFonts w:eastAsia="Times New Roman" w:cs="Times New Roman"/>
          <w:szCs w:val="24"/>
        </w:rPr>
        <w:t xml:space="preserve"> u.c.), </w:t>
      </w:r>
      <w:r w:rsidRPr="002F64A6">
        <w:rPr>
          <w:rFonts w:eastAsia="Times New Roman" w:cs="Times New Roman"/>
          <w:bCs/>
          <w:szCs w:val="24"/>
          <w:u w:val="single"/>
        </w:rPr>
        <w:t xml:space="preserve">valstu </w:t>
      </w:r>
      <w:r w:rsidRPr="00E442F8">
        <w:rPr>
          <w:rFonts w:eastAsia="Times New Roman" w:cs="Times New Roman"/>
          <w:bCs/>
          <w:szCs w:val="24"/>
          <w:u w:val="single"/>
        </w:rPr>
        <w:t xml:space="preserve">iedalījumam </w:t>
      </w:r>
      <w:r w:rsidRPr="00E442F8">
        <w:rPr>
          <w:rFonts w:eastAsia="Times New Roman" w:cs="Times New Roman"/>
          <w:bCs/>
          <w:i/>
          <w:iCs/>
          <w:szCs w:val="24"/>
          <w:u w:val="single"/>
        </w:rPr>
        <w:t>NUTS</w:t>
      </w:r>
      <w:r w:rsidRPr="00E442F8">
        <w:rPr>
          <w:rFonts w:eastAsia="Times New Roman" w:cs="Times New Roman"/>
          <w:bCs/>
          <w:szCs w:val="24"/>
          <w:u w:val="single"/>
        </w:rPr>
        <w:t xml:space="preserve"> 2 un </w:t>
      </w:r>
      <w:r w:rsidRPr="00E442F8">
        <w:rPr>
          <w:rFonts w:eastAsia="Times New Roman" w:cs="Times New Roman"/>
          <w:bCs/>
          <w:i/>
          <w:iCs/>
          <w:szCs w:val="24"/>
          <w:u w:val="single"/>
        </w:rPr>
        <w:t>NUTS</w:t>
      </w:r>
      <w:r w:rsidRPr="00E442F8">
        <w:rPr>
          <w:rFonts w:eastAsia="Times New Roman" w:cs="Times New Roman"/>
          <w:bCs/>
          <w:szCs w:val="24"/>
          <w:u w:val="single"/>
        </w:rPr>
        <w:t> 3 reģionos</w:t>
      </w:r>
      <w:r w:rsidRPr="002F64A6">
        <w:rPr>
          <w:rFonts w:eastAsia="Times New Roman" w:cs="Times New Roman"/>
          <w:bCs/>
          <w:szCs w:val="24"/>
          <w:u w:val="single"/>
        </w:rPr>
        <w:t xml:space="preserve"> ir ietekme tikai uz sākotnējo piešķīrumu aprēķinu (kopējā piešķīruma sadalījuma proporciju pa mērķiem (Investīcijas nodarbinātībai un izaugsmei” un Eiropas teritoriālās sadarbības mērķim (</w:t>
      </w:r>
      <w:r w:rsidRPr="002F64A6">
        <w:rPr>
          <w:rFonts w:eastAsia="Times New Roman" w:cs="Times New Roman"/>
          <w:bCs/>
          <w:i/>
          <w:iCs/>
          <w:szCs w:val="24"/>
          <w:u w:val="single"/>
        </w:rPr>
        <w:t>Interreg</w:t>
      </w:r>
      <w:r w:rsidRPr="002F64A6">
        <w:rPr>
          <w:rFonts w:eastAsia="Times New Roman" w:cs="Times New Roman"/>
          <w:bCs/>
          <w:szCs w:val="24"/>
          <w:u w:val="single"/>
        </w:rPr>
        <w:t xml:space="preserve">)) un fondiem (ESF, ERDF, KF)), nevis galīgo Kohēzijas politikas fondu piešķīrumu apjomu. </w:t>
      </w:r>
    </w:p>
    <w:p w14:paraId="29D9787C" w14:textId="77777777" w:rsidR="00802E2A" w:rsidRPr="00085148" w:rsidRDefault="00802E2A" w:rsidP="00802E2A">
      <w:pPr>
        <w:pStyle w:val="Heading2"/>
        <w:rPr>
          <w:rFonts w:eastAsiaTheme="minorHAnsi" w:cstheme="minorBidi"/>
          <w:szCs w:val="24"/>
        </w:rPr>
      </w:pPr>
      <w:r w:rsidRPr="00085148">
        <w:t xml:space="preserve">4. Provizoriskais Latvijas piešķīrums dažādiem </w:t>
      </w:r>
      <w:r w:rsidRPr="00085148">
        <w:rPr>
          <w:i/>
          <w:iCs/>
        </w:rPr>
        <w:t>NUTS</w:t>
      </w:r>
      <w:r w:rsidRPr="00085148">
        <w:t> 2 dalījumiem un reģionu attīstības klasifikācijas</w:t>
      </w:r>
    </w:p>
    <w:p w14:paraId="16EFF714" w14:textId="77777777" w:rsidR="00802E2A" w:rsidRDefault="00802E2A" w:rsidP="00802E2A">
      <w:pPr>
        <w:ind w:firstLine="720"/>
        <w:rPr>
          <w:rFonts w:eastAsia="Times New Roman" w:cs="Times New Roman"/>
          <w:szCs w:val="24"/>
        </w:rPr>
      </w:pPr>
      <w:r w:rsidRPr="002F64A6">
        <w:rPr>
          <w:rFonts w:eastAsia="Times New Roman" w:cs="Times New Roman"/>
          <w:szCs w:val="24"/>
        </w:rPr>
        <w:t>Latvijas aploksnei atbilstoši sadales metodoloģijai piemērotā maksimālā apjoma (</w:t>
      </w:r>
      <w:proofErr w:type="spellStart"/>
      <w:r w:rsidRPr="00C27500">
        <w:rPr>
          <w:rFonts w:eastAsia="Times New Roman" w:cs="Times New Roman"/>
          <w:i/>
          <w:iCs/>
          <w:szCs w:val="24"/>
        </w:rPr>
        <w:t>capping</w:t>
      </w:r>
      <w:proofErr w:type="spellEnd"/>
      <w:r w:rsidRPr="002F64A6">
        <w:rPr>
          <w:rFonts w:eastAsia="Times New Roman" w:cs="Times New Roman"/>
          <w:szCs w:val="24"/>
        </w:rPr>
        <w:t>) likme ir samazinājusies no 4% (</w:t>
      </w:r>
      <w:r w:rsidRPr="002F64A6">
        <w:rPr>
          <w:rFonts w:eastAsia="Times New Roman" w:cs="Times New Roman"/>
          <w:bCs/>
          <w:szCs w:val="24"/>
        </w:rPr>
        <w:t>20</w:t>
      </w:r>
      <w:r>
        <w:rPr>
          <w:rFonts w:eastAsia="Times New Roman" w:cs="Times New Roman"/>
          <w:bCs/>
          <w:szCs w:val="24"/>
        </w:rPr>
        <w:t>07</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w:t>
      </w:r>
      <w:r>
        <w:rPr>
          <w:rFonts w:eastAsia="Times New Roman" w:cs="Times New Roman"/>
          <w:szCs w:val="24"/>
        </w:rPr>
        <w:t>13</w:t>
      </w:r>
      <w:r w:rsidRPr="002F64A6">
        <w:rPr>
          <w:rFonts w:eastAsia="Times New Roman" w:cs="Times New Roman"/>
          <w:szCs w:val="24"/>
        </w:rPr>
        <w:t>.</w:t>
      </w:r>
      <w:r>
        <w:rPr>
          <w:rFonts w:eastAsia="Times New Roman" w:cs="Times New Roman"/>
          <w:szCs w:val="24"/>
        </w:rPr>
        <w:t> </w:t>
      </w:r>
      <w:r w:rsidRPr="002F64A6">
        <w:rPr>
          <w:rFonts w:eastAsia="Times New Roman" w:cs="Times New Roman"/>
          <w:szCs w:val="24"/>
        </w:rPr>
        <w:t>gada periodā) līdz 1,66%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 xml:space="preserve">gada periodā) un tas nodrošināja pieejamā finansējuma apjomu 4,6 – 4,8 mljrd. </w:t>
      </w:r>
      <w:r>
        <w:rPr>
          <w:rFonts w:eastAsia="Calibri" w:cs="Times New Roman"/>
          <w:i/>
          <w:iCs/>
          <w:szCs w:val="24"/>
        </w:rPr>
        <w:t>euro</w:t>
      </w:r>
      <w:r w:rsidRPr="002F64A6">
        <w:rPr>
          <w:rFonts w:eastAsia="Times New Roman" w:cs="Times New Roman"/>
          <w:szCs w:val="24"/>
        </w:rPr>
        <w:t xml:space="preserve"> (faktiskajās cenās) trīs periodus pēc kārtas (faktiski tas nozīmēja samazinājumu 10-13% reālā izteiksmē, ~5% faktiskajās cenās), Latvijai kvalificējoties </w:t>
      </w:r>
      <w:r w:rsidRPr="00CC1B5E">
        <w:rPr>
          <w:rFonts w:eastAsia="Times New Roman" w:cs="Times New Roman"/>
          <w:i/>
          <w:iCs/>
          <w:szCs w:val="24"/>
        </w:rPr>
        <w:t>mazāk attīstītā</w:t>
      </w:r>
      <w:r w:rsidRPr="002F64A6">
        <w:rPr>
          <w:rFonts w:eastAsia="Times New Roman" w:cs="Times New Roman"/>
          <w:szCs w:val="24"/>
        </w:rPr>
        <w:t xml:space="preserve"> reģiona kategorijai.</w:t>
      </w:r>
    </w:p>
    <w:p w14:paraId="0EE67F6E" w14:textId="77777777" w:rsidR="00802E2A" w:rsidRPr="002F64A6" w:rsidRDefault="00802E2A" w:rsidP="00802E2A">
      <w:pPr>
        <w:ind w:firstLine="720"/>
        <w:rPr>
          <w:rFonts w:eastAsia="Times New Roman" w:cs="Times New Roman"/>
          <w:szCs w:val="24"/>
        </w:rPr>
      </w:pPr>
      <w:r w:rsidRPr="002F64A6">
        <w:rPr>
          <w:rFonts w:eastAsia="Times New Roman" w:cs="Times New Roman"/>
          <w:szCs w:val="24"/>
        </w:rPr>
        <w:t>Pieņemot, ka paliek nemainīgi</w:t>
      </w:r>
      <w:r w:rsidRPr="002F64A6">
        <w:rPr>
          <w:rStyle w:val="FootnoteReference"/>
          <w:rFonts w:eastAsia="Times New Roman" w:cs="Times New Roman"/>
          <w:szCs w:val="24"/>
        </w:rPr>
        <w:footnoteReference w:id="8"/>
      </w:r>
      <w:r w:rsidRPr="002F64A6">
        <w:rPr>
          <w:rFonts w:eastAsia="Times New Roman" w:cs="Times New Roman"/>
          <w:szCs w:val="24"/>
        </w:rPr>
        <w:t>:</w:t>
      </w:r>
    </w:p>
    <w:p w14:paraId="3BB3452D" w14:textId="77777777" w:rsidR="00802E2A" w:rsidRPr="00085148" w:rsidRDefault="00802E2A" w:rsidP="00802E2A">
      <w:pPr>
        <w:pStyle w:val="ListParagraph"/>
        <w:numPr>
          <w:ilvl w:val="0"/>
          <w:numId w:val="44"/>
        </w:numPr>
        <w:spacing w:after="0"/>
        <w:contextualSpacing/>
        <w:rPr>
          <w:rFonts w:eastAsia="Times New Roman" w:cs="Times New Roman"/>
          <w:szCs w:val="24"/>
        </w:rPr>
      </w:pPr>
      <w:r w:rsidRPr="00085148">
        <w:rPr>
          <w:rFonts w:eastAsia="Times New Roman" w:cs="Times New Roman"/>
          <w:szCs w:val="24"/>
        </w:rPr>
        <w:t>ES daudzgadu budžeta perioda ilgums;</w:t>
      </w:r>
    </w:p>
    <w:p w14:paraId="67719B3F" w14:textId="77777777" w:rsidR="00802E2A" w:rsidRPr="002F64A6" w:rsidRDefault="00802E2A" w:rsidP="00802E2A">
      <w:pPr>
        <w:pStyle w:val="ListParagraph"/>
        <w:numPr>
          <w:ilvl w:val="0"/>
          <w:numId w:val="44"/>
        </w:numPr>
        <w:spacing w:after="0"/>
        <w:contextualSpacing/>
        <w:rPr>
          <w:rFonts w:eastAsia="Times New Roman" w:cs="Times New Roman"/>
          <w:szCs w:val="24"/>
        </w:rPr>
      </w:pPr>
      <w:r w:rsidRPr="002F64A6">
        <w:rPr>
          <w:rFonts w:eastAsia="Times New Roman" w:cs="Times New Roman"/>
          <w:szCs w:val="24"/>
        </w:rPr>
        <w:t>ES budžeta sadalījums starp politikām, programmām, fondiem;</w:t>
      </w:r>
    </w:p>
    <w:p w14:paraId="0C5DC02B" w14:textId="77777777" w:rsidR="00802E2A" w:rsidRPr="002F64A6" w:rsidRDefault="00802E2A" w:rsidP="00802E2A">
      <w:pPr>
        <w:pStyle w:val="ListParagraph"/>
        <w:numPr>
          <w:ilvl w:val="0"/>
          <w:numId w:val="44"/>
        </w:numPr>
        <w:spacing w:after="0"/>
        <w:contextualSpacing/>
        <w:rPr>
          <w:rFonts w:eastAsia="Times New Roman" w:cs="Times New Roman"/>
          <w:szCs w:val="24"/>
        </w:rPr>
      </w:pPr>
      <w:r w:rsidRPr="002F64A6">
        <w:rPr>
          <w:rFonts w:eastAsia="Times New Roman" w:cs="Times New Roman"/>
          <w:szCs w:val="24"/>
        </w:rPr>
        <w:t>ES Kohēzijas politikas fondu saraksts (ERDF, ESF, KF), to mērķi;</w:t>
      </w:r>
    </w:p>
    <w:p w14:paraId="03A1E3E7" w14:textId="77777777" w:rsidR="00802E2A" w:rsidRDefault="00802E2A" w:rsidP="00802E2A">
      <w:pPr>
        <w:pStyle w:val="ListParagraph"/>
        <w:numPr>
          <w:ilvl w:val="0"/>
          <w:numId w:val="44"/>
        </w:numPr>
        <w:spacing w:after="0"/>
        <w:contextualSpacing/>
        <w:rPr>
          <w:rFonts w:eastAsia="Times New Roman" w:cs="Times New Roman"/>
          <w:szCs w:val="24"/>
        </w:rPr>
      </w:pPr>
      <w:r w:rsidRPr="002F64A6">
        <w:rPr>
          <w:rFonts w:eastAsia="Times New Roman" w:cs="Times New Roman"/>
          <w:szCs w:val="24"/>
        </w:rPr>
        <w:t>ES Kohēzijas politikas fondu atbalsta reģionu piederības noteikšanas metode un izmantojamais atsauces periods;</w:t>
      </w:r>
    </w:p>
    <w:p w14:paraId="74B0C3D2" w14:textId="77777777" w:rsidR="00802E2A" w:rsidRPr="00402789" w:rsidRDefault="00802E2A" w:rsidP="00802E2A">
      <w:pPr>
        <w:pStyle w:val="ListParagraph"/>
        <w:numPr>
          <w:ilvl w:val="0"/>
          <w:numId w:val="44"/>
        </w:numPr>
        <w:spacing w:after="0"/>
        <w:contextualSpacing/>
        <w:rPr>
          <w:rFonts w:eastAsia="Times New Roman" w:cs="Times New Roman"/>
          <w:szCs w:val="24"/>
        </w:rPr>
      </w:pPr>
      <w:r w:rsidRPr="00085148">
        <w:rPr>
          <w:rFonts w:eastAsia="Times New Roman" w:cs="Times New Roman"/>
          <w:szCs w:val="24"/>
        </w:rPr>
        <w:t>ES Kohēzijas politikas fondu finansējuma sadales metodoloģija, tāpat neņemot vērā sociālekonomisko kritēriju rādītāju izmaiņas, bet pieņemot, ka atbilstoši Latvijas Nacionālajā attīstības plānā 2021.–2027. gadam prognozei Latvijas IKP uz vienu iedzīvotāju 2027.</w:t>
      </w:r>
      <w:r>
        <w:rPr>
          <w:rFonts w:eastAsia="Times New Roman" w:cs="Times New Roman"/>
          <w:szCs w:val="24"/>
        </w:rPr>
        <w:t> </w:t>
      </w:r>
      <w:r w:rsidRPr="00085148">
        <w:rPr>
          <w:rFonts w:eastAsia="Times New Roman" w:cs="Times New Roman"/>
          <w:szCs w:val="24"/>
        </w:rPr>
        <w:t xml:space="preserve">gadā varētu sasniegt 80% no ES–27 vidējās vērtības, balstoties uz vidējo atbalsta intensitāti un atbalsta intensitāti Lietuvā, Igaunijā, Slovēnijā, </w:t>
      </w:r>
      <w:r w:rsidRPr="00085148">
        <w:rPr>
          <w:rFonts w:eastAsia="Times New Roman" w:cs="Times New Roman"/>
          <w:b/>
          <w:bCs/>
          <w:szCs w:val="24"/>
        </w:rPr>
        <w:t>var ļoti indikatīvi iezīmēt</w:t>
      </w:r>
      <w:r w:rsidRPr="00085148">
        <w:rPr>
          <w:rFonts w:eastAsia="Times New Roman" w:cs="Times New Roman"/>
          <w:szCs w:val="24"/>
        </w:rPr>
        <w:t>:</w:t>
      </w:r>
    </w:p>
    <w:p w14:paraId="3C554441" w14:textId="77777777" w:rsidR="00802E2A" w:rsidRDefault="00802E2A" w:rsidP="00802E2A">
      <w:pPr>
        <w:pStyle w:val="ListParagraph"/>
        <w:numPr>
          <w:ilvl w:val="0"/>
          <w:numId w:val="45"/>
        </w:numPr>
        <w:spacing w:after="0"/>
        <w:rPr>
          <w:rFonts w:eastAsia="Times New Roman" w:cs="Times New Roman"/>
          <w:szCs w:val="24"/>
        </w:rPr>
      </w:pPr>
      <w:r w:rsidRPr="002F64A6">
        <w:rPr>
          <w:rFonts w:eastAsia="Times New Roman" w:cs="Times New Roman"/>
          <w:szCs w:val="24"/>
        </w:rPr>
        <w:t>scenārijs</w:t>
      </w:r>
      <w:r>
        <w:rPr>
          <w:rStyle w:val="FootnoteReference"/>
          <w:rFonts w:eastAsia="Times New Roman" w:cs="Times New Roman"/>
          <w:szCs w:val="24"/>
        </w:rPr>
        <w:footnoteReference w:id="9"/>
      </w:r>
      <w:r w:rsidRPr="002F64A6">
        <w:rPr>
          <w:rFonts w:eastAsia="Times New Roman" w:cs="Times New Roman"/>
          <w:szCs w:val="24"/>
        </w:rPr>
        <w:t xml:space="preserve">, ja Latvija, kā viens līdzšinējais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 xml:space="preserve">2 </w:t>
      </w:r>
      <w:r w:rsidRPr="002F64A6">
        <w:rPr>
          <w:rFonts w:eastAsia="Times New Roman" w:cs="Times New Roman"/>
          <w:szCs w:val="24"/>
        </w:rPr>
        <w:t xml:space="preserve">reģions klasificētos jau kā </w:t>
      </w:r>
      <w:r w:rsidRPr="002F64A6">
        <w:rPr>
          <w:rFonts w:eastAsia="Times New Roman" w:cs="Times New Roman"/>
          <w:i/>
          <w:iCs/>
          <w:szCs w:val="24"/>
        </w:rPr>
        <w:t>pārejas reģions</w:t>
      </w:r>
      <w:r w:rsidRPr="002F64A6">
        <w:rPr>
          <w:rFonts w:eastAsia="Times New Roman" w:cs="Times New Roman"/>
          <w:szCs w:val="24"/>
        </w:rPr>
        <w:t xml:space="preserve">, </w:t>
      </w:r>
      <w:r w:rsidRPr="002F64A6">
        <w:rPr>
          <w:rFonts w:eastAsia="Times New Roman" w:cs="Times New Roman"/>
          <w:b/>
          <w:bCs/>
          <w:szCs w:val="24"/>
        </w:rPr>
        <w:t xml:space="preserve">Latvijai kopējais pieejamā ES Kohēzijas politikas fondu finansējuma apjoms varētu būt līdz 3,5 – 4,0 mljrd. </w:t>
      </w:r>
      <w:r w:rsidRPr="00CF4655">
        <w:rPr>
          <w:rFonts w:eastAsia="Calibri" w:cs="Times New Roman"/>
          <w:b/>
          <w:bCs/>
          <w:i/>
          <w:iCs/>
          <w:szCs w:val="24"/>
        </w:rPr>
        <w:t>euro</w:t>
      </w:r>
      <w:r w:rsidRPr="002F64A6">
        <w:rPr>
          <w:rFonts w:eastAsia="Times New Roman" w:cs="Times New Roman"/>
          <w:szCs w:val="24"/>
        </w:rPr>
        <w:t xml:space="preserve"> (t.sk. ~30% Kohēzijas fondam (t.sk. EISI) un Eiropas teritoriālās sadarbības mērķim (Interreg), 2,4 – 2,8 mljrd. </w:t>
      </w:r>
      <w:r>
        <w:rPr>
          <w:rFonts w:eastAsia="Calibri" w:cs="Times New Roman"/>
          <w:i/>
          <w:iCs/>
          <w:szCs w:val="24"/>
        </w:rPr>
        <w:t>euro</w:t>
      </w:r>
      <w:r w:rsidRPr="00A92DF4">
        <w:rPr>
          <w:rFonts w:eastAsia="Times New Roman" w:cs="Times New Roman"/>
          <w:i/>
          <w:iCs/>
          <w:szCs w:val="24"/>
        </w:rPr>
        <w:t xml:space="preserve"> pārejas</w:t>
      </w:r>
      <w:r w:rsidRPr="002F64A6">
        <w:rPr>
          <w:rFonts w:eastAsia="Times New Roman" w:cs="Times New Roman"/>
          <w:szCs w:val="24"/>
        </w:rPr>
        <w:t xml:space="preserve"> reģiona plānošanai) ES daudzgadu budžeta periodam pēc 2027.</w:t>
      </w:r>
      <w:r>
        <w:rPr>
          <w:rFonts w:eastAsia="Times New Roman" w:cs="Times New Roman"/>
          <w:szCs w:val="24"/>
        </w:rPr>
        <w:t> </w:t>
      </w:r>
      <w:r w:rsidRPr="002F64A6">
        <w:rPr>
          <w:rFonts w:eastAsia="Times New Roman" w:cs="Times New Roman"/>
          <w:szCs w:val="24"/>
        </w:rPr>
        <w:t>gada;</w:t>
      </w:r>
    </w:p>
    <w:p w14:paraId="2E2839EC" w14:textId="77777777" w:rsidR="00802E2A" w:rsidRDefault="00802E2A" w:rsidP="00802E2A">
      <w:pPr>
        <w:pStyle w:val="ListParagraph"/>
        <w:numPr>
          <w:ilvl w:val="0"/>
          <w:numId w:val="45"/>
        </w:numPr>
        <w:spacing w:after="0"/>
        <w:rPr>
          <w:rFonts w:eastAsia="Times New Roman" w:cs="Times New Roman"/>
          <w:szCs w:val="24"/>
        </w:rPr>
      </w:pPr>
      <w:r w:rsidRPr="00402789">
        <w:rPr>
          <w:rFonts w:eastAsia="Times New Roman" w:cs="Times New Roman"/>
          <w:szCs w:val="24"/>
        </w:rPr>
        <w:t xml:space="preserve">2. scenārijā, ja </w:t>
      </w:r>
      <w:r w:rsidRPr="00402789">
        <w:rPr>
          <w:rFonts w:eastAsia="Times New Roman" w:cs="Times New Roman"/>
          <w:b/>
          <w:bCs/>
          <w:szCs w:val="24"/>
        </w:rPr>
        <w:t xml:space="preserve">Latviju sadala divos </w:t>
      </w:r>
      <w:r w:rsidRPr="00402789">
        <w:rPr>
          <w:rFonts w:eastAsia="Times New Roman" w:cs="Times New Roman"/>
          <w:b/>
          <w:bCs/>
          <w:i/>
          <w:iCs/>
          <w:szCs w:val="24"/>
        </w:rPr>
        <w:t>NUTS</w:t>
      </w:r>
      <w:r w:rsidRPr="00402789">
        <w:rPr>
          <w:rFonts w:eastAsia="Times New Roman" w:cs="Times New Roman"/>
          <w:b/>
          <w:bCs/>
          <w:szCs w:val="24"/>
        </w:rPr>
        <w:t> 2 reģionos</w:t>
      </w:r>
      <w:r w:rsidRPr="00402789">
        <w:rPr>
          <w:rFonts w:eastAsia="Times New Roman" w:cs="Times New Roman"/>
          <w:szCs w:val="24"/>
        </w:rPr>
        <w:t xml:space="preserve">, kur viens </w:t>
      </w:r>
      <w:r w:rsidRPr="00402789">
        <w:rPr>
          <w:rFonts w:eastAsia="Times New Roman" w:cs="Times New Roman"/>
          <w:bCs/>
          <w:i/>
          <w:iCs/>
          <w:szCs w:val="24"/>
        </w:rPr>
        <w:t>NUTS</w:t>
      </w:r>
      <w:r w:rsidRPr="00402789">
        <w:rPr>
          <w:rFonts w:eastAsia="Times New Roman" w:cs="Times New Roman"/>
          <w:bCs/>
          <w:szCs w:val="24"/>
        </w:rPr>
        <w:t xml:space="preserve"> 2 </w:t>
      </w:r>
      <w:r w:rsidRPr="00402789">
        <w:rPr>
          <w:rFonts w:eastAsia="Times New Roman" w:cs="Times New Roman"/>
          <w:szCs w:val="24"/>
        </w:rPr>
        <w:t xml:space="preserve">reģions potenciāli kvalificētos kā </w:t>
      </w:r>
      <w:r w:rsidRPr="00402789">
        <w:rPr>
          <w:rFonts w:eastAsia="Times New Roman" w:cs="Times New Roman"/>
          <w:i/>
          <w:iCs/>
          <w:szCs w:val="24"/>
        </w:rPr>
        <w:t>mazāk attīstītais reģions (LDR)</w:t>
      </w:r>
      <w:r w:rsidRPr="00402789">
        <w:rPr>
          <w:rFonts w:eastAsia="Times New Roman" w:cs="Times New Roman"/>
          <w:szCs w:val="24"/>
        </w:rPr>
        <w:t xml:space="preserve">, savukārt otrs </w:t>
      </w:r>
      <w:r w:rsidRPr="00402789">
        <w:rPr>
          <w:rFonts w:eastAsia="Times New Roman" w:cs="Times New Roman"/>
          <w:bCs/>
          <w:i/>
          <w:iCs/>
          <w:szCs w:val="24"/>
        </w:rPr>
        <w:t>NUTS</w:t>
      </w:r>
      <w:r w:rsidRPr="00402789">
        <w:rPr>
          <w:rFonts w:eastAsia="Times New Roman" w:cs="Times New Roman"/>
          <w:bCs/>
          <w:szCs w:val="24"/>
        </w:rPr>
        <w:t xml:space="preserve"> 2 </w:t>
      </w:r>
      <w:r w:rsidRPr="00402789">
        <w:rPr>
          <w:rFonts w:eastAsia="Times New Roman" w:cs="Times New Roman"/>
          <w:szCs w:val="24"/>
        </w:rPr>
        <w:t xml:space="preserve">reģions potenciāli atbilstu </w:t>
      </w:r>
      <w:r w:rsidRPr="00402789">
        <w:rPr>
          <w:rFonts w:eastAsia="Times New Roman" w:cs="Times New Roman"/>
          <w:i/>
          <w:iCs/>
          <w:szCs w:val="24"/>
        </w:rPr>
        <w:t xml:space="preserve">pārejas reģiona </w:t>
      </w:r>
      <w:r w:rsidRPr="00402789">
        <w:rPr>
          <w:rFonts w:eastAsia="Times New Roman" w:cs="Times New Roman"/>
          <w:szCs w:val="24"/>
        </w:rPr>
        <w:t>statusam;</w:t>
      </w:r>
    </w:p>
    <w:p w14:paraId="5842D113" w14:textId="77777777" w:rsidR="00802E2A" w:rsidRPr="00402789" w:rsidRDefault="00802E2A" w:rsidP="00802E2A">
      <w:pPr>
        <w:pStyle w:val="ListParagraph"/>
        <w:numPr>
          <w:ilvl w:val="0"/>
          <w:numId w:val="45"/>
        </w:numPr>
        <w:spacing w:after="0"/>
        <w:rPr>
          <w:rFonts w:eastAsia="Times New Roman" w:cs="Times New Roman"/>
          <w:szCs w:val="24"/>
        </w:rPr>
      </w:pPr>
      <w:r w:rsidRPr="00402789">
        <w:rPr>
          <w:rFonts w:eastAsia="Times New Roman" w:cs="Times New Roman"/>
          <w:szCs w:val="24"/>
        </w:rPr>
        <w:t>3. scenārijā, ja L</w:t>
      </w:r>
      <w:r w:rsidRPr="00402789">
        <w:rPr>
          <w:rFonts w:eastAsia="Times New Roman" w:cs="Times New Roman"/>
          <w:b/>
          <w:bCs/>
          <w:szCs w:val="24"/>
        </w:rPr>
        <w:t xml:space="preserve">atviju sadala divos </w:t>
      </w:r>
      <w:r w:rsidRPr="00402789">
        <w:rPr>
          <w:rFonts w:eastAsia="Times New Roman" w:cs="Times New Roman"/>
          <w:b/>
          <w:bCs/>
          <w:i/>
          <w:iCs/>
          <w:szCs w:val="24"/>
        </w:rPr>
        <w:t>NUTS </w:t>
      </w:r>
      <w:r w:rsidRPr="00402789">
        <w:rPr>
          <w:rFonts w:eastAsia="Times New Roman" w:cs="Times New Roman"/>
          <w:b/>
          <w:bCs/>
          <w:szCs w:val="24"/>
        </w:rPr>
        <w:t>2 reģionos</w:t>
      </w:r>
      <w:r w:rsidRPr="00402789">
        <w:rPr>
          <w:rFonts w:eastAsia="Times New Roman" w:cs="Times New Roman"/>
          <w:szCs w:val="24"/>
        </w:rPr>
        <w:t xml:space="preserve">, kur viens </w:t>
      </w:r>
      <w:r w:rsidRPr="00402789">
        <w:rPr>
          <w:rFonts w:eastAsia="Times New Roman" w:cs="Times New Roman"/>
          <w:bCs/>
          <w:i/>
          <w:iCs/>
          <w:szCs w:val="24"/>
        </w:rPr>
        <w:t>NUTS</w:t>
      </w:r>
      <w:r w:rsidRPr="00402789">
        <w:rPr>
          <w:rFonts w:eastAsia="Times New Roman" w:cs="Times New Roman"/>
          <w:bCs/>
          <w:szCs w:val="24"/>
        </w:rPr>
        <w:t xml:space="preserve"> 2 </w:t>
      </w:r>
      <w:r w:rsidRPr="00402789">
        <w:rPr>
          <w:rFonts w:eastAsia="Times New Roman" w:cs="Times New Roman"/>
          <w:szCs w:val="24"/>
        </w:rPr>
        <w:t xml:space="preserve">reģions kvalificētos kā </w:t>
      </w:r>
      <w:r w:rsidRPr="00402789">
        <w:rPr>
          <w:rFonts w:eastAsia="Times New Roman" w:cs="Times New Roman"/>
          <w:i/>
          <w:iCs/>
          <w:szCs w:val="24"/>
        </w:rPr>
        <w:t>mazāk attīstītais reģions (LDR)</w:t>
      </w:r>
      <w:r w:rsidRPr="00402789">
        <w:rPr>
          <w:rFonts w:eastAsia="Times New Roman" w:cs="Times New Roman"/>
          <w:szCs w:val="24"/>
        </w:rPr>
        <w:t xml:space="preserve"> un otrs atbilstu </w:t>
      </w:r>
      <w:r w:rsidRPr="00402789">
        <w:rPr>
          <w:rFonts w:eastAsia="Times New Roman" w:cs="Times New Roman"/>
          <w:i/>
          <w:iCs/>
          <w:szCs w:val="24"/>
        </w:rPr>
        <w:t xml:space="preserve">vairāk attīstītā reģiona </w:t>
      </w:r>
      <w:r w:rsidRPr="00402789">
        <w:rPr>
          <w:rFonts w:eastAsia="Times New Roman" w:cs="Times New Roman"/>
          <w:szCs w:val="24"/>
        </w:rPr>
        <w:t>statusam:</w:t>
      </w:r>
    </w:p>
    <w:p w14:paraId="165BA48A" w14:textId="77777777" w:rsidR="00802E2A" w:rsidRDefault="00802E2A" w:rsidP="007E3271"/>
    <w:p w14:paraId="54C4056B" w14:textId="06DF0AF7" w:rsidR="00802E2A" w:rsidRPr="00F05762" w:rsidRDefault="00802E2A" w:rsidP="007E3271">
      <w:pPr>
        <w:pStyle w:val="ListParagraph"/>
        <w:spacing w:after="0"/>
        <w:ind w:left="0"/>
        <w:jc w:val="right"/>
        <w:rPr>
          <w:i/>
          <w:szCs w:val="22"/>
        </w:rPr>
      </w:pPr>
      <w:r w:rsidRPr="00AA350D">
        <w:rPr>
          <w:i/>
        </w:rPr>
        <w:t xml:space="preserve">Tabula </w:t>
      </w:r>
      <w:r w:rsidRPr="00CA10E6">
        <w:rPr>
          <w:i/>
        </w:rPr>
        <w:t xml:space="preserve">Nr. </w:t>
      </w:r>
      <w:r>
        <w:rPr>
          <w:i/>
        </w:rPr>
        <w:t>4</w:t>
      </w:r>
      <w:r w:rsidRPr="00CA10E6">
        <w:rPr>
          <w:i/>
        </w:rPr>
        <w:t xml:space="preserve">. </w:t>
      </w:r>
      <w:r w:rsidRPr="00F05762">
        <w:rPr>
          <w:i/>
          <w:szCs w:val="22"/>
        </w:rPr>
        <w:t xml:space="preserve">Indikatīvi aprēķini Latvijas piešķīrumam pie atšķirīgiem NUTS 2 reģionu dalījumiem pie </w:t>
      </w:r>
      <w:r w:rsidR="006A34F9">
        <w:rPr>
          <w:i/>
          <w:szCs w:val="22"/>
        </w:rPr>
        <w:t>indikatīvā</w:t>
      </w:r>
      <w:r w:rsidRPr="00F05762">
        <w:rPr>
          <w:i/>
          <w:szCs w:val="22"/>
        </w:rPr>
        <w:t xml:space="preserve"> ES fondu finansējuma sadalījuma</w:t>
      </w:r>
      <w:r w:rsidR="006A34F9">
        <w:rPr>
          <w:i/>
          <w:szCs w:val="22"/>
        </w:rPr>
        <w:t xml:space="preserve"> </w:t>
      </w:r>
      <w:r w:rsidR="006A34F9" w:rsidRPr="006A34F9">
        <w:rPr>
          <w:i/>
          <w:szCs w:val="22"/>
        </w:rPr>
        <w:t>2021.–2027. gada</w:t>
      </w:r>
      <w:r w:rsidR="006A34F9">
        <w:rPr>
          <w:i/>
          <w:szCs w:val="22"/>
        </w:rPr>
        <w:t xml:space="preserve"> plānošanas periodā</w:t>
      </w:r>
      <w:r>
        <w:rPr>
          <w:i/>
        </w:rPr>
        <w:t>.</w:t>
      </w:r>
    </w:p>
    <w:tbl>
      <w:tblPr>
        <w:tblStyle w:val="TableGrid"/>
        <w:tblW w:w="9776" w:type="dxa"/>
        <w:jc w:val="center"/>
        <w:tblLook w:val="04A0" w:firstRow="1" w:lastRow="0" w:firstColumn="1" w:lastColumn="0" w:noHBand="0" w:noVBand="1"/>
      </w:tblPr>
      <w:tblGrid>
        <w:gridCol w:w="2780"/>
        <w:gridCol w:w="2231"/>
        <w:gridCol w:w="2231"/>
        <w:gridCol w:w="2534"/>
      </w:tblGrid>
      <w:tr w:rsidR="00802E2A" w:rsidRPr="002F64A6" w14:paraId="705142DF" w14:textId="77777777" w:rsidTr="007B6A5B">
        <w:trPr>
          <w:trHeight w:val="515"/>
          <w:jc w:val="center"/>
        </w:trPr>
        <w:tc>
          <w:tcPr>
            <w:tcW w:w="2780" w:type="dxa"/>
            <w:shd w:val="clear" w:color="auto" w:fill="BFBFBF" w:themeFill="background1" w:themeFillShade="BF"/>
          </w:tcPr>
          <w:p w14:paraId="7F10B80D" w14:textId="77777777" w:rsidR="00802E2A" w:rsidRPr="002F64A6" w:rsidRDefault="00802E2A" w:rsidP="007B6A5B">
            <w:pPr>
              <w:pStyle w:val="ListParagraph"/>
              <w:spacing w:after="0"/>
              <w:ind w:left="0"/>
              <w:rPr>
                <w:rFonts w:eastAsia="Times New Roman" w:cs="Times New Roman"/>
                <w:szCs w:val="24"/>
              </w:rPr>
            </w:pPr>
          </w:p>
        </w:tc>
        <w:tc>
          <w:tcPr>
            <w:tcW w:w="2231" w:type="dxa"/>
            <w:shd w:val="clear" w:color="auto" w:fill="BFBFBF" w:themeFill="background1" w:themeFillShade="BF"/>
            <w:vAlign w:val="center"/>
          </w:tcPr>
          <w:p w14:paraId="3F71D74A" w14:textId="77777777"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b/>
                <w:szCs w:val="24"/>
              </w:rPr>
              <w:t>1.</w:t>
            </w:r>
            <w:r>
              <w:rPr>
                <w:rFonts w:eastAsia="Times New Roman" w:cs="Times New Roman"/>
                <w:b/>
                <w:szCs w:val="24"/>
              </w:rPr>
              <w:t> </w:t>
            </w:r>
            <w:r w:rsidRPr="002F64A6">
              <w:rPr>
                <w:rFonts w:eastAsia="Times New Roman" w:cs="Times New Roman"/>
                <w:b/>
                <w:szCs w:val="24"/>
              </w:rPr>
              <w:t>scenārijs</w:t>
            </w:r>
          </w:p>
          <w:p w14:paraId="0D5D026F"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 xml:space="preserve">Ja Latvija paliek kā viens </w:t>
            </w:r>
            <w:r w:rsidRPr="00E442F8">
              <w:rPr>
                <w:rFonts w:eastAsia="Times New Roman" w:cs="Times New Roman"/>
                <w:i/>
                <w:iCs/>
                <w:szCs w:val="24"/>
              </w:rPr>
              <w:t>NUTS</w:t>
            </w:r>
            <w:r w:rsidRPr="002F64A6">
              <w:rPr>
                <w:rFonts w:eastAsia="Times New Roman" w:cs="Times New Roman"/>
                <w:szCs w:val="24"/>
              </w:rPr>
              <w:t xml:space="preserve"> </w:t>
            </w:r>
            <w:r w:rsidRPr="00177612">
              <w:rPr>
                <w:rFonts w:eastAsia="Times New Roman" w:cs="Times New Roman"/>
                <w:i/>
                <w:iCs/>
                <w:szCs w:val="24"/>
              </w:rPr>
              <w:t>pārejas</w:t>
            </w:r>
            <w:r w:rsidRPr="002F64A6">
              <w:rPr>
                <w:rFonts w:eastAsia="Times New Roman" w:cs="Times New Roman"/>
                <w:szCs w:val="24"/>
              </w:rPr>
              <w:t xml:space="preserve"> reģions (mljrd. </w:t>
            </w:r>
            <w:r>
              <w:rPr>
                <w:rFonts w:eastAsia="Calibri" w:cs="Times New Roman"/>
                <w:i/>
                <w:iCs/>
                <w:szCs w:val="24"/>
              </w:rPr>
              <w:t>euro</w:t>
            </w:r>
            <w:r w:rsidRPr="002F64A6">
              <w:rPr>
                <w:rFonts w:eastAsia="Times New Roman" w:cs="Times New Roman"/>
                <w:szCs w:val="24"/>
              </w:rPr>
              <w:t>)</w:t>
            </w:r>
          </w:p>
        </w:tc>
        <w:tc>
          <w:tcPr>
            <w:tcW w:w="2231" w:type="dxa"/>
            <w:shd w:val="clear" w:color="auto" w:fill="BFBFBF" w:themeFill="background1" w:themeFillShade="BF"/>
            <w:vAlign w:val="center"/>
          </w:tcPr>
          <w:p w14:paraId="443319EA" w14:textId="77777777"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b/>
                <w:szCs w:val="24"/>
              </w:rPr>
              <w:t>2.</w:t>
            </w:r>
            <w:r>
              <w:rPr>
                <w:rFonts w:eastAsia="Times New Roman" w:cs="Times New Roman"/>
                <w:b/>
                <w:szCs w:val="24"/>
              </w:rPr>
              <w:t> </w:t>
            </w:r>
            <w:r w:rsidRPr="002F64A6">
              <w:rPr>
                <w:rFonts w:eastAsia="Times New Roman" w:cs="Times New Roman"/>
                <w:b/>
                <w:szCs w:val="24"/>
              </w:rPr>
              <w:t>scenārijs</w:t>
            </w:r>
          </w:p>
          <w:p w14:paraId="77760BAF"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 xml:space="preserve">Ja otrs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Pr>
                <w:rFonts w:eastAsia="Times New Roman" w:cs="Times New Roman"/>
                <w:bCs/>
                <w:szCs w:val="24"/>
              </w:rPr>
              <w:t xml:space="preserve"> </w:t>
            </w:r>
            <w:r w:rsidRPr="002F64A6">
              <w:rPr>
                <w:rFonts w:eastAsia="Times New Roman" w:cs="Times New Roman"/>
                <w:szCs w:val="24"/>
              </w:rPr>
              <w:t xml:space="preserve">reģions ir </w:t>
            </w:r>
            <w:r w:rsidRPr="00177612">
              <w:rPr>
                <w:rFonts w:eastAsia="Times New Roman" w:cs="Times New Roman"/>
                <w:i/>
                <w:iCs/>
                <w:szCs w:val="24"/>
              </w:rPr>
              <w:t>pārejas</w:t>
            </w:r>
            <w:r w:rsidRPr="002F64A6">
              <w:rPr>
                <w:rFonts w:eastAsia="Times New Roman" w:cs="Times New Roman"/>
                <w:szCs w:val="24"/>
              </w:rPr>
              <w:t xml:space="preserve"> reģions (mljrd. </w:t>
            </w:r>
            <w:r>
              <w:rPr>
                <w:rFonts w:eastAsia="Calibri" w:cs="Times New Roman"/>
                <w:i/>
                <w:iCs/>
                <w:szCs w:val="24"/>
              </w:rPr>
              <w:t>euro</w:t>
            </w:r>
            <w:r w:rsidRPr="002F64A6">
              <w:rPr>
                <w:rFonts w:eastAsia="Times New Roman" w:cs="Times New Roman"/>
                <w:szCs w:val="24"/>
              </w:rPr>
              <w:t>)</w:t>
            </w:r>
          </w:p>
        </w:tc>
        <w:tc>
          <w:tcPr>
            <w:tcW w:w="2534" w:type="dxa"/>
            <w:shd w:val="clear" w:color="auto" w:fill="BFBFBF" w:themeFill="background1" w:themeFillShade="BF"/>
            <w:vAlign w:val="center"/>
          </w:tcPr>
          <w:p w14:paraId="06AB2513" w14:textId="77777777"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b/>
                <w:szCs w:val="24"/>
              </w:rPr>
              <w:t>3.</w:t>
            </w:r>
            <w:r>
              <w:rPr>
                <w:rFonts w:eastAsia="Times New Roman" w:cs="Times New Roman"/>
                <w:b/>
                <w:szCs w:val="24"/>
              </w:rPr>
              <w:t> </w:t>
            </w:r>
            <w:r w:rsidRPr="002F64A6">
              <w:rPr>
                <w:rFonts w:eastAsia="Times New Roman" w:cs="Times New Roman"/>
                <w:b/>
                <w:szCs w:val="24"/>
              </w:rPr>
              <w:t>scenārijs</w:t>
            </w:r>
          </w:p>
          <w:p w14:paraId="6EB9FDFA"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Ja otrs N</w:t>
            </w:r>
            <w:r w:rsidRPr="00E442F8">
              <w:rPr>
                <w:rFonts w:eastAsia="Times New Roman" w:cs="Times New Roman"/>
                <w:bCs/>
                <w:i/>
                <w:iCs/>
                <w:szCs w:val="24"/>
              </w:rPr>
              <w:t xml:space="preserve"> NUTS</w:t>
            </w:r>
            <w:r>
              <w:rPr>
                <w:rFonts w:eastAsia="Times New Roman" w:cs="Times New Roman"/>
                <w:bCs/>
                <w:szCs w:val="24"/>
              </w:rPr>
              <w:t> </w:t>
            </w:r>
            <w:r w:rsidRPr="002F64A6">
              <w:rPr>
                <w:rFonts w:eastAsia="Times New Roman" w:cs="Times New Roman"/>
                <w:bCs/>
                <w:szCs w:val="24"/>
              </w:rPr>
              <w:t>2</w:t>
            </w:r>
            <w:r w:rsidRPr="002F64A6">
              <w:rPr>
                <w:rFonts w:eastAsia="Times New Roman" w:cs="Times New Roman"/>
                <w:szCs w:val="24"/>
              </w:rPr>
              <w:t xml:space="preserve"> reģions ir </w:t>
            </w:r>
            <w:r w:rsidRPr="00177612">
              <w:rPr>
                <w:rFonts w:eastAsia="Times New Roman" w:cs="Times New Roman"/>
                <w:i/>
                <w:iCs/>
                <w:szCs w:val="24"/>
              </w:rPr>
              <w:t>vairāk attīstītais</w:t>
            </w:r>
            <w:r w:rsidRPr="002F64A6">
              <w:rPr>
                <w:rFonts w:eastAsia="Times New Roman" w:cs="Times New Roman"/>
                <w:szCs w:val="24"/>
              </w:rPr>
              <w:t xml:space="preserve"> reģions (mljrd. </w:t>
            </w:r>
            <w:r>
              <w:rPr>
                <w:rFonts w:eastAsia="Calibri" w:cs="Times New Roman"/>
                <w:i/>
                <w:iCs/>
                <w:szCs w:val="24"/>
              </w:rPr>
              <w:t>euro</w:t>
            </w:r>
            <w:r w:rsidRPr="002F64A6">
              <w:rPr>
                <w:rFonts w:eastAsia="Times New Roman" w:cs="Times New Roman"/>
                <w:szCs w:val="24"/>
              </w:rPr>
              <w:t>)</w:t>
            </w:r>
          </w:p>
        </w:tc>
      </w:tr>
      <w:tr w:rsidR="00802E2A" w:rsidRPr="002F64A6" w14:paraId="60BB00C9" w14:textId="77777777" w:rsidTr="007B6A5B">
        <w:trPr>
          <w:trHeight w:val="505"/>
          <w:jc w:val="center"/>
        </w:trPr>
        <w:tc>
          <w:tcPr>
            <w:tcW w:w="2780" w:type="dxa"/>
          </w:tcPr>
          <w:p w14:paraId="787F6A4E" w14:textId="77777777" w:rsidR="00802E2A" w:rsidRPr="002F64A6" w:rsidRDefault="00802E2A" w:rsidP="007B6A5B">
            <w:pPr>
              <w:pStyle w:val="ListParagraph"/>
              <w:spacing w:after="0"/>
              <w:ind w:left="0"/>
              <w:rPr>
                <w:rFonts w:eastAsia="Times New Roman" w:cs="Times New Roman"/>
                <w:szCs w:val="24"/>
              </w:rPr>
            </w:pPr>
            <w:r w:rsidRPr="00CC1B5E">
              <w:rPr>
                <w:rFonts w:eastAsia="Times New Roman" w:cs="Times New Roman"/>
                <w:i/>
                <w:iCs/>
                <w:szCs w:val="24"/>
              </w:rPr>
              <w:t xml:space="preserve">Mazāk attīstītā </w:t>
            </w:r>
            <w:r w:rsidRPr="002F64A6">
              <w:rPr>
                <w:rFonts w:eastAsia="Times New Roman" w:cs="Times New Roman"/>
                <w:szCs w:val="24"/>
              </w:rPr>
              <w:t xml:space="preserve">reģiona plānošanai </w:t>
            </w:r>
          </w:p>
        </w:tc>
        <w:tc>
          <w:tcPr>
            <w:tcW w:w="2231" w:type="dxa"/>
            <w:vAlign w:val="center"/>
          </w:tcPr>
          <w:p w14:paraId="4B1E37EF" w14:textId="77777777" w:rsidR="00802E2A" w:rsidRPr="002F64A6" w:rsidRDefault="00802E2A" w:rsidP="007B6A5B">
            <w:pPr>
              <w:pStyle w:val="ListParagraph"/>
              <w:spacing w:after="0"/>
              <w:ind w:left="0"/>
              <w:jc w:val="center"/>
              <w:rPr>
                <w:rFonts w:eastAsia="Times New Roman" w:cs="Times New Roman"/>
                <w:szCs w:val="24"/>
              </w:rPr>
            </w:pPr>
            <w:r w:rsidRPr="002F64A6">
              <w:rPr>
                <w:rFonts w:cs="Times New Roman"/>
                <w:szCs w:val="24"/>
              </w:rPr>
              <w:t>-</w:t>
            </w:r>
          </w:p>
        </w:tc>
        <w:tc>
          <w:tcPr>
            <w:tcW w:w="2231" w:type="dxa"/>
            <w:vAlign w:val="center"/>
          </w:tcPr>
          <w:p w14:paraId="6154A091"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2,0 – 2,3</w:t>
            </w:r>
          </w:p>
        </w:tc>
        <w:tc>
          <w:tcPr>
            <w:tcW w:w="2534" w:type="dxa"/>
            <w:vAlign w:val="center"/>
          </w:tcPr>
          <w:p w14:paraId="06A0C53A"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1,87 – 2,6</w:t>
            </w:r>
          </w:p>
        </w:tc>
      </w:tr>
      <w:tr w:rsidR="00802E2A" w:rsidRPr="002F64A6" w14:paraId="158F17CC" w14:textId="77777777" w:rsidTr="007B6A5B">
        <w:trPr>
          <w:trHeight w:val="252"/>
          <w:jc w:val="center"/>
        </w:trPr>
        <w:tc>
          <w:tcPr>
            <w:tcW w:w="2780" w:type="dxa"/>
          </w:tcPr>
          <w:p w14:paraId="0119FA23" w14:textId="77777777" w:rsidR="00802E2A" w:rsidRPr="002F64A6" w:rsidRDefault="00802E2A" w:rsidP="007B6A5B">
            <w:pPr>
              <w:pStyle w:val="ListParagraph"/>
              <w:spacing w:after="0"/>
              <w:ind w:left="0"/>
              <w:rPr>
                <w:rFonts w:eastAsia="Times New Roman" w:cs="Times New Roman"/>
                <w:szCs w:val="24"/>
              </w:rPr>
            </w:pPr>
            <w:r w:rsidRPr="00CC1B5E">
              <w:rPr>
                <w:rFonts w:eastAsia="Times New Roman" w:cs="Times New Roman"/>
                <w:i/>
                <w:iCs/>
                <w:szCs w:val="24"/>
              </w:rPr>
              <w:lastRenderedPageBreak/>
              <w:t>Pārejas</w:t>
            </w:r>
            <w:r w:rsidRPr="002F64A6">
              <w:rPr>
                <w:rFonts w:eastAsia="Times New Roman" w:cs="Times New Roman"/>
                <w:szCs w:val="24"/>
              </w:rPr>
              <w:t xml:space="preserve"> reģiona plānošanai</w:t>
            </w:r>
          </w:p>
        </w:tc>
        <w:tc>
          <w:tcPr>
            <w:tcW w:w="2231" w:type="dxa"/>
            <w:vAlign w:val="center"/>
          </w:tcPr>
          <w:p w14:paraId="5C9DBF65" w14:textId="77777777" w:rsidR="00802E2A" w:rsidRPr="002F64A6" w:rsidRDefault="00802E2A" w:rsidP="007B6A5B">
            <w:pPr>
              <w:pStyle w:val="ListParagraph"/>
              <w:spacing w:after="0"/>
              <w:ind w:left="0"/>
              <w:jc w:val="center"/>
              <w:rPr>
                <w:rFonts w:eastAsia="Times New Roman" w:cs="Times New Roman"/>
                <w:szCs w:val="24"/>
              </w:rPr>
            </w:pPr>
            <w:r w:rsidRPr="002F64A6">
              <w:rPr>
                <w:rFonts w:cs="Times New Roman"/>
                <w:szCs w:val="24"/>
              </w:rPr>
              <w:t>2,4 - 2,8</w:t>
            </w:r>
          </w:p>
        </w:tc>
        <w:tc>
          <w:tcPr>
            <w:tcW w:w="2231" w:type="dxa"/>
            <w:vAlign w:val="center"/>
          </w:tcPr>
          <w:p w14:paraId="2AC465C1"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0,4 – 0,5</w:t>
            </w:r>
          </w:p>
        </w:tc>
        <w:tc>
          <w:tcPr>
            <w:tcW w:w="2534" w:type="dxa"/>
            <w:vAlign w:val="center"/>
          </w:tcPr>
          <w:p w14:paraId="4B8056CF"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w:t>
            </w:r>
          </w:p>
        </w:tc>
      </w:tr>
      <w:tr w:rsidR="00802E2A" w:rsidRPr="002F64A6" w14:paraId="6702E3CF" w14:textId="77777777" w:rsidTr="007B6A5B">
        <w:trPr>
          <w:trHeight w:val="515"/>
          <w:jc w:val="center"/>
        </w:trPr>
        <w:tc>
          <w:tcPr>
            <w:tcW w:w="2780" w:type="dxa"/>
          </w:tcPr>
          <w:p w14:paraId="2D90A35C" w14:textId="77777777" w:rsidR="00802E2A" w:rsidRPr="002F64A6" w:rsidRDefault="00802E2A" w:rsidP="007B6A5B">
            <w:pPr>
              <w:pStyle w:val="ListParagraph"/>
              <w:spacing w:after="0"/>
              <w:ind w:left="0"/>
              <w:rPr>
                <w:rFonts w:eastAsia="Times New Roman" w:cs="Times New Roman"/>
                <w:szCs w:val="24"/>
              </w:rPr>
            </w:pPr>
            <w:r w:rsidRPr="00CC1B5E">
              <w:rPr>
                <w:rFonts w:eastAsia="Times New Roman" w:cs="Times New Roman"/>
                <w:i/>
                <w:iCs/>
                <w:szCs w:val="24"/>
              </w:rPr>
              <w:t>Vairāk attīstītā</w:t>
            </w:r>
            <w:r w:rsidRPr="002F64A6">
              <w:rPr>
                <w:rFonts w:eastAsia="Times New Roman" w:cs="Times New Roman"/>
                <w:szCs w:val="24"/>
              </w:rPr>
              <w:t xml:space="preserve"> reģiona plānošanai</w:t>
            </w:r>
          </w:p>
        </w:tc>
        <w:tc>
          <w:tcPr>
            <w:tcW w:w="2231" w:type="dxa"/>
            <w:vAlign w:val="center"/>
          </w:tcPr>
          <w:p w14:paraId="20D7C762" w14:textId="77777777" w:rsidR="00802E2A" w:rsidRPr="002F64A6" w:rsidRDefault="00802E2A" w:rsidP="007B6A5B">
            <w:pPr>
              <w:pStyle w:val="ListParagraph"/>
              <w:spacing w:after="0"/>
              <w:ind w:left="0"/>
              <w:jc w:val="center"/>
              <w:rPr>
                <w:rFonts w:eastAsia="Times New Roman" w:cs="Times New Roman"/>
                <w:szCs w:val="24"/>
              </w:rPr>
            </w:pPr>
            <w:r w:rsidRPr="002F64A6">
              <w:rPr>
                <w:rFonts w:cs="Times New Roman"/>
                <w:szCs w:val="24"/>
              </w:rPr>
              <w:t>-</w:t>
            </w:r>
          </w:p>
        </w:tc>
        <w:tc>
          <w:tcPr>
            <w:tcW w:w="2231" w:type="dxa"/>
            <w:vAlign w:val="center"/>
          </w:tcPr>
          <w:p w14:paraId="1108AE9B"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w:t>
            </w:r>
          </w:p>
        </w:tc>
        <w:tc>
          <w:tcPr>
            <w:tcW w:w="2534" w:type="dxa"/>
            <w:vAlign w:val="center"/>
          </w:tcPr>
          <w:p w14:paraId="151F2609"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0,59 – 0,2</w:t>
            </w:r>
          </w:p>
        </w:tc>
      </w:tr>
      <w:tr w:rsidR="00802E2A" w:rsidRPr="002F64A6" w14:paraId="15592F4B" w14:textId="77777777" w:rsidTr="007B6A5B">
        <w:trPr>
          <w:trHeight w:val="768"/>
          <w:jc w:val="center"/>
        </w:trPr>
        <w:tc>
          <w:tcPr>
            <w:tcW w:w="2780" w:type="dxa"/>
          </w:tcPr>
          <w:p w14:paraId="74EA7368" w14:textId="77777777" w:rsidR="00802E2A" w:rsidRPr="002F64A6" w:rsidRDefault="00802E2A" w:rsidP="007B6A5B">
            <w:pPr>
              <w:pStyle w:val="ListParagraph"/>
              <w:spacing w:after="0"/>
              <w:ind w:left="0"/>
              <w:rPr>
                <w:rFonts w:eastAsia="Times New Roman" w:cs="Times New Roman"/>
                <w:szCs w:val="24"/>
              </w:rPr>
            </w:pPr>
            <w:r w:rsidRPr="002F64A6">
              <w:rPr>
                <w:rFonts w:eastAsia="Times New Roman" w:cs="Times New Roman"/>
                <w:szCs w:val="24"/>
              </w:rPr>
              <w:t>Kohēzijas fondam (t.sk. EISI) un Eiropas teritoriālās sadarbības mērķim (Interreg)</w:t>
            </w:r>
          </w:p>
        </w:tc>
        <w:tc>
          <w:tcPr>
            <w:tcW w:w="2231" w:type="dxa"/>
            <w:vAlign w:val="center"/>
          </w:tcPr>
          <w:p w14:paraId="615A5C9B" w14:textId="77777777" w:rsidR="00802E2A" w:rsidRPr="002F64A6" w:rsidRDefault="00802E2A" w:rsidP="007B6A5B">
            <w:pPr>
              <w:pStyle w:val="ListParagraph"/>
              <w:spacing w:after="0"/>
              <w:ind w:left="0"/>
              <w:jc w:val="center"/>
              <w:rPr>
                <w:rFonts w:eastAsia="Times New Roman" w:cs="Times New Roman"/>
                <w:szCs w:val="24"/>
              </w:rPr>
            </w:pPr>
            <w:r w:rsidRPr="002F64A6">
              <w:rPr>
                <w:rFonts w:cs="Times New Roman"/>
                <w:szCs w:val="24"/>
              </w:rPr>
              <w:t>1,1 – 1,2</w:t>
            </w:r>
          </w:p>
        </w:tc>
        <w:tc>
          <w:tcPr>
            <w:tcW w:w="2231" w:type="dxa"/>
            <w:vAlign w:val="center"/>
          </w:tcPr>
          <w:p w14:paraId="629FA203"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1,1 – 1,2</w:t>
            </w:r>
          </w:p>
        </w:tc>
        <w:tc>
          <w:tcPr>
            <w:tcW w:w="2534" w:type="dxa"/>
            <w:vAlign w:val="center"/>
          </w:tcPr>
          <w:p w14:paraId="21174906"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1,1 – 1,2</w:t>
            </w:r>
          </w:p>
        </w:tc>
      </w:tr>
      <w:tr w:rsidR="00802E2A" w:rsidRPr="002F64A6" w14:paraId="5A3EBBC4" w14:textId="77777777" w:rsidTr="007B6A5B">
        <w:trPr>
          <w:trHeight w:val="252"/>
          <w:jc w:val="center"/>
        </w:trPr>
        <w:tc>
          <w:tcPr>
            <w:tcW w:w="2780" w:type="dxa"/>
            <w:vAlign w:val="center"/>
          </w:tcPr>
          <w:p w14:paraId="197807FF" w14:textId="77777777" w:rsidR="00802E2A" w:rsidRPr="002F64A6" w:rsidRDefault="00802E2A" w:rsidP="007B6A5B">
            <w:pPr>
              <w:pStyle w:val="ListParagraph"/>
              <w:spacing w:after="0"/>
              <w:ind w:left="0"/>
              <w:jc w:val="center"/>
              <w:rPr>
                <w:rFonts w:eastAsia="Times New Roman" w:cs="Times New Roman"/>
                <w:b/>
                <w:bCs/>
                <w:szCs w:val="24"/>
              </w:rPr>
            </w:pPr>
            <w:r w:rsidRPr="002F64A6">
              <w:rPr>
                <w:rFonts w:eastAsia="Times New Roman" w:cs="Times New Roman"/>
                <w:b/>
                <w:bCs/>
                <w:szCs w:val="24"/>
              </w:rPr>
              <w:t>Kopā</w:t>
            </w:r>
          </w:p>
        </w:tc>
        <w:tc>
          <w:tcPr>
            <w:tcW w:w="2231" w:type="dxa"/>
            <w:vAlign w:val="center"/>
          </w:tcPr>
          <w:p w14:paraId="2CD77A82" w14:textId="77777777" w:rsidR="00802E2A" w:rsidRPr="002F64A6" w:rsidRDefault="00802E2A" w:rsidP="007B6A5B">
            <w:pPr>
              <w:pStyle w:val="ListParagraph"/>
              <w:spacing w:after="0"/>
              <w:ind w:left="0"/>
              <w:jc w:val="center"/>
              <w:rPr>
                <w:rFonts w:eastAsia="Times New Roman" w:cs="Times New Roman"/>
                <w:b/>
                <w:bCs/>
                <w:szCs w:val="24"/>
              </w:rPr>
            </w:pPr>
            <w:r w:rsidRPr="002F64A6">
              <w:rPr>
                <w:rFonts w:cs="Times New Roman"/>
                <w:b/>
                <w:bCs/>
                <w:szCs w:val="24"/>
              </w:rPr>
              <w:t>3,5-4,0</w:t>
            </w:r>
          </w:p>
        </w:tc>
        <w:tc>
          <w:tcPr>
            <w:tcW w:w="2231" w:type="dxa"/>
            <w:vAlign w:val="center"/>
          </w:tcPr>
          <w:p w14:paraId="6183A1E5" w14:textId="77777777" w:rsidR="00802E2A" w:rsidRPr="002F64A6" w:rsidRDefault="00802E2A" w:rsidP="007B6A5B">
            <w:pPr>
              <w:pStyle w:val="ListParagraph"/>
              <w:spacing w:after="0"/>
              <w:ind w:left="0"/>
              <w:jc w:val="center"/>
              <w:rPr>
                <w:rFonts w:eastAsia="Times New Roman" w:cs="Times New Roman"/>
                <w:b/>
                <w:bCs/>
                <w:szCs w:val="24"/>
              </w:rPr>
            </w:pPr>
            <w:r w:rsidRPr="002F64A6">
              <w:rPr>
                <w:rFonts w:eastAsia="Times New Roman" w:cs="Times New Roman"/>
                <w:b/>
                <w:bCs/>
                <w:szCs w:val="24"/>
              </w:rPr>
              <w:t>3,5 – 4,0</w:t>
            </w:r>
          </w:p>
        </w:tc>
        <w:tc>
          <w:tcPr>
            <w:tcW w:w="2534" w:type="dxa"/>
            <w:vAlign w:val="center"/>
          </w:tcPr>
          <w:p w14:paraId="11E6B1C6" w14:textId="77777777" w:rsidR="00802E2A" w:rsidRPr="002F64A6" w:rsidRDefault="00802E2A" w:rsidP="007B6A5B">
            <w:pPr>
              <w:pStyle w:val="ListParagraph"/>
              <w:spacing w:after="0"/>
              <w:ind w:left="0"/>
              <w:jc w:val="center"/>
              <w:rPr>
                <w:rFonts w:eastAsia="Times New Roman" w:cs="Times New Roman"/>
                <w:b/>
                <w:bCs/>
                <w:szCs w:val="24"/>
              </w:rPr>
            </w:pPr>
            <w:r w:rsidRPr="002F64A6">
              <w:rPr>
                <w:rFonts w:eastAsia="Times New Roman" w:cs="Times New Roman"/>
                <w:b/>
                <w:bCs/>
                <w:szCs w:val="24"/>
              </w:rPr>
              <w:t>3,5 – 4,0</w:t>
            </w:r>
          </w:p>
        </w:tc>
      </w:tr>
    </w:tbl>
    <w:p w14:paraId="73C79372" w14:textId="77777777" w:rsidR="007E3271" w:rsidRDefault="007E3271" w:rsidP="007E3271"/>
    <w:p w14:paraId="2D8EE5CA" w14:textId="06945086" w:rsidR="007E3271" w:rsidRDefault="00802E2A" w:rsidP="007E3271">
      <w:pPr>
        <w:ind w:firstLine="720"/>
        <w:rPr>
          <w:rFonts w:eastAsia="Times New Roman"/>
        </w:rPr>
      </w:pPr>
      <w:r w:rsidRPr="002F64A6">
        <w:t xml:space="preserve">Kā redzams indikatīvajos aprēķinos, tad Latvija kā viens </w:t>
      </w:r>
      <w:r w:rsidRPr="00A92DF4">
        <w:rPr>
          <w:i/>
          <w:iCs/>
        </w:rPr>
        <w:t>pārejas</w:t>
      </w:r>
      <w:r w:rsidRPr="002F64A6">
        <w:t xml:space="preserve"> reģions provizoriski saņemtu tādu pašu finansējuma apjomu kā gadījumā, ja Latvijas </w:t>
      </w:r>
      <w:r w:rsidRPr="00E442F8">
        <w:rPr>
          <w:rFonts w:eastAsia="Times New Roman"/>
          <w:bCs/>
          <w:i/>
          <w:iCs/>
        </w:rPr>
        <w:t>NUTS</w:t>
      </w:r>
      <w:r>
        <w:rPr>
          <w:rFonts w:eastAsia="Times New Roman"/>
          <w:bCs/>
        </w:rPr>
        <w:t> </w:t>
      </w:r>
      <w:r w:rsidRPr="002F64A6">
        <w:rPr>
          <w:rFonts w:eastAsia="Times New Roman"/>
          <w:bCs/>
        </w:rPr>
        <w:t>2</w:t>
      </w:r>
      <w:r w:rsidRPr="002F64A6">
        <w:t xml:space="preserve"> dalījums būtu veidots atbilstoši VARAM izstrādātajam priekšlikumam par diviem </w:t>
      </w:r>
      <w:r w:rsidRPr="00E442F8">
        <w:rPr>
          <w:rFonts w:eastAsia="Times New Roman"/>
          <w:bCs/>
          <w:i/>
          <w:iCs/>
        </w:rPr>
        <w:t>NUTS</w:t>
      </w:r>
      <w:r>
        <w:rPr>
          <w:rFonts w:eastAsia="Times New Roman"/>
          <w:bCs/>
        </w:rPr>
        <w:t> </w:t>
      </w:r>
      <w:r w:rsidRPr="002F64A6">
        <w:rPr>
          <w:rFonts w:eastAsia="Times New Roman"/>
          <w:bCs/>
        </w:rPr>
        <w:t>2</w:t>
      </w:r>
      <w:r w:rsidRPr="002F64A6">
        <w:t xml:space="preserve"> reģioniem. Vienlaikus </w:t>
      </w:r>
      <w:r w:rsidRPr="00177612">
        <w:rPr>
          <w:i/>
          <w:iCs/>
        </w:rPr>
        <w:t>vairāk attīstītajam</w:t>
      </w:r>
      <w:r w:rsidRPr="002F64A6">
        <w:t xml:space="preserve"> Rīgas reģionam no Izaugsmes un nodarbinātības mērķa (ERAF un ESF) varētu būt pieejams ļoti ierobežots finansējums robežās no 0,2 līdz 0,6 miljardiem </w:t>
      </w:r>
      <w:r>
        <w:rPr>
          <w:rFonts w:eastAsia="Calibri"/>
          <w:i/>
          <w:iCs/>
        </w:rPr>
        <w:t>euro</w:t>
      </w:r>
      <w:r w:rsidRPr="002F64A6">
        <w:t>.</w:t>
      </w:r>
      <w:r>
        <w:t xml:space="preserve"> </w:t>
      </w:r>
      <w:r w:rsidRPr="002F64A6">
        <w:rPr>
          <w:rFonts w:eastAsia="Times New Roman"/>
        </w:rPr>
        <w:t xml:space="preserve">Detalizētāku analīzi par </w:t>
      </w:r>
      <w:r w:rsidRPr="002F64A6">
        <w:rPr>
          <w:rFonts w:eastAsia="Times New Roman"/>
          <w:b/>
          <w:bCs/>
          <w:i/>
          <w:iCs/>
        </w:rPr>
        <w:t>ES fondu atbalsta reģionu sadalījumu</w:t>
      </w:r>
      <w:r w:rsidRPr="002F64A6">
        <w:rPr>
          <w:rFonts w:eastAsia="Times New Roman"/>
        </w:rPr>
        <w:t xml:space="preserve"> un </w:t>
      </w:r>
      <w:r w:rsidRPr="002F64A6">
        <w:rPr>
          <w:rFonts w:eastAsia="Times New Roman"/>
          <w:b/>
          <w:bCs/>
          <w:i/>
          <w:iCs/>
        </w:rPr>
        <w:t>ES fondu finansējuma apjomu Latvijas teritorijai ES fondu plānošanas periodā pēc 2027. gada</w:t>
      </w:r>
      <w:r w:rsidRPr="002F64A6">
        <w:rPr>
          <w:rFonts w:eastAsia="Times New Roman"/>
        </w:rPr>
        <w:t xml:space="preserve"> būs iespējams veikt tikai pēc attiecīgo priekšlikumu publicēšanas no EK puses (ierasti trīs gadus pirms jaunā ES daudzgadu budžeta perioda sākuma).</w:t>
      </w:r>
    </w:p>
    <w:p w14:paraId="2DEC1333" w14:textId="0118C01E" w:rsidR="00802E2A" w:rsidRPr="007E3271" w:rsidRDefault="00802E2A" w:rsidP="007E3271">
      <w:pPr>
        <w:ind w:firstLine="720"/>
      </w:pPr>
      <w:r w:rsidRPr="002F64A6">
        <w:rPr>
          <w:rFonts w:eastAsia="Times New Roman" w:cs="Times New Roman"/>
          <w:szCs w:val="24"/>
        </w:rPr>
        <w:t>Jāņem vērā, ka ES daudzgadu budžeta ietvarā laika periodam no 2021. līdz 2027.</w:t>
      </w:r>
      <w:r>
        <w:rPr>
          <w:rFonts w:eastAsia="Times New Roman" w:cs="Times New Roman"/>
          <w:szCs w:val="24"/>
        </w:rPr>
        <w:t> </w:t>
      </w:r>
      <w:r w:rsidRPr="002F64A6">
        <w:rPr>
          <w:rFonts w:eastAsia="Times New Roman" w:cs="Times New Roman"/>
          <w:szCs w:val="24"/>
        </w:rPr>
        <w:t xml:space="preserve">gadam bez konverģences un izaugsmes mērķiem tika ņemtas vērā jaunās ES prioritātes un nesenie izaicinājumi: COVID-19 izraisītā krīze, klimata mērķi, drošība, migrācija utt. Attiecīgi </w:t>
      </w: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 xml:space="preserve">gada periodā papildus ierastajiem Kohēzijas politikas fondiem (ERDF, ESF, KF) ir paredzēti jauni fondi un instrumenti problēmjautājumu risināšanas atbalstam (Atveseļošanas un noturības instruments, Taisnīgās pārkārtošanās fonds, REACT EU) un šiem fondiem ir atvēlēti ievērojami resursi, kas pēc apjoma salīdzināmi ar Kohēzijas politikas mērķiem atvēlēto finansējumu. Tādējādi, </w:t>
      </w:r>
      <w:r w:rsidRPr="002F64A6">
        <w:rPr>
          <w:rFonts w:eastAsia="Times New Roman" w:cs="Times New Roman"/>
          <w:b/>
          <w:bCs/>
          <w:szCs w:val="24"/>
          <w:u w:val="single"/>
        </w:rPr>
        <w:t>valstīm un to reģioniem aktuālo mērķu realizēšanas atbalstam pieejamo fondu un instrumentu klāsts ir paplašinājies</w:t>
      </w:r>
      <w:r w:rsidRPr="002F64A6">
        <w:rPr>
          <w:rFonts w:eastAsia="Times New Roman" w:cs="Times New Roman"/>
          <w:szCs w:val="24"/>
        </w:rPr>
        <w:t xml:space="preserve"> un pieejamā finansējuma apjoms ir palielinājies</w:t>
      </w:r>
      <w:r>
        <w:rPr>
          <w:rFonts w:eastAsia="Times New Roman" w:cs="Times New Roman"/>
          <w:szCs w:val="24"/>
        </w:rPr>
        <w:t>,</w:t>
      </w:r>
      <w:r w:rsidRPr="002F64A6">
        <w:rPr>
          <w:rFonts w:eastAsia="Times New Roman" w:cs="Times New Roman"/>
          <w:szCs w:val="24"/>
        </w:rPr>
        <w:t xml:space="preserve"> salīdzinot ar </w:t>
      </w:r>
      <w:r w:rsidRPr="002F64A6">
        <w:rPr>
          <w:rFonts w:eastAsia="Times New Roman" w:cs="Times New Roman"/>
          <w:bCs/>
          <w:szCs w:val="24"/>
        </w:rPr>
        <w:t>20</w:t>
      </w:r>
      <w:r>
        <w:rPr>
          <w:rFonts w:eastAsia="Times New Roman" w:cs="Times New Roman"/>
          <w:bCs/>
          <w:szCs w:val="24"/>
        </w:rPr>
        <w:t>14</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w:t>
      </w:r>
      <w:r>
        <w:rPr>
          <w:rFonts w:eastAsia="Times New Roman" w:cs="Times New Roman"/>
          <w:szCs w:val="24"/>
        </w:rPr>
        <w:t>0</w:t>
      </w:r>
      <w:r w:rsidRPr="002F64A6">
        <w:rPr>
          <w:rFonts w:eastAsia="Times New Roman" w:cs="Times New Roman"/>
          <w:szCs w:val="24"/>
        </w:rPr>
        <w:t>.</w:t>
      </w:r>
      <w:r>
        <w:rPr>
          <w:rFonts w:eastAsia="Times New Roman" w:cs="Times New Roman"/>
          <w:szCs w:val="24"/>
        </w:rPr>
        <w:t> </w:t>
      </w:r>
      <w:r w:rsidRPr="002F64A6">
        <w:rPr>
          <w:rFonts w:eastAsia="Times New Roman" w:cs="Times New Roman"/>
          <w:szCs w:val="24"/>
        </w:rPr>
        <w:t>gada periodam iezīmēto finansējumu.</w:t>
      </w:r>
    </w:p>
    <w:p w14:paraId="54A95E52" w14:textId="77777777" w:rsidR="00802E2A" w:rsidRPr="00085148" w:rsidRDefault="00802E2A" w:rsidP="00802E2A">
      <w:pPr>
        <w:pStyle w:val="Heading2"/>
        <w:rPr>
          <w:rFonts w:eastAsiaTheme="minorHAnsi" w:cstheme="minorBidi"/>
          <w:szCs w:val="24"/>
        </w:rPr>
      </w:pPr>
      <w:r w:rsidRPr="00085148">
        <w:t>5. Līdzfinansējuma likmes un indikatīvs nacionālā līdzfinansējuma aprēķins</w:t>
      </w:r>
    </w:p>
    <w:p w14:paraId="009464FB" w14:textId="77777777" w:rsidR="00802E2A" w:rsidRPr="002F64A6" w:rsidRDefault="00802E2A" w:rsidP="00802E2A">
      <w:pPr>
        <w:ind w:firstLine="720"/>
        <w:rPr>
          <w:rFonts w:eastAsia="Times New Roman" w:cs="Times New Roman"/>
          <w:szCs w:val="24"/>
        </w:rPr>
      </w:pPr>
      <w:r w:rsidRPr="002F64A6">
        <w:rPr>
          <w:rFonts w:eastAsia="Times New Roman" w:cs="Times New Roman"/>
          <w:bCs/>
          <w:szCs w:val="24"/>
        </w:rPr>
        <w:t>2021</w:t>
      </w:r>
      <w:r w:rsidRPr="002F64A6">
        <w:rPr>
          <w:rFonts w:eastAsia="Times New Roman" w:cs="Times New Roman"/>
          <w:szCs w:val="24"/>
        </w:rPr>
        <w:t>.</w:t>
      </w:r>
      <w:r>
        <w:rPr>
          <w:rFonts w:eastAsia="Times New Roman" w:cs="Times New Roman"/>
          <w:szCs w:val="24"/>
        </w:rPr>
        <w:t>–</w:t>
      </w:r>
      <w:r w:rsidRPr="002F64A6">
        <w:rPr>
          <w:rFonts w:eastAsia="Times New Roman" w:cs="Times New Roman"/>
          <w:szCs w:val="24"/>
        </w:rPr>
        <w:t>2027.</w:t>
      </w:r>
      <w:r>
        <w:rPr>
          <w:rFonts w:eastAsia="Times New Roman" w:cs="Times New Roman"/>
          <w:szCs w:val="24"/>
        </w:rPr>
        <w:t> </w:t>
      </w:r>
      <w:r w:rsidRPr="002F64A6">
        <w:rPr>
          <w:rFonts w:eastAsia="Times New Roman" w:cs="Times New Roman"/>
          <w:szCs w:val="24"/>
        </w:rPr>
        <w:t>gada plānošanas periodā Kohēzijas politikas fondiem tiek noteiktas dažādas līdzfinansējuma likmes atkarībā no reģiona klasifikācijas:</w:t>
      </w:r>
    </w:p>
    <w:p w14:paraId="57F2A7F4" w14:textId="77777777" w:rsidR="00802E2A" w:rsidRDefault="00802E2A" w:rsidP="00802E2A">
      <w:pPr>
        <w:rPr>
          <w:rFonts w:eastAsia="Times New Roman" w:cs="Times New Roman"/>
          <w:szCs w:val="24"/>
        </w:rPr>
      </w:pPr>
    </w:p>
    <w:p w14:paraId="13223361" w14:textId="77777777" w:rsidR="00802E2A" w:rsidRPr="00B14E24" w:rsidRDefault="00802E2A" w:rsidP="00802E2A">
      <w:pPr>
        <w:jc w:val="right"/>
        <w:rPr>
          <w:rFonts w:eastAsia="Times New Roman" w:cs="Times New Roman"/>
          <w:szCs w:val="24"/>
        </w:rPr>
      </w:pPr>
      <w:r w:rsidRPr="00AA350D">
        <w:rPr>
          <w:i/>
        </w:rPr>
        <w:t xml:space="preserve">Tabula </w:t>
      </w:r>
      <w:r w:rsidRPr="00CA10E6">
        <w:rPr>
          <w:i/>
        </w:rPr>
        <w:t xml:space="preserve">Nr. </w:t>
      </w:r>
      <w:r>
        <w:rPr>
          <w:i/>
        </w:rPr>
        <w:t>5</w:t>
      </w:r>
      <w:r w:rsidRPr="00CA10E6">
        <w:rPr>
          <w:i/>
        </w:rPr>
        <w:t xml:space="preserve">. </w:t>
      </w:r>
      <w:r w:rsidRPr="00B14E24">
        <w:rPr>
          <w:i/>
        </w:rPr>
        <w:t xml:space="preserve">Līdzfinansējuma likmes dažādām reģionu kategorijām </w:t>
      </w:r>
      <w:r w:rsidRPr="00B14E24">
        <w:rPr>
          <w:rFonts w:eastAsia="Times New Roman" w:cs="Times New Roman"/>
          <w:bCs/>
          <w:i/>
          <w:iCs/>
          <w:szCs w:val="24"/>
        </w:rPr>
        <w:t>2021</w:t>
      </w:r>
      <w:r w:rsidRPr="00B14E24">
        <w:rPr>
          <w:rFonts w:eastAsia="Times New Roman" w:cs="Times New Roman"/>
          <w:i/>
          <w:iCs/>
          <w:szCs w:val="24"/>
        </w:rPr>
        <w:t xml:space="preserve">.–2027. gada </w:t>
      </w:r>
      <w:r w:rsidRPr="00B14E24">
        <w:rPr>
          <w:i/>
        </w:rPr>
        <w:t>plānošanas periodā</w:t>
      </w:r>
      <w:r>
        <w:rPr>
          <w:i/>
        </w:rPr>
        <w:t>.</w:t>
      </w:r>
    </w:p>
    <w:tbl>
      <w:tblPr>
        <w:tblStyle w:val="TableGrid"/>
        <w:tblW w:w="9634" w:type="dxa"/>
        <w:jc w:val="center"/>
        <w:tblLook w:val="04A0" w:firstRow="1" w:lastRow="0" w:firstColumn="1" w:lastColumn="0" w:noHBand="0" w:noVBand="1"/>
      </w:tblPr>
      <w:tblGrid>
        <w:gridCol w:w="4961"/>
        <w:gridCol w:w="4673"/>
      </w:tblGrid>
      <w:tr w:rsidR="00802E2A" w:rsidRPr="002F64A6" w14:paraId="5B07092D" w14:textId="77777777" w:rsidTr="007B6A5B">
        <w:trPr>
          <w:trHeight w:val="404"/>
          <w:jc w:val="center"/>
        </w:trPr>
        <w:tc>
          <w:tcPr>
            <w:tcW w:w="4961" w:type="dxa"/>
            <w:shd w:val="clear" w:color="auto" w:fill="BFBFBF" w:themeFill="background1" w:themeFillShade="BF"/>
            <w:vAlign w:val="center"/>
          </w:tcPr>
          <w:p w14:paraId="2219D938" w14:textId="77777777" w:rsidR="00802E2A" w:rsidRPr="002F64A6" w:rsidRDefault="00802E2A" w:rsidP="007B6A5B">
            <w:pPr>
              <w:jc w:val="center"/>
              <w:rPr>
                <w:rFonts w:eastAsia="Times New Roman" w:cs="Times New Roman"/>
                <w:b/>
                <w:szCs w:val="24"/>
              </w:rPr>
            </w:pPr>
            <w:r w:rsidRPr="002F64A6">
              <w:rPr>
                <w:rFonts w:eastAsia="Times New Roman" w:cs="Times New Roman"/>
                <w:b/>
                <w:szCs w:val="24"/>
              </w:rPr>
              <w:t>Reģionu kategorija</w:t>
            </w:r>
          </w:p>
        </w:tc>
        <w:tc>
          <w:tcPr>
            <w:tcW w:w="4673" w:type="dxa"/>
            <w:shd w:val="clear" w:color="auto" w:fill="BFBFBF" w:themeFill="background1" w:themeFillShade="BF"/>
            <w:vAlign w:val="center"/>
          </w:tcPr>
          <w:p w14:paraId="54AF1009" w14:textId="77777777" w:rsidR="00802E2A" w:rsidRPr="002F64A6" w:rsidRDefault="00802E2A" w:rsidP="007B6A5B">
            <w:pPr>
              <w:jc w:val="center"/>
              <w:rPr>
                <w:rFonts w:eastAsia="Times New Roman" w:cs="Times New Roman"/>
                <w:b/>
                <w:szCs w:val="24"/>
              </w:rPr>
            </w:pPr>
            <w:r w:rsidRPr="002F64A6">
              <w:rPr>
                <w:rFonts w:eastAsia="Times New Roman" w:cs="Times New Roman"/>
                <w:b/>
                <w:szCs w:val="24"/>
              </w:rPr>
              <w:t>Līdzfinansējuma likme</w:t>
            </w:r>
          </w:p>
        </w:tc>
      </w:tr>
      <w:tr w:rsidR="00802E2A" w:rsidRPr="002F64A6" w14:paraId="02F78B93" w14:textId="77777777" w:rsidTr="007B6A5B">
        <w:trPr>
          <w:jc w:val="center"/>
        </w:trPr>
        <w:tc>
          <w:tcPr>
            <w:tcW w:w="4961" w:type="dxa"/>
            <w:vAlign w:val="center"/>
          </w:tcPr>
          <w:p w14:paraId="37F7F05E" w14:textId="77777777" w:rsidR="00802E2A" w:rsidRPr="002F64A6" w:rsidRDefault="00802E2A" w:rsidP="007B6A5B">
            <w:pPr>
              <w:jc w:val="center"/>
              <w:rPr>
                <w:rFonts w:eastAsia="Times New Roman" w:cs="Times New Roman"/>
                <w:szCs w:val="24"/>
              </w:rPr>
            </w:pPr>
            <w:r w:rsidRPr="00CC1B5E">
              <w:rPr>
                <w:rFonts w:eastAsia="Times New Roman" w:cs="Times New Roman"/>
                <w:i/>
                <w:iCs/>
                <w:szCs w:val="24"/>
              </w:rPr>
              <w:t>Mazāk attīstītie</w:t>
            </w:r>
            <w:r w:rsidRPr="002F64A6">
              <w:rPr>
                <w:rFonts w:eastAsia="Times New Roman" w:cs="Times New Roman"/>
                <w:szCs w:val="24"/>
              </w:rPr>
              <w:t xml:space="preserve"> reģioni (IKP uz vienu iedzīvotāju &lt; 75% )</w:t>
            </w:r>
          </w:p>
        </w:tc>
        <w:tc>
          <w:tcPr>
            <w:tcW w:w="4673" w:type="dxa"/>
            <w:vAlign w:val="center"/>
          </w:tcPr>
          <w:p w14:paraId="3DCD2B01" w14:textId="77777777" w:rsidR="00802E2A" w:rsidRPr="002F64A6" w:rsidRDefault="00802E2A" w:rsidP="007B6A5B">
            <w:pPr>
              <w:jc w:val="center"/>
              <w:rPr>
                <w:rFonts w:eastAsia="Times New Roman" w:cs="Times New Roman"/>
                <w:szCs w:val="24"/>
              </w:rPr>
            </w:pPr>
            <w:r w:rsidRPr="002F64A6">
              <w:rPr>
                <w:rFonts w:eastAsia="Times New Roman" w:cs="Times New Roman"/>
                <w:szCs w:val="24"/>
              </w:rPr>
              <w:t>Līdzfinansējums: 85%</w:t>
            </w:r>
          </w:p>
        </w:tc>
      </w:tr>
      <w:tr w:rsidR="00802E2A" w:rsidRPr="002F64A6" w14:paraId="2125F97F" w14:textId="77777777" w:rsidTr="007B6A5B">
        <w:trPr>
          <w:jc w:val="center"/>
        </w:trPr>
        <w:tc>
          <w:tcPr>
            <w:tcW w:w="4961" w:type="dxa"/>
            <w:vAlign w:val="center"/>
          </w:tcPr>
          <w:p w14:paraId="6DB24172" w14:textId="77777777" w:rsidR="00802E2A" w:rsidRPr="002F64A6" w:rsidRDefault="00802E2A" w:rsidP="007B6A5B">
            <w:pPr>
              <w:jc w:val="center"/>
              <w:rPr>
                <w:rFonts w:eastAsia="Times New Roman" w:cs="Times New Roman"/>
                <w:szCs w:val="24"/>
              </w:rPr>
            </w:pPr>
            <w:r w:rsidRPr="00CC1B5E">
              <w:rPr>
                <w:rFonts w:eastAsia="Times New Roman" w:cs="Times New Roman"/>
                <w:i/>
                <w:iCs/>
                <w:szCs w:val="24"/>
              </w:rPr>
              <w:t>Pārejas</w:t>
            </w:r>
            <w:r w:rsidRPr="002F64A6">
              <w:rPr>
                <w:rFonts w:eastAsia="Times New Roman" w:cs="Times New Roman"/>
                <w:szCs w:val="24"/>
              </w:rPr>
              <w:t xml:space="preserve"> reģioni (IKP uz vienu iedzīvotāju no 75% līdz 100%)</w:t>
            </w:r>
          </w:p>
        </w:tc>
        <w:tc>
          <w:tcPr>
            <w:tcW w:w="4673" w:type="dxa"/>
            <w:vAlign w:val="center"/>
          </w:tcPr>
          <w:p w14:paraId="6A859159" w14:textId="77777777" w:rsidR="00802E2A" w:rsidRPr="002F64A6" w:rsidRDefault="00802E2A" w:rsidP="007B6A5B">
            <w:pPr>
              <w:jc w:val="center"/>
              <w:rPr>
                <w:rFonts w:eastAsia="Times New Roman" w:cs="Times New Roman"/>
                <w:szCs w:val="24"/>
              </w:rPr>
            </w:pPr>
            <w:r w:rsidRPr="002F64A6">
              <w:rPr>
                <w:rFonts w:eastAsia="Times New Roman" w:cs="Times New Roman"/>
                <w:szCs w:val="24"/>
              </w:rPr>
              <w:t xml:space="preserve">60% vai 70% (bijušajiem </w:t>
            </w:r>
            <w:r w:rsidRPr="00CC1B5E">
              <w:rPr>
                <w:rFonts w:eastAsia="Times New Roman" w:cs="Times New Roman"/>
                <w:i/>
                <w:iCs/>
                <w:szCs w:val="24"/>
              </w:rPr>
              <w:t>mazāk attīstītajiem</w:t>
            </w:r>
            <w:r w:rsidRPr="002F64A6">
              <w:rPr>
                <w:rFonts w:eastAsia="Times New Roman" w:cs="Times New Roman"/>
                <w:szCs w:val="24"/>
              </w:rPr>
              <w:t xml:space="preserve"> reģioniem)</w:t>
            </w:r>
          </w:p>
        </w:tc>
      </w:tr>
      <w:tr w:rsidR="00802E2A" w:rsidRPr="002F64A6" w14:paraId="4AA75A1B" w14:textId="77777777" w:rsidTr="007B6A5B">
        <w:trPr>
          <w:jc w:val="center"/>
        </w:trPr>
        <w:tc>
          <w:tcPr>
            <w:tcW w:w="4961" w:type="dxa"/>
            <w:vAlign w:val="center"/>
          </w:tcPr>
          <w:p w14:paraId="48E141C5" w14:textId="77777777" w:rsidR="00802E2A" w:rsidRPr="002F64A6" w:rsidRDefault="00802E2A" w:rsidP="007B6A5B">
            <w:pPr>
              <w:jc w:val="center"/>
              <w:rPr>
                <w:rFonts w:eastAsia="Times New Roman" w:cs="Times New Roman"/>
                <w:szCs w:val="24"/>
              </w:rPr>
            </w:pPr>
            <w:r w:rsidRPr="00CC1B5E">
              <w:rPr>
                <w:rFonts w:eastAsia="Times New Roman" w:cs="Times New Roman"/>
                <w:i/>
                <w:iCs/>
                <w:szCs w:val="24"/>
              </w:rPr>
              <w:t>Vairāk attīstītie</w:t>
            </w:r>
            <w:r w:rsidRPr="002F64A6">
              <w:rPr>
                <w:rFonts w:eastAsia="Times New Roman" w:cs="Times New Roman"/>
                <w:szCs w:val="24"/>
              </w:rPr>
              <w:t xml:space="preserve"> reģioni (IKP uz vienu iedzīvotāju &gt; 100%)</w:t>
            </w:r>
          </w:p>
        </w:tc>
        <w:tc>
          <w:tcPr>
            <w:tcW w:w="4673" w:type="dxa"/>
            <w:vAlign w:val="center"/>
          </w:tcPr>
          <w:p w14:paraId="04A50B18" w14:textId="77777777" w:rsidR="00802E2A" w:rsidRPr="002F64A6" w:rsidRDefault="00802E2A" w:rsidP="007B6A5B">
            <w:pPr>
              <w:jc w:val="center"/>
              <w:rPr>
                <w:rFonts w:eastAsia="Times New Roman" w:cs="Times New Roman"/>
                <w:szCs w:val="24"/>
              </w:rPr>
            </w:pPr>
            <w:r w:rsidRPr="002F64A6">
              <w:rPr>
                <w:rFonts w:eastAsia="Times New Roman" w:cs="Times New Roman"/>
                <w:szCs w:val="24"/>
              </w:rPr>
              <w:t>Līdzfinansējums: 40%</w:t>
            </w:r>
          </w:p>
        </w:tc>
      </w:tr>
      <w:tr w:rsidR="00802E2A" w:rsidRPr="002F64A6" w14:paraId="60B91BED" w14:textId="77777777" w:rsidTr="007B6A5B">
        <w:trPr>
          <w:trHeight w:val="419"/>
          <w:jc w:val="center"/>
        </w:trPr>
        <w:tc>
          <w:tcPr>
            <w:tcW w:w="4961" w:type="dxa"/>
            <w:vAlign w:val="center"/>
          </w:tcPr>
          <w:p w14:paraId="1138951A" w14:textId="77777777" w:rsidR="00802E2A" w:rsidRPr="002F64A6" w:rsidRDefault="00802E2A" w:rsidP="007B6A5B">
            <w:pPr>
              <w:jc w:val="center"/>
              <w:rPr>
                <w:rFonts w:eastAsia="Times New Roman" w:cs="Times New Roman"/>
                <w:szCs w:val="24"/>
              </w:rPr>
            </w:pPr>
            <w:r w:rsidRPr="002F64A6">
              <w:rPr>
                <w:rFonts w:eastAsia="Times New Roman" w:cs="Times New Roman"/>
                <w:szCs w:val="24"/>
              </w:rPr>
              <w:t>Kohēzijas fonds</w:t>
            </w:r>
          </w:p>
        </w:tc>
        <w:tc>
          <w:tcPr>
            <w:tcW w:w="4673" w:type="dxa"/>
            <w:vAlign w:val="center"/>
          </w:tcPr>
          <w:p w14:paraId="42BCD160" w14:textId="77777777" w:rsidR="00802E2A" w:rsidRPr="002F64A6" w:rsidRDefault="00802E2A" w:rsidP="007B6A5B">
            <w:pPr>
              <w:jc w:val="center"/>
              <w:rPr>
                <w:rFonts w:eastAsia="Times New Roman" w:cs="Times New Roman"/>
                <w:szCs w:val="24"/>
              </w:rPr>
            </w:pPr>
            <w:r w:rsidRPr="002F64A6">
              <w:rPr>
                <w:rFonts w:eastAsia="Times New Roman" w:cs="Times New Roman"/>
                <w:szCs w:val="24"/>
              </w:rPr>
              <w:t>Ne vairāk kā 85 %</w:t>
            </w:r>
          </w:p>
        </w:tc>
      </w:tr>
    </w:tbl>
    <w:p w14:paraId="38713AF3" w14:textId="77777777" w:rsidR="00802E2A" w:rsidRPr="002F64A6" w:rsidRDefault="00802E2A" w:rsidP="00802E2A">
      <w:pPr>
        <w:rPr>
          <w:rFonts w:eastAsia="Times New Roman" w:cs="Times New Roman"/>
          <w:color w:val="1F497D"/>
          <w:szCs w:val="24"/>
        </w:rPr>
      </w:pPr>
    </w:p>
    <w:p w14:paraId="6AEF4CAC" w14:textId="77777777" w:rsidR="00802E2A" w:rsidRDefault="00802E2A" w:rsidP="007E3271">
      <w:pPr>
        <w:ind w:firstLine="720"/>
      </w:pPr>
      <w:r w:rsidRPr="002F64A6">
        <w:t xml:space="preserve">Pieņemot, ka šādas līdzfinansējuma likmes tiktu saglabātas arī </w:t>
      </w:r>
      <w:r>
        <w:t>nākamajos</w:t>
      </w:r>
      <w:r w:rsidRPr="002F64A6">
        <w:t xml:space="preserve"> plānošanas periodos, tad izrietoši no modelēšanas rezultātiem par piedāvātajām izmaiņām </w:t>
      </w:r>
      <w:r w:rsidRPr="00E442F8">
        <w:rPr>
          <w:rFonts w:eastAsia="Times New Roman"/>
          <w:bCs/>
          <w:i/>
          <w:iCs/>
        </w:rPr>
        <w:t>NUTS</w:t>
      </w:r>
      <w:r>
        <w:rPr>
          <w:rFonts w:eastAsia="Times New Roman"/>
          <w:bCs/>
        </w:rPr>
        <w:t> </w:t>
      </w:r>
      <w:r w:rsidRPr="002F64A6">
        <w:rPr>
          <w:rFonts w:eastAsia="Times New Roman"/>
          <w:bCs/>
        </w:rPr>
        <w:t>2</w:t>
      </w:r>
      <w:r w:rsidRPr="002F64A6">
        <w:t xml:space="preserve"> dalījumam ir aprēķināts arī nepieciešamais nacionālais līdzfinansējums dažādos scenārijos</w:t>
      </w:r>
      <w:r>
        <w:t>:</w:t>
      </w:r>
    </w:p>
    <w:p w14:paraId="795D5EDD" w14:textId="77777777" w:rsidR="00802E2A" w:rsidRDefault="00802E2A" w:rsidP="00802E2A">
      <w:pPr>
        <w:pStyle w:val="ListParagraph"/>
        <w:numPr>
          <w:ilvl w:val="0"/>
          <w:numId w:val="47"/>
        </w:numPr>
        <w:spacing w:after="0"/>
        <w:ind w:right="-31"/>
        <w:contextualSpacing/>
        <w:rPr>
          <w:rFonts w:eastAsia="Calibri" w:cs="Times New Roman"/>
          <w:szCs w:val="24"/>
        </w:rPr>
      </w:pPr>
      <w:r w:rsidRPr="002F64A6">
        <w:rPr>
          <w:rFonts w:eastAsia="Calibri" w:cs="Times New Roman"/>
          <w:szCs w:val="24"/>
        </w:rPr>
        <w:t xml:space="preserve">1.secārijā pieņemts, ka Latvija saglabā esošo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Calibri" w:cs="Times New Roman"/>
          <w:szCs w:val="24"/>
        </w:rPr>
        <w:t xml:space="preserve"> dalījumu</w:t>
      </w:r>
      <w:r>
        <w:rPr>
          <w:rFonts w:eastAsia="Calibri" w:cs="Times New Roman"/>
          <w:szCs w:val="24"/>
        </w:rPr>
        <w:t xml:space="preserve"> un</w:t>
      </w:r>
      <w:r w:rsidRPr="002F64A6">
        <w:rPr>
          <w:rFonts w:eastAsia="Calibri" w:cs="Times New Roman"/>
          <w:szCs w:val="24"/>
        </w:rPr>
        <w:t xml:space="preserve"> klasificējas kā </w:t>
      </w:r>
      <w:r w:rsidRPr="00A92DF4">
        <w:rPr>
          <w:rFonts w:eastAsia="Calibri" w:cs="Times New Roman"/>
          <w:i/>
          <w:iCs/>
          <w:szCs w:val="24"/>
        </w:rPr>
        <w:t>pārejas</w:t>
      </w:r>
      <w:r w:rsidRPr="002F64A6">
        <w:rPr>
          <w:rFonts w:eastAsia="Calibri" w:cs="Times New Roman"/>
          <w:szCs w:val="24"/>
        </w:rPr>
        <w:t xml:space="preserve"> reģions ar 70% līdzfinansējuma likmi</w:t>
      </w:r>
      <w:r>
        <w:rPr>
          <w:rFonts w:eastAsia="Calibri" w:cs="Times New Roman"/>
          <w:szCs w:val="24"/>
        </w:rPr>
        <w:t>;</w:t>
      </w:r>
    </w:p>
    <w:p w14:paraId="0E0D3235" w14:textId="77777777" w:rsidR="00802E2A" w:rsidRDefault="00802E2A" w:rsidP="00802E2A">
      <w:pPr>
        <w:pStyle w:val="ListParagraph"/>
        <w:numPr>
          <w:ilvl w:val="0"/>
          <w:numId w:val="47"/>
        </w:numPr>
        <w:spacing w:after="0"/>
        <w:ind w:right="-31"/>
        <w:contextualSpacing/>
        <w:rPr>
          <w:rFonts w:eastAsia="Calibri" w:cs="Times New Roman"/>
          <w:szCs w:val="24"/>
        </w:rPr>
      </w:pPr>
      <w:r w:rsidRPr="002F64A6">
        <w:rPr>
          <w:rFonts w:eastAsia="Calibri" w:cs="Times New Roman"/>
          <w:szCs w:val="24"/>
        </w:rPr>
        <w:lastRenderedPageBreak/>
        <w:t xml:space="preserve">2. scenārijā tiek pieņemts, ka Latvija tiek sadalīta divos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Calibri" w:cs="Times New Roman"/>
          <w:szCs w:val="24"/>
        </w:rPr>
        <w:t xml:space="preserve"> reģionos</w:t>
      </w:r>
      <w:r>
        <w:rPr>
          <w:rFonts w:eastAsia="Calibri" w:cs="Times New Roman"/>
          <w:szCs w:val="24"/>
        </w:rPr>
        <w:t>,</w:t>
      </w:r>
      <w:r w:rsidRPr="002F64A6">
        <w:rPr>
          <w:rFonts w:eastAsia="Calibri" w:cs="Times New Roman"/>
          <w:szCs w:val="24"/>
        </w:rPr>
        <w:t xml:space="preserve"> no kuriem viens Rīgas reģions ir </w:t>
      </w:r>
      <w:r w:rsidRPr="00A92DF4">
        <w:rPr>
          <w:rFonts w:eastAsia="Calibri" w:cs="Times New Roman"/>
          <w:i/>
          <w:iCs/>
          <w:szCs w:val="24"/>
        </w:rPr>
        <w:t>pārejas</w:t>
      </w:r>
      <w:r w:rsidRPr="002F64A6">
        <w:rPr>
          <w:rFonts w:eastAsia="Calibri" w:cs="Times New Roman"/>
          <w:szCs w:val="24"/>
        </w:rPr>
        <w:t xml:space="preserve"> reģionu grupā (70% līdzfinansējums), kamēr otrs reģions ir </w:t>
      </w:r>
      <w:r w:rsidRPr="00CC1B5E">
        <w:rPr>
          <w:rFonts w:eastAsia="Calibri" w:cs="Times New Roman"/>
          <w:i/>
          <w:iCs/>
          <w:szCs w:val="24"/>
        </w:rPr>
        <w:t>mazāk attīstīto</w:t>
      </w:r>
      <w:r w:rsidRPr="002F64A6">
        <w:rPr>
          <w:rFonts w:eastAsia="Calibri" w:cs="Times New Roman"/>
          <w:szCs w:val="24"/>
        </w:rPr>
        <w:t xml:space="preserve"> reģionu grupā (85% līdzfinansējums)</w:t>
      </w:r>
      <w:r>
        <w:rPr>
          <w:rFonts w:eastAsia="Calibri" w:cs="Times New Roman"/>
          <w:szCs w:val="24"/>
        </w:rPr>
        <w:t>,</w:t>
      </w:r>
    </w:p>
    <w:p w14:paraId="2B4BE0B7" w14:textId="77777777" w:rsidR="00802E2A" w:rsidRPr="002F64A6" w:rsidRDefault="00802E2A" w:rsidP="00802E2A">
      <w:pPr>
        <w:pStyle w:val="ListParagraph"/>
        <w:numPr>
          <w:ilvl w:val="0"/>
          <w:numId w:val="47"/>
        </w:numPr>
        <w:spacing w:after="0"/>
        <w:ind w:right="-31"/>
        <w:contextualSpacing/>
        <w:rPr>
          <w:rFonts w:eastAsia="Calibri" w:cs="Times New Roman"/>
          <w:szCs w:val="24"/>
        </w:rPr>
      </w:pPr>
      <w:r>
        <w:rPr>
          <w:rFonts w:eastAsia="Calibri" w:cs="Times New Roman"/>
          <w:szCs w:val="24"/>
        </w:rPr>
        <w:t>3. </w:t>
      </w:r>
      <w:r w:rsidRPr="002F64A6">
        <w:rPr>
          <w:rFonts w:eastAsia="Calibri" w:cs="Times New Roman"/>
          <w:szCs w:val="24"/>
        </w:rPr>
        <w:t xml:space="preserve">scenārijā tiek pieņemts, ka Rīgas reģions ir </w:t>
      </w:r>
      <w:r w:rsidRPr="00177612">
        <w:rPr>
          <w:rFonts w:eastAsia="Calibri" w:cs="Times New Roman"/>
          <w:i/>
          <w:iCs/>
          <w:szCs w:val="24"/>
        </w:rPr>
        <w:t>vairāk attīstītais</w:t>
      </w:r>
      <w:r w:rsidRPr="002F64A6">
        <w:rPr>
          <w:rFonts w:eastAsia="Calibri" w:cs="Times New Roman"/>
          <w:szCs w:val="24"/>
        </w:rPr>
        <w:t xml:space="preserve"> reģions (40% līdzfinansējums), bet otrs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Calibri" w:cs="Times New Roman"/>
          <w:szCs w:val="24"/>
        </w:rPr>
        <w:t xml:space="preserve"> reģions ir </w:t>
      </w:r>
      <w:r w:rsidRPr="00CC1B5E">
        <w:rPr>
          <w:rFonts w:eastAsia="Calibri" w:cs="Times New Roman"/>
          <w:i/>
          <w:iCs/>
          <w:szCs w:val="24"/>
        </w:rPr>
        <w:t xml:space="preserve">mazāk attīstīto </w:t>
      </w:r>
      <w:r w:rsidRPr="002F64A6">
        <w:rPr>
          <w:rFonts w:eastAsia="Calibri" w:cs="Times New Roman"/>
          <w:szCs w:val="24"/>
        </w:rPr>
        <w:t>reģionu grupā (85% līdzfinansējuma likme).</w:t>
      </w:r>
    </w:p>
    <w:p w14:paraId="18F88E92" w14:textId="77777777" w:rsidR="00802E2A" w:rsidRDefault="00802E2A" w:rsidP="00187E89"/>
    <w:p w14:paraId="12823276" w14:textId="77777777" w:rsidR="00802E2A" w:rsidRPr="003A41DD" w:rsidRDefault="00802E2A" w:rsidP="00802E2A">
      <w:pPr>
        <w:jc w:val="right"/>
        <w:rPr>
          <w:rFonts w:eastAsia="Times New Roman" w:cs="Times New Roman"/>
          <w:szCs w:val="24"/>
        </w:rPr>
      </w:pPr>
      <w:r w:rsidRPr="00AA350D">
        <w:rPr>
          <w:i/>
        </w:rPr>
        <w:t xml:space="preserve">Tabula </w:t>
      </w:r>
      <w:r w:rsidRPr="00CA10E6">
        <w:rPr>
          <w:i/>
        </w:rPr>
        <w:t xml:space="preserve">Nr. </w:t>
      </w:r>
      <w:r>
        <w:rPr>
          <w:i/>
        </w:rPr>
        <w:t>6</w:t>
      </w:r>
      <w:r w:rsidRPr="00CA10E6">
        <w:rPr>
          <w:i/>
        </w:rPr>
        <w:t xml:space="preserve">. </w:t>
      </w:r>
      <w:r w:rsidRPr="003A41DD">
        <w:rPr>
          <w:i/>
        </w:rPr>
        <w:t>Indikatīvs līdzfinansējuma likmju aprēķins dažādiem scenārijiem Latvijas NUTS 2 dalījumam</w:t>
      </w:r>
      <w:r>
        <w:rPr>
          <w:i/>
        </w:rPr>
        <w:t>.</w:t>
      </w:r>
    </w:p>
    <w:tbl>
      <w:tblPr>
        <w:tblStyle w:val="TableGrid"/>
        <w:tblW w:w="9776" w:type="dxa"/>
        <w:jc w:val="center"/>
        <w:tblLayout w:type="fixed"/>
        <w:tblLook w:val="04A0" w:firstRow="1" w:lastRow="0" w:firstColumn="1" w:lastColumn="0" w:noHBand="0" w:noVBand="1"/>
      </w:tblPr>
      <w:tblGrid>
        <w:gridCol w:w="2405"/>
        <w:gridCol w:w="2268"/>
        <w:gridCol w:w="2552"/>
        <w:gridCol w:w="2551"/>
      </w:tblGrid>
      <w:tr w:rsidR="00802E2A" w:rsidRPr="002F64A6" w14:paraId="50B5C6B1" w14:textId="77777777" w:rsidTr="007B6A5B">
        <w:trPr>
          <w:trHeight w:val="995"/>
          <w:jc w:val="center"/>
        </w:trPr>
        <w:tc>
          <w:tcPr>
            <w:tcW w:w="2405" w:type="dxa"/>
            <w:shd w:val="clear" w:color="auto" w:fill="BFBFBF" w:themeFill="background1" w:themeFillShade="BF"/>
          </w:tcPr>
          <w:p w14:paraId="27D68DEB" w14:textId="77777777" w:rsidR="00802E2A" w:rsidRPr="002F64A6" w:rsidRDefault="00802E2A" w:rsidP="007B6A5B">
            <w:pPr>
              <w:pStyle w:val="ListParagraph"/>
              <w:spacing w:after="0"/>
              <w:ind w:left="0"/>
              <w:jc w:val="center"/>
              <w:rPr>
                <w:rFonts w:eastAsia="Times New Roman" w:cs="Times New Roman"/>
                <w:szCs w:val="24"/>
              </w:rPr>
            </w:pPr>
          </w:p>
        </w:tc>
        <w:tc>
          <w:tcPr>
            <w:tcW w:w="2268" w:type="dxa"/>
            <w:shd w:val="clear" w:color="auto" w:fill="BFBFBF" w:themeFill="background1" w:themeFillShade="BF"/>
            <w:vAlign w:val="center"/>
          </w:tcPr>
          <w:p w14:paraId="6D0F3AEC" w14:textId="77777777"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b/>
                <w:szCs w:val="24"/>
              </w:rPr>
              <w:t>1.scenārijs</w:t>
            </w:r>
          </w:p>
          <w:p w14:paraId="7C5465AB"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 xml:space="preserve">Ja Latvija paliek kā viens </w:t>
            </w:r>
            <w:r w:rsidRPr="0015761C">
              <w:rPr>
                <w:rFonts w:eastAsia="Times New Roman" w:cs="Times New Roman"/>
                <w:i/>
                <w:iCs/>
                <w:szCs w:val="24"/>
              </w:rPr>
              <w:t>NUTS</w:t>
            </w:r>
            <w:r w:rsidRPr="002F64A6">
              <w:rPr>
                <w:rFonts w:eastAsia="Times New Roman" w:cs="Times New Roman"/>
                <w:szCs w:val="24"/>
              </w:rPr>
              <w:t xml:space="preserve"> </w:t>
            </w:r>
            <w:r w:rsidRPr="005463A7">
              <w:rPr>
                <w:rFonts w:eastAsia="Times New Roman" w:cs="Times New Roman"/>
                <w:i/>
                <w:iCs/>
                <w:szCs w:val="24"/>
              </w:rPr>
              <w:t>pārejas</w:t>
            </w:r>
            <w:r w:rsidRPr="002F64A6">
              <w:rPr>
                <w:rFonts w:eastAsia="Times New Roman" w:cs="Times New Roman"/>
                <w:szCs w:val="24"/>
              </w:rPr>
              <w:t xml:space="preserve"> reģions</w:t>
            </w:r>
          </w:p>
        </w:tc>
        <w:tc>
          <w:tcPr>
            <w:tcW w:w="2552" w:type="dxa"/>
            <w:shd w:val="clear" w:color="auto" w:fill="BFBFBF" w:themeFill="background1" w:themeFillShade="BF"/>
            <w:vAlign w:val="center"/>
          </w:tcPr>
          <w:p w14:paraId="4CCD4DBA" w14:textId="77777777"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b/>
                <w:szCs w:val="24"/>
              </w:rPr>
              <w:t>2.secenārijs</w:t>
            </w:r>
          </w:p>
          <w:p w14:paraId="7B2BB51A" w14:textId="77777777"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szCs w:val="24"/>
              </w:rPr>
              <w:t xml:space="preserve">Ja otrs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Times New Roman" w:cs="Times New Roman"/>
                <w:szCs w:val="24"/>
              </w:rPr>
              <w:t xml:space="preserve"> reģions ir </w:t>
            </w:r>
            <w:r w:rsidRPr="005463A7">
              <w:rPr>
                <w:rFonts w:eastAsia="Times New Roman" w:cs="Times New Roman"/>
                <w:i/>
                <w:iCs/>
                <w:szCs w:val="24"/>
              </w:rPr>
              <w:t>pārejas</w:t>
            </w:r>
            <w:r w:rsidRPr="002F64A6">
              <w:rPr>
                <w:rFonts w:eastAsia="Times New Roman" w:cs="Times New Roman"/>
                <w:szCs w:val="24"/>
              </w:rPr>
              <w:t xml:space="preserve"> reģions (mljrd. </w:t>
            </w:r>
            <w:r>
              <w:rPr>
                <w:rFonts w:eastAsia="Calibri" w:cs="Times New Roman"/>
                <w:i/>
                <w:iCs/>
                <w:szCs w:val="24"/>
              </w:rPr>
              <w:t>euro</w:t>
            </w:r>
            <w:r w:rsidRPr="002F64A6">
              <w:rPr>
                <w:rFonts w:eastAsia="Times New Roman" w:cs="Times New Roman"/>
                <w:szCs w:val="24"/>
              </w:rPr>
              <w:t>)</w:t>
            </w:r>
          </w:p>
        </w:tc>
        <w:tc>
          <w:tcPr>
            <w:tcW w:w="2551" w:type="dxa"/>
            <w:shd w:val="clear" w:color="auto" w:fill="BFBFBF" w:themeFill="background1" w:themeFillShade="BF"/>
            <w:vAlign w:val="center"/>
          </w:tcPr>
          <w:p w14:paraId="56CFB329" w14:textId="77777777"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b/>
                <w:szCs w:val="24"/>
              </w:rPr>
              <w:t>3.scenārijs</w:t>
            </w:r>
          </w:p>
          <w:p w14:paraId="79190A87"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 xml:space="preserve">Ja otrs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Times New Roman" w:cs="Times New Roman"/>
                <w:szCs w:val="24"/>
              </w:rPr>
              <w:t xml:space="preserve"> reģions ir </w:t>
            </w:r>
            <w:r w:rsidRPr="005463A7">
              <w:rPr>
                <w:rFonts w:eastAsia="Times New Roman" w:cs="Times New Roman"/>
                <w:i/>
                <w:iCs/>
                <w:szCs w:val="24"/>
              </w:rPr>
              <w:t>vairāk attīstītais</w:t>
            </w:r>
            <w:r w:rsidRPr="002F64A6">
              <w:rPr>
                <w:rFonts w:eastAsia="Times New Roman" w:cs="Times New Roman"/>
                <w:szCs w:val="24"/>
              </w:rPr>
              <w:t xml:space="preserve"> reģions (mljrd. </w:t>
            </w:r>
            <w:r>
              <w:rPr>
                <w:rFonts w:eastAsia="Calibri" w:cs="Times New Roman"/>
                <w:i/>
                <w:iCs/>
                <w:szCs w:val="24"/>
              </w:rPr>
              <w:t>euro</w:t>
            </w:r>
            <w:r w:rsidRPr="002F64A6">
              <w:rPr>
                <w:rFonts w:eastAsia="Times New Roman" w:cs="Times New Roman"/>
                <w:szCs w:val="24"/>
              </w:rPr>
              <w:t>)</w:t>
            </w:r>
          </w:p>
        </w:tc>
      </w:tr>
      <w:tr w:rsidR="00802E2A" w:rsidRPr="002F64A6" w14:paraId="507A6AB8" w14:textId="77777777" w:rsidTr="007B6A5B">
        <w:trPr>
          <w:trHeight w:val="703"/>
          <w:jc w:val="center"/>
        </w:trPr>
        <w:tc>
          <w:tcPr>
            <w:tcW w:w="2405" w:type="dxa"/>
          </w:tcPr>
          <w:p w14:paraId="689452A2" w14:textId="77777777" w:rsidR="00802E2A" w:rsidRPr="002F64A6" w:rsidRDefault="00802E2A" w:rsidP="007B6A5B">
            <w:pPr>
              <w:pStyle w:val="ListParagraph"/>
              <w:spacing w:after="0"/>
              <w:ind w:left="0"/>
              <w:rPr>
                <w:rFonts w:eastAsia="Times New Roman" w:cs="Times New Roman"/>
                <w:szCs w:val="24"/>
              </w:rPr>
            </w:pPr>
            <w:r w:rsidRPr="005463A7">
              <w:rPr>
                <w:rFonts w:eastAsia="Times New Roman" w:cs="Times New Roman"/>
                <w:i/>
                <w:iCs/>
                <w:szCs w:val="24"/>
              </w:rPr>
              <w:t>Mazāk attīstītā</w:t>
            </w:r>
            <w:r w:rsidRPr="002F64A6">
              <w:rPr>
                <w:rFonts w:eastAsia="Times New Roman" w:cs="Times New Roman"/>
                <w:szCs w:val="24"/>
              </w:rPr>
              <w:t xml:space="preserve"> reģiona plānošanai </w:t>
            </w:r>
          </w:p>
        </w:tc>
        <w:tc>
          <w:tcPr>
            <w:tcW w:w="2268" w:type="dxa"/>
            <w:vAlign w:val="center"/>
          </w:tcPr>
          <w:p w14:paraId="1D3304FE" w14:textId="77777777" w:rsidR="00802E2A" w:rsidRPr="002F64A6" w:rsidRDefault="00802E2A" w:rsidP="007B6A5B">
            <w:pPr>
              <w:pStyle w:val="ListParagraph"/>
              <w:spacing w:after="0"/>
              <w:ind w:left="0"/>
              <w:jc w:val="center"/>
              <w:rPr>
                <w:rFonts w:eastAsia="Times New Roman" w:cs="Times New Roman"/>
                <w:szCs w:val="24"/>
              </w:rPr>
            </w:pPr>
          </w:p>
        </w:tc>
        <w:tc>
          <w:tcPr>
            <w:tcW w:w="2552" w:type="dxa"/>
            <w:vAlign w:val="center"/>
          </w:tcPr>
          <w:p w14:paraId="1BADAE79" w14:textId="30866CEF" w:rsidR="00802E2A" w:rsidRPr="007171D2" w:rsidRDefault="00802E2A" w:rsidP="007171D2">
            <w:pPr>
              <w:jc w:val="center"/>
              <w:rPr>
                <w:rFonts w:cs="Times New Roman"/>
                <w:color w:val="000000"/>
                <w:szCs w:val="24"/>
              </w:rPr>
            </w:pPr>
            <w:r w:rsidRPr="002F64A6">
              <w:rPr>
                <w:rFonts w:cs="Times New Roman"/>
                <w:color w:val="000000"/>
                <w:szCs w:val="24"/>
              </w:rPr>
              <w:t>0,31 - 0,34</w:t>
            </w:r>
          </w:p>
        </w:tc>
        <w:tc>
          <w:tcPr>
            <w:tcW w:w="2551" w:type="dxa"/>
            <w:vAlign w:val="center"/>
          </w:tcPr>
          <w:p w14:paraId="710B103A"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0,28 - 0,39</w:t>
            </w:r>
          </w:p>
        </w:tc>
      </w:tr>
      <w:tr w:rsidR="00802E2A" w:rsidRPr="002F64A6" w14:paraId="664E0EB5" w14:textId="77777777" w:rsidTr="007B6A5B">
        <w:trPr>
          <w:trHeight w:val="472"/>
          <w:jc w:val="center"/>
        </w:trPr>
        <w:tc>
          <w:tcPr>
            <w:tcW w:w="2405" w:type="dxa"/>
          </w:tcPr>
          <w:p w14:paraId="035CF32F" w14:textId="77777777" w:rsidR="00802E2A" w:rsidRPr="002F64A6" w:rsidRDefault="00802E2A" w:rsidP="007B6A5B">
            <w:pPr>
              <w:pStyle w:val="ListParagraph"/>
              <w:spacing w:after="0"/>
              <w:ind w:left="0"/>
              <w:rPr>
                <w:rFonts w:eastAsia="Times New Roman" w:cs="Times New Roman"/>
                <w:szCs w:val="24"/>
              </w:rPr>
            </w:pPr>
            <w:r w:rsidRPr="005463A7">
              <w:rPr>
                <w:rFonts w:eastAsia="Times New Roman" w:cs="Times New Roman"/>
                <w:i/>
                <w:iCs/>
                <w:szCs w:val="24"/>
              </w:rPr>
              <w:t>Pārejas</w:t>
            </w:r>
            <w:r w:rsidRPr="002F64A6">
              <w:rPr>
                <w:rFonts w:eastAsia="Times New Roman" w:cs="Times New Roman"/>
                <w:szCs w:val="24"/>
              </w:rPr>
              <w:t xml:space="preserve"> reģiona plānošanai</w:t>
            </w:r>
          </w:p>
        </w:tc>
        <w:tc>
          <w:tcPr>
            <w:tcW w:w="2268" w:type="dxa"/>
            <w:vAlign w:val="center"/>
          </w:tcPr>
          <w:p w14:paraId="1FE9F97D"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0,72 - 0,84</w:t>
            </w:r>
          </w:p>
        </w:tc>
        <w:tc>
          <w:tcPr>
            <w:tcW w:w="2552" w:type="dxa"/>
            <w:vAlign w:val="center"/>
          </w:tcPr>
          <w:p w14:paraId="6E14F8B7"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0,12 - 0,15</w:t>
            </w:r>
          </w:p>
        </w:tc>
        <w:tc>
          <w:tcPr>
            <w:tcW w:w="2551" w:type="dxa"/>
            <w:vAlign w:val="center"/>
          </w:tcPr>
          <w:p w14:paraId="3596692F"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w:t>
            </w:r>
          </w:p>
        </w:tc>
      </w:tr>
      <w:tr w:rsidR="00802E2A" w:rsidRPr="002F64A6" w14:paraId="237FB4A7" w14:textId="77777777" w:rsidTr="007B6A5B">
        <w:trPr>
          <w:trHeight w:val="703"/>
          <w:jc w:val="center"/>
        </w:trPr>
        <w:tc>
          <w:tcPr>
            <w:tcW w:w="2405" w:type="dxa"/>
          </w:tcPr>
          <w:p w14:paraId="5B971F67" w14:textId="77777777" w:rsidR="00802E2A" w:rsidRPr="002F64A6" w:rsidRDefault="00802E2A" w:rsidP="007B6A5B">
            <w:pPr>
              <w:pStyle w:val="ListParagraph"/>
              <w:spacing w:after="0"/>
              <w:ind w:left="0"/>
              <w:rPr>
                <w:rFonts w:eastAsia="Times New Roman" w:cs="Times New Roman"/>
                <w:szCs w:val="24"/>
              </w:rPr>
            </w:pPr>
            <w:r w:rsidRPr="005463A7">
              <w:rPr>
                <w:rFonts w:eastAsia="Times New Roman" w:cs="Times New Roman"/>
                <w:i/>
                <w:iCs/>
                <w:szCs w:val="24"/>
              </w:rPr>
              <w:t>Vairāk attīstītā</w:t>
            </w:r>
            <w:r w:rsidRPr="002F64A6">
              <w:rPr>
                <w:rFonts w:eastAsia="Times New Roman" w:cs="Times New Roman"/>
                <w:szCs w:val="24"/>
              </w:rPr>
              <w:t xml:space="preserve"> reģiona plānošanai</w:t>
            </w:r>
          </w:p>
        </w:tc>
        <w:tc>
          <w:tcPr>
            <w:tcW w:w="2268" w:type="dxa"/>
            <w:vAlign w:val="center"/>
          </w:tcPr>
          <w:p w14:paraId="4F9C909A" w14:textId="77777777" w:rsidR="00802E2A" w:rsidRPr="002F64A6" w:rsidRDefault="00802E2A" w:rsidP="007B6A5B">
            <w:pPr>
              <w:pStyle w:val="ListParagraph"/>
              <w:spacing w:after="0"/>
              <w:ind w:left="0"/>
              <w:jc w:val="center"/>
              <w:rPr>
                <w:rFonts w:eastAsia="Times New Roman" w:cs="Times New Roman"/>
                <w:szCs w:val="24"/>
              </w:rPr>
            </w:pPr>
          </w:p>
        </w:tc>
        <w:tc>
          <w:tcPr>
            <w:tcW w:w="2552" w:type="dxa"/>
            <w:vAlign w:val="center"/>
          </w:tcPr>
          <w:p w14:paraId="44644A26"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w:t>
            </w:r>
          </w:p>
        </w:tc>
        <w:tc>
          <w:tcPr>
            <w:tcW w:w="2551" w:type="dxa"/>
            <w:vAlign w:val="center"/>
          </w:tcPr>
          <w:p w14:paraId="567D645A"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0,1 - 0,3</w:t>
            </w:r>
          </w:p>
        </w:tc>
      </w:tr>
      <w:tr w:rsidR="00802E2A" w:rsidRPr="002F64A6" w14:paraId="5BD4BA5B" w14:textId="77777777" w:rsidTr="007B6A5B">
        <w:trPr>
          <w:trHeight w:val="694"/>
          <w:jc w:val="center"/>
        </w:trPr>
        <w:tc>
          <w:tcPr>
            <w:tcW w:w="2405" w:type="dxa"/>
          </w:tcPr>
          <w:p w14:paraId="754229FB" w14:textId="77777777" w:rsidR="00802E2A" w:rsidRPr="002F64A6" w:rsidRDefault="00802E2A" w:rsidP="007B6A5B">
            <w:pPr>
              <w:pStyle w:val="ListParagraph"/>
              <w:spacing w:after="0"/>
              <w:ind w:left="0"/>
              <w:rPr>
                <w:rFonts w:eastAsia="Times New Roman" w:cs="Times New Roman"/>
                <w:szCs w:val="24"/>
              </w:rPr>
            </w:pPr>
            <w:r w:rsidRPr="002F64A6">
              <w:rPr>
                <w:rFonts w:eastAsia="Times New Roman" w:cs="Times New Roman"/>
                <w:szCs w:val="24"/>
              </w:rPr>
              <w:t>Kohēzijas fondam (t.sk. EISI) un Eiropas teritoriālās sadarbības mērķim (Interreg)</w:t>
            </w:r>
          </w:p>
        </w:tc>
        <w:tc>
          <w:tcPr>
            <w:tcW w:w="2268" w:type="dxa"/>
            <w:vAlign w:val="center"/>
          </w:tcPr>
          <w:p w14:paraId="06516EAF"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0,16 - 0,18</w:t>
            </w:r>
          </w:p>
        </w:tc>
        <w:tc>
          <w:tcPr>
            <w:tcW w:w="2552" w:type="dxa"/>
            <w:vAlign w:val="center"/>
          </w:tcPr>
          <w:p w14:paraId="7D0FE3A5"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0,16 - 0,18</w:t>
            </w:r>
          </w:p>
        </w:tc>
        <w:tc>
          <w:tcPr>
            <w:tcW w:w="2551" w:type="dxa"/>
            <w:vAlign w:val="center"/>
          </w:tcPr>
          <w:p w14:paraId="659D3A5C" w14:textId="77777777" w:rsidR="00802E2A" w:rsidRPr="002F64A6" w:rsidRDefault="00802E2A" w:rsidP="007B6A5B">
            <w:pPr>
              <w:pStyle w:val="ListParagraph"/>
              <w:spacing w:after="0"/>
              <w:ind w:left="0"/>
              <w:jc w:val="center"/>
              <w:rPr>
                <w:rFonts w:eastAsia="Times New Roman" w:cs="Times New Roman"/>
                <w:szCs w:val="24"/>
              </w:rPr>
            </w:pPr>
            <w:r w:rsidRPr="002F64A6">
              <w:rPr>
                <w:rFonts w:eastAsia="Times New Roman" w:cs="Times New Roman"/>
                <w:szCs w:val="24"/>
              </w:rPr>
              <w:t>0,16 - 0,18</w:t>
            </w:r>
          </w:p>
        </w:tc>
      </w:tr>
      <w:tr w:rsidR="00802E2A" w:rsidRPr="002F64A6" w14:paraId="0818BDAC" w14:textId="77777777" w:rsidTr="007B6A5B">
        <w:trPr>
          <w:trHeight w:val="227"/>
          <w:jc w:val="center"/>
        </w:trPr>
        <w:tc>
          <w:tcPr>
            <w:tcW w:w="2405" w:type="dxa"/>
          </w:tcPr>
          <w:p w14:paraId="0AFE1439" w14:textId="77777777" w:rsidR="00802E2A" w:rsidRPr="002F64A6" w:rsidRDefault="00802E2A" w:rsidP="007B6A5B">
            <w:pPr>
              <w:pStyle w:val="ListParagraph"/>
              <w:spacing w:after="0"/>
              <w:ind w:left="0"/>
              <w:rPr>
                <w:rFonts w:eastAsia="Times New Roman" w:cs="Times New Roman"/>
                <w:b/>
                <w:bCs/>
                <w:szCs w:val="24"/>
              </w:rPr>
            </w:pPr>
            <w:r w:rsidRPr="002F64A6">
              <w:rPr>
                <w:rFonts w:eastAsia="Times New Roman" w:cs="Times New Roman"/>
                <w:b/>
                <w:bCs/>
                <w:szCs w:val="24"/>
              </w:rPr>
              <w:t>Kopā</w:t>
            </w:r>
          </w:p>
        </w:tc>
        <w:tc>
          <w:tcPr>
            <w:tcW w:w="2268" w:type="dxa"/>
            <w:vAlign w:val="center"/>
          </w:tcPr>
          <w:p w14:paraId="505A760B" w14:textId="77777777" w:rsidR="00802E2A" w:rsidRPr="002F64A6" w:rsidRDefault="00802E2A" w:rsidP="007B6A5B">
            <w:pPr>
              <w:pStyle w:val="ListParagraph"/>
              <w:spacing w:after="0"/>
              <w:ind w:left="0"/>
              <w:jc w:val="center"/>
              <w:rPr>
                <w:rFonts w:eastAsia="Times New Roman" w:cs="Times New Roman"/>
                <w:b/>
                <w:bCs/>
                <w:szCs w:val="24"/>
              </w:rPr>
            </w:pPr>
            <w:r w:rsidRPr="002F64A6">
              <w:rPr>
                <w:rFonts w:eastAsia="Times New Roman" w:cs="Times New Roman"/>
                <w:b/>
                <w:bCs/>
                <w:szCs w:val="24"/>
              </w:rPr>
              <w:t>0,88 - 1,02</w:t>
            </w:r>
          </w:p>
        </w:tc>
        <w:tc>
          <w:tcPr>
            <w:tcW w:w="2552" w:type="dxa"/>
            <w:vAlign w:val="center"/>
          </w:tcPr>
          <w:p w14:paraId="396F6BB3" w14:textId="77777777" w:rsidR="00802E2A" w:rsidRPr="002F64A6" w:rsidRDefault="00802E2A" w:rsidP="007B6A5B">
            <w:pPr>
              <w:pStyle w:val="ListParagraph"/>
              <w:spacing w:after="0"/>
              <w:ind w:left="0"/>
              <w:jc w:val="center"/>
              <w:rPr>
                <w:rFonts w:eastAsia="Times New Roman" w:cs="Times New Roman"/>
                <w:b/>
                <w:bCs/>
                <w:szCs w:val="24"/>
              </w:rPr>
            </w:pPr>
            <w:r w:rsidRPr="002F64A6">
              <w:rPr>
                <w:rFonts w:eastAsia="Times New Roman" w:cs="Times New Roman"/>
                <w:b/>
                <w:bCs/>
                <w:szCs w:val="24"/>
              </w:rPr>
              <w:t>0,59 - 0,67</w:t>
            </w:r>
          </w:p>
        </w:tc>
        <w:tc>
          <w:tcPr>
            <w:tcW w:w="2551" w:type="dxa"/>
            <w:vAlign w:val="center"/>
          </w:tcPr>
          <w:p w14:paraId="0283747E" w14:textId="77777777" w:rsidR="00802E2A" w:rsidRPr="002F64A6" w:rsidRDefault="00802E2A" w:rsidP="007B6A5B">
            <w:pPr>
              <w:pStyle w:val="ListParagraph"/>
              <w:spacing w:after="0"/>
              <w:ind w:left="0"/>
              <w:jc w:val="center"/>
              <w:rPr>
                <w:rFonts w:eastAsia="Times New Roman" w:cs="Times New Roman"/>
                <w:b/>
                <w:bCs/>
                <w:szCs w:val="24"/>
              </w:rPr>
            </w:pPr>
            <w:r w:rsidRPr="002F64A6">
              <w:rPr>
                <w:rFonts w:eastAsia="Times New Roman" w:cs="Times New Roman"/>
                <w:b/>
                <w:bCs/>
                <w:szCs w:val="24"/>
              </w:rPr>
              <w:t>0,54 - 0,87</w:t>
            </w:r>
          </w:p>
        </w:tc>
      </w:tr>
    </w:tbl>
    <w:p w14:paraId="3831364B" w14:textId="77777777" w:rsidR="00802E2A" w:rsidRPr="002F64A6" w:rsidRDefault="00802E2A" w:rsidP="00802E2A">
      <w:pPr>
        <w:ind w:right="-31"/>
        <w:rPr>
          <w:rFonts w:eastAsia="Calibri" w:cs="Times New Roman"/>
          <w:szCs w:val="24"/>
        </w:rPr>
      </w:pPr>
    </w:p>
    <w:p w14:paraId="52FCBEAA" w14:textId="77777777" w:rsidR="00802E2A" w:rsidRDefault="00802E2A" w:rsidP="00802E2A">
      <w:pPr>
        <w:ind w:right="-31" w:firstLine="720"/>
        <w:rPr>
          <w:rFonts w:eastAsia="Calibri" w:cs="Times New Roman"/>
          <w:szCs w:val="24"/>
        </w:rPr>
      </w:pPr>
      <w:r w:rsidRPr="002F64A6">
        <w:rPr>
          <w:rFonts w:eastAsia="Calibri" w:cs="Times New Roman"/>
          <w:szCs w:val="24"/>
        </w:rPr>
        <w:t xml:space="preserve">Kā redzams </w:t>
      </w:r>
      <w:r>
        <w:rPr>
          <w:rFonts w:eastAsia="Calibri" w:cs="Times New Roman"/>
          <w:szCs w:val="24"/>
        </w:rPr>
        <w:t>tabulas Nr. </w:t>
      </w:r>
      <w:r w:rsidRPr="002F64A6">
        <w:rPr>
          <w:rFonts w:eastAsia="Calibri" w:cs="Times New Roman"/>
          <w:szCs w:val="24"/>
        </w:rPr>
        <w:t>6</w:t>
      </w:r>
      <w:r>
        <w:rPr>
          <w:rFonts w:eastAsia="Calibri" w:cs="Times New Roman"/>
          <w:szCs w:val="24"/>
        </w:rPr>
        <w:t xml:space="preserve"> </w:t>
      </w:r>
      <w:r w:rsidRPr="002F64A6">
        <w:rPr>
          <w:rFonts w:eastAsia="Calibri" w:cs="Times New Roman"/>
          <w:szCs w:val="24"/>
        </w:rPr>
        <w:t xml:space="preserve">apkopojumā, tad lielākais nacionālā līdzfinansējuma apjoms nepieciešams gadījumā, ja Latvija saglabā esošo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Calibri" w:cs="Times New Roman"/>
          <w:szCs w:val="24"/>
        </w:rPr>
        <w:t xml:space="preserve"> dalījumu un klasificējas </w:t>
      </w:r>
      <w:r w:rsidRPr="00A92DF4">
        <w:rPr>
          <w:rFonts w:eastAsia="Calibri" w:cs="Times New Roman"/>
          <w:i/>
          <w:iCs/>
          <w:szCs w:val="24"/>
        </w:rPr>
        <w:t>pārejas</w:t>
      </w:r>
      <w:r w:rsidRPr="002F64A6">
        <w:rPr>
          <w:rFonts w:eastAsia="Calibri" w:cs="Times New Roman"/>
          <w:szCs w:val="24"/>
        </w:rPr>
        <w:t xml:space="preserve"> reģiona kategorijai (1.</w:t>
      </w:r>
      <w:r>
        <w:rPr>
          <w:rFonts w:eastAsia="Calibri" w:cs="Times New Roman"/>
          <w:szCs w:val="24"/>
        </w:rPr>
        <w:t> </w:t>
      </w:r>
      <w:r w:rsidRPr="002F64A6">
        <w:rPr>
          <w:rFonts w:eastAsia="Calibri" w:cs="Times New Roman"/>
          <w:szCs w:val="24"/>
        </w:rPr>
        <w:t xml:space="preserve">scenārijs) – no apmēram 880 milj. </w:t>
      </w:r>
      <w:r>
        <w:rPr>
          <w:rFonts w:eastAsia="Calibri" w:cs="Times New Roman"/>
          <w:i/>
          <w:iCs/>
          <w:szCs w:val="24"/>
        </w:rPr>
        <w:t>euro</w:t>
      </w:r>
      <w:r w:rsidRPr="002F64A6">
        <w:rPr>
          <w:rFonts w:eastAsia="Calibri" w:cs="Times New Roman"/>
          <w:szCs w:val="24"/>
        </w:rPr>
        <w:t xml:space="preserve"> līdz apmēram 1 mljrd. </w:t>
      </w:r>
      <w:r>
        <w:rPr>
          <w:rFonts w:eastAsia="Calibri" w:cs="Times New Roman"/>
          <w:i/>
          <w:iCs/>
          <w:szCs w:val="24"/>
        </w:rPr>
        <w:t>euro</w:t>
      </w:r>
      <w:r w:rsidRPr="002F64A6">
        <w:rPr>
          <w:rFonts w:eastAsia="Calibri" w:cs="Times New Roman"/>
          <w:szCs w:val="24"/>
        </w:rPr>
        <w:t>. 2.</w:t>
      </w:r>
      <w:r>
        <w:rPr>
          <w:rFonts w:eastAsia="Calibri" w:cs="Times New Roman"/>
          <w:szCs w:val="24"/>
        </w:rPr>
        <w:t> </w:t>
      </w:r>
      <w:r w:rsidRPr="002F64A6">
        <w:rPr>
          <w:rFonts w:eastAsia="Calibri" w:cs="Times New Roman"/>
          <w:szCs w:val="24"/>
        </w:rPr>
        <w:t>scenārijā līdzfinansējuma apjoms būtu vismazākais, tomēr šis scenārijs arī vismazāk ticamais, ņemot vērā, ka Rīga jau 2018.gadā bija sasniegusi 118% no ES vidējā radītāja IKP uz iedzīvotāju.</w:t>
      </w:r>
      <w:r w:rsidRPr="002F64A6">
        <w:rPr>
          <w:rStyle w:val="FootnoteReference"/>
          <w:rFonts w:eastAsia="Calibri" w:cs="Times New Roman"/>
          <w:szCs w:val="24"/>
        </w:rPr>
        <w:footnoteReference w:id="10"/>
      </w:r>
      <w:r w:rsidRPr="002F64A6">
        <w:rPr>
          <w:rFonts w:eastAsia="Calibri" w:cs="Times New Roman"/>
          <w:szCs w:val="24"/>
        </w:rPr>
        <w:t xml:space="preserve"> Salīdzinot ar 3.</w:t>
      </w:r>
      <w:r>
        <w:rPr>
          <w:rFonts w:eastAsia="Calibri" w:cs="Times New Roman"/>
          <w:szCs w:val="24"/>
        </w:rPr>
        <w:t> </w:t>
      </w:r>
      <w:r w:rsidRPr="002F64A6">
        <w:rPr>
          <w:rFonts w:eastAsia="Calibri" w:cs="Times New Roman"/>
          <w:szCs w:val="24"/>
        </w:rPr>
        <w:t xml:space="preserve">scenāriju, kad Latvija tiek sadalīta divos </w:t>
      </w:r>
      <w:r w:rsidRPr="0015761C">
        <w:rPr>
          <w:rFonts w:eastAsia="Calibri" w:cs="Times New Roman"/>
          <w:i/>
          <w:iCs/>
          <w:szCs w:val="24"/>
        </w:rPr>
        <w:t>NUTS</w:t>
      </w:r>
      <w:r w:rsidRPr="002F64A6">
        <w:rPr>
          <w:rFonts w:eastAsia="Calibri" w:cs="Times New Roman"/>
          <w:szCs w:val="24"/>
        </w:rPr>
        <w:t xml:space="preserve"> reģionos no kuriem viens ir </w:t>
      </w:r>
      <w:r w:rsidRPr="00177612">
        <w:rPr>
          <w:rFonts w:eastAsia="Calibri" w:cs="Times New Roman"/>
          <w:i/>
          <w:iCs/>
          <w:szCs w:val="24"/>
        </w:rPr>
        <w:t>vairāk attīstītais</w:t>
      </w:r>
      <w:r w:rsidRPr="002F64A6">
        <w:rPr>
          <w:rFonts w:eastAsia="Calibri" w:cs="Times New Roman"/>
          <w:szCs w:val="24"/>
        </w:rPr>
        <w:t xml:space="preserve"> un otrs </w:t>
      </w:r>
      <w:r w:rsidRPr="005463A7">
        <w:rPr>
          <w:rFonts w:eastAsia="Calibri" w:cs="Times New Roman"/>
          <w:i/>
          <w:iCs/>
          <w:szCs w:val="24"/>
        </w:rPr>
        <w:t>mazāk attīstītais</w:t>
      </w:r>
      <w:r w:rsidRPr="002F64A6">
        <w:rPr>
          <w:rFonts w:eastAsia="Calibri" w:cs="Times New Roman"/>
          <w:szCs w:val="24"/>
        </w:rPr>
        <w:t>, starpība ar 1.</w:t>
      </w:r>
      <w:r>
        <w:rPr>
          <w:rFonts w:eastAsia="Calibri" w:cs="Times New Roman"/>
          <w:szCs w:val="24"/>
        </w:rPr>
        <w:t> </w:t>
      </w:r>
      <w:r w:rsidRPr="002F64A6">
        <w:rPr>
          <w:rFonts w:eastAsia="Calibri" w:cs="Times New Roman"/>
          <w:szCs w:val="24"/>
        </w:rPr>
        <w:t xml:space="preserve">scenāriju varētu veidot 150-340 milj. </w:t>
      </w:r>
      <w:r>
        <w:rPr>
          <w:rFonts w:eastAsia="Calibri" w:cs="Times New Roman"/>
          <w:i/>
          <w:iCs/>
          <w:szCs w:val="24"/>
        </w:rPr>
        <w:t>euro</w:t>
      </w:r>
      <w:r w:rsidRPr="002F64A6">
        <w:rPr>
          <w:rFonts w:eastAsia="Calibri" w:cs="Times New Roman"/>
          <w:szCs w:val="24"/>
        </w:rPr>
        <w:t xml:space="preserve">, jeb 16-37 milj. </w:t>
      </w:r>
      <w:r>
        <w:rPr>
          <w:rFonts w:eastAsia="Calibri" w:cs="Times New Roman"/>
          <w:i/>
          <w:iCs/>
          <w:szCs w:val="24"/>
        </w:rPr>
        <w:t>euro</w:t>
      </w:r>
      <w:r w:rsidRPr="002F64A6">
        <w:rPr>
          <w:rFonts w:eastAsia="Calibri" w:cs="Times New Roman"/>
          <w:szCs w:val="24"/>
        </w:rPr>
        <w:t xml:space="preserve"> gadā (pieņemot, ka tiek noteikts 9 gadu attiecināmības periods).</w:t>
      </w:r>
    </w:p>
    <w:p w14:paraId="452B7219" w14:textId="77777777" w:rsidR="00802E2A" w:rsidRDefault="00802E2A" w:rsidP="00802E2A">
      <w:pPr>
        <w:ind w:right="-31" w:firstLine="720"/>
        <w:rPr>
          <w:rFonts w:eastAsia="Calibri" w:cs="Times New Roman"/>
          <w:szCs w:val="24"/>
        </w:rPr>
      </w:pPr>
      <w:r w:rsidRPr="002F64A6">
        <w:rPr>
          <w:rFonts w:eastAsia="Calibri" w:cs="Times New Roman"/>
          <w:szCs w:val="24"/>
        </w:rPr>
        <w:t>Vienlaikus atšķirība starp 1. un 3.</w:t>
      </w:r>
      <w:r>
        <w:rPr>
          <w:rFonts w:eastAsia="Calibri" w:cs="Times New Roman"/>
          <w:szCs w:val="24"/>
        </w:rPr>
        <w:t> </w:t>
      </w:r>
      <w:r w:rsidRPr="002F64A6">
        <w:rPr>
          <w:rFonts w:eastAsia="Calibri" w:cs="Times New Roman"/>
          <w:szCs w:val="24"/>
        </w:rPr>
        <w:t>scenāriju veidojas</w:t>
      </w:r>
      <w:r>
        <w:rPr>
          <w:rFonts w:eastAsia="Calibri" w:cs="Times New Roman"/>
          <w:szCs w:val="24"/>
        </w:rPr>
        <w:t>,</w:t>
      </w:r>
      <w:r w:rsidRPr="002F64A6">
        <w:rPr>
          <w:rFonts w:eastAsia="Calibri" w:cs="Times New Roman"/>
          <w:szCs w:val="24"/>
        </w:rPr>
        <w:t xml:space="preserve"> pieņemot, ka </w:t>
      </w:r>
      <w:r w:rsidRPr="005463A7">
        <w:rPr>
          <w:rFonts w:eastAsia="Calibri" w:cs="Times New Roman"/>
          <w:i/>
          <w:iCs/>
          <w:szCs w:val="24"/>
        </w:rPr>
        <w:t>mazāk attīstītajiem</w:t>
      </w:r>
      <w:r w:rsidRPr="002F64A6">
        <w:rPr>
          <w:rFonts w:eastAsia="Calibri" w:cs="Times New Roman"/>
          <w:szCs w:val="24"/>
        </w:rPr>
        <w:t xml:space="preserve"> reģioniem tiek saglabāts 85% ES līdzfinansējums. EK sākotnējais priekšlikums 2021.</w:t>
      </w:r>
      <w:r>
        <w:rPr>
          <w:rFonts w:eastAsia="Calibri" w:cs="Times New Roman"/>
          <w:szCs w:val="24"/>
        </w:rPr>
        <w:t>–</w:t>
      </w:r>
      <w:r w:rsidRPr="002F64A6">
        <w:rPr>
          <w:rFonts w:eastAsia="Calibri" w:cs="Times New Roman"/>
          <w:szCs w:val="24"/>
        </w:rPr>
        <w:t>2027.</w:t>
      </w:r>
      <w:r>
        <w:rPr>
          <w:rFonts w:eastAsia="Calibri" w:cs="Times New Roman"/>
          <w:szCs w:val="24"/>
        </w:rPr>
        <w:t> </w:t>
      </w:r>
      <w:r w:rsidRPr="002F64A6">
        <w:rPr>
          <w:rFonts w:eastAsia="Calibri" w:cs="Times New Roman"/>
          <w:szCs w:val="24"/>
        </w:rPr>
        <w:t xml:space="preserve">gada perioda regulējumam paredzēja </w:t>
      </w:r>
      <w:r w:rsidRPr="005463A7">
        <w:rPr>
          <w:rFonts w:eastAsia="Calibri" w:cs="Times New Roman"/>
          <w:i/>
          <w:iCs/>
          <w:szCs w:val="24"/>
        </w:rPr>
        <w:t>mazāk attīstītajiem</w:t>
      </w:r>
      <w:r w:rsidRPr="002F64A6">
        <w:rPr>
          <w:rFonts w:eastAsia="Calibri" w:cs="Times New Roman"/>
          <w:szCs w:val="24"/>
        </w:rPr>
        <w:t xml:space="preserve"> reģioniem noteikt 70% līdzfinansējumu</w:t>
      </w:r>
      <w:r>
        <w:rPr>
          <w:rFonts w:eastAsia="Calibri" w:cs="Times New Roman"/>
          <w:szCs w:val="24"/>
        </w:rPr>
        <w:t>,</w:t>
      </w:r>
      <w:r w:rsidRPr="002F64A6">
        <w:rPr>
          <w:rFonts w:eastAsia="Calibri" w:cs="Times New Roman"/>
          <w:szCs w:val="24"/>
        </w:rPr>
        <w:t xml:space="preserve"> un tas tika mainīts tikai ņemot vērā COVID-19 krīzes radīto ietekmi uz dalībvalstu nacionālajiem budžetiem. Ja </w:t>
      </w:r>
      <w:r w:rsidRPr="005463A7">
        <w:rPr>
          <w:rFonts w:eastAsia="Calibri" w:cs="Times New Roman"/>
          <w:i/>
          <w:iCs/>
          <w:szCs w:val="24"/>
        </w:rPr>
        <w:t>mazāk attīstītajiem</w:t>
      </w:r>
      <w:r w:rsidRPr="002F64A6">
        <w:rPr>
          <w:rFonts w:eastAsia="Calibri" w:cs="Times New Roman"/>
          <w:szCs w:val="24"/>
        </w:rPr>
        <w:t xml:space="preserve"> reģioniem tiktu noteikts 30% līdzfinansējums, tad 3.</w:t>
      </w:r>
      <w:r>
        <w:rPr>
          <w:rFonts w:eastAsia="Calibri" w:cs="Times New Roman"/>
          <w:szCs w:val="24"/>
        </w:rPr>
        <w:t> </w:t>
      </w:r>
      <w:r w:rsidRPr="002F64A6">
        <w:rPr>
          <w:rFonts w:eastAsia="Calibri" w:cs="Times New Roman"/>
          <w:szCs w:val="24"/>
        </w:rPr>
        <w:t xml:space="preserve">scenārijā nacionālais līdzfinansējums veidotu no 820 milj. </w:t>
      </w:r>
      <w:r>
        <w:rPr>
          <w:rFonts w:eastAsia="Calibri" w:cs="Times New Roman"/>
          <w:i/>
          <w:iCs/>
          <w:szCs w:val="24"/>
        </w:rPr>
        <w:t>euro</w:t>
      </w:r>
      <w:r w:rsidRPr="002F64A6">
        <w:rPr>
          <w:rFonts w:eastAsia="Calibri" w:cs="Times New Roman"/>
          <w:szCs w:val="24"/>
        </w:rPr>
        <w:t xml:space="preserve"> līdz 1,26 mljrd. </w:t>
      </w:r>
      <w:r>
        <w:rPr>
          <w:rFonts w:eastAsia="Calibri" w:cs="Times New Roman"/>
          <w:i/>
          <w:iCs/>
          <w:szCs w:val="24"/>
        </w:rPr>
        <w:t>euro</w:t>
      </w:r>
      <w:r w:rsidRPr="002F64A6">
        <w:rPr>
          <w:rFonts w:eastAsia="Calibri" w:cs="Times New Roman"/>
          <w:szCs w:val="24"/>
        </w:rPr>
        <w:t>, potenciāli pat pārsniedzot apjomu, kas aprēķināts 1.</w:t>
      </w:r>
      <w:r>
        <w:rPr>
          <w:rFonts w:eastAsia="Calibri" w:cs="Times New Roman"/>
          <w:szCs w:val="24"/>
        </w:rPr>
        <w:t> </w:t>
      </w:r>
      <w:r w:rsidRPr="002F64A6">
        <w:rPr>
          <w:rFonts w:eastAsia="Calibri" w:cs="Times New Roman"/>
          <w:szCs w:val="24"/>
        </w:rPr>
        <w:t xml:space="preserve">scenārijam. </w:t>
      </w:r>
    </w:p>
    <w:p w14:paraId="2EC509F7" w14:textId="77777777" w:rsidR="00802E2A" w:rsidRPr="002F64A6" w:rsidRDefault="00802E2A" w:rsidP="00802E2A">
      <w:pPr>
        <w:ind w:right="-31" w:firstLine="720"/>
        <w:rPr>
          <w:rFonts w:eastAsia="Calibri" w:cs="Times New Roman"/>
          <w:szCs w:val="24"/>
        </w:rPr>
      </w:pPr>
      <w:r w:rsidRPr="002F64A6">
        <w:rPr>
          <w:rFonts w:eastAsia="Calibri" w:cs="Times New Roman"/>
          <w:szCs w:val="24"/>
        </w:rPr>
        <w:t xml:space="preserve">Jāņem vērā, ka </w:t>
      </w:r>
      <w:r w:rsidRPr="00033F3D">
        <w:rPr>
          <w:rFonts w:eastAsia="Calibri" w:cs="Times New Roman"/>
          <w:i/>
          <w:iCs/>
          <w:szCs w:val="24"/>
        </w:rPr>
        <w:t>vairāk attīstītajiem</w:t>
      </w:r>
      <w:r w:rsidRPr="002F64A6">
        <w:rPr>
          <w:rFonts w:eastAsia="Calibri" w:cs="Times New Roman"/>
          <w:szCs w:val="24"/>
        </w:rPr>
        <w:t xml:space="preserve"> reģioniem maksimālā ES līdzfinansējuma likme veido tikai 40%, kas būtiski var ietekmēt nacionālā līdzfinansējuma apjomu, ko nepieciešams nodrošināt finansējuma šajos reģionos. Attiecīgi finansējuma saņēmējiem jaunizveidotajā Rīgas reģionā nacionālā līdzfinansējuma likme potenciāli pieaugtu 4 reizes (no 15% uz 60%)</w:t>
      </w:r>
    </w:p>
    <w:p w14:paraId="581C1D40" w14:textId="77777777" w:rsidR="00802E2A" w:rsidRPr="002F64A6" w:rsidRDefault="00802E2A" w:rsidP="00802E2A">
      <w:pPr>
        <w:pStyle w:val="Heading2"/>
      </w:pPr>
      <w:r w:rsidRPr="002F64A6">
        <w:t xml:space="preserve">6. </w:t>
      </w:r>
      <w:r w:rsidRPr="00085148">
        <w:t>Pārvedumi</w:t>
      </w:r>
      <w:r w:rsidRPr="002F64A6">
        <w:t xml:space="preserve"> starp reģionu kategorijām </w:t>
      </w:r>
    </w:p>
    <w:p w14:paraId="499AF5E5" w14:textId="77777777" w:rsidR="00802E2A" w:rsidRDefault="00802E2A" w:rsidP="00802E2A">
      <w:pPr>
        <w:ind w:right="-31" w:firstLine="720"/>
        <w:rPr>
          <w:rFonts w:eastAsia="Calibri" w:cs="Times New Roman"/>
          <w:szCs w:val="24"/>
        </w:rPr>
      </w:pPr>
      <w:r w:rsidRPr="002F64A6">
        <w:rPr>
          <w:rFonts w:eastAsia="Calibri" w:cs="Times New Roman"/>
          <w:szCs w:val="24"/>
        </w:rPr>
        <w:t>Kopīgo noteikumu regula 2021.</w:t>
      </w:r>
      <w:r>
        <w:rPr>
          <w:rFonts w:eastAsia="Calibri" w:cs="Times New Roman"/>
          <w:szCs w:val="24"/>
        </w:rPr>
        <w:t>–</w:t>
      </w:r>
      <w:r w:rsidRPr="002F64A6">
        <w:rPr>
          <w:rFonts w:eastAsia="Calibri" w:cs="Times New Roman"/>
          <w:szCs w:val="24"/>
        </w:rPr>
        <w:t>2027.</w:t>
      </w:r>
      <w:r>
        <w:rPr>
          <w:rFonts w:eastAsia="Calibri" w:cs="Times New Roman"/>
          <w:szCs w:val="24"/>
        </w:rPr>
        <w:t> </w:t>
      </w:r>
      <w:r w:rsidRPr="002F64A6">
        <w:rPr>
          <w:rFonts w:eastAsia="Calibri" w:cs="Times New Roman"/>
          <w:szCs w:val="24"/>
        </w:rPr>
        <w:t xml:space="preserve">gada plānošanas periodā paredz ierobežotas iespējas dalībvalstīm pārdalīt resursus starp reģionu kategorijām. Dalībvalstis var pārdalīt līdz 5% no </w:t>
      </w:r>
      <w:r w:rsidRPr="005463A7">
        <w:rPr>
          <w:rFonts w:eastAsia="Calibri" w:cs="Times New Roman"/>
          <w:i/>
          <w:iCs/>
          <w:szCs w:val="24"/>
        </w:rPr>
        <w:t xml:space="preserve">mazāk attīstīto </w:t>
      </w:r>
      <w:r w:rsidRPr="002F64A6">
        <w:rPr>
          <w:rFonts w:eastAsia="Calibri" w:cs="Times New Roman"/>
          <w:szCs w:val="24"/>
        </w:rPr>
        <w:t xml:space="preserve">reģionu piešķīrumiem uz citām reģionu kategorijām. Dalībvalstis, kurās NKI uz iedzīvotāju </w:t>
      </w:r>
      <w:r w:rsidRPr="002F64A6">
        <w:rPr>
          <w:rFonts w:eastAsia="Calibri" w:cs="Times New Roman"/>
          <w:szCs w:val="24"/>
        </w:rPr>
        <w:lastRenderedPageBreak/>
        <w:t>ir mazāks par 90% no ES vidējā var pieprasīt vēl papildus 10% pārvedumu, vienlaikus šādam pārvedumam ir nepieciešams atsevišķs EK saskaņojums</w:t>
      </w:r>
      <w:r>
        <w:rPr>
          <w:rFonts w:eastAsia="Calibri" w:cs="Times New Roman"/>
          <w:szCs w:val="24"/>
        </w:rPr>
        <w:t>,</w:t>
      </w:r>
      <w:r w:rsidRPr="002F64A6">
        <w:rPr>
          <w:rFonts w:eastAsia="Calibri" w:cs="Times New Roman"/>
          <w:szCs w:val="24"/>
        </w:rPr>
        <w:t xml:space="preserve"> un šie resursi ir izlietojami tikai 1.</w:t>
      </w:r>
      <w:r>
        <w:rPr>
          <w:rFonts w:eastAsia="Calibri" w:cs="Times New Roman"/>
          <w:szCs w:val="24"/>
        </w:rPr>
        <w:t> </w:t>
      </w:r>
      <w:r w:rsidRPr="002F64A6">
        <w:rPr>
          <w:rFonts w:eastAsia="Calibri" w:cs="Times New Roman"/>
          <w:szCs w:val="24"/>
        </w:rPr>
        <w:t>politikas mērķim (</w:t>
      </w:r>
      <w:r>
        <w:rPr>
          <w:rFonts w:eastAsia="Calibri" w:cs="Times New Roman"/>
          <w:szCs w:val="24"/>
        </w:rPr>
        <w:t>PM “V</w:t>
      </w:r>
      <w:r w:rsidRPr="002F64A6">
        <w:rPr>
          <w:rFonts w:eastAsia="Calibri" w:cs="Times New Roman"/>
          <w:szCs w:val="24"/>
        </w:rPr>
        <w:t>iedāka Eiropa</w:t>
      </w:r>
      <w:r>
        <w:rPr>
          <w:rFonts w:eastAsia="Calibri" w:cs="Times New Roman"/>
          <w:szCs w:val="24"/>
        </w:rPr>
        <w:t>”</w:t>
      </w:r>
      <w:r w:rsidRPr="002F64A6">
        <w:rPr>
          <w:rFonts w:eastAsia="Calibri" w:cs="Times New Roman"/>
          <w:szCs w:val="24"/>
        </w:rPr>
        <w:t>) un 2. politikas mērķim (</w:t>
      </w:r>
      <w:r>
        <w:rPr>
          <w:rFonts w:eastAsia="Calibri" w:cs="Times New Roman"/>
          <w:szCs w:val="24"/>
        </w:rPr>
        <w:t>PM “Z</w:t>
      </w:r>
      <w:r w:rsidRPr="002F64A6">
        <w:rPr>
          <w:rFonts w:eastAsia="Calibri" w:cs="Times New Roman"/>
          <w:szCs w:val="24"/>
        </w:rPr>
        <w:t>aļāka Eiropa</w:t>
      </w:r>
      <w:r>
        <w:rPr>
          <w:rFonts w:eastAsia="Calibri" w:cs="Times New Roman"/>
          <w:szCs w:val="24"/>
        </w:rPr>
        <w:t>”</w:t>
      </w:r>
      <w:r w:rsidRPr="002F64A6">
        <w:rPr>
          <w:rFonts w:eastAsia="Calibri" w:cs="Times New Roman"/>
          <w:szCs w:val="24"/>
        </w:rPr>
        <w:t>). Ņemot vērā iepriekš aprakstīto 3.</w:t>
      </w:r>
      <w:r>
        <w:rPr>
          <w:rFonts w:eastAsia="Calibri" w:cs="Times New Roman"/>
          <w:szCs w:val="24"/>
        </w:rPr>
        <w:t> </w:t>
      </w:r>
      <w:r w:rsidRPr="002F64A6">
        <w:rPr>
          <w:rFonts w:eastAsia="Calibri" w:cs="Times New Roman"/>
          <w:szCs w:val="24"/>
        </w:rPr>
        <w:t>scenāriju</w:t>
      </w:r>
      <w:r>
        <w:rPr>
          <w:rFonts w:eastAsia="Calibri" w:cs="Times New Roman"/>
          <w:szCs w:val="24"/>
        </w:rPr>
        <w:t>,</w:t>
      </w:r>
      <w:r w:rsidRPr="002F64A6">
        <w:rPr>
          <w:rFonts w:eastAsia="Calibri" w:cs="Times New Roman"/>
          <w:szCs w:val="24"/>
        </w:rPr>
        <w:t xml:space="preserve"> Latvijas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Calibri" w:cs="Times New Roman"/>
          <w:szCs w:val="24"/>
        </w:rPr>
        <w:t xml:space="preserve"> dalījumam maksimālais pārvedumu apjoms starp reģionu kategorijām varētu būt starp 280-390 milj. </w:t>
      </w:r>
      <w:r>
        <w:rPr>
          <w:rFonts w:eastAsia="Calibri" w:cs="Times New Roman"/>
          <w:i/>
          <w:iCs/>
          <w:szCs w:val="24"/>
        </w:rPr>
        <w:t>euro</w:t>
      </w:r>
      <w:r w:rsidRPr="002F64A6">
        <w:rPr>
          <w:rFonts w:eastAsia="Calibri" w:cs="Times New Roman"/>
          <w:szCs w:val="24"/>
        </w:rPr>
        <w:t>.</w:t>
      </w:r>
    </w:p>
    <w:p w14:paraId="58D81D45" w14:textId="77777777" w:rsidR="00802E2A" w:rsidRDefault="00802E2A" w:rsidP="00802E2A">
      <w:pPr>
        <w:ind w:right="-31" w:firstLine="720"/>
        <w:rPr>
          <w:rFonts w:eastAsia="Calibri" w:cs="Times New Roman"/>
          <w:szCs w:val="24"/>
        </w:rPr>
      </w:pPr>
      <w:r w:rsidRPr="002F64A6">
        <w:rPr>
          <w:rFonts w:eastAsia="Calibri" w:cs="Times New Roman"/>
          <w:szCs w:val="24"/>
        </w:rPr>
        <w:t xml:space="preserve">Vienlaikus nepieciešams atzīmēt, ka darbības programmu vadība ar vairāku kategoriju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Calibri" w:cs="Times New Roman"/>
          <w:szCs w:val="24"/>
        </w:rPr>
        <w:t xml:space="preserve"> reģioniem ir ievērojami sarežģītāka. Proti, dalībvalstu administrācijām ir nepieciešams nodrošināt, ka attiecīgajai reģionu kategorijai paredzētie resursi tiek izlietoti konkrētajos reģionos. Tas rada papildus administratīvo slogu tādiem atbalsta mehānismiem, kuri līdz šim ir tikuši īstenoti nacionālā līmenī. Piemēram, NVA īstenotie aktīvās nodarbinātības pasākumi, ALTUM īstenotās atbalsta programmas, kā arī citi pasākumi, kuru dizains ir veidots uz pieprasījuma principu</w:t>
      </w:r>
      <w:r>
        <w:rPr>
          <w:rFonts w:eastAsia="Calibri" w:cs="Times New Roman"/>
          <w:szCs w:val="24"/>
        </w:rPr>
        <w:t>,</w:t>
      </w:r>
      <w:r w:rsidRPr="002F64A6">
        <w:rPr>
          <w:rFonts w:eastAsia="Calibri" w:cs="Times New Roman"/>
          <w:szCs w:val="24"/>
        </w:rPr>
        <w:t xml:space="preserve"> nešķirojot finansējuma saņēmējus pēc to atrašanās vietas.</w:t>
      </w:r>
    </w:p>
    <w:p w14:paraId="75E7BA0D" w14:textId="77777777" w:rsidR="00802E2A" w:rsidRDefault="00802E2A" w:rsidP="00802E2A">
      <w:pPr>
        <w:ind w:right="-31" w:firstLine="720"/>
        <w:rPr>
          <w:rFonts w:eastAsia="Calibri" w:cs="Times New Roman"/>
          <w:szCs w:val="24"/>
        </w:rPr>
      </w:pPr>
      <w:r w:rsidRPr="002F64A6">
        <w:rPr>
          <w:rFonts w:eastAsia="Calibri" w:cs="Times New Roman"/>
          <w:szCs w:val="24"/>
        </w:rPr>
        <w:t xml:space="preserve">Lai arī ir iespējams izstrādāt tādus atbalsta instrumentus, kas ņem vērā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Calibri" w:cs="Times New Roman"/>
          <w:szCs w:val="24"/>
        </w:rPr>
        <w:t xml:space="preserve"> dalījumu, praksē tas nozīmē, ka ir nepieciešams nodalīt katram reģionam pieejamo finansējuma apjomu un naudas plūsmu. Attiecīgi var rasties situācijas, kad veidojas nozīmīgas atšķirības starp pieprasījumu un pieejamo finansējumu, kas var radīt problēmas ar resursu absorbciju un to efektīvu ieguldīšanu. Līdz šim Latvijai atrodoties vienā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Pr>
          <w:rFonts w:eastAsia="Times New Roman" w:cs="Times New Roman"/>
          <w:bCs/>
          <w:szCs w:val="24"/>
        </w:rPr>
        <w:t xml:space="preserve"> </w:t>
      </w:r>
      <w:r w:rsidRPr="002F64A6">
        <w:rPr>
          <w:rFonts w:eastAsia="Calibri" w:cs="Times New Roman"/>
          <w:szCs w:val="24"/>
        </w:rPr>
        <w:t>reģiona kategorijā ir salīdzinoši liela elastība pārdalīt resursus specifisko atbalsta mērķu ietvaros uz citām Latvijas teritorijām, ja kādā konkrētā projektā tiek konstatētas problēmas. Šādai resursu pārdalei specifisko atbalsta mērķu ietvaros nav bijuši nepieciešami darbības programmas grozījumi un saskaņojums ar EK, kas ļauj nodrošināt straujāku programmas ieviešanas tempu.</w:t>
      </w:r>
    </w:p>
    <w:p w14:paraId="55D98AB2" w14:textId="77777777" w:rsidR="00802E2A" w:rsidRPr="002F64A6" w:rsidRDefault="00802E2A" w:rsidP="00802E2A">
      <w:pPr>
        <w:ind w:right="-31" w:firstLine="720"/>
        <w:rPr>
          <w:rFonts w:eastAsia="Calibri" w:cs="Times New Roman"/>
          <w:szCs w:val="24"/>
        </w:rPr>
      </w:pPr>
      <w:r w:rsidRPr="002F64A6">
        <w:rPr>
          <w:rFonts w:eastAsia="Calibri" w:cs="Times New Roman"/>
          <w:szCs w:val="24"/>
        </w:rPr>
        <w:t xml:space="preserve">Tāpat svarīgs aspekts, ko nepieciešams ņemt vērā plānojot resursu izvietojumu, ir attiecīgā reģiona vajadzības un izaicinājumi konkrētās jomās, īpaši klimata mērķu kontekstā. Piemēram, Latvijai nozīmīgi izaicinājumi klimata mērķu sasniegšanai saglabājas arī Rīgas un Pierīgas reģionā </w:t>
      </w:r>
      <w:r>
        <w:rPr>
          <w:rFonts w:eastAsia="Calibri" w:cs="Times New Roman"/>
          <w:szCs w:val="24"/>
        </w:rPr>
        <w:t>–</w:t>
      </w:r>
      <w:r w:rsidRPr="002F64A6">
        <w:rPr>
          <w:rFonts w:eastAsia="Calibri" w:cs="Times New Roman"/>
          <w:szCs w:val="24"/>
        </w:rPr>
        <w:t xml:space="preserve"> energoefektivitāte ēku sektorā, transporta radītās emisijas. </w:t>
      </w:r>
    </w:p>
    <w:p w14:paraId="15AA9FD0" w14:textId="77777777" w:rsidR="00802E2A" w:rsidRPr="002F64A6" w:rsidRDefault="00802E2A" w:rsidP="00802E2A">
      <w:pPr>
        <w:pStyle w:val="Heading2"/>
      </w:pPr>
      <w:r w:rsidRPr="002F64A6">
        <w:t xml:space="preserve">7. </w:t>
      </w:r>
      <w:r w:rsidRPr="00085148">
        <w:t>Tematiskā</w:t>
      </w:r>
      <w:r w:rsidRPr="002F64A6">
        <w:t xml:space="preserve"> koncentrācija</w:t>
      </w:r>
    </w:p>
    <w:p w14:paraId="4DC1BD89" w14:textId="77777777" w:rsidR="00802E2A" w:rsidRPr="002F64A6" w:rsidRDefault="00802E2A" w:rsidP="00802E2A">
      <w:pPr>
        <w:ind w:right="-31" w:firstLine="720"/>
        <w:rPr>
          <w:rFonts w:eastAsia="Calibri" w:cs="Times New Roman"/>
          <w:szCs w:val="24"/>
        </w:rPr>
      </w:pPr>
      <w:r w:rsidRPr="002F64A6">
        <w:rPr>
          <w:rFonts w:eastAsia="Calibri" w:cs="Times New Roman"/>
          <w:szCs w:val="24"/>
        </w:rPr>
        <w:t>Papildu faktors, kas ietekmē līdzekļu izvietojumu</w:t>
      </w:r>
      <w:r>
        <w:rPr>
          <w:rFonts w:eastAsia="Calibri" w:cs="Times New Roman"/>
          <w:szCs w:val="24"/>
        </w:rPr>
        <w:t>,</w:t>
      </w:r>
      <w:r w:rsidRPr="002F64A6">
        <w:rPr>
          <w:rFonts w:eastAsia="Calibri" w:cs="Times New Roman"/>
          <w:szCs w:val="24"/>
        </w:rPr>
        <w:t xml:space="preserve"> ir saistīts ar tematiskās koncentrācijas prasībām dažādām reģionu kategorijām. Lai arī tematiskās koncentrācijas prasības ir gan ESF, gan ERAF, tomēr tikai ERAF gadījumā tās tiek diferencētas atkarībā no reģionu klasifikācijas.</w:t>
      </w:r>
    </w:p>
    <w:p w14:paraId="1C911BD8" w14:textId="77777777" w:rsidR="00802E2A" w:rsidRDefault="00802E2A" w:rsidP="00187E89"/>
    <w:p w14:paraId="05E5F69A" w14:textId="77777777" w:rsidR="00802E2A" w:rsidRPr="00D455E7" w:rsidRDefault="00802E2A" w:rsidP="00802E2A">
      <w:pPr>
        <w:jc w:val="right"/>
        <w:rPr>
          <w:rFonts w:eastAsia="Times New Roman" w:cs="Times New Roman"/>
          <w:szCs w:val="24"/>
        </w:rPr>
      </w:pPr>
      <w:r w:rsidRPr="00AA350D">
        <w:rPr>
          <w:i/>
        </w:rPr>
        <w:t xml:space="preserve">Tabula </w:t>
      </w:r>
      <w:r w:rsidRPr="00CA10E6">
        <w:rPr>
          <w:i/>
        </w:rPr>
        <w:t xml:space="preserve">Nr. </w:t>
      </w:r>
      <w:r>
        <w:rPr>
          <w:i/>
        </w:rPr>
        <w:t>7</w:t>
      </w:r>
      <w:r w:rsidRPr="00CA10E6">
        <w:rPr>
          <w:i/>
        </w:rPr>
        <w:t xml:space="preserve">. </w:t>
      </w:r>
      <w:r w:rsidRPr="00D455E7">
        <w:rPr>
          <w:i/>
        </w:rPr>
        <w:t>ERAF tematiskās koncentrācijas prasības 2021.</w:t>
      </w:r>
      <w:r>
        <w:rPr>
          <w:i/>
        </w:rPr>
        <w:t>–</w:t>
      </w:r>
      <w:r w:rsidRPr="00D455E7">
        <w:rPr>
          <w:i/>
        </w:rPr>
        <w:t>2027.</w:t>
      </w:r>
      <w:r>
        <w:rPr>
          <w:i/>
        </w:rPr>
        <w:t> </w:t>
      </w:r>
      <w:r w:rsidRPr="00D455E7">
        <w:rPr>
          <w:i/>
        </w:rPr>
        <w:t>gada plānošanas periodā</w:t>
      </w:r>
      <w:r>
        <w:rPr>
          <w:i/>
        </w:rPr>
        <w:t>.</w:t>
      </w:r>
    </w:p>
    <w:tbl>
      <w:tblPr>
        <w:tblStyle w:val="TableGrid"/>
        <w:tblW w:w="0" w:type="auto"/>
        <w:jc w:val="center"/>
        <w:tblLook w:val="04A0" w:firstRow="1" w:lastRow="0" w:firstColumn="1" w:lastColumn="0" w:noHBand="0" w:noVBand="1"/>
      </w:tblPr>
      <w:tblGrid>
        <w:gridCol w:w="2365"/>
        <w:gridCol w:w="2466"/>
        <w:gridCol w:w="2473"/>
        <w:gridCol w:w="2324"/>
      </w:tblGrid>
      <w:tr w:rsidR="00802E2A" w:rsidRPr="002F64A6" w14:paraId="364C7502" w14:textId="77777777" w:rsidTr="007B6A5B">
        <w:trPr>
          <w:trHeight w:val="159"/>
          <w:jc w:val="center"/>
        </w:trPr>
        <w:tc>
          <w:tcPr>
            <w:tcW w:w="2410" w:type="dxa"/>
            <w:shd w:val="clear" w:color="auto" w:fill="BFBFBF" w:themeFill="background1" w:themeFillShade="BF"/>
          </w:tcPr>
          <w:p w14:paraId="62323035" w14:textId="77777777" w:rsidR="00802E2A" w:rsidRPr="002F64A6" w:rsidRDefault="00802E2A" w:rsidP="007B6A5B">
            <w:pPr>
              <w:ind w:right="-31"/>
              <w:rPr>
                <w:rFonts w:eastAsia="Calibri" w:cs="Times New Roman"/>
                <w:b/>
                <w:szCs w:val="24"/>
              </w:rPr>
            </w:pPr>
          </w:p>
        </w:tc>
        <w:tc>
          <w:tcPr>
            <w:tcW w:w="2552" w:type="dxa"/>
            <w:shd w:val="clear" w:color="auto" w:fill="BFBFBF" w:themeFill="background1" w:themeFillShade="BF"/>
            <w:vAlign w:val="center"/>
          </w:tcPr>
          <w:p w14:paraId="3A705F49" w14:textId="77777777" w:rsidR="00802E2A" w:rsidRPr="002F64A6" w:rsidRDefault="00802E2A" w:rsidP="007B6A5B">
            <w:pPr>
              <w:ind w:right="-31"/>
              <w:jc w:val="center"/>
              <w:rPr>
                <w:rFonts w:eastAsia="Calibri" w:cs="Times New Roman"/>
                <w:b/>
                <w:szCs w:val="24"/>
              </w:rPr>
            </w:pPr>
            <w:r w:rsidRPr="005463A7">
              <w:rPr>
                <w:rFonts w:eastAsia="Calibri" w:cs="Times New Roman"/>
                <w:b/>
                <w:i/>
                <w:iCs/>
                <w:szCs w:val="24"/>
              </w:rPr>
              <w:t>Mazāk attīstītie</w:t>
            </w:r>
            <w:r w:rsidRPr="002F64A6">
              <w:rPr>
                <w:rFonts w:eastAsia="Calibri" w:cs="Times New Roman"/>
                <w:b/>
                <w:szCs w:val="24"/>
              </w:rPr>
              <w:t xml:space="preserve"> reģioni</w:t>
            </w:r>
          </w:p>
        </w:tc>
        <w:tc>
          <w:tcPr>
            <w:tcW w:w="2555" w:type="dxa"/>
            <w:shd w:val="clear" w:color="auto" w:fill="BFBFBF" w:themeFill="background1" w:themeFillShade="BF"/>
            <w:vAlign w:val="center"/>
          </w:tcPr>
          <w:p w14:paraId="04043AEE" w14:textId="77777777" w:rsidR="00802E2A" w:rsidRPr="002F64A6" w:rsidRDefault="00802E2A" w:rsidP="007B6A5B">
            <w:pPr>
              <w:ind w:right="-31"/>
              <w:jc w:val="center"/>
              <w:rPr>
                <w:rFonts w:eastAsia="Calibri" w:cs="Times New Roman"/>
                <w:b/>
                <w:szCs w:val="24"/>
              </w:rPr>
            </w:pPr>
            <w:r w:rsidRPr="005463A7">
              <w:rPr>
                <w:rFonts w:eastAsia="Calibri" w:cs="Times New Roman"/>
                <w:b/>
                <w:i/>
                <w:iCs/>
                <w:szCs w:val="24"/>
              </w:rPr>
              <w:t>Pārejas</w:t>
            </w:r>
            <w:r w:rsidRPr="002F64A6">
              <w:rPr>
                <w:rFonts w:eastAsia="Calibri" w:cs="Times New Roman"/>
                <w:b/>
                <w:szCs w:val="24"/>
              </w:rPr>
              <w:t xml:space="preserve"> reģioni</w:t>
            </w:r>
          </w:p>
        </w:tc>
        <w:tc>
          <w:tcPr>
            <w:tcW w:w="2400" w:type="dxa"/>
            <w:shd w:val="clear" w:color="auto" w:fill="BFBFBF" w:themeFill="background1" w:themeFillShade="BF"/>
            <w:vAlign w:val="center"/>
          </w:tcPr>
          <w:p w14:paraId="315573E9" w14:textId="77777777" w:rsidR="00802E2A" w:rsidRPr="002F64A6" w:rsidRDefault="00802E2A" w:rsidP="007B6A5B">
            <w:pPr>
              <w:ind w:right="-31"/>
              <w:jc w:val="center"/>
              <w:rPr>
                <w:rFonts w:eastAsia="Calibri" w:cs="Times New Roman"/>
                <w:b/>
                <w:szCs w:val="24"/>
              </w:rPr>
            </w:pPr>
            <w:r w:rsidRPr="005463A7">
              <w:rPr>
                <w:rFonts w:eastAsia="Calibri" w:cs="Times New Roman"/>
                <w:b/>
                <w:i/>
                <w:iCs/>
                <w:szCs w:val="24"/>
              </w:rPr>
              <w:t>Vairāk attīstītie</w:t>
            </w:r>
            <w:r w:rsidRPr="002F64A6">
              <w:rPr>
                <w:rFonts w:eastAsia="Calibri" w:cs="Times New Roman"/>
                <w:b/>
                <w:szCs w:val="24"/>
              </w:rPr>
              <w:t xml:space="preserve"> reģioni</w:t>
            </w:r>
          </w:p>
        </w:tc>
      </w:tr>
      <w:tr w:rsidR="00802E2A" w:rsidRPr="002F64A6" w14:paraId="35BC3905" w14:textId="77777777" w:rsidTr="007B6A5B">
        <w:trPr>
          <w:trHeight w:val="1380"/>
          <w:jc w:val="center"/>
        </w:trPr>
        <w:tc>
          <w:tcPr>
            <w:tcW w:w="2410" w:type="dxa"/>
            <w:vAlign w:val="center"/>
          </w:tcPr>
          <w:p w14:paraId="2E318C85" w14:textId="77777777" w:rsidR="00802E2A" w:rsidRPr="002F64A6" w:rsidRDefault="00802E2A" w:rsidP="007B6A5B">
            <w:pPr>
              <w:ind w:right="-31"/>
              <w:jc w:val="center"/>
              <w:rPr>
                <w:rFonts w:eastAsia="Calibri" w:cs="Times New Roman"/>
                <w:b/>
                <w:szCs w:val="24"/>
              </w:rPr>
            </w:pPr>
            <w:r w:rsidRPr="002F64A6">
              <w:rPr>
                <w:rFonts w:eastAsia="Calibri" w:cs="Times New Roman"/>
                <w:b/>
                <w:szCs w:val="24"/>
              </w:rPr>
              <w:t>ERAF</w:t>
            </w:r>
          </w:p>
          <w:p w14:paraId="3DE88609" w14:textId="77777777" w:rsidR="00802E2A" w:rsidRPr="002F64A6" w:rsidRDefault="00802E2A" w:rsidP="007B6A5B">
            <w:pPr>
              <w:ind w:right="-31"/>
              <w:jc w:val="center"/>
              <w:rPr>
                <w:rFonts w:eastAsia="Calibri" w:cs="Times New Roman"/>
                <w:szCs w:val="24"/>
              </w:rPr>
            </w:pPr>
            <w:r w:rsidRPr="002F64A6">
              <w:rPr>
                <w:rFonts w:eastAsia="Calibri" w:cs="Times New Roman"/>
                <w:b/>
                <w:szCs w:val="24"/>
              </w:rPr>
              <w:t>Tematiskās koncentrācijas prasības</w:t>
            </w:r>
          </w:p>
        </w:tc>
        <w:tc>
          <w:tcPr>
            <w:tcW w:w="2552" w:type="dxa"/>
          </w:tcPr>
          <w:p w14:paraId="1C6AD832" w14:textId="77777777" w:rsidR="00802E2A" w:rsidRPr="002F64A6" w:rsidRDefault="00802E2A" w:rsidP="007B6A5B">
            <w:pPr>
              <w:ind w:right="-31"/>
              <w:rPr>
                <w:rFonts w:eastAsia="Calibri" w:cs="Times New Roman"/>
                <w:szCs w:val="24"/>
              </w:rPr>
            </w:pPr>
            <w:r w:rsidRPr="002F64A6">
              <w:rPr>
                <w:rFonts w:cs="Times New Roman"/>
                <w:color w:val="000000"/>
                <w:szCs w:val="24"/>
                <w:shd w:val="clear" w:color="auto" w:fill="FFFFFF"/>
              </w:rPr>
              <w:t xml:space="preserve">Vismaz 25% no ERAF līdzekļiem piešķir PM </w:t>
            </w:r>
            <w:r>
              <w:rPr>
                <w:rFonts w:cs="Times New Roman"/>
                <w:color w:val="000000"/>
                <w:szCs w:val="24"/>
                <w:shd w:val="clear" w:color="auto" w:fill="FFFFFF"/>
              </w:rPr>
              <w:t>“</w:t>
            </w:r>
            <w:r w:rsidRPr="002F64A6">
              <w:rPr>
                <w:rFonts w:cs="Times New Roman"/>
                <w:color w:val="000000"/>
                <w:szCs w:val="24"/>
                <w:shd w:val="clear" w:color="auto" w:fill="FFFFFF"/>
              </w:rPr>
              <w:t>Viedāka Eiropa</w:t>
            </w:r>
            <w:r>
              <w:rPr>
                <w:rFonts w:cs="Times New Roman"/>
                <w:color w:val="000000"/>
                <w:szCs w:val="24"/>
                <w:shd w:val="clear" w:color="auto" w:fill="FFFFFF"/>
              </w:rPr>
              <w:t>”</w:t>
            </w:r>
            <w:r w:rsidRPr="002F64A6">
              <w:rPr>
                <w:rFonts w:cs="Times New Roman"/>
                <w:color w:val="000000"/>
                <w:szCs w:val="24"/>
                <w:shd w:val="clear" w:color="auto" w:fill="FFFFFF"/>
              </w:rPr>
              <w:t xml:space="preserve"> un vismaz 30%</w:t>
            </w:r>
            <w:r>
              <w:rPr>
                <w:rFonts w:cs="Times New Roman"/>
                <w:color w:val="000000"/>
                <w:szCs w:val="24"/>
                <w:shd w:val="clear" w:color="auto" w:fill="FFFFFF"/>
              </w:rPr>
              <w:t xml:space="preserve"> </w:t>
            </w:r>
            <w:r w:rsidRPr="002F64A6">
              <w:rPr>
                <w:rFonts w:cs="Times New Roman"/>
                <w:color w:val="000000"/>
                <w:szCs w:val="24"/>
                <w:shd w:val="clear" w:color="auto" w:fill="FFFFFF"/>
              </w:rPr>
              <w:t>–</w:t>
            </w:r>
            <w:r>
              <w:rPr>
                <w:rFonts w:cs="Times New Roman"/>
                <w:color w:val="000000"/>
                <w:szCs w:val="24"/>
                <w:shd w:val="clear" w:color="auto" w:fill="FFFFFF"/>
              </w:rPr>
              <w:t xml:space="preserve"> </w:t>
            </w:r>
            <w:r w:rsidRPr="002F64A6">
              <w:rPr>
                <w:rFonts w:cs="Times New Roman"/>
                <w:color w:val="000000"/>
                <w:szCs w:val="24"/>
                <w:shd w:val="clear" w:color="auto" w:fill="FFFFFF"/>
              </w:rPr>
              <w:t xml:space="preserve">PM </w:t>
            </w:r>
            <w:r>
              <w:rPr>
                <w:rFonts w:cs="Times New Roman"/>
                <w:color w:val="000000"/>
                <w:szCs w:val="24"/>
                <w:shd w:val="clear" w:color="auto" w:fill="FFFFFF"/>
              </w:rPr>
              <w:t>“</w:t>
            </w:r>
            <w:r w:rsidRPr="002F64A6">
              <w:rPr>
                <w:rFonts w:cs="Times New Roman"/>
                <w:color w:val="000000"/>
                <w:szCs w:val="24"/>
                <w:shd w:val="clear" w:color="auto" w:fill="FFFFFF"/>
              </w:rPr>
              <w:t>Zaļāka Eiropa</w:t>
            </w:r>
            <w:r>
              <w:rPr>
                <w:rFonts w:cs="Times New Roman"/>
                <w:color w:val="000000"/>
                <w:szCs w:val="24"/>
                <w:shd w:val="clear" w:color="auto" w:fill="FFFFFF"/>
              </w:rPr>
              <w:t>”</w:t>
            </w:r>
          </w:p>
        </w:tc>
        <w:tc>
          <w:tcPr>
            <w:tcW w:w="2555" w:type="dxa"/>
          </w:tcPr>
          <w:p w14:paraId="49F4B03C" w14:textId="77777777" w:rsidR="00802E2A" w:rsidRPr="002F64A6" w:rsidRDefault="00802E2A" w:rsidP="007B6A5B">
            <w:pPr>
              <w:pStyle w:val="oj-normal"/>
              <w:spacing w:before="0" w:beforeAutospacing="0" w:after="0" w:afterAutospacing="0"/>
              <w:rPr>
                <w:color w:val="000000"/>
              </w:rPr>
            </w:pPr>
            <w:r w:rsidRPr="002F64A6">
              <w:rPr>
                <w:color w:val="000000"/>
              </w:rPr>
              <w:t xml:space="preserve">Vismaz 40% no saviem 1. punktā minētajiem ERAF līdzekļiem piešķir PM </w:t>
            </w:r>
            <w:r>
              <w:rPr>
                <w:color w:val="000000"/>
                <w:shd w:val="clear" w:color="auto" w:fill="FFFFFF"/>
              </w:rPr>
              <w:t>“</w:t>
            </w:r>
            <w:r w:rsidRPr="002F64A6">
              <w:rPr>
                <w:color w:val="000000"/>
                <w:shd w:val="clear" w:color="auto" w:fill="FFFFFF"/>
              </w:rPr>
              <w:t>Viedāka Eiropa</w:t>
            </w:r>
            <w:r>
              <w:rPr>
                <w:color w:val="000000"/>
                <w:shd w:val="clear" w:color="auto" w:fill="FFFFFF"/>
              </w:rPr>
              <w:t>”</w:t>
            </w:r>
            <w:r w:rsidRPr="002F64A6">
              <w:rPr>
                <w:color w:val="000000"/>
                <w:shd w:val="clear" w:color="auto" w:fill="FFFFFF"/>
              </w:rPr>
              <w:t xml:space="preserve"> </w:t>
            </w:r>
            <w:r w:rsidRPr="002F64A6">
              <w:rPr>
                <w:color w:val="000000"/>
              </w:rPr>
              <w:t>un vismaz 30% </w:t>
            </w:r>
            <w:r>
              <w:rPr>
                <w:color w:val="000000"/>
              </w:rPr>
              <w:t xml:space="preserve"> </w:t>
            </w:r>
            <w:r w:rsidRPr="002F64A6">
              <w:rPr>
                <w:color w:val="000000"/>
              </w:rPr>
              <w:t>–</w:t>
            </w:r>
            <w:r>
              <w:rPr>
                <w:color w:val="000000"/>
              </w:rPr>
              <w:t xml:space="preserve"> PM </w:t>
            </w:r>
            <w:r>
              <w:rPr>
                <w:color w:val="000000"/>
                <w:shd w:val="clear" w:color="auto" w:fill="FFFFFF"/>
              </w:rPr>
              <w:t>“</w:t>
            </w:r>
            <w:r w:rsidRPr="002F64A6">
              <w:rPr>
                <w:color w:val="000000"/>
                <w:shd w:val="clear" w:color="auto" w:fill="FFFFFF"/>
              </w:rPr>
              <w:t>Zaļāka Eiropa</w:t>
            </w:r>
            <w:r>
              <w:rPr>
                <w:color w:val="000000"/>
                <w:shd w:val="clear" w:color="auto" w:fill="FFFFFF"/>
              </w:rPr>
              <w:t>”</w:t>
            </w:r>
          </w:p>
        </w:tc>
        <w:tc>
          <w:tcPr>
            <w:tcW w:w="2400" w:type="dxa"/>
          </w:tcPr>
          <w:p w14:paraId="4B19BEDE" w14:textId="77777777" w:rsidR="00802E2A" w:rsidRPr="002F64A6" w:rsidRDefault="00802E2A" w:rsidP="007B6A5B">
            <w:pPr>
              <w:ind w:right="-31"/>
              <w:rPr>
                <w:rFonts w:eastAsia="Calibri" w:cs="Times New Roman"/>
                <w:szCs w:val="24"/>
              </w:rPr>
            </w:pPr>
            <w:r w:rsidRPr="002F64A6">
              <w:rPr>
                <w:rFonts w:cs="Times New Roman"/>
                <w:color w:val="000000"/>
                <w:szCs w:val="24"/>
                <w:shd w:val="clear" w:color="auto" w:fill="FFFFFF"/>
              </w:rPr>
              <w:t xml:space="preserve">85% no ERAF līdzekļiem piešķir </w:t>
            </w:r>
            <w:r>
              <w:rPr>
                <w:rFonts w:cs="Times New Roman"/>
                <w:color w:val="000000"/>
                <w:szCs w:val="24"/>
                <w:shd w:val="clear" w:color="auto" w:fill="FFFFFF"/>
              </w:rPr>
              <w:t>PM</w:t>
            </w:r>
            <w:r w:rsidRPr="002F64A6">
              <w:rPr>
                <w:rFonts w:cs="Times New Roman"/>
                <w:color w:val="000000"/>
                <w:szCs w:val="24"/>
                <w:shd w:val="clear" w:color="auto" w:fill="FFFFFF"/>
              </w:rPr>
              <w:t xml:space="preserve"> </w:t>
            </w:r>
            <w:r>
              <w:rPr>
                <w:rFonts w:cs="Times New Roman"/>
                <w:color w:val="000000"/>
                <w:szCs w:val="24"/>
                <w:shd w:val="clear" w:color="auto" w:fill="FFFFFF"/>
              </w:rPr>
              <w:t>“</w:t>
            </w:r>
            <w:r w:rsidRPr="002F64A6">
              <w:rPr>
                <w:rFonts w:cs="Times New Roman"/>
                <w:color w:val="000000"/>
                <w:szCs w:val="24"/>
                <w:shd w:val="clear" w:color="auto" w:fill="FFFFFF"/>
              </w:rPr>
              <w:t>Viedāka Eiropa</w:t>
            </w:r>
            <w:r>
              <w:rPr>
                <w:rFonts w:cs="Times New Roman"/>
                <w:color w:val="000000"/>
                <w:szCs w:val="24"/>
                <w:shd w:val="clear" w:color="auto" w:fill="FFFFFF"/>
              </w:rPr>
              <w:t>”</w:t>
            </w:r>
            <w:r w:rsidRPr="002F64A6">
              <w:rPr>
                <w:rFonts w:cs="Times New Roman"/>
                <w:color w:val="000000"/>
                <w:szCs w:val="24"/>
                <w:shd w:val="clear" w:color="auto" w:fill="FFFFFF"/>
              </w:rPr>
              <w:t xml:space="preserve"> un </w:t>
            </w:r>
            <w:r>
              <w:rPr>
                <w:rFonts w:cs="Times New Roman"/>
                <w:color w:val="000000"/>
                <w:szCs w:val="24"/>
                <w:shd w:val="clear" w:color="auto" w:fill="FFFFFF"/>
              </w:rPr>
              <w:t>PM “</w:t>
            </w:r>
            <w:r w:rsidRPr="002F64A6">
              <w:rPr>
                <w:rFonts w:cs="Times New Roman"/>
                <w:color w:val="000000"/>
                <w:szCs w:val="24"/>
                <w:shd w:val="clear" w:color="auto" w:fill="FFFFFF"/>
              </w:rPr>
              <w:t>Zaļāka Eiropa</w:t>
            </w:r>
            <w:r>
              <w:rPr>
                <w:rFonts w:cs="Times New Roman"/>
                <w:color w:val="000000"/>
                <w:szCs w:val="24"/>
                <w:shd w:val="clear" w:color="auto" w:fill="FFFFFF"/>
              </w:rPr>
              <w:t>”</w:t>
            </w:r>
            <w:r w:rsidRPr="002F64A6">
              <w:rPr>
                <w:rFonts w:cs="Times New Roman"/>
                <w:color w:val="000000"/>
                <w:szCs w:val="24"/>
                <w:shd w:val="clear" w:color="auto" w:fill="FFFFFF"/>
              </w:rPr>
              <w:t xml:space="preserve">, no tiem vismaz 30% - </w:t>
            </w:r>
            <w:r>
              <w:rPr>
                <w:rFonts w:cs="Times New Roman"/>
                <w:color w:val="000000"/>
                <w:szCs w:val="24"/>
                <w:shd w:val="clear" w:color="auto" w:fill="FFFFFF"/>
              </w:rPr>
              <w:t>PM “</w:t>
            </w:r>
            <w:r w:rsidRPr="002F64A6">
              <w:rPr>
                <w:rFonts w:cs="Times New Roman"/>
                <w:color w:val="000000"/>
                <w:szCs w:val="24"/>
                <w:shd w:val="clear" w:color="auto" w:fill="FFFFFF"/>
              </w:rPr>
              <w:t>Zaļāka Eiropa</w:t>
            </w:r>
            <w:r>
              <w:rPr>
                <w:rFonts w:cs="Times New Roman"/>
                <w:color w:val="000000"/>
                <w:szCs w:val="24"/>
                <w:shd w:val="clear" w:color="auto" w:fill="FFFFFF"/>
              </w:rPr>
              <w:t>”</w:t>
            </w:r>
          </w:p>
        </w:tc>
      </w:tr>
    </w:tbl>
    <w:p w14:paraId="10E43DA6" w14:textId="77777777" w:rsidR="00802E2A" w:rsidRPr="002F64A6" w:rsidRDefault="00802E2A" w:rsidP="00802E2A">
      <w:pPr>
        <w:ind w:right="-31"/>
        <w:rPr>
          <w:rFonts w:eastAsia="Calibri" w:cs="Times New Roman"/>
          <w:szCs w:val="24"/>
        </w:rPr>
      </w:pPr>
    </w:p>
    <w:p w14:paraId="1F1DD210" w14:textId="77777777" w:rsidR="00802E2A" w:rsidRDefault="00802E2A" w:rsidP="00802E2A">
      <w:pPr>
        <w:ind w:right="-31" w:firstLine="720"/>
        <w:rPr>
          <w:rFonts w:eastAsia="Calibri" w:cs="Times New Roman"/>
          <w:szCs w:val="24"/>
        </w:rPr>
      </w:pPr>
      <w:r w:rsidRPr="002F64A6">
        <w:rPr>
          <w:rFonts w:eastAsia="Calibri" w:cs="Times New Roman"/>
          <w:szCs w:val="24"/>
        </w:rPr>
        <w:t>Kā redzams</w:t>
      </w:r>
      <w:r>
        <w:rPr>
          <w:rFonts w:eastAsia="Calibri" w:cs="Times New Roman"/>
          <w:szCs w:val="24"/>
        </w:rPr>
        <w:t xml:space="preserve"> </w:t>
      </w:r>
      <w:r w:rsidRPr="002F64A6">
        <w:rPr>
          <w:rFonts w:eastAsia="Calibri" w:cs="Times New Roman"/>
          <w:szCs w:val="24"/>
        </w:rPr>
        <w:t>tabulā</w:t>
      </w:r>
      <w:r>
        <w:rPr>
          <w:rFonts w:eastAsia="Calibri" w:cs="Times New Roman"/>
          <w:szCs w:val="24"/>
        </w:rPr>
        <w:t xml:space="preserve"> Nr. 7</w:t>
      </w:r>
      <w:r w:rsidRPr="002F64A6">
        <w:rPr>
          <w:rFonts w:eastAsia="Calibri" w:cs="Times New Roman"/>
          <w:szCs w:val="24"/>
        </w:rPr>
        <w:t xml:space="preserve">, tad </w:t>
      </w:r>
      <w:r w:rsidRPr="005463A7">
        <w:rPr>
          <w:rFonts w:eastAsia="Calibri" w:cs="Times New Roman"/>
          <w:i/>
          <w:iCs/>
          <w:szCs w:val="24"/>
        </w:rPr>
        <w:t>mazāk attīstītajiem</w:t>
      </w:r>
      <w:r w:rsidRPr="002F64A6">
        <w:rPr>
          <w:rFonts w:eastAsia="Calibri" w:cs="Times New Roman"/>
          <w:szCs w:val="24"/>
        </w:rPr>
        <w:t xml:space="preserve"> reģioniem ir elastīgākas tematiskās koncentrācijas prasības. Proti</w:t>
      </w:r>
      <w:r>
        <w:rPr>
          <w:rFonts w:eastAsia="Calibri" w:cs="Times New Roman"/>
          <w:szCs w:val="24"/>
        </w:rPr>
        <w:t>,</w:t>
      </w:r>
      <w:r w:rsidRPr="002F64A6">
        <w:rPr>
          <w:rFonts w:eastAsia="Calibri" w:cs="Times New Roman"/>
          <w:szCs w:val="24"/>
        </w:rPr>
        <w:t xml:space="preserve"> 55% no resursiem ir jākoncentrē </w:t>
      </w:r>
      <w:r w:rsidRPr="002F64A6">
        <w:rPr>
          <w:rFonts w:cs="Times New Roman"/>
          <w:color w:val="000000"/>
          <w:szCs w:val="24"/>
          <w:shd w:val="clear" w:color="auto" w:fill="FFFFFF"/>
        </w:rPr>
        <w:t xml:space="preserve">PM </w:t>
      </w:r>
      <w:r>
        <w:rPr>
          <w:rFonts w:cs="Times New Roman"/>
          <w:color w:val="000000"/>
          <w:szCs w:val="24"/>
          <w:shd w:val="clear" w:color="auto" w:fill="FFFFFF"/>
        </w:rPr>
        <w:t>“</w:t>
      </w:r>
      <w:r w:rsidRPr="002F64A6">
        <w:rPr>
          <w:rFonts w:cs="Times New Roman"/>
          <w:color w:val="000000"/>
          <w:szCs w:val="24"/>
          <w:shd w:val="clear" w:color="auto" w:fill="FFFFFF"/>
        </w:rPr>
        <w:t>Viedāka Eiropa</w:t>
      </w:r>
      <w:r>
        <w:rPr>
          <w:rFonts w:cs="Times New Roman"/>
          <w:color w:val="000000"/>
          <w:szCs w:val="24"/>
          <w:shd w:val="clear" w:color="auto" w:fill="FFFFFF"/>
        </w:rPr>
        <w:t>”</w:t>
      </w:r>
      <w:r w:rsidRPr="002F64A6">
        <w:rPr>
          <w:rFonts w:cs="Times New Roman"/>
          <w:color w:val="000000"/>
          <w:szCs w:val="24"/>
          <w:shd w:val="clear" w:color="auto" w:fill="FFFFFF"/>
        </w:rPr>
        <w:t xml:space="preserve"> </w:t>
      </w:r>
      <w:r w:rsidRPr="002F64A6">
        <w:rPr>
          <w:rFonts w:eastAsia="Calibri" w:cs="Times New Roman"/>
          <w:szCs w:val="24"/>
        </w:rPr>
        <w:t xml:space="preserve">un </w:t>
      </w:r>
      <w:r w:rsidRPr="002F64A6">
        <w:rPr>
          <w:rFonts w:cs="Times New Roman"/>
          <w:color w:val="000000"/>
          <w:szCs w:val="24"/>
          <w:shd w:val="clear" w:color="auto" w:fill="FFFFFF"/>
        </w:rPr>
        <w:t xml:space="preserve">PM </w:t>
      </w:r>
      <w:r>
        <w:rPr>
          <w:rFonts w:cs="Times New Roman"/>
          <w:color w:val="000000"/>
          <w:szCs w:val="24"/>
          <w:shd w:val="clear" w:color="auto" w:fill="FFFFFF"/>
        </w:rPr>
        <w:t>“</w:t>
      </w:r>
      <w:r w:rsidRPr="002F64A6">
        <w:rPr>
          <w:rFonts w:cs="Times New Roman"/>
          <w:color w:val="000000"/>
          <w:szCs w:val="24"/>
          <w:shd w:val="clear" w:color="auto" w:fill="FFFFFF"/>
        </w:rPr>
        <w:t>Zaļāka Eiropa</w:t>
      </w:r>
      <w:r>
        <w:rPr>
          <w:rFonts w:cs="Times New Roman"/>
          <w:color w:val="000000"/>
          <w:szCs w:val="24"/>
          <w:shd w:val="clear" w:color="auto" w:fill="FFFFFF"/>
        </w:rPr>
        <w:t>”</w:t>
      </w:r>
      <w:r w:rsidRPr="002F64A6">
        <w:rPr>
          <w:rFonts w:eastAsia="Calibri" w:cs="Times New Roman"/>
          <w:szCs w:val="24"/>
        </w:rPr>
        <w:t xml:space="preserve">. Savukārt </w:t>
      </w:r>
      <w:r w:rsidRPr="00D96458">
        <w:rPr>
          <w:rFonts w:eastAsia="Calibri" w:cs="Times New Roman"/>
          <w:i/>
          <w:iCs/>
          <w:szCs w:val="24"/>
        </w:rPr>
        <w:t>pārejas</w:t>
      </w:r>
      <w:r w:rsidRPr="002F64A6">
        <w:rPr>
          <w:rFonts w:eastAsia="Calibri" w:cs="Times New Roman"/>
          <w:szCs w:val="24"/>
        </w:rPr>
        <w:t xml:space="preserve"> reģioniem un </w:t>
      </w:r>
      <w:r w:rsidRPr="00D96458">
        <w:rPr>
          <w:rFonts w:eastAsia="Calibri" w:cs="Times New Roman"/>
          <w:i/>
          <w:iCs/>
          <w:szCs w:val="24"/>
        </w:rPr>
        <w:t>vairāk attīstītajiem</w:t>
      </w:r>
      <w:r w:rsidRPr="002F64A6">
        <w:rPr>
          <w:rFonts w:eastAsia="Calibri" w:cs="Times New Roman"/>
          <w:szCs w:val="24"/>
        </w:rPr>
        <w:t xml:space="preserve"> reģioniem tie ir attiecīgi 70% un 85% no to piešķīruma. Gadījumā, ja Latvija tiek sadalīta divos plānošanas reģionos un Rīgas reģions klasificētos kā </w:t>
      </w:r>
      <w:r w:rsidRPr="00177612">
        <w:rPr>
          <w:rFonts w:eastAsia="Calibri" w:cs="Times New Roman"/>
          <w:i/>
          <w:iCs/>
          <w:szCs w:val="24"/>
        </w:rPr>
        <w:t>vairāk attīstītais</w:t>
      </w:r>
      <w:r>
        <w:rPr>
          <w:rFonts w:eastAsia="Calibri" w:cs="Times New Roman"/>
          <w:i/>
          <w:iCs/>
          <w:szCs w:val="24"/>
        </w:rPr>
        <w:t xml:space="preserve"> </w:t>
      </w:r>
      <w:r>
        <w:rPr>
          <w:rFonts w:eastAsia="Calibri" w:cs="Times New Roman"/>
          <w:szCs w:val="24"/>
        </w:rPr>
        <w:t>reģions</w:t>
      </w:r>
      <w:r w:rsidRPr="002F64A6">
        <w:rPr>
          <w:rFonts w:eastAsia="Calibri" w:cs="Times New Roman"/>
          <w:szCs w:val="24"/>
        </w:rPr>
        <w:t xml:space="preserve">, tad jārēķinās, ka tikai 15% no ERAF resursiem varētu tikt novirzīti prioritātēm, kas neiekļaujas </w:t>
      </w:r>
      <w:r>
        <w:rPr>
          <w:rFonts w:cs="Times New Roman"/>
          <w:color w:val="000000"/>
          <w:szCs w:val="24"/>
          <w:shd w:val="clear" w:color="auto" w:fill="FFFFFF"/>
        </w:rPr>
        <w:t>PM</w:t>
      </w:r>
      <w:r w:rsidRPr="002F64A6">
        <w:rPr>
          <w:rFonts w:cs="Times New Roman"/>
          <w:color w:val="000000"/>
          <w:szCs w:val="24"/>
          <w:shd w:val="clear" w:color="auto" w:fill="FFFFFF"/>
        </w:rPr>
        <w:t xml:space="preserve"> </w:t>
      </w:r>
      <w:r>
        <w:rPr>
          <w:rFonts w:cs="Times New Roman"/>
          <w:color w:val="000000"/>
          <w:szCs w:val="24"/>
          <w:shd w:val="clear" w:color="auto" w:fill="FFFFFF"/>
        </w:rPr>
        <w:t>“</w:t>
      </w:r>
      <w:r w:rsidRPr="002F64A6">
        <w:rPr>
          <w:rFonts w:cs="Times New Roman"/>
          <w:color w:val="000000"/>
          <w:szCs w:val="24"/>
          <w:shd w:val="clear" w:color="auto" w:fill="FFFFFF"/>
        </w:rPr>
        <w:t>Viedāka Eiropa</w:t>
      </w:r>
      <w:r>
        <w:rPr>
          <w:rFonts w:cs="Times New Roman"/>
          <w:color w:val="000000"/>
          <w:szCs w:val="24"/>
          <w:shd w:val="clear" w:color="auto" w:fill="FFFFFF"/>
        </w:rPr>
        <w:t>”</w:t>
      </w:r>
      <w:r w:rsidRPr="002F64A6">
        <w:rPr>
          <w:rFonts w:cs="Times New Roman"/>
          <w:color w:val="000000"/>
          <w:szCs w:val="24"/>
          <w:shd w:val="clear" w:color="auto" w:fill="FFFFFF"/>
        </w:rPr>
        <w:t xml:space="preserve"> un </w:t>
      </w:r>
      <w:r>
        <w:rPr>
          <w:rFonts w:cs="Times New Roman"/>
          <w:color w:val="000000"/>
          <w:szCs w:val="24"/>
          <w:shd w:val="clear" w:color="auto" w:fill="FFFFFF"/>
        </w:rPr>
        <w:t>PM “</w:t>
      </w:r>
      <w:r w:rsidRPr="002F64A6">
        <w:rPr>
          <w:rFonts w:cs="Times New Roman"/>
          <w:color w:val="000000"/>
          <w:szCs w:val="24"/>
          <w:shd w:val="clear" w:color="auto" w:fill="FFFFFF"/>
        </w:rPr>
        <w:t>Zaļāka Eiropa</w:t>
      </w:r>
      <w:r>
        <w:rPr>
          <w:rFonts w:cs="Times New Roman"/>
          <w:color w:val="000000"/>
          <w:szCs w:val="24"/>
          <w:shd w:val="clear" w:color="auto" w:fill="FFFFFF"/>
        </w:rPr>
        <w:t xml:space="preserve">” </w:t>
      </w:r>
      <w:r>
        <w:rPr>
          <w:rFonts w:eastAsia="Calibri" w:cs="Times New Roman"/>
          <w:szCs w:val="24"/>
        </w:rPr>
        <w:t>–</w:t>
      </w:r>
      <w:r w:rsidRPr="002F64A6">
        <w:rPr>
          <w:rFonts w:eastAsia="Calibri" w:cs="Times New Roman"/>
          <w:szCs w:val="24"/>
        </w:rPr>
        <w:t xml:space="preserve"> </w:t>
      </w:r>
      <w:r>
        <w:rPr>
          <w:rFonts w:eastAsia="Calibri" w:cs="Times New Roman"/>
          <w:szCs w:val="24"/>
        </w:rPr>
        <w:t>s</w:t>
      </w:r>
      <w:r w:rsidRPr="002F64A6">
        <w:rPr>
          <w:rFonts w:eastAsia="Calibri" w:cs="Times New Roman"/>
          <w:szCs w:val="24"/>
        </w:rPr>
        <w:t xml:space="preserve">atiksmes infrastruktūra (ceļi, tilti), pilsētvides ieguldījumi, sociālā infrastruktūra un lielākā daļa izglītības infrastruktūras. Vienlaikus attiecībā uz </w:t>
      </w:r>
      <w:r w:rsidRPr="00D96458">
        <w:rPr>
          <w:rFonts w:eastAsia="Calibri" w:cs="Times New Roman"/>
          <w:i/>
          <w:iCs/>
          <w:szCs w:val="24"/>
        </w:rPr>
        <w:t>mazāk attīstīto</w:t>
      </w:r>
      <w:r w:rsidRPr="002F64A6">
        <w:rPr>
          <w:rFonts w:eastAsia="Calibri" w:cs="Times New Roman"/>
          <w:szCs w:val="24"/>
        </w:rPr>
        <w:t xml:space="preserve"> reģionu varētu tikt saglabātas elastīgākas tematiskās koncentrācijas prasības.</w:t>
      </w:r>
    </w:p>
    <w:p w14:paraId="56107199" w14:textId="77777777" w:rsidR="00802E2A" w:rsidRPr="002F64A6" w:rsidRDefault="00802E2A" w:rsidP="00802E2A">
      <w:pPr>
        <w:ind w:right="-31" w:firstLine="720"/>
        <w:rPr>
          <w:rFonts w:eastAsia="Calibri" w:cs="Times New Roman"/>
          <w:szCs w:val="24"/>
        </w:rPr>
      </w:pPr>
      <w:r w:rsidRPr="002F64A6">
        <w:rPr>
          <w:rFonts w:eastAsia="Calibri" w:cs="Times New Roman"/>
          <w:szCs w:val="24"/>
        </w:rPr>
        <w:lastRenderedPageBreak/>
        <w:t xml:space="preserve">Tomēr gadījumā, ja piešķīrums </w:t>
      </w:r>
      <w:r w:rsidRPr="00D96458">
        <w:rPr>
          <w:rFonts w:eastAsia="Calibri" w:cs="Times New Roman"/>
          <w:i/>
          <w:iCs/>
          <w:szCs w:val="24"/>
        </w:rPr>
        <w:t>vairāk attīstītajam</w:t>
      </w:r>
      <w:r w:rsidRPr="002F64A6">
        <w:rPr>
          <w:rFonts w:eastAsia="Calibri" w:cs="Times New Roman"/>
          <w:szCs w:val="24"/>
        </w:rPr>
        <w:t xml:space="preserve"> reģionam ir salīdzinoši mazs (piemēram, līdzīga atbalsta intensitāte kā Lietuvā), tad </w:t>
      </w:r>
      <w:r w:rsidRPr="00D96458">
        <w:rPr>
          <w:rFonts w:eastAsia="Calibri" w:cs="Times New Roman"/>
          <w:i/>
          <w:iCs/>
          <w:szCs w:val="24"/>
        </w:rPr>
        <w:t>mazāk attīstītajam</w:t>
      </w:r>
      <w:r w:rsidRPr="002F64A6">
        <w:rPr>
          <w:rFonts w:eastAsia="Calibri" w:cs="Times New Roman"/>
          <w:szCs w:val="24"/>
        </w:rPr>
        <w:t xml:space="preserve"> reģionam būtu nepieciešams uzņemties proporcionāli krietni lielāku daļu no tematiskās koncentrācijas mērķu izpildes. Ņemot vērā zinātnisko institūciju un lielāko valsts augstskolu koncentrāciju Rīgas reģionā, īpaši izaicinoši varētu būt sasniegt koncentrācijas sliekšņus attiecībā uz </w:t>
      </w:r>
      <w:r>
        <w:rPr>
          <w:rFonts w:cs="Times New Roman"/>
          <w:color w:val="000000"/>
          <w:szCs w:val="24"/>
          <w:shd w:val="clear" w:color="auto" w:fill="FFFFFF"/>
        </w:rPr>
        <w:t>PM</w:t>
      </w:r>
      <w:r w:rsidRPr="002F64A6">
        <w:rPr>
          <w:rFonts w:cs="Times New Roman"/>
          <w:color w:val="000000"/>
          <w:szCs w:val="24"/>
          <w:shd w:val="clear" w:color="auto" w:fill="FFFFFF"/>
        </w:rPr>
        <w:t xml:space="preserve"> </w:t>
      </w:r>
      <w:r>
        <w:rPr>
          <w:rFonts w:cs="Times New Roman"/>
          <w:color w:val="000000"/>
          <w:szCs w:val="24"/>
          <w:shd w:val="clear" w:color="auto" w:fill="FFFFFF"/>
        </w:rPr>
        <w:t>“</w:t>
      </w:r>
      <w:r w:rsidRPr="002F64A6">
        <w:rPr>
          <w:rFonts w:cs="Times New Roman"/>
          <w:color w:val="000000"/>
          <w:szCs w:val="24"/>
          <w:shd w:val="clear" w:color="auto" w:fill="FFFFFF"/>
        </w:rPr>
        <w:t>Viedāka Eiropa</w:t>
      </w:r>
      <w:r>
        <w:rPr>
          <w:rFonts w:cs="Times New Roman"/>
          <w:color w:val="000000"/>
          <w:szCs w:val="24"/>
          <w:shd w:val="clear" w:color="auto" w:fill="FFFFFF"/>
        </w:rPr>
        <w:t>”</w:t>
      </w:r>
      <w:r w:rsidRPr="002F64A6">
        <w:rPr>
          <w:rFonts w:eastAsia="Calibri" w:cs="Times New Roman"/>
          <w:szCs w:val="24"/>
        </w:rPr>
        <w:t>.</w:t>
      </w:r>
    </w:p>
    <w:p w14:paraId="4FE2E6DA" w14:textId="77777777" w:rsidR="00802E2A" w:rsidRPr="002F64A6" w:rsidRDefault="00802E2A" w:rsidP="00802E2A">
      <w:pPr>
        <w:pStyle w:val="Heading2"/>
      </w:pPr>
      <w:r w:rsidRPr="002F64A6">
        <w:t xml:space="preserve">8. </w:t>
      </w:r>
      <w:r w:rsidRPr="00085148">
        <w:t>Reģionālais</w:t>
      </w:r>
      <w:r w:rsidRPr="002F64A6">
        <w:t xml:space="preserve"> atbalsts un tiešais atbalsts komersantiem</w:t>
      </w:r>
    </w:p>
    <w:p w14:paraId="4EBF2517" w14:textId="77777777" w:rsidR="00802E2A" w:rsidRPr="002F64A6" w:rsidRDefault="00802E2A" w:rsidP="00802E2A">
      <w:pPr>
        <w:ind w:right="-31" w:firstLine="720"/>
        <w:rPr>
          <w:rFonts w:eastAsia="Calibri" w:cs="Times New Roman"/>
          <w:szCs w:val="24"/>
        </w:rPr>
      </w:pPr>
      <w:r w:rsidRPr="002F64A6">
        <w:rPr>
          <w:rFonts w:eastAsia="Calibri" w:cs="Times New Roman"/>
          <w:szCs w:val="24"/>
        </w:rPr>
        <w:t xml:space="preserve">Paralēli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Pr>
          <w:rFonts w:eastAsia="Times New Roman" w:cs="Times New Roman"/>
          <w:bCs/>
          <w:szCs w:val="24"/>
        </w:rPr>
        <w:t xml:space="preserve"> </w:t>
      </w:r>
      <w:r w:rsidRPr="002F64A6">
        <w:rPr>
          <w:rFonts w:eastAsia="Calibri" w:cs="Times New Roman"/>
          <w:szCs w:val="24"/>
        </w:rPr>
        <w:t xml:space="preserve">virzītajām izmaiņām, VARAM </w:t>
      </w:r>
      <w:r>
        <w:rPr>
          <w:rFonts w:eastAsia="Calibri" w:cs="Times New Roman"/>
          <w:szCs w:val="24"/>
        </w:rPr>
        <w:t>konceptuālajā</w:t>
      </w:r>
      <w:r w:rsidRPr="002F64A6">
        <w:rPr>
          <w:rFonts w:eastAsia="Calibri" w:cs="Times New Roman"/>
          <w:szCs w:val="24"/>
        </w:rPr>
        <w:t xml:space="preserve"> ziņojumā tie</w:t>
      </w:r>
      <w:r>
        <w:rPr>
          <w:rFonts w:eastAsia="Calibri" w:cs="Times New Roman"/>
          <w:szCs w:val="24"/>
        </w:rPr>
        <w:t>k</w:t>
      </w:r>
      <w:r w:rsidRPr="002F64A6">
        <w:rPr>
          <w:rFonts w:eastAsia="Calibri" w:cs="Times New Roman"/>
          <w:szCs w:val="24"/>
        </w:rPr>
        <w:t xml:space="preserve"> piedāvāts pārskatīt arī </w:t>
      </w:r>
      <w:r w:rsidRPr="00E442F8">
        <w:rPr>
          <w:rFonts w:eastAsia="Times New Roman" w:cs="Times New Roman"/>
          <w:bCs/>
          <w:i/>
          <w:iCs/>
          <w:szCs w:val="24"/>
        </w:rPr>
        <w:t>NUTS</w:t>
      </w:r>
      <w:r>
        <w:rPr>
          <w:rFonts w:eastAsia="Times New Roman" w:cs="Times New Roman"/>
          <w:bCs/>
          <w:szCs w:val="24"/>
        </w:rPr>
        <w:t> 3</w:t>
      </w:r>
      <w:r w:rsidRPr="002F64A6">
        <w:rPr>
          <w:rFonts w:eastAsia="Calibri" w:cs="Times New Roman"/>
          <w:szCs w:val="24"/>
        </w:rPr>
        <w:t xml:space="preserve"> reģionu dalījumu ar mērķi pretendēt uz augstākām līdzfinansējuma likmēm tajos gadījumos, kur piemērojams valsts atbalsta regulējums. Kopumā </w:t>
      </w:r>
      <w:r w:rsidRPr="00E442F8">
        <w:rPr>
          <w:rFonts w:eastAsia="Times New Roman" w:cs="Times New Roman"/>
          <w:bCs/>
          <w:i/>
          <w:iCs/>
          <w:szCs w:val="24"/>
        </w:rPr>
        <w:t>NUTS</w:t>
      </w:r>
      <w:r>
        <w:rPr>
          <w:rFonts w:eastAsia="Times New Roman" w:cs="Times New Roman"/>
          <w:bCs/>
          <w:szCs w:val="24"/>
        </w:rPr>
        <w:t xml:space="preserve"> 3 </w:t>
      </w:r>
      <w:r w:rsidRPr="002F64A6">
        <w:rPr>
          <w:rFonts w:eastAsia="Calibri" w:cs="Times New Roman"/>
          <w:szCs w:val="24"/>
        </w:rPr>
        <w:t xml:space="preserve">dalījumam nav tieša ietekme uz Izaugsmes un nodarbinātības mērķim pieejamo finansējuma apjomu, vai ES fondu ieviešanas sistēmu, tomēr būtiski ņemt vērā, kā pēdējos plānošanas periodos ir samazinājies tiešais atbalsts komersantiem, kas tiek izsniegts grantu formā. </w:t>
      </w:r>
    </w:p>
    <w:p w14:paraId="15FED2C7" w14:textId="77777777" w:rsidR="00802E2A" w:rsidRDefault="00802E2A" w:rsidP="00802E2A">
      <w:pPr>
        <w:jc w:val="right"/>
        <w:rPr>
          <w:i/>
        </w:rPr>
      </w:pPr>
    </w:p>
    <w:p w14:paraId="6BE8D396" w14:textId="77777777" w:rsidR="00802E2A" w:rsidRPr="00C4450F" w:rsidRDefault="00802E2A" w:rsidP="00802E2A">
      <w:pPr>
        <w:jc w:val="right"/>
        <w:rPr>
          <w:rFonts w:eastAsia="Times New Roman" w:cs="Times New Roman"/>
          <w:szCs w:val="24"/>
        </w:rPr>
      </w:pPr>
      <w:r w:rsidRPr="00AA350D">
        <w:rPr>
          <w:i/>
        </w:rPr>
        <w:t xml:space="preserve">Tabula </w:t>
      </w:r>
      <w:r w:rsidRPr="00CA10E6">
        <w:rPr>
          <w:i/>
        </w:rPr>
        <w:t xml:space="preserve">Nr. </w:t>
      </w:r>
      <w:r>
        <w:rPr>
          <w:i/>
        </w:rPr>
        <w:t>8</w:t>
      </w:r>
      <w:r w:rsidRPr="00CA10E6">
        <w:rPr>
          <w:i/>
        </w:rPr>
        <w:t xml:space="preserve">. </w:t>
      </w:r>
      <w:r w:rsidRPr="00C4450F">
        <w:rPr>
          <w:i/>
        </w:rPr>
        <w:t>ERAF Tiešais atbalsts komersantiem grantu un finanšu instrumentu veidā</w:t>
      </w:r>
      <w:r>
        <w:rPr>
          <w:i/>
        </w:rPr>
        <w:t>.</w:t>
      </w:r>
    </w:p>
    <w:tbl>
      <w:tblPr>
        <w:tblW w:w="0" w:type="auto"/>
        <w:jc w:val="center"/>
        <w:tblCellMar>
          <w:left w:w="0" w:type="dxa"/>
          <w:right w:w="0" w:type="dxa"/>
        </w:tblCellMar>
        <w:tblLook w:val="04A0" w:firstRow="1" w:lastRow="0" w:firstColumn="1" w:lastColumn="0" w:noHBand="0" w:noVBand="1"/>
      </w:tblPr>
      <w:tblGrid>
        <w:gridCol w:w="2367"/>
        <w:gridCol w:w="2530"/>
        <w:gridCol w:w="2360"/>
        <w:gridCol w:w="2361"/>
      </w:tblGrid>
      <w:tr w:rsidR="00802E2A" w:rsidRPr="002F64A6" w14:paraId="690A9EE3" w14:textId="77777777" w:rsidTr="007B6A5B">
        <w:trPr>
          <w:jc w:val="center"/>
        </w:trPr>
        <w:tc>
          <w:tcPr>
            <w:tcW w:w="24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tcPr>
          <w:p w14:paraId="5E0A23A4" w14:textId="77777777" w:rsidR="00802E2A" w:rsidRPr="002F64A6" w:rsidRDefault="00802E2A" w:rsidP="007B6A5B">
            <w:pPr>
              <w:rPr>
                <w:rFonts w:cs="Times New Roman"/>
                <w:b/>
                <w:szCs w:val="24"/>
              </w:rPr>
            </w:pPr>
          </w:p>
        </w:tc>
        <w:tc>
          <w:tcPr>
            <w:tcW w:w="2623"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4606380C" w14:textId="77777777" w:rsidR="00802E2A" w:rsidRPr="002F64A6" w:rsidRDefault="00802E2A" w:rsidP="007B6A5B">
            <w:pPr>
              <w:jc w:val="center"/>
              <w:rPr>
                <w:rFonts w:cs="Times New Roman"/>
                <w:b/>
                <w:bCs/>
                <w:szCs w:val="24"/>
              </w:rPr>
            </w:pPr>
            <w:r w:rsidRPr="002F64A6">
              <w:rPr>
                <w:rFonts w:cs="Times New Roman"/>
                <w:b/>
                <w:bCs/>
                <w:szCs w:val="24"/>
              </w:rPr>
              <w:t>2007</w:t>
            </w:r>
            <w:r>
              <w:rPr>
                <w:rFonts w:cs="Times New Roman"/>
                <w:b/>
                <w:bCs/>
                <w:szCs w:val="24"/>
              </w:rPr>
              <w:t>.–</w:t>
            </w:r>
            <w:r w:rsidRPr="002F64A6">
              <w:rPr>
                <w:rFonts w:cs="Times New Roman"/>
                <w:b/>
                <w:bCs/>
                <w:szCs w:val="24"/>
              </w:rPr>
              <w:t>2</w:t>
            </w:r>
            <w:r>
              <w:rPr>
                <w:rFonts w:cs="Times New Roman"/>
                <w:b/>
                <w:bCs/>
                <w:szCs w:val="24"/>
              </w:rPr>
              <w:t>0</w:t>
            </w:r>
            <w:r w:rsidRPr="002F64A6">
              <w:rPr>
                <w:rFonts w:cs="Times New Roman"/>
                <w:b/>
                <w:bCs/>
                <w:szCs w:val="24"/>
              </w:rPr>
              <w:t>13</w:t>
            </w:r>
            <w:r>
              <w:rPr>
                <w:rFonts w:cs="Times New Roman"/>
                <w:b/>
                <w:bCs/>
                <w:szCs w:val="24"/>
              </w:rPr>
              <w:t>. gada plānošanas periods</w:t>
            </w:r>
          </w:p>
        </w:tc>
        <w:tc>
          <w:tcPr>
            <w:tcW w:w="2439"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77A10CA8" w14:textId="77777777" w:rsidR="00802E2A" w:rsidRPr="002F64A6" w:rsidRDefault="00802E2A" w:rsidP="007B6A5B">
            <w:pPr>
              <w:jc w:val="center"/>
              <w:rPr>
                <w:rFonts w:cs="Times New Roman"/>
                <w:b/>
                <w:bCs/>
                <w:szCs w:val="24"/>
              </w:rPr>
            </w:pPr>
            <w:r w:rsidRPr="002F64A6">
              <w:rPr>
                <w:rFonts w:cs="Times New Roman"/>
                <w:b/>
                <w:bCs/>
                <w:szCs w:val="24"/>
              </w:rPr>
              <w:t>2014</w:t>
            </w:r>
            <w:r>
              <w:rPr>
                <w:rFonts w:cs="Times New Roman"/>
                <w:b/>
                <w:bCs/>
                <w:szCs w:val="24"/>
              </w:rPr>
              <w:t>.–</w:t>
            </w:r>
            <w:r w:rsidRPr="002F64A6">
              <w:rPr>
                <w:rFonts w:cs="Times New Roman"/>
                <w:b/>
                <w:bCs/>
                <w:szCs w:val="24"/>
              </w:rPr>
              <w:t>2020</w:t>
            </w:r>
            <w:r>
              <w:rPr>
                <w:rFonts w:cs="Times New Roman"/>
                <w:b/>
                <w:bCs/>
                <w:szCs w:val="24"/>
              </w:rPr>
              <w:t>. gada plānošanas periods</w:t>
            </w:r>
          </w:p>
        </w:tc>
        <w:tc>
          <w:tcPr>
            <w:tcW w:w="2440"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786F833C" w14:textId="77777777" w:rsidR="00802E2A" w:rsidRPr="002F64A6" w:rsidRDefault="00802E2A" w:rsidP="007B6A5B">
            <w:pPr>
              <w:jc w:val="center"/>
              <w:rPr>
                <w:rFonts w:cs="Times New Roman"/>
                <w:b/>
                <w:bCs/>
                <w:szCs w:val="24"/>
              </w:rPr>
            </w:pPr>
            <w:r w:rsidRPr="002F64A6">
              <w:rPr>
                <w:rFonts w:cs="Times New Roman"/>
                <w:b/>
                <w:bCs/>
                <w:szCs w:val="24"/>
              </w:rPr>
              <w:t>2021</w:t>
            </w:r>
            <w:r>
              <w:rPr>
                <w:rFonts w:cs="Times New Roman"/>
                <w:b/>
                <w:bCs/>
                <w:szCs w:val="24"/>
              </w:rPr>
              <w:t>.–</w:t>
            </w:r>
            <w:r w:rsidRPr="002F64A6">
              <w:rPr>
                <w:rFonts w:cs="Times New Roman"/>
                <w:b/>
                <w:bCs/>
                <w:szCs w:val="24"/>
              </w:rPr>
              <w:t>2027</w:t>
            </w:r>
            <w:r>
              <w:rPr>
                <w:rFonts w:cs="Times New Roman"/>
                <w:b/>
                <w:bCs/>
                <w:szCs w:val="24"/>
              </w:rPr>
              <w:t>. gada plānošanas periods</w:t>
            </w:r>
            <w:r w:rsidRPr="002F64A6">
              <w:rPr>
                <w:rFonts w:cs="Times New Roman"/>
                <w:b/>
                <w:bCs/>
                <w:szCs w:val="24"/>
              </w:rPr>
              <w:t xml:space="preserve"> (indikatīvi)</w:t>
            </w:r>
          </w:p>
        </w:tc>
      </w:tr>
      <w:tr w:rsidR="00802E2A" w:rsidRPr="002F64A6" w14:paraId="02EF3D07" w14:textId="77777777" w:rsidTr="007B6A5B">
        <w:trPr>
          <w:jc w:val="center"/>
        </w:trPr>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7E61AD" w14:textId="77777777" w:rsidR="00802E2A" w:rsidRPr="002F64A6" w:rsidRDefault="00802E2A" w:rsidP="007B6A5B">
            <w:pPr>
              <w:rPr>
                <w:rFonts w:cs="Times New Roman"/>
                <w:szCs w:val="24"/>
              </w:rPr>
            </w:pPr>
            <w:r w:rsidRPr="002F64A6">
              <w:rPr>
                <w:rFonts w:cs="Times New Roman"/>
                <w:szCs w:val="24"/>
              </w:rPr>
              <w:t>Tiešais atbalsts uzņēmējdarbībai - granti</w:t>
            </w:r>
          </w:p>
        </w:tc>
        <w:tc>
          <w:tcPr>
            <w:tcW w:w="2623" w:type="dxa"/>
            <w:tcBorders>
              <w:top w:val="nil"/>
              <w:left w:val="nil"/>
              <w:bottom w:val="single" w:sz="8" w:space="0" w:color="auto"/>
              <w:right w:val="single" w:sz="8" w:space="0" w:color="auto"/>
            </w:tcBorders>
            <w:tcMar>
              <w:top w:w="0" w:type="dxa"/>
              <w:left w:w="108" w:type="dxa"/>
              <w:bottom w:w="0" w:type="dxa"/>
              <w:right w:w="108" w:type="dxa"/>
            </w:tcMar>
            <w:hideMark/>
          </w:tcPr>
          <w:p w14:paraId="26760350" w14:textId="77777777" w:rsidR="00802E2A" w:rsidRPr="002F64A6" w:rsidRDefault="00802E2A" w:rsidP="007B6A5B">
            <w:pPr>
              <w:rPr>
                <w:rFonts w:cs="Times New Roman"/>
                <w:szCs w:val="24"/>
              </w:rPr>
            </w:pPr>
            <w:r w:rsidRPr="002F64A6">
              <w:rPr>
                <w:rFonts w:cs="Times New Roman"/>
                <w:szCs w:val="24"/>
              </w:rPr>
              <w:t xml:space="preserve">9,9% no piešķīruma/ 602,8 milj. </w:t>
            </w:r>
            <w:r>
              <w:rPr>
                <w:rFonts w:eastAsia="Calibri" w:cs="Times New Roman"/>
                <w:i/>
                <w:iCs/>
                <w:szCs w:val="24"/>
              </w:rPr>
              <w:t>euro</w:t>
            </w:r>
          </w:p>
        </w:tc>
        <w:tc>
          <w:tcPr>
            <w:tcW w:w="2439" w:type="dxa"/>
            <w:tcBorders>
              <w:top w:val="nil"/>
              <w:left w:val="nil"/>
              <w:bottom w:val="single" w:sz="8" w:space="0" w:color="auto"/>
              <w:right w:val="single" w:sz="8" w:space="0" w:color="auto"/>
            </w:tcBorders>
            <w:tcMar>
              <w:top w:w="0" w:type="dxa"/>
              <w:left w:w="108" w:type="dxa"/>
              <w:bottom w:w="0" w:type="dxa"/>
              <w:right w:w="108" w:type="dxa"/>
            </w:tcMar>
            <w:hideMark/>
          </w:tcPr>
          <w:p w14:paraId="1869E942" w14:textId="77777777" w:rsidR="00802E2A" w:rsidRPr="002F64A6" w:rsidRDefault="00802E2A" w:rsidP="007B6A5B">
            <w:pPr>
              <w:rPr>
                <w:rFonts w:cs="Times New Roman"/>
                <w:szCs w:val="24"/>
              </w:rPr>
            </w:pPr>
            <w:r w:rsidRPr="002F64A6">
              <w:rPr>
                <w:rFonts w:cs="Times New Roman"/>
                <w:szCs w:val="24"/>
              </w:rPr>
              <w:t xml:space="preserve">8,6% no piešķīruma/ 473,8 milj. </w:t>
            </w:r>
            <w:r>
              <w:rPr>
                <w:rFonts w:eastAsia="Calibri" w:cs="Times New Roman"/>
                <w:i/>
                <w:iCs/>
                <w:szCs w:val="24"/>
              </w:rPr>
              <w:t>euro</w:t>
            </w:r>
          </w:p>
        </w:tc>
        <w:tc>
          <w:tcPr>
            <w:tcW w:w="2440" w:type="dxa"/>
            <w:tcBorders>
              <w:top w:val="nil"/>
              <w:left w:val="nil"/>
              <w:bottom w:val="single" w:sz="8" w:space="0" w:color="auto"/>
              <w:right w:val="single" w:sz="8" w:space="0" w:color="auto"/>
            </w:tcBorders>
            <w:tcMar>
              <w:top w:w="0" w:type="dxa"/>
              <w:left w:w="108" w:type="dxa"/>
              <w:bottom w:w="0" w:type="dxa"/>
              <w:right w:w="108" w:type="dxa"/>
            </w:tcMar>
            <w:hideMark/>
          </w:tcPr>
          <w:p w14:paraId="3226509C" w14:textId="77777777" w:rsidR="00802E2A" w:rsidRPr="002F64A6" w:rsidRDefault="00802E2A" w:rsidP="007B6A5B">
            <w:pPr>
              <w:rPr>
                <w:rFonts w:cs="Times New Roman"/>
                <w:szCs w:val="24"/>
              </w:rPr>
            </w:pPr>
            <w:r w:rsidRPr="002F64A6">
              <w:rPr>
                <w:rFonts w:cs="Times New Roman"/>
                <w:szCs w:val="24"/>
              </w:rPr>
              <w:t xml:space="preserve">4,6% no piešķīruma/ 230,7 milj. </w:t>
            </w:r>
            <w:r>
              <w:rPr>
                <w:rFonts w:eastAsia="Calibri" w:cs="Times New Roman"/>
                <w:i/>
                <w:iCs/>
                <w:szCs w:val="24"/>
              </w:rPr>
              <w:t>euro</w:t>
            </w:r>
          </w:p>
        </w:tc>
      </w:tr>
      <w:tr w:rsidR="00802E2A" w:rsidRPr="002F64A6" w14:paraId="0E32F56E" w14:textId="77777777" w:rsidTr="007B6A5B">
        <w:trPr>
          <w:jc w:val="center"/>
        </w:trPr>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04EC8B" w14:textId="77777777" w:rsidR="00802E2A" w:rsidRPr="002F64A6" w:rsidRDefault="00802E2A" w:rsidP="007B6A5B">
            <w:pPr>
              <w:rPr>
                <w:rFonts w:cs="Times New Roman"/>
                <w:szCs w:val="24"/>
              </w:rPr>
            </w:pPr>
            <w:r w:rsidRPr="002F64A6">
              <w:rPr>
                <w:rFonts w:cs="Times New Roman"/>
                <w:szCs w:val="24"/>
              </w:rPr>
              <w:t>Tiešais atbalsts uzņēmējdarbībai – finanšu instrumenti</w:t>
            </w:r>
          </w:p>
        </w:tc>
        <w:tc>
          <w:tcPr>
            <w:tcW w:w="2623" w:type="dxa"/>
            <w:tcBorders>
              <w:top w:val="nil"/>
              <w:left w:val="nil"/>
              <w:bottom w:val="single" w:sz="8" w:space="0" w:color="auto"/>
              <w:right w:val="single" w:sz="8" w:space="0" w:color="auto"/>
            </w:tcBorders>
            <w:tcMar>
              <w:top w:w="0" w:type="dxa"/>
              <w:left w:w="108" w:type="dxa"/>
              <w:bottom w:w="0" w:type="dxa"/>
              <w:right w:w="108" w:type="dxa"/>
            </w:tcMar>
            <w:hideMark/>
          </w:tcPr>
          <w:p w14:paraId="6AF35069" w14:textId="77777777" w:rsidR="00802E2A" w:rsidRPr="002F64A6" w:rsidRDefault="00802E2A" w:rsidP="007B6A5B">
            <w:pPr>
              <w:rPr>
                <w:rFonts w:cs="Times New Roman"/>
                <w:szCs w:val="24"/>
              </w:rPr>
            </w:pPr>
            <w:r w:rsidRPr="002F64A6">
              <w:rPr>
                <w:rFonts w:cs="Times New Roman"/>
                <w:szCs w:val="24"/>
              </w:rPr>
              <w:t xml:space="preserve">3,1% no piešķīruma/ 190 milj. </w:t>
            </w:r>
            <w:r>
              <w:rPr>
                <w:rFonts w:eastAsia="Calibri" w:cs="Times New Roman"/>
                <w:i/>
                <w:iCs/>
                <w:szCs w:val="24"/>
              </w:rPr>
              <w:t>euro</w:t>
            </w:r>
          </w:p>
        </w:tc>
        <w:tc>
          <w:tcPr>
            <w:tcW w:w="2439" w:type="dxa"/>
            <w:tcBorders>
              <w:top w:val="nil"/>
              <w:left w:val="nil"/>
              <w:bottom w:val="single" w:sz="8" w:space="0" w:color="auto"/>
              <w:right w:val="single" w:sz="8" w:space="0" w:color="auto"/>
            </w:tcBorders>
            <w:tcMar>
              <w:top w:w="0" w:type="dxa"/>
              <w:left w:w="108" w:type="dxa"/>
              <w:bottom w:w="0" w:type="dxa"/>
              <w:right w:w="108" w:type="dxa"/>
            </w:tcMar>
            <w:hideMark/>
          </w:tcPr>
          <w:p w14:paraId="1360BAAB" w14:textId="77777777" w:rsidR="00802E2A" w:rsidRPr="002F64A6" w:rsidRDefault="00802E2A" w:rsidP="007B6A5B">
            <w:pPr>
              <w:rPr>
                <w:rFonts w:cs="Times New Roman"/>
                <w:szCs w:val="24"/>
              </w:rPr>
            </w:pPr>
            <w:r w:rsidRPr="002F64A6">
              <w:rPr>
                <w:rFonts w:cs="Times New Roman"/>
                <w:szCs w:val="24"/>
              </w:rPr>
              <w:t>3,4% no piešķīruma/ 185 milj.</w:t>
            </w:r>
            <w:r>
              <w:rPr>
                <w:rFonts w:cs="Times New Roman"/>
                <w:szCs w:val="24"/>
              </w:rPr>
              <w:t xml:space="preserve"> </w:t>
            </w:r>
            <w:r>
              <w:rPr>
                <w:rFonts w:eastAsia="Calibri" w:cs="Times New Roman"/>
                <w:i/>
                <w:iCs/>
                <w:szCs w:val="24"/>
              </w:rPr>
              <w:t>euro</w:t>
            </w:r>
          </w:p>
        </w:tc>
        <w:tc>
          <w:tcPr>
            <w:tcW w:w="2440" w:type="dxa"/>
            <w:tcBorders>
              <w:top w:val="nil"/>
              <w:left w:val="nil"/>
              <w:bottom w:val="single" w:sz="8" w:space="0" w:color="auto"/>
              <w:right w:val="single" w:sz="8" w:space="0" w:color="auto"/>
            </w:tcBorders>
            <w:tcMar>
              <w:top w:w="0" w:type="dxa"/>
              <w:left w:w="108" w:type="dxa"/>
              <w:bottom w:w="0" w:type="dxa"/>
              <w:right w:w="108" w:type="dxa"/>
            </w:tcMar>
            <w:hideMark/>
          </w:tcPr>
          <w:p w14:paraId="00E5E29B" w14:textId="77777777" w:rsidR="00802E2A" w:rsidRPr="002F64A6" w:rsidRDefault="00802E2A" w:rsidP="007B6A5B">
            <w:pPr>
              <w:rPr>
                <w:rFonts w:cs="Times New Roman"/>
                <w:szCs w:val="24"/>
              </w:rPr>
            </w:pPr>
            <w:r w:rsidRPr="002F64A6">
              <w:rPr>
                <w:rFonts w:cs="Times New Roman"/>
                <w:szCs w:val="24"/>
              </w:rPr>
              <w:t xml:space="preserve">4,3% no piešķīruma/ 215,9 milj. </w:t>
            </w:r>
            <w:r>
              <w:rPr>
                <w:rFonts w:eastAsia="Calibri" w:cs="Times New Roman"/>
                <w:i/>
                <w:iCs/>
                <w:szCs w:val="24"/>
              </w:rPr>
              <w:t>euro</w:t>
            </w:r>
          </w:p>
        </w:tc>
      </w:tr>
    </w:tbl>
    <w:p w14:paraId="53FE3B60" w14:textId="77777777" w:rsidR="00802E2A" w:rsidRPr="002F64A6" w:rsidRDefault="00802E2A" w:rsidP="00802E2A">
      <w:pPr>
        <w:ind w:right="-31"/>
        <w:rPr>
          <w:rFonts w:eastAsia="Calibri" w:cs="Times New Roman"/>
          <w:szCs w:val="24"/>
        </w:rPr>
      </w:pPr>
    </w:p>
    <w:p w14:paraId="5B38C2FA" w14:textId="77777777" w:rsidR="00802E2A" w:rsidRPr="002F64A6" w:rsidRDefault="00802E2A" w:rsidP="00802E2A">
      <w:pPr>
        <w:ind w:right="-31" w:firstLine="720"/>
        <w:rPr>
          <w:rFonts w:eastAsia="Calibri" w:cs="Times New Roman"/>
          <w:szCs w:val="24"/>
        </w:rPr>
      </w:pPr>
      <w:r w:rsidRPr="002F64A6">
        <w:rPr>
          <w:rFonts w:eastAsia="Calibri" w:cs="Times New Roman"/>
          <w:szCs w:val="24"/>
        </w:rPr>
        <w:t xml:space="preserve">Proti, </w:t>
      </w:r>
      <w:r w:rsidRPr="00C4450F">
        <w:rPr>
          <w:rFonts w:eastAsia="Calibri" w:cs="Times New Roman"/>
          <w:szCs w:val="24"/>
        </w:rPr>
        <w:t xml:space="preserve">salīdzinot ar </w:t>
      </w:r>
      <w:r w:rsidRPr="00C4450F">
        <w:rPr>
          <w:rFonts w:cs="Times New Roman"/>
          <w:szCs w:val="24"/>
        </w:rPr>
        <w:t xml:space="preserve">2007.–2013. gada </w:t>
      </w:r>
      <w:r w:rsidRPr="00C4450F">
        <w:rPr>
          <w:rFonts w:eastAsia="Calibri" w:cs="Times New Roman"/>
          <w:szCs w:val="24"/>
        </w:rPr>
        <w:t>plānošanas</w:t>
      </w:r>
      <w:r w:rsidRPr="002F64A6">
        <w:rPr>
          <w:rFonts w:eastAsia="Calibri" w:cs="Times New Roman"/>
          <w:szCs w:val="24"/>
        </w:rPr>
        <w:t xml:space="preserve"> periodu</w:t>
      </w:r>
      <w:r>
        <w:rPr>
          <w:rFonts w:eastAsia="Calibri" w:cs="Times New Roman"/>
          <w:szCs w:val="24"/>
        </w:rPr>
        <w:t>,</w:t>
      </w:r>
      <w:r w:rsidRPr="002F64A6">
        <w:rPr>
          <w:rFonts w:eastAsia="Calibri" w:cs="Times New Roman"/>
          <w:szCs w:val="24"/>
        </w:rPr>
        <w:t xml:space="preserve"> atbalsts grantu formā ir samazinājies ir apmēram 2 reizes, mērot %</w:t>
      </w:r>
      <w:r>
        <w:rPr>
          <w:rFonts w:eastAsia="Calibri" w:cs="Times New Roman"/>
          <w:szCs w:val="24"/>
        </w:rPr>
        <w:t xml:space="preserve"> </w:t>
      </w:r>
      <w:r w:rsidRPr="002F64A6">
        <w:rPr>
          <w:rFonts w:eastAsia="Calibri" w:cs="Times New Roman"/>
          <w:szCs w:val="24"/>
        </w:rPr>
        <w:t xml:space="preserve">no kopējā piešķīruma, bet absolūtos skaitļos </w:t>
      </w:r>
      <w:r>
        <w:rPr>
          <w:rFonts w:eastAsia="Calibri" w:cs="Times New Roman"/>
          <w:szCs w:val="24"/>
        </w:rPr>
        <w:t>–</w:t>
      </w:r>
      <w:r w:rsidRPr="002F64A6">
        <w:rPr>
          <w:rFonts w:eastAsia="Calibri" w:cs="Times New Roman"/>
          <w:szCs w:val="24"/>
        </w:rPr>
        <w:t xml:space="preserve"> gandrīz 3 reizes. Ņemot vērā EK uzstādījumu virzībai uz finanšu instrumentiem, kā arī pieaugot Latvijas relatīvajam labklājības līmenim, sagaidāms, ka grantu īpatsvars darbības programmā arī turpmāk varētu samazināties. Ņemot vērā iepriekš minēto, </w:t>
      </w:r>
      <w:r w:rsidRPr="00E442F8">
        <w:rPr>
          <w:rFonts w:eastAsia="Times New Roman" w:cs="Times New Roman"/>
          <w:bCs/>
          <w:i/>
          <w:iCs/>
          <w:szCs w:val="24"/>
        </w:rPr>
        <w:t>NUTS</w:t>
      </w:r>
      <w:r>
        <w:rPr>
          <w:rFonts w:eastAsia="Times New Roman" w:cs="Times New Roman"/>
          <w:bCs/>
          <w:szCs w:val="24"/>
        </w:rPr>
        <w:t xml:space="preserve"> 3 </w:t>
      </w:r>
      <w:r w:rsidRPr="002F64A6">
        <w:rPr>
          <w:rFonts w:eastAsia="Calibri" w:cs="Times New Roman"/>
          <w:szCs w:val="24"/>
        </w:rPr>
        <w:t xml:space="preserve">dalījumam varētu nebūt nozīmīga pozitīva ietekmi uz finansējuma pieejamību </w:t>
      </w:r>
      <w:r w:rsidRPr="00D96458">
        <w:rPr>
          <w:rFonts w:eastAsia="Calibri" w:cs="Times New Roman"/>
          <w:i/>
          <w:iCs/>
          <w:szCs w:val="24"/>
        </w:rPr>
        <w:t>mazāk attīstītajās</w:t>
      </w:r>
      <w:r w:rsidRPr="002F64A6">
        <w:rPr>
          <w:rFonts w:eastAsia="Calibri" w:cs="Times New Roman"/>
          <w:szCs w:val="24"/>
        </w:rPr>
        <w:t xml:space="preserve"> teritorijās.</w:t>
      </w:r>
    </w:p>
    <w:p w14:paraId="2B9CE4F6" w14:textId="77777777" w:rsidR="00802E2A" w:rsidRPr="002F64A6" w:rsidRDefault="00802E2A" w:rsidP="00802E2A">
      <w:pPr>
        <w:pStyle w:val="Heading2"/>
      </w:pPr>
      <w:r w:rsidRPr="002F64A6">
        <w:t xml:space="preserve">9. </w:t>
      </w:r>
      <w:r w:rsidRPr="00085148">
        <w:t>Kopsavilkuma</w:t>
      </w:r>
      <w:r w:rsidRPr="002F64A6">
        <w:t xml:space="preserve"> tabula</w:t>
      </w:r>
    </w:p>
    <w:p w14:paraId="3D0879AC" w14:textId="77777777" w:rsidR="00802E2A" w:rsidRPr="00073A40" w:rsidRDefault="00802E2A" w:rsidP="00802E2A">
      <w:pPr>
        <w:jc w:val="right"/>
        <w:rPr>
          <w:i/>
        </w:rPr>
      </w:pPr>
      <w:r w:rsidRPr="00AA350D">
        <w:rPr>
          <w:i/>
        </w:rPr>
        <w:t xml:space="preserve">Tabula </w:t>
      </w:r>
      <w:r w:rsidRPr="00CA10E6">
        <w:rPr>
          <w:i/>
        </w:rPr>
        <w:t xml:space="preserve">Nr. </w:t>
      </w:r>
      <w:r>
        <w:rPr>
          <w:i/>
        </w:rPr>
        <w:t>9</w:t>
      </w:r>
      <w:r w:rsidRPr="00CA10E6">
        <w:rPr>
          <w:i/>
        </w:rPr>
        <w:t xml:space="preserve">. </w:t>
      </w:r>
      <w:r w:rsidRPr="00073A40">
        <w:rPr>
          <w:i/>
        </w:rPr>
        <w:t>Secinājumu kopsavilkuma tabula</w:t>
      </w:r>
      <w:r>
        <w:rPr>
          <w:i/>
        </w:rPr>
        <w:t>.</w:t>
      </w:r>
    </w:p>
    <w:tbl>
      <w:tblPr>
        <w:tblStyle w:val="TableGrid"/>
        <w:tblW w:w="10201" w:type="dxa"/>
        <w:jc w:val="center"/>
        <w:tblLook w:val="04A0" w:firstRow="1" w:lastRow="0" w:firstColumn="1" w:lastColumn="0" w:noHBand="0" w:noVBand="1"/>
      </w:tblPr>
      <w:tblGrid>
        <w:gridCol w:w="1777"/>
        <w:gridCol w:w="2471"/>
        <w:gridCol w:w="2977"/>
        <w:gridCol w:w="2976"/>
      </w:tblGrid>
      <w:tr w:rsidR="00802E2A" w:rsidRPr="002F64A6" w14:paraId="1161FC11" w14:textId="77777777" w:rsidTr="007B6A5B">
        <w:trPr>
          <w:jc w:val="center"/>
        </w:trPr>
        <w:tc>
          <w:tcPr>
            <w:tcW w:w="1777" w:type="dxa"/>
            <w:shd w:val="clear" w:color="auto" w:fill="D9D9D9" w:themeFill="background1" w:themeFillShade="D9"/>
          </w:tcPr>
          <w:p w14:paraId="0930A031" w14:textId="77777777" w:rsidR="00802E2A" w:rsidRPr="002F64A6" w:rsidRDefault="00802E2A" w:rsidP="007B6A5B">
            <w:pPr>
              <w:pStyle w:val="ListParagraph"/>
              <w:spacing w:after="0"/>
              <w:ind w:left="0"/>
              <w:jc w:val="center"/>
              <w:rPr>
                <w:rFonts w:eastAsia="Times New Roman" w:cs="Times New Roman"/>
                <w:b/>
                <w:szCs w:val="24"/>
              </w:rPr>
            </w:pPr>
          </w:p>
        </w:tc>
        <w:tc>
          <w:tcPr>
            <w:tcW w:w="2471" w:type="dxa"/>
            <w:shd w:val="clear" w:color="auto" w:fill="D9D9D9" w:themeFill="background1" w:themeFillShade="D9"/>
            <w:vAlign w:val="center"/>
          </w:tcPr>
          <w:p w14:paraId="297E3013" w14:textId="45776A11"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b/>
                <w:szCs w:val="24"/>
              </w:rPr>
              <w:t>1.</w:t>
            </w:r>
            <w:r w:rsidR="00387A82">
              <w:rPr>
                <w:rFonts w:eastAsia="Times New Roman" w:cs="Times New Roman"/>
                <w:b/>
                <w:szCs w:val="24"/>
              </w:rPr>
              <w:t> </w:t>
            </w:r>
            <w:r w:rsidRPr="002F64A6">
              <w:rPr>
                <w:rFonts w:eastAsia="Times New Roman" w:cs="Times New Roman"/>
                <w:b/>
                <w:szCs w:val="24"/>
              </w:rPr>
              <w:t>scenārijs</w:t>
            </w:r>
          </w:p>
          <w:p w14:paraId="69070C30" w14:textId="77777777" w:rsidR="00802E2A" w:rsidRPr="002F64A6" w:rsidRDefault="00802E2A" w:rsidP="007B6A5B">
            <w:pPr>
              <w:ind w:right="-31"/>
              <w:jc w:val="center"/>
              <w:rPr>
                <w:rFonts w:eastAsia="Calibri" w:cs="Times New Roman"/>
                <w:b/>
                <w:szCs w:val="24"/>
              </w:rPr>
            </w:pPr>
            <w:r w:rsidRPr="002F64A6">
              <w:rPr>
                <w:rFonts w:eastAsia="Times New Roman" w:cs="Times New Roman"/>
                <w:szCs w:val="24"/>
              </w:rPr>
              <w:t xml:space="preserve">Ja Latvija paliek kā viens </w:t>
            </w:r>
            <w:r w:rsidRPr="00CF0692">
              <w:rPr>
                <w:rFonts w:eastAsia="Times New Roman" w:cs="Times New Roman"/>
                <w:i/>
                <w:iCs/>
                <w:szCs w:val="24"/>
              </w:rPr>
              <w:t>NUTS</w:t>
            </w:r>
            <w:r w:rsidRPr="002F64A6">
              <w:rPr>
                <w:rFonts w:eastAsia="Times New Roman" w:cs="Times New Roman"/>
                <w:szCs w:val="24"/>
              </w:rPr>
              <w:t xml:space="preserve"> </w:t>
            </w:r>
            <w:r w:rsidRPr="00D96458">
              <w:rPr>
                <w:rFonts w:eastAsia="Times New Roman" w:cs="Times New Roman"/>
                <w:i/>
                <w:iCs/>
                <w:szCs w:val="24"/>
              </w:rPr>
              <w:t>pārejas</w:t>
            </w:r>
            <w:r w:rsidRPr="002F64A6">
              <w:rPr>
                <w:rFonts w:eastAsia="Times New Roman" w:cs="Times New Roman"/>
                <w:szCs w:val="24"/>
              </w:rPr>
              <w:t xml:space="preserve"> reģions</w:t>
            </w:r>
          </w:p>
        </w:tc>
        <w:tc>
          <w:tcPr>
            <w:tcW w:w="2977" w:type="dxa"/>
            <w:shd w:val="clear" w:color="auto" w:fill="D9D9D9" w:themeFill="background1" w:themeFillShade="D9"/>
            <w:vAlign w:val="center"/>
          </w:tcPr>
          <w:p w14:paraId="4E6B6B9F" w14:textId="7777AEBC"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b/>
                <w:szCs w:val="24"/>
              </w:rPr>
              <w:t>2.</w:t>
            </w:r>
            <w:r w:rsidR="00387A82">
              <w:rPr>
                <w:rFonts w:eastAsia="Times New Roman" w:cs="Times New Roman"/>
                <w:b/>
                <w:szCs w:val="24"/>
              </w:rPr>
              <w:t> </w:t>
            </w:r>
            <w:r w:rsidRPr="002F64A6">
              <w:rPr>
                <w:rFonts w:eastAsia="Times New Roman" w:cs="Times New Roman"/>
                <w:b/>
                <w:szCs w:val="24"/>
              </w:rPr>
              <w:t>scenārijs</w:t>
            </w:r>
          </w:p>
          <w:p w14:paraId="0A0C98F8" w14:textId="77777777" w:rsidR="00802E2A" w:rsidRPr="002F64A6" w:rsidRDefault="00802E2A" w:rsidP="007B6A5B">
            <w:pPr>
              <w:ind w:right="-31"/>
              <w:jc w:val="center"/>
              <w:rPr>
                <w:rFonts w:eastAsia="Calibri" w:cs="Times New Roman"/>
                <w:b/>
                <w:szCs w:val="24"/>
              </w:rPr>
            </w:pPr>
            <w:r w:rsidRPr="002F64A6">
              <w:rPr>
                <w:rFonts w:eastAsia="Times New Roman" w:cs="Times New Roman"/>
                <w:szCs w:val="24"/>
              </w:rPr>
              <w:t xml:space="preserve">Ja otrs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Times New Roman" w:cs="Times New Roman"/>
                <w:szCs w:val="24"/>
              </w:rPr>
              <w:t xml:space="preserve"> reģions ir </w:t>
            </w:r>
            <w:r w:rsidRPr="00D96458">
              <w:rPr>
                <w:rFonts w:eastAsia="Times New Roman" w:cs="Times New Roman"/>
                <w:i/>
                <w:iCs/>
                <w:szCs w:val="24"/>
              </w:rPr>
              <w:t>pārejas</w:t>
            </w:r>
            <w:r w:rsidRPr="002F64A6">
              <w:rPr>
                <w:rFonts w:eastAsia="Times New Roman" w:cs="Times New Roman"/>
                <w:szCs w:val="24"/>
              </w:rPr>
              <w:t xml:space="preserve"> reģions (mljrd. </w:t>
            </w:r>
            <w:r>
              <w:rPr>
                <w:rFonts w:eastAsia="Calibri" w:cs="Times New Roman"/>
                <w:i/>
                <w:iCs/>
                <w:szCs w:val="24"/>
              </w:rPr>
              <w:t>euro</w:t>
            </w:r>
            <w:r w:rsidRPr="002F64A6">
              <w:rPr>
                <w:rFonts w:eastAsia="Times New Roman" w:cs="Times New Roman"/>
                <w:szCs w:val="24"/>
              </w:rPr>
              <w:t>)</w:t>
            </w:r>
          </w:p>
        </w:tc>
        <w:tc>
          <w:tcPr>
            <w:tcW w:w="2976" w:type="dxa"/>
            <w:shd w:val="clear" w:color="auto" w:fill="D9D9D9" w:themeFill="background1" w:themeFillShade="D9"/>
            <w:vAlign w:val="center"/>
          </w:tcPr>
          <w:p w14:paraId="20550C48" w14:textId="112CED1D" w:rsidR="00802E2A" w:rsidRPr="002F64A6" w:rsidRDefault="00802E2A" w:rsidP="007B6A5B">
            <w:pPr>
              <w:pStyle w:val="ListParagraph"/>
              <w:spacing w:after="0"/>
              <w:ind w:left="0"/>
              <w:jc w:val="center"/>
              <w:rPr>
                <w:rFonts w:eastAsia="Times New Roman" w:cs="Times New Roman"/>
                <w:b/>
                <w:szCs w:val="24"/>
              </w:rPr>
            </w:pPr>
            <w:r w:rsidRPr="002F64A6">
              <w:rPr>
                <w:rFonts w:eastAsia="Times New Roman" w:cs="Times New Roman"/>
                <w:b/>
                <w:szCs w:val="24"/>
              </w:rPr>
              <w:t>3.</w:t>
            </w:r>
            <w:r w:rsidR="00387A82">
              <w:rPr>
                <w:rFonts w:eastAsia="Times New Roman" w:cs="Times New Roman"/>
                <w:b/>
                <w:szCs w:val="24"/>
              </w:rPr>
              <w:t> </w:t>
            </w:r>
            <w:r w:rsidRPr="002F64A6">
              <w:rPr>
                <w:rFonts w:eastAsia="Times New Roman" w:cs="Times New Roman"/>
                <w:b/>
                <w:szCs w:val="24"/>
              </w:rPr>
              <w:t>scenārijs</w:t>
            </w:r>
          </w:p>
          <w:p w14:paraId="79C4E3BE" w14:textId="77777777" w:rsidR="00802E2A" w:rsidRPr="002F64A6" w:rsidRDefault="00802E2A" w:rsidP="007B6A5B">
            <w:pPr>
              <w:ind w:right="-31"/>
              <w:jc w:val="center"/>
              <w:rPr>
                <w:rFonts w:eastAsia="Calibri" w:cs="Times New Roman"/>
                <w:b/>
                <w:szCs w:val="24"/>
              </w:rPr>
            </w:pPr>
            <w:r w:rsidRPr="002F64A6">
              <w:rPr>
                <w:rFonts w:eastAsia="Times New Roman" w:cs="Times New Roman"/>
                <w:szCs w:val="24"/>
              </w:rPr>
              <w:t xml:space="preserve">Ja otrs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Pr>
                <w:rFonts w:eastAsia="Times New Roman" w:cs="Times New Roman"/>
                <w:bCs/>
                <w:szCs w:val="24"/>
              </w:rPr>
              <w:t xml:space="preserve"> </w:t>
            </w:r>
            <w:r w:rsidRPr="002F64A6">
              <w:rPr>
                <w:rFonts w:eastAsia="Times New Roman" w:cs="Times New Roman"/>
                <w:szCs w:val="24"/>
              </w:rPr>
              <w:t xml:space="preserve">reģions ir </w:t>
            </w:r>
            <w:r w:rsidRPr="00D96458">
              <w:rPr>
                <w:rFonts w:eastAsia="Times New Roman" w:cs="Times New Roman"/>
                <w:i/>
                <w:iCs/>
                <w:szCs w:val="24"/>
              </w:rPr>
              <w:t>vairāk attīstītais</w:t>
            </w:r>
            <w:r w:rsidRPr="002F64A6">
              <w:rPr>
                <w:rFonts w:eastAsia="Times New Roman" w:cs="Times New Roman"/>
                <w:szCs w:val="24"/>
              </w:rPr>
              <w:t xml:space="preserve"> reģions (mljrd. </w:t>
            </w:r>
            <w:r>
              <w:rPr>
                <w:rFonts w:eastAsia="Calibri" w:cs="Times New Roman"/>
                <w:i/>
                <w:iCs/>
                <w:szCs w:val="24"/>
              </w:rPr>
              <w:t>euro</w:t>
            </w:r>
            <w:r w:rsidRPr="002F64A6">
              <w:rPr>
                <w:rFonts w:eastAsia="Times New Roman" w:cs="Times New Roman"/>
                <w:szCs w:val="24"/>
              </w:rPr>
              <w:t>)</w:t>
            </w:r>
          </w:p>
        </w:tc>
      </w:tr>
      <w:tr w:rsidR="00802E2A" w:rsidRPr="002F64A6" w14:paraId="62D29C12" w14:textId="77777777" w:rsidTr="007B6A5B">
        <w:trPr>
          <w:jc w:val="center"/>
        </w:trPr>
        <w:tc>
          <w:tcPr>
            <w:tcW w:w="1777" w:type="dxa"/>
          </w:tcPr>
          <w:p w14:paraId="770FDE61" w14:textId="77777777" w:rsidR="00802E2A" w:rsidRPr="002F64A6" w:rsidRDefault="00802E2A" w:rsidP="007B6A5B">
            <w:pPr>
              <w:ind w:right="-31"/>
              <w:rPr>
                <w:rFonts w:eastAsia="Calibri" w:cs="Times New Roman"/>
                <w:i/>
                <w:szCs w:val="24"/>
              </w:rPr>
            </w:pPr>
            <w:r w:rsidRPr="002F64A6">
              <w:rPr>
                <w:rFonts w:eastAsia="Calibri" w:cs="Times New Roman"/>
                <w:i/>
                <w:szCs w:val="24"/>
              </w:rPr>
              <w:t>Finansējuma pieejamība</w:t>
            </w:r>
          </w:p>
          <w:p w14:paraId="36D33702" w14:textId="77777777" w:rsidR="00802E2A" w:rsidRPr="002F64A6" w:rsidRDefault="00802E2A" w:rsidP="007B6A5B">
            <w:pPr>
              <w:ind w:right="-31"/>
              <w:rPr>
                <w:rFonts w:eastAsia="Calibri" w:cs="Times New Roman"/>
                <w:i/>
                <w:szCs w:val="24"/>
              </w:rPr>
            </w:pPr>
          </w:p>
        </w:tc>
        <w:tc>
          <w:tcPr>
            <w:tcW w:w="2471" w:type="dxa"/>
          </w:tcPr>
          <w:p w14:paraId="5FF226A9" w14:textId="77777777" w:rsidR="00802E2A" w:rsidRPr="00073A40" w:rsidRDefault="00802E2A" w:rsidP="007B6A5B">
            <w:pPr>
              <w:spacing w:after="120"/>
              <w:ind w:right="-28"/>
              <w:rPr>
                <w:rFonts w:cs="Times New Roman"/>
                <w:bCs/>
                <w:szCs w:val="24"/>
              </w:rPr>
            </w:pPr>
            <w:r w:rsidRPr="002F64A6">
              <w:rPr>
                <w:rFonts w:cs="Times New Roman"/>
                <w:bCs/>
                <w:szCs w:val="24"/>
              </w:rPr>
              <w:t xml:space="preserve">Kopējais finansējums robežās no 3,5-4,0 mljrd.  </w:t>
            </w:r>
            <w:r>
              <w:rPr>
                <w:rFonts w:eastAsia="Calibri" w:cs="Times New Roman"/>
                <w:i/>
                <w:iCs/>
                <w:szCs w:val="24"/>
              </w:rPr>
              <w:t>euro</w:t>
            </w:r>
          </w:p>
        </w:tc>
        <w:tc>
          <w:tcPr>
            <w:tcW w:w="2977" w:type="dxa"/>
          </w:tcPr>
          <w:p w14:paraId="67C2008D" w14:textId="77777777" w:rsidR="00802E2A" w:rsidRPr="00073A40" w:rsidRDefault="00802E2A" w:rsidP="007B6A5B">
            <w:pPr>
              <w:spacing w:after="120"/>
              <w:ind w:right="-28"/>
              <w:rPr>
                <w:rFonts w:cs="Times New Roman"/>
                <w:bCs/>
                <w:szCs w:val="24"/>
              </w:rPr>
            </w:pPr>
            <w:r w:rsidRPr="002F64A6">
              <w:rPr>
                <w:rFonts w:cs="Times New Roman"/>
                <w:bCs/>
                <w:szCs w:val="24"/>
              </w:rPr>
              <w:t xml:space="preserve">Kopējais finansējums robežās no 3,5-4,0 mljrd.   </w:t>
            </w:r>
            <w:r>
              <w:rPr>
                <w:rFonts w:eastAsia="Calibri" w:cs="Times New Roman"/>
                <w:i/>
                <w:iCs/>
                <w:szCs w:val="24"/>
              </w:rPr>
              <w:t>euro</w:t>
            </w:r>
          </w:p>
          <w:p w14:paraId="189C154A" w14:textId="77777777" w:rsidR="00802E2A" w:rsidRPr="002F64A6" w:rsidRDefault="00802E2A" w:rsidP="007B6A5B">
            <w:pPr>
              <w:spacing w:after="120"/>
              <w:ind w:right="-28"/>
              <w:rPr>
                <w:rFonts w:cs="Times New Roman"/>
                <w:bCs/>
                <w:szCs w:val="24"/>
              </w:rPr>
            </w:pPr>
            <w:r w:rsidRPr="002F64A6">
              <w:rPr>
                <w:rFonts w:cs="Times New Roman"/>
                <w:bCs/>
                <w:szCs w:val="24"/>
              </w:rPr>
              <w:t xml:space="preserve">+ Garantēts lielāks finansējuma </w:t>
            </w:r>
            <w:r w:rsidRPr="00D96458">
              <w:rPr>
                <w:rFonts w:cs="Times New Roman"/>
                <w:bCs/>
                <w:i/>
                <w:iCs/>
                <w:szCs w:val="24"/>
              </w:rPr>
              <w:t>mazāk attīstītajam</w:t>
            </w:r>
            <w:r w:rsidRPr="002F64A6">
              <w:rPr>
                <w:rFonts w:cs="Times New Roman"/>
                <w:bCs/>
                <w:szCs w:val="24"/>
              </w:rPr>
              <w:t xml:space="preserve"> reģionam</w:t>
            </w:r>
          </w:p>
          <w:p w14:paraId="36E97939" w14:textId="77777777" w:rsidR="00802E2A" w:rsidRPr="002F64A6" w:rsidRDefault="00802E2A" w:rsidP="007B6A5B">
            <w:pPr>
              <w:spacing w:after="120"/>
              <w:ind w:right="-28"/>
              <w:rPr>
                <w:rFonts w:eastAsia="Calibri" w:cs="Times New Roman"/>
                <w:szCs w:val="24"/>
              </w:rPr>
            </w:pPr>
          </w:p>
        </w:tc>
        <w:tc>
          <w:tcPr>
            <w:tcW w:w="2976" w:type="dxa"/>
          </w:tcPr>
          <w:p w14:paraId="35DC422B" w14:textId="77777777" w:rsidR="00802E2A" w:rsidRPr="002F64A6" w:rsidRDefault="00802E2A" w:rsidP="007B6A5B">
            <w:pPr>
              <w:spacing w:after="120"/>
              <w:ind w:right="-28"/>
              <w:rPr>
                <w:rFonts w:cs="Times New Roman"/>
                <w:bCs/>
                <w:szCs w:val="24"/>
              </w:rPr>
            </w:pPr>
            <w:r w:rsidRPr="002F64A6">
              <w:rPr>
                <w:rFonts w:cs="Times New Roman"/>
                <w:bCs/>
                <w:szCs w:val="24"/>
              </w:rPr>
              <w:t xml:space="preserve">Kopējais finansējums robežās no 3,5-4,0 mljrd.   </w:t>
            </w:r>
            <w:r>
              <w:rPr>
                <w:rFonts w:eastAsia="Calibri" w:cs="Times New Roman"/>
                <w:i/>
                <w:iCs/>
                <w:szCs w:val="24"/>
              </w:rPr>
              <w:t>euro</w:t>
            </w:r>
          </w:p>
          <w:p w14:paraId="5DE349E1" w14:textId="77777777" w:rsidR="00802E2A" w:rsidRPr="002F64A6" w:rsidRDefault="00802E2A" w:rsidP="007B6A5B">
            <w:pPr>
              <w:spacing w:after="120"/>
              <w:ind w:right="-28"/>
              <w:rPr>
                <w:rFonts w:cs="Times New Roman"/>
                <w:bCs/>
                <w:szCs w:val="24"/>
              </w:rPr>
            </w:pPr>
            <w:r w:rsidRPr="002F64A6">
              <w:rPr>
                <w:rFonts w:cs="Times New Roman"/>
                <w:bCs/>
                <w:szCs w:val="24"/>
              </w:rPr>
              <w:t xml:space="preserve">+ Garantēts lielāks finansējuma </w:t>
            </w:r>
            <w:r w:rsidRPr="00D96458">
              <w:rPr>
                <w:rFonts w:cs="Times New Roman"/>
                <w:bCs/>
                <w:i/>
                <w:iCs/>
                <w:szCs w:val="24"/>
              </w:rPr>
              <w:t xml:space="preserve">mazāk attīstītajam </w:t>
            </w:r>
            <w:r w:rsidRPr="002F64A6">
              <w:rPr>
                <w:rFonts w:cs="Times New Roman"/>
                <w:bCs/>
                <w:szCs w:val="24"/>
              </w:rPr>
              <w:t>reģionam</w:t>
            </w:r>
          </w:p>
          <w:p w14:paraId="739629E8" w14:textId="77777777" w:rsidR="00802E2A" w:rsidRPr="002F64A6" w:rsidRDefault="00802E2A" w:rsidP="007B6A5B">
            <w:pPr>
              <w:spacing w:after="120"/>
              <w:ind w:right="-28"/>
              <w:rPr>
                <w:rFonts w:cs="Times New Roman"/>
                <w:bCs/>
                <w:szCs w:val="24"/>
              </w:rPr>
            </w:pPr>
            <w:r w:rsidRPr="002F64A6">
              <w:rPr>
                <w:rFonts w:cs="Times New Roman"/>
                <w:bCs/>
                <w:szCs w:val="24"/>
              </w:rPr>
              <w:t>- Būtiski samazinās finansējuma pieejamība Rīgas reģionam</w:t>
            </w:r>
          </w:p>
        </w:tc>
      </w:tr>
      <w:tr w:rsidR="00802E2A" w:rsidRPr="002F64A6" w14:paraId="758D0D53" w14:textId="77777777" w:rsidTr="007B6A5B">
        <w:trPr>
          <w:jc w:val="center"/>
        </w:trPr>
        <w:tc>
          <w:tcPr>
            <w:tcW w:w="1777" w:type="dxa"/>
          </w:tcPr>
          <w:p w14:paraId="44BA42DE" w14:textId="77777777" w:rsidR="00802E2A" w:rsidRPr="002F64A6" w:rsidRDefault="00802E2A" w:rsidP="007B6A5B">
            <w:pPr>
              <w:ind w:right="-31"/>
              <w:rPr>
                <w:rFonts w:eastAsia="Calibri" w:cs="Times New Roman"/>
                <w:i/>
                <w:szCs w:val="24"/>
              </w:rPr>
            </w:pPr>
            <w:r w:rsidRPr="002F64A6">
              <w:rPr>
                <w:rFonts w:eastAsia="Calibri" w:cs="Times New Roman"/>
                <w:i/>
                <w:szCs w:val="24"/>
              </w:rPr>
              <w:t>Līdzfinansējums</w:t>
            </w:r>
          </w:p>
          <w:p w14:paraId="38A420CE" w14:textId="77777777" w:rsidR="00802E2A" w:rsidRPr="002F64A6" w:rsidRDefault="00802E2A" w:rsidP="007B6A5B">
            <w:pPr>
              <w:ind w:right="-31"/>
              <w:rPr>
                <w:rFonts w:eastAsia="Calibri" w:cs="Times New Roman"/>
                <w:i/>
                <w:szCs w:val="24"/>
              </w:rPr>
            </w:pPr>
          </w:p>
        </w:tc>
        <w:tc>
          <w:tcPr>
            <w:tcW w:w="2471" w:type="dxa"/>
          </w:tcPr>
          <w:p w14:paraId="0B8B56BB"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 Ja likmes tiek saglabātas 2021.</w:t>
            </w:r>
            <w:r>
              <w:rPr>
                <w:rFonts w:eastAsia="Calibri" w:cs="Times New Roman"/>
                <w:szCs w:val="24"/>
              </w:rPr>
              <w:t>–</w:t>
            </w:r>
            <w:r w:rsidRPr="002F64A6">
              <w:rPr>
                <w:rFonts w:eastAsia="Calibri" w:cs="Times New Roman"/>
                <w:szCs w:val="24"/>
              </w:rPr>
              <w:lastRenderedPageBreak/>
              <w:t>2027.</w:t>
            </w:r>
            <w:r>
              <w:rPr>
                <w:rFonts w:eastAsia="Calibri" w:cs="Times New Roman"/>
                <w:szCs w:val="24"/>
              </w:rPr>
              <w:t> </w:t>
            </w:r>
            <w:r w:rsidRPr="002F64A6">
              <w:rPr>
                <w:rFonts w:eastAsia="Calibri" w:cs="Times New Roman"/>
                <w:szCs w:val="24"/>
              </w:rPr>
              <w:t>gada perioda apmērā, tad tiek nodrošināts vislielākais investīciju kopapjoms</w:t>
            </w:r>
          </w:p>
          <w:p w14:paraId="7B8AF9E1"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 xml:space="preserve">- 1. scenārijam vislielākais nacionālā līdzfinansējuma apjoms. Lielāks izaicinājums </w:t>
            </w:r>
            <w:r w:rsidRPr="00D96458">
              <w:rPr>
                <w:rFonts w:eastAsia="Calibri" w:cs="Times New Roman"/>
                <w:i/>
                <w:iCs/>
                <w:szCs w:val="24"/>
              </w:rPr>
              <w:t>mazāk attīstīto</w:t>
            </w:r>
            <w:r w:rsidRPr="002F64A6">
              <w:rPr>
                <w:rFonts w:eastAsia="Calibri" w:cs="Times New Roman"/>
                <w:szCs w:val="24"/>
              </w:rPr>
              <w:t xml:space="preserve"> teritoriju finansējuma saņēmējiem (īpaši publiskajā sektorā)</w:t>
            </w:r>
          </w:p>
        </w:tc>
        <w:tc>
          <w:tcPr>
            <w:tcW w:w="2977" w:type="dxa"/>
          </w:tcPr>
          <w:p w14:paraId="1DA1248D"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lastRenderedPageBreak/>
              <w:t>+ Ja likmes tiek saglabātas 2021.</w:t>
            </w:r>
            <w:r>
              <w:rPr>
                <w:rFonts w:eastAsia="Calibri" w:cs="Times New Roman"/>
                <w:szCs w:val="24"/>
              </w:rPr>
              <w:t>–</w:t>
            </w:r>
            <w:r w:rsidRPr="002F64A6">
              <w:rPr>
                <w:rFonts w:eastAsia="Calibri" w:cs="Times New Roman"/>
                <w:szCs w:val="24"/>
              </w:rPr>
              <w:t>2027.</w:t>
            </w:r>
            <w:r>
              <w:rPr>
                <w:rFonts w:eastAsia="Calibri" w:cs="Times New Roman"/>
                <w:szCs w:val="24"/>
              </w:rPr>
              <w:t> </w:t>
            </w:r>
            <w:r w:rsidRPr="002F64A6">
              <w:rPr>
                <w:rFonts w:eastAsia="Calibri" w:cs="Times New Roman"/>
                <w:szCs w:val="24"/>
              </w:rPr>
              <w:t xml:space="preserve">gada perioda </w:t>
            </w:r>
            <w:r w:rsidRPr="002F64A6">
              <w:rPr>
                <w:rFonts w:eastAsia="Calibri" w:cs="Times New Roman"/>
                <w:szCs w:val="24"/>
              </w:rPr>
              <w:lastRenderedPageBreak/>
              <w:t>apmērā, tad 2.scenārijam vismazākais nacionālais līdzfinansējums</w:t>
            </w:r>
          </w:p>
          <w:p w14:paraId="4A03F9C8"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 Mazāks kopējais investīciju apjoms projektiem</w:t>
            </w:r>
          </w:p>
        </w:tc>
        <w:tc>
          <w:tcPr>
            <w:tcW w:w="2976" w:type="dxa"/>
          </w:tcPr>
          <w:p w14:paraId="15924F37"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lastRenderedPageBreak/>
              <w:t>+ Ja likmes tiek saglabātas 2021.</w:t>
            </w:r>
            <w:r>
              <w:rPr>
                <w:rFonts w:eastAsia="Calibri" w:cs="Times New Roman"/>
                <w:szCs w:val="24"/>
              </w:rPr>
              <w:t>–</w:t>
            </w:r>
            <w:r w:rsidRPr="002F64A6">
              <w:rPr>
                <w:rFonts w:eastAsia="Calibri" w:cs="Times New Roman"/>
                <w:szCs w:val="24"/>
              </w:rPr>
              <w:t>2027.</w:t>
            </w:r>
            <w:r>
              <w:rPr>
                <w:rFonts w:eastAsia="Calibri" w:cs="Times New Roman"/>
                <w:szCs w:val="24"/>
              </w:rPr>
              <w:t> </w:t>
            </w:r>
            <w:r w:rsidRPr="002F64A6">
              <w:rPr>
                <w:rFonts w:eastAsia="Calibri" w:cs="Times New Roman"/>
                <w:szCs w:val="24"/>
              </w:rPr>
              <w:t xml:space="preserve">gada perioda </w:t>
            </w:r>
            <w:r w:rsidRPr="002F64A6">
              <w:rPr>
                <w:rFonts w:eastAsia="Calibri" w:cs="Times New Roman"/>
                <w:szCs w:val="24"/>
              </w:rPr>
              <w:lastRenderedPageBreak/>
              <w:t xml:space="preserve">apmērā, tad tiek saglabāts zems līdzfinansējums </w:t>
            </w:r>
            <w:r w:rsidRPr="00D96458">
              <w:rPr>
                <w:rFonts w:eastAsia="Calibri" w:cs="Times New Roman"/>
                <w:i/>
                <w:iCs/>
                <w:szCs w:val="24"/>
              </w:rPr>
              <w:t xml:space="preserve">mazāk attīstītajām </w:t>
            </w:r>
            <w:r w:rsidRPr="002F64A6">
              <w:rPr>
                <w:rFonts w:eastAsia="Calibri" w:cs="Times New Roman"/>
                <w:szCs w:val="24"/>
              </w:rPr>
              <w:t>teritorijām</w:t>
            </w:r>
          </w:p>
          <w:p w14:paraId="28F5B77D"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-Rīgas reģionā līdzfinansējums pieaugtu četras reizes, īpašs izaicinājums publiskā sektora projektiem (zinātne, energoefektivitāte, transports u.c.)</w:t>
            </w:r>
          </w:p>
        </w:tc>
      </w:tr>
      <w:tr w:rsidR="00802E2A" w:rsidRPr="002F64A6" w14:paraId="4CFE8A0C" w14:textId="77777777" w:rsidTr="007B6A5B">
        <w:trPr>
          <w:jc w:val="center"/>
        </w:trPr>
        <w:tc>
          <w:tcPr>
            <w:tcW w:w="1777" w:type="dxa"/>
          </w:tcPr>
          <w:p w14:paraId="3F451DF7" w14:textId="77777777" w:rsidR="00802E2A" w:rsidRPr="002F64A6" w:rsidRDefault="00802E2A" w:rsidP="007B6A5B">
            <w:pPr>
              <w:ind w:right="-31"/>
              <w:rPr>
                <w:rFonts w:eastAsia="Calibri" w:cs="Times New Roman"/>
                <w:i/>
                <w:szCs w:val="24"/>
              </w:rPr>
            </w:pPr>
            <w:r w:rsidRPr="002F64A6">
              <w:rPr>
                <w:rFonts w:eastAsia="Calibri" w:cs="Times New Roman"/>
                <w:i/>
                <w:szCs w:val="24"/>
              </w:rPr>
              <w:lastRenderedPageBreak/>
              <w:t>Tematiskā koncentrācija</w:t>
            </w:r>
          </w:p>
        </w:tc>
        <w:tc>
          <w:tcPr>
            <w:tcW w:w="2471" w:type="dxa"/>
          </w:tcPr>
          <w:p w14:paraId="599B6D76"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 ERAF tematiskā koncentrācija attiecas uz visu reģionu</w:t>
            </w:r>
            <w:r>
              <w:rPr>
                <w:rFonts w:eastAsia="Calibri" w:cs="Times New Roman"/>
                <w:szCs w:val="24"/>
              </w:rPr>
              <w:t>,</w:t>
            </w:r>
            <w:r w:rsidRPr="002F64A6">
              <w:rPr>
                <w:rFonts w:eastAsia="Calibri" w:cs="Times New Roman"/>
                <w:szCs w:val="24"/>
              </w:rPr>
              <w:t xml:space="preserve"> un ieguldījums iespējams atlasīt visā valsts teritorijā</w:t>
            </w:r>
          </w:p>
          <w:p w14:paraId="3AC334D0" w14:textId="77777777" w:rsidR="00802E2A" w:rsidRPr="002F64A6" w:rsidRDefault="00802E2A" w:rsidP="007B6A5B">
            <w:pPr>
              <w:spacing w:after="120"/>
              <w:ind w:right="-28"/>
              <w:rPr>
                <w:rFonts w:eastAsia="Calibri" w:cs="Times New Roman"/>
                <w:b/>
                <w:szCs w:val="24"/>
              </w:rPr>
            </w:pPr>
            <w:r w:rsidRPr="002F64A6">
              <w:rPr>
                <w:rFonts w:eastAsia="Calibri" w:cs="Times New Roman"/>
                <w:szCs w:val="24"/>
              </w:rPr>
              <w:t>- Augstāki kopējās tematiskās koncentrācijas sliekšņi</w:t>
            </w:r>
          </w:p>
        </w:tc>
        <w:tc>
          <w:tcPr>
            <w:tcW w:w="2977" w:type="dxa"/>
          </w:tcPr>
          <w:p w14:paraId="6DCDED72"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 xml:space="preserve">+ iespējams saglabāt zemākas koncentrācijas likmes </w:t>
            </w:r>
            <w:r w:rsidRPr="003A3D0B">
              <w:rPr>
                <w:rFonts w:eastAsia="Calibri" w:cs="Times New Roman"/>
                <w:i/>
                <w:iCs/>
                <w:szCs w:val="24"/>
              </w:rPr>
              <w:t>mazāk attīstītajā</w:t>
            </w:r>
            <w:r w:rsidRPr="002F64A6">
              <w:rPr>
                <w:rFonts w:eastAsia="Calibri" w:cs="Times New Roman"/>
                <w:szCs w:val="24"/>
              </w:rPr>
              <w:t xml:space="preserve"> reģionā</w:t>
            </w:r>
          </w:p>
          <w:p w14:paraId="101B1F1C" w14:textId="77777777" w:rsidR="00802E2A" w:rsidRPr="002F64A6" w:rsidRDefault="00802E2A" w:rsidP="007B6A5B">
            <w:pPr>
              <w:spacing w:after="120"/>
              <w:ind w:right="-28"/>
              <w:rPr>
                <w:rFonts w:eastAsia="Calibri" w:cs="Times New Roman"/>
                <w:b/>
                <w:szCs w:val="24"/>
              </w:rPr>
            </w:pPr>
            <w:r w:rsidRPr="002F64A6">
              <w:rPr>
                <w:rFonts w:eastAsia="Calibri" w:cs="Times New Roman"/>
                <w:b/>
                <w:szCs w:val="24"/>
              </w:rPr>
              <w:t xml:space="preserve">- </w:t>
            </w:r>
            <w:r w:rsidRPr="002F64A6">
              <w:rPr>
                <w:rFonts w:eastAsia="Calibri" w:cs="Times New Roman"/>
                <w:szCs w:val="24"/>
              </w:rPr>
              <w:t xml:space="preserve">Ņemot vērā lielāku resursu koncentrāciju </w:t>
            </w:r>
            <w:r w:rsidRPr="003A3D0B">
              <w:rPr>
                <w:rFonts w:eastAsia="Calibri" w:cs="Times New Roman"/>
                <w:i/>
                <w:iCs/>
                <w:szCs w:val="24"/>
              </w:rPr>
              <w:t>mazāk attīstītajā</w:t>
            </w:r>
            <w:r w:rsidRPr="002F64A6">
              <w:rPr>
                <w:rFonts w:eastAsia="Calibri" w:cs="Times New Roman"/>
                <w:szCs w:val="24"/>
              </w:rPr>
              <w:t xml:space="preserve"> reģionā var rasties problēmas sasniegt ieguldījumu atsevišķās jomās, kuras tradicionāli ir koncentrētas Rīgas un Pierīgas pašvaldībās </w:t>
            </w:r>
          </w:p>
        </w:tc>
        <w:tc>
          <w:tcPr>
            <w:tcW w:w="2976" w:type="dxa"/>
          </w:tcPr>
          <w:p w14:paraId="7B852FD6"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 xml:space="preserve">+ iespējams saglabāt zemākas koncentrācijas likmes </w:t>
            </w:r>
            <w:r w:rsidRPr="003A3D0B">
              <w:rPr>
                <w:rFonts w:eastAsia="Calibri" w:cs="Times New Roman"/>
                <w:i/>
                <w:iCs/>
                <w:szCs w:val="24"/>
              </w:rPr>
              <w:t>mazāk attīstītajā</w:t>
            </w:r>
            <w:r w:rsidRPr="002F64A6">
              <w:rPr>
                <w:rFonts w:eastAsia="Calibri" w:cs="Times New Roman"/>
                <w:szCs w:val="24"/>
              </w:rPr>
              <w:t xml:space="preserve"> reģionā</w:t>
            </w:r>
          </w:p>
          <w:p w14:paraId="3F892D90" w14:textId="77777777" w:rsidR="00802E2A" w:rsidRPr="002F64A6" w:rsidRDefault="00802E2A" w:rsidP="007B6A5B">
            <w:pPr>
              <w:spacing w:after="120"/>
              <w:ind w:right="-28"/>
              <w:rPr>
                <w:rFonts w:eastAsia="Calibri" w:cs="Times New Roman"/>
                <w:szCs w:val="24"/>
              </w:rPr>
            </w:pPr>
            <w:r w:rsidRPr="002F64A6">
              <w:rPr>
                <w:rFonts w:eastAsia="Calibri" w:cs="Times New Roman"/>
                <w:b/>
                <w:szCs w:val="24"/>
              </w:rPr>
              <w:t xml:space="preserve">- </w:t>
            </w:r>
            <w:r w:rsidRPr="002F64A6">
              <w:rPr>
                <w:rFonts w:eastAsia="Calibri" w:cs="Times New Roman"/>
                <w:szCs w:val="24"/>
              </w:rPr>
              <w:t xml:space="preserve">Ņemot vērā lielāku resursu koncentrāciju </w:t>
            </w:r>
            <w:r w:rsidRPr="003A3D0B">
              <w:rPr>
                <w:rFonts w:eastAsia="Calibri" w:cs="Times New Roman"/>
                <w:i/>
                <w:iCs/>
                <w:szCs w:val="24"/>
              </w:rPr>
              <w:t>mazāk attīstītajā</w:t>
            </w:r>
            <w:r w:rsidRPr="002F64A6">
              <w:rPr>
                <w:rFonts w:eastAsia="Calibri" w:cs="Times New Roman"/>
                <w:szCs w:val="24"/>
              </w:rPr>
              <w:t xml:space="preserve"> reģionā var rasties problēmas sasniegt ieguldījumu atsevišķās jomās, kuras tradicionāli ir koncentrētas Rīgas un Pierīgas pašvaldībās. </w:t>
            </w:r>
          </w:p>
          <w:p w14:paraId="0CA5BADE"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w:t>
            </w:r>
            <w:r>
              <w:rPr>
                <w:rFonts w:eastAsia="Calibri" w:cs="Times New Roman"/>
                <w:szCs w:val="24"/>
              </w:rPr>
              <w:t xml:space="preserve"> </w:t>
            </w:r>
            <w:r w:rsidRPr="00A92DF4">
              <w:rPr>
                <w:rFonts w:eastAsia="Calibri" w:cs="Times New Roman"/>
                <w:i/>
                <w:iCs/>
                <w:szCs w:val="24"/>
              </w:rPr>
              <w:t>Vairāk attīstītajam</w:t>
            </w:r>
            <w:r w:rsidRPr="002F64A6">
              <w:rPr>
                <w:rFonts w:eastAsia="Calibri" w:cs="Times New Roman"/>
                <w:szCs w:val="24"/>
              </w:rPr>
              <w:t xml:space="preserve"> reģionam ļoti limitētas iespējas investēt ārpus tematiskās koncentrācijas mērķa.</w:t>
            </w:r>
          </w:p>
        </w:tc>
      </w:tr>
      <w:tr w:rsidR="00802E2A" w:rsidRPr="002F64A6" w14:paraId="42E80DA7" w14:textId="77777777" w:rsidTr="007B6A5B">
        <w:trPr>
          <w:jc w:val="center"/>
        </w:trPr>
        <w:tc>
          <w:tcPr>
            <w:tcW w:w="1777" w:type="dxa"/>
          </w:tcPr>
          <w:p w14:paraId="5C02DF6D" w14:textId="77777777" w:rsidR="00802E2A" w:rsidRPr="002F64A6" w:rsidRDefault="00802E2A" w:rsidP="007B6A5B">
            <w:pPr>
              <w:ind w:right="-31"/>
              <w:rPr>
                <w:rFonts w:eastAsia="Calibri" w:cs="Times New Roman"/>
                <w:i/>
                <w:szCs w:val="24"/>
              </w:rPr>
            </w:pPr>
            <w:r w:rsidRPr="002F64A6">
              <w:rPr>
                <w:rFonts w:eastAsia="Calibri" w:cs="Times New Roman"/>
                <w:i/>
                <w:szCs w:val="24"/>
              </w:rPr>
              <w:t>Ieviešanas sistēma un administratīvais slogs</w:t>
            </w:r>
          </w:p>
        </w:tc>
        <w:tc>
          <w:tcPr>
            <w:tcW w:w="2471" w:type="dxa"/>
          </w:tcPr>
          <w:p w14:paraId="7542361B"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 xml:space="preserve">+ </w:t>
            </w:r>
            <w:r>
              <w:rPr>
                <w:rFonts w:eastAsia="Calibri" w:cs="Times New Roman"/>
                <w:szCs w:val="24"/>
              </w:rPr>
              <w:t>L</w:t>
            </w:r>
            <w:r w:rsidRPr="002F64A6">
              <w:rPr>
                <w:rFonts w:eastAsia="Calibri" w:cs="Times New Roman"/>
                <w:szCs w:val="24"/>
              </w:rPr>
              <w:t>iela elastība resursu pārdalē un mazāki riski līdzekļus neizlietot perioda ietvaros</w:t>
            </w:r>
          </w:p>
        </w:tc>
        <w:tc>
          <w:tcPr>
            <w:tcW w:w="2977" w:type="dxa"/>
          </w:tcPr>
          <w:p w14:paraId="08229E07"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w:t>
            </w:r>
            <w:r>
              <w:rPr>
                <w:rFonts w:eastAsia="Calibri" w:cs="Times New Roman"/>
                <w:szCs w:val="24"/>
              </w:rPr>
              <w:t xml:space="preserve"> </w:t>
            </w:r>
            <w:r w:rsidRPr="002F64A6">
              <w:rPr>
                <w:rFonts w:eastAsia="Calibri" w:cs="Times New Roman"/>
                <w:szCs w:val="24"/>
              </w:rPr>
              <w:t>Ierobežotas iespējas pārdalīt resursus starp reģionu kategorijām</w:t>
            </w:r>
          </w:p>
          <w:p w14:paraId="33151B88"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w:t>
            </w:r>
            <w:r>
              <w:rPr>
                <w:rFonts w:eastAsia="Calibri" w:cs="Times New Roman"/>
                <w:szCs w:val="24"/>
              </w:rPr>
              <w:t xml:space="preserve"> </w:t>
            </w:r>
            <w:r w:rsidRPr="002F64A6">
              <w:rPr>
                <w:rFonts w:eastAsia="Calibri" w:cs="Times New Roman"/>
                <w:szCs w:val="24"/>
              </w:rPr>
              <w:t>Lielāks administratīvais slogs resursu pārdalē pat viena specifiskā atbalsta mērķa ietvaros</w:t>
            </w:r>
          </w:p>
          <w:p w14:paraId="4BCDF198"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w:t>
            </w:r>
            <w:r>
              <w:rPr>
                <w:rFonts w:eastAsia="Calibri" w:cs="Times New Roman"/>
                <w:szCs w:val="24"/>
              </w:rPr>
              <w:t xml:space="preserve"> </w:t>
            </w:r>
            <w:r w:rsidRPr="002F64A6">
              <w:rPr>
                <w:rFonts w:eastAsia="Calibri" w:cs="Times New Roman"/>
                <w:szCs w:val="24"/>
              </w:rPr>
              <w:t>Apgrūtināta ieviešana programmām, kuras līdz šim ieviestas bez teritoriālajiem ierobežojumiem</w:t>
            </w:r>
          </w:p>
          <w:p w14:paraId="36BA2F1C"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w:t>
            </w:r>
            <w:r>
              <w:rPr>
                <w:rFonts w:eastAsia="Calibri" w:cs="Times New Roman"/>
                <w:szCs w:val="24"/>
              </w:rPr>
              <w:t xml:space="preserve"> </w:t>
            </w:r>
            <w:r w:rsidRPr="002F64A6">
              <w:rPr>
                <w:rFonts w:eastAsia="Calibri" w:cs="Times New Roman"/>
                <w:szCs w:val="24"/>
              </w:rPr>
              <w:t xml:space="preserve">Var veidoties plaisa starp resursu piedāvājumu un pieprasījumu konkrētos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Calibri" w:cs="Times New Roman"/>
                <w:szCs w:val="24"/>
              </w:rPr>
              <w:t xml:space="preserve"> reģionos</w:t>
            </w:r>
          </w:p>
        </w:tc>
        <w:tc>
          <w:tcPr>
            <w:tcW w:w="2976" w:type="dxa"/>
          </w:tcPr>
          <w:p w14:paraId="1FAE0550"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 Ierobežotas iespējas pārdalīt resursus starp reģionu kategorijām</w:t>
            </w:r>
          </w:p>
          <w:p w14:paraId="720E941E" w14:textId="77777777" w:rsidR="00802E2A" w:rsidRPr="002F64A6" w:rsidRDefault="00802E2A" w:rsidP="007B6A5B">
            <w:pPr>
              <w:spacing w:after="120"/>
              <w:ind w:right="-28"/>
              <w:rPr>
                <w:rFonts w:eastAsia="Calibri" w:cs="Times New Roman"/>
                <w:szCs w:val="24"/>
              </w:rPr>
            </w:pPr>
          </w:p>
          <w:p w14:paraId="34553CBC"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w:t>
            </w:r>
            <w:r>
              <w:rPr>
                <w:rFonts w:eastAsia="Calibri" w:cs="Times New Roman"/>
                <w:szCs w:val="24"/>
              </w:rPr>
              <w:t xml:space="preserve"> </w:t>
            </w:r>
            <w:r w:rsidRPr="002F64A6">
              <w:rPr>
                <w:rFonts w:eastAsia="Calibri" w:cs="Times New Roman"/>
                <w:szCs w:val="24"/>
              </w:rPr>
              <w:t>Lielāks administratīvais slogs resursu pārdalē pat viena specifiskā atbalsta mērķa ietvaros</w:t>
            </w:r>
          </w:p>
          <w:p w14:paraId="4507B942"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w:t>
            </w:r>
            <w:r>
              <w:rPr>
                <w:rFonts w:eastAsia="Calibri" w:cs="Times New Roman"/>
                <w:szCs w:val="24"/>
              </w:rPr>
              <w:t xml:space="preserve"> </w:t>
            </w:r>
            <w:r w:rsidRPr="002F64A6">
              <w:rPr>
                <w:rFonts w:eastAsia="Calibri" w:cs="Times New Roman"/>
                <w:szCs w:val="24"/>
              </w:rPr>
              <w:t>Apgrūtināta ieviešana programmām, kuras līdz šim ieviestas bez teritoriālajiem ierobežojumiem</w:t>
            </w:r>
          </w:p>
          <w:p w14:paraId="545B0552" w14:textId="77777777" w:rsidR="00802E2A" w:rsidRPr="002F64A6" w:rsidRDefault="00802E2A" w:rsidP="007B6A5B">
            <w:pPr>
              <w:spacing w:after="120"/>
              <w:ind w:right="-28"/>
              <w:rPr>
                <w:rFonts w:eastAsia="Calibri" w:cs="Times New Roman"/>
                <w:szCs w:val="24"/>
              </w:rPr>
            </w:pPr>
            <w:r w:rsidRPr="002F64A6">
              <w:rPr>
                <w:rFonts w:eastAsia="Calibri" w:cs="Times New Roman"/>
                <w:szCs w:val="24"/>
              </w:rPr>
              <w:t>-</w:t>
            </w:r>
            <w:r>
              <w:rPr>
                <w:rFonts w:eastAsia="Calibri" w:cs="Times New Roman"/>
                <w:szCs w:val="24"/>
              </w:rPr>
              <w:t xml:space="preserve"> </w:t>
            </w:r>
            <w:r w:rsidRPr="002F64A6">
              <w:rPr>
                <w:rFonts w:eastAsia="Calibri" w:cs="Times New Roman"/>
                <w:szCs w:val="24"/>
              </w:rPr>
              <w:t xml:space="preserve">Var veidoties plaisa starp resursu piedāvājumu un pieprasījumu konkrētos </w:t>
            </w:r>
            <w:r w:rsidRPr="00E442F8">
              <w:rPr>
                <w:rFonts w:eastAsia="Times New Roman" w:cs="Times New Roman"/>
                <w:bCs/>
                <w:i/>
                <w:iCs/>
                <w:szCs w:val="24"/>
              </w:rPr>
              <w:t>NUTS</w:t>
            </w:r>
            <w:r>
              <w:rPr>
                <w:rFonts w:eastAsia="Times New Roman" w:cs="Times New Roman"/>
                <w:bCs/>
                <w:szCs w:val="24"/>
              </w:rPr>
              <w:t> </w:t>
            </w:r>
            <w:r w:rsidRPr="002F64A6">
              <w:rPr>
                <w:rFonts w:eastAsia="Times New Roman" w:cs="Times New Roman"/>
                <w:bCs/>
                <w:szCs w:val="24"/>
              </w:rPr>
              <w:t>2</w:t>
            </w:r>
            <w:r w:rsidRPr="002F64A6">
              <w:rPr>
                <w:rFonts w:eastAsia="Calibri" w:cs="Times New Roman"/>
                <w:szCs w:val="24"/>
              </w:rPr>
              <w:t xml:space="preserve"> reģionos</w:t>
            </w:r>
          </w:p>
        </w:tc>
      </w:tr>
    </w:tbl>
    <w:p w14:paraId="0BF70C93" w14:textId="77777777" w:rsidR="00241DB5" w:rsidRPr="00913FD2" w:rsidRDefault="00241DB5" w:rsidP="00802E2A">
      <w:pPr>
        <w:jc w:val="right"/>
      </w:pPr>
    </w:p>
    <w:sectPr w:rsidR="00241DB5" w:rsidRPr="00913FD2" w:rsidSect="00913FD2">
      <w:footerReference w:type="default" r:id="rId11"/>
      <w:pgSz w:w="11906" w:h="16838"/>
      <w:pgMar w:top="1134" w:right="1134" w:bottom="766"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404DC" w14:textId="77777777" w:rsidR="00B33284" w:rsidRDefault="00B33284" w:rsidP="00EF2741">
      <w:r>
        <w:separator/>
      </w:r>
    </w:p>
  </w:endnote>
  <w:endnote w:type="continuationSeparator" w:id="0">
    <w:p w14:paraId="6C5ECDA2" w14:textId="77777777" w:rsidR="00B33284" w:rsidRDefault="00B33284" w:rsidP="00EF2741">
      <w:r>
        <w:continuationSeparator/>
      </w:r>
    </w:p>
  </w:endnote>
  <w:endnote w:type="continuationNotice" w:id="1">
    <w:p w14:paraId="0253FFCE" w14:textId="77777777" w:rsidR="00B33284" w:rsidRDefault="00B33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20"/>
        <w:szCs w:val="20"/>
      </w:rPr>
      <w:id w:val="1660499332"/>
      <w:docPartObj>
        <w:docPartGallery w:val="Page Numbers (Bottom of Page)"/>
        <w:docPartUnique/>
      </w:docPartObj>
    </w:sdtPr>
    <w:sdtEndPr/>
    <w:sdtContent>
      <w:p w14:paraId="274CC7E2" w14:textId="77777777" w:rsidR="006672DA" w:rsidRPr="005B6CAD" w:rsidRDefault="006672DA">
        <w:pPr>
          <w:pStyle w:val="Footer"/>
          <w:jc w:val="right"/>
          <w:rPr>
            <w:rFonts w:cs="Times New Roman"/>
            <w:sz w:val="20"/>
            <w:szCs w:val="20"/>
          </w:rPr>
        </w:pPr>
        <w:r w:rsidRPr="005B6CAD">
          <w:rPr>
            <w:rFonts w:cs="Times New Roman"/>
            <w:sz w:val="20"/>
            <w:szCs w:val="20"/>
          </w:rPr>
          <w:tab/>
        </w:r>
        <w:r w:rsidRPr="005B6CAD">
          <w:rPr>
            <w:rFonts w:cs="Times New Roman"/>
            <w:sz w:val="20"/>
            <w:szCs w:val="20"/>
          </w:rPr>
          <w:fldChar w:fldCharType="begin"/>
        </w:r>
        <w:r w:rsidRPr="005B6CAD">
          <w:rPr>
            <w:rFonts w:cs="Times New Roman"/>
            <w:sz w:val="20"/>
            <w:szCs w:val="20"/>
          </w:rPr>
          <w:instrText>PAGE</w:instrText>
        </w:r>
        <w:r w:rsidRPr="005B6CAD">
          <w:rPr>
            <w:rFonts w:cs="Times New Roman"/>
            <w:sz w:val="20"/>
            <w:szCs w:val="20"/>
          </w:rPr>
          <w:fldChar w:fldCharType="separate"/>
        </w:r>
        <w:r w:rsidRPr="005B6CAD">
          <w:rPr>
            <w:rFonts w:cs="Times New Roman"/>
            <w:noProof/>
            <w:sz w:val="20"/>
            <w:szCs w:val="20"/>
          </w:rPr>
          <w:t>47</w:t>
        </w:r>
        <w:r w:rsidRPr="005B6CAD">
          <w:rPr>
            <w:rFonts w:cs="Times New Roman"/>
            <w:sz w:val="20"/>
            <w:szCs w:val="20"/>
          </w:rPr>
          <w:fldChar w:fldCharType="end"/>
        </w:r>
      </w:p>
      <w:p w14:paraId="479CE2B9" w14:textId="1BD68F1C" w:rsidR="006672DA" w:rsidRPr="005B6CAD" w:rsidRDefault="006672DA" w:rsidP="002D621F">
        <w:pPr>
          <w:pStyle w:val="Footer"/>
          <w:spacing w:after="0"/>
          <w:rPr>
            <w:rFonts w:cs="Times New Roman"/>
            <w:sz w:val="20"/>
            <w:szCs w:val="20"/>
          </w:rPr>
        </w:pPr>
        <w:r w:rsidRPr="005B6CAD">
          <w:rPr>
            <w:rFonts w:cs="Times New Roman"/>
            <w:sz w:val="20"/>
            <w:szCs w:val="20"/>
          </w:rPr>
          <w:t>VARAM</w:t>
        </w:r>
        <w:r>
          <w:rPr>
            <w:rFonts w:cs="Times New Roman"/>
            <w:sz w:val="20"/>
            <w:szCs w:val="20"/>
          </w:rPr>
          <w:t>Koncept</w:t>
        </w:r>
        <w:r w:rsidRPr="005B6CAD">
          <w:rPr>
            <w:rFonts w:cs="Times New Roman"/>
            <w:sz w:val="20"/>
            <w:szCs w:val="20"/>
          </w:rPr>
          <w:t>zin</w:t>
        </w:r>
        <w:r w:rsidR="007B61BC">
          <w:rPr>
            <w:rFonts w:cs="Times New Roman"/>
            <w:sz w:val="20"/>
            <w:szCs w:val="20"/>
          </w:rPr>
          <w:t>p</w:t>
        </w:r>
        <w:r w:rsidRPr="005B6CAD">
          <w:rPr>
            <w:rFonts w:cs="Times New Roman"/>
            <w:sz w:val="20"/>
            <w:szCs w:val="20"/>
          </w:rPr>
          <w:t>_</w:t>
        </w:r>
        <w:r w:rsidR="007C731F">
          <w:rPr>
            <w:rFonts w:cs="Times New Roman"/>
            <w:sz w:val="20"/>
            <w:szCs w:val="20"/>
          </w:rPr>
          <w:t>2</w:t>
        </w:r>
        <w:r w:rsidR="007B61BC">
          <w:rPr>
            <w:rFonts w:cs="Times New Roman"/>
            <w:sz w:val="20"/>
            <w:szCs w:val="20"/>
          </w:rPr>
          <w:t>4</w:t>
        </w:r>
        <w:r w:rsidR="00D77603">
          <w:rPr>
            <w:rFonts w:cs="Times New Roman"/>
            <w:sz w:val="20"/>
            <w:szCs w:val="20"/>
          </w:rPr>
          <w:t>11</w:t>
        </w:r>
        <w:r w:rsidRPr="005B6CAD">
          <w:rPr>
            <w:rFonts w:cs="Times New Roman"/>
            <w:sz w:val="20"/>
            <w:szCs w:val="20"/>
          </w:rPr>
          <w:t>21_NUTS</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C1F3F" w14:textId="77777777" w:rsidR="00B33284" w:rsidRDefault="00B33284" w:rsidP="00EF2741">
      <w:r>
        <w:separator/>
      </w:r>
    </w:p>
  </w:footnote>
  <w:footnote w:type="continuationSeparator" w:id="0">
    <w:p w14:paraId="239FFDE7" w14:textId="77777777" w:rsidR="00B33284" w:rsidRDefault="00B33284" w:rsidP="00EF2741">
      <w:r>
        <w:continuationSeparator/>
      </w:r>
    </w:p>
  </w:footnote>
  <w:footnote w:type="continuationNotice" w:id="1">
    <w:p w14:paraId="5C8AC86A" w14:textId="77777777" w:rsidR="00B33284" w:rsidRDefault="00B33284"/>
  </w:footnote>
  <w:footnote w:id="2">
    <w:p w14:paraId="23F46F8F" w14:textId="77777777" w:rsidR="00802E2A" w:rsidRDefault="00802E2A" w:rsidP="007E3271">
      <w:pPr>
        <w:pStyle w:val="FootnoteText"/>
        <w:spacing w:after="0"/>
      </w:pPr>
      <w:r>
        <w:rPr>
          <w:rStyle w:val="FootnoteReference"/>
        </w:rPr>
        <w:footnoteRef/>
      </w:r>
      <w:r>
        <w:t xml:space="preserve"> Latvija </w:t>
      </w:r>
      <w:r w:rsidRPr="00D059E6">
        <w:rPr>
          <w:i/>
          <w:iCs/>
        </w:rPr>
        <w:t>NUTS</w:t>
      </w:r>
      <w:r>
        <w:t> 2 līmenī ir visa valsts.</w:t>
      </w:r>
    </w:p>
  </w:footnote>
  <w:footnote w:id="3">
    <w:p w14:paraId="736889ED" w14:textId="77777777" w:rsidR="00802E2A" w:rsidRDefault="00802E2A" w:rsidP="007E3271">
      <w:pPr>
        <w:pStyle w:val="FootnoteText"/>
        <w:spacing w:after="0"/>
      </w:pPr>
      <w:r>
        <w:rPr>
          <w:rStyle w:val="FootnoteReference"/>
        </w:rPr>
        <w:footnoteRef/>
      </w:r>
      <w:r>
        <w:t xml:space="preserve"> Šādu papildu piešķīrumu iestrādāšana dalībvalstu aplokšņu kopsummā nav garantēta un var veidoties/neveidoties atkarībā no kopējās diskusiju gaitas par daudzgadu finanšu ietvaru. </w:t>
      </w:r>
    </w:p>
  </w:footnote>
  <w:footnote w:id="4">
    <w:p w14:paraId="0C804628" w14:textId="77777777" w:rsidR="00802E2A" w:rsidRDefault="00802E2A" w:rsidP="007E3271">
      <w:pPr>
        <w:pStyle w:val="FootnoteText"/>
        <w:spacing w:after="0"/>
      </w:pPr>
      <w:r>
        <w:rPr>
          <w:rStyle w:val="FootnoteReference"/>
        </w:rPr>
        <w:footnoteRef/>
      </w:r>
      <w:r>
        <w:t xml:space="preserve"> MFF – </w:t>
      </w:r>
      <w:r>
        <w:rPr>
          <w:rFonts w:eastAsia="Calibri" w:cs="Times New Roman"/>
          <w:szCs w:val="24"/>
        </w:rPr>
        <w:t xml:space="preserve">ES daudzgadu </w:t>
      </w:r>
      <w:r w:rsidRPr="00340337">
        <w:rPr>
          <w:rFonts w:eastAsia="Calibri" w:cs="Times New Roman"/>
          <w:szCs w:val="24"/>
        </w:rPr>
        <w:t>finanšu shēma</w:t>
      </w:r>
      <w:r>
        <w:rPr>
          <w:rFonts w:eastAsia="Calibri" w:cs="Times New Roman"/>
          <w:szCs w:val="24"/>
        </w:rPr>
        <w:t>.</w:t>
      </w:r>
    </w:p>
  </w:footnote>
  <w:footnote w:id="5">
    <w:p w14:paraId="30102627" w14:textId="77777777" w:rsidR="00802E2A" w:rsidRDefault="00802E2A" w:rsidP="007E3271">
      <w:pPr>
        <w:pStyle w:val="FootnoteText"/>
        <w:spacing w:after="0"/>
      </w:pPr>
      <w:r>
        <w:rPr>
          <w:rStyle w:val="FootnoteReference"/>
        </w:rPr>
        <w:footnoteRef/>
      </w:r>
      <w:r>
        <w:t xml:space="preserve"> MFF 2014.–2020. gada plānošanas perioda likme bija vienota 2,35%, ar vienu izņēmumu atsevišķām valstīm (tostarp LV) – 2,59% no IKP. </w:t>
      </w:r>
    </w:p>
  </w:footnote>
  <w:footnote w:id="6">
    <w:p w14:paraId="769473CA" w14:textId="77777777" w:rsidR="00802E2A" w:rsidRPr="0024369E" w:rsidRDefault="00802E2A" w:rsidP="007E3271">
      <w:pPr>
        <w:pStyle w:val="FootnoteText"/>
        <w:spacing w:after="0"/>
      </w:pPr>
      <w:r>
        <w:rPr>
          <w:rStyle w:val="FootnoteReference"/>
        </w:rPr>
        <w:footnoteRef/>
      </w:r>
      <w:r>
        <w:t xml:space="preserve"> </w:t>
      </w:r>
      <w:r w:rsidRPr="0024369E">
        <w:t xml:space="preserve">MFF </w:t>
      </w:r>
      <w:r w:rsidRPr="0024369E">
        <w:rPr>
          <w:rFonts w:cs="Times New Roman"/>
        </w:rPr>
        <w:t xml:space="preserve">2014.–2020. gada </w:t>
      </w:r>
      <w:r w:rsidRPr="0024369E">
        <w:t>maksimālais ierobežojums bija 110%.</w:t>
      </w:r>
    </w:p>
  </w:footnote>
  <w:footnote w:id="7">
    <w:p w14:paraId="382B137B" w14:textId="77777777" w:rsidR="00802E2A" w:rsidRDefault="00802E2A" w:rsidP="007E3271">
      <w:pPr>
        <w:pStyle w:val="FootnoteText"/>
        <w:spacing w:after="0"/>
      </w:pPr>
      <w:r w:rsidRPr="0024369E">
        <w:rPr>
          <w:rStyle w:val="FootnoteReference"/>
        </w:rPr>
        <w:footnoteRef/>
      </w:r>
      <w:r w:rsidRPr="0024369E">
        <w:t xml:space="preserve"> MFF </w:t>
      </w:r>
      <w:r w:rsidRPr="0024369E">
        <w:rPr>
          <w:rFonts w:cs="Times New Roman"/>
        </w:rPr>
        <w:t>2014.–2020. gada</w:t>
      </w:r>
      <w:r>
        <w:rPr>
          <w:rFonts w:cs="Times New Roman"/>
          <w:szCs w:val="24"/>
        </w:rPr>
        <w:t xml:space="preserve"> </w:t>
      </w:r>
      <w:r>
        <w:t>minimālais ierobežojums bija 55%</w:t>
      </w:r>
    </w:p>
  </w:footnote>
  <w:footnote w:id="8">
    <w:p w14:paraId="67971C57" w14:textId="77777777" w:rsidR="00802E2A" w:rsidRDefault="00802E2A" w:rsidP="007E3271">
      <w:pPr>
        <w:pStyle w:val="FootnoteText"/>
        <w:spacing w:after="0"/>
      </w:pPr>
      <w:r>
        <w:rPr>
          <w:rStyle w:val="FootnoteReference"/>
        </w:rPr>
        <w:footnoteRef/>
      </w:r>
      <w:r>
        <w:t xml:space="preserve"> Praktiski neiespējams ES daudzgadu budžeta izstrādes un apstiprināšanas scenārijs.</w:t>
      </w:r>
    </w:p>
  </w:footnote>
  <w:footnote w:id="9">
    <w:p w14:paraId="2B271A76" w14:textId="77777777" w:rsidR="00802E2A" w:rsidRDefault="00802E2A" w:rsidP="007E3271">
      <w:pPr>
        <w:pStyle w:val="FootnoteText"/>
        <w:spacing w:after="0"/>
      </w:pPr>
      <w:r>
        <w:rPr>
          <w:rStyle w:val="FootnoteReference"/>
        </w:rPr>
        <w:footnoteRef/>
      </w:r>
      <w:r>
        <w:t xml:space="preserve"> VARAM 06.10.2021. vēstule Nr. </w:t>
      </w:r>
      <w:r w:rsidRPr="0043383B">
        <w:t>1-132/8876</w:t>
      </w:r>
    </w:p>
  </w:footnote>
  <w:footnote w:id="10">
    <w:p w14:paraId="162EE714" w14:textId="77777777" w:rsidR="00802E2A" w:rsidRPr="00FB4996" w:rsidRDefault="00802E2A" w:rsidP="007E3271">
      <w:pPr>
        <w:pStyle w:val="FootnoteText"/>
        <w:spacing w:after="0"/>
        <w:rPr>
          <w:lang w:val="en-GB"/>
        </w:rPr>
      </w:pPr>
      <w:r>
        <w:rPr>
          <w:rStyle w:val="FootnoteReference"/>
        </w:rPr>
        <w:footnoteRef/>
      </w:r>
      <w:r>
        <w:t xml:space="preserve"> </w:t>
      </w:r>
      <w:r w:rsidRPr="007722DC">
        <w:rPr>
          <w:i/>
          <w:iCs/>
          <w:lang w:val="en-GB"/>
        </w:rPr>
        <w:t>Eurostat, Gross domestic product (GDP) at current market prices by NUTS 3 regions</w:t>
      </w:r>
      <w:r w:rsidRPr="00FB4996">
        <w:rPr>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411AB"/>
    <w:multiLevelType w:val="multilevel"/>
    <w:tmpl w:val="26AC0BB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7D81D8D"/>
    <w:multiLevelType w:val="hybridMultilevel"/>
    <w:tmpl w:val="9B709B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CF65FF"/>
    <w:multiLevelType w:val="hybridMultilevel"/>
    <w:tmpl w:val="6B24BC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961654"/>
    <w:multiLevelType w:val="hybridMultilevel"/>
    <w:tmpl w:val="86D403D2"/>
    <w:lvl w:ilvl="0" w:tplc="0426001B">
      <w:start w:val="1"/>
      <w:numFmt w:val="lowerRoman"/>
      <w:lvlText w:val="%1."/>
      <w:lvlJc w:val="righ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4" w15:restartNumberingAfterBreak="0">
    <w:nsid w:val="16351B2B"/>
    <w:multiLevelType w:val="hybridMultilevel"/>
    <w:tmpl w:val="1B888FFC"/>
    <w:lvl w:ilvl="0" w:tplc="277E5E1A">
      <w:start w:val="1"/>
      <w:numFmt w:val="decimal"/>
      <w:lvlText w:val="%1)"/>
      <w:lvlJc w:val="left"/>
      <w:pPr>
        <w:ind w:left="1080" w:hanging="360"/>
      </w:pPr>
      <w:rPr>
        <w:rFonts w:eastAsiaTheme="minorHAnsi" w:cstheme="minorBidi" w:hint="default"/>
        <w:b w:val="0"/>
        <w:bCs w:val="0"/>
        <w:color w:val="000000" w:themeColor="text1"/>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95C1082"/>
    <w:multiLevelType w:val="hybridMultilevel"/>
    <w:tmpl w:val="30D00EC4"/>
    <w:lvl w:ilvl="0" w:tplc="F57410F4">
      <w:start w:val="1"/>
      <w:numFmt w:val="decimal"/>
      <w:lvlText w:val="%1."/>
      <w:lvlJc w:val="left"/>
      <w:pPr>
        <w:ind w:left="1080" w:hanging="360"/>
      </w:pPr>
      <w:rPr>
        <w:b/>
        <w:i w:val="0"/>
        <w:iCs/>
      </w:rPr>
    </w:lvl>
    <w:lvl w:ilvl="1" w:tplc="32FAFC3E">
      <w:start w:val="1"/>
      <w:numFmt w:val="lowerLetter"/>
      <w:lvlText w:val="%2."/>
      <w:lvlJc w:val="left"/>
      <w:pPr>
        <w:ind w:left="1800" w:hanging="360"/>
      </w:pPr>
    </w:lvl>
    <w:lvl w:ilvl="2" w:tplc="9D9281C4">
      <w:start w:val="1"/>
      <w:numFmt w:val="lowerRoman"/>
      <w:lvlText w:val="%3."/>
      <w:lvlJc w:val="right"/>
      <w:pPr>
        <w:ind w:left="2520" w:hanging="180"/>
      </w:pPr>
    </w:lvl>
    <w:lvl w:ilvl="3" w:tplc="A442F714">
      <w:start w:val="1"/>
      <w:numFmt w:val="decimal"/>
      <w:lvlText w:val="%4."/>
      <w:lvlJc w:val="left"/>
      <w:pPr>
        <w:ind w:left="3240" w:hanging="360"/>
      </w:pPr>
    </w:lvl>
    <w:lvl w:ilvl="4" w:tplc="4358D3C6">
      <w:start w:val="1"/>
      <w:numFmt w:val="lowerLetter"/>
      <w:lvlText w:val="%5."/>
      <w:lvlJc w:val="left"/>
      <w:pPr>
        <w:ind w:left="3960" w:hanging="360"/>
      </w:pPr>
    </w:lvl>
    <w:lvl w:ilvl="5" w:tplc="E39C9A60">
      <w:start w:val="1"/>
      <w:numFmt w:val="lowerRoman"/>
      <w:lvlText w:val="%6."/>
      <w:lvlJc w:val="right"/>
      <w:pPr>
        <w:ind w:left="4680" w:hanging="180"/>
      </w:pPr>
    </w:lvl>
    <w:lvl w:ilvl="6" w:tplc="CEE23E6C">
      <w:start w:val="1"/>
      <w:numFmt w:val="decimal"/>
      <w:lvlText w:val="%7."/>
      <w:lvlJc w:val="left"/>
      <w:pPr>
        <w:ind w:left="5400" w:hanging="360"/>
      </w:pPr>
    </w:lvl>
    <w:lvl w:ilvl="7" w:tplc="1AAC7D6C">
      <w:start w:val="1"/>
      <w:numFmt w:val="lowerLetter"/>
      <w:lvlText w:val="%8."/>
      <w:lvlJc w:val="left"/>
      <w:pPr>
        <w:ind w:left="6120" w:hanging="360"/>
      </w:pPr>
    </w:lvl>
    <w:lvl w:ilvl="8" w:tplc="3F5E7E44">
      <w:start w:val="1"/>
      <w:numFmt w:val="lowerRoman"/>
      <w:lvlText w:val="%9."/>
      <w:lvlJc w:val="right"/>
      <w:pPr>
        <w:ind w:left="6840" w:hanging="180"/>
      </w:pPr>
    </w:lvl>
  </w:abstractNum>
  <w:abstractNum w:abstractNumId="6" w15:restartNumberingAfterBreak="0">
    <w:nsid w:val="1AB37EB3"/>
    <w:multiLevelType w:val="hybridMultilevel"/>
    <w:tmpl w:val="87462568"/>
    <w:lvl w:ilvl="0" w:tplc="8458B522">
      <w:start w:val="1"/>
      <w:numFmt w:val="decimal"/>
      <w:pStyle w:val="Heading3"/>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0C4067"/>
    <w:multiLevelType w:val="hybridMultilevel"/>
    <w:tmpl w:val="BC50EF64"/>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1DA16E3F"/>
    <w:multiLevelType w:val="hybridMultilevel"/>
    <w:tmpl w:val="59A0D0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E967B9A"/>
    <w:multiLevelType w:val="hybridMultilevel"/>
    <w:tmpl w:val="5CF83142"/>
    <w:lvl w:ilvl="0" w:tplc="AC9EA1B0">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07C4C41"/>
    <w:multiLevelType w:val="multilevel"/>
    <w:tmpl w:val="39362C20"/>
    <w:lvl w:ilvl="0">
      <w:start w:val="1"/>
      <w:numFmt w:val="upperLetter"/>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E71AE9"/>
    <w:multiLevelType w:val="multilevel"/>
    <w:tmpl w:val="0F6AB838"/>
    <w:lvl w:ilvl="0">
      <w:start w:val="1"/>
      <w:numFmt w:val="upperRoman"/>
      <w:lvlText w:val="%1."/>
      <w:lvlJc w:val="right"/>
      <w:pPr>
        <w:ind w:left="360" w:hanging="360"/>
      </w:pPr>
    </w:lvl>
    <w:lvl w:ilvl="1">
      <w:start w:val="3"/>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324C42E6"/>
    <w:multiLevelType w:val="hybridMultilevel"/>
    <w:tmpl w:val="C60C5822"/>
    <w:lvl w:ilvl="0" w:tplc="A24CB410">
      <w:start w:val="1"/>
      <w:numFmt w:val="decimal"/>
      <w:lvlText w:val="%1."/>
      <w:lvlJc w:val="left"/>
      <w:pPr>
        <w:ind w:left="720" w:hanging="360"/>
      </w:pPr>
      <w:rPr>
        <w:rFonts w:ascii="Times New Roman" w:eastAsia="Calibri"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49A3DBF"/>
    <w:multiLevelType w:val="hybridMultilevel"/>
    <w:tmpl w:val="2DA47008"/>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36D969BE"/>
    <w:multiLevelType w:val="hybridMultilevel"/>
    <w:tmpl w:val="6DDC05C6"/>
    <w:lvl w:ilvl="0" w:tplc="DDA833A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82C3465"/>
    <w:multiLevelType w:val="hybridMultilevel"/>
    <w:tmpl w:val="78AE3D94"/>
    <w:lvl w:ilvl="0" w:tplc="04260001">
      <w:start w:val="1"/>
      <w:numFmt w:val="bullet"/>
      <w:lvlText w:val=""/>
      <w:lvlJc w:val="left"/>
      <w:pPr>
        <w:ind w:left="1490" w:hanging="360"/>
      </w:pPr>
      <w:rPr>
        <w:rFonts w:ascii="Symbol" w:hAnsi="Symbol" w:hint="default"/>
      </w:rPr>
    </w:lvl>
    <w:lvl w:ilvl="1" w:tplc="04260003" w:tentative="1">
      <w:start w:val="1"/>
      <w:numFmt w:val="bullet"/>
      <w:lvlText w:val="o"/>
      <w:lvlJc w:val="left"/>
      <w:pPr>
        <w:ind w:left="2210" w:hanging="360"/>
      </w:pPr>
      <w:rPr>
        <w:rFonts w:ascii="Courier New" w:hAnsi="Courier New" w:cs="Courier New" w:hint="default"/>
      </w:rPr>
    </w:lvl>
    <w:lvl w:ilvl="2" w:tplc="04260005" w:tentative="1">
      <w:start w:val="1"/>
      <w:numFmt w:val="bullet"/>
      <w:lvlText w:val=""/>
      <w:lvlJc w:val="left"/>
      <w:pPr>
        <w:ind w:left="2930" w:hanging="360"/>
      </w:pPr>
      <w:rPr>
        <w:rFonts w:ascii="Wingdings" w:hAnsi="Wingdings" w:hint="default"/>
      </w:rPr>
    </w:lvl>
    <w:lvl w:ilvl="3" w:tplc="04260001" w:tentative="1">
      <w:start w:val="1"/>
      <w:numFmt w:val="bullet"/>
      <w:lvlText w:val=""/>
      <w:lvlJc w:val="left"/>
      <w:pPr>
        <w:ind w:left="3650" w:hanging="360"/>
      </w:pPr>
      <w:rPr>
        <w:rFonts w:ascii="Symbol" w:hAnsi="Symbol" w:hint="default"/>
      </w:rPr>
    </w:lvl>
    <w:lvl w:ilvl="4" w:tplc="04260003" w:tentative="1">
      <w:start w:val="1"/>
      <w:numFmt w:val="bullet"/>
      <w:lvlText w:val="o"/>
      <w:lvlJc w:val="left"/>
      <w:pPr>
        <w:ind w:left="4370" w:hanging="360"/>
      </w:pPr>
      <w:rPr>
        <w:rFonts w:ascii="Courier New" w:hAnsi="Courier New" w:cs="Courier New" w:hint="default"/>
      </w:rPr>
    </w:lvl>
    <w:lvl w:ilvl="5" w:tplc="04260005" w:tentative="1">
      <w:start w:val="1"/>
      <w:numFmt w:val="bullet"/>
      <w:lvlText w:val=""/>
      <w:lvlJc w:val="left"/>
      <w:pPr>
        <w:ind w:left="5090" w:hanging="360"/>
      </w:pPr>
      <w:rPr>
        <w:rFonts w:ascii="Wingdings" w:hAnsi="Wingdings" w:hint="default"/>
      </w:rPr>
    </w:lvl>
    <w:lvl w:ilvl="6" w:tplc="04260001" w:tentative="1">
      <w:start w:val="1"/>
      <w:numFmt w:val="bullet"/>
      <w:lvlText w:val=""/>
      <w:lvlJc w:val="left"/>
      <w:pPr>
        <w:ind w:left="5810" w:hanging="360"/>
      </w:pPr>
      <w:rPr>
        <w:rFonts w:ascii="Symbol" w:hAnsi="Symbol" w:hint="default"/>
      </w:rPr>
    </w:lvl>
    <w:lvl w:ilvl="7" w:tplc="04260003" w:tentative="1">
      <w:start w:val="1"/>
      <w:numFmt w:val="bullet"/>
      <w:lvlText w:val="o"/>
      <w:lvlJc w:val="left"/>
      <w:pPr>
        <w:ind w:left="6530" w:hanging="360"/>
      </w:pPr>
      <w:rPr>
        <w:rFonts w:ascii="Courier New" w:hAnsi="Courier New" w:cs="Courier New" w:hint="default"/>
      </w:rPr>
    </w:lvl>
    <w:lvl w:ilvl="8" w:tplc="04260005" w:tentative="1">
      <w:start w:val="1"/>
      <w:numFmt w:val="bullet"/>
      <w:lvlText w:val=""/>
      <w:lvlJc w:val="left"/>
      <w:pPr>
        <w:ind w:left="7250" w:hanging="360"/>
      </w:pPr>
      <w:rPr>
        <w:rFonts w:ascii="Wingdings" w:hAnsi="Wingdings" w:hint="default"/>
      </w:rPr>
    </w:lvl>
  </w:abstractNum>
  <w:abstractNum w:abstractNumId="16" w15:restartNumberingAfterBreak="0">
    <w:nsid w:val="3D6B6A70"/>
    <w:multiLevelType w:val="hybridMultilevel"/>
    <w:tmpl w:val="1688D3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DA64CAF"/>
    <w:multiLevelType w:val="hybridMultilevel"/>
    <w:tmpl w:val="21C84E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E0F7942"/>
    <w:multiLevelType w:val="hybridMultilevel"/>
    <w:tmpl w:val="31E2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03F7A06"/>
    <w:multiLevelType w:val="hybridMultilevel"/>
    <w:tmpl w:val="7ACA17C6"/>
    <w:lvl w:ilvl="0" w:tplc="0696277C">
      <w:numFmt w:val="bullet"/>
      <w:lvlText w:val="-"/>
      <w:lvlJc w:val="left"/>
      <w:pPr>
        <w:ind w:left="786" w:hanging="360"/>
      </w:pPr>
      <w:rPr>
        <w:rFonts w:ascii="Calibri" w:eastAsia="Calibri" w:hAnsi="Calibri" w:cs="Calibri"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0" w15:restartNumberingAfterBreak="0">
    <w:nsid w:val="488F4E62"/>
    <w:multiLevelType w:val="hybridMultilevel"/>
    <w:tmpl w:val="CD860282"/>
    <w:lvl w:ilvl="0" w:tplc="0426000F">
      <w:start w:val="1"/>
      <w:numFmt w:val="decimal"/>
      <w:lvlText w:val="%1."/>
      <w:lvlJc w:val="left"/>
      <w:pPr>
        <w:ind w:left="720" w:hanging="360"/>
      </w:pPr>
      <w:rPr>
        <w:rFonts w:hint="default"/>
      </w:rPr>
    </w:lvl>
    <w:lvl w:ilvl="1" w:tplc="04260001">
      <w:start w:val="1"/>
      <w:numFmt w:val="bullet"/>
      <w:lvlText w:val=""/>
      <w:lvlJc w:val="left"/>
      <w:pPr>
        <w:ind w:left="1440" w:hanging="360"/>
      </w:pPr>
      <w:rPr>
        <w:rFonts w:ascii="Symbol" w:hAnsi="Symbol"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B1D5B41"/>
    <w:multiLevelType w:val="multilevel"/>
    <w:tmpl w:val="0AD28EB4"/>
    <w:lvl w:ilvl="0">
      <w:start w:val="1"/>
      <w:numFmt w:val="decimal"/>
      <w:lvlText w:val="%1."/>
      <w:lvlJc w:val="left"/>
      <w:pPr>
        <w:ind w:left="1080" w:hanging="360"/>
      </w:pPr>
      <w:rPr>
        <w:b/>
        <w:bCs/>
        <w:i/>
        <w:i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4D1E4FFC"/>
    <w:multiLevelType w:val="hybridMultilevel"/>
    <w:tmpl w:val="565A2D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D9C28F0"/>
    <w:multiLevelType w:val="multilevel"/>
    <w:tmpl w:val="6AE0B3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rPr>
        <w:i w:val="0"/>
        <w:iCs/>
      </w:r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FC615B9"/>
    <w:multiLevelType w:val="hybridMultilevel"/>
    <w:tmpl w:val="82846284"/>
    <w:lvl w:ilvl="0" w:tplc="F096478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7B3EDA"/>
    <w:multiLevelType w:val="hybridMultilevel"/>
    <w:tmpl w:val="5CF83142"/>
    <w:lvl w:ilvl="0" w:tplc="AC9EA1B0">
      <w:start w:val="1"/>
      <w:numFmt w:val="upperLetter"/>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6" w15:restartNumberingAfterBreak="0">
    <w:nsid w:val="52513188"/>
    <w:multiLevelType w:val="multilevel"/>
    <w:tmpl w:val="C1EE5B1C"/>
    <w:lvl w:ilvl="0">
      <w:start w:val="1"/>
      <w:numFmt w:val="bullet"/>
      <w:lvlText w:val="-"/>
      <w:lvlJc w:val="left"/>
      <w:pPr>
        <w:tabs>
          <w:tab w:val="num" w:pos="720"/>
        </w:tabs>
        <w:ind w:left="720" w:hanging="360"/>
      </w:pPr>
      <w:rPr>
        <w:rFonts w:ascii="Calibri" w:hAnsi="Calibri" w:cs="Calibri"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Times New Roman" w:hAnsi="Times New Roman" w:cs="Times New Roman"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
      <w:lvlJc w:val="left"/>
      <w:pPr>
        <w:tabs>
          <w:tab w:val="num" w:pos="5760"/>
        </w:tabs>
        <w:ind w:left="5760" w:hanging="360"/>
      </w:pPr>
      <w:rPr>
        <w:rFonts w:ascii="Times New Roman" w:hAnsi="Times New Roman" w:cs="Times New Roman"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27" w15:restartNumberingAfterBreak="0">
    <w:nsid w:val="54CA1C7E"/>
    <w:multiLevelType w:val="hybridMultilevel"/>
    <w:tmpl w:val="89F648A4"/>
    <w:lvl w:ilvl="0" w:tplc="04260017">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55E03E93"/>
    <w:multiLevelType w:val="multilevel"/>
    <w:tmpl w:val="70ACD324"/>
    <w:lvl w:ilvl="0">
      <w:start w:val="1"/>
      <w:numFmt w:val="lowerLetter"/>
      <w:lvlText w:val="%1)"/>
      <w:lvlJc w:val="left"/>
      <w:pPr>
        <w:ind w:left="1080" w:hanging="360"/>
      </w:pPr>
      <w:rPr>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59207ACF"/>
    <w:multiLevelType w:val="hybridMultilevel"/>
    <w:tmpl w:val="F7AE88E0"/>
    <w:lvl w:ilvl="0" w:tplc="27DEFD4C">
      <w:start w:val="800"/>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5AF81C7F"/>
    <w:multiLevelType w:val="hybridMultilevel"/>
    <w:tmpl w:val="349EDE38"/>
    <w:lvl w:ilvl="0" w:tplc="2BD04186">
      <w:start w:val="1"/>
      <w:numFmt w:val="decimal"/>
      <w:lvlText w:val="%1."/>
      <w:lvlJc w:val="left"/>
      <w:pPr>
        <w:ind w:left="1080" w:hanging="360"/>
      </w:pPr>
      <w:rPr>
        <w:rFonts w:eastAsiaTheme="minorHAnsi" w:cstheme="minorBidi"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5FBC795D"/>
    <w:multiLevelType w:val="hybridMultilevel"/>
    <w:tmpl w:val="84228F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38E1C15"/>
    <w:multiLevelType w:val="hybridMultilevel"/>
    <w:tmpl w:val="336AC180"/>
    <w:lvl w:ilvl="0" w:tplc="B476A756">
      <w:start w:val="1"/>
      <w:numFmt w:val="decimal"/>
      <w:lvlText w:val="%1."/>
      <w:lvlJc w:val="left"/>
      <w:pPr>
        <w:ind w:left="720" w:hanging="360"/>
      </w:pPr>
      <w:rPr>
        <w:rFonts w:hint="default"/>
        <w:b/>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48B05ED"/>
    <w:multiLevelType w:val="multilevel"/>
    <w:tmpl w:val="03D8BCD0"/>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4" w15:restartNumberingAfterBreak="0">
    <w:nsid w:val="697E5EF5"/>
    <w:multiLevelType w:val="hybridMultilevel"/>
    <w:tmpl w:val="4EBE4124"/>
    <w:lvl w:ilvl="0" w:tplc="DADE3196">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BEF745E"/>
    <w:multiLevelType w:val="multilevel"/>
    <w:tmpl w:val="120806C0"/>
    <w:lvl w:ilvl="0">
      <w:start w:val="1"/>
      <w:numFmt w:val="decimal"/>
      <w:lvlText w:val="%1."/>
      <w:lvlJc w:val="left"/>
      <w:pPr>
        <w:ind w:left="720" w:hanging="360"/>
      </w:pPr>
      <w:rPr>
        <w:rFonts w:hint="default"/>
      </w:rPr>
    </w:lvl>
    <w:lvl w:ilvl="1">
      <w:start w:val="1"/>
      <w:numFmt w:val="decimal"/>
      <w:isLgl/>
      <w:lvlText w:val="%1.%2."/>
      <w:lvlJc w:val="left"/>
      <w:pPr>
        <w:ind w:left="1074" w:hanging="360"/>
      </w:pPr>
      <w:rPr>
        <w:rFonts w:hint="default"/>
        <w:sz w:val="24"/>
      </w:rPr>
    </w:lvl>
    <w:lvl w:ilvl="2">
      <w:start w:val="1"/>
      <w:numFmt w:val="decimal"/>
      <w:isLgl/>
      <w:lvlText w:val="%1.%2.%3."/>
      <w:lvlJc w:val="left"/>
      <w:pPr>
        <w:ind w:left="1788" w:hanging="720"/>
      </w:pPr>
      <w:rPr>
        <w:rFonts w:hint="default"/>
        <w:sz w:val="24"/>
      </w:rPr>
    </w:lvl>
    <w:lvl w:ilvl="3">
      <w:start w:val="1"/>
      <w:numFmt w:val="decimal"/>
      <w:isLgl/>
      <w:lvlText w:val="%1.%2.%3.%4."/>
      <w:lvlJc w:val="left"/>
      <w:pPr>
        <w:ind w:left="2142" w:hanging="720"/>
      </w:pPr>
      <w:rPr>
        <w:rFonts w:hint="default"/>
        <w:sz w:val="24"/>
      </w:rPr>
    </w:lvl>
    <w:lvl w:ilvl="4">
      <w:start w:val="1"/>
      <w:numFmt w:val="decimal"/>
      <w:isLgl/>
      <w:lvlText w:val="%1.%2.%3.%4.%5."/>
      <w:lvlJc w:val="left"/>
      <w:pPr>
        <w:ind w:left="2856" w:hanging="1080"/>
      </w:pPr>
      <w:rPr>
        <w:rFonts w:hint="default"/>
        <w:sz w:val="24"/>
      </w:rPr>
    </w:lvl>
    <w:lvl w:ilvl="5">
      <w:start w:val="1"/>
      <w:numFmt w:val="decimal"/>
      <w:isLgl/>
      <w:lvlText w:val="%1.%2.%3.%4.%5.%6."/>
      <w:lvlJc w:val="left"/>
      <w:pPr>
        <w:ind w:left="3210" w:hanging="1080"/>
      </w:pPr>
      <w:rPr>
        <w:rFonts w:hint="default"/>
        <w:sz w:val="24"/>
      </w:rPr>
    </w:lvl>
    <w:lvl w:ilvl="6">
      <w:start w:val="1"/>
      <w:numFmt w:val="decimal"/>
      <w:isLgl/>
      <w:lvlText w:val="%1.%2.%3.%4.%5.%6.%7."/>
      <w:lvlJc w:val="left"/>
      <w:pPr>
        <w:ind w:left="3924" w:hanging="1440"/>
      </w:pPr>
      <w:rPr>
        <w:rFonts w:hint="default"/>
        <w:sz w:val="24"/>
      </w:rPr>
    </w:lvl>
    <w:lvl w:ilvl="7">
      <w:start w:val="1"/>
      <w:numFmt w:val="decimal"/>
      <w:isLgl/>
      <w:lvlText w:val="%1.%2.%3.%4.%5.%6.%7.%8."/>
      <w:lvlJc w:val="left"/>
      <w:pPr>
        <w:ind w:left="4278" w:hanging="1440"/>
      </w:pPr>
      <w:rPr>
        <w:rFonts w:hint="default"/>
        <w:sz w:val="24"/>
      </w:rPr>
    </w:lvl>
    <w:lvl w:ilvl="8">
      <w:start w:val="1"/>
      <w:numFmt w:val="decimal"/>
      <w:isLgl/>
      <w:lvlText w:val="%1.%2.%3.%4.%5.%6.%7.%8.%9."/>
      <w:lvlJc w:val="left"/>
      <w:pPr>
        <w:ind w:left="4992" w:hanging="1800"/>
      </w:pPr>
      <w:rPr>
        <w:rFonts w:hint="default"/>
        <w:sz w:val="24"/>
      </w:rPr>
    </w:lvl>
  </w:abstractNum>
  <w:abstractNum w:abstractNumId="36" w15:restartNumberingAfterBreak="0">
    <w:nsid w:val="71BB717B"/>
    <w:multiLevelType w:val="hybridMultilevel"/>
    <w:tmpl w:val="E51852E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654595E"/>
    <w:multiLevelType w:val="multilevel"/>
    <w:tmpl w:val="70ACD324"/>
    <w:lvl w:ilvl="0">
      <w:start w:val="1"/>
      <w:numFmt w:val="lowerLetter"/>
      <w:lvlText w:val="%1)"/>
      <w:lvlJc w:val="left"/>
      <w:pPr>
        <w:ind w:left="1080" w:hanging="360"/>
      </w:pPr>
      <w:rPr>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15:restartNumberingAfterBreak="0">
    <w:nsid w:val="7D6448DC"/>
    <w:multiLevelType w:val="multilevel"/>
    <w:tmpl w:val="5E1CB61E"/>
    <w:lvl w:ilvl="0">
      <w:start w:val="1"/>
      <w:numFmt w:val="upperRoman"/>
      <w:pStyle w:val="Heading1"/>
      <w:lvlText w:val="%1."/>
      <w:lvlJc w:val="right"/>
      <w:pPr>
        <w:ind w:left="36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9" w15:restartNumberingAfterBreak="0">
    <w:nsid w:val="7E9863B8"/>
    <w:multiLevelType w:val="hybridMultilevel"/>
    <w:tmpl w:val="BCAC8A42"/>
    <w:lvl w:ilvl="0" w:tplc="0696277C">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F664166"/>
    <w:multiLevelType w:val="multilevel"/>
    <w:tmpl w:val="3EC213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FC5790F"/>
    <w:multiLevelType w:val="hybridMultilevel"/>
    <w:tmpl w:val="30D00EC4"/>
    <w:lvl w:ilvl="0" w:tplc="F57410F4">
      <w:start w:val="1"/>
      <w:numFmt w:val="decimal"/>
      <w:lvlText w:val="%1."/>
      <w:lvlJc w:val="left"/>
      <w:pPr>
        <w:ind w:left="1080" w:hanging="360"/>
      </w:pPr>
      <w:rPr>
        <w:b/>
        <w:i w:val="0"/>
        <w:iCs/>
      </w:rPr>
    </w:lvl>
    <w:lvl w:ilvl="1" w:tplc="32FAFC3E">
      <w:start w:val="1"/>
      <w:numFmt w:val="lowerLetter"/>
      <w:lvlText w:val="%2."/>
      <w:lvlJc w:val="left"/>
      <w:pPr>
        <w:ind w:left="1800" w:hanging="360"/>
      </w:pPr>
    </w:lvl>
    <w:lvl w:ilvl="2" w:tplc="9D9281C4">
      <w:start w:val="1"/>
      <w:numFmt w:val="lowerRoman"/>
      <w:lvlText w:val="%3."/>
      <w:lvlJc w:val="right"/>
      <w:pPr>
        <w:ind w:left="2520" w:hanging="180"/>
      </w:pPr>
    </w:lvl>
    <w:lvl w:ilvl="3" w:tplc="A442F714">
      <w:start w:val="1"/>
      <w:numFmt w:val="decimal"/>
      <w:lvlText w:val="%4."/>
      <w:lvlJc w:val="left"/>
      <w:pPr>
        <w:ind w:left="3240" w:hanging="360"/>
      </w:pPr>
    </w:lvl>
    <w:lvl w:ilvl="4" w:tplc="4358D3C6">
      <w:start w:val="1"/>
      <w:numFmt w:val="lowerLetter"/>
      <w:lvlText w:val="%5."/>
      <w:lvlJc w:val="left"/>
      <w:pPr>
        <w:ind w:left="3960" w:hanging="360"/>
      </w:pPr>
    </w:lvl>
    <w:lvl w:ilvl="5" w:tplc="E39C9A60">
      <w:start w:val="1"/>
      <w:numFmt w:val="lowerRoman"/>
      <w:lvlText w:val="%6."/>
      <w:lvlJc w:val="right"/>
      <w:pPr>
        <w:ind w:left="4680" w:hanging="180"/>
      </w:pPr>
    </w:lvl>
    <w:lvl w:ilvl="6" w:tplc="CEE23E6C">
      <w:start w:val="1"/>
      <w:numFmt w:val="decimal"/>
      <w:lvlText w:val="%7."/>
      <w:lvlJc w:val="left"/>
      <w:pPr>
        <w:ind w:left="5400" w:hanging="360"/>
      </w:pPr>
    </w:lvl>
    <w:lvl w:ilvl="7" w:tplc="1AAC7D6C">
      <w:start w:val="1"/>
      <w:numFmt w:val="lowerLetter"/>
      <w:lvlText w:val="%8."/>
      <w:lvlJc w:val="left"/>
      <w:pPr>
        <w:ind w:left="6120" w:hanging="360"/>
      </w:pPr>
    </w:lvl>
    <w:lvl w:ilvl="8" w:tplc="3F5E7E44">
      <w:start w:val="1"/>
      <w:numFmt w:val="lowerRoman"/>
      <w:lvlText w:val="%9."/>
      <w:lvlJc w:val="right"/>
      <w:pPr>
        <w:ind w:left="6840" w:hanging="180"/>
      </w:pPr>
    </w:lvl>
  </w:abstractNum>
  <w:num w:numId="1">
    <w:abstractNumId w:val="38"/>
  </w:num>
  <w:num w:numId="2">
    <w:abstractNumId w:val="10"/>
  </w:num>
  <w:num w:numId="3">
    <w:abstractNumId w:val="11"/>
  </w:num>
  <w:num w:numId="4">
    <w:abstractNumId w:val="33"/>
  </w:num>
  <w:num w:numId="5">
    <w:abstractNumId w:val="37"/>
  </w:num>
  <w:num w:numId="6">
    <w:abstractNumId w:val="21"/>
  </w:num>
  <w:num w:numId="7">
    <w:abstractNumId w:val="41"/>
  </w:num>
  <w:num w:numId="8">
    <w:abstractNumId w:val="0"/>
  </w:num>
  <w:num w:numId="9">
    <w:abstractNumId w:val="26"/>
  </w:num>
  <w:num w:numId="10">
    <w:abstractNumId w:val="28"/>
  </w:num>
  <w:num w:numId="11">
    <w:abstractNumId w:val="29"/>
  </w:num>
  <w:num w:numId="12">
    <w:abstractNumId w:val="27"/>
  </w:num>
  <w:num w:numId="13">
    <w:abstractNumId w:val="7"/>
  </w:num>
  <w:num w:numId="14">
    <w:abstractNumId w:val="4"/>
  </w:num>
  <w:num w:numId="15">
    <w:abstractNumId w:val="32"/>
  </w:num>
  <w:num w:numId="16">
    <w:abstractNumId w:val="30"/>
  </w:num>
  <w:num w:numId="17">
    <w:abstractNumId w:val="35"/>
  </w:num>
  <w:num w:numId="18">
    <w:abstractNumId w:val="34"/>
  </w:num>
  <w:num w:numId="19">
    <w:abstractNumId w:val="9"/>
  </w:num>
  <w:num w:numId="20">
    <w:abstractNumId w:val="25"/>
  </w:num>
  <w:num w:numId="21">
    <w:abstractNumId w:val="24"/>
  </w:num>
  <w:num w:numId="22">
    <w:abstractNumId w:val="5"/>
  </w:num>
  <w:num w:numId="23">
    <w:abstractNumId w:val="6"/>
  </w:num>
  <w:num w:numId="24">
    <w:abstractNumId w:val="6"/>
  </w:num>
  <w:num w:numId="25">
    <w:abstractNumId w:val="34"/>
  </w:num>
  <w:num w:numId="26">
    <w:abstractNumId w:val="34"/>
  </w:num>
  <w:num w:numId="27">
    <w:abstractNumId w:val="34"/>
  </w:num>
  <w:num w:numId="28">
    <w:abstractNumId w:val="6"/>
  </w:num>
  <w:num w:numId="29">
    <w:abstractNumId w:val="23"/>
  </w:num>
  <w:num w:numId="30">
    <w:abstractNumId w:val="12"/>
  </w:num>
  <w:num w:numId="31">
    <w:abstractNumId w:val="19"/>
  </w:num>
  <w:num w:numId="32">
    <w:abstractNumId w:val="40"/>
  </w:num>
  <w:num w:numId="33">
    <w:abstractNumId w:val="36"/>
  </w:num>
  <w:num w:numId="34">
    <w:abstractNumId w:val="20"/>
  </w:num>
  <w:num w:numId="35">
    <w:abstractNumId w:val="15"/>
  </w:num>
  <w:num w:numId="36">
    <w:abstractNumId w:val="16"/>
  </w:num>
  <w:num w:numId="37">
    <w:abstractNumId w:val="31"/>
  </w:num>
  <w:num w:numId="38">
    <w:abstractNumId w:val="13"/>
  </w:num>
  <w:num w:numId="39">
    <w:abstractNumId w:val="8"/>
  </w:num>
  <w:num w:numId="40">
    <w:abstractNumId w:val="1"/>
  </w:num>
  <w:num w:numId="41">
    <w:abstractNumId w:val="2"/>
  </w:num>
  <w:num w:numId="42">
    <w:abstractNumId w:val="18"/>
  </w:num>
  <w:num w:numId="43">
    <w:abstractNumId w:val="22"/>
  </w:num>
  <w:num w:numId="44">
    <w:abstractNumId w:val="17"/>
  </w:num>
  <w:num w:numId="45">
    <w:abstractNumId w:val="3"/>
  </w:num>
  <w:num w:numId="46">
    <w:abstractNumId w:val="14"/>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10CB48"/>
    <w:rsid w:val="00004018"/>
    <w:rsid w:val="00006001"/>
    <w:rsid w:val="0000697D"/>
    <w:rsid w:val="00013A7B"/>
    <w:rsid w:val="00014445"/>
    <w:rsid w:val="00021F16"/>
    <w:rsid w:val="000265EC"/>
    <w:rsid w:val="00026C7B"/>
    <w:rsid w:val="00027257"/>
    <w:rsid w:val="00032EE1"/>
    <w:rsid w:val="00037559"/>
    <w:rsid w:val="00040FBF"/>
    <w:rsid w:val="00042C46"/>
    <w:rsid w:val="00042EFB"/>
    <w:rsid w:val="00043E3D"/>
    <w:rsid w:val="00045A74"/>
    <w:rsid w:val="00047304"/>
    <w:rsid w:val="0005101C"/>
    <w:rsid w:val="00051160"/>
    <w:rsid w:val="00052D15"/>
    <w:rsid w:val="0005413F"/>
    <w:rsid w:val="0005598A"/>
    <w:rsid w:val="00064418"/>
    <w:rsid w:val="00065C77"/>
    <w:rsid w:val="00070463"/>
    <w:rsid w:val="00071A71"/>
    <w:rsid w:val="00073A6E"/>
    <w:rsid w:val="00076DFD"/>
    <w:rsid w:val="00080B7F"/>
    <w:rsid w:val="00083626"/>
    <w:rsid w:val="0008365B"/>
    <w:rsid w:val="00091D62"/>
    <w:rsid w:val="000975E5"/>
    <w:rsid w:val="000A5075"/>
    <w:rsid w:val="000B5511"/>
    <w:rsid w:val="000C5347"/>
    <w:rsid w:val="000C6883"/>
    <w:rsid w:val="000D0C53"/>
    <w:rsid w:val="000D2936"/>
    <w:rsid w:val="000D663E"/>
    <w:rsid w:val="000E0AC2"/>
    <w:rsid w:val="000E30AA"/>
    <w:rsid w:val="000E7430"/>
    <w:rsid w:val="000F10C1"/>
    <w:rsid w:val="000F1B72"/>
    <w:rsid w:val="000F25A5"/>
    <w:rsid w:val="00103087"/>
    <w:rsid w:val="001127D1"/>
    <w:rsid w:val="0011346E"/>
    <w:rsid w:val="00124643"/>
    <w:rsid w:val="001267F8"/>
    <w:rsid w:val="00126E98"/>
    <w:rsid w:val="0013008F"/>
    <w:rsid w:val="001300D6"/>
    <w:rsid w:val="0013329E"/>
    <w:rsid w:val="00140516"/>
    <w:rsid w:val="00143E04"/>
    <w:rsid w:val="00144C9A"/>
    <w:rsid w:val="00145449"/>
    <w:rsid w:val="00146891"/>
    <w:rsid w:val="0015678A"/>
    <w:rsid w:val="00156C6E"/>
    <w:rsid w:val="00164E9E"/>
    <w:rsid w:val="00167A9F"/>
    <w:rsid w:val="001711F4"/>
    <w:rsid w:val="00172823"/>
    <w:rsid w:val="00172A72"/>
    <w:rsid w:val="00177CEB"/>
    <w:rsid w:val="001801F5"/>
    <w:rsid w:val="001803DA"/>
    <w:rsid w:val="00180B74"/>
    <w:rsid w:val="00181D67"/>
    <w:rsid w:val="0018214D"/>
    <w:rsid w:val="00183E92"/>
    <w:rsid w:val="00187E89"/>
    <w:rsid w:val="00190ADF"/>
    <w:rsid w:val="00196115"/>
    <w:rsid w:val="001A0135"/>
    <w:rsid w:val="001A0E19"/>
    <w:rsid w:val="001A7B21"/>
    <w:rsid w:val="001B04AA"/>
    <w:rsid w:val="001B5F0E"/>
    <w:rsid w:val="001B6D16"/>
    <w:rsid w:val="001C2F32"/>
    <w:rsid w:val="001C5C82"/>
    <w:rsid w:val="001C703C"/>
    <w:rsid w:val="001D3A85"/>
    <w:rsid w:val="001E3298"/>
    <w:rsid w:val="001E49EC"/>
    <w:rsid w:val="001E715A"/>
    <w:rsid w:val="001F1910"/>
    <w:rsid w:val="001F1FC1"/>
    <w:rsid w:val="001F2D97"/>
    <w:rsid w:val="001F67A3"/>
    <w:rsid w:val="00201994"/>
    <w:rsid w:val="002112D2"/>
    <w:rsid w:val="0021338E"/>
    <w:rsid w:val="00213470"/>
    <w:rsid w:val="002140B6"/>
    <w:rsid w:val="00222328"/>
    <w:rsid w:val="00222721"/>
    <w:rsid w:val="00222BA0"/>
    <w:rsid w:val="00224AA4"/>
    <w:rsid w:val="00226237"/>
    <w:rsid w:val="00231F0A"/>
    <w:rsid w:val="0023365F"/>
    <w:rsid w:val="00235093"/>
    <w:rsid w:val="0023583C"/>
    <w:rsid w:val="00235897"/>
    <w:rsid w:val="002411CF"/>
    <w:rsid w:val="00241DB5"/>
    <w:rsid w:val="00243763"/>
    <w:rsid w:val="00243DC6"/>
    <w:rsid w:val="00244320"/>
    <w:rsid w:val="00244B44"/>
    <w:rsid w:val="002614F4"/>
    <w:rsid w:val="0026180A"/>
    <w:rsid w:val="00261D1F"/>
    <w:rsid w:val="00263128"/>
    <w:rsid w:val="00263431"/>
    <w:rsid w:val="00263EB2"/>
    <w:rsid w:val="00266463"/>
    <w:rsid w:val="00267A71"/>
    <w:rsid w:val="00267A97"/>
    <w:rsid w:val="00272705"/>
    <w:rsid w:val="0027475D"/>
    <w:rsid w:val="002764B0"/>
    <w:rsid w:val="00283BA4"/>
    <w:rsid w:val="00284FDC"/>
    <w:rsid w:val="00286A02"/>
    <w:rsid w:val="00286C32"/>
    <w:rsid w:val="002907DF"/>
    <w:rsid w:val="002915F0"/>
    <w:rsid w:val="00292A95"/>
    <w:rsid w:val="00294B59"/>
    <w:rsid w:val="00296A2F"/>
    <w:rsid w:val="0029752D"/>
    <w:rsid w:val="002A01BD"/>
    <w:rsid w:val="002A4D98"/>
    <w:rsid w:val="002B1C08"/>
    <w:rsid w:val="002B7E61"/>
    <w:rsid w:val="002C06B0"/>
    <w:rsid w:val="002C3249"/>
    <w:rsid w:val="002C3A36"/>
    <w:rsid w:val="002C7CAF"/>
    <w:rsid w:val="002D152C"/>
    <w:rsid w:val="002D2FF2"/>
    <w:rsid w:val="002D621F"/>
    <w:rsid w:val="002D7186"/>
    <w:rsid w:val="002E5896"/>
    <w:rsid w:val="002F00BB"/>
    <w:rsid w:val="002F2730"/>
    <w:rsid w:val="002F51F5"/>
    <w:rsid w:val="002F5B3B"/>
    <w:rsid w:val="003070A4"/>
    <w:rsid w:val="0031115C"/>
    <w:rsid w:val="00311D6D"/>
    <w:rsid w:val="003120FD"/>
    <w:rsid w:val="00312857"/>
    <w:rsid w:val="00314547"/>
    <w:rsid w:val="00314CB8"/>
    <w:rsid w:val="003216EB"/>
    <w:rsid w:val="00321907"/>
    <w:rsid w:val="00323BDA"/>
    <w:rsid w:val="00324D7D"/>
    <w:rsid w:val="00326E05"/>
    <w:rsid w:val="00334EC8"/>
    <w:rsid w:val="003411AA"/>
    <w:rsid w:val="00342545"/>
    <w:rsid w:val="00343B92"/>
    <w:rsid w:val="00343EF6"/>
    <w:rsid w:val="00352EC4"/>
    <w:rsid w:val="00356C6A"/>
    <w:rsid w:val="00356E90"/>
    <w:rsid w:val="00357B60"/>
    <w:rsid w:val="00361528"/>
    <w:rsid w:val="00361799"/>
    <w:rsid w:val="003630AB"/>
    <w:rsid w:val="00363390"/>
    <w:rsid w:val="0036641F"/>
    <w:rsid w:val="00373563"/>
    <w:rsid w:val="0037486B"/>
    <w:rsid w:val="003806DE"/>
    <w:rsid w:val="00380C69"/>
    <w:rsid w:val="00387A82"/>
    <w:rsid w:val="003900DE"/>
    <w:rsid w:val="003A129A"/>
    <w:rsid w:val="003B086A"/>
    <w:rsid w:val="003B2DCF"/>
    <w:rsid w:val="003B3CCA"/>
    <w:rsid w:val="003C7572"/>
    <w:rsid w:val="003D0AE8"/>
    <w:rsid w:val="003E03D9"/>
    <w:rsid w:val="003E069D"/>
    <w:rsid w:val="003F0EBC"/>
    <w:rsid w:val="003F104C"/>
    <w:rsid w:val="003F52D3"/>
    <w:rsid w:val="00400E43"/>
    <w:rsid w:val="00401A76"/>
    <w:rsid w:val="00401E29"/>
    <w:rsid w:val="004022C5"/>
    <w:rsid w:val="00403512"/>
    <w:rsid w:val="00405814"/>
    <w:rsid w:val="004148B2"/>
    <w:rsid w:val="004159ED"/>
    <w:rsid w:val="00420991"/>
    <w:rsid w:val="00421015"/>
    <w:rsid w:val="00422090"/>
    <w:rsid w:val="00424CDB"/>
    <w:rsid w:val="0043323B"/>
    <w:rsid w:val="00447BAC"/>
    <w:rsid w:val="00452431"/>
    <w:rsid w:val="00453100"/>
    <w:rsid w:val="00453590"/>
    <w:rsid w:val="00461A2E"/>
    <w:rsid w:val="0046469F"/>
    <w:rsid w:val="004754E3"/>
    <w:rsid w:val="00480345"/>
    <w:rsid w:val="004803CD"/>
    <w:rsid w:val="00480C88"/>
    <w:rsid w:val="00480F8C"/>
    <w:rsid w:val="00485874"/>
    <w:rsid w:val="00487C6F"/>
    <w:rsid w:val="00490123"/>
    <w:rsid w:val="004944D7"/>
    <w:rsid w:val="004958CC"/>
    <w:rsid w:val="00496F5F"/>
    <w:rsid w:val="00497FFB"/>
    <w:rsid w:val="004A30C3"/>
    <w:rsid w:val="004A42D8"/>
    <w:rsid w:val="004A5E08"/>
    <w:rsid w:val="004A63D0"/>
    <w:rsid w:val="004A7478"/>
    <w:rsid w:val="004B09F6"/>
    <w:rsid w:val="004B1410"/>
    <w:rsid w:val="004B1D65"/>
    <w:rsid w:val="004B48EB"/>
    <w:rsid w:val="004B5961"/>
    <w:rsid w:val="004C0A77"/>
    <w:rsid w:val="004C24C2"/>
    <w:rsid w:val="004C318F"/>
    <w:rsid w:val="004C710B"/>
    <w:rsid w:val="004C7B2F"/>
    <w:rsid w:val="004D045F"/>
    <w:rsid w:val="004D13D2"/>
    <w:rsid w:val="004D5066"/>
    <w:rsid w:val="004D64A2"/>
    <w:rsid w:val="004E15D3"/>
    <w:rsid w:val="004E7CCF"/>
    <w:rsid w:val="004F626F"/>
    <w:rsid w:val="0050134E"/>
    <w:rsid w:val="00507EDF"/>
    <w:rsid w:val="005129F0"/>
    <w:rsid w:val="005132AB"/>
    <w:rsid w:val="005152F5"/>
    <w:rsid w:val="005158B9"/>
    <w:rsid w:val="005178D7"/>
    <w:rsid w:val="00517DF2"/>
    <w:rsid w:val="00521DB7"/>
    <w:rsid w:val="00523508"/>
    <w:rsid w:val="00525446"/>
    <w:rsid w:val="00527913"/>
    <w:rsid w:val="0053594E"/>
    <w:rsid w:val="005365F3"/>
    <w:rsid w:val="00540E0D"/>
    <w:rsid w:val="0054399D"/>
    <w:rsid w:val="005467C0"/>
    <w:rsid w:val="0055060C"/>
    <w:rsid w:val="00556224"/>
    <w:rsid w:val="00560E1D"/>
    <w:rsid w:val="0056335B"/>
    <w:rsid w:val="00566DD1"/>
    <w:rsid w:val="005701BA"/>
    <w:rsid w:val="005743A6"/>
    <w:rsid w:val="00575DAE"/>
    <w:rsid w:val="00587EFB"/>
    <w:rsid w:val="005911E8"/>
    <w:rsid w:val="0059401F"/>
    <w:rsid w:val="005A1A83"/>
    <w:rsid w:val="005A49D5"/>
    <w:rsid w:val="005A509C"/>
    <w:rsid w:val="005A743C"/>
    <w:rsid w:val="005A772E"/>
    <w:rsid w:val="005B1638"/>
    <w:rsid w:val="005B48F3"/>
    <w:rsid w:val="005B6CAD"/>
    <w:rsid w:val="005B729F"/>
    <w:rsid w:val="005B76D4"/>
    <w:rsid w:val="005B7A09"/>
    <w:rsid w:val="005B7A4B"/>
    <w:rsid w:val="005C2C3D"/>
    <w:rsid w:val="005C42BD"/>
    <w:rsid w:val="005C782F"/>
    <w:rsid w:val="005E673F"/>
    <w:rsid w:val="005F1CEB"/>
    <w:rsid w:val="005F512B"/>
    <w:rsid w:val="005F51A0"/>
    <w:rsid w:val="0060377D"/>
    <w:rsid w:val="00603A81"/>
    <w:rsid w:val="006049CD"/>
    <w:rsid w:val="0061108A"/>
    <w:rsid w:val="006141B3"/>
    <w:rsid w:val="006171E6"/>
    <w:rsid w:val="00617943"/>
    <w:rsid w:val="006208E7"/>
    <w:rsid w:val="00622C9F"/>
    <w:rsid w:val="00623711"/>
    <w:rsid w:val="00624DCD"/>
    <w:rsid w:val="006251C3"/>
    <w:rsid w:val="00637C98"/>
    <w:rsid w:val="006414A0"/>
    <w:rsid w:val="00645194"/>
    <w:rsid w:val="0064529E"/>
    <w:rsid w:val="0064654E"/>
    <w:rsid w:val="00650077"/>
    <w:rsid w:val="006523CF"/>
    <w:rsid w:val="00655F7E"/>
    <w:rsid w:val="00660B17"/>
    <w:rsid w:val="006672DA"/>
    <w:rsid w:val="00675948"/>
    <w:rsid w:val="00680086"/>
    <w:rsid w:val="006808A1"/>
    <w:rsid w:val="00683714"/>
    <w:rsid w:val="00686CB4"/>
    <w:rsid w:val="00692B07"/>
    <w:rsid w:val="00692C34"/>
    <w:rsid w:val="0069492E"/>
    <w:rsid w:val="00696829"/>
    <w:rsid w:val="006A0047"/>
    <w:rsid w:val="006A34F9"/>
    <w:rsid w:val="006A506F"/>
    <w:rsid w:val="006A5BC6"/>
    <w:rsid w:val="006B0C36"/>
    <w:rsid w:val="006B4F90"/>
    <w:rsid w:val="006C4D00"/>
    <w:rsid w:val="006C5B3C"/>
    <w:rsid w:val="006C6DAD"/>
    <w:rsid w:val="006C7B0B"/>
    <w:rsid w:val="006D37A8"/>
    <w:rsid w:val="006D464B"/>
    <w:rsid w:val="006D6034"/>
    <w:rsid w:val="006E2989"/>
    <w:rsid w:val="006E66CB"/>
    <w:rsid w:val="006F283F"/>
    <w:rsid w:val="006F2D82"/>
    <w:rsid w:val="006F2DC4"/>
    <w:rsid w:val="006F5FBA"/>
    <w:rsid w:val="00703A87"/>
    <w:rsid w:val="0070567D"/>
    <w:rsid w:val="00712D65"/>
    <w:rsid w:val="007171D2"/>
    <w:rsid w:val="00725D01"/>
    <w:rsid w:val="007316CC"/>
    <w:rsid w:val="007327E4"/>
    <w:rsid w:val="00735B14"/>
    <w:rsid w:val="007360F6"/>
    <w:rsid w:val="0073787F"/>
    <w:rsid w:val="00747230"/>
    <w:rsid w:val="00755777"/>
    <w:rsid w:val="00756E8C"/>
    <w:rsid w:val="00756EB5"/>
    <w:rsid w:val="007571C4"/>
    <w:rsid w:val="00757899"/>
    <w:rsid w:val="007604D9"/>
    <w:rsid w:val="00763B59"/>
    <w:rsid w:val="0077417E"/>
    <w:rsid w:val="00774DCE"/>
    <w:rsid w:val="00777C70"/>
    <w:rsid w:val="00782488"/>
    <w:rsid w:val="0078283D"/>
    <w:rsid w:val="007866CD"/>
    <w:rsid w:val="00787CC8"/>
    <w:rsid w:val="0079014E"/>
    <w:rsid w:val="007908EE"/>
    <w:rsid w:val="007918C7"/>
    <w:rsid w:val="00793F1A"/>
    <w:rsid w:val="00795762"/>
    <w:rsid w:val="00796325"/>
    <w:rsid w:val="00796706"/>
    <w:rsid w:val="007A16D7"/>
    <w:rsid w:val="007A30A6"/>
    <w:rsid w:val="007B0D29"/>
    <w:rsid w:val="007B2381"/>
    <w:rsid w:val="007B4711"/>
    <w:rsid w:val="007B61BC"/>
    <w:rsid w:val="007B68E4"/>
    <w:rsid w:val="007C218B"/>
    <w:rsid w:val="007C6679"/>
    <w:rsid w:val="007C731F"/>
    <w:rsid w:val="007C7696"/>
    <w:rsid w:val="007D446F"/>
    <w:rsid w:val="007D4B25"/>
    <w:rsid w:val="007E3271"/>
    <w:rsid w:val="007E7EBA"/>
    <w:rsid w:val="007F11B2"/>
    <w:rsid w:val="007F5806"/>
    <w:rsid w:val="007F6378"/>
    <w:rsid w:val="008026F7"/>
    <w:rsid w:val="00802E2A"/>
    <w:rsid w:val="0080529D"/>
    <w:rsid w:val="00811A69"/>
    <w:rsid w:val="00814EB1"/>
    <w:rsid w:val="008229B1"/>
    <w:rsid w:val="008247BF"/>
    <w:rsid w:val="00825925"/>
    <w:rsid w:val="008327B2"/>
    <w:rsid w:val="00833E8C"/>
    <w:rsid w:val="00833EED"/>
    <w:rsid w:val="008350D3"/>
    <w:rsid w:val="008366A0"/>
    <w:rsid w:val="00836953"/>
    <w:rsid w:val="00836F53"/>
    <w:rsid w:val="00841E7E"/>
    <w:rsid w:val="00844BF8"/>
    <w:rsid w:val="00844C61"/>
    <w:rsid w:val="008462BF"/>
    <w:rsid w:val="00854CF9"/>
    <w:rsid w:val="0085611B"/>
    <w:rsid w:val="008628EA"/>
    <w:rsid w:val="00866C59"/>
    <w:rsid w:val="00867C94"/>
    <w:rsid w:val="00872D76"/>
    <w:rsid w:val="00874C2B"/>
    <w:rsid w:val="00875BC1"/>
    <w:rsid w:val="00883AB9"/>
    <w:rsid w:val="00886570"/>
    <w:rsid w:val="0088784E"/>
    <w:rsid w:val="008A1ED0"/>
    <w:rsid w:val="008A3559"/>
    <w:rsid w:val="008A4C52"/>
    <w:rsid w:val="008B1BAF"/>
    <w:rsid w:val="008B66F6"/>
    <w:rsid w:val="008C1124"/>
    <w:rsid w:val="008C3387"/>
    <w:rsid w:val="008C4484"/>
    <w:rsid w:val="008C6E68"/>
    <w:rsid w:val="008D500A"/>
    <w:rsid w:val="008E01A1"/>
    <w:rsid w:val="008E22CD"/>
    <w:rsid w:val="008F4460"/>
    <w:rsid w:val="008F6C9F"/>
    <w:rsid w:val="008F7F99"/>
    <w:rsid w:val="00902C11"/>
    <w:rsid w:val="00903470"/>
    <w:rsid w:val="00904817"/>
    <w:rsid w:val="00907A28"/>
    <w:rsid w:val="00912C70"/>
    <w:rsid w:val="00913776"/>
    <w:rsid w:val="00913FD2"/>
    <w:rsid w:val="009141B6"/>
    <w:rsid w:val="0092620D"/>
    <w:rsid w:val="0092647D"/>
    <w:rsid w:val="009266B9"/>
    <w:rsid w:val="009313FC"/>
    <w:rsid w:val="00932E09"/>
    <w:rsid w:val="009332FD"/>
    <w:rsid w:val="009350FC"/>
    <w:rsid w:val="0093512B"/>
    <w:rsid w:val="00935FA2"/>
    <w:rsid w:val="00936E7C"/>
    <w:rsid w:val="0094197A"/>
    <w:rsid w:val="009431C8"/>
    <w:rsid w:val="009436DB"/>
    <w:rsid w:val="00943BC7"/>
    <w:rsid w:val="00945A1D"/>
    <w:rsid w:val="009460F9"/>
    <w:rsid w:val="00951562"/>
    <w:rsid w:val="0095283A"/>
    <w:rsid w:val="009535E3"/>
    <w:rsid w:val="00954D96"/>
    <w:rsid w:val="0096648F"/>
    <w:rsid w:val="00966B39"/>
    <w:rsid w:val="00970FB3"/>
    <w:rsid w:val="009813FA"/>
    <w:rsid w:val="0098710F"/>
    <w:rsid w:val="009906FC"/>
    <w:rsid w:val="00991181"/>
    <w:rsid w:val="00991DAE"/>
    <w:rsid w:val="0099282B"/>
    <w:rsid w:val="009948AA"/>
    <w:rsid w:val="00997C32"/>
    <w:rsid w:val="009A38ED"/>
    <w:rsid w:val="009B22CF"/>
    <w:rsid w:val="009B2408"/>
    <w:rsid w:val="009C0F22"/>
    <w:rsid w:val="009C1203"/>
    <w:rsid w:val="009C2724"/>
    <w:rsid w:val="009C67C4"/>
    <w:rsid w:val="009D3509"/>
    <w:rsid w:val="009D6782"/>
    <w:rsid w:val="009D6BF4"/>
    <w:rsid w:val="009D7F88"/>
    <w:rsid w:val="009E6DB0"/>
    <w:rsid w:val="009E77EE"/>
    <w:rsid w:val="009F1D53"/>
    <w:rsid w:val="009F2066"/>
    <w:rsid w:val="009F234E"/>
    <w:rsid w:val="009F3EE5"/>
    <w:rsid w:val="00A01067"/>
    <w:rsid w:val="00A03A53"/>
    <w:rsid w:val="00A05F84"/>
    <w:rsid w:val="00A07BC7"/>
    <w:rsid w:val="00A13E69"/>
    <w:rsid w:val="00A157D0"/>
    <w:rsid w:val="00A20C96"/>
    <w:rsid w:val="00A221BF"/>
    <w:rsid w:val="00A239AD"/>
    <w:rsid w:val="00A23E02"/>
    <w:rsid w:val="00A25583"/>
    <w:rsid w:val="00A25DA8"/>
    <w:rsid w:val="00A26250"/>
    <w:rsid w:val="00A33210"/>
    <w:rsid w:val="00A37146"/>
    <w:rsid w:val="00A41E1D"/>
    <w:rsid w:val="00A462BD"/>
    <w:rsid w:val="00A468AD"/>
    <w:rsid w:val="00A53337"/>
    <w:rsid w:val="00A6130A"/>
    <w:rsid w:val="00A65263"/>
    <w:rsid w:val="00A65BEC"/>
    <w:rsid w:val="00A74DE7"/>
    <w:rsid w:val="00A7512C"/>
    <w:rsid w:val="00A83A71"/>
    <w:rsid w:val="00A84A9E"/>
    <w:rsid w:val="00A85064"/>
    <w:rsid w:val="00A910A8"/>
    <w:rsid w:val="00A92470"/>
    <w:rsid w:val="00A92759"/>
    <w:rsid w:val="00A92CCD"/>
    <w:rsid w:val="00A96717"/>
    <w:rsid w:val="00A969C7"/>
    <w:rsid w:val="00AA19CA"/>
    <w:rsid w:val="00AA350D"/>
    <w:rsid w:val="00AA3AFB"/>
    <w:rsid w:val="00AB59FD"/>
    <w:rsid w:val="00AC10C9"/>
    <w:rsid w:val="00AC464F"/>
    <w:rsid w:val="00AC47D8"/>
    <w:rsid w:val="00AE1489"/>
    <w:rsid w:val="00AE771C"/>
    <w:rsid w:val="00AF0182"/>
    <w:rsid w:val="00AF1C4E"/>
    <w:rsid w:val="00AF394A"/>
    <w:rsid w:val="00AF6BCD"/>
    <w:rsid w:val="00B00C2E"/>
    <w:rsid w:val="00B01D23"/>
    <w:rsid w:val="00B020A0"/>
    <w:rsid w:val="00B0244A"/>
    <w:rsid w:val="00B04C33"/>
    <w:rsid w:val="00B11013"/>
    <w:rsid w:val="00B13127"/>
    <w:rsid w:val="00B13275"/>
    <w:rsid w:val="00B1627E"/>
    <w:rsid w:val="00B1750D"/>
    <w:rsid w:val="00B31CC2"/>
    <w:rsid w:val="00B33284"/>
    <w:rsid w:val="00B35C72"/>
    <w:rsid w:val="00B4106E"/>
    <w:rsid w:val="00B627BC"/>
    <w:rsid w:val="00B63641"/>
    <w:rsid w:val="00B70B8E"/>
    <w:rsid w:val="00B720A0"/>
    <w:rsid w:val="00B753B4"/>
    <w:rsid w:val="00B756AB"/>
    <w:rsid w:val="00B76718"/>
    <w:rsid w:val="00B83F92"/>
    <w:rsid w:val="00B84AFF"/>
    <w:rsid w:val="00B90BF6"/>
    <w:rsid w:val="00B931D0"/>
    <w:rsid w:val="00B95D4F"/>
    <w:rsid w:val="00B9685C"/>
    <w:rsid w:val="00BB5DD2"/>
    <w:rsid w:val="00BB6E42"/>
    <w:rsid w:val="00BC2572"/>
    <w:rsid w:val="00BC35EF"/>
    <w:rsid w:val="00BC70D1"/>
    <w:rsid w:val="00BD0025"/>
    <w:rsid w:val="00BD54F3"/>
    <w:rsid w:val="00BD581B"/>
    <w:rsid w:val="00BD6820"/>
    <w:rsid w:val="00BE386B"/>
    <w:rsid w:val="00BE4564"/>
    <w:rsid w:val="00BE4C5D"/>
    <w:rsid w:val="00BE538B"/>
    <w:rsid w:val="00BE5392"/>
    <w:rsid w:val="00BF4236"/>
    <w:rsid w:val="00BF44E3"/>
    <w:rsid w:val="00BF4FB7"/>
    <w:rsid w:val="00C00938"/>
    <w:rsid w:val="00C0641C"/>
    <w:rsid w:val="00C06F56"/>
    <w:rsid w:val="00C11B78"/>
    <w:rsid w:val="00C12AE5"/>
    <w:rsid w:val="00C13CAE"/>
    <w:rsid w:val="00C17000"/>
    <w:rsid w:val="00C17BE1"/>
    <w:rsid w:val="00C17D21"/>
    <w:rsid w:val="00C23BBA"/>
    <w:rsid w:val="00C27E58"/>
    <w:rsid w:val="00C31CDF"/>
    <w:rsid w:val="00C331A4"/>
    <w:rsid w:val="00C339A4"/>
    <w:rsid w:val="00C346B1"/>
    <w:rsid w:val="00C440B2"/>
    <w:rsid w:val="00C46350"/>
    <w:rsid w:val="00C47BEF"/>
    <w:rsid w:val="00C522BE"/>
    <w:rsid w:val="00C52B1F"/>
    <w:rsid w:val="00C5630A"/>
    <w:rsid w:val="00C6756D"/>
    <w:rsid w:val="00C81E5C"/>
    <w:rsid w:val="00C8421D"/>
    <w:rsid w:val="00C866C7"/>
    <w:rsid w:val="00C9388D"/>
    <w:rsid w:val="00C9639D"/>
    <w:rsid w:val="00CA5695"/>
    <w:rsid w:val="00CA6449"/>
    <w:rsid w:val="00CA6CD5"/>
    <w:rsid w:val="00CA6DFB"/>
    <w:rsid w:val="00CA7B87"/>
    <w:rsid w:val="00CB1789"/>
    <w:rsid w:val="00CB2C1B"/>
    <w:rsid w:val="00CB3661"/>
    <w:rsid w:val="00CB4870"/>
    <w:rsid w:val="00CC6F67"/>
    <w:rsid w:val="00CC74EB"/>
    <w:rsid w:val="00CD13A7"/>
    <w:rsid w:val="00CD14E2"/>
    <w:rsid w:val="00CD36B7"/>
    <w:rsid w:val="00CD7A74"/>
    <w:rsid w:val="00CE525A"/>
    <w:rsid w:val="00CE5D87"/>
    <w:rsid w:val="00CE6FF9"/>
    <w:rsid w:val="00CE7A5F"/>
    <w:rsid w:val="00CF7519"/>
    <w:rsid w:val="00D024B5"/>
    <w:rsid w:val="00D032E7"/>
    <w:rsid w:val="00D0533A"/>
    <w:rsid w:val="00D23588"/>
    <w:rsid w:val="00D24001"/>
    <w:rsid w:val="00D258AD"/>
    <w:rsid w:val="00D25CE8"/>
    <w:rsid w:val="00D265D3"/>
    <w:rsid w:val="00D2719D"/>
    <w:rsid w:val="00D3176B"/>
    <w:rsid w:val="00D341B9"/>
    <w:rsid w:val="00D37598"/>
    <w:rsid w:val="00D37ED1"/>
    <w:rsid w:val="00D553C5"/>
    <w:rsid w:val="00D7404C"/>
    <w:rsid w:val="00D7563D"/>
    <w:rsid w:val="00D77603"/>
    <w:rsid w:val="00D80FBD"/>
    <w:rsid w:val="00D839E7"/>
    <w:rsid w:val="00D846DC"/>
    <w:rsid w:val="00D849B1"/>
    <w:rsid w:val="00D84A96"/>
    <w:rsid w:val="00D85B23"/>
    <w:rsid w:val="00D905C6"/>
    <w:rsid w:val="00D9791F"/>
    <w:rsid w:val="00DA0A22"/>
    <w:rsid w:val="00DA40A8"/>
    <w:rsid w:val="00DB2CE8"/>
    <w:rsid w:val="00DB2E1E"/>
    <w:rsid w:val="00DB7FD7"/>
    <w:rsid w:val="00DC3204"/>
    <w:rsid w:val="00DC32A3"/>
    <w:rsid w:val="00DC395A"/>
    <w:rsid w:val="00DC5D5A"/>
    <w:rsid w:val="00DC7141"/>
    <w:rsid w:val="00DD24C5"/>
    <w:rsid w:val="00DD258C"/>
    <w:rsid w:val="00DD3C9A"/>
    <w:rsid w:val="00DD4113"/>
    <w:rsid w:val="00DE1622"/>
    <w:rsid w:val="00DE2411"/>
    <w:rsid w:val="00DE5065"/>
    <w:rsid w:val="00DF1A6F"/>
    <w:rsid w:val="00DF288D"/>
    <w:rsid w:val="00DF4DA1"/>
    <w:rsid w:val="00DF6000"/>
    <w:rsid w:val="00E02BBE"/>
    <w:rsid w:val="00E06BDD"/>
    <w:rsid w:val="00E07688"/>
    <w:rsid w:val="00E10B79"/>
    <w:rsid w:val="00E1389B"/>
    <w:rsid w:val="00E17B92"/>
    <w:rsid w:val="00E22AD8"/>
    <w:rsid w:val="00E30524"/>
    <w:rsid w:val="00E33104"/>
    <w:rsid w:val="00E344C5"/>
    <w:rsid w:val="00E3553F"/>
    <w:rsid w:val="00E413E8"/>
    <w:rsid w:val="00E615A4"/>
    <w:rsid w:val="00E64885"/>
    <w:rsid w:val="00E806DC"/>
    <w:rsid w:val="00E818F0"/>
    <w:rsid w:val="00E821FD"/>
    <w:rsid w:val="00E850C6"/>
    <w:rsid w:val="00E86806"/>
    <w:rsid w:val="00E94E24"/>
    <w:rsid w:val="00E96C38"/>
    <w:rsid w:val="00EA4C62"/>
    <w:rsid w:val="00EA4F21"/>
    <w:rsid w:val="00EB29F5"/>
    <w:rsid w:val="00EB5F5B"/>
    <w:rsid w:val="00EC0CD3"/>
    <w:rsid w:val="00EC7B37"/>
    <w:rsid w:val="00ED2B5E"/>
    <w:rsid w:val="00ED30F7"/>
    <w:rsid w:val="00ED5119"/>
    <w:rsid w:val="00ED538A"/>
    <w:rsid w:val="00ED7B86"/>
    <w:rsid w:val="00EE23F4"/>
    <w:rsid w:val="00EE3481"/>
    <w:rsid w:val="00EE5BAF"/>
    <w:rsid w:val="00EE5CDD"/>
    <w:rsid w:val="00EE6BCB"/>
    <w:rsid w:val="00EE7A34"/>
    <w:rsid w:val="00EF1A99"/>
    <w:rsid w:val="00EF2741"/>
    <w:rsid w:val="00EF2A84"/>
    <w:rsid w:val="00EF48D2"/>
    <w:rsid w:val="00EF7DF8"/>
    <w:rsid w:val="00F03627"/>
    <w:rsid w:val="00F06739"/>
    <w:rsid w:val="00F1455F"/>
    <w:rsid w:val="00F14942"/>
    <w:rsid w:val="00F31651"/>
    <w:rsid w:val="00F3733C"/>
    <w:rsid w:val="00F41CC4"/>
    <w:rsid w:val="00F425A3"/>
    <w:rsid w:val="00F53366"/>
    <w:rsid w:val="00F55392"/>
    <w:rsid w:val="00F560DB"/>
    <w:rsid w:val="00F56503"/>
    <w:rsid w:val="00F56776"/>
    <w:rsid w:val="00F57FE8"/>
    <w:rsid w:val="00F608E9"/>
    <w:rsid w:val="00F64F5C"/>
    <w:rsid w:val="00F6708E"/>
    <w:rsid w:val="00F72964"/>
    <w:rsid w:val="00F739F6"/>
    <w:rsid w:val="00F754A0"/>
    <w:rsid w:val="00F823DD"/>
    <w:rsid w:val="00F82CDE"/>
    <w:rsid w:val="00F85818"/>
    <w:rsid w:val="00F928EA"/>
    <w:rsid w:val="00FA6D86"/>
    <w:rsid w:val="00FB07A1"/>
    <w:rsid w:val="00FB0C57"/>
    <w:rsid w:val="00FB7617"/>
    <w:rsid w:val="00FB7DDD"/>
    <w:rsid w:val="00FC2213"/>
    <w:rsid w:val="00FC6D7F"/>
    <w:rsid w:val="00FC7428"/>
    <w:rsid w:val="00FD0049"/>
    <w:rsid w:val="00FE0971"/>
    <w:rsid w:val="00FE1903"/>
    <w:rsid w:val="00FE1CDE"/>
    <w:rsid w:val="00FF035E"/>
    <w:rsid w:val="00FF1CCF"/>
    <w:rsid w:val="00FF2784"/>
    <w:rsid w:val="00FF652A"/>
    <w:rsid w:val="00FF6CB0"/>
    <w:rsid w:val="6C10CB48"/>
    <w:rsid w:val="70DC3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0CB48"/>
  <w15:chartTrackingRefBased/>
  <w15:docId w15:val="{0841E7A0-E897-4DB5-BA41-9C8A970E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E2A"/>
    <w:pPr>
      <w:spacing w:after="0" w:line="240" w:lineRule="auto"/>
      <w:jc w:val="both"/>
    </w:pPr>
    <w:rPr>
      <w:rFonts w:ascii="Times New Roman" w:hAnsi="Times New Roman"/>
      <w:sz w:val="24"/>
      <w:lang w:val="lv-LV"/>
    </w:rPr>
  </w:style>
  <w:style w:type="paragraph" w:styleId="Heading1">
    <w:name w:val="heading 1"/>
    <w:basedOn w:val="Normal"/>
    <w:next w:val="Normal"/>
    <w:link w:val="Heading1Char"/>
    <w:uiPriority w:val="9"/>
    <w:qFormat/>
    <w:rsid w:val="00241DB5"/>
    <w:pPr>
      <w:keepNext/>
      <w:keepLines/>
      <w:numPr>
        <w:numId w:val="1"/>
      </w:numPr>
      <w:jc w:val="center"/>
      <w:outlineLvl w:val="0"/>
    </w:pPr>
    <w:rPr>
      <w:rFonts w:eastAsiaTheme="majorEastAsia" w:cs="Times New Roman"/>
      <w:b/>
      <w:caps/>
      <w:szCs w:val="24"/>
    </w:rPr>
  </w:style>
  <w:style w:type="paragraph" w:styleId="Heading2">
    <w:name w:val="heading 2"/>
    <w:basedOn w:val="Normal"/>
    <w:next w:val="Normal"/>
    <w:link w:val="Heading2Char"/>
    <w:uiPriority w:val="9"/>
    <w:unhideWhenUsed/>
    <w:qFormat/>
    <w:rsid w:val="00BB6E42"/>
    <w:pPr>
      <w:keepNext/>
      <w:keepLines/>
      <w:spacing w:before="240" w:after="12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9948AA"/>
    <w:pPr>
      <w:keepNext/>
      <w:keepLines/>
      <w:numPr>
        <w:numId w:val="23"/>
      </w:numPr>
      <w:jc w:val="center"/>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241DB5"/>
    <w:rPr>
      <w:rFonts w:ascii="Times New Roman" w:eastAsiaTheme="majorEastAsia" w:hAnsi="Times New Roman" w:cs="Times New Roman"/>
      <w:b/>
      <w:caps/>
      <w:sz w:val="24"/>
      <w:szCs w:val="24"/>
      <w:lang w:val="lv-LV"/>
    </w:rPr>
  </w:style>
  <w:style w:type="character" w:customStyle="1" w:styleId="Heading2Char">
    <w:name w:val="Heading 2 Char"/>
    <w:basedOn w:val="DefaultParagraphFont"/>
    <w:link w:val="Heading2"/>
    <w:uiPriority w:val="9"/>
    <w:qFormat/>
    <w:rsid w:val="00BB6E42"/>
    <w:rPr>
      <w:rFonts w:ascii="Times New Roman" w:eastAsiaTheme="majorEastAsia" w:hAnsi="Times New Roman" w:cstheme="majorBidi"/>
      <w:b/>
      <w:sz w:val="24"/>
      <w:szCs w:val="26"/>
      <w:lang w:val="lv-LV"/>
    </w:rPr>
  </w:style>
  <w:style w:type="character" w:customStyle="1" w:styleId="FootnoteTextChar">
    <w:name w:val="Footnote Text Char"/>
    <w:aliases w:val="Footnote Char,Footnote Text Char Char Char,Footnote Text Char Char Char Char Char,Footnote Text Char Char Char Char Char Char Char,Footnote Text Char1 Char Char Char,Footnote Text Char1 Char Char1 Char Char1,Fußnote Char Char,f Char"/>
    <w:basedOn w:val="DefaultParagraphFont"/>
    <w:link w:val="FootnoteText"/>
    <w:uiPriority w:val="99"/>
    <w:qFormat/>
    <w:rsid w:val="00EF2741"/>
    <w:rPr>
      <w:rFonts w:eastAsiaTheme="minorEastAsia"/>
      <w:sz w:val="20"/>
      <w:szCs w:val="20"/>
    </w:rPr>
  </w:style>
  <w:style w:type="character" w:customStyle="1" w:styleId="FootnoteCharacters">
    <w:name w:val="Footnote Characters"/>
    <w:basedOn w:val="DefaultParagraphFont"/>
    <w:link w:val="CharCharCharChar"/>
    <w:uiPriority w:val="99"/>
    <w:unhideWhenUsed/>
    <w:qFormat/>
    <w:rsid w:val="00EF2741"/>
    <w:rPr>
      <w:vertAlign w:val="superscript"/>
    </w:rPr>
  </w:style>
  <w:style w:type="character" w:customStyle="1" w:styleId="FootnoteAnchor">
    <w:name w:val="Footnote Anchor"/>
    <w:rsid w:val="00EF2741"/>
    <w:rPr>
      <w:vertAlign w:val="superscript"/>
    </w:rPr>
  </w:style>
  <w:style w:type="character" w:styleId="Hyperlink">
    <w:name w:val="Hyperlink"/>
    <w:basedOn w:val="DefaultParagraphFont"/>
    <w:uiPriority w:val="99"/>
    <w:unhideWhenUsed/>
    <w:rsid w:val="00EF2741"/>
    <w:rPr>
      <w:color w:val="0000FF"/>
      <w:u w:val="single"/>
    </w:rPr>
  </w:style>
  <w:style w:type="character" w:customStyle="1" w:styleId="HeaderChar">
    <w:name w:val="Header Char"/>
    <w:basedOn w:val="DefaultParagraphFont"/>
    <w:link w:val="Header"/>
    <w:uiPriority w:val="99"/>
    <w:qFormat/>
    <w:rsid w:val="00EF2741"/>
    <w:rPr>
      <w:rFonts w:eastAsiaTheme="minorEastAsia"/>
      <w:sz w:val="21"/>
      <w:szCs w:val="21"/>
    </w:rPr>
  </w:style>
  <w:style w:type="character" w:customStyle="1" w:styleId="FooterChar">
    <w:name w:val="Footer Char"/>
    <w:basedOn w:val="DefaultParagraphFont"/>
    <w:link w:val="Footer"/>
    <w:uiPriority w:val="99"/>
    <w:qFormat/>
    <w:rsid w:val="00EF2741"/>
    <w:rPr>
      <w:rFonts w:eastAsiaTheme="minorEastAsia"/>
      <w:sz w:val="21"/>
      <w:szCs w:val="21"/>
    </w:rPr>
  </w:style>
  <w:style w:type="character" w:styleId="Emphasis">
    <w:name w:val="Emphasis"/>
    <w:basedOn w:val="DefaultParagraphFont"/>
    <w:uiPriority w:val="20"/>
    <w:qFormat/>
    <w:rsid w:val="00EF2741"/>
    <w:rPr>
      <w:i/>
      <w:iCs/>
    </w:rPr>
  </w:style>
  <w:style w:type="character" w:customStyle="1" w:styleId="ListParagraphChar">
    <w:name w:val="List Paragraph Char"/>
    <w:aliases w:val="2 Char,List Paragraph compact Char,Normal bullet 2 Char,Paragraphe de liste 2 Char,Reference list Char,Bullet list Char,Numbered List Char,List Paragraph1 Char,1st level - Bullet List Paragraph Char,Lettre d'introduction Char"/>
    <w:basedOn w:val="DefaultParagraphFont"/>
    <w:link w:val="ListParagraph"/>
    <w:uiPriority w:val="34"/>
    <w:qFormat/>
    <w:locked/>
    <w:rsid w:val="00EF2741"/>
    <w:rPr>
      <w:rFonts w:ascii="Times New Roman" w:eastAsiaTheme="minorEastAsia" w:hAnsi="Times New Roman"/>
      <w:sz w:val="24"/>
      <w:szCs w:val="21"/>
    </w:rPr>
  </w:style>
  <w:style w:type="character" w:customStyle="1" w:styleId="context-navitem">
    <w:name w:val="context-nav__item"/>
    <w:basedOn w:val="DefaultParagraphFont"/>
    <w:qFormat/>
    <w:rsid w:val="00EF2741"/>
  </w:style>
  <w:style w:type="paragraph" w:styleId="NormalWeb">
    <w:name w:val="Normal (Web)"/>
    <w:basedOn w:val="Normal"/>
    <w:uiPriority w:val="99"/>
    <w:unhideWhenUsed/>
    <w:qFormat/>
    <w:rsid w:val="00EF2741"/>
    <w:pPr>
      <w:spacing w:beforeAutospacing="1" w:after="120" w:afterAutospacing="1"/>
    </w:pPr>
    <w:rPr>
      <w:rFonts w:eastAsia="Times New Roman" w:cs="Times New Roman"/>
      <w:szCs w:val="24"/>
      <w:lang w:eastAsia="lv-LV"/>
    </w:rPr>
  </w:style>
  <w:style w:type="paragraph" w:styleId="FootnoteText">
    <w:name w:val="footnote text"/>
    <w:aliases w:val="Footnote,Footnote Text Char Char,Footnote Text Char Char Char Char,Footnote Text Char Char Char Char Char Char,Footnote Text Char1 Char Char,Footnote Text Char1 Char Char1 Char,Footnote Text Char1 Char Char1 Char Char,Fußnote Char,f"/>
    <w:basedOn w:val="Normal"/>
    <w:link w:val="FootnoteTextChar"/>
    <w:uiPriority w:val="99"/>
    <w:unhideWhenUsed/>
    <w:qFormat/>
    <w:rsid w:val="00EF2741"/>
    <w:pPr>
      <w:spacing w:after="120"/>
    </w:pPr>
    <w:rPr>
      <w:rFonts w:eastAsiaTheme="minorEastAsia"/>
      <w:sz w:val="20"/>
      <w:szCs w:val="20"/>
    </w:rPr>
  </w:style>
  <w:style w:type="character" w:customStyle="1" w:styleId="FootnoteTextChar1">
    <w:name w:val="Footnote Text Char1"/>
    <w:basedOn w:val="DefaultParagraphFont"/>
    <w:uiPriority w:val="99"/>
    <w:semiHidden/>
    <w:rsid w:val="00EF2741"/>
    <w:rPr>
      <w:sz w:val="20"/>
      <w:szCs w:val="20"/>
    </w:rPr>
  </w:style>
  <w:style w:type="paragraph" w:styleId="Header">
    <w:name w:val="header"/>
    <w:basedOn w:val="Normal"/>
    <w:link w:val="HeaderChar"/>
    <w:uiPriority w:val="99"/>
    <w:unhideWhenUsed/>
    <w:rsid w:val="00EF2741"/>
    <w:pPr>
      <w:tabs>
        <w:tab w:val="center" w:pos="4153"/>
        <w:tab w:val="right" w:pos="8306"/>
      </w:tabs>
      <w:spacing w:after="120"/>
    </w:pPr>
    <w:rPr>
      <w:rFonts w:eastAsiaTheme="minorEastAsia"/>
      <w:sz w:val="21"/>
      <w:szCs w:val="21"/>
    </w:rPr>
  </w:style>
  <w:style w:type="character" w:customStyle="1" w:styleId="HeaderChar1">
    <w:name w:val="Header Char1"/>
    <w:basedOn w:val="DefaultParagraphFont"/>
    <w:uiPriority w:val="99"/>
    <w:semiHidden/>
    <w:rsid w:val="00EF2741"/>
  </w:style>
  <w:style w:type="paragraph" w:styleId="Footer">
    <w:name w:val="footer"/>
    <w:basedOn w:val="Normal"/>
    <w:link w:val="FooterChar"/>
    <w:uiPriority w:val="99"/>
    <w:unhideWhenUsed/>
    <w:rsid w:val="00EF2741"/>
    <w:pPr>
      <w:tabs>
        <w:tab w:val="center" w:pos="4153"/>
        <w:tab w:val="right" w:pos="8306"/>
      </w:tabs>
      <w:spacing w:after="120"/>
    </w:pPr>
    <w:rPr>
      <w:rFonts w:eastAsiaTheme="minorEastAsia"/>
      <w:sz w:val="21"/>
      <w:szCs w:val="21"/>
    </w:rPr>
  </w:style>
  <w:style w:type="character" w:customStyle="1" w:styleId="FooterChar1">
    <w:name w:val="Footer Char1"/>
    <w:basedOn w:val="DefaultParagraphFont"/>
    <w:uiPriority w:val="99"/>
    <w:semiHidden/>
    <w:rsid w:val="00EF2741"/>
  </w:style>
  <w:style w:type="paragraph" w:customStyle="1" w:styleId="tv213">
    <w:name w:val="tv213"/>
    <w:basedOn w:val="Normal"/>
    <w:qFormat/>
    <w:rsid w:val="00EF2741"/>
    <w:pPr>
      <w:spacing w:beforeAutospacing="1" w:after="120" w:afterAutospacing="1"/>
    </w:pPr>
    <w:rPr>
      <w:rFonts w:eastAsia="Times New Roman" w:cs="Times New Roman"/>
      <w:szCs w:val="24"/>
      <w:lang w:eastAsia="lv-LV"/>
    </w:rPr>
  </w:style>
  <w:style w:type="paragraph" w:styleId="ListParagraph">
    <w:name w:val="List Paragraph"/>
    <w:aliases w:val="2,List Paragraph compact,Normal bullet 2,Paragraphe de liste 2,Reference list,Bullet list,Numbered List,List Paragraph1,1st level - Bullet List Paragraph,Lettre d'introduction,Paragraph,Bullet EY,List Paragraph11,Normal bullet 21,List L1"/>
    <w:basedOn w:val="Normal"/>
    <w:link w:val="ListParagraphChar"/>
    <w:uiPriority w:val="34"/>
    <w:qFormat/>
    <w:rsid w:val="00EF2741"/>
    <w:pPr>
      <w:spacing w:after="120"/>
      <w:ind w:left="720"/>
    </w:pPr>
    <w:rPr>
      <w:rFonts w:eastAsiaTheme="minorEastAsia"/>
      <w:szCs w:val="21"/>
    </w:rPr>
  </w:style>
  <w:style w:type="paragraph" w:styleId="TOC1">
    <w:name w:val="toc 1"/>
    <w:basedOn w:val="Normal"/>
    <w:next w:val="Normal"/>
    <w:autoRedefine/>
    <w:uiPriority w:val="39"/>
    <w:unhideWhenUsed/>
    <w:rsid w:val="007D4B25"/>
    <w:pPr>
      <w:tabs>
        <w:tab w:val="left" w:pos="440"/>
        <w:tab w:val="left" w:pos="1320"/>
        <w:tab w:val="right" w:leader="dot" w:pos="9638"/>
      </w:tabs>
      <w:spacing w:before="120" w:after="120"/>
      <w:ind w:left="709" w:hanging="709"/>
    </w:pPr>
    <w:rPr>
      <w:rFonts w:cs="Arial"/>
      <w:szCs w:val="24"/>
    </w:rPr>
  </w:style>
  <w:style w:type="paragraph" w:styleId="NoSpacing">
    <w:name w:val="No Spacing"/>
    <w:uiPriority w:val="1"/>
    <w:qFormat/>
    <w:rsid w:val="00EF2741"/>
    <w:pPr>
      <w:spacing w:after="0" w:line="240" w:lineRule="auto"/>
      <w:ind w:firstLine="720"/>
      <w:contextualSpacing/>
      <w:jc w:val="both"/>
    </w:pPr>
    <w:rPr>
      <w:rFonts w:ascii="Times New Roman" w:eastAsiaTheme="minorEastAsia" w:hAnsi="Times New Roman" w:cs="Arial"/>
      <w:sz w:val="24"/>
      <w:szCs w:val="21"/>
      <w:lang w:val="lv-LV"/>
    </w:rPr>
  </w:style>
  <w:style w:type="paragraph" w:styleId="TOC2">
    <w:name w:val="toc 2"/>
    <w:basedOn w:val="Normal"/>
    <w:next w:val="Normal"/>
    <w:autoRedefine/>
    <w:uiPriority w:val="39"/>
    <w:unhideWhenUsed/>
    <w:rsid w:val="00675948"/>
    <w:pPr>
      <w:tabs>
        <w:tab w:val="left" w:pos="993"/>
        <w:tab w:val="right" w:leader="dot" w:pos="9638"/>
      </w:tabs>
      <w:spacing w:after="120"/>
      <w:ind w:left="482"/>
    </w:pPr>
    <w:rPr>
      <w:rFonts w:eastAsiaTheme="minorEastAsia" w:cs="Arial"/>
      <w:szCs w:val="21"/>
    </w:rPr>
  </w:style>
  <w:style w:type="paragraph" w:customStyle="1" w:styleId="CharCharCharChar">
    <w:name w:val="Char Char Char Char"/>
    <w:aliases w:val="Char2"/>
    <w:basedOn w:val="Normal"/>
    <w:next w:val="Normal"/>
    <w:link w:val="FootnoteCharacters"/>
    <w:uiPriority w:val="99"/>
    <w:qFormat/>
    <w:rsid w:val="00EF2741"/>
    <w:pPr>
      <w:spacing w:line="240" w:lineRule="exact"/>
    </w:pPr>
    <w:rPr>
      <w:vertAlign w:val="superscript"/>
    </w:rPr>
  </w:style>
  <w:style w:type="table" w:styleId="TableGrid">
    <w:name w:val="Table Grid"/>
    <w:basedOn w:val="TableNormal"/>
    <w:uiPriority w:val="39"/>
    <w:rsid w:val="00EF2741"/>
    <w:pPr>
      <w:spacing w:after="0" w:line="240" w:lineRule="auto"/>
    </w:pPr>
    <w:rPr>
      <w:sz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basedOn w:val="DefaultParagraphFont"/>
    <w:uiPriority w:val="99"/>
    <w:unhideWhenUsed/>
    <w:qFormat/>
    <w:rsid w:val="00EF2741"/>
    <w:rPr>
      <w:vertAlign w:val="superscript"/>
    </w:rPr>
  </w:style>
  <w:style w:type="character" w:styleId="FollowedHyperlink">
    <w:name w:val="FollowedHyperlink"/>
    <w:basedOn w:val="DefaultParagraphFont"/>
    <w:uiPriority w:val="99"/>
    <w:semiHidden/>
    <w:unhideWhenUsed/>
    <w:rsid w:val="00421015"/>
    <w:rPr>
      <w:color w:val="954F72" w:themeColor="followedHyperlink"/>
      <w:u w:val="single"/>
    </w:rPr>
  </w:style>
  <w:style w:type="character" w:styleId="CommentReference">
    <w:name w:val="annotation reference"/>
    <w:basedOn w:val="DefaultParagraphFont"/>
    <w:uiPriority w:val="99"/>
    <w:unhideWhenUsed/>
    <w:rsid w:val="00DA40A8"/>
    <w:rPr>
      <w:sz w:val="16"/>
      <w:szCs w:val="16"/>
    </w:rPr>
  </w:style>
  <w:style w:type="paragraph" w:styleId="CommentText">
    <w:name w:val="annotation text"/>
    <w:basedOn w:val="Normal"/>
    <w:link w:val="CommentTextChar"/>
    <w:uiPriority w:val="99"/>
    <w:unhideWhenUsed/>
    <w:qFormat/>
    <w:rsid w:val="00DA40A8"/>
    <w:pPr>
      <w:spacing w:after="120"/>
    </w:pPr>
    <w:rPr>
      <w:rFonts w:eastAsiaTheme="minorEastAsia"/>
      <w:sz w:val="20"/>
      <w:szCs w:val="20"/>
    </w:rPr>
  </w:style>
  <w:style w:type="character" w:customStyle="1" w:styleId="CommentTextChar">
    <w:name w:val="Comment Text Char"/>
    <w:basedOn w:val="DefaultParagraphFont"/>
    <w:link w:val="CommentText"/>
    <w:uiPriority w:val="99"/>
    <w:qFormat/>
    <w:rsid w:val="00DA40A8"/>
    <w:rPr>
      <w:rFonts w:ascii="Times New Roman" w:eastAsiaTheme="minorEastAsia" w:hAnsi="Times New Roman"/>
      <w:sz w:val="20"/>
      <w:szCs w:val="20"/>
      <w:lang w:val="lv-LV"/>
    </w:rPr>
  </w:style>
  <w:style w:type="character" w:styleId="UnresolvedMention">
    <w:name w:val="Unresolved Mention"/>
    <w:basedOn w:val="DefaultParagraphFont"/>
    <w:uiPriority w:val="99"/>
    <w:semiHidden/>
    <w:unhideWhenUsed/>
    <w:rsid w:val="00ED5119"/>
    <w:rPr>
      <w:color w:val="605E5C"/>
      <w:shd w:val="clear" w:color="auto" w:fill="E1DFDD"/>
    </w:rPr>
  </w:style>
  <w:style w:type="character" w:customStyle="1" w:styleId="normaltextrun">
    <w:name w:val="normaltextrun"/>
    <w:basedOn w:val="DefaultParagraphFont"/>
    <w:rsid w:val="00C9639D"/>
  </w:style>
  <w:style w:type="paragraph" w:styleId="CommentSubject">
    <w:name w:val="annotation subject"/>
    <w:basedOn w:val="CommentText"/>
    <w:next w:val="CommentText"/>
    <w:link w:val="CommentSubjectChar"/>
    <w:uiPriority w:val="99"/>
    <w:semiHidden/>
    <w:unhideWhenUsed/>
    <w:rsid w:val="0060377D"/>
    <w:pPr>
      <w:spacing w:after="0"/>
      <w:ind w:firstLine="720"/>
    </w:pPr>
    <w:rPr>
      <w:rFonts w:eastAsiaTheme="minorHAnsi"/>
      <w:b/>
      <w:bCs/>
      <w:lang w:val="en-US"/>
    </w:rPr>
  </w:style>
  <w:style w:type="character" w:customStyle="1" w:styleId="CommentSubjectChar">
    <w:name w:val="Comment Subject Char"/>
    <w:basedOn w:val="CommentTextChar"/>
    <w:link w:val="CommentSubject"/>
    <w:uiPriority w:val="99"/>
    <w:semiHidden/>
    <w:rsid w:val="0060377D"/>
    <w:rPr>
      <w:rFonts w:ascii="Times New Roman" w:eastAsiaTheme="minorEastAsia" w:hAnsi="Times New Roman"/>
      <w:b/>
      <w:bCs/>
      <w:sz w:val="20"/>
      <w:szCs w:val="20"/>
      <w:lang w:val="lv-LV"/>
    </w:rPr>
  </w:style>
  <w:style w:type="character" w:customStyle="1" w:styleId="Heading3Char">
    <w:name w:val="Heading 3 Char"/>
    <w:basedOn w:val="DefaultParagraphFont"/>
    <w:link w:val="Heading3"/>
    <w:uiPriority w:val="9"/>
    <w:rsid w:val="006E66CB"/>
    <w:rPr>
      <w:rFonts w:ascii="Times New Roman" w:eastAsiaTheme="majorEastAsia" w:hAnsi="Times New Roman" w:cstheme="majorBidi"/>
      <w:b/>
      <w:color w:val="000000" w:themeColor="text1"/>
      <w:sz w:val="24"/>
      <w:szCs w:val="24"/>
    </w:rPr>
  </w:style>
  <w:style w:type="character" w:customStyle="1" w:styleId="spelle">
    <w:name w:val="spelle"/>
    <w:basedOn w:val="DefaultParagraphFont"/>
    <w:rsid w:val="00BD581B"/>
  </w:style>
  <w:style w:type="paragraph" w:styleId="TOCHeading">
    <w:name w:val="TOC Heading"/>
    <w:basedOn w:val="Heading1"/>
    <w:next w:val="Normal"/>
    <w:uiPriority w:val="39"/>
    <w:unhideWhenUsed/>
    <w:qFormat/>
    <w:rsid w:val="006C4D00"/>
    <w:pPr>
      <w:numPr>
        <w:numId w:val="0"/>
      </w:numPr>
      <w:spacing w:before="240" w:line="259" w:lineRule="auto"/>
      <w:jc w:val="left"/>
      <w:outlineLvl w:val="9"/>
    </w:pPr>
    <w:rPr>
      <w:rFonts w:asciiTheme="majorHAnsi" w:hAnsiTheme="majorHAnsi" w:cstheme="majorBidi"/>
      <w:b w:val="0"/>
      <w:color w:val="2F5496" w:themeColor="accent1" w:themeShade="BF"/>
      <w:sz w:val="32"/>
      <w:szCs w:val="32"/>
      <w:lang w:val="en-US"/>
    </w:rPr>
  </w:style>
  <w:style w:type="paragraph" w:styleId="TOC3">
    <w:name w:val="toc 3"/>
    <w:basedOn w:val="Normal"/>
    <w:next w:val="Normal"/>
    <w:autoRedefine/>
    <w:uiPriority w:val="39"/>
    <w:unhideWhenUsed/>
    <w:rsid w:val="00DC395A"/>
    <w:pPr>
      <w:spacing w:after="120"/>
      <w:ind w:left="482"/>
    </w:pPr>
  </w:style>
  <w:style w:type="table" w:styleId="MediumGrid2-Accent6">
    <w:name w:val="Medium Grid 2 Accent 6"/>
    <w:basedOn w:val="TableNormal"/>
    <w:uiPriority w:val="68"/>
    <w:rsid w:val="00B63641"/>
    <w:pPr>
      <w:spacing w:after="0" w:line="240" w:lineRule="auto"/>
    </w:pPr>
    <w:rPr>
      <w:rFonts w:asciiTheme="majorHAnsi" w:eastAsiaTheme="majorEastAsia" w:hAnsiTheme="majorHAnsi" w:cstheme="majorBidi"/>
      <w:color w:val="000000" w:themeColor="text1"/>
      <w:lang w:val="lv-LV" w:eastAsia="lv-LV"/>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paragraph" w:styleId="BalloonText">
    <w:name w:val="Balloon Text"/>
    <w:basedOn w:val="Normal"/>
    <w:link w:val="BalloonTextChar"/>
    <w:uiPriority w:val="99"/>
    <w:semiHidden/>
    <w:unhideWhenUsed/>
    <w:rsid w:val="00802E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E2A"/>
    <w:rPr>
      <w:rFonts w:ascii="Segoe UI" w:hAnsi="Segoe UI" w:cs="Segoe UI"/>
      <w:sz w:val="18"/>
      <w:szCs w:val="18"/>
      <w:lang w:val="lv-LV"/>
    </w:rPr>
  </w:style>
  <w:style w:type="paragraph" w:customStyle="1" w:styleId="oj-normal">
    <w:name w:val="oj-normal"/>
    <w:basedOn w:val="Normal"/>
    <w:rsid w:val="00802E2A"/>
    <w:pPr>
      <w:spacing w:before="100" w:beforeAutospacing="1" w:after="100" w:afterAutospacing="1"/>
    </w:pPr>
    <w:rPr>
      <w:rFonts w:eastAsia="Times New Roman" w:cs="Times New Roman"/>
      <w:szCs w:val="24"/>
      <w:lang w:eastAsia="lv-LV"/>
    </w:rPr>
  </w:style>
  <w:style w:type="paragraph" w:styleId="Caption">
    <w:name w:val="caption"/>
    <w:basedOn w:val="Normal"/>
    <w:next w:val="Normal"/>
    <w:uiPriority w:val="35"/>
    <w:unhideWhenUsed/>
    <w:qFormat/>
    <w:rsid w:val="00802E2A"/>
    <w:pPr>
      <w:spacing w:after="200"/>
    </w:pPr>
    <w:rPr>
      <w:i/>
      <w:iCs/>
      <w:color w:val="44546A" w:themeColor="text2"/>
      <w:sz w:val="18"/>
      <w:szCs w:val="18"/>
    </w:rPr>
  </w:style>
  <w:style w:type="paragraph" w:styleId="Title">
    <w:name w:val="Title"/>
    <w:basedOn w:val="Normal"/>
    <w:next w:val="Normal"/>
    <w:link w:val="TitleChar"/>
    <w:uiPriority w:val="10"/>
    <w:qFormat/>
    <w:rsid w:val="00802E2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E2A"/>
    <w:rPr>
      <w:rFonts w:asciiTheme="majorHAnsi" w:eastAsiaTheme="majorEastAsia" w:hAnsiTheme="majorHAnsi" w:cstheme="majorBidi"/>
      <w:spacing w:val="-10"/>
      <w:kern w:val="28"/>
      <w:sz w:val="56"/>
      <w:szCs w:val="56"/>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75547">
      <w:bodyDiv w:val="1"/>
      <w:marLeft w:val="0"/>
      <w:marRight w:val="0"/>
      <w:marTop w:val="0"/>
      <w:marBottom w:val="0"/>
      <w:divBdr>
        <w:top w:val="none" w:sz="0" w:space="0" w:color="auto"/>
        <w:left w:val="none" w:sz="0" w:space="0" w:color="auto"/>
        <w:bottom w:val="none" w:sz="0" w:space="0" w:color="auto"/>
        <w:right w:val="none" w:sz="0" w:space="0" w:color="auto"/>
      </w:divBdr>
    </w:div>
    <w:div w:id="517353096">
      <w:bodyDiv w:val="1"/>
      <w:marLeft w:val="0"/>
      <w:marRight w:val="0"/>
      <w:marTop w:val="0"/>
      <w:marBottom w:val="0"/>
      <w:divBdr>
        <w:top w:val="none" w:sz="0" w:space="0" w:color="auto"/>
        <w:left w:val="none" w:sz="0" w:space="0" w:color="auto"/>
        <w:bottom w:val="none" w:sz="0" w:space="0" w:color="auto"/>
        <w:right w:val="none" w:sz="0" w:space="0" w:color="auto"/>
      </w:divBdr>
    </w:div>
    <w:div w:id="1045983953">
      <w:bodyDiv w:val="1"/>
      <w:marLeft w:val="0"/>
      <w:marRight w:val="0"/>
      <w:marTop w:val="0"/>
      <w:marBottom w:val="0"/>
      <w:divBdr>
        <w:top w:val="none" w:sz="0" w:space="0" w:color="auto"/>
        <w:left w:val="none" w:sz="0" w:space="0" w:color="auto"/>
        <w:bottom w:val="none" w:sz="0" w:space="0" w:color="auto"/>
        <w:right w:val="none" w:sz="0" w:space="0" w:color="auto"/>
      </w:divBdr>
    </w:div>
    <w:div w:id="135634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4" ma:contentTypeDescription="Izveidot jaunu dokumentu." ma:contentTypeScope="" ma:versionID="dd646ced1d22dca1a92ef79a7564a84c">
  <xsd:schema xmlns:xsd="http://www.w3.org/2001/XMLSchema" xmlns:xs="http://www.w3.org/2001/XMLSchema" xmlns:p="http://schemas.microsoft.com/office/2006/metadata/properties" xmlns:ns3="122e0e09-afb4-4bf9-abab-ecc4519bc6eb" xmlns:ns4="ace8e44c-fa88-44c0-8590-dfda63664a63" targetNamespace="http://schemas.microsoft.com/office/2006/metadata/properties" ma:root="true" ma:fieldsID="0c2e5b133a96d0957c7ade149d8db746" ns3:_="" ns4:_="">
    <xsd:import namespace="122e0e09-afb4-4bf9-abab-ecc4519bc6eb"/>
    <xsd:import namespace="ace8e44c-fa88-44c0-8590-dfda63664a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SharingHintHash" ma:index="10" nillable="true" ma:displayName="Koplietošanas norādes jaucējkods"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659154-395A-4E90-907A-30C8CB23B9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8D33C5-4957-417A-9649-58700C83A84B}">
  <ds:schemaRefs>
    <ds:schemaRef ds:uri="http://schemas.openxmlformats.org/officeDocument/2006/bibliography"/>
  </ds:schemaRefs>
</ds:datastoreItem>
</file>

<file path=customXml/itemProps3.xml><?xml version="1.0" encoding="utf-8"?>
<ds:datastoreItem xmlns:ds="http://schemas.openxmlformats.org/officeDocument/2006/customXml" ds:itemID="{7CFF1CC2-1009-4599-96EE-3E39B7B60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e0e09-afb4-4bf9-abab-ecc4519bc6eb"/>
    <ds:schemaRef ds:uri="ace8e44c-fa88-44c0-8590-dfda6366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B2B33E-9B6E-4823-B432-74FAA6D0BD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21188</Words>
  <Characters>12078</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Latvijas NUTS 2 reģionu dalījuma izmaiņu ietekmes analīze uz Kohēzijas politikas ieviešanas sistēmu</vt:lpstr>
    </vt:vector>
  </TitlesOfParts>
  <Company>Vides aizsardzības un reģionālās attīstības ministrija</Company>
  <LinksUpToDate>false</LinksUpToDate>
  <CharactersWithSpaces>33200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NUTS 2 reģionu dalījuma izmaiņu ietekmes analīze uz Kohēzijas politikas ieviešanas sistēmu</dc:title>
  <dc:subject>Pielikums konceptuālam ziņojumam</dc:subject>
  <dc:creator>Dāvis Melnalksnis</dc:creator>
  <cp:keywords/>
  <dc:description>Dāvis Melnalksnis
66016768
Vides aizsardzības un 
reģionālās attīstības ministrijas
Valsts ilgtspējīgas attīstības plānošanas departamenta
Teritoriju attīstības izvērtēšanas nodaļas vecākais eksperts
Davis.Melnalksnis@varam.gov.lv</dc:description>
  <cp:lastModifiedBy>Dāvis Melnalksnis</cp:lastModifiedBy>
  <cp:revision>5</cp:revision>
  <dcterms:created xsi:type="dcterms:W3CDTF">2021-11-22T09:40:00Z</dcterms:created>
  <dcterms:modified xsi:type="dcterms:W3CDTF">2021-11-24T09:49:00Z</dcterms:modified>
  <cp:category>Reģionālā politika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