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61D31" w14:textId="2AC1FB30" w:rsidR="003165FC" w:rsidRPr="003165FC" w:rsidRDefault="003165FC" w:rsidP="003165FC">
      <w:pPr>
        <w:spacing w:after="240"/>
        <w:jc w:val="right"/>
        <w:rPr>
          <w:b/>
        </w:rPr>
      </w:pPr>
      <w:r w:rsidRPr="003165FC">
        <w:rPr>
          <w:b/>
        </w:rPr>
        <w:t>Pielikums</w:t>
      </w:r>
    </w:p>
    <w:p w14:paraId="71D7F70D" w14:textId="088BAA6F" w:rsidR="0000448C" w:rsidRPr="00AC445A" w:rsidRDefault="00AD2E37" w:rsidP="00C46B41">
      <w:pPr>
        <w:spacing w:after="240"/>
        <w:jc w:val="center"/>
        <w:rPr>
          <w:b/>
          <w:sz w:val="28"/>
          <w:szCs w:val="28"/>
        </w:rPr>
      </w:pPr>
      <w:r w:rsidRPr="00AD2E37">
        <w:rPr>
          <w:b/>
          <w:sz w:val="28"/>
          <w:szCs w:val="28"/>
        </w:rPr>
        <w:t>Ekonomikas ministrijas detalizēts priekšlikumu izklāsts</w:t>
      </w:r>
    </w:p>
    <w:p w14:paraId="00C5FCA1"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b/>
          <w:bCs/>
          <w:u w:val="single"/>
          <w:lang w:eastAsia="lv-LV"/>
        </w:rPr>
        <w:t>[1] Ekonomikas ministrijas iniciatīva noteikt samazināto 5% PVN likmi arī maizei</w:t>
      </w:r>
      <w:r w:rsidRPr="003840F8">
        <w:rPr>
          <w:lang w:eastAsia="lv-LV"/>
        </w:rPr>
        <w:t> </w:t>
      </w:r>
    </w:p>
    <w:p w14:paraId="46794A03"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 xml:space="preserve">Informatīvajā ziņojumā Zemkopības ministrija norāda, ka pārtikas cenu pieaugums ir vērojams visās pārtikas produktu grupās. Graudaugu grupā lielākais cenas pieaugums pēdējo 5 gadu periodā (no 2017. gada sākuma līdz 2022. gada aprīlim) bija vērojams griķiem – nedaudz vairāk nekā divas reizes. Auzu pārslām, rīsiem un kviešu miltiem cenas palielinājums 5 gadu periodā bija mazāks – par 58%, 62% un 69%. Baltmaizes un rudzu maizes cenas par 1 kg visā periodā no 2017.gada līdz 2022.gada aprīlim ir bijušas līdzīgas un to palielinājums ir bijis vienmērīgs. </w:t>
      </w:r>
      <w:r w:rsidRPr="003840F8">
        <w:rPr>
          <w:b/>
          <w:bCs/>
          <w:lang w:eastAsia="lv-LV"/>
        </w:rPr>
        <w:t>Kopumā baltmaizes cena analizētajā periodā ir pieaugusi par 24%, bet rudzu maizes cena – par 34%. </w:t>
      </w:r>
      <w:r w:rsidRPr="003840F8">
        <w:rPr>
          <w:lang w:eastAsia="lv-LV"/>
        </w:rPr>
        <w:t> </w:t>
      </w:r>
    </w:p>
    <w:p w14:paraId="36191E4C"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 xml:space="preserve">Sākoties Krievijas iebrukumam Ukrainā ir būtiski palielinājušās pārtikas graudu cenas un 2022.gada aprīlī pārtikas kviešu cena sasniedza 352,4 </w:t>
      </w:r>
      <w:proofErr w:type="spellStart"/>
      <w:r w:rsidRPr="003840F8">
        <w:rPr>
          <w:i/>
          <w:iCs/>
          <w:lang w:eastAsia="lv-LV"/>
        </w:rPr>
        <w:t>euro</w:t>
      </w:r>
      <w:proofErr w:type="spellEnd"/>
      <w:r w:rsidRPr="003840F8">
        <w:rPr>
          <w:lang w:eastAsia="lv-LV"/>
        </w:rPr>
        <w:t xml:space="preserve">/t, kas salīdzinot ar 2021.gada aprīļa cenu (206,3 </w:t>
      </w:r>
      <w:proofErr w:type="spellStart"/>
      <w:r w:rsidRPr="003840F8">
        <w:rPr>
          <w:i/>
          <w:iCs/>
          <w:lang w:eastAsia="lv-LV"/>
        </w:rPr>
        <w:t>euro</w:t>
      </w:r>
      <w:proofErr w:type="spellEnd"/>
      <w:r w:rsidRPr="003840F8">
        <w:rPr>
          <w:lang w:eastAsia="lv-LV"/>
        </w:rPr>
        <w:t>/t) ir palielinājusies par 71 %. </w:t>
      </w:r>
    </w:p>
    <w:p w14:paraId="7CAC1A4E"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Zemkopības ministrijas apkopotā informācija liecina, ka virknē ES valstu samazinātā PVN likme cita starpā tiek piemērota arī graudaugiem un maizei, piemēram: </w:t>
      </w:r>
    </w:p>
    <w:p w14:paraId="717A1439" w14:textId="77777777" w:rsidR="005F4053" w:rsidRPr="003840F8" w:rsidRDefault="005F4053" w:rsidP="005F4053">
      <w:pPr>
        <w:numPr>
          <w:ilvl w:val="0"/>
          <w:numId w:val="57"/>
        </w:numPr>
        <w:ind w:left="993" w:hanging="284"/>
        <w:jc w:val="both"/>
        <w:textAlignment w:val="baseline"/>
        <w:rPr>
          <w:lang w:eastAsia="lv-LV"/>
        </w:rPr>
      </w:pPr>
      <w:r w:rsidRPr="003840F8">
        <w:rPr>
          <w:lang w:eastAsia="lv-LV"/>
        </w:rPr>
        <w:t>Polijā 5% PVN likme graudaugu un maizes piegādēm (lai samazinātu mazumtirdzniecības pārtikas produktu cenas un pieaugošās inflācijas ietekmi, Polija pretēji Direktīvas 2006/112/EK nosacījumiem uz laiku no 2022. gada 1. februāra līdz 31. jūlijam ir samazinājusi PVN likmi pārtikas pamatproduktiem (piemēram, gaļai, zivīm un to izstrādājumiem, pienam un piena produktiem, dārzeņiem, augļiem un to produktiem, graudaugu izstrādājumiem, maizei un dažiem bezalkoholiskajiem dzērieniem) līdz 0 %); </w:t>
      </w:r>
    </w:p>
    <w:p w14:paraId="7366D281" w14:textId="77777777" w:rsidR="005F4053" w:rsidRPr="003840F8" w:rsidRDefault="005F4053" w:rsidP="005F4053">
      <w:pPr>
        <w:numPr>
          <w:ilvl w:val="0"/>
          <w:numId w:val="57"/>
        </w:numPr>
        <w:ind w:left="993" w:hanging="284"/>
        <w:jc w:val="both"/>
        <w:textAlignment w:val="baseline"/>
        <w:rPr>
          <w:lang w:eastAsia="lv-LV"/>
        </w:rPr>
      </w:pPr>
      <w:r w:rsidRPr="003840F8">
        <w:rPr>
          <w:lang w:eastAsia="lv-LV"/>
        </w:rPr>
        <w:t>Horvātijā 5% PVN likme maizes piegādēm;  </w:t>
      </w:r>
    </w:p>
    <w:p w14:paraId="4AA68C2F" w14:textId="77777777" w:rsidR="005F4053" w:rsidRPr="003840F8" w:rsidRDefault="005F4053" w:rsidP="005F4053">
      <w:pPr>
        <w:numPr>
          <w:ilvl w:val="0"/>
          <w:numId w:val="57"/>
        </w:numPr>
        <w:ind w:left="993" w:hanging="284"/>
        <w:jc w:val="both"/>
        <w:textAlignment w:val="baseline"/>
        <w:rPr>
          <w:lang w:eastAsia="lv-LV"/>
        </w:rPr>
      </w:pPr>
      <w:r w:rsidRPr="003840F8">
        <w:rPr>
          <w:lang w:eastAsia="lv-LV"/>
        </w:rPr>
        <w:t>Slovākijā 10% PVN likme maizes, kā arī konditorejas izstrādājumu, kūku, cepumu un citu maizes izstrādājumu piegādēm; </w:t>
      </w:r>
    </w:p>
    <w:p w14:paraId="725CC183" w14:textId="2EB75AD8" w:rsidR="005F4053" w:rsidRDefault="005F4053" w:rsidP="005F4053">
      <w:pPr>
        <w:ind w:firstLine="705"/>
        <w:jc w:val="both"/>
        <w:textAlignment w:val="baseline"/>
        <w:rPr>
          <w:lang w:eastAsia="lv-LV"/>
        </w:rPr>
      </w:pPr>
      <w:r w:rsidRPr="003840F8">
        <w:rPr>
          <w:lang w:eastAsia="lv-LV"/>
        </w:rPr>
        <w:t>Kā atzīmē Zemkopības ministrija, Veselības ministrija ir izstrādājusi veselīga uztura ieteikumus</w:t>
      </w:r>
      <w:r w:rsidRPr="003840F8">
        <w:rPr>
          <w:sz w:val="19"/>
          <w:szCs w:val="19"/>
          <w:vertAlign w:val="superscript"/>
          <w:lang w:eastAsia="lv-LV"/>
        </w:rPr>
        <w:t>2</w:t>
      </w:r>
      <w:r w:rsidRPr="003840F8">
        <w:rPr>
          <w:lang w:eastAsia="lv-LV"/>
        </w:rPr>
        <w:t xml:space="preserve">, ar kuriem aicina iedzīvotājus ik dienu dažādot savu uzturu, kā arī samērot dienā ar pārtiku uzņemto enerģiju un fiziskā aktivitātē patērēto enerģiju, lai saglabātu optimālu ķermeņa masu. Cita starpā, </w:t>
      </w:r>
      <w:r w:rsidRPr="003840F8">
        <w:rPr>
          <w:b/>
          <w:bCs/>
          <w:lang w:eastAsia="lv-LV"/>
        </w:rPr>
        <w:t xml:space="preserve">iedzīvotājiem tiek ieteikts vairākas reizes dienā ēst graudaugu produktus (īpaši </w:t>
      </w:r>
      <w:proofErr w:type="spellStart"/>
      <w:r w:rsidRPr="003840F8">
        <w:rPr>
          <w:b/>
          <w:bCs/>
          <w:lang w:eastAsia="lv-LV"/>
        </w:rPr>
        <w:t>pilngraudu</w:t>
      </w:r>
      <w:proofErr w:type="spellEnd"/>
      <w:r w:rsidRPr="003840F8">
        <w:rPr>
          <w:b/>
          <w:bCs/>
          <w:lang w:eastAsia="lv-LV"/>
        </w:rPr>
        <w:t>).</w:t>
      </w:r>
      <w:r w:rsidRPr="003840F8">
        <w:rPr>
          <w:lang w:eastAsia="lv-LV"/>
        </w:rPr>
        <w:t> </w:t>
      </w:r>
    </w:p>
    <w:p w14:paraId="18BD0F6A" w14:textId="77777777" w:rsidR="00C45B4E" w:rsidRDefault="005F4053" w:rsidP="00C45B4E">
      <w:pPr>
        <w:ind w:firstLine="709"/>
        <w:jc w:val="both"/>
        <w:rPr>
          <w:lang w:eastAsia="lv-LV"/>
        </w:rPr>
      </w:pPr>
      <w:r w:rsidRPr="003840F8">
        <w:rPr>
          <w:lang w:eastAsia="lv-LV"/>
        </w:rPr>
        <w:t>Ekonomikas ministrija aicina Zemkopības ministriju papildināt pamatproduktu sarakstu, kam tiktu piemērota samazinātā 5% PVN likme, ar maizes piegādēm. Pēc Centrālās Statistikas pārvaldes (turpmāk – CSP) datiem maizes cena 2022. gada maijā, salīdzinot ar 2021. gada maiju, palielinājās par 17,1%. Maizes produkti tiek pieskaitīti pie pirmās nepieciešamības pārtikas precēm, tāpēc ir būtiski, ka tie ir pieejami visiem iedzīvotājiem, tai skaitā, Latvijas iedzīvotāju daļai ar zemākajiem ienākumiem un augstāku nabadzības risku.  </w:t>
      </w:r>
    </w:p>
    <w:p w14:paraId="6B78A1A5" w14:textId="0F8CB574" w:rsidR="005F4053" w:rsidRPr="004C720B" w:rsidRDefault="00C45B4E" w:rsidP="004C720B">
      <w:pPr>
        <w:ind w:firstLine="709"/>
        <w:jc w:val="both"/>
      </w:pPr>
      <w:r>
        <w:t xml:space="preserve">Pēc Ekonomikas ministrijas novērtējuma, ja pārtikas produktu grupā PVN likmes samazināšanai tiktu iekļauta arī maize, negatīvā fiskālā ietekme no samazinātās PVN 5 % likmes ieviešanas maizei varētu tikt vērtēta </w:t>
      </w:r>
      <w:r w:rsidRPr="00406E5E">
        <w:rPr>
          <w:b/>
          <w:bCs/>
        </w:rPr>
        <w:t xml:space="preserve">17 milj. </w:t>
      </w:r>
      <w:proofErr w:type="spellStart"/>
      <w:r w:rsidRPr="00406E5E">
        <w:rPr>
          <w:b/>
          <w:bCs/>
          <w:i/>
          <w:iCs/>
        </w:rPr>
        <w:t>euro</w:t>
      </w:r>
      <w:proofErr w:type="spellEnd"/>
      <w:r>
        <w:t xml:space="preserve"> apmērā,  </w:t>
      </w:r>
      <w:r w:rsidRPr="009C3C29">
        <w:t xml:space="preserve">kopumā veidojot </w:t>
      </w:r>
      <w:r w:rsidRPr="00406E5E">
        <w:rPr>
          <w:b/>
          <w:bCs/>
        </w:rPr>
        <w:t xml:space="preserve">69 milj. </w:t>
      </w:r>
      <w:proofErr w:type="spellStart"/>
      <w:r w:rsidRPr="00406E5E">
        <w:rPr>
          <w:b/>
          <w:bCs/>
          <w:i/>
          <w:iCs/>
        </w:rPr>
        <w:t>euro</w:t>
      </w:r>
      <w:proofErr w:type="spellEnd"/>
      <w:r w:rsidRPr="00406E5E">
        <w:rPr>
          <w:b/>
          <w:bCs/>
        </w:rPr>
        <w:t xml:space="preserve"> </w:t>
      </w:r>
      <w:r w:rsidRPr="009C3C29">
        <w:t>lielu ietekmi uz valsts budžetu</w:t>
      </w:r>
      <w:r>
        <w:t xml:space="preserve"> gadā.</w:t>
      </w:r>
    </w:p>
    <w:p w14:paraId="0DDE15E1" w14:textId="77777777" w:rsidR="005F4053" w:rsidRDefault="005F4053" w:rsidP="005F4053">
      <w:pPr>
        <w:ind w:firstLine="555"/>
        <w:jc w:val="both"/>
        <w:textAlignment w:val="baseline"/>
        <w:rPr>
          <w:b/>
          <w:bCs/>
          <w:u w:val="single"/>
          <w:lang w:eastAsia="lv-LV"/>
        </w:rPr>
      </w:pPr>
    </w:p>
    <w:p w14:paraId="1BFA119D"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b/>
          <w:bCs/>
          <w:u w:val="single"/>
          <w:lang w:eastAsia="lv-LV"/>
        </w:rPr>
        <w:t>[2] Ekonomikas ministrijas iniciatīva noteikt samazināto 5% PVN likmi arī sabiedriskās ēdināšanas pakalpojumu sniegšanai</w:t>
      </w:r>
      <w:r w:rsidRPr="003840F8">
        <w:rPr>
          <w:lang w:eastAsia="lv-LV"/>
        </w:rPr>
        <w:t> </w:t>
      </w:r>
    </w:p>
    <w:p w14:paraId="63826257"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lang w:eastAsia="lv-LV"/>
        </w:rPr>
        <w:t xml:space="preserve">Nosakot samazinātu PVN likmi pārtikas produktu </w:t>
      </w:r>
      <w:proofErr w:type="spellStart"/>
      <w:r w:rsidRPr="003840F8">
        <w:rPr>
          <w:lang w:eastAsia="lv-LV"/>
        </w:rPr>
        <w:t>pamatgrupām</w:t>
      </w:r>
      <w:proofErr w:type="spellEnd"/>
      <w:r w:rsidRPr="003840F8">
        <w:rPr>
          <w:lang w:eastAsia="lv-LV"/>
        </w:rPr>
        <w:t xml:space="preserve">, Ekonomikas ministrija ierosina noteikt samazinātu PVN likmi 5% apmērā arī sabiedriskās ēdināšanas pakalpojumu (NACE 2. </w:t>
      </w:r>
      <w:proofErr w:type="spellStart"/>
      <w:r w:rsidRPr="003840F8">
        <w:rPr>
          <w:lang w:eastAsia="lv-LV"/>
        </w:rPr>
        <w:t>red</w:t>
      </w:r>
      <w:proofErr w:type="spellEnd"/>
      <w:r w:rsidRPr="003840F8">
        <w:rPr>
          <w:lang w:eastAsia="lv-LV"/>
        </w:rPr>
        <w:t xml:space="preserve">. I sadaļas grupai 56.00 “Ēdināšanas pakalpojumi”) nozarei, tādējādi izvairoties no nesalīdzināmo PVN likmju radītā izmaksu pieauguma ēdināšanas pakalpojumiem. Tāpat samazinātā PVN likme veicinās ēdināšanas pakalpojumu sniedzēju atgūšanos pēc  COVID-19 </w:t>
      </w:r>
      <w:r w:rsidRPr="003840F8">
        <w:rPr>
          <w:lang w:eastAsia="lv-LV"/>
        </w:rPr>
        <w:lastRenderedPageBreak/>
        <w:t>pandēmijas un ar to saistītajiem darbības ierobežojumiem, sekmējot  īpaši mazo un vidējo uzņēmumu atgriešanos ekonomiskajā apritē, kā arī mazinot riskus nelegālai nodarbinātībai un vienlaikus sekmējot gan uzņēmumu attīstību, gan valsts budžeta ieņēmumus turpmākajos gados.  </w:t>
      </w:r>
    </w:p>
    <w:p w14:paraId="1C038730"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lang w:eastAsia="lv-LV"/>
        </w:rPr>
        <w:t>Eiropas Savienības Padomes 2006.gada 28.novembra direktīvas 2006/112/EK par kopējo pievienotās vērtības nodokļa sistēmu (turpmāk – PVN direktīva) 98. panta 1.punktā ir noteikts, ka dalībvalstis var piemērot vienu vai divas samazinātas likmes. PVN samazinātās likmes ieviešana ir atkāpe no vispārējās PVN sistēmas un PVN samazinātā likme kā tāda ir uzskatāma par valsts atbalsta instrumentu konkrētas nozares pakalpojumam. Uz šo brīdi Latvijā ir ieviestas divas PVN samazinātās likmes, proti, 12% un 5% apmērā. </w:t>
      </w:r>
    </w:p>
    <w:p w14:paraId="4E65FF46"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lang w:eastAsia="lv-LV"/>
        </w:rPr>
        <w:t xml:space="preserve">PVN direktīvas 98. panta regulējums ir izvēles norma un dalībvalsts to piemēro, ņemot vērā valsts budžeta iespējas un prioritātes. Saskaņā ar šo pantu PVN samazinātas likmes piemēro tādu kategoriju preču piegādei vai tādu kategoriju pakalpojumu sniegšanai, kas galvenokārt minēti PVN direktīvas III pielikumā. </w:t>
      </w:r>
      <w:r w:rsidRPr="003840F8">
        <w:rPr>
          <w:b/>
          <w:bCs/>
          <w:lang w:eastAsia="lv-LV"/>
        </w:rPr>
        <w:t>Atbilstoši PVN direktīvas III pielikumā noteiktajam, PVN samazināto likmi var piemērot arī restorānu un sabiedriskās ēdināšanas pakalpojumiem</w:t>
      </w:r>
      <w:r w:rsidRPr="003840F8">
        <w:rPr>
          <w:lang w:eastAsia="lv-LV"/>
        </w:rPr>
        <w:t xml:space="preserve"> ar iespēju to attiecināt vai neattiecināt uz (alkoholisko un/vai bezalkoholisko) dzērienu piegādēm. </w:t>
      </w:r>
    </w:p>
    <w:p w14:paraId="39FEFB2B"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lang w:eastAsia="lv-LV"/>
        </w:rPr>
        <w:t xml:space="preserve">Līguma par Eiropas Savienības darbību (turpmāk – Līgums) 107. panta 1.punkts definē kritērijus, kuriem izpildoties, valsts īstenots pasākums kvalificējas kā valsts atbalsts. Līguma 107. panta 1.punktā valsts atbalsts ir definēts kā jebkāds atbalsts, ko piešķir dalībvalstis vai ko jebkādā citā veidā piešķir no valsts līdzekļiem un kas rada vai draud radīt konkurences izkropļojumus, dodot priekšroku konkrētiem uzņēmumiem vai konkrētu preču ražošanai, ciktāl tāds atbalsts iespaido tirdzniecību starp dalībvalstīm. Ieviešot samazināto PVN likmi 5% apmērā ēdināšanas pakalpojumiem (NACE 2. </w:t>
      </w:r>
      <w:proofErr w:type="spellStart"/>
      <w:r w:rsidRPr="003840F8">
        <w:rPr>
          <w:lang w:eastAsia="lv-LV"/>
        </w:rPr>
        <w:t>red</w:t>
      </w:r>
      <w:proofErr w:type="spellEnd"/>
      <w:r w:rsidRPr="003840F8">
        <w:rPr>
          <w:lang w:eastAsia="lv-LV"/>
        </w:rPr>
        <w:t xml:space="preserve">. I sadaļas grupai 56.00 “Ēdināšanas pakalpojumi” (priekšlikums neattiecas uz alkoholisko dzērienu piegādēm)) strādājošajiem uzņēmumiem, ikviens uzņēmējs, kas sniedz šos ēdināšanas pakalpojumus un veic ar nodokli apliekamus darījumus, varēs piemērot samazināto PVN  likmi un ikviens Latvijas iedzīvotājs, kas pirks šos pakalpojumus, varēs tos iegādāties ar samazinātu PVN likmi. Tādējādi </w:t>
      </w:r>
      <w:r w:rsidRPr="003840F8">
        <w:rPr>
          <w:b/>
          <w:bCs/>
          <w:lang w:eastAsia="lv-LV"/>
        </w:rPr>
        <w:t>samazinātā PVN likme neveido priekšrocības atsevišķiem uzņēmumiem.</w:t>
      </w:r>
      <w:r w:rsidRPr="003840F8">
        <w:rPr>
          <w:lang w:eastAsia="lv-LV"/>
        </w:rPr>
        <w:t xml:space="preserve"> </w:t>
      </w:r>
      <w:r w:rsidRPr="003840F8">
        <w:rPr>
          <w:b/>
          <w:bCs/>
          <w:lang w:eastAsia="lv-LV"/>
        </w:rPr>
        <w:t>Turklāt PVN samazinātā likmes ieviešana netiek uzskatīta par selektīvu nodokļa atvieglojumu, jo atkāpe no PVN atsauces sistēmas ir ieviesta</w:t>
      </w:r>
      <w:r w:rsidRPr="003840F8">
        <w:rPr>
          <w:lang w:eastAsia="lv-LV"/>
        </w:rPr>
        <w:t xml:space="preserve"> </w:t>
      </w:r>
      <w:r w:rsidRPr="003840F8">
        <w:rPr>
          <w:b/>
          <w:bCs/>
          <w:lang w:eastAsia="lv-LV"/>
        </w:rPr>
        <w:t>ar mērķi mazināt ēnu ekonomiku, kā arī, lai novērstu krāpšanas vai nodokļu nemaksāšanas risku minētajās nozarēs.</w:t>
      </w:r>
      <w:r w:rsidRPr="003840F8">
        <w:rPr>
          <w:lang w:eastAsia="lv-LV"/>
        </w:rPr>
        <w:t> </w:t>
      </w:r>
    </w:p>
    <w:p w14:paraId="05F67931"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color w:val="000000"/>
          <w:lang w:eastAsia="lv-LV"/>
        </w:rPr>
        <w:t xml:space="preserve">Tāpat PVN direktīvas preambula (33.punkts) nosaka, ka, </w:t>
      </w:r>
      <w:r w:rsidRPr="003840F8">
        <w:rPr>
          <w:color w:val="000000"/>
          <w:shd w:val="clear" w:color="auto" w:fill="FFFFFF"/>
          <w:lang w:eastAsia="lv-LV"/>
        </w:rPr>
        <w:t>lai risinātu bezdarba problēmu, dalībvalstīm, kas to vēlas, būtu jāļauj eksperimentēt ar PVN samazinātās likmes piemērošanu darbietilpīgiem pakalpojumiem un tās ietekmes izvērtēšanu attiecībā uz jaunu darba vietu radīšanu. Ir būtiski nodrošināt ēdināšanas  uzņēmumu tālāku attīstību, kāpinot pieprasījumu pēc-pandēmijas periodā un radot jaunas darba vietas. </w:t>
      </w:r>
      <w:r w:rsidRPr="003840F8">
        <w:rPr>
          <w:color w:val="000000"/>
          <w:lang w:eastAsia="lv-LV"/>
        </w:rPr>
        <w:t> </w:t>
      </w:r>
    </w:p>
    <w:p w14:paraId="5B93F4BC" w14:textId="77777777" w:rsidR="005F4053" w:rsidRDefault="005F4053" w:rsidP="005F4053">
      <w:pPr>
        <w:ind w:firstLine="555"/>
        <w:jc w:val="both"/>
        <w:textAlignment w:val="baseline"/>
        <w:rPr>
          <w:b/>
          <w:bCs/>
          <w:color w:val="000000"/>
          <w:shd w:val="clear" w:color="auto" w:fill="FFFFFF"/>
          <w:lang w:eastAsia="lv-LV"/>
        </w:rPr>
      </w:pPr>
    </w:p>
    <w:p w14:paraId="5620C961"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b/>
          <w:bCs/>
          <w:color w:val="000000"/>
          <w:shd w:val="clear" w:color="auto" w:fill="FFFFFF"/>
          <w:lang w:eastAsia="lv-LV"/>
        </w:rPr>
        <w:t>2.1. Samazinātās PVN likmes ietekme uz ēnu ekonomiku</w:t>
      </w:r>
      <w:r w:rsidRPr="003840F8">
        <w:rPr>
          <w:color w:val="000000"/>
          <w:lang w:eastAsia="lv-LV"/>
        </w:rPr>
        <w:t> </w:t>
      </w:r>
    </w:p>
    <w:p w14:paraId="42DA7C75"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color w:val="000000"/>
          <w:shd w:val="clear" w:color="auto" w:fill="FFFFFF"/>
          <w:lang w:eastAsia="lv-LV"/>
        </w:rPr>
        <w:t>Saskaņā ar Finanšu ministrijas tīmekļa vietnē pieejamo informatīvo ziņojumu “Par ēnu ekonomikas ierobežošanas pasākumu efektivitāti un ēnu ekonomikas ierobežošanas plānu”</w:t>
      </w:r>
      <w:r w:rsidRPr="003840F8">
        <w:rPr>
          <w:color w:val="000000"/>
          <w:sz w:val="19"/>
          <w:szCs w:val="19"/>
          <w:shd w:val="clear" w:color="auto" w:fill="FFFFFF"/>
          <w:vertAlign w:val="superscript"/>
          <w:lang w:eastAsia="lv-LV"/>
        </w:rPr>
        <w:t>3</w:t>
      </w:r>
      <w:r w:rsidRPr="003840F8">
        <w:rPr>
          <w:color w:val="000000"/>
          <w:shd w:val="clear" w:color="auto" w:fill="FFFFFF"/>
          <w:lang w:eastAsia="lv-LV"/>
        </w:rPr>
        <w:t xml:space="preserve">, tiek ierosināts </w:t>
      </w:r>
      <w:r w:rsidRPr="003840F8">
        <w:rPr>
          <w:lang w:eastAsia="lv-LV"/>
        </w:rPr>
        <w:t xml:space="preserve">jaunam Ēnu ekonomikas ierobežošanas pasākumu plānam definēt šādu stratēģisko mērķi: “nozaru ministriju un valsts iestāžu integrēta un mērķtiecīga darbība, identificējot un novērtējot ēnu ekonomiku veicinošus faktorus noteiktās nozares politikās un ministriju atbildības darbības jomās, un īstenojot </w:t>
      </w:r>
      <w:proofErr w:type="spellStart"/>
      <w:r w:rsidRPr="003840F8">
        <w:rPr>
          <w:lang w:eastAsia="lv-LV"/>
        </w:rPr>
        <w:t>rīcībpolitikas</w:t>
      </w:r>
      <w:proofErr w:type="spellEnd"/>
      <w:r w:rsidRPr="003840F8">
        <w:rPr>
          <w:lang w:eastAsia="lv-LV"/>
        </w:rPr>
        <w:t xml:space="preserve"> pasākumus identificēto faktoru ietekmes mazināšanai.” Ēnu ekonomikas apmēra samazināšanai ir jābūt vienai no prioritātēm arī turpmākajos gados ar minimālo mērķi 2022.gadā sasniegt Eiropas valstīs esošās ēnu ekonomikas apmēru vidējos rādītājus un Artūra Krišjāņa Kariņa Valdības rīcības plānā ir apstiprināts mērķis 2022.gadā sasniegt ēnu ekonomikas īpatsvara samazinājumu līdz aptuveni 17%.  </w:t>
      </w:r>
    </w:p>
    <w:p w14:paraId="52E575C3"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lang w:eastAsia="lv-LV"/>
        </w:rPr>
        <w:lastRenderedPageBreak/>
        <w:t xml:space="preserve">Saskaņā ar </w:t>
      </w:r>
      <w:r w:rsidRPr="003840F8">
        <w:rPr>
          <w:color w:val="000000"/>
          <w:shd w:val="clear" w:color="auto" w:fill="FFFFFF"/>
          <w:lang w:eastAsia="lv-LV"/>
        </w:rPr>
        <w:t xml:space="preserve">Finanšu ministrijas informatīvajā ziņojumā sniegtajiem </w:t>
      </w:r>
      <w:r w:rsidRPr="003840F8">
        <w:rPr>
          <w:lang w:eastAsia="lv-LV"/>
        </w:rPr>
        <w:t xml:space="preserve">aprēķiniem ēnu ekonomikas apmēra samazinājums  par vienu procentpunktu valsts budžetā sniegtu papildu ieņēmumus aptuveni 113 milj. </w:t>
      </w:r>
      <w:proofErr w:type="spellStart"/>
      <w:r w:rsidRPr="003840F8">
        <w:rPr>
          <w:lang w:eastAsia="lv-LV"/>
        </w:rPr>
        <w:t>euro</w:t>
      </w:r>
      <w:proofErr w:type="spellEnd"/>
      <w:r w:rsidRPr="003840F8">
        <w:rPr>
          <w:lang w:eastAsia="lv-LV"/>
        </w:rPr>
        <w:t>. Ņemot vērā iepriekš minēto, Ekonomikas ministrija kā uzņēmējdarbības politiku, tostarp tūrisma nozari pārstāvošā ministrija rosina veikt grozījumus Pievienotās vērtības nodokļa likumā, paredzot, ka nodokļa samazināto likmi 5%  apmērā  no dienas, kad stāsies spēkā izmaiņas PVN likmei pārtikai,  piemēro</w:t>
      </w:r>
      <w:r w:rsidRPr="003840F8">
        <w:rPr>
          <w:b/>
          <w:bCs/>
          <w:lang w:eastAsia="lv-LV"/>
        </w:rPr>
        <w:t xml:space="preserve"> </w:t>
      </w:r>
      <w:r w:rsidRPr="003840F8">
        <w:rPr>
          <w:lang w:eastAsia="lv-LV"/>
        </w:rPr>
        <w:t xml:space="preserve">NACE 2. </w:t>
      </w:r>
      <w:proofErr w:type="spellStart"/>
      <w:r w:rsidRPr="003840F8">
        <w:rPr>
          <w:lang w:eastAsia="lv-LV"/>
        </w:rPr>
        <w:t>red</w:t>
      </w:r>
      <w:proofErr w:type="spellEnd"/>
      <w:r w:rsidRPr="003840F8">
        <w:rPr>
          <w:lang w:eastAsia="lv-LV"/>
        </w:rPr>
        <w:t>. I sadaļas grupai 56.00 “Ēdināšanas pakalpojumi” (priekšlikums neattiecas uz alkoholisko dzērienu piegādēm).  </w:t>
      </w:r>
    </w:p>
    <w:p w14:paraId="47E38AD6"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lang w:eastAsia="lv-LV"/>
        </w:rPr>
        <w:t>PVN samazinātās likmes noteikšana var atstāt pozitīvu ietekmi uz ēnu ekonomikas rādītājiem, vienlaikus paredzams, ka ar šo lēmumu patērētājiem kļūs pieejamāki augstāk minēto nozaru pakalpojumi</w:t>
      </w:r>
      <w:r w:rsidRPr="003840F8">
        <w:rPr>
          <w:b/>
          <w:bCs/>
          <w:lang w:eastAsia="lv-LV"/>
        </w:rPr>
        <w:t xml:space="preserve">. Attiecīgi PVN samazinātās likmes 5% apmērā ēdināšanas pakalpojumu nozarē mērķis ir veicināt uzņēmēju motivāciju </w:t>
      </w:r>
      <w:r w:rsidRPr="003840F8">
        <w:rPr>
          <w:b/>
          <w:bCs/>
          <w:color w:val="000000"/>
          <w:lang w:eastAsia="lv-LV"/>
        </w:rPr>
        <w:t>atgriezties ekonomiskajā apritē</w:t>
      </w:r>
      <w:r w:rsidRPr="003840F8">
        <w:rPr>
          <w:b/>
          <w:bCs/>
          <w:lang w:eastAsia="lv-LV"/>
        </w:rPr>
        <w:t xml:space="preserve"> un nodrošināt pakalpojumu pieejamību, mazināt ēnu ekonomikas riska faktoru, tādējādi </w:t>
      </w:r>
      <w:r w:rsidRPr="003840F8">
        <w:rPr>
          <w:b/>
          <w:bCs/>
          <w:color w:val="000000"/>
          <w:lang w:eastAsia="lv-LV"/>
        </w:rPr>
        <w:t>sekmējot uzņēmumu izaugsmi</w:t>
      </w:r>
      <w:r w:rsidRPr="003840F8">
        <w:rPr>
          <w:b/>
          <w:bCs/>
          <w:lang w:eastAsia="lv-LV"/>
        </w:rPr>
        <w:t xml:space="preserve"> tautsaimniecības rādītājos kopumā. </w:t>
      </w:r>
      <w:r w:rsidRPr="003840F8">
        <w:rPr>
          <w:lang w:eastAsia="lv-LV"/>
        </w:rPr>
        <w:t> </w:t>
      </w:r>
    </w:p>
    <w:p w14:paraId="7F521B24" w14:textId="77777777" w:rsidR="005F4053" w:rsidRDefault="005F4053" w:rsidP="005F4053">
      <w:pPr>
        <w:ind w:firstLine="555"/>
        <w:jc w:val="both"/>
        <w:textAlignment w:val="baseline"/>
        <w:rPr>
          <w:b/>
          <w:bCs/>
          <w:lang w:eastAsia="lv-LV"/>
        </w:rPr>
      </w:pPr>
    </w:p>
    <w:p w14:paraId="0BE82765"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b/>
          <w:bCs/>
          <w:lang w:eastAsia="lv-LV"/>
        </w:rPr>
        <w:t>2.2. PVN likmes sabiedriskās ēdināšanas pakalpojumiem un pārtikai ES valstīs</w:t>
      </w:r>
      <w:r w:rsidRPr="003840F8">
        <w:rPr>
          <w:lang w:eastAsia="lv-LV"/>
        </w:rPr>
        <w:t> </w:t>
      </w:r>
    </w:p>
    <w:p w14:paraId="643C1625"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lang w:eastAsia="lv-LV"/>
        </w:rPr>
        <w:t>Minētais priekšlikums balstīts arī uz situāciju ES dalībvalstīs, kurās ir nereta prakse komersantiem sniegt pagaidu PVN samazinājumu, tādējādi izlīdzinot situāciju ar tām ES dalībvalstīm, kurās šī likme ir zemāka pastāvīgi (skat. 1.tabulu). </w:t>
      </w:r>
    </w:p>
    <w:p w14:paraId="702A7C14" w14:textId="77777777" w:rsidR="005F4053" w:rsidRPr="003840F8" w:rsidRDefault="005F4053" w:rsidP="005F4053">
      <w:pPr>
        <w:ind w:firstLine="360"/>
        <w:jc w:val="right"/>
        <w:textAlignment w:val="baseline"/>
        <w:rPr>
          <w:rFonts w:ascii="Segoe UI" w:hAnsi="Segoe UI" w:cs="Segoe UI"/>
          <w:sz w:val="18"/>
          <w:szCs w:val="18"/>
          <w:lang w:eastAsia="lv-LV"/>
        </w:rPr>
      </w:pPr>
      <w:r w:rsidRPr="003840F8">
        <w:rPr>
          <w:lang w:eastAsia="lv-LV"/>
        </w:rPr>
        <w:t>1.tabula </w:t>
      </w:r>
    </w:p>
    <w:p w14:paraId="28E70806" w14:textId="77777777" w:rsidR="005F4053" w:rsidRPr="003840F8" w:rsidRDefault="005F4053" w:rsidP="005F4053">
      <w:pPr>
        <w:ind w:firstLine="360"/>
        <w:jc w:val="center"/>
        <w:textAlignment w:val="baseline"/>
        <w:rPr>
          <w:rFonts w:ascii="Segoe UI" w:hAnsi="Segoe UI" w:cs="Segoe UI"/>
          <w:sz w:val="18"/>
          <w:szCs w:val="18"/>
          <w:lang w:eastAsia="lv-LV"/>
        </w:rPr>
      </w:pPr>
      <w:r w:rsidRPr="003840F8">
        <w:rPr>
          <w:b/>
          <w:bCs/>
          <w:lang w:eastAsia="lv-LV"/>
        </w:rPr>
        <w:t xml:space="preserve">PVN likmes ES dalībvalstīs </w:t>
      </w:r>
      <w:r w:rsidRPr="003840F8">
        <w:rPr>
          <w:lang w:eastAsia="lv-LV"/>
        </w:rPr>
        <w:t>(t.sk., Lielbritānija) </w:t>
      </w:r>
    </w:p>
    <w:p w14:paraId="422B924A" w14:textId="77777777" w:rsidR="005F4053" w:rsidRPr="003840F8" w:rsidRDefault="005F4053" w:rsidP="005F4053">
      <w:pPr>
        <w:ind w:firstLine="360"/>
        <w:jc w:val="center"/>
        <w:textAlignment w:val="baseline"/>
        <w:rPr>
          <w:rFonts w:ascii="Segoe UI" w:hAnsi="Segoe UI" w:cs="Segoe UI"/>
          <w:sz w:val="18"/>
          <w:szCs w:val="18"/>
          <w:lang w:eastAsia="lv-LV"/>
        </w:rPr>
      </w:pPr>
      <w:r w:rsidRPr="003840F8">
        <w:rPr>
          <w:lang w:eastAsia="lv-LV"/>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0"/>
        <w:gridCol w:w="1500"/>
        <w:gridCol w:w="2835"/>
        <w:gridCol w:w="3390"/>
      </w:tblGrid>
      <w:tr w:rsidR="005F4053" w14:paraId="081C9D1F" w14:textId="77777777" w:rsidTr="007D6149">
        <w:trPr>
          <w:trHeight w:val="45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1C97FEFF" w14:textId="77777777" w:rsidR="005F4053" w:rsidRPr="003840F8" w:rsidRDefault="005F4053" w:rsidP="007D6149">
            <w:pPr>
              <w:jc w:val="center"/>
              <w:textAlignment w:val="baseline"/>
              <w:rPr>
                <w:lang w:eastAsia="lv-LV"/>
              </w:rPr>
            </w:pPr>
            <w:r w:rsidRPr="003840F8">
              <w:rPr>
                <w:b/>
                <w:bCs/>
                <w:lang w:eastAsia="lv-LV"/>
              </w:rPr>
              <w:t>Valsts</w:t>
            </w:r>
            <w:r w:rsidRPr="003840F8">
              <w:rPr>
                <w:lang w:eastAsia="lv-LV"/>
              </w:rPr>
              <w:t> </w:t>
            </w:r>
          </w:p>
        </w:tc>
        <w:tc>
          <w:tcPr>
            <w:tcW w:w="1500" w:type="dxa"/>
            <w:tcBorders>
              <w:top w:val="single" w:sz="6" w:space="0" w:color="auto"/>
              <w:left w:val="nil"/>
              <w:bottom w:val="single" w:sz="6" w:space="0" w:color="auto"/>
              <w:right w:val="single" w:sz="6" w:space="0" w:color="auto"/>
            </w:tcBorders>
            <w:shd w:val="clear" w:color="auto" w:fill="auto"/>
            <w:hideMark/>
          </w:tcPr>
          <w:p w14:paraId="0E1E3583" w14:textId="77777777" w:rsidR="005F4053" w:rsidRPr="003840F8" w:rsidRDefault="005F4053" w:rsidP="007D6149">
            <w:pPr>
              <w:jc w:val="center"/>
              <w:textAlignment w:val="baseline"/>
              <w:rPr>
                <w:lang w:eastAsia="lv-LV"/>
              </w:rPr>
            </w:pPr>
            <w:r w:rsidRPr="003840F8">
              <w:rPr>
                <w:b/>
                <w:bCs/>
                <w:lang w:eastAsia="lv-LV"/>
              </w:rPr>
              <w:t>Standarta PVN likme</w:t>
            </w:r>
            <w:r w:rsidRPr="003840F8">
              <w:rPr>
                <w:lang w:eastAsia="lv-LV"/>
              </w:rPr>
              <w:t> </w:t>
            </w:r>
          </w:p>
        </w:tc>
        <w:tc>
          <w:tcPr>
            <w:tcW w:w="2835" w:type="dxa"/>
            <w:tcBorders>
              <w:top w:val="single" w:sz="6" w:space="0" w:color="auto"/>
              <w:left w:val="nil"/>
              <w:bottom w:val="single" w:sz="6" w:space="0" w:color="auto"/>
              <w:right w:val="single" w:sz="6" w:space="0" w:color="auto"/>
            </w:tcBorders>
            <w:shd w:val="clear" w:color="auto" w:fill="auto"/>
            <w:hideMark/>
          </w:tcPr>
          <w:p w14:paraId="37F790E5" w14:textId="77777777" w:rsidR="005F4053" w:rsidRPr="003840F8" w:rsidRDefault="005F4053" w:rsidP="007D6149">
            <w:pPr>
              <w:jc w:val="center"/>
              <w:textAlignment w:val="baseline"/>
              <w:rPr>
                <w:lang w:eastAsia="lv-LV"/>
              </w:rPr>
            </w:pPr>
            <w:r w:rsidRPr="003840F8">
              <w:rPr>
                <w:b/>
                <w:bCs/>
                <w:lang w:eastAsia="lv-LV"/>
              </w:rPr>
              <w:t>Restorāni / ēdināšanas pakalpojumi</w:t>
            </w:r>
            <w:r w:rsidRPr="003840F8">
              <w:rPr>
                <w:lang w:eastAsia="lv-LV"/>
              </w:rPr>
              <w:t> </w:t>
            </w:r>
          </w:p>
          <w:p w14:paraId="2F7E84C6" w14:textId="77777777" w:rsidR="005F4053" w:rsidRPr="003840F8" w:rsidRDefault="005F4053" w:rsidP="007D6149">
            <w:pPr>
              <w:jc w:val="center"/>
              <w:textAlignment w:val="baseline"/>
              <w:rPr>
                <w:lang w:eastAsia="lv-LV"/>
              </w:rPr>
            </w:pPr>
            <w:r w:rsidRPr="003840F8">
              <w:rPr>
                <w:lang w:eastAsia="lv-LV"/>
              </w:rPr>
              <w:t>PVN likme (%) </w:t>
            </w:r>
          </w:p>
        </w:tc>
        <w:tc>
          <w:tcPr>
            <w:tcW w:w="3390" w:type="dxa"/>
            <w:tcBorders>
              <w:top w:val="single" w:sz="6" w:space="0" w:color="auto"/>
              <w:left w:val="nil"/>
              <w:bottom w:val="single" w:sz="6" w:space="0" w:color="auto"/>
              <w:right w:val="single" w:sz="6" w:space="0" w:color="auto"/>
            </w:tcBorders>
            <w:shd w:val="clear" w:color="auto" w:fill="auto"/>
            <w:hideMark/>
          </w:tcPr>
          <w:p w14:paraId="23B862C5" w14:textId="77777777" w:rsidR="005F4053" w:rsidRPr="003840F8" w:rsidRDefault="005F4053" w:rsidP="007D6149">
            <w:pPr>
              <w:jc w:val="center"/>
              <w:textAlignment w:val="baseline"/>
              <w:rPr>
                <w:lang w:eastAsia="lv-LV"/>
              </w:rPr>
            </w:pPr>
            <w:r w:rsidRPr="003840F8">
              <w:rPr>
                <w:b/>
                <w:bCs/>
                <w:lang w:eastAsia="lv-LV"/>
              </w:rPr>
              <w:t>Pārtika</w:t>
            </w:r>
            <w:r w:rsidRPr="003840F8">
              <w:rPr>
                <w:lang w:eastAsia="lv-LV"/>
              </w:rPr>
              <w:t> </w:t>
            </w:r>
          </w:p>
          <w:p w14:paraId="73B1D3F0" w14:textId="77777777" w:rsidR="005F4053" w:rsidRPr="003840F8" w:rsidRDefault="005F4053" w:rsidP="007D6149">
            <w:pPr>
              <w:jc w:val="center"/>
              <w:textAlignment w:val="baseline"/>
              <w:rPr>
                <w:lang w:eastAsia="lv-LV"/>
              </w:rPr>
            </w:pPr>
            <w:r w:rsidRPr="003840F8">
              <w:rPr>
                <w:lang w:eastAsia="lv-LV"/>
              </w:rPr>
              <w:t>PVN likme (%) </w:t>
            </w:r>
          </w:p>
        </w:tc>
      </w:tr>
      <w:tr w:rsidR="005F4053" w14:paraId="15AF8334" w14:textId="77777777" w:rsidTr="007D6149">
        <w:tc>
          <w:tcPr>
            <w:tcW w:w="1320" w:type="dxa"/>
            <w:tcBorders>
              <w:top w:val="nil"/>
              <w:left w:val="single" w:sz="6" w:space="0" w:color="auto"/>
              <w:bottom w:val="single" w:sz="6" w:space="0" w:color="auto"/>
              <w:right w:val="single" w:sz="6" w:space="0" w:color="auto"/>
            </w:tcBorders>
            <w:shd w:val="clear" w:color="auto" w:fill="auto"/>
            <w:hideMark/>
          </w:tcPr>
          <w:p w14:paraId="4CC45659" w14:textId="77777777" w:rsidR="005F4053" w:rsidRPr="003840F8" w:rsidRDefault="005F4053" w:rsidP="007D6149">
            <w:pPr>
              <w:jc w:val="both"/>
              <w:textAlignment w:val="baseline"/>
              <w:rPr>
                <w:lang w:eastAsia="lv-LV"/>
              </w:rPr>
            </w:pPr>
            <w:r w:rsidRPr="003840F8">
              <w:rPr>
                <w:lang w:eastAsia="lv-LV"/>
              </w:rPr>
              <w:t>Latvija </w:t>
            </w:r>
          </w:p>
        </w:tc>
        <w:tc>
          <w:tcPr>
            <w:tcW w:w="1500" w:type="dxa"/>
            <w:tcBorders>
              <w:top w:val="nil"/>
              <w:left w:val="nil"/>
              <w:bottom w:val="single" w:sz="6" w:space="0" w:color="auto"/>
              <w:right w:val="single" w:sz="6" w:space="0" w:color="auto"/>
            </w:tcBorders>
            <w:shd w:val="clear" w:color="auto" w:fill="auto"/>
            <w:hideMark/>
          </w:tcPr>
          <w:p w14:paraId="233174FE" w14:textId="77777777" w:rsidR="005F4053" w:rsidRPr="003840F8" w:rsidRDefault="005F4053" w:rsidP="007D6149">
            <w:pPr>
              <w:jc w:val="both"/>
              <w:textAlignment w:val="baseline"/>
              <w:rPr>
                <w:lang w:eastAsia="lv-LV"/>
              </w:rPr>
            </w:pPr>
            <w:r w:rsidRPr="003840F8">
              <w:rPr>
                <w:lang w:eastAsia="lv-LV"/>
              </w:rPr>
              <w:t>21% </w:t>
            </w:r>
          </w:p>
        </w:tc>
        <w:tc>
          <w:tcPr>
            <w:tcW w:w="2835" w:type="dxa"/>
            <w:tcBorders>
              <w:top w:val="nil"/>
              <w:left w:val="nil"/>
              <w:bottom w:val="single" w:sz="6" w:space="0" w:color="auto"/>
              <w:right w:val="single" w:sz="6" w:space="0" w:color="auto"/>
            </w:tcBorders>
            <w:shd w:val="clear" w:color="auto" w:fill="auto"/>
            <w:hideMark/>
          </w:tcPr>
          <w:p w14:paraId="3B61F3E3" w14:textId="77777777" w:rsidR="005F4053" w:rsidRPr="003840F8" w:rsidRDefault="005F4053" w:rsidP="007D6149">
            <w:pPr>
              <w:jc w:val="both"/>
              <w:textAlignment w:val="baseline"/>
              <w:rPr>
                <w:lang w:eastAsia="lv-LV"/>
              </w:rPr>
            </w:pPr>
            <w:r w:rsidRPr="003840F8">
              <w:rPr>
                <w:lang w:eastAsia="lv-LV"/>
              </w:rPr>
              <w:t>21%  </w:t>
            </w:r>
          </w:p>
        </w:tc>
        <w:tc>
          <w:tcPr>
            <w:tcW w:w="3390" w:type="dxa"/>
            <w:tcBorders>
              <w:top w:val="nil"/>
              <w:left w:val="nil"/>
              <w:bottom w:val="single" w:sz="6" w:space="0" w:color="auto"/>
              <w:right w:val="single" w:sz="6" w:space="0" w:color="auto"/>
            </w:tcBorders>
            <w:shd w:val="clear" w:color="auto" w:fill="auto"/>
            <w:hideMark/>
          </w:tcPr>
          <w:p w14:paraId="37D62D79" w14:textId="77777777" w:rsidR="005F4053" w:rsidRPr="003840F8" w:rsidRDefault="005F4053" w:rsidP="007D6149">
            <w:pPr>
              <w:jc w:val="both"/>
              <w:textAlignment w:val="baseline"/>
              <w:rPr>
                <w:lang w:eastAsia="lv-LV"/>
              </w:rPr>
            </w:pPr>
            <w:r w:rsidRPr="003840F8">
              <w:rPr>
                <w:lang w:eastAsia="lv-LV"/>
              </w:rPr>
              <w:t>5% (līdz 2023.gada beigām, svaigiem augļiem, ogām un dārzeņiem ) </w:t>
            </w:r>
          </w:p>
          <w:p w14:paraId="2E9B44EA" w14:textId="77777777" w:rsidR="005F4053" w:rsidRPr="003840F8" w:rsidRDefault="005F4053" w:rsidP="007D6149">
            <w:pPr>
              <w:jc w:val="both"/>
              <w:textAlignment w:val="baseline"/>
              <w:rPr>
                <w:lang w:eastAsia="lv-LV"/>
              </w:rPr>
            </w:pPr>
            <w:r w:rsidRPr="003840F8">
              <w:rPr>
                <w:lang w:eastAsia="lv-LV"/>
              </w:rPr>
              <w:t>/12%(Zīdaiņu pārtika)  </w:t>
            </w:r>
          </w:p>
        </w:tc>
      </w:tr>
      <w:tr w:rsidR="005F4053" w14:paraId="1EB0EF6D" w14:textId="77777777" w:rsidTr="007D6149">
        <w:tc>
          <w:tcPr>
            <w:tcW w:w="1320" w:type="dxa"/>
            <w:tcBorders>
              <w:top w:val="nil"/>
              <w:left w:val="single" w:sz="6" w:space="0" w:color="auto"/>
              <w:bottom w:val="single" w:sz="6" w:space="0" w:color="auto"/>
              <w:right w:val="single" w:sz="6" w:space="0" w:color="auto"/>
            </w:tcBorders>
            <w:shd w:val="clear" w:color="auto" w:fill="auto"/>
            <w:hideMark/>
          </w:tcPr>
          <w:p w14:paraId="09490C3B" w14:textId="77777777" w:rsidR="005F4053" w:rsidRPr="003840F8" w:rsidRDefault="005F4053" w:rsidP="007D6149">
            <w:pPr>
              <w:jc w:val="both"/>
              <w:textAlignment w:val="baseline"/>
              <w:rPr>
                <w:lang w:eastAsia="lv-LV"/>
              </w:rPr>
            </w:pPr>
            <w:r w:rsidRPr="003840F8">
              <w:rPr>
                <w:lang w:eastAsia="lv-LV"/>
              </w:rPr>
              <w:t>Igaunija </w:t>
            </w:r>
          </w:p>
        </w:tc>
        <w:tc>
          <w:tcPr>
            <w:tcW w:w="1500" w:type="dxa"/>
            <w:tcBorders>
              <w:top w:val="nil"/>
              <w:left w:val="nil"/>
              <w:bottom w:val="single" w:sz="6" w:space="0" w:color="auto"/>
              <w:right w:val="single" w:sz="6" w:space="0" w:color="auto"/>
            </w:tcBorders>
            <w:shd w:val="clear" w:color="auto" w:fill="auto"/>
            <w:hideMark/>
          </w:tcPr>
          <w:p w14:paraId="5266D899" w14:textId="77777777" w:rsidR="005F4053" w:rsidRPr="003840F8" w:rsidRDefault="005F4053" w:rsidP="007D6149">
            <w:pPr>
              <w:jc w:val="both"/>
              <w:textAlignment w:val="baseline"/>
              <w:rPr>
                <w:lang w:eastAsia="lv-LV"/>
              </w:rPr>
            </w:pPr>
            <w:r w:rsidRPr="003840F8">
              <w:rPr>
                <w:lang w:eastAsia="lv-LV"/>
              </w:rPr>
              <w:t>20% </w:t>
            </w:r>
          </w:p>
        </w:tc>
        <w:tc>
          <w:tcPr>
            <w:tcW w:w="2835" w:type="dxa"/>
            <w:tcBorders>
              <w:top w:val="nil"/>
              <w:left w:val="nil"/>
              <w:bottom w:val="single" w:sz="6" w:space="0" w:color="auto"/>
              <w:right w:val="single" w:sz="6" w:space="0" w:color="auto"/>
            </w:tcBorders>
            <w:shd w:val="clear" w:color="auto" w:fill="auto"/>
            <w:hideMark/>
          </w:tcPr>
          <w:p w14:paraId="4E904304" w14:textId="77777777" w:rsidR="005F4053" w:rsidRPr="003840F8" w:rsidRDefault="005F4053" w:rsidP="007D6149">
            <w:pPr>
              <w:jc w:val="both"/>
              <w:textAlignment w:val="baseline"/>
              <w:rPr>
                <w:lang w:eastAsia="lv-LV"/>
              </w:rPr>
            </w:pPr>
            <w:r w:rsidRPr="003840F8">
              <w:rPr>
                <w:lang w:eastAsia="lv-LV"/>
              </w:rPr>
              <w:t>20% </w:t>
            </w:r>
          </w:p>
        </w:tc>
        <w:tc>
          <w:tcPr>
            <w:tcW w:w="3390" w:type="dxa"/>
            <w:tcBorders>
              <w:top w:val="nil"/>
              <w:left w:val="nil"/>
              <w:bottom w:val="single" w:sz="6" w:space="0" w:color="auto"/>
              <w:right w:val="single" w:sz="6" w:space="0" w:color="auto"/>
            </w:tcBorders>
            <w:shd w:val="clear" w:color="auto" w:fill="auto"/>
            <w:hideMark/>
          </w:tcPr>
          <w:p w14:paraId="0F67DDB4" w14:textId="77777777" w:rsidR="005F4053" w:rsidRPr="003840F8" w:rsidRDefault="005F4053" w:rsidP="007D6149">
            <w:pPr>
              <w:textAlignment w:val="baseline"/>
              <w:rPr>
                <w:lang w:eastAsia="lv-LV"/>
              </w:rPr>
            </w:pPr>
            <w:r w:rsidRPr="003840F8">
              <w:rPr>
                <w:lang w:eastAsia="lv-LV"/>
              </w:rPr>
              <w:t>20% </w:t>
            </w:r>
          </w:p>
        </w:tc>
      </w:tr>
      <w:tr w:rsidR="005F4053" w14:paraId="64482193" w14:textId="77777777" w:rsidTr="007D6149">
        <w:tc>
          <w:tcPr>
            <w:tcW w:w="1320" w:type="dxa"/>
            <w:tcBorders>
              <w:top w:val="nil"/>
              <w:left w:val="single" w:sz="6" w:space="0" w:color="auto"/>
              <w:bottom w:val="single" w:sz="6" w:space="0" w:color="auto"/>
              <w:right w:val="single" w:sz="6" w:space="0" w:color="auto"/>
            </w:tcBorders>
            <w:shd w:val="clear" w:color="auto" w:fill="auto"/>
            <w:hideMark/>
          </w:tcPr>
          <w:p w14:paraId="04DDE272" w14:textId="77777777" w:rsidR="005F4053" w:rsidRPr="003840F8" w:rsidRDefault="005F4053" w:rsidP="007D6149">
            <w:pPr>
              <w:jc w:val="both"/>
              <w:textAlignment w:val="baseline"/>
              <w:rPr>
                <w:lang w:eastAsia="lv-LV"/>
              </w:rPr>
            </w:pPr>
            <w:r w:rsidRPr="003840F8">
              <w:rPr>
                <w:lang w:eastAsia="lv-LV"/>
              </w:rPr>
              <w:t>Slovākija </w:t>
            </w:r>
          </w:p>
        </w:tc>
        <w:tc>
          <w:tcPr>
            <w:tcW w:w="1500" w:type="dxa"/>
            <w:tcBorders>
              <w:top w:val="nil"/>
              <w:left w:val="nil"/>
              <w:bottom w:val="single" w:sz="6" w:space="0" w:color="auto"/>
              <w:right w:val="single" w:sz="6" w:space="0" w:color="auto"/>
            </w:tcBorders>
            <w:shd w:val="clear" w:color="auto" w:fill="auto"/>
            <w:hideMark/>
          </w:tcPr>
          <w:p w14:paraId="4F44EB95" w14:textId="77777777" w:rsidR="005F4053" w:rsidRPr="003840F8" w:rsidRDefault="005F4053" w:rsidP="007D6149">
            <w:pPr>
              <w:jc w:val="both"/>
              <w:textAlignment w:val="baseline"/>
              <w:rPr>
                <w:lang w:eastAsia="lv-LV"/>
              </w:rPr>
            </w:pPr>
            <w:r w:rsidRPr="003840F8">
              <w:rPr>
                <w:lang w:eastAsia="lv-LV"/>
              </w:rPr>
              <w:t>20% </w:t>
            </w:r>
          </w:p>
        </w:tc>
        <w:tc>
          <w:tcPr>
            <w:tcW w:w="2835" w:type="dxa"/>
            <w:tcBorders>
              <w:top w:val="nil"/>
              <w:left w:val="nil"/>
              <w:bottom w:val="single" w:sz="6" w:space="0" w:color="auto"/>
              <w:right w:val="single" w:sz="6" w:space="0" w:color="auto"/>
            </w:tcBorders>
            <w:shd w:val="clear" w:color="auto" w:fill="auto"/>
            <w:hideMark/>
          </w:tcPr>
          <w:p w14:paraId="220E8780" w14:textId="77777777" w:rsidR="005F4053" w:rsidRPr="003840F8" w:rsidRDefault="005F4053" w:rsidP="007D6149">
            <w:pPr>
              <w:jc w:val="both"/>
              <w:textAlignment w:val="baseline"/>
              <w:rPr>
                <w:lang w:eastAsia="lv-LV"/>
              </w:rPr>
            </w:pPr>
            <w:r w:rsidRPr="003840F8">
              <w:rPr>
                <w:lang w:eastAsia="lv-LV"/>
              </w:rPr>
              <w:t>20% </w:t>
            </w:r>
          </w:p>
        </w:tc>
        <w:tc>
          <w:tcPr>
            <w:tcW w:w="3390" w:type="dxa"/>
            <w:tcBorders>
              <w:top w:val="nil"/>
              <w:left w:val="nil"/>
              <w:bottom w:val="single" w:sz="6" w:space="0" w:color="auto"/>
              <w:right w:val="single" w:sz="6" w:space="0" w:color="auto"/>
            </w:tcBorders>
            <w:shd w:val="clear" w:color="auto" w:fill="auto"/>
            <w:hideMark/>
          </w:tcPr>
          <w:p w14:paraId="22710135" w14:textId="77777777" w:rsidR="005F4053" w:rsidRPr="003840F8" w:rsidRDefault="005F4053" w:rsidP="007D6149">
            <w:pPr>
              <w:jc w:val="both"/>
              <w:textAlignment w:val="baseline"/>
              <w:rPr>
                <w:lang w:eastAsia="lv-LV"/>
              </w:rPr>
            </w:pPr>
            <w:r w:rsidRPr="003840F8">
              <w:rPr>
                <w:lang w:eastAsia="lv-LV"/>
              </w:rPr>
              <w:t>20%/10%(Pirmās nepieciešamības pārtikas preces.) </w:t>
            </w:r>
          </w:p>
        </w:tc>
      </w:tr>
      <w:tr w:rsidR="005F4053" w14:paraId="6F29F65C" w14:textId="77777777" w:rsidTr="007D6149">
        <w:tc>
          <w:tcPr>
            <w:tcW w:w="1320" w:type="dxa"/>
            <w:tcBorders>
              <w:top w:val="nil"/>
              <w:left w:val="single" w:sz="6" w:space="0" w:color="auto"/>
              <w:bottom w:val="single" w:sz="6" w:space="0" w:color="auto"/>
              <w:right w:val="single" w:sz="6" w:space="0" w:color="auto"/>
            </w:tcBorders>
            <w:shd w:val="clear" w:color="auto" w:fill="auto"/>
            <w:hideMark/>
          </w:tcPr>
          <w:p w14:paraId="3E3CDDA4" w14:textId="77777777" w:rsidR="005F4053" w:rsidRPr="003840F8" w:rsidRDefault="005F4053" w:rsidP="007D6149">
            <w:pPr>
              <w:jc w:val="both"/>
              <w:textAlignment w:val="baseline"/>
              <w:rPr>
                <w:lang w:eastAsia="lv-LV"/>
              </w:rPr>
            </w:pPr>
            <w:r w:rsidRPr="003840F8">
              <w:rPr>
                <w:lang w:eastAsia="lv-LV"/>
              </w:rPr>
              <w:t>Slovēnija </w:t>
            </w:r>
          </w:p>
        </w:tc>
        <w:tc>
          <w:tcPr>
            <w:tcW w:w="1500" w:type="dxa"/>
            <w:tcBorders>
              <w:top w:val="nil"/>
              <w:left w:val="nil"/>
              <w:bottom w:val="single" w:sz="6" w:space="0" w:color="auto"/>
              <w:right w:val="single" w:sz="6" w:space="0" w:color="auto"/>
            </w:tcBorders>
            <w:shd w:val="clear" w:color="auto" w:fill="auto"/>
            <w:hideMark/>
          </w:tcPr>
          <w:p w14:paraId="400FC33B" w14:textId="77777777" w:rsidR="005F4053" w:rsidRPr="003840F8" w:rsidRDefault="005F4053" w:rsidP="007D6149">
            <w:pPr>
              <w:jc w:val="both"/>
              <w:textAlignment w:val="baseline"/>
              <w:rPr>
                <w:lang w:eastAsia="lv-LV"/>
              </w:rPr>
            </w:pPr>
            <w:r w:rsidRPr="003840F8">
              <w:rPr>
                <w:lang w:eastAsia="lv-LV"/>
              </w:rPr>
              <w:t>22% </w:t>
            </w:r>
          </w:p>
        </w:tc>
        <w:tc>
          <w:tcPr>
            <w:tcW w:w="2835" w:type="dxa"/>
            <w:tcBorders>
              <w:top w:val="nil"/>
              <w:left w:val="nil"/>
              <w:bottom w:val="single" w:sz="6" w:space="0" w:color="auto"/>
              <w:right w:val="single" w:sz="6" w:space="0" w:color="auto"/>
            </w:tcBorders>
            <w:shd w:val="clear" w:color="auto" w:fill="auto"/>
            <w:hideMark/>
          </w:tcPr>
          <w:p w14:paraId="37C1826E" w14:textId="77777777" w:rsidR="005F4053" w:rsidRPr="003840F8" w:rsidRDefault="005F4053" w:rsidP="007D6149">
            <w:pPr>
              <w:jc w:val="both"/>
              <w:textAlignment w:val="baseline"/>
              <w:rPr>
                <w:lang w:eastAsia="lv-LV"/>
              </w:rPr>
            </w:pPr>
            <w:r w:rsidRPr="003840F8">
              <w:rPr>
                <w:lang w:eastAsia="lv-LV"/>
              </w:rPr>
              <w:t>9,5% (izņemot alkoholu) </w:t>
            </w:r>
          </w:p>
        </w:tc>
        <w:tc>
          <w:tcPr>
            <w:tcW w:w="3390" w:type="dxa"/>
            <w:tcBorders>
              <w:top w:val="nil"/>
              <w:left w:val="nil"/>
              <w:bottom w:val="single" w:sz="6" w:space="0" w:color="auto"/>
              <w:right w:val="single" w:sz="6" w:space="0" w:color="auto"/>
            </w:tcBorders>
            <w:shd w:val="clear" w:color="auto" w:fill="auto"/>
            <w:hideMark/>
          </w:tcPr>
          <w:p w14:paraId="15B58131" w14:textId="77777777" w:rsidR="005F4053" w:rsidRPr="003840F8" w:rsidRDefault="005F4053" w:rsidP="007D6149">
            <w:pPr>
              <w:jc w:val="both"/>
              <w:textAlignment w:val="baseline"/>
              <w:rPr>
                <w:lang w:eastAsia="lv-LV"/>
              </w:rPr>
            </w:pPr>
            <w:r w:rsidRPr="003840F8">
              <w:rPr>
                <w:lang w:eastAsia="lv-LV"/>
              </w:rPr>
              <w:t>9,5%(izņemot alkoholu) </w:t>
            </w:r>
          </w:p>
        </w:tc>
      </w:tr>
      <w:tr w:rsidR="005F4053" w14:paraId="26AFE5A1" w14:textId="77777777" w:rsidTr="007D6149">
        <w:tc>
          <w:tcPr>
            <w:tcW w:w="1320" w:type="dxa"/>
            <w:tcBorders>
              <w:top w:val="nil"/>
              <w:left w:val="single" w:sz="6" w:space="0" w:color="auto"/>
              <w:bottom w:val="single" w:sz="6" w:space="0" w:color="auto"/>
              <w:right w:val="single" w:sz="6" w:space="0" w:color="auto"/>
            </w:tcBorders>
            <w:shd w:val="clear" w:color="auto" w:fill="auto"/>
            <w:hideMark/>
          </w:tcPr>
          <w:p w14:paraId="37DD2527" w14:textId="77777777" w:rsidR="005F4053" w:rsidRPr="003840F8" w:rsidRDefault="005F4053" w:rsidP="007D6149">
            <w:pPr>
              <w:textAlignment w:val="baseline"/>
              <w:rPr>
                <w:lang w:eastAsia="lv-LV"/>
              </w:rPr>
            </w:pPr>
            <w:r w:rsidRPr="003840F8">
              <w:rPr>
                <w:lang w:eastAsia="lv-LV"/>
              </w:rPr>
              <w:t>Lietuva </w:t>
            </w:r>
          </w:p>
        </w:tc>
        <w:tc>
          <w:tcPr>
            <w:tcW w:w="1500" w:type="dxa"/>
            <w:tcBorders>
              <w:top w:val="nil"/>
              <w:left w:val="nil"/>
              <w:bottom w:val="single" w:sz="6" w:space="0" w:color="auto"/>
              <w:right w:val="single" w:sz="6" w:space="0" w:color="auto"/>
            </w:tcBorders>
            <w:shd w:val="clear" w:color="auto" w:fill="auto"/>
            <w:hideMark/>
          </w:tcPr>
          <w:p w14:paraId="39E71B37" w14:textId="77777777" w:rsidR="005F4053" w:rsidRPr="003840F8" w:rsidRDefault="005F4053" w:rsidP="007D6149">
            <w:pPr>
              <w:textAlignment w:val="baseline"/>
              <w:rPr>
                <w:lang w:eastAsia="lv-LV"/>
              </w:rPr>
            </w:pPr>
            <w:r w:rsidRPr="003840F8">
              <w:rPr>
                <w:lang w:eastAsia="lv-LV"/>
              </w:rPr>
              <w:t>21% </w:t>
            </w:r>
          </w:p>
        </w:tc>
        <w:tc>
          <w:tcPr>
            <w:tcW w:w="2835" w:type="dxa"/>
            <w:tcBorders>
              <w:top w:val="nil"/>
              <w:left w:val="nil"/>
              <w:bottom w:val="single" w:sz="6" w:space="0" w:color="auto"/>
              <w:right w:val="single" w:sz="6" w:space="0" w:color="auto"/>
            </w:tcBorders>
            <w:shd w:val="clear" w:color="auto" w:fill="auto"/>
            <w:hideMark/>
          </w:tcPr>
          <w:p w14:paraId="720BE2D8" w14:textId="77777777" w:rsidR="005F4053" w:rsidRPr="003840F8" w:rsidRDefault="005F4053" w:rsidP="007D6149">
            <w:pPr>
              <w:textAlignment w:val="baseline"/>
              <w:rPr>
                <w:lang w:eastAsia="lv-LV"/>
              </w:rPr>
            </w:pPr>
            <w:r w:rsidRPr="003840F8">
              <w:rPr>
                <w:lang w:eastAsia="lv-LV"/>
              </w:rPr>
              <w:t>9% (līdz 2022. gada beigām, izņemot alkoholu) </w:t>
            </w:r>
          </w:p>
        </w:tc>
        <w:tc>
          <w:tcPr>
            <w:tcW w:w="3390" w:type="dxa"/>
            <w:tcBorders>
              <w:top w:val="nil"/>
              <w:left w:val="nil"/>
              <w:bottom w:val="single" w:sz="6" w:space="0" w:color="auto"/>
              <w:right w:val="single" w:sz="6" w:space="0" w:color="auto"/>
            </w:tcBorders>
            <w:shd w:val="clear" w:color="auto" w:fill="auto"/>
            <w:hideMark/>
          </w:tcPr>
          <w:p w14:paraId="4D0A7ED1" w14:textId="77777777" w:rsidR="005F4053" w:rsidRPr="003840F8" w:rsidRDefault="005F4053" w:rsidP="007D6149">
            <w:pPr>
              <w:textAlignment w:val="baseline"/>
              <w:rPr>
                <w:lang w:eastAsia="lv-LV"/>
              </w:rPr>
            </w:pPr>
            <w:r w:rsidRPr="003840F8">
              <w:rPr>
                <w:lang w:eastAsia="lv-LV"/>
              </w:rPr>
              <w:t>9% (līdz 2022. gada beigām, izņemot alkoholu) </w:t>
            </w:r>
          </w:p>
        </w:tc>
      </w:tr>
      <w:tr w:rsidR="005F4053" w14:paraId="2A4C609E" w14:textId="77777777" w:rsidTr="007D6149">
        <w:tc>
          <w:tcPr>
            <w:tcW w:w="1320" w:type="dxa"/>
            <w:tcBorders>
              <w:top w:val="nil"/>
              <w:left w:val="single" w:sz="6" w:space="0" w:color="auto"/>
              <w:bottom w:val="single" w:sz="6" w:space="0" w:color="auto"/>
              <w:right w:val="single" w:sz="6" w:space="0" w:color="auto"/>
            </w:tcBorders>
            <w:shd w:val="clear" w:color="auto" w:fill="auto"/>
            <w:hideMark/>
          </w:tcPr>
          <w:p w14:paraId="450912D3" w14:textId="77777777" w:rsidR="005F4053" w:rsidRPr="003840F8" w:rsidRDefault="005F4053" w:rsidP="007D6149">
            <w:pPr>
              <w:jc w:val="both"/>
              <w:textAlignment w:val="baseline"/>
              <w:rPr>
                <w:lang w:eastAsia="lv-LV"/>
              </w:rPr>
            </w:pPr>
            <w:r w:rsidRPr="003840F8">
              <w:rPr>
                <w:lang w:eastAsia="lv-LV"/>
              </w:rPr>
              <w:t>Norvēģija </w:t>
            </w:r>
          </w:p>
        </w:tc>
        <w:tc>
          <w:tcPr>
            <w:tcW w:w="1500" w:type="dxa"/>
            <w:tcBorders>
              <w:top w:val="nil"/>
              <w:left w:val="nil"/>
              <w:bottom w:val="single" w:sz="6" w:space="0" w:color="auto"/>
              <w:right w:val="single" w:sz="6" w:space="0" w:color="auto"/>
            </w:tcBorders>
            <w:shd w:val="clear" w:color="auto" w:fill="auto"/>
            <w:hideMark/>
          </w:tcPr>
          <w:p w14:paraId="0824117B" w14:textId="77777777" w:rsidR="005F4053" w:rsidRPr="003840F8" w:rsidRDefault="005F4053" w:rsidP="007D6149">
            <w:pPr>
              <w:jc w:val="both"/>
              <w:textAlignment w:val="baseline"/>
              <w:rPr>
                <w:lang w:eastAsia="lv-LV"/>
              </w:rPr>
            </w:pPr>
            <w:r w:rsidRPr="003840F8">
              <w:rPr>
                <w:lang w:eastAsia="lv-LV"/>
              </w:rPr>
              <w:t>25% </w:t>
            </w:r>
          </w:p>
        </w:tc>
        <w:tc>
          <w:tcPr>
            <w:tcW w:w="2835" w:type="dxa"/>
            <w:tcBorders>
              <w:top w:val="nil"/>
              <w:left w:val="nil"/>
              <w:bottom w:val="single" w:sz="6" w:space="0" w:color="auto"/>
              <w:right w:val="single" w:sz="6" w:space="0" w:color="auto"/>
            </w:tcBorders>
            <w:shd w:val="clear" w:color="auto" w:fill="auto"/>
            <w:hideMark/>
          </w:tcPr>
          <w:p w14:paraId="6ABF5394" w14:textId="77777777" w:rsidR="005F4053" w:rsidRPr="003840F8" w:rsidRDefault="005F4053" w:rsidP="007D6149">
            <w:pPr>
              <w:jc w:val="both"/>
              <w:textAlignment w:val="baseline"/>
              <w:rPr>
                <w:lang w:eastAsia="lv-LV"/>
              </w:rPr>
            </w:pPr>
            <w:r w:rsidRPr="003840F8">
              <w:rPr>
                <w:lang w:eastAsia="lv-LV"/>
              </w:rPr>
              <w:t>15% </w:t>
            </w:r>
          </w:p>
        </w:tc>
        <w:tc>
          <w:tcPr>
            <w:tcW w:w="3390" w:type="dxa"/>
            <w:tcBorders>
              <w:top w:val="nil"/>
              <w:left w:val="nil"/>
              <w:bottom w:val="single" w:sz="6" w:space="0" w:color="auto"/>
              <w:right w:val="single" w:sz="6" w:space="0" w:color="auto"/>
            </w:tcBorders>
            <w:shd w:val="clear" w:color="auto" w:fill="auto"/>
            <w:hideMark/>
          </w:tcPr>
          <w:p w14:paraId="48F641F0" w14:textId="77777777" w:rsidR="005F4053" w:rsidRPr="003840F8" w:rsidRDefault="005F4053" w:rsidP="007D6149">
            <w:pPr>
              <w:jc w:val="both"/>
              <w:textAlignment w:val="baseline"/>
              <w:rPr>
                <w:lang w:eastAsia="lv-LV"/>
              </w:rPr>
            </w:pPr>
            <w:r w:rsidRPr="003840F8">
              <w:rPr>
                <w:lang w:eastAsia="lv-LV"/>
              </w:rPr>
              <w:t>25%/15%(Pirmās nepieciešamības pārtikas preces.) </w:t>
            </w:r>
          </w:p>
        </w:tc>
      </w:tr>
      <w:tr w:rsidR="005F4053" w14:paraId="172C2D3C" w14:textId="77777777" w:rsidTr="007D6149">
        <w:tc>
          <w:tcPr>
            <w:tcW w:w="1320" w:type="dxa"/>
            <w:tcBorders>
              <w:top w:val="nil"/>
              <w:left w:val="single" w:sz="6" w:space="0" w:color="auto"/>
              <w:bottom w:val="single" w:sz="6" w:space="0" w:color="auto"/>
              <w:right w:val="single" w:sz="6" w:space="0" w:color="auto"/>
            </w:tcBorders>
            <w:shd w:val="clear" w:color="auto" w:fill="auto"/>
            <w:hideMark/>
          </w:tcPr>
          <w:p w14:paraId="4F234B5D" w14:textId="77777777" w:rsidR="005F4053" w:rsidRPr="003840F8" w:rsidRDefault="005F4053" w:rsidP="007D6149">
            <w:pPr>
              <w:jc w:val="both"/>
              <w:textAlignment w:val="baseline"/>
              <w:rPr>
                <w:lang w:eastAsia="lv-LV"/>
              </w:rPr>
            </w:pPr>
            <w:r w:rsidRPr="003840F8">
              <w:rPr>
                <w:lang w:eastAsia="lv-LV"/>
              </w:rPr>
              <w:t>Čehija </w:t>
            </w:r>
          </w:p>
        </w:tc>
        <w:tc>
          <w:tcPr>
            <w:tcW w:w="1500" w:type="dxa"/>
            <w:tcBorders>
              <w:top w:val="nil"/>
              <w:left w:val="nil"/>
              <w:bottom w:val="single" w:sz="6" w:space="0" w:color="auto"/>
              <w:right w:val="single" w:sz="6" w:space="0" w:color="auto"/>
            </w:tcBorders>
            <w:shd w:val="clear" w:color="auto" w:fill="auto"/>
            <w:hideMark/>
          </w:tcPr>
          <w:p w14:paraId="180F10F2" w14:textId="77777777" w:rsidR="005F4053" w:rsidRPr="003840F8" w:rsidRDefault="005F4053" w:rsidP="007D6149">
            <w:pPr>
              <w:jc w:val="both"/>
              <w:textAlignment w:val="baseline"/>
              <w:rPr>
                <w:lang w:eastAsia="lv-LV"/>
              </w:rPr>
            </w:pPr>
            <w:r w:rsidRPr="003840F8">
              <w:rPr>
                <w:lang w:eastAsia="lv-LV"/>
              </w:rPr>
              <w:t>21% </w:t>
            </w:r>
          </w:p>
        </w:tc>
        <w:tc>
          <w:tcPr>
            <w:tcW w:w="2835" w:type="dxa"/>
            <w:tcBorders>
              <w:top w:val="nil"/>
              <w:left w:val="nil"/>
              <w:bottom w:val="single" w:sz="6" w:space="0" w:color="auto"/>
              <w:right w:val="single" w:sz="6" w:space="0" w:color="auto"/>
            </w:tcBorders>
            <w:shd w:val="clear" w:color="auto" w:fill="auto"/>
            <w:hideMark/>
          </w:tcPr>
          <w:p w14:paraId="1509C572" w14:textId="77777777" w:rsidR="005F4053" w:rsidRPr="003840F8" w:rsidRDefault="005F4053" w:rsidP="007D6149">
            <w:pPr>
              <w:jc w:val="both"/>
              <w:textAlignment w:val="baseline"/>
              <w:rPr>
                <w:lang w:eastAsia="lv-LV"/>
              </w:rPr>
            </w:pPr>
            <w:r w:rsidRPr="003840F8">
              <w:rPr>
                <w:lang w:eastAsia="lv-LV"/>
              </w:rPr>
              <w:t>15%  </w:t>
            </w:r>
          </w:p>
        </w:tc>
        <w:tc>
          <w:tcPr>
            <w:tcW w:w="3390" w:type="dxa"/>
            <w:tcBorders>
              <w:top w:val="nil"/>
              <w:left w:val="nil"/>
              <w:bottom w:val="single" w:sz="6" w:space="0" w:color="auto"/>
              <w:right w:val="single" w:sz="6" w:space="0" w:color="auto"/>
            </w:tcBorders>
            <w:shd w:val="clear" w:color="auto" w:fill="auto"/>
            <w:hideMark/>
          </w:tcPr>
          <w:p w14:paraId="32E85C5D" w14:textId="77777777" w:rsidR="005F4053" w:rsidRPr="003840F8" w:rsidRDefault="005F4053" w:rsidP="007D6149">
            <w:pPr>
              <w:jc w:val="both"/>
              <w:textAlignment w:val="baseline"/>
              <w:rPr>
                <w:lang w:eastAsia="lv-LV"/>
              </w:rPr>
            </w:pPr>
            <w:r w:rsidRPr="003840F8">
              <w:rPr>
                <w:lang w:eastAsia="lv-LV"/>
              </w:rPr>
              <w:t xml:space="preserve">10%(Izvēlēta bērnu pārtika un </w:t>
            </w:r>
            <w:proofErr w:type="spellStart"/>
            <w:r w:rsidRPr="003840F8">
              <w:rPr>
                <w:lang w:eastAsia="lv-LV"/>
              </w:rPr>
              <w:t>bezglutēna</w:t>
            </w:r>
            <w:proofErr w:type="spellEnd"/>
            <w:r w:rsidRPr="003840F8">
              <w:rPr>
                <w:lang w:eastAsia="lv-LV"/>
              </w:rPr>
              <w:t xml:space="preserve"> pārtika.)/15% </w:t>
            </w:r>
          </w:p>
        </w:tc>
      </w:tr>
      <w:tr w:rsidR="005F4053" w14:paraId="2EADD49C" w14:textId="77777777" w:rsidTr="007D6149">
        <w:tc>
          <w:tcPr>
            <w:tcW w:w="1320" w:type="dxa"/>
            <w:tcBorders>
              <w:top w:val="nil"/>
              <w:left w:val="single" w:sz="6" w:space="0" w:color="auto"/>
              <w:bottom w:val="single" w:sz="6" w:space="0" w:color="auto"/>
              <w:right w:val="single" w:sz="6" w:space="0" w:color="auto"/>
            </w:tcBorders>
            <w:shd w:val="clear" w:color="auto" w:fill="auto"/>
            <w:hideMark/>
          </w:tcPr>
          <w:p w14:paraId="14D01B49" w14:textId="77777777" w:rsidR="005F4053" w:rsidRPr="003840F8" w:rsidRDefault="005F4053" w:rsidP="007D6149">
            <w:pPr>
              <w:jc w:val="both"/>
              <w:textAlignment w:val="baseline"/>
              <w:rPr>
                <w:lang w:eastAsia="lv-LV"/>
              </w:rPr>
            </w:pPr>
            <w:r w:rsidRPr="003840F8">
              <w:rPr>
                <w:lang w:eastAsia="lv-LV"/>
              </w:rPr>
              <w:t>Zviedrija </w:t>
            </w:r>
          </w:p>
        </w:tc>
        <w:tc>
          <w:tcPr>
            <w:tcW w:w="1500" w:type="dxa"/>
            <w:tcBorders>
              <w:top w:val="nil"/>
              <w:left w:val="nil"/>
              <w:bottom w:val="single" w:sz="6" w:space="0" w:color="auto"/>
              <w:right w:val="single" w:sz="6" w:space="0" w:color="auto"/>
            </w:tcBorders>
            <w:shd w:val="clear" w:color="auto" w:fill="auto"/>
            <w:hideMark/>
          </w:tcPr>
          <w:p w14:paraId="0EB373BF" w14:textId="77777777" w:rsidR="005F4053" w:rsidRPr="003840F8" w:rsidRDefault="005F4053" w:rsidP="007D6149">
            <w:pPr>
              <w:jc w:val="both"/>
              <w:textAlignment w:val="baseline"/>
              <w:rPr>
                <w:lang w:eastAsia="lv-LV"/>
              </w:rPr>
            </w:pPr>
            <w:r w:rsidRPr="003840F8">
              <w:rPr>
                <w:lang w:eastAsia="lv-LV"/>
              </w:rPr>
              <w:t>25% </w:t>
            </w:r>
          </w:p>
        </w:tc>
        <w:tc>
          <w:tcPr>
            <w:tcW w:w="2835" w:type="dxa"/>
            <w:tcBorders>
              <w:top w:val="nil"/>
              <w:left w:val="nil"/>
              <w:bottom w:val="single" w:sz="6" w:space="0" w:color="auto"/>
              <w:right w:val="single" w:sz="6" w:space="0" w:color="auto"/>
            </w:tcBorders>
            <w:shd w:val="clear" w:color="auto" w:fill="auto"/>
            <w:hideMark/>
          </w:tcPr>
          <w:p w14:paraId="156C3105" w14:textId="77777777" w:rsidR="005F4053" w:rsidRPr="003840F8" w:rsidRDefault="005F4053" w:rsidP="007D6149">
            <w:pPr>
              <w:jc w:val="both"/>
              <w:textAlignment w:val="baseline"/>
              <w:rPr>
                <w:lang w:eastAsia="lv-LV"/>
              </w:rPr>
            </w:pPr>
            <w:r w:rsidRPr="003840F8">
              <w:rPr>
                <w:lang w:eastAsia="lv-LV"/>
              </w:rPr>
              <w:t>12% </w:t>
            </w:r>
          </w:p>
        </w:tc>
        <w:tc>
          <w:tcPr>
            <w:tcW w:w="3390" w:type="dxa"/>
            <w:tcBorders>
              <w:top w:val="nil"/>
              <w:left w:val="nil"/>
              <w:bottom w:val="single" w:sz="6" w:space="0" w:color="auto"/>
              <w:right w:val="single" w:sz="6" w:space="0" w:color="auto"/>
            </w:tcBorders>
            <w:shd w:val="clear" w:color="auto" w:fill="auto"/>
            <w:hideMark/>
          </w:tcPr>
          <w:p w14:paraId="72A13CFE" w14:textId="77777777" w:rsidR="005F4053" w:rsidRPr="003840F8" w:rsidRDefault="005F4053" w:rsidP="007D6149">
            <w:pPr>
              <w:jc w:val="both"/>
              <w:textAlignment w:val="baseline"/>
              <w:rPr>
                <w:lang w:eastAsia="lv-LV"/>
              </w:rPr>
            </w:pPr>
            <w:r w:rsidRPr="003840F8">
              <w:rPr>
                <w:lang w:eastAsia="lv-LV"/>
              </w:rPr>
              <w:t>12% </w:t>
            </w:r>
          </w:p>
        </w:tc>
      </w:tr>
      <w:tr w:rsidR="005F4053" w14:paraId="7279C761" w14:textId="77777777" w:rsidTr="007D6149">
        <w:tc>
          <w:tcPr>
            <w:tcW w:w="1320" w:type="dxa"/>
            <w:tcBorders>
              <w:top w:val="nil"/>
              <w:left w:val="single" w:sz="6" w:space="0" w:color="auto"/>
              <w:bottom w:val="single" w:sz="6" w:space="0" w:color="auto"/>
              <w:right w:val="single" w:sz="6" w:space="0" w:color="auto"/>
            </w:tcBorders>
            <w:shd w:val="clear" w:color="auto" w:fill="auto"/>
            <w:hideMark/>
          </w:tcPr>
          <w:p w14:paraId="5DC233B8" w14:textId="77777777" w:rsidR="005F4053" w:rsidRPr="003840F8" w:rsidRDefault="005F4053" w:rsidP="007D6149">
            <w:pPr>
              <w:jc w:val="both"/>
              <w:textAlignment w:val="baseline"/>
              <w:rPr>
                <w:lang w:eastAsia="lv-LV"/>
              </w:rPr>
            </w:pPr>
            <w:r w:rsidRPr="003840F8">
              <w:rPr>
                <w:lang w:eastAsia="lv-LV"/>
              </w:rPr>
              <w:t>Somija </w:t>
            </w:r>
          </w:p>
        </w:tc>
        <w:tc>
          <w:tcPr>
            <w:tcW w:w="1500" w:type="dxa"/>
            <w:tcBorders>
              <w:top w:val="nil"/>
              <w:left w:val="nil"/>
              <w:bottom w:val="single" w:sz="6" w:space="0" w:color="auto"/>
              <w:right w:val="single" w:sz="6" w:space="0" w:color="auto"/>
            </w:tcBorders>
            <w:shd w:val="clear" w:color="auto" w:fill="auto"/>
            <w:hideMark/>
          </w:tcPr>
          <w:p w14:paraId="7E470BE2" w14:textId="77777777" w:rsidR="005F4053" w:rsidRPr="003840F8" w:rsidRDefault="005F4053" w:rsidP="007D6149">
            <w:pPr>
              <w:jc w:val="both"/>
              <w:textAlignment w:val="baseline"/>
              <w:rPr>
                <w:lang w:eastAsia="lv-LV"/>
              </w:rPr>
            </w:pPr>
            <w:r w:rsidRPr="003840F8">
              <w:rPr>
                <w:lang w:eastAsia="lv-LV"/>
              </w:rPr>
              <w:t>24% </w:t>
            </w:r>
          </w:p>
        </w:tc>
        <w:tc>
          <w:tcPr>
            <w:tcW w:w="2835" w:type="dxa"/>
            <w:tcBorders>
              <w:top w:val="nil"/>
              <w:left w:val="nil"/>
              <w:bottom w:val="single" w:sz="6" w:space="0" w:color="auto"/>
              <w:right w:val="single" w:sz="6" w:space="0" w:color="auto"/>
            </w:tcBorders>
            <w:shd w:val="clear" w:color="auto" w:fill="auto"/>
            <w:hideMark/>
          </w:tcPr>
          <w:p w14:paraId="069FC87A" w14:textId="77777777" w:rsidR="005F4053" w:rsidRPr="003840F8" w:rsidRDefault="005F4053" w:rsidP="007D6149">
            <w:pPr>
              <w:jc w:val="both"/>
              <w:textAlignment w:val="baseline"/>
              <w:rPr>
                <w:lang w:eastAsia="lv-LV"/>
              </w:rPr>
            </w:pPr>
            <w:r w:rsidRPr="003840F8">
              <w:rPr>
                <w:lang w:eastAsia="lv-LV"/>
              </w:rPr>
              <w:t>14% </w:t>
            </w:r>
          </w:p>
        </w:tc>
        <w:tc>
          <w:tcPr>
            <w:tcW w:w="3390" w:type="dxa"/>
            <w:tcBorders>
              <w:top w:val="nil"/>
              <w:left w:val="nil"/>
              <w:bottom w:val="single" w:sz="6" w:space="0" w:color="auto"/>
              <w:right w:val="single" w:sz="6" w:space="0" w:color="auto"/>
            </w:tcBorders>
            <w:shd w:val="clear" w:color="auto" w:fill="auto"/>
            <w:hideMark/>
          </w:tcPr>
          <w:p w14:paraId="3ADAAF09" w14:textId="77777777" w:rsidR="005F4053" w:rsidRPr="003840F8" w:rsidRDefault="005F4053" w:rsidP="007D6149">
            <w:pPr>
              <w:jc w:val="both"/>
              <w:textAlignment w:val="baseline"/>
              <w:rPr>
                <w:lang w:eastAsia="lv-LV"/>
              </w:rPr>
            </w:pPr>
            <w:r w:rsidRPr="003840F8">
              <w:rPr>
                <w:lang w:eastAsia="lv-LV"/>
              </w:rPr>
              <w:t>14% </w:t>
            </w:r>
          </w:p>
        </w:tc>
      </w:tr>
      <w:tr w:rsidR="005F4053" w14:paraId="5AB3AE8A" w14:textId="77777777" w:rsidTr="007D6149">
        <w:trPr>
          <w:trHeight w:val="465"/>
        </w:trPr>
        <w:tc>
          <w:tcPr>
            <w:tcW w:w="1320" w:type="dxa"/>
            <w:tcBorders>
              <w:top w:val="nil"/>
              <w:left w:val="single" w:sz="6" w:space="0" w:color="auto"/>
              <w:bottom w:val="single" w:sz="6" w:space="0" w:color="auto"/>
              <w:right w:val="single" w:sz="6" w:space="0" w:color="auto"/>
            </w:tcBorders>
            <w:shd w:val="clear" w:color="auto" w:fill="auto"/>
            <w:hideMark/>
          </w:tcPr>
          <w:p w14:paraId="44E2CFA5" w14:textId="77777777" w:rsidR="005F4053" w:rsidRPr="003840F8" w:rsidRDefault="005F4053" w:rsidP="007D6149">
            <w:pPr>
              <w:jc w:val="both"/>
              <w:textAlignment w:val="baseline"/>
              <w:rPr>
                <w:lang w:eastAsia="lv-LV"/>
              </w:rPr>
            </w:pPr>
            <w:r w:rsidRPr="003840F8">
              <w:rPr>
                <w:lang w:eastAsia="lv-LV"/>
              </w:rPr>
              <w:t>Francija </w:t>
            </w:r>
          </w:p>
        </w:tc>
        <w:tc>
          <w:tcPr>
            <w:tcW w:w="1500" w:type="dxa"/>
            <w:tcBorders>
              <w:top w:val="nil"/>
              <w:left w:val="nil"/>
              <w:bottom w:val="single" w:sz="6" w:space="0" w:color="auto"/>
              <w:right w:val="single" w:sz="6" w:space="0" w:color="auto"/>
            </w:tcBorders>
            <w:shd w:val="clear" w:color="auto" w:fill="auto"/>
            <w:hideMark/>
          </w:tcPr>
          <w:p w14:paraId="4C44CD13" w14:textId="77777777" w:rsidR="005F4053" w:rsidRPr="003840F8" w:rsidRDefault="005F4053" w:rsidP="007D6149">
            <w:pPr>
              <w:jc w:val="both"/>
              <w:textAlignment w:val="baseline"/>
              <w:rPr>
                <w:lang w:eastAsia="lv-LV"/>
              </w:rPr>
            </w:pPr>
            <w:r w:rsidRPr="003840F8">
              <w:rPr>
                <w:lang w:eastAsia="lv-LV"/>
              </w:rPr>
              <w:t>20% </w:t>
            </w:r>
          </w:p>
        </w:tc>
        <w:tc>
          <w:tcPr>
            <w:tcW w:w="2835" w:type="dxa"/>
            <w:tcBorders>
              <w:top w:val="nil"/>
              <w:left w:val="nil"/>
              <w:bottom w:val="single" w:sz="6" w:space="0" w:color="auto"/>
              <w:right w:val="single" w:sz="6" w:space="0" w:color="auto"/>
            </w:tcBorders>
            <w:shd w:val="clear" w:color="auto" w:fill="auto"/>
            <w:hideMark/>
          </w:tcPr>
          <w:p w14:paraId="067C2D78" w14:textId="77777777" w:rsidR="005F4053" w:rsidRPr="003840F8" w:rsidRDefault="005F4053" w:rsidP="007D6149">
            <w:pPr>
              <w:jc w:val="both"/>
              <w:textAlignment w:val="baseline"/>
              <w:rPr>
                <w:lang w:eastAsia="lv-LV"/>
              </w:rPr>
            </w:pPr>
            <w:r w:rsidRPr="003840F8">
              <w:rPr>
                <w:lang w:eastAsia="lv-LV"/>
              </w:rPr>
              <w:t>10% </w:t>
            </w:r>
          </w:p>
        </w:tc>
        <w:tc>
          <w:tcPr>
            <w:tcW w:w="3390" w:type="dxa"/>
            <w:tcBorders>
              <w:top w:val="nil"/>
              <w:left w:val="nil"/>
              <w:bottom w:val="single" w:sz="6" w:space="0" w:color="auto"/>
              <w:right w:val="single" w:sz="6" w:space="0" w:color="auto"/>
            </w:tcBorders>
            <w:shd w:val="clear" w:color="auto" w:fill="auto"/>
            <w:hideMark/>
          </w:tcPr>
          <w:p w14:paraId="64E906B8" w14:textId="77777777" w:rsidR="005F4053" w:rsidRPr="003840F8" w:rsidRDefault="005F4053" w:rsidP="007D6149">
            <w:pPr>
              <w:jc w:val="both"/>
              <w:textAlignment w:val="baseline"/>
              <w:rPr>
                <w:lang w:eastAsia="lv-LV"/>
              </w:rPr>
            </w:pPr>
            <w:r w:rsidRPr="003840F8">
              <w:rPr>
                <w:lang w:eastAsia="lv-LV"/>
              </w:rPr>
              <w:t>5,5% </w:t>
            </w:r>
          </w:p>
        </w:tc>
      </w:tr>
      <w:tr w:rsidR="005F4053" w14:paraId="3F07EF39" w14:textId="77777777" w:rsidTr="007D6149">
        <w:tc>
          <w:tcPr>
            <w:tcW w:w="1320" w:type="dxa"/>
            <w:tcBorders>
              <w:top w:val="nil"/>
              <w:left w:val="single" w:sz="6" w:space="0" w:color="auto"/>
              <w:bottom w:val="single" w:sz="6" w:space="0" w:color="auto"/>
              <w:right w:val="single" w:sz="6" w:space="0" w:color="auto"/>
            </w:tcBorders>
            <w:shd w:val="clear" w:color="auto" w:fill="auto"/>
            <w:hideMark/>
          </w:tcPr>
          <w:p w14:paraId="3A3BBAFA" w14:textId="77777777" w:rsidR="005F4053" w:rsidRPr="003840F8" w:rsidRDefault="005F4053" w:rsidP="007D6149">
            <w:pPr>
              <w:jc w:val="both"/>
              <w:textAlignment w:val="baseline"/>
              <w:rPr>
                <w:lang w:eastAsia="lv-LV"/>
              </w:rPr>
            </w:pPr>
            <w:r w:rsidRPr="003840F8">
              <w:rPr>
                <w:lang w:eastAsia="lv-LV"/>
              </w:rPr>
              <w:t>Polija </w:t>
            </w:r>
          </w:p>
        </w:tc>
        <w:tc>
          <w:tcPr>
            <w:tcW w:w="1500" w:type="dxa"/>
            <w:tcBorders>
              <w:top w:val="nil"/>
              <w:left w:val="nil"/>
              <w:bottom w:val="single" w:sz="6" w:space="0" w:color="auto"/>
              <w:right w:val="single" w:sz="6" w:space="0" w:color="auto"/>
            </w:tcBorders>
            <w:shd w:val="clear" w:color="auto" w:fill="auto"/>
            <w:hideMark/>
          </w:tcPr>
          <w:p w14:paraId="2080D04E" w14:textId="77777777" w:rsidR="005F4053" w:rsidRPr="003840F8" w:rsidRDefault="005F4053" w:rsidP="007D6149">
            <w:pPr>
              <w:jc w:val="both"/>
              <w:textAlignment w:val="baseline"/>
              <w:rPr>
                <w:lang w:eastAsia="lv-LV"/>
              </w:rPr>
            </w:pPr>
            <w:r w:rsidRPr="003840F8">
              <w:rPr>
                <w:lang w:eastAsia="lv-LV"/>
              </w:rPr>
              <w:t>23% </w:t>
            </w:r>
          </w:p>
        </w:tc>
        <w:tc>
          <w:tcPr>
            <w:tcW w:w="2835" w:type="dxa"/>
            <w:tcBorders>
              <w:top w:val="nil"/>
              <w:left w:val="nil"/>
              <w:bottom w:val="single" w:sz="6" w:space="0" w:color="auto"/>
              <w:right w:val="single" w:sz="6" w:space="0" w:color="auto"/>
            </w:tcBorders>
            <w:shd w:val="clear" w:color="auto" w:fill="auto"/>
            <w:hideMark/>
          </w:tcPr>
          <w:p w14:paraId="08C3FEC1" w14:textId="77777777" w:rsidR="005F4053" w:rsidRPr="003840F8" w:rsidRDefault="005F4053" w:rsidP="007D6149">
            <w:pPr>
              <w:jc w:val="both"/>
              <w:textAlignment w:val="baseline"/>
              <w:rPr>
                <w:lang w:eastAsia="lv-LV"/>
              </w:rPr>
            </w:pPr>
            <w:r w:rsidRPr="003840F8">
              <w:rPr>
                <w:lang w:eastAsia="lv-LV"/>
              </w:rPr>
              <w:t>8% </w:t>
            </w:r>
          </w:p>
        </w:tc>
        <w:tc>
          <w:tcPr>
            <w:tcW w:w="3390" w:type="dxa"/>
            <w:tcBorders>
              <w:top w:val="nil"/>
              <w:left w:val="nil"/>
              <w:bottom w:val="single" w:sz="6" w:space="0" w:color="auto"/>
              <w:right w:val="single" w:sz="6" w:space="0" w:color="auto"/>
            </w:tcBorders>
            <w:shd w:val="clear" w:color="auto" w:fill="auto"/>
            <w:hideMark/>
          </w:tcPr>
          <w:p w14:paraId="6210F15A" w14:textId="77777777" w:rsidR="005F4053" w:rsidRPr="003840F8" w:rsidRDefault="005F4053" w:rsidP="007D6149">
            <w:pPr>
              <w:jc w:val="both"/>
              <w:textAlignment w:val="baseline"/>
              <w:rPr>
                <w:lang w:eastAsia="lv-LV"/>
              </w:rPr>
            </w:pPr>
            <w:r w:rsidRPr="003840F8">
              <w:rPr>
                <w:lang w:eastAsia="lv-LV"/>
              </w:rPr>
              <w:t>0% (līdz 2022.gada 31.jūlijam, atsevišķam pārtikas precēm)/8% </w:t>
            </w:r>
          </w:p>
        </w:tc>
      </w:tr>
      <w:tr w:rsidR="005F4053" w14:paraId="1130FC3F" w14:textId="77777777" w:rsidTr="007D6149">
        <w:tc>
          <w:tcPr>
            <w:tcW w:w="1320" w:type="dxa"/>
            <w:tcBorders>
              <w:top w:val="nil"/>
              <w:left w:val="single" w:sz="6" w:space="0" w:color="auto"/>
              <w:bottom w:val="single" w:sz="6" w:space="0" w:color="auto"/>
              <w:right w:val="single" w:sz="6" w:space="0" w:color="auto"/>
            </w:tcBorders>
            <w:shd w:val="clear" w:color="auto" w:fill="auto"/>
            <w:hideMark/>
          </w:tcPr>
          <w:p w14:paraId="2E713C45" w14:textId="77777777" w:rsidR="005F4053" w:rsidRPr="003840F8" w:rsidRDefault="005F4053" w:rsidP="007D6149">
            <w:pPr>
              <w:textAlignment w:val="baseline"/>
              <w:rPr>
                <w:lang w:eastAsia="lv-LV"/>
              </w:rPr>
            </w:pPr>
            <w:r w:rsidRPr="003840F8">
              <w:rPr>
                <w:lang w:eastAsia="lv-LV"/>
              </w:rPr>
              <w:t>Vācija </w:t>
            </w:r>
          </w:p>
        </w:tc>
        <w:tc>
          <w:tcPr>
            <w:tcW w:w="1500" w:type="dxa"/>
            <w:tcBorders>
              <w:top w:val="nil"/>
              <w:left w:val="nil"/>
              <w:bottom w:val="single" w:sz="6" w:space="0" w:color="auto"/>
              <w:right w:val="single" w:sz="6" w:space="0" w:color="auto"/>
            </w:tcBorders>
            <w:shd w:val="clear" w:color="auto" w:fill="auto"/>
            <w:hideMark/>
          </w:tcPr>
          <w:p w14:paraId="4921DF62" w14:textId="77777777" w:rsidR="005F4053" w:rsidRPr="003840F8" w:rsidRDefault="005F4053" w:rsidP="007D6149">
            <w:pPr>
              <w:textAlignment w:val="baseline"/>
              <w:rPr>
                <w:lang w:eastAsia="lv-LV"/>
              </w:rPr>
            </w:pPr>
            <w:r w:rsidRPr="003840F8">
              <w:rPr>
                <w:lang w:eastAsia="lv-LV"/>
              </w:rPr>
              <w:t>19% </w:t>
            </w:r>
          </w:p>
        </w:tc>
        <w:tc>
          <w:tcPr>
            <w:tcW w:w="2835" w:type="dxa"/>
            <w:tcBorders>
              <w:top w:val="nil"/>
              <w:left w:val="nil"/>
              <w:bottom w:val="single" w:sz="6" w:space="0" w:color="auto"/>
              <w:right w:val="single" w:sz="6" w:space="0" w:color="auto"/>
            </w:tcBorders>
            <w:shd w:val="clear" w:color="auto" w:fill="auto"/>
            <w:hideMark/>
          </w:tcPr>
          <w:p w14:paraId="338394E9" w14:textId="77777777" w:rsidR="005F4053" w:rsidRPr="003840F8" w:rsidRDefault="005F4053" w:rsidP="007D6149">
            <w:pPr>
              <w:textAlignment w:val="baseline"/>
              <w:rPr>
                <w:lang w:eastAsia="lv-LV"/>
              </w:rPr>
            </w:pPr>
            <w:r w:rsidRPr="003840F8">
              <w:rPr>
                <w:lang w:eastAsia="lv-LV"/>
              </w:rPr>
              <w:t>7% (līdz 2022. gada beigām)   </w:t>
            </w:r>
          </w:p>
        </w:tc>
        <w:tc>
          <w:tcPr>
            <w:tcW w:w="3390" w:type="dxa"/>
            <w:tcBorders>
              <w:top w:val="nil"/>
              <w:left w:val="nil"/>
              <w:bottom w:val="single" w:sz="6" w:space="0" w:color="auto"/>
              <w:right w:val="single" w:sz="6" w:space="0" w:color="auto"/>
            </w:tcBorders>
            <w:shd w:val="clear" w:color="auto" w:fill="auto"/>
            <w:hideMark/>
          </w:tcPr>
          <w:p w14:paraId="59F46E1C" w14:textId="77777777" w:rsidR="005F4053" w:rsidRPr="003840F8" w:rsidRDefault="005F4053" w:rsidP="007D6149">
            <w:pPr>
              <w:textAlignment w:val="baseline"/>
              <w:rPr>
                <w:lang w:eastAsia="lv-LV"/>
              </w:rPr>
            </w:pPr>
            <w:r w:rsidRPr="003840F8">
              <w:rPr>
                <w:lang w:eastAsia="lv-LV"/>
              </w:rPr>
              <w:t>7% (līdz 2022. gada beigām)   </w:t>
            </w:r>
          </w:p>
        </w:tc>
      </w:tr>
      <w:tr w:rsidR="005F4053" w14:paraId="1F7CE5FD" w14:textId="77777777" w:rsidTr="007D6149">
        <w:tc>
          <w:tcPr>
            <w:tcW w:w="1320" w:type="dxa"/>
            <w:tcBorders>
              <w:top w:val="nil"/>
              <w:left w:val="single" w:sz="6" w:space="0" w:color="auto"/>
              <w:bottom w:val="single" w:sz="6" w:space="0" w:color="auto"/>
              <w:right w:val="single" w:sz="6" w:space="0" w:color="auto"/>
            </w:tcBorders>
            <w:shd w:val="clear" w:color="auto" w:fill="auto"/>
            <w:hideMark/>
          </w:tcPr>
          <w:p w14:paraId="1F49A8B9" w14:textId="77777777" w:rsidR="005F4053" w:rsidRPr="003840F8" w:rsidRDefault="005F4053" w:rsidP="007D6149">
            <w:pPr>
              <w:textAlignment w:val="baseline"/>
              <w:rPr>
                <w:lang w:eastAsia="lv-LV"/>
              </w:rPr>
            </w:pPr>
            <w:r w:rsidRPr="003840F8">
              <w:rPr>
                <w:lang w:eastAsia="lv-LV"/>
              </w:rPr>
              <w:t>Apvienotā Karaliste </w:t>
            </w:r>
          </w:p>
        </w:tc>
        <w:tc>
          <w:tcPr>
            <w:tcW w:w="1500" w:type="dxa"/>
            <w:tcBorders>
              <w:top w:val="nil"/>
              <w:left w:val="nil"/>
              <w:bottom w:val="single" w:sz="6" w:space="0" w:color="auto"/>
              <w:right w:val="single" w:sz="6" w:space="0" w:color="auto"/>
            </w:tcBorders>
            <w:shd w:val="clear" w:color="auto" w:fill="auto"/>
            <w:hideMark/>
          </w:tcPr>
          <w:p w14:paraId="67DA7EA5" w14:textId="77777777" w:rsidR="005F4053" w:rsidRPr="003840F8" w:rsidRDefault="005F4053" w:rsidP="007D6149">
            <w:pPr>
              <w:textAlignment w:val="baseline"/>
              <w:rPr>
                <w:lang w:eastAsia="lv-LV"/>
              </w:rPr>
            </w:pPr>
            <w:r w:rsidRPr="003840F8">
              <w:rPr>
                <w:lang w:eastAsia="lv-LV"/>
              </w:rPr>
              <w:t>20% </w:t>
            </w:r>
          </w:p>
        </w:tc>
        <w:tc>
          <w:tcPr>
            <w:tcW w:w="2835" w:type="dxa"/>
            <w:tcBorders>
              <w:top w:val="nil"/>
              <w:left w:val="nil"/>
              <w:bottom w:val="single" w:sz="6" w:space="0" w:color="auto"/>
              <w:right w:val="single" w:sz="6" w:space="0" w:color="auto"/>
            </w:tcBorders>
            <w:shd w:val="clear" w:color="auto" w:fill="auto"/>
            <w:hideMark/>
          </w:tcPr>
          <w:p w14:paraId="44397E0C" w14:textId="77777777" w:rsidR="005F4053" w:rsidRPr="003840F8" w:rsidRDefault="005F4053" w:rsidP="007D6149">
            <w:pPr>
              <w:textAlignment w:val="baseline"/>
              <w:rPr>
                <w:lang w:eastAsia="lv-LV"/>
              </w:rPr>
            </w:pPr>
            <w:r w:rsidRPr="003840F8">
              <w:rPr>
                <w:lang w:eastAsia="lv-LV"/>
              </w:rPr>
              <w:t>5% (no 15. jūlija līdz 2022. gada 31. martam) </w:t>
            </w:r>
          </w:p>
        </w:tc>
        <w:tc>
          <w:tcPr>
            <w:tcW w:w="3390" w:type="dxa"/>
            <w:tcBorders>
              <w:top w:val="nil"/>
              <w:left w:val="nil"/>
              <w:bottom w:val="single" w:sz="6" w:space="0" w:color="auto"/>
              <w:right w:val="single" w:sz="6" w:space="0" w:color="auto"/>
            </w:tcBorders>
            <w:shd w:val="clear" w:color="auto" w:fill="auto"/>
            <w:hideMark/>
          </w:tcPr>
          <w:p w14:paraId="6CA560BB" w14:textId="77777777" w:rsidR="005F4053" w:rsidRPr="003840F8" w:rsidRDefault="005F4053" w:rsidP="007D6149">
            <w:pPr>
              <w:textAlignment w:val="baseline"/>
              <w:rPr>
                <w:lang w:eastAsia="lv-LV"/>
              </w:rPr>
            </w:pPr>
            <w:r w:rsidRPr="003840F8">
              <w:rPr>
                <w:lang w:eastAsia="lv-LV"/>
              </w:rPr>
              <w:t>20%/0%(Pirmās nepieciešamības pārtikas preces) </w:t>
            </w:r>
          </w:p>
        </w:tc>
      </w:tr>
    </w:tbl>
    <w:p w14:paraId="158FDEB9" w14:textId="77777777" w:rsidR="005F4053" w:rsidRPr="003840F8" w:rsidRDefault="005F4053" w:rsidP="005F4053">
      <w:pPr>
        <w:ind w:firstLine="360"/>
        <w:jc w:val="both"/>
        <w:textAlignment w:val="baseline"/>
        <w:rPr>
          <w:rFonts w:ascii="Segoe UI" w:hAnsi="Segoe UI" w:cs="Segoe UI"/>
          <w:sz w:val="18"/>
          <w:szCs w:val="18"/>
          <w:lang w:eastAsia="lv-LV"/>
        </w:rPr>
      </w:pPr>
      <w:r w:rsidRPr="003840F8">
        <w:rPr>
          <w:lang w:eastAsia="lv-LV"/>
        </w:rPr>
        <w:t xml:space="preserve">*Ekonomikas ministrijas </w:t>
      </w:r>
      <w:proofErr w:type="spellStart"/>
      <w:r w:rsidRPr="003840F8">
        <w:rPr>
          <w:lang w:eastAsia="lv-LV"/>
        </w:rPr>
        <w:t>apsekojuma</w:t>
      </w:r>
      <w:proofErr w:type="spellEnd"/>
      <w:r w:rsidRPr="003840F8">
        <w:rPr>
          <w:lang w:eastAsia="lv-LV"/>
        </w:rPr>
        <w:t xml:space="preserve"> dati </w:t>
      </w:r>
    </w:p>
    <w:p w14:paraId="4B602171"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 xml:space="preserve">Finanšu ministrijas 2021.gadā veikusi aprēķinu par potenciālo fiskālo ietekmi, ja ēdināšanas nozares pakalpojumiem tiks piemērota kāda no esošajām PVN samazinātajām </w:t>
      </w:r>
      <w:r w:rsidRPr="003840F8">
        <w:rPr>
          <w:lang w:eastAsia="lv-LV"/>
        </w:rPr>
        <w:lastRenderedPageBreak/>
        <w:t xml:space="preserve">likmēm. Ja ēdināšanas pakalpojumu nozarē no 2022.gada 1.janvāra ēdināšanas pakalpojumiem (izņemot dzērienu piegādi) tiktu piemērota PVN samazinātā likme 5 % apmērā, fiskālā ietekme 2022. un 2023.gadam ir novērtēta attiecīgi -48 un -54 milj. </w:t>
      </w:r>
      <w:proofErr w:type="spellStart"/>
      <w:r w:rsidRPr="003840F8">
        <w:rPr>
          <w:lang w:eastAsia="lv-LV"/>
        </w:rPr>
        <w:t>euro</w:t>
      </w:r>
      <w:proofErr w:type="spellEnd"/>
      <w:r w:rsidRPr="003840F8">
        <w:rPr>
          <w:lang w:eastAsia="lv-LV"/>
        </w:rPr>
        <w:t xml:space="preserve"> apmērā. </w:t>
      </w:r>
    </w:p>
    <w:p w14:paraId="41EFDBC5"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 xml:space="preserve">Vienlaikus Latvijas Restorānu biedrība (turpmāk – LRB) ir paudusi viedokli, ka, </w:t>
      </w:r>
      <w:r w:rsidRPr="003840F8">
        <w:rPr>
          <w:b/>
          <w:bCs/>
          <w:lang w:eastAsia="lv-LV"/>
        </w:rPr>
        <w:t>samazinot PVN pārtikai un nesamazinot sabiedriskajai ēdināšanai tiek panākts efekts, ka ēdināšanas pakalpojumu cenas būtiski pieaugs salīdzinājumā ar pārtikas produktu cenām.</w:t>
      </w:r>
      <w:r w:rsidRPr="003840F8">
        <w:rPr>
          <w:lang w:eastAsia="lv-LV"/>
        </w:rPr>
        <w:t xml:space="preserve"> Rezultātā pieprasījums pēc sabiedriskās ēdināšanas pakalpojumiem samazināsies, jo cilvēki nevarēs atļauties ēst ārpus mājas. </w:t>
      </w:r>
      <w:r w:rsidRPr="003840F8">
        <w:rPr>
          <w:b/>
          <w:bCs/>
          <w:lang w:eastAsia="lv-LV"/>
        </w:rPr>
        <w:t>Samazinoties pieprasījumam, uzņēmumi būs spiesti samazināt darbinieku skaitu vai pat pārtraukt savu darbību.</w:t>
      </w:r>
      <w:r w:rsidRPr="003840F8">
        <w:rPr>
          <w:lang w:eastAsia="lv-LV"/>
        </w:rPr>
        <w:t> </w:t>
      </w:r>
    </w:p>
    <w:p w14:paraId="29CEE7BD" w14:textId="77777777" w:rsidR="005F4053" w:rsidRDefault="005F4053" w:rsidP="005F4053">
      <w:pPr>
        <w:ind w:firstLine="555"/>
        <w:jc w:val="both"/>
        <w:textAlignment w:val="baseline"/>
        <w:rPr>
          <w:b/>
          <w:bCs/>
          <w:lang w:eastAsia="lv-LV"/>
        </w:rPr>
      </w:pPr>
    </w:p>
    <w:p w14:paraId="019D08F8"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b/>
          <w:bCs/>
          <w:lang w:eastAsia="lv-LV"/>
        </w:rPr>
        <w:t>2.3. Nodarbinātība sabiedriskās ēdināšanas nozarē Latvijā</w:t>
      </w:r>
      <w:r w:rsidRPr="003840F8">
        <w:rPr>
          <w:lang w:eastAsia="lv-LV"/>
        </w:rPr>
        <w:t> </w:t>
      </w:r>
    </w:p>
    <w:p w14:paraId="006DB444"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Ekonomikas ministrija vērš uzmanību, ka ēdināšanas nozarē pat pēc Covid-19 pandēmijas ietekmes joprojām tiek nodarbināti vairāk nekā 22 tūkstoši darbinieku. </w:t>
      </w:r>
    </w:p>
    <w:p w14:paraId="0BA94197"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 </w:t>
      </w:r>
    </w:p>
    <w:p w14:paraId="7745F542" w14:textId="77777777" w:rsidR="005F4053" w:rsidRPr="003840F8" w:rsidRDefault="005F4053" w:rsidP="005F4053">
      <w:pPr>
        <w:ind w:firstLine="555"/>
        <w:jc w:val="both"/>
        <w:textAlignment w:val="baseline"/>
        <w:rPr>
          <w:rFonts w:ascii="Segoe UI" w:hAnsi="Segoe UI" w:cs="Segoe UI"/>
          <w:sz w:val="18"/>
          <w:szCs w:val="18"/>
          <w:lang w:eastAsia="lv-LV"/>
        </w:rPr>
      </w:pPr>
      <w:r w:rsidRPr="003840F8">
        <w:rPr>
          <w:b/>
          <w:bCs/>
          <w:lang w:eastAsia="lv-LV"/>
        </w:rPr>
        <w:t>Aizņemtās darbavietas reģionos ēdināšanas pakalpojumu nozarē (Datu avots: CSP)</w:t>
      </w:r>
      <w:r w:rsidRPr="003840F8">
        <w:rPr>
          <w:lang w:eastAsia="lv-LV"/>
        </w:rPr>
        <w:t> </w:t>
      </w:r>
    </w:p>
    <w:p w14:paraId="51DEEDC4" w14:textId="77777777" w:rsidR="005F4053" w:rsidRPr="003840F8" w:rsidRDefault="005F4053" w:rsidP="005F4053">
      <w:pPr>
        <w:ind w:firstLine="555"/>
        <w:jc w:val="both"/>
        <w:textAlignment w:val="baseline"/>
        <w:rPr>
          <w:rFonts w:ascii="Segoe UI" w:hAnsi="Segoe UI" w:cs="Segoe UI"/>
          <w:sz w:val="18"/>
          <w:szCs w:val="18"/>
          <w:lang w:eastAsia="lv-LV"/>
        </w:rPr>
      </w:pPr>
      <w:r>
        <w:rPr>
          <w:noProof/>
        </w:rPr>
        <w:drawing>
          <wp:inline distT="0" distB="0" distL="0" distR="0" wp14:anchorId="11E576F6" wp14:editId="2B116A0D">
            <wp:extent cx="5276850" cy="3619500"/>
            <wp:effectExtent l="0" t="0" r="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6850" cy="3619500"/>
                    </a:xfrm>
                    <a:prstGeom prst="rect">
                      <a:avLst/>
                    </a:prstGeom>
                    <a:noFill/>
                    <a:ln>
                      <a:noFill/>
                    </a:ln>
                  </pic:spPr>
                </pic:pic>
              </a:graphicData>
            </a:graphic>
          </wp:inline>
        </w:drawing>
      </w:r>
      <w:r w:rsidRPr="003840F8">
        <w:rPr>
          <w:lang w:eastAsia="lv-LV"/>
        </w:rPr>
        <w:t> </w:t>
      </w:r>
    </w:p>
    <w:p w14:paraId="7054649F" w14:textId="77777777" w:rsidR="005F4053" w:rsidRPr="003840F8" w:rsidRDefault="005F4053" w:rsidP="005F4053">
      <w:pPr>
        <w:ind w:firstLine="720"/>
        <w:jc w:val="both"/>
        <w:textAlignment w:val="baseline"/>
        <w:rPr>
          <w:rFonts w:ascii="Segoe UI" w:hAnsi="Segoe UI" w:cs="Segoe UI"/>
          <w:sz w:val="18"/>
          <w:szCs w:val="18"/>
          <w:lang w:eastAsia="lv-LV"/>
        </w:rPr>
      </w:pPr>
      <w:r w:rsidRPr="003840F8">
        <w:rPr>
          <w:lang w:eastAsia="lv-LV"/>
        </w:rPr>
        <w:t>Ar darbinieku algām saistīto nodokļu un maksājumu ieņēmumu apjoms 2021.gadā nokrities līdz 95,4 miljoniem eiro.  </w:t>
      </w:r>
    </w:p>
    <w:p w14:paraId="70A52198" w14:textId="77777777" w:rsidR="005F4053" w:rsidRPr="003840F8" w:rsidRDefault="005F4053" w:rsidP="005F4053">
      <w:pPr>
        <w:jc w:val="both"/>
        <w:textAlignment w:val="baseline"/>
        <w:rPr>
          <w:rFonts w:ascii="Segoe UI" w:hAnsi="Segoe UI" w:cs="Segoe UI"/>
          <w:sz w:val="18"/>
          <w:szCs w:val="18"/>
          <w:lang w:eastAsia="lv-LV"/>
        </w:rPr>
      </w:pPr>
      <w:r w:rsidRPr="003840F8">
        <w:rPr>
          <w:b/>
          <w:bCs/>
          <w:lang w:eastAsia="lv-LV"/>
        </w:rPr>
        <w:t>Nodokļu un maksājumu ieņēmumi (</w:t>
      </w:r>
      <w:proofErr w:type="spellStart"/>
      <w:r w:rsidRPr="003840F8">
        <w:rPr>
          <w:b/>
          <w:bCs/>
          <w:lang w:eastAsia="lv-LV"/>
        </w:rPr>
        <w:t>milj.EUR</w:t>
      </w:r>
      <w:proofErr w:type="spellEnd"/>
      <w:r w:rsidRPr="003840F8">
        <w:rPr>
          <w:b/>
          <w:bCs/>
          <w:lang w:eastAsia="lv-LV"/>
        </w:rPr>
        <w:t>) (Datu avots: VID)</w:t>
      </w:r>
      <w:r w:rsidRPr="003840F8">
        <w:rPr>
          <w:lang w:eastAsia="lv-LV"/>
        </w:rPr>
        <w:t> </w:t>
      </w:r>
    </w:p>
    <w:p w14:paraId="0A06AB8C" w14:textId="77777777" w:rsidR="005F4053" w:rsidRPr="003840F8" w:rsidRDefault="005F4053" w:rsidP="005F4053">
      <w:pPr>
        <w:ind w:firstLine="705"/>
        <w:jc w:val="both"/>
        <w:textAlignment w:val="baseline"/>
        <w:rPr>
          <w:rFonts w:ascii="Segoe UI" w:hAnsi="Segoe UI" w:cs="Segoe UI"/>
          <w:sz w:val="18"/>
          <w:szCs w:val="18"/>
          <w:lang w:eastAsia="lv-LV"/>
        </w:rPr>
      </w:pPr>
      <w:r>
        <w:rPr>
          <w:noProof/>
        </w:rPr>
        <w:drawing>
          <wp:inline distT="0" distB="0" distL="0" distR="0" wp14:anchorId="561E2E6B" wp14:editId="5EE79377">
            <wp:extent cx="1714500" cy="1819275"/>
            <wp:effectExtent l="0" t="0" r="0" b="0"/>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0" cy="1819275"/>
                    </a:xfrm>
                    <a:prstGeom prst="rect">
                      <a:avLst/>
                    </a:prstGeom>
                    <a:noFill/>
                    <a:ln>
                      <a:noFill/>
                    </a:ln>
                  </pic:spPr>
                </pic:pic>
              </a:graphicData>
            </a:graphic>
          </wp:inline>
        </w:drawing>
      </w:r>
      <w:r w:rsidRPr="003840F8">
        <w:rPr>
          <w:lang w:eastAsia="lv-LV"/>
        </w:rPr>
        <w:t> </w:t>
      </w:r>
    </w:p>
    <w:p w14:paraId="3CEFDFEB"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 </w:t>
      </w:r>
    </w:p>
    <w:p w14:paraId="596E0DD7" w14:textId="77777777" w:rsidR="005F4053" w:rsidRPr="003840F8" w:rsidRDefault="005F4053" w:rsidP="005F4053">
      <w:pPr>
        <w:ind w:firstLine="990"/>
        <w:jc w:val="both"/>
        <w:textAlignment w:val="baseline"/>
        <w:rPr>
          <w:rFonts w:ascii="Segoe UI" w:hAnsi="Segoe UI" w:cs="Segoe UI"/>
          <w:sz w:val="18"/>
          <w:szCs w:val="18"/>
          <w:lang w:eastAsia="lv-LV"/>
        </w:rPr>
      </w:pPr>
      <w:r w:rsidRPr="003840F8">
        <w:rPr>
          <w:lang w:eastAsia="lv-LV"/>
        </w:rPr>
        <w:lastRenderedPageBreak/>
        <w:t>Nosakot samazināto PVN likmi ne tikai augstāk minētājām pārtikas produktu grupām, bet arī sabiedriskās ēdināšanas pakalpojumiem, palielinātos pieprasījums pēc ēdināšanas pakalpojumiem, līdz ar to arī pēc darbaspēka (tajā skaitā arī zemi kvalificēta darbaspēka), līdz ar to tiktu atslogots valsts sociālais budžets. No valsts kopējās produktivitātes viedokļa šis ir vērā ņemams ilgtermiņa efekts, ļaujot izdzīvot lielākam uzņēmumu skaitam. </w:t>
      </w:r>
    </w:p>
    <w:p w14:paraId="6E15D847" w14:textId="77777777" w:rsidR="005F4053" w:rsidRPr="003840F8" w:rsidRDefault="005F4053" w:rsidP="005F4053">
      <w:pPr>
        <w:ind w:firstLine="990"/>
        <w:jc w:val="both"/>
        <w:textAlignment w:val="baseline"/>
        <w:rPr>
          <w:rFonts w:ascii="Segoe UI" w:hAnsi="Segoe UI" w:cs="Segoe UI"/>
          <w:sz w:val="18"/>
          <w:szCs w:val="18"/>
          <w:lang w:eastAsia="lv-LV"/>
        </w:rPr>
      </w:pPr>
      <w:r w:rsidRPr="003840F8">
        <w:rPr>
          <w:lang w:eastAsia="lv-LV"/>
        </w:rPr>
        <w:t xml:space="preserve">Salīdzinot ar pirms-pandēmijas līmeni, ne tikai </w:t>
      </w:r>
      <w:proofErr w:type="spellStart"/>
      <w:r w:rsidRPr="003840F8">
        <w:rPr>
          <w:lang w:eastAsia="lv-LV"/>
        </w:rPr>
        <w:t>dzīvesstila</w:t>
      </w:r>
      <w:proofErr w:type="spellEnd"/>
      <w:r w:rsidRPr="003840F8">
        <w:rPr>
          <w:lang w:eastAsia="lv-LV"/>
        </w:rPr>
        <w:t xml:space="preserve"> restorāni un kafejnīcas, bet arī gandrīz visi nozares lielākie uzņēmumi epidemioloģiskās drošības pasākumu Covid-19 pandēmijas izplatības ierobežošanai ietekmē ir samazinājuši darbinieku skaitu. Izņēmums – «</w:t>
      </w:r>
      <w:proofErr w:type="spellStart"/>
      <w:r w:rsidRPr="003840F8">
        <w:rPr>
          <w:lang w:eastAsia="lv-LV"/>
        </w:rPr>
        <w:t>Premier</w:t>
      </w:r>
      <w:proofErr w:type="spellEnd"/>
      <w:r w:rsidRPr="003840F8">
        <w:rPr>
          <w:lang w:eastAsia="lv-LV"/>
        </w:rPr>
        <w:t xml:space="preserve"> </w:t>
      </w:r>
      <w:proofErr w:type="spellStart"/>
      <w:r w:rsidRPr="003840F8">
        <w:rPr>
          <w:lang w:eastAsia="lv-LV"/>
        </w:rPr>
        <w:t>Restaurants</w:t>
      </w:r>
      <w:proofErr w:type="spellEnd"/>
      <w:r w:rsidRPr="003840F8">
        <w:rPr>
          <w:lang w:eastAsia="lv-LV"/>
        </w:rPr>
        <w:t xml:space="preserve"> Latvia» (</w:t>
      </w:r>
      <w:proofErr w:type="spellStart"/>
      <w:r w:rsidRPr="003840F8">
        <w:rPr>
          <w:lang w:eastAsia="lv-LV"/>
        </w:rPr>
        <w:t>McDonald’s</w:t>
      </w:r>
      <w:proofErr w:type="spellEnd"/>
      <w:r w:rsidRPr="003840F8">
        <w:rPr>
          <w:lang w:eastAsia="lv-LV"/>
        </w:rPr>
        <w:t>) un SIA ALEKS UN V (Saules virtuve), kuru darbības profils ir ēdienu gatavošana līdzņemšanai. Lai arī lielāko viesmīlības nozares uzņēmumu pēc nodarbināto skaita TOP3 ir palicis nemainīgs – “LIDO”, «</w:t>
      </w:r>
      <w:proofErr w:type="spellStart"/>
      <w:r w:rsidRPr="003840F8">
        <w:rPr>
          <w:lang w:eastAsia="lv-LV"/>
        </w:rPr>
        <w:t>Premier</w:t>
      </w:r>
      <w:proofErr w:type="spellEnd"/>
      <w:r w:rsidRPr="003840F8">
        <w:rPr>
          <w:lang w:eastAsia="lv-LV"/>
        </w:rPr>
        <w:t xml:space="preserve"> </w:t>
      </w:r>
      <w:proofErr w:type="spellStart"/>
      <w:r w:rsidRPr="003840F8">
        <w:rPr>
          <w:lang w:eastAsia="lv-LV"/>
        </w:rPr>
        <w:t>Restaurants</w:t>
      </w:r>
      <w:proofErr w:type="spellEnd"/>
      <w:r w:rsidRPr="003840F8">
        <w:rPr>
          <w:lang w:eastAsia="lv-LV"/>
        </w:rPr>
        <w:t xml:space="preserve"> Latvia» un “</w:t>
      </w:r>
      <w:proofErr w:type="spellStart"/>
      <w:r w:rsidRPr="003840F8">
        <w:rPr>
          <w:lang w:eastAsia="lv-LV"/>
        </w:rPr>
        <w:t>Baltic</w:t>
      </w:r>
      <w:proofErr w:type="spellEnd"/>
      <w:r w:rsidRPr="003840F8">
        <w:rPr>
          <w:lang w:eastAsia="lv-LV"/>
        </w:rPr>
        <w:t xml:space="preserve"> </w:t>
      </w:r>
      <w:proofErr w:type="spellStart"/>
      <w:r w:rsidRPr="003840F8">
        <w:rPr>
          <w:lang w:eastAsia="lv-LV"/>
        </w:rPr>
        <w:t>Restaurants</w:t>
      </w:r>
      <w:proofErr w:type="spellEnd"/>
      <w:r w:rsidRPr="003840F8">
        <w:rPr>
          <w:lang w:eastAsia="lv-LV"/>
        </w:rPr>
        <w:t xml:space="preserve"> Latvia”, visos vērojams darbinieku skaita kritums. Piemēram, “LIDO” 2019. gadā nodarbināja 1041 cilvēkus, bet pašlaik – 784 darbiniekus. Savukārt “</w:t>
      </w:r>
      <w:proofErr w:type="spellStart"/>
      <w:r w:rsidRPr="003840F8">
        <w:rPr>
          <w:lang w:eastAsia="lv-LV"/>
        </w:rPr>
        <w:t>Baltic</w:t>
      </w:r>
      <w:proofErr w:type="spellEnd"/>
      <w:r w:rsidRPr="003840F8">
        <w:rPr>
          <w:lang w:eastAsia="lv-LV"/>
        </w:rPr>
        <w:t xml:space="preserve"> </w:t>
      </w:r>
      <w:proofErr w:type="spellStart"/>
      <w:r w:rsidRPr="003840F8">
        <w:rPr>
          <w:lang w:eastAsia="lv-LV"/>
        </w:rPr>
        <w:t>Restaurants</w:t>
      </w:r>
      <w:proofErr w:type="spellEnd"/>
      <w:r w:rsidRPr="003840F8">
        <w:rPr>
          <w:lang w:eastAsia="lv-LV"/>
        </w:rPr>
        <w:t xml:space="preserve"> Latvia” pēdējo divu gadu laikā darbinieku skaits no 806 ir samazinājies līdz 558. Nelielas darbinieku skaita izmaiņas piedzīvojis iepriekšminētais «</w:t>
      </w:r>
      <w:proofErr w:type="spellStart"/>
      <w:r w:rsidRPr="003840F8">
        <w:rPr>
          <w:lang w:eastAsia="lv-LV"/>
        </w:rPr>
        <w:t>Premier</w:t>
      </w:r>
      <w:proofErr w:type="spellEnd"/>
      <w:r w:rsidRPr="003840F8">
        <w:rPr>
          <w:lang w:eastAsia="lv-LV"/>
        </w:rPr>
        <w:t xml:space="preserve"> </w:t>
      </w:r>
      <w:proofErr w:type="spellStart"/>
      <w:r w:rsidRPr="003840F8">
        <w:rPr>
          <w:lang w:eastAsia="lv-LV"/>
        </w:rPr>
        <w:t>Restaurants</w:t>
      </w:r>
      <w:proofErr w:type="spellEnd"/>
      <w:r w:rsidRPr="003840F8">
        <w:rPr>
          <w:lang w:eastAsia="lv-LV"/>
        </w:rPr>
        <w:t xml:space="preserve"> Latvia» - no 776 uz 771.</w:t>
      </w:r>
      <w:r w:rsidRPr="003840F8">
        <w:rPr>
          <w:rFonts w:cs="Calibri"/>
          <w:lang w:eastAsia="lv-LV"/>
        </w:rPr>
        <w:t xml:space="preserve"> </w:t>
      </w:r>
      <w:r>
        <w:rPr>
          <w:noProof/>
        </w:rPr>
        <w:drawing>
          <wp:inline distT="0" distB="0" distL="0" distR="0" wp14:anchorId="751118D7" wp14:editId="2BF2DD6D">
            <wp:extent cx="5267325" cy="3267075"/>
            <wp:effectExtent l="0" t="0" r="0" b="0"/>
            <wp:docPr id="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7325" cy="3267075"/>
                    </a:xfrm>
                    <a:prstGeom prst="rect">
                      <a:avLst/>
                    </a:prstGeom>
                    <a:noFill/>
                    <a:ln>
                      <a:noFill/>
                    </a:ln>
                  </pic:spPr>
                </pic:pic>
              </a:graphicData>
            </a:graphic>
          </wp:inline>
        </w:drawing>
      </w:r>
      <w:r w:rsidRPr="003840F8">
        <w:rPr>
          <w:lang w:eastAsia="lv-LV"/>
        </w:rPr>
        <w:t> </w:t>
      </w:r>
    </w:p>
    <w:p w14:paraId="57172091" w14:textId="77777777" w:rsidR="005F4053" w:rsidRPr="003840F8" w:rsidRDefault="005F4053" w:rsidP="005F4053">
      <w:pPr>
        <w:ind w:firstLine="705"/>
        <w:jc w:val="right"/>
        <w:textAlignment w:val="baseline"/>
        <w:rPr>
          <w:rFonts w:ascii="Segoe UI" w:hAnsi="Segoe UI" w:cs="Segoe UI"/>
          <w:sz w:val="18"/>
          <w:szCs w:val="18"/>
          <w:lang w:eastAsia="lv-LV"/>
        </w:rPr>
      </w:pPr>
      <w:r w:rsidRPr="003840F8">
        <w:rPr>
          <w:sz w:val="20"/>
          <w:szCs w:val="20"/>
          <w:lang w:eastAsia="lv-LV"/>
        </w:rPr>
        <w:t>Datu avots: LDDK un LRB </w:t>
      </w:r>
    </w:p>
    <w:p w14:paraId="2D492F6C"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 </w:t>
      </w:r>
    </w:p>
    <w:p w14:paraId="6BAD066B"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CSP un Valsts ieņēmumu dienesta (turpmāk – VID) datu analīze skaidri parāda Covid-19 pandēmijas un ar to saistīto ierobežojumu smago kaitējumu nozarei. Pēdējo divu gadu laikā divas reizes – 2020. un 2021. gada sākumā (nesezonā) viesmīlības nozares darbinieku skaits noslīdēja līdz kritiskajai robežai – 13 tūkstoši. Vasaras sezonā darbinieku skaits uz īsu brīdi atkal dubultojās. </w:t>
      </w:r>
    </w:p>
    <w:p w14:paraId="67DC1BF2"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 </w:t>
      </w:r>
    </w:p>
    <w:p w14:paraId="02291478" w14:textId="77777777" w:rsidR="005F4053" w:rsidRPr="003840F8" w:rsidRDefault="005F4053" w:rsidP="005F4053">
      <w:pPr>
        <w:ind w:firstLine="705"/>
        <w:jc w:val="both"/>
        <w:textAlignment w:val="baseline"/>
        <w:rPr>
          <w:rFonts w:ascii="Segoe UI" w:hAnsi="Segoe UI" w:cs="Segoe UI"/>
          <w:sz w:val="18"/>
          <w:szCs w:val="18"/>
          <w:lang w:eastAsia="lv-LV"/>
        </w:rPr>
      </w:pPr>
      <w:r>
        <w:rPr>
          <w:noProof/>
        </w:rPr>
        <w:lastRenderedPageBreak/>
        <w:drawing>
          <wp:inline distT="0" distB="0" distL="0" distR="0" wp14:anchorId="1F25790A" wp14:editId="7BA13152">
            <wp:extent cx="4610100" cy="2600325"/>
            <wp:effectExtent l="0" t="0" r="0"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10100" cy="2600325"/>
                    </a:xfrm>
                    <a:prstGeom prst="rect">
                      <a:avLst/>
                    </a:prstGeom>
                    <a:noFill/>
                    <a:ln>
                      <a:noFill/>
                    </a:ln>
                  </pic:spPr>
                </pic:pic>
              </a:graphicData>
            </a:graphic>
          </wp:inline>
        </w:drawing>
      </w:r>
      <w:r w:rsidRPr="003840F8">
        <w:rPr>
          <w:lang w:eastAsia="lv-LV"/>
        </w:rPr>
        <w:t> </w:t>
      </w:r>
    </w:p>
    <w:p w14:paraId="7D02F53D"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 </w:t>
      </w:r>
    </w:p>
    <w:p w14:paraId="75872776"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Samazinot PVN, būtu iespējams arī samazināt cenu līmeņa indeksu restorānu biznesā, kas šobrīd ir būtiski lielāks kā Lietuvai. </w:t>
      </w:r>
    </w:p>
    <w:p w14:paraId="5D01C5D6"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 </w:t>
      </w:r>
    </w:p>
    <w:p w14:paraId="280F9935" w14:textId="77777777" w:rsidR="005F4053" w:rsidRPr="003840F8" w:rsidRDefault="005F4053" w:rsidP="005F4053">
      <w:pPr>
        <w:ind w:firstLine="705"/>
        <w:jc w:val="right"/>
        <w:textAlignment w:val="baseline"/>
        <w:rPr>
          <w:rFonts w:ascii="Segoe UI" w:hAnsi="Segoe UI" w:cs="Segoe UI"/>
          <w:sz w:val="18"/>
          <w:szCs w:val="18"/>
          <w:lang w:eastAsia="lv-LV"/>
        </w:rPr>
      </w:pPr>
      <w:r w:rsidRPr="003840F8">
        <w:rPr>
          <w:lang w:eastAsia="lv-LV"/>
        </w:rPr>
        <w:t xml:space="preserve">Datu avots: </w:t>
      </w:r>
      <w:proofErr w:type="spellStart"/>
      <w:r w:rsidRPr="003840F8">
        <w:rPr>
          <w:lang w:eastAsia="lv-LV"/>
        </w:rPr>
        <w:t>Eurostat</w:t>
      </w:r>
      <w:proofErr w:type="spellEnd"/>
      <w:r w:rsidRPr="003840F8">
        <w:rPr>
          <w:lang w:eastAsia="lv-LV"/>
        </w:rPr>
        <w:t> </w:t>
      </w:r>
    </w:p>
    <w:p w14:paraId="79754065"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 </w:t>
      </w:r>
    </w:p>
    <w:p w14:paraId="22346119" w14:textId="77777777" w:rsidR="005F4053" w:rsidRPr="003840F8" w:rsidRDefault="005F4053" w:rsidP="005F4053">
      <w:pPr>
        <w:ind w:firstLine="705"/>
        <w:jc w:val="both"/>
        <w:textAlignment w:val="baseline"/>
        <w:rPr>
          <w:rFonts w:ascii="Segoe UI" w:hAnsi="Segoe UI" w:cs="Segoe UI"/>
          <w:sz w:val="18"/>
          <w:szCs w:val="18"/>
          <w:lang w:eastAsia="lv-LV"/>
        </w:rPr>
      </w:pPr>
      <w:r>
        <w:rPr>
          <w:noProof/>
        </w:rPr>
        <w:drawing>
          <wp:inline distT="0" distB="0" distL="0" distR="0" wp14:anchorId="71EE1BEF" wp14:editId="56B2977C">
            <wp:extent cx="5276850" cy="3419475"/>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6850" cy="3419475"/>
                    </a:xfrm>
                    <a:prstGeom prst="rect">
                      <a:avLst/>
                    </a:prstGeom>
                    <a:noFill/>
                    <a:ln>
                      <a:noFill/>
                    </a:ln>
                  </pic:spPr>
                </pic:pic>
              </a:graphicData>
            </a:graphic>
          </wp:inline>
        </w:drawing>
      </w:r>
      <w:r w:rsidRPr="003840F8">
        <w:rPr>
          <w:lang w:eastAsia="lv-LV"/>
        </w:rPr>
        <w:t> </w:t>
      </w:r>
    </w:p>
    <w:p w14:paraId="4E7DC00B"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lang w:eastAsia="lv-LV"/>
        </w:rPr>
        <w:t> </w:t>
      </w:r>
    </w:p>
    <w:p w14:paraId="493D362B" w14:textId="77777777" w:rsidR="005F4053" w:rsidRDefault="005F4053" w:rsidP="005F4053">
      <w:pPr>
        <w:ind w:firstLine="705"/>
        <w:jc w:val="both"/>
        <w:textAlignment w:val="baseline"/>
        <w:rPr>
          <w:b/>
          <w:bCs/>
          <w:color w:val="000000"/>
          <w:lang w:eastAsia="lv-LV"/>
        </w:rPr>
      </w:pPr>
    </w:p>
    <w:p w14:paraId="4C53F719"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b/>
          <w:bCs/>
          <w:color w:val="000000"/>
          <w:lang w:eastAsia="lv-LV"/>
        </w:rPr>
        <w:t xml:space="preserve">2.4. Viesmīlības nozares </w:t>
      </w:r>
      <w:proofErr w:type="spellStart"/>
      <w:r w:rsidRPr="003840F8">
        <w:rPr>
          <w:b/>
          <w:bCs/>
          <w:color w:val="000000"/>
          <w:lang w:eastAsia="lv-LV"/>
        </w:rPr>
        <w:t>ģenerālvienošanās</w:t>
      </w:r>
      <w:proofErr w:type="spellEnd"/>
      <w:r w:rsidRPr="003840F8">
        <w:rPr>
          <w:b/>
          <w:bCs/>
          <w:color w:val="000000"/>
          <w:lang w:eastAsia="lv-LV"/>
        </w:rPr>
        <w:t> </w:t>
      </w:r>
      <w:r w:rsidRPr="003840F8">
        <w:rPr>
          <w:color w:val="000000"/>
          <w:lang w:eastAsia="lv-LV"/>
        </w:rPr>
        <w:t> </w:t>
      </w:r>
    </w:p>
    <w:p w14:paraId="4C3B4E00" w14:textId="77777777" w:rsidR="005F4053" w:rsidRPr="003840F8" w:rsidRDefault="005F4053" w:rsidP="005F4053">
      <w:pPr>
        <w:ind w:firstLine="705"/>
        <w:jc w:val="both"/>
        <w:textAlignment w:val="baseline"/>
        <w:rPr>
          <w:rFonts w:ascii="Segoe UI" w:hAnsi="Segoe UI" w:cs="Segoe UI"/>
          <w:sz w:val="18"/>
          <w:szCs w:val="18"/>
          <w:lang w:eastAsia="lv-LV"/>
        </w:rPr>
      </w:pPr>
      <w:r w:rsidRPr="003840F8">
        <w:rPr>
          <w:color w:val="000000"/>
          <w:lang w:eastAsia="lv-LV"/>
        </w:rPr>
        <w:t>Latvijas Viesnīcu un restorānu asociācija (turpmāk – LVRA), LRB un Finanšu Ministrija 2018.gada 21.septembrī savstarpēji vienojās par sadarbību, lai sasniegtu kopīgos mērķus:  </w:t>
      </w:r>
    </w:p>
    <w:p w14:paraId="1A2C40A0" w14:textId="77777777" w:rsidR="005F4053" w:rsidRPr="003840F8" w:rsidRDefault="005F4053" w:rsidP="005F4053">
      <w:pPr>
        <w:ind w:left="705"/>
        <w:jc w:val="both"/>
        <w:textAlignment w:val="baseline"/>
        <w:rPr>
          <w:rFonts w:ascii="Segoe UI" w:hAnsi="Segoe UI" w:cs="Segoe UI"/>
          <w:sz w:val="18"/>
          <w:szCs w:val="18"/>
          <w:lang w:eastAsia="lv-LV"/>
        </w:rPr>
      </w:pPr>
      <w:r w:rsidRPr="003840F8">
        <w:rPr>
          <w:color w:val="000000"/>
          <w:lang w:eastAsia="lv-LV"/>
        </w:rPr>
        <w:t>1) veicināt sabiedriskās ēdināšanas nozares tirgus sakārtošanu, nozares konkurētspēju reģionos un ilgtspējīgu attīstību; </w:t>
      </w:r>
    </w:p>
    <w:p w14:paraId="2EB7FFCF" w14:textId="77777777" w:rsidR="005F4053" w:rsidRPr="003840F8" w:rsidRDefault="005F4053" w:rsidP="005F4053">
      <w:pPr>
        <w:ind w:left="705"/>
        <w:jc w:val="both"/>
        <w:textAlignment w:val="baseline"/>
        <w:rPr>
          <w:rFonts w:ascii="Segoe UI" w:hAnsi="Segoe UI" w:cs="Segoe UI"/>
          <w:sz w:val="18"/>
          <w:szCs w:val="18"/>
          <w:lang w:eastAsia="lv-LV"/>
        </w:rPr>
      </w:pPr>
      <w:r w:rsidRPr="003840F8">
        <w:rPr>
          <w:color w:val="000000"/>
          <w:lang w:eastAsia="lv-LV"/>
        </w:rPr>
        <w:t>2) samazināt nelegālo nodarbinātību viesmīlības nozarē; </w:t>
      </w:r>
    </w:p>
    <w:p w14:paraId="63DD7F30" w14:textId="77777777" w:rsidR="005F4053" w:rsidRPr="003840F8" w:rsidRDefault="005F4053" w:rsidP="005F4053">
      <w:pPr>
        <w:ind w:left="705"/>
        <w:jc w:val="both"/>
        <w:textAlignment w:val="baseline"/>
        <w:rPr>
          <w:rFonts w:ascii="Segoe UI" w:hAnsi="Segoe UI" w:cs="Segoe UI"/>
          <w:sz w:val="18"/>
          <w:szCs w:val="18"/>
          <w:lang w:eastAsia="lv-LV"/>
        </w:rPr>
      </w:pPr>
      <w:r w:rsidRPr="003840F8">
        <w:rPr>
          <w:color w:val="000000"/>
          <w:lang w:eastAsia="lv-LV"/>
        </w:rPr>
        <w:t>3) </w:t>
      </w:r>
      <w:r w:rsidRPr="003840F8">
        <w:rPr>
          <w:lang w:eastAsia="lv-LV"/>
        </w:rPr>
        <w:t xml:space="preserve"> </w:t>
      </w:r>
      <w:r w:rsidRPr="003840F8">
        <w:rPr>
          <w:color w:val="000000"/>
          <w:lang w:eastAsia="lv-LV"/>
        </w:rPr>
        <w:t>ierobežot ēnu ekonomiku nozarē.  </w:t>
      </w:r>
    </w:p>
    <w:p w14:paraId="43655038" w14:textId="77777777" w:rsidR="005F4053" w:rsidRPr="003840F8" w:rsidRDefault="005F4053" w:rsidP="005F4053">
      <w:pPr>
        <w:ind w:firstLine="720"/>
        <w:jc w:val="both"/>
        <w:textAlignment w:val="baseline"/>
        <w:rPr>
          <w:rFonts w:ascii="Segoe UI" w:hAnsi="Segoe UI" w:cs="Segoe UI"/>
          <w:sz w:val="18"/>
          <w:szCs w:val="18"/>
          <w:lang w:eastAsia="lv-LV"/>
        </w:rPr>
      </w:pPr>
      <w:r w:rsidRPr="003840F8">
        <w:rPr>
          <w:color w:val="000000"/>
          <w:lang w:eastAsia="lv-LV"/>
        </w:rPr>
        <w:lastRenderedPageBreak/>
        <w:t xml:space="preserve">Papildus, LVRA un LRB šīs vienošanās ietvaros apņēmās noslēgt viesmīlības nozares </w:t>
      </w:r>
      <w:proofErr w:type="spellStart"/>
      <w:r w:rsidRPr="003840F8">
        <w:rPr>
          <w:color w:val="000000"/>
          <w:lang w:eastAsia="lv-LV"/>
        </w:rPr>
        <w:t>ģenerālvienošanos</w:t>
      </w:r>
      <w:proofErr w:type="spellEnd"/>
      <w:r w:rsidRPr="003840F8">
        <w:rPr>
          <w:color w:val="000000"/>
          <w:lang w:eastAsia="lv-LV"/>
        </w:rPr>
        <w:t xml:space="preserve">. </w:t>
      </w:r>
      <w:r w:rsidRPr="003840F8">
        <w:rPr>
          <w:lang w:eastAsia="lv-LV"/>
        </w:rPr>
        <w:t xml:space="preserve">Finanšu Ministrija savas kompetences ietvaros apņēmās veikt darbības, lai ieviestu samazināto PVN likmi sabiedriskās ēdināšanas pakalpojumiem, ja viesmīlības nozares uzņēmumi noslēdz nozares </w:t>
      </w:r>
      <w:proofErr w:type="spellStart"/>
      <w:r w:rsidRPr="003840F8">
        <w:rPr>
          <w:lang w:eastAsia="lv-LV"/>
        </w:rPr>
        <w:t>ģenerālvienošanos</w:t>
      </w:r>
      <w:proofErr w:type="spellEnd"/>
      <w:r w:rsidRPr="003840F8">
        <w:rPr>
          <w:lang w:eastAsia="lv-LV"/>
        </w:rPr>
        <w:t xml:space="preserve"> ar būtisku, reālajai tirgus situācijai atbilstošu, vidējās algas pieaugumu. </w:t>
      </w:r>
    </w:p>
    <w:p w14:paraId="20C350E2" w14:textId="77777777" w:rsidR="005F4053" w:rsidRPr="003840F8" w:rsidRDefault="005F4053" w:rsidP="005F4053">
      <w:pPr>
        <w:jc w:val="both"/>
        <w:textAlignment w:val="baseline"/>
        <w:rPr>
          <w:rFonts w:ascii="Segoe UI" w:hAnsi="Segoe UI" w:cs="Segoe UI"/>
          <w:sz w:val="18"/>
          <w:szCs w:val="18"/>
          <w:lang w:eastAsia="lv-LV"/>
        </w:rPr>
      </w:pPr>
      <w:r w:rsidRPr="003840F8">
        <w:rPr>
          <w:color w:val="000000"/>
          <w:lang w:eastAsia="lv-LV"/>
        </w:rPr>
        <w:t xml:space="preserve">     2020. gada 22. aprīlī viesmīlības nozare parakstījusi </w:t>
      </w:r>
      <w:proofErr w:type="spellStart"/>
      <w:r w:rsidRPr="003840F8">
        <w:rPr>
          <w:color w:val="000000"/>
          <w:lang w:eastAsia="lv-LV"/>
        </w:rPr>
        <w:t>ģenerālvienošanos</w:t>
      </w:r>
      <w:proofErr w:type="spellEnd"/>
      <w:r w:rsidRPr="003840F8">
        <w:rPr>
          <w:color w:val="000000"/>
          <w:lang w:eastAsia="lv-LV"/>
        </w:rPr>
        <w:t xml:space="preserve">, kas paredz noteikt minimālo algu un sociālās garantijas nozarē strādājošajiem, kā arī kopīgi meklēt risinājumus Covid-19 pandēmijas izraisītās krīzes laikā. </w:t>
      </w:r>
      <w:proofErr w:type="spellStart"/>
      <w:r w:rsidRPr="003840F8">
        <w:rPr>
          <w:color w:val="000000"/>
          <w:lang w:eastAsia="lv-LV"/>
        </w:rPr>
        <w:t>Ģenerālvienošanos</w:t>
      </w:r>
      <w:proofErr w:type="spellEnd"/>
      <w:r w:rsidRPr="003840F8">
        <w:rPr>
          <w:color w:val="000000"/>
          <w:lang w:eastAsia="lv-LV"/>
        </w:rPr>
        <w:t xml:space="preserve"> parakstījušas Latvijas Sakaru darbinieku arodbiedrība (LSAB) un trīs darba devēju organizācijas - LRB, LVRA un Latvijas Tirgotāju asociācija (turpmāk - LTA).</w:t>
      </w:r>
      <w:r w:rsidRPr="003840F8">
        <w:rPr>
          <w:lang w:eastAsia="lv-LV"/>
        </w:rPr>
        <w:t xml:space="preserve"> </w:t>
      </w:r>
      <w:proofErr w:type="spellStart"/>
      <w:r w:rsidRPr="003840F8">
        <w:rPr>
          <w:lang w:eastAsia="lv-LV"/>
        </w:rPr>
        <w:t>Ģenerālvienošanās</w:t>
      </w:r>
      <w:proofErr w:type="spellEnd"/>
      <w:r w:rsidRPr="003840F8">
        <w:rPr>
          <w:lang w:eastAsia="lv-LV"/>
        </w:rPr>
        <w:t xml:space="preserve"> ir </w:t>
      </w:r>
      <w:r w:rsidRPr="003840F8">
        <w:rPr>
          <w:color w:val="000000"/>
          <w:lang w:eastAsia="lv-LV"/>
        </w:rPr>
        <w:t>brīvprātīgs dokuments, kas ir saistošs tikai atsevišķām ēdināšanas jomā strādājošām organizācijām un uzņēmumiem, kas šo vienošanos parakstījušas.</w:t>
      </w:r>
      <w:r w:rsidRPr="003840F8">
        <w:rPr>
          <w:lang w:eastAsia="lv-LV"/>
        </w:rPr>
        <w:t xml:space="preserve"> </w:t>
      </w:r>
      <w:r w:rsidRPr="003840F8">
        <w:rPr>
          <w:color w:val="000000"/>
          <w:lang w:eastAsia="lv-LV"/>
        </w:rPr>
        <w:t xml:space="preserve">Būtiskākie </w:t>
      </w:r>
      <w:proofErr w:type="spellStart"/>
      <w:r w:rsidRPr="003840F8">
        <w:rPr>
          <w:color w:val="000000"/>
          <w:lang w:eastAsia="lv-LV"/>
        </w:rPr>
        <w:t>ģenerālvienošanās</w:t>
      </w:r>
      <w:proofErr w:type="spellEnd"/>
      <w:r w:rsidRPr="003840F8">
        <w:rPr>
          <w:color w:val="000000"/>
          <w:lang w:eastAsia="lv-LV"/>
        </w:rPr>
        <w:t xml:space="preserve"> nosacījumi ir: </w:t>
      </w:r>
    </w:p>
    <w:p w14:paraId="0002AE18" w14:textId="77777777" w:rsidR="005F4053" w:rsidRPr="003840F8" w:rsidRDefault="005F4053" w:rsidP="005F4053">
      <w:pPr>
        <w:ind w:left="720"/>
        <w:jc w:val="both"/>
        <w:textAlignment w:val="baseline"/>
        <w:rPr>
          <w:rFonts w:ascii="Segoe UI" w:hAnsi="Segoe UI" w:cs="Segoe UI"/>
          <w:sz w:val="18"/>
          <w:szCs w:val="18"/>
          <w:lang w:eastAsia="lv-LV"/>
        </w:rPr>
      </w:pPr>
      <w:r w:rsidRPr="003840F8">
        <w:rPr>
          <w:color w:val="000000"/>
          <w:lang w:eastAsia="lv-LV"/>
        </w:rPr>
        <w:t>• vienošanās par minimālas algas vai stundas tarifa likmi;  </w:t>
      </w:r>
    </w:p>
    <w:p w14:paraId="01DD86D8" w14:textId="77777777" w:rsidR="005F4053" w:rsidRPr="003840F8" w:rsidRDefault="005F4053" w:rsidP="005F4053">
      <w:pPr>
        <w:ind w:left="720"/>
        <w:jc w:val="both"/>
        <w:textAlignment w:val="baseline"/>
        <w:rPr>
          <w:rFonts w:ascii="Segoe UI" w:hAnsi="Segoe UI" w:cs="Segoe UI"/>
          <w:sz w:val="18"/>
          <w:szCs w:val="18"/>
          <w:lang w:eastAsia="lv-LV"/>
        </w:rPr>
      </w:pPr>
      <w:r w:rsidRPr="003840F8">
        <w:rPr>
          <w:color w:val="000000"/>
          <w:lang w:eastAsia="lv-LV"/>
        </w:rPr>
        <w:t>• virsstundu apmaksas apmērs no 100% uz 50%;  </w:t>
      </w:r>
    </w:p>
    <w:p w14:paraId="2A8AC1D2" w14:textId="77777777" w:rsidR="005F4053" w:rsidRPr="003840F8" w:rsidRDefault="005F4053" w:rsidP="005F4053">
      <w:pPr>
        <w:ind w:left="720"/>
        <w:jc w:val="both"/>
        <w:textAlignment w:val="baseline"/>
        <w:rPr>
          <w:rFonts w:ascii="Segoe UI" w:hAnsi="Segoe UI" w:cs="Segoe UI"/>
          <w:sz w:val="18"/>
          <w:szCs w:val="18"/>
          <w:lang w:eastAsia="lv-LV"/>
        </w:rPr>
      </w:pPr>
      <w:r w:rsidRPr="003840F8">
        <w:rPr>
          <w:color w:val="000000"/>
          <w:lang w:eastAsia="lv-LV"/>
        </w:rPr>
        <w:t>• garāka virsstundu uzskaites pārskata perioda noteikšana. </w:t>
      </w:r>
    </w:p>
    <w:p w14:paraId="283A6331" w14:textId="77777777" w:rsidR="005F4053" w:rsidRPr="003840F8" w:rsidRDefault="005F4053" w:rsidP="005F4053">
      <w:pPr>
        <w:jc w:val="both"/>
        <w:textAlignment w:val="baseline"/>
        <w:rPr>
          <w:rFonts w:ascii="Segoe UI" w:hAnsi="Segoe UI" w:cs="Segoe UI"/>
          <w:sz w:val="18"/>
          <w:szCs w:val="18"/>
          <w:lang w:eastAsia="lv-LV"/>
        </w:rPr>
      </w:pPr>
      <w:r w:rsidRPr="003840F8">
        <w:rPr>
          <w:color w:val="000000"/>
          <w:lang w:eastAsia="lv-LV"/>
        </w:rPr>
        <w:t>     Nozīmīgs sāktās sadarbības mērķis ir samazināt nelegālo nodarbinātību viesmīlības nozarē, kā arī ierobežot ēnu ekonomiku, izstrādājot nozares vispārējos atalgojuma principus. </w:t>
      </w:r>
    </w:p>
    <w:p w14:paraId="62FC0E43" w14:textId="77777777" w:rsidR="005F4053" w:rsidRPr="003840F8" w:rsidRDefault="005F4053" w:rsidP="005F4053">
      <w:pPr>
        <w:ind w:firstLine="720"/>
        <w:jc w:val="both"/>
        <w:textAlignment w:val="baseline"/>
        <w:rPr>
          <w:rFonts w:ascii="Segoe UI" w:hAnsi="Segoe UI" w:cs="Segoe UI"/>
          <w:sz w:val="18"/>
          <w:szCs w:val="18"/>
          <w:lang w:eastAsia="lv-LV"/>
        </w:rPr>
      </w:pPr>
      <w:r w:rsidRPr="003840F8">
        <w:rPr>
          <w:color w:val="000000"/>
          <w:lang w:eastAsia="lv-LV"/>
        </w:rPr>
        <w:t>Latvijas viesmīlības nozare pēdējo divu gadu laikā ir zaudējusi trešdaļu darbinieku.</w:t>
      </w:r>
      <w:r w:rsidRPr="003840F8">
        <w:rPr>
          <w:lang w:eastAsia="lv-LV"/>
        </w:rPr>
        <w:t xml:space="preserve"> </w:t>
      </w:r>
      <w:r w:rsidRPr="003840F8">
        <w:rPr>
          <w:color w:val="000000"/>
          <w:lang w:eastAsia="lv-LV"/>
        </w:rPr>
        <w:t xml:space="preserve">Nozares attīstību lielā mērā ir ietekmējuši valstī noteiktie ierobežojumi, tostarp: ierobežota pakalpojumu pieejamība, limitēts darba laiks un apmeklētāju skaits, aizliegums vai ierobežojumi ieceļošanai no dažādām pasaules valstīm, kas būtiski samazināja vai pat aizliedza korporatīvos pasākumus, ceļojumus u.c. </w:t>
      </w:r>
      <w:r w:rsidRPr="003840F8">
        <w:rPr>
          <w:lang w:eastAsia="lv-LV"/>
        </w:rPr>
        <w:t xml:space="preserve">Ar mērķi ierobežot Covid-19 pandēmijas straujo izplatību, kopš pandēmijas izplatības sākuma 2020.gada sākumā Latvijā bija izsludinātas trīs ārkārtas situācijas kopumā pārsniedzot 12 mēnešu periodu, kas ir būtiski ietekmējušas konkrēto uzdevumu izpildes gaitu. </w:t>
      </w:r>
      <w:r w:rsidRPr="003840F8">
        <w:rPr>
          <w:color w:val="000000"/>
          <w:lang w:eastAsia="lv-LV"/>
        </w:rPr>
        <w:t>Neskatoties uz to, LSAB, LRB, LVRA un LTA turpina intensīvi strādāt, lai sasniegtu izvirzītos mērķus.</w:t>
      </w:r>
      <w:r w:rsidRPr="003840F8">
        <w:rPr>
          <w:lang w:eastAsia="lv-LV"/>
        </w:rPr>
        <w:t>  </w:t>
      </w:r>
    </w:p>
    <w:p w14:paraId="7ABC1AC5" w14:textId="77777777" w:rsidR="005F4053" w:rsidRDefault="005F4053" w:rsidP="005F4053">
      <w:pPr>
        <w:ind w:firstLine="720"/>
        <w:jc w:val="both"/>
        <w:textAlignment w:val="baseline"/>
        <w:rPr>
          <w:b/>
          <w:bCs/>
          <w:color w:val="000000"/>
          <w:lang w:eastAsia="lv-LV"/>
        </w:rPr>
      </w:pPr>
    </w:p>
    <w:p w14:paraId="1D5BF021" w14:textId="77777777" w:rsidR="005F4053" w:rsidRPr="003840F8" w:rsidRDefault="005F4053" w:rsidP="005F4053">
      <w:pPr>
        <w:ind w:firstLine="720"/>
        <w:jc w:val="both"/>
        <w:textAlignment w:val="baseline"/>
        <w:rPr>
          <w:rFonts w:ascii="Segoe UI" w:hAnsi="Segoe UI" w:cs="Segoe UI"/>
          <w:sz w:val="18"/>
          <w:szCs w:val="18"/>
          <w:lang w:eastAsia="lv-LV"/>
        </w:rPr>
      </w:pPr>
      <w:r w:rsidRPr="003840F8">
        <w:rPr>
          <w:b/>
          <w:bCs/>
          <w:color w:val="000000"/>
          <w:lang w:eastAsia="lv-LV"/>
        </w:rPr>
        <w:t>2.5. Sabiedriskās ēdināšanas nozares apgrozījums</w:t>
      </w:r>
      <w:r w:rsidRPr="003840F8">
        <w:rPr>
          <w:color w:val="000000"/>
          <w:lang w:eastAsia="lv-LV"/>
        </w:rPr>
        <w:t> </w:t>
      </w:r>
    </w:p>
    <w:p w14:paraId="6B17DF81" w14:textId="5FAB157E" w:rsidR="005F4053" w:rsidRDefault="005F4053" w:rsidP="005F4053">
      <w:pPr>
        <w:ind w:firstLine="720"/>
        <w:jc w:val="both"/>
        <w:textAlignment w:val="baseline"/>
        <w:rPr>
          <w:lang w:eastAsia="lv-LV"/>
        </w:rPr>
      </w:pPr>
      <w:r w:rsidRPr="003840F8">
        <w:rPr>
          <w:lang w:eastAsia="lv-LV"/>
        </w:rPr>
        <w:t>Lai detalizēti raksturot situāciju sabiedriskās ēdināšanas nozarē, zemāk ir  aplūkoti dati par apgrozījuma indeksiem un apgrozījuma izmaiņām, reālajām cenām un indeksiem, kā arī izlaides izmaiņām no 2018.gada līdz 2022. gada pirmajam ceturksnim. Pilnībā situāciju būs iespējams novērtēt tikai pēc tam, kad sabiedriskās ēdināšanas nozares uzņēmumi būs iesnieguši savus gada pārskatus VID un saņemtie dati būs apkopoti. Saskaņā ar veiktajiem grozījumiem Covid-19 infekcijas izplatības seku pārvarēšanas likumā, arī šogad ir pagarināts gada pārskatu un konsolidēto gada pārskatu iesniegšanas termiņš uzņēmumiem, biedrībām, sabiedriskā labuma organizācijām, nodibinājumiem un reliģiskajām organizācijām līdz 2022. gada 30.jūnijam.  </w:t>
      </w:r>
    </w:p>
    <w:p w14:paraId="41647B2F" w14:textId="46D68FF1" w:rsidR="00502149" w:rsidRDefault="00502149">
      <w:pPr>
        <w:spacing w:after="160" w:line="259" w:lineRule="auto"/>
        <w:rPr>
          <w:lang w:eastAsia="lv-LV"/>
        </w:rPr>
      </w:pPr>
      <w:r>
        <w:rPr>
          <w:lang w:eastAsia="lv-LV"/>
        </w:rPr>
        <w:br w:type="page"/>
      </w:r>
    </w:p>
    <w:p w14:paraId="0DE63693" w14:textId="77777777" w:rsidR="005F4053" w:rsidRPr="003840F8" w:rsidRDefault="005F4053" w:rsidP="005F4053">
      <w:pPr>
        <w:jc w:val="center"/>
        <w:textAlignment w:val="baseline"/>
        <w:rPr>
          <w:rFonts w:ascii="Segoe UI" w:hAnsi="Segoe UI" w:cs="Segoe UI"/>
          <w:sz w:val="18"/>
          <w:szCs w:val="18"/>
          <w:lang w:eastAsia="lv-LV"/>
        </w:rPr>
      </w:pPr>
      <w:r w:rsidRPr="003840F8">
        <w:rPr>
          <w:b/>
          <w:bCs/>
          <w:lang w:eastAsia="lv-LV"/>
        </w:rPr>
        <w:lastRenderedPageBreak/>
        <w:t>Pakalpojumu nozaru uzņēmumu produkcijas apjoma un apgrozījuma indeksi (Datu avots: CSP) </w:t>
      </w:r>
      <w:r w:rsidRPr="003840F8">
        <w:rPr>
          <w:lang w:eastAsia="lv-LV"/>
        </w:rPr>
        <w:t> </w:t>
      </w:r>
    </w:p>
    <w:p w14:paraId="53C86FA8" w14:textId="77777777" w:rsidR="005F4053" w:rsidRPr="003840F8" w:rsidRDefault="005F4053" w:rsidP="005F4053">
      <w:pPr>
        <w:jc w:val="center"/>
        <w:textAlignment w:val="baseline"/>
        <w:rPr>
          <w:rFonts w:ascii="Segoe UI" w:hAnsi="Segoe UI" w:cs="Segoe UI"/>
          <w:sz w:val="18"/>
          <w:szCs w:val="18"/>
          <w:lang w:eastAsia="lv-LV"/>
        </w:rPr>
      </w:pPr>
      <w:r>
        <w:rPr>
          <w:noProof/>
        </w:rPr>
        <w:drawing>
          <wp:inline distT="0" distB="0" distL="0" distR="0" wp14:anchorId="1C6A4D09" wp14:editId="351A15B5">
            <wp:extent cx="5153025" cy="3267075"/>
            <wp:effectExtent l="0" t="0" r="0"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53025" cy="3267075"/>
                    </a:xfrm>
                    <a:prstGeom prst="rect">
                      <a:avLst/>
                    </a:prstGeom>
                    <a:noFill/>
                    <a:ln>
                      <a:noFill/>
                    </a:ln>
                  </pic:spPr>
                </pic:pic>
              </a:graphicData>
            </a:graphic>
          </wp:inline>
        </w:drawing>
      </w:r>
      <w:r w:rsidRPr="003840F8">
        <w:rPr>
          <w:color w:val="000000"/>
          <w:lang w:eastAsia="lv-LV"/>
        </w:rPr>
        <w:t>  </w:t>
      </w:r>
    </w:p>
    <w:p w14:paraId="4B705A18" w14:textId="77777777" w:rsidR="005F4053" w:rsidRPr="003840F8" w:rsidRDefault="005F4053" w:rsidP="005F4053">
      <w:pPr>
        <w:ind w:firstLine="720"/>
        <w:jc w:val="both"/>
        <w:textAlignment w:val="baseline"/>
        <w:rPr>
          <w:rFonts w:ascii="Segoe UI" w:hAnsi="Segoe UI" w:cs="Segoe UI"/>
          <w:sz w:val="18"/>
          <w:szCs w:val="18"/>
          <w:lang w:eastAsia="lv-LV"/>
        </w:rPr>
      </w:pPr>
      <w:r w:rsidRPr="003840F8">
        <w:rPr>
          <w:lang w:eastAsia="lv-LV"/>
        </w:rPr>
        <w:t>2021.gadā apgrozījums ēdināšanas sektorā pret 2020.gadu nedaudz samazinājās (par 4,7%), bet apjomi (izslēdzot cenu izmaiņu ietekmi) – nedaudz pieauga. Salīdzinot nozares situāciju pret pirms Covid-19 līmeni 2019.gadā, gan apgrozījums, gan apjomi 2021.gadā bija par 30% mazāki.  </w:t>
      </w:r>
    </w:p>
    <w:p w14:paraId="303D314C" w14:textId="77777777" w:rsidR="005F4053" w:rsidRPr="003840F8" w:rsidRDefault="005F4053" w:rsidP="005F4053">
      <w:pPr>
        <w:ind w:firstLine="720"/>
        <w:jc w:val="both"/>
        <w:textAlignment w:val="baseline"/>
        <w:rPr>
          <w:rFonts w:ascii="Segoe UI" w:hAnsi="Segoe UI" w:cs="Segoe UI"/>
          <w:sz w:val="18"/>
          <w:szCs w:val="18"/>
          <w:lang w:eastAsia="lv-LV"/>
        </w:rPr>
      </w:pPr>
      <w:r w:rsidRPr="003840F8">
        <w:rPr>
          <w:color w:val="000000"/>
          <w:lang w:eastAsia="lv-LV"/>
        </w:rPr>
        <w:t>Kaut arī tūrisma nozare Eiropā ir uzsākusi ceļu uz atveseļošanos pēc Covid-19 pandēmijas postošās ietekmes, šobrīd nozare saskaras ar vēl vienu krīzi saistībā ar Krievijas uzsākto militāro konfliktu Ukrainā, kā ietekme uz tūrisma nozari ir divējāda: pirmkārt - zaudēts ienākošā tūrisma tirgus no Krievijas, Baltkrievijas un Ukrainas, otrkārt - prognozējama zemāka ienākošā tūrisma plūsma uz Eiropu, īpaši uz Austrumeiropu un  Baltijas valstīm.  Cilvēku plūsma mainās arī sezonalitātes dēļ, jo ēdināšanas un viesu izmitināšanas jom</w:t>
      </w:r>
      <w:r w:rsidRPr="003840F8">
        <w:rPr>
          <w:lang w:eastAsia="lv-LV"/>
        </w:rPr>
        <w:t>ā rudens nav sezona. </w:t>
      </w:r>
    </w:p>
    <w:p w14:paraId="3698FDA3" w14:textId="77777777" w:rsidR="005F4053" w:rsidRPr="003840F8" w:rsidRDefault="005F4053" w:rsidP="005F4053">
      <w:pPr>
        <w:ind w:firstLine="720"/>
        <w:jc w:val="both"/>
        <w:textAlignment w:val="baseline"/>
        <w:rPr>
          <w:rFonts w:ascii="Segoe UI" w:hAnsi="Segoe UI" w:cs="Segoe UI"/>
          <w:sz w:val="18"/>
          <w:szCs w:val="18"/>
          <w:lang w:eastAsia="lv-LV"/>
        </w:rPr>
      </w:pPr>
      <w:r w:rsidRPr="003840F8">
        <w:rPr>
          <w:color w:val="000000"/>
          <w:lang w:eastAsia="lv-LV"/>
        </w:rPr>
        <w:t>Nav mazsvarīgi, ka sabiedriskās ēdināšanas pakalpojumu pieprasījumu ietekmē inflācija.</w:t>
      </w:r>
      <w:r w:rsidRPr="003840F8">
        <w:rPr>
          <w:lang w:eastAsia="lv-LV"/>
        </w:rPr>
        <w:t xml:space="preserve"> </w:t>
      </w:r>
      <w:r w:rsidRPr="003840F8">
        <w:rPr>
          <w:color w:val="000000"/>
          <w:lang w:eastAsia="lv-LV"/>
        </w:rPr>
        <w:t>Vidējais patēriņa cenu līmenis Latvijā 2022.gada maijā, salīdzinot ar 2021.gada maiju, palielinājās par 16,9%, liecina jaunākie CSP dati. </w:t>
      </w:r>
    </w:p>
    <w:p w14:paraId="1278ECDE" w14:textId="77777777" w:rsidR="005F4053" w:rsidRDefault="005F4053" w:rsidP="005F4053">
      <w:pPr>
        <w:jc w:val="center"/>
        <w:textAlignment w:val="baseline"/>
        <w:rPr>
          <w:b/>
          <w:bCs/>
          <w:color w:val="000000"/>
          <w:lang w:eastAsia="lv-LV"/>
        </w:rPr>
      </w:pPr>
    </w:p>
    <w:p w14:paraId="4423B52C" w14:textId="77777777" w:rsidR="005F4053" w:rsidRPr="003840F8" w:rsidRDefault="005F4053" w:rsidP="005F4053">
      <w:pPr>
        <w:jc w:val="center"/>
        <w:textAlignment w:val="baseline"/>
        <w:rPr>
          <w:rFonts w:ascii="Segoe UI" w:hAnsi="Segoe UI" w:cs="Segoe UI"/>
          <w:sz w:val="18"/>
          <w:szCs w:val="18"/>
          <w:lang w:eastAsia="lv-LV"/>
        </w:rPr>
      </w:pPr>
      <w:r w:rsidRPr="003840F8">
        <w:rPr>
          <w:b/>
          <w:bCs/>
          <w:color w:val="000000"/>
          <w:lang w:eastAsia="lv-LV"/>
        </w:rPr>
        <w:t>Patēriņa cenu pārmaiņas (Datu avots: CSP)</w:t>
      </w:r>
      <w:r w:rsidRPr="003840F8">
        <w:rPr>
          <w:color w:val="000000"/>
          <w:lang w:eastAsia="lv-LV"/>
        </w:rPr>
        <w:t> </w:t>
      </w:r>
    </w:p>
    <w:p w14:paraId="28EA3F7D" w14:textId="77777777" w:rsidR="005F4053" w:rsidRPr="003840F8" w:rsidRDefault="005F4053" w:rsidP="005F4053">
      <w:pPr>
        <w:jc w:val="center"/>
        <w:textAlignment w:val="baseline"/>
        <w:rPr>
          <w:rFonts w:ascii="Segoe UI" w:hAnsi="Segoe UI" w:cs="Segoe UI"/>
          <w:sz w:val="18"/>
          <w:szCs w:val="18"/>
          <w:lang w:eastAsia="lv-LV"/>
        </w:rPr>
      </w:pPr>
      <w:r>
        <w:rPr>
          <w:noProof/>
        </w:rPr>
        <w:drawing>
          <wp:inline distT="0" distB="0" distL="0" distR="0" wp14:anchorId="44BF8683" wp14:editId="02982D8E">
            <wp:extent cx="3790950" cy="238125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90950" cy="2381250"/>
                    </a:xfrm>
                    <a:prstGeom prst="rect">
                      <a:avLst/>
                    </a:prstGeom>
                    <a:noFill/>
                    <a:ln>
                      <a:noFill/>
                    </a:ln>
                  </pic:spPr>
                </pic:pic>
              </a:graphicData>
            </a:graphic>
          </wp:inline>
        </w:drawing>
      </w:r>
      <w:r w:rsidRPr="003840F8">
        <w:rPr>
          <w:lang w:eastAsia="lv-LV"/>
        </w:rPr>
        <w:t> </w:t>
      </w:r>
    </w:p>
    <w:p w14:paraId="3D926478" w14:textId="77777777" w:rsidR="005F4053" w:rsidRPr="003840F8" w:rsidRDefault="005F4053" w:rsidP="005F4053">
      <w:pPr>
        <w:ind w:firstLine="720"/>
        <w:jc w:val="both"/>
        <w:textAlignment w:val="baseline"/>
        <w:rPr>
          <w:rFonts w:ascii="Segoe UI" w:hAnsi="Segoe UI" w:cs="Segoe UI"/>
          <w:sz w:val="18"/>
          <w:szCs w:val="18"/>
          <w:lang w:eastAsia="lv-LV"/>
        </w:rPr>
      </w:pPr>
      <w:r w:rsidRPr="003840F8">
        <w:rPr>
          <w:lang w:eastAsia="lv-LV"/>
        </w:rPr>
        <w:lastRenderedPageBreak/>
        <w:t>Starptautiskās Enerģētikas aģentūra (IEA)  prognozē, ka 2022. gada rudenī Eiropā var iestāties elektroenerģijas un dīzeļdegvielas krīze, kas ietekmēs arī valstu ekonomisko attīstību, daudzi uzņēmumi var kļūt maksātnespējīgi, un tam sekos bezdarba pieaugums. Tas nozīmē, ka sabiedriskās ēdināšanas sektors var saskarties ar jaunu izaicinājumu, kas izpaužas, piemēram, kā pakalpojumu pieprasījuma samazinājums, jo iedzīvotāji vairs nevarēs atļauties restorānu pakalpojumus. Ja pieprasījums pēc restorānu pakalpojumiem samazināsies, restorāni nespēs pilnvērtīgi veikt savu darbību, un tam sekos maksātnespējas vilnis. </w:t>
      </w:r>
    </w:p>
    <w:p w14:paraId="34252311" w14:textId="77777777" w:rsidR="005F4053" w:rsidRDefault="005F4053" w:rsidP="005F4053">
      <w:pPr>
        <w:ind w:firstLine="720"/>
        <w:jc w:val="both"/>
        <w:textAlignment w:val="baseline"/>
        <w:rPr>
          <w:b/>
          <w:bCs/>
          <w:color w:val="000000"/>
          <w:lang w:eastAsia="lv-LV"/>
        </w:rPr>
      </w:pPr>
    </w:p>
    <w:p w14:paraId="0FBF03FE" w14:textId="77777777" w:rsidR="005F4053" w:rsidRPr="003840F8" w:rsidRDefault="005F4053" w:rsidP="005F4053">
      <w:pPr>
        <w:ind w:firstLine="720"/>
        <w:jc w:val="both"/>
        <w:textAlignment w:val="baseline"/>
        <w:rPr>
          <w:rFonts w:ascii="Segoe UI" w:hAnsi="Segoe UI" w:cs="Segoe UI"/>
          <w:sz w:val="18"/>
          <w:szCs w:val="18"/>
          <w:lang w:eastAsia="lv-LV"/>
        </w:rPr>
      </w:pPr>
      <w:r w:rsidRPr="003840F8">
        <w:rPr>
          <w:b/>
          <w:bCs/>
          <w:color w:val="000000"/>
          <w:lang w:eastAsia="lv-LV"/>
        </w:rPr>
        <w:t>2.6. Samazinātās PVN likmes sabiedriskās ēdināšanas pakalpojumiem ietekme</w:t>
      </w:r>
      <w:r w:rsidRPr="003840F8">
        <w:rPr>
          <w:color w:val="000000"/>
          <w:lang w:eastAsia="lv-LV"/>
        </w:rPr>
        <w:t> </w:t>
      </w:r>
    </w:p>
    <w:p w14:paraId="2E08DF52" w14:textId="77777777" w:rsidR="005F4053" w:rsidRPr="003840F8" w:rsidRDefault="005F4053" w:rsidP="005F4053">
      <w:pPr>
        <w:ind w:firstLine="720"/>
        <w:jc w:val="both"/>
        <w:textAlignment w:val="baseline"/>
        <w:rPr>
          <w:rFonts w:ascii="Segoe UI" w:hAnsi="Segoe UI" w:cs="Segoe UI"/>
          <w:sz w:val="18"/>
          <w:szCs w:val="18"/>
          <w:lang w:eastAsia="lv-LV"/>
        </w:rPr>
      </w:pPr>
      <w:r w:rsidRPr="003840F8">
        <w:rPr>
          <w:color w:val="000000"/>
          <w:lang w:eastAsia="lv-LV"/>
        </w:rPr>
        <w:t>PVN nodokļa likmes samazināšana tikai pārtikas produktiem un PVN likmes atstāšana pilnā apmērā ēdināšanas pakalpojumiem galvenokārt ietekmēs izglītības, sociālās aprūpes un sociālās rehabilitācijas iestāžu, ražošanas u.c. uzņēmumu ēdnīcu, kā arī veselības aprūpes iestāžu ēdnīcu darbību. </w:t>
      </w:r>
    </w:p>
    <w:p w14:paraId="256C2189" w14:textId="77777777" w:rsidR="005F4053" w:rsidRPr="003840F8" w:rsidRDefault="005F4053" w:rsidP="005F4053">
      <w:pPr>
        <w:ind w:firstLine="720"/>
        <w:jc w:val="both"/>
        <w:textAlignment w:val="baseline"/>
        <w:rPr>
          <w:rFonts w:ascii="Segoe UI" w:hAnsi="Segoe UI" w:cs="Segoe UI"/>
          <w:sz w:val="18"/>
          <w:szCs w:val="18"/>
          <w:lang w:eastAsia="lv-LV"/>
        </w:rPr>
      </w:pPr>
      <w:r w:rsidRPr="003840F8">
        <w:rPr>
          <w:color w:val="000000"/>
          <w:lang w:eastAsia="lv-LV"/>
        </w:rPr>
        <w:t xml:space="preserve">Piemēram, viens no lielākajiem sabiedriskās ēdināšanas uzņēmumiem </w:t>
      </w:r>
      <w:r w:rsidRPr="003840F8">
        <w:rPr>
          <w:lang w:eastAsia="lv-LV"/>
        </w:rPr>
        <w:t>“</w:t>
      </w:r>
      <w:proofErr w:type="spellStart"/>
      <w:r w:rsidRPr="003840F8">
        <w:rPr>
          <w:lang w:eastAsia="lv-LV"/>
        </w:rPr>
        <w:t>Baltic</w:t>
      </w:r>
      <w:proofErr w:type="spellEnd"/>
      <w:r w:rsidRPr="003840F8">
        <w:rPr>
          <w:lang w:eastAsia="lv-LV"/>
        </w:rPr>
        <w:t xml:space="preserve"> </w:t>
      </w:r>
      <w:proofErr w:type="spellStart"/>
      <w:r w:rsidRPr="003840F8">
        <w:rPr>
          <w:lang w:eastAsia="lv-LV"/>
        </w:rPr>
        <w:t>Restaurants</w:t>
      </w:r>
      <w:proofErr w:type="spellEnd"/>
      <w:r w:rsidRPr="003840F8">
        <w:rPr>
          <w:lang w:eastAsia="lv-LV"/>
        </w:rPr>
        <w:t xml:space="preserve"> Latvia” SIA </w:t>
      </w:r>
      <w:r w:rsidRPr="003840F8">
        <w:rPr>
          <w:color w:val="000000"/>
          <w:lang w:eastAsia="lv-LV"/>
        </w:rPr>
        <w:t>nodrošina maltīšu un uzkodu piedāvājumus tirdzniecības un biznesa centros, pusdienu restorānos, ēdināšanu skolās un bērnudārzos, kā arī aprūpes iestādēs.   </w:t>
      </w:r>
    </w:p>
    <w:p w14:paraId="404F48F4" w14:textId="77777777" w:rsidR="005F4053" w:rsidRPr="003840F8" w:rsidRDefault="005F4053" w:rsidP="005F4053">
      <w:pPr>
        <w:ind w:firstLine="720"/>
        <w:jc w:val="both"/>
        <w:textAlignment w:val="baseline"/>
        <w:rPr>
          <w:rFonts w:ascii="Segoe UI" w:hAnsi="Segoe UI" w:cs="Segoe UI"/>
          <w:sz w:val="18"/>
          <w:szCs w:val="18"/>
          <w:lang w:eastAsia="lv-LV"/>
        </w:rPr>
      </w:pPr>
      <w:r w:rsidRPr="003840F8">
        <w:rPr>
          <w:color w:val="000000"/>
          <w:lang w:eastAsia="lv-LV"/>
        </w:rPr>
        <w:t xml:space="preserve">Jau tagad ir zināms, ka, lai nodrošinātu sabiedriskās ēdināšanas pakalpojumu nepārtrauktību, Rīgas dome ir palielinājusi pusdienu maksu skolās līdz 2 eiro, bet trīs ēdienu "paku" - brokastis, pusdienas un pēcpusdienas uzkodas - pirmsskolas izglītības iestādēs - līdz 4 eiro dienā. Bezmaksas ēdināšanu turpinās saņemt tikai bērni no 1. līdz 4. klasei un bērni no maznodrošinātām un trūcīgām </w:t>
      </w:r>
      <w:proofErr w:type="spellStart"/>
      <w:r w:rsidRPr="003840F8">
        <w:rPr>
          <w:color w:val="000000"/>
          <w:lang w:eastAsia="lv-LV"/>
        </w:rPr>
        <w:t>ģimenēm.PVN</w:t>
      </w:r>
      <w:proofErr w:type="spellEnd"/>
      <w:r w:rsidRPr="003840F8">
        <w:rPr>
          <w:color w:val="000000"/>
          <w:lang w:eastAsia="lv-LV"/>
        </w:rPr>
        <w:t xml:space="preserve"> likmes samazinājums sabiedriskās ēdināšanas pakalpojumu sniegšanai ir veids, kā izvairīties no turpmāka negatīva cenu pieauguma ietekmes.</w:t>
      </w:r>
      <w:r w:rsidRPr="003840F8">
        <w:rPr>
          <w:lang w:eastAsia="lv-LV"/>
        </w:rPr>
        <w:t xml:space="preserve"> </w:t>
      </w:r>
      <w:r w:rsidRPr="003840F8">
        <w:rPr>
          <w:color w:val="000000"/>
          <w:lang w:eastAsia="lv-LV"/>
        </w:rPr>
        <w:t>Vēršam uzmanību, ka Ministru kabineta 2012. gada 13. marta noteikumu Nr. 172 “Noteikumi par uztura normām izglītības iestāžu izglītojamiem, sociālās aprūpes un sociālās rehabilitācijas institūciju klientiem un ārstniecības iestāžu pacientiem” 2. punkts nosaka, ka</w:t>
      </w:r>
      <w:r w:rsidRPr="003840F8">
        <w:rPr>
          <w:lang w:eastAsia="lv-LV"/>
        </w:rPr>
        <w:t xml:space="preserve"> </w:t>
      </w:r>
      <w:r w:rsidRPr="003840F8">
        <w:rPr>
          <w:i/>
          <w:iCs/>
          <w:color w:val="000000"/>
          <w:lang w:eastAsia="lv-LV"/>
        </w:rPr>
        <w:t>noteikumu mērķis ir nodrošināt veselīga un līdzsvarota uztura lietošanu pirmsskolas izglītības programmas īstenojošajās izglītības iestādēs, vispārējās pamatizglītības, vispārējās vidējās izglītības un profesionālās izglītības iestādēs, ilgstošas sociālās aprūpes un sociālās rehabilitācijas institūcijās un ārstniecības iestādēs</w:t>
      </w:r>
      <w:r w:rsidRPr="003840F8">
        <w:rPr>
          <w:color w:val="000000"/>
          <w:lang w:eastAsia="lv-LV"/>
        </w:rPr>
        <w:t>.</w:t>
      </w:r>
      <w:r w:rsidRPr="003840F8">
        <w:rPr>
          <w:lang w:eastAsia="lv-LV"/>
        </w:rPr>
        <w:t xml:space="preserve"> </w:t>
      </w:r>
      <w:r w:rsidRPr="003840F8">
        <w:rPr>
          <w:color w:val="000000"/>
          <w:lang w:eastAsia="lv-LV"/>
        </w:rPr>
        <w:t xml:space="preserve">Līdz ar to Ministru kabinets ir apstiprinājis, ka ēdienam jābūt sabalansētam un veselīgam. Izglītības iestāžu, sociālās aprūpes un sociālās rehabilitācijas iestāžu un ārstniecības iestāžu ēdienu pagatavošanai vairumā gadījumu tiek izmantots pamatproduktu kopums, kuru, kā liecina iepriekš minētie dati, inflācija ir ietekmējusi visvairāk. Piemēram, ja ābolu veikalā būtu iespējams iegādāties par 1,05 eiro, tad sabiedriskās ēdināšanas iestādē šī paša ābola cena būtu 1,21 </w:t>
      </w:r>
      <w:proofErr w:type="spellStart"/>
      <w:r w:rsidRPr="003840F8">
        <w:rPr>
          <w:color w:val="000000"/>
          <w:lang w:eastAsia="lv-LV"/>
        </w:rPr>
        <w:t>eiro.</w:t>
      </w:r>
      <w:r w:rsidRPr="003840F8">
        <w:rPr>
          <w:lang w:eastAsia="lv-LV"/>
        </w:rPr>
        <w:t>Lai</w:t>
      </w:r>
      <w:proofErr w:type="spellEnd"/>
      <w:r w:rsidRPr="003840F8">
        <w:rPr>
          <w:lang w:eastAsia="lv-LV"/>
        </w:rPr>
        <w:t xml:space="preserve"> nodrošinātu minēto Ekonomikas ministrija divu nedēļu laikā sagatavos un noteiktā kārtībā iesniegs Ministru kabinetā grozījumus Pievienotās vērtības nodokļa likumā, paredzot no dienas, kad stāsies spēkā samazinātā PVN likme pārtikai, piemērot PVN samazināto likmi arī sabiedriskās ēdināšanas nozares pakalpojumiem. Vienlaikus, ņemot vērā Finanšu ministrijas norādi, ka pasākums var būt kvalificējams kā komercdarbības atbalsts</w:t>
      </w:r>
      <w:r w:rsidRPr="003840F8">
        <w:rPr>
          <w:sz w:val="19"/>
          <w:szCs w:val="19"/>
          <w:vertAlign w:val="superscript"/>
          <w:lang w:eastAsia="lv-LV"/>
        </w:rPr>
        <w:t>4</w:t>
      </w:r>
      <w:r w:rsidRPr="003840F8">
        <w:rPr>
          <w:lang w:eastAsia="lv-LV"/>
        </w:rPr>
        <w:t xml:space="preserve">, Ekonomikas ministrija papildus saskaņos viedokli ar Eiropas Komisiju, vai priekšlikums ir klasificējams kā komercdarbības atbalsts un nepieciešamības gadījumā veiks nepieciešamos papildinājumus plānotajos </w:t>
      </w:r>
      <w:r w:rsidRPr="003840F8">
        <w:rPr>
          <w:b/>
          <w:bCs/>
          <w:lang w:eastAsia="lv-LV"/>
        </w:rPr>
        <w:t>Pievienotās vērtības nodokļa likuma grozījumos ar komercdarbības atbalsta nosacījumiem. </w:t>
      </w:r>
      <w:r w:rsidRPr="003840F8">
        <w:rPr>
          <w:lang w:eastAsia="lv-LV"/>
        </w:rPr>
        <w:t> </w:t>
      </w:r>
    </w:p>
    <w:p w14:paraId="3CAE9DB8" w14:textId="77777777" w:rsidR="005F4053" w:rsidRPr="003840F8" w:rsidRDefault="005F4053" w:rsidP="005F4053"/>
    <w:sectPr w:rsidR="005F4053" w:rsidRPr="003840F8" w:rsidSect="00C80AD2">
      <w:headerReference w:type="default" r:id="rId18"/>
      <w:footerReference w:type="default" r:id="rId19"/>
      <w:footerReference w:type="first" r:id="rId20"/>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F335F" w14:textId="77777777" w:rsidR="0088237E" w:rsidRDefault="0088237E" w:rsidP="0057683B">
      <w:r>
        <w:separator/>
      </w:r>
    </w:p>
  </w:endnote>
  <w:endnote w:type="continuationSeparator" w:id="0">
    <w:p w14:paraId="5941E01B" w14:textId="77777777" w:rsidR="0088237E" w:rsidRDefault="0088237E" w:rsidP="0057683B">
      <w:r>
        <w:continuationSeparator/>
      </w:r>
    </w:p>
  </w:endnote>
  <w:endnote w:type="continuationNotice" w:id="1">
    <w:p w14:paraId="4BD266C8" w14:textId="77777777" w:rsidR="0088237E" w:rsidRDefault="008823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808C2" w14:textId="3D49E800" w:rsidR="00DD4598" w:rsidRPr="00D56884" w:rsidRDefault="00DD4598" w:rsidP="00D56884">
    <w:pPr>
      <w:pStyle w:val="Footer"/>
    </w:pPr>
    <w:r w:rsidRPr="00D56884">
      <w:rPr>
        <w:rFonts w:ascii="Times New Roman" w:hAnsi="Times New Roman" w:cs="Times New Roman"/>
        <w:sz w:val="20"/>
        <w:szCs w:val="20"/>
      </w:rPr>
      <w:t>ZMzin_</w:t>
    </w:r>
    <w:r w:rsidR="003165FC">
      <w:rPr>
        <w:rFonts w:ascii="Times New Roman" w:hAnsi="Times New Roman" w:cs="Times New Roman"/>
        <w:sz w:val="20"/>
        <w:szCs w:val="20"/>
      </w:rPr>
      <w:t>20</w:t>
    </w:r>
    <w:r w:rsidR="00502149">
      <w:rPr>
        <w:rFonts w:ascii="Times New Roman" w:hAnsi="Times New Roman" w:cs="Times New Roman"/>
        <w:sz w:val="20"/>
        <w:szCs w:val="20"/>
      </w:rPr>
      <w:t>10</w:t>
    </w:r>
    <w:r>
      <w:rPr>
        <w:rFonts w:ascii="Times New Roman" w:hAnsi="Times New Roman" w:cs="Times New Roman"/>
        <w:sz w:val="20"/>
        <w:szCs w:val="20"/>
      </w:rPr>
      <w:t>22</w:t>
    </w:r>
    <w:r w:rsidRPr="00D56884">
      <w:rPr>
        <w:rFonts w:ascii="Times New Roman" w:hAnsi="Times New Roman" w:cs="Times New Roman"/>
        <w:sz w:val="20"/>
        <w:szCs w:val="20"/>
      </w:rPr>
      <w:t>_PVN</w:t>
    </w:r>
    <w:r w:rsidR="005F4053">
      <w:rPr>
        <w:rFonts w:ascii="Times New Roman" w:hAnsi="Times New Roman" w:cs="Times New Roman"/>
        <w:sz w:val="20"/>
        <w:szCs w:val="20"/>
      </w:rPr>
      <w:t>_pielikums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ED8EA" w14:textId="7BEB331A" w:rsidR="00DD4598" w:rsidRPr="00D56884" w:rsidRDefault="00DD4598" w:rsidP="00D56884">
    <w:pPr>
      <w:pStyle w:val="Footer"/>
    </w:pPr>
    <w:r w:rsidRPr="00D56884">
      <w:rPr>
        <w:rFonts w:ascii="Times New Roman" w:hAnsi="Times New Roman" w:cs="Times New Roman"/>
        <w:sz w:val="20"/>
        <w:szCs w:val="20"/>
      </w:rPr>
      <w:t>ZMzin_</w:t>
    </w:r>
    <w:r w:rsidR="003165FC">
      <w:rPr>
        <w:rFonts w:ascii="Times New Roman" w:hAnsi="Times New Roman" w:cs="Times New Roman"/>
        <w:sz w:val="20"/>
        <w:szCs w:val="20"/>
      </w:rPr>
      <w:t>20</w:t>
    </w:r>
    <w:r w:rsidR="00502149">
      <w:rPr>
        <w:rFonts w:ascii="Times New Roman" w:hAnsi="Times New Roman" w:cs="Times New Roman"/>
        <w:sz w:val="20"/>
        <w:szCs w:val="20"/>
      </w:rPr>
      <w:t>10</w:t>
    </w:r>
    <w:r w:rsidR="001B7A35">
      <w:rPr>
        <w:rFonts w:ascii="Times New Roman" w:hAnsi="Times New Roman" w:cs="Times New Roman"/>
        <w:sz w:val="20"/>
        <w:szCs w:val="20"/>
      </w:rPr>
      <w:t>22</w:t>
    </w:r>
    <w:r w:rsidRPr="00D56884">
      <w:rPr>
        <w:rFonts w:ascii="Times New Roman" w:hAnsi="Times New Roman" w:cs="Times New Roman"/>
        <w:sz w:val="20"/>
        <w:szCs w:val="20"/>
      </w:rPr>
      <w:t>_PVN</w:t>
    </w:r>
    <w:r w:rsidR="008C2D49">
      <w:rPr>
        <w:rFonts w:ascii="Times New Roman" w:hAnsi="Times New Roman" w:cs="Times New Roman"/>
        <w:sz w:val="20"/>
        <w:szCs w:val="20"/>
      </w:rPr>
      <w:t>_pielikums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45C72" w14:textId="77777777" w:rsidR="0088237E" w:rsidRDefault="0088237E" w:rsidP="0057683B">
      <w:r>
        <w:separator/>
      </w:r>
    </w:p>
  </w:footnote>
  <w:footnote w:type="continuationSeparator" w:id="0">
    <w:p w14:paraId="74B8685F" w14:textId="77777777" w:rsidR="0088237E" w:rsidRDefault="0088237E" w:rsidP="0057683B">
      <w:r>
        <w:continuationSeparator/>
      </w:r>
    </w:p>
  </w:footnote>
  <w:footnote w:type="continuationNotice" w:id="1">
    <w:p w14:paraId="5CE35C21" w14:textId="77777777" w:rsidR="0088237E" w:rsidRDefault="008823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235458"/>
      <w:docPartObj>
        <w:docPartGallery w:val="Page Numbers (Top of Page)"/>
        <w:docPartUnique/>
      </w:docPartObj>
    </w:sdtPr>
    <w:sdtEndPr>
      <w:rPr>
        <w:rFonts w:ascii="Times New Roman" w:hAnsi="Times New Roman" w:cs="Times New Roman"/>
        <w:sz w:val="24"/>
        <w:szCs w:val="24"/>
      </w:rPr>
    </w:sdtEndPr>
    <w:sdtContent>
      <w:p w14:paraId="4C0BC764" w14:textId="3E3E4613" w:rsidR="00DD4598" w:rsidRPr="00C47438" w:rsidRDefault="00DD4598">
        <w:pPr>
          <w:pStyle w:val="Header"/>
          <w:jc w:val="center"/>
          <w:rPr>
            <w:rFonts w:ascii="Times New Roman" w:hAnsi="Times New Roman" w:cs="Times New Roman"/>
            <w:sz w:val="24"/>
            <w:szCs w:val="24"/>
          </w:rPr>
        </w:pPr>
        <w:r w:rsidRPr="00C47438">
          <w:rPr>
            <w:rFonts w:ascii="Times New Roman" w:hAnsi="Times New Roman" w:cs="Times New Roman"/>
            <w:sz w:val="24"/>
            <w:szCs w:val="24"/>
          </w:rPr>
          <w:fldChar w:fldCharType="begin"/>
        </w:r>
        <w:r w:rsidRPr="00C47438">
          <w:rPr>
            <w:rFonts w:ascii="Times New Roman" w:hAnsi="Times New Roman" w:cs="Times New Roman"/>
            <w:sz w:val="24"/>
            <w:szCs w:val="24"/>
          </w:rPr>
          <w:instrText>PAGE   \* MERGEFORMAT</w:instrText>
        </w:r>
        <w:r w:rsidRPr="00C47438">
          <w:rPr>
            <w:rFonts w:ascii="Times New Roman" w:hAnsi="Times New Roman" w:cs="Times New Roman"/>
            <w:sz w:val="24"/>
            <w:szCs w:val="24"/>
          </w:rPr>
          <w:fldChar w:fldCharType="separate"/>
        </w:r>
        <w:r w:rsidR="001939C0">
          <w:rPr>
            <w:rFonts w:ascii="Times New Roman" w:hAnsi="Times New Roman" w:cs="Times New Roman"/>
            <w:noProof/>
            <w:sz w:val="24"/>
            <w:szCs w:val="24"/>
          </w:rPr>
          <w:t>21</w:t>
        </w:r>
        <w:r w:rsidRPr="00C47438">
          <w:rPr>
            <w:rFonts w:ascii="Times New Roman" w:hAnsi="Times New Roman" w:cs="Times New Roman"/>
            <w:sz w:val="24"/>
            <w:szCs w:val="24"/>
          </w:rPr>
          <w:fldChar w:fldCharType="end"/>
        </w:r>
      </w:p>
    </w:sdtContent>
  </w:sdt>
  <w:p w14:paraId="7AED1E64" w14:textId="77777777" w:rsidR="00DD4598" w:rsidRDefault="00DD45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33D8"/>
    <w:multiLevelType w:val="multilevel"/>
    <w:tmpl w:val="2F346A1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258208E"/>
    <w:multiLevelType w:val="multilevel"/>
    <w:tmpl w:val="548A87F8"/>
    <w:lvl w:ilvl="0">
      <w:start w:val="1"/>
      <w:numFmt w:val="decimal"/>
      <w:lvlText w:val="%1)"/>
      <w:lvlJc w:val="left"/>
      <w:pPr>
        <w:ind w:left="1211" w:hanging="360"/>
      </w:pPr>
    </w:lvl>
    <w:lvl w:ilvl="1">
      <w:start w:val="1"/>
      <w:numFmt w:val="decimal"/>
      <w:isLgl/>
      <w:lvlText w:val="%1.%2."/>
      <w:lvlJc w:val="left"/>
      <w:pPr>
        <w:ind w:left="1725" w:hanging="600"/>
      </w:pPr>
      <w:rPr>
        <w:rFonts w:hint="default"/>
      </w:rPr>
    </w:lvl>
    <w:lvl w:ilvl="2">
      <w:start w:val="5"/>
      <w:numFmt w:val="decimal"/>
      <w:isLgl/>
      <w:lvlText w:val="%1.%2.%3."/>
      <w:lvlJc w:val="left"/>
      <w:pPr>
        <w:ind w:left="1845"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205" w:hanging="1080"/>
      </w:pPr>
      <w:rPr>
        <w:rFonts w:hint="default"/>
      </w:rPr>
    </w:lvl>
    <w:lvl w:ilvl="5">
      <w:start w:val="1"/>
      <w:numFmt w:val="decimal"/>
      <w:isLgl/>
      <w:lvlText w:val="%1.%2.%3.%4.%5.%6."/>
      <w:lvlJc w:val="left"/>
      <w:pPr>
        <w:ind w:left="2205" w:hanging="1080"/>
      </w:pPr>
      <w:rPr>
        <w:rFonts w:hint="default"/>
      </w:rPr>
    </w:lvl>
    <w:lvl w:ilvl="6">
      <w:start w:val="1"/>
      <w:numFmt w:val="decimal"/>
      <w:isLgl/>
      <w:lvlText w:val="%1.%2.%3.%4.%5.%6.%7."/>
      <w:lvlJc w:val="left"/>
      <w:pPr>
        <w:ind w:left="2565" w:hanging="1440"/>
      </w:pPr>
      <w:rPr>
        <w:rFonts w:hint="default"/>
      </w:rPr>
    </w:lvl>
    <w:lvl w:ilvl="7">
      <w:start w:val="1"/>
      <w:numFmt w:val="decimal"/>
      <w:isLgl/>
      <w:lvlText w:val="%1.%2.%3.%4.%5.%6.%7.%8."/>
      <w:lvlJc w:val="left"/>
      <w:pPr>
        <w:ind w:left="2565" w:hanging="1440"/>
      </w:pPr>
      <w:rPr>
        <w:rFonts w:hint="default"/>
      </w:rPr>
    </w:lvl>
    <w:lvl w:ilvl="8">
      <w:start w:val="1"/>
      <w:numFmt w:val="decimal"/>
      <w:isLgl/>
      <w:lvlText w:val="%1.%2.%3.%4.%5.%6.%7.%8.%9."/>
      <w:lvlJc w:val="left"/>
      <w:pPr>
        <w:ind w:left="2925" w:hanging="1800"/>
      </w:pPr>
      <w:rPr>
        <w:rFonts w:hint="default"/>
      </w:rPr>
    </w:lvl>
  </w:abstractNum>
  <w:abstractNum w:abstractNumId="2" w15:restartNumberingAfterBreak="0">
    <w:nsid w:val="040B382A"/>
    <w:multiLevelType w:val="hybridMultilevel"/>
    <w:tmpl w:val="B66CFD8C"/>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51E03B4"/>
    <w:multiLevelType w:val="multilevel"/>
    <w:tmpl w:val="DC6A91F0"/>
    <w:lvl w:ilvl="0">
      <w:start w:val="1"/>
      <w:numFmt w:val="decimal"/>
      <w:lvlText w:val="%1."/>
      <w:lvlJc w:val="left"/>
      <w:pPr>
        <w:ind w:left="928"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 w15:restartNumberingAfterBreak="0">
    <w:nsid w:val="06CD1A05"/>
    <w:multiLevelType w:val="hybridMultilevel"/>
    <w:tmpl w:val="E230FF7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AD77AEF"/>
    <w:multiLevelType w:val="multilevel"/>
    <w:tmpl w:val="4DEA907A"/>
    <w:lvl w:ilvl="0">
      <w:start w:val="1"/>
      <w:numFmt w:val="decimal"/>
      <w:lvlText w:val="%1."/>
      <w:lvlJc w:val="left"/>
      <w:pPr>
        <w:ind w:left="1211" w:hanging="360"/>
      </w:pPr>
    </w:lvl>
    <w:lvl w:ilvl="1">
      <w:start w:val="1"/>
      <w:numFmt w:val="decimal"/>
      <w:isLgl/>
      <w:lvlText w:val="%1.%2."/>
      <w:lvlJc w:val="left"/>
      <w:pPr>
        <w:ind w:left="1725" w:hanging="600"/>
      </w:pPr>
      <w:rPr>
        <w:rFonts w:hint="default"/>
      </w:rPr>
    </w:lvl>
    <w:lvl w:ilvl="2">
      <w:start w:val="5"/>
      <w:numFmt w:val="decimal"/>
      <w:isLgl/>
      <w:lvlText w:val="%1.%2.%3."/>
      <w:lvlJc w:val="left"/>
      <w:pPr>
        <w:ind w:left="1845"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205" w:hanging="1080"/>
      </w:pPr>
      <w:rPr>
        <w:rFonts w:hint="default"/>
      </w:rPr>
    </w:lvl>
    <w:lvl w:ilvl="5">
      <w:start w:val="1"/>
      <w:numFmt w:val="decimal"/>
      <w:isLgl/>
      <w:lvlText w:val="%1.%2.%3.%4.%5.%6."/>
      <w:lvlJc w:val="left"/>
      <w:pPr>
        <w:ind w:left="2205" w:hanging="1080"/>
      </w:pPr>
      <w:rPr>
        <w:rFonts w:hint="default"/>
      </w:rPr>
    </w:lvl>
    <w:lvl w:ilvl="6">
      <w:start w:val="1"/>
      <w:numFmt w:val="decimal"/>
      <w:isLgl/>
      <w:lvlText w:val="%1.%2.%3.%4.%5.%6.%7."/>
      <w:lvlJc w:val="left"/>
      <w:pPr>
        <w:ind w:left="2565" w:hanging="1440"/>
      </w:pPr>
      <w:rPr>
        <w:rFonts w:hint="default"/>
      </w:rPr>
    </w:lvl>
    <w:lvl w:ilvl="7">
      <w:start w:val="1"/>
      <w:numFmt w:val="decimal"/>
      <w:isLgl/>
      <w:lvlText w:val="%1.%2.%3.%4.%5.%6.%7.%8."/>
      <w:lvlJc w:val="left"/>
      <w:pPr>
        <w:ind w:left="2565" w:hanging="1440"/>
      </w:pPr>
      <w:rPr>
        <w:rFonts w:hint="default"/>
      </w:rPr>
    </w:lvl>
    <w:lvl w:ilvl="8">
      <w:start w:val="1"/>
      <w:numFmt w:val="decimal"/>
      <w:isLgl/>
      <w:lvlText w:val="%1.%2.%3.%4.%5.%6.%7.%8.%9."/>
      <w:lvlJc w:val="left"/>
      <w:pPr>
        <w:ind w:left="2925" w:hanging="1800"/>
      </w:pPr>
      <w:rPr>
        <w:rFonts w:hint="default"/>
      </w:rPr>
    </w:lvl>
  </w:abstractNum>
  <w:abstractNum w:abstractNumId="6" w15:restartNumberingAfterBreak="0">
    <w:nsid w:val="135B4769"/>
    <w:multiLevelType w:val="hybridMultilevel"/>
    <w:tmpl w:val="94A28FF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8860187"/>
    <w:multiLevelType w:val="multilevel"/>
    <w:tmpl w:val="DC6A91F0"/>
    <w:lvl w:ilvl="0">
      <w:start w:val="1"/>
      <w:numFmt w:val="decimal"/>
      <w:lvlText w:val="%1."/>
      <w:lvlJc w:val="left"/>
      <w:pPr>
        <w:ind w:left="928"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8" w15:restartNumberingAfterBreak="0">
    <w:nsid w:val="1A2A7E9B"/>
    <w:multiLevelType w:val="multilevel"/>
    <w:tmpl w:val="A0FA01D0"/>
    <w:lvl w:ilvl="0">
      <w:start w:val="1"/>
      <w:numFmt w:val="decimal"/>
      <w:lvlText w:val="%1."/>
      <w:lvlJc w:val="left"/>
      <w:pPr>
        <w:ind w:left="720" w:hanging="360"/>
      </w:pPr>
      <w:rPr>
        <w:rFonts w:hint="default"/>
      </w:rPr>
    </w:lvl>
    <w:lvl w:ilvl="1">
      <w:start w:val="1"/>
      <w:numFmt w:val="decimal"/>
      <w:lvlText w:val="%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1B181978"/>
    <w:multiLevelType w:val="hybridMultilevel"/>
    <w:tmpl w:val="EF9CD8E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0" w15:restartNumberingAfterBreak="0">
    <w:nsid w:val="1B7B6E0C"/>
    <w:multiLevelType w:val="multilevel"/>
    <w:tmpl w:val="88BE568E"/>
    <w:lvl w:ilvl="0">
      <w:start w:val="2"/>
      <w:numFmt w:val="decimal"/>
      <w:lvlText w:val="%1."/>
      <w:lvlJc w:val="left"/>
      <w:pPr>
        <w:ind w:left="540" w:hanging="540"/>
      </w:pPr>
      <w:rPr>
        <w:rFonts w:hint="default"/>
      </w:rPr>
    </w:lvl>
    <w:lvl w:ilvl="1">
      <w:start w:val="1"/>
      <w:numFmt w:val="decimal"/>
      <w:lvlText w:val="%1.%2."/>
      <w:lvlJc w:val="left"/>
      <w:pPr>
        <w:ind w:left="1102" w:hanging="540"/>
      </w:pPr>
      <w:rPr>
        <w:rFonts w:hint="default"/>
      </w:rPr>
    </w:lvl>
    <w:lvl w:ilvl="2">
      <w:start w:val="4"/>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11" w15:restartNumberingAfterBreak="0">
    <w:nsid w:val="1C453335"/>
    <w:multiLevelType w:val="hybridMultilevel"/>
    <w:tmpl w:val="36083E1A"/>
    <w:lvl w:ilvl="0" w:tplc="2C24EFA6">
      <w:start w:val="4"/>
      <w:numFmt w:val="decimal"/>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2" w15:restartNumberingAfterBreak="0">
    <w:nsid w:val="1CDF3FFD"/>
    <w:multiLevelType w:val="multilevel"/>
    <w:tmpl w:val="DC6A91F0"/>
    <w:lvl w:ilvl="0">
      <w:start w:val="1"/>
      <w:numFmt w:val="decimal"/>
      <w:lvlText w:val="%1."/>
      <w:lvlJc w:val="left"/>
      <w:pPr>
        <w:ind w:left="928"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1DC66AEB"/>
    <w:multiLevelType w:val="hybridMultilevel"/>
    <w:tmpl w:val="EF1806FE"/>
    <w:lvl w:ilvl="0" w:tplc="04260001">
      <w:start w:val="1"/>
      <w:numFmt w:val="bullet"/>
      <w:lvlText w:val=""/>
      <w:lvlJc w:val="left"/>
      <w:pPr>
        <w:ind w:left="1485" w:hanging="360"/>
      </w:pPr>
      <w:rPr>
        <w:rFonts w:ascii="Symbol" w:hAnsi="Symbol" w:hint="default"/>
      </w:rPr>
    </w:lvl>
    <w:lvl w:ilvl="1" w:tplc="04260003" w:tentative="1">
      <w:start w:val="1"/>
      <w:numFmt w:val="bullet"/>
      <w:lvlText w:val="o"/>
      <w:lvlJc w:val="left"/>
      <w:pPr>
        <w:ind w:left="2205" w:hanging="360"/>
      </w:pPr>
      <w:rPr>
        <w:rFonts w:ascii="Courier New" w:hAnsi="Courier New" w:cs="Courier New" w:hint="default"/>
      </w:rPr>
    </w:lvl>
    <w:lvl w:ilvl="2" w:tplc="04260005" w:tentative="1">
      <w:start w:val="1"/>
      <w:numFmt w:val="bullet"/>
      <w:lvlText w:val=""/>
      <w:lvlJc w:val="left"/>
      <w:pPr>
        <w:ind w:left="2925" w:hanging="360"/>
      </w:pPr>
      <w:rPr>
        <w:rFonts w:ascii="Wingdings" w:hAnsi="Wingdings" w:hint="default"/>
      </w:rPr>
    </w:lvl>
    <w:lvl w:ilvl="3" w:tplc="04260001" w:tentative="1">
      <w:start w:val="1"/>
      <w:numFmt w:val="bullet"/>
      <w:lvlText w:val=""/>
      <w:lvlJc w:val="left"/>
      <w:pPr>
        <w:ind w:left="3645" w:hanging="360"/>
      </w:pPr>
      <w:rPr>
        <w:rFonts w:ascii="Symbol" w:hAnsi="Symbol" w:hint="default"/>
      </w:rPr>
    </w:lvl>
    <w:lvl w:ilvl="4" w:tplc="04260003" w:tentative="1">
      <w:start w:val="1"/>
      <w:numFmt w:val="bullet"/>
      <w:lvlText w:val="o"/>
      <w:lvlJc w:val="left"/>
      <w:pPr>
        <w:ind w:left="4365" w:hanging="360"/>
      </w:pPr>
      <w:rPr>
        <w:rFonts w:ascii="Courier New" w:hAnsi="Courier New" w:cs="Courier New" w:hint="default"/>
      </w:rPr>
    </w:lvl>
    <w:lvl w:ilvl="5" w:tplc="04260005" w:tentative="1">
      <w:start w:val="1"/>
      <w:numFmt w:val="bullet"/>
      <w:lvlText w:val=""/>
      <w:lvlJc w:val="left"/>
      <w:pPr>
        <w:ind w:left="5085" w:hanging="360"/>
      </w:pPr>
      <w:rPr>
        <w:rFonts w:ascii="Wingdings" w:hAnsi="Wingdings" w:hint="default"/>
      </w:rPr>
    </w:lvl>
    <w:lvl w:ilvl="6" w:tplc="04260001" w:tentative="1">
      <w:start w:val="1"/>
      <w:numFmt w:val="bullet"/>
      <w:lvlText w:val=""/>
      <w:lvlJc w:val="left"/>
      <w:pPr>
        <w:ind w:left="5805" w:hanging="360"/>
      </w:pPr>
      <w:rPr>
        <w:rFonts w:ascii="Symbol" w:hAnsi="Symbol" w:hint="default"/>
      </w:rPr>
    </w:lvl>
    <w:lvl w:ilvl="7" w:tplc="04260003" w:tentative="1">
      <w:start w:val="1"/>
      <w:numFmt w:val="bullet"/>
      <w:lvlText w:val="o"/>
      <w:lvlJc w:val="left"/>
      <w:pPr>
        <w:ind w:left="6525" w:hanging="360"/>
      </w:pPr>
      <w:rPr>
        <w:rFonts w:ascii="Courier New" w:hAnsi="Courier New" w:cs="Courier New" w:hint="default"/>
      </w:rPr>
    </w:lvl>
    <w:lvl w:ilvl="8" w:tplc="04260005" w:tentative="1">
      <w:start w:val="1"/>
      <w:numFmt w:val="bullet"/>
      <w:lvlText w:val=""/>
      <w:lvlJc w:val="left"/>
      <w:pPr>
        <w:ind w:left="7245" w:hanging="360"/>
      </w:pPr>
      <w:rPr>
        <w:rFonts w:ascii="Wingdings" w:hAnsi="Wingdings" w:hint="default"/>
      </w:rPr>
    </w:lvl>
  </w:abstractNum>
  <w:abstractNum w:abstractNumId="14" w15:restartNumberingAfterBreak="0">
    <w:nsid w:val="1E41631F"/>
    <w:multiLevelType w:val="multilevel"/>
    <w:tmpl w:val="DC6A91F0"/>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5" w15:restartNumberingAfterBreak="0">
    <w:nsid w:val="210E5D86"/>
    <w:multiLevelType w:val="hybridMultilevel"/>
    <w:tmpl w:val="5900DB9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6" w15:restartNumberingAfterBreak="0">
    <w:nsid w:val="249A6586"/>
    <w:multiLevelType w:val="multilevel"/>
    <w:tmpl w:val="4DEA907A"/>
    <w:lvl w:ilvl="0">
      <w:start w:val="1"/>
      <w:numFmt w:val="decimal"/>
      <w:lvlText w:val="%1."/>
      <w:lvlJc w:val="left"/>
      <w:pPr>
        <w:ind w:left="1211" w:hanging="360"/>
      </w:pPr>
    </w:lvl>
    <w:lvl w:ilvl="1">
      <w:start w:val="1"/>
      <w:numFmt w:val="decimal"/>
      <w:isLgl/>
      <w:lvlText w:val="%1.%2."/>
      <w:lvlJc w:val="left"/>
      <w:pPr>
        <w:ind w:left="1725" w:hanging="600"/>
      </w:pPr>
      <w:rPr>
        <w:rFonts w:hint="default"/>
      </w:rPr>
    </w:lvl>
    <w:lvl w:ilvl="2">
      <w:start w:val="5"/>
      <w:numFmt w:val="decimal"/>
      <w:isLgl/>
      <w:lvlText w:val="%1.%2.%3."/>
      <w:lvlJc w:val="left"/>
      <w:pPr>
        <w:ind w:left="1845"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205" w:hanging="1080"/>
      </w:pPr>
      <w:rPr>
        <w:rFonts w:hint="default"/>
      </w:rPr>
    </w:lvl>
    <w:lvl w:ilvl="5">
      <w:start w:val="1"/>
      <w:numFmt w:val="decimal"/>
      <w:isLgl/>
      <w:lvlText w:val="%1.%2.%3.%4.%5.%6."/>
      <w:lvlJc w:val="left"/>
      <w:pPr>
        <w:ind w:left="2205" w:hanging="1080"/>
      </w:pPr>
      <w:rPr>
        <w:rFonts w:hint="default"/>
      </w:rPr>
    </w:lvl>
    <w:lvl w:ilvl="6">
      <w:start w:val="1"/>
      <w:numFmt w:val="decimal"/>
      <w:isLgl/>
      <w:lvlText w:val="%1.%2.%3.%4.%5.%6.%7."/>
      <w:lvlJc w:val="left"/>
      <w:pPr>
        <w:ind w:left="2565" w:hanging="1440"/>
      </w:pPr>
      <w:rPr>
        <w:rFonts w:hint="default"/>
      </w:rPr>
    </w:lvl>
    <w:lvl w:ilvl="7">
      <w:start w:val="1"/>
      <w:numFmt w:val="decimal"/>
      <w:isLgl/>
      <w:lvlText w:val="%1.%2.%3.%4.%5.%6.%7.%8."/>
      <w:lvlJc w:val="left"/>
      <w:pPr>
        <w:ind w:left="2565" w:hanging="1440"/>
      </w:pPr>
      <w:rPr>
        <w:rFonts w:hint="default"/>
      </w:rPr>
    </w:lvl>
    <w:lvl w:ilvl="8">
      <w:start w:val="1"/>
      <w:numFmt w:val="decimal"/>
      <w:isLgl/>
      <w:lvlText w:val="%1.%2.%3.%4.%5.%6.%7.%8.%9."/>
      <w:lvlJc w:val="left"/>
      <w:pPr>
        <w:ind w:left="2925" w:hanging="1800"/>
      </w:pPr>
      <w:rPr>
        <w:rFonts w:hint="default"/>
      </w:rPr>
    </w:lvl>
  </w:abstractNum>
  <w:abstractNum w:abstractNumId="17" w15:restartNumberingAfterBreak="0">
    <w:nsid w:val="24C020BE"/>
    <w:multiLevelType w:val="multilevel"/>
    <w:tmpl w:val="BCA20B64"/>
    <w:lvl w:ilvl="0">
      <w:start w:val="4"/>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26F3758A"/>
    <w:multiLevelType w:val="multilevel"/>
    <w:tmpl w:val="C9C0796E"/>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287E1274"/>
    <w:multiLevelType w:val="hybridMultilevel"/>
    <w:tmpl w:val="368E6B8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0" w15:restartNumberingAfterBreak="0">
    <w:nsid w:val="29FF43AA"/>
    <w:multiLevelType w:val="hybridMultilevel"/>
    <w:tmpl w:val="0BE6E0D6"/>
    <w:lvl w:ilvl="0" w:tplc="0426000B">
      <w:start w:val="1"/>
      <w:numFmt w:val="bullet"/>
      <w:lvlText w:val=""/>
      <w:lvlJc w:val="left"/>
      <w:pPr>
        <w:ind w:left="788" w:hanging="360"/>
      </w:pPr>
      <w:rPr>
        <w:rFonts w:ascii="Wingdings" w:hAnsi="Wingdings" w:hint="default"/>
      </w:rPr>
    </w:lvl>
    <w:lvl w:ilvl="1" w:tplc="04260003" w:tentative="1">
      <w:start w:val="1"/>
      <w:numFmt w:val="bullet"/>
      <w:lvlText w:val="o"/>
      <w:lvlJc w:val="left"/>
      <w:pPr>
        <w:ind w:left="1508" w:hanging="360"/>
      </w:pPr>
      <w:rPr>
        <w:rFonts w:ascii="Courier New" w:hAnsi="Courier New" w:cs="Courier New" w:hint="default"/>
      </w:rPr>
    </w:lvl>
    <w:lvl w:ilvl="2" w:tplc="04260005" w:tentative="1">
      <w:start w:val="1"/>
      <w:numFmt w:val="bullet"/>
      <w:lvlText w:val=""/>
      <w:lvlJc w:val="left"/>
      <w:pPr>
        <w:ind w:left="2228" w:hanging="360"/>
      </w:pPr>
      <w:rPr>
        <w:rFonts w:ascii="Wingdings" w:hAnsi="Wingdings" w:hint="default"/>
      </w:rPr>
    </w:lvl>
    <w:lvl w:ilvl="3" w:tplc="04260001" w:tentative="1">
      <w:start w:val="1"/>
      <w:numFmt w:val="bullet"/>
      <w:lvlText w:val=""/>
      <w:lvlJc w:val="left"/>
      <w:pPr>
        <w:ind w:left="2948" w:hanging="360"/>
      </w:pPr>
      <w:rPr>
        <w:rFonts w:ascii="Symbol" w:hAnsi="Symbol" w:hint="default"/>
      </w:rPr>
    </w:lvl>
    <w:lvl w:ilvl="4" w:tplc="04260003" w:tentative="1">
      <w:start w:val="1"/>
      <w:numFmt w:val="bullet"/>
      <w:lvlText w:val="o"/>
      <w:lvlJc w:val="left"/>
      <w:pPr>
        <w:ind w:left="3668" w:hanging="360"/>
      </w:pPr>
      <w:rPr>
        <w:rFonts w:ascii="Courier New" w:hAnsi="Courier New" w:cs="Courier New" w:hint="default"/>
      </w:rPr>
    </w:lvl>
    <w:lvl w:ilvl="5" w:tplc="04260005" w:tentative="1">
      <w:start w:val="1"/>
      <w:numFmt w:val="bullet"/>
      <w:lvlText w:val=""/>
      <w:lvlJc w:val="left"/>
      <w:pPr>
        <w:ind w:left="4388" w:hanging="360"/>
      </w:pPr>
      <w:rPr>
        <w:rFonts w:ascii="Wingdings" w:hAnsi="Wingdings" w:hint="default"/>
      </w:rPr>
    </w:lvl>
    <w:lvl w:ilvl="6" w:tplc="04260001" w:tentative="1">
      <w:start w:val="1"/>
      <w:numFmt w:val="bullet"/>
      <w:lvlText w:val=""/>
      <w:lvlJc w:val="left"/>
      <w:pPr>
        <w:ind w:left="5108" w:hanging="360"/>
      </w:pPr>
      <w:rPr>
        <w:rFonts w:ascii="Symbol" w:hAnsi="Symbol" w:hint="default"/>
      </w:rPr>
    </w:lvl>
    <w:lvl w:ilvl="7" w:tplc="04260003" w:tentative="1">
      <w:start w:val="1"/>
      <w:numFmt w:val="bullet"/>
      <w:lvlText w:val="o"/>
      <w:lvlJc w:val="left"/>
      <w:pPr>
        <w:ind w:left="5828" w:hanging="360"/>
      </w:pPr>
      <w:rPr>
        <w:rFonts w:ascii="Courier New" w:hAnsi="Courier New" w:cs="Courier New" w:hint="default"/>
      </w:rPr>
    </w:lvl>
    <w:lvl w:ilvl="8" w:tplc="04260005" w:tentative="1">
      <w:start w:val="1"/>
      <w:numFmt w:val="bullet"/>
      <w:lvlText w:val=""/>
      <w:lvlJc w:val="left"/>
      <w:pPr>
        <w:ind w:left="6548" w:hanging="360"/>
      </w:pPr>
      <w:rPr>
        <w:rFonts w:ascii="Wingdings" w:hAnsi="Wingdings" w:hint="default"/>
      </w:rPr>
    </w:lvl>
  </w:abstractNum>
  <w:abstractNum w:abstractNumId="21" w15:restartNumberingAfterBreak="0">
    <w:nsid w:val="2B8E13BF"/>
    <w:multiLevelType w:val="multilevel"/>
    <w:tmpl w:val="88BE568E"/>
    <w:lvl w:ilvl="0">
      <w:start w:val="2"/>
      <w:numFmt w:val="decimal"/>
      <w:lvlText w:val="%1."/>
      <w:lvlJc w:val="left"/>
      <w:pPr>
        <w:ind w:left="540" w:hanging="540"/>
      </w:pPr>
      <w:rPr>
        <w:rFonts w:hint="default"/>
      </w:rPr>
    </w:lvl>
    <w:lvl w:ilvl="1">
      <w:start w:val="1"/>
      <w:numFmt w:val="decimal"/>
      <w:lvlText w:val="%1.%2."/>
      <w:lvlJc w:val="left"/>
      <w:pPr>
        <w:ind w:left="1102" w:hanging="540"/>
      </w:pPr>
      <w:rPr>
        <w:rFonts w:hint="default"/>
      </w:rPr>
    </w:lvl>
    <w:lvl w:ilvl="2">
      <w:start w:val="4"/>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22" w15:restartNumberingAfterBreak="0">
    <w:nsid w:val="2B8E2BC6"/>
    <w:multiLevelType w:val="multilevel"/>
    <w:tmpl w:val="DACC3C8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2F201676"/>
    <w:multiLevelType w:val="multilevel"/>
    <w:tmpl w:val="DC6A91F0"/>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4" w15:restartNumberingAfterBreak="0">
    <w:nsid w:val="337849DF"/>
    <w:multiLevelType w:val="hybridMultilevel"/>
    <w:tmpl w:val="45A093B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4ED2DB0"/>
    <w:multiLevelType w:val="hybridMultilevel"/>
    <w:tmpl w:val="0644C6E0"/>
    <w:lvl w:ilvl="0" w:tplc="04260001">
      <w:start w:val="1"/>
      <w:numFmt w:val="bullet"/>
      <w:lvlText w:val=""/>
      <w:lvlJc w:val="left"/>
      <w:pPr>
        <w:ind w:left="1084" w:hanging="360"/>
      </w:pPr>
      <w:rPr>
        <w:rFonts w:ascii="Symbol" w:hAnsi="Symbol" w:hint="default"/>
      </w:rPr>
    </w:lvl>
    <w:lvl w:ilvl="1" w:tplc="04260003" w:tentative="1">
      <w:start w:val="1"/>
      <w:numFmt w:val="bullet"/>
      <w:lvlText w:val="o"/>
      <w:lvlJc w:val="left"/>
      <w:pPr>
        <w:ind w:left="1804" w:hanging="360"/>
      </w:pPr>
      <w:rPr>
        <w:rFonts w:ascii="Courier New" w:hAnsi="Courier New" w:cs="Courier New" w:hint="default"/>
      </w:rPr>
    </w:lvl>
    <w:lvl w:ilvl="2" w:tplc="04260005" w:tentative="1">
      <w:start w:val="1"/>
      <w:numFmt w:val="bullet"/>
      <w:lvlText w:val=""/>
      <w:lvlJc w:val="left"/>
      <w:pPr>
        <w:ind w:left="2524" w:hanging="360"/>
      </w:pPr>
      <w:rPr>
        <w:rFonts w:ascii="Wingdings" w:hAnsi="Wingdings" w:hint="default"/>
      </w:rPr>
    </w:lvl>
    <w:lvl w:ilvl="3" w:tplc="04260001" w:tentative="1">
      <w:start w:val="1"/>
      <w:numFmt w:val="bullet"/>
      <w:lvlText w:val=""/>
      <w:lvlJc w:val="left"/>
      <w:pPr>
        <w:ind w:left="3244" w:hanging="360"/>
      </w:pPr>
      <w:rPr>
        <w:rFonts w:ascii="Symbol" w:hAnsi="Symbol" w:hint="default"/>
      </w:rPr>
    </w:lvl>
    <w:lvl w:ilvl="4" w:tplc="04260003" w:tentative="1">
      <w:start w:val="1"/>
      <w:numFmt w:val="bullet"/>
      <w:lvlText w:val="o"/>
      <w:lvlJc w:val="left"/>
      <w:pPr>
        <w:ind w:left="3964" w:hanging="360"/>
      </w:pPr>
      <w:rPr>
        <w:rFonts w:ascii="Courier New" w:hAnsi="Courier New" w:cs="Courier New" w:hint="default"/>
      </w:rPr>
    </w:lvl>
    <w:lvl w:ilvl="5" w:tplc="04260005" w:tentative="1">
      <w:start w:val="1"/>
      <w:numFmt w:val="bullet"/>
      <w:lvlText w:val=""/>
      <w:lvlJc w:val="left"/>
      <w:pPr>
        <w:ind w:left="4684" w:hanging="360"/>
      </w:pPr>
      <w:rPr>
        <w:rFonts w:ascii="Wingdings" w:hAnsi="Wingdings" w:hint="default"/>
      </w:rPr>
    </w:lvl>
    <w:lvl w:ilvl="6" w:tplc="04260001" w:tentative="1">
      <w:start w:val="1"/>
      <w:numFmt w:val="bullet"/>
      <w:lvlText w:val=""/>
      <w:lvlJc w:val="left"/>
      <w:pPr>
        <w:ind w:left="5404" w:hanging="360"/>
      </w:pPr>
      <w:rPr>
        <w:rFonts w:ascii="Symbol" w:hAnsi="Symbol" w:hint="default"/>
      </w:rPr>
    </w:lvl>
    <w:lvl w:ilvl="7" w:tplc="04260003" w:tentative="1">
      <w:start w:val="1"/>
      <w:numFmt w:val="bullet"/>
      <w:lvlText w:val="o"/>
      <w:lvlJc w:val="left"/>
      <w:pPr>
        <w:ind w:left="6124" w:hanging="360"/>
      </w:pPr>
      <w:rPr>
        <w:rFonts w:ascii="Courier New" w:hAnsi="Courier New" w:cs="Courier New" w:hint="default"/>
      </w:rPr>
    </w:lvl>
    <w:lvl w:ilvl="8" w:tplc="04260005" w:tentative="1">
      <w:start w:val="1"/>
      <w:numFmt w:val="bullet"/>
      <w:lvlText w:val=""/>
      <w:lvlJc w:val="left"/>
      <w:pPr>
        <w:ind w:left="6844" w:hanging="360"/>
      </w:pPr>
      <w:rPr>
        <w:rFonts w:ascii="Wingdings" w:hAnsi="Wingdings" w:hint="default"/>
      </w:rPr>
    </w:lvl>
  </w:abstractNum>
  <w:abstractNum w:abstractNumId="26" w15:restartNumberingAfterBreak="0">
    <w:nsid w:val="363E38B4"/>
    <w:multiLevelType w:val="multilevel"/>
    <w:tmpl w:val="7CF42C5E"/>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364F42E4"/>
    <w:multiLevelType w:val="multilevel"/>
    <w:tmpl w:val="E244D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6B61F72"/>
    <w:multiLevelType w:val="multilevel"/>
    <w:tmpl w:val="10A4DC6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9" w15:restartNumberingAfterBreak="0">
    <w:nsid w:val="38606961"/>
    <w:multiLevelType w:val="multilevel"/>
    <w:tmpl w:val="39C8366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0" w15:restartNumberingAfterBreak="0">
    <w:nsid w:val="394F4691"/>
    <w:multiLevelType w:val="multilevel"/>
    <w:tmpl w:val="F3080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C0660F1"/>
    <w:multiLevelType w:val="hybridMultilevel"/>
    <w:tmpl w:val="70F01196"/>
    <w:lvl w:ilvl="0" w:tplc="04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F2D56EC"/>
    <w:multiLevelType w:val="multilevel"/>
    <w:tmpl w:val="DC6A91F0"/>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3" w15:restartNumberingAfterBreak="0">
    <w:nsid w:val="3F5433D2"/>
    <w:multiLevelType w:val="hybridMultilevel"/>
    <w:tmpl w:val="9394376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408D2E62"/>
    <w:multiLevelType w:val="multilevel"/>
    <w:tmpl w:val="53EE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143333"/>
    <w:multiLevelType w:val="hybridMultilevel"/>
    <w:tmpl w:val="F4C866D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6" w15:restartNumberingAfterBreak="0">
    <w:nsid w:val="48674B93"/>
    <w:multiLevelType w:val="hybridMultilevel"/>
    <w:tmpl w:val="45A093B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4FC0444C"/>
    <w:multiLevelType w:val="multilevel"/>
    <w:tmpl w:val="90E89A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1CC58A7"/>
    <w:multiLevelType w:val="multilevel"/>
    <w:tmpl w:val="BEB841A6"/>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9" w15:restartNumberingAfterBreak="0">
    <w:nsid w:val="548B13B0"/>
    <w:multiLevelType w:val="multilevel"/>
    <w:tmpl w:val="FEF6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CC3925"/>
    <w:multiLevelType w:val="hybridMultilevel"/>
    <w:tmpl w:val="078010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589F0962"/>
    <w:multiLevelType w:val="hybridMultilevel"/>
    <w:tmpl w:val="45A093B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5A787E24"/>
    <w:multiLevelType w:val="hybridMultilevel"/>
    <w:tmpl w:val="19F6644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5CC40621"/>
    <w:multiLevelType w:val="multilevel"/>
    <w:tmpl w:val="DC6A91F0"/>
    <w:lvl w:ilvl="0">
      <w:start w:val="1"/>
      <w:numFmt w:val="decimal"/>
      <w:lvlText w:val="%1."/>
      <w:lvlJc w:val="left"/>
      <w:pPr>
        <w:ind w:left="928"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4" w15:restartNumberingAfterBreak="0">
    <w:nsid w:val="5FDC5044"/>
    <w:multiLevelType w:val="hybridMultilevel"/>
    <w:tmpl w:val="668EB1EC"/>
    <w:lvl w:ilvl="0" w:tplc="1F462B40">
      <w:start w:val="1"/>
      <w:numFmt w:val="decimal"/>
      <w:lvlText w:val="%1)"/>
      <w:lvlJc w:val="left"/>
      <w:pPr>
        <w:ind w:left="1429" w:hanging="360"/>
      </w:pPr>
      <w:rPr>
        <w:b w:val="0"/>
        <w:bCs w:val="0"/>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45" w15:restartNumberingAfterBreak="0">
    <w:nsid w:val="6131594B"/>
    <w:multiLevelType w:val="hybridMultilevel"/>
    <w:tmpl w:val="CCB49542"/>
    <w:lvl w:ilvl="0" w:tplc="0409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6" w15:restartNumberingAfterBreak="0">
    <w:nsid w:val="61AE10F9"/>
    <w:multiLevelType w:val="hybridMultilevel"/>
    <w:tmpl w:val="DCDEC54C"/>
    <w:lvl w:ilvl="0" w:tplc="6A14DF4A">
      <w:numFmt w:val="bullet"/>
      <w:lvlText w:val="-"/>
      <w:lvlJc w:val="left"/>
      <w:pPr>
        <w:ind w:left="1084" w:hanging="360"/>
      </w:pPr>
      <w:rPr>
        <w:rFonts w:ascii="Times New Roman" w:eastAsia="Times New Roman" w:hAnsi="Times New Roman" w:cs="Times New Roman" w:hint="default"/>
      </w:rPr>
    </w:lvl>
    <w:lvl w:ilvl="1" w:tplc="04260003" w:tentative="1">
      <w:start w:val="1"/>
      <w:numFmt w:val="bullet"/>
      <w:lvlText w:val="o"/>
      <w:lvlJc w:val="left"/>
      <w:pPr>
        <w:ind w:left="1804" w:hanging="360"/>
      </w:pPr>
      <w:rPr>
        <w:rFonts w:ascii="Courier New" w:hAnsi="Courier New" w:cs="Courier New" w:hint="default"/>
      </w:rPr>
    </w:lvl>
    <w:lvl w:ilvl="2" w:tplc="04260005" w:tentative="1">
      <w:start w:val="1"/>
      <w:numFmt w:val="bullet"/>
      <w:lvlText w:val=""/>
      <w:lvlJc w:val="left"/>
      <w:pPr>
        <w:ind w:left="2524" w:hanging="360"/>
      </w:pPr>
      <w:rPr>
        <w:rFonts w:ascii="Wingdings" w:hAnsi="Wingdings" w:hint="default"/>
      </w:rPr>
    </w:lvl>
    <w:lvl w:ilvl="3" w:tplc="04260001" w:tentative="1">
      <w:start w:val="1"/>
      <w:numFmt w:val="bullet"/>
      <w:lvlText w:val=""/>
      <w:lvlJc w:val="left"/>
      <w:pPr>
        <w:ind w:left="3244" w:hanging="360"/>
      </w:pPr>
      <w:rPr>
        <w:rFonts w:ascii="Symbol" w:hAnsi="Symbol" w:hint="default"/>
      </w:rPr>
    </w:lvl>
    <w:lvl w:ilvl="4" w:tplc="04260003" w:tentative="1">
      <w:start w:val="1"/>
      <w:numFmt w:val="bullet"/>
      <w:lvlText w:val="o"/>
      <w:lvlJc w:val="left"/>
      <w:pPr>
        <w:ind w:left="3964" w:hanging="360"/>
      </w:pPr>
      <w:rPr>
        <w:rFonts w:ascii="Courier New" w:hAnsi="Courier New" w:cs="Courier New" w:hint="default"/>
      </w:rPr>
    </w:lvl>
    <w:lvl w:ilvl="5" w:tplc="04260005" w:tentative="1">
      <w:start w:val="1"/>
      <w:numFmt w:val="bullet"/>
      <w:lvlText w:val=""/>
      <w:lvlJc w:val="left"/>
      <w:pPr>
        <w:ind w:left="4684" w:hanging="360"/>
      </w:pPr>
      <w:rPr>
        <w:rFonts w:ascii="Wingdings" w:hAnsi="Wingdings" w:hint="default"/>
      </w:rPr>
    </w:lvl>
    <w:lvl w:ilvl="6" w:tplc="04260001" w:tentative="1">
      <w:start w:val="1"/>
      <w:numFmt w:val="bullet"/>
      <w:lvlText w:val=""/>
      <w:lvlJc w:val="left"/>
      <w:pPr>
        <w:ind w:left="5404" w:hanging="360"/>
      </w:pPr>
      <w:rPr>
        <w:rFonts w:ascii="Symbol" w:hAnsi="Symbol" w:hint="default"/>
      </w:rPr>
    </w:lvl>
    <w:lvl w:ilvl="7" w:tplc="04260003" w:tentative="1">
      <w:start w:val="1"/>
      <w:numFmt w:val="bullet"/>
      <w:lvlText w:val="o"/>
      <w:lvlJc w:val="left"/>
      <w:pPr>
        <w:ind w:left="6124" w:hanging="360"/>
      </w:pPr>
      <w:rPr>
        <w:rFonts w:ascii="Courier New" w:hAnsi="Courier New" w:cs="Courier New" w:hint="default"/>
      </w:rPr>
    </w:lvl>
    <w:lvl w:ilvl="8" w:tplc="04260005" w:tentative="1">
      <w:start w:val="1"/>
      <w:numFmt w:val="bullet"/>
      <w:lvlText w:val=""/>
      <w:lvlJc w:val="left"/>
      <w:pPr>
        <w:ind w:left="6844" w:hanging="360"/>
      </w:pPr>
      <w:rPr>
        <w:rFonts w:ascii="Wingdings" w:hAnsi="Wingdings" w:hint="default"/>
      </w:rPr>
    </w:lvl>
  </w:abstractNum>
  <w:abstractNum w:abstractNumId="47" w15:restartNumberingAfterBreak="0">
    <w:nsid w:val="64240298"/>
    <w:multiLevelType w:val="hybridMultilevel"/>
    <w:tmpl w:val="E20A3984"/>
    <w:lvl w:ilvl="0" w:tplc="3E1ADDEA">
      <w:start w:val="3"/>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666A2FC2"/>
    <w:multiLevelType w:val="hybridMultilevel"/>
    <w:tmpl w:val="741CE920"/>
    <w:lvl w:ilvl="0" w:tplc="83E21284">
      <w:start w:val="1"/>
      <w:numFmt w:val="decimal"/>
      <w:pStyle w:val="Para"/>
      <w:lvlText w:val="%1."/>
      <w:lvlJc w:val="left"/>
      <w:pPr>
        <w:ind w:left="928" w:hanging="360"/>
      </w:pPr>
      <w:rPr>
        <w:rFonts w:ascii="Times New Roman" w:hAnsi="Times New Roman" w:hint="default"/>
        <w:b w:val="0"/>
        <w:i w:val="0"/>
        <w:color w:val="auto"/>
        <w:sz w:val="24"/>
      </w:rPr>
    </w:lvl>
    <w:lvl w:ilvl="1" w:tplc="04260001">
      <w:start w:val="1"/>
      <w:numFmt w:val="bullet"/>
      <w:lvlText w:val=""/>
      <w:lvlJc w:val="left"/>
      <w:pPr>
        <w:ind w:left="1758" w:hanging="360"/>
      </w:pPr>
      <w:rPr>
        <w:rFonts w:ascii="Symbol" w:hAnsi="Symbol" w:hint="default"/>
      </w:rPr>
    </w:lvl>
    <w:lvl w:ilvl="2" w:tplc="0426001B">
      <w:start w:val="1"/>
      <w:numFmt w:val="lowerRoman"/>
      <w:lvlText w:val="%3."/>
      <w:lvlJc w:val="right"/>
      <w:pPr>
        <w:ind w:left="2478" w:hanging="180"/>
      </w:pPr>
    </w:lvl>
    <w:lvl w:ilvl="3" w:tplc="0426000F" w:tentative="1">
      <w:start w:val="1"/>
      <w:numFmt w:val="decimal"/>
      <w:lvlText w:val="%4."/>
      <w:lvlJc w:val="left"/>
      <w:pPr>
        <w:ind w:left="3198" w:hanging="360"/>
      </w:pPr>
    </w:lvl>
    <w:lvl w:ilvl="4" w:tplc="04260019" w:tentative="1">
      <w:start w:val="1"/>
      <w:numFmt w:val="lowerLetter"/>
      <w:lvlText w:val="%5."/>
      <w:lvlJc w:val="left"/>
      <w:pPr>
        <w:ind w:left="3918" w:hanging="360"/>
      </w:pPr>
    </w:lvl>
    <w:lvl w:ilvl="5" w:tplc="0426001B" w:tentative="1">
      <w:start w:val="1"/>
      <w:numFmt w:val="lowerRoman"/>
      <w:lvlText w:val="%6."/>
      <w:lvlJc w:val="right"/>
      <w:pPr>
        <w:ind w:left="4638" w:hanging="180"/>
      </w:pPr>
    </w:lvl>
    <w:lvl w:ilvl="6" w:tplc="0426000F" w:tentative="1">
      <w:start w:val="1"/>
      <w:numFmt w:val="decimal"/>
      <w:lvlText w:val="%7."/>
      <w:lvlJc w:val="left"/>
      <w:pPr>
        <w:ind w:left="5358" w:hanging="360"/>
      </w:pPr>
    </w:lvl>
    <w:lvl w:ilvl="7" w:tplc="04260019" w:tentative="1">
      <w:start w:val="1"/>
      <w:numFmt w:val="lowerLetter"/>
      <w:lvlText w:val="%8."/>
      <w:lvlJc w:val="left"/>
      <w:pPr>
        <w:ind w:left="6078" w:hanging="360"/>
      </w:pPr>
    </w:lvl>
    <w:lvl w:ilvl="8" w:tplc="0426001B" w:tentative="1">
      <w:start w:val="1"/>
      <w:numFmt w:val="lowerRoman"/>
      <w:lvlText w:val="%9."/>
      <w:lvlJc w:val="right"/>
      <w:pPr>
        <w:ind w:left="6798" w:hanging="180"/>
      </w:pPr>
    </w:lvl>
  </w:abstractNum>
  <w:abstractNum w:abstractNumId="49" w15:restartNumberingAfterBreak="0">
    <w:nsid w:val="6B02097F"/>
    <w:multiLevelType w:val="multilevel"/>
    <w:tmpl w:val="DC6A91F0"/>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0" w15:restartNumberingAfterBreak="0">
    <w:nsid w:val="6F6E2060"/>
    <w:multiLevelType w:val="multilevel"/>
    <w:tmpl w:val="6082DC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32407CE"/>
    <w:multiLevelType w:val="multilevel"/>
    <w:tmpl w:val="4EEE6A8A"/>
    <w:lvl w:ilvl="0">
      <w:start w:val="1"/>
      <w:numFmt w:val="decimal"/>
      <w:lvlText w:val="%1."/>
      <w:lvlJc w:val="left"/>
      <w:pPr>
        <w:ind w:left="928" w:hanging="360"/>
      </w:p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2" w15:restartNumberingAfterBreak="0">
    <w:nsid w:val="7A6251EE"/>
    <w:multiLevelType w:val="multilevel"/>
    <w:tmpl w:val="9C4C8EA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3" w15:restartNumberingAfterBreak="0">
    <w:nsid w:val="7AA73575"/>
    <w:multiLevelType w:val="multilevel"/>
    <w:tmpl w:val="88BE568E"/>
    <w:lvl w:ilvl="0">
      <w:start w:val="2"/>
      <w:numFmt w:val="decimal"/>
      <w:lvlText w:val="%1."/>
      <w:lvlJc w:val="left"/>
      <w:pPr>
        <w:ind w:left="540" w:hanging="540"/>
      </w:pPr>
      <w:rPr>
        <w:rFonts w:hint="default"/>
      </w:rPr>
    </w:lvl>
    <w:lvl w:ilvl="1">
      <w:start w:val="1"/>
      <w:numFmt w:val="decimal"/>
      <w:lvlText w:val="%1.%2."/>
      <w:lvlJc w:val="left"/>
      <w:pPr>
        <w:ind w:left="1102" w:hanging="540"/>
      </w:pPr>
      <w:rPr>
        <w:rFonts w:hint="default"/>
      </w:rPr>
    </w:lvl>
    <w:lvl w:ilvl="2">
      <w:start w:val="4"/>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54" w15:restartNumberingAfterBreak="0">
    <w:nsid w:val="7E560C3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F4251EF"/>
    <w:multiLevelType w:val="hybridMultilevel"/>
    <w:tmpl w:val="04EAD8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51"/>
  </w:num>
  <w:num w:numId="2">
    <w:abstractNumId w:val="14"/>
  </w:num>
  <w:num w:numId="3">
    <w:abstractNumId w:val="43"/>
  </w:num>
  <w:num w:numId="4">
    <w:abstractNumId w:val="24"/>
  </w:num>
  <w:num w:numId="5">
    <w:abstractNumId w:val="4"/>
  </w:num>
  <w:num w:numId="6">
    <w:abstractNumId w:val="38"/>
  </w:num>
  <w:num w:numId="7">
    <w:abstractNumId w:val="22"/>
  </w:num>
  <w:num w:numId="8">
    <w:abstractNumId w:val="37"/>
  </w:num>
  <w:num w:numId="9">
    <w:abstractNumId w:val="17"/>
  </w:num>
  <w:num w:numId="10">
    <w:abstractNumId w:val="18"/>
  </w:num>
  <w:num w:numId="11">
    <w:abstractNumId w:val="0"/>
  </w:num>
  <w:num w:numId="12">
    <w:abstractNumId w:val="48"/>
  </w:num>
  <w:num w:numId="13">
    <w:abstractNumId w:val="8"/>
  </w:num>
  <w:num w:numId="14">
    <w:abstractNumId w:val="41"/>
  </w:num>
  <w:num w:numId="15">
    <w:abstractNumId w:val="36"/>
  </w:num>
  <w:num w:numId="16">
    <w:abstractNumId w:val="52"/>
  </w:num>
  <w:num w:numId="17">
    <w:abstractNumId w:val="54"/>
  </w:num>
  <w:num w:numId="18">
    <w:abstractNumId w:val="28"/>
  </w:num>
  <w:num w:numId="19">
    <w:abstractNumId w:val="26"/>
  </w:num>
  <w:num w:numId="20">
    <w:abstractNumId w:val="49"/>
  </w:num>
  <w:num w:numId="21">
    <w:abstractNumId w:val="11"/>
  </w:num>
  <w:num w:numId="22">
    <w:abstractNumId w:val="9"/>
  </w:num>
  <w:num w:numId="23">
    <w:abstractNumId w:val="19"/>
  </w:num>
  <w:num w:numId="24">
    <w:abstractNumId w:val="33"/>
  </w:num>
  <w:num w:numId="25">
    <w:abstractNumId w:val="35"/>
  </w:num>
  <w:num w:numId="26">
    <w:abstractNumId w:val="42"/>
  </w:num>
  <w:num w:numId="27">
    <w:abstractNumId w:val="32"/>
  </w:num>
  <w:num w:numId="28">
    <w:abstractNumId w:val="29"/>
  </w:num>
  <w:num w:numId="29">
    <w:abstractNumId w:val="23"/>
  </w:num>
  <w:num w:numId="30">
    <w:abstractNumId w:val="13"/>
  </w:num>
  <w:num w:numId="31">
    <w:abstractNumId w:val="16"/>
  </w:num>
  <w:num w:numId="32">
    <w:abstractNumId w:val="27"/>
  </w:num>
  <w:num w:numId="33">
    <w:abstractNumId w:val="2"/>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34"/>
  </w:num>
  <w:num w:numId="37">
    <w:abstractNumId w:val="50"/>
  </w:num>
  <w:num w:numId="38">
    <w:abstractNumId w:val="12"/>
  </w:num>
  <w:num w:numId="39">
    <w:abstractNumId w:val="1"/>
  </w:num>
  <w:num w:numId="40">
    <w:abstractNumId w:val="5"/>
  </w:num>
  <w:num w:numId="41">
    <w:abstractNumId w:val="44"/>
  </w:num>
  <w:num w:numId="42">
    <w:abstractNumId w:val="6"/>
  </w:num>
  <w:num w:numId="43">
    <w:abstractNumId w:val="47"/>
  </w:num>
  <w:num w:numId="44">
    <w:abstractNumId w:val="21"/>
  </w:num>
  <w:num w:numId="45">
    <w:abstractNumId w:val="10"/>
  </w:num>
  <w:num w:numId="46">
    <w:abstractNumId w:val="3"/>
  </w:num>
  <w:num w:numId="47">
    <w:abstractNumId w:val="20"/>
  </w:num>
  <w:num w:numId="48">
    <w:abstractNumId w:val="31"/>
  </w:num>
  <w:num w:numId="49">
    <w:abstractNumId w:val="45"/>
  </w:num>
  <w:num w:numId="50">
    <w:abstractNumId w:val="53"/>
  </w:num>
  <w:num w:numId="51">
    <w:abstractNumId w:val="15"/>
  </w:num>
  <w:num w:numId="52">
    <w:abstractNumId w:val="46"/>
  </w:num>
  <w:num w:numId="53">
    <w:abstractNumId w:val="25"/>
  </w:num>
  <w:num w:numId="54">
    <w:abstractNumId w:val="55"/>
  </w:num>
  <w:num w:numId="55">
    <w:abstractNumId w:val="7"/>
  </w:num>
  <w:num w:numId="56">
    <w:abstractNumId w:val="40"/>
  </w:num>
  <w:num w:numId="57">
    <w:abstractNumId w:val="3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83B"/>
    <w:rsid w:val="00001358"/>
    <w:rsid w:val="00001825"/>
    <w:rsid w:val="00002AAA"/>
    <w:rsid w:val="00002C03"/>
    <w:rsid w:val="00003883"/>
    <w:rsid w:val="00003CB2"/>
    <w:rsid w:val="00003DDA"/>
    <w:rsid w:val="00003F7D"/>
    <w:rsid w:val="0000448C"/>
    <w:rsid w:val="000054FC"/>
    <w:rsid w:val="0000580D"/>
    <w:rsid w:val="00005E71"/>
    <w:rsid w:val="00006949"/>
    <w:rsid w:val="00007D49"/>
    <w:rsid w:val="00011FA5"/>
    <w:rsid w:val="000122F7"/>
    <w:rsid w:val="00012969"/>
    <w:rsid w:val="00012BE0"/>
    <w:rsid w:val="000139D8"/>
    <w:rsid w:val="000153E5"/>
    <w:rsid w:val="00015496"/>
    <w:rsid w:val="00015F42"/>
    <w:rsid w:val="000176B7"/>
    <w:rsid w:val="000217BB"/>
    <w:rsid w:val="0002229D"/>
    <w:rsid w:val="000225FD"/>
    <w:rsid w:val="00022ACD"/>
    <w:rsid w:val="00022F12"/>
    <w:rsid w:val="00023FB0"/>
    <w:rsid w:val="00025DFA"/>
    <w:rsid w:val="00026B04"/>
    <w:rsid w:val="00026E32"/>
    <w:rsid w:val="000314DD"/>
    <w:rsid w:val="000316FD"/>
    <w:rsid w:val="00031806"/>
    <w:rsid w:val="0003232D"/>
    <w:rsid w:val="00032A02"/>
    <w:rsid w:val="0003340A"/>
    <w:rsid w:val="000335E2"/>
    <w:rsid w:val="00034756"/>
    <w:rsid w:val="00034C64"/>
    <w:rsid w:val="00035C3F"/>
    <w:rsid w:val="000370AC"/>
    <w:rsid w:val="00037554"/>
    <w:rsid w:val="0004071C"/>
    <w:rsid w:val="0004115B"/>
    <w:rsid w:val="00041F1C"/>
    <w:rsid w:val="00042F3F"/>
    <w:rsid w:val="00043A71"/>
    <w:rsid w:val="00044CAA"/>
    <w:rsid w:val="00045D6C"/>
    <w:rsid w:val="00046542"/>
    <w:rsid w:val="00046D8D"/>
    <w:rsid w:val="00047315"/>
    <w:rsid w:val="00050531"/>
    <w:rsid w:val="000508FD"/>
    <w:rsid w:val="00050DEB"/>
    <w:rsid w:val="00051F8B"/>
    <w:rsid w:val="00052231"/>
    <w:rsid w:val="00053015"/>
    <w:rsid w:val="00053665"/>
    <w:rsid w:val="000541B8"/>
    <w:rsid w:val="00054254"/>
    <w:rsid w:val="00054DB6"/>
    <w:rsid w:val="00055244"/>
    <w:rsid w:val="00055E16"/>
    <w:rsid w:val="00055F01"/>
    <w:rsid w:val="000600F0"/>
    <w:rsid w:val="00060193"/>
    <w:rsid w:val="000607B4"/>
    <w:rsid w:val="00060F35"/>
    <w:rsid w:val="00061447"/>
    <w:rsid w:val="00061AB5"/>
    <w:rsid w:val="00061AB6"/>
    <w:rsid w:val="00062074"/>
    <w:rsid w:val="00062C9C"/>
    <w:rsid w:val="00062E02"/>
    <w:rsid w:val="00062E54"/>
    <w:rsid w:val="00064730"/>
    <w:rsid w:val="0006495B"/>
    <w:rsid w:val="00064964"/>
    <w:rsid w:val="000649DD"/>
    <w:rsid w:val="00064BF8"/>
    <w:rsid w:val="00065946"/>
    <w:rsid w:val="000675BB"/>
    <w:rsid w:val="00067A7F"/>
    <w:rsid w:val="000700D8"/>
    <w:rsid w:val="000704E0"/>
    <w:rsid w:val="000712D0"/>
    <w:rsid w:val="0007135D"/>
    <w:rsid w:val="00071595"/>
    <w:rsid w:val="00072377"/>
    <w:rsid w:val="0007335A"/>
    <w:rsid w:val="00073E91"/>
    <w:rsid w:val="00074174"/>
    <w:rsid w:val="00075BFE"/>
    <w:rsid w:val="00076972"/>
    <w:rsid w:val="00080BAE"/>
    <w:rsid w:val="00080CDA"/>
    <w:rsid w:val="000811AC"/>
    <w:rsid w:val="00082A9C"/>
    <w:rsid w:val="00082C70"/>
    <w:rsid w:val="000837F9"/>
    <w:rsid w:val="000839DC"/>
    <w:rsid w:val="00083BC5"/>
    <w:rsid w:val="00083DE6"/>
    <w:rsid w:val="000848DD"/>
    <w:rsid w:val="000852E9"/>
    <w:rsid w:val="00085B37"/>
    <w:rsid w:val="00085B6B"/>
    <w:rsid w:val="000865B8"/>
    <w:rsid w:val="00086860"/>
    <w:rsid w:val="00086A41"/>
    <w:rsid w:val="00086C80"/>
    <w:rsid w:val="00087235"/>
    <w:rsid w:val="00090783"/>
    <w:rsid w:val="000918FA"/>
    <w:rsid w:val="00091A43"/>
    <w:rsid w:val="0009250B"/>
    <w:rsid w:val="00092B18"/>
    <w:rsid w:val="000946AD"/>
    <w:rsid w:val="00094899"/>
    <w:rsid w:val="00094C15"/>
    <w:rsid w:val="00095003"/>
    <w:rsid w:val="00096C90"/>
    <w:rsid w:val="0009782C"/>
    <w:rsid w:val="000A1286"/>
    <w:rsid w:val="000A1DA2"/>
    <w:rsid w:val="000A1E8B"/>
    <w:rsid w:val="000A1F35"/>
    <w:rsid w:val="000A20DF"/>
    <w:rsid w:val="000A244B"/>
    <w:rsid w:val="000A29F7"/>
    <w:rsid w:val="000A2CA4"/>
    <w:rsid w:val="000A316B"/>
    <w:rsid w:val="000A3849"/>
    <w:rsid w:val="000A3945"/>
    <w:rsid w:val="000A652E"/>
    <w:rsid w:val="000A6533"/>
    <w:rsid w:val="000A6B1B"/>
    <w:rsid w:val="000B0306"/>
    <w:rsid w:val="000B0588"/>
    <w:rsid w:val="000B19EB"/>
    <w:rsid w:val="000B3722"/>
    <w:rsid w:val="000B432D"/>
    <w:rsid w:val="000B498F"/>
    <w:rsid w:val="000B4D37"/>
    <w:rsid w:val="000B625C"/>
    <w:rsid w:val="000B649E"/>
    <w:rsid w:val="000B6EA7"/>
    <w:rsid w:val="000C333A"/>
    <w:rsid w:val="000C47EB"/>
    <w:rsid w:val="000C4811"/>
    <w:rsid w:val="000C6750"/>
    <w:rsid w:val="000C6A7F"/>
    <w:rsid w:val="000C77B5"/>
    <w:rsid w:val="000D04FA"/>
    <w:rsid w:val="000D0606"/>
    <w:rsid w:val="000D06A5"/>
    <w:rsid w:val="000D11CC"/>
    <w:rsid w:val="000D25F1"/>
    <w:rsid w:val="000D2BD6"/>
    <w:rsid w:val="000D3250"/>
    <w:rsid w:val="000D4206"/>
    <w:rsid w:val="000D490B"/>
    <w:rsid w:val="000D63FC"/>
    <w:rsid w:val="000D6CBE"/>
    <w:rsid w:val="000D7755"/>
    <w:rsid w:val="000E0A8C"/>
    <w:rsid w:val="000E0D17"/>
    <w:rsid w:val="000E1382"/>
    <w:rsid w:val="000E1687"/>
    <w:rsid w:val="000E1C1E"/>
    <w:rsid w:val="000E20E5"/>
    <w:rsid w:val="000E2935"/>
    <w:rsid w:val="000E31FE"/>
    <w:rsid w:val="000E3A8B"/>
    <w:rsid w:val="000E3E22"/>
    <w:rsid w:val="000E3EA5"/>
    <w:rsid w:val="000E43BB"/>
    <w:rsid w:val="000E52C7"/>
    <w:rsid w:val="000E5E91"/>
    <w:rsid w:val="000E5EEF"/>
    <w:rsid w:val="000E6082"/>
    <w:rsid w:val="000E71D4"/>
    <w:rsid w:val="000F1D3E"/>
    <w:rsid w:val="000F2D3F"/>
    <w:rsid w:val="000F2ECE"/>
    <w:rsid w:val="000F3B90"/>
    <w:rsid w:val="000F3BE6"/>
    <w:rsid w:val="000F48FC"/>
    <w:rsid w:val="000F4946"/>
    <w:rsid w:val="000F5D21"/>
    <w:rsid w:val="000F6261"/>
    <w:rsid w:val="000F67D6"/>
    <w:rsid w:val="000F6F08"/>
    <w:rsid w:val="000F707F"/>
    <w:rsid w:val="000F7961"/>
    <w:rsid w:val="00100D03"/>
    <w:rsid w:val="00101016"/>
    <w:rsid w:val="0010160E"/>
    <w:rsid w:val="00101AC9"/>
    <w:rsid w:val="00102523"/>
    <w:rsid w:val="00103145"/>
    <w:rsid w:val="00103AF4"/>
    <w:rsid w:val="00105207"/>
    <w:rsid w:val="001052AC"/>
    <w:rsid w:val="001062C9"/>
    <w:rsid w:val="001070F2"/>
    <w:rsid w:val="001074FD"/>
    <w:rsid w:val="00107608"/>
    <w:rsid w:val="001123D1"/>
    <w:rsid w:val="0011270F"/>
    <w:rsid w:val="001129F2"/>
    <w:rsid w:val="001131E8"/>
    <w:rsid w:val="00113312"/>
    <w:rsid w:val="00113CE0"/>
    <w:rsid w:val="001147AF"/>
    <w:rsid w:val="00114B13"/>
    <w:rsid w:val="00114DFF"/>
    <w:rsid w:val="00117BEE"/>
    <w:rsid w:val="00122821"/>
    <w:rsid w:val="001245C5"/>
    <w:rsid w:val="001260FD"/>
    <w:rsid w:val="001261E8"/>
    <w:rsid w:val="00126A5A"/>
    <w:rsid w:val="0012748E"/>
    <w:rsid w:val="001300C6"/>
    <w:rsid w:val="00130DC1"/>
    <w:rsid w:val="0013135A"/>
    <w:rsid w:val="00131971"/>
    <w:rsid w:val="00131A70"/>
    <w:rsid w:val="00131C41"/>
    <w:rsid w:val="00131D00"/>
    <w:rsid w:val="00132599"/>
    <w:rsid w:val="001352C6"/>
    <w:rsid w:val="0013776A"/>
    <w:rsid w:val="00137BC3"/>
    <w:rsid w:val="00137CB7"/>
    <w:rsid w:val="00137E0C"/>
    <w:rsid w:val="00137E9D"/>
    <w:rsid w:val="001401CE"/>
    <w:rsid w:val="0014075C"/>
    <w:rsid w:val="001412C2"/>
    <w:rsid w:val="00142209"/>
    <w:rsid w:val="00142716"/>
    <w:rsid w:val="001436FA"/>
    <w:rsid w:val="00143F37"/>
    <w:rsid w:val="00144F81"/>
    <w:rsid w:val="00145689"/>
    <w:rsid w:val="00145CE3"/>
    <w:rsid w:val="0014654C"/>
    <w:rsid w:val="00146FB2"/>
    <w:rsid w:val="001470CA"/>
    <w:rsid w:val="00147236"/>
    <w:rsid w:val="0014730C"/>
    <w:rsid w:val="001479D4"/>
    <w:rsid w:val="00147AEE"/>
    <w:rsid w:val="00147E0B"/>
    <w:rsid w:val="001505EC"/>
    <w:rsid w:val="0015197B"/>
    <w:rsid w:val="0015269F"/>
    <w:rsid w:val="00152EC8"/>
    <w:rsid w:val="0015307A"/>
    <w:rsid w:val="001532F2"/>
    <w:rsid w:val="0015417E"/>
    <w:rsid w:val="00154848"/>
    <w:rsid w:val="00155C9C"/>
    <w:rsid w:val="00156280"/>
    <w:rsid w:val="0015659A"/>
    <w:rsid w:val="001565C6"/>
    <w:rsid w:val="00157AA7"/>
    <w:rsid w:val="00160970"/>
    <w:rsid w:val="00160B97"/>
    <w:rsid w:val="0016160D"/>
    <w:rsid w:val="00161AD8"/>
    <w:rsid w:val="00162519"/>
    <w:rsid w:val="00162648"/>
    <w:rsid w:val="00163957"/>
    <w:rsid w:val="00165C3C"/>
    <w:rsid w:val="00165EA5"/>
    <w:rsid w:val="00167F23"/>
    <w:rsid w:val="00170B17"/>
    <w:rsid w:val="00170C09"/>
    <w:rsid w:val="00170C31"/>
    <w:rsid w:val="00172151"/>
    <w:rsid w:val="001729C2"/>
    <w:rsid w:val="00173D4A"/>
    <w:rsid w:val="0017571D"/>
    <w:rsid w:val="0017583A"/>
    <w:rsid w:val="00175E68"/>
    <w:rsid w:val="00176B02"/>
    <w:rsid w:val="00176E86"/>
    <w:rsid w:val="0017726A"/>
    <w:rsid w:val="00177BEC"/>
    <w:rsid w:val="00177CB8"/>
    <w:rsid w:val="001817B9"/>
    <w:rsid w:val="00181E09"/>
    <w:rsid w:val="001836AA"/>
    <w:rsid w:val="001839DF"/>
    <w:rsid w:val="00185319"/>
    <w:rsid w:val="0018590C"/>
    <w:rsid w:val="00186BF3"/>
    <w:rsid w:val="001878C7"/>
    <w:rsid w:val="00187CA0"/>
    <w:rsid w:val="0019010C"/>
    <w:rsid w:val="00190AC2"/>
    <w:rsid w:val="00190C7A"/>
    <w:rsid w:val="00190DAD"/>
    <w:rsid w:val="00190EB2"/>
    <w:rsid w:val="001917BC"/>
    <w:rsid w:val="00191ADD"/>
    <w:rsid w:val="00191CF5"/>
    <w:rsid w:val="00191DF6"/>
    <w:rsid w:val="001923D6"/>
    <w:rsid w:val="0019307E"/>
    <w:rsid w:val="001939C0"/>
    <w:rsid w:val="00193E8C"/>
    <w:rsid w:val="001942BE"/>
    <w:rsid w:val="0019515C"/>
    <w:rsid w:val="001953F8"/>
    <w:rsid w:val="001955F4"/>
    <w:rsid w:val="001959BE"/>
    <w:rsid w:val="001970C2"/>
    <w:rsid w:val="001A1277"/>
    <w:rsid w:val="001A1955"/>
    <w:rsid w:val="001A2457"/>
    <w:rsid w:val="001A266E"/>
    <w:rsid w:val="001A2FCD"/>
    <w:rsid w:val="001A4804"/>
    <w:rsid w:val="001A4E5E"/>
    <w:rsid w:val="001A5A4D"/>
    <w:rsid w:val="001A659D"/>
    <w:rsid w:val="001A7567"/>
    <w:rsid w:val="001B1E07"/>
    <w:rsid w:val="001B2198"/>
    <w:rsid w:val="001B276E"/>
    <w:rsid w:val="001B3E76"/>
    <w:rsid w:val="001B42BF"/>
    <w:rsid w:val="001B45FD"/>
    <w:rsid w:val="001B4A70"/>
    <w:rsid w:val="001B4AF3"/>
    <w:rsid w:val="001B4D17"/>
    <w:rsid w:val="001B6BF3"/>
    <w:rsid w:val="001B7742"/>
    <w:rsid w:val="001B7A35"/>
    <w:rsid w:val="001C10A1"/>
    <w:rsid w:val="001C1210"/>
    <w:rsid w:val="001C1A5E"/>
    <w:rsid w:val="001C1CFC"/>
    <w:rsid w:val="001C216C"/>
    <w:rsid w:val="001C39C5"/>
    <w:rsid w:val="001C3BD2"/>
    <w:rsid w:val="001C47DC"/>
    <w:rsid w:val="001C6627"/>
    <w:rsid w:val="001C7ADC"/>
    <w:rsid w:val="001C7B6C"/>
    <w:rsid w:val="001D0659"/>
    <w:rsid w:val="001D15C5"/>
    <w:rsid w:val="001D2981"/>
    <w:rsid w:val="001D2C70"/>
    <w:rsid w:val="001D433D"/>
    <w:rsid w:val="001D4EC1"/>
    <w:rsid w:val="001D5A76"/>
    <w:rsid w:val="001D5F1C"/>
    <w:rsid w:val="001D5FC5"/>
    <w:rsid w:val="001D65E9"/>
    <w:rsid w:val="001D738F"/>
    <w:rsid w:val="001D7EEE"/>
    <w:rsid w:val="001E04D1"/>
    <w:rsid w:val="001E05AD"/>
    <w:rsid w:val="001E0BF3"/>
    <w:rsid w:val="001E0DD3"/>
    <w:rsid w:val="001E1335"/>
    <w:rsid w:val="001E1ACB"/>
    <w:rsid w:val="001E1DD4"/>
    <w:rsid w:val="001E3A50"/>
    <w:rsid w:val="001E4D1D"/>
    <w:rsid w:val="001E55F9"/>
    <w:rsid w:val="001E6C67"/>
    <w:rsid w:val="001E6F5B"/>
    <w:rsid w:val="001E70DB"/>
    <w:rsid w:val="001E7A80"/>
    <w:rsid w:val="001E7E39"/>
    <w:rsid w:val="001F0908"/>
    <w:rsid w:val="001F0E4E"/>
    <w:rsid w:val="001F10F8"/>
    <w:rsid w:val="001F3E17"/>
    <w:rsid w:val="001F4C5C"/>
    <w:rsid w:val="001F5358"/>
    <w:rsid w:val="001F5798"/>
    <w:rsid w:val="001F5D7C"/>
    <w:rsid w:val="001F5F4E"/>
    <w:rsid w:val="001F63BE"/>
    <w:rsid w:val="001F7105"/>
    <w:rsid w:val="001F75A7"/>
    <w:rsid w:val="00201327"/>
    <w:rsid w:val="002014BF"/>
    <w:rsid w:val="0020157E"/>
    <w:rsid w:val="002026EE"/>
    <w:rsid w:val="0020284B"/>
    <w:rsid w:val="00204C7F"/>
    <w:rsid w:val="00204D56"/>
    <w:rsid w:val="00206BAF"/>
    <w:rsid w:val="00207558"/>
    <w:rsid w:val="002076C9"/>
    <w:rsid w:val="00207A9E"/>
    <w:rsid w:val="00207BDE"/>
    <w:rsid w:val="00210B24"/>
    <w:rsid w:val="002110EE"/>
    <w:rsid w:val="002112C4"/>
    <w:rsid w:val="00211C11"/>
    <w:rsid w:val="00212A66"/>
    <w:rsid w:val="00212D4D"/>
    <w:rsid w:val="00212D5F"/>
    <w:rsid w:val="00213FB8"/>
    <w:rsid w:val="0021414C"/>
    <w:rsid w:val="0021493C"/>
    <w:rsid w:val="002157EF"/>
    <w:rsid w:val="00216633"/>
    <w:rsid w:val="00217019"/>
    <w:rsid w:val="00217278"/>
    <w:rsid w:val="002218E0"/>
    <w:rsid w:val="00222251"/>
    <w:rsid w:val="00222774"/>
    <w:rsid w:val="002232BD"/>
    <w:rsid w:val="00226713"/>
    <w:rsid w:val="00226FF6"/>
    <w:rsid w:val="0023024F"/>
    <w:rsid w:val="002310A7"/>
    <w:rsid w:val="00231C36"/>
    <w:rsid w:val="00231DBC"/>
    <w:rsid w:val="00231F33"/>
    <w:rsid w:val="002332B4"/>
    <w:rsid w:val="00234F83"/>
    <w:rsid w:val="00235295"/>
    <w:rsid w:val="002364D8"/>
    <w:rsid w:val="00237CBE"/>
    <w:rsid w:val="00240552"/>
    <w:rsid w:val="0024131A"/>
    <w:rsid w:val="00241362"/>
    <w:rsid w:val="00241926"/>
    <w:rsid w:val="00242A29"/>
    <w:rsid w:val="00243259"/>
    <w:rsid w:val="00243706"/>
    <w:rsid w:val="00243A42"/>
    <w:rsid w:val="00243A5A"/>
    <w:rsid w:val="0024494B"/>
    <w:rsid w:val="00245BB6"/>
    <w:rsid w:val="0024774C"/>
    <w:rsid w:val="00250986"/>
    <w:rsid w:val="002518DC"/>
    <w:rsid w:val="00251D0B"/>
    <w:rsid w:val="002525F8"/>
    <w:rsid w:val="0025364C"/>
    <w:rsid w:val="002539DD"/>
    <w:rsid w:val="002541C7"/>
    <w:rsid w:val="00254266"/>
    <w:rsid w:val="002546E8"/>
    <w:rsid w:val="00256206"/>
    <w:rsid w:val="00257B85"/>
    <w:rsid w:val="00257F43"/>
    <w:rsid w:val="00260196"/>
    <w:rsid w:val="00260A9F"/>
    <w:rsid w:val="00262D96"/>
    <w:rsid w:val="00263199"/>
    <w:rsid w:val="002640DF"/>
    <w:rsid w:val="00264609"/>
    <w:rsid w:val="00264698"/>
    <w:rsid w:val="00264BBB"/>
    <w:rsid w:val="0026510E"/>
    <w:rsid w:val="002653E2"/>
    <w:rsid w:val="00265696"/>
    <w:rsid w:val="00265711"/>
    <w:rsid w:val="00266BE0"/>
    <w:rsid w:val="00267685"/>
    <w:rsid w:val="002702D9"/>
    <w:rsid w:val="00271460"/>
    <w:rsid w:val="0027198D"/>
    <w:rsid w:val="00273193"/>
    <w:rsid w:val="00273FA0"/>
    <w:rsid w:val="00274DE9"/>
    <w:rsid w:val="00275192"/>
    <w:rsid w:val="00275753"/>
    <w:rsid w:val="00275B9B"/>
    <w:rsid w:val="00275FD4"/>
    <w:rsid w:val="0027639B"/>
    <w:rsid w:val="00276DAA"/>
    <w:rsid w:val="002811FD"/>
    <w:rsid w:val="00281988"/>
    <w:rsid w:val="00281CBC"/>
    <w:rsid w:val="00283B29"/>
    <w:rsid w:val="00284497"/>
    <w:rsid w:val="00284728"/>
    <w:rsid w:val="002851AF"/>
    <w:rsid w:val="00285748"/>
    <w:rsid w:val="00285E0F"/>
    <w:rsid w:val="00287176"/>
    <w:rsid w:val="00287419"/>
    <w:rsid w:val="00287942"/>
    <w:rsid w:val="00290038"/>
    <w:rsid w:val="00290918"/>
    <w:rsid w:val="00290C95"/>
    <w:rsid w:val="00290E7C"/>
    <w:rsid w:val="002916F7"/>
    <w:rsid w:val="0029187E"/>
    <w:rsid w:val="00291967"/>
    <w:rsid w:val="002919F7"/>
    <w:rsid w:val="00292178"/>
    <w:rsid w:val="002923B4"/>
    <w:rsid w:val="002929D4"/>
    <w:rsid w:val="00292BE6"/>
    <w:rsid w:val="00293588"/>
    <w:rsid w:val="00293C96"/>
    <w:rsid w:val="00294C03"/>
    <w:rsid w:val="00294DC4"/>
    <w:rsid w:val="00294E48"/>
    <w:rsid w:val="00295EFF"/>
    <w:rsid w:val="002964C2"/>
    <w:rsid w:val="002965C3"/>
    <w:rsid w:val="0029780F"/>
    <w:rsid w:val="002A095B"/>
    <w:rsid w:val="002A2EEC"/>
    <w:rsid w:val="002A3151"/>
    <w:rsid w:val="002A319E"/>
    <w:rsid w:val="002A34C9"/>
    <w:rsid w:val="002A369A"/>
    <w:rsid w:val="002A3AA3"/>
    <w:rsid w:val="002A4027"/>
    <w:rsid w:val="002A56FC"/>
    <w:rsid w:val="002A5E9A"/>
    <w:rsid w:val="002A67D4"/>
    <w:rsid w:val="002B0AE8"/>
    <w:rsid w:val="002B2F09"/>
    <w:rsid w:val="002B38E9"/>
    <w:rsid w:val="002B3BCE"/>
    <w:rsid w:val="002B3FAA"/>
    <w:rsid w:val="002B4405"/>
    <w:rsid w:val="002B44AD"/>
    <w:rsid w:val="002B6707"/>
    <w:rsid w:val="002B6785"/>
    <w:rsid w:val="002B6AD0"/>
    <w:rsid w:val="002C0342"/>
    <w:rsid w:val="002C2868"/>
    <w:rsid w:val="002C3757"/>
    <w:rsid w:val="002C4934"/>
    <w:rsid w:val="002C55E0"/>
    <w:rsid w:val="002C58C3"/>
    <w:rsid w:val="002C63D8"/>
    <w:rsid w:val="002C63F3"/>
    <w:rsid w:val="002C6A17"/>
    <w:rsid w:val="002C6A4F"/>
    <w:rsid w:val="002C77D9"/>
    <w:rsid w:val="002C7B8E"/>
    <w:rsid w:val="002C7DAD"/>
    <w:rsid w:val="002D1DAA"/>
    <w:rsid w:val="002D20EC"/>
    <w:rsid w:val="002D2D9F"/>
    <w:rsid w:val="002D3462"/>
    <w:rsid w:val="002D3995"/>
    <w:rsid w:val="002D4370"/>
    <w:rsid w:val="002D4E44"/>
    <w:rsid w:val="002D4E6C"/>
    <w:rsid w:val="002D5463"/>
    <w:rsid w:val="002D61FF"/>
    <w:rsid w:val="002D6957"/>
    <w:rsid w:val="002D7325"/>
    <w:rsid w:val="002D7C13"/>
    <w:rsid w:val="002E07F9"/>
    <w:rsid w:val="002E0DE3"/>
    <w:rsid w:val="002E2D58"/>
    <w:rsid w:val="002E2D91"/>
    <w:rsid w:val="002E4C9A"/>
    <w:rsid w:val="002E624B"/>
    <w:rsid w:val="002E686C"/>
    <w:rsid w:val="002E6CF8"/>
    <w:rsid w:val="002E75C9"/>
    <w:rsid w:val="002E7728"/>
    <w:rsid w:val="002E7C61"/>
    <w:rsid w:val="002F08A2"/>
    <w:rsid w:val="002F0940"/>
    <w:rsid w:val="002F17C5"/>
    <w:rsid w:val="002F24CE"/>
    <w:rsid w:val="002F2B88"/>
    <w:rsid w:val="002F30EB"/>
    <w:rsid w:val="002F487D"/>
    <w:rsid w:val="002F4F26"/>
    <w:rsid w:val="002F5215"/>
    <w:rsid w:val="002F62B9"/>
    <w:rsid w:val="002F79D6"/>
    <w:rsid w:val="002F7B71"/>
    <w:rsid w:val="003003EC"/>
    <w:rsid w:val="003009B0"/>
    <w:rsid w:val="00301CAD"/>
    <w:rsid w:val="00302340"/>
    <w:rsid w:val="00303DC7"/>
    <w:rsid w:val="00304159"/>
    <w:rsid w:val="00305195"/>
    <w:rsid w:val="003052FA"/>
    <w:rsid w:val="00305CEC"/>
    <w:rsid w:val="00306275"/>
    <w:rsid w:val="0030630B"/>
    <w:rsid w:val="0030694B"/>
    <w:rsid w:val="00306EE1"/>
    <w:rsid w:val="0030779F"/>
    <w:rsid w:val="003102CA"/>
    <w:rsid w:val="0031099E"/>
    <w:rsid w:val="00310A97"/>
    <w:rsid w:val="00310ED1"/>
    <w:rsid w:val="0031164D"/>
    <w:rsid w:val="003116C7"/>
    <w:rsid w:val="00311E8E"/>
    <w:rsid w:val="0031221C"/>
    <w:rsid w:val="00312C44"/>
    <w:rsid w:val="0031376E"/>
    <w:rsid w:val="003151C5"/>
    <w:rsid w:val="00315CC5"/>
    <w:rsid w:val="00316019"/>
    <w:rsid w:val="00316211"/>
    <w:rsid w:val="003165FC"/>
    <w:rsid w:val="0031683C"/>
    <w:rsid w:val="00316CF7"/>
    <w:rsid w:val="00317DEA"/>
    <w:rsid w:val="00320191"/>
    <w:rsid w:val="00321446"/>
    <w:rsid w:val="00321591"/>
    <w:rsid w:val="0032167E"/>
    <w:rsid w:val="00321835"/>
    <w:rsid w:val="00322B37"/>
    <w:rsid w:val="00324BBA"/>
    <w:rsid w:val="003270E9"/>
    <w:rsid w:val="00327162"/>
    <w:rsid w:val="00327378"/>
    <w:rsid w:val="00327770"/>
    <w:rsid w:val="00327815"/>
    <w:rsid w:val="003278B9"/>
    <w:rsid w:val="00330DBD"/>
    <w:rsid w:val="00331CE3"/>
    <w:rsid w:val="00331D69"/>
    <w:rsid w:val="003328E1"/>
    <w:rsid w:val="00333A14"/>
    <w:rsid w:val="003342CF"/>
    <w:rsid w:val="003365AE"/>
    <w:rsid w:val="00336B2A"/>
    <w:rsid w:val="00336D87"/>
    <w:rsid w:val="003378B8"/>
    <w:rsid w:val="00341A83"/>
    <w:rsid w:val="00342C1E"/>
    <w:rsid w:val="00344C82"/>
    <w:rsid w:val="00345A49"/>
    <w:rsid w:val="003466F6"/>
    <w:rsid w:val="0034698C"/>
    <w:rsid w:val="00346B2F"/>
    <w:rsid w:val="00350E1F"/>
    <w:rsid w:val="00351730"/>
    <w:rsid w:val="00351C30"/>
    <w:rsid w:val="00352C45"/>
    <w:rsid w:val="00352F89"/>
    <w:rsid w:val="003536EA"/>
    <w:rsid w:val="003546ED"/>
    <w:rsid w:val="0035580E"/>
    <w:rsid w:val="003565AE"/>
    <w:rsid w:val="003572D5"/>
    <w:rsid w:val="0036085D"/>
    <w:rsid w:val="00361A22"/>
    <w:rsid w:val="00362BB6"/>
    <w:rsid w:val="00364654"/>
    <w:rsid w:val="00364B8F"/>
    <w:rsid w:val="0036519C"/>
    <w:rsid w:val="00365935"/>
    <w:rsid w:val="00366481"/>
    <w:rsid w:val="0036664C"/>
    <w:rsid w:val="00366EF8"/>
    <w:rsid w:val="0036755C"/>
    <w:rsid w:val="00370508"/>
    <w:rsid w:val="0037155A"/>
    <w:rsid w:val="00371BC6"/>
    <w:rsid w:val="0037233B"/>
    <w:rsid w:val="003733A5"/>
    <w:rsid w:val="00373A81"/>
    <w:rsid w:val="003746E1"/>
    <w:rsid w:val="00374827"/>
    <w:rsid w:val="00374E15"/>
    <w:rsid w:val="003760C9"/>
    <w:rsid w:val="0037675E"/>
    <w:rsid w:val="00376F49"/>
    <w:rsid w:val="00376F6D"/>
    <w:rsid w:val="0037722E"/>
    <w:rsid w:val="0037752C"/>
    <w:rsid w:val="00377928"/>
    <w:rsid w:val="003804F6"/>
    <w:rsid w:val="0038138E"/>
    <w:rsid w:val="003821F2"/>
    <w:rsid w:val="003838A4"/>
    <w:rsid w:val="003839B6"/>
    <w:rsid w:val="00383FCC"/>
    <w:rsid w:val="00385694"/>
    <w:rsid w:val="00385933"/>
    <w:rsid w:val="00385CCA"/>
    <w:rsid w:val="00385EC9"/>
    <w:rsid w:val="00386216"/>
    <w:rsid w:val="003866ED"/>
    <w:rsid w:val="00387BFC"/>
    <w:rsid w:val="00387D69"/>
    <w:rsid w:val="00390BF9"/>
    <w:rsid w:val="0039310F"/>
    <w:rsid w:val="00393DAD"/>
    <w:rsid w:val="00394944"/>
    <w:rsid w:val="00394D98"/>
    <w:rsid w:val="00395359"/>
    <w:rsid w:val="003959EE"/>
    <w:rsid w:val="0039641A"/>
    <w:rsid w:val="00396808"/>
    <w:rsid w:val="00397078"/>
    <w:rsid w:val="00397DF1"/>
    <w:rsid w:val="003A0153"/>
    <w:rsid w:val="003A1319"/>
    <w:rsid w:val="003A1983"/>
    <w:rsid w:val="003A2A52"/>
    <w:rsid w:val="003A2CF6"/>
    <w:rsid w:val="003A39BA"/>
    <w:rsid w:val="003A4724"/>
    <w:rsid w:val="003A54EB"/>
    <w:rsid w:val="003A6422"/>
    <w:rsid w:val="003A698F"/>
    <w:rsid w:val="003A6CC8"/>
    <w:rsid w:val="003A71A0"/>
    <w:rsid w:val="003A721A"/>
    <w:rsid w:val="003A72EF"/>
    <w:rsid w:val="003A789A"/>
    <w:rsid w:val="003B018C"/>
    <w:rsid w:val="003B05C0"/>
    <w:rsid w:val="003B1A82"/>
    <w:rsid w:val="003B1BF3"/>
    <w:rsid w:val="003B272C"/>
    <w:rsid w:val="003B30F2"/>
    <w:rsid w:val="003B4A6E"/>
    <w:rsid w:val="003B4F8B"/>
    <w:rsid w:val="003B6BC9"/>
    <w:rsid w:val="003B792D"/>
    <w:rsid w:val="003C1128"/>
    <w:rsid w:val="003C125D"/>
    <w:rsid w:val="003C1637"/>
    <w:rsid w:val="003C2124"/>
    <w:rsid w:val="003C3267"/>
    <w:rsid w:val="003C49F4"/>
    <w:rsid w:val="003C5524"/>
    <w:rsid w:val="003C782C"/>
    <w:rsid w:val="003D1168"/>
    <w:rsid w:val="003D145D"/>
    <w:rsid w:val="003D1584"/>
    <w:rsid w:val="003D158E"/>
    <w:rsid w:val="003D16BE"/>
    <w:rsid w:val="003D1B7A"/>
    <w:rsid w:val="003D284F"/>
    <w:rsid w:val="003D2B7C"/>
    <w:rsid w:val="003D34DA"/>
    <w:rsid w:val="003D3F6D"/>
    <w:rsid w:val="003D444B"/>
    <w:rsid w:val="003E15E2"/>
    <w:rsid w:val="003E21EF"/>
    <w:rsid w:val="003E32D7"/>
    <w:rsid w:val="003E39EA"/>
    <w:rsid w:val="003E3DE1"/>
    <w:rsid w:val="003E45D0"/>
    <w:rsid w:val="003E4FAA"/>
    <w:rsid w:val="003E50F8"/>
    <w:rsid w:val="003E6295"/>
    <w:rsid w:val="003E62F6"/>
    <w:rsid w:val="003E7811"/>
    <w:rsid w:val="003F0835"/>
    <w:rsid w:val="003F0C46"/>
    <w:rsid w:val="003F1729"/>
    <w:rsid w:val="003F2928"/>
    <w:rsid w:val="003F2A6A"/>
    <w:rsid w:val="003F2BF0"/>
    <w:rsid w:val="003F35E9"/>
    <w:rsid w:val="003F3AF1"/>
    <w:rsid w:val="003F3F0C"/>
    <w:rsid w:val="003F44BA"/>
    <w:rsid w:val="003F4D71"/>
    <w:rsid w:val="003F5554"/>
    <w:rsid w:val="003F5A65"/>
    <w:rsid w:val="003F5AD2"/>
    <w:rsid w:val="003F5D51"/>
    <w:rsid w:val="003F6C1E"/>
    <w:rsid w:val="003F6CDE"/>
    <w:rsid w:val="00400BA1"/>
    <w:rsid w:val="00400C16"/>
    <w:rsid w:val="00400E7B"/>
    <w:rsid w:val="00400FCD"/>
    <w:rsid w:val="0040338E"/>
    <w:rsid w:val="00403A2B"/>
    <w:rsid w:val="00403DF5"/>
    <w:rsid w:val="00404DE7"/>
    <w:rsid w:val="00407842"/>
    <w:rsid w:val="004115FD"/>
    <w:rsid w:val="004130D1"/>
    <w:rsid w:val="004130FD"/>
    <w:rsid w:val="00414DB6"/>
    <w:rsid w:val="004204E4"/>
    <w:rsid w:val="00420611"/>
    <w:rsid w:val="00420ABD"/>
    <w:rsid w:val="00421847"/>
    <w:rsid w:val="00421F34"/>
    <w:rsid w:val="00423B7F"/>
    <w:rsid w:val="00425CC5"/>
    <w:rsid w:val="00427102"/>
    <w:rsid w:val="00427BE7"/>
    <w:rsid w:val="00430202"/>
    <w:rsid w:val="004303F7"/>
    <w:rsid w:val="00430A6F"/>
    <w:rsid w:val="00431B69"/>
    <w:rsid w:val="004323A5"/>
    <w:rsid w:val="00432AAC"/>
    <w:rsid w:val="0043327A"/>
    <w:rsid w:val="004341E0"/>
    <w:rsid w:val="0043433A"/>
    <w:rsid w:val="0043498F"/>
    <w:rsid w:val="004349A8"/>
    <w:rsid w:val="004363E1"/>
    <w:rsid w:val="0043658A"/>
    <w:rsid w:val="00437795"/>
    <w:rsid w:val="00437D6F"/>
    <w:rsid w:val="004403E4"/>
    <w:rsid w:val="00441C85"/>
    <w:rsid w:val="004423BB"/>
    <w:rsid w:val="00442673"/>
    <w:rsid w:val="0044438C"/>
    <w:rsid w:val="00445E4D"/>
    <w:rsid w:val="0044685C"/>
    <w:rsid w:val="00446E8A"/>
    <w:rsid w:val="00447669"/>
    <w:rsid w:val="0045156A"/>
    <w:rsid w:val="004515F8"/>
    <w:rsid w:val="00451628"/>
    <w:rsid w:val="004522F3"/>
    <w:rsid w:val="00453779"/>
    <w:rsid w:val="00455394"/>
    <w:rsid w:val="00455E7F"/>
    <w:rsid w:val="0045741D"/>
    <w:rsid w:val="00457AB5"/>
    <w:rsid w:val="0046006B"/>
    <w:rsid w:val="004600C3"/>
    <w:rsid w:val="004611C3"/>
    <w:rsid w:val="004617DB"/>
    <w:rsid w:val="004618A7"/>
    <w:rsid w:val="00463971"/>
    <w:rsid w:val="00464559"/>
    <w:rsid w:val="00466157"/>
    <w:rsid w:val="004663EC"/>
    <w:rsid w:val="00466534"/>
    <w:rsid w:val="004677EE"/>
    <w:rsid w:val="004706C4"/>
    <w:rsid w:val="00471283"/>
    <w:rsid w:val="00471843"/>
    <w:rsid w:val="004719BD"/>
    <w:rsid w:val="00474012"/>
    <w:rsid w:val="00474523"/>
    <w:rsid w:val="00474E80"/>
    <w:rsid w:val="00474F3E"/>
    <w:rsid w:val="0047507B"/>
    <w:rsid w:val="00475398"/>
    <w:rsid w:val="00476182"/>
    <w:rsid w:val="004763CA"/>
    <w:rsid w:val="00476A1C"/>
    <w:rsid w:val="0047736E"/>
    <w:rsid w:val="00480313"/>
    <w:rsid w:val="004807A3"/>
    <w:rsid w:val="004807AD"/>
    <w:rsid w:val="00480D03"/>
    <w:rsid w:val="004820A4"/>
    <w:rsid w:val="004835E2"/>
    <w:rsid w:val="004844F8"/>
    <w:rsid w:val="00485611"/>
    <w:rsid w:val="00485D08"/>
    <w:rsid w:val="00485F95"/>
    <w:rsid w:val="00486567"/>
    <w:rsid w:val="0048757C"/>
    <w:rsid w:val="0048775A"/>
    <w:rsid w:val="00491081"/>
    <w:rsid w:val="0049358C"/>
    <w:rsid w:val="00493667"/>
    <w:rsid w:val="00494454"/>
    <w:rsid w:val="00494746"/>
    <w:rsid w:val="00494D53"/>
    <w:rsid w:val="00494E04"/>
    <w:rsid w:val="00496063"/>
    <w:rsid w:val="00497751"/>
    <w:rsid w:val="00497850"/>
    <w:rsid w:val="0049785F"/>
    <w:rsid w:val="0049795D"/>
    <w:rsid w:val="004A02A2"/>
    <w:rsid w:val="004A0705"/>
    <w:rsid w:val="004A0C11"/>
    <w:rsid w:val="004A2168"/>
    <w:rsid w:val="004A2F25"/>
    <w:rsid w:val="004A33A8"/>
    <w:rsid w:val="004A3617"/>
    <w:rsid w:val="004A3955"/>
    <w:rsid w:val="004A4913"/>
    <w:rsid w:val="004A5BBE"/>
    <w:rsid w:val="004A7172"/>
    <w:rsid w:val="004A7557"/>
    <w:rsid w:val="004B07E6"/>
    <w:rsid w:val="004B1D6A"/>
    <w:rsid w:val="004B2759"/>
    <w:rsid w:val="004B35B1"/>
    <w:rsid w:val="004B3D03"/>
    <w:rsid w:val="004B4A2B"/>
    <w:rsid w:val="004B4DBA"/>
    <w:rsid w:val="004B5A09"/>
    <w:rsid w:val="004B5A3F"/>
    <w:rsid w:val="004C093F"/>
    <w:rsid w:val="004C14CD"/>
    <w:rsid w:val="004C2822"/>
    <w:rsid w:val="004C3213"/>
    <w:rsid w:val="004C3647"/>
    <w:rsid w:val="004C4726"/>
    <w:rsid w:val="004C571D"/>
    <w:rsid w:val="004C6138"/>
    <w:rsid w:val="004C6F4F"/>
    <w:rsid w:val="004C720B"/>
    <w:rsid w:val="004C75A8"/>
    <w:rsid w:val="004C7AA9"/>
    <w:rsid w:val="004D1B54"/>
    <w:rsid w:val="004D2671"/>
    <w:rsid w:val="004D3429"/>
    <w:rsid w:val="004D3529"/>
    <w:rsid w:val="004D393E"/>
    <w:rsid w:val="004D5D21"/>
    <w:rsid w:val="004D60AE"/>
    <w:rsid w:val="004E2455"/>
    <w:rsid w:val="004E32CA"/>
    <w:rsid w:val="004E3983"/>
    <w:rsid w:val="004E3CE1"/>
    <w:rsid w:val="004E4FB2"/>
    <w:rsid w:val="004E60A6"/>
    <w:rsid w:val="004E6336"/>
    <w:rsid w:val="004E6987"/>
    <w:rsid w:val="004E7A31"/>
    <w:rsid w:val="004E7A63"/>
    <w:rsid w:val="004E7BDD"/>
    <w:rsid w:val="004F06BB"/>
    <w:rsid w:val="004F1FD5"/>
    <w:rsid w:val="004F29B8"/>
    <w:rsid w:val="004F356F"/>
    <w:rsid w:val="004F44D5"/>
    <w:rsid w:val="004F4B33"/>
    <w:rsid w:val="004F6B6F"/>
    <w:rsid w:val="004F6BC8"/>
    <w:rsid w:val="004F6C39"/>
    <w:rsid w:val="004F6C9D"/>
    <w:rsid w:val="004F7166"/>
    <w:rsid w:val="004F7901"/>
    <w:rsid w:val="004F7A9A"/>
    <w:rsid w:val="004F7D18"/>
    <w:rsid w:val="00500370"/>
    <w:rsid w:val="0050064A"/>
    <w:rsid w:val="00500E79"/>
    <w:rsid w:val="00500F70"/>
    <w:rsid w:val="00501717"/>
    <w:rsid w:val="00502149"/>
    <w:rsid w:val="005021AA"/>
    <w:rsid w:val="005027AB"/>
    <w:rsid w:val="00502E4B"/>
    <w:rsid w:val="00502F0B"/>
    <w:rsid w:val="0050370B"/>
    <w:rsid w:val="005037BF"/>
    <w:rsid w:val="00504071"/>
    <w:rsid w:val="00504170"/>
    <w:rsid w:val="00504912"/>
    <w:rsid w:val="00504BAF"/>
    <w:rsid w:val="00504CE1"/>
    <w:rsid w:val="00505A2A"/>
    <w:rsid w:val="00505CFF"/>
    <w:rsid w:val="005069D3"/>
    <w:rsid w:val="005074C1"/>
    <w:rsid w:val="005108DC"/>
    <w:rsid w:val="005112BD"/>
    <w:rsid w:val="00512078"/>
    <w:rsid w:val="005123B2"/>
    <w:rsid w:val="00512F5E"/>
    <w:rsid w:val="00513367"/>
    <w:rsid w:val="005147DA"/>
    <w:rsid w:val="0051572E"/>
    <w:rsid w:val="00515D90"/>
    <w:rsid w:val="00517811"/>
    <w:rsid w:val="00520087"/>
    <w:rsid w:val="005202C3"/>
    <w:rsid w:val="005203D2"/>
    <w:rsid w:val="00524616"/>
    <w:rsid w:val="005249A6"/>
    <w:rsid w:val="00524D6C"/>
    <w:rsid w:val="00525A23"/>
    <w:rsid w:val="005273C4"/>
    <w:rsid w:val="005275C5"/>
    <w:rsid w:val="00527BA4"/>
    <w:rsid w:val="00527DAD"/>
    <w:rsid w:val="00531124"/>
    <w:rsid w:val="00531ABA"/>
    <w:rsid w:val="005329D0"/>
    <w:rsid w:val="0053331C"/>
    <w:rsid w:val="00533381"/>
    <w:rsid w:val="005335A5"/>
    <w:rsid w:val="00534A52"/>
    <w:rsid w:val="00536F47"/>
    <w:rsid w:val="00537049"/>
    <w:rsid w:val="00537581"/>
    <w:rsid w:val="00537609"/>
    <w:rsid w:val="005407A5"/>
    <w:rsid w:val="00540A21"/>
    <w:rsid w:val="00540F30"/>
    <w:rsid w:val="00541035"/>
    <w:rsid w:val="00541711"/>
    <w:rsid w:val="005421EF"/>
    <w:rsid w:val="00542836"/>
    <w:rsid w:val="00543AC8"/>
    <w:rsid w:val="00544A39"/>
    <w:rsid w:val="0054532D"/>
    <w:rsid w:val="00545416"/>
    <w:rsid w:val="00546551"/>
    <w:rsid w:val="005478B0"/>
    <w:rsid w:val="00550F5B"/>
    <w:rsid w:val="00551026"/>
    <w:rsid w:val="005520D1"/>
    <w:rsid w:val="00552CD3"/>
    <w:rsid w:val="00553592"/>
    <w:rsid w:val="00553C1B"/>
    <w:rsid w:val="00554EBF"/>
    <w:rsid w:val="0055504D"/>
    <w:rsid w:val="00556018"/>
    <w:rsid w:val="005562AC"/>
    <w:rsid w:val="00556BDE"/>
    <w:rsid w:val="00556DA9"/>
    <w:rsid w:val="00557BEC"/>
    <w:rsid w:val="005600ED"/>
    <w:rsid w:val="005608D8"/>
    <w:rsid w:val="00561FB4"/>
    <w:rsid w:val="005624BC"/>
    <w:rsid w:val="00562654"/>
    <w:rsid w:val="00564FEE"/>
    <w:rsid w:val="00565476"/>
    <w:rsid w:val="00567E20"/>
    <w:rsid w:val="0057139A"/>
    <w:rsid w:val="00571DDE"/>
    <w:rsid w:val="00572B25"/>
    <w:rsid w:val="0057467B"/>
    <w:rsid w:val="00575769"/>
    <w:rsid w:val="0057683B"/>
    <w:rsid w:val="00576AE8"/>
    <w:rsid w:val="00576B99"/>
    <w:rsid w:val="00576E4B"/>
    <w:rsid w:val="005772A8"/>
    <w:rsid w:val="00580424"/>
    <w:rsid w:val="00580523"/>
    <w:rsid w:val="0058085E"/>
    <w:rsid w:val="0058093F"/>
    <w:rsid w:val="00580A8E"/>
    <w:rsid w:val="00580CEF"/>
    <w:rsid w:val="00580E24"/>
    <w:rsid w:val="00582564"/>
    <w:rsid w:val="00582805"/>
    <w:rsid w:val="00583081"/>
    <w:rsid w:val="00583195"/>
    <w:rsid w:val="00583393"/>
    <w:rsid w:val="00583571"/>
    <w:rsid w:val="0058477C"/>
    <w:rsid w:val="00584DFC"/>
    <w:rsid w:val="00586289"/>
    <w:rsid w:val="00586716"/>
    <w:rsid w:val="0058693B"/>
    <w:rsid w:val="00590627"/>
    <w:rsid w:val="00590BC7"/>
    <w:rsid w:val="005915A2"/>
    <w:rsid w:val="00591D05"/>
    <w:rsid w:val="00591F59"/>
    <w:rsid w:val="00592A76"/>
    <w:rsid w:val="00592E4B"/>
    <w:rsid w:val="005941C1"/>
    <w:rsid w:val="005950CB"/>
    <w:rsid w:val="00595728"/>
    <w:rsid w:val="00596BBB"/>
    <w:rsid w:val="00597464"/>
    <w:rsid w:val="00597838"/>
    <w:rsid w:val="00597AD2"/>
    <w:rsid w:val="00597BE9"/>
    <w:rsid w:val="005A21FF"/>
    <w:rsid w:val="005A22E5"/>
    <w:rsid w:val="005A262A"/>
    <w:rsid w:val="005A40F2"/>
    <w:rsid w:val="005A4128"/>
    <w:rsid w:val="005A46F6"/>
    <w:rsid w:val="005A53DF"/>
    <w:rsid w:val="005A5A88"/>
    <w:rsid w:val="005A5DBB"/>
    <w:rsid w:val="005A6E9F"/>
    <w:rsid w:val="005B13B0"/>
    <w:rsid w:val="005B15CD"/>
    <w:rsid w:val="005B35F4"/>
    <w:rsid w:val="005B36B1"/>
    <w:rsid w:val="005B4C40"/>
    <w:rsid w:val="005B53F2"/>
    <w:rsid w:val="005B588D"/>
    <w:rsid w:val="005B6241"/>
    <w:rsid w:val="005B64C3"/>
    <w:rsid w:val="005B67E1"/>
    <w:rsid w:val="005B67E6"/>
    <w:rsid w:val="005B6FEC"/>
    <w:rsid w:val="005B70D1"/>
    <w:rsid w:val="005B7812"/>
    <w:rsid w:val="005B798B"/>
    <w:rsid w:val="005C09C3"/>
    <w:rsid w:val="005C0A15"/>
    <w:rsid w:val="005C152A"/>
    <w:rsid w:val="005C1D52"/>
    <w:rsid w:val="005C2FD8"/>
    <w:rsid w:val="005C314F"/>
    <w:rsid w:val="005C4586"/>
    <w:rsid w:val="005C47FA"/>
    <w:rsid w:val="005C4800"/>
    <w:rsid w:val="005C548B"/>
    <w:rsid w:val="005C6A69"/>
    <w:rsid w:val="005C6CC8"/>
    <w:rsid w:val="005C7441"/>
    <w:rsid w:val="005C7601"/>
    <w:rsid w:val="005C7633"/>
    <w:rsid w:val="005C7F40"/>
    <w:rsid w:val="005D039E"/>
    <w:rsid w:val="005D18C1"/>
    <w:rsid w:val="005D1A76"/>
    <w:rsid w:val="005D267D"/>
    <w:rsid w:val="005D2B00"/>
    <w:rsid w:val="005D3073"/>
    <w:rsid w:val="005D3CB1"/>
    <w:rsid w:val="005D4116"/>
    <w:rsid w:val="005D436C"/>
    <w:rsid w:val="005D5B48"/>
    <w:rsid w:val="005D5BA4"/>
    <w:rsid w:val="005D7F06"/>
    <w:rsid w:val="005E0B0C"/>
    <w:rsid w:val="005E1418"/>
    <w:rsid w:val="005E19E8"/>
    <w:rsid w:val="005E1E8B"/>
    <w:rsid w:val="005E1F65"/>
    <w:rsid w:val="005E311C"/>
    <w:rsid w:val="005E4586"/>
    <w:rsid w:val="005E46F9"/>
    <w:rsid w:val="005E5097"/>
    <w:rsid w:val="005E5E06"/>
    <w:rsid w:val="005E6631"/>
    <w:rsid w:val="005E665C"/>
    <w:rsid w:val="005F24F8"/>
    <w:rsid w:val="005F2A75"/>
    <w:rsid w:val="005F3850"/>
    <w:rsid w:val="005F3946"/>
    <w:rsid w:val="005F3B19"/>
    <w:rsid w:val="005F3C2E"/>
    <w:rsid w:val="005F3D2A"/>
    <w:rsid w:val="005F4053"/>
    <w:rsid w:val="005F439F"/>
    <w:rsid w:val="005F4F42"/>
    <w:rsid w:val="005F5668"/>
    <w:rsid w:val="005F566E"/>
    <w:rsid w:val="005F5C82"/>
    <w:rsid w:val="00600535"/>
    <w:rsid w:val="00601411"/>
    <w:rsid w:val="00601485"/>
    <w:rsid w:val="00601B1A"/>
    <w:rsid w:val="006026A1"/>
    <w:rsid w:val="00603D24"/>
    <w:rsid w:val="00604405"/>
    <w:rsid w:val="00604653"/>
    <w:rsid w:val="006049D6"/>
    <w:rsid w:val="00604FC1"/>
    <w:rsid w:val="00606D21"/>
    <w:rsid w:val="00606DAE"/>
    <w:rsid w:val="00606EFC"/>
    <w:rsid w:val="00607579"/>
    <w:rsid w:val="00610C49"/>
    <w:rsid w:val="00611737"/>
    <w:rsid w:val="006117AE"/>
    <w:rsid w:val="006132FE"/>
    <w:rsid w:val="006151EA"/>
    <w:rsid w:val="0061533C"/>
    <w:rsid w:val="00616703"/>
    <w:rsid w:val="0062119F"/>
    <w:rsid w:val="00622013"/>
    <w:rsid w:val="006224D5"/>
    <w:rsid w:val="00622606"/>
    <w:rsid w:val="006237BB"/>
    <w:rsid w:val="006241EF"/>
    <w:rsid w:val="00624EA1"/>
    <w:rsid w:val="006254C4"/>
    <w:rsid w:val="00625755"/>
    <w:rsid w:val="00625CD0"/>
    <w:rsid w:val="00627302"/>
    <w:rsid w:val="00631402"/>
    <w:rsid w:val="0063456C"/>
    <w:rsid w:val="00634E41"/>
    <w:rsid w:val="0063577B"/>
    <w:rsid w:val="00635818"/>
    <w:rsid w:val="00635C7E"/>
    <w:rsid w:val="006362DA"/>
    <w:rsid w:val="006364D6"/>
    <w:rsid w:val="00640797"/>
    <w:rsid w:val="00640890"/>
    <w:rsid w:val="00640BE7"/>
    <w:rsid w:val="00640EA6"/>
    <w:rsid w:val="0064178F"/>
    <w:rsid w:val="00641B9E"/>
    <w:rsid w:val="00641BE4"/>
    <w:rsid w:val="00641EA5"/>
    <w:rsid w:val="00642246"/>
    <w:rsid w:val="00642359"/>
    <w:rsid w:val="00642593"/>
    <w:rsid w:val="006431D3"/>
    <w:rsid w:val="0064349C"/>
    <w:rsid w:val="00644596"/>
    <w:rsid w:val="00644700"/>
    <w:rsid w:val="00645036"/>
    <w:rsid w:val="00645233"/>
    <w:rsid w:val="00646516"/>
    <w:rsid w:val="006466F3"/>
    <w:rsid w:val="00646D3D"/>
    <w:rsid w:val="006477AC"/>
    <w:rsid w:val="006478A7"/>
    <w:rsid w:val="00647F7C"/>
    <w:rsid w:val="006533A6"/>
    <w:rsid w:val="00654176"/>
    <w:rsid w:val="0065420C"/>
    <w:rsid w:val="006544AD"/>
    <w:rsid w:val="0065558E"/>
    <w:rsid w:val="006557DD"/>
    <w:rsid w:val="00656D5D"/>
    <w:rsid w:val="00656F03"/>
    <w:rsid w:val="00656F24"/>
    <w:rsid w:val="00657E2D"/>
    <w:rsid w:val="0066074C"/>
    <w:rsid w:val="0066181F"/>
    <w:rsid w:val="0066199F"/>
    <w:rsid w:val="006626AC"/>
    <w:rsid w:val="00662CFF"/>
    <w:rsid w:val="006640AD"/>
    <w:rsid w:val="00664578"/>
    <w:rsid w:val="00664DFB"/>
    <w:rsid w:val="00664E89"/>
    <w:rsid w:val="006668A2"/>
    <w:rsid w:val="006668FE"/>
    <w:rsid w:val="00666E7F"/>
    <w:rsid w:val="00667A83"/>
    <w:rsid w:val="00667BCA"/>
    <w:rsid w:val="00667DD5"/>
    <w:rsid w:val="00671495"/>
    <w:rsid w:val="00672030"/>
    <w:rsid w:val="00672CF8"/>
    <w:rsid w:val="00673209"/>
    <w:rsid w:val="006733B2"/>
    <w:rsid w:val="00673BA7"/>
    <w:rsid w:val="00673C35"/>
    <w:rsid w:val="00673D7F"/>
    <w:rsid w:val="00674038"/>
    <w:rsid w:val="006746EB"/>
    <w:rsid w:val="00675699"/>
    <w:rsid w:val="006764F1"/>
    <w:rsid w:val="00677B17"/>
    <w:rsid w:val="00677E6A"/>
    <w:rsid w:val="006827D3"/>
    <w:rsid w:val="00685E84"/>
    <w:rsid w:val="006862F5"/>
    <w:rsid w:val="00686347"/>
    <w:rsid w:val="006877D4"/>
    <w:rsid w:val="00690F95"/>
    <w:rsid w:val="0069113C"/>
    <w:rsid w:val="00691E81"/>
    <w:rsid w:val="00692346"/>
    <w:rsid w:val="00692DF8"/>
    <w:rsid w:val="00694B22"/>
    <w:rsid w:val="0069568F"/>
    <w:rsid w:val="00696E52"/>
    <w:rsid w:val="00697C21"/>
    <w:rsid w:val="00697DC1"/>
    <w:rsid w:val="00697EB2"/>
    <w:rsid w:val="006A133D"/>
    <w:rsid w:val="006A2025"/>
    <w:rsid w:val="006A3AC2"/>
    <w:rsid w:val="006A4256"/>
    <w:rsid w:val="006A4A1F"/>
    <w:rsid w:val="006A5F8F"/>
    <w:rsid w:val="006A6735"/>
    <w:rsid w:val="006A732E"/>
    <w:rsid w:val="006A7502"/>
    <w:rsid w:val="006B0DAA"/>
    <w:rsid w:val="006B1834"/>
    <w:rsid w:val="006B36AE"/>
    <w:rsid w:val="006B3C88"/>
    <w:rsid w:val="006B530D"/>
    <w:rsid w:val="006B682F"/>
    <w:rsid w:val="006B7FFE"/>
    <w:rsid w:val="006C0206"/>
    <w:rsid w:val="006C0678"/>
    <w:rsid w:val="006C0D93"/>
    <w:rsid w:val="006C29DF"/>
    <w:rsid w:val="006C3A87"/>
    <w:rsid w:val="006C3ADB"/>
    <w:rsid w:val="006C4D87"/>
    <w:rsid w:val="006C514C"/>
    <w:rsid w:val="006C53AA"/>
    <w:rsid w:val="006C5418"/>
    <w:rsid w:val="006C57D4"/>
    <w:rsid w:val="006C647A"/>
    <w:rsid w:val="006C6EA6"/>
    <w:rsid w:val="006C6F2B"/>
    <w:rsid w:val="006C79A9"/>
    <w:rsid w:val="006D08B0"/>
    <w:rsid w:val="006D14A5"/>
    <w:rsid w:val="006D15FF"/>
    <w:rsid w:val="006D18A4"/>
    <w:rsid w:val="006D1BE6"/>
    <w:rsid w:val="006D1EA0"/>
    <w:rsid w:val="006D4A70"/>
    <w:rsid w:val="006D5ED3"/>
    <w:rsid w:val="006D5F05"/>
    <w:rsid w:val="006D64DB"/>
    <w:rsid w:val="006D6783"/>
    <w:rsid w:val="006D6BA7"/>
    <w:rsid w:val="006D7515"/>
    <w:rsid w:val="006E02CD"/>
    <w:rsid w:val="006E03EE"/>
    <w:rsid w:val="006E122D"/>
    <w:rsid w:val="006E1B45"/>
    <w:rsid w:val="006E1D7D"/>
    <w:rsid w:val="006E1DA7"/>
    <w:rsid w:val="006E1F38"/>
    <w:rsid w:val="006E23F5"/>
    <w:rsid w:val="006E2621"/>
    <w:rsid w:val="006E268B"/>
    <w:rsid w:val="006E295B"/>
    <w:rsid w:val="006E41C4"/>
    <w:rsid w:val="006E45A4"/>
    <w:rsid w:val="006E48D4"/>
    <w:rsid w:val="006E6A11"/>
    <w:rsid w:val="006E6B0E"/>
    <w:rsid w:val="006E6CC1"/>
    <w:rsid w:val="006E7D68"/>
    <w:rsid w:val="006F0B6F"/>
    <w:rsid w:val="006F1644"/>
    <w:rsid w:val="006F21F5"/>
    <w:rsid w:val="006F3F9D"/>
    <w:rsid w:val="006F4EF8"/>
    <w:rsid w:val="006F5321"/>
    <w:rsid w:val="006F55A4"/>
    <w:rsid w:val="006F67ED"/>
    <w:rsid w:val="006F6B04"/>
    <w:rsid w:val="006F6E4F"/>
    <w:rsid w:val="007005C8"/>
    <w:rsid w:val="0070073E"/>
    <w:rsid w:val="00701E97"/>
    <w:rsid w:val="00703B86"/>
    <w:rsid w:val="00703CE2"/>
    <w:rsid w:val="0070495E"/>
    <w:rsid w:val="00704B65"/>
    <w:rsid w:val="00705CD0"/>
    <w:rsid w:val="0071028E"/>
    <w:rsid w:val="007102EC"/>
    <w:rsid w:val="00711194"/>
    <w:rsid w:val="00711212"/>
    <w:rsid w:val="0071152A"/>
    <w:rsid w:val="00711E63"/>
    <w:rsid w:val="00713456"/>
    <w:rsid w:val="0071367C"/>
    <w:rsid w:val="0071380B"/>
    <w:rsid w:val="0071465A"/>
    <w:rsid w:val="00715404"/>
    <w:rsid w:val="0071578E"/>
    <w:rsid w:val="0071584C"/>
    <w:rsid w:val="0071596D"/>
    <w:rsid w:val="007160E7"/>
    <w:rsid w:val="00716885"/>
    <w:rsid w:val="00717946"/>
    <w:rsid w:val="0072030B"/>
    <w:rsid w:val="00726077"/>
    <w:rsid w:val="0072722B"/>
    <w:rsid w:val="00727813"/>
    <w:rsid w:val="00727E4C"/>
    <w:rsid w:val="00730630"/>
    <w:rsid w:val="00732FE1"/>
    <w:rsid w:val="00733BE9"/>
    <w:rsid w:val="00734257"/>
    <w:rsid w:val="00734F1A"/>
    <w:rsid w:val="0073554D"/>
    <w:rsid w:val="007357DC"/>
    <w:rsid w:val="00735C86"/>
    <w:rsid w:val="00736A6A"/>
    <w:rsid w:val="007371C8"/>
    <w:rsid w:val="007373AF"/>
    <w:rsid w:val="00743116"/>
    <w:rsid w:val="0074348E"/>
    <w:rsid w:val="00744007"/>
    <w:rsid w:val="00745CB1"/>
    <w:rsid w:val="007464EF"/>
    <w:rsid w:val="0074676A"/>
    <w:rsid w:val="00746B54"/>
    <w:rsid w:val="007471D2"/>
    <w:rsid w:val="0074742B"/>
    <w:rsid w:val="007474E2"/>
    <w:rsid w:val="00751F03"/>
    <w:rsid w:val="007522C8"/>
    <w:rsid w:val="00753078"/>
    <w:rsid w:val="00753E7D"/>
    <w:rsid w:val="0075452E"/>
    <w:rsid w:val="00754D13"/>
    <w:rsid w:val="00755194"/>
    <w:rsid w:val="00756936"/>
    <w:rsid w:val="00756D12"/>
    <w:rsid w:val="00757815"/>
    <w:rsid w:val="00761278"/>
    <w:rsid w:val="00761DC7"/>
    <w:rsid w:val="007622D3"/>
    <w:rsid w:val="0076404E"/>
    <w:rsid w:val="00765412"/>
    <w:rsid w:val="0076630B"/>
    <w:rsid w:val="007677B1"/>
    <w:rsid w:val="00767D4F"/>
    <w:rsid w:val="00770396"/>
    <w:rsid w:val="007735FF"/>
    <w:rsid w:val="00774004"/>
    <w:rsid w:val="00774FD6"/>
    <w:rsid w:val="0077596B"/>
    <w:rsid w:val="007773CB"/>
    <w:rsid w:val="00777AC0"/>
    <w:rsid w:val="00777DB5"/>
    <w:rsid w:val="007808CA"/>
    <w:rsid w:val="00781707"/>
    <w:rsid w:val="00781FAB"/>
    <w:rsid w:val="0078245D"/>
    <w:rsid w:val="007825FD"/>
    <w:rsid w:val="00782EDC"/>
    <w:rsid w:val="00783064"/>
    <w:rsid w:val="007833B5"/>
    <w:rsid w:val="007835B6"/>
    <w:rsid w:val="00784BC9"/>
    <w:rsid w:val="00786A06"/>
    <w:rsid w:val="00786B48"/>
    <w:rsid w:val="00786FEF"/>
    <w:rsid w:val="00787E1B"/>
    <w:rsid w:val="007900C7"/>
    <w:rsid w:val="0079128E"/>
    <w:rsid w:val="007918B4"/>
    <w:rsid w:val="00792514"/>
    <w:rsid w:val="0079382F"/>
    <w:rsid w:val="00794733"/>
    <w:rsid w:val="00794F19"/>
    <w:rsid w:val="00795606"/>
    <w:rsid w:val="00796959"/>
    <w:rsid w:val="00796F60"/>
    <w:rsid w:val="007974B9"/>
    <w:rsid w:val="00797A0C"/>
    <w:rsid w:val="007A00BB"/>
    <w:rsid w:val="007A01C4"/>
    <w:rsid w:val="007A1126"/>
    <w:rsid w:val="007A19BC"/>
    <w:rsid w:val="007A300C"/>
    <w:rsid w:val="007A37D4"/>
    <w:rsid w:val="007A3982"/>
    <w:rsid w:val="007A4E19"/>
    <w:rsid w:val="007A63C5"/>
    <w:rsid w:val="007A6CD3"/>
    <w:rsid w:val="007A7B42"/>
    <w:rsid w:val="007A7E09"/>
    <w:rsid w:val="007B167D"/>
    <w:rsid w:val="007B3937"/>
    <w:rsid w:val="007B4094"/>
    <w:rsid w:val="007B566F"/>
    <w:rsid w:val="007B74FC"/>
    <w:rsid w:val="007C02F6"/>
    <w:rsid w:val="007C1038"/>
    <w:rsid w:val="007C14CD"/>
    <w:rsid w:val="007C23F2"/>
    <w:rsid w:val="007C269C"/>
    <w:rsid w:val="007C2AD3"/>
    <w:rsid w:val="007C2F4B"/>
    <w:rsid w:val="007C3B58"/>
    <w:rsid w:val="007C51B6"/>
    <w:rsid w:val="007C6931"/>
    <w:rsid w:val="007C75E2"/>
    <w:rsid w:val="007C7687"/>
    <w:rsid w:val="007D0B15"/>
    <w:rsid w:val="007D1C18"/>
    <w:rsid w:val="007D30ED"/>
    <w:rsid w:val="007D3DEF"/>
    <w:rsid w:val="007D4229"/>
    <w:rsid w:val="007D5EA6"/>
    <w:rsid w:val="007E05C4"/>
    <w:rsid w:val="007E2D02"/>
    <w:rsid w:val="007E307F"/>
    <w:rsid w:val="007E4852"/>
    <w:rsid w:val="007E606F"/>
    <w:rsid w:val="007E61DE"/>
    <w:rsid w:val="007E71C6"/>
    <w:rsid w:val="007E7C5E"/>
    <w:rsid w:val="007F00BB"/>
    <w:rsid w:val="007F3021"/>
    <w:rsid w:val="007F3645"/>
    <w:rsid w:val="007F38DE"/>
    <w:rsid w:val="007F3CDB"/>
    <w:rsid w:val="007F5336"/>
    <w:rsid w:val="007F54EF"/>
    <w:rsid w:val="007F556C"/>
    <w:rsid w:val="007F5663"/>
    <w:rsid w:val="007F65CB"/>
    <w:rsid w:val="007F73E9"/>
    <w:rsid w:val="007F7595"/>
    <w:rsid w:val="008000ED"/>
    <w:rsid w:val="0080183E"/>
    <w:rsid w:val="00801A38"/>
    <w:rsid w:val="00801C22"/>
    <w:rsid w:val="008030F0"/>
    <w:rsid w:val="00803C72"/>
    <w:rsid w:val="00803E72"/>
    <w:rsid w:val="00805C71"/>
    <w:rsid w:val="00805FF8"/>
    <w:rsid w:val="00807C68"/>
    <w:rsid w:val="0081076D"/>
    <w:rsid w:val="00811FCD"/>
    <w:rsid w:val="00813671"/>
    <w:rsid w:val="008136CF"/>
    <w:rsid w:val="00813727"/>
    <w:rsid w:val="008141E7"/>
    <w:rsid w:val="0081444C"/>
    <w:rsid w:val="00814680"/>
    <w:rsid w:val="00814BE5"/>
    <w:rsid w:val="00815EF0"/>
    <w:rsid w:val="008168C9"/>
    <w:rsid w:val="00816BB2"/>
    <w:rsid w:val="008212F3"/>
    <w:rsid w:val="008217B5"/>
    <w:rsid w:val="00821E93"/>
    <w:rsid w:val="00822AC3"/>
    <w:rsid w:val="00822EF7"/>
    <w:rsid w:val="00824886"/>
    <w:rsid w:val="008268F0"/>
    <w:rsid w:val="00827376"/>
    <w:rsid w:val="00827AB0"/>
    <w:rsid w:val="00830AF1"/>
    <w:rsid w:val="00830D28"/>
    <w:rsid w:val="00831D5E"/>
    <w:rsid w:val="0083254D"/>
    <w:rsid w:val="00832893"/>
    <w:rsid w:val="008329C8"/>
    <w:rsid w:val="0083416D"/>
    <w:rsid w:val="00834505"/>
    <w:rsid w:val="00835D51"/>
    <w:rsid w:val="00836FE1"/>
    <w:rsid w:val="00837DE4"/>
    <w:rsid w:val="00840B36"/>
    <w:rsid w:val="00840D8A"/>
    <w:rsid w:val="0084133E"/>
    <w:rsid w:val="00841527"/>
    <w:rsid w:val="0084184C"/>
    <w:rsid w:val="008419D6"/>
    <w:rsid w:val="00842342"/>
    <w:rsid w:val="00842C76"/>
    <w:rsid w:val="008438DC"/>
    <w:rsid w:val="00843909"/>
    <w:rsid w:val="00843D2D"/>
    <w:rsid w:val="008452B1"/>
    <w:rsid w:val="00845B48"/>
    <w:rsid w:val="00846660"/>
    <w:rsid w:val="008469D3"/>
    <w:rsid w:val="00846E0A"/>
    <w:rsid w:val="00847BEE"/>
    <w:rsid w:val="00847CB3"/>
    <w:rsid w:val="00850D58"/>
    <w:rsid w:val="008512E0"/>
    <w:rsid w:val="00851327"/>
    <w:rsid w:val="00851741"/>
    <w:rsid w:val="00851BF8"/>
    <w:rsid w:val="00852243"/>
    <w:rsid w:val="0085348E"/>
    <w:rsid w:val="00854387"/>
    <w:rsid w:val="00855B62"/>
    <w:rsid w:val="00855D12"/>
    <w:rsid w:val="00856129"/>
    <w:rsid w:val="00856895"/>
    <w:rsid w:val="00861727"/>
    <w:rsid w:val="00861EC0"/>
    <w:rsid w:val="00862229"/>
    <w:rsid w:val="00862B5B"/>
    <w:rsid w:val="00863268"/>
    <w:rsid w:val="00863C48"/>
    <w:rsid w:val="00864B4F"/>
    <w:rsid w:val="0086514C"/>
    <w:rsid w:val="00865481"/>
    <w:rsid w:val="008666A5"/>
    <w:rsid w:val="00867882"/>
    <w:rsid w:val="008704FA"/>
    <w:rsid w:val="008709B7"/>
    <w:rsid w:val="00870DCE"/>
    <w:rsid w:val="00871AC5"/>
    <w:rsid w:val="008722B1"/>
    <w:rsid w:val="008722E2"/>
    <w:rsid w:val="00872A04"/>
    <w:rsid w:val="00873218"/>
    <w:rsid w:val="008737BC"/>
    <w:rsid w:val="00874824"/>
    <w:rsid w:val="00874949"/>
    <w:rsid w:val="00875066"/>
    <w:rsid w:val="008751A3"/>
    <w:rsid w:val="008800D8"/>
    <w:rsid w:val="00880B96"/>
    <w:rsid w:val="0088118E"/>
    <w:rsid w:val="0088237E"/>
    <w:rsid w:val="00882CE0"/>
    <w:rsid w:val="008839A4"/>
    <w:rsid w:val="00884458"/>
    <w:rsid w:val="00884923"/>
    <w:rsid w:val="00885BA9"/>
    <w:rsid w:val="00886876"/>
    <w:rsid w:val="00886E68"/>
    <w:rsid w:val="00887FC3"/>
    <w:rsid w:val="00893EDE"/>
    <w:rsid w:val="00894390"/>
    <w:rsid w:val="00895ABA"/>
    <w:rsid w:val="00896710"/>
    <w:rsid w:val="00897739"/>
    <w:rsid w:val="0089783F"/>
    <w:rsid w:val="008A0F53"/>
    <w:rsid w:val="008A33D1"/>
    <w:rsid w:val="008A395D"/>
    <w:rsid w:val="008A5909"/>
    <w:rsid w:val="008A59F4"/>
    <w:rsid w:val="008A5F04"/>
    <w:rsid w:val="008A6D1A"/>
    <w:rsid w:val="008A7894"/>
    <w:rsid w:val="008A7D29"/>
    <w:rsid w:val="008B094D"/>
    <w:rsid w:val="008B266E"/>
    <w:rsid w:val="008B30D0"/>
    <w:rsid w:val="008B4D56"/>
    <w:rsid w:val="008B5136"/>
    <w:rsid w:val="008B52F5"/>
    <w:rsid w:val="008C0513"/>
    <w:rsid w:val="008C061E"/>
    <w:rsid w:val="008C17A9"/>
    <w:rsid w:val="008C1B11"/>
    <w:rsid w:val="008C234C"/>
    <w:rsid w:val="008C2D49"/>
    <w:rsid w:val="008C453C"/>
    <w:rsid w:val="008C4FCC"/>
    <w:rsid w:val="008C539E"/>
    <w:rsid w:val="008C5A95"/>
    <w:rsid w:val="008C63B6"/>
    <w:rsid w:val="008D0B60"/>
    <w:rsid w:val="008D0C4A"/>
    <w:rsid w:val="008D1831"/>
    <w:rsid w:val="008D2217"/>
    <w:rsid w:val="008D349E"/>
    <w:rsid w:val="008D4062"/>
    <w:rsid w:val="008D4130"/>
    <w:rsid w:val="008D4569"/>
    <w:rsid w:val="008D473B"/>
    <w:rsid w:val="008D4C9E"/>
    <w:rsid w:val="008D567E"/>
    <w:rsid w:val="008D69A0"/>
    <w:rsid w:val="008D6D8E"/>
    <w:rsid w:val="008E016B"/>
    <w:rsid w:val="008E06F8"/>
    <w:rsid w:val="008E0ED8"/>
    <w:rsid w:val="008E2EB0"/>
    <w:rsid w:val="008E323A"/>
    <w:rsid w:val="008E3603"/>
    <w:rsid w:val="008E3FED"/>
    <w:rsid w:val="008E446D"/>
    <w:rsid w:val="008E4724"/>
    <w:rsid w:val="008E55D5"/>
    <w:rsid w:val="008E5BFA"/>
    <w:rsid w:val="008E5CC3"/>
    <w:rsid w:val="008E5EE2"/>
    <w:rsid w:val="008E6A41"/>
    <w:rsid w:val="008E6B9A"/>
    <w:rsid w:val="008E71C0"/>
    <w:rsid w:val="008F0508"/>
    <w:rsid w:val="008F095B"/>
    <w:rsid w:val="008F0A09"/>
    <w:rsid w:val="008F0CD5"/>
    <w:rsid w:val="008F1520"/>
    <w:rsid w:val="008F1D5B"/>
    <w:rsid w:val="008F1E1B"/>
    <w:rsid w:val="008F29D7"/>
    <w:rsid w:val="008F2A62"/>
    <w:rsid w:val="008F53C7"/>
    <w:rsid w:val="008F7117"/>
    <w:rsid w:val="008F7303"/>
    <w:rsid w:val="009010BC"/>
    <w:rsid w:val="00901D19"/>
    <w:rsid w:val="00903251"/>
    <w:rsid w:val="0090341C"/>
    <w:rsid w:val="009042DB"/>
    <w:rsid w:val="00904A03"/>
    <w:rsid w:val="00904E07"/>
    <w:rsid w:val="00907369"/>
    <w:rsid w:val="0090776A"/>
    <w:rsid w:val="009101D3"/>
    <w:rsid w:val="00910257"/>
    <w:rsid w:val="009106FC"/>
    <w:rsid w:val="00910C1F"/>
    <w:rsid w:val="00910F9E"/>
    <w:rsid w:val="00911123"/>
    <w:rsid w:val="00911B85"/>
    <w:rsid w:val="00911FB8"/>
    <w:rsid w:val="0091211E"/>
    <w:rsid w:val="00912B64"/>
    <w:rsid w:val="00914566"/>
    <w:rsid w:val="00915433"/>
    <w:rsid w:val="009159C7"/>
    <w:rsid w:val="00916FAC"/>
    <w:rsid w:val="0092079B"/>
    <w:rsid w:val="009210E9"/>
    <w:rsid w:val="00921D28"/>
    <w:rsid w:val="009229E1"/>
    <w:rsid w:val="00922F53"/>
    <w:rsid w:val="00922FED"/>
    <w:rsid w:val="00923B57"/>
    <w:rsid w:val="009242DC"/>
    <w:rsid w:val="00924829"/>
    <w:rsid w:val="00924D0C"/>
    <w:rsid w:val="00924D57"/>
    <w:rsid w:val="00924E2C"/>
    <w:rsid w:val="0092539E"/>
    <w:rsid w:val="00925E95"/>
    <w:rsid w:val="009272BA"/>
    <w:rsid w:val="00927824"/>
    <w:rsid w:val="009279B2"/>
    <w:rsid w:val="0093064C"/>
    <w:rsid w:val="00931DFB"/>
    <w:rsid w:val="00933658"/>
    <w:rsid w:val="00934B2B"/>
    <w:rsid w:val="009411A1"/>
    <w:rsid w:val="00941610"/>
    <w:rsid w:val="009426FE"/>
    <w:rsid w:val="009431F0"/>
    <w:rsid w:val="0094374D"/>
    <w:rsid w:val="00943A02"/>
    <w:rsid w:val="0094648A"/>
    <w:rsid w:val="009465CC"/>
    <w:rsid w:val="00946C7C"/>
    <w:rsid w:val="00950284"/>
    <w:rsid w:val="00951B85"/>
    <w:rsid w:val="00952988"/>
    <w:rsid w:val="00952F77"/>
    <w:rsid w:val="00953860"/>
    <w:rsid w:val="009542A0"/>
    <w:rsid w:val="00954882"/>
    <w:rsid w:val="00956604"/>
    <w:rsid w:val="00956738"/>
    <w:rsid w:val="00956A92"/>
    <w:rsid w:val="00962184"/>
    <w:rsid w:val="00962F83"/>
    <w:rsid w:val="00962FDD"/>
    <w:rsid w:val="00963153"/>
    <w:rsid w:val="0096317F"/>
    <w:rsid w:val="00963C69"/>
    <w:rsid w:val="00964103"/>
    <w:rsid w:val="00964332"/>
    <w:rsid w:val="00964FD5"/>
    <w:rsid w:val="009653F7"/>
    <w:rsid w:val="00966309"/>
    <w:rsid w:val="00966CBF"/>
    <w:rsid w:val="00966F19"/>
    <w:rsid w:val="00966F85"/>
    <w:rsid w:val="00966FD4"/>
    <w:rsid w:val="0096751D"/>
    <w:rsid w:val="00970A2E"/>
    <w:rsid w:val="0097120B"/>
    <w:rsid w:val="00971839"/>
    <w:rsid w:val="00972340"/>
    <w:rsid w:val="0097526B"/>
    <w:rsid w:val="00975AB5"/>
    <w:rsid w:val="00977078"/>
    <w:rsid w:val="00977C5B"/>
    <w:rsid w:val="009819EA"/>
    <w:rsid w:val="00981E85"/>
    <w:rsid w:val="009822AF"/>
    <w:rsid w:val="009828CF"/>
    <w:rsid w:val="00982CE5"/>
    <w:rsid w:val="00984813"/>
    <w:rsid w:val="009903DD"/>
    <w:rsid w:val="0099069B"/>
    <w:rsid w:val="00990AD4"/>
    <w:rsid w:val="00990B80"/>
    <w:rsid w:val="0099102B"/>
    <w:rsid w:val="00991053"/>
    <w:rsid w:val="009912CD"/>
    <w:rsid w:val="00991E4B"/>
    <w:rsid w:val="009927B0"/>
    <w:rsid w:val="009933E5"/>
    <w:rsid w:val="009936DF"/>
    <w:rsid w:val="00993DF4"/>
    <w:rsid w:val="00995A7B"/>
    <w:rsid w:val="0099617E"/>
    <w:rsid w:val="00996EB4"/>
    <w:rsid w:val="00997FCA"/>
    <w:rsid w:val="009A024D"/>
    <w:rsid w:val="009A1949"/>
    <w:rsid w:val="009A1C81"/>
    <w:rsid w:val="009A32A0"/>
    <w:rsid w:val="009A3A4F"/>
    <w:rsid w:val="009A43E1"/>
    <w:rsid w:val="009A46C1"/>
    <w:rsid w:val="009A53E6"/>
    <w:rsid w:val="009A54B3"/>
    <w:rsid w:val="009A5ACB"/>
    <w:rsid w:val="009A60C0"/>
    <w:rsid w:val="009A75AD"/>
    <w:rsid w:val="009A7612"/>
    <w:rsid w:val="009A7762"/>
    <w:rsid w:val="009B3926"/>
    <w:rsid w:val="009B3ECB"/>
    <w:rsid w:val="009B447A"/>
    <w:rsid w:val="009B4C4A"/>
    <w:rsid w:val="009B5DB5"/>
    <w:rsid w:val="009B5FC7"/>
    <w:rsid w:val="009B68EE"/>
    <w:rsid w:val="009B7584"/>
    <w:rsid w:val="009B7AD5"/>
    <w:rsid w:val="009B7DF6"/>
    <w:rsid w:val="009C20B5"/>
    <w:rsid w:val="009C377D"/>
    <w:rsid w:val="009C4001"/>
    <w:rsid w:val="009C429B"/>
    <w:rsid w:val="009C5479"/>
    <w:rsid w:val="009C70B3"/>
    <w:rsid w:val="009D058F"/>
    <w:rsid w:val="009D1D26"/>
    <w:rsid w:val="009D284F"/>
    <w:rsid w:val="009D2CAF"/>
    <w:rsid w:val="009D4683"/>
    <w:rsid w:val="009D4AEC"/>
    <w:rsid w:val="009D6CFD"/>
    <w:rsid w:val="009D6D80"/>
    <w:rsid w:val="009D6EBA"/>
    <w:rsid w:val="009E0B88"/>
    <w:rsid w:val="009E0E5D"/>
    <w:rsid w:val="009E1316"/>
    <w:rsid w:val="009E174D"/>
    <w:rsid w:val="009E22BC"/>
    <w:rsid w:val="009E324E"/>
    <w:rsid w:val="009E3832"/>
    <w:rsid w:val="009E3E7E"/>
    <w:rsid w:val="009E42E3"/>
    <w:rsid w:val="009E4CB2"/>
    <w:rsid w:val="009E5140"/>
    <w:rsid w:val="009E55B6"/>
    <w:rsid w:val="009E7B54"/>
    <w:rsid w:val="009E7EED"/>
    <w:rsid w:val="009E7F19"/>
    <w:rsid w:val="009E7FD8"/>
    <w:rsid w:val="009F0304"/>
    <w:rsid w:val="009F0B68"/>
    <w:rsid w:val="009F1AC7"/>
    <w:rsid w:val="009F402B"/>
    <w:rsid w:val="009F44FE"/>
    <w:rsid w:val="009F4843"/>
    <w:rsid w:val="009F6289"/>
    <w:rsid w:val="009F7823"/>
    <w:rsid w:val="00A00E03"/>
    <w:rsid w:val="00A02399"/>
    <w:rsid w:val="00A02BDD"/>
    <w:rsid w:val="00A03650"/>
    <w:rsid w:val="00A04216"/>
    <w:rsid w:val="00A0460F"/>
    <w:rsid w:val="00A060E4"/>
    <w:rsid w:val="00A06909"/>
    <w:rsid w:val="00A06F6F"/>
    <w:rsid w:val="00A0724D"/>
    <w:rsid w:val="00A1007F"/>
    <w:rsid w:val="00A101F5"/>
    <w:rsid w:val="00A10304"/>
    <w:rsid w:val="00A10B83"/>
    <w:rsid w:val="00A1156A"/>
    <w:rsid w:val="00A115C2"/>
    <w:rsid w:val="00A1227B"/>
    <w:rsid w:val="00A129C4"/>
    <w:rsid w:val="00A13481"/>
    <w:rsid w:val="00A148CA"/>
    <w:rsid w:val="00A15034"/>
    <w:rsid w:val="00A1634A"/>
    <w:rsid w:val="00A16570"/>
    <w:rsid w:val="00A16744"/>
    <w:rsid w:val="00A16FC6"/>
    <w:rsid w:val="00A17328"/>
    <w:rsid w:val="00A1798D"/>
    <w:rsid w:val="00A17FA3"/>
    <w:rsid w:val="00A2031C"/>
    <w:rsid w:val="00A203C0"/>
    <w:rsid w:val="00A20EA2"/>
    <w:rsid w:val="00A21106"/>
    <w:rsid w:val="00A21487"/>
    <w:rsid w:val="00A227B3"/>
    <w:rsid w:val="00A22D28"/>
    <w:rsid w:val="00A232EF"/>
    <w:rsid w:val="00A253EF"/>
    <w:rsid w:val="00A256A4"/>
    <w:rsid w:val="00A27536"/>
    <w:rsid w:val="00A27F30"/>
    <w:rsid w:val="00A305A5"/>
    <w:rsid w:val="00A30BF1"/>
    <w:rsid w:val="00A3188E"/>
    <w:rsid w:val="00A33A35"/>
    <w:rsid w:val="00A34518"/>
    <w:rsid w:val="00A34C33"/>
    <w:rsid w:val="00A37857"/>
    <w:rsid w:val="00A40AC2"/>
    <w:rsid w:val="00A4153D"/>
    <w:rsid w:val="00A41869"/>
    <w:rsid w:val="00A4224B"/>
    <w:rsid w:val="00A42581"/>
    <w:rsid w:val="00A42AAA"/>
    <w:rsid w:val="00A4308A"/>
    <w:rsid w:val="00A4318B"/>
    <w:rsid w:val="00A43729"/>
    <w:rsid w:val="00A44C61"/>
    <w:rsid w:val="00A46213"/>
    <w:rsid w:val="00A463C5"/>
    <w:rsid w:val="00A469FA"/>
    <w:rsid w:val="00A46E61"/>
    <w:rsid w:val="00A4716E"/>
    <w:rsid w:val="00A47AB6"/>
    <w:rsid w:val="00A50178"/>
    <w:rsid w:val="00A50B9C"/>
    <w:rsid w:val="00A50EBD"/>
    <w:rsid w:val="00A5231C"/>
    <w:rsid w:val="00A5358E"/>
    <w:rsid w:val="00A5372F"/>
    <w:rsid w:val="00A5503B"/>
    <w:rsid w:val="00A55442"/>
    <w:rsid w:val="00A55D5D"/>
    <w:rsid w:val="00A57042"/>
    <w:rsid w:val="00A570A3"/>
    <w:rsid w:val="00A60D60"/>
    <w:rsid w:val="00A61DA2"/>
    <w:rsid w:val="00A61DC2"/>
    <w:rsid w:val="00A62C5C"/>
    <w:rsid w:val="00A648C3"/>
    <w:rsid w:val="00A6549B"/>
    <w:rsid w:val="00A65547"/>
    <w:rsid w:val="00A65F4F"/>
    <w:rsid w:val="00A660E8"/>
    <w:rsid w:val="00A66111"/>
    <w:rsid w:val="00A7216D"/>
    <w:rsid w:val="00A72926"/>
    <w:rsid w:val="00A73085"/>
    <w:rsid w:val="00A73D05"/>
    <w:rsid w:val="00A73D16"/>
    <w:rsid w:val="00A74ADB"/>
    <w:rsid w:val="00A75625"/>
    <w:rsid w:val="00A75B58"/>
    <w:rsid w:val="00A76649"/>
    <w:rsid w:val="00A76DBB"/>
    <w:rsid w:val="00A77307"/>
    <w:rsid w:val="00A77F21"/>
    <w:rsid w:val="00A8077C"/>
    <w:rsid w:val="00A81428"/>
    <w:rsid w:val="00A81980"/>
    <w:rsid w:val="00A82CAE"/>
    <w:rsid w:val="00A834AE"/>
    <w:rsid w:val="00A84738"/>
    <w:rsid w:val="00A851B8"/>
    <w:rsid w:val="00A85411"/>
    <w:rsid w:val="00A8578E"/>
    <w:rsid w:val="00A85BEB"/>
    <w:rsid w:val="00A861BC"/>
    <w:rsid w:val="00A90166"/>
    <w:rsid w:val="00A90564"/>
    <w:rsid w:val="00A90C71"/>
    <w:rsid w:val="00A91AB1"/>
    <w:rsid w:val="00A9230F"/>
    <w:rsid w:val="00A933FD"/>
    <w:rsid w:val="00A93DAA"/>
    <w:rsid w:val="00A94500"/>
    <w:rsid w:val="00A9474B"/>
    <w:rsid w:val="00A96761"/>
    <w:rsid w:val="00A972B4"/>
    <w:rsid w:val="00A979B8"/>
    <w:rsid w:val="00A97B76"/>
    <w:rsid w:val="00AA0841"/>
    <w:rsid w:val="00AA18D5"/>
    <w:rsid w:val="00AA24BF"/>
    <w:rsid w:val="00AA33DF"/>
    <w:rsid w:val="00AA3940"/>
    <w:rsid w:val="00AA4525"/>
    <w:rsid w:val="00AA4AAB"/>
    <w:rsid w:val="00AA7251"/>
    <w:rsid w:val="00AA7637"/>
    <w:rsid w:val="00AB02EF"/>
    <w:rsid w:val="00AB0E0C"/>
    <w:rsid w:val="00AB1E78"/>
    <w:rsid w:val="00AB2333"/>
    <w:rsid w:val="00AB33B1"/>
    <w:rsid w:val="00AB34CA"/>
    <w:rsid w:val="00AB3DC7"/>
    <w:rsid w:val="00AB3F3F"/>
    <w:rsid w:val="00AB3F89"/>
    <w:rsid w:val="00AB59CB"/>
    <w:rsid w:val="00AB59FE"/>
    <w:rsid w:val="00AB6382"/>
    <w:rsid w:val="00AC0BF9"/>
    <w:rsid w:val="00AC2973"/>
    <w:rsid w:val="00AC2CBF"/>
    <w:rsid w:val="00AC2D39"/>
    <w:rsid w:val="00AC31DF"/>
    <w:rsid w:val="00AC38B8"/>
    <w:rsid w:val="00AC445A"/>
    <w:rsid w:val="00AC513F"/>
    <w:rsid w:val="00AC5CFB"/>
    <w:rsid w:val="00AC6115"/>
    <w:rsid w:val="00AC7C72"/>
    <w:rsid w:val="00AD0EBB"/>
    <w:rsid w:val="00AD16B3"/>
    <w:rsid w:val="00AD1A81"/>
    <w:rsid w:val="00AD226F"/>
    <w:rsid w:val="00AD2A60"/>
    <w:rsid w:val="00AD2E37"/>
    <w:rsid w:val="00AD330F"/>
    <w:rsid w:val="00AD41D6"/>
    <w:rsid w:val="00AD4ECA"/>
    <w:rsid w:val="00AD6ABA"/>
    <w:rsid w:val="00AD7696"/>
    <w:rsid w:val="00AE04CB"/>
    <w:rsid w:val="00AE0E5A"/>
    <w:rsid w:val="00AE1107"/>
    <w:rsid w:val="00AE16A2"/>
    <w:rsid w:val="00AE2184"/>
    <w:rsid w:val="00AE23BE"/>
    <w:rsid w:val="00AE2435"/>
    <w:rsid w:val="00AE2C95"/>
    <w:rsid w:val="00AE336E"/>
    <w:rsid w:val="00AE46EC"/>
    <w:rsid w:val="00AE4CB6"/>
    <w:rsid w:val="00AE5255"/>
    <w:rsid w:val="00AE5843"/>
    <w:rsid w:val="00AE6496"/>
    <w:rsid w:val="00AE667E"/>
    <w:rsid w:val="00AE68B1"/>
    <w:rsid w:val="00AE79B8"/>
    <w:rsid w:val="00AF01A5"/>
    <w:rsid w:val="00AF26FC"/>
    <w:rsid w:val="00AF2BCE"/>
    <w:rsid w:val="00AF2DDE"/>
    <w:rsid w:val="00AF589B"/>
    <w:rsid w:val="00AF674F"/>
    <w:rsid w:val="00AF736C"/>
    <w:rsid w:val="00AF74B7"/>
    <w:rsid w:val="00AF78F8"/>
    <w:rsid w:val="00AF7F80"/>
    <w:rsid w:val="00B0082E"/>
    <w:rsid w:val="00B00F12"/>
    <w:rsid w:val="00B0179F"/>
    <w:rsid w:val="00B01F16"/>
    <w:rsid w:val="00B02B82"/>
    <w:rsid w:val="00B04307"/>
    <w:rsid w:val="00B04BEB"/>
    <w:rsid w:val="00B0515B"/>
    <w:rsid w:val="00B066F3"/>
    <w:rsid w:val="00B11B3F"/>
    <w:rsid w:val="00B12053"/>
    <w:rsid w:val="00B124FB"/>
    <w:rsid w:val="00B12D61"/>
    <w:rsid w:val="00B12EE0"/>
    <w:rsid w:val="00B135F2"/>
    <w:rsid w:val="00B14312"/>
    <w:rsid w:val="00B15D1E"/>
    <w:rsid w:val="00B169F0"/>
    <w:rsid w:val="00B17413"/>
    <w:rsid w:val="00B17D67"/>
    <w:rsid w:val="00B205C1"/>
    <w:rsid w:val="00B209ED"/>
    <w:rsid w:val="00B20EAC"/>
    <w:rsid w:val="00B221E0"/>
    <w:rsid w:val="00B22C98"/>
    <w:rsid w:val="00B22CC9"/>
    <w:rsid w:val="00B233B8"/>
    <w:rsid w:val="00B24FBD"/>
    <w:rsid w:val="00B25B57"/>
    <w:rsid w:val="00B335E4"/>
    <w:rsid w:val="00B33B1D"/>
    <w:rsid w:val="00B34FCF"/>
    <w:rsid w:val="00B35024"/>
    <w:rsid w:val="00B35576"/>
    <w:rsid w:val="00B36A78"/>
    <w:rsid w:val="00B374E8"/>
    <w:rsid w:val="00B40241"/>
    <w:rsid w:val="00B4110C"/>
    <w:rsid w:val="00B42007"/>
    <w:rsid w:val="00B43300"/>
    <w:rsid w:val="00B44869"/>
    <w:rsid w:val="00B465B9"/>
    <w:rsid w:val="00B46739"/>
    <w:rsid w:val="00B50B9B"/>
    <w:rsid w:val="00B50D2F"/>
    <w:rsid w:val="00B519EF"/>
    <w:rsid w:val="00B51D50"/>
    <w:rsid w:val="00B52817"/>
    <w:rsid w:val="00B54AC7"/>
    <w:rsid w:val="00B5540D"/>
    <w:rsid w:val="00B5556C"/>
    <w:rsid w:val="00B56550"/>
    <w:rsid w:val="00B5665F"/>
    <w:rsid w:val="00B56FA3"/>
    <w:rsid w:val="00B57464"/>
    <w:rsid w:val="00B57701"/>
    <w:rsid w:val="00B578C4"/>
    <w:rsid w:val="00B60A78"/>
    <w:rsid w:val="00B60E52"/>
    <w:rsid w:val="00B61EE9"/>
    <w:rsid w:val="00B62084"/>
    <w:rsid w:val="00B62117"/>
    <w:rsid w:val="00B626FB"/>
    <w:rsid w:val="00B630D4"/>
    <w:rsid w:val="00B63A52"/>
    <w:rsid w:val="00B64049"/>
    <w:rsid w:val="00B643ED"/>
    <w:rsid w:val="00B657A1"/>
    <w:rsid w:val="00B6589C"/>
    <w:rsid w:val="00B6706E"/>
    <w:rsid w:val="00B67D6D"/>
    <w:rsid w:val="00B67DED"/>
    <w:rsid w:val="00B7176D"/>
    <w:rsid w:val="00B717E5"/>
    <w:rsid w:val="00B717EC"/>
    <w:rsid w:val="00B7275A"/>
    <w:rsid w:val="00B744C2"/>
    <w:rsid w:val="00B74DC7"/>
    <w:rsid w:val="00B752F8"/>
    <w:rsid w:val="00B75C3B"/>
    <w:rsid w:val="00B76CCA"/>
    <w:rsid w:val="00B80BA9"/>
    <w:rsid w:val="00B814CB"/>
    <w:rsid w:val="00B82596"/>
    <w:rsid w:val="00B827F1"/>
    <w:rsid w:val="00B82891"/>
    <w:rsid w:val="00B859D2"/>
    <w:rsid w:val="00B85C95"/>
    <w:rsid w:val="00B85F3C"/>
    <w:rsid w:val="00B85F3D"/>
    <w:rsid w:val="00B861C7"/>
    <w:rsid w:val="00B861EE"/>
    <w:rsid w:val="00B86B3F"/>
    <w:rsid w:val="00B87457"/>
    <w:rsid w:val="00B9038E"/>
    <w:rsid w:val="00B9090C"/>
    <w:rsid w:val="00B90C81"/>
    <w:rsid w:val="00B921C8"/>
    <w:rsid w:val="00B93042"/>
    <w:rsid w:val="00B93E66"/>
    <w:rsid w:val="00B94178"/>
    <w:rsid w:val="00B94300"/>
    <w:rsid w:val="00B950B5"/>
    <w:rsid w:val="00B957FB"/>
    <w:rsid w:val="00B95A3A"/>
    <w:rsid w:val="00B9681A"/>
    <w:rsid w:val="00B969D5"/>
    <w:rsid w:val="00B9724D"/>
    <w:rsid w:val="00BA14C5"/>
    <w:rsid w:val="00BA1C5E"/>
    <w:rsid w:val="00BA233A"/>
    <w:rsid w:val="00BA23DD"/>
    <w:rsid w:val="00BA2B1F"/>
    <w:rsid w:val="00BA349D"/>
    <w:rsid w:val="00BA3798"/>
    <w:rsid w:val="00BA3F64"/>
    <w:rsid w:val="00BA52E8"/>
    <w:rsid w:val="00BA5337"/>
    <w:rsid w:val="00BA571A"/>
    <w:rsid w:val="00BA61D6"/>
    <w:rsid w:val="00BA6206"/>
    <w:rsid w:val="00BA66D0"/>
    <w:rsid w:val="00BB021D"/>
    <w:rsid w:val="00BB0D8B"/>
    <w:rsid w:val="00BB57FF"/>
    <w:rsid w:val="00BB5FAE"/>
    <w:rsid w:val="00BB6360"/>
    <w:rsid w:val="00BB6759"/>
    <w:rsid w:val="00BB6A8A"/>
    <w:rsid w:val="00BB6B6F"/>
    <w:rsid w:val="00BB6E8E"/>
    <w:rsid w:val="00BB76EA"/>
    <w:rsid w:val="00BC0275"/>
    <w:rsid w:val="00BC0528"/>
    <w:rsid w:val="00BC06EB"/>
    <w:rsid w:val="00BC17BC"/>
    <w:rsid w:val="00BC1E59"/>
    <w:rsid w:val="00BC239C"/>
    <w:rsid w:val="00BC3D33"/>
    <w:rsid w:val="00BC471E"/>
    <w:rsid w:val="00BC6093"/>
    <w:rsid w:val="00BC6171"/>
    <w:rsid w:val="00BC69EF"/>
    <w:rsid w:val="00BC6BE1"/>
    <w:rsid w:val="00BC7B01"/>
    <w:rsid w:val="00BC7C58"/>
    <w:rsid w:val="00BD0A45"/>
    <w:rsid w:val="00BD0BEE"/>
    <w:rsid w:val="00BD1EF8"/>
    <w:rsid w:val="00BD3433"/>
    <w:rsid w:val="00BD4863"/>
    <w:rsid w:val="00BD4C3D"/>
    <w:rsid w:val="00BD50D8"/>
    <w:rsid w:val="00BD6F30"/>
    <w:rsid w:val="00BD700C"/>
    <w:rsid w:val="00BD7BAF"/>
    <w:rsid w:val="00BE0592"/>
    <w:rsid w:val="00BE0EC4"/>
    <w:rsid w:val="00BE17EA"/>
    <w:rsid w:val="00BE1F75"/>
    <w:rsid w:val="00BE226B"/>
    <w:rsid w:val="00BE31DE"/>
    <w:rsid w:val="00BE3889"/>
    <w:rsid w:val="00BE48CB"/>
    <w:rsid w:val="00BE5450"/>
    <w:rsid w:val="00BE5893"/>
    <w:rsid w:val="00BE7699"/>
    <w:rsid w:val="00BE7A5E"/>
    <w:rsid w:val="00BF0706"/>
    <w:rsid w:val="00BF1051"/>
    <w:rsid w:val="00BF2062"/>
    <w:rsid w:val="00BF20AF"/>
    <w:rsid w:val="00BF2EA7"/>
    <w:rsid w:val="00BF3493"/>
    <w:rsid w:val="00BF3B23"/>
    <w:rsid w:val="00BF3D97"/>
    <w:rsid w:val="00BF4CD9"/>
    <w:rsid w:val="00BF51D8"/>
    <w:rsid w:val="00BF5521"/>
    <w:rsid w:val="00BF6146"/>
    <w:rsid w:val="00BF6B63"/>
    <w:rsid w:val="00C00649"/>
    <w:rsid w:val="00C00F96"/>
    <w:rsid w:val="00C0234F"/>
    <w:rsid w:val="00C02B0F"/>
    <w:rsid w:val="00C0358F"/>
    <w:rsid w:val="00C03C8F"/>
    <w:rsid w:val="00C048A0"/>
    <w:rsid w:val="00C05017"/>
    <w:rsid w:val="00C052A4"/>
    <w:rsid w:val="00C05951"/>
    <w:rsid w:val="00C069BE"/>
    <w:rsid w:val="00C1043F"/>
    <w:rsid w:val="00C1075B"/>
    <w:rsid w:val="00C12660"/>
    <w:rsid w:val="00C13539"/>
    <w:rsid w:val="00C138F2"/>
    <w:rsid w:val="00C140B4"/>
    <w:rsid w:val="00C15003"/>
    <w:rsid w:val="00C15248"/>
    <w:rsid w:val="00C15C21"/>
    <w:rsid w:val="00C16563"/>
    <w:rsid w:val="00C16883"/>
    <w:rsid w:val="00C1740B"/>
    <w:rsid w:val="00C17776"/>
    <w:rsid w:val="00C20320"/>
    <w:rsid w:val="00C20780"/>
    <w:rsid w:val="00C20BE3"/>
    <w:rsid w:val="00C21636"/>
    <w:rsid w:val="00C21A6A"/>
    <w:rsid w:val="00C226E5"/>
    <w:rsid w:val="00C237A6"/>
    <w:rsid w:val="00C23859"/>
    <w:rsid w:val="00C238FB"/>
    <w:rsid w:val="00C23C75"/>
    <w:rsid w:val="00C23F82"/>
    <w:rsid w:val="00C25441"/>
    <w:rsid w:val="00C262DA"/>
    <w:rsid w:val="00C265D5"/>
    <w:rsid w:val="00C274AB"/>
    <w:rsid w:val="00C27DB7"/>
    <w:rsid w:val="00C27E93"/>
    <w:rsid w:val="00C30162"/>
    <w:rsid w:val="00C3023E"/>
    <w:rsid w:val="00C30333"/>
    <w:rsid w:val="00C306A3"/>
    <w:rsid w:val="00C31052"/>
    <w:rsid w:val="00C322C9"/>
    <w:rsid w:val="00C324B9"/>
    <w:rsid w:val="00C3368B"/>
    <w:rsid w:val="00C33CD8"/>
    <w:rsid w:val="00C341BC"/>
    <w:rsid w:val="00C34568"/>
    <w:rsid w:val="00C34765"/>
    <w:rsid w:val="00C35646"/>
    <w:rsid w:val="00C35674"/>
    <w:rsid w:val="00C37673"/>
    <w:rsid w:val="00C37736"/>
    <w:rsid w:val="00C37DD4"/>
    <w:rsid w:val="00C40BDA"/>
    <w:rsid w:val="00C43497"/>
    <w:rsid w:val="00C43AB4"/>
    <w:rsid w:val="00C43C98"/>
    <w:rsid w:val="00C44DAD"/>
    <w:rsid w:val="00C455A4"/>
    <w:rsid w:val="00C45B4E"/>
    <w:rsid w:val="00C46005"/>
    <w:rsid w:val="00C463EE"/>
    <w:rsid w:val="00C46B41"/>
    <w:rsid w:val="00C47030"/>
    <w:rsid w:val="00C47438"/>
    <w:rsid w:val="00C47879"/>
    <w:rsid w:val="00C47CBB"/>
    <w:rsid w:val="00C50638"/>
    <w:rsid w:val="00C508B8"/>
    <w:rsid w:val="00C50B0D"/>
    <w:rsid w:val="00C510D7"/>
    <w:rsid w:val="00C52B94"/>
    <w:rsid w:val="00C53E30"/>
    <w:rsid w:val="00C546F0"/>
    <w:rsid w:val="00C54BD1"/>
    <w:rsid w:val="00C5573C"/>
    <w:rsid w:val="00C557CA"/>
    <w:rsid w:val="00C558E1"/>
    <w:rsid w:val="00C55E7F"/>
    <w:rsid w:val="00C56608"/>
    <w:rsid w:val="00C57CBF"/>
    <w:rsid w:val="00C57D91"/>
    <w:rsid w:val="00C603BB"/>
    <w:rsid w:val="00C60945"/>
    <w:rsid w:val="00C60987"/>
    <w:rsid w:val="00C615D0"/>
    <w:rsid w:val="00C62073"/>
    <w:rsid w:val="00C6280A"/>
    <w:rsid w:val="00C62E72"/>
    <w:rsid w:val="00C63785"/>
    <w:rsid w:val="00C63936"/>
    <w:rsid w:val="00C64162"/>
    <w:rsid w:val="00C643C7"/>
    <w:rsid w:val="00C65038"/>
    <w:rsid w:val="00C65C21"/>
    <w:rsid w:val="00C66EF1"/>
    <w:rsid w:val="00C67E22"/>
    <w:rsid w:val="00C70089"/>
    <w:rsid w:val="00C700DE"/>
    <w:rsid w:val="00C7242A"/>
    <w:rsid w:val="00C7262D"/>
    <w:rsid w:val="00C72E7D"/>
    <w:rsid w:val="00C72F4C"/>
    <w:rsid w:val="00C73525"/>
    <w:rsid w:val="00C73E45"/>
    <w:rsid w:val="00C74233"/>
    <w:rsid w:val="00C74467"/>
    <w:rsid w:val="00C74E0A"/>
    <w:rsid w:val="00C75F1B"/>
    <w:rsid w:val="00C75F30"/>
    <w:rsid w:val="00C765EF"/>
    <w:rsid w:val="00C76F3A"/>
    <w:rsid w:val="00C7713E"/>
    <w:rsid w:val="00C77270"/>
    <w:rsid w:val="00C772D6"/>
    <w:rsid w:val="00C77465"/>
    <w:rsid w:val="00C77CB8"/>
    <w:rsid w:val="00C8086D"/>
    <w:rsid w:val="00C80AD2"/>
    <w:rsid w:val="00C81220"/>
    <w:rsid w:val="00C81F71"/>
    <w:rsid w:val="00C84CE2"/>
    <w:rsid w:val="00C857E4"/>
    <w:rsid w:val="00C90F93"/>
    <w:rsid w:val="00C9104F"/>
    <w:rsid w:val="00C917A4"/>
    <w:rsid w:val="00C93A5A"/>
    <w:rsid w:val="00C94288"/>
    <w:rsid w:val="00C9541C"/>
    <w:rsid w:val="00C955DB"/>
    <w:rsid w:val="00C9743B"/>
    <w:rsid w:val="00C97B0B"/>
    <w:rsid w:val="00CA0823"/>
    <w:rsid w:val="00CA2005"/>
    <w:rsid w:val="00CA32AD"/>
    <w:rsid w:val="00CA331C"/>
    <w:rsid w:val="00CA3E26"/>
    <w:rsid w:val="00CA4D58"/>
    <w:rsid w:val="00CA6E57"/>
    <w:rsid w:val="00CA70EF"/>
    <w:rsid w:val="00CA7923"/>
    <w:rsid w:val="00CA7ECE"/>
    <w:rsid w:val="00CB25DE"/>
    <w:rsid w:val="00CB2882"/>
    <w:rsid w:val="00CB30C6"/>
    <w:rsid w:val="00CB3359"/>
    <w:rsid w:val="00CB3367"/>
    <w:rsid w:val="00CB39D8"/>
    <w:rsid w:val="00CB3BD8"/>
    <w:rsid w:val="00CB3DB6"/>
    <w:rsid w:val="00CB5101"/>
    <w:rsid w:val="00CB5F9A"/>
    <w:rsid w:val="00CB7F1E"/>
    <w:rsid w:val="00CC0076"/>
    <w:rsid w:val="00CC0CA6"/>
    <w:rsid w:val="00CC1449"/>
    <w:rsid w:val="00CC16C2"/>
    <w:rsid w:val="00CC19C2"/>
    <w:rsid w:val="00CC1CA9"/>
    <w:rsid w:val="00CC26E0"/>
    <w:rsid w:val="00CC2A06"/>
    <w:rsid w:val="00CC2F85"/>
    <w:rsid w:val="00CC4427"/>
    <w:rsid w:val="00CC601A"/>
    <w:rsid w:val="00CC7B33"/>
    <w:rsid w:val="00CD0AE4"/>
    <w:rsid w:val="00CD1081"/>
    <w:rsid w:val="00CD1D14"/>
    <w:rsid w:val="00CD23FD"/>
    <w:rsid w:val="00CD3A06"/>
    <w:rsid w:val="00CD3A4C"/>
    <w:rsid w:val="00CD3A8D"/>
    <w:rsid w:val="00CD3CA9"/>
    <w:rsid w:val="00CD5508"/>
    <w:rsid w:val="00CD7DDA"/>
    <w:rsid w:val="00CE0BF8"/>
    <w:rsid w:val="00CE1CF0"/>
    <w:rsid w:val="00CE3023"/>
    <w:rsid w:val="00CE3CBF"/>
    <w:rsid w:val="00CE3FC0"/>
    <w:rsid w:val="00CE4F32"/>
    <w:rsid w:val="00CE5059"/>
    <w:rsid w:val="00CE5DFF"/>
    <w:rsid w:val="00CE7A76"/>
    <w:rsid w:val="00CE7AAA"/>
    <w:rsid w:val="00CF0034"/>
    <w:rsid w:val="00CF0AF4"/>
    <w:rsid w:val="00CF0CB0"/>
    <w:rsid w:val="00CF211C"/>
    <w:rsid w:val="00CF3504"/>
    <w:rsid w:val="00CF53BE"/>
    <w:rsid w:val="00CF54EB"/>
    <w:rsid w:val="00CF57E8"/>
    <w:rsid w:val="00CF5A2F"/>
    <w:rsid w:val="00CF5C59"/>
    <w:rsid w:val="00CF5C8B"/>
    <w:rsid w:val="00D00856"/>
    <w:rsid w:val="00D00AC1"/>
    <w:rsid w:val="00D02826"/>
    <w:rsid w:val="00D02FC1"/>
    <w:rsid w:val="00D02FEE"/>
    <w:rsid w:val="00D03370"/>
    <w:rsid w:val="00D03DE5"/>
    <w:rsid w:val="00D0466D"/>
    <w:rsid w:val="00D04C8E"/>
    <w:rsid w:val="00D04CCC"/>
    <w:rsid w:val="00D05F1B"/>
    <w:rsid w:val="00D066C2"/>
    <w:rsid w:val="00D06840"/>
    <w:rsid w:val="00D06948"/>
    <w:rsid w:val="00D06C64"/>
    <w:rsid w:val="00D106C4"/>
    <w:rsid w:val="00D106FF"/>
    <w:rsid w:val="00D10B78"/>
    <w:rsid w:val="00D1151C"/>
    <w:rsid w:val="00D1219F"/>
    <w:rsid w:val="00D13225"/>
    <w:rsid w:val="00D13CA9"/>
    <w:rsid w:val="00D1423A"/>
    <w:rsid w:val="00D149AC"/>
    <w:rsid w:val="00D14C4A"/>
    <w:rsid w:val="00D14C8E"/>
    <w:rsid w:val="00D15508"/>
    <w:rsid w:val="00D15748"/>
    <w:rsid w:val="00D2073B"/>
    <w:rsid w:val="00D216AF"/>
    <w:rsid w:val="00D2213D"/>
    <w:rsid w:val="00D22DA3"/>
    <w:rsid w:val="00D23D6E"/>
    <w:rsid w:val="00D240F0"/>
    <w:rsid w:val="00D24105"/>
    <w:rsid w:val="00D2431C"/>
    <w:rsid w:val="00D2578D"/>
    <w:rsid w:val="00D2658C"/>
    <w:rsid w:val="00D27421"/>
    <w:rsid w:val="00D27E62"/>
    <w:rsid w:val="00D3282A"/>
    <w:rsid w:val="00D3465A"/>
    <w:rsid w:val="00D35737"/>
    <w:rsid w:val="00D3694C"/>
    <w:rsid w:val="00D36C48"/>
    <w:rsid w:val="00D37C3B"/>
    <w:rsid w:val="00D37E75"/>
    <w:rsid w:val="00D40C37"/>
    <w:rsid w:val="00D4284C"/>
    <w:rsid w:val="00D46A08"/>
    <w:rsid w:val="00D46A94"/>
    <w:rsid w:val="00D4737F"/>
    <w:rsid w:val="00D47CC3"/>
    <w:rsid w:val="00D47FB6"/>
    <w:rsid w:val="00D5085C"/>
    <w:rsid w:val="00D51297"/>
    <w:rsid w:val="00D51F09"/>
    <w:rsid w:val="00D53A07"/>
    <w:rsid w:val="00D53C2B"/>
    <w:rsid w:val="00D56884"/>
    <w:rsid w:val="00D57002"/>
    <w:rsid w:val="00D57085"/>
    <w:rsid w:val="00D574E2"/>
    <w:rsid w:val="00D6194A"/>
    <w:rsid w:val="00D625FF"/>
    <w:rsid w:val="00D62972"/>
    <w:rsid w:val="00D62D2A"/>
    <w:rsid w:val="00D62EBA"/>
    <w:rsid w:val="00D64146"/>
    <w:rsid w:val="00D653CC"/>
    <w:rsid w:val="00D658F1"/>
    <w:rsid w:val="00D65CEF"/>
    <w:rsid w:val="00D669DB"/>
    <w:rsid w:val="00D6710F"/>
    <w:rsid w:val="00D678FF"/>
    <w:rsid w:val="00D714A8"/>
    <w:rsid w:val="00D72886"/>
    <w:rsid w:val="00D72D81"/>
    <w:rsid w:val="00D73FF8"/>
    <w:rsid w:val="00D74194"/>
    <w:rsid w:val="00D759AF"/>
    <w:rsid w:val="00D75CF5"/>
    <w:rsid w:val="00D76518"/>
    <w:rsid w:val="00D77577"/>
    <w:rsid w:val="00D817BB"/>
    <w:rsid w:val="00D8282C"/>
    <w:rsid w:val="00D82AB9"/>
    <w:rsid w:val="00D82B8C"/>
    <w:rsid w:val="00D82E54"/>
    <w:rsid w:val="00D8347C"/>
    <w:rsid w:val="00D836B5"/>
    <w:rsid w:val="00D84424"/>
    <w:rsid w:val="00D84DAC"/>
    <w:rsid w:val="00D872D2"/>
    <w:rsid w:val="00D90ADA"/>
    <w:rsid w:val="00D91567"/>
    <w:rsid w:val="00D91A81"/>
    <w:rsid w:val="00D9385A"/>
    <w:rsid w:val="00D94005"/>
    <w:rsid w:val="00D9476C"/>
    <w:rsid w:val="00D95558"/>
    <w:rsid w:val="00D9646A"/>
    <w:rsid w:val="00D968A4"/>
    <w:rsid w:val="00D969F4"/>
    <w:rsid w:val="00D96A51"/>
    <w:rsid w:val="00D97017"/>
    <w:rsid w:val="00D9712D"/>
    <w:rsid w:val="00D97435"/>
    <w:rsid w:val="00DA0379"/>
    <w:rsid w:val="00DA0499"/>
    <w:rsid w:val="00DA0A60"/>
    <w:rsid w:val="00DA176C"/>
    <w:rsid w:val="00DA38EE"/>
    <w:rsid w:val="00DA4085"/>
    <w:rsid w:val="00DA51C0"/>
    <w:rsid w:val="00DA6211"/>
    <w:rsid w:val="00DA6705"/>
    <w:rsid w:val="00DA68A0"/>
    <w:rsid w:val="00DB0418"/>
    <w:rsid w:val="00DB1184"/>
    <w:rsid w:val="00DB1194"/>
    <w:rsid w:val="00DB17A7"/>
    <w:rsid w:val="00DB1FD6"/>
    <w:rsid w:val="00DB233E"/>
    <w:rsid w:val="00DB2987"/>
    <w:rsid w:val="00DB2BE7"/>
    <w:rsid w:val="00DB3503"/>
    <w:rsid w:val="00DB37F4"/>
    <w:rsid w:val="00DB4343"/>
    <w:rsid w:val="00DB52AC"/>
    <w:rsid w:val="00DB52CE"/>
    <w:rsid w:val="00DB5B16"/>
    <w:rsid w:val="00DB688C"/>
    <w:rsid w:val="00DB6ECF"/>
    <w:rsid w:val="00DB7F57"/>
    <w:rsid w:val="00DC049E"/>
    <w:rsid w:val="00DC11B6"/>
    <w:rsid w:val="00DC250A"/>
    <w:rsid w:val="00DC2E49"/>
    <w:rsid w:val="00DC2EC1"/>
    <w:rsid w:val="00DC3387"/>
    <w:rsid w:val="00DC3422"/>
    <w:rsid w:val="00DC3605"/>
    <w:rsid w:val="00DC3A36"/>
    <w:rsid w:val="00DC3AA7"/>
    <w:rsid w:val="00DC4B1D"/>
    <w:rsid w:val="00DC54FD"/>
    <w:rsid w:val="00DC708E"/>
    <w:rsid w:val="00DC7E38"/>
    <w:rsid w:val="00DD0004"/>
    <w:rsid w:val="00DD053B"/>
    <w:rsid w:val="00DD0ADB"/>
    <w:rsid w:val="00DD117A"/>
    <w:rsid w:val="00DD1541"/>
    <w:rsid w:val="00DD189B"/>
    <w:rsid w:val="00DD19EE"/>
    <w:rsid w:val="00DD1CD6"/>
    <w:rsid w:val="00DD21EF"/>
    <w:rsid w:val="00DD2E63"/>
    <w:rsid w:val="00DD3635"/>
    <w:rsid w:val="00DD3C3F"/>
    <w:rsid w:val="00DD4598"/>
    <w:rsid w:val="00DD47C4"/>
    <w:rsid w:val="00DD5E2F"/>
    <w:rsid w:val="00DD6570"/>
    <w:rsid w:val="00DD6961"/>
    <w:rsid w:val="00DD6EF6"/>
    <w:rsid w:val="00DD6F1D"/>
    <w:rsid w:val="00DD7099"/>
    <w:rsid w:val="00DD734C"/>
    <w:rsid w:val="00DE1048"/>
    <w:rsid w:val="00DE212D"/>
    <w:rsid w:val="00DE40BB"/>
    <w:rsid w:val="00DE4BD9"/>
    <w:rsid w:val="00DE6261"/>
    <w:rsid w:val="00DE6547"/>
    <w:rsid w:val="00DE6556"/>
    <w:rsid w:val="00DE6FE8"/>
    <w:rsid w:val="00DF08E1"/>
    <w:rsid w:val="00DF1FBB"/>
    <w:rsid w:val="00DF2B19"/>
    <w:rsid w:val="00DF359E"/>
    <w:rsid w:val="00DF3ED7"/>
    <w:rsid w:val="00DF4419"/>
    <w:rsid w:val="00DF4D1B"/>
    <w:rsid w:val="00DF5476"/>
    <w:rsid w:val="00DF5537"/>
    <w:rsid w:val="00DF63AB"/>
    <w:rsid w:val="00DF6B43"/>
    <w:rsid w:val="00E00073"/>
    <w:rsid w:val="00E00E88"/>
    <w:rsid w:val="00E0270B"/>
    <w:rsid w:val="00E046E6"/>
    <w:rsid w:val="00E04E9C"/>
    <w:rsid w:val="00E065F3"/>
    <w:rsid w:val="00E06757"/>
    <w:rsid w:val="00E06EF4"/>
    <w:rsid w:val="00E07593"/>
    <w:rsid w:val="00E07CA2"/>
    <w:rsid w:val="00E104B4"/>
    <w:rsid w:val="00E107BD"/>
    <w:rsid w:val="00E1152B"/>
    <w:rsid w:val="00E11779"/>
    <w:rsid w:val="00E1202A"/>
    <w:rsid w:val="00E121B3"/>
    <w:rsid w:val="00E1282D"/>
    <w:rsid w:val="00E12A0E"/>
    <w:rsid w:val="00E12D42"/>
    <w:rsid w:val="00E133DC"/>
    <w:rsid w:val="00E13C28"/>
    <w:rsid w:val="00E16CFE"/>
    <w:rsid w:val="00E208EF"/>
    <w:rsid w:val="00E21152"/>
    <w:rsid w:val="00E215BB"/>
    <w:rsid w:val="00E218A0"/>
    <w:rsid w:val="00E21AA6"/>
    <w:rsid w:val="00E22216"/>
    <w:rsid w:val="00E303AD"/>
    <w:rsid w:val="00E30C6B"/>
    <w:rsid w:val="00E31280"/>
    <w:rsid w:val="00E32AC5"/>
    <w:rsid w:val="00E32FC8"/>
    <w:rsid w:val="00E33B18"/>
    <w:rsid w:val="00E33D75"/>
    <w:rsid w:val="00E3491F"/>
    <w:rsid w:val="00E34A40"/>
    <w:rsid w:val="00E363C6"/>
    <w:rsid w:val="00E36E6D"/>
    <w:rsid w:val="00E403B8"/>
    <w:rsid w:val="00E40773"/>
    <w:rsid w:val="00E41034"/>
    <w:rsid w:val="00E41471"/>
    <w:rsid w:val="00E41D06"/>
    <w:rsid w:val="00E422DE"/>
    <w:rsid w:val="00E425CA"/>
    <w:rsid w:val="00E42910"/>
    <w:rsid w:val="00E441C4"/>
    <w:rsid w:val="00E4473C"/>
    <w:rsid w:val="00E463C6"/>
    <w:rsid w:val="00E46567"/>
    <w:rsid w:val="00E46C48"/>
    <w:rsid w:val="00E46DB3"/>
    <w:rsid w:val="00E472CD"/>
    <w:rsid w:val="00E5031D"/>
    <w:rsid w:val="00E515E3"/>
    <w:rsid w:val="00E5193E"/>
    <w:rsid w:val="00E52171"/>
    <w:rsid w:val="00E52653"/>
    <w:rsid w:val="00E53687"/>
    <w:rsid w:val="00E5454A"/>
    <w:rsid w:val="00E5523D"/>
    <w:rsid w:val="00E55A94"/>
    <w:rsid w:val="00E563BD"/>
    <w:rsid w:val="00E60FA3"/>
    <w:rsid w:val="00E63541"/>
    <w:rsid w:val="00E64097"/>
    <w:rsid w:val="00E644ED"/>
    <w:rsid w:val="00E64903"/>
    <w:rsid w:val="00E6644D"/>
    <w:rsid w:val="00E668E6"/>
    <w:rsid w:val="00E66B69"/>
    <w:rsid w:val="00E67950"/>
    <w:rsid w:val="00E67FA4"/>
    <w:rsid w:val="00E710DD"/>
    <w:rsid w:val="00E71904"/>
    <w:rsid w:val="00E71B4F"/>
    <w:rsid w:val="00E729FE"/>
    <w:rsid w:val="00E72B67"/>
    <w:rsid w:val="00E73286"/>
    <w:rsid w:val="00E739F8"/>
    <w:rsid w:val="00E74AC1"/>
    <w:rsid w:val="00E74D4F"/>
    <w:rsid w:val="00E74F0B"/>
    <w:rsid w:val="00E75145"/>
    <w:rsid w:val="00E75E68"/>
    <w:rsid w:val="00E76669"/>
    <w:rsid w:val="00E804C1"/>
    <w:rsid w:val="00E80669"/>
    <w:rsid w:val="00E806A5"/>
    <w:rsid w:val="00E8183D"/>
    <w:rsid w:val="00E81FF1"/>
    <w:rsid w:val="00E822BB"/>
    <w:rsid w:val="00E82A65"/>
    <w:rsid w:val="00E82AB5"/>
    <w:rsid w:val="00E8368C"/>
    <w:rsid w:val="00E84DE8"/>
    <w:rsid w:val="00E853DB"/>
    <w:rsid w:val="00E870F6"/>
    <w:rsid w:val="00E87373"/>
    <w:rsid w:val="00E87B3C"/>
    <w:rsid w:val="00E87C1E"/>
    <w:rsid w:val="00E92A21"/>
    <w:rsid w:val="00E92A8B"/>
    <w:rsid w:val="00E93AB0"/>
    <w:rsid w:val="00E94996"/>
    <w:rsid w:val="00E9529C"/>
    <w:rsid w:val="00E953BD"/>
    <w:rsid w:val="00E954D5"/>
    <w:rsid w:val="00E968F0"/>
    <w:rsid w:val="00E96DD6"/>
    <w:rsid w:val="00E96E2D"/>
    <w:rsid w:val="00EA08ED"/>
    <w:rsid w:val="00EA0AB0"/>
    <w:rsid w:val="00EA1675"/>
    <w:rsid w:val="00EA1BE2"/>
    <w:rsid w:val="00EA21C6"/>
    <w:rsid w:val="00EA2383"/>
    <w:rsid w:val="00EA2652"/>
    <w:rsid w:val="00EA2EE7"/>
    <w:rsid w:val="00EA3E85"/>
    <w:rsid w:val="00EA441D"/>
    <w:rsid w:val="00EA501B"/>
    <w:rsid w:val="00EA505E"/>
    <w:rsid w:val="00EA50F7"/>
    <w:rsid w:val="00EA52F0"/>
    <w:rsid w:val="00EA57EE"/>
    <w:rsid w:val="00EA67B6"/>
    <w:rsid w:val="00EA685E"/>
    <w:rsid w:val="00EA7A01"/>
    <w:rsid w:val="00EB03A2"/>
    <w:rsid w:val="00EB0965"/>
    <w:rsid w:val="00EB17D9"/>
    <w:rsid w:val="00EB2445"/>
    <w:rsid w:val="00EB253F"/>
    <w:rsid w:val="00EB324B"/>
    <w:rsid w:val="00EB32DC"/>
    <w:rsid w:val="00EB4156"/>
    <w:rsid w:val="00EB44B9"/>
    <w:rsid w:val="00EB5947"/>
    <w:rsid w:val="00EB5DBC"/>
    <w:rsid w:val="00EB6354"/>
    <w:rsid w:val="00EB63E5"/>
    <w:rsid w:val="00EB654F"/>
    <w:rsid w:val="00EC0E34"/>
    <w:rsid w:val="00EC16C6"/>
    <w:rsid w:val="00EC1DCE"/>
    <w:rsid w:val="00EC2E98"/>
    <w:rsid w:val="00EC38D2"/>
    <w:rsid w:val="00EC4DB6"/>
    <w:rsid w:val="00EC4FE5"/>
    <w:rsid w:val="00EC5811"/>
    <w:rsid w:val="00ED27CD"/>
    <w:rsid w:val="00ED28D9"/>
    <w:rsid w:val="00ED29C8"/>
    <w:rsid w:val="00ED2B38"/>
    <w:rsid w:val="00ED2DDB"/>
    <w:rsid w:val="00ED3844"/>
    <w:rsid w:val="00ED3E07"/>
    <w:rsid w:val="00ED3F64"/>
    <w:rsid w:val="00ED418C"/>
    <w:rsid w:val="00ED5494"/>
    <w:rsid w:val="00ED596D"/>
    <w:rsid w:val="00ED6B4E"/>
    <w:rsid w:val="00ED7698"/>
    <w:rsid w:val="00ED78CF"/>
    <w:rsid w:val="00ED7C9C"/>
    <w:rsid w:val="00EE0F7C"/>
    <w:rsid w:val="00EE1A78"/>
    <w:rsid w:val="00EE1FAB"/>
    <w:rsid w:val="00EE2020"/>
    <w:rsid w:val="00EE206E"/>
    <w:rsid w:val="00EE2295"/>
    <w:rsid w:val="00EE2C80"/>
    <w:rsid w:val="00EE3C4F"/>
    <w:rsid w:val="00EE44AE"/>
    <w:rsid w:val="00EE4C0E"/>
    <w:rsid w:val="00EE583D"/>
    <w:rsid w:val="00EE5D32"/>
    <w:rsid w:val="00EE63AF"/>
    <w:rsid w:val="00EE6D07"/>
    <w:rsid w:val="00EE6D7F"/>
    <w:rsid w:val="00EF04AB"/>
    <w:rsid w:val="00EF0599"/>
    <w:rsid w:val="00EF0E74"/>
    <w:rsid w:val="00EF1CED"/>
    <w:rsid w:val="00EF3CFF"/>
    <w:rsid w:val="00EF522D"/>
    <w:rsid w:val="00EF63A1"/>
    <w:rsid w:val="00EF6AD3"/>
    <w:rsid w:val="00EF7BE2"/>
    <w:rsid w:val="00F017B0"/>
    <w:rsid w:val="00F06406"/>
    <w:rsid w:val="00F067DE"/>
    <w:rsid w:val="00F068C0"/>
    <w:rsid w:val="00F07240"/>
    <w:rsid w:val="00F10EAE"/>
    <w:rsid w:val="00F11853"/>
    <w:rsid w:val="00F11FD6"/>
    <w:rsid w:val="00F122FA"/>
    <w:rsid w:val="00F123E7"/>
    <w:rsid w:val="00F12DC7"/>
    <w:rsid w:val="00F14FFD"/>
    <w:rsid w:val="00F15972"/>
    <w:rsid w:val="00F15B3E"/>
    <w:rsid w:val="00F162E7"/>
    <w:rsid w:val="00F171C8"/>
    <w:rsid w:val="00F17967"/>
    <w:rsid w:val="00F17AAB"/>
    <w:rsid w:val="00F20CBD"/>
    <w:rsid w:val="00F20DC4"/>
    <w:rsid w:val="00F21009"/>
    <w:rsid w:val="00F2111C"/>
    <w:rsid w:val="00F22037"/>
    <w:rsid w:val="00F22188"/>
    <w:rsid w:val="00F222BE"/>
    <w:rsid w:val="00F22501"/>
    <w:rsid w:val="00F2276C"/>
    <w:rsid w:val="00F23821"/>
    <w:rsid w:val="00F249E1"/>
    <w:rsid w:val="00F24D71"/>
    <w:rsid w:val="00F24FF0"/>
    <w:rsid w:val="00F30459"/>
    <w:rsid w:val="00F33146"/>
    <w:rsid w:val="00F33FF4"/>
    <w:rsid w:val="00F34281"/>
    <w:rsid w:val="00F3459C"/>
    <w:rsid w:val="00F35A3F"/>
    <w:rsid w:val="00F3704A"/>
    <w:rsid w:val="00F37BDF"/>
    <w:rsid w:val="00F40CF6"/>
    <w:rsid w:val="00F4193B"/>
    <w:rsid w:val="00F4319B"/>
    <w:rsid w:val="00F43321"/>
    <w:rsid w:val="00F438B6"/>
    <w:rsid w:val="00F4468D"/>
    <w:rsid w:val="00F44C7B"/>
    <w:rsid w:val="00F454E1"/>
    <w:rsid w:val="00F456D5"/>
    <w:rsid w:val="00F45920"/>
    <w:rsid w:val="00F47536"/>
    <w:rsid w:val="00F50737"/>
    <w:rsid w:val="00F513C9"/>
    <w:rsid w:val="00F51DC3"/>
    <w:rsid w:val="00F52151"/>
    <w:rsid w:val="00F52285"/>
    <w:rsid w:val="00F525B5"/>
    <w:rsid w:val="00F52AE2"/>
    <w:rsid w:val="00F52D09"/>
    <w:rsid w:val="00F55756"/>
    <w:rsid w:val="00F56ED8"/>
    <w:rsid w:val="00F60F85"/>
    <w:rsid w:val="00F614CF"/>
    <w:rsid w:val="00F61D1F"/>
    <w:rsid w:val="00F629A3"/>
    <w:rsid w:val="00F65D28"/>
    <w:rsid w:val="00F66719"/>
    <w:rsid w:val="00F668F5"/>
    <w:rsid w:val="00F67422"/>
    <w:rsid w:val="00F67C6C"/>
    <w:rsid w:val="00F703D4"/>
    <w:rsid w:val="00F7115D"/>
    <w:rsid w:val="00F72E79"/>
    <w:rsid w:val="00F72EDA"/>
    <w:rsid w:val="00F745F9"/>
    <w:rsid w:val="00F74C0F"/>
    <w:rsid w:val="00F765C5"/>
    <w:rsid w:val="00F7693C"/>
    <w:rsid w:val="00F775D1"/>
    <w:rsid w:val="00F77844"/>
    <w:rsid w:val="00F77FC2"/>
    <w:rsid w:val="00F80213"/>
    <w:rsid w:val="00F81544"/>
    <w:rsid w:val="00F82077"/>
    <w:rsid w:val="00F825C7"/>
    <w:rsid w:val="00F83FF3"/>
    <w:rsid w:val="00F843C7"/>
    <w:rsid w:val="00F84A69"/>
    <w:rsid w:val="00F84A81"/>
    <w:rsid w:val="00F858D9"/>
    <w:rsid w:val="00F86477"/>
    <w:rsid w:val="00F867A7"/>
    <w:rsid w:val="00F87187"/>
    <w:rsid w:val="00F871C3"/>
    <w:rsid w:val="00F8732F"/>
    <w:rsid w:val="00F8770F"/>
    <w:rsid w:val="00F87BEF"/>
    <w:rsid w:val="00F90063"/>
    <w:rsid w:val="00F90384"/>
    <w:rsid w:val="00F90C34"/>
    <w:rsid w:val="00F920A1"/>
    <w:rsid w:val="00F9287F"/>
    <w:rsid w:val="00F92B88"/>
    <w:rsid w:val="00F92D45"/>
    <w:rsid w:val="00F92DA2"/>
    <w:rsid w:val="00F932FB"/>
    <w:rsid w:val="00F95A72"/>
    <w:rsid w:val="00F97DFD"/>
    <w:rsid w:val="00FA0CE5"/>
    <w:rsid w:val="00FA0D99"/>
    <w:rsid w:val="00FA10C3"/>
    <w:rsid w:val="00FA1427"/>
    <w:rsid w:val="00FA1C01"/>
    <w:rsid w:val="00FA20C6"/>
    <w:rsid w:val="00FA2776"/>
    <w:rsid w:val="00FA31E9"/>
    <w:rsid w:val="00FA3B2D"/>
    <w:rsid w:val="00FA459A"/>
    <w:rsid w:val="00FA4EA6"/>
    <w:rsid w:val="00FA5583"/>
    <w:rsid w:val="00FA5F91"/>
    <w:rsid w:val="00FA63D9"/>
    <w:rsid w:val="00FA6E80"/>
    <w:rsid w:val="00FA7821"/>
    <w:rsid w:val="00FB0CA3"/>
    <w:rsid w:val="00FB186B"/>
    <w:rsid w:val="00FB2A1C"/>
    <w:rsid w:val="00FB39E4"/>
    <w:rsid w:val="00FB44D7"/>
    <w:rsid w:val="00FB70A3"/>
    <w:rsid w:val="00FB7D5C"/>
    <w:rsid w:val="00FC053A"/>
    <w:rsid w:val="00FC1F70"/>
    <w:rsid w:val="00FC3129"/>
    <w:rsid w:val="00FC3191"/>
    <w:rsid w:val="00FC3968"/>
    <w:rsid w:val="00FC496F"/>
    <w:rsid w:val="00FC4ACD"/>
    <w:rsid w:val="00FC4E38"/>
    <w:rsid w:val="00FC6471"/>
    <w:rsid w:val="00FD0757"/>
    <w:rsid w:val="00FD1900"/>
    <w:rsid w:val="00FD25CF"/>
    <w:rsid w:val="00FD2D26"/>
    <w:rsid w:val="00FD2D43"/>
    <w:rsid w:val="00FD3D1A"/>
    <w:rsid w:val="00FD49D8"/>
    <w:rsid w:val="00FD4B80"/>
    <w:rsid w:val="00FD4DDE"/>
    <w:rsid w:val="00FD5CEB"/>
    <w:rsid w:val="00FD617D"/>
    <w:rsid w:val="00FD6605"/>
    <w:rsid w:val="00FD6D0D"/>
    <w:rsid w:val="00FD6E25"/>
    <w:rsid w:val="00FD7DC6"/>
    <w:rsid w:val="00FE0081"/>
    <w:rsid w:val="00FE0402"/>
    <w:rsid w:val="00FE0556"/>
    <w:rsid w:val="00FE116B"/>
    <w:rsid w:val="00FE1366"/>
    <w:rsid w:val="00FE2727"/>
    <w:rsid w:val="00FE2FBF"/>
    <w:rsid w:val="00FE3582"/>
    <w:rsid w:val="00FE372C"/>
    <w:rsid w:val="00FE45B7"/>
    <w:rsid w:val="00FE501C"/>
    <w:rsid w:val="00FE5100"/>
    <w:rsid w:val="00FE6342"/>
    <w:rsid w:val="00FE64D8"/>
    <w:rsid w:val="00FE7BB6"/>
    <w:rsid w:val="00FF0E86"/>
    <w:rsid w:val="00FF146C"/>
    <w:rsid w:val="00FF2FA4"/>
    <w:rsid w:val="00FF35A1"/>
    <w:rsid w:val="00FF58FB"/>
    <w:rsid w:val="00FF5CE4"/>
    <w:rsid w:val="00FF62F9"/>
    <w:rsid w:val="00FF76C5"/>
    <w:rsid w:val="00FF7FF1"/>
    <w:rsid w:val="010815CC"/>
    <w:rsid w:val="01C1C568"/>
    <w:rsid w:val="01CFBA00"/>
    <w:rsid w:val="02C2F850"/>
    <w:rsid w:val="02DCB862"/>
    <w:rsid w:val="0383C943"/>
    <w:rsid w:val="039B0419"/>
    <w:rsid w:val="03B50EB0"/>
    <w:rsid w:val="0467EEB3"/>
    <w:rsid w:val="04D95B49"/>
    <w:rsid w:val="051006B9"/>
    <w:rsid w:val="055DCBB3"/>
    <w:rsid w:val="05784B1B"/>
    <w:rsid w:val="061B1007"/>
    <w:rsid w:val="06F6600D"/>
    <w:rsid w:val="07AF32CF"/>
    <w:rsid w:val="080E73AF"/>
    <w:rsid w:val="085B0E6D"/>
    <w:rsid w:val="0922AD09"/>
    <w:rsid w:val="094C57D5"/>
    <w:rsid w:val="09AC1412"/>
    <w:rsid w:val="09F32200"/>
    <w:rsid w:val="09FECD31"/>
    <w:rsid w:val="0A0006F4"/>
    <w:rsid w:val="0A0E96B0"/>
    <w:rsid w:val="0B92AF2F"/>
    <w:rsid w:val="0BAC481D"/>
    <w:rsid w:val="0C4D0078"/>
    <w:rsid w:val="0C98B588"/>
    <w:rsid w:val="0CAB9DC4"/>
    <w:rsid w:val="0D10873E"/>
    <w:rsid w:val="0D544F3D"/>
    <w:rsid w:val="0DAD5B87"/>
    <w:rsid w:val="0E0C75FD"/>
    <w:rsid w:val="0E445FFA"/>
    <w:rsid w:val="0FCF6E7E"/>
    <w:rsid w:val="0FD7F9F7"/>
    <w:rsid w:val="11599FB9"/>
    <w:rsid w:val="1230881A"/>
    <w:rsid w:val="1337B2CB"/>
    <w:rsid w:val="13BCDCB2"/>
    <w:rsid w:val="13D1CED7"/>
    <w:rsid w:val="13E68319"/>
    <w:rsid w:val="15578B19"/>
    <w:rsid w:val="15E69863"/>
    <w:rsid w:val="16064C85"/>
    <w:rsid w:val="164FD49D"/>
    <w:rsid w:val="16CB1943"/>
    <w:rsid w:val="180DCD84"/>
    <w:rsid w:val="18764B0F"/>
    <w:rsid w:val="1A9738FF"/>
    <w:rsid w:val="1C41D568"/>
    <w:rsid w:val="1EDFB3F9"/>
    <w:rsid w:val="1F94066E"/>
    <w:rsid w:val="1FA7786D"/>
    <w:rsid w:val="20C0BFFA"/>
    <w:rsid w:val="215C0B89"/>
    <w:rsid w:val="22200203"/>
    <w:rsid w:val="22534543"/>
    <w:rsid w:val="22672A54"/>
    <w:rsid w:val="24E0F8CE"/>
    <w:rsid w:val="25521F8F"/>
    <w:rsid w:val="259121AB"/>
    <w:rsid w:val="25BFBD5C"/>
    <w:rsid w:val="25FA488B"/>
    <w:rsid w:val="267EFAE9"/>
    <w:rsid w:val="26B5D322"/>
    <w:rsid w:val="26B8D28C"/>
    <w:rsid w:val="28DFEF1A"/>
    <w:rsid w:val="2961F097"/>
    <w:rsid w:val="29A75912"/>
    <w:rsid w:val="2A0B0307"/>
    <w:rsid w:val="2A28A4D4"/>
    <w:rsid w:val="2B9F3809"/>
    <w:rsid w:val="2C999159"/>
    <w:rsid w:val="2D294480"/>
    <w:rsid w:val="2D67783A"/>
    <w:rsid w:val="2D73C89A"/>
    <w:rsid w:val="2DB22819"/>
    <w:rsid w:val="2E49D0A3"/>
    <w:rsid w:val="2EE55CAE"/>
    <w:rsid w:val="2F06A35B"/>
    <w:rsid w:val="2F42BD9B"/>
    <w:rsid w:val="2F590AEA"/>
    <w:rsid w:val="2FFA227B"/>
    <w:rsid w:val="318E88F0"/>
    <w:rsid w:val="31B95B63"/>
    <w:rsid w:val="31C312BE"/>
    <w:rsid w:val="323C190E"/>
    <w:rsid w:val="32A78F36"/>
    <w:rsid w:val="33FF4649"/>
    <w:rsid w:val="340C0D12"/>
    <w:rsid w:val="3494E7DE"/>
    <w:rsid w:val="34C629B2"/>
    <w:rsid w:val="35657356"/>
    <w:rsid w:val="358DD2E2"/>
    <w:rsid w:val="3653E63E"/>
    <w:rsid w:val="37A929E7"/>
    <w:rsid w:val="37AEEE47"/>
    <w:rsid w:val="37D22B5A"/>
    <w:rsid w:val="37D5ADA3"/>
    <w:rsid w:val="3858D670"/>
    <w:rsid w:val="38A23F17"/>
    <w:rsid w:val="38AE8DA4"/>
    <w:rsid w:val="39208327"/>
    <w:rsid w:val="3A7CAC78"/>
    <w:rsid w:val="3B5E3875"/>
    <w:rsid w:val="3BD08706"/>
    <w:rsid w:val="3BE2FB54"/>
    <w:rsid w:val="3CAF7948"/>
    <w:rsid w:val="3CD7F7CF"/>
    <w:rsid w:val="3D4BFBB5"/>
    <w:rsid w:val="3D5D5389"/>
    <w:rsid w:val="3D966CFC"/>
    <w:rsid w:val="3DDC2AC5"/>
    <w:rsid w:val="3F13EA76"/>
    <w:rsid w:val="3F57B275"/>
    <w:rsid w:val="3F7DF2E2"/>
    <w:rsid w:val="40DC03A1"/>
    <w:rsid w:val="417FFE0C"/>
    <w:rsid w:val="427F4750"/>
    <w:rsid w:val="42B26BF0"/>
    <w:rsid w:val="431A2037"/>
    <w:rsid w:val="435ECBE2"/>
    <w:rsid w:val="43AA5C8C"/>
    <w:rsid w:val="4570B53D"/>
    <w:rsid w:val="4687924C"/>
    <w:rsid w:val="46C2A4F8"/>
    <w:rsid w:val="47496E11"/>
    <w:rsid w:val="4752B873"/>
    <w:rsid w:val="47DBAAB8"/>
    <w:rsid w:val="4871325D"/>
    <w:rsid w:val="48E0A882"/>
    <w:rsid w:val="49279729"/>
    <w:rsid w:val="49C3E00A"/>
    <w:rsid w:val="49F9DD34"/>
    <w:rsid w:val="4A5E8AA3"/>
    <w:rsid w:val="4A69BD8A"/>
    <w:rsid w:val="4AA68FDB"/>
    <w:rsid w:val="4AAB8667"/>
    <w:rsid w:val="4AD31992"/>
    <w:rsid w:val="4B27DD6C"/>
    <w:rsid w:val="4B2CA2C9"/>
    <w:rsid w:val="4BE588C5"/>
    <w:rsid w:val="4BE5D3A5"/>
    <w:rsid w:val="4BF7DF2C"/>
    <w:rsid w:val="4C92F021"/>
    <w:rsid w:val="4CA14E5B"/>
    <w:rsid w:val="4D2A906E"/>
    <w:rsid w:val="4E89D060"/>
    <w:rsid w:val="4F810EAB"/>
    <w:rsid w:val="505B9793"/>
    <w:rsid w:val="5120214F"/>
    <w:rsid w:val="51FCE6F4"/>
    <w:rsid w:val="52C3CAE3"/>
    <w:rsid w:val="54C5A33C"/>
    <w:rsid w:val="54DDA99F"/>
    <w:rsid w:val="552742DB"/>
    <w:rsid w:val="55957A9C"/>
    <w:rsid w:val="55F60DD5"/>
    <w:rsid w:val="567175F8"/>
    <w:rsid w:val="5696F1EB"/>
    <w:rsid w:val="56DC9EEA"/>
    <w:rsid w:val="576187B0"/>
    <w:rsid w:val="57A608C7"/>
    <w:rsid w:val="592F29BE"/>
    <w:rsid w:val="5A5B8610"/>
    <w:rsid w:val="5A5B9AE9"/>
    <w:rsid w:val="5B1D7CAB"/>
    <w:rsid w:val="5BF75671"/>
    <w:rsid w:val="5CE86B69"/>
    <w:rsid w:val="5EB2B857"/>
    <w:rsid w:val="5FF127CB"/>
    <w:rsid w:val="60301FD5"/>
    <w:rsid w:val="60C84805"/>
    <w:rsid w:val="61BD3D9F"/>
    <w:rsid w:val="61EA5919"/>
    <w:rsid w:val="6248BA48"/>
    <w:rsid w:val="63D243A6"/>
    <w:rsid w:val="64B6A5C5"/>
    <w:rsid w:val="6516738A"/>
    <w:rsid w:val="653D1421"/>
    <w:rsid w:val="65DF8C54"/>
    <w:rsid w:val="6681AFFC"/>
    <w:rsid w:val="672289E3"/>
    <w:rsid w:val="67511B3F"/>
    <w:rsid w:val="676B5A5A"/>
    <w:rsid w:val="6791A737"/>
    <w:rsid w:val="67A392BD"/>
    <w:rsid w:val="6822095D"/>
    <w:rsid w:val="682B57A9"/>
    <w:rsid w:val="69A55644"/>
    <w:rsid w:val="69E3D9DF"/>
    <w:rsid w:val="6B7F4447"/>
    <w:rsid w:val="6BBAE6F8"/>
    <w:rsid w:val="6C413653"/>
    <w:rsid w:val="6D6A4880"/>
    <w:rsid w:val="6DD18063"/>
    <w:rsid w:val="6DF23E20"/>
    <w:rsid w:val="6ECE5ED1"/>
    <w:rsid w:val="6F1A491A"/>
    <w:rsid w:val="701FB593"/>
    <w:rsid w:val="70266733"/>
    <w:rsid w:val="70690D38"/>
    <w:rsid w:val="708313BC"/>
    <w:rsid w:val="70FB0E88"/>
    <w:rsid w:val="71C23794"/>
    <w:rsid w:val="723B8F09"/>
    <w:rsid w:val="726A214E"/>
    <w:rsid w:val="72FF3AA1"/>
    <w:rsid w:val="730E3C19"/>
    <w:rsid w:val="73F64F79"/>
    <w:rsid w:val="7469D14B"/>
    <w:rsid w:val="74AFE24C"/>
    <w:rsid w:val="7605A1AC"/>
    <w:rsid w:val="7607924F"/>
    <w:rsid w:val="7607FE91"/>
    <w:rsid w:val="7610E5D8"/>
    <w:rsid w:val="768F684F"/>
    <w:rsid w:val="76EAEBDA"/>
    <w:rsid w:val="781040ED"/>
    <w:rsid w:val="788EADAB"/>
    <w:rsid w:val="78E1C7B1"/>
    <w:rsid w:val="7906206D"/>
    <w:rsid w:val="793E7AAD"/>
    <w:rsid w:val="79591F4E"/>
    <w:rsid w:val="79E81852"/>
    <w:rsid w:val="7A443542"/>
    <w:rsid w:val="7ABFEA72"/>
    <w:rsid w:val="7C83F37E"/>
    <w:rsid w:val="7D31F4B3"/>
    <w:rsid w:val="7D55D6BA"/>
    <w:rsid w:val="7D5C7EB1"/>
    <w:rsid w:val="7D6D4F3C"/>
    <w:rsid w:val="7DF78B34"/>
    <w:rsid w:val="7EC013B4"/>
    <w:rsid w:val="7F7B553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CDCE2"/>
  <w15:chartTrackingRefBased/>
  <w15:docId w15:val="{80458FD8-9A6B-47AA-9F9F-D8C337973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8D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015496"/>
    <w:pPr>
      <w:keepNext/>
      <w:keepLines/>
      <w:widowControl w:val="0"/>
      <w:numPr>
        <w:numId w:val="11"/>
      </w:numPr>
      <w:spacing w:before="480" w:after="120" w:line="276" w:lineRule="auto"/>
      <w:ind w:left="431" w:hanging="431"/>
      <w:jc w:val="both"/>
      <w:outlineLvl w:val="0"/>
    </w:pPr>
    <w:rPr>
      <w:rFonts w:eastAsia="MS Gothic" w:cs="Tahoma"/>
      <w:b/>
      <w:bCs/>
      <w:sz w:val="28"/>
      <w:szCs w:val="32"/>
      <w:lang w:eastAsia="en-US"/>
    </w:rPr>
  </w:style>
  <w:style w:type="paragraph" w:styleId="Heading2">
    <w:name w:val="heading 2"/>
    <w:basedOn w:val="Normal"/>
    <w:next w:val="Normal"/>
    <w:link w:val="Heading2Char"/>
    <w:qFormat/>
    <w:rsid w:val="00015496"/>
    <w:pPr>
      <w:keepNext/>
      <w:keepLines/>
      <w:widowControl w:val="0"/>
      <w:numPr>
        <w:ilvl w:val="1"/>
        <w:numId w:val="11"/>
      </w:numPr>
      <w:suppressAutoHyphens/>
      <w:spacing w:before="360" w:after="120" w:line="276" w:lineRule="auto"/>
      <w:ind w:left="578" w:hanging="578"/>
      <w:textAlignment w:val="baseline"/>
      <w:outlineLvl w:val="1"/>
    </w:pPr>
    <w:rPr>
      <w:rFonts w:eastAsia="MS Gothic" w:cs="Tahoma"/>
      <w:b/>
      <w:bCs/>
      <w:szCs w:val="26"/>
      <w:lang w:eastAsia="en-US"/>
    </w:rPr>
  </w:style>
  <w:style w:type="paragraph" w:styleId="Heading3">
    <w:name w:val="heading 3"/>
    <w:basedOn w:val="Normal"/>
    <w:next w:val="Normal"/>
    <w:link w:val="Heading3Char"/>
    <w:qFormat/>
    <w:rsid w:val="00015496"/>
    <w:pPr>
      <w:keepNext/>
      <w:keepLines/>
      <w:widowControl w:val="0"/>
      <w:numPr>
        <w:ilvl w:val="2"/>
        <w:numId w:val="11"/>
      </w:numPr>
      <w:suppressAutoHyphens/>
      <w:spacing w:before="202" w:after="115" w:line="276" w:lineRule="auto"/>
      <w:textAlignment w:val="baseline"/>
      <w:outlineLvl w:val="2"/>
    </w:pPr>
    <w:rPr>
      <w:rFonts w:eastAsia="MS Gothic" w:cs="Tahoma"/>
      <w:b/>
      <w:bCs/>
      <w:sz w:val="22"/>
      <w:lang w:eastAsia="en-US"/>
    </w:rPr>
  </w:style>
  <w:style w:type="paragraph" w:styleId="Heading4">
    <w:name w:val="heading 4"/>
    <w:basedOn w:val="Normal"/>
    <w:next w:val="Normal"/>
    <w:link w:val="Heading4Char"/>
    <w:qFormat/>
    <w:rsid w:val="00015496"/>
    <w:pPr>
      <w:keepNext/>
      <w:keepLines/>
      <w:numPr>
        <w:ilvl w:val="3"/>
        <w:numId w:val="11"/>
      </w:numPr>
      <w:suppressAutoHyphens/>
      <w:spacing w:before="200" w:line="276" w:lineRule="auto"/>
      <w:jc w:val="both"/>
      <w:textAlignment w:val="baseline"/>
      <w:outlineLvl w:val="3"/>
    </w:pPr>
    <w:rPr>
      <w:rFonts w:ascii="Calibri" w:eastAsia="MS Gothic" w:hAnsi="Calibri" w:cs="Tahoma"/>
      <w:b/>
      <w:bCs/>
      <w:i/>
      <w:iCs/>
      <w:color w:val="4F81BD"/>
      <w:sz w:val="22"/>
      <w:lang w:eastAsia="en-US"/>
    </w:rPr>
  </w:style>
  <w:style w:type="paragraph" w:styleId="Heading5">
    <w:name w:val="heading 5"/>
    <w:basedOn w:val="Normal"/>
    <w:next w:val="Normal"/>
    <w:link w:val="Heading5Char"/>
    <w:qFormat/>
    <w:rsid w:val="00015496"/>
    <w:pPr>
      <w:keepNext/>
      <w:keepLines/>
      <w:numPr>
        <w:ilvl w:val="4"/>
        <w:numId w:val="11"/>
      </w:numPr>
      <w:suppressAutoHyphens/>
      <w:spacing w:before="200" w:line="276" w:lineRule="auto"/>
      <w:jc w:val="both"/>
      <w:textAlignment w:val="baseline"/>
      <w:outlineLvl w:val="4"/>
    </w:pPr>
    <w:rPr>
      <w:rFonts w:ascii="Calibri" w:eastAsia="MS Gothic" w:hAnsi="Calibri" w:cs="Tahoma"/>
      <w:color w:val="243F60"/>
      <w:sz w:val="22"/>
      <w:lang w:eastAsia="en-US"/>
    </w:rPr>
  </w:style>
  <w:style w:type="paragraph" w:styleId="Heading6">
    <w:name w:val="heading 6"/>
    <w:basedOn w:val="Normal"/>
    <w:next w:val="Normal"/>
    <w:link w:val="Heading6Char"/>
    <w:qFormat/>
    <w:rsid w:val="00015496"/>
    <w:pPr>
      <w:keepNext/>
      <w:keepLines/>
      <w:numPr>
        <w:ilvl w:val="5"/>
        <w:numId w:val="11"/>
      </w:numPr>
      <w:suppressAutoHyphens/>
      <w:spacing w:before="200" w:line="276" w:lineRule="auto"/>
      <w:jc w:val="both"/>
      <w:textAlignment w:val="baseline"/>
      <w:outlineLvl w:val="5"/>
    </w:pPr>
    <w:rPr>
      <w:rFonts w:ascii="Calibri" w:eastAsia="MS Gothic" w:hAnsi="Calibri" w:cs="Tahoma"/>
      <w:i/>
      <w:iCs/>
      <w:color w:val="243F60"/>
      <w:sz w:val="22"/>
      <w:lang w:eastAsia="en-US"/>
    </w:rPr>
  </w:style>
  <w:style w:type="paragraph" w:styleId="Heading7">
    <w:name w:val="heading 7"/>
    <w:basedOn w:val="Normal"/>
    <w:next w:val="Normal"/>
    <w:link w:val="Heading7Char"/>
    <w:qFormat/>
    <w:rsid w:val="00015496"/>
    <w:pPr>
      <w:keepNext/>
      <w:keepLines/>
      <w:numPr>
        <w:ilvl w:val="6"/>
        <w:numId w:val="11"/>
      </w:numPr>
      <w:suppressAutoHyphens/>
      <w:spacing w:before="200" w:line="276" w:lineRule="auto"/>
      <w:jc w:val="both"/>
      <w:textAlignment w:val="baseline"/>
      <w:outlineLvl w:val="6"/>
    </w:pPr>
    <w:rPr>
      <w:rFonts w:ascii="Calibri" w:eastAsia="MS Gothic" w:hAnsi="Calibri" w:cs="Tahoma"/>
      <w:i/>
      <w:iCs/>
      <w:color w:val="404040"/>
      <w:sz w:val="22"/>
      <w:lang w:eastAsia="en-US"/>
    </w:rPr>
  </w:style>
  <w:style w:type="paragraph" w:styleId="Heading8">
    <w:name w:val="heading 8"/>
    <w:basedOn w:val="Normal"/>
    <w:next w:val="Normal"/>
    <w:link w:val="Heading8Char"/>
    <w:qFormat/>
    <w:rsid w:val="00015496"/>
    <w:pPr>
      <w:keepNext/>
      <w:keepLines/>
      <w:numPr>
        <w:ilvl w:val="7"/>
        <w:numId w:val="11"/>
      </w:numPr>
      <w:suppressAutoHyphens/>
      <w:spacing w:before="200" w:line="276" w:lineRule="auto"/>
      <w:jc w:val="both"/>
      <w:textAlignment w:val="baseline"/>
      <w:outlineLvl w:val="7"/>
    </w:pPr>
    <w:rPr>
      <w:rFonts w:ascii="Calibri" w:eastAsia="MS Gothic" w:hAnsi="Calibri" w:cs="Tahoma"/>
      <w:color w:val="404040"/>
      <w:sz w:val="20"/>
      <w:szCs w:val="20"/>
      <w:lang w:eastAsia="en-US"/>
    </w:rPr>
  </w:style>
  <w:style w:type="paragraph" w:styleId="Heading9">
    <w:name w:val="heading 9"/>
    <w:basedOn w:val="Normal"/>
    <w:next w:val="Normal"/>
    <w:link w:val="Heading9Char"/>
    <w:qFormat/>
    <w:rsid w:val="00015496"/>
    <w:pPr>
      <w:keepNext/>
      <w:keepLines/>
      <w:numPr>
        <w:ilvl w:val="8"/>
        <w:numId w:val="11"/>
      </w:numPr>
      <w:suppressAutoHyphens/>
      <w:spacing w:before="200" w:line="276" w:lineRule="auto"/>
      <w:jc w:val="both"/>
      <w:textAlignment w:val="baseline"/>
      <w:outlineLvl w:val="8"/>
    </w:pPr>
    <w:rPr>
      <w:rFonts w:ascii="Calibri" w:eastAsia="MS Gothic" w:hAnsi="Calibri" w:cs="Tahoma"/>
      <w:i/>
      <w:iCs/>
      <w:color w:val="40404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f,Fußn,o"/>
    <w:basedOn w:val="Normal"/>
    <w:link w:val="FootnoteTextChar"/>
    <w:uiPriority w:val="99"/>
    <w:unhideWhenUsed/>
    <w:qFormat/>
    <w:rsid w:val="0057683B"/>
    <w:rPr>
      <w:rFonts w:asciiTheme="minorHAnsi" w:eastAsiaTheme="minorEastAsia" w:hAnsiTheme="minorHAnsi" w:cstheme="minorBidi"/>
      <w:sz w:val="20"/>
      <w:szCs w:val="20"/>
      <w:lang w:eastAsia="lv-LV"/>
    </w:rPr>
  </w:style>
  <w:style w:type="character" w:customStyle="1" w:styleId="FootnoteTextChar">
    <w:name w:val="Footnote Text Char"/>
    <w:aliases w:val="Footnote Char,Fußnote Char,Char Char,Char Rakstz. Rakstz. Rakstz. Rakstz. Rakstz. Rakstz. Rakstz. Char,Char Rakstz. Rakstz. Rakstz. Rakstz. Rakstz. Rakstz. Char,f Char,Fußn Char,o Char"/>
    <w:basedOn w:val="DefaultParagraphFont"/>
    <w:link w:val="FootnoteText"/>
    <w:uiPriority w:val="99"/>
    <w:qFormat/>
    <w:rsid w:val="0057683B"/>
    <w:rPr>
      <w:rFonts w:eastAsiaTheme="minorEastAsia"/>
      <w:sz w:val="20"/>
      <w:szCs w:val="20"/>
      <w:lang w:eastAsia="lv-LV"/>
    </w:rPr>
  </w:style>
  <w:style w:type="character" w:styleId="FootnoteReference">
    <w:name w:val="footnote reference"/>
    <w:aliases w:val="Footnote Reference Number,Footnote symbol,SUPERS,ftref,Footnote Refernece,stylish,BVI fnr,Fußnotenzeichen_Raxen,callout,Footnote Reference Superscript,EN Footnote Reference,Footnote Reference text,Footnote reference number,16 Point"/>
    <w:basedOn w:val="DefaultParagraphFont"/>
    <w:link w:val="Odwoanieprzypisu"/>
    <w:uiPriority w:val="99"/>
    <w:unhideWhenUsed/>
    <w:qFormat/>
    <w:rsid w:val="0057683B"/>
    <w:rPr>
      <w:vertAlign w:val="superscript"/>
    </w:rPr>
  </w:style>
  <w:style w:type="paragraph" w:styleId="Header">
    <w:name w:val="header"/>
    <w:basedOn w:val="Normal"/>
    <w:link w:val="HeaderChar"/>
    <w:uiPriority w:val="99"/>
    <w:unhideWhenUsed/>
    <w:rsid w:val="0057683B"/>
    <w:pPr>
      <w:tabs>
        <w:tab w:val="center" w:pos="4153"/>
        <w:tab w:val="right" w:pos="830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57683B"/>
  </w:style>
  <w:style w:type="paragraph" w:styleId="Footer">
    <w:name w:val="footer"/>
    <w:basedOn w:val="Normal"/>
    <w:link w:val="FooterChar"/>
    <w:uiPriority w:val="99"/>
    <w:unhideWhenUsed/>
    <w:rsid w:val="0057683B"/>
    <w:pPr>
      <w:tabs>
        <w:tab w:val="center" w:pos="4153"/>
        <w:tab w:val="right" w:pos="830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57683B"/>
  </w:style>
  <w:style w:type="character" w:styleId="SubtleReference">
    <w:name w:val="Subtle Reference"/>
    <w:basedOn w:val="DefaultParagraphFont"/>
    <w:uiPriority w:val="31"/>
    <w:qFormat/>
    <w:rsid w:val="0057683B"/>
    <w:rPr>
      <w:smallCaps/>
      <w:color w:val="5A5A5A" w:themeColor="text1" w:themeTint="A5"/>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araksta rindkopa1,Stri"/>
    <w:basedOn w:val="Normal"/>
    <w:link w:val="ListParagraphChar"/>
    <w:uiPriority w:val="34"/>
    <w:qFormat/>
    <w:rsid w:val="0057683B"/>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doc-ti2">
    <w:name w:val="doc-ti2"/>
    <w:basedOn w:val="Normal"/>
    <w:rsid w:val="0057683B"/>
    <w:pPr>
      <w:spacing w:before="240" w:after="120" w:line="312" w:lineRule="atLeast"/>
      <w:jc w:val="center"/>
    </w:pPr>
    <w:rPr>
      <w:b/>
      <w:bCs/>
      <w:lang w:eastAsia="lv-LV"/>
    </w:rPr>
  </w:style>
  <w:style w:type="character" w:styleId="Hyperlink">
    <w:name w:val="Hyperlink"/>
    <w:basedOn w:val="DefaultParagraphFont"/>
    <w:uiPriority w:val="99"/>
    <w:unhideWhenUsed/>
    <w:rsid w:val="0057683B"/>
    <w:rPr>
      <w:color w:val="0563C1" w:themeColor="hyperlink"/>
      <w:u w:val="single"/>
    </w:rPr>
  </w:style>
  <w:style w:type="paragraph" w:customStyle="1" w:styleId="tv2132">
    <w:name w:val="tv2132"/>
    <w:basedOn w:val="Normal"/>
    <w:rsid w:val="0057683B"/>
    <w:pPr>
      <w:spacing w:line="360" w:lineRule="auto"/>
      <w:ind w:firstLine="300"/>
    </w:pPr>
    <w:rPr>
      <w:color w:val="414142"/>
      <w:sz w:val="20"/>
      <w:szCs w:val="20"/>
      <w:lang w:eastAsia="lv-LV"/>
    </w:rPr>
  </w:style>
  <w:style w:type="character" w:styleId="CommentReference">
    <w:name w:val="annotation reference"/>
    <w:basedOn w:val="DefaultParagraphFont"/>
    <w:uiPriority w:val="99"/>
    <w:semiHidden/>
    <w:unhideWhenUsed/>
    <w:rsid w:val="0057683B"/>
    <w:rPr>
      <w:sz w:val="16"/>
      <w:szCs w:val="16"/>
    </w:rPr>
  </w:style>
  <w:style w:type="paragraph" w:styleId="CommentText">
    <w:name w:val="annotation text"/>
    <w:basedOn w:val="Normal"/>
    <w:link w:val="CommentTextChar"/>
    <w:uiPriority w:val="99"/>
    <w:unhideWhenUsed/>
    <w:rsid w:val="0057683B"/>
    <w:rPr>
      <w:sz w:val="20"/>
      <w:szCs w:val="20"/>
    </w:rPr>
  </w:style>
  <w:style w:type="character" w:customStyle="1" w:styleId="CommentTextChar">
    <w:name w:val="Comment Text Char"/>
    <w:basedOn w:val="DefaultParagraphFont"/>
    <w:link w:val="CommentText"/>
    <w:uiPriority w:val="99"/>
    <w:rsid w:val="0057683B"/>
    <w:rPr>
      <w:sz w:val="20"/>
      <w:szCs w:val="20"/>
    </w:rPr>
  </w:style>
  <w:style w:type="paragraph" w:styleId="CommentSubject">
    <w:name w:val="annotation subject"/>
    <w:basedOn w:val="CommentText"/>
    <w:next w:val="CommentText"/>
    <w:link w:val="CommentSubjectChar"/>
    <w:uiPriority w:val="99"/>
    <w:semiHidden/>
    <w:unhideWhenUsed/>
    <w:rsid w:val="0057683B"/>
    <w:rPr>
      <w:b/>
      <w:bCs/>
    </w:rPr>
  </w:style>
  <w:style w:type="character" w:customStyle="1" w:styleId="CommentSubjectChar">
    <w:name w:val="Comment Subject Char"/>
    <w:basedOn w:val="CommentTextChar"/>
    <w:link w:val="CommentSubject"/>
    <w:uiPriority w:val="99"/>
    <w:semiHidden/>
    <w:rsid w:val="0057683B"/>
    <w:rPr>
      <w:b/>
      <w:bCs/>
      <w:sz w:val="20"/>
      <w:szCs w:val="20"/>
    </w:rPr>
  </w:style>
  <w:style w:type="paragraph" w:styleId="BalloonText">
    <w:name w:val="Balloon Text"/>
    <w:basedOn w:val="Normal"/>
    <w:link w:val="BalloonTextChar"/>
    <w:uiPriority w:val="99"/>
    <w:semiHidden/>
    <w:unhideWhenUsed/>
    <w:rsid w:val="0057683B"/>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57683B"/>
    <w:rPr>
      <w:rFonts w:ascii="Segoe UI" w:hAnsi="Segoe UI" w:cs="Segoe UI"/>
      <w:sz w:val="18"/>
      <w:szCs w:val="18"/>
    </w:rPr>
  </w:style>
  <w:style w:type="paragraph" w:customStyle="1" w:styleId="Default">
    <w:name w:val="Default"/>
    <w:rsid w:val="0057683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576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7683B"/>
    <w:pPr>
      <w:spacing w:after="0" w:line="240" w:lineRule="auto"/>
    </w:pPr>
  </w:style>
  <w:style w:type="character" w:customStyle="1" w:styleId="UnresolvedMention1">
    <w:name w:val="Unresolved Mention1"/>
    <w:basedOn w:val="DefaultParagraphFont"/>
    <w:uiPriority w:val="99"/>
    <w:semiHidden/>
    <w:unhideWhenUsed/>
    <w:rsid w:val="00502E4B"/>
    <w:rPr>
      <w:color w:val="605E5C"/>
      <w:shd w:val="clear" w:color="auto" w:fill="E1DFDD"/>
    </w:rPr>
  </w:style>
  <w:style w:type="paragraph" w:styleId="HTMLPreformatted">
    <w:name w:val="HTML Preformatted"/>
    <w:basedOn w:val="Normal"/>
    <w:link w:val="HTMLPreformattedChar"/>
    <w:uiPriority w:val="99"/>
    <w:unhideWhenUsed/>
    <w:rsid w:val="004B3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4B3D03"/>
    <w:rPr>
      <w:rFonts w:ascii="Courier New" w:eastAsia="Times New Roman" w:hAnsi="Courier New" w:cs="Courier New"/>
      <w:sz w:val="20"/>
      <w:szCs w:val="20"/>
      <w:lang w:eastAsia="lv-LV"/>
    </w:rPr>
  </w:style>
  <w:style w:type="paragraph" w:customStyle="1" w:styleId="tabula">
    <w:name w:val="tabula."/>
    <w:basedOn w:val="Caption"/>
    <w:qFormat/>
    <w:rsid w:val="002C63D8"/>
    <w:pPr>
      <w:suppressLineNumbers/>
      <w:suppressAutoHyphens/>
      <w:spacing w:before="173" w:after="58" w:line="276" w:lineRule="auto"/>
      <w:jc w:val="center"/>
      <w:textAlignment w:val="baseline"/>
    </w:pPr>
    <w:rPr>
      <w:rFonts w:ascii="Arial Narrow" w:eastAsia="Arial Narrow" w:hAnsi="Arial Narrow" w:cs="Arial Narrow"/>
      <w:b/>
      <w:i w:val="0"/>
      <w:color w:val="auto"/>
      <w:szCs w:val="24"/>
    </w:rPr>
  </w:style>
  <w:style w:type="paragraph" w:styleId="Caption">
    <w:name w:val="caption"/>
    <w:basedOn w:val="Normal"/>
    <w:next w:val="Normal"/>
    <w:uiPriority w:val="35"/>
    <w:semiHidden/>
    <w:unhideWhenUsed/>
    <w:qFormat/>
    <w:rsid w:val="002C63D8"/>
    <w:pPr>
      <w:spacing w:after="200"/>
    </w:pPr>
    <w:rPr>
      <w:rFonts w:asciiTheme="minorHAnsi" w:eastAsiaTheme="minorHAnsi" w:hAnsiTheme="minorHAnsi" w:cstheme="minorBidi"/>
      <w:i/>
      <w:iCs/>
      <w:color w:val="44546A" w:themeColor="text2"/>
      <w:sz w:val="18"/>
      <w:szCs w:val="18"/>
      <w:lang w:eastAsia="en-US"/>
    </w:rPr>
  </w:style>
  <w:style w:type="paragraph" w:customStyle="1" w:styleId="attls">
    <w:name w:val="attēls."/>
    <w:basedOn w:val="Caption"/>
    <w:qFormat/>
    <w:rsid w:val="00D04C8E"/>
    <w:pPr>
      <w:suppressLineNumbers/>
      <w:suppressAutoHyphens/>
      <w:spacing w:before="115" w:after="173" w:line="276" w:lineRule="auto"/>
      <w:jc w:val="center"/>
      <w:textAlignment w:val="baseline"/>
    </w:pPr>
    <w:rPr>
      <w:rFonts w:ascii="Arial Narrow" w:eastAsia="Arial Narrow" w:hAnsi="Arial Narrow" w:cs="Arial Narrow"/>
      <w:b/>
      <w:i w:val="0"/>
      <w:color w:val="auto"/>
      <w:sz w:val="20"/>
      <w:szCs w:val="24"/>
    </w:rPr>
  </w:style>
  <w:style w:type="character" w:customStyle="1" w:styleId="Heading1Char">
    <w:name w:val="Heading 1 Char"/>
    <w:basedOn w:val="DefaultParagraphFont"/>
    <w:link w:val="Heading1"/>
    <w:rsid w:val="00015496"/>
    <w:rPr>
      <w:rFonts w:ascii="Times New Roman" w:eastAsia="MS Gothic" w:hAnsi="Times New Roman" w:cs="Tahoma"/>
      <w:b/>
      <w:bCs/>
      <w:sz w:val="28"/>
      <w:szCs w:val="32"/>
    </w:rPr>
  </w:style>
  <w:style w:type="character" w:customStyle="1" w:styleId="Heading2Char">
    <w:name w:val="Heading 2 Char"/>
    <w:basedOn w:val="DefaultParagraphFont"/>
    <w:link w:val="Heading2"/>
    <w:rsid w:val="00015496"/>
    <w:rPr>
      <w:rFonts w:ascii="Times New Roman" w:eastAsia="MS Gothic" w:hAnsi="Times New Roman" w:cs="Tahoma"/>
      <w:b/>
      <w:bCs/>
      <w:sz w:val="24"/>
      <w:szCs w:val="26"/>
    </w:rPr>
  </w:style>
  <w:style w:type="character" w:customStyle="1" w:styleId="Heading3Char">
    <w:name w:val="Heading 3 Char"/>
    <w:basedOn w:val="DefaultParagraphFont"/>
    <w:link w:val="Heading3"/>
    <w:rsid w:val="00015496"/>
    <w:rPr>
      <w:rFonts w:ascii="Times New Roman" w:eastAsia="MS Gothic" w:hAnsi="Times New Roman" w:cs="Tahoma"/>
      <w:b/>
      <w:bCs/>
      <w:szCs w:val="24"/>
    </w:rPr>
  </w:style>
  <w:style w:type="character" w:customStyle="1" w:styleId="Heading4Char">
    <w:name w:val="Heading 4 Char"/>
    <w:basedOn w:val="DefaultParagraphFont"/>
    <w:link w:val="Heading4"/>
    <w:rsid w:val="00015496"/>
    <w:rPr>
      <w:rFonts w:ascii="Calibri" w:eastAsia="MS Gothic" w:hAnsi="Calibri" w:cs="Tahoma"/>
      <w:b/>
      <w:bCs/>
      <w:i/>
      <w:iCs/>
      <w:color w:val="4F81BD"/>
      <w:szCs w:val="24"/>
    </w:rPr>
  </w:style>
  <w:style w:type="character" w:customStyle="1" w:styleId="Heading5Char">
    <w:name w:val="Heading 5 Char"/>
    <w:basedOn w:val="DefaultParagraphFont"/>
    <w:link w:val="Heading5"/>
    <w:rsid w:val="00015496"/>
    <w:rPr>
      <w:rFonts w:ascii="Calibri" w:eastAsia="MS Gothic" w:hAnsi="Calibri" w:cs="Tahoma"/>
      <w:color w:val="243F60"/>
      <w:szCs w:val="24"/>
    </w:rPr>
  </w:style>
  <w:style w:type="character" w:customStyle="1" w:styleId="Heading6Char">
    <w:name w:val="Heading 6 Char"/>
    <w:basedOn w:val="DefaultParagraphFont"/>
    <w:link w:val="Heading6"/>
    <w:rsid w:val="00015496"/>
    <w:rPr>
      <w:rFonts w:ascii="Calibri" w:eastAsia="MS Gothic" w:hAnsi="Calibri" w:cs="Tahoma"/>
      <w:i/>
      <w:iCs/>
      <w:color w:val="243F60"/>
      <w:szCs w:val="24"/>
    </w:rPr>
  </w:style>
  <w:style w:type="character" w:customStyle="1" w:styleId="Heading7Char">
    <w:name w:val="Heading 7 Char"/>
    <w:basedOn w:val="DefaultParagraphFont"/>
    <w:link w:val="Heading7"/>
    <w:rsid w:val="00015496"/>
    <w:rPr>
      <w:rFonts w:ascii="Calibri" w:eastAsia="MS Gothic" w:hAnsi="Calibri" w:cs="Tahoma"/>
      <w:i/>
      <w:iCs/>
      <w:color w:val="404040"/>
      <w:szCs w:val="24"/>
    </w:rPr>
  </w:style>
  <w:style w:type="character" w:customStyle="1" w:styleId="Heading8Char">
    <w:name w:val="Heading 8 Char"/>
    <w:basedOn w:val="DefaultParagraphFont"/>
    <w:link w:val="Heading8"/>
    <w:rsid w:val="00015496"/>
    <w:rPr>
      <w:rFonts w:ascii="Calibri" w:eastAsia="MS Gothic" w:hAnsi="Calibri" w:cs="Tahoma"/>
      <w:color w:val="404040"/>
      <w:sz w:val="20"/>
      <w:szCs w:val="20"/>
    </w:rPr>
  </w:style>
  <w:style w:type="character" w:customStyle="1" w:styleId="Heading9Char">
    <w:name w:val="Heading 9 Char"/>
    <w:basedOn w:val="DefaultParagraphFont"/>
    <w:link w:val="Heading9"/>
    <w:rsid w:val="00015496"/>
    <w:rPr>
      <w:rFonts w:ascii="Calibri" w:eastAsia="MS Gothic" w:hAnsi="Calibri" w:cs="Tahoma"/>
      <w:i/>
      <w:iCs/>
      <w:color w:val="404040"/>
      <w:sz w:val="20"/>
      <w:szCs w:val="20"/>
    </w:rPr>
  </w:style>
  <w:style w:type="paragraph" w:styleId="NormalWeb">
    <w:name w:val="Normal (Web)"/>
    <w:basedOn w:val="Normal"/>
    <w:uiPriority w:val="99"/>
    <w:unhideWhenUsed/>
    <w:rsid w:val="000D2BD6"/>
    <w:pPr>
      <w:spacing w:before="100" w:beforeAutospacing="1" w:after="100" w:afterAutospacing="1"/>
    </w:pPr>
    <w:rPr>
      <w:lang w:val="en-US" w:eastAsia="en-US"/>
    </w:rPr>
  </w:style>
  <w:style w:type="paragraph" w:customStyle="1" w:styleId="Odwoanieprzypisu">
    <w:name w:val="Odwołanie przypisu"/>
    <w:aliases w:val="Ref,de nota al pie,-E Fußnotenzeichen,E,E FNZ"/>
    <w:basedOn w:val="Normal"/>
    <w:next w:val="Normal"/>
    <w:link w:val="FootnoteReference"/>
    <w:uiPriority w:val="99"/>
    <w:rsid w:val="00927824"/>
    <w:pPr>
      <w:spacing w:after="160" w:line="240" w:lineRule="exact"/>
      <w:jc w:val="both"/>
    </w:pPr>
    <w:rPr>
      <w:rFonts w:asciiTheme="minorHAnsi" w:eastAsiaTheme="minorHAnsi" w:hAnsiTheme="minorHAnsi" w:cstheme="minorBidi"/>
      <w:sz w:val="22"/>
      <w:szCs w:val="22"/>
      <w:vertAlign w:val="superscript"/>
      <w:lang w:eastAsia="en-US"/>
    </w:rPr>
  </w:style>
  <w:style w:type="paragraph" w:customStyle="1" w:styleId="Para">
    <w:name w:val="Para"/>
    <w:basedOn w:val="Normal"/>
    <w:link w:val="ParaChar"/>
    <w:qFormat/>
    <w:rsid w:val="007D30ED"/>
    <w:pPr>
      <w:numPr>
        <w:numId w:val="12"/>
      </w:numPr>
      <w:spacing w:after="120"/>
      <w:ind w:left="0" w:firstLine="0"/>
      <w:jc w:val="both"/>
    </w:pPr>
    <w:rPr>
      <w:rFonts w:eastAsia="SimSun"/>
      <w:szCs w:val="20"/>
      <w:lang w:val="en-GB" w:eastAsia="en-US"/>
    </w:rPr>
  </w:style>
  <w:style w:type="character" w:customStyle="1" w:styleId="ParaChar">
    <w:name w:val="Para Char"/>
    <w:basedOn w:val="DefaultParagraphFont"/>
    <w:link w:val="Para"/>
    <w:rsid w:val="007D30ED"/>
    <w:rPr>
      <w:rFonts w:ascii="Times New Roman" w:eastAsia="SimSun" w:hAnsi="Times New Roman" w:cs="Times New Roman"/>
      <w:sz w:val="24"/>
      <w:szCs w:val="20"/>
      <w:lang w:val="en-GB"/>
    </w:rPr>
  </w:style>
  <w:style w:type="character" w:styleId="IntenseEmphasis">
    <w:name w:val="Intense Emphasis"/>
    <w:uiPriority w:val="21"/>
    <w:qFormat/>
    <w:rsid w:val="009A60C0"/>
    <w:rPr>
      <w:i/>
      <w:iCs/>
      <w:color w:val="4F81BD"/>
    </w:r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ListParagraph"/>
    <w:uiPriority w:val="34"/>
    <w:locked/>
    <w:rsid w:val="009A60C0"/>
  </w:style>
  <w:style w:type="character" w:styleId="Strong">
    <w:name w:val="Strong"/>
    <w:basedOn w:val="DefaultParagraphFont"/>
    <w:uiPriority w:val="22"/>
    <w:qFormat/>
    <w:rsid w:val="009A60C0"/>
    <w:rPr>
      <w:b/>
      <w:bCs/>
    </w:rPr>
  </w:style>
  <w:style w:type="paragraph" w:customStyle="1" w:styleId="Standard">
    <w:name w:val="Standard"/>
    <w:rsid w:val="00431B69"/>
    <w:pPr>
      <w:suppressAutoHyphens/>
      <w:autoSpaceDN w:val="0"/>
      <w:spacing w:after="0" w:line="240" w:lineRule="auto"/>
    </w:pPr>
    <w:rPr>
      <w:rFonts w:ascii="Times New Roman" w:eastAsia="SimSun" w:hAnsi="Times New Roman" w:cs="Lucida Sans"/>
      <w:kern w:val="3"/>
      <w:szCs w:val="24"/>
      <w:lang w:eastAsia="zh-CN" w:bidi="hi-IN"/>
    </w:rPr>
  </w:style>
  <w:style w:type="paragraph" w:customStyle="1" w:styleId="TableContents">
    <w:name w:val="Table Contents"/>
    <w:basedOn w:val="Standard"/>
    <w:rsid w:val="00431B69"/>
    <w:pPr>
      <w:suppressLineNumbers/>
    </w:pPr>
  </w:style>
  <w:style w:type="character" w:customStyle="1" w:styleId="z-TopofFormChar">
    <w:name w:val="z-Top of Form Char"/>
    <w:basedOn w:val="DefaultParagraphFont"/>
    <w:link w:val="z-TopofForm"/>
    <w:uiPriority w:val="99"/>
    <w:semiHidden/>
    <w:rsid w:val="00887FC3"/>
    <w:rPr>
      <w:rFonts w:ascii="Arial" w:eastAsia="Times New Roman" w:hAnsi="Arial" w:cs="Arial"/>
      <w:vanish/>
      <w:sz w:val="16"/>
      <w:szCs w:val="16"/>
      <w:lang w:eastAsia="lv-LV"/>
    </w:rPr>
  </w:style>
  <w:style w:type="paragraph" w:styleId="z-TopofForm">
    <w:name w:val="HTML Top of Form"/>
    <w:basedOn w:val="Normal"/>
    <w:next w:val="Normal"/>
    <w:link w:val="z-TopofFormChar"/>
    <w:hidden/>
    <w:uiPriority w:val="99"/>
    <w:semiHidden/>
    <w:unhideWhenUsed/>
    <w:rsid w:val="00887FC3"/>
    <w:pPr>
      <w:pBdr>
        <w:bottom w:val="single" w:sz="6" w:space="1" w:color="auto"/>
      </w:pBdr>
      <w:jc w:val="center"/>
    </w:pPr>
    <w:rPr>
      <w:rFonts w:ascii="Arial" w:hAnsi="Arial" w:cs="Arial"/>
      <w:vanish/>
      <w:sz w:val="16"/>
      <w:szCs w:val="16"/>
      <w:lang w:eastAsia="lv-LV"/>
    </w:rPr>
  </w:style>
  <w:style w:type="character" w:customStyle="1" w:styleId="z-TopofFormChar1">
    <w:name w:val="z-Top of Form Char1"/>
    <w:basedOn w:val="DefaultParagraphFont"/>
    <w:uiPriority w:val="99"/>
    <w:semiHidden/>
    <w:rsid w:val="00887FC3"/>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87FC3"/>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uiPriority w:val="99"/>
    <w:semiHidden/>
    <w:unhideWhenUsed/>
    <w:rsid w:val="00887FC3"/>
    <w:pPr>
      <w:pBdr>
        <w:top w:val="single" w:sz="6" w:space="1" w:color="auto"/>
      </w:pBdr>
      <w:jc w:val="center"/>
    </w:pPr>
    <w:rPr>
      <w:rFonts w:ascii="Arial" w:hAnsi="Arial" w:cs="Arial"/>
      <w:vanish/>
      <w:sz w:val="16"/>
      <w:szCs w:val="16"/>
      <w:lang w:eastAsia="lv-LV"/>
    </w:rPr>
  </w:style>
  <w:style w:type="character" w:customStyle="1" w:styleId="z-BottomofFormChar1">
    <w:name w:val="z-Bottom of Form Char1"/>
    <w:basedOn w:val="DefaultParagraphFont"/>
    <w:uiPriority w:val="99"/>
    <w:semiHidden/>
    <w:rsid w:val="00887FC3"/>
    <w:rPr>
      <w:rFonts w:ascii="Arial" w:hAnsi="Arial" w:cs="Arial"/>
      <w:vanish/>
      <w:sz w:val="16"/>
      <w:szCs w:val="16"/>
    </w:rPr>
  </w:style>
  <w:style w:type="character" w:customStyle="1" w:styleId="UnresolvedMention2">
    <w:name w:val="Unresolved Mention2"/>
    <w:basedOn w:val="DefaultParagraphFont"/>
    <w:uiPriority w:val="99"/>
    <w:semiHidden/>
    <w:unhideWhenUsed/>
    <w:rsid w:val="00ED28D9"/>
    <w:rPr>
      <w:color w:val="605E5C"/>
      <w:shd w:val="clear" w:color="auto" w:fill="E1DFDD"/>
    </w:rPr>
  </w:style>
  <w:style w:type="character" w:customStyle="1" w:styleId="y2iqfc">
    <w:name w:val="y2iqfc"/>
    <w:basedOn w:val="DefaultParagraphFont"/>
    <w:rsid w:val="00F825C7"/>
  </w:style>
  <w:style w:type="character" w:styleId="FollowedHyperlink">
    <w:name w:val="FollowedHyperlink"/>
    <w:basedOn w:val="DefaultParagraphFont"/>
    <w:uiPriority w:val="99"/>
    <w:semiHidden/>
    <w:unhideWhenUsed/>
    <w:rsid w:val="00774FD6"/>
    <w:rPr>
      <w:color w:val="954F72" w:themeColor="followedHyperlink"/>
      <w:u w:val="single"/>
    </w:rPr>
  </w:style>
  <w:style w:type="character" w:customStyle="1" w:styleId="wtoffscreen">
    <w:name w:val="wtoffscreen"/>
    <w:basedOn w:val="DefaultParagraphFont"/>
    <w:rsid w:val="005E1E8B"/>
  </w:style>
  <w:style w:type="character" w:customStyle="1" w:styleId="UnresolvedMention3">
    <w:name w:val="Unresolved Mention3"/>
    <w:basedOn w:val="DefaultParagraphFont"/>
    <w:uiPriority w:val="99"/>
    <w:semiHidden/>
    <w:unhideWhenUsed/>
    <w:rsid w:val="00DC049E"/>
    <w:rPr>
      <w:color w:val="605E5C"/>
      <w:shd w:val="clear" w:color="auto" w:fill="E1DFDD"/>
    </w:rPr>
  </w:style>
  <w:style w:type="paragraph" w:customStyle="1" w:styleId="emission">
    <w:name w:val="emission"/>
    <w:basedOn w:val="Normal"/>
    <w:rsid w:val="00855B62"/>
    <w:pPr>
      <w:spacing w:before="100" w:beforeAutospacing="1" w:after="100" w:afterAutospacing="1"/>
    </w:pPr>
    <w:rPr>
      <w:lang w:eastAsia="lv-LV"/>
    </w:rPr>
  </w:style>
  <w:style w:type="paragraph" w:customStyle="1" w:styleId="rfrenceinstitutionnelle">
    <w:name w:val="rfrenceinstitutionnelle"/>
    <w:basedOn w:val="Normal"/>
    <w:rsid w:val="00855B62"/>
    <w:pPr>
      <w:spacing w:before="100" w:beforeAutospacing="1" w:after="100" w:afterAutospacing="1"/>
    </w:pPr>
    <w:rPr>
      <w:lang w:eastAsia="lv-LV"/>
    </w:rPr>
  </w:style>
  <w:style w:type="paragraph" w:customStyle="1" w:styleId="typedudocumentcp">
    <w:name w:val="typedudocument_cp"/>
    <w:basedOn w:val="Normal"/>
    <w:rsid w:val="00855B62"/>
    <w:pPr>
      <w:spacing w:before="100" w:beforeAutospacing="1" w:after="100" w:afterAutospacing="1"/>
    </w:pPr>
    <w:rPr>
      <w:lang w:eastAsia="lv-LV"/>
    </w:rPr>
  </w:style>
  <w:style w:type="paragraph" w:customStyle="1" w:styleId="titreobjetcp">
    <w:name w:val="titreobjet_cp"/>
    <w:basedOn w:val="Normal"/>
    <w:rsid w:val="00855B62"/>
    <w:pPr>
      <w:spacing w:before="100" w:beforeAutospacing="1" w:after="100" w:afterAutospacing="1"/>
    </w:pPr>
    <w:rPr>
      <w:lang w:eastAsia="lv-LV"/>
    </w:rPr>
  </w:style>
  <w:style w:type="paragraph" w:customStyle="1" w:styleId="oj-doc-ti">
    <w:name w:val="oj-doc-ti"/>
    <w:basedOn w:val="Normal"/>
    <w:rsid w:val="00BE48CB"/>
    <w:pPr>
      <w:spacing w:before="100" w:beforeAutospacing="1" w:after="100" w:afterAutospacing="1"/>
    </w:pPr>
    <w:rPr>
      <w:lang w:eastAsia="lv-LV"/>
    </w:rPr>
  </w:style>
  <w:style w:type="paragraph" w:customStyle="1" w:styleId="text-align-justify">
    <w:name w:val="text-align-justify"/>
    <w:basedOn w:val="Normal"/>
    <w:rsid w:val="000E5E91"/>
    <w:pPr>
      <w:spacing w:before="100" w:beforeAutospacing="1" w:after="100" w:afterAutospacing="1"/>
    </w:pPr>
    <w:rPr>
      <w:lang w:eastAsia="lv-LV"/>
    </w:rPr>
  </w:style>
  <w:style w:type="paragraph" w:customStyle="1" w:styleId="naisf">
    <w:name w:val="naisf"/>
    <w:basedOn w:val="Normal"/>
    <w:uiPriority w:val="99"/>
    <w:rsid w:val="00F171C8"/>
    <w:pPr>
      <w:spacing w:before="75" w:after="75"/>
      <w:ind w:firstLine="375"/>
      <w:jc w:val="both"/>
    </w:pPr>
    <w:rPr>
      <w:lang w:eastAsia="lv-LV"/>
    </w:rPr>
  </w:style>
  <w:style w:type="character" w:customStyle="1" w:styleId="numbered-fieldnumber-numeral">
    <w:name w:val="numbered-field__number-numeral"/>
    <w:basedOn w:val="DefaultParagraphFont"/>
    <w:rsid w:val="00550F5B"/>
  </w:style>
  <w:style w:type="character" w:customStyle="1" w:styleId="UnresolvedMention4">
    <w:name w:val="Unresolved Mention4"/>
    <w:basedOn w:val="DefaultParagraphFont"/>
    <w:uiPriority w:val="99"/>
    <w:semiHidden/>
    <w:unhideWhenUsed/>
    <w:rsid w:val="00E710DD"/>
    <w:rPr>
      <w:color w:val="605E5C"/>
      <w:shd w:val="clear" w:color="auto" w:fill="E1DFDD"/>
    </w:rPr>
  </w:style>
  <w:style w:type="character" w:customStyle="1" w:styleId="italic">
    <w:name w:val="italic"/>
    <w:basedOn w:val="DefaultParagraphFont"/>
    <w:rsid w:val="000839DC"/>
  </w:style>
  <w:style w:type="character" w:styleId="UnresolvedMention">
    <w:name w:val="Unresolved Mention"/>
    <w:basedOn w:val="DefaultParagraphFont"/>
    <w:uiPriority w:val="99"/>
    <w:semiHidden/>
    <w:unhideWhenUsed/>
    <w:rsid w:val="00CA7E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3950">
      <w:bodyDiv w:val="1"/>
      <w:marLeft w:val="0"/>
      <w:marRight w:val="0"/>
      <w:marTop w:val="0"/>
      <w:marBottom w:val="0"/>
      <w:divBdr>
        <w:top w:val="none" w:sz="0" w:space="0" w:color="auto"/>
        <w:left w:val="none" w:sz="0" w:space="0" w:color="auto"/>
        <w:bottom w:val="none" w:sz="0" w:space="0" w:color="auto"/>
        <w:right w:val="none" w:sz="0" w:space="0" w:color="auto"/>
      </w:divBdr>
    </w:div>
    <w:div w:id="48455689">
      <w:bodyDiv w:val="1"/>
      <w:marLeft w:val="0"/>
      <w:marRight w:val="0"/>
      <w:marTop w:val="0"/>
      <w:marBottom w:val="0"/>
      <w:divBdr>
        <w:top w:val="none" w:sz="0" w:space="0" w:color="auto"/>
        <w:left w:val="none" w:sz="0" w:space="0" w:color="auto"/>
        <w:bottom w:val="none" w:sz="0" w:space="0" w:color="auto"/>
        <w:right w:val="none" w:sz="0" w:space="0" w:color="auto"/>
      </w:divBdr>
    </w:div>
    <w:div w:id="67504744">
      <w:bodyDiv w:val="1"/>
      <w:marLeft w:val="0"/>
      <w:marRight w:val="0"/>
      <w:marTop w:val="0"/>
      <w:marBottom w:val="0"/>
      <w:divBdr>
        <w:top w:val="none" w:sz="0" w:space="0" w:color="auto"/>
        <w:left w:val="none" w:sz="0" w:space="0" w:color="auto"/>
        <w:bottom w:val="none" w:sz="0" w:space="0" w:color="auto"/>
        <w:right w:val="none" w:sz="0" w:space="0" w:color="auto"/>
      </w:divBdr>
    </w:div>
    <w:div w:id="141584278">
      <w:bodyDiv w:val="1"/>
      <w:marLeft w:val="0"/>
      <w:marRight w:val="0"/>
      <w:marTop w:val="0"/>
      <w:marBottom w:val="0"/>
      <w:divBdr>
        <w:top w:val="none" w:sz="0" w:space="0" w:color="auto"/>
        <w:left w:val="none" w:sz="0" w:space="0" w:color="auto"/>
        <w:bottom w:val="none" w:sz="0" w:space="0" w:color="auto"/>
        <w:right w:val="none" w:sz="0" w:space="0" w:color="auto"/>
      </w:divBdr>
    </w:div>
    <w:div w:id="143856732">
      <w:bodyDiv w:val="1"/>
      <w:marLeft w:val="0"/>
      <w:marRight w:val="0"/>
      <w:marTop w:val="0"/>
      <w:marBottom w:val="0"/>
      <w:divBdr>
        <w:top w:val="none" w:sz="0" w:space="0" w:color="auto"/>
        <w:left w:val="none" w:sz="0" w:space="0" w:color="auto"/>
        <w:bottom w:val="none" w:sz="0" w:space="0" w:color="auto"/>
        <w:right w:val="none" w:sz="0" w:space="0" w:color="auto"/>
      </w:divBdr>
    </w:div>
    <w:div w:id="145099155">
      <w:bodyDiv w:val="1"/>
      <w:marLeft w:val="0"/>
      <w:marRight w:val="0"/>
      <w:marTop w:val="0"/>
      <w:marBottom w:val="0"/>
      <w:divBdr>
        <w:top w:val="none" w:sz="0" w:space="0" w:color="auto"/>
        <w:left w:val="none" w:sz="0" w:space="0" w:color="auto"/>
        <w:bottom w:val="none" w:sz="0" w:space="0" w:color="auto"/>
        <w:right w:val="none" w:sz="0" w:space="0" w:color="auto"/>
      </w:divBdr>
    </w:div>
    <w:div w:id="202207031">
      <w:bodyDiv w:val="1"/>
      <w:marLeft w:val="0"/>
      <w:marRight w:val="0"/>
      <w:marTop w:val="0"/>
      <w:marBottom w:val="0"/>
      <w:divBdr>
        <w:top w:val="none" w:sz="0" w:space="0" w:color="auto"/>
        <w:left w:val="none" w:sz="0" w:space="0" w:color="auto"/>
        <w:bottom w:val="none" w:sz="0" w:space="0" w:color="auto"/>
        <w:right w:val="none" w:sz="0" w:space="0" w:color="auto"/>
      </w:divBdr>
    </w:div>
    <w:div w:id="205340303">
      <w:bodyDiv w:val="1"/>
      <w:marLeft w:val="0"/>
      <w:marRight w:val="0"/>
      <w:marTop w:val="0"/>
      <w:marBottom w:val="0"/>
      <w:divBdr>
        <w:top w:val="none" w:sz="0" w:space="0" w:color="auto"/>
        <w:left w:val="none" w:sz="0" w:space="0" w:color="auto"/>
        <w:bottom w:val="none" w:sz="0" w:space="0" w:color="auto"/>
        <w:right w:val="none" w:sz="0" w:space="0" w:color="auto"/>
      </w:divBdr>
    </w:div>
    <w:div w:id="213196736">
      <w:bodyDiv w:val="1"/>
      <w:marLeft w:val="0"/>
      <w:marRight w:val="0"/>
      <w:marTop w:val="0"/>
      <w:marBottom w:val="0"/>
      <w:divBdr>
        <w:top w:val="none" w:sz="0" w:space="0" w:color="auto"/>
        <w:left w:val="none" w:sz="0" w:space="0" w:color="auto"/>
        <w:bottom w:val="none" w:sz="0" w:space="0" w:color="auto"/>
        <w:right w:val="none" w:sz="0" w:space="0" w:color="auto"/>
      </w:divBdr>
    </w:div>
    <w:div w:id="246691259">
      <w:bodyDiv w:val="1"/>
      <w:marLeft w:val="0"/>
      <w:marRight w:val="0"/>
      <w:marTop w:val="0"/>
      <w:marBottom w:val="0"/>
      <w:divBdr>
        <w:top w:val="none" w:sz="0" w:space="0" w:color="auto"/>
        <w:left w:val="none" w:sz="0" w:space="0" w:color="auto"/>
        <w:bottom w:val="none" w:sz="0" w:space="0" w:color="auto"/>
        <w:right w:val="none" w:sz="0" w:space="0" w:color="auto"/>
      </w:divBdr>
    </w:div>
    <w:div w:id="257979853">
      <w:bodyDiv w:val="1"/>
      <w:marLeft w:val="0"/>
      <w:marRight w:val="0"/>
      <w:marTop w:val="0"/>
      <w:marBottom w:val="0"/>
      <w:divBdr>
        <w:top w:val="none" w:sz="0" w:space="0" w:color="auto"/>
        <w:left w:val="none" w:sz="0" w:space="0" w:color="auto"/>
        <w:bottom w:val="none" w:sz="0" w:space="0" w:color="auto"/>
        <w:right w:val="none" w:sz="0" w:space="0" w:color="auto"/>
      </w:divBdr>
    </w:div>
    <w:div w:id="284429813">
      <w:bodyDiv w:val="1"/>
      <w:marLeft w:val="0"/>
      <w:marRight w:val="0"/>
      <w:marTop w:val="0"/>
      <w:marBottom w:val="0"/>
      <w:divBdr>
        <w:top w:val="none" w:sz="0" w:space="0" w:color="auto"/>
        <w:left w:val="none" w:sz="0" w:space="0" w:color="auto"/>
        <w:bottom w:val="none" w:sz="0" w:space="0" w:color="auto"/>
        <w:right w:val="none" w:sz="0" w:space="0" w:color="auto"/>
      </w:divBdr>
    </w:div>
    <w:div w:id="290212382">
      <w:bodyDiv w:val="1"/>
      <w:marLeft w:val="0"/>
      <w:marRight w:val="0"/>
      <w:marTop w:val="0"/>
      <w:marBottom w:val="0"/>
      <w:divBdr>
        <w:top w:val="none" w:sz="0" w:space="0" w:color="auto"/>
        <w:left w:val="none" w:sz="0" w:space="0" w:color="auto"/>
        <w:bottom w:val="none" w:sz="0" w:space="0" w:color="auto"/>
        <w:right w:val="none" w:sz="0" w:space="0" w:color="auto"/>
      </w:divBdr>
    </w:div>
    <w:div w:id="297956317">
      <w:bodyDiv w:val="1"/>
      <w:marLeft w:val="0"/>
      <w:marRight w:val="0"/>
      <w:marTop w:val="0"/>
      <w:marBottom w:val="0"/>
      <w:divBdr>
        <w:top w:val="none" w:sz="0" w:space="0" w:color="auto"/>
        <w:left w:val="none" w:sz="0" w:space="0" w:color="auto"/>
        <w:bottom w:val="none" w:sz="0" w:space="0" w:color="auto"/>
        <w:right w:val="none" w:sz="0" w:space="0" w:color="auto"/>
      </w:divBdr>
    </w:div>
    <w:div w:id="317854474">
      <w:bodyDiv w:val="1"/>
      <w:marLeft w:val="0"/>
      <w:marRight w:val="0"/>
      <w:marTop w:val="0"/>
      <w:marBottom w:val="0"/>
      <w:divBdr>
        <w:top w:val="none" w:sz="0" w:space="0" w:color="auto"/>
        <w:left w:val="none" w:sz="0" w:space="0" w:color="auto"/>
        <w:bottom w:val="none" w:sz="0" w:space="0" w:color="auto"/>
        <w:right w:val="none" w:sz="0" w:space="0" w:color="auto"/>
      </w:divBdr>
    </w:div>
    <w:div w:id="334000161">
      <w:bodyDiv w:val="1"/>
      <w:marLeft w:val="0"/>
      <w:marRight w:val="0"/>
      <w:marTop w:val="0"/>
      <w:marBottom w:val="0"/>
      <w:divBdr>
        <w:top w:val="none" w:sz="0" w:space="0" w:color="auto"/>
        <w:left w:val="none" w:sz="0" w:space="0" w:color="auto"/>
        <w:bottom w:val="none" w:sz="0" w:space="0" w:color="auto"/>
        <w:right w:val="none" w:sz="0" w:space="0" w:color="auto"/>
      </w:divBdr>
    </w:div>
    <w:div w:id="351731761">
      <w:bodyDiv w:val="1"/>
      <w:marLeft w:val="0"/>
      <w:marRight w:val="0"/>
      <w:marTop w:val="0"/>
      <w:marBottom w:val="0"/>
      <w:divBdr>
        <w:top w:val="none" w:sz="0" w:space="0" w:color="auto"/>
        <w:left w:val="none" w:sz="0" w:space="0" w:color="auto"/>
        <w:bottom w:val="none" w:sz="0" w:space="0" w:color="auto"/>
        <w:right w:val="none" w:sz="0" w:space="0" w:color="auto"/>
      </w:divBdr>
    </w:div>
    <w:div w:id="361169844">
      <w:bodyDiv w:val="1"/>
      <w:marLeft w:val="0"/>
      <w:marRight w:val="0"/>
      <w:marTop w:val="0"/>
      <w:marBottom w:val="0"/>
      <w:divBdr>
        <w:top w:val="none" w:sz="0" w:space="0" w:color="auto"/>
        <w:left w:val="none" w:sz="0" w:space="0" w:color="auto"/>
        <w:bottom w:val="none" w:sz="0" w:space="0" w:color="auto"/>
        <w:right w:val="none" w:sz="0" w:space="0" w:color="auto"/>
      </w:divBdr>
    </w:div>
    <w:div w:id="366761463">
      <w:bodyDiv w:val="1"/>
      <w:marLeft w:val="0"/>
      <w:marRight w:val="0"/>
      <w:marTop w:val="0"/>
      <w:marBottom w:val="0"/>
      <w:divBdr>
        <w:top w:val="none" w:sz="0" w:space="0" w:color="auto"/>
        <w:left w:val="none" w:sz="0" w:space="0" w:color="auto"/>
        <w:bottom w:val="none" w:sz="0" w:space="0" w:color="auto"/>
        <w:right w:val="none" w:sz="0" w:space="0" w:color="auto"/>
      </w:divBdr>
    </w:div>
    <w:div w:id="377242272">
      <w:bodyDiv w:val="1"/>
      <w:marLeft w:val="0"/>
      <w:marRight w:val="0"/>
      <w:marTop w:val="0"/>
      <w:marBottom w:val="0"/>
      <w:divBdr>
        <w:top w:val="none" w:sz="0" w:space="0" w:color="auto"/>
        <w:left w:val="none" w:sz="0" w:space="0" w:color="auto"/>
        <w:bottom w:val="none" w:sz="0" w:space="0" w:color="auto"/>
        <w:right w:val="none" w:sz="0" w:space="0" w:color="auto"/>
      </w:divBdr>
    </w:div>
    <w:div w:id="390619459">
      <w:bodyDiv w:val="1"/>
      <w:marLeft w:val="0"/>
      <w:marRight w:val="0"/>
      <w:marTop w:val="0"/>
      <w:marBottom w:val="0"/>
      <w:divBdr>
        <w:top w:val="none" w:sz="0" w:space="0" w:color="auto"/>
        <w:left w:val="none" w:sz="0" w:space="0" w:color="auto"/>
        <w:bottom w:val="none" w:sz="0" w:space="0" w:color="auto"/>
        <w:right w:val="none" w:sz="0" w:space="0" w:color="auto"/>
      </w:divBdr>
    </w:div>
    <w:div w:id="448940596">
      <w:bodyDiv w:val="1"/>
      <w:marLeft w:val="0"/>
      <w:marRight w:val="0"/>
      <w:marTop w:val="0"/>
      <w:marBottom w:val="0"/>
      <w:divBdr>
        <w:top w:val="none" w:sz="0" w:space="0" w:color="auto"/>
        <w:left w:val="none" w:sz="0" w:space="0" w:color="auto"/>
        <w:bottom w:val="none" w:sz="0" w:space="0" w:color="auto"/>
        <w:right w:val="none" w:sz="0" w:space="0" w:color="auto"/>
      </w:divBdr>
    </w:div>
    <w:div w:id="491022611">
      <w:bodyDiv w:val="1"/>
      <w:marLeft w:val="0"/>
      <w:marRight w:val="0"/>
      <w:marTop w:val="0"/>
      <w:marBottom w:val="0"/>
      <w:divBdr>
        <w:top w:val="none" w:sz="0" w:space="0" w:color="auto"/>
        <w:left w:val="none" w:sz="0" w:space="0" w:color="auto"/>
        <w:bottom w:val="none" w:sz="0" w:space="0" w:color="auto"/>
        <w:right w:val="none" w:sz="0" w:space="0" w:color="auto"/>
      </w:divBdr>
    </w:div>
    <w:div w:id="502862289">
      <w:bodyDiv w:val="1"/>
      <w:marLeft w:val="0"/>
      <w:marRight w:val="0"/>
      <w:marTop w:val="0"/>
      <w:marBottom w:val="0"/>
      <w:divBdr>
        <w:top w:val="none" w:sz="0" w:space="0" w:color="auto"/>
        <w:left w:val="none" w:sz="0" w:space="0" w:color="auto"/>
        <w:bottom w:val="none" w:sz="0" w:space="0" w:color="auto"/>
        <w:right w:val="none" w:sz="0" w:space="0" w:color="auto"/>
      </w:divBdr>
    </w:div>
    <w:div w:id="525561157">
      <w:bodyDiv w:val="1"/>
      <w:marLeft w:val="0"/>
      <w:marRight w:val="0"/>
      <w:marTop w:val="0"/>
      <w:marBottom w:val="0"/>
      <w:divBdr>
        <w:top w:val="none" w:sz="0" w:space="0" w:color="auto"/>
        <w:left w:val="none" w:sz="0" w:space="0" w:color="auto"/>
        <w:bottom w:val="none" w:sz="0" w:space="0" w:color="auto"/>
        <w:right w:val="none" w:sz="0" w:space="0" w:color="auto"/>
      </w:divBdr>
    </w:div>
    <w:div w:id="564100571">
      <w:bodyDiv w:val="1"/>
      <w:marLeft w:val="0"/>
      <w:marRight w:val="0"/>
      <w:marTop w:val="0"/>
      <w:marBottom w:val="0"/>
      <w:divBdr>
        <w:top w:val="none" w:sz="0" w:space="0" w:color="auto"/>
        <w:left w:val="none" w:sz="0" w:space="0" w:color="auto"/>
        <w:bottom w:val="none" w:sz="0" w:space="0" w:color="auto"/>
        <w:right w:val="none" w:sz="0" w:space="0" w:color="auto"/>
      </w:divBdr>
    </w:div>
    <w:div w:id="567806213">
      <w:bodyDiv w:val="1"/>
      <w:marLeft w:val="0"/>
      <w:marRight w:val="0"/>
      <w:marTop w:val="0"/>
      <w:marBottom w:val="0"/>
      <w:divBdr>
        <w:top w:val="none" w:sz="0" w:space="0" w:color="auto"/>
        <w:left w:val="none" w:sz="0" w:space="0" w:color="auto"/>
        <w:bottom w:val="none" w:sz="0" w:space="0" w:color="auto"/>
        <w:right w:val="none" w:sz="0" w:space="0" w:color="auto"/>
      </w:divBdr>
      <w:divsChild>
        <w:div w:id="197817089">
          <w:marLeft w:val="0"/>
          <w:marRight w:val="0"/>
          <w:marTop w:val="0"/>
          <w:marBottom w:val="0"/>
          <w:divBdr>
            <w:top w:val="none" w:sz="0" w:space="0" w:color="auto"/>
            <w:left w:val="none" w:sz="0" w:space="0" w:color="auto"/>
            <w:bottom w:val="none" w:sz="0" w:space="0" w:color="auto"/>
            <w:right w:val="none" w:sz="0" w:space="0" w:color="auto"/>
          </w:divBdr>
        </w:div>
      </w:divsChild>
    </w:div>
    <w:div w:id="579601913">
      <w:bodyDiv w:val="1"/>
      <w:marLeft w:val="0"/>
      <w:marRight w:val="0"/>
      <w:marTop w:val="0"/>
      <w:marBottom w:val="0"/>
      <w:divBdr>
        <w:top w:val="none" w:sz="0" w:space="0" w:color="auto"/>
        <w:left w:val="none" w:sz="0" w:space="0" w:color="auto"/>
        <w:bottom w:val="none" w:sz="0" w:space="0" w:color="auto"/>
        <w:right w:val="none" w:sz="0" w:space="0" w:color="auto"/>
      </w:divBdr>
    </w:div>
    <w:div w:id="581331316">
      <w:bodyDiv w:val="1"/>
      <w:marLeft w:val="0"/>
      <w:marRight w:val="0"/>
      <w:marTop w:val="0"/>
      <w:marBottom w:val="0"/>
      <w:divBdr>
        <w:top w:val="none" w:sz="0" w:space="0" w:color="auto"/>
        <w:left w:val="none" w:sz="0" w:space="0" w:color="auto"/>
        <w:bottom w:val="none" w:sz="0" w:space="0" w:color="auto"/>
        <w:right w:val="none" w:sz="0" w:space="0" w:color="auto"/>
      </w:divBdr>
    </w:div>
    <w:div w:id="605232696">
      <w:bodyDiv w:val="1"/>
      <w:marLeft w:val="0"/>
      <w:marRight w:val="0"/>
      <w:marTop w:val="0"/>
      <w:marBottom w:val="0"/>
      <w:divBdr>
        <w:top w:val="none" w:sz="0" w:space="0" w:color="auto"/>
        <w:left w:val="none" w:sz="0" w:space="0" w:color="auto"/>
        <w:bottom w:val="none" w:sz="0" w:space="0" w:color="auto"/>
        <w:right w:val="none" w:sz="0" w:space="0" w:color="auto"/>
      </w:divBdr>
    </w:div>
    <w:div w:id="609629440">
      <w:bodyDiv w:val="1"/>
      <w:marLeft w:val="0"/>
      <w:marRight w:val="0"/>
      <w:marTop w:val="0"/>
      <w:marBottom w:val="0"/>
      <w:divBdr>
        <w:top w:val="none" w:sz="0" w:space="0" w:color="auto"/>
        <w:left w:val="none" w:sz="0" w:space="0" w:color="auto"/>
        <w:bottom w:val="none" w:sz="0" w:space="0" w:color="auto"/>
        <w:right w:val="none" w:sz="0" w:space="0" w:color="auto"/>
      </w:divBdr>
    </w:div>
    <w:div w:id="615983117">
      <w:bodyDiv w:val="1"/>
      <w:marLeft w:val="0"/>
      <w:marRight w:val="0"/>
      <w:marTop w:val="0"/>
      <w:marBottom w:val="0"/>
      <w:divBdr>
        <w:top w:val="none" w:sz="0" w:space="0" w:color="auto"/>
        <w:left w:val="none" w:sz="0" w:space="0" w:color="auto"/>
        <w:bottom w:val="none" w:sz="0" w:space="0" w:color="auto"/>
        <w:right w:val="none" w:sz="0" w:space="0" w:color="auto"/>
      </w:divBdr>
    </w:div>
    <w:div w:id="632098950">
      <w:bodyDiv w:val="1"/>
      <w:marLeft w:val="0"/>
      <w:marRight w:val="0"/>
      <w:marTop w:val="0"/>
      <w:marBottom w:val="0"/>
      <w:divBdr>
        <w:top w:val="none" w:sz="0" w:space="0" w:color="auto"/>
        <w:left w:val="none" w:sz="0" w:space="0" w:color="auto"/>
        <w:bottom w:val="none" w:sz="0" w:space="0" w:color="auto"/>
        <w:right w:val="none" w:sz="0" w:space="0" w:color="auto"/>
      </w:divBdr>
    </w:div>
    <w:div w:id="639379452">
      <w:bodyDiv w:val="1"/>
      <w:marLeft w:val="0"/>
      <w:marRight w:val="0"/>
      <w:marTop w:val="0"/>
      <w:marBottom w:val="0"/>
      <w:divBdr>
        <w:top w:val="none" w:sz="0" w:space="0" w:color="auto"/>
        <w:left w:val="none" w:sz="0" w:space="0" w:color="auto"/>
        <w:bottom w:val="none" w:sz="0" w:space="0" w:color="auto"/>
        <w:right w:val="none" w:sz="0" w:space="0" w:color="auto"/>
      </w:divBdr>
    </w:div>
    <w:div w:id="674377650">
      <w:bodyDiv w:val="1"/>
      <w:marLeft w:val="0"/>
      <w:marRight w:val="0"/>
      <w:marTop w:val="0"/>
      <w:marBottom w:val="0"/>
      <w:divBdr>
        <w:top w:val="none" w:sz="0" w:space="0" w:color="auto"/>
        <w:left w:val="none" w:sz="0" w:space="0" w:color="auto"/>
        <w:bottom w:val="none" w:sz="0" w:space="0" w:color="auto"/>
        <w:right w:val="none" w:sz="0" w:space="0" w:color="auto"/>
      </w:divBdr>
    </w:div>
    <w:div w:id="678429203">
      <w:bodyDiv w:val="1"/>
      <w:marLeft w:val="0"/>
      <w:marRight w:val="0"/>
      <w:marTop w:val="0"/>
      <w:marBottom w:val="0"/>
      <w:divBdr>
        <w:top w:val="none" w:sz="0" w:space="0" w:color="auto"/>
        <w:left w:val="none" w:sz="0" w:space="0" w:color="auto"/>
        <w:bottom w:val="none" w:sz="0" w:space="0" w:color="auto"/>
        <w:right w:val="none" w:sz="0" w:space="0" w:color="auto"/>
      </w:divBdr>
      <w:divsChild>
        <w:div w:id="147693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4529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947633">
      <w:bodyDiv w:val="1"/>
      <w:marLeft w:val="0"/>
      <w:marRight w:val="0"/>
      <w:marTop w:val="0"/>
      <w:marBottom w:val="0"/>
      <w:divBdr>
        <w:top w:val="none" w:sz="0" w:space="0" w:color="auto"/>
        <w:left w:val="none" w:sz="0" w:space="0" w:color="auto"/>
        <w:bottom w:val="none" w:sz="0" w:space="0" w:color="auto"/>
        <w:right w:val="none" w:sz="0" w:space="0" w:color="auto"/>
      </w:divBdr>
    </w:div>
    <w:div w:id="706224939">
      <w:bodyDiv w:val="1"/>
      <w:marLeft w:val="0"/>
      <w:marRight w:val="0"/>
      <w:marTop w:val="0"/>
      <w:marBottom w:val="0"/>
      <w:divBdr>
        <w:top w:val="none" w:sz="0" w:space="0" w:color="auto"/>
        <w:left w:val="none" w:sz="0" w:space="0" w:color="auto"/>
        <w:bottom w:val="none" w:sz="0" w:space="0" w:color="auto"/>
        <w:right w:val="none" w:sz="0" w:space="0" w:color="auto"/>
      </w:divBdr>
    </w:div>
    <w:div w:id="719283591">
      <w:bodyDiv w:val="1"/>
      <w:marLeft w:val="0"/>
      <w:marRight w:val="0"/>
      <w:marTop w:val="0"/>
      <w:marBottom w:val="0"/>
      <w:divBdr>
        <w:top w:val="none" w:sz="0" w:space="0" w:color="auto"/>
        <w:left w:val="none" w:sz="0" w:space="0" w:color="auto"/>
        <w:bottom w:val="none" w:sz="0" w:space="0" w:color="auto"/>
        <w:right w:val="none" w:sz="0" w:space="0" w:color="auto"/>
      </w:divBdr>
    </w:div>
    <w:div w:id="724181639">
      <w:bodyDiv w:val="1"/>
      <w:marLeft w:val="0"/>
      <w:marRight w:val="0"/>
      <w:marTop w:val="0"/>
      <w:marBottom w:val="0"/>
      <w:divBdr>
        <w:top w:val="none" w:sz="0" w:space="0" w:color="auto"/>
        <w:left w:val="none" w:sz="0" w:space="0" w:color="auto"/>
        <w:bottom w:val="none" w:sz="0" w:space="0" w:color="auto"/>
        <w:right w:val="none" w:sz="0" w:space="0" w:color="auto"/>
      </w:divBdr>
    </w:div>
    <w:div w:id="731277242">
      <w:bodyDiv w:val="1"/>
      <w:marLeft w:val="0"/>
      <w:marRight w:val="0"/>
      <w:marTop w:val="0"/>
      <w:marBottom w:val="0"/>
      <w:divBdr>
        <w:top w:val="none" w:sz="0" w:space="0" w:color="auto"/>
        <w:left w:val="none" w:sz="0" w:space="0" w:color="auto"/>
        <w:bottom w:val="none" w:sz="0" w:space="0" w:color="auto"/>
        <w:right w:val="none" w:sz="0" w:space="0" w:color="auto"/>
      </w:divBdr>
    </w:div>
    <w:div w:id="742483275">
      <w:bodyDiv w:val="1"/>
      <w:marLeft w:val="0"/>
      <w:marRight w:val="0"/>
      <w:marTop w:val="0"/>
      <w:marBottom w:val="0"/>
      <w:divBdr>
        <w:top w:val="none" w:sz="0" w:space="0" w:color="auto"/>
        <w:left w:val="none" w:sz="0" w:space="0" w:color="auto"/>
        <w:bottom w:val="none" w:sz="0" w:space="0" w:color="auto"/>
        <w:right w:val="none" w:sz="0" w:space="0" w:color="auto"/>
      </w:divBdr>
    </w:div>
    <w:div w:id="759788688">
      <w:bodyDiv w:val="1"/>
      <w:marLeft w:val="0"/>
      <w:marRight w:val="0"/>
      <w:marTop w:val="0"/>
      <w:marBottom w:val="0"/>
      <w:divBdr>
        <w:top w:val="none" w:sz="0" w:space="0" w:color="auto"/>
        <w:left w:val="none" w:sz="0" w:space="0" w:color="auto"/>
        <w:bottom w:val="none" w:sz="0" w:space="0" w:color="auto"/>
        <w:right w:val="none" w:sz="0" w:space="0" w:color="auto"/>
      </w:divBdr>
    </w:div>
    <w:div w:id="796526855">
      <w:bodyDiv w:val="1"/>
      <w:marLeft w:val="0"/>
      <w:marRight w:val="0"/>
      <w:marTop w:val="0"/>
      <w:marBottom w:val="0"/>
      <w:divBdr>
        <w:top w:val="none" w:sz="0" w:space="0" w:color="auto"/>
        <w:left w:val="none" w:sz="0" w:space="0" w:color="auto"/>
        <w:bottom w:val="none" w:sz="0" w:space="0" w:color="auto"/>
        <w:right w:val="none" w:sz="0" w:space="0" w:color="auto"/>
      </w:divBdr>
    </w:div>
    <w:div w:id="800806425">
      <w:bodyDiv w:val="1"/>
      <w:marLeft w:val="0"/>
      <w:marRight w:val="0"/>
      <w:marTop w:val="0"/>
      <w:marBottom w:val="0"/>
      <w:divBdr>
        <w:top w:val="none" w:sz="0" w:space="0" w:color="auto"/>
        <w:left w:val="none" w:sz="0" w:space="0" w:color="auto"/>
        <w:bottom w:val="none" w:sz="0" w:space="0" w:color="auto"/>
        <w:right w:val="none" w:sz="0" w:space="0" w:color="auto"/>
      </w:divBdr>
    </w:div>
    <w:div w:id="818962433">
      <w:bodyDiv w:val="1"/>
      <w:marLeft w:val="0"/>
      <w:marRight w:val="0"/>
      <w:marTop w:val="0"/>
      <w:marBottom w:val="0"/>
      <w:divBdr>
        <w:top w:val="none" w:sz="0" w:space="0" w:color="auto"/>
        <w:left w:val="none" w:sz="0" w:space="0" w:color="auto"/>
        <w:bottom w:val="none" w:sz="0" w:space="0" w:color="auto"/>
        <w:right w:val="none" w:sz="0" w:space="0" w:color="auto"/>
      </w:divBdr>
    </w:div>
    <w:div w:id="823424687">
      <w:bodyDiv w:val="1"/>
      <w:marLeft w:val="0"/>
      <w:marRight w:val="0"/>
      <w:marTop w:val="0"/>
      <w:marBottom w:val="0"/>
      <w:divBdr>
        <w:top w:val="none" w:sz="0" w:space="0" w:color="auto"/>
        <w:left w:val="none" w:sz="0" w:space="0" w:color="auto"/>
        <w:bottom w:val="none" w:sz="0" w:space="0" w:color="auto"/>
        <w:right w:val="none" w:sz="0" w:space="0" w:color="auto"/>
      </w:divBdr>
    </w:div>
    <w:div w:id="887760698">
      <w:bodyDiv w:val="1"/>
      <w:marLeft w:val="0"/>
      <w:marRight w:val="0"/>
      <w:marTop w:val="0"/>
      <w:marBottom w:val="0"/>
      <w:divBdr>
        <w:top w:val="none" w:sz="0" w:space="0" w:color="auto"/>
        <w:left w:val="none" w:sz="0" w:space="0" w:color="auto"/>
        <w:bottom w:val="none" w:sz="0" w:space="0" w:color="auto"/>
        <w:right w:val="none" w:sz="0" w:space="0" w:color="auto"/>
      </w:divBdr>
    </w:div>
    <w:div w:id="888494736">
      <w:bodyDiv w:val="1"/>
      <w:marLeft w:val="0"/>
      <w:marRight w:val="0"/>
      <w:marTop w:val="0"/>
      <w:marBottom w:val="0"/>
      <w:divBdr>
        <w:top w:val="none" w:sz="0" w:space="0" w:color="auto"/>
        <w:left w:val="none" w:sz="0" w:space="0" w:color="auto"/>
        <w:bottom w:val="none" w:sz="0" w:space="0" w:color="auto"/>
        <w:right w:val="none" w:sz="0" w:space="0" w:color="auto"/>
      </w:divBdr>
    </w:div>
    <w:div w:id="889727546">
      <w:bodyDiv w:val="1"/>
      <w:marLeft w:val="0"/>
      <w:marRight w:val="0"/>
      <w:marTop w:val="0"/>
      <w:marBottom w:val="0"/>
      <w:divBdr>
        <w:top w:val="none" w:sz="0" w:space="0" w:color="auto"/>
        <w:left w:val="none" w:sz="0" w:space="0" w:color="auto"/>
        <w:bottom w:val="none" w:sz="0" w:space="0" w:color="auto"/>
        <w:right w:val="none" w:sz="0" w:space="0" w:color="auto"/>
      </w:divBdr>
    </w:div>
    <w:div w:id="898981741">
      <w:bodyDiv w:val="1"/>
      <w:marLeft w:val="0"/>
      <w:marRight w:val="0"/>
      <w:marTop w:val="0"/>
      <w:marBottom w:val="0"/>
      <w:divBdr>
        <w:top w:val="none" w:sz="0" w:space="0" w:color="auto"/>
        <w:left w:val="none" w:sz="0" w:space="0" w:color="auto"/>
        <w:bottom w:val="none" w:sz="0" w:space="0" w:color="auto"/>
        <w:right w:val="none" w:sz="0" w:space="0" w:color="auto"/>
      </w:divBdr>
    </w:div>
    <w:div w:id="933897779">
      <w:bodyDiv w:val="1"/>
      <w:marLeft w:val="0"/>
      <w:marRight w:val="0"/>
      <w:marTop w:val="0"/>
      <w:marBottom w:val="0"/>
      <w:divBdr>
        <w:top w:val="none" w:sz="0" w:space="0" w:color="auto"/>
        <w:left w:val="none" w:sz="0" w:space="0" w:color="auto"/>
        <w:bottom w:val="none" w:sz="0" w:space="0" w:color="auto"/>
        <w:right w:val="none" w:sz="0" w:space="0" w:color="auto"/>
      </w:divBdr>
    </w:div>
    <w:div w:id="952785771">
      <w:bodyDiv w:val="1"/>
      <w:marLeft w:val="0"/>
      <w:marRight w:val="0"/>
      <w:marTop w:val="0"/>
      <w:marBottom w:val="0"/>
      <w:divBdr>
        <w:top w:val="none" w:sz="0" w:space="0" w:color="auto"/>
        <w:left w:val="none" w:sz="0" w:space="0" w:color="auto"/>
        <w:bottom w:val="none" w:sz="0" w:space="0" w:color="auto"/>
        <w:right w:val="none" w:sz="0" w:space="0" w:color="auto"/>
      </w:divBdr>
    </w:div>
    <w:div w:id="982276379">
      <w:bodyDiv w:val="1"/>
      <w:marLeft w:val="0"/>
      <w:marRight w:val="0"/>
      <w:marTop w:val="0"/>
      <w:marBottom w:val="0"/>
      <w:divBdr>
        <w:top w:val="none" w:sz="0" w:space="0" w:color="auto"/>
        <w:left w:val="none" w:sz="0" w:space="0" w:color="auto"/>
        <w:bottom w:val="none" w:sz="0" w:space="0" w:color="auto"/>
        <w:right w:val="none" w:sz="0" w:space="0" w:color="auto"/>
      </w:divBdr>
    </w:div>
    <w:div w:id="987395255">
      <w:bodyDiv w:val="1"/>
      <w:marLeft w:val="0"/>
      <w:marRight w:val="0"/>
      <w:marTop w:val="0"/>
      <w:marBottom w:val="0"/>
      <w:divBdr>
        <w:top w:val="none" w:sz="0" w:space="0" w:color="auto"/>
        <w:left w:val="none" w:sz="0" w:space="0" w:color="auto"/>
        <w:bottom w:val="none" w:sz="0" w:space="0" w:color="auto"/>
        <w:right w:val="none" w:sz="0" w:space="0" w:color="auto"/>
      </w:divBdr>
    </w:div>
    <w:div w:id="988435324">
      <w:bodyDiv w:val="1"/>
      <w:marLeft w:val="0"/>
      <w:marRight w:val="0"/>
      <w:marTop w:val="0"/>
      <w:marBottom w:val="0"/>
      <w:divBdr>
        <w:top w:val="none" w:sz="0" w:space="0" w:color="auto"/>
        <w:left w:val="none" w:sz="0" w:space="0" w:color="auto"/>
        <w:bottom w:val="none" w:sz="0" w:space="0" w:color="auto"/>
        <w:right w:val="none" w:sz="0" w:space="0" w:color="auto"/>
      </w:divBdr>
    </w:div>
    <w:div w:id="1048918289">
      <w:bodyDiv w:val="1"/>
      <w:marLeft w:val="0"/>
      <w:marRight w:val="0"/>
      <w:marTop w:val="0"/>
      <w:marBottom w:val="0"/>
      <w:divBdr>
        <w:top w:val="none" w:sz="0" w:space="0" w:color="auto"/>
        <w:left w:val="none" w:sz="0" w:space="0" w:color="auto"/>
        <w:bottom w:val="none" w:sz="0" w:space="0" w:color="auto"/>
        <w:right w:val="none" w:sz="0" w:space="0" w:color="auto"/>
      </w:divBdr>
    </w:div>
    <w:div w:id="1054964789">
      <w:bodyDiv w:val="1"/>
      <w:marLeft w:val="0"/>
      <w:marRight w:val="0"/>
      <w:marTop w:val="0"/>
      <w:marBottom w:val="0"/>
      <w:divBdr>
        <w:top w:val="none" w:sz="0" w:space="0" w:color="auto"/>
        <w:left w:val="none" w:sz="0" w:space="0" w:color="auto"/>
        <w:bottom w:val="none" w:sz="0" w:space="0" w:color="auto"/>
        <w:right w:val="none" w:sz="0" w:space="0" w:color="auto"/>
      </w:divBdr>
    </w:div>
    <w:div w:id="1059402690">
      <w:bodyDiv w:val="1"/>
      <w:marLeft w:val="0"/>
      <w:marRight w:val="0"/>
      <w:marTop w:val="0"/>
      <w:marBottom w:val="0"/>
      <w:divBdr>
        <w:top w:val="none" w:sz="0" w:space="0" w:color="auto"/>
        <w:left w:val="none" w:sz="0" w:space="0" w:color="auto"/>
        <w:bottom w:val="none" w:sz="0" w:space="0" w:color="auto"/>
        <w:right w:val="none" w:sz="0" w:space="0" w:color="auto"/>
      </w:divBdr>
    </w:div>
    <w:div w:id="1065644230">
      <w:bodyDiv w:val="1"/>
      <w:marLeft w:val="0"/>
      <w:marRight w:val="0"/>
      <w:marTop w:val="0"/>
      <w:marBottom w:val="0"/>
      <w:divBdr>
        <w:top w:val="none" w:sz="0" w:space="0" w:color="auto"/>
        <w:left w:val="none" w:sz="0" w:space="0" w:color="auto"/>
        <w:bottom w:val="none" w:sz="0" w:space="0" w:color="auto"/>
        <w:right w:val="none" w:sz="0" w:space="0" w:color="auto"/>
      </w:divBdr>
    </w:div>
    <w:div w:id="1093630012">
      <w:bodyDiv w:val="1"/>
      <w:marLeft w:val="0"/>
      <w:marRight w:val="0"/>
      <w:marTop w:val="0"/>
      <w:marBottom w:val="0"/>
      <w:divBdr>
        <w:top w:val="none" w:sz="0" w:space="0" w:color="auto"/>
        <w:left w:val="none" w:sz="0" w:space="0" w:color="auto"/>
        <w:bottom w:val="none" w:sz="0" w:space="0" w:color="auto"/>
        <w:right w:val="none" w:sz="0" w:space="0" w:color="auto"/>
      </w:divBdr>
    </w:div>
    <w:div w:id="1106383749">
      <w:bodyDiv w:val="1"/>
      <w:marLeft w:val="0"/>
      <w:marRight w:val="0"/>
      <w:marTop w:val="0"/>
      <w:marBottom w:val="0"/>
      <w:divBdr>
        <w:top w:val="none" w:sz="0" w:space="0" w:color="auto"/>
        <w:left w:val="none" w:sz="0" w:space="0" w:color="auto"/>
        <w:bottom w:val="none" w:sz="0" w:space="0" w:color="auto"/>
        <w:right w:val="none" w:sz="0" w:space="0" w:color="auto"/>
      </w:divBdr>
    </w:div>
    <w:div w:id="1137800430">
      <w:bodyDiv w:val="1"/>
      <w:marLeft w:val="0"/>
      <w:marRight w:val="0"/>
      <w:marTop w:val="0"/>
      <w:marBottom w:val="0"/>
      <w:divBdr>
        <w:top w:val="none" w:sz="0" w:space="0" w:color="auto"/>
        <w:left w:val="none" w:sz="0" w:space="0" w:color="auto"/>
        <w:bottom w:val="none" w:sz="0" w:space="0" w:color="auto"/>
        <w:right w:val="none" w:sz="0" w:space="0" w:color="auto"/>
      </w:divBdr>
    </w:div>
    <w:div w:id="1173187342">
      <w:bodyDiv w:val="1"/>
      <w:marLeft w:val="0"/>
      <w:marRight w:val="0"/>
      <w:marTop w:val="0"/>
      <w:marBottom w:val="0"/>
      <w:divBdr>
        <w:top w:val="none" w:sz="0" w:space="0" w:color="auto"/>
        <w:left w:val="none" w:sz="0" w:space="0" w:color="auto"/>
        <w:bottom w:val="none" w:sz="0" w:space="0" w:color="auto"/>
        <w:right w:val="none" w:sz="0" w:space="0" w:color="auto"/>
      </w:divBdr>
    </w:div>
    <w:div w:id="1192064034">
      <w:bodyDiv w:val="1"/>
      <w:marLeft w:val="0"/>
      <w:marRight w:val="0"/>
      <w:marTop w:val="0"/>
      <w:marBottom w:val="0"/>
      <w:divBdr>
        <w:top w:val="none" w:sz="0" w:space="0" w:color="auto"/>
        <w:left w:val="none" w:sz="0" w:space="0" w:color="auto"/>
        <w:bottom w:val="none" w:sz="0" w:space="0" w:color="auto"/>
        <w:right w:val="none" w:sz="0" w:space="0" w:color="auto"/>
      </w:divBdr>
    </w:div>
    <w:div w:id="1192693729">
      <w:bodyDiv w:val="1"/>
      <w:marLeft w:val="0"/>
      <w:marRight w:val="0"/>
      <w:marTop w:val="0"/>
      <w:marBottom w:val="0"/>
      <w:divBdr>
        <w:top w:val="none" w:sz="0" w:space="0" w:color="auto"/>
        <w:left w:val="none" w:sz="0" w:space="0" w:color="auto"/>
        <w:bottom w:val="none" w:sz="0" w:space="0" w:color="auto"/>
        <w:right w:val="none" w:sz="0" w:space="0" w:color="auto"/>
      </w:divBdr>
    </w:div>
    <w:div w:id="1205949966">
      <w:bodyDiv w:val="1"/>
      <w:marLeft w:val="0"/>
      <w:marRight w:val="0"/>
      <w:marTop w:val="0"/>
      <w:marBottom w:val="0"/>
      <w:divBdr>
        <w:top w:val="none" w:sz="0" w:space="0" w:color="auto"/>
        <w:left w:val="none" w:sz="0" w:space="0" w:color="auto"/>
        <w:bottom w:val="none" w:sz="0" w:space="0" w:color="auto"/>
        <w:right w:val="none" w:sz="0" w:space="0" w:color="auto"/>
      </w:divBdr>
    </w:div>
    <w:div w:id="1245728881">
      <w:bodyDiv w:val="1"/>
      <w:marLeft w:val="0"/>
      <w:marRight w:val="0"/>
      <w:marTop w:val="0"/>
      <w:marBottom w:val="0"/>
      <w:divBdr>
        <w:top w:val="none" w:sz="0" w:space="0" w:color="auto"/>
        <w:left w:val="none" w:sz="0" w:space="0" w:color="auto"/>
        <w:bottom w:val="none" w:sz="0" w:space="0" w:color="auto"/>
        <w:right w:val="none" w:sz="0" w:space="0" w:color="auto"/>
      </w:divBdr>
    </w:div>
    <w:div w:id="1311907223">
      <w:bodyDiv w:val="1"/>
      <w:marLeft w:val="0"/>
      <w:marRight w:val="0"/>
      <w:marTop w:val="0"/>
      <w:marBottom w:val="0"/>
      <w:divBdr>
        <w:top w:val="none" w:sz="0" w:space="0" w:color="auto"/>
        <w:left w:val="none" w:sz="0" w:space="0" w:color="auto"/>
        <w:bottom w:val="none" w:sz="0" w:space="0" w:color="auto"/>
        <w:right w:val="none" w:sz="0" w:space="0" w:color="auto"/>
      </w:divBdr>
    </w:div>
    <w:div w:id="1313636177">
      <w:bodyDiv w:val="1"/>
      <w:marLeft w:val="0"/>
      <w:marRight w:val="0"/>
      <w:marTop w:val="0"/>
      <w:marBottom w:val="0"/>
      <w:divBdr>
        <w:top w:val="none" w:sz="0" w:space="0" w:color="auto"/>
        <w:left w:val="none" w:sz="0" w:space="0" w:color="auto"/>
        <w:bottom w:val="none" w:sz="0" w:space="0" w:color="auto"/>
        <w:right w:val="none" w:sz="0" w:space="0" w:color="auto"/>
      </w:divBdr>
    </w:div>
    <w:div w:id="1325355783">
      <w:bodyDiv w:val="1"/>
      <w:marLeft w:val="0"/>
      <w:marRight w:val="0"/>
      <w:marTop w:val="0"/>
      <w:marBottom w:val="0"/>
      <w:divBdr>
        <w:top w:val="none" w:sz="0" w:space="0" w:color="auto"/>
        <w:left w:val="none" w:sz="0" w:space="0" w:color="auto"/>
        <w:bottom w:val="none" w:sz="0" w:space="0" w:color="auto"/>
        <w:right w:val="none" w:sz="0" w:space="0" w:color="auto"/>
      </w:divBdr>
    </w:div>
    <w:div w:id="1346055680">
      <w:bodyDiv w:val="1"/>
      <w:marLeft w:val="0"/>
      <w:marRight w:val="0"/>
      <w:marTop w:val="0"/>
      <w:marBottom w:val="0"/>
      <w:divBdr>
        <w:top w:val="none" w:sz="0" w:space="0" w:color="auto"/>
        <w:left w:val="none" w:sz="0" w:space="0" w:color="auto"/>
        <w:bottom w:val="none" w:sz="0" w:space="0" w:color="auto"/>
        <w:right w:val="none" w:sz="0" w:space="0" w:color="auto"/>
      </w:divBdr>
    </w:div>
    <w:div w:id="1354186028">
      <w:bodyDiv w:val="1"/>
      <w:marLeft w:val="0"/>
      <w:marRight w:val="0"/>
      <w:marTop w:val="0"/>
      <w:marBottom w:val="0"/>
      <w:divBdr>
        <w:top w:val="none" w:sz="0" w:space="0" w:color="auto"/>
        <w:left w:val="none" w:sz="0" w:space="0" w:color="auto"/>
        <w:bottom w:val="none" w:sz="0" w:space="0" w:color="auto"/>
        <w:right w:val="none" w:sz="0" w:space="0" w:color="auto"/>
      </w:divBdr>
    </w:div>
    <w:div w:id="1356275944">
      <w:bodyDiv w:val="1"/>
      <w:marLeft w:val="0"/>
      <w:marRight w:val="0"/>
      <w:marTop w:val="0"/>
      <w:marBottom w:val="0"/>
      <w:divBdr>
        <w:top w:val="none" w:sz="0" w:space="0" w:color="auto"/>
        <w:left w:val="none" w:sz="0" w:space="0" w:color="auto"/>
        <w:bottom w:val="none" w:sz="0" w:space="0" w:color="auto"/>
        <w:right w:val="none" w:sz="0" w:space="0" w:color="auto"/>
      </w:divBdr>
    </w:div>
    <w:div w:id="1356348663">
      <w:bodyDiv w:val="1"/>
      <w:marLeft w:val="0"/>
      <w:marRight w:val="0"/>
      <w:marTop w:val="0"/>
      <w:marBottom w:val="0"/>
      <w:divBdr>
        <w:top w:val="none" w:sz="0" w:space="0" w:color="auto"/>
        <w:left w:val="none" w:sz="0" w:space="0" w:color="auto"/>
        <w:bottom w:val="none" w:sz="0" w:space="0" w:color="auto"/>
        <w:right w:val="none" w:sz="0" w:space="0" w:color="auto"/>
      </w:divBdr>
    </w:div>
    <w:div w:id="1356419833">
      <w:bodyDiv w:val="1"/>
      <w:marLeft w:val="0"/>
      <w:marRight w:val="0"/>
      <w:marTop w:val="0"/>
      <w:marBottom w:val="0"/>
      <w:divBdr>
        <w:top w:val="none" w:sz="0" w:space="0" w:color="auto"/>
        <w:left w:val="none" w:sz="0" w:space="0" w:color="auto"/>
        <w:bottom w:val="none" w:sz="0" w:space="0" w:color="auto"/>
        <w:right w:val="none" w:sz="0" w:space="0" w:color="auto"/>
      </w:divBdr>
      <w:divsChild>
        <w:div w:id="996886435">
          <w:marLeft w:val="0"/>
          <w:marRight w:val="0"/>
          <w:marTop w:val="480"/>
          <w:marBottom w:val="480"/>
          <w:divBdr>
            <w:top w:val="none" w:sz="0" w:space="0" w:color="auto"/>
            <w:left w:val="none" w:sz="0" w:space="0" w:color="auto"/>
            <w:bottom w:val="none" w:sz="0" w:space="0" w:color="auto"/>
            <w:right w:val="none" w:sz="0" w:space="0" w:color="auto"/>
          </w:divBdr>
        </w:div>
        <w:div w:id="1404372113">
          <w:marLeft w:val="0"/>
          <w:marRight w:val="0"/>
          <w:marTop w:val="0"/>
          <w:marBottom w:val="0"/>
          <w:divBdr>
            <w:top w:val="none" w:sz="0" w:space="0" w:color="auto"/>
            <w:left w:val="none" w:sz="0" w:space="0" w:color="auto"/>
            <w:bottom w:val="none" w:sz="0" w:space="0" w:color="auto"/>
            <w:right w:val="none" w:sz="0" w:space="0" w:color="auto"/>
          </w:divBdr>
        </w:div>
      </w:divsChild>
    </w:div>
    <w:div w:id="1359621101">
      <w:bodyDiv w:val="1"/>
      <w:marLeft w:val="0"/>
      <w:marRight w:val="0"/>
      <w:marTop w:val="0"/>
      <w:marBottom w:val="0"/>
      <w:divBdr>
        <w:top w:val="none" w:sz="0" w:space="0" w:color="auto"/>
        <w:left w:val="none" w:sz="0" w:space="0" w:color="auto"/>
        <w:bottom w:val="none" w:sz="0" w:space="0" w:color="auto"/>
        <w:right w:val="none" w:sz="0" w:space="0" w:color="auto"/>
      </w:divBdr>
    </w:div>
    <w:div w:id="1365868141">
      <w:bodyDiv w:val="1"/>
      <w:marLeft w:val="0"/>
      <w:marRight w:val="0"/>
      <w:marTop w:val="0"/>
      <w:marBottom w:val="0"/>
      <w:divBdr>
        <w:top w:val="none" w:sz="0" w:space="0" w:color="auto"/>
        <w:left w:val="none" w:sz="0" w:space="0" w:color="auto"/>
        <w:bottom w:val="none" w:sz="0" w:space="0" w:color="auto"/>
        <w:right w:val="none" w:sz="0" w:space="0" w:color="auto"/>
      </w:divBdr>
    </w:div>
    <w:div w:id="1378890330">
      <w:bodyDiv w:val="1"/>
      <w:marLeft w:val="0"/>
      <w:marRight w:val="0"/>
      <w:marTop w:val="0"/>
      <w:marBottom w:val="0"/>
      <w:divBdr>
        <w:top w:val="none" w:sz="0" w:space="0" w:color="auto"/>
        <w:left w:val="none" w:sz="0" w:space="0" w:color="auto"/>
        <w:bottom w:val="none" w:sz="0" w:space="0" w:color="auto"/>
        <w:right w:val="none" w:sz="0" w:space="0" w:color="auto"/>
      </w:divBdr>
    </w:div>
    <w:div w:id="1412851984">
      <w:bodyDiv w:val="1"/>
      <w:marLeft w:val="0"/>
      <w:marRight w:val="0"/>
      <w:marTop w:val="0"/>
      <w:marBottom w:val="0"/>
      <w:divBdr>
        <w:top w:val="none" w:sz="0" w:space="0" w:color="auto"/>
        <w:left w:val="none" w:sz="0" w:space="0" w:color="auto"/>
        <w:bottom w:val="none" w:sz="0" w:space="0" w:color="auto"/>
        <w:right w:val="none" w:sz="0" w:space="0" w:color="auto"/>
      </w:divBdr>
    </w:div>
    <w:div w:id="1447121920">
      <w:bodyDiv w:val="1"/>
      <w:marLeft w:val="0"/>
      <w:marRight w:val="0"/>
      <w:marTop w:val="0"/>
      <w:marBottom w:val="0"/>
      <w:divBdr>
        <w:top w:val="none" w:sz="0" w:space="0" w:color="auto"/>
        <w:left w:val="none" w:sz="0" w:space="0" w:color="auto"/>
        <w:bottom w:val="none" w:sz="0" w:space="0" w:color="auto"/>
        <w:right w:val="none" w:sz="0" w:space="0" w:color="auto"/>
      </w:divBdr>
    </w:div>
    <w:div w:id="1481462092">
      <w:bodyDiv w:val="1"/>
      <w:marLeft w:val="0"/>
      <w:marRight w:val="0"/>
      <w:marTop w:val="0"/>
      <w:marBottom w:val="0"/>
      <w:divBdr>
        <w:top w:val="none" w:sz="0" w:space="0" w:color="auto"/>
        <w:left w:val="none" w:sz="0" w:space="0" w:color="auto"/>
        <w:bottom w:val="none" w:sz="0" w:space="0" w:color="auto"/>
        <w:right w:val="none" w:sz="0" w:space="0" w:color="auto"/>
      </w:divBdr>
    </w:div>
    <w:div w:id="1495610376">
      <w:bodyDiv w:val="1"/>
      <w:marLeft w:val="0"/>
      <w:marRight w:val="0"/>
      <w:marTop w:val="0"/>
      <w:marBottom w:val="0"/>
      <w:divBdr>
        <w:top w:val="none" w:sz="0" w:space="0" w:color="auto"/>
        <w:left w:val="none" w:sz="0" w:space="0" w:color="auto"/>
        <w:bottom w:val="none" w:sz="0" w:space="0" w:color="auto"/>
        <w:right w:val="none" w:sz="0" w:space="0" w:color="auto"/>
      </w:divBdr>
    </w:div>
    <w:div w:id="1500806593">
      <w:bodyDiv w:val="1"/>
      <w:marLeft w:val="0"/>
      <w:marRight w:val="0"/>
      <w:marTop w:val="0"/>
      <w:marBottom w:val="0"/>
      <w:divBdr>
        <w:top w:val="none" w:sz="0" w:space="0" w:color="auto"/>
        <w:left w:val="none" w:sz="0" w:space="0" w:color="auto"/>
        <w:bottom w:val="none" w:sz="0" w:space="0" w:color="auto"/>
        <w:right w:val="none" w:sz="0" w:space="0" w:color="auto"/>
      </w:divBdr>
    </w:div>
    <w:div w:id="1558316414">
      <w:bodyDiv w:val="1"/>
      <w:marLeft w:val="0"/>
      <w:marRight w:val="0"/>
      <w:marTop w:val="0"/>
      <w:marBottom w:val="0"/>
      <w:divBdr>
        <w:top w:val="none" w:sz="0" w:space="0" w:color="auto"/>
        <w:left w:val="none" w:sz="0" w:space="0" w:color="auto"/>
        <w:bottom w:val="none" w:sz="0" w:space="0" w:color="auto"/>
        <w:right w:val="none" w:sz="0" w:space="0" w:color="auto"/>
      </w:divBdr>
    </w:div>
    <w:div w:id="1564217904">
      <w:bodyDiv w:val="1"/>
      <w:marLeft w:val="0"/>
      <w:marRight w:val="0"/>
      <w:marTop w:val="0"/>
      <w:marBottom w:val="0"/>
      <w:divBdr>
        <w:top w:val="none" w:sz="0" w:space="0" w:color="auto"/>
        <w:left w:val="none" w:sz="0" w:space="0" w:color="auto"/>
        <w:bottom w:val="none" w:sz="0" w:space="0" w:color="auto"/>
        <w:right w:val="none" w:sz="0" w:space="0" w:color="auto"/>
      </w:divBdr>
    </w:div>
    <w:div w:id="1622810071">
      <w:bodyDiv w:val="1"/>
      <w:marLeft w:val="0"/>
      <w:marRight w:val="0"/>
      <w:marTop w:val="0"/>
      <w:marBottom w:val="0"/>
      <w:divBdr>
        <w:top w:val="none" w:sz="0" w:space="0" w:color="auto"/>
        <w:left w:val="none" w:sz="0" w:space="0" w:color="auto"/>
        <w:bottom w:val="none" w:sz="0" w:space="0" w:color="auto"/>
        <w:right w:val="none" w:sz="0" w:space="0" w:color="auto"/>
      </w:divBdr>
    </w:div>
    <w:div w:id="1637101161">
      <w:bodyDiv w:val="1"/>
      <w:marLeft w:val="0"/>
      <w:marRight w:val="0"/>
      <w:marTop w:val="0"/>
      <w:marBottom w:val="0"/>
      <w:divBdr>
        <w:top w:val="none" w:sz="0" w:space="0" w:color="auto"/>
        <w:left w:val="none" w:sz="0" w:space="0" w:color="auto"/>
        <w:bottom w:val="none" w:sz="0" w:space="0" w:color="auto"/>
        <w:right w:val="none" w:sz="0" w:space="0" w:color="auto"/>
      </w:divBdr>
    </w:div>
    <w:div w:id="1664355300">
      <w:bodyDiv w:val="1"/>
      <w:marLeft w:val="0"/>
      <w:marRight w:val="0"/>
      <w:marTop w:val="0"/>
      <w:marBottom w:val="0"/>
      <w:divBdr>
        <w:top w:val="none" w:sz="0" w:space="0" w:color="auto"/>
        <w:left w:val="none" w:sz="0" w:space="0" w:color="auto"/>
        <w:bottom w:val="none" w:sz="0" w:space="0" w:color="auto"/>
        <w:right w:val="none" w:sz="0" w:space="0" w:color="auto"/>
      </w:divBdr>
    </w:div>
    <w:div w:id="1682050675">
      <w:bodyDiv w:val="1"/>
      <w:marLeft w:val="0"/>
      <w:marRight w:val="0"/>
      <w:marTop w:val="0"/>
      <w:marBottom w:val="0"/>
      <w:divBdr>
        <w:top w:val="none" w:sz="0" w:space="0" w:color="auto"/>
        <w:left w:val="none" w:sz="0" w:space="0" w:color="auto"/>
        <w:bottom w:val="none" w:sz="0" w:space="0" w:color="auto"/>
        <w:right w:val="none" w:sz="0" w:space="0" w:color="auto"/>
      </w:divBdr>
    </w:div>
    <w:div w:id="1687904226">
      <w:bodyDiv w:val="1"/>
      <w:marLeft w:val="0"/>
      <w:marRight w:val="0"/>
      <w:marTop w:val="0"/>
      <w:marBottom w:val="0"/>
      <w:divBdr>
        <w:top w:val="none" w:sz="0" w:space="0" w:color="auto"/>
        <w:left w:val="none" w:sz="0" w:space="0" w:color="auto"/>
        <w:bottom w:val="none" w:sz="0" w:space="0" w:color="auto"/>
        <w:right w:val="none" w:sz="0" w:space="0" w:color="auto"/>
      </w:divBdr>
    </w:div>
    <w:div w:id="1700353760">
      <w:bodyDiv w:val="1"/>
      <w:marLeft w:val="0"/>
      <w:marRight w:val="0"/>
      <w:marTop w:val="0"/>
      <w:marBottom w:val="0"/>
      <w:divBdr>
        <w:top w:val="none" w:sz="0" w:space="0" w:color="auto"/>
        <w:left w:val="none" w:sz="0" w:space="0" w:color="auto"/>
        <w:bottom w:val="none" w:sz="0" w:space="0" w:color="auto"/>
        <w:right w:val="none" w:sz="0" w:space="0" w:color="auto"/>
      </w:divBdr>
    </w:div>
    <w:div w:id="1731608069">
      <w:bodyDiv w:val="1"/>
      <w:marLeft w:val="0"/>
      <w:marRight w:val="0"/>
      <w:marTop w:val="0"/>
      <w:marBottom w:val="0"/>
      <w:divBdr>
        <w:top w:val="none" w:sz="0" w:space="0" w:color="auto"/>
        <w:left w:val="none" w:sz="0" w:space="0" w:color="auto"/>
        <w:bottom w:val="none" w:sz="0" w:space="0" w:color="auto"/>
        <w:right w:val="none" w:sz="0" w:space="0" w:color="auto"/>
      </w:divBdr>
    </w:div>
    <w:div w:id="1738627155">
      <w:bodyDiv w:val="1"/>
      <w:marLeft w:val="0"/>
      <w:marRight w:val="0"/>
      <w:marTop w:val="0"/>
      <w:marBottom w:val="0"/>
      <w:divBdr>
        <w:top w:val="none" w:sz="0" w:space="0" w:color="auto"/>
        <w:left w:val="none" w:sz="0" w:space="0" w:color="auto"/>
        <w:bottom w:val="none" w:sz="0" w:space="0" w:color="auto"/>
        <w:right w:val="none" w:sz="0" w:space="0" w:color="auto"/>
      </w:divBdr>
    </w:div>
    <w:div w:id="1763450942">
      <w:bodyDiv w:val="1"/>
      <w:marLeft w:val="0"/>
      <w:marRight w:val="0"/>
      <w:marTop w:val="0"/>
      <w:marBottom w:val="0"/>
      <w:divBdr>
        <w:top w:val="none" w:sz="0" w:space="0" w:color="auto"/>
        <w:left w:val="none" w:sz="0" w:space="0" w:color="auto"/>
        <w:bottom w:val="none" w:sz="0" w:space="0" w:color="auto"/>
        <w:right w:val="none" w:sz="0" w:space="0" w:color="auto"/>
      </w:divBdr>
    </w:div>
    <w:div w:id="1773012650">
      <w:bodyDiv w:val="1"/>
      <w:marLeft w:val="0"/>
      <w:marRight w:val="0"/>
      <w:marTop w:val="0"/>
      <w:marBottom w:val="0"/>
      <w:divBdr>
        <w:top w:val="none" w:sz="0" w:space="0" w:color="auto"/>
        <w:left w:val="none" w:sz="0" w:space="0" w:color="auto"/>
        <w:bottom w:val="none" w:sz="0" w:space="0" w:color="auto"/>
        <w:right w:val="none" w:sz="0" w:space="0" w:color="auto"/>
      </w:divBdr>
    </w:div>
    <w:div w:id="1793665782">
      <w:bodyDiv w:val="1"/>
      <w:marLeft w:val="0"/>
      <w:marRight w:val="0"/>
      <w:marTop w:val="0"/>
      <w:marBottom w:val="0"/>
      <w:divBdr>
        <w:top w:val="none" w:sz="0" w:space="0" w:color="auto"/>
        <w:left w:val="none" w:sz="0" w:space="0" w:color="auto"/>
        <w:bottom w:val="none" w:sz="0" w:space="0" w:color="auto"/>
        <w:right w:val="none" w:sz="0" w:space="0" w:color="auto"/>
      </w:divBdr>
      <w:divsChild>
        <w:div w:id="1716853895">
          <w:marLeft w:val="0"/>
          <w:marRight w:val="0"/>
          <w:marTop w:val="0"/>
          <w:marBottom w:val="0"/>
          <w:divBdr>
            <w:top w:val="single" w:sz="6" w:space="0" w:color="D8D8D8"/>
            <w:left w:val="single" w:sz="6" w:space="0" w:color="D8D8D8"/>
            <w:bottom w:val="single" w:sz="6" w:space="0" w:color="D8D8D8"/>
            <w:right w:val="single" w:sz="6" w:space="0" w:color="D8D8D8"/>
          </w:divBdr>
        </w:div>
      </w:divsChild>
    </w:div>
    <w:div w:id="1805393322">
      <w:bodyDiv w:val="1"/>
      <w:marLeft w:val="0"/>
      <w:marRight w:val="0"/>
      <w:marTop w:val="0"/>
      <w:marBottom w:val="0"/>
      <w:divBdr>
        <w:top w:val="none" w:sz="0" w:space="0" w:color="auto"/>
        <w:left w:val="none" w:sz="0" w:space="0" w:color="auto"/>
        <w:bottom w:val="none" w:sz="0" w:space="0" w:color="auto"/>
        <w:right w:val="none" w:sz="0" w:space="0" w:color="auto"/>
      </w:divBdr>
    </w:div>
    <w:div w:id="1867909923">
      <w:bodyDiv w:val="1"/>
      <w:marLeft w:val="0"/>
      <w:marRight w:val="0"/>
      <w:marTop w:val="0"/>
      <w:marBottom w:val="0"/>
      <w:divBdr>
        <w:top w:val="none" w:sz="0" w:space="0" w:color="auto"/>
        <w:left w:val="none" w:sz="0" w:space="0" w:color="auto"/>
        <w:bottom w:val="none" w:sz="0" w:space="0" w:color="auto"/>
        <w:right w:val="none" w:sz="0" w:space="0" w:color="auto"/>
      </w:divBdr>
    </w:div>
    <w:div w:id="1873347874">
      <w:bodyDiv w:val="1"/>
      <w:marLeft w:val="0"/>
      <w:marRight w:val="0"/>
      <w:marTop w:val="0"/>
      <w:marBottom w:val="0"/>
      <w:divBdr>
        <w:top w:val="none" w:sz="0" w:space="0" w:color="auto"/>
        <w:left w:val="none" w:sz="0" w:space="0" w:color="auto"/>
        <w:bottom w:val="none" w:sz="0" w:space="0" w:color="auto"/>
        <w:right w:val="none" w:sz="0" w:space="0" w:color="auto"/>
      </w:divBdr>
    </w:div>
    <w:div w:id="1888058729">
      <w:bodyDiv w:val="1"/>
      <w:marLeft w:val="0"/>
      <w:marRight w:val="0"/>
      <w:marTop w:val="0"/>
      <w:marBottom w:val="0"/>
      <w:divBdr>
        <w:top w:val="none" w:sz="0" w:space="0" w:color="auto"/>
        <w:left w:val="none" w:sz="0" w:space="0" w:color="auto"/>
        <w:bottom w:val="none" w:sz="0" w:space="0" w:color="auto"/>
        <w:right w:val="none" w:sz="0" w:space="0" w:color="auto"/>
      </w:divBdr>
    </w:div>
    <w:div w:id="1890724201">
      <w:bodyDiv w:val="1"/>
      <w:marLeft w:val="0"/>
      <w:marRight w:val="0"/>
      <w:marTop w:val="0"/>
      <w:marBottom w:val="0"/>
      <w:divBdr>
        <w:top w:val="none" w:sz="0" w:space="0" w:color="auto"/>
        <w:left w:val="none" w:sz="0" w:space="0" w:color="auto"/>
        <w:bottom w:val="none" w:sz="0" w:space="0" w:color="auto"/>
        <w:right w:val="none" w:sz="0" w:space="0" w:color="auto"/>
      </w:divBdr>
    </w:div>
    <w:div w:id="1930507520">
      <w:bodyDiv w:val="1"/>
      <w:marLeft w:val="0"/>
      <w:marRight w:val="0"/>
      <w:marTop w:val="0"/>
      <w:marBottom w:val="0"/>
      <w:divBdr>
        <w:top w:val="none" w:sz="0" w:space="0" w:color="auto"/>
        <w:left w:val="none" w:sz="0" w:space="0" w:color="auto"/>
        <w:bottom w:val="none" w:sz="0" w:space="0" w:color="auto"/>
        <w:right w:val="none" w:sz="0" w:space="0" w:color="auto"/>
      </w:divBdr>
    </w:div>
    <w:div w:id="1933002321">
      <w:bodyDiv w:val="1"/>
      <w:marLeft w:val="0"/>
      <w:marRight w:val="0"/>
      <w:marTop w:val="0"/>
      <w:marBottom w:val="0"/>
      <w:divBdr>
        <w:top w:val="none" w:sz="0" w:space="0" w:color="auto"/>
        <w:left w:val="none" w:sz="0" w:space="0" w:color="auto"/>
        <w:bottom w:val="none" w:sz="0" w:space="0" w:color="auto"/>
        <w:right w:val="none" w:sz="0" w:space="0" w:color="auto"/>
      </w:divBdr>
    </w:div>
    <w:div w:id="1980837150">
      <w:bodyDiv w:val="1"/>
      <w:marLeft w:val="0"/>
      <w:marRight w:val="0"/>
      <w:marTop w:val="0"/>
      <w:marBottom w:val="0"/>
      <w:divBdr>
        <w:top w:val="none" w:sz="0" w:space="0" w:color="auto"/>
        <w:left w:val="none" w:sz="0" w:space="0" w:color="auto"/>
        <w:bottom w:val="none" w:sz="0" w:space="0" w:color="auto"/>
        <w:right w:val="none" w:sz="0" w:space="0" w:color="auto"/>
      </w:divBdr>
    </w:div>
    <w:div w:id="1993750645">
      <w:bodyDiv w:val="1"/>
      <w:marLeft w:val="0"/>
      <w:marRight w:val="0"/>
      <w:marTop w:val="0"/>
      <w:marBottom w:val="0"/>
      <w:divBdr>
        <w:top w:val="none" w:sz="0" w:space="0" w:color="auto"/>
        <w:left w:val="none" w:sz="0" w:space="0" w:color="auto"/>
        <w:bottom w:val="none" w:sz="0" w:space="0" w:color="auto"/>
        <w:right w:val="none" w:sz="0" w:space="0" w:color="auto"/>
      </w:divBdr>
    </w:div>
    <w:div w:id="2060395036">
      <w:bodyDiv w:val="1"/>
      <w:marLeft w:val="0"/>
      <w:marRight w:val="0"/>
      <w:marTop w:val="0"/>
      <w:marBottom w:val="0"/>
      <w:divBdr>
        <w:top w:val="none" w:sz="0" w:space="0" w:color="auto"/>
        <w:left w:val="none" w:sz="0" w:space="0" w:color="auto"/>
        <w:bottom w:val="none" w:sz="0" w:space="0" w:color="auto"/>
        <w:right w:val="none" w:sz="0" w:space="0" w:color="auto"/>
      </w:divBdr>
    </w:div>
    <w:div w:id="2067488236">
      <w:bodyDiv w:val="1"/>
      <w:marLeft w:val="0"/>
      <w:marRight w:val="0"/>
      <w:marTop w:val="0"/>
      <w:marBottom w:val="0"/>
      <w:divBdr>
        <w:top w:val="none" w:sz="0" w:space="0" w:color="auto"/>
        <w:left w:val="none" w:sz="0" w:space="0" w:color="auto"/>
        <w:bottom w:val="none" w:sz="0" w:space="0" w:color="auto"/>
        <w:right w:val="none" w:sz="0" w:space="0" w:color="auto"/>
      </w:divBdr>
    </w:div>
    <w:div w:id="2076124052">
      <w:bodyDiv w:val="1"/>
      <w:marLeft w:val="0"/>
      <w:marRight w:val="0"/>
      <w:marTop w:val="0"/>
      <w:marBottom w:val="0"/>
      <w:divBdr>
        <w:top w:val="none" w:sz="0" w:space="0" w:color="auto"/>
        <w:left w:val="none" w:sz="0" w:space="0" w:color="auto"/>
        <w:bottom w:val="none" w:sz="0" w:space="0" w:color="auto"/>
        <w:right w:val="none" w:sz="0" w:space="0" w:color="auto"/>
      </w:divBdr>
    </w:div>
    <w:div w:id="2088378400">
      <w:bodyDiv w:val="1"/>
      <w:marLeft w:val="0"/>
      <w:marRight w:val="0"/>
      <w:marTop w:val="0"/>
      <w:marBottom w:val="0"/>
      <w:divBdr>
        <w:top w:val="none" w:sz="0" w:space="0" w:color="auto"/>
        <w:left w:val="none" w:sz="0" w:space="0" w:color="auto"/>
        <w:bottom w:val="none" w:sz="0" w:space="0" w:color="auto"/>
        <w:right w:val="none" w:sz="0" w:space="0" w:color="auto"/>
      </w:divBdr>
    </w:div>
    <w:div w:id="2104951520">
      <w:bodyDiv w:val="1"/>
      <w:marLeft w:val="0"/>
      <w:marRight w:val="0"/>
      <w:marTop w:val="0"/>
      <w:marBottom w:val="0"/>
      <w:divBdr>
        <w:top w:val="none" w:sz="0" w:space="0" w:color="auto"/>
        <w:left w:val="none" w:sz="0" w:space="0" w:color="auto"/>
        <w:bottom w:val="none" w:sz="0" w:space="0" w:color="auto"/>
        <w:right w:val="none" w:sz="0" w:space="0" w:color="auto"/>
      </w:divBdr>
    </w:div>
    <w:div w:id="2125344464">
      <w:bodyDiv w:val="1"/>
      <w:marLeft w:val="0"/>
      <w:marRight w:val="0"/>
      <w:marTop w:val="0"/>
      <w:marBottom w:val="0"/>
      <w:divBdr>
        <w:top w:val="none" w:sz="0" w:space="0" w:color="auto"/>
        <w:left w:val="none" w:sz="0" w:space="0" w:color="auto"/>
        <w:bottom w:val="none" w:sz="0" w:space="0" w:color="auto"/>
        <w:right w:val="none" w:sz="0" w:space="0" w:color="auto"/>
      </w:divBdr>
    </w:div>
    <w:div w:id="2134059684">
      <w:bodyDiv w:val="1"/>
      <w:marLeft w:val="0"/>
      <w:marRight w:val="0"/>
      <w:marTop w:val="0"/>
      <w:marBottom w:val="0"/>
      <w:divBdr>
        <w:top w:val="none" w:sz="0" w:space="0" w:color="auto"/>
        <w:left w:val="none" w:sz="0" w:space="0" w:color="auto"/>
        <w:bottom w:val="none" w:sz="0" w:space="0" w:color="auto"/>
        <w:right w:val="none" w:sz="0" w:space="0" w:color="auto"/>
      </w:divBdr>
    </w:div>
    <w:div w:id="2134277841">
      <w:bodyDiv w:val="1"/>
      <w:marLeft w:val="0"/>
      <w:marRight w:val="0"/>
      <w:marTop w:val="0"/>
      <w:marBottom w:val="0"/>
      <w:divBdr>
        <w:top w:val="none" w:sz="0" w:space="0" w:color="auto"/>
        <w:left w:val="none" w:sz="0" w:space="0" w:color="auto"/>
        <w:bottom w:val="none" w:sz="0" w:space="0" w:color="auto"/>
        <w:right w:val="none" w:sz="0" w:space="0" w:color="auto"/>
      </w:divBdr>
    </w:div>
    <w:div w:id="213983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94BDBE83090B1442A506A408F33AC795" ma:contentTypeVersion="14" ma:contentTypeDescription="Izveidot jaunu dokumentu." ma:contentTypeScope="" ma:versionID="48b22d4cf510d03e2447cc736529a3fb">
  <xsd:schema xmlns:xsd="http://www.w3.org/2001/XMLSchema" xmlns:xs="http://www.w3.org/2001/XMLSchema" xmlns:p="http://schemas.microsoft.com/office/2006/metadata/properties" xmlns:ns3="f3963b8a-4d74-48f3-9688-f6ab14984c9d" xmlns:ns4="a8b436af-328e-4fe2-b603-442c8f29ea29" targetNamespace="http://schemas.microsoft.com/office/2006/metadata/properties" ma:root="true" ma:fieldsID="b70099c88311123f5c9bc09e6b140e09" ns3:_="" ns4:_="">
    <xsd:import namespace="f3963b8a-4d74-48f3-9688-f6ab14984c9d"/>
    <xsd:import namespace="a8b436af-328e-4fe2-b603-442c8f29ea2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963b8a-4d74-48f3-9688-f6ab14984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b436af-328e-4fe2-b603-442c8f29ea29"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FF15E8-4C1C-402A-8879-52D5DD8719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55D0B0-792C-4CFD-96EE-6C822F66F30D}">
  <ds:schemaRefs>
    <ds:schemaRef ds:uri="http://schemas.openxmlformats.org/officeDocument/2006/bibliography"/>
  </ds:schemaRefs>
</ds:datastoreItem>
</file>

<file path=customXml/itemProps3.xml><?xml version="1.0" encoding="utf-8"?>
<ds:datastoreItem xmlns:ds="http://schemas.openxmlformats.org/officeDocument/2006/customXml" ds:itemID="{F5FEFC0A-FA48-4170-A749-F9C4C2C49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963b8a-4d74-48f3-9688-f6ab14984c9d"/>
    <ds:schemaRef ds:uri="a8b436af-328e-4fe2-b603-442c8f29e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E0E67C-0AAC-4CF3-AB61-6782DE53D5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13766</Words>
  <Characters>7848</Characters>
  <Application>Microsoft Office Word</Application>
  <DocSecurity>0</DocSecurity>
  <Lines>65</Lines>
  <Paragraphs>43</Paragraphs>
  <ScaleCrop>false</ScaleCrop>
  <HeadingPairs>
    <vt:vector size="2" baseType="variant">
      <vt:variant>
        <vt:lpstr>Title</vt:lpstr>
      </vt:variant>
      <vt:variant>
        <vt:i4>1</vt:i4>
      </vt:variant>
    </vt:vector>
  </HeadingPairs>
  <TitlesOfParts>
    <vt:vector size="1" baseType="lpstr">
      <vt:lpstr>Par informatīvo ziņojumu “Par pievienotās vērtības nodokļa likmes diferencēšanu pārtikai”</vt:lpstr>
    </vt:vector>
  </TitlesOfParts>
  <Company>Zemkopības Ministrija</Company>
  <LinksUpToDate>false</LinksUpToDate>
  <CharactersWithSpaces>21571</CharactersWithSpaces>
  <SharedDoc>false</SharedDoc>
  <HLinks>
    <vt:vector size="78" baseType="variant">
      <vt:variant>
        <vt:i4>6684784</vt:i4>
      </vt:variant>
      <vt:variant>
        <vt:i4>3</vt:i4>
      </vt:variant>
      <vt:variant>
        <vt:i4>0</vt:i4>
      </vt:variant>
      <vt:variant>
        <vt:i4>5</vt:i4>
      </vt:variant>
      <vt:variant>
        <vt:lpwstr>https://www.arei.lv/lv</vt:lpwstr>
      </vt:variant>
      <vt:variant>
        <vt:lpwstr/>
      </vt:variant>
      <vt:variant>
        <vt:i4>6684784</vt:i4>
      </vt:variant>
      <vt:variant>
        <vt:i4>0</vt:i4>
      </vt:variant>
      <vt:variant>
        <vt:i4>0</vt:i4>
      </vt:variant>
      <vt:variant>
        <vt:i4>5</vt:i4>
      </vt:variant>
      <vt:variant>
        <vt:lpwstr>https://www.arei.lv/lv</vt:lpwstr>
      </vt:variant>
      <vt:variant>
        <vt:lpwstr/>
      </vt:variant>
      <vt:variant>
        <vt:i4>5570571</vt:i4>
      </vt:variant>
      <vt:variant>
        <vt:i4>30</vt:i4>
      </vt:variant>
      <vt:variant>
        <vt:i4>0</vt:i4>
      </vt:variant>
      <vt:variant>
        <vt:i4>5</vt:i4>
      </vt:variant>
      <vt:variant>
        <vt:lpwstr>https://business-review.eu/news/romanian-government-cuts-vat-for-organic-food-to-5-pct-approves-mini-fiscal-amnesty-for-low-income-earners-200801</vt:lpwstr>
      </vt:variant>
      <vt:variant>
        <vt:lpwstr/>
      </vt:variant>
      <vt:variant>
        <vt:i4>1835012</vt:i4>
      </vt:variant>
      <vt:variant>
        <vt:i4>27</vt:i4>
      </vt:variant>
      <vt:variant>
        <vt:i4>0</vt:i4>
      </vt:variant>
      <vt:variant>
        <vt:i4>5</vt:i4>
      </vt:variant>
      <vt:variant>
        <vt:lpwstr>http://blog.euromonitor.com/2016/02/vat-reduction-romania-retailing.html</vt:lpwstr>
      </vt:variant>
      <vt:variant>
        <vt:lpwstr/>
      </vt:variant>
      <vt:variant>
        <vt:i4>3932286</vt:i4>
      </vt:variant>
      <vt:variant>
        <vt:i4>24</vt:i4>
      </vt:variant>
      <vt:variant>
        <vt:i4>0</vt:i4>
      </vt:variant>
      <vt:variant>
        <vt:i4>5</vt:i4>
      </vt:variant>
      <vt:variant>
        <vt:lpwstr>https://www.romanian-accountants.com/blog/2015/04/the-new-reduced-vat-rate-for-food-to-be-applied-starting-june</vt:lpwstr>
      </vt:variant>
      <vt:variant>
        <vt:lpwstr/>
      </vt:variant>
      <vt:variant>
        <vt:i4>6291495</vt:i4>
      </vt:variant>
      <vt:variant>
        <vt:i4>21</vt:i4>
      </vt:variant>
      <vt:variant>
        <vt:i4>0</vt:i4>
      </vt:variant>
      <vt:variant>
        <vt:i4>5</vt:i4>
      </vt:variant>
      <vt:variant>
        <vt:lpwstr>https://spectator.sme.sk/c/20070826/lower-vat-reduces-prices-on-some-food.html</vt:lpwstr>
      </vt:variant>
      <vt:variant>
        <vt:lpwstr/>
      </vt:variant>
      <vt:variant>
        <vt:i4>1179737</vt:i4>
      </vt:variant>
      <vt:variant>
        <vt:i4>18</vt:i4>
      </vt:variant>
      <vt:variant>
        <vt:i4>0</vt:i4>
      </vt:variant>
      <vt:variant>
        <vt:i4>5</vt:i4>
      </vt:variant>
      <vt:variant>
        <vt:lpwstr>https://spectator.sme.sk/c/20061036/vat-to-be-reduced-on-some-foods.html</vt:lpwstr>
      </vt:variant>
      <vt:variant>
        <vt:lpwstr/>
      </vt:variant>
      <vt:variant>
        <vt:i4>6225946</vt:i4>
      </vt:variant>
      <vt:variant>
        <vt:i4>15</vt:i4>
      </vt:variant>
      <vt:variant>
        <vt:i4>0</vt:i4>
      </vt:variant>
      <vt:variant>
        <vt:i4>5</vt:i4>
      </vt:variant>
      <vt:variant>
        <vt:lpwstr>https://www.mfsr.sk/en/taxes-customs-accounting/indirect-taxes/vat/act-222/2004-coll-on-value-added-tax/in-wording-effective-from-1-january-2020/</vt:lpwstr>
      </vt:variant>
      <vt:variant>
        <vt:lpwstr/>
      </vt:variant>
      <vt:variant>
        <vt:i4>1572892</vt:i4>
      </vt:variant>
      <vt:variant>
        <vt:i4>12</vt:i4>
      </vt:variant>
      <vt:variant>
        <vt:i4>0</vt:i4>
      </vt:variant>
      <vt:variant>
        <vt:i4>5</vt:i4>
      </vt:variant>
      <vt:variant>
        <vt:lpwstr>http://www.sorainen.com/UserFiles/File/Publications/article.The-EU-experience-in-VAT-fraud-combating.2016-11-04.lat.bilances-juridiskie-padomi.sabinev-dacee.pdf</vt:lpwstr>
      </vt:variant>
      <vt:variant>
        <vt:lpwstr/>
      </vt:variant>
      <vt:variant>
        <vt:i4>3670096</vt:i4>
      </vt:variant>
      <vt:variant>
        <vt:i4>9</vt:i4>
      </vt:variant>
      <vt:variant>
        <vt:i4>0</vt:i4>
      </vt:variant>
      <vt:variant>
        <vt:i4>5</vt:i4>
      </vt:variant>
      <vt:variant>
        <vt:lpwstr>https://ec.europa.eu/taxation_customs/tedb/vatSearchForm.html</vt:lpwstr>
      </vt:variant>
      <vt:variant>
        <vt:lpwstr/>
      </vt:variant>
      <vt:variant>
        <vt:i4>3670096</vt:i4>
      </vt:variant>
      <vt:variant>
        <vt:i4>6</vt:i4>
      </vt:variant>
      <vt:variant>
        <vt:i4>0</vt:i4>
      </vt:variant>
      <vt:variant>
        <vt:i4>5</vt:i4>
      </vt:variant>
      <vt:variant>
        <vt:lpwstr>https://ec.europa.eu/taxation_customs/tedb/vatSearchForm.html</vt:lpwstr>
      </vt:variant>
      <vt:variant>
        <vt:lpwstr/>
      </vt:variant>
      <vt:variant>
        <vt:i4>3670096</vt:i4>
      </vt:variant>
      <vt:variant>
        <vt:i4>3</vt:i4>
      </vt:variant>
      <vt:variant>
        <vt:i4>0</vt:i4>
      </vt:variant>
      <vt:variant>
        <vt:i4>5</vt:i4>
      </vt:variant>
      <vt:variant>
        <vt:lpwstr>https://ec.europa.eu/taxation_customs/tedb/vatSearchForm.html</vt:lpwstr>
      </vt:variant>
      <vt:variant>
        <vt:lpwstr/>
      </vt:variant>
      <vt:variant>
        <vt:i4>5242970</vt:i4>
      </vt:variant>
      <vt:variant>
        <vt:i4>0</vt:i4>
      </vt:variant>
      <vt:variant>
        <vt:i4>0</vt:i4>
      </vt:variant>
      <vt:variant>
        <vt:i4>5</vt:i4>
      </vt:variant>
      <vt:variant>
        <vt:lpwstr>https://eur-lex.europa.eu/legal-content/LV/TXT/PDF/?uri=CELEX:52019DC0514&amp;from=EN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informatīvo ziņojumu “Par pievienotās vērtības nodokļa likmes diferencēšanu pārtikai”</dc:title>
  <dc:subject>informatīvais ziņojums</dc:subject>
  <dc:creator>Agrita Karlapa</dc:creator>
  <cp:keywords/>
  <dc:description>Karlapa 67027216 Agrita.Karlapa@zm.gov.lv</dc:description>
  <cp:lastModifiedBy>Agrita Karlapa</cp:lastModifiedBy>
  <cp:revision>2</cp:revision>
  <cp:lastPrinted>2022-08-01T07:14:00Z</cp:lastPrinted>
  <dcterms:created xsi:type="dcterms:W3CDTF">2022-11-24T10:06:00Z</dcterms:created>
  <dcterms:modified xsi:type="dcterms:W3CDTF">2022-11-24T10:06:00Z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0x01010094BDBE83090B1442A506A408F33AC795</vt:lpwstr>
  </property>
</Properties>
</file>