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0A79B32" w14:textId="77777777" w:rsidR="006F69B1" w:rsidRDefault="003F56C3">
      <w:pPr>
        <w:spacing w:before="180"/>
      </w:pPr>
      <w:r>
        <w:rPr>
          <w:b/>
          <w:sz w:val="32"/>
        </w:rPr>
        <w:t>1. Tiesību akta projekta izstrādes nepieciešamība</w:t>
      </w:r>
    </w:p>
    <w:p w14:paraId="38F97C72" w14:textId="77777777" w:rsidR="006F69B1" w:rsidRDefault="003F56C3">
      <w:pPr>
        <w:spacing w:before="90" w:after="90"/>
      </w:pPr>
      <w:r>
        <w:rPr>
          <w:b/>
        </w:rPr>
        <w:t>Anotācijas (ex-ante) nosaukums</w:t>
      </w:r>
    </w:p>
    <w:p w14:paraId="5627EC7E" w14:textId="5A591BF4" w:rsidR="006F69B1" w:rsidRDefault="003F56C3">
      <w:r>
        <w:t xml:space="preserve">Tiesību akta projekta </w:t>
      </w:r>
      <w:r w:rsidR="00685461">
        <w:t>“</w:t>
      </w:r>
      <w:r>
        <w:t xml:space="preserve">Grozījums Ministru kabineta 2011. gada 19. aprīļa noteikumos Nr. 312 </w:t>
      </w:r>
      <w:r w:rsidR="00C37303">
        <w:t>“</w:t>
      </w:r>
      <w:r>
        <w:t>Enerģijas lietotāju apgādes un kurināmā pārdošanas kārtība izsludinātas enerģētiskās krīzes laikā un valsts apdraudējuma gadījumā</w:t>
      </w:r>
      <w:r w:rsidR="00C37303">
        <w:t>””</w:t>
      </w:r>
      <w:r>
        <w:t xml:space="preserve"> sākotnējās ietekmes (ex-ante) novērtējuma ziņojums (anotācija)</w:t>
      </w:r>
    </w:p>
    <w:p w14:paraId="54A8833A" w14:textId="77777777" w:rsidR="006F69B1" w:rsidRDefault="003F56C3">
      <w:pPr>
        <w:spacing w:before="270" w:after="180"/>
      </w:pPr>
      <w:r>
        <w:rPr>
          <w:b/>
          <w:sz w:val="30"/>
        </w:rPr>
        <w:t>1.1. Pamatojums</w:t>
      </w:r>
    </w:p>
    <w:p w14:paraId="5FBF1FA9" w14:textId="77777777" w:rsidR="006F69B1" w:rsidRDefault="003F56C3">
      <w:pPr>
        <w:spacing w:before="90" w:after="90"/>
      </w:pPr>
      <w:r>
        <w:rPr>
          <w:b/>
        </w:rPr>
        <w:t>Izstrādes pamatojums</w:t>
      </w:r>
    </w:p>
    <w:p w14:paraId="422E7D32" w14:textId="77777777" w:rsidR="006F69B1" w:rsidRDefault="003F56C3">
      <w:r>
        <w:t>Ministrijas / iestādes iniciatīva</w:t>
      </w:r>
    </w:p>
    <w:p w14:paraId="0C85C919" w14:textId="77777777" w:rsidR="006F69B1" w:rsidRDefault="003F56C3">
      <w:pPr>
        <w:spacing w:before="90" w:after="90"/>
      </w:pPr>
      <w:r>
        <w:rPr>
          <w:b/>
        </w:rPr>
        <w:t>Apraksts</w:t>
      </w:r>
    </w:p>
    <w:p w14:paraId="03808712" w14:textId="77777777" w:rsidR="006F69B1" w:rsidRDefault="003F56C3">
      <w:r>
        <w:t>Ministru kabineta 2011.gada 19.aprīļa noteikumu Nr. 312 “Enerģijas lietotāju apgādes un kurināmā pārdošanas kārtība izsludinātas enerģētiskās krīzes laikā un valsts apdraudējuma gadījumā” (turpmāk – noteikumi Nr. 312) uzliek pienākumu vienotajam dabasgāzes pārvades un uzglabāšanas sistēmas operatoram uzturēt divas dabasgāzes rezerves:</w:t>
      </w:r>
    </w:p>
    <w:p w14:paraId="74CA7FD9" w14:textId="77777777" w:rsidR="006F69B1" w:rsidRDefault="003F56C3">
      <w:r>
        <w:t>1) dabasgāzes drošības rezerve nodrošināmo lietotāju apgādei enerģētiskās krīzes laikā, ja traucēta dabasgāzes piegāde, kas nodrošināta piegādes standarta apjomā, ievērojot noteikumu Nr. 312 VII</w:t>
      </w:r>
      <w:r w:rsidRPr="00C37303">
        <w:rPr>
          <w:vertAlign w:val="superscript"/>
        </w:rPr>
        <w:t>1</w:t>
      </w:r>
      <w:r>
        <w:t>. nodaļā noteikto par dabasgāzes drošības rezerves izveidošanu;</w:t>
      </w:r>
    </w:p>
    <w:p w14:paraId="17979E85" w14:textId="77777777" w:rsidR="006F69B1" w:rsidRDefault="003F56C3">
      <w:r>
        <w:t>2) rezerve, lai enerģētiskās krīzes laikā nodrošinātu diennaktī nepieciešamo jaudu dabasgāzes izņemšanai no Inčukalna pazemes gāzes krātuves (turpmāk – Inčukalna PGK).</w:t>
      </w:r>
    </w:p>
    <w:p w14:paraId="2EA9235E" w14:textId="77777777" w:rsidR="006F69B1" w:rsidRDefault="003F56C3">
      <w:r>
        <w:t>Pirmā minētā rezerve ir nodrošināma pastāvīgi, savukārt pienākums uzturēt rezervi Inčukalna PGK, lai tehniski nodrošinātu nepieciešamo diennakts jaudu dabasgāzes izņemšanai no Inčukalna PGK (otrā rezerve) enerģētikas krīzes laikā, bija rasts kā laikā terminēts risinājums un ir spēkā vien līdz 2022.gada 1.martam.</w:t>
      </w:r>
    </w:p>
    <w:p w14:paraId="29BE98D4" w14:textId="77777777" w:rsidR="006F69B1" w:rsidRDefault="003F56C3">
      <w:r>
        <w:t>Ņemot vērā dabasgāzes cenu straujo pieaugumu un nepieciešamību rast nākotnes risinājumu dabasgāzes apgādes drošības stiprināšanai, nepieciešams veikt grozījumus noteikumos Nr. 312. Izstrādātais risinājums paredz, ka uz katra gada 1.martu Inčukalna PGK atrodas aktīvās dabasgāzes daudzums, kas nepieciešams Inčukalna PGK diennakts izņemšanas jaudas nodrošināšanai, un vienotais dabasgāzes pārvades un uzglabāšanas sistēmas operators var mainīt  minēto aktīvās dabasgāzes daudzumu, ņemot vērā ietekmējošos faktorus, un to pielāgojot  aktuālajai situācijai. Vienotajam dabasgāzes pārvades un uzglabāšanas sistēmas operatoram, nosakot minēto aktīvās dabasgāzes daudzumu, ir jāizvērtē tādi būtiskākie faktori kā:</w:t>
      </w:r>
    </w:p>
    <w:p w14:paraId="0FF9C207" w14:textId="77777777" w:rsidR="006F69B1" w:rsidRDefault="003F56C3">
      <w:r>
        <w:t>- sagaidāmais Latvijas enerģijas lietotāju dabasgāzes patēriņš martā;</w:t>
      </w:r>
    </w:p>
    <w:p w14:paraId="7B95452E" w14:textId="7491662E" w:rsidR="006F69B1" w:rsidRDefault="003F56C3">
      <w:r>
        <w:t>-</w:t>
      </w:r>
      <w:r w:rsidR="00C37303">
        <w:t> </w:t>
      </w:r>
      <w:r>
        <w:t>sagaidāmais aktīvās dabasgāzes krājumu atlikums Inčukalna PGK, neskaitot nodrošināmo lietotāju apgādei glabāto dabasgāzes daudzumu;</w:t>
      </w:r>
    </w:p>
    <w:p w14:paraId="288BF038" w14:textId="77777777" w:rsidR="006F69B1" w:rsidRDefault="003F56C3">
      <w:r>
        <w:t xml:space="preserve">- Inčukalna PGK inženiertehniskie parametri, pēc kuriem tiek vērtēti infrastruktūras pieejamības riski un iespēja nodrošināt nepieciešamo IPGK maksimālo diennakts </w:t>
      </w:r>
      <w:r>
        <w:lastRenderedPageBreak/>
        <w:t>izņemšanas jaudu katra gada martā un kas tiek atbilstoši pārskatīti, ja ir izveidota iespēja dabasgāzes kompresijas ieguvei.</w:t>
      </w:r>
    </w:p>
    <w:p w14:paraId="1B8B6D96" w14:textId="77777777" w:rsidR="006F69B1" w:rsidRDefault="003F56C3">
      <w:r>
        <w:t>Savukārt, atbilstoši vienotā dabasgāzes pārvades un uzglabāšanas sistēmas operatora sniegtajai informācijai, Inčukalna PGK inženiertehniskiem parametriem būtu jāietver šādi raksturlielumi:</w:t>
      </w:r>
    </w:p>
    <w:p w14:paraId="4EF7D3C8" w14:textId="77777777" w:rsidR="006F69B1" w:rsidRDefault="003F56C3">
      <w:r>
        <w:t>- dabasgāzes apjoms kolektora slānī;</w:t>
      </w:r>
    </w:p>
    <w:p w14:paraId="148473A7" w14:textId="77777777" w:rsidR="006F69B1" w:rsidRDefault="003F56C3">
      <w:r>
        <w:t>- pieejamais neapūdeņoto urbumu skaits;</w:t>
      </w:r>
    </w:p>
    <w:p w14:paraId="385598E6" w14:textId="77777777" w:rsidR="006F69B1" w:rsidRDefault="003F56C3">
      <w:r>
        <w:t>- pieejamo urbumu debets;</w:t>
      </w:r>
    </w:p>
    <w:p w14:paraId="46D7711E" w14:textId="77777777" w:rsidR="006F69B1" w:rsidRDefault="003F56C3">
      <w:r>
        <w:t>- maksimāli pieļaujamais urbumu debets (smilšošanas un ūdens iznešanas risks);</w:t>
      </w:r>
    </w:p>
    <w:p w14:paraId="521B6344" w14:textId="77777777" w:rsidR="006F69B1" w:rsidRDefault="003F56C3">
      <w:r>
        <w:t>- kolektora slāņa dabasgāzes piesātinājums;</w:t>
      </w:r>
    </w:p>
    <w:p w14:paraId="7FBBF999" w14:textId="77777777" w:rsidR="006F69B1" w:rsidRDefault="003F56C3">
      <w:r>
        <w:t>- dabasgāzes spiediens kolektora slānī (saistīts ar ūdens iznesi);</w:t>
      </w:r>
    </w:p>
    <w:p w14:paraId="696350E0" w14:textId="77777777" w:rsidR="006F69B1" w:rsidRDefault="003F56C3">
      <w:r>
        <w:t>- dabasgāzes spiediens uz urbumu galvas;</w:t>
      </w:r>
    </w:p>
    <w:p w14:paraId="2222899A" w14:textId="77777777" w:rsidR="006F69B1" w:rsidRDefault="003F56C3">
      <w:r>
        <w:t>- dabasgāzes spiediens pārvades sistēmā jeb dabasgāzes spiediena starpība starp urbuma galvu un dabasgāzes pārvades sistēmu;</w:t>
      </w:r>
    </w:p>
    <w:p w14:paraId="2205A5D3" w14:textId="77777777" w:rsidR="006F69B1" w:rsidRDefault="003F56C3">
      <w:r>
        <w:t>- gāzes savākšanas punktu pieejamība (ievērojot rekonstrukcijas apstākļus, bez gāzes savākšanas punkta Nr.3);</w:t>
      </w:r>
    </w:p>
    <w:p w14:paraId="4DB75110" w14:textId="77777777" w:rsidR="006F69B1" w:rsidRDefault="003F56C3">
      <w:r>
        <w:t>- gāzes sagatavošanas mezglu pieejamība (dabasgāzes kvalitātes noturēšanas iespējas);</w:t>
      </w:r>
    </w:p>
    <w:p w14:paraId="0CADC29C" w14:textId="77777777" w:rsidR="006F69B1" w:rsidRDefault="003F56C3">
      <w:r>
        <w:t>- citi faktori, kas var būtiski ietekmēt IPGK izņemšanas diennakts jaudu.</w:t>
      </w:r>
    </w:p>
    <w:p w14:paraId="010F8E74" w14:textId="77777777" w:rsidR="006F69B1" w:rsidRDefault="003F56C3">
      <w:r>
        <w:t>Tādējādi vienlaikus tiks stiprināts gan piegādes drošums, enerģijas lietotāju vajadzībām uzturot nepieciešamo dabasgāzes izņemšanas jaudu Inčukalna PGK, gan ieviests optimāls risinājums no izmaksu viedokļa, ievērojot, ka šīs rezerves nodrošināšanas radītās izmaksas tiek ietvertas dabasgāzes pārvades tarifā. Attiecīgi, pielāgojot nepieciešamās rezerves apjomu aktuālajai situācijai Inčukalna PGK, būs iespējams arī mazināt ietekmi uz dabasgāzes pārvades tarifu.</w:t>
      </w:r>
    </w:p>
    <w:p w14:paraId="4CD898F5" w14:textId="77777777" w:rsidR="006F69B1" w:rsidRDefault="003F56C3">
      <w:pPr>
        <w:spacing w:before="270" w:after="180"/>
      </w:pPr>
      <w:r>
        <w:rPr>
          <w:b/>
          <w:sz w:val="30"/>
        </w:rPr>
        <w:t>1.2. Mērķis</w:t>
      </w:r>
    </w:p>
    <w:p w14:paraId="2C70DE46" w14:textId="77777777" w:rsidR="006F69B1" w:rsidRDefault="003F56C3">
      <w:pPr>
        <w:spacing w:before="90" w:after="90"/>
      </w:pPr>
      <w:r>
        <w:rPr>
          <w:b/>
        </w:rPr>
        <w:t>Mērķa apraksts</w:t>
      </w:r>
    </w:p>
    <w:p w14:paraId="010BFE9F" w14:textId="77777777" w:rsidR="006F69B1" w:rsidRDefault="003F56C3">
      <w:r>
        <w:t>Ministru kabineta noteikumu projekta “Grozījumi Ministru kabineta 2011.gada 19.aprīļa noteikumos Nr. 312 “Enerģijas lietotāju apgādes un kurināmā pārdošanas kārtība izsludinātas enerģētiskās krīzes laikā un valsts apdraudējuma gadījumā” (turpmāk – noteikumu projekts) mērķis ir veikt izmaiņas attiecībā uz vienotā dabasgāzes pārvades un uzglabāšanas sistēmas operatora pienākumu enerģētiskās krīzes laikā nodrošināt diennaktī nepieciešamo jaudu dabasgāzes izņemšanai no Inčukalna PGK, kas šobrīd ir spēkā līdz 2022.gada 1.martam.</w:t>
      </w:r>
    </w:p>
    <w:p w14:paraId="4433CF69" w14:textId="77777777" w:rsidR="006F69B1" w:rsidRDefault="003F56C3">
      <w:pPr>
        <w:spacing w:before="90" w:after="90"/>
      </w:pPr>
      <w:r>
        <w:rPr>
          <w:b/>
        </w:rPr>
        <w:t>Spēkā stāšanās termiņš</w:t>
      </w:r>
    </w:p>
    <w:p w14:paraId="12A8CB16" w14:textId="4A5FED0F" w:rsidR="006F69B1" w:rsidRDefault="00F550E4">
      <w:r>
        <w:t>22</w:t>
      </w:r>
      <w:r w:rsidR="003F56C3">
        <w:t>.11.2021.</w:t>
      </w:r>
    </w:p>
    <w:p w14:paraId="7083C50F" w14:textId="77777777" w:rsidR="006F69B1" w:rsidRDefault="003F56C3">
      <w:pPr>
        <w:spacing w:before="90" w:after="90"/>
      </w:pPr>
      <w:r>
        <w:rPr>
          <w:b/>
        </w:rPr>
        <w:t>Pamatojums</w:t>
      </w:r>
    </w:p>
    <w:p w14:paraId="0A2BC7E3" w14:textId="77777777" w:rsidR="006F69B1" w:rsidRDefault="003F56C3">
      <w:r>
        <w:t>Ņemot vērā anotācijā izklāstītos faktorus, ir nepieciešams rast steidzamu risinājumu dabasgāzes apgādes drošības stiprināšanai attiecībā uz dabasgāzes rezervju apjomu Inčukalna PGK.</w:t>
      </w:r>
    </w:p>
    <w:p w14:paraId="4CA0179F" w14:textId="77777777" w:rsidR="006F69B1" w:rsidRDefault="003F56C3">
      <w:r>
        <w:t xml:space="preserve">Līdz ar veiktajām izmaiņām paredzēts, ka pienākums nodrošināt rezervi, lai enerģētiskās krīzes laikā nodrošinātu diennaktī nepieciešamo jaudu dabasgāzes </w:t>
      </w:r>
      <w:r>
        <w:lastRenderedPageBreak/>
        <w:t>izņemšanai no Inčukalna PGK, turpmāk būs pastāvīgs, un vienotais dabasgāzes pārvades un uzglabāšanas sistēmas operators ik gadu līdz noteiktam datumam turpmāk varēs mainīt šī pienākuma izpildei nepieciešamo Inčukalna PGK nodrošināmo uzglabājamo aktīvās dabasgāzes daudzumu, to saskaņojot ar Ekonomikas ministriju un Sabiedrisko pakalpojumu regulēšanas komisiju. Tas vienlaikus nozīmē, ka laika periodā no izņemšanas sezonas sākuma līdz nākamā gada 1.martam vienotajam dabasgāzes pārvades un uzglabāšanas sistēmas operatoram vairs nebūs pienākums Inčukalna PGK nodrošināt fiksēti nemainīgu aktīvās dabasgāzes daudzumu 3160 tūkst. MWh apmērā.</w:t>
      </w:r>
    </w:p>
    <w:p w14:paraId="34B70588" w14:textId="77777777" w:rsidR="006F69B1" w:rsidRDefault="003F56C3">
      <w:pPr>
        <w:spacing w:before="270" w:after="180"/>
      </w:pPr>
      <w:r>
        <w:rPr>
          <w:b/>
          <w:sz w:val="30"/>
        </w:rPr>
        <w:t>1.3. Pašreizējā situācija, problēmas un risinājumi</w:t>
      </w:r>
    </w:p>
    <w:p w14:paraId="6C5BF2EB" w14:textId="77777777" w:rsidR="006F69B1" w:rsidRDefault="003F56C3">
      <w:pPr>
        <w:spacing w:before="90" w:after="90"/>
      </w:pPr>
      <w:r>
        <w:rPr>
          <w:b/>
        </w:rPr>
        <w:t>Pašreizējā situācija</w:t>
      </w:r>
    </w:p>
    <w:p w14:paraId="1E830A46" w14:textId="77777777" w:rsidR="006F69B1" w:rsidRDefault="003F56C3">
      <w:r>
        <w:t>Noteikumi Nr. 312 34.</w:t>
      </w:r>
      <w:r>
        <w:rPr>
          <w:vertAlign w:val="superscript"/>
        </w:rPr>
        <w:t>1</w:t>
      </w:r>
      <w:r>
        <w:t>punkts uzliek pienākumu vienotajam dabasgāzes pārvades un uzglabāšanas sistēmas operatoram enerģētiskās krīzes laikā, ja traucēta dabasgāzes piegāde, dabasgāzi no dabasgāzes drošības rezerves, kas nodrošināta piegādes standarta apjomā, ievērojot Eiropas Parlamenta un Padomes 2017.gada 25.oktobra Regulas (ES) 2017/1938 par gāzes piegādes drošības aizsardzības pasākumiem un ar ko atceļ Regulu (ES) Nr. 994/2010 (turpmāk – Regula 2017/1938), izmantot nodrošināmo lietotāju apgādei. Saskaņā ar noteikumu Nr. 312 4.</w:t>
      </w:r>
      <w:r>
        <w:rPr>
          <w:vertAlign w:val="superscript"/>
        </w:rPr>
        <w:t>1</w:t>
      </w:r>
      <w:r>
        <w:t>punkta pirmo apakšpunktu nodrošināmie lietotāji ir mājsaimniecības, skolas, pirmsskolas izglītības iestādes, slimnīcas, valsts un pašvaldību ilgstošas sociālās aprūpes un sociālās rehabilitācijas institūcijas, krīzes centri, sociālās rehabilitācijas institūcijas personām, kurām izveidojusies atkarība no narkotiskajām, toksiskajām vai citām apreibinošām vielām, avārijas dienesti, telekomunikāciju mezgli, Neatliekamās medicīniskās palīdzības dienests, Valsts ugunsdzēsības un glābšanas dienests, Nacionālie bruņotie spēki, Valsts policija, Valsts robežsardze, valsts drošības iestādes, ūdensapgādes un kanalizācijas stacijas, brīvības atņemšanas iestādes, mobilizējamie civilās aizsardzības formējumi. Šīs dabasgāzes drošības rezerves tiek uzglabātas Inčukalna PGK. Noteikumu Nr. 312 34.</w:t>
      </w:r>
      <w:r w:rsidRPr="00C37303">
        <w:rPr>
          <w:vertAlign w:val="superscript"/>
        </w:rPr>
        <w:t>4</w:t>
      </w:r>
      <w:r>
        <w:t>punktā noteiktās dabasgāzes drošības rezerves apjoms ir atkarīgs no sadales sistēmas operatora un pārvades sistēmas operatora novērtējuma un Ekonomikas ministrijas saskaņojuma par daudzumiem un jaudu, kas nepieciešama, lai izpildītu 34.</w:t>
      </w:r>
      <w:r>
        <w:rPr>
          <w:vertAlign w:val="superscript"/>
        </w:rPr>
        <w:t>1</w:t>
      </w:r>
      <w:r>
        <w:t>punktā noteikto pienākumu. Papildus tam, Ministru kabinets noteikumos Nr. 312 ir noteikts pienākums vienotajam dabasgāzes pārvades un uzglabāšanas sistēmas operatoram nodrošināt aktīvās dabasgāzes daudzumu Inčukalna PGK vismaz 3160 tūkst. MWh apmērā no iesūknēšanas sezonas beigām līdz 2022.gada 1.martam Latvijas patēriņa nodrošināšanai izsludinātas enerģētikas krīzes laikā saskaņā ar noteikumu Nr. 312 12.</w:t>
      </w:r>
      <w:r>
        <w:rPr>
          <w:vertAlign w:val="superscript"/>
        </w:rPr>
        <w:t>1</w:t>
      </w:r>
      <w:r>
        <w:t xml:space="preserve"> un 38.punktu, lai novērstu risku, ka apkures sezonas noslēguma periodā, martā, Inčukalna PGK var nebūt saglabājies pietiekams dabasgāzes krājumu apjoms un ar to saistītā krātuves izņemšanas jauda, kas nepieciešama Latvijas dabasgāzes patēriņa nodrošināšanai atbilstoši teorētiski iespējamajam maksimāli pieprasītajam apjomam.</w:t>
      </w:r>
    </w:p>
    <w:p w14:paraId="242DDE4C" w14:textId="77777777" w:rsidR="006F69B1" w:rsidRDefault="006F69B1"/>
    <w:p w14:paraId="0EB5CC4D" w14:textId="77777777" w:rsidR="006F69B1" w:rsidRDefault="003F56C3">
      <w:r>
        <w:t> </w:t>
      </w:r>
    </w:p>
    <w:p w14:paraId="6F6B4C69" w14:textId="77777777" w:rsidR="006F69B1" w:rsidRDefault="003F56C3">
      <w:pPr>
        <w:spacing w:before="90" w:after="90"/>
      </w:pPr>
      <w:r>
        <w:rPr>
          <w:b/>
        </w:rPr>
        <w:lastRenderedPageBreak/>
        <w:t>Problēmas un risinājumi</w:t>
      </w:r>
    </w:p>
    <w:p w14:paraId="025F38F5" w14:textId="77777777" w:rsidR="006F69B1" w:rsidRDefault="003F56C3">
      <w:pPr>
        <w:spacing w:before="90" w:after="90"/>
      </w:pPr>
      <w:r>
        <w:rPr>
          <w:b/>
        </w:rPr>
        <w:t>Problēmas apraksts</w:t>
      </w:r>
    </w:p>
    <w:p w14:paraId="1A18B632" w14:textId="77777777" w:rsidR="006F69B1" w:rsidRDefault="003F56C3">
      <w:r>
        <w:t>Pēdējā gada laikā visā Eiropā ir novērojams ļoti straujš dabasgāzes cenu kāpums, kā arī tieši dabasgāzes cenu pieaugums ir veicinājis arī citu energoresursu cenu pieaugumu – naftas, elektroenerģijas un siltumenerģijas. Dabasgāzes cenas pieaugumam ir ilgāks “ķēdes” efekts – ilgstoši zema gaisa temperatūra 2020./2021.gada ziemā Eiropā un Āzijā, kā rezultātā pieauga dabasgāzes patēriņš aukstajā periodā; atjaunojoties ražošanai pēc Covid-19 krīzes, arī pieauga pieprasījums pēc dabasgāzes; kā arī karsto laikapstākļu ietekmē uz Āziju tika novirzīts vairums pasaulē pieejamās LNG kravas. Starptautisko ekspertu prognozes liecina, ka  pašreizējais cenu pieaugums būs īslaicīgs, gāzes vairumtirdzniecības cenas saglabāsies augstas ziemas mēnešos un samazināsies, sākot no 2022.gada pavasara. Tomēr tās paliks augstākā līmenī nekā vidēji no 2011.-2020.gadam. Tāpat nākotnes dabasgāzes cenas būs atkarīgas no āra gaisa temperatūras ziemā. Ņemot vērā to, ka dabasgāzes krātuves nav sasniegušas savus optimālos līmeņus ziemas sezonai, pieprasījums pēc cauruļvadu gāzes potenciāli var saglabāties pietiekami augsts, līdz ar to noturot vai pat palielinot dabasgāzes cenu līmeni. Būtisku lomu nosaka pārvades sistēmu tehniskās iespējas – zemāks krājumu līmenis krātuvē proporcionāli samazina jaudu atbilstoša apjoma dabasgāzes izņemšanai no krātuves, līdz ar to lielāku dabasgāzes apjomu ir nepieciešams piegādāt pa cauruļvadiem. Savukārt jo zemāka āra gaisa temperatūra, jo mazāku apjomu dabasgāzes var piegādāt pa cauruļvadiem.</w:t>
      </w:r>
    </w:p>
    <w:p w14:paraId="41124F91" w14:textId="77777777" w:rsidR="006F69B1" w:rsidRDefault="003F56C3">
      <w:r>
        <w:t>Šā brīža prognozētā dabasgāzes cenas starpība starp 2022.gada aprīli un maiju ir negatīva ~10 EUR/MWh, kas nozīmē, ka tā nerada komerciālu motivāciju pārglabāt dabasgāzi nākamajai (2022./2023.gada) sezonai, un krātuvju lietotāji centīsies pēc iespējas ātrāk realizēt šovasar iesūknētos dabasgāzes apjomus, lai aizstātu ar lētāku dabasgāzi nākamajā iesūknēšanas sezonā un izvairītos no finanšu riskiem. Arī 2022./2023.gada krātuves cikla laikā apstākļi gāzes tirgū var būt nelabvēlīgi tirgotāju lēmuma par labu rezervju veidošanai Inčukalna PGK pieņemšanai. Tālākā nākotnē apstākļi, spriežot pēc šobrīd pieejamās informācijas, varētu būt labvēlīgāki dabasgāzes rezervju veidošanai krātuvē, jo, piemēram, 2023./2024.gada krātuves ciklam vasaras/ziemas cenas starpība šobrīd tiek prognozēta 1,425 EUR/MWh.</w:t>
      </w:r>
    </w:p>
    <w:p w14:paraId="76834F61" w14:textId="77777777" w:rsidR="006F69B1" w:rsidRDefault="003F56C3">
      <w:r>
        <w:t xml:space="preserve">Vienlaikus būtiski norādīt, ka saskaņā ar Eiropas Komisijas pētījumu centra </w:t>
      </w:r>
      <w:r>
        <w:rPr>
          <w:i/>
        </w:rPr>
        <w:t>Joint Research Center</w:t>
      </w:r>
      <w:r>
        <w:t xml:space="preserve"> 2016.gadā veiktā pētījuma </w:t>
      </w:r>
      <w:r>
        <w:rPr>
          <w:i/>
        </w:rPr>
        <w:t>Joint Risk Assessment of the Gas System of Estonia, Finland, Latvia and Lithuania</w:t>
      </w:r>
      <w:r>
        <w:t xml:space="preserve"> (turpmāk – pētījums), un, izvēloties scenāriju par neprognozētu spelgoni martā vienas nedēļas laikā, kad Latvijas vidējais patēriņš ir 87,23 tūkst. MWh (8,2 miljoni m</w:t>
      </w:r>
      <w:r>
        <w:rPr>
          <w:vertAlign w:val="superscript"/>
        </w:rPr>
        <w:t>3</w:t>
      </w:r>
      <w:r>
        <w:t>) dabasgāzes dienā jeb 610,63 tūkst. MWh nedēļā (57,4 milj./m</w:t>
      </w:r>
      <w:r>
        <w:rPr>
          <w:vertAlign w:val="superscript"/>
        </w:rPr>
        <w:t>3</w:t>
      </w:r>
      <w:r>
        <w:t>; pētījuma 8.lpp), kā arī, ņemot vērā minimāli nepieciešamo dabasgāzes apjomu Inčukalna PGK, lai nodrošinātu vajadzīgo izņemšanas jaudu šāda apjoma izņemšanai dienā, krātuvē jābūt vismaz 3160 tūkst. MWh (300 milj/m</w:t>
      </w:r>
      <w:r>
        <w:rPr>
          <w:vertAlign w:val="superscript"/>
        </w:rPr>
        <w:t>3</w:t>
      </w:r>
      <w:r>
        <w:t>) aktīvās gāzes.</w:t>
      </w:r>
    </w:p>
    <w:p w14:paraId="2689370C" w14:textId="77777777" w:rsidR="006F69B1" w:rsidRDefault="003F56C3">
      <w:r>
        <w:t>Tomēr kopš 2018.gada ir mainījušies faktiskie apstākļi, uz kuriem balstoties pieņemts pašreizējais regulējums, kā rezultātā, lai sasniegtu noteikumu 12.</w:t>
      </w:r>
      <w:r>
        <w:rPr>
          <w:vertAlign w:val="superscript"/>
        </w:rPr>
        <w:t>1</w:t>
      </w:r>
      <w:r>
        <w:t>punktā noteiktā pienākuma izpildes mērķi, varētu nākties rīkoties nesaimnieciski, radot nesamērīgu izmaksu apjomu un attiecīgi būtiski ietekmēt dabasgāzes pārvades sistēmas pakalpojuma tarifu pieaugumu. Kopš 2020.gada 1.janvāra vienlaikus ar Igaunijas-</w:t>
      </w:r>
      <w:r>
        <w:lastRenderedPageBreak/>
        <w:t>Somijas starpsavienojuma Balticconnector nodošanu ekspluatācijā ir ieviesta vienotā Igaunijas-Latvijas balansēšanas zona. 2022.gadā ir sagaidāma Lietuvas-Polijas starpsavienojuma nodošanas ekspluatācijā. Vienotais dabasgāzes pārvades un uzglabāšanas sistēmas operators  strādā pie dabasgāzes apgādes drošības veicināšanas ilgtermiņa risinājuma un pārskatāmā nākotnē ir sagaidāmas pirmās plūsmas no Inčukalna PGK ar kompresoru palīdzību, kas izņemšanas sezonas nogalē ļautu nozīmīgi palielināt izņemšanas jaudu un mazināt tās atkarību no atlikušā dabasgāzes daudzuma Inčukalna PGK. Līdz šim veiktajos grozījumos noteikumos Nr. 312 nav ņemts vērā apstāklis, ka Inčukalna PGK diennakts izņemšanas jaudas apjoms var būtiski mainīties starp dažādām izņemšanas sezonām atkarībā no Inčukalna PGK darbības tehniskajiem parametriem. Tas savukārt ietver nepieciešamību pārskatīt noteikumu Nr. 312 12.</w:t>
      </w:r>
      <w:r>
        <w:rPr>
          <w:vertAlign w:val="superscript"/>
        </w:rPr>
        <w:t>1</w:t>
      </w:r>
      <w:r>
        <w:t>, 12.</w:t>
      </w:r>
      <w:r>
        <w:rPr>
          <w:vertAlign w:val="superscript"/>
        </w:rPr>
        <w:t>2</w:t>
      </w:r>
      <w:r>
        <w:t xml:space="preserve"> un 12.</w:t>
      </w:r>
      <w:r>
        <w:rPr>
          <w:vertAlign w:val="superscript"/>
        </w:rPr>
        <w:t>3</w:t>
      </w:r>
      <w:r>
        <w:t xml:space="preserve"> punktā noteikto regulējumu, kompresoru, kas palielina Inčukalna PGK diennakts izņemšanas jaudu, nododot ekspluatācijā.</w:t>
      </w:r>
    </w:p>
    <w:p w14:paraId="7911961B" w14:textId="77777777" w:rsidR="006F69B1" w:rsidRDefault="003F56C3">
      <w:r>
        <w:t>Papildus ir jāņem vērā, ka dabasgāzes tirgus ir liberalizēts un mainījusies dabasgāzes tirgus struktūra. Dabasgāzes tirdzniecību ietekmē vairāki faktori un dabasgāzes cenu izmaiņas notiek strauji, kas nozīmē, ka katras sezonas dabasgāzes tirgus stāvoklis ir grūti prognozējams. Tirgus apstākļu izmaiņas var ietekmēt nepieciešamo uzglabājamo dabasgāzes daudzumu, kas var rezultēties, piemēram, piedāvājumu neesamībā, to nepietiekamā apjomā vai nesamērīgi augstā piedāvājumu cenā. Dabasgāzes tirgū, kuram raksturīgas straujas izmaiņas, ir nepieciešams arī elastīgs dabasgāzes apgādes drošības regulējums, lai vienotajam dabasgāzes pārvades un uzglabāšanas sistēmas operatoram pēc iespējas īsākā laika periodā būtu iespējams pielāgoties mainīgajiem tirgus apstākļiem, un dabasgāzes apgādes drošības regulējuma mērķis būtu sasniedzams, neraugoties uz dabasgāzes tirgus izmaiņām.</w:t>
      </w:r>
    </w:p>
    <w:p w14:paraId="32B88657" w14:textId="77777777" w:rsidR="006F69B1" w:rsidRDefault="003F56C3">
      <w:pPr>
        <w:spacing w:before="90" w:after="90"/>
      </w:pPr>
      <w:r>
        <w:rPr>
          <w:b/>
        </w:rPr>
        <w:t>Risinājuma apraksts</w:t>
      </w:r>
    </w:p>
    <w:p w14:paraId="6C068D3F" w14:textId="77777777" w:rsidR="006F69B1" w:rsidRDefault="003F56C3">
      <w:r>
        <w:t>Ņemot vērā iepriekš minētos faktorus, ir nepieciešams rast steidzamu risinājumu dabasgāzes apgādes drošības stiprināšanai attiecībā uz dabasgāzes rezervju apjomu Inčukalna PGK ilgtermiņā. Līdz ar to tiek veikti grozījumi noteikumu Nr. 312 12.</w:t>
      </w:r>
      <w:r>
        <w:rPr>
          <w:vertAlign w:val="superscript"/>
        </w:rPr>
        <w:t>1</w:t>
      </w:r>
      <w:r>
        <w:t xml:space="preserve"> un 12.</w:t>
      </w:r>
      <w:r>
        <w:rPr>
          <w:vertAlign w:val="superscript"/>
        </w:rPr>
        <w:t>3</w:t>
      </w:r>
      <w:r>
        <w:t xml:space="preserve">punktā, kā arī svītrots 38.punkts. Līdz ar veiktajiem grozījumiem paredzēts, ka vienotais dabasgāzes pārvades un uzglabāšanas sistēmas operators nodrošina, ka uz katra gada 1.martu Inčukalna PGK atrodas aktīvās dabasgāzes daudzums, kas nepieciešams Inčukalna PGK diennakts izņemšanas jaudas nodrošināšanai, lai veiktu Latvijas enerģijas lietotāju apgādi ar dabasgāzi, t.sk. enerģētiskas krīzes laikā. Šī pienākuma izpildes nodrošināšanas modeli un pienākuma izpildei nepieciešamo Inčukalna PGK uzglabājamo aktīvās dabasgāzes daudzumu vienotais dabasgāzes pārvades un uzglabāšanas sistēmas operators līdz katra gada 1.aprīlim saskaņo ar Ekonomikas ministriju un Sabiedrisko pakalpojumu regulēšanas komisiju. Savukārt līdz katra gada 1.decembrim vienotais dabasgāzes pārvades un uzglabāšanas sistēmas operators var mainīt šī pienākuma izpildei nepieciešamo Inčukalna PGK nodrošināmo uzglabājamo aktīvās dabasgāzes daudzumu, to saskaņojot ar Ekonomikas ministriju un Sabiedrisko pakalpojumu regulēšanas komisiju. Nepieciešamo grozījumu veikšana noteikumos Nr. 312 vēl pamatojama ar to, ka Inčukalna PGK nepieciešamās diennakts izņemšanas jaudas jeb piegādes drošuma vajadzībām obligāti uzglabājamais aktīvās dabasgāzes daudzums nosakāms ar pietiekamu elastību un, ievērojot pieejamās </w:t>
      </w:r>
      <w:r>
        <w:lastRenderedPageBreak/>
        <w:t>tehniskās alternatīvas, proti, sniedzot iespēju daudzumu pārskatīt, balstoties uz vienotā dabasgāzes pārvades un uzglabāšanas sistēmas operatora novērtējumu, tai skaitā, ņemot vērā tirgus apstākļus, nevis nosakot fiksētu uzglabājamo aktīvās dabasgāzes daudzumu, tādējādi riskējot ar neatbilstoša daudzuma uzglabāšanu Inčukalna PGK.</w:t>
      </w:r>
    </w:p>
    <w:p w14:paraId="52659B54" w14:textId="77777777" w:rsidR="006F69B1" w:rsidRDefault="003F56C3">
      <w:r>
        <w:t>Svītrojot noteikumu Nr. 312 38. punktu, tiek atcelts ierobežojums laikā, kas paredzēja, ka noteikumu Nr. 312  12.</w:t>
      </w:r>
      <w:r>
        <w:rPr>
          <w:vertAlign w:val="superscript"/>
        </w:rPr>
        <w:t>1</w:t>
      </w:r>
      <w:r>
        <w:t>, 12.</w:t>
      </w:r>
      <w:r>
        <w:rPr>
          <w:vertAlign w:val="superscript"/>
        </w:rPr>
        <w:t>2</w:t>
      </w:r>
      <w:r>
        <w:t xml:space="preserve"> un 12.</w:t>
      </w:r>
      <w:r>
        <w:rPr>
          <w:vertAlign w:val="superscript"/>
        </w:rPr>
        <w:t>3</w:t>
      </w:r>
      <w:r>
        <w:t xml:space="preserve"> punkts ir spēkā līdz 2022.gada 1.martam. Tādējādi, līdzīgi, kā pastāvīgas rezerves nodrošināšana saskaņā ar Regulā 2017/1938 noteikto, arī otra rezerve kļūst par ilgtermiņa risinājumu. Ir būtiski turpināt 12.</w:t>
      </w:r>
      <w:r>
        <w:rPr>
          <w:vertAlign w:val="superscript"/>
        </w:rPr>
        <w:t>1</w:t>
      </w:r>
      <w:r>
        <w:t xml:space="preserve"> punktā paredzētā piegādes drošuma pienākuma izpildi arī turpmāk, jo no tā ir atkarīga noteikumu Nr. 312 VII</w:t>
      </w:r>
      <w:r>
        <w:rPr>
          <w:vertAlign w:val="superscript"/>
        </w:rPr>
        <w:t>1</w:t>
      </w:r>
      <w:r>
        <w:t>. nodaļā noteiktās dabasgāzes drošības rezerves, kas paredzēta piegādes standarta apjomā, ievērojot Regulu 2017/1938, nodrošināšana, piegāde un enerģijas lietotāju apgāde kopumā.</w:t>
      </w:r>
    </w:p>
    <w:p w14:paraId="1F04BFA8" w14:textId="77777777" w:rsidR="006F69B1" w:rsidRDefault="003F56C3">
      <w:pPr>
        <w:spacing w:before="90" w:after="90"/>
      </w:pPr>
      <w:r>
        <w:rPr>
          <w:b/>
        </w:rPr>
        <w:t>Vai ir izvērtēti alternatīvie risinājumi?</w:t>
      </w:r>
    </w:p>
    <w:p w14:paraId="14395737" w14:textId="77777777" w:rsidR="006F69B1" w:rsidRDefault="003F56C3">
      <w:r>
        <w:t>Nē</w:t>
      </w:r>
    </w:p>
    <w:p w14:paraId="76D3A1E2" w14:textId="77777777" w:rsidR="006F69B1" w:rsidRDefault="003F56C3">
      <w:pPr>
        <w:spacing w:before="90" w:after="90"/>
      </w:pPr>
      <w:r>
        <w:rPr>
          <w:b/>
        </w:rPr>
        <w:t>Vai ir izvērtēts prasību un izmaksu samērīgums pret ieguvumiem?</w:t>
      </w:r>
    </w:p>
    <w:p w14:paraId="2FF65131" w14:textId="77777777" w:rsidR="006F69B1" w:rsidRDefault="003F56C3">
      <w:r>
        <w:t>Jā</w:t>
      </w:r>
    </w:p>
    <w:p w14:paraId="17958278" w14:textId="77777777" w:rsidR="006F69B1" w:rsidRDefault="003F56C3">
      <w:pPr>
        <w:spacing w:before="90" w:after="90"/>
      </w:pPr>
      <w:r>
        <w:rPr>
          <w:b/>
        </w:rPr>
        <w:t>Apraksts</w:t>
      </w:r>
    </w:p>
    <w:p w14:paraId="5DBAFBE0" w14:textId="77777777" w:rsidR="006F69B1" w:rsidRDefault="003F56C3">
      <w:r>
        <w:t>Ņemot vērā, ka līdz ar noteikumu projektu paredzēts pielāgot nepieciešamo rezervju apjomu aktuālajai situācijai Inčukalna PGK, būs iespējams samazināt ietekmi uz dabasgāzes pārvades tarifu.</w:t>
      </w:r>
    </w:p>
    <w:p w14:paraId="695DA8BF" w14:textId="77777777" w:rsidR="006F69B1" w:rsidRDefault="003F56C3">
      <w:pPr>
        <w:spacing w:before="270" w:after="180"/>
      </w:pPr>
      <w:r>
        <w:rPr>
          <w:b/>
          <w:sz w:val="30"/>
        </w:rPr>
        <w:t>1.4. Izvērtējumi/pētījumi, kas pamato TA nepieciešamību</w:t>
      </w:r>
    </w:p>
    <w:p w14:paraId="491FA890" w14:textId="77777777" w:rsidR="006F69B1" w:rsidRDefault="003F56C3">
      <w:pPr>
        <w:spacing w:before="270" w:after="180"/>
      </w:pPr>
      <w:r>
        <w:rPr>
          <w:b/>
          <w:sz w:val="30"/>
        </w:rPr>
        <w:t>1.5. Pēcpārbaudes (ex-post) izvērtējums</w:t>
      </w:r>
    </w:p>
    <w:p w14:paraId="5E927BD8" w14:textId="77777777" w:rsidR="006F69B1" w:rsidRDefault="003F56C3">
      <w:pPr>
        <w:spacing w:before="90" w:after="90"/>
      </w:pPr>
      <w:r>
        <w:rPr>
          <w:b/>
        </w:rPr>
        <w:t>Vai tiks veikts?</w:t>
      </w:r>
    </w:p>
    <w:p w14:paraId="34A5FE03" w14:textId="77777777" w:rsidR="006F69B1" w:rsidRDefault="003F56C3">
      <w:r>
        <w:t>Nē</w:t>
      </w:r>
    </w:p>
    <w:p w14:paraId="5F0E8C2F" w14:textId="77777777" w:rsidR="006F69B1" w:rsidRDefault="003F56C3">
      <w:pPr>
        <w:spacing w:before="270" w:after="180"/>
      </w:pPr>
      <w:r>
        <w:rPr>
          <w:b/>
          <w:sz w:val="30"/>
        </w:rPr>
        <w:t>1.6. Cita informācija</w:t>
      </w:r>
    </w:p>
    <w:p w14:paraId="4C24D1C6" w14:textId="77777777" w:rsidR="006F69B1" w:rsidRDefault="003F56C3">
      <w:r>
        <w:t>-</w:t>
      </w:r>
    </w:p>
    <w:p w14:paraId="3B906595" w14:textId="77777777" w:rsidR="006F69B1" w:rsidRDefault="003F56C3">
      <w:pPr>
        <w:spacing w:before="180"/>
      </w:pPr>
      <w:r>
        <w:rPr>
          <w:b/>
          <w:sz w:val="32"/>
        </w:rPr>
        <w:t>2. Tiesību akta projekta ietekmējamās sabiedrības grupas, ietekme uz tautsaimniecības attīstību un administratīvo slogu</w:t>
      </w:r>
    </w:p>
    <w:p w14:paraId="2D95D800" w14:textId="77777777" w:rsidR="006F69B1" w:rsidRDefault="003F56C3">
      <w:pPr>
        <w:spacing w:before="90" w:after="90"/>
      </w:pPr>
      <w:r>
        <w:rPr>
          <w:b/>
        </w:rPr>
        <w:t>Vai projekts skar šo jomu?</w:t>
      </w:r>
    </w:p>
    <w:p w14:paraId="688C4DCA" w14:textId="77777777" w:rsidR="006F69B1" w:rsidRDefault="003F56C3">
      <w:r>
        <w:t>Jā</w:t>
      </w:r>
    </w:p>
    <w:p w14:paraId="69913DC2" w14:textId="77777777" w:rsidR="006F69B1" w:rsidRDefault="003F56C3">
      <w:pPr>
        <w:spacing w:before="270" w:after="180"/>
      </w:pPr>
      <w:r>
        <w:rPr>
          <w:b/>
          <w:sz w:val="30"/>
        </w:rPr>
        <w:t>2.1. Sabiedrības grupas, kuras tiesiskais regulējums ietekmē, vai varētu ietekmēt</w:t>
      </w:r>
    </w:p>
    <w:p w14:paraId="03FB3397" w14:textId="77777777" w:rsidR="006F69B1" w:rsidRDefault="003F56C3">
      <w:pPr>
        <w:spacing w:before="90" w:after="90"/>
      </w:pPr>
      <w:r>
        <w:rPr>
          <w:b/>
        </w:rPr>
        <w:t>Fiziskās personas</w:t>
      </w:r>
    </w:p>
    <w:p w14:paraId="56F6E1D9" w14:textId="77777777" w:rsidR="006F69B1" w:rsidRDefault="003F56C3">
      <w:r>
        <w:t>Dabasgāzes lietotāji</w:t>
      </w:r>
    </w:p>
    <w:p w14:paraId="5843324C" w14:textId="77777777" w:rsidR="006F69B1" w:rsidRDefault="003F56C3">
      <w:pPr>
        <w:spacing w:before="90" w:after="90"/>
      </w:pPr>
      <w:r>
        <w:rPr>
          <w:b/>
        </w:rPr>
        <w:t>Ietekmes apraksts</w:t>
      </w:r>
    </w:p>
    <w:p w14:paraId="24ED801A" w14:textId="77777777" w:rsidR="006F69B1" w:rsidRDefault="003F56C3">
      <w:r>
        <w:lastRenderedPageBreak/>
        <w:t>Dabasgāzes piegāde</w:t>
      </w:r>
    </w:p>
    <w:p w14:paraId="46582DE7" w14:textId="77777777" w:rsidR="006F69B1" w:rsidRDefault="003F56C3">
      <w:pPr>
        <w:spacing w:before="90" w:after="90"/>
      </w:pPr>
      <w:r>
        <w:rPr>
          <w:b/>
        </w:rPr>
        <w:t>Juridiskās personas</w:t>
      </w:r>
    </w:p>
    <w:p w14:paraId="3FE5C332" w14:textId="77777777" w:rsidR="006F69B1" w:rsidRDefault="003F56C3">
      <w:r>
        <w:t>Vienotais dabasgāzes pārvades un uzglabāšanas sistēmas operators, dabasgāzes apgādes komersanti;</w:t>
      </w:r>
    </w:p>
    <w:p w14:paraId="6C7E2B8E" w14:textId="77777777" w:rsidR="006F69B1" w:rsidRDefault="003F56C3">
      <w:pPr>
        <w:spacing w:before="90" w:after="90"/>
      </w:pPr>
      <w:r>
        <w:rPr>
          <w:b/>
        </w:rPr>
        <w:t>Ietekmes apraksts</w:t>
      </w:r>
    </w:p>
    <w:p w14:paraId="3F59D0FC" w14:textId="77777777" w:rsidR="006F69B1" w:rsidRDefault="003F56C3">
      <w:r>
        <w:t>Nodrošina dabasgāzes rezerves Inčukalna PGK</w:t>
      </w:r>
    </w:p>
    <w:p w14:paraId="73B32AB0" w14:textId="77777777" w:rsidR="006F69B1" w:rsidRDefault="003F56C3">
      <w:pPr>
        <w:spacing w:before="270" w:after="180"/>
      </w:pPr>
      <w:r>
        <w:rPr>
          <w:b/>
          <w:sz w:val="30"/>
        </w:rPr>
        <w:t>2.2. Tiesiskā regulējuma ietekme uz tautsaimniecību</w:t>
      </w:r>
    </w:p>
    <w:p w14:paraId="3B79854B" w14:textId="77777777" w:rsidR="006F69B1" w:rsidRDefault="003F56C3">
      <w:pPr>
        <w:spacing w:before="90" w:after="90"/>
      </w:pPr>
      <w:r>
        <w:rPr>
          <w:b/>
        </w:rPr>
        <w:t>Vai projekts skar šo jomu?</w:t>
      </w:r>
    </w:p>
    <w:p w14:paraId="3FFB62B1" w14:textId="77777777" w:rsidR="006F69B1" w:rsidRDefault="003F56C3">
      <w:r>
        <w:t>Nē</w:t>
      </w:r>
    </w:p>
    <w:p w14:paraId="2A05EEFA" w14:textId="77777777" w:rsidR="006F69B1" w:rsidRDefault="003F56C3">
      <w:pPr>
        <w:spacing w:before="270" w:after="180"/>
      </w:pPr>
      <w:r>
        <w:rPr>
          <w:b/>
          <w:sz w:val="30"/>
        </w:rPr>
        <w:t>2.3. Administratīvo izmaksu monetārs novērtējums</w:t>
      </w:r>
    </w:p>
    <w:p w14:paraId="40ADBC05" w14:textId="77777777" w:rsidR="006F69B1" w:rsidRDefault="003F56C3">
      <w:pPr>
        <w:spacing w:before="90" w:after="90"/>
      </w:pPr>
      <w:r>
        <w:rPr>
          <w:b/>
        </w:rPr>
        <w:t>Vai projekts skar šo jomu?</w:t>
      </w:r>
    </w:p>
    <w:p w14:paraId="6412E56E" w14:textId="77777777" w:rsidR="006F69B1" w:rsidRDefault="003F56C3">
      <w:r>
        <w:t>Nē</w:t>
      </w:r>
    </w:p>
    <w:p w14:paraId="43F89017" w14:textId="77777777" w:rsidR="006F69B1" w:rsidRDefault="003F56C3">
      <w:pPr>
        <w:spacing w:before="270" w:after="180"/>
      </w:pPr>
      <w:r>
        <w:rPr>
          <w:b/>
          <w:sz w:val="30"/>
        </w:rPr>
        <w:t>2.4. Atbilstības izmaksu monetārs novērtējums</w:t>
      </w:r>
    </w:p>
    <w:p w14:paraId="31BCA81C" w14:textId="77777777" w:rsidR="006F69B1" w:rsidRDefault="003F56C3">
      <w:pPr>
        <w:spacing w:before="90" w:after="90"/>
      </w:pPr>
      <w:r>
        <w:rPr>
          <w:b/>
        </w:rPr>
        <w:t>Vai projekts skar šo jomu?</w:t>
      </w:r>
    </w:p>
    <w:p w14:paraId="2D8A0746" w14:textId="77777777" w:rsidR="006F69B1" w:rsidRDefault="003F56C3">
      <w:r>
        <w:t>Nē</w:t>
      </w:r>
    </w:p>
    <w:p w14:paraId="2345DEC0" w14:textId="77777777" w:rsidR="006F69B1" w:rsidRDefault="003F56C3">
      <w:pPr>
        <w:spacing w:before="180"/>
      </w:pPr>
      <w:r>
        <w:rPr>
          <w:b/>
          <w:sz w:val="32"/>
        </w:rPr>
        <w:t>3. Tiesību akta projekta ietekme uz valsts budžetu un pašvaldību budžetiem</w:t>
      </w:r>
    </w:p>
    <w:p w14:paraId="4A7F28D1" w14:textId="77777777" w:rsidR="006F69B1" w:rsidRDefault="003F56C3">
      <w:pPr>
        <w:spacing w:before="90" w:after="90"/>
      </w:pPr>
      <w:r>
        <w:rPr>
          <w:b/>
        </w:rPr>
        <w:t>Vai projekts skar šo jomu?</w:t>
      </w:r>
    </w:p>
    <w:p w14:paraId="0B4DB531" w14:textId="77777777" w:rsidR="006F69B1" w:rsidRDefault="003F56C3">
      <w:r>
        <w:t>Nē</w:t>
      </w:r>
    </w:p>
    <w:p w14:paraId="3F2CD56B" w14:textId="77777777" w:rsidR="006F69B1" w:rsidRDefault="003F56C3">
      <w:pPr>
        <w:spacing w:before="90" w:after="90"/>
      </w:pPr>
      <w:r>
        <w:rPr>
          <w:b/>
        </w:rPr>
        <w:t>Cita informācija</w:t>
      </w:r>
    </w:p>
    <w:p w14:paraId="360441B0" w14:textId="77777777" w:rsidR="006F69B1" w:rsidRDefault="003F56C3">
      <w:r>
        <w:t>-</w:t>
      </w:r>
    </w:p>
    <w:p w14:paraId="5C58D248" w14:textId="77777777" w:rsidR="006F69B1" w:rsidRDefault="003F56C3">
      <w:pPr>
        <w:spacing w:before="180"/>
      </w:pPr>
      <w:r>
        <w:rPr>
          <w:b/>
          <w:sz w:val="32"/>
        </w:rPr>
        <w:t>4. Tiesību akta projekta ietekme uz spēkā esošo tiesību normu sistēmu</w:t>
      </w:r>
    </w:p>
    <w:p w14:paraId="5687E9B9" w14:textId="77777777" w:rsidR="006F69B1" w:rsidRDefault="003F56C3">
      <w:pPr>
        <w:spacing w:before="90" w:after="90"/>
      </w:pPr>
      <w:r>
        <w:rPr>
          <w:b/>
        </w:rPr>
        <w:t>Vai projekts skar šo jomu?</w:t>
      </w:r>
    </w:p>
    <w:p w14:paraId="371E48AE" w14:textId="77777777" w:rsidR="006F69B1" w:rsidRDefault="003F56C3">
      <w:r>
        <w:t>Nē</w:t>
      </w:r>
    </w:p>
    <w:p w14:paraId="1FD71953" w14:textId="77777777" w:rsidR="006F69B1" w:rsidRDefault="003F56C3">
      <w:pPr>
        <w:spacing w:before="270" w:after="180"/>
      </w:pPr>
      <w:r>
        <w:rPr>
          <w:b/>
          <w:sz w:val="30"/>
        </w:rPr>
        <w:t>4.2. Cita informācija</w:t>
      </w:r>
    </w:p>
    <w:p w14:paraId="19F33E07" w14:textId="77777777" w:rsidR="006F69B1" w:rsidRDefault="003F56C3">
      <w:r>
        <w:t>-</w:t>
      </w:r>
    </w:p>
    <w:p w14:paraId="239F40DA" w14:textId="77777777" w:rsidR="006F69B1" w:rsidRDefault="003F56C3">
      <w:pPr>
        <w:spacing w:before="180"/>
      </w:pPr>
      <w:r>
        <w:rPr>
          <w:b/>
          <w:sz w:val="32"/>
        </w:rPr>
        <w:t>5. Tiesību akta projekta atbilstība Latvijas Republikas starptautiskajām saistībām</w:t>
      </w:r>
    </w:p>
    <w:p w14:paraId="2F87A86A" w14:textId="77777777" w:rsidR="006F69B1" w:rsidRDefault="003F56C3">
      <w:pPr>
        <w:spacing w:before="90" w:after="90"/>
      </w:pPr>
      <w:r>
        <w:rPr>
          <w:b/>
        </w:rPr>
        <w:t>Vai projekts skar šo jomu?</w:t>
      </w:r>
    </w:p>
    <w:p w14:paraId="0254AD59" w14:textId="77777777" w:rsidR="006F69B1" w:rsidRDefault="003F56C3">
      <w:r>
        <w:t>Jā</w:t>
      </w:r>
    </w:p>
    <w:p w14:paraId="058AE3B6" w14:textId="77777777" w:rsidR="006F69B1" w:rsidRDefault="003F56C3">
      <w:pPr>
        <w:spacing w:before="270" w:after="180"/>
      </w:pPr>
      <w:r>
        <w:rPr>
          <w:b/>
          <w:sz w:val="30"/>
        </w:rPr>
        <w:t>5.1. Saistības pret Eiropas Savienību</w:t>
      </w:r>
    </w:p>
    <w:p w14:paraId="3C4E6F52" w14:textId="77777777" w:rsidR="006F69B1" w:rsidRDefault="003F56C3">
      <w:pPr>
        <w:spacing w:before="90" w:after="90"/>
      </w:pPr>
      <w:r>
        <w:rPr>
          <w:b/>
        </w:rPr>
        <w:lastRenderedPageBreak/>
        <w:t>Vai ir attiecināms?</w:t>
      </w:r>
    </w:p>
    <w:p w14:paraId="28118216" w14:textId="77777777" w:rsidR="006F69B1" w:rsidRDefault="003F56C3">
      <w:r>
        <w:t>Jā</w:t>
      </w:r>
    </w:p>
    <w:p w14:paraId="42B8405D" w14:textId="77777777" w:rsidR="006F69B1" w:rsidRDefault="003F56C3">
      <w:pPr>
        <w:spacing w:before="90" w:after="90"/>
      </w:pPr>
      <w:r>
        <w:rPr>
          <w:b/>
        </w:rPr>
        <w:t>ES tiesību akta CELEX numurs</w:t>
      </w:r>
    </w:p>
    <w:p w14:paraId="3189F65E" w14:textId="77777777" w:rsidR="006F69B1" w:rsidRDefault="003F56C3">
      <w:r>
        <w:t>2017/1938</w:t>
      </w:r>
    </w:p>
    <w:p w14:paraId="14BD5209" w14:textId="77777777" w:rsidR="006F69B1" w:rsidRDefault="003F56C3">
      <w:pPr>
        <w:spacing w:before="90" w:after="90"/>
      </w:pPr>
      <w:r>
        <w:rPr>
          <w:b/>
        </w:rPr>
        <w:t>ES tiesību akta datums, izdevējinstitūcija, numurs, veids un nosaukums</w:t>
      </w:r>
    </w:p>
    <w:p w14:paraId="3E00ED99" w14:textId="77777777" w:rsidR="006F69B1" w:rsidRDefault="003F56C3">
      <w:r>
        <w:t>Eiropas Parlamenta un Padomes 2017.gada 25.oktobra Regulas (ES) 2017/1938 par gāzes piegādes drošības aizsardzības pasākumiem un ar ko atceļ Regulu (ES) Nr. 994/2010</w:t>
      </w:r>
    </w:p>
    <w:p w14:paraId="44A7E79D" w14:textId="77777777" w:rsidR="006F69B1" w:rsidRDefault="003F56C3">
      <w:pPr>
        <w:spacing w:before="90" w:after="90"/>
      </w:pPr>
      <w:r>
        <w:rPr>
          <w:b/>
        </w:rPr>
        <w:t>Apraksts</w:t>
      </w:r>
    </w:p>
    <w:p w14:paraId="786D547D" w14:textId="77777777" w:rsidR="006F69B1" w:rsidRDefault="003F56C3">
      <w:r>
        <w:t>Ir būtiski turpināt 12.</w:t>
      </w:r>
      <w:r>
        <w:rPr>
          <w:vertAlign w:val="superscript"/>
        </w:rPr>
        <w:t>1</w:t>
      </w:r>
      <w:r>
        <w:t>punktā paredzētā piegādes drošuma pienākuma izpildi arī turpmāk, jo no tā ir atkarīga noteikumu Nr. 312 VII</w:t>
      </w:r>
      <w:r>
        <w:rPr>
          <w:vertAlign w:val="superscript"/>
        </w:rPr>
        <w:t>1</w:t>
      </w:r>
      <w:r>
        <w:t>. nodaļā noteiktās dabasgāzes drošības rezerves, kas paredzēta piegādes standarta apjomā, ievērojot Regulu 2017/1938, nodrošināšana, piegāde un enerģijas lietotāju apgāde kopumā.</w:t>
      </w:r>
    </w:p>
    <w:p w14:paraId="154F332D" w14:textId="77777777" w:rsidR="006F69B1" w:rsidRDefault="003F56C3">
      <w:pPr>
        <w:spacing w:before="270" w:after="180"/>
      </w:pPr>
      <w:r>
        <w:rPr>
          <w:b/>
          <w:sz w:val="30"/>
        </w:rPr>
        <w:t>5.2. Citas starptautiskās saistības</w:t>
      </w:r>
    </w:p>
    <w:p w14:paraId="1A6B1141" w14:textId="77777777" w:rsidR="006F69B1" w:rsidRDefault="003F56C3">
      <w:pPr>
        <w:spacing w:before="90" w:after="90"/>
      </w:pPr>
      <w:r>
        <w:rPr>
          <w:b/>
        </w:rPr>
        <w:t>Vai ir attiecināms?</w:t>
      </w:r>
    </w:p>
    <w:p w14:paraId="18819E2B" w14:textId="77777777" w:rsidR="006F69B1" w:rsidRDefault="003F56C3">
      <w:r>
        <w:t>Nē</w:t>
      </w:r>
    </w:p>
    <w:p w14:paraId="3F9D89E6" w14:textId="77777777" w:rsidR="006F69B1" w:rsidRDefault="003F56C3">
      <w:pPr>
        <w:spacing w:before="270" w:after="180"/>
      </w:pPr>
      <w:r>
        <w:rPr>
          <w:b/>
          <w:sz w:val="30"/>
        </w:rPr>
        <w:t>5.3. Cita informācija</w:t>
      </w:r>
    </w:p>
    <w:p w14:paraId="19C011D3" w14:textId="77777777" w:rsidR="006F69B1" w:rsidRDefault="003F56C3">
      <w:pPr>
        <w:spacing w:before="90" w:after="90"/>
      </w:pPr>
      <w:r>
        <w:rPr>
          <w:b/>
        </w:rPr>
        <w:t>Apraksts</w:t>
      </w:r>
    </w:p>
    <w:p w14:paraId="78789A40" w14:textId="77777777" w:rsidR="006F69B1" w:rsidRDefault="003F56C3">
      <w:r>
        <w:t>-</w:t>
      </w:r>
    </w:p>
    <w:p w14:paraId="45C277D8" w14:textId="77777777" w:rsidR="006F69B1" w:rsidRDefault="003F56C3">
      <w:pPr>
        <w:spacing w:before="270" w:after="180"/>
      </w:pPr>
      <w:r>
        <w:rPr>
          <w:b/>
          <w:sz w:val="30"/>
        </w:rPr>
        <w:t>5.4. 1. tabula. Tiesību akta projekta atbilstība ES tiesību aktiem</w:t>
      </w:r>
    </w:p>
    <w:tbl>
      <w:tblPr>
        <w:tblStyle w:val="a"/>
        <w:tblW w:w="964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2410"/>
        <w:gridCol w:w="2410"/>
        <w:gridCol w:w="2411"/>
        <w:gridCol w:w="2411"/>
      </w:tblGrid>
      <w:tr w:rsidR="006F69B1" w14:paraId="61EAEB37" w14:textId="77777777">
        <w:tc>
          <w:tcPr>
            <w:tcW w:w="2410" w:type="dxa"/>
            <w:shd w:val="clear" w:color="auto" w:fill="FFFFFF"/>
            <w:noWrap/>
            <w:tcMar>
              <w:top w:w="75" w:type="dxa"/>
              <w:left w:w="75" w:type="dxa"/>
              <w:bottom w:w="75" w:type="dxa"/>
              <w:right w:w="75" w:type="dxa"/>
            </w:tcMar>
            <w:vAlign w:val="center"/>
          </w:tcPr>
          <w:p w14:paraId="507C7734" w14:textId="77777777" w:rsidR="006F69B1" w:rsidRDefault="003F56C3">
            <w:pPr>
              <w:jc w:val="left"/>
            </w:pPr>
            <w:r>
              <w:rPr>
                <w:sz w:val="24"/>
              </w:rPr>
              <w:t>Attiecīgā ES tiesību akta datums, izdevējinstitūcija, numurs, veids un nosaukums</w:t>
            </w:r>
          </w:p>
        </w:tc>
        <w:tc>
          <w:tcPr>
            <w:tcW w:w="7230" w:type="dxa"/>
            <w:gridSpan w:val="3"/>
            <w:shd w:val="clear" w:color="auto" w:fill="FFFFFF"/>
            <w:noWrap/>
            <w:tcMar>
              <w:top w:w="75" w:type="dxa"/>
              <w:left w:w="75" w:type="dxa"/>
              <w:bottom w:w="75" w:type="dxa"/>
              <w:right w:w="75" w:type="dxa"/>
            </w:tcMar>
            <w:vAlign w:val="center"/>
          </w:tcPr>
          <w:p w14:paraId="51F5E8A5" w14:textId="77777777" w:rsidR="006F69B1" w:rsidRDefault="003F56C3">
            <w:pPr>
              <w:jc w:val="left"/>
            </w:pPr>
            <w:r>
              <w:rPr>
                <w:sz w:val="24"/>
              </w:rPr>
              <w:t>Eiropas Parlamenta un Padomes 2017.gada 25.oktobra Regulas (ES) 2017/1938 par gāzes piegādes drošības aizsardzības pasākumiem un ar ko atceļ Regulu (ES) Nr. 994/2010</w:t>
            </w:r>
          </w:p>
        </w:tc>
      </w:tr>
      <w:tr w:rsidR="006F69B1" w14:paraId="696A23E3" w14:textId="77777777">
        <w:tc>
          <w:tcPr>
            <w:tcW w:w="2410" w:type="dxa"/>
            <w:shd w:val="clear" w:color="auto" w:fill="FFFFFF"/>
            <w:noWrap/>
            <w:tcMar>
              <w:top w:w="75" w:type="dxa"/>
              <w:left w:w="75" w:type="dxa"/>
              <w:bottom w:w="75" w:type="dxa"/>
              <w:right w:w="75" w:type="dxa"/>
            </w:tcMar>
            <w:vAlign w:val="center"/>
          </w:tcPr>
          <w:p w14:paraId="0C4E7EB1" w14:textId="77777777" w:rsidR="006F69B1" w:rsidRDefault="003F56C3">
            <w:pPr>
              <w:jc w:val="left"/>
            </w:pPr>
            <w:r>
              <w:rPr>
                <w:b/>
                <w:sz w:val="24"/>
              </w:rPr>
              <w:t>ES TA panta numurs</w:t>
            </w:r>
          </w:p>
        </w:tc>
        <w:tc>
          <w:tcPr>
            <w:tcW w:w="2410" w:type="dxa"/>
            <w:shd w:val="clear" w:color="auto" w:fill="FFFFFF"/>
            <w:noWrap/>
            <w:tcMar>
              <w:top w:w="75" w:type="dxa"/>
              <w:left w:w="75" w:type="dxa"/>
              <w:bottom w:w="75" w:type="dxa"/>
              <w:right w:w="75" w:type="dxa"/>
            </w:tcMar>
            <w:vAlign w:val="center"/>
          </w:tcPr>
          <w:p w14:paraId="3A5EFA62" w14:textId="77777777" w:rsidR="006F69B1" w:rsidRDefault="003F56C3">
            <w:pPr>
              <w:jc w:val="left"/>
            </w:pPr>
            <w:r>
              <w:rPr>
                <w:b/>
                <w:sz w:val="24"/>
              </w:rPr>
              <w:t>Projekta vienība, kas pārņem vai ievieš A minēto</w:t>
            </w:r>
          </w:p>
        </w:tc>
        <w:tc>
          <w:tcPr>
            <w:tcW w:w="2410" w:type="dxa"/>
            <w:shd w:val="clear" w:color="auto" w:fill="FFFFFF"/>
            <w:noWrap/>
            <w:tcMar>
              <w:top w:w="75" w:type="dxa"/>
              <w:left w:w="75" w:type="dxa"/>
              <w:bottom w:w="75" w:type="dxa"/>
              <w:right w:w="75" w:type="dxa"/>
            </w:tcMar>
            <w:vAlign w:val="center"/>
          </w:tcPr>
          <w:p w14:paraId="68B85046" w14:textId="77777777" w:rsidR="006F69B1" w:rsidRDefault="003F56C3">
            <w:pPr>
              <w:jc w:val="left"/>
            </w:pPr>
            <w:r>
              <w:rPr>
                <w:b/>
                <w:sz w:val="24"/>
              </w:rPr>
              <w:t>Tiek pārņemts pilnībā vai daļēji</w:t>
            </w:r>
          </w:p>
        </w:tc>
        <w:tc>
          <w:tcPr>
            <w:tcW w:w="2410" w:type="dxa"/>
            <w:shd w:val="clear" w:color="auto" w:fill="FFFFFF"/>
            <w:noWrap/>
            <w:tcMar>
              <w:top w:w="75" w:type="dxa"/>
              <w:left w:w="75" w:type="dxa"/>
              <w:bottom w:w="75" w:type="dxa"/>
              <w:right w:w="75" w:type="dxa"/>
            </w:tcMar>
            <w:vAlign w:val="center"/>
          </w:tcPr>
          <w:p w14:paraId="01EC82FF" w14:textId="77777777" w:rsidR="006F69B1" w:rsidRDefault="003F56C3">
            <w:pPr>
              <w:jc w:val="left"/>
            </w:pPr>
            <w:r>
              <w:rPr>
                <w:b/>
                <w:sz w:val="24"/>
              </w:rPr>
              <w:t>Vai B minētais paredz stingrākas prasības un pamatojums</w:t>
            </w:r>
          </w:p>
        </w:tc>
      </w:tr>
      <w:tr w:rsidR="006F69B1" w14:paraId="6B2C1574" w14:textId="77777777">
        <w:tc>
          <w:tcPr>
            <w:tcW w:w="2410" w:type="dxa"/>
            <w:shd w:val="clear" w:color="auto" w:fill="FFFFFF"/>
            <w:noWrap/>
            <w:tcMar>
              <w:top w:w="75" w:type="dxa"/>
              <w:left w:w="75" w:type="dxa"/>
              <w:bottom w:w="75" w:type="dxa"/>
              <w:right w:w="75" w:type="dxa"/>
            </w:tcMar>
            <w:vAlign w:val="center"/>
          </w:tcPr>
          <w:p w14:paraId="27EF9E99" w14:textId="77777777" w:rsidR="006F69B1" w:rsidRDefault="003F56C3">
            <w:pPr>
              <w:jc w:val="left"/>
            </w:pPr>
            <w:r>
              <w:rPr>
                <w:b/>
                <w:sz w:val="24"/>
              </w:rPr>
              <w:t>A</w:t>
            </w:r>
          </w:p>
        </w:tc>
        <w:tc>
          <w:tcPr>
            <w:tcW w:w="2410" w:type="dxa"/>
            <w:shd w:val="clear" w:color="auto" w:fill="FFFFFF"/>
            <w:noWrap/>
            <w:tcMar>
              <w:top w:w="75" w:type="dxa"/>
              <w:left w:w="75" w:type="dxa"/>
              <w:bottom w:w="75" w:type="dxa"/>
              <w:right w:w="75" w:type="dxa"/>
            </w:tcMar>
            <w:vAlign w:val="center"/>
          </w:tcPr>
          <w:p w14:paraId="2EA429FA" w14:textId="77777777" w:rsidR="006F69B1" w:rsidRDefault="003F56C3">
            <w:pPr>
              <w:jc w:val="left"/>
            </w:pPr>
            <w:r>
              <w:rPr>
                <w:b/>
                <w:sz w:val="24"/>
              </w:rPr>
              <w:t>B</w:t>
            </w:r>
          </w:p>
        </w:tc>
        <w:tc>
          <w:tcPr>
            <w:tcW w:w="2410" w:type="dxa"/>
            <w:shd w:val="clear" w:color="auto" w:fill="FFFFFF"/>
            <w:noWrap/>
            <w:tcMar>
              <w:top w:w="75" w:type="dxa"/>
              <w:left w:w="75" w:type="dxa"/>
              <w:bottom w:w="75" w:type="dxa"/>
              <w:right w:w="75" w:type="dxa"/>
            </w:tcMar>
            <w:vAlign w:val="center"/>
          </w:tcPr>
          <w:p w14:paraId="6AEB1FDA" w14:textId="77777777" w:rsidR="006F69B1" w:rsidRDefault="003F56C3">
            <w:pPr>
              <w:jc w:val="left"/>
            </w:pPr>
            <w:r>
              <w:rPr>
                <w:b/>
                <w:sz w:val="24"/>
              </w:rPr>
              <w:t>C</w:t>
            </w:r>
          </w:p>
        </w:tc>
        <w:tc>
          <w:tcPr>
            <w:tcW w:w="2410" w:type="dxa"/>
            <w:shd w:val="clear" w:color="auto" w:fill="FFFFFF"/>
            <w:noWrap/>
            <w:tcMar>
              <w:top w:w="75" w:type="dxa"/>
              <w:left w:w="75" w:type="dxa"/>
              <w:bottom w:w="75" w:type="dxa"/>
              <w:right w:w="75" w:type="dxa"/>
            </w:tcMar>
            <w:vAlign w:val="center"/>
          </w:tcPr>
          <w:p w14:paraId="5931EBB3" w14:textId="77777777" w:rsidR="006F69B1" w:rsidRDefault="003F56C3">
            <w:pPr>
              <w:jc w:val="left"/>
            </w:pPr>
            <w:r>
              <w:rPr>
                <w:b/>
                <w:sz w:val="24"/>
              </w:rPr>
              <w:t>D</w:t>
            </w:r>
          </w:p>
        </w:tc>
      </w:tr>
      <w:tr w:rsidR="006F69B1" w14:paraId="16780DF6" w14:textId="77777777">
        <w:tc>
          <w:tcPr>
            <w:tcW w:w="2410" w:type="dxa"/>
            <w:shd w:val="clear" w:color="auto" w:fill="FFFFFF"/>
            <w:noWrap/>
            <w:tcMar>
              <w:top w:w="75" w:type="dxa"/>
              <w:left w:w="75" w:type="dxa"/>
              <w:bottom w:w="75" w:type="dxa"/>
              <w:right w:w="75" w:type="dxa"/>
            </w:tcMar>
            <w:vAlign w:val="center"/>
          </w:tcPr>
          <w:p w14:paraId="154004C5" w14:textId="77777777" w:rsidR="006F69B1" w:rsidRDefault="003F56C3">
            <w:r>
              <w:rPr>
                <w:sz w:val="24"/>
              </w:rPr>
              <w:t>6.</w:t>
            </w:r>
          </w:p>
        </w:tc>
        <w:tc>
          <w:tcPr>
            <w:tcW w:w="2410" w:type="dxa"/>
            <w:shd w:val="clear" w:color="auto" w:fill="FFFFFF"/>
            <w:noWrap/>
            <w:tcMar>
              <w:top w:w="75" w:type="dxa"/>
              <w:left w:w="75" w:type="dxa"/>
              <w:bottom w:w="75" w:type="dxa"/>
              <w:right w:w="75" w:type="dxa"/>
            </w:tcMar>
            <w:vAlign w:val="center"/>
          </w:tcPr>
          <w:p w14:paraId="5403B655" w14:textId="77777777" w:rsidR="006F69B1" w:rsidRDefault="003F56C3">
            <w:r>
              <w:rPr>
                <w:sz w:val="24"/>
              </w:rPr>
              <w:t>Viss pants</w:t>
            </w:r>
          </w:p>
        </w:tc>
        <w:tc>
          <w:tcPr>
            <w:tcW w:w="2410" w:type="dxa"/>
            <w:shd w:val="clear" w:color="auto" w:fill="FFFFFF"/>
            <w:noWrap/>
            <w:tcMar>
              <w:top w:w="75" w:type="dxa"/>
              <w:left w:w="75" w:type="dxa"/>
              <w:bottom w:w="75" w:type="dxa"/>
              <w:right w:w="75" w:type="dxa"/>
            </w:tcMar>
            <w:vAlign w:val="center"/>
          </w:tcPr>
          <w:p w14:paraId="2D76C0A2" w14:textId="77777777" w:rsidR="006F69B1" w:rsidRDefault="003F56C3">
            <w:pPr>
              <w:jc w:val="left"/>
            </w:pPr>
            <w:r>
              <w:rPr>
                <w:sz w:val="24"/>
              </w:rPr>
              <w:t>Pārņemtas pilnībā</w:t>
            </w:r>
          </w:p>
        </w:tc>
        <w:tc>
          <w:tcPr>
            <w:tcW w:w="2410" w:type="dxa"/>
            <w:shd w:val="clear" w:color="auto" w:fill="FFFFFF"/>
            <w:noWrap/>
            <w:tcMar>
              <w:top w:w="75" w:type="dxa"/>
              <w:left w:w="75" w:type="dxa"/>
              <w:bottom w:w="75" w:type="dxa"/>
              <w:right w:w="75" w:type="dxa"/>
            </w:tcMar>
            <w:vAlign w:val="center"/>
          </w:tcPr>
          <w:p w14:paraId="3FC8D3F4" w14:textId="77777777" w:rsidR="006F69B1" w:rsidRDefault="003F56C3">
            <w:r>
              <w:rPr>
                <w:sz w:val="24"/>
              </w:rPr>
              <w:t>Nē</w:t>
            </w:r>
          </w:p>
        </w:tc>
      </w:tr>
      <w:tr w:rsidR="006F69B1" w14:paraId="258BF179" w14:textId="77777777">
        <w:tc>
          <w:tcPr>
            <w:tcW w:w="2410" w:type="dxa"/>
            <w:shd w:val="clear" w:color="auto" w:fill="FFFFFF"/>
            <w:noWrap/>
            <w:tcMar>
              <w:top w:w="75" w:type="dxa"/>
              <w:left w:w="75" w:type="dxa"/>
              <w:bottom w:w="75" w:type="dxa"/>
              <w:right w:w="75" w:type="dxa"/>
            </w:tcMar>
            <w:vAlign w:val="center"/>
          </w:tcPr>
          <w:p w14:paraId="16BC5370" w14:textId="77777777" w:rsidR="006F69B1" w:rsidRDefault="003F56C3">
            <w:pPr>
              <w:jc w:val="left"/>
            </w:pPr>
            <w:r>
              <w:rPr>
                <w:sz w:val="24"/>
              </w:rPr>
              <w:t xml:space="preserve">Kā ir izmantota ES tiesību aktā paredzētā rīcības brīvība dalībvalstij pārņemt vai ieviest noteiktas ES </w:t>
            </w:r>
            <w:r>
              <w:rPr>
                <w:sz w:val="24"/>
              </w:rPr>
              <w:lastRenderedPageBreak/>
              <w:t>tiesību akta normas? Kādēļ?</w:t>
            </w:r>
          </w:p>
        </w:tc>
        <w:tc>
          <w:tcPr>
            <w:tcW w:w="7230" w:type="dxa"/>
            <w:gridSpan w:val="3"/>
            <w:shd w:val="clear" w:color="auto" w:fill="FFFFFF"/>
            <w:noWrap/>
            <w:tcMar>
              <w:top w:w="75" w:type="dxa"/>
              <w:left w:w="75" w:type="dxa"/>
              <w:bottom w:w="75" w:type="dxa"/>
              <w:right w:w="75" w:type="dxa"/>
            </w:tcMar>
            <w:vAlign w:val="center"/>
          </w:tcPr>
          <w:p w14:paraId="51D9A496" w14:textId="77777777" w:rsidR="006F69B1" w:rsidRDefault="003F56C3">
            <w:r>
              <w:rPr>
                <w:sz w:val="24"/>
              </w:rPr>
              <w:lastRenderedPageBreak/>
              <w:t>Regulas 2017/1938 6. panta 1. punts paredz, ka dalībvalstis pirmajā daļā izklāstīto pienākumu var izpildīt, īstenojot energoefektivitātes pasākumus vai aizstājot gāzi ar citu energoresursu, </w:t>
            </w:r>
            <w:r>
              <w:rPr>
                <w:i/>
                <w:sz w:val="24"/>
              </w:rPr>
              <w:t>inter alia</w:t>
            </w:r>
            <w:r>
              <w:rPr>
                <w:sz w:val="24"/>
              </w:rPr>
              <w:t> atjaunojamo energoresursu, tādā mērā, lai tiktu sasniegts tāds pats aizsardzības līmenis. Ņemot vērā, ka Inčukalna PGK tiek uzglabāta aktīvā dabasgāze, šī rīcības brīvība netiek izmantota. </w:t>
            </w:r>
          </w:p>
        </w:tc>
      </w:tr>
      <w:tr w:rsidR="006F69B1" w14:paraId="6BD865FF" w14:textId="77777777">
        <w:tc>
          <w:tcPr>
            <w:tcW w:w="2410" w:type="dxa"/>
            <w:shd w:val="clear" w:color="auto" w:fill="FFFFFF"/>
            <w:noWrap/>
            <w:tcMar>
              <w:top w:w="75" w:type="dxa"/>
              <w:left w:w="75" w:type="dxa"/>
              <w:bottom w:w="75" w:type="dxa"/>
              <w:right w:w="75" w:type="dxa"/>
            </w:tcMar>
            <w:vAlign w:val="center"/>
          </w:tcPr>
          <w:p w14:paraId="04BB86C7" w14:textId="77777777" w:rsidR="006F69B1" w:rsidRDefault="003F56C3">
            <w:pPr>
              <w:jc w:val="left"/>
            </w:pPr>
            <w:r>
              <w:rPr>
                <w:sz w:val="24"/>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7230" w:type="dxa"/>
            <w:gridSpan w:val="3"/>
            <w:shd w:val="clear" w:color="auto" w:fill="FFFFFF"/>
            <w:noWrap/>
            <w:tcMar>
              <w:top w:w="75" w:type="dxa"/>
              <w:left w:w="75" w:type="dxa"/>
              <w:bottom w:w="75" w:type="dxa"/>
              <w:right w:w="75" w:type="dxa"/>
            </w:tcMar>
            <w:vAlign w:val="center"/>
          </w:tcPr>
          <w:p w14:paraId="292E2F46" w14:textId="77777777" w:rsidR="006F69B1" w:rsidRDefault="003F56C3">
            <w:r>
              <w:rPr>
                <w:sz w:val="24"/>
              </w:rPr>
              <w:t>Projekts šo jomu neskar. </w:t>
            </w:r>
          </w:p>
        </w:tc>
      </w:tr>
      <w:tr w:rsidR="006F69B1" w14:paraId="1B513B43" w14:textId="77777777">
        <w:tc>
          <w:tcPr>
            <w:tcW w:w="2410" w:type="dxa"/>
            <w:shd w:val="clear" w:color="auto" w:fill="FFFFFF"/>
            <w:noWrap/>
            <w:tcMar>
              <w:top w:w="75" w:type="dxa"/>
              <w:left w:w="75" w:type="dxa"/>
              <w:bottom w:w="75" w:type="dxa"/>
              <w:right w:w="75" w:type="dxa"/>
            </w:tcMar>
            <w:vAlign w:val="center"/>
          </w:tcPr>
          <w:p w14:paraId="67CDD21C" w14:textId="77777777" w:rsidR="006F69B1" w:rsidRDefault="003F56C3">
            <w:pPr>
              <w:jc w:val="left"/>
            </w:pPr>
            <w:r>
              <w:rPr>
                <w:sz w:val="24"/>
              </w:rPr>
              <w:t>Cita informācija</w:t>
            </w:r>
          </w:p>
        </w:tc>
        <w:tc>
          <w:tcPr>
            <w:tcW w:w="7230" w:type="dxa"/>
            <w:gridSpan w:val="3"/>
            <w:shd w:val="clear" w:color="auto" w:fill="FFFFFF"/>
            <w:noWrap/>
            <w:tcMar>
              <w:top w:w="75" w:type="dxa"/>
              <w:left w:w="75" w:type="dxa"/>
              <w:bottom w:w="75" w:type="dxa"/>
              <w:right w:w="75" w:type="dxa"/>
            </w:tcMar>
            <w:vAlign w:val="center"/>
          </w:tcPr>
          <w:p w14:paraId="5E025A5B" w14:textId="77777777" w:rsidR="006F69B1" w:rsidRDefault="003F56C3">
            <w:r>
              <w:rPr>
                <w:sz w:val="24"/>
              </w:rPr>
              <w:t>Nav</w:t>
            </w:r>
          </w:p>
        </w:tc>
      </w:tr>
    </w:tbl>
    <w:p w14:paraId="165B49E4" w14:textId="77777777" w:rsidR="006F69B1" w:rsidRDefault="003F56C3">
      <w:pPr>
        <w:spacing w:before="180"/>
      </w:pPr>
      <w:r>
        <w:rPr>
          <w:b/>
          <w:sz w:val="32"/>
        </w:rPr>
        <w:t>6. Projekta izstrādē iesaistītās institūcijas un sabiedrības līdzdalības process</w:t>
      </w:r>
    </w:p>
    <w:p w14:paraId="472E6D6B" w14:textId="77777777" w:rsidR="006F69B1" w:rsidRDefault="003F56C3">
      <w:pPr>
        <w:spacing w:before="90" w:after="90"/>
      </w:pPr>
      <w:r>
        <w:rPr>
          <w:b/>
        </w:rPr>
        <w:t>Sabiedrības līdzdalība uz šo tiesību akta projektu neattiecas</w:t>
      </w:r>
    </w:p>
    <w:p w14:paraId="5B28878C" w14:textId="77777777" w:rsidR="006F69B1" w:rsidRDefault="003F56C3">
      <w:r>
        <w:t>Nē</w:t>
      </w:r>
    </w:p>
    <w:p w14:paraId="3CE4F25B" w14:textId="77777777" w:rsidR="006F69B1" w:rsidRDefault="003F56C3">
      <w:pPr>
        <w:spacing w:before="270" w:after="180"/>
      </w:pPr>
      <w:r>
        <w:rPr>
          <w:b/>
          <w:sz w:val="30"/>
        </w:rPr>
        <w:t>6.1. Projekta izstrādē iesaistītās institūcijas</w:t>
      </w:r>
    </w:p>
    <w:p w14:paraId="3632677F" w14:textId="77777777" w:rsidR="006F69B1" w:rsidRDefault="003F56C3">
      <w:pPr>
        <w:spacing w:before="90" w:after="90"/>
      </w:pPr>
      <w:r>
        <w:rPr>
          <w:b/>
        </w:rPr>
        <w:t>Valsts un pašvaldību institūcijas</w:t>
      </w:r>
    </w:p>
    <w:p w14:paraId="46B95631" w14:textId="77777777" w:rsidR="006F69B1" w:rsidRDefault="003F56C3">
      <w:r>
        <w:t>Ekonomikas ministrija</w:t>
      </w:r>
    </w:p>
    <w:p w14:paraId="4F2C7496" w14:textId="77777777" w:rsidR="006F69B1" w:rsidRDefault="003F56C3">
      <w:pPr>
        <w:spacing w:before="90" w:after="90"/>
      </w:pPr>
      <w:r>
        <w:rPr>
          <w:b/>
        </w:rPr>
        <w:t>Nevalstiskās organizācijas</w:t>
      </w:r>
    </w:p>
    <w:p w14:paraId="77816FB6" w14:textId="77777777" w:rsidR="006F69B1" w:rsidRDefault="003F56C3">
      <w:r>
        <w:t>-</w:t>
      </w:r>
    </w:p>
    <w:p w14:paraId="3BA7956C" w14:textId="77777777" w:rsidR="006F69B1" w:rsidRDefault="003F56C3">
      <w:pPr>
        <w:spacing w:before="90" w:after="90"/>
      </w:pPr>
      <w:r>
        <w:rPr>
          <w:b/>
        </w:rPr>
        <w:t>Cits</w:t>
      </w:r>
    </w:p>
    <w:p w14:paraId="271C3743" w14:textId="7E3E4C5D" w:rsidR="006F69B1" w:rsidRDefault="003F56C3">
      <w:r>
        <w:t xml:space="preserve">Sabiedrisko pakalpojumu regulēšanas komisija, AS </w:t>
      </w:r>
      <w:r w:rsidR="00EE4539">
        <w:t>“</w:t>
      </w:r>
      <w:r>
        <w:t>Conexus Baltic Grid</w:t>
      </w:r>
      <w:r w:rsidR="00EE4539">
        <w:t>”</w:t>
      </w:r>
    </w:p>
    <w:p w14:paraId="0080D5D1" w14:textId="77777777" w:rsidR="006F69B1" w:rsidRDefault="003F56C3">
      <w:pPr>
        <w:spacing w:before="270" w:after="180"/>
      </w:pPr>
      <w:r>
        <w:rPr>
          <w:b/>
          <w:sz w:val="30"/>
        </w:rPr>
        <w:t>6.2. Sabiedrības līdzdalības organizēšanas veidi</w:t>
      </w:r>
    </w:p>
    <w:p w14:paraId="6997698C" w14:textId="77777777" w:rsidR="006F69B1" w:rsidRDefault="003F56C3">
      <w:pPr>
        <w:spacing w:before="90" w:after="90"/>
      </w:pPr>
      <w:r>
        <w:rPr>
          <w:b/>
        </w:rPr>
        <w:t>Veids</w:t>
      </w:r>
    </w:p>
    <w:p w14:paraId="70B909A8" w14:textId="77777777" w:rsidR="006F69B1" w:rsidRDefault="003F56C3">
      <w:r>
        <w:t>Publiskā apspriešana</w:t>
      </w:r>
    </w:p>
    <w:p w14:paraId="05B4699F" w14:textId="77777777" w:rsidR="006F69B1" w:rsidRDefault="003F56C3">
      <w:pPr>
        <w:spacing w:before="90" w:after="90"/>
      </w:pPr>
      <w:r>
        <w:rPr>
          <w:b/>
        </w:rPr>
        <w:t>Saite uz sabiedrības līdzdalības rezultātiem</w:t>
      </w:r>
    </w:p>
    <w:p w14:paraId="7544A857" w14:textId="77777777" w:rsidR="006F69B1" w:rsidRDefault="003F56C3">
      <w:r>
        <w:t>-</w:t>
      </w:r>
    </w:p>
    <w:p w14:paraId="65FAF88E" w14:textId="77777777" w:rsidR="006F69B1" w:rsidRDefault="003F56C3">
      <w:pPr>
        <w:spacing w:before="270" w:after="180"/>
      </w:pPr>
      <w:r>
        <w:rPr>
          <w:b/>
          <w:sz w:val="30"/>
        </w:rPr>
        <w:t>6.3. Sabiedrības līdzdalības rezultāti</w:t>
      </w:r>
    </w:p>
    <w:p w14:paraId="681E4F9A" w14:textId="77777777" w:rsidR="006F69B1" w:rsidRDefault="003F56C3">
      <w:r>
        <w:t>-</w:t>
      </w:r>
    </w:p>
    <w:p w14:paraId="6DE0B5FD" w14:textId="77777777" w:rsidR="006F69B1" w:rsidRDefault="003F56C3">
      <w:pPr>
        <w:spacing w:before="270" w:after="180"/>
      </w:pPr>
      <w:r>
        <w:rPr>
          <w:b/>
          <w:sz w:val="30"/>
        </w:rPr>
        <w:t>6.4. Cita informācija</w:t>
      </w:r>
    </w:p>
    <w:p w14:paraId="60B28C17" w14:textId="77777777" w:rsidR="006F69B1" w:rsidRDefault="003F56C3">
      <w:pPr>
        <w:spacing w:before="90" w:after="90"/>
      </w:pPr>
      <w:r>
        <w:rPr>
          <w:b/>
        </w:rPr>
        <w:t>Cita informācija</w:t>
      </w:r>
    </w:p>
    <w:p w14:paraId="3CB53ED3" w14:textId="77777777" w:rsidR="006F69B1" w:rsidRDefault="003F56C3">
      <w:r>
        <w:lastRenderedPageBreak/>
        <w:t>-</w:t>
      </w:r>
    </w:p>
    <w:p w14:paraId="1037F0C8" w14:textId="77777777" w:rsidR="006F69B1" w:rsidRDefault="003F56C3">
      <w:pPr>
        <w:spacing w:before="180"/>
      </w:pPr>
      <w:r>
        <w:rPr>
          <w:b/>
          <w:sz w:val="32"/>
        </w:rPr>
        <w:t>7. Tiesību akta projekta izpildes nodrošināšana un tās ietekme uz institūcijām</w:t>
      </w:r>
    </w:p>
    <w:p w14:paraId="4D1CF11D" w14:textId="77777777" w:rsidR="006F69B1" w:rsidRDefault="003F56C3">
      <w:pPr>
        <w:spacing w:before="90" w:after="90"/>
      </w:pPr>
      <w:r>
        <w:rPr>
          <w:b/>
        </w:rPr>
        <w:t>Vai projekts skar šo jomu?</w:t>
      </w:r>
    </w:p>
    <w:p w14:paraId="6A5AB1CF" w14:textId="77777777" w:rsidR="006F69B1" w:rsidRDefault="003F56C3">
      <w:r>
        <w:t>Jā</w:t>
      </w:r>
    </w:p>
    <w:p w14:paraId="34644EF5" w14:textId="77777777" w:rsidR="006F69B1" w:rsidRDefault="003F56C3">
      <w:pPr>
        <w:spacing w:before="270" w:after="180"/>
      </w:pPr>
      <w:r>
        <w:rPr>
          <w:b/>
          <w:sz w:val="30"/>
        </w:rPr>
        <w:t>7.1. Projekta izpildē iesaistītās institūcijas</w:t>
      </w:r>
    </w:p>
    <w:p w14:paraId="0735D10B" w14:textId="77777777" w:rsidR="006F69B1" w:rsidRDefault="003F56C3">
      <w:pPr>
        <w:spacing w:before="90" w:after="90"/>
      </w:pPr>
      <w:r>
        <w:rPr>
          <w:b/>
        </w:rPr>
        <w:t>Institūcijas</w:t>
      </w:r>
    </w:p>
    <w:p w14:paraId="36A143C6" w14:textId="77777777" w:rsidR="006F69B1" w:rsidRDefault="003F56C3">
      <w:r>
        <w:t>Ekonomikas ministrija</w:t>
      </w:r>
    </w:p>
    <w:p w14:paraId="63B1E648" w14:textId="77777777" w:rsidR="006F69B1" w:rsidRDefault="003F56C3">
      <w:r>
        <w:t>Sabiedrisko pakalpojumu regulēšanas komisija</w:t>
      </w:r>
    </w:p>
    <w:p w14:paraId="3ADC52D1" w14:textId="26A98C09" w:rsidR="006F69B1" w:rsidRDefault="003F56C3">
      <w:r>
        <w:t xml:space="preserve">AS </w:t>
      </w:r>
      <w:r w:rsidR="00EE4539">
        <w:t>“</w:t>
      </w:r>
      <w:r>
        <w:t>Conexus Baltic Grid</w:t>
      </w:r>
      <w:r w:rsidR="00EE4539">
        <w:t>”</w:t>
      </w:r>
    </w:p>
    <w:p w14:paraId="3161DCAA" w14:textId="77777777" w:rsidR="006F69B1" w:rsidRDefault="003F56C3">
      <w:pPr>
        <w:spacing w:before="270" w:after="180"/>
      </w:pPr>
      <w:r>
        <w:rPr>
          <w:b/>
          <w:sz w:val="30"/>
        </w:rPr>
        <w:t>7.2. Administratīvo izmaksu monetārs novērtējums</w:t>
      </w:r>
    </w:p>
    <w:p w14:paraId="125B3D34" w14:textId="77777777" w:rsidR="006F69B1" w:rsidRDefault="003F56C3">
      <w:pPr>
        <w:spacing w:before="90" w:after="90"/>
      </w:pPr>
      <w:r>
        <w:rPr>
          <w:b/>
        </w:rPr>
        <w:t>Vai projekts skar šo jomu?</w:t>
      </w:r>
    </w:p>
    <w:p w14:paraId="5147A664" w14:textId="77777777" w:rsidR="006F69B1" w:rsidRDefault="003F56C3">
      <w:r>
        <w:t>Nē</w:t>
      </w:r>
    </w:p>
    <w:p w14:paraId="44C73480" w14:textId="77777777" w:rsidR="006F69B1" w:rsidRDefault="003F56C3">
      <w:pPr>
        <w:spacing w:before="270" w:after="180"/>
      </w:pPr>
      <w:r>
        <w:rPr>
          <w:b/>
          <w:sz w:val="30"/>
        </w:rPr>
        <w:t>7.3. Atbilstības izmaksu monetārs novērtējums</w:t>
      </w:r>
    </w:p>
    <w:p w14:paraId="2935FB1A" w14:textId="77777777" w:rsidR="006F69B1" w:rsidRDefault="003F56C3">
      <w:pPr>
        <w:spacing w:before="90" w:after="90"/>
      </w:pPr>
      <w:r>
        <w:rPr>
          <w:b/>
        </w:rPr>
        <w:t>Vai projekts skar šo jomu?</w:t>
      </w:r>
    </w:p>
    <w:p w14:paraId="16EEDDCE" w14:textId="77777777" w:rsidR="006F69B1" w:rsidRDefault="003F56C3">
      <w:r>
        <w:t>Nē</w:t>
      </w:r>
    </w:p>
    <w:p w14:paraId="64BFD4A4" w14:textId="77777777" w:rsidR="006F69B1" w:rsidRDefault="003F56C3">
      <w:pPr>
        <w:spacing w:before="270" w:after="180"/>
      </w:pPr>
      <w:r>
        <w:rPr>
          <w:b/>
          <w:sz w:val="30"/>
        </w:rPr>
        <w:t>7.4. Projekta izpildes ietekme uz pārvaldes funkcijām un institucionālo struktūru</w:t>
      </w:r>
    </w:p>
    <w:tbl>
      <w:tblPr>
        <w:tblStyle w:val="a"/>
        <w:tblW w:w="964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4371"/>
        <w:gridCol w:w="900"/>
        <w:gridCol w:w="4371"/>
      </w:tblGrid>
      <w:tr w:rsidR="006F69B1" w14:paraId="5648AB3E" w14:textId="77777777">
        <w:tc>
          <w:tcPr>
            <w:tcW w:w="4371" w:type="dxa"/>
            <w:shd w:val="clear" w:color="auto" w:fill="FFFFFF"/>
            <w:noWrap/>
            <w:tcMar>
              <w:top w:w="75" w:type="dxa"/>
              <w:left w:w="75" w:type="dxa"/>
              <w:bottom w:w="75" w:type="dxa"/>
              <w:right w:w="75" w:type="dxa"/>
            </w:tcMar>
            <w:vAlign w:val="center"/>
          </w:tcPr>
          <w:p w14:paraId="2E4D893F" w14:textId="77777777" w:rsidR="006F69B1" w:rsidRDefault="003F56C3">
            <w:pPr>
              <w:jc w:val="left"/>
            </w:pPr>
            <w:r>
              <w:rPr>
                <w:b/>
                <w:sz w:val="24"/>
              </w:rPr>
              <w:t>Ietekme</w:t>
            </w:r>
          </w:p>
        </w:tc>
        <w:tc>
          <w:tcPr>
            <w:tcW w:w="900" w:type="dxa"/>
            <w:shd w:val="clear" w:color="auto" w:fill="FFFFFF"/>
            <w:noWrap/>
            <w:tcMar>
              <w:top w:w="75" w:type="dxa"/>
              <w:left w:w="75" w:type="dxa"/>
              <w:bottom w:w="75" w:type="dxa"/>
              <w:right w:w="75" w:type="dxa"/>
            </w:tcMar>
            <w:vAlign w:val="center"/>
          </w:tcPr>
          <w:p w14:paraId="6F96FE6A" w14:textId="77777777" w:rsidR="006F69B1" w:rsidRDefault="003F56C3">
            <w:pPr>
              <w:jc w:val="left"/>
            </w:pPr>
            <w:r>
              <w:rPr>
                <w:b/>
                <w:sz w:val="24"/>
              </w:rPr>
              <w:t>Jā/Nē</w:t>
            </w:r>
          </w:p>
        </w:tc>
        <w:tc>
          <w:tcPr>
            <w:tcW w:w="4371" w:type="dxa"/>
            <w:shd w:val="clear" w:color="auto" w:fill="FFFFFF"/>
            <w:noWrap/>
            <w:tcMar>
              <w:top w:w="75" w:type="dxa"/>
              <w:left w:w="75" w:type="dxa"/>
              <w:bottom w:w="75" w:type="dxa"/>
              <w:right w:w="75" w:type="dxa"/>
            </w:tcMar>
            <w:vAlign w:val="center"/>
          </w:tcPr>
          <w:p w14:paraId="0EAB221F" w14:textId="77777777" w:rsidR="006F69B1" w:rsidRDefault="003F56C3">
            <w:pPr>
              <w:jc w:val="left"/>
            </w:pPr>
            <w:r>
              <w:rPr>
                <w:b/>
                <w:sz w:val="24"/>
              </w:rPr>
              <w:t>Skaidrojums</w:t>
            </w:r>
          </w:p>
        </w:tc>
      </w:tr>
      <w:tr w:rsidR="006F69B1" w14:paraId="28E4251A" w14:textId="77777777">
        <w:tc>
          <w:tcPr>
            <w:tcW w:w="4371" w:type="dxa"/>
            <w:shd w:val="clear" w:color="auto" w:fill="FFFFFF"/>
            <w:noWrap/>
            <w:tcMar>
              <w:top w:w="75" w:type="dxa"/>
              <w:left w:w="75" w:type="dxa"/>
              <w:bottom w:w="75" w:type="dxa"/>
              <w:right w:w="75" w:type="dxa"/>
            </w:tcMar>
            <w:vAlign w:val="center"/>
          </w:tcPr>
          <w:p w14:paraId="3CDE5B44" w14:textId="77777777" w:rsidR="006F69B1" w:rsidRDefault="003F56C3">
            <w:pPr>
              <w:jc w:val="left"/>
            </w:pPr>
            <w:r>
              <w:rPr>
                <w:sz w:val="24"/>
              </w:rPr>
              <w:t>1. Tiks veidota jauna institūcija</w:t>
            </w:r>
          </w:p>
        </w:tc>
        <w:tc>
          <w:tcPr>
            <w:tcW w:w="900" w:type="dxa"/>
            <w:shd w:val="clear" w:color="auto" w:fill="FFFFFF"/>
            <w:noWrap/>
            <w:tcMar>
              <w:top w:w="75" w:type="dxa"/>
              <w:left w:w="75" w:type="dxa"/>
              <w:bottom w:w="75" w:type="dxa"/>
              <w:right w:w="75" w:type="dxa"/>
            </w:tcMar>
            <w:vAlign w:val="center"/>
          </w:tcPr>
          <w:p w14:paraId="39600F34" w14:textId="77777777" w:rsidR="006F69B1" w:rsidRDefault="003F56C3">
            <w:pPr>
              <w:jc w:val="left"/>
            </w:pPr>
            <w:r>
              <w:rPr>
                <w:sz w:val="24"/>
              </w:rPr>
              <w:t>Nē</w:t>
            </w:r>
          </w:p>
        </w:tc>
        <w:tc>
          <w:tcPr>
            <w:tcW w:w="4371" w:type="dxa"/>
            <w:shd w:val="clear" w:color="auto" w:fill="FFFFFF"/>
            <w:noWrap/>
            <w:tcMar>
              <w:top w:w="75" w:type="dxa"/>
              <w:left w:w="75" w:type="dxa"/>
              <w:bottom w:w="75" w:type="dxa"/>
              <w:right w:w="75" w:type="dxa"/>
            </w:tcMar>
            <w:vAlign w:val="center"/>
          </w:tcPr>
          <w:p w14:paraId="35340D04" w14:textId="77777777" w:rsidR="006F69B1" w:rsidRDefault="003F56C3">
            <w:r>
              <w:rPr>
                <w:sz w:val="24"/>
              </w:rPr>
              <w:t>-</w:t>
            </w:r>
          </w:p>
        </w:tc>
      </w:tr>
      <w:tr w:rsidR="006F69B1" w14:paraId="0AFDE182" w14:textId="77777777">
        <w:tc>
          <w:tcPr>
            <w:tcW w:w="4371" w:type="dxa"/>
            <w:shd w:val="clear" w:color="auto" w:fill="FFFFFF"/>
            <w:noWrap/>
            <w:tcMar>
              <w:top w:w="75" w:type="dxa"/>
              <w:left w:w="75" w:type="dxa"/>
              <w:bottom w:w="75" w:type="dxa"/>
              <w:right w:w="75" w:type="dxa"/>
            </w:tcMar>
            <w:vAlign w:val="center"/>
          </w:tcPr>
          <w:p w14:paraId="53701755" w14:textId="77777777" w:rsidR="006F69B1" w:rsidRDefault="003F56C3">
            <w:pPr>
              <w:jc w:val="left"/>
            </w:pPr>
            <w:r>
              <w:rPr>
                <w:sz w:val="24"/>
              </w:rPr>
              <w:t>2. Tiks likvidēta institūcija</w:t>
            </w:r>
          </w:p>
        </w:tc>
        <w:tc>
          <w:tcPr>
            <w:tcW w:w="900" w:type="dxa"/>
            <w:shd w:val="clear" w:color="auto" w:fill="FFFFFF"/>
            <w:noWrap/>
            <w:tcMar>
              <w:top w:w="75" w:type="dxa"/>
              <w:left w:w="75" w:type="dxa"/>
              <w:bottom w:w="75" w:type="dxa"/>
              <w:right w:w="75" w:type="dxa"/>
            </w:tcMar>
            <w:vAlign w:val="center"/>
          </w:tcPr>
          <w:p w14:paraId="0E3BFD43" w14:textId="77777777" w:rsidR="006F69B1" w:rsidRDefault="003F56C3">
            <w:pPr>
              <w:jc w:val="left"/>
            </w:pPr>
            <w:r>
              <w:rPr>
                <w:sz w:val="24"/>
              </w:rPr>
              <w:t>Nē</w:t>
            </w:r>
          </w:p>
        </w:tc>
        <w:tc>
          <w:tcPr>
            <w:tcW w:w="4371" w:type="dxa"/>
            <w:shd w:val="clear" w:color="auto" w:fill="FFFFFF"/>
            <w:noWrap/>
            <w:tcMar>
              <w:top w:w="75" w:type="dxa"/>
              <w:left w:w="75" w:type="dxa"/>
              <w:bottom w:w="75" w:type="dxa"/>
              <w:right w:w="75" w:type="dxa"/>
            </w:tcMar>
            <w:vAlign w:val="center"/>
          </w:tcPr>
          <w:p w14:paraId="2E6F9D9A" w14:textId="77777777" w:rsidR="006F69B1" w:rsidRDefault="003F56C3">
            <w:r>
              <w:rPr>
                <w:sz w:val="24"/>
              </w:rPr>
              <w:t>-</w:t>
            </w:r>
          </w:p>
        </w:tc>
      </w:tr>
      <w:tr w:rsidR="006F69B1" w14:paraId="0326BB01" w14:textId="77777777">
        <w:tc>
          <w:tcPr>
            <w:tcW w:w="4371" w:type="dxa"/>
            <w:shd w:val="clear" w:color="auto" w:fill="FFFFFF"/>
            <w:noWrap/>
            <w:tcMar>
              <w:top w:w="75" w:type="dxa"/>
              <w:left w:w="75" w:type="dxa"/>
              <w:bottom w:w="75" w:type="dxa"/>
              <w:right w:w="75" w:type="dxa"/>
            </w:tcMar>
            <w:vAlign w:val="center"/>
          </w:tcPr>
          <w:p w14:paraId="48C0F36B" w14:textId="77777777" w:rsidR="006F69B1" w:rsidRDefault="003F56C3">
            <w:pPr>
              <w:jc w:val="left"/>
            </w:pPr>
            <w:r>
              <w:rPr>
                <w:sz w:val="24"/>
              </w:rPr>
              <w:t>3. Tiks veikta esošās institūcijas reorganizācija</w:t>
            </w:r>
          </w:p>
        </w:tc>
        <w:tc>
          <w:tcPr>
            <w:tcW w:w="900" w:type="dxa"/>
            <w:shd w:val="clear" w:color="auto" w:fill="FFFFFF"/>
            <w:noWrap/>
            <w:tcMar>
              <w:top w:w="75" w:type="dxa"/>
              <w:left w:w="75" w:type="dxa"/>
              <w:bottom w:w="75" w:type="dxa"/>
              <w:right w:w="75" w:type="dxa"/>
            </w:tcMar>
            <w:vAlign w:val="center"/>
          </w:tcPr>
          <w:p w14:paraId="2D473CBE" w14:textId="77777777" w:rsidR="006F69B1" w:rsidRDefault="003F56C3">
            <w:pPr>
              <w:jc w:val="left"/>
            </w:pPr>
            <w:r>
              <w:rPr>
                <w:sz w:val="24"/>
              </w:rPr>
              <w:t>Nē</w:t>
            </w:r>
          </w:p>
        </w:tc>
        <w:tc>
          <w:tcPr>
            <w:tcW w:w="4371" w:type="dxa"/>
            <w:shd w:val="clear" w:color="auto" w:fill="FFFFFF"/>
            <w:noWrap/>
            <w:tcMar>
              <w:top w:w="75" w:type="dxa"/>
              <w:left w:w="75" w:type="dxa"/>
              <w:bottom w:w="75" w:type="dxa"/>
              <w:right w:w="75" w:type="dxa"/>
            </w:tcMar>
            <w:vAlign w:val="center"/>
          </w:tcPr>
          <w:p w14:paraId="20F21BF1" w14:textId="77777777" w:rsidR="006F69B1" w:rsidRDefault="003F56C3">
            <w:r>
              <w:rPr>
                <w:sz w:val="24"/>
              </w:rPr>
              <w:t>-</w:t>
            </w:r>
          </w:p>
        </w:tc>
      </w:tr>
      <w:tr w:rsidR="006F69B1" w14:paraId="3F411AA0" w14:textId="77777777">
        <w:tc>
          <w:tcPr>
            <w:tcW w:w="4371" w:type="dxa"/>
            <w:shd w:val="clear" w:color="auto" w:fill="FFFFFF"/>
            <w:noWrap/>
            <w:tcMar>
              <w:top w:w="75" w:type="dxa"/>
              <w:left w:w="75" w:type="dxa"/>
              <w:bottom w:w="75" w:type="dxa"/>
              <w:right w:w="75" w:type="dxa"/>
            </w:tcMar>
            <w:vAlign w:val="center"/>
          </w:tcPr>
          <w:p w14:paraId="7FE0CFA7" w14:textId="77777777" w:rsidR="006F69B1" w:rsidRDefault="003F56C3">
            <w:pPr>
              <w:jc w:val="left"/>
            </w:pPr>
            <w:r>
              <w:rPr>
                <w:sz w:val="24"/>
              </w:rPr>
              <w:t>4. Institūcijas funkcijas un uzdevumi tiks mainīti (paplašināti vai sašaurināti)</w:t>
            </w:r>
          </w:p>
        </w:tc>
        <w:tc>
          <w:tcPr>
            <w:tcW w:w="900" w:type="dxa"/>
            <w:shd w:val="clear" w:color="auto" w:fill="FFFFFF"/>
            <w:noWrap/>
            <w:tcMar>
              <w:top w:w="75" w:type="dxa"/>
              <w:left w:w="75" w:type="dxa"/>
              <w:bottom w:w="75" w:type="dxa"/>
              <w:right w:w="75" w:type="dxa"/>
            </w:tcMar>
            <w:vAlign w:val="center"/>
          </w:tcPr>
          <w:p w14:paraId="6E8B4602" w14:textId="77777777" w:rsidR="006F69B1" w:rsidRDefault="003F56C3">
            <w:pPr>
              <w:jc w:val="left"/>
            </w:pPr>
            <w:r>
              <w:rPr>
                <w:sz w:val="24"/>
              </w:rPr>
              <w:t>Jā</w:t>
            </w:r>
          </w:p>
        </w:tc>
        <w:tc>
          <w:tcPr>
            <w:tcW w:w="4371" w:type="dxa"/>
            <w:shd w:val="clear" w:color="auto" w:fill="FFFFFF"/>
            <w:noWrap/>
            <w:tcMar>
              <w:top w:w="75" w:type="dxa"/>
              <w:left w:w="75" w:type="dxa"/>
              <w:bottom w:w="75" w:type="dxa"/>
              <w:right w:w="75" w:type="dxa"/>
            </w:tcMar>
            <w:vAlign w:val="center"/>
          </w:tcPr>
          <w:p w14:paraId="7009B3BC" w14:textId="77777777" w:rsidR="006F69B1" w:rsidRDefault="003F56C3">
            <w:r>
              <w:rPr>
                <w:sz w:val="24"/>
              </w:rPr>
              <w:t>Saskaņā ar 12.</w:t>
            </w:r>
            <w:r>
              <w:rPr>
                <w:sz w:val="24"/>
                <w:vertAlign w:val="superscript"/>
              </w:rPr>
              <w:t>3</w:t>
            </w:r>
            <w:r>
              <w:rPr>
                <w:sz w:val="24"/>
              </w:rPr>
              <w:t xml:space="preserve"> punktā noteikto vienotais dabasgāzes un uzglabāšanas sistēmas operators pienākuma izpildes nodrošināšanas modeli un pienākuma izpildei nepieciešamo Inčukalna PGK uzglabājamo aktīvās dabasgāzes daudzumu līdz katra gada 1.aprīlim saskaņo ar Ekonomikas ministriju un Sabiedrisko pakalpojumu regulēšanas komisiju. Tāpat arī līdz 1.decembrim vienotais dabasgāzes pārvades un uzglabāšanas sistēmas operators var mainīt noteiktā pienākuma izpildei nepieciešamo Inčukalna PGK </w:t>
            </w:r>
            <w:r>
              <w:rPr>
                <w:sz w:val="24"/>
              </w:rPr>
              <w:lastRenderedPageBreak/>
              <w:t>nodrošināmo uzglabājamo aktīvās dabasgāzes daudzumu, to saskaņojot ar Ekonomikas ministriju un Sabiedrisko pakalpojumu regulēšanas komisiju.</w:t>
            </w:r>
          </w:p>
        </w:tc>
      </w:tr>
      <w:tr w:rsidR="006F69B1" w14:paraId="1AFCDBE6" w14:textId="77777777">
        <w:tc>
          <w:tcPr>
            <w:tcW w:w="4371" w:type="dxa"/>
            <w:shd w:val="clear" w:color="auto" w:fill="FFFFFF"/>
            <w:noWrap/>
            <w:tcMar>
              <w:top w:w="75" w:type="dxa"/>
              <w:left w:w="75" w:type="dxa"/>
              <w:bottom w:w="75" w:type="dxa"/>
              <w:right w:w="75" w:type="dxa"/>
            </w:tcMar>
            <w:vAlign w:val="center"/>
          </w:tcPr>
          <w:p w14:paraId="3FA7322F" w14:textId="77777777" w:rsidR="006F69B1" w:rsidRDefault="003F56C3">
            <w:pPr>
              <w:jc w:val="left"/>
            </w:pPr>
            <w:r>
              <w:rPr>
                <w:sz w:val="24"/>
              </w:rPr>
              <w:lastRenderedPageBreak/>
              <w:t>5. Tiks veikta iekšējo institūcijas procesu efektivizācija</w:t>
            </w:r>
          </w:p>
        </w:tc>
        <w:tc>
          <w:tcPr>
            <w:tcW w:w="900" w:type="dxa"/>
            <w:shd w:val="clear" w:color="auto" w:fill="FFFFFF"/>
            <w:noWrap/>
            <w:tcMar>
              <w:top w:w="75" w:type="dxa"/>
              <w:left w:w="75" w:type="dxa"/>
              <w:bottom w:w="75" w:type="dxa"/>
              <w:right w:w="75" w:type="dxa"/>
            </w:tcMar>
            <w:vAlign w:val="center"/>
          </w:tcPr>
          <w:p w14:paraId="0C3D088C" w14:textId="77777777" w:rsidR="006F69B1" w:rsidRDefault="003F56C3">
            <w:pPr>
              <w:jc w:val="left"/>
            </w:pPr>
            <w:r>
              <w:rPr>
                <w:sz w:val="24"/>
              </w:rPr>
              <w:t>Nē</w:t>
            </w:r>
          </w:p>
        </w:tc>
        <w:tc>
          <w:tcPr>
            <w:tcW w:w="4371" w:type="dxa"/>
            <w:shd w:val="clear" w:color="auto" w:fill="FFFFFF"/>
            <w:noWrap/>
            <w:tcMar>
              <w:top w:w="75" w:type="dxa"/>
              <w:left w:w="75" w:type="dxa"/>
              <w:bottom w:w="75" w:type="dxa"/>
              <w:right w:w="75" w:type="dxa"/>
            </w:tcMar>
            <w:vAlign w:val="center"/>
          </w:tcPr>
          <w:p w14:paraId="1C7DA3AD" w14:textId="77777777" w:rsidR="006F69B1" w:rsidRDefault="003F56C3">
            <w:r>
              <w:rPr>
                <w:sz w:val="24"/>
              </w:rPr>
              <w:t>-</w:t>
            </w:r>
          </w:p>
        </w:tc>
      </w:tr>
      <w:tr w:rsidR="006F69B1" w14:paraId="539B8FB5" w14:textId="77777777">
        <w:tc>
          <w:tcPr>
            <w:tcW w:w="4371" w:type="dxa"/>
            <w:shd w:val="clear" w:color="auto" w:fill="FFFFFF"/>
            <w:noWrap/>
            <w:tcMar>
              <w:top w:w="75" w:type="dxa"/>
              <w:left w:w="75" w:type="dxa"/>
              <w:bottom w:w="75" w:type="dxa"/>
              <w:right w:w="75" w:type="dxa"/>
            </w:tcMar>
            <w:vAlign w:val="center"/>
          </w:tcPr>
          <w:p w14:paraId="718CB4EF" w14:textId="77777777" w:rsidR="006F69B1" w:rsidRDefault="003F56C3">
            <w:pPr>
              <w:jc w:val="left"/>
            </w:pPr>
            <w:r>
              <w:rPr>
                <w:sz w:val="24"/>
              </w:rPr>
              <w:t>6. Tiks veikta iekšējo institūcijas procesu digitalizācija</w:t>
            </w:r>
          </w:p>
        </w:tc>
        <w:tc>
          <w:tcPr>
            <w:tcW w:w="900" w:type="dxa"/>
            <w:shd w:val="clear" w:color="auto" w:fill="FFFFFF"/>
            <w:noWrap/>
            <w:tcMar>
              <w:top w:w="75" w:type="dxa"/>
              <w:left w:w="75" w:type="dxa"/>
              <w:bottom w:w="75" w:type="dxa"/>
              <w:right w:w="75" w:type="dxa"/>
            </w:tcMar>
            <w:vAlign w:val="center"/>
          </w:tcPr>
          <w:p w14:paraId="3E061F5F" w14:textId="77777777" w:rsidR="006F69B1" w:rsidRDefault="003F56C3">
            <w:pPr>
              <w:jc w:val="left"/>
            </w:pPr>
            <w:r>
              <w:rPr>
                <w:sz w:val="24"/>
              </w:rPr>
              <w:t>Nē</w:t>
            </w:r>
          </w:p>
        </w:tc>
        <w:tc>
          <w:tcPr>
            <w:tcW w:w="4371" w:type="dxa"/>
            <w:shd w:val="clear" w:color="auto" w:fill="FFFFFF"/>
            <w:noWrap/>
            <w:tcMar>
              <w:top w:w="75" w:type="dxa"/>
              <w:left w:w="75" w:type="dxa"/>
              <w:bottom w:w="75" w:type="dxa"/>
              <w:right w:w="75" w:type="dxa"/>
            </w:tcMar>
            <w:vAlign w:val="center"/>
          </w:tcPr>
          <w:p w14:paraId="0BEE64BE" w14:textId="77777777" w:rsidR="006F69B1" w:rsidRDefault="003F56C3">
            <w:r>
              <w:rPr>
                <w:sz w:val="24"/>
              </w:rPr>
              <w:t>-</w:t>
            </w:r>
          </w:p>
        </w:tc>
      </w:tr>
      <w:tr w:rsidR="006F69B1" w14:paraId="04867F1C" w14:textId="77777777">
        <w:tc>
          <w:tcPr>
            <w:tcW w:w="4371" w:type="dxa"/>
            <w:shd w:val="clear" w:color="auto" w:fill="FFFFFF"/>
            <w:noWrap/>
            <w:tcMar>
              <w:top w:w="75" w:type="dxa"/>
              <w:left w:w="75" w:type="dxa"/>
              <w:bottom w:w="75" w:type="dxa"/>
              <w:right w:w="75" w:type="dxa"/>
            </w:tcMar>
            <w:vAlign w:val="center"/>
          </w:tcPr>
          <w:p w14:paraId="11E505EC" w14:textId="77777777" w:rsidR="006F69B1" w:rsidRDefault="003F56C3">
            <w:pPr>
              <w:jc w:val="left"/>
            </w:pPr>
            <w:r>
              <w:rPr>
                <w:sz w:val="24"/>
              </w:rPr>
              <w:t>7. Tiks veikta iekšējo institūcijas procesu optimizācija</w:t>
            </w:r>
          </w:p>
        </w:tc>
        <w:tc>
          <w:tcPr>
            <w:tcW w:w="900" w:type="dxa"/>
            <w:shd w:val="clear" w:color="auto" w:fill="FFFFFF"/>
            <w:noWrap/>
            <w:tcMar>
              <w:top w:w="75" w:type="dxa"/>
              <w:left w:w="75" w:type="dxa"/>
              <w:bottom w:w="75" w:type="dxa"/>
              <w:right w:w="75" w:type="dxa"/>
            </w:tcMar>
            <w:vAlign w:val="center"/>
          </w:tcPr>
          <w:p w14:paraId="1A20E92E" w14:textId="77777777" w:rsidR="006F69B1" w:rsidRDefault="003F56C3">
            <w:pPr>
              <w:jc w:val="left"/>
            </w:pPr>
            <w:r>
              <w:rPr>
                <w:sz w:val="24"/>
              </w:rPr>
              <w:t>Nē</w:t>
            </w:r>
          </w:p>
        </w:tc>
        <w:tc>
          <w:tcPr>
            <w:tcW w:w="4371" w:type="dxa"/>
            <w:shd w:val="clear" w:color="auto" w:fill="FFFFFF"/>
            <w:noWrap/>
            <w:tcMar>
              <w:top w:w="75" w:type="dxa"/>
              <w:left w:w="75" w:type="dxa"/>
              <w:bottom w:w="75" w:type="dxa"/>
              <w:right w:w="75" w:type="dxa"/>
            </w:tcMar>
            <w:vAlign w:val="center"/>
          </w:tcPr>
          <w:p w14:paraId="7B9E5742" w14:textId="77777777" w:rsidR="006F69B1" w:rsidRDefault="003F56C3">
            <w:r>
              <w:rPr>
                <w:sz w:val="24"/>
              </w:rPr>
              <w:t>-</w:t>
            </w:r>
          </w:p>
        </w:tc>
      </w:tr>
      <w:tr w:rsidR="006F69B1" w14:paraId="3C056E4A" w14:textId="77777777">
        <w:tc>
          <w:tcPr>
            <w:tcW w:w="4371" w:type="dxa"/>
            <w:shd w:val="clear" w:color="auto" w:fill="FFFFFF"/>
            <w:noWrap/>
            <w:tcMar>
              <w:top w:w="75" w:type="dxa"/>
              <w:left w:w="75" w:type="dxa"/>
              <w:bottom w:w="75" w:type="dxa"/>
              <w:right w:w="75" w:type="dxa"/>
            </w:tcMar>
            <w:vAlign w:val="center"/>
          </w:tcPr>
          <w:p w14:paraId="36C6F9AA" w14:textId="77777777" w:rsidR="006F69B1" w:rsidRDefault="003F56C3">
            <w:pPr>
              <w:jc w:val="left"/>
            </w:pPr>
            <w:r>
              <w:rPr>
                <w:sz w:val="24"/>
              </w:rPr>
              <w:t>8. Cita informācija</w:t>
            </w:r>
          </w:p>
        </w:tc>
        <w:tc>
          <w:tcPr>
            <w:tcW w:w="900" w:type="dxa"/>
            <w:shd w:val="clear" w:color="auto" w:fill="FFFFFF"/>
            <w:noWrap/>
            <w:tcMar>
              <w:top w:w="75" w:type="dxa"/>
              <w:left w:w="75" w:type="dxa"/>
              <w:bottom w:w="75" w:type="dxa"/>
              <w:right w:w="75" w:type="dxa"/>
            </w:tcMar>
            <w:vAlign w:val="center"/>
          </w:tcPr>
          <w:p w14:paraId="0A64B3D8" w14:textId="77777777" w:rsidR="006F69B1" w:rsidRDefault="003F56C3">
            <w:pPr>
              <w:jc w:val="left"/>
            </w:pPr>
            <w:r>
              <w:rPr>
                <w:sz w:val="24"/>
              </w:rPr>
              <w:t>Nē</w:t>
            </w:r>
          </w:p>
        </w:tc>
        <w:tc>
          <w:tcPr>
            <w:tcW w:w="4371" w:type="dxa"/>
            <w:shd w:val="clear" w:color="auto" w:fill="FFFFFF"/>
            <w:noWrap/>
            <w:tcMar>
              <w:top w:w="75" w:type="dxa"/>
              <w:left w:w="75" w:type="dxa"/>
              <w:bottom w:w="75" w:type="dxa"/>
              <w:right w:w="75" w:type="dxa"/>
            </w:tcMar>
            <w:vAlign w:val="center"/>
          </w:tcPr>
          <w:p w14:paraId="54542B14" w14:textId="77777777" w:rsidR="006F69B1" w:rsidRDefault="003F56C3">
            <w:r>
              <w:rPr>
                <w:sz w:val="24"/>
              </w:rPr>
              <w:t>-</w:t>
            </w:r>
          </w:p>
        </w:tc>
      </w:tr>
    </w:tbl>
    <w:p w14:paraId="3764E66C" w14:textId="77777777" w:rsidR="006F69B1" w:rsidRDefault="003F56C3">
      <w:pPr>
        <w:spacing w:before="270" w:after="180"/>
      </w:pPr>
      <w:r>
        <w:rPr>
          <w:b/>
          <w:sz w:val="30"/>
        </w:rPr>
        <w:t>7.5. Cita informācija</w:t>
      </w:r>
    </w:p>
    <w:p w14:paraId="34E89966" w14:textId="77777777" w:rsidR="006F69B1" w:rsidRDefault="003F56C3">
      <w:pPr>
        <w:spacing w:before="90" w:after="90"/>
      </w:pPr>
      <w:r>
        <w:rPr>
          <w:b/>
        </w:rPr>
        <w:t>Cita informācija</w:t>
      </w:r>
    </w:p>
    <w:p w14:paraId="5A51A190" w14:textId="77777777" w:rsidR="006F69B1" w:rsidRDefault="003F56C3">
      <w:r>
        <w:t>-</w:t>
      </w:r>
    </w:p>
    <w:p w14:paraId="08B00468" w14:textId="77777777" w:rsidR="006F69B1" w:rsidRDefault="003F56C3">
      <w:pPr>
        <w:spacing w:before="180"/>
      </w:pPr>
      <w:r>
        <w:rPr>
          <w:b/>
          <w:sz w:val="32"/>
        </w:rPr>
        <w:t>8. Horizontālā ietekme</w:t>
      </w:r>
    </w:p>
    <w:p w14:paraId="63A5BD41" w14:textId="77777777" w:rsidR="006F69B1" w:rsidRDefault="003F56C3">
      <w:pPr>
        <w:spacing w:before="270" w:after="180"/>
      </w:pPr>
      <w:r>
        <w:rPr>
          <w:b/>
          <w:sz w:val="30"/>
        </w:rPr>
        <w:t>8.1. Projekta tiesiskā regulējuma ietekme</w:t>
      </w:r>
    </w:p>
    <w:p w14:paraId="685A5EA5" w14:textId="77777777" w:rsidR="006F69B1" w:rsidRDefault="003F56C3">
      <w:pPr>
        <w:spacing w:before="270" w:after="180"/>
      </w:pPr>
      <w:r>
        <w:rPr>
          <w:b/>
          <w:sz w:val="30"/>
        </w:rPr>
        <w:t>8.1.1. uz publisku pakalpojumu attīstību</w:t>
      </w:r>
    </w:p>
    <w:p w14:paraId="6DEDDFB1" w14:textId="77777777" w:rsidR="006F69B1" w:rsidRDefault="003F56C3">
      <w:pPr>
        <w:spacing w:before="90" w:after="90"/>
      </w:pPr>
      <w:r>
        <w:rPr>
          <w:b/>
        </w:rPr>
        <w:t>Vai projekts skar šo jomu?</w:t>
      </w:r>
    </w:p>
    <w:p w14:paraId="59AB7DE3" w14:textId="77777777" w:rsidR="006F69B1" w:rsidRDefault="003F56C3">
      <w:r>
        <w:t>Nē</w:t>
      </w:r>
    </w:p>
    <w:p w14:paraId="23095F95" w14:textId="77777777" w:rsidR="006F69B1" w:rsidRDefault="003F56C3">
      <w:pPr>
        <w:spacing w:before="270" w:after="180"/>
      </w:pPr>
      <w:r>
        <w:rPr>
          <w:b/>
          <w:sz w:val="30"/>
        </w:rPr>
        <w:t>8.1.2. uz valsts un pašvaldību informācijas un komunikācijas tehnoloģiju attīstību</w:t>
      </w:r>
    </w:p>
    <w:p w14:paraId="39A4A31B" w14:textId="77777777" w:rsidR="006F69B1" w:rsidRDefault="003F56C3">
      <w:pPr>
        <w:spacing w:before="90" w:after="90"/>
      </w:pPr>
      <w:r>
        <w:rPr>
          <w:b/>
        </w:rPr>
        <w:t>Vai projekts skar šo jomu?</w:t>
      </w:r>
    </w:p>
    <w:p w14:paraId="7C1223B0" w14:textId="77777777" w:rsidR="006F69B1" w:rsidRDefault="003F56C3">
      <w:r>
        <w:t>-</w:t>
      </w:r>
    </w:p>
    <w:p w14:paraId="5EF011D1" w14:textId="77777777" w:rsidR="006F69B1" w:rsidRDefault="003F56C3">
      <w:pPr>
        <w:spacing w:before="270" w:after="180"/>
      </w:pPr>
      <w:r>
        <w:rPr>
          <w:b/>
          <w:sz w:val="30"/>
        </w:rPr>
        <w:t>8.1.3. uz informācijas sabiedrības politikas īstenošanu</w:t>
      </w:r>
    </w:p>
    <w:p w14:paraId="3AE87AEF" w14:textId="77777777" w:rsidR="006F69B1" w:rsidRDefault="003F56C3">
      <w:pPr>
        <w:spacing w:before="90" w:after="90"/>
      </w:pPr>
      <w:r>
        <w:rPr>
          <w:b/>
        </w:rPr>
        <w:t>Vai projekts skar šo jomu?</w:t>
      </w:r>
    </w:p>
    <w:p w14:paraId="03C0EDE8" w14:textId="77777777" w:rsidR="006F69B1" w:rsidRDefault="003F56C3">
      <w:r>
        <w:t>Nē</w:t>
      </w:r>
    </w:p>
    <w:p w14:paraId="1B7390E9" w14:textId="77777777" w:rsidR="006F69B1" w:rsidRDefault="003F56C3">
      <w:pPr>
        <w:spacing w:before="270" w:after="180"/>
      </w:pPr>
      <w:r>
        <w:rPr>
          <w:b/>
          <w:sz w:val="30"/>
        </w:rPr>
        <w:t>8.1.4. uz Nacionālā attīstības plāna rādītājiem</w:t>
      </w:r>
    </w:p>
    <w:p w14:paraId="3B8AF3E4" w14:textId="77777777" w:rsidR="006F69B1" w:rsidRDefault="003F56C3">
      <w:pPr>
        <w:spacing w:before="90" w:after="90"/>
      </w:pPr>
      <w:r>
        <w:rPr>
          <w:b/>
        </w:rPr>
        <w:t>Vai projekts skar šo jomu?</w:t>
      </w:r>
    </w:p>
    <w:p w14:paraId="5CBB42F9" w14:textId="77777777" w:rsidR="006F69B1" w:rsidRDefault="003F56C3">
      <w:r>
        <w:t>Nē</w:t>
      </w:r>
    </w:p>
    <w:p w14:paraId="17053FCC" w14:textId="77777777" w:rsidR="006F69B1" w:rsidRDefault="003F56C3">
      <w:pPr>
        <w:spacing w:before="270" w:after="180"/>
      </w:pPr>
      <w:r>
        <w:rPr>
          <w:b/>
          <w:sz w:val="30"/>
        </w:rPr>
        <w:t>8.1.5. uz teritoriju attīstību</w:t>
      </w:r>
    </w:p>
    <w:p w14:paraId="3F6D39D2" w14:textId="77777777" w:rsidR="006F69B1" w:rsidRDefault="003F56C3">
      <w:pPr>
        <w:spacing w:before="90" w:after="90"/>
      </w:pPr>
      <w:r>
        <w:rPr>
          <w:b/>
        </w:rPr>
        <w:t>Vai projekts skar šo jomu?</w:t>
      </w:r>
    </w:p>
    <w:p w14:paraId="5C4FF66B" w14:textId="77777777" w:rsidR="006F69B1" w:rsidRDefault="003F56C3">
      <w:r>
        <w:lastRenderedPageBreak/>
        <w:t>Nē</w:t>
      </w:r>
    </w:p>
    <w:p w14:paraId="02AD4B81" w14:textId="77777777" w:rsidR="006F69B1" w:rsidRDefault="003F56C3">
      <w:pPr>
        <w:spacing w:before="270" w:after="180"/>
      </w:pPr>
      <w:r>
        <w:rPr>
          <w:b/>
          <w:sz w:val="30"/>
        </w:rPr>
        <w:t>8.1.6. uz vidi</w:t>
      </w:r>
    </w:p>
    <w:p w14:paraId="4D36452A" w14:textId="77777777" w:rsidR="006F69B1" w:rsidRDefault="003F56C3">
      <w:pPr>
        <w:spacing w:before="90" w:after="90"/>
      </w:pPr>
      <w:r>
        <w:rPr>
          <w:b/>
        </w:rPr>
        <w:t>Vai projekts skar šo jomu?</w:t>
      </w:r>
    </w:p>
    <w:p w14:paraId="36084A08" w14:textId="77777777" w:rsidR="006F69B1" w:rsidRDefault="003F56C3">
      <w:r>
        <w:t>Nē</w:t>
      </w:r>
    </w:p>
    <w:p w14:paraId="770CE35A" w14:textId="77777777" w:rsidR="006F69B1" w:rsidRDefault="003F56C3">
      <w:pPr>
        <w:spacing w:before="270" w:after="180"/>
      </w:pPr>
      <w:r>
        <w:rPr>
          <w:b/>
          <w:sz w:val="30"/>
        </w:rPr>
        <w:t>8.1.7. uz klimatneitralitāti</w:t>
      </w:r>
    </w:p>
    <w:p w14:paraId="447AFAB7" w14:textId="77777777" w:rsidR="006F69B1" w:rsidRDefault="003F56C3">
      <w:pPr>
        <w:spacing w:before="90" w:after="90"/>
      </w:pPr>
      <w:r>
        <w:rPr>
          <w:b/>
        </w:rPr>
        <w:t>Vai projekts skar šo jomu?</w:t>
      </w:r>
    </w:p>
    <w:p w14:paraId="3CF1249C" w14:textId="77777777" w:rsidR="006F69B1" w:rsidRDefault="003F56C3">
      <w:r>
        <w:t>Nē</w:t>
      </w:r>
    </w:p>
    <w:p w14:paraId="0A163E41" w14:textId="77777777" w:rsidR="006F69B1" w:rsidRDefault="003F56C3">
      <w:pPr>
        <w:spacing w:before="270" w:after="180"/>
      </w:pPr>
      <w:r>
        <w:rPr>
          <w:b/>
          <w:sz w:val="30"/>
        </w:rPr>
        <w:t>8.1.8. uz iedzīvotāju sociālo situāciju</w:t>
      </w:r>
    </w:p>
    <w:p w14:paraId="125F0554" w14:textId="77777777" w:rsidR="006F69B1" w:rsidRDefault="003F56C3">
      <w:pPr>
        <w:spacing w:before="90" w:after="90"/>
      </w:pPr>
      <w:r>
        <w:rPr>
          <w:b/>
        </w:rPr>
        <w:t>Vai projekts skar šo jomu?</w:t>
      </w:r>
    </w:p>
    <w:p w14:paraId="625C2674" w14:textId="77777777" w:rsidR="006F69B1" w:rsidRDefault="003F56C3">
      <w:r>
        <w:t>Nē</w:t>
      </w:r>
    </w:p>
    <w:p w14:paraId="043C202A" w14:textId="77777777" w:rsidR="006F69B1" w:rsidRDefault="003F56C3">
      <w:pPr>
        <w:spacing w:before="270" w:after="180"/>
      </w:pPr>
      <w:r>
        <w:rPr>
          <w:b/>
          <w:sz w:val="30"/>
        </w:rPr>
        <w:t>8.1.9. uz personu ar invaliditāti vienlīdzīgām iespējām un tiesībām</w:t>
      </w:r>
    </w:p>
    <w:p w14:paraId="11AA8D94" w14:textId="77777777" w:rsidR="006F69B1" w:rsidRDefault="003F56C3">
      <w:pPr>
        <w:spacing w:before="90" w:after="90"/>
      </w:pPr>
      <w:r>
        <w:rPr>
          <w:b/>
        </w:rPr>
        <w:t>Vai projekts skar šo jomu?</w:t>
      </w:r>
    </w:p>
    <w:p w14:paraId="57062195" w14:textId="77777777" w:rsidR="006F69B1" w:rsidRDefault="003F56C3">
      <w:r>
        <w:t>Nē</w:t>
      </w:r>
    </w:p>
    <w:p w14:paraId="21434186" w14:textId="77777777" w:rsidR="006F69B1" w:rsidRDefault="003F56C3">
      <w:pPr>
        <w:spacing w:before="270" w:after="180"/>
      </w:pPr>
      <w:r>
        <w:rPr>
          <w:b/>
          <w:sz w:val="30"/>
        </w:rPr>
        <w:t>8.1.10. uz dzimumu līdztiesību</w:t>
      </w:r>
    </w:p>
    <w:p w14:paraId="2C3576D7" w14:textId="77777777" w:rsidR="006F69B1" w:rsidRDefault="003F56C3">
      <w:pPr>
        <w:spacing w:before="90" w:after="90"/>
      </w:pPr>
      <w:r>
        <w:rPr>
          <w:b/>
        </w:rPr>
        <w:t>Vai projekts skar šo jomu?</w:t>
      </w:r>
    </w:p>
    <w:p w14:paraId="1A1CE2AF" w14:textId="77777777" w:rsidR="006F69B1" w:rsidRDefault="003F56C3">
      <w:r>
        <w:t>Nē</w:t>
      </w:r>
    </w:p>
    <w:p w14:paraId="61311F7A" w14:textId="77777777" w:rsidR="006F69B1" w:rsidRDefault="003F56C3">
      <w:pPr>
        <w:spacing w:before="270" w:after="180"/>
      </w:pPr>
      <w:r>
        <w:rPr>
          <w:b/>
          <w:sz w:val="30"/>
        </w:rPr>
        <w:t>8.1.11. uz veselību</w:t>
      </w:r>
    </w:p>
    <w:p w14:paraId="3491653C" w14:textId="77777777" w:rsidR="006F69B1" w:rsidRDefault="003F56C3">
      <w:pPr>
        <w:spacing w:before="90" w:after="90"/>
      </w:pPr>
      <w:r>
        <w:rPr>
          <w:b/>
        </w:rPr>
        <w:t>Vai projekts skar šo jomu?</w:t>
      </w:r>
    </w:p>
    <w:p w14:paraId="48E58770" w14:textId="77777777" w:rsidR="006F69B1" w:rsidRDefault="003F56C3">
      <w:r>
        <w:t>Nē</w:t>
      </w:r>
    </w:p>
    <w:p w14:paraId="2889A8F5" w14:textId="77777777" w:rsidR="006F69B1" w:rsidRDefault="003F56C3">
      <w:pPr>
        <w:spacing w:before="270" w:after="180"/>
      </w:pPr>
      <w:r>
        <w:rPr>
          <w:b/>
          <w:sz w:val="30"/>
        </w:rPr>
        <w:t>8.1.12. uz cilvēktiesībām, demokrātiskām vērtībām un pilsoniskās sabiedrības attīstību</w:t>
      </w:r>
    </w:p>
    <w:p w14:paraId="44238D9B" w14:textId="77777777" w:rsidR="006F69B1" w:rsidRDefault="003F56C3">
      <w:pPr>
        <w:spacing w:before="90" w:after="90"/>
      </w:pPr>
      <w:r>
        <w:rPr>
          <w:b/>
        </w:rPr>
        <w:t>Vai projekts skar šo jomu?</w:t>
      </w:r>
    </w:p>
    <w:p w14:paraId="22FC3B8B" w14:textId="77777777" w:rsidR="006F69B1" w:rsidRDefault="003F56C3">
      <w:r>
        <w:t>Nē</w:t>
      </w:r>
    </w:p>
    <w:p w14:paraId="4184FADE" w14:textId="77777777" w:rsidR="006F69B1" w:rsidRDefault="003F56C3">
      <w:pPr>
        <w:spacing w:before="270" w:after="180"/>
      </w:pPr>
      <w:r>
        <w:rPr>
          <w:b/>
          <w:sz w:val="30"/>
        </w:rPr>
        <w:t>8.1.13. uz datu aizsardzību</w:t>
      </w:r>
    </w:p>
    <w:p w14:paraId="2598F968" w14:textId="77777777" w:rsidR="006F69B1" w:rsidRDefault="003F56C3">
      <w:pPr>
        <w:spacing w:before="90" w:after="90"/>
      </w:pPr>
      <w:r>
        <w:rPr>
          <w:b/>
        </w:rPr>
        <w:t>Vai projekts skar šo jomu?</w:t>
      </w:r>
    </w:p>
    <w:p w14:paraId="78A4CDB0" w14:textId="77777777" w:rsidR="006F69B1" w:rsidRDefault="003F56C3">
      <w:r>
        <w:t>Nē</w:t>
      </w:r>
    </w:p>
    <w:p w14:paraId="6573E101" w14:textId="77777777" w:rsidR="006F69B1" w:rsidRDefault="003F56C3">
      <w:pPr>
        <w:spacing w:before="270" w:after="180"/>
      </w:pPr>
      <w:r>
        <w:rPr>
          <w:b/>
          <w:sz w:val="30"/>
        </w:rPr>
        <w:t>8.1.14. uz diasporu</w:t>
      </w:r>
    </w:p>
    <w:p w14:paraId="298BDE2C" w14:textId="77777777" w:rsidR="006F69B1" w:rsidRDefault="003F56C3">
      <w:pPr>
        <w:spacing w:before="90" w:after="90"/>
      </w:pPr>
      <w:r>
        <w:rPr>
          <w:b/>
        </w:rPr>
        <w:t>Vai projekts skar šo jomu?</w:t>
      </w:r>
    </w:p>
    <w:p w14:paraId="75D70CA8" w14:textId="77777777" w:rsidR="006F69B1" w:rsidRDefault="003F56C3">
      <w:r>
        <w:lastRenderedPageBreak/>
        <w:t>Nē</w:t>
      </w:r>
    </w:p>
    <w:p w14:paraId="560D7E98" w14:textId="77777777" w:rsidR="006F69B1" w:rsidRDefault="003F56C3">
      <w:pPr>
        <w:spacing w:before="270" w:after="180"/>
      </w:pPr>
      <w:r>
        <w:rPr>
          <w:b/>
          <w:sz w:val="30"/>
        </w:rPr>
        <w:t>8.1.15. uz profesiju reglamentāciju</w:t>
      </w:r>
    </w:p>
    <w:p w14:paraId="5EBE66E8" w14:textId="77777777" w:rsidR="006F69B1" w:rsidRDefault="003F56C3">
      <w:pPr>
        <w:spacing w:before="90" w:after="90"/>
      </w:pPr>
      <w:r>
        <w:rPr>
          <w:b/>
        </w:rPr>
        <w:t>Vai projekts skar šo jomu?</w:t>
      </w:r>
    </w:p>
    <w:p w14:paraId="497EBC61" w14:textId="77777777" w:rsidR="006F69B1" w:rsidRDefault="003F56C3">
      <w:r>
        <w:t>Nē</w:t>
      </w:r>
    </w:p>
    <w:p w14:paraId="1E0DB6DF" w14:textId="77777777" w:rsidR="006F69B1" w:rsidRDefault="003F56C3">
      <w:pPr>
        <w:spacing w:before="270" w:after="180"/>
      </w:pPr>
      <w:r>
        <w:rPr>
          <w:b/>
          <w:sz w:val="30"/>
        </w:rPr>
        <w:t>8.2. Cita informācija</w:t>
      </w:r>
    </w:p>
    <w:p w14:paraId="0F2D567E" w14:textId="77777777" w:rsidR="006F69B1" w:rsidRDefault="003F56C3">
      <w:pPr>
        <w:spacing w:before="90" w:after="90"/>
      </w:pPr>
      <w:r>
        <w:rPr>
          <w:b/>
        </w:rPr>
        <w:t>Cita informācija</w:t>
      </w:r>
    </w:p>
    <w:p w14:paraId="595BCC34" w14:textId="77777777" w:rsidR="006F69B1" w:rsidRDefault="003F56C3">
      <w:r>
        <w:t>-</w:t>
      </w:r>
    </w:p>
    <w:sectPr w:rsidR="006F69B1">
      <w:headerReference w:type="default" r:id="rId6"/>
      <w:footerReference w:type="default" r:id="rId7"/>
      <w:headerReference w:type="first" r:id="rId8"/>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D83D82" w14:textId="77777777" w:rsidR="009A04E8" w:rsidRDefault="009A04E8">
      <w:r>
        <w:separator/>
      </w:r>
    </w:p>
  </w:endnote>
  <w:endnote w:type="continuationSeparator" w:id="0">
    <w:p w14:paraId="07B8E9CD" w14:textId="77777777" w:rsidR="009A04E8" w:rsidRDefault="009A0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EBFDA" w14:textId="77777777" w:rsidR="006F69B1" w:rsidRDefault="003F56C3">
    <w:pPr>
      <w:jc w:val="right"/>
    </w:pPr>
    <w:r>
      <w:rPr>
        <w:sz w:val="24"/>
        <w:szCs w:val="24"/>
      </w:rPr>
      <w:fldChar w:fldCharType="begin"/>
    </w:r>
    <w:r>
      <w:rPr>
        <w:sz w:val="24"/>
        <w:szCs w:val="24"/>
      </w:rPr>
      <w:instrText>PAGE</w:instrText>
    </w:r>
    <w:r>
      <w:rPr>
        <w:sz w:val="24"/>
        <w:szCs w:val="24"/>
      </w:rPr>
      <w:fldChar w:fldCharType="separate"/>
    </w:r>
    <w:r w:rsidR="00C37303">
      <w:rPr>
        <w:noProof/>
        <w:sz w:val="24"/>
        <w:szCs w:val="24"/>
      </w:rPr>
      <w:t>2</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831981" w14:textId="77777777" w:rsidR="009A04E8" w:rsidRDefault="009A04E8">
      <w:r>
        <w:separator/>
      </w:r>
    </w:p>
  </w:footnote>
  <w:footnote w:type="continuationSeparator" w:id="0">
    <w:p w14:paraId="18078274" w14:textId="77777777" w:rsidR="009A04E8" w:rsidRDefault="009A04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6D663C" w14:textId="50C6A75F" w:rsidR="006F69B1" w:rsidRDefault="006F69B1">
    <w:pPr>
      <w:pStyle w:val="Header"/>
      <w:contextualSpacing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F2E4F9" w14:textId="4331E329" w:rsidR="006F69B1" w:rsidRDefault="006F69B1">
    <w:pPr>
      <w:pStyle w:val="Header"/>
      <w:contextualSpacing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9B1"/>
    <w:rsid w:val="003F56C3"/>
    <w:rsid w:val="005A246A"/>
    <w:rsid w:val="00685461"/>
    <w:rsid w:val="006F69B1"/>
    <w:rsid w:val="009A04E8"/>
    <w:rsid w:val="00C37303"/>
    <w:rsid w:val="00EE4539"/>
    <w:rsid w:val="00F550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D6216"/>
  <w15:docId w15:val="{146D431F-E134-40C5-B33F-5230E1C87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C37303"/>
    <w:pPr>
      <w:tabs>
        <w:tab w:val="center" w:pos="4153"/>
        <w:tab w:val="right" w:pos="8306"/>
      </w:tabs>
    </w:pPr>
  </w:style>
  <w:style w:type="character" w:customStyle="1" w:styleId="FooterChar">
    <w:name w:val="Footer Char"/>
    <w:basedOn w:val="DefaultParagraphFont"/>
    <w:link w:val="Footer"/>
    <w:uiPriority w:val="99"/>
    <w:rsid w:val="00C373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13</Pages>
  <Words>14591</Words>
  <Characters>8317</Characters>
  <Application>Microsoft Office Word</Application>
  <DocSecurity>0</DocSecurity>
  <Lines>69</Lines>
  <Paragraphs>45</Paragraphs>
  <ScaleCrop>false</ScaleCrop>
  <Company/>
  <LinksUpToDate>false</LinksUpToDate>
  <CharactersWithSpaces>22863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anotācija_(ex_ante)_21-TA-767.docx</dc:title>
  <dc:creator>Inese Karpoviča</dc:creator>
  <cp:lastModifiedBy>Inese Karpoviča</cp:lastModifiedBy>
  <cp:revision>5</cp:revision>
  <dcterms:created xsi:type="dcterms:W3CDTF">2021-11-08T10:58:00Z</dcterms:created>
  <dcterms:modified xsi:type="dcterms:W3CDTF">2021-11-08T11:48:00Z</dcterms:modified>
</cp:coreProperties>
</file>