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8647" w14:textId="77777777" w:rsidR="008C0EDC" w:rsidRPr="00914C79" w:rsidRDefault="00BA0797" w:rsidP="00BA0797">
      <w:pPr>
        <w:spacing w:after="0"/>
        <w:jc w:val="center"/>
        <w:rPr>
          <w:rFonts w:eastAsia="Times New Roman"/>
          <w:b/>
          <w:bCs/>
          <w:lang w:eastAsia="lv-LV"/>
        </w:rPr>
      </w:pPr>
      <w:r w:rsidRPr="00914C79">
        <w:rPr>
          <w:rFonts w:eastAsia="Times New Roman"/>
          <w:b/>
          <w:bCs/>
          <w:lang w:eastAsia="lv-LV"/>
        </w:rPr>
        <w:t xml:space="preserve">Ministru kabineta </w:t>
      </w:r>
      <w:r w:rsidR="00A6657C" w:rsidRPr="00914C79">
        <w:rPr>
          <w:rFonts w:eastAsia="Times New Roman"/>
          <w:b/>
          <w:bCs/>
          <w:lang w:eastAsia="lv-LV"/>
        </w:rPr>
        <w:t>noteikumu</w:t>
      </w:r>
      <w:r w:rsidR="00252377" w:rsidRPr="00914C79">
        <w:rPr>
          <w:rFonts w:eastAsia="Times New Roman"/>
          <w:b/>
          <w:bCs/>
          <w:lang w:eastAsia="lv-LV"/>
        </w:rPr>
        <w:t xml:space="preserve"> projekta</w:t>
      </w:r>
      <w:r w:rsidR="009643E5" w:rsidRPr="00914C79">
        <w:rPr>
          <w:rFonts w:eastAsia="Times New Roman"/>
          <w:b/>
          <w:bCs/>
          <w:lang w:eastAsia="lv-LV"/>
        </w:rPr>
        <w:t xml:space="preserve"> </w:t>
      </w:r>
      <w:r w:rsidRPr="00914C79">
        <w:rPr>
          <w:rFonts w:eastAsia="Times New Roman"/>
          <w:b/>
          <w:bCs/>
          <w:lang w:eastAsia="lv-LV"/>
        </w:rPr>
        <w:t>„</w:t>
      </w:r>
      <w:r w:rsidR="00433C50" w:rsidRPr="00914C79">
        <w:rPr>
          <w:rFonts w:eastAsia="Times New Roman"/>
          <w:b/>
          <w:bCs/>
          <w:lang w:eastAsia="lv-LV"/>
        </w:rPr>
        <w:t>Iepriekšējās darbības pārbaudes veikšanas kārtība, civilās aviācijas gaisa kuģa apkalpes locekļa identitātes kartes un lidostas identitātes kartes izsniegšanas un anulēšanas kārtība</w:t>
      </w:r>
      <w:r w:rsidRPr="00914C79">
        <w:rPr>
          <w:rFonts w:eastAsia="Times New Roman"/>
          <w:b/>
          <w:bCs/>
          <w:lang w:eastAsia="lv-LV"/>
        </w:rPr>
        <w:t>”</w:t>
      </w:r>
      <w:r w:rsidR="00626FD4" w:rsidRPr="00914C79">
        <w:rPr>
          <w:rFonts w:eastAsia="Times New Roman"/>
          <w:b/>
          <w:bCs/>
          <w:lang w:eastAsia="lv-LV"/>
        </w:rPr>
        <w:t xml:space="preserve"> </w:t>
      </w:r>
      <w:r w:rsidRPr="00914C79">
        <w:rPr>
          <w:rFonts w:eastAsia="Times New Roman"/>
          <w:b/>
          <w:bCs/>
          <w:lang w:eastAsia="lv-LV"/>
        </w:rPr>
        <w:t>sākotnējās ietekmes novērtējuma ziņojums (anotācija)</w:t>
      </w:r>
    </w:p>
    <w:p w14:paraId="5D963E23" w14:textId="77777777" w:rsidR="007710D0" w:rsidRPr="00914C79" w:rsidRDefault="007710D0" w:rsidP="00BA07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35"/>
        <w:gridCol w:w="5581"/>
      </w:tblGrid>
      <w:tr w:rsidR="008C0EDC" w:rsidRPr="00914C79" w14:paraId="4CC753CE" w14:textId="77777777" w:rsidTr="008C0E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DAB7BA" w14:textId="77777777" w:rsidR="008C0EDC" w:rsidRPr="00914C79" w:rsidRDefault="008C0EDC" w:rsidP="008C0EDC">
            <w:pPr>
              <w:spacing w:before="100" w:beforeAutospacing="1" w:after="100" w:afterAutospacing="1"/>
              <w:jc w:val="center"/>
              <w:rPr>
                <w:rFonts w:eastAsia="Times New Roman"/>
                <w:b/>
                <w:bCs/>
                <w:lang w:eastAsia="lv-LV"/>
              </w:rPr>
            </w:pPr>
            <w:r w:rsidRPr="00914C79">
              <w:rPr>
                <w:rFonts w:eastAsia="Times New Roman"/>
                <w:b/>
                <w:bCs/>
                <w:lang w:eastAsia="lv-LV"/>
              </w:rPr>
              <w:t>Tiesību akta projekta anotācijas kopsavilkums</w:t>
            </w:r>
          </w:p>
        </w:tc>
      </w:tr>
      <w:tr w:rsidR="008C0EDC" w:rsidRPr="00914C79" w14:paraId="67ECD707" w14:textId="77777777" w:rsidTr="000E397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5E6DBA2" w14:textId="77777777" w:rsidR="008C0EDC" w:rsidRPr="00914C79" w:rsidRDefault="008C0EDC" w:rsidP="008C0EDC">
            <w:pPr>
              <w:spacing w:after="0"/>
              <w:rPr>
                <w:rFonts w:eastAsia="Times New Roman"/>
                <w:lang w:eastAsia="lv-LV"/>
              </w:rPr>
            </w:pPr>
            <w:r w:rsidRPr="00914C79">
              <w:rPr>
                <w:rFonts w:eastAsia="Times New Roman"/>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54848881" w14:textId="77777777" w:rsidR="00392D93" w:rsidRPr="00914C79" w:rsidRDefault="00392D93" w:rsidP="006E2FA8">
            <w:pPr>
              <w:pStyle w:val="naislab"/>
              <w:spacing w:before="0" w:beforeAutospacing="0" w:after="0" w:afterAutospacing="0"/>
              <w:jc w:val="both"/>
            </w:pPr>
            <w:r w:rsidRPr="00914C79">
              <w:t xml:space="preserve">Ministru kabineta noteikumu projekta „Iepriekšējās darbības pārbaudes veikšanas kārtība, civilās aviācijas gaisa kuģa apkalpes locekļa identitātes kartes un lidostas identitātes kartes izsniegšanas un anulēšanas kārtība” (turpmāk – projekts) mērķis ir noteikt iepriekšējās darbības pārbaudes </w:t>
            </w:r>
            <w:r w:rsidR="005B5475" w:rsidRPr="00914C79">
              <w:t>v</w:t>
            </w:r>
            <w:r w:rsidR="004E2E37" w:rsidRPr="00914C79">
              <w:t>ei</w:t>
            </w:r>
            <w:r w:rsidR="005B5475" w:rsidRPr="00914C79">
              <w:t xml:space="preserve">kšanas </w:t>
            </w:r>
            <w:r w:rsidRPr="00914C79">
              <w:t>kārtību</w:t>
            </w:r>
            <w:r w:rsidR="00137600" w:rsidRPr="00914C79">
              <w:t>, civilās aviācijas gaisa kuģa apkalpes locekļa identitātes kartes un lidostas identitātes kartes izsniegšanas un anulēšanas kārtīb</w:t>
            </w:r>
            <w:r w:rsidR="006643EA" w:rsidRPr="00914C79">
              <w:t>u</w:t>
            </w:r>
            <w:r w:rsidRPr="00914C79">
              <w:t xml:space="preserve"> atbilstoši Komisijas 2015.gada 5.novembra īstenošanas regulas (ES) Nr.2015/1998, ar ko nosaka sīki izstrādātus pasākumus kopīgu pamatstandartu īstenošanai aviācijas drošības jomā (turpmāk – regula Nr.2015/1998) prasībām.</w:t>
            </w:r>
          </w:p>
          <w:p w14:paraId="7B758E9B" w14:textId="77777777" w:rsidR="00252377" w:rsidRPr="00914C79" w:rsidRDefault="006B5D07" w:rsidP="006E2FA8">
            <w:pPr>
              <w:pStyle w:val="naislab"/>
              <w:spacing w:before="0" w:beforeAutospacing="0" w:after="0" w:afterAutospacing="0"/>
              <w:jc w:val="both"/>
            </w:pPr>
            <w:r w:rsidRPr="00914C79">
              <w:t>P</w:t>
            </w:r>
            <w:r w:rsidR="00252377" w:rsidRPr="00914C79">
              <w:t>rojekts stāsies spēkā Oficiālo publikāciju un tiesiskās informācijas likumā noteiktajā kārtībā.</w:t>
            </w:r>
          </w:p>
        </w:tc>
      </w:tr>
    </w:tbl>
    <w:p w14:paraId="0402182A" w14:textId="77777777" w:rsidR="008C0EDC" w:rsidRPr="00914C79"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914C79" w14:paraId="5C28BB94"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65B6F5" w14:textId="77777777" w:rsidR="008C0EDC" w:rsidRPr="00914C79" w:rsidRDefault="008C0EDC" w:rsidP="008C0EDC">
            <w:pPr>
              <w:spacing w:before="100" w:beforeAutospacing="1" w:after="100" w:afterAutospacing="1"/>
              <w:jc w:val="center"/>
              <w:rPr>
                <w:rFonts w:eastAsia="Times New Roman"/>
                <w:b/>
                <w:bCs/>
                <w:lang w:eastAsia="lv-LV"/>
              </w:rPr>
            </w:pPr>
            <w:r w:rsidRPr="00914C79">
              <w:rPr>
                <w:rFonts w:eastAsia="Times New Roman"/>
                <w:b/>
                <w:bCs/>
                <w:lang w:eastAsia="lv-LV"/>
              </w:rPr>
              <w:t>I. Tiesību akta projekta izstrādes nepieciešamība</w:t>
            </w:r>
          </w:p>
        </w:tc>
      </w:tr>
      <w:tr w:rsidR="008C0EDC" w:rsidRPr="00914C79" w14:paraId="29B2F9C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B11028"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0C59DE2" w14:textId="77777777" w:rsidR="008C0EDC" w:rsidRPr="00914C79" w:rsidRDefault="008C0EDC" w:rsidP="008C0EDC">
            <w:pPr>
              <w:spacing w:after="0"/>
              <w:rPr>
                <w:rFonts w:eastAsia="Times New Roman"/>
                <w:lang w:eastAsia="lv-LV"/>
              </w:rPr>
            </w:pPr>
            <w:r w:rsidRPr="00914C79">
              <w:rPr>
                <w:rFonts w:eastAsia="Times New Roman"/>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5846A84A" w14:textId="77777777" w:rsidR="008C0EDC" w:rsidRPr="00914C79" w:rsidRDefault="00C21440" w:rsidP="00A94B8C">
            <w:pPr>
              <w:spacing w:after="0"/>
              <w:jc w:val="both"/>
              <w:rPr>
                <w:rFonts w:eastAsia="Times New Roman"/>
                <w:lang w:eastAsia="lv-LV"/>
              </w:rPr>
            </w:pPr>
            <w:r w:rsidRPr="00914C79">
              <w:rPr>
                <w:rFonts w:eastAsia="Times New Roman"/>
                <w:lang w:eastAsia="lv-LV"/>
              </w:rPr>
              <w:t xml:space="preserve">Likuma “Par aviāciju” </w:t>
            </w:r>
            <w:r w:rsidR="002669AF" w:rsidRPr="00914C79">
              <w:rPr>
                <w:rFonts w:eastAsia="Times New Roman"/>
                <w:lang w:eastAsia="lv-LV"/>
              </w:rPr>
              <w:t>57.</w:t>
            </w:r>
            <w:r w:rsidR="002669AF" w:rsidRPr="00914C79">
              <w:rPr>
                <w:rFonts w:eastAsia="Times New Roman"/>
                <w:vertAlign w:val="superscript"/>
                <w:lang w:eastAsia="lv-LV"/>
              </w:rPr>
              <w:t>1</w:t>
            </w:r>
            <w:r w:rsidR="002669AF" w:rsidRPr="00914C79">
              <w:rPr>
                <w:rFonts w:eastAsia="Times New Roman"/>
                <w:lang w:eastAsia="lv-LV"/>
              </w:rPr>
              <w:t xml:space="preserve"> panta piektā daļa</w:t>
            </w:r>
          </w:p>
        </w:tc>
      </w:tr>
      <w:tr w:rsidR="008C0EDC" w:rsidRPr="00914C79" w14:paraId="0C5DC79A"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24E111"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DB3598" w14:textId="77777777" w:rsidR="00A316FF" w:rsidRPr="00914C79" w:rsidRDefault="008C0EDC" w:rsidP="008C0EDC">
            <w:pPr>
              <w:spacing w:after="0"/>
              <w:rPr>
                <w:rFonts w:eastAsia="Times New Roman"/>
                <w:lang w:eastAsia="lv-LV"/>
              </w:rPr>
            </w:pPr>
            <w:r w:rsidRPr="00914C79">
              <w:rPr>
                <w:rFonts w:eastAsia="Times New Roman"/>
                <w:lang w:eastAsia="lv-LV"/>
              </w:rPr>
              <w:t>Pašreizējā situācija un problēmas, kuru risināšanai tiesību akta projekts izstrādāts, tiesiskā regulējuma mērķis un būtība</w:t>
            </w:r>
          </w:p>
          <w:p w14:paraId="53A4020D" w14:textId="77777777" w:rsidR="00A316FF" w:rsidRPr="00914C79" w:rsidRDefault="00A316FF" w:rsidP="00A316FF">
            <w:pPr>
              <w:rPr>
                <w:rFonts w:eastAsia="Times New Roman"/>
                <w:lang w:eastAsia="lv-LV"/>
              </w:rPr>
            </w:pPr>
          </w:p>
          <w:p w14:paraId="55EF940C" w14:textId="77777777" w:rsidR="00A316FF" w:rsidRPr="00914C79" w:rsidRDefault="00A316FF" w:rsidP="00A316FF">
            <w:pPr>
              <w:rPr>
                <w:rFonts w:eastAsia="Times New Roman"/>
                <w:lang w:eastAsia="lv-LV"/>
              </w:rPr>
            </w:pPr>
          </w:p>
          <w:p w14:paraId="630F7CB4" w14:textId="77777777" w:rsidR="00A316FF" w:rsidRPr="00914C79" w:rsidRDefault="00A316FF" w:rsidP="00A316FF">
            <w:pPr>
              <w:rPr>
                <w:rFonts w:eastAsia="Times New Roman"/>
                <w:lang w:eastAsia="lv-LV"/>
              </w:rPr>
            </w:pPr>
          </w:p>
          <w:p w14:paraId="642FF841" w14:textId="77777777" w:rsidR="00A316FF" w:rsidRPr="00914C79" w:rsidRDefault="00A316FF" w:rsidP="00A316FF">
            <w:pPr>
              <w:rPr>
                <w:rFonts w:eastAsia="Times New Roman"/>
                <w:lang w:eastAsia="lv-LV"/>
              </w:rPr>
            </w:pPr>
          </w:p>
          <w:p w14:paraId="1F53C0EA" w14:textId="77777777" w:rsidR="00A316FF" w:rsidRPr="00914C79" w:rsidRDefault="00A316FF" w:rsidP="00A316FF">
            <w:pPr>
              <w:rPr>
                <w:rFonts w:eastAsia="Times New Roman"/>
                <w:lang w:eastAsia="lv-LV"/>
              </w:rPr>
            </w:pPr>
          </w:p>
          <w:p w14:paraId="6B1C88AD" w14:textId="77777777" w:rsidR="00A316FF" w:rsidRPr="00914C79" w:rsidRDefault="00A316FF" w:rsidP="00A316FF">
            <w:pPr>
              <w:rPr>
                <w:rFonts w:eastAsia="Times New Roman"/>
                <w:lang w:eastAsia="lv-LV"/>
              </w:rPr>
            </w:pPr>
          </w:p>
          <w:p w14:paraId="40B4537A" w14:textId="77777777" w:rsidR="00A316FF" w:rsidRPr="00914C79" w:rsidRDefault="00A316FF" w:rsidP="00A316FF">
            <w:pPr>
              <w:rPr>
                <w:rFonts w:eastAsia="Times New Roman"/>
                <w:lang w:eastAsia="lv-LV"/>
              </w:rPr>
            </w:pPr>
          </w:p>
          <w:p w14:paraId="60F34842" w14:textId="77777777" w:rsidR="00A316FF" w:rsidRPr="00914C79" w:rsidRDefault="00A316FF" w:rsidP="00A316FF">
            <w:pPr>
              <w:rPr>
                <w:rFonts w:eastAsia="Times New Roman"/>
                <w:lang w:eastAsia="lv-LV"/>
              </w:rPr>
            </w:pPr>
          </w:p>
          <w:p w14:paraId="7027FD1E" w14:textId="77777777" w:rsidR="00A316FF" w:rsidRPr="00914C79" w:rsidRDefault="00A316FF" w:rsidP="00A316FF">
            <w:pPr>
              <w:rPr>
                <w:rFonts w:eastAsia="Times New Roman"/>
                <w:lang w:eastAsia="lv-LV"/>
              </w:rPr>
            </w:pPr>
          </w:p>
          <w:p w14:paraId="49264C61" w14:textId="77777777" w:rsidR="00A316FF" w:rsidRPr="00914C79" w:rsidRDefault="00A316FF" w:rsidP="00A316FF">
            <w:pPr>
              <w:rPr>
                <w:rFonts w:eastAsia="Times New Roman"/>
                <w:lang w:eastAsia="lv-LV"/>
              </w:rPr>
            </w:pPr>
          </w:p>
          <w:p w14:paraId="5D4CEF0B" w14:textId="77777777" w:rsidR="00A316FF" w:rsidRPr="00914C79" w:rsidRDefault="00A316FF" w:rsidP="00A316FF">
            <w:pPr>
              <w:rPr>
                <w:rFonts w:eastAsia="Times New Roman"/>
                <w:lang w:eastAsia="lv-LV"/>
              </w:rPr>
            </w:pPr>
          </w:p>
          <w:p w14:paraId="6B7B4F9C" w14:textId="77777777" w:rsidR="00A316FF" w:rsidRPr="00914C79" w:rsidRDefault="00A316FF" w:rsidP="00A316FF">
            <w:pPr>
              <w:rPr>
                <w:rFonts w:eastAsia="Times New Roman"/>
                <w:lang w:eastAsia="lv-LV"/>
              </w:rPr>
            </w:pPr>
          </w:p>
          <w:p w14:paraId="74AA12F9" w14:textId="77777777" w:rsidR="00A316FF" w:rsidRPr="00914C79" w:rsidRDefault="00A316FF" w:rsidP="00A316FF">
            <w:pPr>
              <w:rPr>
                <w:rFonts w:eastAsia="Times New Roman"/>
                <w:lang w:eastAsia="lv-LV"/>
              </w:rPr>
            </w:pPr>
          </w:p>
          <w:p w14:paraId="3BA6CBAD" w14:textId="77777777" w:rsidR="00A316FF" w:rsidRPr="00914C79" w:rsidRDefault="00A316FF" w:rsidP="00A316FF">
            <w:pPr>
              <w:rPr>
                <w:rFonts w:eastAsia="Times New Roman"/>
                <w:lang w:eastAsia="lv-LV"/>
              </w:rPr>
            </w:pPr>
          </w:p>
          <w:p w14:paraId="08E07103" w14:textId="77777777" w:rsidR="00A316FF" w:rsidRPr="00914C79" w:rsidRDefault="00A316FF" w:rsidP="00A316FF">
            <w:pPr>
              <w:rPr>
                <w:rFonts w:eastAsia="Times New Roman"/>
                <w:lang w:eastAsia="lv-LV"/>
              </w:rPr>
            </w:pPr>
          </w:p>
          <w:p w14:paraId="255C264E" w14:textId="77777777" w:rsidR="00A316FF" w:rsidRPr="00914C79" w:rsidRDefault="00A316FF" w:rsidP="00A316FF">
            <w:pPr>
              <w:rPr>
                <w:rFonts w:eastAsia="Times New Roman"/>
                <w:lang w:eastAsia="lv-LV"/>
              </w:rPr>
            </w:pPr>
          </w:p>
          <w:p w14:paraId="5B364A3D" w14:textId="77777777" w:rsidR="00A316FF" w:rsidRPr="00914C79" w:rsidRDefault="00A316FF" w:rsidP="00A316FF">
            <w:pPr>
              <w:rPr>
                <w:rFonts w:eastAsia="Times New Roman"/>
                <w:lang w:eastAsia="lv-LV"/>
              </w:rPr>
            </w:pPr>
          </w:p>
          <w:p w14:paraId="4CCAE013" w14:textId="77777777" w:rsidR="00A316FF" w:rsidRPr="00914C79" w:rsidRDefault="00A316FF" w:rsidP="00A316FF">
            <w:pPr>
              <w:rPr>
                <w:rFonts w:eastAsia="Times New Roman"/>
                <w:lang w:eastAsia="lv-LV"/>
              </w:rPr>
            </w:pPr>
          </w:p>
          <w:p w14:paraId="1E03118B" w14:textId="77777777" w:rsidR="00A316FF" w:rsidRPr="00914C79" w:rsidRDefault="00A316FF" w:rsidP="00A316FF">
            <w:pPr>
              <w:rPr>
                <w:rFonts w:eastAsia="Times New Roman"/>
                <w:lang w:eastAsia="lv-LV"/>
              </w:rPr>
            </w:pPr>
          </w:p>
          <w:p w14:paraId="76C4D6C3" w14:textId="77777777" w:rsidR="00A316FF" w:rsidRPr="00914C79" w:rsidRDefault="00A316FF" w:rsidP="00A316FF">
            <w:pPr>
              <w:rPr>
                <w:rFonts w:eastAsia="Times New Roman"/>
                <w:lang w:eastAsia="lv-LV"/>
              </w:rPr>
            </w:pPr>
          </w:p>
          <w:p w14:paraId="786FEBCD" w14:textId="77777777" w:rsidR="00A316FF" w:rsidRPr="00914C79" w:rsidRDefault="00A316FF" w:rsidP="00A316FF">
            <w:pPr>
              <w:rPr>
                <w:rFonts w:eastAsia="Times New Roman"/>
                <w:lang w:eastAsia="lv-LV"/>
              </w:rPr>
            </w:pPr>
          </w:p>
          <w:p w14:paraId="78B60623" w14:textId="77777777" w:rsidR="008C0EDC" w:rsidRPr="00914C79" w:rsidRDefault="008C0EDC" w:rsidP="00A316FF">
            <w:pPr>
              <w:rPr>
                <w:rFonts w:eastAsia="Times New Roman"/>
                <w:lang w:eastAsia="lv-LV"/>
              </w:rPr>
            </w:pPr>
          </w:p>
        </w:tc>
        <w:tc>
          <w:tcPr>
            <w:tcW w:w="3000" w:type="pct"/>
            <w:tcBorders>
              <w:top w:val="outset" w:sz="6" w:space="0" w:color="auto"/>
              <w:left w:val="outset" w:sz="6" w:space="0" w:color="auto"/>
              <w:bottom w:val="outset" w:sz="6" w:space="0" w:color="auto"/>
              <w:right w:val="outset" w:sz="6" w:space="0" w:color="auto"/>
            </w:tcBorders>
          </w:tcPr>
          <w:p w14:paraId="7A1677DA" w14:textId="4EAE7DC8" w:rsidR="006978C4" w:rsidRPr="00914C79" w:rsidRDefault="006978C4" w:rsidP="00E7634D">
            <w:pPr>
              <w:pStyle w:val="Heading3"/>
              <w:spacing w:before="0" w:beforeAutospacing="0" w:after="0" w:afterAutospacing="0"/>
              <w:jc w:val="both"/>
              <w:rPr>
                <w:b w:val="0"/>
                <w:sz w:val="24"/>
                <w:szCs w:val="24"/>
              </w:rPr>
            </w:pPr>
            <w:r w:rsidRPr="00914C79">
              <w:rPr>
                <w:b w:val="0"/>
                <w:sz w:val="24"/>
                <w:szCs w:val="24"/>
              </w:rPr>
              <w:lastRenderedPageBreak/>
              <w:t>Šobrīd kārtību, kādā veic iepriekšējās darbības pārbaudes, regulē likuma „Par aviāciju” 57.</w:t>
            </w:r>
            <w:r w:rsidRPr="00914C79">
              <w:rPr>
                <w:b w:val="0"/>
                <w:sz w:val="24"/>
                <w:szCs w:val="24"/>
                <w:vertAlign w:val="superscript"/>
              </w:rPr>
              <w:t>1</w:t>
            </w:r>
            <w:r w:rsidRPr="00914C79">
              <w:rPr>
                <w:b w:val="0"/>
                <w:sz w:val="24"/>
                <w:szCs w:val="24"/>
              </w:rPr>
              <w:t xml:space="preserve"> pants un </w:t>
            </w:r>
            <w:r w:rsidR="002E7673" w:rsidRPr="00914C79">
              <w:rPr>
                <w:b w:val="0"/>
                <w:sz w:val="24"/>
                <w:szCs w:val="24"/>
              </w:rPr>
              <w:t xml:space="preserve">līdz 2020.gada 31.decembrim regulēja </w:t>
            </w:r>
            <w:r w:rsidRPr="00914C79">
              <w:rPr>
                <w:b w:val="0"/>
                <w:sz w:val="24"/>
                <w:szCs w:val="24"/>
              </w:rPr>
              <w:t>Ministru kabineta 2013.gada 30.jūlija noteikumi Nr.460 “Iepriekšējās darbības pārbaudes veikšanas kārtība un lidostas caurlaides izsniegšanas un anulēšanas kārtība” (turpmāk – noteikumi Nr.460).</w:t>
            </w:r>
          </w:p>
          <w:p w14:paraId="4B00F23C" w14:textId="4DED8093" w:rsidR="006978C4" w:rsidRPr="00914C79" w:rsidRDefault="00462AD9" w:rsidP="00E7634D">
            <w:pPr>
              <w:pStyle w:val="Heading3"/>
              <w:spacing w:before="0" w:beforeAutospacing="0" w:after="0" w:afterAutospacing="0"/>
              <w:jc w:val="both"/>
              <w:rPr>
                <w:b w:val="0"/>
                <w:sz w:val="24"/>
                <w:szCs w:val="24"/>
              </w:rPr>
            </w:pPr>
            <w:r w:rsidRPr="00914C79">
              <w:rPr>
                <w:b w:val="0"/>
                <w:sz w:val="24"/>
                <w:szCs w:val="24"/>
              </w:rPr>
              <w:t xml:space="preserve">2020.gada 3.decembrī </w:t>
            </w:r>
            <w:r w:rsidR="006A0144" w:rsidRPr="00914C79">
              <w:rPr>
                <w:b w:val="0"/>
                <w:sz w:val="24"/>
                <w:szCs w:val="24"/>
              </w:rPr>
              <w:t>tika pieņemts likums “Grozījumi l</w:t>
            </w:r>
            <w:r w:rsidR="006978C4" w:rsidRPr="00914C79">
              <w:rPr>
                <w:b w:val="0"/>
                <w:sz w:val="24"/>
                <w:szCs w:val="24"/>
              </w:rPr>
              <w:t>ikum</w:t>
            </w:r>
            <w:r w:rsidR="00077FAE" w:rsidRPr="00914C79">
              <w:rPr>
                <w:b w:val="0"/>
                <w:sz w:val="24"/>
                <w:szCs w:val="24"/>
              </w:rPr>
              <w:t>ā</w:t>
            </w:r>
            <w:r w:rsidR="006978C4" w:rsidRPr="00914C79">
              <w:rPr>
                <w:b w:val="0"/>
                <w:sz w:val="24"/>
                <w:szCs w:val="24"/>
              </w:rPr>
              <w:t xml:space="preserve"> „Par aviāciju”</w:t>
            </w:r>
            <w:r w:rsidR="00194109" w:rsidRPr="00914C79">
              <w:rPr>
                <w:b w:val="0"/>
                <w:sz w:val="24"/>
                <w:szCs w:val="24"/>
              </w:rPr>
              <w:t>”</w:t>
            </w:r>
            <w:r w:rsidR="006A0144" w:rsidRPr="00914C79">
              <w:rPr>
                <w:b w:val="0"/>
                <w:sz w:val="24"/>
                <w:szCs w:val="24"/>
              </w:rPr>
              <w:t>, kas groza</w:t>
            </w:r>
            <w:r w:rsidR="006978C4" w:rsidRPr="00914C79">
              <w:rPr>
                <w:b w:val="0"/>
                <w:sz w:val="24"/>
                <w:szCs w:val="24"/>
              </w:rPr>
              <w:t xml:space="preserve"> 57.</w:t>
            </w:r>
            <w:r w:rsidR="006978C4" w:rsidRPr="00914C79">
              <w:rPr>
                <w:b w:val="0"/>
                <w:sz w:val="24"/>
                <w:szCs w:val="24"/>
                <w:vertAlign w:val="superscript"/>
              </w:rPr>
              <w:t>1</w:t>
            </w:r>
            <w:r w:rsidR="006978C4" w:rsidRPr="00914C79">
              <w:rPr>
                <w:b w:val="0"/>
                <w:sz w:val="24"/>
                <w:szCs w:val="24"/>
              </w:rPr>
              <w:t xml:space="preserve"> pant</w:t>
            </w:r>
            <w:r w:rsidR="006A0144" w:rsidRPr="00914C79">
              <w:rPr>
                <w:b w:val="0"/>
                <w:sz w:val="24"/>
                <w:szCs w:val="24"/>
              </w:rPr>
              <w:t>u</w:t>
            </w:r>
            <w:r w:rsidR="006978C4" w:rsidRPr="00914C79">
              <w:rPr>
                <w:b w:val="0"/>
                <w:sz w:val="24"/>
                <w:szCs w:val="24"/>
              </w:rPr>
              <w:t>, lai nodrošinātu atbilstību regulas Nr.</w:t>
            </w:r>
            <w:r w:rsidR="00194109" w:rsidRPr="00914C79">
              <w:rPr>
                <w:b w:val="0"/>
                <w:sz w:val="24"/>
                <w:szCs w:val="24"/>
              </w:rPr>
              <w:t xml:space="preserve"> Nr.2015/1998</w:t>
            </w:r>
            <w:r w:rsidR="006978C4" w:rsidRPr="00914C79">
              <w:rPr>
                <w:b w:val="0"/>
                <w:sz w:val="24"/>
                <w:szCs w:val="24"/>
              </w:rPr>
              <w:t xml:space="preserve"> prasībām, </w:t>
            </w:r>
            <w:r w:rsidR="00A42CB7" w:rsidRPr="00914C79">
              <w:rPr>
                <w:b w:val="0"/>
                <w:sz w:val="24"/>
                <w:szCs w:val="24"/>
              </w:rPr>
              <w:t>kas grozīta</w:t>
            </w:r>
            <w:r w:rsidR="006978C4" w:rsidRPr="00914C79">
              <w:rPr>
                <w:b w:val="0"/>
                <w:sz w:val="24"/>
                <w:szCs w:val="24"/>
              </w:rPr>
              <w:t xml:space="preserve"> ar </w:t>
            </w:r>
            <w:r w:rsidR="00DA385B" w:rsidRPr="00914C79">
              <w:rPr>
                <w:b w:val="0"/>
                <w:sz w:val="24"/>
                <w:szCs w:val="24"/>
              </w:rPr>
              <w:t xml:space="preserve">Komisijas </w:t>
            </w:r>
            <w:r w:rsidR="0069421D" w:rsidRPr="00914C79">
              <w:rPr>
                <w:b w:val="0"/>
                <w:sz w:val="24"/>
                <w:szCs w:val="24"/>
              </w:rPr>
              <w:t xml:space="preserve">2019.gada 23.janvāra </w:t>
            </w:r>
            <w:r w:rsidR="00DA385B" w:rsidRPr="00914C79">
              <w:rPr>
                <w:b w:val="0"/>
                <w:sz w:val="24"/>
                <w:szCs w:val="24"/>
              </w:rPr>
              <w:t>Īstenošanas regulu (ES) 2019/103 par Īstenošanas regulas (ES) 2015/1998 grozījumiem, kas attiecas uz dažu aviācijas drošības pasākumu precizēšanu, saskaņošanu un vienkāršošanu, kā arī pastiprināšanu</w:t>
            </w:r>
            <w:r w:rsidR="002E2089" w:rsidRPr="00914C79">
              <w:rPr>
                <w:b w:val="0"/>
                <w:sz w:val="24"/>
                <w:szCs w:val="24"/>
              </w:rPr>
              <w:t xml:space="preserve"> (turpmāk – regula Nr.2019/103)</w:t>
            </w:r>
            <w:r w:rsidR="00194109" w:rsidRPr="00914C79">
              <w:rPr>
                <w:b w:val="0"/>
                <w:sz w:val="24"/>
                <w:szCs w:val="24"/>
              </w:rPr>
              <w:t>,</w:t>
            </w:r>
            <w:r w:rsidR="006978C4" w:rsidRPr="00914C79">
              <w:rPr>
                <w:b w:val="0"/>
                <w:sz w:val="24"/>
                <w:szCs w:val="24"/>
              </w:rPr>
              <w:t>.</w:t>
            </w:r>
          </w:p>
          <w:p w14:paraId="7DF4F085" w14:textId="1A8F38E9" w:rsidR="00F94178" w:rsidRPr="00914C79" w:rsidRDefault="00D478D5" w:rsidP="00E7634D">
            <w:pPr>
              <w:pStyle w:val="Heading3"/>
              <w:spacing w:before="0" w:beforeAutospacing="0" w:after="0" w:afterAutospacing="0"/>
              <w:jc w:val="both"/>
              <w:rPr>
                <w:b w:val="0"/>
                <w:sz w:val="24"/>
                <w:szCs w:val="24"/>
              </w:rPr>
            </w:pPr>
            <w:r w:rsidRPr="00914C79">
              <w:rPr>
                <w:b w:val="0"/>
                <w:sz w:val="24"/>
                <w:szCs w:val="24"/>
              </w:rPr>
              <w:t>Uz pašreizējo</w:t>
            </w:r>
            <w:r w:rsidR="00F32ED3" w:rsidRPr="00914C79">
              <w:rPr>
                <w:b w:val="0"/>
                <w:sz w:val="24"/>
                <w:szCs w:val="24"/>
              </w:rPr>
              <w:t xml:space="preserve"> brīdi nav nacionālā tiesiskā regulējuma par</w:t>
            </w:r>
            <w:r w:rsidR="00F32ED3" w:rsidRPr="00914C79">
              <w:t xml:space="preserve"> </w:t>
            </w:r>
            <w:r w:rsidR="00F32ED3" w:rsidRPr="00914C79">
              <w:rPr>
                <w:b w:val="0"/>
                <w:sz w:val="24"/>
                <w:szCs w:val="24"/>
              </w:rPr>
              <w:t xml:space="preserve">iepriekšējās darbības pārbaudes veikšanas kārtību, civilās aviācijas gaisa kuģa apkalpes locekļa identitātes kartes un lidostas identitātes kartes  izsniegšanas un anulēšanas kārtību. </w:t>
            </w:r>
          </w:p>
          <w:p w14:paraId="2B764C06" w14:textId="753526FD" w:rsidR="006978C4" w:rsidRPr="00914C79" w:rsidRDefault="00E02A43" w:rsidP="00E7634D">
            <w:pPr>
              <w:pStyle w:val="Heading3"/>
              <w:spacing w:before="0" w:beforeAutospacing="0" w:after="0" w:afterAutospacing="0"/>
              <w:jc w:val="both"/>
              <w:rPr>
                <w:b w:val="0"/>
                <w:sz w:val="24"/>
                <w:szCs w:val="24"/>
              </w:rPr>
            </w:pPr>
            <w:r w:rsidRPr="00914C79">
              <w:rPr>
                <w:b w:val="0"/>
                <w:sz w:val="24"/>
                <w:szCs w:val="24"/>
              </w:rPr>
              <w:t>Ministru kabineta noteikumu projekt</w:t>
            </w:r>
            <w:r w:rsidR="0058123A" w:rsidRPr="00914C79">
              <w:rPr>
                <w:b w:val="0"/>
                <w:sz w:val="24"/>
                <w:szCs w:val="24"/>
              </w:rPr>
              <w:t>ā</w:t>
            </w:r>
            <w:r w:rsidRPr="00914C79">
              <w:rPr>
                <w:b w:val="0"/>
                <w:sz w:val="24"/>
                <w:szCs w:val="24"/>
              </w:rPr>
              <w:t xml:space="preserve"> „Iepriekšējās darbības pārbaudes veikšanas kārtība, civilās aviācijas gaisa kuģa apkalpes locekļa identitātes kartes un lidostas identitātes kartes izsniegšanas un anulēšanas kārtība” </w:t>
            </w:r>
            <w:r w:rsidRPr="00914C79">
              <w:rPr>
                <w:b w:val="0"/>
                <w:sz w:val="24"/>
                <w:szCs w:val="24"/>
              </w:rPr>
              <w:lastRenderedPageBreak/>
              <w:t>(turpmāk – projekts) salīdzinājumā ar</w:t>
            </w:r>
            <w:r w:rsidRPr="00914C79">
              <w:t xml:space="preserve"> </w:t>
            </w:r>
            <w:r w:rsidRPr="00914C79">
              <w:rPr>
                <w:b w:val="0"/>
                <w:sz w:val="24"/>
                <w:szCs w:val="24"/>
              </w:rPr>
              <w:t xml:space="preserve">noteikumiem Nr.460 </w:t>
            </w:r>
            <w:r w:rsidR="0058123A" w:rsidRPr="00914C79">
              <w:rPr>
                <w:b w:val="0"/>
                <w:sz w:val="24"/>
                <w:szCs w:val="24"/>
              </w:rPr>
              <w:t>būtiskākās izmaiņas ir sekojošas</w:t>
            </w:r>
            <w:r w:rsidR="006978C4" w:rsidRPr="00914C79">
              <w:rPr>
                <w:b w:val="0"/>
                <w:sz w:val="24"/>
                <w:szCs w:val="24"/>
              </w:rPr>
              <w:t>:</w:t>
            </w:r>
          </w:p>
          <w:p w14:paraId="744F4384" w14:textId="1325A5C2" w:rsidR="00647EC0" w:rsidRPr="00914C79" w:rsidRDefault="00A567E5" w:rsidP="00E7634D">
            <w:pPr>
              <w:pStyle w:val="Heading3"/>
              <w:spacing w:before="0" w:beforeAutospacing="0" w:after="0" w:afterAutospacing="0"/>
              <w:jc w:val="both"/>
              <w:rPr>
                <w:b w:val="0"/>
                <w:sz w:val="24"/>
                <w:szCs w:val="24"/>
              </w:rPr>
            </w:pPr>
            <w:r w:rsidRPr="00914C79">
              <w:rPr>
                <w:b w:val="0"/>
                <w:sz w:val="24"/>
                <w:szCs w:val="24"/>
              </w:rPr>
              <w:t xml:space="preserve">Latvijas Republikā iepriekšējās darbības pārbaude ir jāveic aptuveni </w:t>
            </w:r>
            <w:r w:rsidR="004A2044" w:rsidRPr="00914C79">
              <w:rPr>
                <w:b w:val="0"/>
                <w:sz w:val="24"/>
                <w:szCs w:val="24"/>
              </w:rPr>
              <w:t>40</w:t>
            </w:r>
            <w:r w:rsidRPr="00914C79">
              <w:rPr>
                <w:b w:val="0"/>
                <w:sz w:val="24"/>
                <w:szCs w:val="24"/>
              </w:rPr>
              <w:t>0 darba devējiem un līdzšinējā tās izpildes kārtība nebija vienveidīga, un, it īpaši - nelieliem komersantiem, ne vienmēr atbilda normatīvajām prasībām. Tāpēc projekt</w:t>
            </w:r>
            <w:r w:rsidR="0059100A" w:rsidRPr="00914C79">
              <w:rPr>
                <w:b w:val="0"/>
                <w:sz w:val="24"/>
                <w:szCs w:val="24"/>
              </w:rPr>
              <w:t>a II daļā</w:t>
            </w:r>
            <w:r w:rsidRPr="00914C79">
              <w:rPr>
                <w:b w:val="0"/>
                <w:sz w:val="24"/>
                <w:szCs w:val="24"/>
              </w:rPr>
              <w:t xml:space="preserve"> precizēta</w:t>
            </w:r>
            <w:r w:rsidR="0059100A" w:rsidRPr="00914C79">
              <w:rPr>
                <w:b w:val="0"/>
                <w:sz w:val="24"/>
                <w:szCs w:val="24"/>
              </w:rPr>
              <w:t xml:space="preserve"> standarta iepriekšējās darbības pārbaudes veikšanas kārtība</w:t>
            </w:r>
            <w:r w:rsidRPr="00914C79">
              <w:rPr>
                <w:b w:val="0"/>
                <w:sz w:val="24"/>
                <w:szCs w:val="24"/>
              </w:rPr>
              <w:t>, k</w:t>
            </w:r>
            <w:r w:rsidR="0059100A" w:rsidRPr="00914C79">
              <w:rPr>
                <w:b w:val="0"/>
                <w:sz w:val="24"/>
                <w:szCs w:val="24"/>
              </w:rPr>
              <w:t>ā arī paredzēts, ka Civilās aviācijas aģentūra izstrādā rekomendējamu tipveida iepriekšējās darbības pārbaudes procedūru pielietošanai darba devējiem.</w:t>
            </w:r>
          </w:p>
          <w:p w14:paraId="1FDE07C8" w14:textId="1CA4ED2D" w:rsidR="004A1206" w:rsidRPr="00914C79" w:rsidRDefault="004A1206" w:rsidP="00E7634D">
            <w:pPr>
              <w:pStyle w:val="Heading3"/>
              <w:spacing w:before="0" w:beforeAutospacing="0" w:after="0" w:afterAutospacing="0"/>
              <w:jc w:val="both"/>
              <w:rPr>
                <w:b w:val="0"/>
                <w:sz w:val="24"/>
                <w:szCs w:val="24"/>
              </w:rPr>
            </w:pPr>
            <w:r w:rsidRPr="00914C79">
              <w:rPr>
                <w:b w:val="0"/>
                <w:sz w:val="24"/>
                <w:szCs w:val="24"/>
              </w:rPr>
              <w:t>Noteikumu Nr.460 2. punktā bija noteikts, ka valsts iestāžu amatpersonām, kurām nepieciešama lidostas pastāvīgā caurlaide pienākumu pildīšanai lidostas teritorijā, nav nepieciešams veikt iepriekšējās darbības pārbaudi.</w:t>
            </w:r>
          </w:p>
          <w:p w14:paraId="23DD3BA1" w14:textId="1DCD4F72" w:rsidR="00CA6E89" w:rsidRPr="00914C79" w:rsidRDefault="004A1206" w:rsidP="00E7634D">
            <w:pPr>
              <w:pStyle w:val="Heading3"/>
              <w:spacing w:before="0" w:beforeAutospacing="0" w:after="0" w:afterAutospacing="0"/>
              <w:jc w:val="both"/>
              <w:rPr>
                <w:b w:val="0"/>
                <w:sz w:val="24"/>
                <w:szCs w:val="24"/>
              </w:rPr>
            </w:pPr>
            <w:r w:rsidRPr="00914C79">
              <w:rPr>
                <w:b w:val="0"/>
                <w:sz w:val="24"/>
                <w:szCs w:val="24"/>
              </w:rPr>
              <w:t>Tā kā šī norma neatbilda Īstenošanas Regulas (ES) 2015/1998 prasībām, noteikumu projekta 1</w:t>
            </w:r>
            <w:r w:rsidR="00665030" w:rsidRPr="00914C79">
              <w:rPr>
                <w:b w:val="0"/>
                <w:sz w:val="24"/>
                <w:szCs w:val="24"/>
              </w:rPr>
              <w:t>7</w:t>
            </w:r>
            <w:r w:rsidRPr="00914C79">
              <w:rPr>
                <w:b w:val="0"/>
                <w:sz w:val="24"/>
                <w:szCs w:val="24"/>
              </w:rPr>
              <w:t>. punkts paredz, ka valsts iestāžu darbiniekiem</w:t>
            </w:r>
            <w:r w:rsidR="00A84045" w:rsidRPr="00914C79">
              <w:rPr>
                <w:b w:val="0"/>
                <w:sz w:val="24"/>
                <w:szCs w:val="24"/>
              </w:rPr>
              <w:t xml:space="preserve"> un amatpersonām</w:t>
            </w:r>
            <w:r w:rsidRPr="00914C79">
              <w:rPr>
                <w:b w:val="0"/>
                <w:sz w:val="24"/>
                <w:szCs w:val="24"/>
              </w:rPr>
              <w:t xml:space="preserve"> pirms lidostas identitātes kartes saņemšanas ir veicama standarta iepriekšējās darbības pārbaude. </w:t>
            </w:r>
          </w:p>
          <w:p w14:paraId="79455D43" w14:textId="67FDCC60" w:rsidR="004A1206" w:rsidRPr="00914C79" w:rsidRDefault="00CA6E89" w:rsidP="00E7634D">
            <w:pPr>
              <w:pStyle w:val="Heading3"/>
              <w:spacing w:before="0" w:beforeAutospacing="0" w:after="0" w:afterAutospacing="0"/>
              <w:jc w:val="both"/>
              <w:rPr>
                <w:b w:val="0"/>
                <w:sz w:val="24"/>
                <w:szCs w:val="24"/>
              </w:rPr>
            </w:pPr>
            <w:r w:rsidRPr="00914C79">
              <w:rPr>
                <w:b w:val="0"/>
                <w:sz w:val="24"/>
                <w:szCs w:val="24"/>
              </w:rPr>
              <w:t xml:space="preserve">Šī </w:t>
            </w:r>
            <w:r w:rsidR="004A1206" w:rsidRPr="00914C79">
              <w:rPr>
                <w:b w:val="0"/>
                <w:sz w:val="24"/>
                <w:szCs w:val="24"/>
              </w:rPr>
              <w:t xml:space="preserve">Norma paredz, ka valsts amatpersonu darbā vai dienestā pieņemšanas kārtība valsts iestādēs </w:t>
            </w:r>
            <w:r w:rsidRPr="00914C79">
              <w:rPr>
                <w:b w:val="0"/>
                <w:sz w:val="24"/>
                <w:szCs w:val="24"/>
              </w:rPr>
              <w:t xml:space="preserve">ir atzīstama par līdzvērtīgu </w:t>
            </w:r>
            <w:r w:rsidR="004D41E9" w:rsidRPr="00914C79">
              <w:rPr>
                <w:b w:val="0"/>
                <w:sz w:val="24"/>
                <w:szCs w:val="24"/>
              </w:rPr>
              <w:t>r</w:t>
            </w:r>
            <w:r w:rsidRPr="00914C79">
              <w:rPr>
                <w:b w:val="0"/>
                <w:sz w:val="24"/>
                <w:szCs w:val="24"/>
              </w:rPr>
              <w:t xml:space="preserve">egulas </w:t>
            </w:r>
            <w:r w:rsidR="004D41E9" w:rsidRPr="00914C79">
              <w:rPr>
                <w:b w:val="0"/>
                <w:sz w:val="24"/>
                <w:szCs w:val="24"/>
              </w:rPr>
              <w:t>Nr.</w:t>
            </w:r>
            <w:r w:rsidRPr="00914C79">
              <w:rPr>
                <w:b w:val="0"/>
                <w:sz w:val="24"/>
                <w:szCs w:val="24"/>
              </w:rPr>
              <w:t>2015/1998 prasībām.</w:t>
            </w:r>
          </w:p>
          <w:p w14:paraId="7517C202" w14:textId="63823CEE" w:rsidR="00CA6E89" w:rsidRPr="00914C79" w:rsidRDefault="00CA6E89" w:rsidP="00E7634D">
            <w:pPr>
              <w:pStyle w:val="Heading3"/>
              <w:spacing w:before="0" w:beforeAutospacing="0" w:after="0" w:afterAutospacing="0"/>
              <w:jc w:val="both"/>
              <w:rPr>
                <w:b w:val="0"/>
                <w:sz w:val="24"/>
                <w:szCs w:val="24"/>
              </w:rPr>
            </w:pPr>
            <w:r w:rsidRPr="00914C79">
              <w:rPr>
                <w:b w:val="0"/>
                <w:sz w:val="24"/>
                <w:szCs w:val="24"/>
              </w:rPr>
              <w:t xml:space="preserve">Pretējā gadījumā šā noteikumu projekta prasību ieviešanai būtu nepieciešams būtiski mainīt darbā vai dienestā pieņemšanas kārtību vairākās valsts iestādēs, kā Valsts robežsardzē, </w:t>
            </w:r>
            <w:r w:rsidR="004C2976" w:rsidRPr="00914C79">
              <w:rPr>
                <w:b w:val="0"/>
                <w:sz w:val="24"/>
                <w:szCs w:val="24"/>
              </w:rPr>
              <w:t xml:space="preserve">Valsts ieņēmumu dienesta </w:t>
            </w:r>
            <w:r w:rsidRPr="00914C79">
              <w:rPr>
                <w:b w:val="0"/>
                <w:sz w:val="24"/>
                <w:szCs w:val="24"/>
              </w:rPr>
              <w:t>Muit</w:t>
            </w:r>
            <w:r w:rsidR="00517DEB" w:rsidRPr="00914C79">
              <w:rPr>
                <w:b w:val="0"/>
                <w:sz w:val="24"/>
                <w:szCs w:val="24"/>
              </w:rPr>
              <w:t>as pārvaldē</w:t>
            </w:r>
            <w:r w:rsidRPr="00914C79">
              <w:rPr>
                <w:b w:val="0"/>
                <w:sz w:val="24"/>
                <w:szCs w:val="24"/>
              </w:rPr>
              <w:t xml:space="preserve">, </w:t>
            </w:r>
            <w:r w:rsidR="00A84045" w:rsidRPr="00914C79">
              <w:rPr>
                <w:b w:val="0"/>
                <w:sz w:val="24"/>
                <w:szCs w:val="24"/>
              </w:rPr>
              <w:t>V</w:t>
            </w:r>
            <w:r w:rsidRPr="00914C79">
              <w:rPr>
                <w:b w:val="0"/>
                <w:sz w:val="24"/>
                <w:szCs w:val="24"/>
              </w:rPr>
              <w:t>alsts policijā un citās iestādēs, kuru amatpersonas strādā Latvijas Republikas lidostās.</w:t>
            </w:r>
          </w:p>
          <w:p w14:paraId="2B7AAB82" w14:textId="77777777" w:rsidR="0059100A" w:rsidRPr="00914C79" w:rsidRDefault="0059100A" w:rsidP="00E7634D">
            <w:pPr>
              <w:pStyle w:val="Heading3"/>
              <w:spacing w:before="0" w:beforeAutospacing="0" w:after="0" w:afterAutospacing="0"/>
              <w:jc w:val="both"/>
              <w:rPr>
                <w:b w:val="0"/>
                <w:sz w:val="24"/>
                <w:szCs w:val="24"/>
              </w:rPr>
            </w:pPr>
            <w:r w:rsidRPr="00914C79">
              <w:rPr>
                <w:b w:val="0"/>
                <w:sz w:val="24"/>
                <w:szCs w:val="24"/>
              </w:rPr>
              <w:t xml:space="preserve">2019. gadā pieņemtie Īstenošanas Regulas (ES) 2015/1998 grozījumi </w:t>
            </w:r>
            <w:r w:rsidR="004A2044" w:rsidRPr="00914C79">
              <w:rPr>
                <w:b w:val="0"/>
                <w:sz w:val="24"/>
                <w:szCs w:val="24"/>
              </w:rPr>
              <w:t xml:space="preserve">izvirza </w:t>
            </w:r>
            <w:r w:rsidRPr="00914C79">
              <w:rPr>
                <w:b w:val="0"/>
                <w:sz w:val="24"/>
                <w:szCs w:val="24"/>
              </w:rPr>
              <w:t>dalībvalstīm jaunu p</w:t>
            </w:r>
            <w:r w:rsidR="004A2044" w:rsidRPr="00914C79">
              <w:rPr>
                <w:b w:val="0"/>
                <w:sz w:val="24"/>
                <w:szCs w:val="24"/>
              </w:rPr>
              <w:t>rasīb</w:t>
            </w:r>
            <w:r w:rsidRPr="00914C79">
              <w:rPr>
                <w:b w:val="0"/>
                <w:sz w:val="24"/>
                <w:szCs w:val="24"/>
              </w:rPr>
              <w:t>u veikt pastiprinātu iepriekšējās darbības pārbaudi vairākām civilās aviācijas personāla kategorijām, tai skaitā: lidostas identitātes karšu un gaisa kuģu apkalpes locekļu identitātes karšu saņēmējiem.</w:t>
            </w:r>
          </w:p>
          <w:p w14:paraId="1C12598B" w14:textId="54AAC02D" w:rsidR="00122FBD" w:rsidRPr="00914C79" w:rsidRDefault="00A84045" w:rsidP="00E7634D">
            <w:pPr>
              <w:pStyle w:val="Heading3"/>
              <w:spacing w:before="0" w:beforeAutospacing="0" w:after="0" w:afterAutospacing="0"/>
              <w:jc w:val="both"/>
              <w:rPr>
                <w:b w:val="0"/>
                <w:sz w:val="24"/>
                <w:szCs w:val="24"/>
              </w:rPr>
            </w:pPr>
            <w:r w:rsidRPr="00914C79">
              <w:rPr>
                <w:b w:val="0"/>
                <w:sz w:val="24"/>
                <w:szCs w:val="24"/>
              </w:rPr>
              <w:t xml:space="preserve">Atbilstoši </w:t>
            </w:r>
            <w:r w:rsidR="004A2044" w:rsidRPr="00914C79">
              <w:rPr>
                <w:b w:val="0"/>
                <w:sz w:val="24"/>
                <w:szCs w:val="24"/>
              </w:rPr>
              <w:t>grozījumiem likuma „Par aviāciju” 57.</w:t>
            </w:r>
            <w:r w:rsidR="004A2044" w:rsidRPr="00914C79">
              <w:rPr>
                <w:b w:val="0"/>
                <w:sz w:val="24"/>
                <w:szCs w:val="24"/>
                <w:vertAlign w:val="superscript"/>
              </w:rPr>
              <w:t>1</w:t>
            </w:r>
            <w:r w:rsidR="004A2044" w:rsidRPr="00914C79">
              <w:rPr>
                <w:b w:val="0"/>
                <w:sz w:val="24"/>
                <w:szCs w:val="24"/>
              </w:rPr>
              <w:t xml:space="preserve"> pantā šo pārbaudi Latvijas Republikā veic Valsts drošības dienests un n</w:t>
            </w:r>
            <w:r w:rsidR="00122FBD" w:rsidRPr="00914C79">
              <w:rPr>
                <w:b w:val="0"/>
                <w:sz w:val="24"/>
                <w:szCs w:val="24"/>
              </w:rPr>
              <w:t>oteikumu</w:t>
            </w:r>
            <w:r w:rsidR="004A2044" w:rsidRPr="00914C79">
              <w:rPr>
                <w:b w:val="0"/>
                <w:sz w:val="24"/>
                <w:szCs w:val="24"/>
              </w:rPr>
              <w:t xml:space="preserve"> projekta</w:t>
            </w:r>
            <w:r w:rsidR="00122FBD" w:rsidRPr="00914C79">
              <w:rPr>
                <w:b w:val="0"/>
                <w:sz w:val="24"/>
                <w:szCs w:val="24"/>
              </w:rPr>
              <w:t xml:space="preserve"> III daļā t</w:t>
            </w:r>
            <w:r w:rsidR="001820EE" w:rsidRPr="00914C79">
              <w:rPr>
                <w:b w:val="0"/>
                <w:sz w:val="24"/>
                <w:szCs w:val="24"/>
              </w:rPr>
              <w:t xml:space="preserve">iek </w:t>
            </w:r>
            <w:r w:rsidR="00122FBD" w:rsidRPr="00914C79">
              <w:rPr>
                <w:b w:val="0"/>
                <w:sz w:val="24"/>
                <w:szCs w:val="24"/>
              </w:rPr>
              <w:t>noteikta</w:t>
            </w:r>
            <w:r w:rsidR="001820EE" w:rsidRPr="00914C79">
              <w:rPr>
                <w:b w:val="0"/>
                <w:sz w:val="24"/>
                <w:szCs w:val="24"/>
              </w:rPr>
              <w:t xml:space="preserve"> </w:t>
            </w:r>
            <w:r w:rsidR="00EA15C2" w:rsidRPr="00914C79">
              <w:rPr>
                <w:b w:val="0"/>
                <w:sz w:val="24"/>
                <w:szCs w:val="24"/>
              </w:rPr>
              <w:t xml:space="preserve">kārtība </w:t>
            </w:r>
            <w:r w:rsidR="001820EE" w:rsidRPr="00914C79">
              <w:rPr>
                <w:b w:val="0"/>
                <w:sz w:val="24"/>
                <w:szCs w:val="24"/>
              </w:rPr>
              <w:t xml:space="preserve">pastiprinātās </w:t>
            </w:r>
            <w:r w:rsidR="00122FBD" w:rsidRPr="00914C79">
              <w:rPr>
                <w:b w:val="0"/>
                <w:sz w:val="24"/>
                <w:szCs w:val="24"/>
              </w:rPr>
              <w:t xml:space="preserve">iepriekšējās darbības </w:t>
            </w:r>
            <w:r w:rsidR="001820EE" w:rsidRPr="00914C79">
              <w:rPr>
                <w:b w:val="0"/>
                <w:sz w:val="24"/>
                <w:szCs w:val="24"/>
              </w:rPr>
              <w:t>pārbaudes veikšanai “Par aviāciju” 57</w:t>
            </w:r>
            <w:r w:rsidR="00BC5ED7" w:rsidRPr="00914C79">
              <w:rPr>
                <w:b w:val="0"/>
                <w:sz w:val="24"/>
                <w:szCs w:val="24"/>
              </w:rPr>
              <w:t>.</w:t>
            </w:r>
            <w:r w:rsidR="001820EE" w:rsidRPr="00914C79">
              <w:rPr>
                <w:b w:val="0"/>
                <w:sz w:val="24"/>
                <w:szCs w:val="24"/>
                <w:vertAlign w:val="superscript"/>
              </w:rPr>
              <w:t>1</w:t>
            </w:r>
            <w:r w:rsidR="001820EE" w:rsidRPr="00914C79">
              <w:rPr>
                <w:b w:val="0"/>
                <w:sz w:val="24"/>
                <w:szCs w:val="24"/>
              </w:rPr>
              <w:t xml:space="preserve"> panta</w:t>
            </w:r>
            <w:r w:rsidR="00122FBD" w:rsidRPr="00914C79">
              <w:rPr>
                <w:b w:val="0"/>
                <w:sz w:val="24"/>
                <w:szCs w:val="24"/>
              </w:rPr>
              <w:t xml:space="preserve"> trešajā</w:t>
            </w:r>
            <w:r w:rsidR="001820EE" w:rsidRPr="00914C79">
              <w:rPr>
                <w:b w:val="0"/>
                <w:sz w:val="24"/>
                <w:szCs w:val="24"/>
              </w:rPr>
              <w:t xml:space="preserve"> daļā noteiktajam personu lokam</w:t>
            </w:r>
            <w:r w:rsidR="00122FBD" w:rsidRPr="00914C79">
              <w:rPr>
                <w:b w:val="0"/>
                <w:sz w:val="24"/>
                <w:szCs w:val="24"/>
              </w:rPr>
              <w:t>.</w:t>
            </w:r>
          </w:p>
          <w:p w14:paraId="0701EFA2" w14:textId="359B65D3" w:rsidR="004A2044" w:rsidRPr="00914C79" w:rsidRDefault="004A2044" w:rsidP="00E7634D">
            <w:pPr>
              <w:pStyle w:val="Heading3"/>
              <w:spacing w:before="0" w:beforeAutospacing="0" w:after="0" w:afterAutospacing="0"/>
              <w:jc w:val="both"/>
              <w:rPr>
                <w:b w:val="0"/>
                <w:sz w:val="24"/>
                <w:szCs w:val="24"/>
              </w:rPr>
            </w:pPr>
            <w:r w:rsidRPr="00914C79">
              <w:rPr>
                <w:b w:val="0"/>
                <w:sz w:val="24"/>
                <w:szCs w:val="24"/>
              </w:rPr>
              <w:t>Īstenošanas Regulas (ES) 2015/1998 grozījumi paredz stingrākas prasības atkārtotās iepriekšējās darbības pārbaudes veikšanai</w:t>
            </w:r>
            <w:r w:rsidR="00A07033" w:rsidRPr="00914C79">
              <w:rPr>
                <w:b w:val="0"/>
                <w:sz w:val="24"/>
                <w:szCs w:val="24"/>
              </w:rPr>
              <w:t>, it sevišķi tām personām, kam sākotnēji veicama pastiprinātā iepriekšējās darbības pārbaude</w:t>
            </w:r>
            <w:r w:rsidRPr="00914C79">
              <w:rPr>
                <w:b w:val="0"/>
                <w:sz w:val="24"/>
                <w:szCs w:val="24"/>
              </w:rPr>
              <w:t>.</w:t>
            </w:r>
          </w:p>
          <w:p w14:paraId="7052CDED" w14:textId="259E2393" w:rsidR="004A2044" w:rsidRPr="00914C79" w:rsidRDefault="004A2044" w:rsidP="00E7634D">
            <w:pPr>
              <w:pStyle w:val="Heading3"/>
              <w:spacing w:before="0" w:beforeAutospacing="0" w:after="0" w:afterAutospacing="0"/>
              <w:jc w:val="both"/>
              <w:rPr>
                <w:b w:val="0"/>
                <w:sz w:val="24"/>
                <w:szCs w:val="24"/>
              </w:rPr>
            </w:pPr>
            <w:r w:rsidRPr="00914C79">
              <w:rPr>
                <w:b w:val="0"/>
                <w:sz w:val="24"/>
                <w:szCs w:val="24"/>
              </w:rPr>
              <w:t xml:space="preserve">Līdz šim visām personāla kategorijām atkārtotā </w:t>
            </w:r>
            <w:r w:rsidR="00A07033" w:rsidRPr="00914C79">
              <w:rPr>
                <w:b w:val="0"/>
                <w:sz w:val="24"/>
                <w:szCs w:val="24"/>
              </w:rPr>
              <w:t xml:space="preserve">iepriekšējās darbības </w:t>
            </w:r>
            <w:r w:rsidRPr="00914C79">
              <w:rPr>
                <w:b w:val="0"/>
                <w:sz w:val="24"/>
                <w:szCs w:val="24"/>
              </w:rPr>
              <w:t>pārbaude bija jāveic reizi piecos gados,</w:t>
            </w:r>
            <w:r w:rsidR="00A07033" w:rsidRPr="00914C79">
              <w:rPr>
                <w:b w:val="0"/>
                <w:sz w:val="24"/>
                <w:szCs w:val="24"/>
              </w:rPr>
              <w:t xml:space="preserve"> bet</w:t>
            </w:r>
            <w:r w:rsidRPr="00914C79">
              <w:rPr>
                <w:b w:val="0"/>
                <w:sz w:val="24"/>
                <w:szCs w:val="24"/>
              </w:rPr>
              <w:t xml:space="preserve"> </w:t>
            </w:r>
            <w:r w:rsidR="00A07033" w:rsidRPr="00914C79">
              <w:rPr>
                <w:b w:val="0"/>
                <w:sz w:val="24"/>
                <w:szCs w:val="24"/>
              </w:rPr>
              <w:t>turpmāk</w:t>
            </w:r>
            <w:r w:rsidRPr="00914C79">
              <w:rPr>
                <w:b w:val="0"/>
                <w:sz w:val="24"/>
                <w:szCs w:val="24"/>
              </w:rPr>
              <w:t xml:space="preserve"> saskaņā ar </w:t>
            </w:r>
            <w:r w:rsidR="00A07033" w:rsidRPr="00914C79">
              <w:rPr>
                <w:b w:val="0"/>
                <w:sz w:val="24"/>
                <w:szCs w:val="24"/>
              </w:rPr>
              <w:t xml:space="preserve">regulas </w:t>
            </w:r>
            <w:r w:rsidRPr="00914C79">
              <w:rPr>
                <w:b w:val="0"/>
                <w:sz w:val="24"/>
                <w:szCs w:val="24"/>
              </w:rPr>
              <w:t xml:space="preserve">grozījumiem dalībvalstīm ir iespēja izvēlēties, vai nu veikt šādu </w:t>
            </w:r>
            <w:r w:rsidRPr="00914C79">
              <w:rPr>
                <w:b w:val="0"/>
                <w:sz w:val="24"/>
                <w:szCs w:val="24"/>
              </w:rPr>
              <w:lastRenderedPageBreak/>
              <w:t>atkārtotu pārbaudi katru gadu, vai</w:t>
            </w:r>
            <w:r w:rsidR="00A07033" w:rsidRPr="00914C79">
              <w:rPr>
                <w:b w:val="0"/>
                <w:sz w:val="24"/>
                <w:szCs w:val="24"/>
              </w:rPr>
              <w:t xml:space="preserve"> arī</w:t>
            </w:r>
            <w:r w:rsidRPr="00914C79">
              <w:rPr>
                <w:b w:val="0"/>
                <w:sz w:val="24"/>
                <w:szCs w:val="24"/>
              </w:rPr>
              <w:t xml:space="preserve"> ieviest Īstenošanas Regulā (ES) 2015/1998 noteikto pastāvīgas pārlūkošanas mehānismu.</w:t>
            </w:r>
          </w:p>
          <w:p w14:paraId="33B2E027" w14:textId="3EC782AA" w:rsidR="00122FBD" w:rsidRPr="00914C79" w:rsidRDefault="004A2044" w:rsidP="00E7634D">
            <w:pPr>
              <w:pStyle w:val="Heading3"/>
              <w:spacing w:before="0" w:beforeAutospacing="0" w:after="0" w:afterAutospacing="0"/>
              <w:jc w:val="both"/>
              <w:rPr>
                <w:b w:val="0"/>
                <w:sz w:val="24"/>
                <w:szCs w:val="24"/>
              </w:rPr>
            </w:pPr>
            <w:r w:rsidRPr="00914C79">
              <w:rPr>
                <w:b w:val="0"/>
                <w:sz w:val="24"/>
                <w:szCs w:val="24"/>
              </w:rPr>
              <w:t xml:space="preserve">Latvijas Republikā šāda </w:t>
            </w:r>
            <w:r w:rsidR="00A07033" w:rsidRPr="00914C79">
              <w:rPr>
                <w:b w:val="0"/>
                <w:sz w:val="24"/>
                <w:szCs w:val="24"/>
              </w:rPr>
              <w:t xml:space="preserve">ikgadēja </w:t>
            </w:r>
            <w:r w:rsidRPr="00914C79">
              <w:rPr>
                <w:b w:val="0"/>
                <w:sz w:val="24"/>
                <w:szCs w:val="24"/>
              </w:rPr>
              <w:t xml:space="preserve">atkārtota pārbaude būtu jāveic aptuveni 400 darba devējiem, 7000 darbiniekiem. Tāpēc, </w:t>
            </w:r>
            <w:r w:rsidR="00A07033" w:rsidRPr="00914C79">
              <w:rPr>
                <w:b w:val="0"/>
                <w:sz w:val="24"/>
                <w:szCs w:val="24"/>
              </w:rPr>
              <w:t>lai mazinātu darba devēju administratīvo slogu, un arī paaugstinātu pārbaudes efektivitāti, n</w:t>
            </w:r>
            <w:r w:rsidR="00122FBD" w:rsidRPr="00914C79">
              <w:rPr>
                <w:b w:val="0"/>
                <w:sz w:val="24"/>
                <w:szCs w:val="24"/>
              </w:rPr>
              <w:t xml:space="preserve">oteikumu </w:t>
            </w:r>
            <w:r w:rsidR="00A07033" w:rsidRPr="00914C79">
              <w:rPr>
                <w:b w:val="0"/>
                <w:sz w:val="24"/>
                <w:szCs w:val="24"/>
              </w:rPr>
              <w:t xml:space="preserve">projekta </w:t>
            </w:r>
            <w:r w:rsidR="00122FBD" w:rsidRPr="00914C79">
              <w:rPr>
                <w:b w:val="0"/>
                <w:sz w:val="24"/>
                <w:szCs w:val="24"/>
              </w:rPr>
              <w:t>IV daļā tiek noteikta kārtība atkārtotās iepriekšējās darbības pārbaudes veikšanai</w:t>
            </w:r>
            <w:r w:rsidR="00A07033" w:rsidRPr="00914C79">
              <w:rPr>
                <w:b w:val="0"/>
                <w:sz w:val="24"/>
                <w:szCs w:val="24"/>
              </w:rPr>
              <w:t xml:space="preserve">, paredzot, ka </w:t>
            </w:r>
            <w:r w:rsidR="000C5C87" w:rsidRPr="00914C79">
              <w:rPr>
                <w:b w:val="0"/>
                <w:sz w:val="24"/>
                <w:szCs w:val="24"/>
              </w:rPr>
              <w:t xml:space="preserve">to veic </w:t>
            </w:r>
            <w:r w:rsidR="00A07033" w:rsidRPr="00914C79">
              <w:rPr>
                <w:b w:val="0"/>
                <w:sz w:val="24"/>
                <w:szCs w:val="24"/>
              </w:rPr>
              <w:t xml:space="preserve">Valsts drošības dienests </w:t>
            </w:r>
            <w:r w:rsidR="000C5C87" w:rsidRPr="00914C79">
              <w:rPr>
                <w:rFonts w:eastAsia="Times New Roman"/>
                <w:b w:val="0"/>
                <w:sz w:val="24"/>
                <w:szCs w:val="24"/>
              </w:rPr>
              <w:t xml:space="preserve">regulas Nr.2015/1998 pielikuma 11.1.7.punkta a) apakšpunktā noteiktā </w:t>
            </w:r>
            <w:r w:rsidR="000C5C87" w:rsidRPr="00914C79">
              <w:rPr>
                <w:b w:val="0"/>
                <w:sz w:val="24"/>
                <w:szCs w:val="24"/>
              </w:rPr>
              <w:t xml:space="preserve"> </w:t>
            </w:r>
            <w:r w:rsidR="00A07033" w:rsidRPr="00914C79">
              <w:rPr>
                <w:b w:val="0"/>
                <w:sz w:val="24"/>
                <w:szCs w:val="24"/>
              </w:rPr>
              <w:t>pastāvīgas pārlūkošanas mehānism</w:t>
            </w:r>
            <w:r w:rsidR="000C5C87" w:rsidRPr="00914C79">
              <w:rPr>
                <w:b w:val="0"/>
                <w:sz w:val="24"/>
                <w:szCs w:val="24"/>
              </w:rPr>
              <w:t>a ietvaros</w:t>
            </w:r>
            <w:r w:rsidR="00A07033" w:rsidRPr="00914C79">
              <w:rPr>
                <w:b w:val="0"/>
                <w:sz w:val="24"/>
                <w:szCs w:val="24"/>
              </w:rPr>
              <w:t xml:space="preserve"> visām personām, kam veikta pastiprinātā iepriekšējās darbības pārbaude.</w:t>
            </w:r>
          </w:p>
          <w:p w14:paraId="704E1719" w14:textId="77777777" w:rsidR="00A07033" w:rsidRPr="00914C79" w:rsidRDefault="00A07033" w:rsidP="00E7634D">
            <w:pPr>
              <w:pStyle w:val="Heading3"/>
              <w:spacing w:before="0" w:beforeAutospacing="0" w:after="0" w:afterAutospacing="0"/>
              <w:jc w:val="both"/>
              <w:rPr>
                <w:b w:val="0"/>
                <w:sz w:val="24"/>
                <w:szCs w:val="24"/>
              </w:rPr>
            </w:pPr>
            <w:r w:rsidRPr="00914C79">
              <w:rPr>
                <w:b w:val="0"/>
                <w:sz w:val="24"/>
                <w:szCs w:val="24"/>
              </w:rPr>
              <w:t xml:space="preserve">Projektā precizēta arī atkārtotās iepriekšējās darbības pārbaudes kārtība </w:t>
            </w:r>
            <w:r w:rsidR="000C5C87" w:rsidRPr="00914C79">
              <w:rPr>
                <w:b w:val="0"/>
                <w:sz w:val="24"/>
                <w:szCs w:val="24"/>
              </w:rPr>
              <w:t xml:space="preserve">tām personām, kuras </w:t>
            </w:r>
            <w:r w:rsidR="000C5C87" w:rsidRPr="00914C79">
              <w:rPr>
                <w:rFonts w:eastAsia="Times New Roman"/>
                <w:b w:val="0"/>
                <w:sz w:val="24"/>
                <w:szCs w:val="24"/>
              </w:rPr>
              <w:t>neieņem amatu kādā no likuma “Par aviāciju” 57.</w:t>
            </w:r>
            <w:r w:rsidR="000C5C87" w:rsidRPr="00914C79">
              <w:rPr>
                <w:rFonts w:eastAsia="Times New Roman"/>
                <w:b w:val="0"/>
                <w:sz w:val="24"/>
                <w:szCs w:val="24"/>
                <w:vertAlign w:val="superscript"/>
              </w:rPr>
              <w:t>1</w:t>
            </w:r>
            <w:r w:rsidR="000C5C87" w:rsidRPr="00914C79">
              <w:rPr>
                <w:rFonts w:eastAsia="Times New Roman"/>
                <w:b w:val="0"/>
                <w:sz w:val="24"/>
                <w:szCs w:val="24"/>
              </w:rPr>
              <w:t xml:space="preserve"> panta trešajā daļā minētajām jomām, kur</w:t>
            </w:r>
            <w:r w:rsidR="000C5C87" w:rsidRPr="00914C79">
              <w:rPr>
                <w:b w:val="0"/>
                <w:sz w:val="24"/>
                <w:szCs w:val="24"/>
              </w:rPr>
              <w:t xml:space="preserve">  darba devējiem nav nepieciešams veikt pastiprināto pārbaudi.</w:t>
            </w:r>
          </w:p>
          <w:p w14:paraId="7ED91F9A" w14:textId="2C436A6A" w:rsidR="00A07033" w:rsidRPr="00914C79" w:rsidRDefault="00A84045" w:rsidP="00E7634D">
            <w:pPr>
              <w:pStyle w:val="Heading3"/>
              <w:spacing w:before="0" w:beforeAutospacing="0" w:after="0" w:afterAutospacing="0"/>
              <w:jc w:val="both"/>
              <w:rPr>
                <w:b w:val="0"/>
                <w:sz w:val="24"/>
                <w:szCs w:val="24"/>
              </w:rPr>
            </w:pPr>
            <w:r w:rsidRPr="00914C79">
              <w:rPr>
                <w:b w:val="0"/>
                <w:sz w:val="24"/>
                <w:szCs w:val="24"/>
              </w:rPr>
              <w:t>N</w:t>
            </w:r>
            <w:r w:rsidR="00A07033" w:rsidRPr="00914C79">
              <w:rPr>
                <w:b w:val="0"/>
                <w:sz w:val="24"/>
                <w:szCs w:val="24"/>
              </w:rPr>
              <w:t xml:space="preserve">oteikumi Nr. 460 nenoteica </w:t>
            </w:r>
            <w:r w:rsidR="00122FBD" w:rsidRPr="00914C79">
              <w:rPr>
                <w:b w:val="0"/>
                <w:sz w:val="24"/>
                <w:szCs w:val="24"/>
              </w:rPr>
              <w:t>kārtīb</w:t>
            </w:r>
            <w:r w:rsidR="00A07033" w:rsidRPr="00914C79">
              <w:rPr>
                <w:b w:val="0"/>
                <w:sz w:val="24"/>
                <w:szCs w:val="24"/>
              </w:rPr>
              <w:t>u</w:t>
            </w:r>
            <w:r w:rsidR="00122FBD" w:rsidRPr="00914C79">
              <w:rPr>
                <w:b w:val="0"/>
                <w:sz w:val="24"/>
                <w:szCs w:val="24"/>
              </w:rPr>
              <w:t xml:space="preserve"> gaisa kuģa apkalpes locekļa identitātes kartes izsniegšanai un anulēšanai.</w:t>
            </w:r>
            <w:r w:rsidR="00A07033" w:rsidRPr="00914C79">
              <w:rPr>
                <w:b w:val="0"/>
                <w:sz w:val="24"/>
                <w:szCs w:val="24"/>
              </w:rPr>
              <w:t xml:space="preserve"> Tāpēc Latvijas Republikā reģistrētie gaisa kuģu ekspluatanti šo pārbaudi veica atšķirīgi un ne vienmēr atbilstoši normatīvajām prasībām.</w:t>
            </w:r>
          </w:p>
          <w:p w14:paraId="6A9E4B28" w14:textId="77777777" w:rsidR="00122FBD" w:rsidRPr="00914C79" w:rsidRDefault="00A07033" w:rsidP="00E7634D">
            <w:pPr>
              <w:pStyle w:val="Heading3"/>
              <w:spacing w:before="0" w:beforeAutospacing="0" w:after="0" w:afterAutospacing="0"/>
              <w:jc w:val="both"/>
              <w:rPr>
                <w:b w:val="0"/>
                <w:sz w:val="24"/>
                <w:szCs w:val="24"/>
              </w:rPr>
            </w:pPr>
            <w:r w:rsidRPr="00914C79">
              <w:rPr>
                <w:b w:val="0"/>
                <w:sz w:val="24"/>
                <w:szCs w:val="24"/>
              </w:rPr>
              <w:t>Tāpēc noteikumu projekta V daļā tiek noteikta</w:t>
            </w:r>
            <w:r w:rsidR="000C5C87" w:rsidRPr="00914C79">
              <w:rPr>
                <w:b w:val="0"/>
                <w:sz w:val="24"/>
                <w:szCs w:val="24"/>
              </w:rPr>
              <w:t xml:space="preserve"> vienveidīga kārtība</w:t>
            </w:r>
            <w:r w:rsidR="00A65740" w:rsidRPr="00914C79">
              <w:rPr>
                <w:b w:val="0"/>
                <w:sz w:val="24"/>
                <w:szCs w:val="24"/>
              </w:rPr>
              <w:t xml:space="preserve"> apkalpes locekļa identitātes kartes izsniegšanai un anulēšanai</w:t>
            </w:r>
            <w:r w:rsidR="000C5C87" w:rsidRPr="00914C79">
              <w:rPr>
                <w:b w:val="0"/>
                <w:sz w:val="24"/>
                <w:szCs w:val="24"/>
              </w:rPr>
              <w:t>.</w:t>
            </w:r>
          </w:p>
          <w:p w14:paraId="55B6333E" w14:textId="3156410C" w:rsidR="00EA15C2" w:rsidRPr="00914C79" w:rsidRDefault="00EA15C2" w:rsidP="00E7634D">
            <w:pPr>
              <w:pStyle w:val="Heading3"/>
              <w:spacing w:before="0" w:beforeAutospacing="0" w:after="0" w:afterAutospacing="0"/>
              <w:jc w:val="both"/>
              <w:rPr>
                <w:b w:val="0"/>
                <w:sz w:val="24"/>
                <w:szCs w:val="24"/>
              </w:rPr>
            </w:pPr>
            <w:r w:rsidRPr="00914C79">
              <w:rPr>
                <w:b w:val="0"/>
                <w:sz w:val="24"/>
                <w:szCs w:val="24"/>
              </w:rPr>
              <w:t xml:space="preserve">Noteikumu </w:t>
            </w:r>
            <w:r w:rsidR="00A65740" w:rsidRPr="00914C79">
              <w:rPr>
                <w:b w:val="0"/>
                <w:sz w:val="24"/>
                <w:szCs w:val="24"/>
              </w:rPr>
              <w:t xml:space="preserve">projekta </w:t>
            </w:r>
            <w:r w:rsidRPr="00914C79">
              <w:rPr>
                <w:b w:val="0"/>
                <w:sz w:val="24"/>
                <w:szCs w:val="24"/>
              </w:rPr>
              <w:t xml:space="preserve">VI daļā tiek būtiski papildināta lidostas identitātes kartes izsniegšanas </w:t>
            </w:r>
            <w:r w:rsidR="00A65740" w:rsidRPr="00914C79">
              <w:rPr>
                <w:b w:val="0"/>
                <w:sz w:val="24"/>
                <w:szCs w:val="24"/>
              </w:rPr>
              <w:t xml:space="preserve">kārtība. Ņemot vērā, ka līdz šim ne reti ir bijuši starpgadījumi, kad  lidostas identitātes kartes lietotāji ir pārkāpuši lidostā noteiktās piekļuves kontroles un drošības pārbaudes prasības, lidostas administrācijai ir uzlikts pienākums apmācīt un informēt identitātes kartes saņēmējus par konkrētām lidostas ekspluatanta prasībām, norādot arī tos pārkāpumus, kuri ir uzskatāmi par būtiskiem un </w:t>
            </w:r>
            <w:r w:rsidR="009337B9" w:rsidRPr="00914C79">
              <w:rPr>
                <w:b w:val="0"/>
                <w:sz w:val="24"/>
                <w:szCs w:val="24"/>
              </w:rPr>
              <w:t xml:space="preserve">kuri </w:t>
            </w:r>
            <w:r w:rsidR="00A65740" w:rsidRPr="00914C79">
              <w:rPr>
                <w:b w:val="0"/>
                <w:sz w:val="24"/>
                <w:szCs w:val="24"/>
              </w:rPr>
              <w:t xml:space="preserve">pēc pārkāpuma apstākļu pārbaudes var </w:t>
            </w:r>
            <w:r w:rsidR="009337B9" w:rsidRPr="00914C79">
              <w:rPr>
                <w:b w:val="0"/>
                <w:sz w:val="24"/>
                <w:szCs w:val="24"/>
              </w:rPr>
              <w:t xml:space="preserve">radīt negatīvas tiesiskas sekas darbiniekam, ietverot </w:t>
            </w:r>
            <w:r w:rsidR="00A65740" w:rsidRPr="00914C79">
              <w:rPr>
                <w:b w:val="0"/>
                <w:sz w:val="24"/>
                <w:szCs w:val="24"/>
              </w:rPr>
              <w:t>identitātes kartes anulēšanu</w:t>
            </w:r>
            <w:r w:rsidRPr="00914C79">
              <w:rPr>
                <w:b w:val="0"/>
                <w:sz w:val="24"/>
                <w:szCs w:val="24"/>
              </w:rPr>
              <w:t>.</w:t>
            </w:r>
          </w:p>
          <w:p w14:paraId="49D8B913" w14:textId="77777777" w:rsidR="009337B9" w:rsidRPr="00914C79" w:rsidRDefault="009337B9" w:rsidP="00E7634D">
            <w:pPr>
              <w:pStyle w:val="Heading3"/>
              <w:spacing w:before="0" w:beforeAutospacing="0" w:after="0" w:afterAutospacing="0"/>
              <w:jc w:val="both"/>
              <w:rPr>
                <w:b w:val="0"/>
                <w:sz w:val="24"/>
                <w:szCs w:val="24"/>
              </w:rPr>
            </w:pPr>
            <w:r w:rsidRPr="00914C79">
              <w:rPr>
                <w:b w:val="0"/>
                <w:sz w:val="24"/>
                <w:szCs w:val="24"/>
              </w:rPr>
              <w:t>Sekojoši precizēta arī lidostas identitātes kartes anulēšanas kārtība.</w:t>
            </w:r>
          </w:p>
          <w:p w14:paraId="1A40E8CB" w14:textId="550A2959" w:rsidR="00FA1880" w:rsidRPr="00914C79" w:rsidRDefault="00FA1880" w:rsidP="00E7634D">
            <w:pPr>
              <w:pStyle w:val="Heading3"/>
              <w:spacing w:before="0" w:beforeAutospacing="0" w:after="0" w:afterAutospacing="0"/>
              <w:jc w:val="both"/>
              <w:rPr>
                <w:b w:val="0"/>
                <w:sz w:val="24"/>
                <w:szCs w:val="24"/>
              </w:rPr>
            </w:pPr>
            <w:r w:rsidRPr="00914C79">
              <w:rPr>
                <w:b w:val="0"/>
                <w:sz w:val="24"/>
                <w:szCs w:val="24"/>
              </w:rPr>
              <w:t xml:space="preserve">Noteikumu </w:t>
            </w:r>
            <w:r w:rsidR="009337B9" w:rsidRPr="00914C79">
              <w:rPr>
                <w:b w:val="0"/>
                <w:sz w:val="24"/>
                <w:szCs w:val="24"/>
              </w:rPr>
              <w:t xml:space="preserve">projekta </w:t>
            </w:r>
            <w:r w:rsidRPr="00914C79">
              <w:rPr>
                <w:b w:val="0"/>
                <w:sz w:val="24"/>
                <w:szCs w:val="24"/>
              </w:rPr>
              <w:t xml:space="preserve">VII daļā </w:t>
            </w:r>
            <w:r w:rsidR="009337B9" w:rsidRPr="00914C79">
              <w:rPr>
                <w:b w:val="0"/>
                <w:sz w:val="24"/>
                <w:szCs w:val="24"/>
              </w:rPr>
              <w:t xml:space="preserve">noteikta atšķirīga </w:t>
            </w:r>
            <w:r w:rsidRPr="00914C79">
              <w:rPr>
                <w:b w:val="0"/>
                <w:sz w:val="24"/>
                <w:szCs w:val="24"/>
              </w:rPr>
              <w:t>lidostas identitātes kartes izsniegšanas un anulēšanas kārtība valsts institūciju amatpersonām un ārvalstu institūciju darbiniekiem.</w:t>
            </w:r>
          </w:p>
          <w:p w14:paraId="472F73E2" w14:textId="77777777" w:rsidR="009337B9" w:rsidRPr="00914C79" w:rsidRDefault="004A1206" w:rsidP="00E7634D">
            <w:pPr>
              <w:pStyle w:val="Heading3"/>
              <w:spacing w:before="0" w:beforeAutospacing="0" w:after="0" w:afterAutospacing="0"/>
              <w:jc w:val="both"/>
              <w:rPr>
                <w:b w:val="0"/>
                <w:sz w:val="24"/>
                <w:szCs w:val="24"/>
              </w:rPr>
            </w:pPr>
            <w:r w:rsidRPr="00914C79">
              <w:rPr>
                <w:b w:val="0"/>
                <w:sz w:val="24"/>
                <w:szCs w:val="24"/>
              </w:rPr>
              <w:t>N</w:t>
            </w:r>
            <w:r w:rsidR="009337B9" w:rsidRPr="00914C79">
              <w:rPr>
                <w:b w:val="0"/>
                <w:sz w:val="24"/>
                <w:szCs w:val="24"/>
              </w:rPr>
              <w:t>oteikumos Nr.460 bija paredzēts, ka lidostas administrācija ir tiesīga anulēt lidostas identitātes kartes valsts iestāžu amatpersonām, ja tās ar savu darbību apdraud civilās aviācijas drošību.</w:t>
            </w:r>
          </w:p>
          <w:p w14:paraId="027D9187" w14:textId="33A842A4" w:rsidR="009337B9" w:rsidRPr="00914C79" w:rsidRDefault="009337B9" w:rsidP="00E7634D">
            <w:pPr>
              <w:pStyle w:val="Heading3"/>
              <w:spacing w:before="0" w:beforeAutospacing="0" w:after="0" w:afterAutospacing="0"/>
              <w:jc w:val="both"/>
              <w:rPr>
                <w:b w:val="0"/>
                <w:sz w:val="24"/>
                <w:szCs w:val="24"/>
              </w:rPr>
            </w:pPr>
            <w:r w:rsidRPr="00914C79">
              <w:rPr>
                <w:b w:val="0"/>
                <w:sz w:val="24"/>
                <w:szCs w:val="24"/>
              </w:rPr>
              <w:t xml:space="preserve">Ņemot vērā, ka valsts institūciju amatpersonas lidostā pilda būtiskas valstiskas funkcijas, noteikumu projektā </w:t>
            </w:r>
            <w:r w:rsidRPr="00914C79">
              <w:rPr>
                <w:b w:val="0"/>
                <w:sz w:val="24"/>
                <w:szCs w:val="24"/>
              </w:rPr>
              <w:lastRenderedPageBreak/>
              <w:t xml:space="preserve">lidostas administrācijai </w:t>
            </w:r>
            <w:r w:rsidR="004A1206" w:rsidRPr="00914C79">
              <w:rPr>
                <w:b w:val="0"/>
                <w:sz w:val="24"/>
                <w:szCs w:val="24"/>
              </w:rPr>
              <w:t xml:space="preserve">vairs </w:t>
            </w:r>
            <w:r w:rsidRPr="00914C79">
              <w:rPr>
                <w:b w:val="0"/>
                <w:sz w:val="24"/>
                <w:szCs w:val="24"/>
              </w:rPr>
              <w:t xml:space="preserve">nav </w:t>
            </w:r>
            <w:r w:rsidR="004A1206" w:rsidRPr="00914C79">
              <w:rPr>
                <w:b w:val="0"/>
                <w:sz w:val="24"/>
                <w:szCs w:val="24"/>
              </w:rPr>
              <w:t xml:space="preserve">paredzētas </w:t>
            </w:r>
            <w:r w:rsidRPr="00914C79">
              <w:rPr>
                <w:b w:val="0"/>
                <w:sz w:val="24"/>
                <w:szCs w:val="24"/>
              </w:rPr>
              <w:t xml:space="preserve">tiesības anulēt amatpersonu caurlaides, bet gan </w:t>
            </w:r>
            <w:r w:rsidR="004A1206" w:rsidRPr="00914C79">
              <w:rPr>
                <w:b w:val="0"/>
                <w:sz w:val="24"/>
                <w:szCs w:val="24"/>
              </w:rPr>
              <w:t xml:space="preserve">pienākums nekavējoties informēt attiecīgās valsts </w:t>
            </w:r>
            <w:r w:rsidR="00A84045" w:rsidRPr="00914C79">
              <w:rPr>
                <w:b w:val="0"/>
                <w:sz w:val="24"/>
                <w:szCs w:val="24"/>
              </w:rPr>
              <w:t xml:space="preserve">institūciju </w:t>
            </w:r>
            <w:r w:rsidR="004A1206" w:rsidRPr="00914C79">
              <w:rPr>
                <w:b w:val="0"/>
                <w:sz w:val="24"/>
                <w:szCs w:val="24"/>
              </w:rPr>
              <w:t>par notikušo pārkāpumu un piedalīties pārbaudē par pārkāpuma apstākļiem.</w:t>
            </w:r>
          </w:p>
          <w:p w14:paraId="26449527" w14:textId="59114DA5" w:rsidR="004A1206" w:rsidRPr="00914C79" w:rsidRDefault="004A1206" w:rsidP="00E7634D">
            <w:pPr>
              <w:pStyle w:val="Heading3"/>
              <w:spacing w:before="0" w:beforeAutospacing="0" w:after="0" w:afterAutospacing="0"/>
              <w:jc w:val="both"/>
              <w:rPr>
                <w:b w:val="0"/>
                <w:sz w:val="24"/>
                <w:szCs w:val="24"/>
              </w:rPr>
            </w:pPr>
            <w:r w:rsidRPr="00914C79">
              <w:rPr>
                <w:b w:val="0"/>
                <w:sz w:val="24"/>
                <w:szCs w:val="24"/>
              </w:rPr>
              <w:t>Ja pārkāpums ir atzīts par būtisku un apzinātu, lidostas administrācija ir tiesīga lemt par identitātes kartes darbības apturēšanu,</w:t>
            </w:r>
            <w:r w:rsidR="00CA6E89" w:rsidRPr="00914C79">
              <w:rPr>
                <w:b w:val="0"/>
                <w:sz w:val="24"/>
                <w:szCs w:val="24"/>
              </w:rPr>
              <w:t xml:space="preserve"> t.i. amatpersonai vairs nav iespēju nokļūt lidostā amata pienākumu veikšanai,</w:t>
            </w:r>
            <w:r w:rsidRPr="00914C79">
              <w:rPr>
                <w:b w:val="0"/>
                <w:sz w:val="24"/>
                <w:szCs w:val="24"/>
              </w:rPr>
              <w:t xml:space="preserve"> un turpmākā rīcība saistībā ar </w:t>
            </w:r>
            <w:r w:rsidR="00DB627F" w:rsidRPr="00914C79">
              <w:rPr>
                <w:b w:val="0"/>
                <w:sz w:val="24"/>
                <w:szCs w:val="24"/>
              </w:rPr>
              <w:t xml:space="preserve">amatpersonas </w:t>
            </w:r>
            <w:r w:rsidRPr="00914C79">
              <w:rPr>
                <w:b w:val="0"/>
                <w:sz w:val="24"/>
                <w:szCs w:val="24"/>
              </w:rPr>
              <w:t xml:space="preserve">pārkāpumu ir valsts </w:t>
            </w:r>
            <w:r w:rsidR="00A84045" w:rsidRPr="00914C79">
              <w:rPr>
                <w:b w:val="0"/>
                <w:sz w:val="24"/>
                <w:szCs w:val="24"/>
              </w:rPr>
              <w:t xml:space="preserve">institūcijas </w:t>
            </w:r>
            <w:r w:rsidRPr="00914C79">
              <w:rPr>
                <w:b w:val="0"/>
                <w:sz w:val="24"/>
                <w:szCs w:val="24"/>
              </w:rPr>
              <w:t>kompetencē.</w:t>
            </w:r>
          </w:p>
          <w:p w14:paraId="1401D4F2" w14:textId="5169ABBB" w:rsidR="00C834A3" w:rsidRPr="00914C79" w:rsidRDefault="00F458BD" w:rsidP="004A1206">
            <w:pPr>
              <w:pStyle w:val="Heading3"/>
              <w:spacing w:before="0" w:beforeAutospacing="0" w:after="0" w:afterAutospacing="0"/>
              <w:jc w:val="both"/>
              <w:rPr>
                <w:rFonts w:eastAsia="Times New Roman"/>
                <w:b w:val="0"/>
                <w:sz w:val="24"/>
                <w:szCs w:val="24"/>
              </w:rPr>
            </w:pPr>
            <w:r w:rsidRPr="00914C79">
              <w:rPr>
                <w:rFonts w:eastAsia="Times New Roman"/>
                <w:b w:val="0"/>
                <w:sz w:val="24"/>
                <w:szCs w:val="24"/>
              </w:rPr>
              <w:t xml:space="preserve">Ņemot vērā  </w:t>
            </w:r>
            <w:r w:rsidR="00D73BD9" w:rsidRPr="00914C79">
              <w:rPr>
                <w:rFonts w:eastAsia="Times New Roman"/>
                <w:b w:val="0"/>
                <w:sz w:val="24"/>
                <w:szCs w:val="24"/>
              </w:rPr>
              <w:t>regul</w:t>
            </w:r>
            <w:r w:rsidR="008F7C32" w:rsidRPr="00914C79">
              <w:rPr>
                <w:rFonts w:eastAsia="Times New Roman"/>
                <w:b w:val="0"/>
                <w:sz w:val="24"/>
                <w:szCs w:val="24"/>
              </w:rPr>
              <w:t>ā</w:t>
            </w:r>
            <w:r w:rsidR="00D73BD9" w:rsidRPr="00914C79">
              <w:rPr>
                <w:rFonts w:eastAsia="Times New Roman"/>
                <w:b w:val="0"/>
                <w:sz w:val="24"/>
                <w:szCs w:val="24"/>
              </w:rPr>
              <w:t xml:space="preserve"> Nr.2019/</w:t>
            </w:r>
            <w:r w:rsidR="0034599C" w:rsidRPr="00914C79">
              <w:rPr>
                <w:rFonts w:eastAsia="Times New Roman"/>
                <w:b w:val="0"/>
                <w:sz w:val="24"/>
                <w:szCs w:val="24"/>
              </w:rPr>
              <w:t>103</w:t>
            </w:r>
            <w:r w:rsidR="00D73BD9" w:rsidRPr="00914C79">
              <w:rPr>
                <w:rFonts w:eastAsia="Times New Roman"/>
                <w:b w:val="0"/>
                <w:sz w:val="24"/>
                <w:szCs w:val="24"/>
              </w:rPr>
              <w:t xml:space="preserve"> </w:t>
            </w:r>
            <w:r w:rsidRPr="00914C79">
              <w:rPr>
                <w:rFonts w:eastAsia="Times New Roman"/>
                <w:b w:val="0"/>
                <w:sz w:val="24"/>
                <w:szCs w:val="24"/>
              </w:rPr>
              <w:t xml:space="preserve">paredzēto pārbaužu veikšanas kārtību un projektā izvēlēto personu pārbaudes risinājumu, Valsts drošības dienests turpmāk personu pārbaudes veiks, izmantojot </w:t>
            </w:r>
            <w:r w:rsidR="00517DEB" w:rsidRPr="00914C79">
              <w:rPr>
                <w:rFonts w:eastAsia="Times New Roman"/>
                <w:b w:val="0"/>
                <w:sz w:val="24"/>
                <w:szCs w:val="24"/>
              </w:rPr>
              <w:t xml:space="preserve">regulas </w:t>
            </w:r>
            <w:r w:rsidR="00956A3F" w:rsidRPr="00914C79">
              <w:rPr>
                <w:rFonts w:eastAsia="Times New Roman"/>
                <w:b w:val="0"/>
                <w:sz w:val="24"/>
                <w:szCs w:val="24"/>
              </w:rPr>
              <w:t>Nr.</w:t>
            </w:r>
            <w:r w:rsidR="00517DEB" w:rsidRPr="00914C79">
              <w:rPr>
                <w:rFonts w:eastAsia="Times New Roman"/>
                <w:b w:val="0"/>
                <w:sz w:val="24"/>
                <w:szCs w:val="24"/>
              </w:rPr>
              <w:t>2015/1998 Nr.11.1.7. punktā noteikto pastāvīgas pārlūkošanas mehānismu</w:t>
            </w:r>
            <w:r w:rsidRPr="00914C79">
              <w:rPr>
                <w:rFonts w:eastAsia="Times New Roman"/>
                <w:b w:val="0"/>
                <w:sz w:val="24"/>
                <w:szCs w:val="24"/>
              </w:rPr>
              <w:t>. Lai īstenotu projektā paredzēt</w:t>
            </w:r>
            <w:r w:rsidR="00E764AF" w:rsidRPr="00914C79">
              <w:rPr>
                <w:rFonts w:eastAsia="Times New Roman"/>
                <w:b w:val="0"/>
                <w:sz w:val="24"/>
                <w:szCs w:val="24"/>
              </w:rPr>
              <w:t>o uzdevumu</w:t>
            </w:r>
            <w:r w:rsidRPr="00914C79">
              <w:rPr>
                <w:rFonts w:eastAsia="Times New Roman"/>
                <w:b w:val="0"/>
                <w:sz w:val="24"/>
                <w:szCs w:val="24"/>
              </w:rPr>
              <w:t xml:space="preserve"> izpildi, Valsts drošības dienestam būs nepieciešams papildu darbaspēka resurss, pamatlīdzekļi, kā arī radīsies izdevumi personu pārbaužu procesa pielāgošanai, nodrošinot pārbaužu veikšanu pastāvīgā pārlūkošanas mehānisma ietvaros (tehniskais risinājums). Minētais radīs nepieciešamību pēc papildu finansējuma piesaistes Valsts drošības dienestam. Papildu finansējuma piešķiršanu Valsts drošības dienestam būs nepieciešams iekļaut 2023. gada valsts budžeta plānošanas procesā, savukārt 2022. gada laikā radušās papildu izmaksas Valsts drošības dienests segs tam piešķirtā budžeta ietvaros.</w:t>
            </w:r>
          </w:p>
          <w:p w14:paraId="301AB9FC" w14:textId="35EF037C" w:rsidR="0013655E" w:rsidRPr="00914C79" w:rsidRDefault="0013655E" w:rsidP="0013655E">
            <w:pPr>
              <w:pStyle w:val="Heading3"/>
              <w:spacing w:before="0" w:beforeAutospacing="0" w:after="0" w:afterAutospacing="0"/>
              <w:jc w:val="both"/>
              <w:rPr>
                <w:b w:val="0"/>
                <w:sz w:val="24"/>
                <w:szCs w:val="24"/>
              </w:rPr>
            </w:pPr>
            <w:r w:rsidRPr="00914C79">
              <w:rPr>
                <w:b w:val="0"/>
                <w:sz w:val="24"/>
                <w:szCs w:val="24"/>
              </w:rPr>
              <w:t>Atbilstoši regulas Nr.2019/103 2.pantam regulas 2015/1998 pielikuma 1.2.3., 11.1.punktu piemēro no 2021.gada 31.decembra</w:t>
            </w:r>
            <w:r w:rsidR="00F6084F" w:rsidRPr="00914C79">
              <w:rPr>
                <w:b w:val="0"/>
                <w:sz w:val="24"/>
                <w:szCs w:val="24"/>
              </w:rPr>
              <w:t>, tādēļ projekts paredz, ka projekta 18.-26.</w:t>
            </w:r>
            <w:r w:rsidR="008E12D1" w:rsidRPr="00914C79">
              <w:rPr>
                <w:b w:val="0"/>
                <w:sz w:val="24"/>
                <w:szCs w:val="24"/>
              </w:rPr>
              <w:t>,</w:t>
            </w:r>
            <w:r w:rsidR="00F6084F" w:rsidRPr="00914C79">
              <w:rPr>
                <w:b w:val="0"/>
                <w:sz w:val="24"/>
                <w:szCs w:val="24"/>
              </w:rPr>
              <w:t xml:space="preserve"> 27., 37., 49., 51. un 53.punkts   stājas spēkā 2021. gada 31. decembrī. Līdz 2021. gada 30. decembrim gaisa kuģa apkalpes locekļa identitātes kartes un lidostas identitātes kartes tiks izsniegtas pēc standarta iepriekšējās darbības pārbaudes veikšanas.  </w:t>
            </w:r>
          </w:p>
        </w:tc>
      </w:tr>
      <w:tr w:rsidR="008C0EDC" w:rsidRPr="00914C79" w14:paraId="03F9C164"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BF0443"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F13435A" w14:textId="77777777" w:rsidR="008C0EDC" w:rsidRPr="00914C79" w:rsidRDefault="008C0EDC" w:rsidP="008C0EDC">
            <w:pPr>
              <w:spacing w:after="0"/>
              <w:rPr>
                <w:rFonts w:eastAsia="Times New Roman"/>
                <w:lang w:eastAsia="lv-LV"/>
              </w:rPr>
            </w:pPr>
            <w:r w:rsidRPr="00914C79">
              <w:rPr>
                <w:rFonts w:eastAsia="Times New Roman"/>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110B9257" w14:textId="77777777" w:rsidR="008C0EDC" w:rsidRPr="00914C79" w:rsidRDefault="00CE5F75" w:rsidP="00A94B8C">
            <w:pPr>
              <w:spacing w:after="0"/>
              <w:jc w:val="both"/>
              <w:rPr>
                <w:rFonts w:eastAsia="Times New Roman"/>
                <w:lang w:eastAsia="lv-LV"/>
              </w:rPr>
            </w:pPr>
            <w:r w:rsidRPr="00914C79">
              <w:rPr>
                <w:rFonts w:eastAsia="Times New Roman"/>
                <w:lang w:eastAsia="lv-LV"/>
              </w:rPr>
              <w:t>Satiksmes ministrija, valsts aģentūra “Civilās aviācijas aģentūra”, Valsts drošības dienests, Iekšlietu ministrija, VAS</w:t>
            </w:r>
            <w:r w:rsidR="003B3663" w:rsidRPr="00914C79">
              <w:rPr>
                <w:rFonts w:eastAsia="Times New Roman"/>
                <w:lang w:eastAsia="lv-LV"/>
              </w:rPr>
              <w:t> </w:t>
            </w:r>
            <w:r w:rsidRPr="00914C79">
              <w:rPr>
                <w:rFonts w:eastAsia="Times New Roman"/>
                <w:lang w:eastAsia="lv-LV"/>
              </w:rPr>
              <w:t>“Starptautiskā lidosta “Rīga”, A/S “Air Baltic Corporation”.</w:t>
            </w:r>
          </w:p>
        </w:tc>
      </w:tr>
      <w:tr w:rsidR="008C0EDC" w:rsidRPr="00914C79" w14:paraId="4BB959C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7CCC22"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1AFEDAD" w14:textId="77777777" w:rsidR="008C0EDC" w:rsidRPr="00914C79" w:rsidRDefault="008C0EDC" w:rsidP="008C0EDC">
            <w:pPr>
              <w:spacing w:after="0"/>
              <w:rPr>
                <w:rFonts w:eastAsia="Times New Roman"/>
                <w:lang w:eastAsia="lv-LV"/>
              </w:rPr>
            </w:pPr>
            <w:r w:rsidRPr="00914C79">
              <w:rPr>
                <w:rFonts w:eastAsia="Times New Roman"/>
                <w:lang w:eastAsia="lv-LV"/>
              </w:rPr>
              <w:t>Cita informācija</w:t>
            </w:r>
            <w:r w:rsidR="000674F4" w:rsidRPr="00914C79">
              <w:rPr>
                <w:rFonts w:eastAsia="Times New Roman"/>
                <w:lang w:eastAsia="lv-LV"/>
              </w:rPr>
              <w:t xml:space="preserve"> </w:t>
            </w:r>
          </w:p>
        </w:tc>
        <w:tc>
          <w:tcPr>
            <w:tcW w:w="3000" w:type="pct"/>
            <w:tcBorders>
              <w:top w:val="outset" w:sz="6" w:space="0" w:color="auto"/>
              <w:left w:val="outset" w:sz="6" w:space="0" w:color="auto"/>
              <w:bottom w:val="outset" w:sz="6" w:space="0" w:color="auto"/>
              <w:right w:val="outset" w:sz="6" w:space="0" w:color="auto"/>
            </w:tcBorders>
          </w:tcPr>
          <w:p w14:paraId="253DB79A" w14:textId="77777777" w:rsidR="00553ABF" w:rsidRPr="00914C79" w:rsidRDefault="00BF1297" w:rsidP="00FE0319">
            <w:pPr>
              <w:spacing w:after="0"/>
              <w:jc w:val="both"/>
              <w:rPr>
                <w:rFonts w:eastAsia="Times New Roman"/>
                <w:lang w:eastAsia="lv-LV"/>
              </w:rPr>
            </w:pPr>
            <w:r w:rsidRPr="00914C79">
              <w:rPr>
                <w:rFonts w:eastAsia="Times New Roman"/>
                <w:lang w:eastAsia="lv-LV"/>
              </w:rPr>
              <w:t>Nav</w:t>
            </w:r>
            <w:r w:rsidR="007F27E1" w:rsidRPr="00914C79">
              <w:rPr>
                <w:rFonts w:eastAsia="Times New Roman"/>
                <w:lang w:eastAsia="lv-LV"/>
              </w:rPr>
              <w:t>.</w:t>
            </w:r>
          </w:p>
        </w:tc>
      </w:tr>
    </w:tbl>
    <w:p w14:paraId="20B6D28F" w14:textId="77777777" w:rsidR="008C0EDC" w:rsidRPr="00914C79"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914C79" w14:paraId="60B5A6F9"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B87D8F" w14:textId="77777777" w:rsidR="008C0EDC" w:rsidRPr="00914C79" w:rsidRDefault="008C0EDC" w:rsidP="008C0EDC">
            <w:pPr>
              <w:spacing w:before="100" w:beforeAutospacing="1" w:after="100" w:afterAutospacing="1"/>
              <w:jc w:val="center"/>
              <w:rPr>
                <w:rFonts w:eastAsia="Times New Roman"/>
                <w:b/>
                <w:bCs/>
                <w:lang w:eastAsia="lv-LV"/>
              </w:rPr>
            </w:pPr>
            <w:r w:rsidRPr="00914C79">
              <w:rPr>
                <w:rFonts w:eastAsia="Times New Roman"/>
                <w:b/>
                <w:bCs/>
                <w:lang w:eastAsia="lv-LV"/>
              </w:rPr>
              <w:t>II. Tiesību akta projekta ietekme uz sabiedrību, tautsaimniecības attīstību un administratīvo slogu</w:t>
            </w:r>
          </w:p>
        </w:tc>
      </w:tr>
      <w:tr w:rsidR="008C0EDC" w:rsidRPr="00914C79" w14:paraId="38BCB446"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D377FF"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2AF4DCC" w14:textId="77777777" w:rsidR="008C0EDC" w:rsidRPr="00914C79" w:rsidRDefault="008C0EDC" w:rsidP="009F6F23">
            <w:pPr>
              <w:spacing w:after="0"/>
              <w:rPr>
                <w:rFonts w:eastAsia="Times New Roman"/>
                <w:lang w:eastAsia="lv-LV"/>
              </w:rPr>
            </w:pPr>
            <w:r w:rsidRPr="00914C79">
              <w:rPr>
                <w:rFonts w:eastAsia="Times New Roman"/>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2A4874FC" w14:textId="77777777" w:rsidR="008C0EDC" w:rsidRPr="00914C79" w:rsidRDefault="00474BA2" w:rsidP="00510FA5">
            <w:pPr>
              <w:spacing w:after="0"/>
              <w:jc w:val="both"/>
              <w:rPr>
                <w:rFonts w:eastAsia="Times New Roman"/>
                <w:lang w:eastAsia="lv-LV"/>
              </w:rPr>
            </w:pPr>
            <w:r w:rsidRPr="00914C79">
              <w:rPr>
                <w:rFonts w:eastAsia="Times New Roman"/>
                <w:lang w:eastAsia="lv-LV"/>
              </w:rPr>
              <w:t xml:space="preserve">Projekts attiecas uz civilās aviācijas lidlauku ekspluatantiem, lidostām, civilās aviācijas gaisa kuģu ekspluatantiem, oficiālajiem kravu aģentiem, zināmajiem nosūtītājiem, lidojuma laikā patērējamo </w:t>
            </w:r>
            <w:r w:rsidRPr="00914C79">
              <w:rPr>
                <w:rFonts w:eastAsia="Times New Roman"/>
                <w:lang w:eastAsia="lv-LV"/>
              </w:rPr>
              <w:lastRenderedPageBreak/>
              <w:t>krājumu pilnvarotiem piegādātājiem, lidojuma laikā patērējamo krājumu zināmajiem piegādātājiem un lidostu krājumu zināmajiem piegādātājiem.</w:t>
            </w:r>
          </w:p>
        </w:tc>
      </w:tr>
      <w:tr w:rsidR="008C0EDC" w:rsidRPr="00914C79" w14:paraId="4FE945FB"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5CBB45"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28917BE" w14:textId="77777777" w:rsidR="008C0EDC" w:rsidRPr="00914C79" w:rsidRDefault="008C0EDC" w:rsidP="008C0EDC">
            <w:pPr>
              <w:spacing w:after="0"/>
              <w:rPr>
                <w:rFonts w:eastAsia="Times New Roman"/>
                <w:lang w:eastAsia="lv-LV"/>
              </w:rPr>
            </w:pPr>
            <w:r w:rsidRPr="00914C79">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3060870D" w14:textId="77777777" w:rsidR="00A04DBB" w:rsidRPr="00914C79" w:rsidRDefault="00A04DBB" w:rsidP="00A04DBB">
            <w:pPr>
              <w:spacing w:after="0"/>
              <w:jc w:val="both"/>
              <w:rPr>
                <w:rFonts w:eastAsia="Times New Roman"/>
              </w:rPr>
            </w:pPr>
            <w:r w:rsidRPr="00914C79">
              <w:rPr>
                <w:rFonts w:eastAsia="Times New Roman"/>
              </w:rPr>
              <w:t xml:space="preserve">Projekts neietekmēs tautsaimniecību. </w:t>
            </w:r>
          </w:p>
          <w:p w14:paraId="0229CBF4" w14:textId="5DEE0C2F" w:rsidR="00A04DBB" w:rsidRPr="00914C79" w:rsidRDefault="00A04DBB" w:rsidP="00A04DBB">
            <w:pPr>
              <w:spacing w:after="0"/>
              <w:jc w:val="both"/>
              <w:rPr>
                <w:rFonts w:eastAsia="Times New Roman"/>
              </w:rPr>
            </w:pPr>
            <w:r w:rsidRPr="00914C79">
              <w:rPr>
                <w:rFonts w:eastAsia="Times New Roman"/>
              </w:rPr>
              <w:t>Visi Projekta anotācijas II sadaļas 1.punktā minētie darba devēji kopš 2013.gada atbilstoši likuma “Par aviāciju” 57.</w:t>
            </w:r>
            <w:r w:rsidRPr="00914C79">
              <w:rPr>
                <w:rFonts w:eastAsia="Times New Roman"/>
                <w:vertAlign w:val="superscript"/>
              </w:rPr>
              <w:t>1</w:t>
            </w:r>
            <w:r w:rsidRPr="00914C79">
              <w:rPr>
                <w:rFonts w:eastAsia="Times New Roman"/>
              </w:rPr>
              <w:t xml:space="preserve"> panta pirmajai daļai veic standarta iepriekšējās darbības pārbaudi regulā Nr.2015/1998 noteiktajām personām un personām, kuras veiks darba pienākumus aeronavigācijas objektos.</w:t>
            </w:r>
          </w:p>
          <w:p w14:paraId="1881F508" w14:textId="77777777" w:rsidR="00A04DBB" w:rsidRPr="00914C79" w:rsidRDefault="00A04DBB" w:rsidP="00A04DBB">
            <w:pPr>
              <w:spacing w:after="0"/>
              <w:jc w:val="both"/>
              <w:rPr>
                <w:rFonts w:eastAsia="Times New Roman"/>
              </w:rPr>
            </w:pPr>
            <w:r w:rsidRPr="00914C79">
              <w:rPr>
                <w:rFonts w:eastAsia="Times New Roman"/>
              </w:rPr>
              <w:t>Projektā ietvertais tiesiskais regulējums saglabā noteikumos Nr.460 darba devējam noteikto standarta iepriekšējās darbības pārbaudes veikšanas kārtību un lidostas identitātes kartes  izsniegšanas un anulēšanas kārtību, precizējot un detalizējot prasības izpildei, lai sasniegtu vienveidīgu šo procesu piemērošanu.</w:t>
            </w:r>
          </w:p>
          <w:p w14:paraId="4CA1FFE3" w14:textId="77777777" w:rsidR="00A04DBB" w:rsidRPr="00914C79" w:rsidRDefault="00A04DBB" w:rsidP="00A04DBB">
            <w:pPr>
              <w:spacing w:after="0"/>
              <w:jc w:val="both"/>
              <w:rPr>
                <w:rFonts w:eastAsia="Times New Roman"/>
              </w:rPr>
            </w:pPr>
          </w:p>
          <w:p w14:paraId="7DE278FC" w14:textId="10564C75" w:rsidR="00A04DBB" w:rsidRPr="00914C79" w:rsidRDefault="00A04DBB" w:rsidP="00A04DBB">
            <w:pPr>
              <w:spacing w:after="0"/>
              <w:jc w:val="both"/>
              <w:rPr>
                <w:rFonts w:eastAsia="Times New Roman"/>
              </w:rPr>
            </w:pPr>
            <w:r w:rsidRPr="00914C79">
              <w:rPr>
                <w:rFonts w:eastAsia="Times New Roman"/>
              </w:rPr>
              <w:t>Vairākām darba devēju kategorijām saskaņā ar regulas Nr.2019/1583 pielikuma 3.punktu, ar kuru ir grozīts regulas Nr.2015/1998 pielikuma 11.1.2.punkts, saglabājas nemainīta prasība veikt standarta iepriekšējās darbības pārbaudi. Šī prasība attiecas uz oficiālajiem kravu aģentiem, zināmajiem nosūtītājiem, lidojuma laikā patērējamo krājumu pilnvarotiem piegādātājiem, lidojuma laikā patērējamo krājumu zināmajiem piegādātājiem un lidostu krājumu zināmajiem piegādātājiem, kuri nodarbina personas,  kas bez pavadības var piekļūt gaisa kravai un pastam, gaisa pārvadātāja pastam un gaisa pārvadātāja materiāliem, lidojuma laikā patērējamiem krājumiem un lidostu krājumiem, kuriem ir veiktas vajadzīgās drošības kontroles.</w:t>
            </w:r>
          </w:p>
          <w:p w14:paraId="74484D5C" w14:textId="77777777" w:rsidR="00A04DBB" w:rsidRPr="00914C79" w:rsidRDefault="00A04DBB" w:rsidP="00A04DBB">
            <w:pPr>
              <w:spacing w:after="0"/>
              <w:jc w:val="both"/>
              <w:rPr>
                <w:rFonts w:eastAsia="Times New Roman"/>
              </w:rPr>
            </w:pPr>
            <w:r w:rsidRPr="00914C79">
              <w:rPr>
                <w:rFonts w:eastAsia="Times New Roman"/>
              </w:rPr>
              <w:t xml:space="preserve">Līdz ar to administratīvais slogs šiem darba devējiem nepalielināsies. </w:t>
            </w:r>
          </w:p>
          <w:p w14:paraId="14CCBF55" w14:textId="77777777" w:rsidR="00A04DBB" w:rsidRPr="00914C79" w:rsidRDefault="00A04DBB" w:rsidP="00A04DBB">
            <w:pPr>
              <w:spacing w:after="0"/>
              <w:jc w:val="both"/>
              <w:rPr>
                <w:rFonts w:eastAsia="Times New Roman"/>
              </w:rPr>
            </w:pPr>
            <w:r w:rsidRPr="00914C79">
              <w:rPr>
                <w:rFonts w:eastAsia="Times New Roman"/>
              </w:rPr>
              <w:t>Administratīvais slogs palielināsies tām darba devēju kategorijām, kuri nodarbina personālu, kam veicama pastiprinātā iepriekšējās darbības pārbaude.</w:t>
            </w:r>
          </w:p>
          <w:p w14:paraId="0DD4CB91" w14:textId="1B32DBF0" w:rsidR="00A04DBB" w:rsidRPr="00914C79" w:rsidRDefault="00A04DBB" w:rsidP="00A04DBB">
            <w:pPr>
              <w:spacing w:after="0"/>
              <w:jc w:val="both"/>
              <w:rPr>
                <w:rFonts w:eastAsia="Times New Roman"/>
              </w:rPr>
            </w:pPr>
            <w:r w:rsidRPr="00914C79">
              <w:rPr>
                <w:rFonts w:eastAsia="Times New Roman"/>
              </w:rPr>
              <w:t>Šo personu loks noteikts regulas Nr.2019/103 2.punktā, ar kuru ir grozīts regulas Nr.2015/1998 pielikuma 1.2.3.1.punkts</w:t>
            </w:r>
            <w:r w:rsidR="00E764AF" w:rsidRPr="00914C79">
              <w:rPr>
                <w:rFonts w:eastAsia="Times New Roman"/>
              </w:rPr>
              <w:t>,</w:t>
            </w:r>
            <w:r w:rsidRPr="00914C79">
              <w:rPr>
                <w:rFonts w:eastAsia="Times New Roman"/>
              </w:rPr>
              <w:t xml:space="preserve"> un regulas Nr.2019/1583  pielikuma 3.punktā</w:t>
            </w:r>
            <w:r w:rsidR="00E764AF" w:rsidRPr="00914C79">
              <w:rPr>
                <w:rFonts w:eastAsia="Times New Roman"/>
              </w:rPr>
              <w:t>,</w:t>
            </w:r>
            <w:r w:rsidRPr="00914C79">
              <w:rPr>
                <w:rFonts w:eastAsia="Times New Roman"/>
              </w:rPr>
              <w:t xml:space="preserve"> ar kuru ir grozīts regulas Nr.2015/1998 pielikuma 11.1.2.punkts. Tās ir personas, kurām izdodama gaisa kuģa apkalpes locekļa identitātes karte un lidostas identitātes karte</w:t>
            </w:r>
            <w:r w:rsidR="00E764AF" w:rsidRPr="00914C79">
              <w:rPr>
                <w:rFonts w:eastAsia="Times New Roman"/>
              </w:rPr>
              <w:t>,</w:t>
            </w:r>
            <w:r w:rsidRPr="00914C79">
              <w:rPr>
                <w:rFonts w:eastAsia="Times New Roman"/>
              </w:rPr>
              <w:t xml:space="preserve"> un personas, ko pieņem darbā īstenot pārbaudes, piekļuves kontroli un citus drošības kontroles pasākumus vai atbildēt par to īstenošanu ierobežotas iekļuves drošības zonā, kā arī </w:t>
            </w:r>
            <w:r w:rsidRPr="00914C79">
              <w:t>personas, kurām ir administratora tiesības vai atļauja bez pavadības un neierobežoti piekļūt kritiskajām informācijas un komunikācijas tehnoloģiju sistēmām un datiem, ko izmanto civilās aviācijas drošībai</w:t>
            </w:r>
            <w:r w:rsidRPr="00914C79">
              <w:rPr>
                <w:rFonts w:eastAsia="Times New Roman"/>
              </w:rPr>
              <w:t>.</w:t>
            </w:r>
          </w:p>
          <w:p w14:paraId="3792292E" w14:textId="7F598F65" w:rsidR="00A04DBB" w:rsidRPr="00914C79" w:rsidRDefault="00A04DBB" w:rsidP="00A04DBB">
            <w:pPr>
              <w:spacing w:after="0"/>
              <w:jc w:val="both"/>
              <w:rPr>
                <w:rFonts w:eastAsia="Times New Roman"/>
              </w:rPr>
            </w:pPr>
            <w:r w:rsidRPr="00914C79">
              <w:rPr>
                <w:rFonts w:eastAsia="Times New Roman"/>
              </w:rPr>
              <w:lastRenderedPageBreak/>
              <w:t>Administratīvā sloga palielinājums veidosies, jo šiem darba devējiem pēc standarta iepriekšējās darbības pārbaudes veikšanas būs nepieciešams datus par darba kandidātiem nosūtīt Valsts drošības dienestam, kas veiks darba kandidātu pastiprināto iepriekšējās darbības pārbaudi. Par pārbaudes rezultātiem Valsts drošības dienests informēs darba devējus, kuru darbinieki pēc pozitīva atzinuma saņemšanas būs tiesīgi saņemt lidostas identitātes karti vai gaisa kuģu ekspluatanta apkalpes locekļa apliecību.</w:t>
            </w:r>
          </w:p>
          <w:p w14:paraId="7D42A9B1" w14:textId="77777777" w:rsidR="00A04DBB" w:rsidRPr="00914C79" w:rsidRDefault="00A04DBB" w:rsidP="00A04DBB">
            <w:pPr>
              <w:spacing w:after="0"/>
              <w:jc w:val="both"/>
              <w:rPr>
                <w:rFonts w:eastAsia="Times New Roman"/>
              </w:rPr>
            </w:pPr>
            <w:r w:rsidRPr="00914C79">
              <w:rPr>
                <w:rFonts w:eastAsia="Times New Roman"/>
              </w:rPr>
              <w:t>Tomēr arī lielākajai daļai no šiem darba devējiem administratīvais slogs palielināsies nenozīmīgā apjomā. Šādi darba devēji ir komersanti, kuri nomā telpas lidostas teritorijā un kuru personālam darba pienākumu izpildei nepieciešams saņemt lidostas identitātes karti. Vairumā gadījumu šie mazie un vidēja izmēra komersanti nodarbina nelielu skaitu darbinieku un personāla mainība šajos uzņēmumos ir zema.</w:t>
            </w:r>
          </w:p>
          <w:p w14:paraId="0174DF4B" w14:textId="150DF6C2" w:rsidR="00A04DBB" w:rsidRPr="00914C79" w:rsidRDefault="00A04DBB" w:rsidP="00A04DBB">
            <w:pPr>
              <w:spacing w:after="0"/>
              <w:jc w:val="both"/>
              <w:rPr>
                <w:rFonts w:eastAsia="Times New Roman"/>
              </w:rPr>
            </w:pPr>
            <w:r w:rsidRPr="00914C79">
              <w:rPr>
                <w:rFonts w:eastAsia="Times New Roman"/>
              </w:rPr>
              <w:t xml:space="preserve">Ir paredzams, ka administratīvais slogs palielināsies lielajiem darba devējiem, kā VAS </w:t>
            </w:r>
            <w:r w:rsidR="00E764AF" w:rsidRPr="00914C79">
              <w:rPr>
                <w:rFonts w:eastAsia="Times New Roman"/>
              </w:rPr>
              <w:t>“</w:t>
            </w:r>
            <w:r w:rsidRPr="00914C79">
              <w:rPr>
                <w:rFonts w:eastAsia="Times New Roman"/>
              </w:rPr>
              <w:t>Starptautiskā lidosta "Rīga"</w:t>
            </w:r>
            <w:r w:rsidR="00E764AF" w:rsidRPr="00914C79">
              <w:rPr>
                <w:rFonts w:eastAsia="Times New Roman"/>
              </w:rPr>
              <w:t>”</w:t>
            </w:r>
            <w:r w:rsidRPr="00914C79">
              <w:rPr>
                <w:rFonts w:eastAsia="Times New Roman"/>
              </w:rPr>
              <w:t xml:space="preserve">, </w:t>
            </w:r>
            <w:r w:rsidR="00E764AF" w:rsidRPr="00914C79">
              <w:rPr>
                <w:rFonts w:eastAsia="Times New Roman"/>
              </w:rPr>
              <w:t xml:space="preserve">A/S </w:t>
            </w:r>
            <w:r w:rsidRPr="00914C79">
              <w:rPr>
                <w:rFonts w:eastAsia="Times New Roman"/>
              </w:rPr>
              <w:t xml:space="preserve">"Air Baltic Corporation" un </w:t>
            </w:r>
            <w:r w:rsidR="00E764AF" w:rsidRPr="00914C79">
              <w:rPr>
                <w:rFonts w:eastAsia="Times New Roman"/>
              </w:rPr>
              <w:t xml:space="preserve">SIA </w:t>
            </w:r>
            <w:r w:rsidRPr="00914C79">
              <w:rPr>
                <w:rFonts w:eastAsia="Times New Roman"/>
              </w:rPr>
              <w:t>“SmartLynx Airlines”.</w:t>
            </w:r>
          </w:p>
          <w:p w14:paraId="7BA6FA9D" w14:textId="77777777" w:rsidR="00485308" w:rsidRPr="00914C79" w:rsidRDefault="00485308" w:rsidP="00B35C71">
            <w:pPr>
              <w:spacing w:after="0"/>
              <w:jc w:val="both"/>
              <w:rPr>
                <w:rFonts w:eastAsia="Times New Roman"/>
              </w:rPr>
            </w:pPr>
          </w:p>
        </w:tc>
      </w:tr>
      <w:tr w:rsidR="008C0EDC" w:rsidRPr="00914C79" w14:paraId="04D5FD2B"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2E979C"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D7B04F3" w14:textId="77777777" w:rsidR="008C0EDC" w:rsidRPr="00914C79" w:rsidRDefault="008C0EDC" w:rsidP="008C0EDC">
            <w:pPr>
              <w:spacing w:after="0"/>
              <w:rPr>
                <w:rFonts w:eastAsia="Times New Roman"/>
                <w:lang w:eastAsia="lv-LV"/>
              </w:rPr>
            </w:pPr>
            <w:r w:rsidRPr="00914C79">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2379D0D8" w14:textId="12DDD688" w:rsidR="00B35C71" w:rsidRPr="00914C79" w:rsidRDefault="00B35C71" w:rsidP="00B35C71">
            <w:pPr>
              <w:spacing w:after="0"/>
              <w:jc w:val="both"/>
              <w:rPr>
                <w:rFonts w:eastAsia="Times New Roman"/>
              </w:rPr>
            </w:pPr>
            <w:r w:rsidRPr="00914C79">
              <w:rPr>
                <w:rFonts w:eastAsia="Times New Roman"/>
              </w:rPr>
              <w:t>Kopējais personu skaits, kurām būs nepieciešams veikt pastiprinātās iepriekšējās darbības pārbaudes, lai tām  izsniegtu civilās aviācijas gaisa kuģa apkalpes locekļa identitātes kartes un lidostas identitātes kartes, ir</w:t>
            </w:r>
            <w:r w:rsidR="00CD69E1" w:rsidRPr="00914C79">
              <w:rPr>
                <w:rFonts w:eastAsia="Times New Roman"/>
              </w:rPr>
              <w:t xml:space="preserve"> paredzams</w:t>
            </w:r>
            <w:r w:rsidRPr="00914C79">
              <w:rPr>
                <w:rFonts w:eastAsia="Times New Roman"/>
              </w:rPr>
              <w:t xml:space="preserve"> aptuveni 6000 darbinieku. Šis skaits aprēķināts, ņemot vērā prognozes par aviācijas nozares atveseļošanos pēc </w:t>
            </w:r>
            <w:r w:rsidR="00CD69E1" w:rsidRPr="00914C79">
              <w:rPr>
                <w:rFonts w:eastAsia="Times New Roman"/>
              </w:rPr>
              <w:t>C</w:t>
            </w:r>
            <w:r w:rsidRPr="00914C79">
              <w:rPr>
                <w:rFonts w:eastAsia="Times New Roman"/>
              </w:rPr>
              <w:t>ovid - 19 pandēmijas, paredzot, ka aviācijas pārvadājumu apjom</w:t>
            </w:r>
            <w:r w:rsidR="00CD69E1" w:rsidRPr="00914C79">
              <w:rPr>
                <w:rFonts w:eastAsia="Times New Roman"/>
              </w:rPr>
              <w:t>s</w:t>
            </w:r>
            <w:r w:rsidRPr="00914C79">
              <w:rPr>
                <w:rFonts w:eastAsia="Times New Roman"/>
              </w:rPr>
              <w:t xml:space="preserve"> atgriezīsies 2019. gada līmenī līdz 2025. gadam.</w:t>
            </w:r>
          </w:p>
          <w:p w14:paraId="134DBDF9" w14:textId="77777777" w:rsidR="00B35C71" w:rsidRPr="00914C79" w:rsidRDefault="00B35C71" w:rsidP="00B35C71">
            <w:pPr>
              <w:spacing w:after="0"/>
              <w:jc w:val="both"/>
              <w:rPr>
                <w:rFonts w:eastAsia="Times New Roman"/>
              </w:rPr>
            </w:pPr>
          </w:p>
          <w:p w14:paraId="287DA238" w14:textId="09AD83EF" w:rsidR="00B35C71" w:rsidRPr="00914C79" w:rsidRDefault="00B35C71" w:rsidP="00B35C71">
            <w:pPr>
              <w:spacing w:after="0"/>
              <w:jc w:val="both"/>
              <w:rPr>
                <w:rFonts w:eastAsia="Times New Roman"/>
              </w:rPr>
            </w:pPr>
            <w:r w:rsidRPr="00914C79">
              <w:rPr>
                <w:rFonts w:eastAsia="Times New Roman"/>
              </w:rPr>
              <w:t xml:space="preserve">Ņemot vērā, ka nedz </w:t>
            </w:r>
            <w:r w:rsidR="00CD69E1" w:rsidRPr="00914C79">
              <w:rPr>
                <w:rFonts w:eastAsia="Times New Roman"/>
              </w:rPr>
              <w:t xml:space="preserve">A/S </w:t>
            </w:r>
            <w:r w:rsidRPr="00914C79">
              <w:rPr>
                <w:rFonts w:eastAsia="Times New Roman"/>
              </w:rPr>
              <w:t xml:space="preserve">"Air Baltic Corporation", nedz VAS </w:t>
            </w:r>
            <w:r w:rsidR="00CD69E1" w:rsidRPr="00914C79">
              <w:rPr>
                <w:rFonts w:eastAsia="Times New Roman"/>
              </w:rPr>
              <w:t>“</w:t>
            </w:r>
            <w:r w:rsidRPr="00914C79">
              <w:rPr>
                <w:rFonts w:eastAsia="Times New Roman"/>
              </w:rPr>
              <w:t>Starptautiskā lidosta "Rīga"</w:t>
            </w:r>
            <w:r w:rsidR="00CD69E1" w:rsidRPr="00914C79">
              <w:rPr>
                <w:rFonts w:eastAsia="Times New Roman"/>
              </w:rPr>
              <w:t>”</w:t>
            </w:r>
            <w:r w:rsidRPr="00914C79">
              <w:rPr>
                <w:rFonts w:eastAsia="Times New Roman"/>
              </w:rPr>
              <w:t xml:space="preserve"> nav sasniegušas 2021. gadā plānotos darbības rādītājus, ir prognozējams, ka, nestabilizējoties globālajai pandēmijas situācijai</w:t>
            </w:r>
            <w:r w:rsidR="00CD69E1" w:rsidRPr="00914C79">
              <w:rPr>
                <w:rFonts w:eastAsia="Times New Roman"/>
              </w:rPr>
              <w:t>,</w:t>
            </w:r>
            <w:r w:rsidRPr="00914C79">
              <w:rPr>
                <w:rFonts w:eastAsia="Times New Roman"/>
              </w:rPr>
              <w:t xml:space="preserve">  arī turpmākos gados apkalpoto pasažieru skaits būs ievērojami mazāks, līdz ar to arī </w:t>
            </w:r>
            <w:r w:rsidR="00CD69E1" w:rsidRPr="00914C79">
              <w:rPr>
                <w:rFonts w:eastAsia="Times New Roman"/>
              </w:rPr>
              <w:t>minētajiem uzņēmumiem</w:t>
            </w:r>
            <w:r w:rsidRPr="00914C79">
              <w:rPr>
                <w:rFonts w:eastAsia="Times New Roman"/>
              </w:rPr>
              <w:t xml:space="preserve"> nepieciešamais personāla skaits būs mazāks.</w:t>
            </w:r>
          </w:p>
          <w:p w14:paraId="76C510FD" w14:textId="77777777" w:rsidR="00B35C71" w:rsidRPr="00914C79" w:rsidRDefault="00B35C71" w:rsidP="00B35C71">
            <w:pPr>
              <w:spacing w:after="0"/>
              <w:jc w:val="both"/>
              <w:rPr>
                <w:rFonts w:eastAsia="Times New Roman"/>
              </w:rPr>
            </w:pPr>
            <w:r w:rsidRPr="00914C79">
              <w:rPr>
                <w:rFonts w:eastAsia="Times New Roman"/>
              </w:rPr>
              <w:t>Šie uzņēmumi arī neprognozē, ka pastiprinātās iepriekšējās darbības pārbaudes ieviešanai būs nepieciešams palielināt to personāla vadības daļu štatus, pat ja līdz 2025. gadam tiks pieņemts darbā tāds personāla daudzums, kāds tika nodarbināts  2019. gadā.</w:t>
            </w:r>
          </w:p>
          <w:p w14:paraId="0129A12A" w14:textId="60AB2A22" w:rsidR="00B35C71" w:rsidRPr="00914C79" w:rsidRDefault="00B35C71" w:rsidP="00B35C71">
            <w:pPr>
              <w:spacing w:after="0"/>
              <w:jc w:val="both"/>
              <w:rPr>
                <w:rFonts w:eastAsia="Times New Roman"/>
              </w:rPr>
            </w:pPr>
            <w:r w:rsidRPr="00914C79">
              <w:rPr>
                <w:rFonts w:eastAsia="Times New Roman"/>
              </w:rPr>
              <w:t>Vērtējot, kā veidojas darba devēju papildu administratīvās izmaksas, tās sevī ietver informācijas sniegšanu par darbā pieņemamajām personām Valsts drošības dienestam un informācijas glabāšanu.</w:t>
            </w:r>
          </w:p>
          <w:p w14:paraId="3518876C" w14:textId="77777777" w:rsidR="00B35C71" w:rsidRPr="00914C79" w:rsidRDefault="00B35C71" w:rsidP="00B35C71">
            <w:pPr>
              <w:spacing w:after="0"/>
              <w:jc w:val="both"/>
              <w:rPr>
                <w:rFonts w:eastAsia="Times New Roman"/>
              </w:rPr>
            </w:pPr>
            <w:r w:rsidRPr="00914C79">
              <w:rPr>
                <w:rFonts w:eastAsia="Times New Roman"/>
              </w:rPr>
              <w:lastRenderedPageBreak/>
              <w:t>Šī informācija darba devējam būs jāsniedz vienu reizi, turklāt iesniedzamie dati jau būs komersantu personāla vadības daļu rīcībā jau pēc darba kandidāta standarta iepriekšējās darbības pārbaudes pabeigšanas.</w:t>
            </w:r>
          </w:p>
          <w:p w14:paraId="091018CC" w14:textId="217C510A" w:rsidR="00B35C71" w:rsidRPr="00914C79" w:rsidRDefault="00B35C71" w:rsidP="00B35C71">
            <w:pPr>
              <w:spacing w:after="0"/>
              <w:jc w:val="both"/>
              <w:rPr>
                <w:rFonts w:eastAsia="Times New Roman"/>
              </w:rPr>
            </w:pPr>
            <w:r w:rsidRPr="00914C79">
              <w:rPr>
                <w:rFonts w:eastAsia="Times New Roman"/>
              </w:rPr>
              <w:t>Tāpēc prognozējams, ka lielākajam vairumam no darba devējiem administratīvās izmaksas nepārsniegs 2000 euro gada laikā un izmaksu novērtējumu iesniegt nav nepieciešams.</w:t>
            </w:r>
          </w:p>
          <w:p w14:paraId="499411EE" w14:textId="5FC4E159" w:rsidR="00B35C71" w:rsidRPr="00914C79" w:rsidRDefault="00B35C71" w:rsidP="00B35C71">
            <w:pPr>
              <w:spacing w:after="0"/>
              <w:jc w:val="both"/>
              <w:rPr>
                <w:rFonts w:eastAsia="Times New Roman"/>
              </w:rPr>
            </w:pPr>
            <w:r w:rsidRPr="00914C79">
              <w:rPr>
                <w:rFonts w:eastAsia="Times New Roman"/>
              </w:rPr>
              <w:t xml:space="preserve">Atsevišķiem lielākajiem darba devējiem kā VAS </w:t>
            </w:r>
            <w:r w:rsidR="00CD69E1" w:rsidRPr="00914C79">
              <w:rPr>
                <w:rFonts w:eastAsia="Times New Roman"/>
              </w:rPr>
              <w:t>“</w:t>
            </w:r>
            <w:r w:rsidRPr="00914C79">
              <w:rPr>
                <w:rFonts w:eastAsia="Times New Roman"/>
              </w:rPr>
              <w:t>Starptautiskā lidosta “ Rīga”</w:t>
            </w:r>
            <w:r w:rsidR="00CD69E1" w:rsidRPr="00914C79">
              <w:rPr>
                <w:rFonts w:eastAsia="Times New Roman"/>
              </w:rPr>
              <w:t>”</w:t>
            </w:r>
            <w:r w:rsidRPr="00914C79">
              <w:rPr>
                <w:rFonts w:eastAsia="Times New Roman"/>
              </w:rPr>
              <w:t xml:space="preserve"> un </w:t>
            </w:r>
            <w:r w:rsidR="00CD69E1" w:rsidRPr="00914C79">
              <w:rPr>
                <w:rFonts w:eastAsia="Times New Roman"/>
              </w:rPr>
              <w:t xml:space="preserve">A/S </w:t>
            </w:r>
            <w:r w:rsidRPr="00914C79">
              <w:rPr>
                <w:rFonts w:eastAsia="Times New Roman"/>
              </w:rPr>
              <w:t>“ Air Baltic Corporation” administratīvās izmaksas varētu pārsniegt 2000 euro gadā, ja tām būs nepieciešams gada laikā, sākot no 202</w:t>
            </w:r>
            <w:r w:rsidR="001F146C" w:rsidRPr="00914C79">
              <w:rPr>
                <w:rFonts w:eastAsia="Times New Roman"/>
              </w:rPr>
              <w:t>1</w:t>
            </w:r>
            <w:r w:rsidRPr="00914C79">
              <w:rPr>
                <w:rFonts w:eastAsia="Times New Roman"/>
              </w:rPr>
              <w:t xml:space="preserve">. gada </w:t>
            </w:r>
            <w:r w:rsidR="001F146C" w:rsidRPr="00914C79">
              <w:rPr>
                <w:rFonts w:eastAsia="Times New Roman"/>
              </w:rPr>
              <w:t>31.decembra</w:t>
            </w:r>
            <w:r w:rsidRPr="00914C79">
              <w:rPr>
                <w:rFonts w:eastAsia="Times New Roman"/>
              </w:rPr>
              <w:t>, pieņemt darbā ievērojamu darbinieku skaitu.</w:t>
            </w:r>
          </w:p>
          <w:p w14:paraId="5080A20D" w14:textId="77777777" w:rsidR="00B35C71" w:rsidRPr="00914C79" w:rsidRDefault="00B35C71" w:rsidP="00B35C71">
            <w:pPr>
              <w:spacing w:after="0"/>
              <w:jc w:val="both"/>
              <w:rPr>
                <w:rFonts w:eastAsia="Times New Roman"/>
              </w:rPr>
            </w:pPr>
            <w:r w:rsidRPr="00914C79">
              <w:rPr>
                <w:rFonts w:eastAsia="Times New Roman"/>
              </w:rPr>
              <w:t xml:space="preserve">Tādā gadījumā C=(f x l) x (n x b) būtu </w:t>
            </w:r>
          </w:p>
          <w:p w14:paraId="71D5B2EC" w14:textId="77777777" w:rsidR="00B35C71" w:rsidRPr="00914C79" w:rsidRDefault="00B35C71" w:rsidP="00B35C71">
            <w:pPr>
              <w:spacing w:after="0"/>
              <w:jc w:val="both"/>
              <w:rPr>
                <w:rFonts w:eastAsia="Times New Roman"/>
              </w:rPr>
            </w:pPr>
            <w:r w:rsidRPr="00914C79">
              <w:rPr>
                <w:rFonts w:eastAsia="Times New Roman"/>
              </w:rPr>
              <w:t>f -  stundas samaksas likme, vidēji - 10 euro;</w:t>
            </w:r>
          </w:p>
          <w:p w14:paraId="2E3DFEA6" w14:textId="77777777" w:rsidR="00B35C71" w:rsidRPr="00914C79" w:rsidRDefault="00B35C71" w:rsidP="00B35C71">
            <w:pPr>
              <w:spacing w:after="0"/>
              <w:jc w:val="both"/>
              <w:rPr>
                <w:rFonts w:eastAsia="Times New Roman"/>
              </w:rPr>
            </w:pPr>
            <w:r w:rsidRPr="00914C79">
              <w:rPr>
                <w:rFonts w:eastAsia="Times New Roman"/>
              </w:rPr>
              <w:t>l - datu sagatavošana par vienu darba pretendentu  variē, no 15 minūtēm līdz vienai stundai, atkarībā no sarežģītības, vidēji - 0,5 stundas.</w:t>
            </w:r>
          </w:p>
          <w:p w14:paraId="1B5EE3F9" w14:textId="77777777" w:rsidR="00B35C71" w:rsidRPr="00914C79" w:rsidRDefault="00B35C71" w:rsidP="00B35C71">
            <w:pPr>
              <w:spacing w:after="0"/>
              <w:jc w:val="both"/>
              <w:rPr>
                <w:rFonts w:eastAsia="Times New Roman"/>
              </w:rPr>
            </w:pPr>
            <w:r w:rsidRPr="00914C79">
              <w:rPr>
                <w:rFonts w:eastAsia="Times New Roman"/>
              </w:rPr>
              <w:t>n - darbā pieņemamo personu skaits gadā, no 200 līdz 600, vidēji – 400;</w:t>
            </w:r>
          </w:p>
          <w:p w14:paraId="225C8DBE" w14:textId="77777777" w:rsidR="00B35C71" w:rsidRPr="00914C79" w:rsidRDefault="00B35C71" w:rsidP="00B35C71">
            <w:pPr>
              <w:spacing w:after="0"/>
              <w:jc w:val="both"/>
              <w:rPr>
                <w:rFonts w:eastAsia="Times New Roman"/>
              </w:rPr>
            </w:pPr>
            <w:r w:rsidRPr="00914C79">
              <w:rPr>
                <w:rFonts w:eastAsia="Times New Roman"/>
              </w:rPr>
              <w:t>b - vienu reizi gada laikā, arī - visā nodarbinātības laikā.</w:t>
            </w:r>
          </w:p>
          <w:p w14:paraId="53B67409" w14:textId="77777777" w:rsidR="00B35C71" w:rsidRPr="00914C79" w:rsidRDefault="00B35C71" w:rsidP="00B35C71">
            <w:pPr>
              <w:spacing w:after="0"/>
              <w:jc w:val="both"/>
              <w:rPr>
                <w:rFonts w:eastAsia="Times New Roman"/>
              </w:rPr>
            </w:pPr>
            <w:r w:rsidRPr="00914C79">
              <w:rPr>
                <w:rFonts w:eastAsia="Times New Roman"/>
              </w:rPr>
              <w:t>Aprēķinātais C = 2000 eur gadā.</w:t>
            </w:r>
          </w:p>
          <w:p w14:paraId="198E5816" w14:textId="77777777" w:rsidR="008C0EDC" w:rsidRPr="00914C79" w:rsidRDefault="008C0EDC" w:rsidP="00B35C71">
            <w:pPr>
              <w:spacing w:after="0"/>
              <w:jc w:val="both"/>
              <w:rPr>
                <w:rFonts w:eastAsia="Times New Roman"/>
                <w:lang w:eastAsia="lv-LV"/>
              </w:rPr>
            </w:pPr>
          </w:p>
        </w:tc>
      </w:tr>
      <w:tr w:rsidR="008C0EDC" w:rsidRPr="00914C79" w14:paraId="0C548FB7"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5DFE70"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50F6E1C8" w14:textId="77777777" w:rsidR="008C0EDC" w:rsidRPr="00914C79" w:rsidRDefault="008C0EDC" w:rsidP="008C0EDC">
            <w:pPr>
              <w:spacing w:after="0"/>
              <w:rPr>
                <w:rFonts w:eastAsia="Times New Roman"/>
                <w:lang w:eastAsia="lv-LV"/>
              </w:rPr>
            </w:pPr>
            <w:r w:rsidRPr="00914C79">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2A40A05B" w14:textId="77777777" w:rsidR="008C0EDC" w:rsidRPr="00914C79" w:rsidRDefault="00B85BA2" w:rsidP="008C0EDC">
            <w:pPr>
              <w:spacing w:after="0"/>
              <w:rPr>
                <w:rFonts w:eastAsia="Times New Roman"/>
                <w:lang w:eastAsia="lv-LV"/>
              </w:rPr>
            </w:pPr>
            <w:r w:rsidRPr="00914C79">
              <w:rPr>
                <w:rFonts w:eastAsia="Times New Roman"/>
                <w:lang w:eastAsia="lv-LV"/>
              </w:rPr>
              <w:t>Projekts šo jomu neskar.</w:t>
            </w:r>
          </w:p>
        </w:tc>
      </w:tr>
      <w:tr w:rsidR="008C0EDC" w:rsidRPr="00914C79" w14:paraId="4DB4DF87" w14:textId="77777777" w:rsidTr="000E39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1A0BFD"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94ABEB4" w14:textId="77777777" w:rsidR="008C0EDC" w:rsidRPr="00914C79" w:rsidRDefault="008C0EDC" w:rsidP="008C0EDC">
            <w:pPr>
              <w:spacing w:after="0"/>
              <w:rPr>
                <w:rFonts w:eastAsia="Times New Roman"/>
                <w:lang w:eastAsia="lv-LV"/>
              </w:rPr>
            </w:pPr>
            <w:r w:rsidRPr="00914C79">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0382D869" w14:textId="77777777" w:rsidR="008C0EDC" w:rsidRPr="00914C79" w:rsidRDefault="00411269" w:rsidP="008C0EDC">
            <w:pPr>
              <w:spacing w:after="0"/>
              <w:rPr>
                <w:rFonts w:eastAsia="Times New Roman"/>
                <w:lang w:eastAsia="lv-LV"/>
              </w:rPr>
            </w:pPr>
            <w:r w:rsidRPr="00914C79">
              <w:rPr>
                <w:rFonts w:eastAsia="Times New Roman"/>
                <w:lang w:eastAsia="lv-LV"/>
              </w:rPr>
              <w:t>Nav.</w:t>
            </w:r>
          </w:p>
        </w:tc>
      </w:tr>
    </w:tbl>
    <w:p w14:paraId="2EF01E67" w14:textId="77777777" w:rsidR="00B242C4" w:rsidRPr="00914C79" w:rsidRDefault="00B242C4"/>
    <w:tbl>
      <w:tblPr>
        <w:tblStyle w:val="TableGrid"/>
        <w:tblW w:w="5094" w:type="pct"/>
        <w:tblInd w:w="-5" w:type="dxa"/>
        <w:tblLayout w:type="fixed"/>
        <w:tblLook w:val="04A0" w:firstRow="1" w:lastRow="0" w:firstColumn="1" w:lastColumn="0" w:noHBand="0" w:noVBand="1"/>
      </w:tblPr>
      <w:tblGrid>
        <w:gridCol w:w="1448"/>
        <w:gridCol w:w="1248"/>
        <w:gridCol w:w="1132"/>
        <w:gridCol w:w="1134"/>
        <w:gridCol w:w="1134"/>
        <w:gridCol w:w="991"/>
        <w:gridCol w:w="1136"/>
        <w:gridCol w:w="1274"/>
      </w:tblGrid>
      <w:tr w:rsidR="002209C6" w:rsidRPr="00914C79" w14:paraId="278523CF" w14:textId="77777777" w:rsidTr="002209C6">
        <w:tc>
          <w:tcPr>
            <w:tcW w:w="5000" w:type="pct"/>
            <w:gridSpan w:val="8"/>
            <w:hideMark/>
          </w:tcPr>
          <w:p w14:paraId="4CCB1F86" w14:textId="77777777" w:rsidR="002209C6" w:rsidRPr="00914C79" w:rsidRDefault="002209C6" w:rsidP="009810E3">
            <w:pPr>
              <w:jc w:val="center"/>
              <w:rPr>
                <w:rFonts w:eastAsia="Arial"/>
                <w:b/>
                <w:bCs/>
                <w:color w:val="auto"/>
              </w:rPr>
            </w:pPr>
            <w:r w:rsidRPr="00914C79">
              <w:rPr>
                <w:rFonts w:eastAsia="Arial"/>
                <w:b/>
                <w:bCs/>
                <w:color w:val="auto"/>
              </w:rPr>
              <w:t>III. Tiesību akta projekta ietekme uz valsts budžetu un pašvaldību budžetiem</w:t>
            </w:r>
          </w:p>
        </w:tc>
      </w:tr>
      <w:tr w:rsidR="002209C6" w:rsidRPr="00914C79" w14:paraId="29244AC1" w14:textId="77777777" w:rsidTr="002209C6">
        <w:tc>
          <w:tcPr>
            <w:tcW w:w="762" w:type="pct"/>
            <w:vMerge w:val="restart"/>
            <w:hideMark/>
          </w:tcPr>
          <w:p w14:paraId="39BB84A8" w14:textId="77777777" w:rsidR="002209C6" w:rsidRPr="00914C79" w:rsidRDefault="002209C6" w:rsidP="009810E3">
            <w:pPr>
              <w:rPr>
                <w:rFonts w:eastAsia="Arial"/>
                <w:color w:val="auto"/>
              </w:rPr>
            </w:pPr>
            <w:r w:rsidRPr="00914C79">
              <w:rPr>
                <w:rFonts w:eastAsia="Arial"/>
                <w:color w:val="auto"/>
              </w:rPr>
              <w:t>Rādītāji</w:t>
            </w:r>
          </w:p>
        </w:tc>
        <w:tc>
          <w:tcPr>
            <w:tcW w:w="1253" w:type="pct"/>
            <w:gridSpan w:val="2"/>
            <w:vMerge w:val="restart"/>
            <w:hideMark/>
          </w:tcPr>
          <w:p w14:paraId="69DCED4E" w14:textId="77777777" w:rsidR="002209C6" w:rsidRPr="00914C79" w:rsidRDefault="002209C6" w:rsidP="009810E3">
            <w:pPr>
              <w:jc w:val="center"/>
              <w:rPr>
                <w:rFonts w:eastAsia="Arial"/>
                <w:color w:val="auto"/>
              </w:rPr>
            </w:pPr>
            <w:r w:rsidRPr="00914C79">
              <w:rPr>
                <w:rFonts w:eastAsia="Arial"/>
                <w:color w:val="auto"/>
              </w:rPr>
              <w:t>2021. gads</w:t>
            </w:r>
          </w:p>
        </w:tc>
        <w:tc>
          <w:tcPr>
            <w:tcW w:w="2985" w:type="pct"/>
            <w:gridSpan w:val="5"/>
            <w:hideMark/>
          </w:tcPr>
          <w:p w14:paraId="5B88C617" w14:textId="77777777" w:rsidR="002209C6" w:rsidRPr="00914C79" w:rsidRDefault="002209C6" w:rsidP="009810E3">
            <w:pPr>
              <w:jc w:val="center"/>
              <w:rPr>
                <w:rFonts w:eastAsia="Arial"/>
                <w:color w:val="auto"/>
              </w:rPr>
            </w:pPr>
            <w:r w:rsidRPr="00914C79">
              <w:rPr>
                <w:rFonts w:eastAsia="Arial"/>
                <w:color w:val="auto"/>
              </w:rPr>
              <w:t>Turpmākie trīs gadi (</w:t>
            </w:r>
            <w:r w:rsidRPr="00914C79">
              <w:rPr>
                <w:rFonts w:eastAsia="Arial"/>
                <w:i/>
                <w:iCs/>
                <w:color w:val="auto"/>
              </w:rPr>
              <w:t>euro</w:t>
            </w:r>
            <w:r w:rsidRPr="00914C79">
              <w:rPr>
                <w:rFonts w:eastAsia="Arial"/>
                <w:color w:val="auto"/>
              </w:rPr>
              <w:t>)</w:t>
            </w:r>
          </w:p>
        </w:tc>
      </w:tr>
      <w:tr w:rsidR="002209C6" w:rsidRPr="00914C79" w14:paraId="6968438F" w14:textId="77777777" w:rsidTr="002209C6">
        <w:tc>
          <w:tcPr>
            <w:tcW w:w="762" w:type="pct"/>
            <w:vMerge/>
            <w:hideMark/>
          </w:tcPr>
          <w:p w14:paraId="7054A541" w14:textId="77777777" w:rsidR="002209C6" w:rsidRPr="00914C79" w:rsidRDefault="002209C6" w:rsidP="009810E3">
            <w:pPr>
              <w:rPr>
                <w:rFonts w:eastAsia="Arial"/>
                <w:color w:val="auto"/>
              </w:rPr>
            </w:pPr>
          </w:p>
        </w:tc>
        <w:tc>
          <w:tcPr>
            <w:tcW w:w="1253" w:type="pct"/>
            <w:gridSpan w:val="2"/>
            <w:vMerge/>
            <w:hideMark/>
          </w:tcPr>
          <w:p w14:paraId="7A5491F7" w14:textId="77777777" w:rsidR="002209C6" w:rsidRPr="00914C79" w:rsidRDefault="002209C6" w:rsidP="009810E3">
            <w:pPr>
              <w:rPr>
                <w:rFonts w:eastAsia="Arial"/>
                <w:color w:val="auto"/>
              </w:rPr>
            </w:pPr>
          </w:p>
        </w:tc>
        <w:tc>
          <w:tcPr>
            <w:tcW w:w="1194" w:type="pct"/>
            <w:gridSpan w:val="2"/>
            <w:hideMark/>
          </w:tcPr>
          <w:p w14:paraId="1970AB8A" w14:textId="77777777" w:rsidR="002209C6" w:rsidRPr="00914C79" w:rsidRDefault="002209C6" w:rsidP="009810E3">
            <w:pPr>
              <w:jc w:val="center"/>
              <w:rPr>
                <w:rFonts w:eastAsia="Arial"/>
                <w:color w:val="auto"/>
              </w:rPr>
            </w:pPr>
            <w:r w:rsidRPr="00914C79">
              <w:rPr>
                <w:rFonts w:eastAsia="Arial"/>
                <w:color w:val="auto"/>
              </w:rPr>
              <w:t>2022. gads</w:t>
            </w:r>
          </w:p>
        </w:tc>
        <w:tc>
          <w:tcPr>
            <w:tcW w:w="1120" w:type="pct"/>
            <w:gridSpan w:val="2"/>
            <w:hideMark/>
          </w:tcPr>
          <w:p w14:paraId="12719BE3" w14:textId="77777777" w:rsidR="002209C6" w:rsidRPr="00914C79" w:rsidRDefault="002209C6" w:rsidP="009810E3">
            <w:pPr>
              <w:jc w:val="center"/>
              <w:rPr>
                <w:rFonts w:eastAsia="Arial"/>
                <w:color w:val="auto"/>
              </w:rPr>
            </w:pPr>
            <w:r w:rsidRPr="00914C79">
              <w:rPr>
                <w:rFonts w:eastAsia="Arial"/>
                <w:color w:val="auto"/>
              </w:rPr>
              <w:t>2023. gads</w:t>
            </w:r>
          </w:p>
        </w:tc>
        <w:tc>
          <w:tcPr>
            <w:tcW w:w="671" w:type="pct"/>
            <w:hideMark/>
          </w:tcPr>
          <w:p w14:paraId="2B760345" w14:textId="77777777" w:rsidR="002209C6" w:rsidRPr="00914C79" w:rsidRDefault="002209C6" w:rsidP="009810E3">
            <w:pPr>
              <w:rPr>
                <w:rFonts w:eastAsia="Arial"/>
                <w:color w:val="auto"/>
              </w:rPr>
            </w:pPr>
            <w:r w:rsidRPr="00914C79">
              <w:rPr>
                <w:rFonts w:eastAsia="Arial"/>
                <w:color w:val="auto"/>
              </w:rPr>
              <w:t>2024.gads</w:t>
            </w:r>
          </w:p>
        </w:tc>
      </w:tr>
      <w:tr w:rsidR="002209C6" w:rsidRPr="00914C79" w14:paraId="1DE6DD63" w14:textId="77777777" w:rsidTr="002209C6">
        <w:tc>
          <w:tcPr>
            <w:tcW w:w="762" w:type="pct"/>
            <w:vMerge/>
            <w:hideMark/>
          </w:tcPr>
          <w:p w14:paraId="5FF4A874" w14:textId="77777777" w:rsidR="002209C6" w:rsidRPr="00914C79" w:rsidRDefault="002209C6" w:rsidP="009810E3">
            <w:pPr>
              <w:rPr>
                <w:rFonts w:eastAsia="Arial"/>
                <w:color w:val="auto"/>
              </w:rPr>
            </w:pPr>
          </w:p>
        </w:tc>
        <w:tc>
          <w:tcPr>
            <w:tcW w:w="657" w:type="pct"/>
            <w:hideMark/>
          </w:tcPr>
          <w:p w14:paraId="47EF4C5F" w14:textId="77777777" w:rsidR="002209C6" w:rsidRPr="00914C79" w:rsidRDefault="002209C6" w:rsidP="009810E3">
            <w:pPr>
              <w:rPr>
                <w:rFonts w:eastAsia="Arial"/>
                <w:color w:val="auto"/>
              </w:rPr>
            </w:pPr>
            <w:r w:rsidRPr="00914C79">
              <w:rPr>
                <w:rFonts w:eastAsia="Arial"/>
                <w:color w:val="auto"/>
              </w:rPr>
              <w:t>saskaņā ar valsts budžetu kārtējam gadam</w:t>
            </w:r>
          </w:p>
        </w:tc>
        <w:tc>
          <w:tcPr>
            <w:tcW w:w="596" w:type="pct"/>
            <w:hideMark/>
          </w:tcPr>
          <w:p w14:paraId="4251B75F" w14:textId="77777777" w:rsidR="002209C6" w:rsidRPr="00914C79" w:rsidRDefault="002209C6" w:rsidP="009810E3">
            <w:pPr>
              <w:rPr>
                <w:rFonts w:eastAsia="Arial"/>
                <w:color w:val="auto"/>
              </w:rPr>
            </w:pPr>
            <w:r w:rsidRPr="00914C79">
              <w:rPr>
                <w:rFonts w:eastAsia="Arial"/>
                <w:color w:val="auto"/>
              </w:rPr>
              <w:t>izmaiņas kārtējā gadā, salīdzinot ar valsts budžetu kārtējam gadam</w:t>
            </w:r>
          </w:p>
        </w:tc>
        <w:tc>
          <w:tcPr>
            <w:tcW w:w="597" w:type="pct"/>
            <w:hideMark/>
          </w:tcPr>
          <w:p w14:paraId="53F48FB4" w14:textId="77777777" w:rsidR="002209C6" w:rsidRPr="00914C79" w:rsidRDefault="002209C6" w:rsidP="009810E3">
            <w:pPr>
              <w:rPr>
                <w:rFonts w:eastAsia="Arial"/>
                <w:color w:val="auto"/>
              </w:rPr>
            </w:pPr>
            <w:r w:rsidRPr="00914C79">
              <w:rPr>
                <w:rFonts w:eastAsia="Arial"/>
                <w:color w:val="auto"/>
              </w:rPr>
              <w:t>saskaņā ar vidēja termiņa budžeta ietvaru</w:t>
            </w:r>
          </w:p>
        </w:tc>
        <w:tc>
          <w:tcPr>
            <w:tcW w:w="597" w:type="pct"/>
            <w:hideMark/>
          </w:tcPr>
          <w:p w14:paraId="6839BE36" w14:textId="77777777" w:rsidR="002209C6" w:rsidRPr="00914C79" w:rsidRDefault="002209C6" w:rsidP="009810E3">
            <w:pPr>
              <w:rPr>
                <w:rFonts w:eastAsia="Arial"/>
                <w:color w:val="auto"/>
              </w:rPr>
            </w:pPr>
            <w:r w:rsidRPr="00914C79">
              <w:rPr>
                <w:rFonts w:eastAsia="Arial"/>
                <w:color w:val="auto"/>
              </w:rPr>
              <w:t>izmaiņas, salīdzinot ar vidēja termiņa budžeta ietvaru 2022. gadam</w:t>
            </w:r>
          </w:p>
        </w:tc>
        <w:tc>
          <w:tcPr>
            <w:tcW w:w="522" w:type="pct"/>
            <w:hideMark/>
          </w:tcPr>
          <w:p w14:paraId="0A4304F2" w14:textId="77777777" w:rsidR="002209C6" w:rsidRPr="00914C79" w:rsidRDefault="002209C6" w:rsidP="009810E3">
            <w:pPr>
              <w:rPr>
                <w:rFonts w:eastAsia="Arial"/>
                <w:color w:val="auto"/>
              </w:rPr>
            </w:pPr>
            <w:r w:rsidRPr="00914C79">
              <w:rPr>
                <w:rFonts w:eastAsia="Arial"/>
                <w:color w:val="auto"/>
              </w:rPr>
              <w:t>saskaņā ar vidēja termiņa budžeta ietvaru</w:t>
            </w:r>
          </w:p>
        </w:tc>
        <w:tc>
          <w:tcPr>
            <w:tcW w:w="598" w:type="pct"/>
            <w:hideMark/>
          </w:tcPr>
          <w:p w14:paraId="48217DE6" w14:textId="77777777" w:rsidR="002209C6" w:rsidRPr="00914C79" w:rsidRDefault="002209C6" w:rsidP="009810E3">
            <w:pPr>
              <w:rPr>
                <w:rFonts w:eastAsia="Arial"/>
                <w:color w:val="auto"/>
              </w:rPr>
            </w:pPr>
            <w:r w:rsidRPr="00914C79">
              <w:rPr>
                <w:rFonts w:eastAsia="Arial"/>
                <w:color w:val="auto"/>
              </w:rPr>
              <w:t>izmaiņas, salīdzinot ar vidēja termiņa budžeta ietvaru 2023. gadam</w:t>
            </w:r>
          </w:p>
        </w:tc>
        <w:tc>
          <w:tcPr>
            <w:tcW w:w="671" w:type="pct"/>
            <w:hideMark/>
          </w:tcPr>
          <w:p w14:paraId="47E7AD0E" w14:textId="77777777" w:rsidR="002209C6" w:rsidRPr="00914C79" w:rsidRDefault="002209C6" w:rsidP="009810E3">
            <w:pPr>
              <w:rPr>
                <w:rFonts w:eastAsia="Arial"/>
                <w:color w:val="auto"/>
              </w:rPr>
            </w:pPr>
            <w:r w:rsidRPr="00914C79">
              <w:rPr>
                <w:rFonts w:eastAsia="Arial"/>
                <w:color w:val="auto"/>
              </w:rPr>
              <w:t>izmaiņas, salīdzinot ar vidēja termiņa budžeta ietvaru 2023. gadam</w:t>
            </w:r>
          </w:p>
        </w:tc>
      </w:tr>
      <w:tr w:rsidR="002209C6" w:rsidRPr="00914C79" w14:paraId="6DE39A0A" w14:textId="77777777" w:rsidTr="002209C6">
        <w:tc>
          <w:tcPr>
            <w:tcW w:w="762" w:type="pct"/>
            <w:hideMark/>
          </w:tcPr>
          <w:p w14:paraId="3CC7D6A3" w14:textId="77777777" w:rsidR="002209C6" w:rsidRPr="00914C79" w:rsidRDefault="002209C6" w:rsidP="009810E3">
            <w:pPr>
              <w:rPr>
                <w:rFonts w:eastAsia="Arial"/>
                <w:color w:val="auto"/>
              </w:rPr>
            </w:pPr>
            <w:r w:rsidRPr="00914C79">
              <w:rPr>
                <w:rFonts w:eastAsia="Arial"/>
                <w:color w:val="auto"/>
              </w:rPr>
              <w:t>1</w:t>
            </w:r>
          </w:p>
        </w:tc>
        <w:tc>
          <w:tcPr>
            <w:tcW w:w="657" w:type="pct"/>
            <w:hideMark/>
          </w:tcPr>
          <w:p w14:paraId="5982037B" w14:textId="77777777" w:rsidR="002209C6" w:rsidRPr="00914C79" w:rsidRDefault="002209C6" w:rsidP="009810E3">
            <w:pPr>
              <w:rPr>
                <w:rFonts w:eastAsia="Arial"/>
                <w:color w:val="auto"/>
              </w:rPr>
            </w:pPr>
            <w:r w:rsidRPr="00914C79">
              <w:rPr>
                <w:rFonts w:eastAsia="Arial"/>
                <w:color w:val="auto"/>
              </w:rPr>
              <w:t>2</w:t>
            </w:r>
          </w:p>
        </w:tc>
        <w:tc>
          <w:tcPr>
            <w:tcW w:w="596" w:type="pct"/>
            <w:hideMark/>
          </w:tcPr>
          <w:p w14:paraId="6BCC5E79" w14:textId="77777777" w:rsidR="002209C6" w:rsidRPr="00914C79" w:rsidRDefault="002209C6" w:rsidP="009810E3">
            <w:pPr>
              <w:rPr>
                <w:rFonts w:eastAsia="Arial"/>
                <w:color w:val="auto"/>
              </w:rPr>
            </w:pPr>
            <w:r w:rsidRPr="00914C79">
              <w:rPr>
                <w:rFonts w:eastAsia="Arial"/>
                <w:color w:val="auto"/>
              </w:rPr>
              <w:t>3</w:t>
            </w:r>
          </w:p>
        </w:tc>
        <w:tc>
          <w:tcPr>
            <w:tcW w:w="597" w:type="pct"/>
            <w:hideMark/>
          </w:tcPr>
          <w:p w14:paraId="1A512B2A" w14:textId="77777777" w:rsidR="002209C6" w:rsidRPr="00914C79" w:rsidRDefault="002209C6" w:rsidP="009810E3">
            <w:pPr>
              <w:rPr>
                <w:rFonts w:eastAsia="Arial"/>
                <w:color w:val="auto"/>
              </w:rPr>
            </w:pPr>
            <w:r w:rsidRPr="00914C79">
              <w:rPr>
                <w:rFonts w:eastAsia="Arial"/>
                <w:color w:val="auto"/>
              </w:rPr>
              <w:t>4</w:t>
            </w:r>
          </w:p>
        </w:tc>
        <w:tc>
          <w:tcPr>
            <w:tcW w:w="597" w:type="pct"/>
            <w:hideMark/>
          </w:tcPr>
          <w:p w14:paraId="36F1B09E" w14:textId="77777777" w:rsidR="002209C6" w:rsidRPr="00914C79" w:rsidRDefault="002209C6" w:rsidP="009810E3">
            <w:pPr>
              <w:rPr>
                <w:rFonts w:eastAsia="Arial"/>
                <w:color w:val="auto"/>
              </w:rPr>
            </w:pPr>
            <w:r w:rsidRPr="00914C79">
              <w:rPr>
                <w:rFonts w:eastAsia="Arial"/>
                <w:color w:val="auto"/>
              </w:rPr>
              <w:t>5</w:t>
            </w:r>
          </w:p>
        </w:tc>
        <w:tc>
          <w:tcPr>
            <w:tcW w:w="522" w:type="pct"/>
            <w:hideMark/>
          </w:tcPr>
          <w:p w14:paraId="71116660" w14:textId="77777777" w:rsidR="002209C6" w:rsidRPr="00914C79" w:rsidRDefault="002209C6" w:rsidP="009810E3">
            <w:pPr>
              <w:rPr>
                <w:rFonts w:eastAsia="Arial"/>
                <w:color w:val="auto"/>
              </w:rPr>
            </w:pPr>
            <w:r w:rsidRPr="00914C79">
              <w:rPr>
                <w:rFonts w:eastAsia="Arial"/>
                <w:color w:val="auto"/>
              </w:rPr>
              <w:t>6</w:t>
            </w:r>
          </w:p>
        </w:tc>
        <w:tc>
          <w:tcPr>
            <w:tcW w:w="598" w:type="pct"/>
            <w:hideMark/>
          </w:tcPr>
          <w:p w14:paraId="43916DEE" w14:textId="77777777" w:rsidR="002209C6" w:rsidRPr="00914C79" w:rsidRDefault="002209C6" w:rsidP="009810E3">
            <w:pPr>
              <w:rPr>
                <w:rFonts w:eastAsia="Arial"/>
                <w:color w:val="auto"/>
              </w:rPr>
            </w:pPr>
            <w:r w:rsidRPr="00914C79">
              <w:rPr>
                <w:rFonts w:eastAsia="Arial"/>
                <w:color w:val="auto"/>
              </w:rPr>
              <w:t>7</w:t>
            </w:r>
          </w:p>
        </w:tc>
        <w:tc>
          <w:tcPr>
            <w:tcW w:w="671" w:type="pct"/>
            <w:hideMark/>
          </w:tcPr>
          <w:p w14:paraId="3D332372" w14:textId="77777777" w:rsidR="002209C6" w:rsidRPr="00914C79" w:rsidRDefault="002209C6" w:rsidP="009810E3">
            <w:pPr>
              <w:rPr>
                <w:rFonts w:eastAsia="Arial"/>
                <w:color w:val="auto"/>
              </w:rPr>
            </w:pPr>
            <w:r w:rsidRPr="00914C79">
              <w:rPr>
                <w:rFonts w:eastAsia="Arial"/>
                <w:color w:val="auto"/>
              </w:rPr>
              <w:t>8</w:t>
            </w:r>
          </w:p>
        </w:tc>
      </w:tr>
      <w:tr w:rsidR="002209C6" w:rsidRPr="00914C79" w14:paraId="45A495D8" w14:textId="77777777" w:rsidTr="002209C6">
        <w:tc>
          <w:tcPr>
            <w:tcW w:w="762" w:type="pct"/>
            <w:hideMark/>
          </w:tcPr>
          <w:p w14:paraId="4F99525D" w14:textId="77777777" w:rsidR="002209C6" w:rsidRPr="00914C79" w:rsidRDefault="002209C6" w:rsidP="009810E3">
            <w:pPr>
              <w:rPr>
                <w:rFonts w:eastAsia="Arial"/>
                <w:color w:val="auto"/>
              </w:rPr>
            </w:pPr>
            <w:r w:rsidRPr="00914C79">
              <w:rPr>
                <w:rFonts w:eastAsia="Arial"/>
                <w:color w:val="auto"/>
              </w:rPr>
              <w:t>1. Budžeta ieņēmumi</w:t>
            </w:r>
          </w:p>
        </w:tc>
        <w:tc>
          <w:tcPr>
            <w:tcW w:w="657" w:type="pct"/>
            <w:hideMark/>
          </w:tcPr>
          <w:p w14:paraId="47F9A6CE" w14:textId="77777777" w:rsidR="002209C6" w:rsidRPr="00914C79" w:rsidRDefault="002209C6" w:rsidP="009810E3">
            <w:pPr>
              <w:rPr>
                <w:rFonts w:eastAsia="Arial"/>
                <w:color w:val="auto"/>
              </w:rPr>
            </w:pPr>
            <w:r w:rsidRPr="00914C79">
              <w:rPr>
                <w:rFonts w:eastAsia="Arial"/>
                <w:color w:val="auto"/>
              </w:rPr>
              <w:t>0</w:t>
            </w:r>
          </w:p>
        </w:tc>
        <w:tc>
          <w:tcPr>
            <w:tcW w:w="596" w:type="pct"/>
            <w:hideMark/>
          </w:tcPr>
          <w:p w14:paraId="4F8111B0" w14:textId="77777777" w:rsidR="002209C6" w:rsidRPr="00914C79" w:rsidRDefault="002209C6" w:rsidP="009810E3">
            <w:pPr>
              <w:rPr>
                <w:rFonts w:eastAsia="Arial"/>
                <w:color w:val="auto"/>
              </w:rPr>
            </w:pPr>
            <w:r w:rsidRPr="00914C79">
              <w:rPr>
                <w:rFonts w:eastAsia="Arial"/>
                <w:color w:val="auto"/>
              </w:rPr>
              <w:t>  0</w:t>
            </w:r>
          </w:p>
        </w:tc>
        <w:tc>
          <w:tcPr>
            <w:tcW w:w="597" w:type="pct"/>
            <w:hideMark/>
          </w:tcPr>
          <w:p w14:paraId="25907983" w14:textId="77777777" w:rsidR="002209C6" w:rsidRPr="00914C79" w:rsidRDefault="002209C6" w:rsidP="009810E3">
            <w:pPr>
              <w:rPr>
                <w:rFonts w:eastAsia="Arial"/>
                <w:color w:val="auto"/>
              </w:rPr>
            </w:pPr>
            <w:r w:rsidRPr="00914C79">
              <w:rPr>
                <w:rFonts w:eastAsia="Arial"/>
                <w:color w:val="auto"/>
              </w:rPr>
              <w:t>0</w:t>
            </w:r>
          </w:p>
        </w:tc>
        <w:tc>
          <w:tcPr>
            <w:tcW w:w="597" w:type="pct"/>
          </w:tcPr>
          <w:p w14:paraId="329251A2" w14:textId="77777777" w:rsidR="002209C6" w:rsidRPr="00914C79" w:rsidRDefault="002209C6" w:rsidP="009810E3">
            <w:pPr>
              <w:rPr>
                <w:rFonts w:eastAsia="Arial"/>
                <w:color w:val="auto"/>
              </w:rPr>
            </w:pPr>
            <w:r w:rsidRPr="00914C79">
              <w:rPr>
                <w:rFonts w:eastAsia="Arial"/>
                <w:color w:val="auto"/>
              </w:rPr>
              <w:t>0</w:t>
            </w:r>
          </w:p>
        </w:tc>
        <w:tc>
          <w:tcPr>
            <w:tcW w:w="522" w:type="pct"/>
          </w:tcPr>
          <w:p w14:paraId="325292C9" w14:textId="77777777" w:rsidR="002209C6" w:rsidRPr="00914C79" w:rsidRDefault="002209C6" w:rsidP="009810E3">
            <w:pPr>
              <w:rPr>
                <w:rFonts w:eastAsia="Arial"/>
                <w:color w:val="auto"/>
              </w:rPr>
            </w:pPr>
            <w:r w:rsidRPr="00914C79">
              <w:rPr>
                <w:rFonts w:eastAsia="Arial"/>
                <w:color w:val="auto"/>
              </w:rPr>
              <w:t>0</w:t>
            </w:r>
          </w:p>
        </w:tc>
        <w:tc>
          <w:tcPr>
            <w:tcW w:w="598" w:type="pct"/>
          </w:tcPr>
          <w:p w14:paraId="24D6082E" w14:textId="77777777" w:rsidR="002209C6" w:rsidRPr="00914C79" w:rsidRDefault="00446330" w:rsidP="008D22C6">
            <w:pPr>
              <w:ind w:hanging="108"/>
              <w:jc w:val="center"/>
              <w:rPr>
                <w:rFonts w:eastAsia="Arial"/>
                <w:color w:val="auto"/>
              </w:rPr>
            </w:pPr>
            <w:r w:rsidRPr="00914C79">
              <w:rPr>
                <w:rFonts w:eastAsia="Arial"/>
                <w:color w:val="auto"/>
              </w:rPr>
              <w:t>0</w:t>
            </w:r>
          </w:p>
        </w:tc>
        <w:tc>
          <w:tcPr>
            <w:tcW w:w="671" w:type="pct"/>
          </w:tcPr>
          <w:p w14:paraId="42049A69" w14:textId="77777777" w:rsidR="002209C6" w:rsidRPr="00914C79" w:rsidRDefault="00446330" w:rsidP="008D22C6">
            <w:pPr>
              <w:jc w:val="center"/>
              <w:rPr>
                <w:rFonts w:eastAsia="Arial"/>
                <w:color w:val="auto"/>
              </w:rPr>
            </w:pPr>
            <w:r w:rsidRPr="00914C79">
              <w:rPr>
                <w:rFonts w:eastAsia="Arial"/>
                <w:color w:val="auto"/>
              </w:rPr>
              <w:t>0</w:t>
            </w:r>
          </w:p>
        </w:tc>
      </w:tr>
      <w:tr w:rsidR="008D22C6" w:rsidRPr="00914C79" w14:paraId="3EEA9A1D" w14:textId="77777777" w:rsidTr="002209C6">
        <w:tc>
          <w:tcPr>
            <w:tcW w:w="762" w:type="pct"/>
            <w:hideMark/>
          </w:tcPr>
          <w:p w14:paraId="5615684B" w14:textId="77777777" w:rsidR="008D22C6" w:rsidRPr="00914C79" w:rsidRDefault="008D22C6" w:rsidP="008D22C6">
            <w:pPr>
              <w:rPr>
                <w:rFonts w:eastAsia="Arial"/>
                <w:color w:val="auto"/>
              </w:rPr>
            </w:pPr>
            <w:r w:rsidRPr="00914C79">
              <w:rPr>
                <w:rFonts w:eastAsia="Arial"/>
                <w:color w:val="auto"/>
              </w:rPr>
              <w:t xml:space="preserve">1.1. valsts pamatbudžets, tai skaitā ieņēmumi no maksas pakalpojumiem un citi </w:t>
            </w:r>
            <w:r w:rsidRPr="00914C79">
              <w:rPr>
                <w:rFonts w:eastAsia="Arial"/>
                <w:color w:val="auto"/>
              </w:rPr>
              <w:lastRenderedPageBreak/>
              <w:t>pašu ieņēmumi</w:t>
            </w:r>
          </w:p>
        </w:tc>
        <w:tc>
          <w:tcPr>
            <w:tcW w:w="657" w:type="pct"/>
            <w:hideMark/>
          </w:tcPr>
          <w:p w14:paraId="0E4EE382" w14:textId="77777777" w:rsidR="008D22C6" w:rsidRPr="00914C79" w:rsidRDefault="008D22C6" w:rsidP="008D22C6">
            <w:pPr>
              <w:rPr>
                <w:rFonts w:eastAsia="Arial"/>
                <w:color w:val="auto"/>
              </w:rPr>
            </w:pPr>
            <w:r w:rsidRPr="00914C79">
              <w:rPr>
                <w:rFonts w:eastAsia="Arial"/>
                <w:color w:val="auto"/>
              </w:rPr>
              <w:lastRenderedPageBreak/>
              <w:t>0</w:t>
            </w:r>
          </w:p>
        </w:tc>
        <w:tc>
          <w:tcPr>
            <w:tcW w:w="596" w:type="pct"/>
            <w:hideMark/>
          </w:tcPr>
          <w:p w14:paraId="037AB90A" w14:textId="77777777" w:rsidR="008D22C6" w:rsidRPr="00914C79" w:rsidRDefault="008D22C6" w:rsidP="008D22C6">
            <w:pPr>
              <w:rPr>
                <w:rFonts w:eastAsia="Arial"/>
                <w:color w:val="auto"/>
              </w:rPr>
            </w:pPr>
            <w:r w:rsidRPr="00914C79">
              <w:rPr>
                <w:rFonts w:eastAsia="Arial"/>
                <w:color w:val="auto"/>
              </w:rPr>
              <w:t>  0</w:t>
            </w:r>
          </w:p>
          <w:p w14:paraId="16195AB3" w14:textId="77777777" w:rsidR="008D22C6" w:rsidRPr="00914C79" w:rsidRDefault="008D22C6" w:rsidP="008D22C6">
            <w:pPr>
              <w:rPr>
                <w:rFonts w:eastAsia="Arial"/>
                <w:color w:val="auto"/>
              </w:rPr>
            </w:pPr>
          </w:p>
          <w:p w14:paraId="65B942FE" w14:textId="77777777" w:rsidR="008D22C6" w:rsidRPr="00914C79" w:rsidRDefault="008D22C6" w:rsidP="008D22C6">
            <w:pPr>
              <w:rPr>
                <w:rFonts w:eastAsia="Arial"/>
                <w:color w:val="auto"/>
              </w:rPr>
            </w:pPr>
          </w:p>
          <w:p w14:paraId="0F4BEC6F" w14:textId="77777777" w:rsidR="008D22C6" w:rsidRPr="00914C79" w:rsidRDefault="008D22C6" w:rsidP="008D22C6">
            <w:pPr>
              <w:rPr>
                <w:rFonts w:eastAsia="Arial"/>
                <w:color w:val="auto"/>
              </w:rPr>
            </w:pPr>
          </w:p>
        </w:tc>
        <w:tc>
          <w:tcPr>
            <w:tcW w:w="597" w:type="pct"/>
            <w:hideMark/>
          </w:tcPr>
          <w:p w14:paraId="6EBA0FD9" w14:textId="77777777" w:rsidR="008D22C6" w:rsidRPr="00914C79" w:rsidRDefault="008D22C6" w:rsidP="008D22C6">
            <w:pPr>
              <w:rPr>
                <w:rFonts w:eastAsia="Arial"/>
                <w:color w:val="auto"/>
              </w:rPr>
            </w:pPr>
            <w:r w:rsidRPr="00914C79">
              <w:rPr>
                <w:rFonts w:eastAsia="Arial"/>
                <w:color w:val="auto"/>
              </w:rPr>
              <w:t>0</w:t>
            </w:r>
          </w:p>
        </w:tc>
        <w:tc>
          <w:tcPr>
            <w:tcW w:w="597" w:type="pct"/>
          </w:tcPr>
          <w:p w14:paraId="72FEFA81" w14:textId="77777777" w:rsidR="008D22C6" w:rsidRPr="00914C79" w:rsidRDefault="008D22C6" w:rsidP="008D22C6">
            <w:pPr>
              <w:rPr>
                <w:rFonts w:eastAsia="Arial"/>
                <w:color w:val="auto"/>
              </w:rPr>
            </w:pPr>
            <w:r w:rsidRPr="00914C79">
              <w:rPr>
                <w:rFonts w:eastAsia="Arial"/>
                <w:color w:val="auto"/>
              </w:rPr>
              <w:t> 0</w:t>
            </w:r>
          </w:p>
        </w:tc>
        <w:tc>
          <w:tcPr>
            <w:tcW w:w="522" w:type="pct"/>
          </w:tcPr>
          <w:p w14:paraId="3ADD1EAD" w14:textId="77777777" w:rsidR="008D22C6" w:rsidRPr="00914C79" w:rsidRDefault="008D22C6" w:rsidP="008D22C6">
            <w:pPr>
              <w:rPr>
                <w:rFonts w:eastAsia="Arial"/>
                <w:color w:val="auto"/>
              </w:rPr>
            </w:pPr>
            <w:r w:rsidRPr="00914C79">
              <w:rPr>
                <w:rFonts w:eastAsia="Arial"/>
                <w:color w:val="auto"/>
              </w:rPr>
              <w:t>0</w:t>
            </w:r>
          </w:p>
        </w:tc>
        <w:tc>
          <w:tcPr>
            <w:tcW w:w="598" w:type="pct"/>
          </w:tcPr>
          <w:p w14:paraId="4FEE9768" w14:textId="77777777" w:rsidR="008D22C6" w:rsidRPr="00914C79" w:rsidRDefault="00446330" w:rsidP="008D22C6">
            <w:pPr>
              <w:jc w:val="center"/>
            </w:pPr>
            <w:r w:rsidRPr="00914C79">
              <w:rPr>
                <w:rFonts w:eastAsia="Arial"/>
                <w:color w:val="auto"/>
              </w:rPr>
              <w:t>0</w:t>
            </w:r>
          </w:p>
        </w:tc>
        <w:tc>
          <w:tcPr>
            <w:tcW w:w="671" w:type="pct"/>
          </w:tcPr>
          <w:p w14:paraId="0F335257" w14:textId="77777777" w:rsidR="008D22C6" w:rsidRPr="00914C79" w:rsidRDefault="00446330" w:rsidP="008D22C6">
            <w:pPr>
              <w:jc w:val="center"/>
            </w:pPr>
            <w:r w:rsidRPr="00914C79">
              <w:rPr>
                <w:rFonts w:eastAsia="Arial"/>
                <w:color w:val="auto"/>
              </w:rPr>
              <w:t>0</w:t>
            </w:r>
          </w:p>
        </w:tc>
      </w:tr>
      <w:tr w:rsidR="008D22C6" w:rsidRPr="00914C79" w14:paraId="165F2880" w14:textId="77777777" w:rsidTr="002209C6">
        <w:tc>
          <w:tcPr>
            <w:tcW w:w="762" w:type="pct"/>
            <w:hideMark/>
          </w:tcPr>
          <w:p w14:paraId="49272174" w14:textId="77777777" w:rsidR="008D22C6" w:rsidRPr="00914C79" w:rsidRDefault="008D22C6" w:rsidP="008D22C6">
            <w:pPr>
              <w:rPr>
                <w:rFonts w:eastAsia="Arial"/>
                <w:color w:val="auto"/>
              </w:rPr>
            </w:pPr>
            <w:r w:rsidRPr="00914C79">
              <w:rPr>
                <w:rFonts w:eastAsia="Arial"/>
                <w:color w:val="auto"/>
              </w:rPr>
              <w:t>1.2. valsts speciālais budžets</w:t>
            </w:r>
          </w:p>
        </w:tc>
        <w:tc>
          <w:tcPr>
            <w:tcW w:w="657" w:type="pct"/>
            <w:hideMark/>
          </w:tcPr>
          <w:p w14:paraId="7D3B2D96" w14:textId="77777777" w:rsidR="008D22C6" w:rsidRPr="00914C79" w:rsidRDefault="008D22C6" w:rsidP="008D22C6">
            <w:pPr>
              <w:rPr>
                <w:rFonts w:eastAsia="Arial"/>
                <w:color w:val="auto"/>
              </w:rPr>
            </w:pPr>
            <w:r w:rsidRPr="00914C79">
              <w:rPr>
                <w:rFonts w:eastAsia="Arial"/>
                <w:color w:val="auto"/>
              </w:rPr>
              <w:t>0</w:t>
            </w:r>
          </w:p>
        </w:tc>
        <w:tc>
          <w:tcPr>
            <w:tcW w:w="596" w:type="pct"/>
            <w:hideMark/>
          </w:tcPr>
          <w:p w14:paraId="6250DA83" w14:textId="77777777" w:rsidR="008D22C6" w:rsidRPr="00914C79" w:rsidRDefault="008D22C6" w:rsidP="008D22C6">
            <w:pPr>
              <w:rPr>
                <w:rFonts w:eastAsia="Arial"/>
                <w:color w:val="auto"/>
              </w:rPr>
            </w:pPr>
            <w:r w:rsidRPr="00914C79">
              <w:rPr>
                <w:rFonts w:eastAsia="Arial"/>
                <w:color w:val="auto"/>
              </w:rPr>
              <w:t>0</w:t>
            </w:r>
          </w:p>
        </w:tc>
        <w:tc>
          <w:tcPr>
            <w:tcW w:w="597" w:type="pct"/>
            <w:hideMark/>
          </w:tcPr>
          <w:p w14:paraId="52DBB9B7" w14:textId="77777777" w:rsidR="008D22C6" w:rsidRPr="00914C79" w:rsidRDefault="008D22C6" w:rsidP="008D22C6">
            <w:pPr>
              <w:rPr>
                <w:rFonts w:eastAsia="Arial"/>
                <w:color w:val="auto"/>
              </w:rPr>
            </w:pPr>
            <w:r w:rsidRPr="00914C79">
              <w:rPr>
                <w:rFonts w:eastAsia="Arial"/>
                <w:color w:val="auto"/>
              </w:rPr>
              <w:t>0</w:t>
            </w:r>
          </w:p>
        </w:tc>
        <w:tc>
          <w:tcPr>
            <w:tcW w:w="597" w:type="pct"/>
            <w:hideMark/>
          </w:tcPr>
          <w:p w14:paraId="5270916C" w14:textId="77777777" w:rsidR="008D22C6" w:rsidRPr="00914C79" w:rsidRDefault="008D22C6" w:rsidP="008D22C6">
            <w:pPr>
              <w:rPr>
                <w:rFonts w:eastAsia="Arial"/>
                <w:color w:val="auto"/>
              </w:rPr>
            </w:pPr>
            <w:r w:rsidRPr="00914C79">
              <w:rPr>
                <w:rFonts w:eastAsia="Arial"/>
                <w:color w:val="auto"/>
              </w:rPr>
              <w:t>0</w:t>
            </w:r>
          </w:p>
        </w:tc>
        <w:tc>
          <w:tcPr>
            <w:tcW w:w="522" w:type="pct"/>
            <w:hideMark/>
          </w:tcPr>
          <w:p w14:paraId="4387C44F" w14:textId="77777777" w:rsidR="008D22C6" w:rsidRPr="00914C79" w:rsidRDefault="008D22C6" w:rsidP="008D22C6">
            <w:pPr>
              <w:rPr>
                <w:rFonts w:eastAsia="Arial"/>
                <w:color w:val="auto"/>
              </w:rPr>
            </w:pPr>
            <w:r w:rsidRPr="00914C79">
              <w:rPr>
                <w:rFonts w:eastAsia="Arial"/>
                <w:color w:val="auto"/>
              </w:rPr>
              <w:t>0</w:t>
            </w:r>
          </w:p>
        </w:tc>
        <w:tc>
          <w:tcPr>
            <w:tcW w:w="598" w:type="pct"/>
            <w:hideMark/>
          </w:tcPr>
          <w:p w14:paraId="4A82F000" w14:textId="77777777" w:rsidR="008D22C6" w:rsidRPr="00914C79" w:rsidRDefault="002F3AD7" w:rsidP="008D22C6">
            <w:pPr>
              <w:jc w:val="center"/>
            </w:pPr>
            <w:r w:rsidRPr="00914C79">
              <w:rPr>
                <w:rFonts w:eastAsia="Arial"/>
                <w:color w:val="auto"/>
              </w:rPr>
              <w:t>0</w:t>
            </w:r>
          </w:p>
        </w:tc>
        <w:tc>
          <w:tcPr>
            <w:tcW w:w="671" w:type="pct"/>
            <w:hideMark/>
          </w:tcPr>
          <w:p w14:paraId="1C3E2005" w14:textId="77777777" w:rsidR="008D22C6" w:rsidRPr="00914C79" w:rsidRDefault="002F3AD7" w:rsidP="008D22C6">
            <w:pPr>
              <w:jc w:val="center"/>
            </w:pPr>
            <w:r w:rsidRPr="00914C79">
              <w:rPr>
                <w:rFonts w:eastAsia="Arial"/>
                <w:color w:val="auto"/>
              </w:rPr>
              <w:t>0</w:t>
            </w:r>
          </w:p>
        </w:tc>
      </w:tr>
      <w:tr w:rsidR="008D22C6" w:rsidRPr="00914C79" w14:paraId="317632B6" w14:textId="77777777" w:rsidTr="002209C6">
        <w:tc>
          <w:tcPr>
            <w:tcW w:w="762" w:type="pct"/>
            <w:hideMark/>
          </w:tcPr>
          <w:p w14:paraId="5BA17151" w14:textId="77777777" w:rsidR="008D22C6" w:rsidRPr="00914C79" w:rsidRDefault="008D22C6" w:rsidP="008D22C6">
            <w:pPr>
              <w:rPr>
                <w:rFonts w:eastAsia="Arial"/>
                <w:color w:val="auto"/>
              </w:rPr>
            </w:pPr>
            <w:r w:rsidRPr="00914C79">
              <w:rPr>
                <w:rFonts w:eastAsia="Arial"/>
                <w:color w:val="auto"/>
              </w:rPr>
              <w:t>1.3. pašvaldību budžets</w:t>
            </w:r>
          </w:p>
        </w:tc>
        <w:tc>
          <w:tcPr>
            <w:tcW w:w="657" w:type="pct"/>
            <w:hideMark/>
          </w:tcPr>
          <w:p w14:paraId="5B8520D1" w14:textId="77777777" w:rsidR="008D22C6" w:rsidRPr="00914C79" w:rsidRDefault="008D22C6" w:rsidP="008D22C6">
            <w:pPr>
              <w:rPr>
                <w:rFonts w:eastAsia="Arial"/>
                <w:color w:val="auto"/>
              </w:rPr>
            </w:pPr>
            <w:r w:rsidRPr="00914C79">
              <w:rPr>
                <w:rFonts w:eastAsia="Arial"/>
                <w:color w:val="auto"/>
              </w:rPr>
              <w:t>0</w:t>
            </w:r>
          </w:p>
        </w:tc>
        <w:tc>
          <w:tcPr>
            <w:tcW w:w="596" w:type="pct"/>
            <w:hideMark/>
          </w:tcPr>
          <w:p w14:paraId="1D48DD73" w14:textId="77777777" w:rsidR="008D22C6" w:rsidRPr="00914C79" w:rsidRDefault="008D22C6" w:rsidP="008D22C6">
            <w:pPr>
              <w:rPr>
                <w:rFonts w:eastAsia="Arial"/>
                <w:color w:val="auto"/>
              </w:rPr>
            </w:pPr>
            <w:r w:rsidRPr="00914C79">
              <w:rPr>
                <w:rFonts w:eastAsia="Arial"/>
                <w:color w:val="auto"/>
              </w:rPr>
              <w:t>0</w:t>
            </w:r>
          </w:p>
        </w:tc>
        <w:tc>
          <w:tcPr>
            <w:tcW w:w="597" w:type="pct"/>
            <w:hideMark/>
          </w:tcPr>
          <w:p w14:paraId="0F64515B" w14:textId="77777777" w:rsidR="008D22C6" w:rsidRPr="00914C79" w:rsidRDefault="008D22C6" w:rsidP="008D22C6">
            <w:pPr>
              <w:rPr>
                <w:rFonts w:eastAsia="Arial"/>
                <w:color w:val="auto"/>
              </w:rPr>
            </w:pPr>
            <w:r w:rsidRPr="00914C79">
              <w:rPr>
                <w:rFonts w:eastAsia="Arial"/>
                <w:color w:val="auto"/>
              </w:rPr>
              <w:t>0</w:t>
            </w:r>
          </w:p>
        </w:tc>
        <w:tc>
          <w:tcPr>
            <w:tcW w:w="597" w:type="pct"/>
            <w:hideMark/>
          </w:tcPr>
          <w:p w14:paraId="1691DBF7" w14:textId="77777777" w:rsidR="008D22C6" w:rsidRPr="00914C79" w:rsidRDefault="008D22C6" w:rsidP="008D22C6">
            <w:pPr>
              <w:rPr>
                <w:rFonts w:eastAsia="Arial"/>
                <w:color w:val="auto"/>
              </w:rPr>
            </w:pPr>
            <w:r w:rsidRPr="00914C79">
              <w:rPr>
                <w:rFonts w:eastAsia="Arial"/>
                <w:color w:val="auto"/>
              </w:rPr>
              <w:t>0</w:t>
            </w:r>
          </w:p>
        </w:tc>
        <w:tc>
          <w:tcPr>
            <w:tcW w:w="522" w:type="pct"/>
            <w:hideMark/>
          </w:tcPr>
          <w:p w14:paraId="74B04647" w14:textId="77777777" w:rsidR="008D22C6" w:rsidRPr="00914C79" w:rsidRDefault="008D22C6" w:rsidP="008D22C6">
            <w:pPr>
              <w:rPr>
                <w:rFonts w:eastAsia="Arial"/>
                <w:color w:val="auto"/>
              </w:rPr>
            </w:pPr>
            <w:r w:rsidRPr="00914C79">
              <w:rPr>
                <w:rFonts w:eastAsia="Arial"/>
                <w:color w:val="auto"/>
              </w:rPr>
              <w:t>0</w:t>
            </w:r>
          </w:p>
        </w:tc>
        <w:tc>
          <w:tcPr>
            <w:tcW w:w="598" w:type="pct"/>
            <w:hideMark/>
          </w:tcPr>
          <w:p w14:paraId="298510CC" w14:textId="77777777" w:rsidR="008D22C6" w:rsidRPr="00914C79" w:rsidRDefault="002F3AD7" w:rsidP="008D22C6">
            <w:pPr>
              <w:jc w:val="center"/>
            </w:pPr>
            <w:r w:rsidRPr="00914C79">
              <w:rPr>
                <w:rFonts w:eastAsia="Arial"/>
                <w:color w:val="auto"/>
              </w:rPr>
              <w:t>0</w:t>
            </w:r>
          </w:p>
        </w:tc>
        <w:tc>
          <w:tcPr>
            <w:tcW w:w="671" w:type="pct"/>
            <w:hideMark/>
          </w:tcPr>
          <w:p w14:paraId="70E23773" w14:textId="77777777" w:rsidR="008D22C6" w:rsidRPr="00914C79" w:rsidRDefault="002F3AD7" w:rsidP="008D22C6">
            <w:pPr>
              <w:jc w:val="center"/>
            </w:pPr>
            <w:r w:rsidRPr="00914C79">
              <w:rPr>
                <w:rFonts w:eastAsia="Arial"/>
                <w:color w:val="auto"/>
              </w:rPr>
              <w:t>0</w:t>
            </w:r>
          </w:p>
        </w:tc>
      </w:tr>
      <w:tr w:rsidR="008D22C6" w:rsidRPr="00914C79" w14:paraId="30704B78" w14:textId="77777777" w:rsidTr="002209C6">
        <w:tc>
          <w:tcPr>
            <w:tcW w:w="762" w:type="pct"/>
            <w:hideMark/>
          </w:tcPr>
          <w:p w14:paraId="1E843461" w14:textId="77777777" w:rsidR="008D22C6" w:rsidRPr="00914C79" w:rsidRDefault="008D22C6" w:rsidP="008D22C6">
            <w:pPr>
              <w:rPr>
                <w:rFonts w:eastAsia="Arial"/>
                <w:color w:val="auto"/>
              </w:rPr>
            </w:pPr>
            <w:r w:rsidRPr="00914C79">
              <w:rPr>
                <w:rFonts w:eastAsia="Arial"/>
                <w:color w:val="auto"/>
              </w:rPr>
              <w:t>2. Budžeta izdevumi</w:t>
            </w:r>
          </w:p>
        </w:tc>
        <w:tc>
          <w:tcPr>
            <w:tcW w:w="657" w:type="pct"/>
          </w:tcPr>
          <w:p w14:paraId="50DA32EC" w14:textId="77777777" w:rsidR="008D22C6" w:rsidRPr="00914C79" w:rsidRDefault="008D22C6" w:rsidP="008D22C6">
            <w:pPr>
              <w:rPr>
                <w:rFonts w:eastAsia="Arial"/>
                <w:color w:val="auto"/>
              </w:rPr>
            </w:pPr>
            <w:r w:rsidRPr="00914C79">
              <w:rPr>
                <w:rFonts w:eastAsia="Arial"/>
                <w:color w:val="auto"/>
              </w:rPr>
              <w:t>0</w:t>
            </w:r>
          </w:p>
        </w:tc>
        <w:tc>
          <w:tcPr>
            <w:tcW w:w="596" w:type="pct"/>
          </w:tcPr>
          <w:p w14:paraId="5DE05EBA" w14:textId="77777777" w:rsidR="008D22C6" w:rsidRPr="00914C79" w:rsidRDefault="008D22C6" w:rsidP="008D22C6">
            <w:pPr>
              <w:rPr>
                <w:rFonts w:eastAsia="Arial"/>
                <w:color w:val="auto"/>
              </w:rPr>
            </w:pPr>
            <w:r w:rsidRPr="00914C79">
              <w:rPr>
                <w:rFonts w:eastAsia="Arial"/>
                <w:color w:val="auto"/>
              </w:rPr>
              <w:t>0</w:t>
            </w:r>
          </w:p>
          <w:p w14:paraId="039EDAFE" w14:textId="77777777" w:rsidR="008D22C6" w:rsidRPr="00914C79" w:rsidRDefault="008D22C6" w:rsidP="008D22C6">
            <w:pPr>
              <w:rPr>
                <w:rFonts w:eastAsia="Arial"/>
                <w:color w:val="auto"/>
              </w:rPr>
            </w:pPr>
          </w:p>
        </w:tc>
        <w:tc>
          <w:tcPr>
            <w:tcW w:w="597" w:type="pct"/>
          </w:tcPr>
          <w:p w14:paraId="0043F873" w14:textId="77777777" w:rsidR="008D22C6" w:rsidRPr="00914C79" w:rsidRDefault="008D22C6" w:rsidP="008D22C6">
            <w:pPr>
              <w:rPr>
                <w:rFonts w:eastAsia="Arial"/>
                <w:color w:val="auto"/>
              </w:rPr>
            </w:pPr>
            <w:r w:rsidRPr="00914C79">
              <w:rPr>
                <w:rFonts w:eastAsia="Arial"/>
                <w:color w:val="auto"/>
              </w:rPr>
              <w:t>0</w:t>
            </w:r>
          </w:p>
        </w:tc>
        <w:tc>
          <w:tcPr>
            <w:tcW w:w="597" w:type="pct"/>
          </w:tcPr>
          <w:p w14:paraId="4A9F13C4" w14:textId="77777777" w:rsidR="008D22C6" w:rsidRPr="00914C79" w:rsidRDefault="008D22C6" w:rsidP="008D22C6">
            <w:pPr>
              <w:rPr>
                <w:rFonts w:eastAsia="Arial"/>
                <w:color w:val="auto"/>
              </w:rPr>
            </w:pPr>
            <w:r w:rsidRPr="00914C79">
              <w:rPr>
                <w:rFonts w:eastAsia="Arial"/>
                <w:color w:val="auto"/>
              </w:rPr>
              <w:t>0</w:t>
            </w:r>
          </w:p>
        </w:tc>
        <w:tc>
          <w:tcPr>
            <w:tcW w:w="522" w:type="pct"/>
          </w:tcPr>
          <w:p w14:paraId="53C624B0" w14:textId="77777777" w:rsidR="008D22C6" w:rsidRPr="00914C79" w:rsidRDefault="008D22C6" w:rsidP="008D22C6">
            <w:pPr>
              <w:rPr>
                <w:rFonts w:eastAsia="Arial"/>
                <w:color w:val="auto"/>
              </w:rPr>
            </w:pPr>
            <w:r w:rsidRPr="00914C79">
              <w:rPr>
                <w:rFonts w:eastAsia="Arial"/>
                <w:color w:val="auto"/>
              </w:rPr>
              <w:t>0</w:t>
            </w:r>
          </w:p>
        </w:tc>
        <w:tc>
          <w:tcPr>
            <w:tcW w:w="598" w:type="pct"/>
          </w:tcPr>
          <w:p w14:paraId="737A5E08" w14:textId="77777777" w:rsidR="008D22C6" w:rsidRPr="00914C79" w:rsidRDefault="008D22C6" w:rsidP="008D22C6">
            <w:pPr>
              <w:jc w:val="center"/>
            </w:pPr>
            <w:r w:rsidRPr="00914C79">
              <w:rPr>
                <w:rFonts w:eastAsia="Arial"/>
                <w:color w:val="auto"/>
              </w:rPr>
              <w:t>nav precīzi aprēķināms</w:t>
            </w:r>
          </w:p>
        </w:tc>
        <w:tc>
          <w:tcPr>
            <w:tcW w:w="671" w:type="pct"/>
            <w:hideMark/>
          </w:tcPr>
          <w:p w14:paraId="387660E7" w14:textId="77777777" w:rsidR="008D22C6" w:rsidRPr="00914C79" w:rsidRDefault="008D22C6" w:rsidP="008D22C6">
            <w:pPr>
              <w:jc w:val="center"/>
            </w:pPr>
            <w:r w:rsidRPr="00914C79">
              <w:rPr>
                <w:rFonts w:eastAsia="Arial"/>
                <w:color w:val="auto"/>
              </w:rPr>
              <w:t>nav precīzi aprēķināms</w:t>
            </w:r>
          </w:p>
        </w:tc>
      </w:tr>
      <w:tr w:rsidR="008D22C6" w:rsidRPr="00914C79" w14:paraId="591B606F" w14:textId="77777777" w:rsidTr="002209C6">
        <w:tc>
          <w:tcPr>
            <w:tcW w:w="762" w:type="pct"/>
            <w:hideMark/>
          </w:tcPr>
          <w:p w14:paraId="5F0C145B" w14:textId="77777777" w:rsidR="008D22C6" w:rsidRPr="00914C79" w:rsidRDefault="008D22C6" w:rsidP="008D22C6">
            <w:pPr>
              <w:rPr>
                <w:rFonts w:eastAsia="Arial"/>
                <w:color w:val="auto"/>
              </w:rPr>
            </w:pPr>
            <w:r w:rsidRPr="00914C79">
              <w:rPr>
                <w:rFonts w:eastAsia="Arial"/>
                <w:color w:val="auto"/>
              </w:rPr>
              <w:t>2.1. valsts pamatbudžets</w:t>
            </w:r>
          </w:p>
        </w:tc>
        <w:tc>
          <w:tcPr>
            <w:tcW w:w="657" w:type="pct"/>
          </w:tcPr>
          <w:p w14:paraId="6D75D81F" w14:textId="77777777" w:rsidR="008D22C6" w:rsidRPr="00914C79" w:rsidRDefault="008D22C6" w:rsidP="008D22C6">
            <w:pPr>
              <w:rPr>
                <w:rFonts w:eastAsia="Arial"/>
                <w:color w:val="auto"/>
              </w:rPr>
            </w:pPr>
            <w:r w:rsidRPr="00914C79">
              <w:rPr>
                <w:rFonts w:eastAsia="Arial"/>
                <w:color w:val="auto"/>
              </w:rPr>
              <w:t>0</w:t>
            </w:r>
          </w:p>
        </w:tc>
        <w:tc>
          <w:tcPr>
            <w:tcW w:w="596" w:type="pct"/>
          </w:tcPr>
          <w:p w14:paraId="5CF12122" w14:textId="77777777" w:rsidR="008D22C6" w:rsidRPr="00914C79" w:rsidRDefault="008D22C6" w:rsidP="008D22C6">
            <w:pPr>
              <w:rPr>
                <w:rFonts w:eastAsia="Arial"/>
                <w:color w:val="auto"/>
              </w:rPr>
            </w:pPr>
            <w:r w:rsidRPr="00914C79">
              <w:rPr>
                <w:rFonts w:eastAsia="Arial"/>
                <w:color w:val="auto"/>
              </w:rPr>
              <w:t>0</w:t>
            </w:r>
          </w:p>
        </w:tc>
        <w:tc>
          <w:tcPr>
            <w:tcW w:w="597" w:type="pct"/>
          </w:tcPr>
          <w:p w14:paraId="29910991" w14:textId="77777777" w:rsidR="008D22C6" w:rsidRPr="00914C79" w:rsidRDefault="008D22C6" w:rsidP="008D22C6">
            <w:pPr>
              <w:rPr>
                <w:rFonts w:eastAsia="Arial"/>
                <w:color w:val="auto"/>
              </w:rPr>
            </w:pPr>
            <w:r w:rsidRPr="00914C79">
              <w:rPr>
                <w:rFonts w:eastAsia="Arial"/>
                <w:color w:val="auto"/>
              </w:rPr>
              <w:t>0</w:t>
            </w:r>
          </w:p>
        </w:tc>
        <w:tc>
          <w:tcPr>
            <w:tcW w:w="597" w:type="pct"/>
          </w:tcPr>
          <w:p w14:paraId="3C28CEF3" w14:textId="77777777" w:rsidR="008D22C6" w:rsidRPr="00914C79" w:rsidRDefault="008D22C6" w:rsidP="008D22C6">
            <w:pPr>
              <w:rPr>
                <w:rFonts w:eastAsia="Arial"/>
                <w:color w:val="auto"/>
              </w:rPr>
            </w:pPr>
            <w:r w:rsidRPr="00914C79">
              <w:rPr>
                <w:rFonts w:eastAsia="Arial"/>
                <w:color w:val="auto"/>
              </w:rPr>
              <w:t>0</w:t>
            </w:r>
          </w:p>
        </w:tc>
        <w:tc>
          <w:tcPr>
            <w:tcW w:w="522" w:type="pct"/>
          </w:tcPr>
          <w:p w14:paraId="049820DD" w14:textId="77777777" w:rsidR="008D22C6" w:rsidRPr="00914C79" w:rsidRDefault="008D22C6" w:rsidP="008D22C6">
            <w:pPr>
              <w:rPr>
                <w:rFonts w:eastAsia="Arial"/>
                <w:color w:val="auto"/>
              </w:rPr>
            </w:pPr>
            <w:r w:rsidRPr="00914C79">
              <w:rPr>
                <w:rFonts w:eastAsia="Arial"/>
                <w:color w:val="auto"/>
              </w:rPr>
              <w:t>0</w:t>
            </w:r>
          </w:p>
        </w:tc>
        <w:tc>
          <w:tcPr>
            <w:tcW w:w="598" w:type="pct"/>
          </w:tcPr>
          <w:p w14:paraId="5B3176EE" w14:textId="77777777" w:rsidR="008D22C6" w:rsidRPr="00914C79" w:rsidRDefault="008D22C6" w:rsidP="008D22C6">
            <w:pPr>
              <w:jc w:val="center"/>
            </w:pPr>
            <w:r w:rsidRPr="00914C79">
              <w:rPr>
                <w:rFonts w:eastAsia="Arial"/>
                <w:color w:val="auto"/>
              </w:rPr>
              <w:t>nav precīzi aprēķināms</w:t>
            </w:r>
          </w:p>
        </w:tc>
        <w:tc>
          <w:tcPr>
            <w:tcW w:w="671" w:type="pct"/>
            <w:hideMark/>
          </w:tcPr>
          <w:p w14:paraId="13AC6E97" w14:textId="77777777" w:rsidR="008D22C6" w:rsidRPr="00914C79" w:rsidRDefault="008D22C6" w:rsidP="008D22C6">
            <w:pPr>
              <w:jc w:val="center"/>
            </w:pPr>
            <w:r w:rsidRPr="00914C79">
              <w:rPr>
                <w:rFonts w:eastAsia="Arial"/>
                <w:color w:val="auto"/>
              </w:rPr>
              <w:t>nav precīzi aprēķināms</w:t>
            </w:r>
          </w:p>
        </w:tc>
      </w:tr>
      <w:tr w:rsidR="008D22C6" w:rsidRPr="00914C79" w14:paraId="14182143" w14:textId="77777777" w:rsidTr="002209C6">
        <w:tc>
          <w:tcPr>
            <w:tcW w:w="762" w:type="pct"/>
            <w:hideMark/>
          </w:tcPr>
          <w:p w14:paraId="0A4F6A67" w14:textId="77777777" w:rsidR="008D22C6" w:rsidRPr="00914C79" w:rsidRDefault="008D22C6" w:rsidP="008D22C6">
            <w:pPr>
              <w:rPr>
                <w:rFonts w:eastAsia="Arial"/>
                <w:color w:val="auto"/>
              </w:rPr>
            </w:pPr>
            <w:r w:rsidRPr="00914C79">
              <w:rPr>
                <w:rFonts w:eastAsia="Arial"/>
                <w:color w:val="auto"/>
              </w:rPr>
              <w:t>2.2. valsts speciālais budžets</w:t>
            </w:r>
          </w:p>
        </w:tc>
        <w:tc>
          <w:tcPr>
            <w:tcW w:w="657" w:type="pct"/>
            <w:hideMark/>
          </w:tcPr>
          <w:p w14:paraId="23B1B05C" w14:textId="77777777" w:rsidR="008D22C6" w:rsidRPr="00914C79" w:rsidRDefault="008D22C6" w:rsidP="008D22C6">
            <w:pPr>
              <w:rPr>
                <w:rFonts w:eastAsia="Arial"/>
                <w:color w:val="auto"/>
              </w:rPr>
            </w:pPr>
            <w:r w:rsidRPr="00914C79">
              <w:rPr>
                <w:rFonts w:eastAsia="Arial"/>
                <w:color w:val="auto"/>
              </w:rPr>
              <w:t>0</w:t>
            </w:r>
          </w:p>
        </w:tc>
        <w:tc>
          <w:tcPr>
            <w:tcW w:w="596" w:type="pct"/>
            <w:hideMark/>
          </w:tcPr>
          <w:p w14:paraId="72C78313" w14:textId="77777777" w:rsidR="008D22C6" w:rsidRPr="00914C79" w:rsidRDefault="008D22C6" w:rsidP="008D22C6">
            <w:pPr>
              <w:rPr>
                <w:rFonts w:eastAsia="Arial"/>
                <w:color w:val="auto"/>
              </w:rPr>
            </w:pPr>
            <w:r w:rsidRPr="00914C79">
              <w:rPr>
                <w:rFonts w:eastAsia="Arial"/>
                <w:color w:val="auto"/>
              </w:rPr>
              <w:t>0</w:t>
            </w:r>
          </w:p>
        </w:tc>
        <w:tc>
          <w:tcPr>
            <w:tcW w:w="597" w:type="pct"/>
            <w:hideMark/>
          </w:tcPr>
          <w:p w14:paraId="6AFC5EF2" w14:textId="77777777" w:rsidR="008D22C6" w:rsidRPr="00914C79" w:rsidRDefault="008D22C6" w:rsidP="008D22C6">
            <w:pPr>
              <w:rPr>
                <w:rFonts w:eastAsia="Arial"/>
                <w:color w:val="auto"/>
              </w:rPr>
            </w:pPr>
            <w:r w:rsidRPr="00914C79">
              <w:rPr>
                <w:rFonts w:eastAsia="Arial"/>
                <w:color w:val="auto"/>
              </w:rPr>
              <w:t>0</w:t>
            </w:r>
          </w:p>
        </w:tc>
        <w:tc>
          <w:tcPr>
            <w:tcW w:w="597" w:type="pct"/>
            <w:hideMark/>
          </w:tcPr>
          <w:p w14:paraId="6ED34B3E" w14:textId="77777777" w:rsidR="008D22C6" w:rsidRPr="00914C79" w:rsidRDefault="008D22C6" w:rsidP="008D22C6">
            <w:pPr>
              <w:rPr>
                <w:rFonts w:eastAsia="Arial"/>
                <w:color w:val="auto"/>
              </w:rPr>
            </w:pPr>
            <w:r w:rsidRPr="00914C79">
              <w:rPr>
                <w:rFonts w:eastAsia="Arial"/>
                <w:color w:val="auto"/>
              </w:rPr>
              <w:t>0</w:t>
            </w:r>
          </w:p>
        </w:tc>
        <w:tc>
          <w:tcPr>
            <w:tcW w:w="522" w:type="pct"/>
            <w:hideMark/>
          </w:tcPr>
          <w:p w14:paraId="3AFA87EE" w14:textId="77777777" w:rsidR="008D22C6" w:rsidRPr="00914C79" w:rsidRDefault="008D22C6" w:rsidP="008D22C6">
            <w:pPr>
              <w:rPr>
                <w:rFonts w:eastAsia="Arial"/>
                <w:color w:val="auto"/>
              </w:rPr>
            </w:pPr>
            <w:r w:rsidRPr="00914C79">
              <w:rPr>
                <w:rFonts w:eastAsia="Arial"/>
                <w:color w:val="auto"/>
              </w:rPr>
              <w:t>0</w:t>
            </w:r>
          </w:p>
        </w:tc>
        <w:tc>
          <w:tcPr>
            <w:tcW w:w="598" w:type="pct"/>
            <w:hideMark/>
          </w:tcPr>
          <w:p w14:paraId="383D796C" w14:textId="77777777" w:rsidR="008D22C6" w:rsidRPr="00914C79" w:rsidRDefault="002F3AD7" w:rsidP="008D22C6">
            <w:pPr>
              <w:jc w:val="center"/>
            </w:pPr>
            <w:r w:rsidRPr="00914C79">
              <w:rPr>
                <w:rFonts w:eastAsia="Arial"/>
                <w:color w:val="auto"/>
              </w:rPr>
              <w:t>0</w:t>
            </w:r>
          </w:p>
        </w:tc>
        <w:tc>
          <w:tcPr>
            <w:tcW w:w="671" w:type="pct"/>
            <w:hideMark/>
          </w:tcPr>
          <w:p w14:paraId="2967F469" w14:textId="77777777" w:rsidR="008D22C6" w:rsidRPr="00914C79" w:rsidRDefault="002F3AD7" w:rsidP="008D22C6">
            <w:pPr>
              <w:jc w:val="center"/>
            </w:pPr>
            <w:r w:rsidRPr="00914C79">
              <w:rPr>
                <w:rFonts w:eastAsia="Arial"/>
                <w:color w:val="auto"/>
              </w:rPr>
              <w:t>0</w:t>
            </w:r>
          </w:p>
        </w:tc>
      </w:tr>
      <w:tr w:rsidR="008D22C6" w:rsidRPr="00914C79" w14:paraId="2D779E3E" w14:textId="77777777" w:rsidTr="002209C6">
        <w:tc>
          <w:tcPr>
            <w:tcW w:w="762" w:type="pct"/>
            <w:hideMark/>
          </w:tcPr>
          <w:p w14:paraId="7CC0B4E5" w14:textId="77777777" w:rsidR="008D22C6" w:rsidRPr="00914C79" w:rsidRDefault="008D22C6" w:rsidP="008D22C6">
            <w:pPr>
              <w:rPr>
                <w:rFonts w:eastAsia="Arial"/>
                <w:color w:val="auto"/>
              </w:rPr>
            </w:pPr>
            <w:r w:rsidRPr="00914C79">
              <w:rPr>
                <w:rFonts w:eastAsia="Arial"/>
                <w:color w:val="auto"/>
              </w:rPr>
              <w:t>2.3. pašvaldību budžets</w:t>
            </w:r>
          </w:p>
        </w:tc>
        <w:tc>
          <w:tcPr>
            <w:tcW w:w="657" w:type="pct"/>
            <w:hideMark/>
          </w:tcPr>
          <w:p w14:paraId="07E89FD1" w14:textId="77777777" w:rsidR="008D22C6" w:rsidRPr="00914C79" w:rsidRDefault="008D22C6" w:rsidP="008D22C6">
            <w:pPr>
              <w:rPr>
                <w:rFonts w:eastAsia="Arial"/>
                <w:color w:val="auto"/>
              </w:rPr>
            </w:pPr>
            <w:r w:rsidRPr="00914C79">
              <w:rPr>
                <w:rFonts w:eastAsia="Arial"/>
                <w:color w:val="auto"/>
              </w:rPr>
              <w:t>0</w:t>
            </w:r>
          </w:p>
        </w:tc>
        <w:tc>
          <w:tcPr>
            <w:tcW w:w="596" w:type="pct"/>
            <w:hideMark/>
          </w:tcPr>
          <w:p w14:paraId="0247DAB0" w14:textId="77777777" w:rsidR="008D22C6" w:rsidRPr="00914C79" w:rsidRDefault="008D22C6" w:rsidP="008D22C6">
            <w:pPr>
              <w:rPr>
                <w:rFonts w:eastAsia="Arial"/>
                <w:color w:val="auto"/>
              </w:rPr>
            </w:pPr>
            <w:r w:rsidRPr="00914C79">
              <w:rPr>
                <w:rFonts w:eastAsia="Arial"/>
                <w:color w:val="auto"/>
              </w:rPr>
              <w:t>0</w:t>
            </w:r>
          </w:p>
        </w:tc>
        <w:tc>
          <w:tcPr>
            <w:tcW w:w="597" w:type="pct"/>
            <w:hideMark/>
          </w:tcPr>
          <w:p w14:paraId="199D4989" w14:textId="77777777" w:rsidR="008D22C6" w:rsidRPr="00914C79" w:rsidRDefault="008D22C6" w:rsidP="008D22C6">
            <w:pPr>
              <w:rPr>
                <w:rFonts w:eastAsia="Arial"/>
                <w:color w:val="auto"/>
              </w:rPr>
            </w:pPr>
            <w:r w:rsidRPr="00914C79">
              <w:rPr>
                <w:rFonts w:eastAsia="Arial"/>
                <w:color w:val="auto"/>
              </w:rPr>
              <w:t>0</w:t>
            </w:r>
          </w:p>
        </w:tc>
        <w:tc>
          <w:tcPr>
            <w:tcW w:w="597" w:type="pct"/>
            <w:hideMark/>
          </w:tcPr>
          <w:p w14:paraId="421ADE12" w14:textId="77777777" w:rsidR="008D22C6" w:rsidRPr="00914C79" w:rsidRDefault="008D22C6" w:rsidP="008D22C6">
            <w:pPr>
              <w:rPr>
                <w:rFonts w:eastAsia="Arial"/>
                <w:color w:val="auto"/>
              </w:rPr>
            </w:pPr>
            <w:r w:rsidRPr="00914C79">
              <w:rPr>
                <w:rFonts w:eastAsia="Arial"/>
                <w:color w:val="auto"/>
              </w:rPr>
              <w:t>0</w:t>
            </w:r>
          </w:p>
        </w:tc>
        <w:tc>
          <w:tcPr>
            <w:tcW w:w="522" w:type="pct"/>
            <w:hideMark/>
          </w:tcPr>
          <w:p w14:paraId="1BC62618" w14:textId="77777777" w:rsidR="008D22C6" w:rsidRPr="00914C79" w:rsidRDefault="008D22C6" w:rsidP="008D22C6">
            <w:pPr>
              <w:rPr>
                <w:rFonts w:eastAsia="Arial"/>
                <w:color w:val="auto"/>
              </w:rPr>
            </w:pPr>
            <w:r w:rsidRPr="00914C79">
              <w:rPr>
                <w:rFonts w:eastAsia="Arial"/>
                <w:color w:val="auto"/>
              </w:rPr>
              <w:t>0</w:t>
            </w:r>
          </w:p>
        </w:tc>
        <w:tc>
          <w:tcPr>
            <w:tcW w:w="598" w:type="pct"/>
            <w:hideMark/>
          </w:tcPr>
          <w:p w14:paraId="1BB01A1F" w14:textId="77777777" w:rsidR="008D22C6" w:rsidRPr="00914C79" w:rsidRDefault="002F3AD7" w:rsidP="008D22C6">
            <w:pPr>
              <w:jc w:val="center"/>
            </w:pPr>
            <w:r w:rsidRPr="00914C79">
              <w:rPr>
                <w:rFonts w:eastAsia="Arial"/>
                <w:color w:val="auto"/>
              </w:rPr>
              <w:t>0</w:t>
            </w:r>
          </w:p>
        </w:tc>
        <w:tc>
          <w:tcPr>
            <w:tcW w:w="671" w:type="pct"/>
            <w:hideMark/>
          </w:tcPr>
          <w:p w14:paraId="4DE6E1F7" w14:textId="77777777" w:rsidR="008D22C6" w:rsidRPr="00914C79" w:rsidRDefault="002F3AD7" w:rsidP="008D22C6">
            <w:pPr>
              <w:jc w:val="center"/>
            </w:pPr>
            <w:r w:rsidRPr="00914C79">
              <w:rPr>
                <w:rFonts w:eastAsia="Arial"/>
                <w:color w:val="auto"/>
              </w:rPr>
              <w:t>0</w:t>
            </w:r>
          </w:p>
        </w:tc>
      </w:tr>
      <w:tr w:rsidR="008D22C6" w:rsidRPr="00914C79" w14:paraId="5975B134" w14:textId="77777777" w:rsidTr="002209C6">
        <w:tc>
          <w:tcPr>
            <w:tcW w:w="762" w:type="pct"/>
            <w:hideMark/>
          </w:tcPr>
          <w:p w14:paraId="60FE7E5F" w14:textId="77777777" w:rsidR="008D22C6" w:rsidRPr="00914C79" w:rsidRDefault="008D22C6" w:rsidP="008D22C6">
            <w:pPr>
              <w:rPr>
                <w:rFonts w:eastAsia="Arial"/>
                <w:color w:val="auto"/>
              </w:rPr>
            </w:pPr>
            <w:r w:rsidRPr="00914C79">
              <w:rPr>
                <w:rFonts w:eastAsia="Arial"/>
                <w:color w:val="auto"/>
              </w:rPr>
              <w:t>3. Finansiālā ietekme</w:t>
            </w:r>
          </w:p>
        </w:tc>
        <w:tc>
          <w:tcPr>
            <w:tcW w:w="657" w:type="pct"/>
            <w:hideMark/>
          </w:tcPr>
          <w:p w14:paraId="1E42F827" w14:textId="77777777" w:rsidR="008D22C6" w:rsidRPr="00914C79" w:rsidRDefault="008D22C6" w:rsidP="008D22C6">
            <w:pPr>
              <w:rPr>
                <w:rFonts w:eastAsia="Arial"/>
                <w:color w:val="auto"/>
              </w:rPr>
            </w:pPr>
            <w:r w:rsidRPr="00914C79">
              <w:rPr>
                <w:rFonts w:eastAsia="Arial"/>
                <w:color w:val="auto"/>
              </w:rPr>
              <w:t>0</w:t>
            </w:r>
          </w:p>
        </w:tc>
        <w:tc>
          <w:tcPr>
            <w:tcW w:w="596" w:type="pct"/>
            <w:hideMark/>
          </w:tcPr>
          <w:p w14:paraId="0A36AA64" w14:textId="77777777" w:rsidR="008D22C6" w:rsidRPr="00914C79" w:rsidRDefault="008D22C6" w:rsidP="008D22C6">
            <w:pPr>
              <w:rPr>
                <w:rFonts w:eastAsia="Arial"/>
                <w:color w:val="auto"/>
              </w:rPr>
            </w:pPr>
            <w:r w:rsidRPr="00914C79">
              <w:rPr>
                <w:rFonts w:eastAsia="Arial"/>
                <w:color w:val="auto"/>
              </w:rPr>
              <w:t>0</w:t>
            </w:r>
          </w:p>
        </w:tc>
        <w:tc>
          <w:tcPr>
            <w:tcW w:w="597" w:type="pct"/>
            <w:hideMark/>
          </w:tcPr>
          <w:p w14:paraId="6E3376F9" w14:textId="77777777" w:rsidR="008D22C6" w:rsidRPr="00914C79" w:rsidRDefault="008D22C6" w:rsidP="008D22C6">
            <w:pPr>
              <w:rPr>
                <w:rFonts w:eastAsia="Arial"/>
                <w:color w:val="auto"/>
              </w:rPr>
            </w:pPr>
            <w:r w:rsidRPr="00914C79">
              <w:rPr>
                <w:rFonts w:eastAsia="Arial"/>
                <w:color w:val="auto"/>
              </w:rPr>
              <w:t>0</w:t>
            </w:r>
          </w:p>
        </w:tc>
        <w:tc>
          <w:tcPr>
            <w:tcW w:w="597" w:type="pct"/>
          </w:tcPr>
          <w:p w14:paraId="47681496" w14:textId="77777777" w:rsidR="008D22C6" w:rsidRPr="00914C79" w:rsidRDefault="008D22C6" w:rsidP="008D22C6">
            <w:pPr>
              <w:rPr>
                <w:rFonts w:eastAsia="Arial"/>
                <w:color w:val="auto"/>
              </w:rPr>
            </w:pPr>
            <w:r w:rsidRPr="00914C79">
              <w:rPr>
                <w:rFonts w:eastAsia="Arial"/>
                <w:color w:val="auto"/>
              </w:rPr>
              <w:t>0</w:t>
            </w:r>
          </w:p>
        </w:tc>
        <w:tc>
          <w:tcPr>
            <w:tcW w:w="522" w:type="pct"/>
          </w:tcPr>
          <w:p w14:paraId="7EEA8825" w14:textId="77777777" w:rsidR="008D22C6" w:rsidRPr="00914C79" w:rsidRDefault="008D22C6" w:rsidP="008D22C6">
            <w:pPr>
              <w:rPr>
                <w:rFonts w:eastAsia="Arial"/>
                <w:color w:val="auto"/>
              </w:rPr>
            </w:pPr>
            <w:r w:rsidRPr="00914C79">
              <w:rPr>
                <w:rFonts w:eastAsia="Arial"/>
                <w:color w:val="auto"/>
              </w:rPr>
              <w:t>0</w:t>
            </w:r>
          </w:p>
        </w:tc>
        <w:tc>
          <w:tcPr>
            <w:tcW w:w="598" w:type="pct"/>
          </w:tcPr>
          <w:p w14:paraId="0675E27D" w14:textId="77777777" w:rsidR="008D22C6" w:rsidRPr="00914C79" w:rsidRDefault="008D22C6" w:rsidP="008D22C6">
            <w:pPr>
              <w:jc w:val="center"/>
            </w:pPr>
            <w:r w:rsidRPr="00914C79">
              <w:rPr>
                <w:rFonts w:eastAsia="Arial"/>
                <w:color w:val="auto"/>
              </w:rPr>
              <w:t>nav precīzi aprēķināms</w:t>
            </w:r>
          </w:p>
        </w:tc>
        <w:tc>
          <w:tcPr>
            <w:tcW w:w="671" w:type="pct"/>
          </w:tcPr>
          <w:p w14:paraId="737E9060" w14:textId="77777777" w:rsidR="008D22C6" w:rsidRPr="00914C79" w:rsidRDefault="008D22C6" w:rsidP="008D22C6">
            <w:pPr>
              <w:jc w:val="center"/>
            </w:pPr>
            <w:r w:rsidRPr="00914C79">
              <w:rPr>
                <w:rFonts w:eastAsia="Arial"/>
                <w:color w:val="auto"/>
              </w:rPr>
              <w:t>nav precīzi aprēķināms</w:t>
            </w:r>
          </w:p>
        </w:tc>
      </w:tr>
      <w:tr w:rsidR="008D22C6" w:rsidRPr="00914C79" w14:paraId="64097926" w14:textId="77777777" w:rsidTr="002209C6">
        <w:tc>
          <w:tcPr>
            <w:tcW w:w="762" w:type="pct"/>
            <w:hideMark/>
          </w:tcPr>
          <w:p w14:paraId="131BFB53" w14:textId="77777777" w:rsidR="008D22C6" w:rsidRPr="00914C79" w:rsidRDefault="008D22C6" w:rsidP="008D22C6">
            <w:pPr>
              <w:rPr>
                <w:rFonts w:eastAsia="Arial"/>
                <w:color w:val="auto"/>
              </w:rPr>
            </w:pPr>
            <w:r w:rsidRPr="00914C79">
              <w:rPr>
                <w:rFonts w:eastAsia="Arial"/>
                <w:color w:val="auto"/>
              </w:rPr>
              <w:t>3.1. valsts pamatbudžets</w:t>
            </w:r>
          </w:p>
        </w:tc>
        <w:tc>
          <w:tcPr>
            <w:tcW w:w="657" w:type="pct"/>
            <w:hideMark/>
          </w:tcPr>
          <w:p w14:paraId="3385540E" w14:textId="77777777" w:rsidR="008D22C6" w:rsidRPr="00914C79" w:rsidRDefault="008D22C6" w:rsidP="008D22C6">
            <w:pPr>
              <w:rPr>
                <w:rFonts w:eastAsia="Arial"/>
                <w:color w:val="auto"/>
              </w:rPr>
            </w:pPr>
            <w:r w:rsidRPr="00914C79">
              <w:rPr>
                <w:rFonts w:eastAsia="Arial"/>
                <w:color w:val="auto"/>
              </w:rPr>
              <w:t>0</w:t>
            </w:r>
          </w:p>
        </w:tc>
        <w:tc>
          <w:tcPr>
            <w:tcW w:w="596" w:type="pct"/>
            <w:hideMark/>
          </w:tcPr>
          <w:p w14:paraId="1CF659B5" w14:textId="77777777" w:rsidR="008D22C6" w:rsidRPr="00914C79" w:rsidRDefault="008D22C6" w:rsidP="008D22C6">
            <w:pPr>
              <w:rPr>
                <w:rFonts w:eastAsia="Arial"/>
                <w:color w:val="auto"/>
              </w:rPr>
            </w:pPr>
            <w:r w:rsidRPr="00914C79">
              <w:rPr>
                <w:rFonts w:eastAsia="Arial"/>
                <w:color w:val="auto"/>
              </w:rPr>
              <w:t>0</w:t>
            </w:r>
          </w:p>
        </w:tc>
        <w:tc>
          <w:tcPr>
            <w:tcW w:w="597" w:type="pct"/>
            <w:hideMark/>
          </w:tcPr>
          <w:p w14:paraId="31DC2635" w14:textId="77777777" w:rsidR="008D22C6" w:rsidRPr="00914C79" w:rsidRDefault="008D22C6" w:rsidP="008D22C6">
            <w:pPr>
              <w:rPr>
                <w:rFonts w:eastAsia="Arial"/>
                <w:color w:val="auto"/>
              </w:rPr>
            </w:pPr>
            <w:r w:rsidRPr="00914C79">
              <w:rPr>
                <w:rFonts w:eastAsia="Arial"/>
                <w:color w:val="auto"/>
              </w:rPr>
              <w:t>0</w:t>
            </w:r>
          </w:p>
        </w:tc>
        <w:tc>
          <w:tcPr>
            <w:tcW w:w="597" w:type="pct"/>
          </w:tcPr>
          <w:p w14:paraId="65B29498" w14:textId="77777777" w:rsidR="008D22C6" w:rsidRPr="00914C79" w:rsidRDefault="008D22C6" w:rsidP="008D22C6">
            <w:pPr>
              <w:rPr>
                <w:rFonts w:eastAsia="Arial"/>
                <w:color w:val="auto"/>
              </w:rPr>
            </w:pPr>
            <w:r w:rsidRPr="00914C79">
              <w:rPr>
                <w:rFonts w:eastAsia="Arial"/>
                <w:color w:val="auto"/>
              </w:rPr>
              <w:t>0</w:t>
            </w:r>
          </w:p>
        </w:tc>
        <w:tc>
          <w:tcPr>
            <w:tcW w:w="522" w:type="pct"/>
          </w:tcPr>
          <w:p w14:paraId="0EFB8727" w14:textId="77777777" w:rsidR="008D22C6" w:rsidRPr="00914C79" w:rsidRDefault="008D22C6" w:rsidP="008D22C6">
            <w:pPr>
              <w:rPr>
                <w:rFonts w:eastAsia="Arial"/>
                <w:color w:val="auto"/>
              </w:rPr>
            </w:pPr>
            <w:r w:rsidRPr="00914C79">
              <w:rPr>
                <w:rFonts w:eastAsia="Arial"/>
                <w:color w:val="auto"/>
              </w:rPr>
              <w:t>0</w:t>
            </w:r>
          </w:p>
        </w:tc>
        <w:tc>
          <w:tcPr>
            <w:tcW w:w="598" w:type="pct"/>
          </w:tcPr>
          <w:p w14:paraId="627CA747" w14:textId="77777777" w:rsidR="008D22C6" w:rsidRPr="00914C79" w:rsidRDefault="008D22C6" w:rsidP="008D22C6">
            <w:pPr>
              <w:jc w:val="center"/>
            </w:pPr>
            <w:r w:rsidRPr="00914C79">
              <w:rPr>
                <w:rFonts w:eastAsia="Arial"/>
                <w:color w:val="auto"/>
              </w:rPr>
              <w:t>nav precīzi aprēķināms</w:t>
            </w:r>
          </w:p>
        </w:tc>
        <w:tc>
          <w:tcPr>
            <w:tcW w:w="671" w:type="pct"/>
          </w:tcPr>
          <w:p w14:paraId="632A2CE7" w14:textId="77777777" w:rsidR="008D22C6" w:rsidRPr="00914C79" w:rsidRDefault="008D22C6" w:rsidP="008D22C6">
            <w:pPr>
              <w:jc w:val="center"/>
            </w:pPr>
            <w:r w:rsidRPr="00914C79">
              <w:rPr>
                <w:rFonts w:eastAsia="Arial"/>
                <w:color w:val="auto"/>
              </w:rPr>
              <w:t>nav precīzi aprēķināms</w:t>
            </w:r>
          </w:p>
        </w:tc>
      </w:tr>
      <w:tr w:rsidR="008D22C6" w:rsidRPr="00914C79" w14:paraId="6AEDF7A3" w14:textId="77777777" w:rsidTr="002209C6">
        <w:tc>
          <w:tcPr>
            <w:tcW w:w="762" w:type="pct"/>
            <w:hideMark/>
          </w:tcPr>
          <w:p w14:paraId="5A79A1D6" w14:textId="77777777" w:rsidR="008D22C6" w:rsidRPr="00914C79" w:rsidRDefault="008D22C6" w:rsidP="008D22C6">
            <w:pPr>
              <w:rPr>
                <w:rFonts w:eastAsia="Arial"/>
                <w:color w:val="auto"/>
              </w:rPr>
            </w:pPr>
            <w:r w:rsidRPr="00914C79">
              <w:rPr>
                <w:rFonts w:eastAsia="Arial"/>
                <w:color w:val="auto"/>
              </w:rPr>
              <w:t>3.2. speciālais budžets</w:t>
            </w:r>
          </w:p>
        </w:tc>
        <w:tc>
          <w:tcPr>
            <w:tcW w:w="657" w:type="pct"/>
            <w:hideMark/>
          </w:tcPr>
          <w:p w14:paraId="07427253" w14:textId="77777777" w:rsidR="008D22C6" w:rsidRPr="00914C79" w:rsidRDefault="008D22C6" w:rsidP="008D22C6">
            <w:pPr>
              <w:rPr>
                <w:rFonts w:eastAsia="Arial"/>
                <w:color w:val="auto"/>
              </w:rPr>
            </w:pPr>
            <w:r w:rsidRPr="00914C79">
              <w:rPr>
                <w:rFonts w:eastAsia="Arial"/>
                <w:color w:val="auto"/>
              </w:rPr>
              <w:t> 0</w:t>
            </w:r>
          </w:p>
        </w:tc>
        <w:tc>
          <w:tcPr>
            <w:tcW w:w="596" w:type="pct"/>
            <w:hideMark/>
          </w:tcPr>
          <w:p w14:paraId="1B289CFE" w14:textId="77777777" w:rsidR="008D22C6" w:rsidRPr="00914C79" w:rsidRDefault="008D22C6" w:rsidP="008D22C6">
            <w:pPr>
              <w:rPr>
                <w:rFonts w:eastAsia="Arial"/>
                <w:color w:val="auto"/>
              </w:rPr>
            </w:pPr>
            <w:r w:rsidRPr="00914C79">
              <w:rPr>
                <w:rFonts w:eastAsia="Arial"/>
                <w:color w:val="auto"/>
              </w:rPr>
              <w:t> 0</w:t>
            </w:r>
          </w:p>
        </w:tc>
        <w:tc>
          <w:tcPr>
            <w:tcW w:w="597" w:type="pct"/>
            <w:hideMark/>
          </w:tcPr>
          <w:p w14:paraId="001B70A7" w14:textId="77777777" w:rsidR="008D22C6" w:rsidRPr="00914C79" w:rsidRDefault="008D22C6" w:rsidP="008D22C6">
            <w:pPr>
              <w:rPr>
                <w:rFonts w:eastAsia="Arial"/>
                <w:color w:val="auto"/>
              </w:rPr>
            </w:pPr>
            <w:r w:rsidRPr="00914C79">
              <w:rPr>
                <w:rFonts w:eastAsia="Arial"/>
                <w:color w:val="auto"/>
              </w:rPr>
              <w:t> 0</w:t>
            </w:r>
          </w:p>
        </w:tc>
        <w:tc>
          <w:tcPr>
            <w:tcW w:w="597" w:type="pct"/>
            <w:hideMark/>
          </w:tcPr>
          <w:p w14:paraId="37BD68DF" w14:textId="77777777" w:rsidR="008D22C6" w:rsidRPr="00914C79" w:rsidRDefault="008D22C6" w:rsidP="008D22C6">
            <w:pPr>
              <w:rPr>
                <w:rFonts w:eastAsia="Arial"/>
                <w:color w:val="auto"/>
              </w:rPr>
            </w:pPr>
            <w:r w:rsidRPr="00914C79">
              <w:rPr>
                <w:rFonts w:eastAsia="Arial"/>
                <w:color w:val="auto"/>
              </w:rPr>
              <w:t> 0</w:t>
            </w:r>
          </w:p>
        </w:tc>
        <w:tc>
          <w:tcPr>
            <w:tcW w:w="522" w:type="pct"/>
            <w:hideMark/>
          </w:tcPr>
          <w:p w14:paraId="786D014F" w14:textId="77777777" w:rsidR="008D22C6" w:rsidRPr="00914C79" w:rsidRDefault="008D22C6" w:rsidP="008D22C6">
            <w:pPr>
              <w:rPr>
                <w:rFonts w:eastAsia="Arial"/>
                <w:color w:val="auto"/>
              </w:rPr>
            </w:pPr>
            <w:r w:rsidRPr="00914C79">
              <w:rPr>
                <w:rFonts w:eastAsia="Arial"/>
                <w:color w:val="auto"/>
              </w:rPr>
              <w:t> 0</w:t>
            </w:r>
          </w:p>
        </w:tc>
        <w:tc>
          <w:tcPr>
            <w:tcW w:w="598" w:type="pct"/>
            <w:hideMark/>
          </w:tcPr>
          <w:p w14:paraId="08D83B2C" w14:textId="77777777" w:rsidR="008D22C6" w:rsidRPr="00914C79" w:rsidRDefault="002F3AD7" w:rsidP="008D22C6">
            <w:pPr>
              <w:jc w:val="center"/>
            </w:pPr>
            <w:r w:rsidRPr="00914C79">
              <w:rPr>
                <w:rFonts w:eastAsia="Arial"/>
                <w:color w:val="auto"/>
              </w:rPr>
              <w:t>0</w:t>
            </w:r>
          </w:p>
        </w:tc>
        <w:tc>
          <w:tcPr>
            <w:tcW w:w="671" w:type="pct"/>
            <w:hideMark/>
          </w:tcPr>
          <w:p w14:paraId="6A62CA0B" w14:textId="77777777" w:rsidR="008D22C6" w:rsidRPr="00914C79" w:rsidRDefault="002F3AD7" w:rsidP="008D22C6">
            <w:pPr>
              <w:jc w:val="center"/>
            </w:pPr>
            <w:r w:rsidRPr="00914C79">
              <w:rPr>
                <w:rFonts w:eastAsia="Arial"/>
                <w:color w:val="auto"/>
              </w:rPr>
              <w:t>0</w:t>
            </w:r>
          </w:p>
        </w:tc>
      </w:tr>
      <w:tr w:rsidR="008D22C6" w:rsidRPr="00914C79" w14:paraId="6AF7C56F" w14:textId="77777777" w:rsidTr="002209C6">
        <w:tc>
          <w:tcPr>
            <w:tcW w:w="762" w:type="pct"/>
            <w:hideMark/>
          </w:tcPr>
          <w:p w14:paraId="46421AC8" w14:textId="77777777" w:rsidR="008D22C6" w:rsidRPr="00914C79" w:rsidRDefault="008D22C6" w:rsidP="008D22C6">
            <w:pPr>
              <w:rPr>
                <w:rFonts w:eastAsia="Arial"/>
                <w:color w:val="auto"/>
              </w:rPr>
            </w:pPr>
            <w:r w:rsidRPr="00914C79">
              <w:rPr>
                <w:rFonts w:eastAsia="Arial"/>
                <w:color w:val="auto"/>
              </w:rPr>
              <w:t>3.3. pašvaldību budžets</w:t>
            </w:r>
          </w:p>
        </w:tc>
        <w:tc>
          <w:tcPr>
            <w:tcW w:w="657" w:type="pct"/>
            <w:hideMark/>
          </w:tcPr>
          <w:p w14:paraId="710A3A27" w14:textId="77777777" w:rsidR="008D22C6" w:rsidRPr="00914C79" w:rsidRDefault="008D22C6" w:rsidP="008D22C6">
            <w:pPr>
              <w:rPr>
                <w:rFonts w:eastAsia="Arial"/>
                <w:color w:val="auto"/>
              </w:rPr>
            </w:pPr>
            <w:r w:rsidRPr="00914C79">
              <w:rPr>
                <w:rFonts w:eastAsia="Arial"/>
                <w:color w:val="auto"/>
              </w:rPr>
              <w:t> 0</w:t>
            </w:r>
          </w:p>
        </w:tc>
        <w:tc>
          <w:tcPr>
            <w:tcW w:w="596" w:type="pct"/>
            <w:hideMark/>
          </w:tcPr>
          <w:p w14:paraId="3065DFA8" w14:textId="77777777" w:rsidR="008D22C6" w:rsidRPr="00914C79" w:rsidRDefault="008D22C6" w:rsidP="008D22C6">
            <w:pPr>
              <w:rPr>
                <w:rFonts w:eastAsia="Arial"/>
                <w:color w:val="auto"/>
              </w:rPr>
            </w:pPr>
            <w:r w:rsidRPr="00914C79">
              <w:rPr>
                <w:rFonts w:eastAsia="Arial"/>
                <w:color w:val="auto"/>
              </w:rPr>
              <w:t> 0</w:t>
            </w:r>
          </w:p>
        </w:tc>
        <w:tc>
          <w:tcPr>
            <w:tcW w:w="597" w:type="pct"/>
            <w:hideMark/>
          </w:tcPr>
          <w:p w14:paraId="4F4202AD" w14:textId="77777777" w:rsidR="008D22C6" w:rsidRPr="00914C79" w:rsidRDefault="008D22C6" w:rsidP="008D22C6">
            <w:pPr>
              <w:rPr>
                <w:rFonts w:eastAsia="Arial"/>
                <w:color w:val="auto"/>
              </w:rPr>
            </w:pPr>
            <w:r w:rsidRPr="00914C79">
              <w:rPr>
                <w:rFonts w:eastAsia="Arial"/>
                <w:color w:val="auto"/>
              </w:rPr>
              <w:t> 0</w:t>
            </w:r>
          </w:p>
        </w:tc>
        <w:tc>
          <w:tcPr>
            <w:tcW w:w="597" w:type="pct"/>
            <w:hideMark/>
          </w:tcPr>
          <w:p w14:paraId="326D8E1A" w14:textId="77777777" w:rsidR="008D22C6" w:rsidRPr="00914C79" w:rsidRDefault="008D22C6" w:rsidP="008D22C6">
            <w:pPr>
              <w:rPr>
                <w:rFonts w:eastAsia="Arial"/>
                <w:color w:val="auto"/>
              </w:rPr>
            </w:pPr>
            <w:r w:rsidRPr="00914C79">
              <w:rPr>
                <w:rFonts w:eastAsia="Arial"/>
                <w:color w:val="auto"/>
              </w:rPr>
              <w:t> 0</w:t>
            </w:r>
          </w:p>
        </w:tc>
        <w:tc>
          <w:tcPr>
            <w:tcW w:w="522" w:type="pct"/>
            <w:hideMark/>
          </w:tcPr>
          <w:p w14:paraId="2FF13A76" w14:textId="77777777" w:rsidR="008D22C6" w:rsidRPr="00914C79" w:rsidRDefault="008D22C6" w:rsidP="008D22C6">
            <w:pPr>
              <w:rPr>
                <w:rFonts w:eastAsia="Arial"/>
                <w:color w:val="auto"/>
              </w:rPr>
            </w:pPr>
            <w:r w:rsidRPr="00914C79">
              <w:rPr>
                <w:rFonts w:eastAsia="Arial"/>
                <w:color w:val="auto"/>
              </w:rPr>
              <w:t> 0</w:t>
            </w:r>
          </w:p>
        </w:tc>
        <w:tc>
          <w:tcPr>
            <w:tcW w:w="598" w:type="pct"/>
            <w:hideMark/>
          </w:tcPr>
          <w:p w14:paraId="545C917D" w14:textId="77777777" w:rsidR="008D22C6" w:rsidRPr="00914C79" w:rsidRDefault="002F3AD7" w:rsidP="008D22C6">
            <w:pPr>
              <w:jc w:val="center"/>
            </w:pPr>
            <w:r w:rsidRPr="00914C79">
              <w:rPr>
                <w:rFonts w:eastAsia="Arial"/>
                <w:color w:val="auto"/>
              </w:rPr>
              <w:t>0</w:t>
            </w:r>
          </w:p>
        </w:tc>
        <w:tc>
          <w:tcPr>
            <w:tcW w:w="671" w:type="pct"/>
            <w:hideMark/>
          </w:tcPr>
          <w:p w14:paraId="7E465354" w14:textId="77777777" w:rsidR="008D22C6" w:rsidRPr="00914C79" w:rsidRDefault="002F3AD7" w:rsidP="008D22C6">
            <w:pPr>
              <w:jc w:val="center"/>
            </w:pPr>
            <w:r w:rsidRPr="00914C79">
              <w:rPr>
                <w:rFonts w:eastAsia="Arial"/>
                <w:color w:val="auto"/>
              </w:rPr>
              <w:t>0</w:t>
            </w:r>
          </w:p>
        </w:tc>
      </w:tr>
      <w:tr w:rsidR="008D22C6" w:rsidRPr="00914C79" w14:paraId="53DBF501" w14:textId="77777777" w:rsidTr="002209C6">
        <w:tc>
          <w:tcPr>
            <w:tcW w:w="762" w:type="pct"/>
            <w:hideMark/>
          </w:tcPr>
          <w:p w14:paraId="3E5E2058" w14:textId="77777777" w:rsidR="008D22C6" w:rsidRPr="00914C79" w:rsidRDefault="008D22C6" w:rsidP="008D22C6">
            <w:pPr>
              <w:rPr>
                <w:rFonts w:eastAsia="Arial"/>
                <w:color w:val="auto"/>
              </w:rPr>
            </w:pPr>
            <w:r w:rsidRPr="00914C79">
              <w:rPr>
                <w:rFonts w:eastAsia="Arial"/>
                <w:color w:val="auto"/>
              </w:rPr>
              <w:t>4. Finanšu līdzekļi papildu izdevumu finansēšanai (kompensējošu izdevumu samazinājumu norāda ar "+" zīmi)</w:t>
            </w:r>
          </w:p>
        </w:tc>
        <w:tc>
          <w:tcPr>
            <w:tcW w:w="657" w:type="pct"/>
            <w:hideMark/>
          </w:tcPr>
          <w:p w14:paraId="3C0BB4E6" w14:textId="77777777" w:rsidR="008D22C6" w:rsidRPr="00914C79" w:rsidRDefault="008D22C6" w:rsidP="008D22C6">
            <w:pPr>
              <w:rPr>
                <w:rFonts w:eastAsia="Arial"/>
                <w:color w:val="auto"/>
              </w:rPr>
            </w:pPr>
            <w:r w:rsidRPr="00914C79">
              <w:rPr>
                <w:rFonts w:eastAsia="Arial"/>
                <w:color w:val="auto"/>
              </w:rPr>
              <w:t>0</w:t>
            </w:r>
          </w:p>
        </w:tc>
        <w:tc>
          <w:tcPr>
            <w:tcW w:w="596" w:type="pct"/>
            <w:hideMark/>
          </w:tcPr>
          <w:p w14:paraId="2827A8BC" w14:textId="77777777" w:rsidR="008D22C6" w:rsidRPr="00914C79" w:rsidRDefault="008D22C6" w:rsidP="008D22C6">
            <w:pPr>
              <w:rPr>
                <w:rFonts w:eastAsia="Arial"/>
                <w:color w:val="auto"/>
              </w:rPr>
            </w:pPr>
            <w:r w:rsidRPr="00914C79">
              <w:rPr>
                <w:rFonts w:eastAsia="Arial"/>
                <w:color w:val="auto"/>
              </w:rPr>
              <w:t> 0</w:t>
            </w:r>
          </w:p>
        </w:tc>
        <w:tc>
          <w:tcPr>
            <w:tcW w:w="597" w:type="pct"/>
            <w:hideMark/>
          </w:tcPr>
          <w:p w14:paraId="1480EB39" w14:textId="77777777" w:rsidR="008D22C6" w:rsidRPr="00914C79" w:rsidRDefault="008D22C6" w:rsidP="008D22C6">
            <w:pPr>
              <w:rPr>
                <w:rFonts w:eastAsia="Arial"/>
                <w:color w:val="auto"/>
              </w:rPr>
            </w:pPr>
            <w:r w:rsidRPr="00914C79">
              <w:rPr>
                <w:rFonts w:eastAsia="Arial"/>
                <w:color w:val="auto"/>
              </w:rPr>
              <w:t> 0</w:t>
            </w:r>
          </w:p>
        </w:tc>
        <w:tc>
          <w:tcPr>
            <w:tcW w:w="597" w:type="pct"/>
            <w:hideMark/>
          </w:tcPr>
          <w:p w14:paraId="30CCA2A7" w14:textId="77777777" w:rsidR="008D22C6" w:rsidRPr="00914C79" w:rsidRDefault="008D22C6" w:rsidP="008D22C6">
            <w:pPr>
              <w:rPr>
                <w:rFonts w:eastAsia="Arial"/>
                <w:color w:val="auto"/>
              </w:rPr>
            </w:pPr>
            <w:r w:rsidRPr="00914C79">
              <w:rPr>
                <w:rFonts w:eastAsia="Arial"/>
                <w:color w:val="auto"/>
              </w:rPr>
              <w:t> 0</w:t>
            </w:r>
          </w:p>
        </w:tc>
        <w:tc>
          <w:tcPr>
            <w:tcW w:w="522" w:type="pct"/>
            <w:hideMark/>
          </w:tcPr>
          <w:p w14:paraId="3588BC4E" w14:textId="77777777" w:rsidR="008D22C6" w:rsidRPr="00914C79" w:rsidRDefault="008D22C6" w:rsidP="008D22C6">
            <w:pPr>
              <w:rPr>
                <w:rFonts w:eastAsia="Arial"/>
                <w:color w:val="auto"/>
              </w:rPr>
            </w:pPr>
            <w:r w:rsidRPr="00914C79">
              <w:rPr>
                <w:rFonts w:eastAsia="Arial"/>
                <w:color w:val="auto"/>
              </w:rPr>
              <w:t> 0</w:t>
            </w:r>
          </w:p>
        </w:tc>
        <w:tc>
          <w:tcPr>
            <w:tcW w:w="598" w:type="pct"/>
            <w:hideMark/>
          </w:tcPr>
          <w:p w14:paraId="59ACDBCB" w14:textId="77777777" w:rsidR="008D22C6" w:rsidRPr="00914C79" w:rsidRDefault="008D22C6" w:rsidP="008D22C6">
            <w:pPr>
              <w:jc w:val="center"/>
            </w:pPr>
            <w:r w:rsidRPr="00914C79">
              <w:rPr>
                <w:rFonts w:eastAsia="Arial"/>
                <w:color w:val="auto"/>
              </w:rPr>
              <w:t>nav precīzi aprēķināms</w:t>
            </w:r>
          </w:p>
        </w:tc>
        <w:tc>
          <w:tcPr>
            <w:tcW w:w="671" w:type="pct"/>
            <w:hideMark/>
          </w:tcPr>
          <w:p w14:paraId="5778E452" w14:textId="77777777" w:rsidR="008D22C6" w:rsidRPr="00914C79" w:rsidRDefault="008D22C6" w:rsidP="008D22C6">
            <w:pPr>
              <w:jc w:val="center"/>
            </w:pPr>
            <w:r w:rsidRPr="00914C79">
              <w:rPr>
                <w:rFonts w:eastAsia="Arial"/>
                <w:color w:val="auto"/>
              </w:rPr>
              <w:t>nav precīzi aprēķināms</w:t>
            </w:r>
          </w:p>
        </w:tc>
      </w:tr>
      <w:tr w:rsidR="008D22C6" w:rsidRPr="00914C79" w14:paraId="0A2BE1A7" w14:textId="77777777" w:rsidTr="002209C6">
        <w:tc>
          <w:tcPr>
            <w:tcW w:w="762" w:type="pct"/>
          </w:tcPr>
          <w:p w14:paraId="385311B0" w14:textId="77777777" w:rsidR="008D22C6" w:rsidRPr="00914C79" w:rsidRDefault="008D22C6" w:rsidP="008D22C6">
            <w:pPr>
              <w:rPr>
                <w:rFonts w:eastAsia="Arial"/>
                <w:color w:val="auto"/>
              </w:rPr>
            </w:pPr>
            <w:r w:rsidRPr="00914C79">
              <w:rPr>
                <w:rFonts w:eastAsia="Arial"/>
                <w:color w:val="auto"/>
              </w:rPr>
              <w:t>5. Precizēta finansiālā ietekme</w:t>
            </w:r>
          </w:p>
        </w:tc>
        <w:tc>
          <w:tcPr>
            <w:tcW w:w="657" w:type="pct"/>
          </w:tcPr>
          <w:p w14:paraId="65DA5D1C" w14:textId="77777777" w:rsidR="008D22C6" w:rsidRPr="00914C79" w:rsidRDefault="008D22C6" w:rsidP="008D22C6">
            <w:pPr>
              <w:rPr>
                <w:rFonts w:eastAsia="Arial"/>
                <w:color w:val="auto"/>
              </w:rPr>
            </w:pPr>
            <w:r w:rsidRPr="00914C79">
              <w:rPr>
                <w:rFonts w:eastAsia="Arial"/>
                <w:color w:val="auto"/>
              </w:rPr>
              <w:t>0</w:t>
            </w:r>
          </w:p>
        </w:tc>
        <w:tc>
          <w:tcPr>
            <w:tcW w:w="596" w:type="pct"/>
          </w:tcPr>
          <w:p w14:paraId="0532E2A7" w14:textId="77777777" w:rsidR="008D22C6" w:rsidRPr="00914C79" w:rsidRDefault="008D22C6" w:rsidP="008D22C6">
            <w:pPr>
              <w:rPr>
                <w:rFonts w:eastAsia="Arial"/>
                <w:color w:val="auto"/>
              </w:rPr>
            </w:pPr>
            <w:r w:rsidRPr="00914C79">
              <w:rPr>
                <w:rFonts w:eastAsia="Arial"/>
                <w:color w:val="auto"/>
              </w:rPr>
              <w:t>0</w:t>
            </w:r>
          </w:p>
        </w:tc>
        <w:tc>
          <w:tcPr>
            <w:tcW w:w="597" w:type="pct"/>
          </w:tcPr>
          <w:p w14:paraId="0C2DCE3A" w14:textId="77777777" w:rsidR="008D22C6" w:rsidRPr="00914C79" w:rsidRDefault="008D22C6" w:rsidP="008D22C6">
            <w:pPr>
              <w:rPr>
                <w:rFonts w:eastAsia="Arial"/>
                <w:color w:val="auto"/>
              </w:rPr>
            </w:pPr>
            <w:r w:rsidRPr="00914C79">
              <w:rPr>
                <w:rFonts w:eastAsia="Arial"/>
                <w:color w:val="auto"/>
              </w:rPr>
              <w:t>0</w:t>
            </w:r>
          </w:p>
        </w:tc>
        <w:tc>
          <w:tcPr>
            <w:tcW w:w="597" w:type="pct"/>
          </w:tcPr>
          <w:p w14:paraId="544D4B54" w14:textId="77777777" w:rsidR="008D22C6" w:rsidRPr="00914C79" w:rsidRDefault="008D22C6" w:rsidP="008D22C6">
            <w:pPr>
              <w:rPr>
                <w:rFonts w:eastAsia="Arial"/>
                <w:color w:val="auto"/>
              </w:rPr>
            </w:pPr>
            <w:r w:rsidRPr="00914C79">
              <w:rPr>
                <w:rFonts w:eastAsia="Arial"/>
                <w:color w:val="auto"/>
              </w:rPr>
              <w:t>0</w:t>
            </w:r>
          </w:p>
        </w:tc>
        <w:tc>
          <w:tcPr>
            <w:tcW w:w="522" w:type="pct"/>
          </w:tcPr>
          <w:p w14:paraId="344FC190" w14:textId="77777777" w:rsidR="008D22C6" w:rsidRPr="00914C79" w:rsidRDefault="008D22C6" w:rsidP="008D22C6">
            <w:pPr>
              <w:rPr>
                <w:rFonts w:eastAsia="Arial"/>
                <w:color w:val="auto"/>
              </w:rPr>
            </w:pPr>
            <w:r w:rsidRPr="00914C79">
              <w:rPr>
                <w:rFonts w:eastAsia="Arial"/>
                <w:color w:val="auto"/>
              </w:rPr>
              <w:t>0</w:t>
            </w:r>
          </w:p>
        </w:tc>
        <w:tc>
          <w:tcPr>
            <w:tcW w:w="598" w:type="pct"/>
          </w:tcPr>
          <w:p w14:paraId="72C1884D" w14:textId="77777777" w:rsidR="008D22C6" w:rsidRPr="00914C79" w:rsidRDefault="008D22C6" w:rsidP="008D22C6">
            <w:pPr>
              <w:jc w:val="center"/>
            </w:pPr>
            <w:r w:rsidRPr="00914C79">
              <w:rPr>
                <w:rFonts w:eastAsia="Arial"/>
                <w:color w:val="auto"/>
              </w:rPr>
              <w:t>nav precīzi aprēķināms</w:t>
            </w:r>
          </w:p>
        </w:tc>
        <w:tc>
          <w:tcPr>
            <w:tcW w:w="671" w:type="pct"/>
          </w:tcPr>
          <w:p w14:paraId="0596EDC2" w14:textId="77777777" w:rsidR="008D22C6" w:rsidRPr="00914C79" w:rsidRDefault="008D22C6" w:rsidP="008D22C6">
            <w:pPr>
              <w:jc w:val="center"/>
            </w:pPr>
            <w:r w:rsidRPr="00914C79">
              <w:rPr>
                <w:rFonts w:eastAsia="Arial"/>
                <w:color w:val="auto"/>
              </w:rPr>
              <w:t>nav precīzi aprēķināms</w:t>
            </w:r>
          </w:p>
        </w:tc>
      </w:tr>
      <w:tr w:rsidR="008D22C6" w:rsidRPr="00914C79" w14:paraId="62F0AA4C" w14:textId="77777777" w:rsidTr="002209C6">
        <w:tc>
          <w:tcPr>
            <w:tcW w:w="762" w:type="pct"/>
          </w:tcPr>
          <w:p w14:paraId="507C83A8" w14:textId="77777777" w:rsidR="008D22C6" w:rsidRPr="00914C79" w:rsidRDefault="008D22C6" w:rsidP="008D22C6">
            <w:pPr>
              <w:rPr>
                <w:rFonts w:eastAsia="Arial"/>
                <w:color w:val="auto"/>
              </w:rPr>
            </w:pPr>
            <w:r w:rsidRPr="00914C79">
              <w:rPr>
                <w:rFonts w:eastAsia="Arial"/>
                <w:color w:val="auto"/>
              </w:rPr>
              <w:lastRenderedPageBreak/>
              <w:t>5.1. valsts pamatbudžets</w:t>
            </w:r>
          </w:p>
        </w:tc>
        <w:tc>
          <w:tcPr>
            <w:tcW w:w="657" w:type="pct"/>
          </w:tcPr>
          <w:p w14:paraId="53D3A284" w14:textId="77777777" w:rsidR="008D22C6" w:rsidRPr="00914C79" w:rsidRDefault="008D22C6" w:rsidP="008D22C6">
            <w:pPr>
              <w:rPr>
                <w:rFonts w:eastAsia="Arial"/>
                <w:color w:val="auto"/>
              </w:rPr>
            </w:pPr>
            <w:r w:rsidRPr="00914C79">
              <w:rPr>
                <w:rFonts w:eastAsia="Arial"/>
                <w:color w:val="auto"/>
              </w:rPr>
              <w:t>0</w:t>
            </w:r>
          </w:p>
        </w:tc>
        <w:tc>
          <w:tcPr>
            <w:tcW w:w="596" w:type="pct"/>
          </w:tcPr>
          <w:p w14:paraId="790E7DAA" w14:textId="77777777" w:rsidR="008D22C6" w:rsidRPr="00914C79" w:rsidRDefault="008D22C6" w:rsidP="008D22C6">
            <w:pPr>
              <w:rPr>
                <w:rFonts w:eastAsia="Arial"/>
                <w:color w:val="auto"/>
              </w:rPr>
            </w:pPr>
            <w:r w:rsidRPr="00914C79">
              <w:rPr>
                <w:rFonts w:eastAsia="Arial"/>
                <w:color w:val="auto"/>
              </w:rPr>
              <w:t>0</w:t>
            </w:r>
          </w:p>
        </w:tc>
        <w:tc>
          <w:tcPr>
            <w:tcW w:w="597" w:type="pct"/>
          </w:tcPr>
          <w:p w14:paraId="3BF7C92F" w14:textId="77777777" w:rsidR="008D22C6" w:rsidRPr="00914C79" w:rsidRDefault="008D22C6" w:rsidP="008D22C6">
            <w:pPr>
              <w:rPr>
                <w:rFonts w:eastAsia="Arial"/>
                <w:color w:val="auto"/>
              </w:rPr>
            </w:pPr>
            <w:r w:rsidRPr="00914C79">
              <w:rPr>
                <w:rFonts w:eastAsia="Arial"/>
                <w:color w:val="auto"/>
              </w:rPr>
              <w:t>0</w:t>
            </w:r>
          </w:p>
        </w:tc>
        <w:tc>
          <w:tcPr>
            <w:tcW w:w="597" w:type="pct"/>
          </w:tcPr>
          <w:p w14:paraId="2BEDF59B" w14:textId="77777777" w:rsidR="008D22C6" w:rsidRPr="00914C79" w:rsidRDefault="008D22C6" w:rsidP="008D22C6">
            <w:pPr>
              <w:rPr>
                <w:rFonts w:eastAsia="Arial"/>
                <w:color w:val="auto"/>
              </w:rPr>
            </w:pPr>
            <w:r w:rsidRPr="00914C79">
              <w:rPr>
                <w:rFonts w:eastAsia="Arial"/>
                <w:color w:val="auto"/>
              </w:rPr>
              <w:t>0</w:t>
            </w:r>
          </w:p>
        </w:tc>
        <w:tc>
          <w:tcPr>
            <w:tcW w:w="522" w:type="pct"/>
          </w:tcPr>
          <w:p w14:paraId="62F3F381" w14:textId="77777777" w:rsidR="008D22C6" w:rsidRPr="00914C79" w:rsidRDefault="008D22C6" w:rsidP="008D22C6">
            <w:pPr>
              <w:rPr>
                <w:rFonts w:eastAsia="Arial"/>
                <w:color w:val="auto"/>
              </w:rPr>
            </w:pPr>
            <w:r w:rsidRPr="00914C79">
              <w:rPr>
                <w:rFonts w:eastAsia="Arial"/>
                <w:color w:val="auto"/>
              </w:rPr>
              <w:t>0</w:t>
            </w:r>
          </w:p>
        </w:tc>
        <w:tc>
          <w:tcPr>
            <w:tcW w:w="598" w:type="pct"/>
          </w:tcPr>
          <w:p w14:paraId="43D17E8B" w14:textId="77777777" w:rsidR="008D22C6" w:rsidRPr="00914C79" w:rsidRDefault="008D22C6" w:rsidP="008D22C6">
            <w:pPr>
              <w:jc w:val="center"/>
            </w:pPr>
            <w:r w:rsidRPr="00914C79">
              <w:rPr>
                <w:rFonts w:eastAsia="Arial"/>
                <w:color w:val="auto"/>
              </w:rPr>
              <w:t>nav precīzi aprēķināms</w:t>
            </w:r>
          </w:p>
        </w:tc>
        <w:tc>
          <w:tcPr>
            <w:tcW w:w="671" w:type="pct"/>
          </w:tcPr>
          <w:p w14:paraId="56F07CCD" w14:textId="77777777" w:rsidR="008D22C6" w:rsidRPr="00914C79" w:rsidRDefault="008D22C6" w:rsidP="008D22C6">
            <w:pPr>
              <w:jc w:val="center"/>
            </w:pPr>
            <w:r w:rsidRPr="00914C79">
              <w:rPr>
                <w:rFonts w:eastAsia="Arial"/>
                <w:color w:val="auto"/>
              </w:rPr>
              <w:t>nav precīzi aprēķināms</w:t>
            </w:r>
          </w:p>
        </w:tc>
      </w:tr>
      <w:tr w:rsidR="008D22C6" w:rsidRPr="00914C79" w14:paraId="1E6AEDCE" w14:textId="77777777" w:rsidTr="002209C6">
        <w:tc>
          <w:tcPr>
            <w:tcW w:w="762" w:type="pct"/>
          </w:tcPr>
          <w:p w14:paraId="45C2200B" w14:textId="77777777" w:rsidR="008D22C6" w:rsidRPr="00914C79" w:rsidRDefault="008D22C6" w:rsidP="008D22C6">
            <w:pPr>
              <w:rPr>
                <w:rFonts w:eastAsia="Arial"/>
                <w:color w:val="auto"/>
              </w:rPr>
            </w:pPr>
            <w:r w:rsidRPr="00914C79">
              <w:rPr>
                <w:rFonts w:eastAsia="Arial"/>
                <w:color w:val="auto"/>
              </w:rPr>
              <w:t>5.2. speciālais budžets</w:t>
            </w:r>
          </w:p>
        </w:tc>
        <w:tc>
          <w:tcPr>
            <w:tcW w:w="657" w:type="pct"/>
          </w:tcPr>
          <w:p w14:paraId="43541831" w14:textId="77777777" w:rsidR="008D22C6" w:rsidRPr="00914C79" w:rsidRDefault="008D22C6" w:rsidP="008D22C6">
            <w:pPr>
              <w:rPr>
                <w:rFonts w:eastAsia="Arial"/>
                <w:color w:val="auto"/>
              </w:rPr>
            </w:pPr>
            <w:r w:rsidRPr="00914C79">
              <w:rPr>
                <w:rFonts w:eastAsia="Arial"/>
                <w:color w:val="auto"/>
              </w:rPr>
              <w:t>0</w:t>
            </w:r>
          </w:p>
        </w:tc>
        <w:tc>
          <w:tcPr>
            <w:tcW w:w="596" w:type="pct"/>
          </w:tcPr>
          <w:p w14:paraId="0C30F39C" w14:textId="77777777" w:rsidR="008D22C6" w:rsidRPr="00914C79" w:rsidRDefault="008D22C6" w:rsidP="008D22C6">
            <w:pPr>
              <w:rPr>
                <w:rFonts w:eastAsia="Arial"/>
                <w:color w:val="auto"/>
              </w:rPr>
            </w:pPr>
            <w:r w:rsidRPr="00914C79">
              <w:rPr>
                <w:rFonts w:eastAsia="Arial"/>
                <w:color w:val="auto"/>
              </w:rPr>
              <w:t>0</w:t>
            </w:r>
          </w:p>
        </w:tc>
        <w:tc>
          <w:tcPr>
            <w:tcW w:w="597" w:type="pct"/>
          </w:tcPr>
          <w:p w14:paraId="4CFE590D" w14:textId="77777777" w:rsidR="008D22C6" w:rsidRPr="00914C79" w:rsidRDefault="008D22C6" w:rsidP="008D22C6">
            <w:pPr>
              <w:rPr>
                <w:rFonts w:eastAsia="Arial"/>
                <w:color w:val="auto"/>
              </w:rPr>
            </w:pPr>
            <w:r w:rsidRPr="00914C79">
              <w:rPr>
                <w:rFonts w:eastAsia="Arial"/>
                <w:color w:val="auto"/>
              </w:rPr>
              <w:t>0</w:t>
            </w:r>
          </w:p>
        </w:tc>
        <w:tc>
          <w:tcPr>
            <w:tcW w:w="597" w:type="pct"/>
          </w:tcPr>
          <w:p w14:paraId="54AB1619" w14:textId="77777777" w:rsidR="008D22C6" w:rsidRPr="00914C79" w:rsidRDefault="008D22C6" w:rsidP="008D22C6">
            <w:pPr>
              <w:rPr>
                <w:rFonts w:eastAsia="Arial"/>
                <w:color w:val="auto"/>
              </w:rPr>
            </w:pPr>
            <w:r w:rsidRPr="00914C79">
              <w:rPr>
                <w:rFonts w:eastAsia="Arial"/>
                <w:color w:val="auto"/>
              </w:rPr>
              <w:t>0</w:t>
            </w:r>
          </w:p>
        </w:tc>
        <w:tc>
          <w:tcPr>
            <w:tcW w:w="522" w:type="pct"/>
          </w:tcPr>
          <w:p w14:paraId="427B96C5" w14:textId="77777777" w:rsidR="008D22C6" w:rsidRPr="00914C79" w:rsidRDefault="008D22C6" w:rsidP="008D22C6">
            <w:pPr>
              <w:rPr>
                <w:rFonts w:eastAsia="Arial"/>
                <w:color w:val="auto"/>
              </w:rPr>
            </w:pPr>
            <w:r w:rsidRPr="00914C79">
              <w:rPr>
                <w:rFonts w:eastAsia="Arial"/>
                <w:color w:val="auto"/>
              </w:rPr>
              <w:t>0</w:t>
            </w:r>
          </w:p>
        </w:tc>
        <w:tc>
          <w:tcPr>
            <w:tcW w:w="598" w:type="pct"/>
          </w:tcPr>
          <w:p w14:paraId="1A53EDAB" w14:textId="77777777" w:rsidR="008D22C6" w:rsidRPr="00914C79" w:rsidRDefault="002F3AD7" w:rsidP="008D22C6">
            <w:pPr>
              <w:jc w:val="center"/>
            </w:pPr>
            <w:r w:rsidRPr="00914C79">
              <w:rPr>
                <w:rFonts w:eastAsia="Arial"/>
                <w:color w:val="auto"/>
              </w:rPr>
              <w:t>0</w:t>
            </w:r>
          </w:p>
        </w:tc>
        <w:tc>
          <w:tcPr>
            <w:tcW w:w="671" w:type="pct"/>
          </w:tcPr>
          <w:p w14:paraId="20D17464" w14:textId="77777777" w:rsidR="008D22C6" w:rsidRPr="00914C79" w:rsidRDefault="002F3AD7" w:rsidP="008D22C6">
            <w:pPr>
              <w:jc w:val="center"/>
            </w:pPr>
            <w:r w:rsidRPr="00914C79">
              <w:rPr>
                <w:rFonts w:eastAsia="Arial"/>
                <w:color w:val="auto"/>
              </w:rPr>
              <w:t>0</w:t>
            </w:r>
          </w:p>
        </w:tc>
      </w:tr>
      <w:tr w:rsidR="008D22C6" w:rsidRPr="00914C79" w14:paraId="6355192C" w14:textId="77777777" w:rsidTr="002209C6">
        <w:tc>
          <w:tcPr>
            <w:tcW w:w="762" w:type="pct"/>
          </w:tcPr>
          <w:p w14:paraId="0731CAA3" w14:textId="77777777" w:rsidR="008D22C6" w:rsidRPr="00914C79" w:rsidRDefault="008D22C6" w:rsidP="008D22C6">
            <w:pPr>
              <w:rPr>
                <w:rFonts w:eastAsia="Arial"/>
                <w:color w:val="auto"/>
              </w:rPr>
            </w:pPr>
            <w:r w:rsidRPr="00914C79">
              <w:rPr>
                <w:rFonts w:eastAsia="Arial"/>
                <w:color w:val="auto"/>
              </w:rPr>
              <w:t>5.3. pašvaldību budžets</w:t>
            </w:r>
          </w:p>
        </w:tc>
        <w:tc>
          <w:tcPr>
            <w:tcW w:w="657" w:type="pct"/>
          </w:tcPr>
          <w:p w14:paraId="1C3777AE" w14:textId="77777777" w:rsidR="008D22C6" w:rsidRPr="00914C79" w:rsidRDefault="008D22C6" w:rsidP="008D22C6">
            <w:pPr>
              <w:rPr>
                <w:rFonts w:eastAsia="Arial"/>
                <w:color w:val="auto"/>
              </w:rPr>
            </w:pPr>
            <w:r w:rsidRPr="00914C79">
              <w:rPr>
                <w:rFonts w:eastAsia="Arial"/>
                <w:color w:val="auto"/>
              </w:rPr>
              <w:t>0</w:t>
            </w:r>
          </w:p>
        </w:tc>
        <w:tc>
          <w:tcPr>
            <w:tcW w:w="596" w:type="pct"/>
          </w:tcPr>
          <w:p w14:paraId="16F704FD" w14:textId="77777777" w:rsidR="008D22C6" w:rsidRPr="00914C79" w:rsidRDefault="008D22C6" w:rsidP="008D22C6">
            <w:pPr>
              <w:rPr>
                <w:rFonts w:eastAsia="Arial"/>
                <w:color w:val="auto"/>
              </w:rPr>
            </w:pPr>
            <w:r w:rsidRPr="00914C79">
              <w:rPr>
                <w:rFonts w:eastAsia="Arial"/>
                <w:color w:val="auto"/>
              </w:rPr>
              <w:t>0</w:t>
            </w:r>
          </w:p>
        </w:tc>
        <w:tc>
          <w:tcPr>
            <w:tcW w:w="597" w:type="pct"/>
          </w:tcPr>
          <w:p w14:paraId="1D8708EC" w14:textId="77777777" w:rsidR="008D22C6" w:rsidRPr="00914C79" w:rsidRDefault="008D22C6" w:rsidP="008D22C6">
            <w:pPr>
              <w:rPr>
                <w:rFonts w:eastAsia="Arial"/>
                <w:color w:val="auto"/>
              </w:rPr>
            </w:pPr>
            <w:r w:rsidRPr="00914C79">
              <w:rPr>
                <w:rFonts w:eastAsia="Arial"/>
                <w:color w:val="auto"/>
              </w:rPr>
              <w:t>0</w:t>
            </w:r>
          </w:p>
        </w:tc>
        <w:tc>
          <w:tcPr>
            <w:tcW w:w="597" w:type="pct"/>
          </w:tcPr>
          <w:p w14:paraId="606E0340" w14:textId="77777777" w:rsidR="008D22C6" w:rsidRPr="00914C79" w:rsidRDefault="008D22C6" w:rsidP="008D22C6">
            <w:pPr>
              <w:rPr>
                <w:rFonts w:eastAsia="Arial"/>
                <w:color w:val="auto"/>
              </w:rPr>
            </w:pPr>
            <w:r w:rsidRPr="00914C79">
              <w:rPr>
                <w:rFonts w:eastAsia="Arial"/>
                <w:color w:val="auto"/>
              </w:rPr>
              <w:t>0</w:t>
            </w:r>
          </w:p>
        </w:tc>
        <w:tc>
          <w:tcPr>
            <w:tcW w:w="522" w:type="pct"/>
          </w:tcPr>
          <w:p w14:paraId="777F8CF5" w14:textId="77777777" w:rsidR="008D22C6" w:rsidRPr="00914C79" w:rsidRDefault="008D22C6" w:rsidP="008D22C6">
            <w:pPr>
              <w:rPr>
                <w:rFonts w:eastAsia="Arial"/>
                <w:color w:val="auto"/>
              </w:rPr>
            </w:pPr>
            <w:r w:rsidRPr="00914C79">
              <w:rPr>
                <w:rFonts w:eastAsia="Arial"/>
                <w:color w:val="auto"/>
              </w:rPr>
              <w:t>0</w:t>
            </w:r>
          </w:p>
        </w:tc>
        <w:tc>
          <w:tcPr>
            <w:tcW w:w="598" w:type="pct"/>
          </w:tcPr>
          <w:p w14:paraId="734F839E" w14:textId="77777777" w:rsidR="008D22C6" w:rsidRPr="00914C79" w:rsidRDefault="002F3AD7" w:rsidP="008D22C6">
            <w:pPr>
              <w:jc w:val="center"/>
            </w:pPr>
            <w:r w:rsidRPr="00914C79">
              <w:rPr>
                <w:rFonts w:eastAsia="Arial"/>
                <w:color w:val="auto"/>
              </w:rPr>
              <w:t>0</w:t>
            </w:r>
          </w:p>
        </w:tc>
        <w:tc>
          <w:tcPr>
            <w:tcW w:w="671" w:type="pct"/>
          </w:tcPr>
          <w:p w14:paraId="4C7944E6" w14:textId="77777777" w:rsidR="008D22C6" w:rsidRPr="00914C79" w:rsidRDefault="002F3AD7" w:rsidP="008D22C6">
            <w:pPr>
              <w:jc w:val="center"/>
            </w:pPr>
            <w:r w:rsidRPr="00914C79">
              <w:rPr>
                <w:rFonts w:eastAsia="Arial"/>
                <w:color w:val="auto"/>
              </w:rPr>
              <w:t>0</w:t>
            </w:r>
          </w:p>
        </w:tc>
      </w:tr>
      <w:tr w:rsidR="002209C6" w:rsidRPr="00914C79" w14:paraId="3C231ECF" w14:textId="77777777" w:rsidTr="002209C6">
        <w:trPr>
          <w:trHeight w:val="1266"/>
        </w:trPr>
        <w:tc>
          <w:tcPr>
            <w:tcW w:w="762" w:type="pct"/>
            <w:hideMark/>
          </w:tcPr>
          <w:p w14:paraId="52B3A338" w14:textId="77777777" w:rsidR="002209C6" w:rsidRPr="00914C79" w:rsidRDefault="002209C6" w:rsidP="009810E3">
            <w:pPr>
              <w:rPr>
                <w:rFonts w:eastAsia="Arial"/>
                <w:color w:val="auto"/>
              </w:rPr>
            </w:pPr>
            <w:r w:rsidRPr="00914C79">
              <w:rPr>
                <w:rFonts w:eastAsia="Arial"/>
                <w:color w:val="auto"/>
              </w:rPr>
              <w:t>6. Detalizēts ieņēmumu un izdevumu aprēķins (ja nepieciešams, detalizētu ieņēmumu un izdevumu aprēķinu var pievienot anotācijas pielikumā)</w:t>
            </w:r>
          </w:p>
        </w:tc>
        <w:tc>
          <w:tcPr>
            <w:tcW w:w="4238" w:type="pct"/>
            <w:gridSpan w:val="7"/>
            <w:vMerge w:val="restart"/>
          </w:tcPr>
          <w:p w14:paraId="50898D4F" w14:textId="77777777" w:rsidR="002209C6" w:rsidRPr="00914C79" w:rsidRDefault="002209C6" w:rsidP="009810E3">
            <w:pPr>
              <w:pStyle w:val="BodyText2"/>
              <w:spacing w:before="0" w:beforeAutospacing="0" w:after="0" w:afterAutospacing="0"/>
              <w:ind w:right="-113"/>
              <w:rPr>
                <w:color w:val="auto"/>
                <w:shd w:val="clear" w:color="auto" w:fill="FFFFFF"/>
              </w:rPr>
            </w:pPr>
          </w:p>
          <w:p w14:paraId="47FEF41A" w14:textId="77777777" w:rsidR="002209C6" w:rsidRPr="00914C79" w:rsidRDefault="002209C6" w:rsidP="002209C6">
            <w:pPr>
              <w:jc w:val="both"/>
              <w:rPr>
                <w:color w:val="414142"/>
              </w:rPr>
            </w:pPr>
            <w:r w:rsidRPr="00914C79">
              <w:rPr>
                <w:color w:val="414142"/>
              </w:rPr>
              <w:t>Ietekme uz budžeta izdevumiem nav precīzi aprēķināma. 2022. gadā projekta īstenošana uz valsts budžetu ietekmi neradīs, jo Valsts drošības dienests īstenos piekritīgos pienākumus piešķirto budžeta līdzekļu ietvaros, bet papildu finansējums būs nepieciešams no 2023. gada. Precīza ietekme uz budžetu 2023. un turpmākajos gados nav aprēķināma, jo 2022. gadā tiks īstenots projektā ietvertais tiesiskais regulējums un tiks izvērtēti projektā paredzētā tiesiskā regulējuma ieviešanas radītāji 2022. gadā, kas tiks izmantoti, lai aprēķinātu Valsts drošības dienestam nepieciešamā finansējuma apmēru no 2023. gada. Nepieciešamā finansējuma apmērs 2023. gadam tiks aprēķināts 2023. gada valsts budžeta sagatavošanas procesā.</w:t>
            </w:r>
          </w:p>
          <w:p w14:paraId="1AE77293" w14:textId="77777777" w:rsidR="002209C6" w:rsidRPr="00914C79" w:rsidRDefault="002209C6" w:rsidP="002209C6">
            <w:pPr>
              <w:pStyle w:val="BodyText"/>
              <w:ind w:right="-113"/>
              <w:rPr>
                <w:rFonts w:ascii="Times New Roman" w:hAnsi="Times New Roman" w:cs="Times New Roman"/>
                <w:color w:val="auto"/>
              </w:rPr>
            </w:pPr>
            <w:r w:rsidRPr="00914C79">
              <w:rPr>
                <w:rFonts w:ascii="Times New Roman" w:hAnsi="Times New Roman" w:cs="Times New Roman"/>
                <w:color w:val="414142"/>
              </w:rPr>
              <w:t>2023.gadā primāri tiks vērtētas iespējas Valsts drošības dienestam īstenot piekritīgos pienākumus piešķirto budžeta līdzekļu ietvaros.</w:t>
            </w:r>
          </w:p>
        </w:tc>
      </w:tr>
      <w:tr w:rsidR="002209C6" w:rsidRPr="00914C79" w14:paraId="5DFA5B92" w14:textId="77777777" w:rsidTr="002209C6">
        <w:trPr>
          <w:trHeight w:val="1134"/>
        </w:trPr>
        <w:tc>
          <w:tcPr>
            <w:tcW w:w="762" w:type="pct"/>
            <w:hideMark/>
          </w:tcPr>
          <w:p w14:paraId="2A61C7E3" w14:textId="77777777" w:rsidR="002209C6" w:rsidRPr="00914C79" w:rsidRDefault="002209C6" w:rsidP="009810E3">
            <w:pPr>
              <w:rPr>
                <w:rFonts w:eastAsia="Arial"/>
                <w:color w:val="auto"/>
              </w:rPr>
            </w:pPr>
            <w:r w:rsidRPr="00914C79">
              <w:rPr>
                <w:rFonts w:eastAsia="Arial"/>
                <w:color w:val="auto"/>
              </w:rPr>
              <w:t>6.1. detalizēts ieņēmumu aprēķins</w:t>
            </w:r>
          </w:p>
        </w:tc>
        <w:tc>
          <w:tcPr>
            <w:tcW w:w="4238" w:type="pct"/>
            <w:gridSpan w:val="7"/>
            <w:vMerge/>
            <w:hideMark/>
          </w:tcPr>
          <w:p w14:paraId="043E1D65" w14:textId="77777777" w:rsidR="002209C6" w:rsidRPr="00914C79" w:rsidRDefault="002209C6" w:rsidP="009810E3">
            <w:pPr>
              <w:rPr>
                <w:rFonts w:eastAsia="Arial"/>
                <w:color w:val="auto"/>
              </w:rPr>
            </w:pPr>
          </w:p>
        </w:tc>
      </w:tr>
      <w:tr w:rsidR="002209C6" w:rsidRPr="00914C79" w14:paraId="5ABDEC17" w14:textId="77777777" w:rsidTr="002209C6">
        <w:tc>
          <w:tcPr>
            <w:tcW w:w="762" w:type="pct"/>
            <w:hideMark/>
          </w:tcPr>
          <w:p w14:paraId="6897CC80" w14:textId="77777777" w:rsidR="002209C6" w:rsidRPr="00914C79" w:rsidRDefault="002209C6" w:rsidP="009810E3">
            <w:pPr>
              <w:rPr>
                <w:rFonts w:eastAsia="Arial"/>
                <w:color w:val="auto"/>
              </w:rPr>
            </w:pPr>
            <w:r w:rsidRPr="00914C79">
              <w:rPr>
                <w:rFonts w:eastAsia="Arial"/>
                <w:color w:val="auto"/>
              </w:rPr>
              <w:t xml:space="preserve">6.2. </w:t>
            </w:r>
          </w:p>
          <w:p w14:paraId="228D29E3" w14:textId="77777777" w:rsidR="002209C6" w:rsidRPr="00914C79" w:rsidRDefault="002209C6" w:rsidP="009810E3">
            <w:pPr>
              <w:rPr>
                <w:rFonts w:eastAsia="Arial"/>
                <w:color w:val="auto"/>
              </w:rPr>
            </w:pPr>
            <w:r w:rsidRPr="00914C79">
              <w:rPr>
                <w:rFonts w:eastAsia="Arial"/>
                <w:color w:val="auto"/>
              </w:rPr>
              <w:t>detalizēts izdevumu aprēķins</w:t>
            </w:r>
          </w:p>
        </w:tc>
        <w:tc>
          <w:tcPr>
            <w:tcW w:w="4238" w:type="pct"/>
            <w:gridSpan w:val="7"/>
            <w:vMerge/>
            <w:hideMark/>
          </w:tcPr>
          <w:p w14:paraId="1C8CA5B6" w14:textId="77777777" w:rsidR="002209C6" w:rsidRPr="00914C79" w:rsidRDefault="002209C6" w:rsidP="009810E3">
            <w:pPr>
              <w:rPr>
                <w:rFonts w:eastAsia="Arial"/>
                <w:color w:val="auto"/>
              </w:rPr>
            </w:pPr>
          </w:p>
        </w:tc>
      </w:tr>
      <w:tr w:rsidR="002209C6" w:rsidRPr="00914C79" w14:paraId="7591742E" w14:textId="77777777" w:rsidTr="002209C6">
        <w:tc>
          <w:tcPr>
            <w:tcW w:w="762" w:type="pct"/>
            <w:hideMark/>
          </w:tcPr>
          <w:p w14:paraId="4317184E" w14:textId="77777777" w:rsidR="002209C6" w:rsidRPr="00914C79" w:rsidRDefault="002209C6" w:rsidP="009810E3">
            <w:pPr>
              <w:rPr>
                <w:rFonts w:eastAsia="Arial"/>
                <w:color w:val="auto"/>
              </w:rPr>
            </w:pPr>
            <w:r w:rsidRPr="00914C79">
              <w:rPr>
                <w:rFonts w:eastAsia="Arial"/>
                <w:color w:val="auto"/>
              </w:rPr>
              <w:t>7. Amata vietu skaita izmaiņas</w:t>
            </w:r>
          </w:p>
        </w:tc>
        <w:tc>
          <w:tcPr>
            <w:tcW w:w="4238" w:type="pct"/>
            <w:gridSpan w:val="7"/>
            <w:hideMark/>
          </w:tcPr>
          <w:p w14:paraId="680C3C07" w14:textId="77777777" w:rsidR="002209C6" w:rsidRPr="00914C79" w:rsidRDefault="002209C6" w:rsidP="009810E3">
            <w:pPr>
              <w:ind w:right="177"/>
              <w:rPr>
                <w:rFonts w:eastAsia="Arial"/>
                <w:color w:val="auto"/>
              </w:rPr>
            </w:pPr>
            <w:r w:rsidRPr="00914C79">
              <w:rPr>
                <w:rFonts w:eastAsia="Arial"/>
                <w:color w:val="auto"/>
              </w:rPr>
              <w:t xml:space="preserve"> Nav.</w:t>
            </w:r>
          </w:p>
          <w:p w14:paraId="3867D4A0" w14:textId="77777777" w:rsidR="002209C6" w:rsidRPr="00914C79" w:rsidRDefault="002209C6" w:rsidP="009810E3">
            <w:pPr>
              <w:rPr>
                <w:rFonts w:eastAsia="Arial"/>
                <w:color w:val="auto"/>
              </w:rPr>
            </w:pPr>
          </w:p>
          <w:p w14:paraId="0254D02D" w14:textId="77777777" w:rsidR="002209C6" w:rsidRPr="00914C79" w:rsidRDefault="002209C6" w:rsidP="009810E3">
            <w:pPr>
              <w:rPr>
                <w:rFonts w:eastAsia="Arial"/>
                <w:color w:val="auto"/>
              </w:rPr>
            </w:pPr>
          </w:p>
          <w:p w14:paraId="0AC2FDDB" w14:textId="77777777" w:rsidR="002209C6" w:rsidRPr="00914C79" w:rsidRDefault="002209C6" w:rsidP="009810E3">
            <w:pPr>
              <w:tabs>
                <w:tab w:val="left" w:pos="1124"/>
              </w:tabs>
              <w:rPr>
                <w:rFonts w:eastAsia="Arial"/>
                <w:color w:val="auto"/>
              </w:rPr>
            </w:pPr>
            <w:r w:rsidRPr="00914C79">
              <w:rPr>
                <w:rFonts w:eastAsia="Arial"/>
                <w:color w:val="auto"/>
              </w:rPr>
              <w:tab/>
            </w:r>
          </w:p>
        </w:tc>
      </w:tr>
      <w:tr w:rsidR="002209C6" w:rsidRPr="00914C79" w14:paraId="1C821586" w14:textId="77777777" w:rsidTr="002209C6">
        <w:tc>
          <w:tcPr>
            <w:tcW w:w="762" w:type="pct"/>
            <w:hideMark/>
          </w:tcPr>
          <w:p w14:paraId="6822ED54" w14:textId="77777777" w:rsidR="002209C6" w:rsidRPr="00914C79" w:rsidRDefault="002209C6" w:rsidP="002209C6">
            <w:pPr>
              <w:rPr>
                <w:rFonts w:eastAsia="Arial"/>
                <w:color w:val="auto"/>
              </w:rPr>
            </w:pPr>
            <w:r w:rsidRPr="00914C79">
              <w:rPr>
                <w:rFonts w:eastAsia="Arial"/>
                <w:color w:val="auto"/>
              </w:rPr>
              <w:t>8. Cita informācija</w:t>
            </w:r>
          </w:p>
        </w:tc>
        <w:tc>
          <w:tcPr>
            <w:tcW w:w="4238" w:type="pct"/>
            <w:gridSpan w:val="7"/>
            <w:hideMark/>
          </w:tcPr>
          <w:p w14:paraId="1EF79E56" w14:textId="77777777" w:rsidR="002209C6" w:rsidRPr="00914C79" w:rsidRDefault="002209C6" w:rsidP="002209C6">
            <w:pPr>
              <w:jc w:val="both"/>
              <w:rPr>
                <w:color w:val="414142"/>
              </w:rPr>
            </w:pPr>
            <w:r w:rsidRPr="00914C79">
              <w:rPr>
                <w:color w:val="414142"/>
              </w:rPr>
              <w:t>Pievienotais Ministru kabineta sēdes protokollēmuma projekts paredz jautājumu par papildu nepieciešamā finansējuma piešķiršanu Iekšlietu ministrijai (Valsts drošības dienestam) Ministru kabineta noteikumu projekta īstenošanai 2023. gadam un turpmāk izskatīt Ministru kabinetā likumprojekta “Par valsts budžetu 2023. gadam” un likumprojekta “Par vidēja termiņa budžeta ietvaru 2023., 2024. un 2025. gadam” sagatavošanas un izskatīšanas procesā kopā ar visu ministriju un centrālo valsts iestāžu iesniegtajiem prioritāro pasākumu pieteikumiem atbilstoši valsts budžeta finansiālajām iespējām.</w:t>
            </w:r>
          </w:p>
        </w:tc>
      </w:tr>
    </w:tbl>
    <w:p w14:paraId="458065B5" w14:textId="77777777" w:rsidR="00381AB2" w:rsidRPr="00914C79" w:rsidRDefault="00381AB2"/>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16"/>
      </w:tblGrid>
      <w:tr w:rsidR="00516211" w:rsidRPr="00914C79" w14:paraId="217A9E50" w14:textId="77777777" w:rsidTr="00C92E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ABB26" w14:textId="77777777" w:rsidR="00516211" w:rsidRPr="00914C79" w:rsidRDefault="00516211" w:rsidP="001D7D01">
            <w:pPr>
              <w:spacing w:before="100" w:beforeAutospacing="1" w:after="100" w:afterAutospacing="1"/>
              <w:jc w:val="center"/>
              <w:rPr>
                <w:rFonts w:eastAsia="Times New Roman"/>
                <w:b/>
                <w:bCs/>
                <w:lang w:eastAsia="lv-LV"/>
              </w:rPr>
            </w:pPr>
            <w:r w:rsidRPr="00914C79">
              <w:rPr>
                <w:rFonts w:eastAsia="Times New Roman"/>
                <w:b/>
                <w:bCs/>
                <w:lang w:eastAsia="lv-LV"/>
              </w:rPr>
              <w:t>IV. Tiesību akta projekta ietekme uz spēkā esošo tiesību normu sistēmu</w:t>
            </w:r>
          </w:p>
        </w:tc>
      </w:tr>
      <w:tr w:rsidR="00C463DB" w:rsidRPr="00914C79" w14:paraId="1B617D1E" w14:textId="77777777" w:rsidTr="00C92EC4">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2EDE25EB" w14:textId="44548815" w:rsidR="00C463DB" w:rsidRPr="00914C79" w:rsidRDefault="00C463DB" w:rsidP="003A4A8C">
            <w:pPr>
              <w:spacing w:after="0"/>
              <w:jc w:val="both"/>
              <w:rPr>
                <w:rFonts w:eastAsia="Times New Roman"/>
                <w:lang w:eastAsia="lv-LV"/>
              </w:rPr>
            </w:pPr>
            <w:r w:rsidRPr="00914C79">
              <w:rPr>
                <w:rFonts w:eastAsia="Times New Roman"/>
                <w:lang w:eastAsia="lv-LV"/>
              </w:rPr>
              <w:t>Projekts šo jomu neskar.</w:t>
            </w:r>
          </w:p>
        </w:tc>
      </w:tr>
    </w:tbl>
    <w:p w14:paraId="26A75C09" w14:textId="578522FC" w:rsidR="008C0EDC" w:rsidRDefault="00516211" w:rsidP="008C0EDC">
      <w:pPr>
        <w:spacing w:after="0"/>
        <w:rPr>
          <w:rFonts w:eastAsia="Times New Roman"/>
          <w:lang w:eastAsia="lv-LV"/>
        </w:rPr>
      </w:pPr>
      <w:r w:rsidRPr="00914C79">
        <w:rPr>
          <w:rFonts w:eastAsia="Times New Roman"/>
          <w:lang w:eastAsia="lv-LV"/>
        </w:rPr>
        <w:t xml:space="preserve">  </w:t>
      </w:r>
    </w:p>
    <w:p w14:paraId="299C06F9" w14:textId="77777777" w:rsidR="00D909B7" w:rsidRPr="00914C79" w:rsidRDefault="00D909B7"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914C79" w14:paraId="11874740"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8279CA" w14:textId="77777777" w:rsidR="008C0EDC" w:rsidRPr="00914C79" w:rsidRDefault="008C0EDC" w:rsidP="008C0EDC">
            <w:pPr>
              <w:spacing w:before="100" w:beforeAutospacing="1" w:after="100" w:afterAutospacing="1"/>
              <w:jc w:val="center"/>
              <w:rPr>
                <w:rFonts w:eastAsia="Times New Roman"/>
                <w:b/>
                <w:bCs/>
                <w:lang w:eastAsia="lv-LV"/>
              </w:rPr>
            </w:pPr>
            <w:r w:rsidRPr="00914C79">
              <w:rPr>
                <w:rFonts w:eastAsia="Times New Roman"/>
                <w:b/>
                <w:bCs/>
                <w:lang w:eastAsia="lv-LV"/>
              </w:rPr>
              <w:lastRenderedPageBreak/>
              <w:t>V. Tiesību akta projekta atbilstība Latvijas Republikas starptautiskajām saistībām</w:t>
            </w:r>
          </w:p>
        </w:tc>
      </w:tr>
      <w:tr w:rsidR="008C0EDC" w:rsidRPr="00914C79" w14:paraId="663BAA84" w14:textId="77777777" w:rsidTr="009346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C52850"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FA8322B" w14:textId="77777777" w:rsidR="008C0EDC" w:rsidRPr="00914C79" w:rsidRDefault="008C0EDC" w:rsidP="008C0EDC">
            <w:pPr>
              <w:spacing w:after="0"/>
              <w:rPr>
                <w:rFonts w:eastAsia="Times New Roman"/>
                <w:lang w:eastAsia="lv-LV"/>
              </w:rPr>
            </w:pPr>
            <w:r w:rsidRPr="00914C79">
              <w:rPr>
                <w:rFonts w:eastAsia="Times New Roman"/>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tcPr>
          <w:p w14:paraId="529982CC" w14:textId="77777777" w:rsidR="007744F5" w:rsidRPr="00914C79" w:rsidRDefault="000A6B88" w:rsidP="004C1778">
            <w:pPr>
              <w:spacing w:after="0"/>
              <w:jc w:val="both"/>
              <w:rPr>
                <w:rFonts w:eastAsia="Times New Roman"/>
                <w:lang w:eastAsia="lv-LV"/>
              </w:rPr>
            </w:pPr>
            <w:r w:rsidRPr="00914C79">
              <w:rPr>
                <w:rFonts w:eastAsia="Times New Roman"/>
                <w:lang w:eastAsia="lv-LV"/>
              </w:rPr>
              <w:t>Komisijas 2015.gada 5.novembra Īstenošanas Regula (ES) Nr. 2015/1998, ar ko nosaka sīki izstrādātus pasākumus kopīgu pamatstandartu īstenošanai aviācijas drošības jomā (publicēta “Eiropas Savienības Oficiālajā Vēstnesī” L 299, 14.11.2015.).</w:t>
            </w:r>
          </w:p>
        </w:tc>
      </w:tr>
      <w:tr w:rsidR="008C0EDC" w:rsidRPr="00914C79" w14:paraId="2AFEE0AB" w14:textId="77777777" w:rsidTr="009346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098510" w14:textId="77777777" w:rsidR="008C0EDC" w:rsidRPr="00914C79" w:rsidRDefault="000674F4" w:rsidP="008C0EDC">
            <w:pPr>
              <w:spacing w:before="100" w:beforeAutospacing="1" w:after="100" w:afterAutospacing="1"/>
              <w:jc w:val="center"/>
              <w:rPr>
                <w:rFonts w:eastAsia="Times New Roman"/>
                <w:lang w:eastAsia="lv-LV"/>
              </w:rPr>
            </w:pPr>
            <w:r w:rsidRPr="00914C79">
              <w:rPr>
                <w:rFonts w:eastAsia="Times New Roman"/>
                <w:lang w:eastAsia="lv-LV"/>
              </w:rPr>
              <w:t>2</w:t>
            </w:r>
            <w:r w:rsidR="008C0EDC" w:rsidRPr="00914C79">
              <w:rPr>
                <w:rFonts w:eastAsia="Times New Roman"/>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7A427AFE" w14:textId="77777777" w:rsidR="008C0EDC" w:rsidRPr="00914C79" w:rsidRDefault="009346D8" w:rsidP="008C0EDC">
            <w:pPr>
              <w:spacing w:after="0"/>
              <w:rPr>
                <w:rFonts w:eastAsia="Times New Roman"/>
                <w:lang w:eastAsia="lv-LV"/>
              </w:rPr>
            </w:pPr>
            <w:r w:rsidRPr="00914C79">
              <w:rPr>
                <w:rFonts w:eastAsia="Times New Roman"/>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tcPr>
          <w:p w14:paraId="63756DB7" w14:textId="77777777" w:rsidR="008C0EDC" w:rsidRPr="00914C79" w:rsidRDefault="006F2C12" w:rsidP="0045152E">
            <w:pPr>
              <w:spacing w:after="0"/>
              <w:jc w:val="both"/>
            </w:pPr>
            <w:r w:rsidRPr="00914C79">
              <w:rPr>
                <w:rFonts w:eastAsia="Times New Roman"/>
                <w:lang w:eastAsia="lv-LV"/>
              </w:rPr>
              <w:t>Projekts šo jomu neskar.</w:t>
            </w:r>
          </w:p>
        </w:tc>
      </w:tr>
      <w:tr w:rsidR="009346D8" w:rsidRPr="00914C79" w14:paraId="00D1C34A" w14:textId="77777777" w:rsidTr="009346D8">
        <w:trPr>
          <w:tblCellSpacing w:w="15" w:type="dxa"/>
        </w:trPr>
        <w:tc>
          <w:tcPr>
            <w:tcW w:w="296" w:type="pct"/>
            <w:tcBorders>
              <w:top w:val="outset" w:sz="6" w:space="0" w:color="auto"/>
              <w:left w:val="outset" w:sz="6" w:space="0" w:color="auto"/>
              <w:bottom w:val="outset" w:sz="6" w:space="0" w:color="auto"/>
              <w:right w:val="outset" w:sz="6" w:space="0" w:color="auto"/>
            </w:tcBorders>
          </w:tcPr>
          <w:p w14:paraId="0EFDDC23" w14:textId="77777777" w:rsidR="009346D8" w:rsidRPr="00914C79" w:rsidRDefault="009346D8" w:rsidP="009346D8">
            <w:pPr>
              <w:spacing w:before="100" w:beforeAutospacing="1" w:after="100" w:afterAutospacing="1"/>
              <w:jc w:val="center"/>
              <w:rPr>
                <w:rFonts w:eastAsia="Times New Roman"/>
                <w:lang w:eastAsia="lv-LV"/>
              </w:rPr>
            </w:pPr>
            <w:r w:rsidRPr="00914C79">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tcPr>
          <w:p w14:paraId="3BF2E04A" w14:textId="77777777" w:rsidR="009346D8" w:rsidRPr="00914C79" w:rsidRDefault="009346D8" w:rsidP="009346D8">
            <w:pPr>
              <w:spacing w:after="0"/>
              <w:rPr>
                <w:rFonts w:eastAsia="Times New Roman"/>
                <w:lang w:eastAsia="lv-LV"/>
              </w:rPr>
            </w:pPr>
            <w:r w:rsidRPr="00914C79">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6F934BD9" w14:textId="77777777" w:rsidR="009346D8" w:rsidRPr="00914C79" w:rsidRDefault="009346D8" w:rsidP="009346D8">
            <w:pPr>
              <w:spacing w:after="0"/>
              <w:jc w:val="both"/>
              <w:rPr>
                <w:rFonts w:eastAsia="Times New Roman"/>
                <w:lang w:eastAsia="lv-LV"/>
              </w:rPr>
            </w:pPr>
            <w:r w:rsidRPr="00914C79">
              <w:rPr>
                <w:rFonts w:eastAsia="Times New Roman"/>
                <w:lang w:eastAsia="lv-LV"/>
              </w:rPr>
              <w:t>Nav.</w:t>
            </w:r>
          </w:p>
        </w:tc>
      </w:tr>
    </w:tbl>
    <w:p w14:paraId="0A3DA050" w14:textId="77777777" w:rsidR="008C0EDC" w:rsidRPr="00914C79"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90"/>
        <w:gridCol w:w="2393"/>
        <w:gridCol w:w="1781"/>
        <w:gridCol w:w="2652"/>
      </w:tblGrid>
      <w:tr w:rsidR="008C0EDC" w:rsidRPr="00914C79" w14:paraId="08236B25" w14:textId="77777777" w:rsidTr="008C0E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93BD9E7" w14:textId="77777777" w:rsidR="008C0EDC" w:rsidRPr="00914C79" w:rsidRDefault="008C0EDC" w:rsidP="008C0EDC">
            <w:pPr>
              <w:spacing w:before="100" w:beforeAutospacing="1" w:after="100" w:afterAutospacing="1"/>
              <w:jc w:val="center"/>
              <w:rPr>
                <w:rFonts w:eastAsia="Times New Roman"/>
                <w:b/>
                <w:bCs/>
                <w:lang w:eastAsia="lv-LV"/>
              </w:rPr>
            </w:pPr>
            <w:r w:rsidRPr="00914C79">
              <w:rPr>
                <w:rFonts w:eastAsia="Times New Roman"/>
                <w:b/>
                <w:bCs/>
                <w:lang w:eastAsia="lv-LV"/>
              </w:rPr>
              <w:t>1. tabula</w:t>
            </w:r>
            <w:r w:rsidRPr="00914C79">
              <w:rPr>
                <w:rFonts w:eastAsia="Times New Roman"/>
                <w:b/>
                <w:bCs/>
                <w:lang w:eastAsia="lv-LV"/>
              </w:rPr>
              <w:br/>
              <w:t>Tiesību akta projekta atbilstība ES tiesību aktiem</w:t>
            </w:r>
          </w:p>
        </w:tc>
      </w:tr>
      <w:tr w:rsidR="008C0EDC" w:rsidRPr="00914C79" w14:paraId="0D85F473"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14:paraId="51D21BD2" w14:textId="77777777" w:rsidR="008C0EDC" w:rsidRPr="00914C79" w:rsidRDefault="008C0EDC" w:rsidP="008C0EDC">
            <w:pPr>
              <w:spacing w:after="0"/>
              <w:rPr>
                <w:rFonts w:eastAsia="Times New Roman"/>
                <w:lang w:eastAsia="lv-LV"/>
              </w:rPr>
            </w:pPr>
            <w:r w:rsidRPr="00914C79">
              <w:rPr>
                <w:rFonts w:eastAsia="Times New Roman"/>
                <w:lang w:eastAsia="lv-LV"/>
              </w:rPr>
              <w:t>Attiecīgā ES tiesību akta datums, numurs un nosaukums</w:t>
            </w:r>
          </w:p>
        </w:tc>
        <w:tc>
          <w:tcPr>
            <w:tcW w:w="3627" w:type="pct"/>
            <w:gridSpan w:val="3"/>
            <w:tcBorders>
              <w:top w:val="outset" w:sz="6" w:space="0" w:color="auto"/>
              <w:left w:val="outset" w:sz="6" w:space="0" w:color="auto"/>
              <w:bottom w:val="outset" w:sz="6" w:space="0" w:color="auto"/>
              <w:right w:val="outset" w:sz="6" w:space="0" w:color="auto"/>
            </w:tcBorders>
            <w:hideMark/>
          </w:tcPr>
          <w:p w14:paraId="048215AB" w14:textId="77777777" w:rsidR="00671271" w:rsidRPr="00914C79" w:rsidRDefault="00A601C5" w:rsidP="00224937">
            <w:pPr>
              <w:spacing w:after="0"/>
              <w:jc w:val="both"/>
              <w:rPr>
                <w:rFonts w:eastAsia="Times New Roman"/>
                <w:lang w:eastAsia="lv-LV"/>
              </w:rPr>
            </w:pPr>
            <w:r w:rsidRPr="00914C79">
              <w:rPr>
                <w:rFonts w:eastAsia="Times New Roman"/>
                <w:lang w:eastAsia="lv-LV"/>
              </w:rPr>
              <w:t>Komisijas 2015.gada 5.novembra Īstenošanas Regula (ES) Nr. 2015/1998, ar ko nosaka sīki izstrādātus pasākumus kopīgu pamatstandartu īstenošanai aviācijas drošības jomā (publicēta “Eiropas Savienības Oficiālajā Vēstnesī” L 299, 14.11.2015.).</w:t>
            </w:r>
          </w:p>
        </w:tc>
      </w:tr>
      <w:tr w:rsidR="004D0DF3" w:rsidRPr="00914C79" w14:paraId="4A36FC94"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vAlign w:val="center"/>
            <w:hideMark/>
          </w:tcPr>
          <w:p w14:paraId="66FFA383"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A</w:t>
            </w:r>
          </w:p>
        </w:tc>
        <w:tc>
          <w:tcPr>
            <w:tcW w:w="1264" w:type="pct"/>
            <w:tcBorders>
              <w:top w:val="outset" w:sz="6" w:space="0" w:color="auto"/>
              <w:left w:val="outset" w:sz="6" w:space="0" w:color="auto"/>
              <w:bottom w:val="outset" w:sz="6" w:space="0" w:color="auto"/>
              <w:right w:val="outset" w:sz="6" w:space="0" w:color="auto"/>
            </w:tcBorders>
            <w:vAlign w:val="center"/>
            <w:hideMark/>
          </w:tcPr>
          <w:p w14:paraId="7830BA38"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B</w:t>
            </w:r>
          </w:p>
        </w:tc>
        <w:tc>
          <w:tcPr>
            <w:tcW w:w="949" w:type="pct"/>
            <w:tcBorders>
              <w:top w:val="outset" w:sz="6" w:space="0" w:color="auto"/>
              <w:left w:val="outset" w:sz="6" w:space="0" w:color="auto"/>
              <w:bottom w:val="outset" w:sz="6" w:space="0" w:color="auto"/>
              <w:right w:val="outset" w:sz="6" w:space="0" w:color="auto"/>
            </w:tcBorders>
            <w:vAlign w:val="center"/>
            <w:hideMark/>
          </w:tcPr>
          <w:p w14:paraId="0064EA30"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C</w:t>
            </w:r>
          </w:p>
        </w:tc>
        <w:tc>
          <w:tcPr>
            <w:tcW w:w="1380" w:type="pct"/>
            <w:tcBorders>
              <w:top w:val="outset" w:sz="6" w:space="0" w:color="auto"/>
              <w:left w:val="outset" w:sz="6" w:space="0" w:color="auto"/>
              <w:bottom w:val="outset" w:sz="6" w:space="0" w:color="auto"/>
              <w:right w:val="outset" w:sz="6" w:space="0" w:color="auto"/>
            </w:tcBorders>
            <w:vAlign w:val="center"/>
            <w:hideMark/>
          </w:tcPr>
          <w:p w14:paraId="3A78E005"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D</w:t>
            </w:r>
          </w:p>
        </w:tc>
      </w:tr>
      <w:tr w:rsidR="004D0DF3" w:rsidRPr="00914C79" w14:paraId="49FE2DBC"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14:paraId="3A849D0C" w14:textId="77777777" w:rsidR="008C0EDC" w:rsidRPr="00914C79" w:rsidRDefault="008C0EDC" w:rsidP="008C0EDC">
            <w:pPr>
              <w:spacing w:after="0"/>
              <w:rPr>
                <w:rFonts w:eastAsia="Times New Roman"/>
                <w:lang w:eastAsia="lv-LV"/>
              </w:rPr>
            </w:pPr>
            <w:r w:rsidRPr="00914C79">
              <w:rPr>
                <w:rFonts w:eastAsia="Times New Roman"/>
                <w:lang w:eastAsia="lv-LV"/>
              </w:rPr>
              <w:t>Attiecīgā ES tiesību akta panta numurs (uzskaitot katru tiesību akta vienību - pantu, daļu, punktu, apakšpunktu)</w:t>
            </w:r>
          </w:p>
        </w:tc>
        <w:tc>
          <w:tcPr>
            <w:tcW w:w="1264" w:type="pct"/>
            <w:tcBorders>
              <w:top w:val="outset" w:sz="6" w:space="0" w:color="auto"/>
              <w:left w:val="outset" w:sz="6" w:space="0" w:color="auto"/>
              <w:bottom w:val="outset" w:sz="6" w:space="0" w:color="auto"/>
              <w:right w:val="outset" w:sz="6" w:space="0" w:color="auto"/>
            </w:tcBorders>
            <w:hideMark/>
          </w:tcPr>
          <w:p w14:paraId="0C89A2B0" w14:textId="77777777" w:rsidR="008C0EDC" w:rsidRPr="00914C79" w:rsidRDefault="008C0EDC" w:rsidP="008C0EDC">
            <w:pPr>
              <w:spacing w:after="0"/>
              <w:rPr>
                <w:rFonts w:eastAsia="Times New Roman"/>
                <w:lang w:eastAsia="lv-LV"/>
              </w:rPr>
            </w:pPr>
            <w:r w:rsidRPr="00914C79">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949" w:type="pct"/>
            <w:tcBorders>
              <w:top w:val="outset" w:sz="6" w:space="0" w:color="auto"/>
              <w:left w:val="outset" w:sz="6" w:space="0" w:color="auto"/>
              <w:bottom w:val="outset" w:sz="6" w:space="0" w:color="auto"/>
              <w:right w:val="outset" w:sz="6" w:space="0" w:color="auto"/>
            </w:tcBorders>
            <w:hideMark/>
          </w:tcPr>
          <w:p w14:paraId="1732FECD" w14:textId="77777777" w:rsidR="008C0EDC" w:rsidRPr="00914C79" w:rsidRDefault="008C0EDC" w:rsidP="008C0EDC">
            <w:pPr>
              <w:spacing w:after="0"/>
              <w:rPr>
                <w:rFonts w:eastAsia="Times New Roman"/>
                <w:lang w:eastAsia="lv-LV"/>
              </w:rPr>
            </w:pPr>
            <w:r w:rsidRPr="00914C79">
              <w:rPr>
                <w:rFonts w:eastAsia="Times New Roman"/>
                <w:lang w:eastAsia="lv-LV"/>
              </w:rPr>
              <w:t>Informācija par to, vai šīs tabulas A ailē minētās ES tiesību akta vienības tiek pārņemtas vai ieviestas pilnībā vai daļēji.</w:t>
            </w:r>
            <w:r w:rsidRPr="00914C79">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914C79">
              <w:rPr>
                <w:rFonts w:eastAsia="Times New Roman"/>
                <w:lang w:eastAsia="lv-LV"/>
              </w:rPr>
              <w:br/>
              <w:t>Norāda institūciju, kas ir atbildīga par šo saistību izpildi pilnībā</w:t>
            </w:r>
          </w:p>
        </w:tc>
        <w:tc>
          <w:tcPr>
            <w:tcW w:w="1380" w:type="pct"/>
            <w:tcBorders>
              <w:top w:val="outset" w:sz="6" w:space="0" w:color="auto"/>
              <w:left w:val="outset" w:sz="6" w:space="0" w:color="auto"/>
              <w:bottom w:val="outset" w:sz="6" w:space="0" w:color="auto"/>
              <w:right w:val="outset" w:sz="6" w:space="0" w:color="auto"/>
            </w:tcBorders>
            <w:hideMark/>
          </w:tcPr>
          <w:p w14:paraId="1A65AF2E" w14:textId="77777777" w:rsidR="008C0EDC" w:rsidRPr="00914C79" w:rsidRDefault="008C0EDC" w:rsidP="008C0EDC">
            <w:pPr>
              <w:spacing w:after="0"/>
              <w:rPr>
                <w:rFonts w:eastAsia="Times New Roman"/>
                <w:lang w:eastAsia="lv-LV"/>
              </w:rPr>
            </w:pPr>
            <w:r w:rsidRPr="00914C79">
              <w:rPr>
                <w:rFonts w:eastAsia="Times New Roman"/>
                <w:lang w:eastAsia="lv-LV"/>
              </w:rPr>
              <w:t>Informācija par to, vai šīs tabulas B ailē minētās projekta vienības paredz stingrākas prasības nekā šīs tabulas A ailē minētās ES tiesību akta vienības.</w:t>
            </w:r>
            <w:r w:rsidRPr="00914C79">
              <w:rPr>
                <w:rFonts w:eastAsia="Times New Roman"/>
                <w:lang w:eastAsia="lv-LV"/>
              </w:rPr>
              <w:br/>
              <w:t>Ja projekts satur stingrākas prasības nekā attiecīgais ES tiesību akts, norāda pamatojumu un samērīgumu.</w:t>
            </w:r>
            <w:r w:rsidRPr="00914C79">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44D5D" w:rsidRPr="00914C79" w14:paraId="2D961343"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372D5DB7" w14:textId="77777777" w:rsidR="00E44D5D" w:rsidRPr="00914C79" w:rsidRDefault="00E44D5D" w:rsidP="00E44D5D">
            <w:pPr>
              <w:spacing w:after="0"/>
              <w:rPr>
                <w:rFonts w:eastAsia="Times New Roman"/>
                <w:lang w:eastAsia="lv-LV"/>
              </w:rPr>
            </w:pPr>
            <w:r w:rsidRPr="00914C79">
              <w:rPr>
                <w:rFonts w:eastAsia="Times New Roman"/>
                <w:lang w:eastAsia="lv-LV"/>
              </w:rPr>
              <w:t>Regulas Nr.2015/1998 pielikuma 1.2.3.punkts</w:t>
            </w:r>
          </w:p>
        </w:tc>
        <w:tc>
          <w:tcPr>
            <w:tcW w:w="1264" w:type="pct"/>
            <w:tcBorders>
              <w:top w:val="outset" w:sz="6" w:space="0" w:color="auto"/>
              <w:left w:val="outset" w:sz="6" w:space="0" w:color="auto"/>
              <w:bottom w:val="outset" w:sz="6" w:space="0" w:color="auto"/>
              <w:right w:val="outset" w:sz="6" w:space="0" w:color="auto"/>
            </w:tcBorders>
          </w:tcPr>
          <w:p w14:paraId="6270F5D8" w14:textId="6DB04452" w:rsidR="00E44D5D" w:rsidRPr="00914C79" w:rsidRDefault="00E44D5D" w:rsidP="00E44D5D">
            <w:pPr>
              <w:spacing w:after="0"/>
              <w:rPr>
                <w:rFonts w:eastAsia="Times New Roman"/>
                <w:lang w:eastAsia="lv-LV"/>
              </w:rPr>
            </w:pPr>
            <w:r w:rsidRPr="00914C79">
              <w:rPr>
                <w:rFonts w:eastAsia="Times New Roman"/>
                <w:lang w:eastAsia="lv-LV"/>
              </w:rPr>
              <w:t>Projekta 2</w:t>
            </w:r>
            <w:r w:rsidR="00BC0AA7" w:rsidRPr="00914C79">
              <w:rPr>
                <w:rFonts w:eastAsia="Times New Roman"/>
                <w:lang w:eastAsia="lv-LV"/>
              </w:rPr>
              <w:t>7</w:t>
            </w:r>
            <w:r w:rsidRPr="00914C79">
              <w:rPr>
                <w:rFonts w:eastAsia="Times New Roman"/>
                <w:lang w:eastAsia="lv-LV"/>
              </w:rPr>
              <w:t>.- 3</w:t>
            </w:r>
            <w:r w:rsidR="00351069" w:rsidRPr="00914C79">
              <w:rPr>
                <w:rFonts w:eastAsia="Times New Roman"/>
                <w:lang w:eastAsia="lv-LV"/>
              </w:rPr>
              <w:t>6</w:t>
            </w:r>
            <w:r w:rsidRPr="00914C79">
              <w:rPr>
                <w:rFonts w:eastAsia="Times New Roman"/>
                <w:lang w:eastAsia="lv-LV"/>
              </w:rPr>
              <w:t>.,  3</w:t>
            </w:r>
            <w:r w:rsidR="008820BD" w:rsidRPr="00914C79">
              <w:rPr>
                <w:rFonts w:eastAsia="Times New Roman"/>
                <w:lang w:eastAsia="lv-LV"/>
              </w:rPr>
              <w:t>7</w:t>
            </w:r>
            <w:r w:rsidRPr="00914C79">
              <w:rPr>
                <w:rFonts w:eastAsia="Times New Roman"/>
                <w:lang w:eastAsia="lv-LV"/>
              </w:rPr>
              <w:t xml:space="preserve">. – </w:t>
            </w:r>
            <w:r w:rsidR="008820BD" w:rsidRPr="00914C79">
              <w:rPr>
                <w:rFonts w:eastAsia="Times New Roman"/>
                <w:lang w:eastAsia="lv-LV"/>
              </w:rPr>
              <w:t>48</w:t>
            </w:r>
            <w:r w:rsidRPr="00914C79">
              <w:rPr>
                <w:rFonts w:eastAsia="Times New Roman"/>
                <w:lang w:eastAsia="lv-LV"/>
              </w:rPr>
              <w:t xml:space="preserve">., </w:t>
            </w:r>
            <w:r w:rsidR="008820BD" w:rsidRPr="00914C79">
              <w:rPr>
                <w:rFonts w:eastAsia="Times New Roman"/>
                <w:lang w:eastAsia="lv-LV"/>
              </w:rPr>
              <w:t>49</w:t>
            </w:r>
            <w:r w:rsidRPr="00914C79">
              <w:rPr>
                <w:rFonts w:eastAsia="Times New Roman"/>
                <w:lang w:eastAsia="lv-LV"/>
              </w:rPr>
              <w:t xml:space="preserve">. – </w:t>
            </w:r>
            <w:r w:rsidR="00BC0AA7" w:rsidRPr="00914C79">
              <w:rPr>
                <w:rFonts w:eastAsia="Times New Roman"/>
                <w:lang w:eastAsia="lv-LV"/>
              </w:rPr>
              <w:t>6</w:t>
            </w:r>
            <w:r w:rsidR="008820BD" w:rsidRPr="00914C79">
              <w:rPr>
                <w:rFonts w:eastAsia="Times New Roman"/>
                <w:lang w:eastAsia="lv-LV"/>
              </w:rPr>
              <w:t>0</w:t>
            </w:r>
            <w:r w:rsidRPr="00914C79">
              <w:rPr>
                <w:rFonts w:eastAsia="Times New Roman"/>
                <w:lang w:eastAsia="lv-LV"/>
              </w:rPr>
              <w:t>.punkts</w:t>
            </w:r>
          </w:p>
        </w:tc>
        <w:tc>
          <w:tcPr>
            <w:tcW w:w="949" w:type="pct"/>
            <w:tcBorders>
              <w:top w:val="outset" w:sz="6" w:space="0" w:color="auto"/>
              <w:left w:val="outset" w:sz="6" w:space="0" w:color="auto"/>
              <w:bottom w:val="outset" w:sz="6" w:space="0" w:color="auto"/>
              <w:right w:val="outset" w:sz="6" w:space="0" w:color="auto"/>
            </w:tcBorders>
          </w:tcPr>
          <w:p w14:paraId="22943A6F" w14:textId="77777777" w:rsidR="00E44D5D" w:rsidRPr="00914C79" w:rsidRDefault="00E44D5D" w:rsidP="00E44D5D">
            <w:pPr>
              <w:spacing w:after="0"/>
              <w:rPr>
                <w:rFonts w:eastAsia="Times New Roman"/>
                <w:lang w:eastAsia="lv-LV"/>
              </w:rPr>
            </w:pPr>
            <w:r w:rsidRPr="00914C79">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2B927B6F" w14:textId="77777777" w:rsidR="00E44D5D" w:rsidRPr="00914C79" w:rsidRDefault="00E44D5D" w:rsidP="00E44D5D">
            <w:pPr>
              <w:spacing w:after="0"/>
              <w:rPr>
                <w:rFonts w:eastAsia="Times New Roman"/>
                <w:lang w:eastAsia="lv-LV"/>
              </w:rPr>
            </w:pPr>
            <w:r w:rsidRPr="00914C79">
              <w:t>Projekts stingrākas prasības neparedz</w:t>
            </w:r>
          </w:p>
        </w:tc>
      </w:tr>
      <w:tr w:rsidR="002D0044" w:rsidRPr="00914C79" w14:paraId="7EC037A9"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716DC52F" w14:textId="77777777" w:rsidR="002D0044" w:rsidRPr="00914C79" w:rsidRDefault="002D0044" w:rsidP="002D0044">
            <w:pPr>
              <w:spacing w:after="0"/>
              <w:rPr>
                <w:rFonts w:eastAsia="Times New Roman"/>
                <w:lang w:eastAsia="lv-LV"/>
              </w:rPr>
            </w:pPr>
            <w:r w:rsidRPr="00914C79">
              <w:rPr>
                <w:rFonts w:eastAsia="Times New Roman"/>
                <w:lang w:eastAsia="lv-LV"/>
              </w:rPr>
              <w:t>Regulas Nr.2015/1998 pielikuma 11.1.1.punkts</w:t>
            </w:r>
          </w:p>
        </w:tc>
        <w:tc>
          <w:tcPr>
            <w:tcW w:w="1264" w:type="pct"/>
            <w:tcBorders>
              <w:top w:val="outset" w:sz="6" w:space="0" w:color="auto"/>
              <w:left w:val="outset" w:sz="6" w:space="0" w:color="auto"/>
              <w:bottom w:val="outset" w:sz="6" w:space="0" w:color="auto"/>
              <w:right w:val="outset" w:sz="6" w:space="0" w:color="auto"/>
            </w:tcBorders>
          </w:tcPr>
          <w:p w14:paraId="1B327FBB" w14:textId="77777777" w:rsidR="002D0044" w:rsidRPr="00914C79" w:rsidRDefault="002D0044" w:rsidP="002D0044">
            <w:pPr>
              <w:spacing w:after="0"/>
              <w:rPr>
                <w:rFonts w:eastAsia="Times New Roman"/>
                <w:lang w:eastAsia="lv-LV"/>
              </w:rPr>
            </w:pPr>
            <w:r w:rsidRPr="00914C79">
              <w:rPr>
                <w:rFonts w:eastAsia="Times New Roman"/>
                <w:lang w:eastAsia="lv-LV"/>
              </w:rPr>
              <w:t>Projekta 1</w:t>
            </w:r>
            <w:r w:rsidR="00462E8B" w:rsidRPr="00914C79">
              <w:rPr>
                <w:rFonts w:eastAsia="Times New Roman"/>
                <w:lang w:eastAsia="lv-LV"/>
              </w:rPr>
              <w:t>8</w:t>
            </w:r>
            <w:r w:rsidRPr="00914C79">
              <w:rPr>
                <w:rFonts w:eastAsia="Times New Roman"/>
                <w:lang w:eastAsia="lv-LV"/>
              </w:rPr>
              <w:t>-</w:t>
            </w:r>
            <w:r w:rsidR="00462E8B" w:rsidRPr="00914C79">
              <w:rPr>
                <w:rFonts w:eastAsia="Times New Roman"/>
                <w:lang w:eastAsia="lv-LV"/>
              </w:rPr>
              <w:t>21</w:t>
            </w:r>
            <w:r w:rsidRPr="00914C79">
              <w:rPr>
                <w:rFonts w:eastAsia="Times New Roman"/>
                <w:lang w:eastAsia="lv-LV"/>
              </w:rPr>
              <w:t>.punkts</w:t>
            </w:r>
          </w:p>
        </w:tc>
        <w:tc>
          <w:tcPr>
            <w:tcW w:w="949" w:type="pct"/>
            <w:tcBorders>
              <w:top w:val="outset" w:sz="6" w:space="0" w:color="auto"/>
              <w:left w:val="outset" w:sz="6" w:space="0" w:color="auto"/>
              <w:bottom w:val="outset" w:sz="6" w:space="0" w:color="auto"/>
              <w:right w:val="outset" w:sz="6" w:space="0" w:color="auto"/>
            </w:tcBorders>
          </w:tcPr>
          <w:p w14:paraId="7B5AF2E2" w14:textId="77777777" w:rsidR="002D0044" w:rsidRPr="00914C79" w:rsidRDefault="002D0044" w:rsidP="002D0044">
            <w:pPr>
              <w:spacing w:after="0"/>
              <w:rPr>
                <w:rFonts w:eastAsia="Times New Roman"/>
                <w:lang w:eastAsia="lv-LV"/>
              </w:rPr>
            </w:pPr>
            <w:r w:rsidRPr="00914C79">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6B24D304" w14:textId="77777777" w:rsidR="002D0044" w:rsidRPr="00914C79" w:rsidRDefault="002D0044" w:rsidP="002D0044">
            <w:pPr>
              <w:spacing w:after="0"/>
              <w:rPr>
                <w:rFonts w:eastAsia="Times New Roman"/>
                <w:lang w:eastAsia="lv-LV"/>
              </w:rPr>
            </w:pPr>
            <w:r w:rsidRPr="00914C79">
              <w:t>Projekts stingrākas prasības neparedz</w:t>
            </w:r>
          </w:p>
        </w:tc>
      </w:tr>
      <w:tr w:rsidR="00DF60FA" w:rsidRPr="00914C79" w14:paraId="1900FB56"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2F244E4C" w14:textId="77777777" w:rsidR="00DF60FA" w:rsidRPr="00914C79" w:rsidRDefault="00DF60FA" w:rsidP="00DF60FA">
            <w:pPr>
              <w:spacing w:after="0"/>
              <w:rPr>
                <w:rFonts w:eastAsia="Times New Roman"/>
                <w:lang w:eastAsia="lv-LV"/>
              </w:rPr>
            </w:pPr>
            <w:r w:rsidRPr="00914C79">
              <w:rPr>
                <w:rFonts w:eastAsia="Times New Roman"/>
                <w:lang w:eastAsia="lv-LV"/>
              </w:rPr>
              <w:lastRenderedPageBreak/>
              <w:t>Regulas Nr. 2015/1998 pielikuma 11.1.3.punkta a), b) un c) apakšpunkts un 11.1.4.punkts</w:t>
            </w:r>
          </w:p>
        </w:tc>
        <w:tc>
          <w:tcPr>
            <w:tcW w:w="1264" w:type="pct"/>
            <w:tcBorders>
              <w:top w:val="outset" w:sz="6" w:space="0" w:color="auto"/>
              <w:left w:val="outset" w:sz="6" w:space="0" w:color="auto"/>
              <w:bottom w:val="outset" w:sz="6" w:space="0" w:color="auto"/>
              <w:right w:val="outset" w:sz="6" w:space="0" w:color="auto"/>
            </w:tcBorders>
          </w:tcPr>
          <w:p w14:paraId="1EDC95D9" w14:textId="77777777" w:rsidR="00DF60FA" w:rsidRPr="00914C79" w:rsidRDefault="00DF60FA" w:rsidP="00DF60FA">
            <w:pPr>
              <w:spacing w:after="0"/>
              <w:rPr>
                <w:rFonts w:eastAsia="Times New Roman"/>
                <w:lang w:eastAsia="lv-LV"/>
              </w:rPr>
            </w:pPr>
            <w:r w:rsidRPr="00914C79">
              <w:rPr>
                <w:rFonts w:eastAsia="Times New Roman"/>
                <w:lang w:eastAsia="lv-LV"/>
              </w:rPr>
              <w:t>Projekta 1</w:t>
            </w:r>
            <w:r w:rsidR="00EC484A" w:rsidRPr="00914C79">
              <w:rPr>
                <w:rFonts w:eastAsia="Times New Roman"/>
                <w:lang w:eastAsia="lv-LV"/>
              </w:rPr>
              <w:t>6</w:t>
            </w:r>
            <w:r w:rsidRPr="00914C79">
              <w:rPr>
                <w:rFonts w:eastAsia="Times New Roman"/>
                <w:lang w:eastAsia="lv-LV"/>
              </w:rPr>
              <w:t>.punkts</w:t>
            </w:r>
          </w:p>
        </w:tc>
        <w:tc>
          <w:tcPr>
            <w:tcW w:w="949" w:type="pct"/>
            <w:tcBorders>
              <w:top w:val="outset" w:sz="6" w:space="0" w:color="auto"/>
              <w:left w:val="outset" w:sz="6" w:space="0" w:color="auto"/>
              <w:bottom w:val="outset" w:sz="6" w:space="0" w:color="auto"/>
              <w:right w:val="outset" w:sz="6" w:space="0" w:color="auto"/>
            </w:tcBorders>
          </w:tcPr>
          <w:p w14:paraId="0F6D7050" w14:textId="77777777" w:rsidR="00DF60FA" w:rsidRPr="00914C79" w:rsidRDefault="00DF60FA" w:rsidP="00DF60FA">
            <w:r w:rsidRPr="00914C79">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747A75AA" w14:textId="77777777" w:rsidR="00DF60FA" w:rsidRPr="00914C79" w:rsidRDefault="00DF60FA" w:rsidP="00DF60FA">
            <w:r w:rsidRPr="00914C79">
              <w:t>Projekts stingrākas prasības neparedz</w:t>
            </w:r>
          </w:p>
        </w:tc>
      </w:tr>
      <w:tr w:rsidR="00D5047F" w:rsidRPr="00914C79" w14:paraId="2EC44148"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55B6E064" w14:textId="77777777" w:rsidR="00D5047F" w:rsidRPr="00914C79" w:rsidRDefault="00D5047F" w:rsidP="00D5047F">
            <w:pPr>
              <w:spacing w:after="0"/>
              <w:rPr>
                <w:rFonts w:eastAsia="Times New Roman"/>
                <w:lang w:eastAsia="lv-LV"/>
              </w:rPr>
            </w:pPr>
            <w:r w:rsidRPr="00914C79">
              <w:rPr>
                <w:rFonts w:eastAsia="Times New Roman"/>
                <w:lang w:eastAsia="lv-LV"/>
              </w:rPr>
              <w:t>Regulas Nr.2015/1998 pielikuma 11.1.3.punkta d) apakšpunkts</w:t>
            </w:r>
          </w:p>
        </w:tc>
        <w:tc>
          <w:tcPr>
            <w:tcW w:w="1264" w:type="pct"/>
            <w:tcBorders>
              <w:top w:val="outset" w:sz="6" w:space="0" w:color="auto"/>
              <w:left w:val="outset" w:sz="6" w:space="0" w:color="auto"/>
              <w:bottom w:val="outset" w:sz="6" w:space="0" w:color="auto"/>
              <w:right w:val="outset" w:sz="6" w:space="0" w:color="auto"/>
            </w:tcBorders>
          </w:tcPr>
          <w:p w14:paraId="63CB4779" w14:textId="77777777" w:rsidR="00D5047F" w:rsidRPr="00914C79" w:rsidRDefault="00D5047F" w:rsidP="00D5047F">
            <w:pPr>
              <w:spacing w:after="0"/>
              <w:rPr>
                <w:rFonts w:eastAsia="Times New Roman"/>
                <w:lang w:eastAsia="lv-LV"/>
              </w:rPr>
            </w:pPr>
            <w:r w:rsidRPr="00914C79">
              <w:rPr>
                <w:rFonts w:eastAsia="Times New Roman"/>
                <w:lang w:eastAsia="lv-LV"/>
              </w:rPr>
              <w:t>Projekta 1</w:t>
            </w:r>
            <w:r w:rsidR="00EC484A" w:rsidRPr="00914C79">
              <w:rPr>
                <w:rFonts w:eastAsia="Times New Roman"/>
                <w:lang w:eastAsia="lv-LV"/>
              </w:rPr>
              <w:t>8</w:t>
            </w:r>
            <w:r w:rsidRPr="00914C79">
              <w:rPr>
                <w:rFonts w:eastAsia="Times New Roman"/>
                <w:lang w:eastAsia="lv-LV"/>
              </w:rPr>
              <w:t>.-</w:t>
            </w:r>
            <w:r w:rsidR="00EC484A" w:rsidRPr="00914C79">
              <w:rPr>
                <w:rFonts w:eastAsia="Times New Roman"/>
                <w:lang w:eastAsia="lv-LV"/>
              </w:rPr>
              <w:t>21</w:t>
            </w:r>
            <w:r w:rsidRPr="00914C79">
              <w:rPr>
                <w:rFonts w:eastAsia="Times New Roman"/>
                <w:lang w:eastAsia="lv-LV"/>
              </w:rPr>
              <w:t>. punkts</w:t>
            </w:r>
          </w:p>
        </w:tc>
        <w:tc>
          <w:tcPr>
            <w:tcW w:w="949" w:type="pct"/>
            <w:tcBorders>
              <w:top w:val="outset" w:sz="6" w:space="0" w:color="auto"/>
              <w:left w:val="outset" w:sz="6" w:space="0" w:color="auto"/>
              <w:bottom w:val="outset" w:sz="6" w:space="0" w:color="auto"/>
              <w:right w:val="outset" w:sz="6" w:space="0" w:color="auto"/>
            </w:tcBorders>
          </w:tcPr>
          <w:p w14:paraId="0881E36C" w14:textId="77777777" w:rsidR="00D5047F" w:rsidRPr="00914C79" w:rsidRDefault="00D5047F" w:rsidP="00D5047F">
            <w:pPr>
              <w:spacing w:after="0"/>
              <w:rPr>
                <w:rFonts w:eastAsia="Times New Roman"/>
                <w:lang w:eastAsia="lv-LV"/>
              </w:rPr>
            </w:pPr>
            <w:r w:rsidRPr="00914C79">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79FE6060" w14:textId="77777777" w:rsidR="00D5047F" w:rsidRPr="00914C79" w:rsidRDefault="00D5047F" w:rsidP="00D5047F">
            <w:pPr>
              <w:spacing w:after="0"/>
              <w:rPr>
                <w:rFonts w:eastAsia="Times New Roman"/>
                <w:lang w:eastAsia="lv-LV"/>
              </w:rPr>
            </w:pPr>
            <w:r w:rsidRPr="00914C79">
              <w:t>Projekts stingrākas prasības neparedz</w:t>
            </w:r>
          </w:p>
        </w:tc>
      </w:tr>
      <w:tr w:rsidR="005215F0" w:rsidRPr="00914C79" w14:paraId="32F35023"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3A092B1E" w14:textId="77777777" w:rsidR="005215F0" w:rsidRPr="00914C79" w:rsidRDefault="005215F0" w:rsidP="005215F0">
            <w:pPr>
              <w:spacing w:after="0"/>
              <w:rPr>
                <w:rFonts w:eastAsia="Times New Roman"/>
                <w:lang w:eastAsia="lv-LV"/>
              </w:rPr>
            </w:pPr>
            <w:r w:rsidRPr="00914C79">
              <w:rPr>
                <w:rFonts w:eastAsia="Times New Roman"/>
                <w:lang w:eastAsia="lv-LV"/>
              </w:rPr>
              <w:t>Regulas Nr.2015/1998 pielikuma 11.1.7.punkta a) apakšpunkts</w:t>
            </w:r>
          </w:p>
        </w:tc>
        <w:tc>
          <w:tcPr>
            <w:tcW w:w="1264" w:type="pct"/>
            <w:tcBorders>
              <w:top w:val="outset" w:sz="6" w:space="0" w:color="auto"/>
              <w:left w:val="outset" w:sz="6" w:space="0" w:color="auto"/>
              <w:bottom w:val="outset" w:sz="6" w:space="0" w:color="auto"/>
              <w:right w:val="outset" w:sz="6" w:space="0" w:color="auto"/>
            </w:tcBorders>
          </w:tcPr>
          <w:p w14:paraId="0CC7EE13" w14:textId="77777777" w:rsidR="005215F0" w:rsidRPr="00914C79" w:rsidRDefault="005215F0" w:rsidP="005215F0">
            <w:pPr>
              <w:spacing w:after="0"/>
              <w:rPr>
                <w:rFonts w:eastAsia="Times New Roman"/>
                <w:lang w:eastAsia="lv-LV"/>
              </w:rPr>
            </w:pPr>
            <w:r w:rsidRPr="00914C79">
              <w:rPr>
                <w:rFonts w:eastAsia="Times New Roman"/>
                <w:lang w:eastAsia="lv-LV"/>
              </w:rPr>
              <w:t>Projekta 2</w:t>
            </w:r>
            <w:r w:rsidR="00EC484A" w:rsidRPr="00914C79">
              <w:rPr>
                <w:rFonts w:eastAsia="Times New Roman"/>
                <w:lang w:eastAsia="lv-LV"/>
              </w:rPr>
              <w:t>4</w:t>
            </w:r>
            <w:r w:rsidRPr="00914C79">
              <w:rPr>
                <w:rFonts w:eastAsia="Times New Roman"/>
                <w:lang w:eastAsia="lv-LV"/>
              </w:rPr>
              <w:t>.punkts</w:t>
            </w:r>
          </w:p>
        </w:tc>
        <w:tc>
          <w:tcPr>
            <w:tcW w:w="949" w:type="pct"/>
            <w:tcBorders>
              <w:top w:val="outset" w:sz="6" w:space="0" w:color="auto"/>
              <w:left w:val="outset" w:sz="6" w:space="0" w:color="auto"/>
              <w:bottom w:val="outset" w:sz="6" w:space="0" w:color="auto"/>
              <w:right w:val="outset" w:sz="6" w:space="0" w:color="auto"/>
            </w:tcBorders>
          </w:tcPr>
          <w:p w14:paraId="6D051003" w14:textId="77777777" w:rsidR="005215F0" w:rsidRPr="00914C79" w:rsidRDefault="005215F0" w:rsidP="005215F0">
            <w:r w:rsidRPr="00914C79">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76443D5F" w14:textId="77777777" w:rsidR="005215F0" w:rsidRPr="00914C79" w:rsidRDefault="005215F0" w:rsidP="005215F0">
            <w:r w:rsidRPr="00914C79">
              <w:t>Projekts stingrākas prasības neparedz</w:t>
            </w:r>
          </w:p>
        </w:tc>
      </w:tr>
      <w:tr w:rsidR="00B73F10" w:rsidRPr="00914C79" w14:paraId="745DF59B" w14:textId="77777777" w:rsidTr="002B4019">
        <w:trPr>
          <w:tblCellSpacing w:w="15" w:type="dxa"/>
        </w:trPr>
        <w:tc>
          <w:tcPr>
            <w:tcW w:w="1325" w:type="pct"/>
            <w:tcBorders>
              <w:top w:val="outset" w:sz="6" w:space="0" w:color="auto"/>
              <w:left w:val="outset" w:sz="6" w:space="0" w:color="auto"/>
              <w:bottom w:val="outset" w:sz="6" w:space="0" w:color="auto"/>
              <w:right w:val="outset" w:sz="6" w:space="0" w:color="auto"/>
            </w:tcBorders>
          </w:tcPr>
          <w:p w14:paraId="3B561479" w14:textId="77777777" w:rsidR="00B73F10" w:rsidRPr="00914C79" w:rsidRDefault="00B73F10" w:rsidP="00B73F10">
            <w:pPr>
              <w:spacing w:after="0"/>
              <w:rPr>
                <w:rFonts w:eastAsia="Times New Roman"/>
                <w:lang w:eastAsia="lv-LV"/>
              </w:rPr>
            </w:pPr>
            <w:r w:rsidRPr="00914C79">
              <w:rPr>
                <w:rFonts w:eastAsia="Times New Roman"/>
                <w:lang w:eastAsia="lv-LV"/>
              </w:rPr>
              <w:t>Regulas Nr.2015/1998 pielikuma 11.2.6.2.punkts</w:t>
            </w:r>
          </w:p>
        </w:tc>
        <w:tc>
          <w:tcPr>
            <w:tcW w:w="1264" w:type="pct"/>
            <w:tcBorders>
              <w:top w:val="outset" w:sz="6" w:space="0" w:color="auto"/>
              <w:left w:val="outset" w:sz="6" w:space="0" w:color="auto"/>
              <w:bottom w:val="outset" w:sz="6" w:space="0" w:color="auto"/>
              <w:right w:val="outset" w:sz="6" w:space="0" w:color="auto"/>
            </w:tcBorders>
          </w:tcPr>
          <w:p w14:paraId="705C43EA" w14:textId="2F790620" w:rsidR="00B73F10" w:rsidRPr="00914C79" w:rsidRDefault="00B73F10" w:rsidP="00B73F10">
            <w:pPr>
              <w:spacing w:after="0"/>
              <w:rPr>
                <w:rFonts w:eastAsia="Times New Roman"/>
                <w:lang w:eastAsia="lv-LV"/>
              </w:rPr>
            </w:pPr>
            <w:r w:rsidRPr="00914C79">
              <w:rPr>
                <w:rFonts w:eastAsia="Times New Roman"/>
                <w:lang w:eastAsia="lv-LV"/>
              </w:rPr>
              <w:t>Projekta 2</w:t>
            </w:r>
            <w:r w:rsidR="00EC484A" w:rsidRPr="00914C79">
              <w:rPr>
                <w:rFonts w:eastAsia="Times New Roman"/>
                <w:lang w:eastAsia="lv-LV"/>
              </w:rPr>
              <w:t>8</w:t>
            </w:r>
            <w:r w:rsidRPr="00914C79">
              <w:rPr>
                <w:rFonts w:eastAsia="Times New Roman"/>
                <w:lang w:eastAsia="lv-LV"/>
              </w:rPr>
              <w:t>., 3</w:t>
            </w:r>
            <w:r w:rsidR="00E866B8" w:rsidRPr="00914C79">
              <w:rPr>
                <w:rFonts w:eastAsia="Times New Roman"/>
                <w:lang w:eastAsia="lv-LV"/>
              </w:rPr>
              <w:t>8</w:t>
            </w:r>
            <w:r w:rsidRPr="00914C79">
              <w:rPr>
                <w:rFonts w:eastAsia="Times New Roman"/>
                <w:lang w:eastAsia="lv-LV"/>
              </w:rPr>
              <w:t>., 5</w:t>
            </w:r>
            <w:r w:rsidR="00E866B8" w:rsidRPr="00914C79">
              <w:rPr>
                <w:rFonts w:eastAsia="Times New Roman"/>
                <w:lang w:eastAsia="lv-LV"/>
              </w:rPr>
              <w:t>5</w:t>
            </w:r>
            <w:r w:rsidRPr="00914C79">
              <w:rPr>
                <w:rFonts w:eastAsia="Times New Roman"/>
                <w:lang w:eastAsia="lv-LV"/>
              </w:rPr>
              <w:t>.punkts</w:t>
            </w:r>
          </w:p>
        </w:tc>
        <w:tc>
          <w:tcPr>
            <w:tcW w:w="949" w:type="pct"/>
            <w:tcBorders>
              <w:top w:val="outset" w:sz="6" w:space="0" w:color="auto"/>
              <w:left w:val="outset" w:sz="6" w:space="0" w:color="auto"/>
              <w:bottom w:val="outset" w:sz="6" w:space="0" w:color="auto"/>
              <w:right w:val="outset" w:sz="6" w:space="0" w:color="auto"/>
            </w:tcBorders>
          </w:tcPr>
          <w:p w14:paraId="1EA65FAC" w14:textId="77777777" w:rsidR="00B73F10" w:rsidRPr="00914C79" w:rsidRDefault="00B73F10" w:rsidP="00B73F10">
            <w:r w:rsidRPr="00914C79">
              <w:t>Tiesību norma ieviesta pilnībā</w:t>
            </w:r>
          </w:p>
        </w:tc>
        <w:tc>
          <w:tcPr>
            <w:tcW w:w="1380" w:type="pct"/>
            <w:tcBorders>
              <w:top w:val="outset" w:sz="6" w:space="0" w:color="auto"/>
              <w:left w:val="outset" w:sz="6" w:space="0" w:color="auto"/>
              <w:bottom w:val="outset" w:sz="6" w:space="0" w:color="auto"/>
              <w:right w:val="outset" w:sz="6" w:space="0" w:color="auto"/>
            </w:tcBorders>
          </w:tcPr>
          <w:p w14:paraId="6FB1001B" w14:textId="77777777" w:rsidR="00B73F10" w:rsidRPr="00914C79" w:rsidRDefault="00B73F10" w:rsidP="00B73F10">
            <w:r w:rsidRPr="00914C79">
              <w:t>Projekts stingrākas prasības neparedz</w:t>
            </w:r>
          </w:p>
        </w:tc>
      </w:tr>
      <w:tr w:rsidR="00D47EFD" w:rsidRPr="00914C79" w14:paraId="45C002E7" w14:textId="77777777" w:rsidTr="002B4019">
        <w:trPr>
          <w:tblCellSpacing w:w="15" w:type="dxa"/>
        </w:trPr>
        <w:tc>
          <w:tcPr>
            <w:tcW w:w="2606" w:type="pct"/>
            <w:gridSpan w:val="2"/>
            <w:tcBorders>
              <w:top w:val="outset" w:sz="6" w:space="0" w:color="auto"/>
              <w:left w:val="outset" w:sz="6" w:space="0" w:color="auto"/>
              <w:bottom w:val="outset" w:sz="6" w:space="0" w:color="auto"/>
              <w:right w:val="outset" w:sz="6" w:space="0" w:color="auto"/>
            </w:tcBorders>
            <w:hideMark/>
          </w:tcPr>
          <w:p w14:paraId="53A4276E" w14:textId="77777777" w:rsidR="00D47EFD" w:rsidRPr="00914C79" w:rsidRDefault="00D47EFD" w:rsidP="00D47EFD">
            <w:pPr>
              <w:spacing w:after="0"/>
              <w:rPr>
                <w:rFonts w:eastAsia="Times New Roman"/>
                <w:lang w:eastAsia="lv-LV"/>
              </w:rPr>
            </w:pPr>
            <w:r w:rsidRPr="00914C79">
              <w:rPr>
                <w:rFonts w:eastAsia="Times New Roman"/>
                <w:lang w:eastAsia="lv-LV"/>
              </w:rPr>
              <w:t>Kā ir izmantota ES tiesību aktā paredzētā rīcības brīvība dalībvalstij pārņemt vai ieviest noteiktas ES tiesību akta normas? Kādēļ?</w:t>
            </w:r>
          </w:p>
        </w:tc>
        <w:tc>
          <w:tcPr>
            <w:tcW w:w="2346" w:type="pct"/>
            <w:gridSpan w:val="2"/>
            <w:tcBorders>
              <w:top w:val="outset" w:sz="6" w:space="0" w:color="auto"/>
              <w:left w:val="outset" w:sz="6" w:space="0" w:color="auto"/>
              <w:bottom w:val="outset" w:sz="6" w:space="0" w:color="auto"/>
              <w:right w:val="outset" w:sz="6" w:space="0" w:color="auto"/>
            </w:tcBorders>
          </w:tcPr>
          <w:p w14:paraId="5B8984FF" w14:textId="2756FAF7" w:rsidR="00F63D5F" w:rsidRPr="00914C79" w:rsidRDefault="00F0267B" w:rsidP="00102F99">
            <w:pPr>
              <w:spacing w:after="0"/>
              <w:jc w:val="both"/>
              <w:rPr>
                <w:rFonts w:eastAsia="Times New Roman"/>
                <w:lang w:eastAsia="lv-LV"/>
              </w:rPr>
            </w:pPr>
            <w:r w:rsidRPr="00914C79">
              <w:rPr>
                <w:rFonts w:eastAsia="Times New Roman"/>
                <w:lang w:eastAsia="lv-LV"/>
              </w:rPr>
              <w:t xml:space="preserve">Izmantotas </w:t>
            </w:r>
            <w:r w:rsidR="00102F99" w:rsidRPr="00914C79">
              <w:rPr>
                <w:rFonts w:eastAsia="Times New Roman"/>
                <w:lang w:eastAsia="lv-LV"/>
              </w:rPr>
              <w:t xml:space="preserve">Komisijas Īstenošanas 2020.gada 30.jūnija regulas (ES) 2020/910, </w:t>
            </w:r>
            <w:r w:rsidR="00F63B3A" w:rsidRPr="00914C79">
              <w:rPr>
                <w:rFonts w:eastAsia="Times New Roman"/>
                <w:lang w:eastAsia="lv-LV"/>
              </w:rPr>
              <w:t xml:space="preserve">ar ko Īstenošanas regulas (ES) 2015/1998, (ES) 2019/103 un (ES) 2019/1583 groza attiecībā uz apzīmējumu atkārtotu piešķiršanu aviosabiedrībām, operatoriem un tiesību subjektiem, kuri veic no trešām valstīm ievestas kravas un pasta drošības kontroles, kā arī attiecībā uz dažu kiberdrošības, iepriekšējās darbības pārbaudes, sprāgstvielu atklāšanas sistēmu iekārtu standartu un sprāgstvielu palieku detektoru jomā piemērojamu regulatīvo prasību atlikšanu Covid-19 pandēmijas dēļ </w:t>
            </w:r>
            <w:r w:rsidR="00102F99" w:rsidRPr="00914C79">
              <w:rPr>
                <w:rFonts w:eastAsia="Times New Roman"/>
                <w:lang w:eastAsia="lv-LV"/>
              </w:rPr>
              <w:t>2</w:t>
            </w:r>
            <w:r w:rsidRPr="00914C79">
              <w:rPr>
                <w:rFonts w:eastAsia="Times New Roman"/>
                <w:lang w:eastAsia="lv-LV"/>
              </w:rPr>
              <w:t>.pantā dotās tiesības attiecībā uz regul</w:t>
            </w:r>
            <w:r w:rsidR="00102F99" w:rsidRPr="00914C79">
              <w:rPr>
                <w:rFonts w:eastAsia="Times New Roman"/>
                <w:lang w:eastAsia="lv-LV"/>
              </w:rPr>
              <w:t>ā</w:t>
            </w:r>
            <w:r w:rsidRPr="00914C79">
              <w:rPr>
                <w:rFonts w:eastAsia="Times New Roman"/>
                <w:lang w:eastAsia="lv-LV"/>
              </w:rPr>
              <w:t xml:space="preserve"> Nr.</w:t>
            </w:r>
            <w:r w:rsidR="00102F99" w:rsidRPr="00914C79">
              <w:rPr>
                <w:rFonts w:eastAsia="Times New Roman"/>
                <w:lang w:eastAsia="lv-LV"/>
              </w:rPr>
              <w:t xml:space="preserve">2015/1998 noteikto pastiprināto iepriekšējo darbības pārbaužu veikšanu no  2021. gada 31. decembra </w:t>
            </w:r>
            <w:r w:rsidRPr="00914C79">
              <w:rPr>
                <w:rFonts w:eastAsia="Times New Roman"/>
                <w:lang w:eastAsia="lv-LV"/>
              </w:rPr>
              <w:t xml:space="preserve">(projekta </w:t>
            </w:r>
            <w:r w:rsidR="002C1304" w:rsidRPr="00914C79">
              <w:rPr>
                <w:rFonts w:eastAsia="Times New Roman"/>
                <w:lang w:eastAsia="lv-LV"/>
              </w:rPr>
              <w:t>6</w:t>
            </w:r>
            <w:r w:rsidR="00F130E5" w:rsidRPr="00914C79">
              <w:rPr>
                <w:rFonts w:eastAsia="Times New Roman"/>
                <w:lang w:eastAsia="lv-LV"/>
              </w:rPr>
              <w:t>1</w:t>
            </w:r>
            <w:r w:rsidR="009625A2" w:rsidRPr="00914C79">
              <w:rPr>
                <w:rFonts w:eastAsia="Times New Roman"/>
                <w:lang w:eastAsia="lv-LV"/>
              </w:rPr>
              <w:t>. un 6</w:t>
            </w:r>
            <w:r w:rsidR="00F130E5" w:rsidRPr="00914C79">
              <w:rPr>
                <w:rFonts w:eastAsia="Times New Roman"/>
                <w:lang w:eastAsia="lv-LV"/>
              </w:rPr>
              <w:t>2</w:t>
            </w:r>
            <w:r w:rsidR="009625A2" w:rsidRPr="00914C79">
              <w:rPr>
                <w:rFonts w:eastAsia="Times New Roman"/>
                <w:lang w:eastAsia="lv-LV"/>
              </w:rPr>
              <w:t>.</w:t>
            </w:r>
            <w:r w:rsidRPr="00914C79">
              <w:rPr>
                <w:rFonts w:eastAsia="Times New Roman"/>
                <w:lang w:eastAsia="lv-LV"/>
              </w:rPr>
              <w:t>punkts).</w:t>
            </w:r>
          </w:p>
        </w:tc>
      </w:tr>
      <w:tr w:rsidR="00D47EFD" w:rsidRPr="00914C79" w14:paraId="59B80DB9" w14:textId="77777777" w:rsidTr="002B4019">
        <w:trPr>
          <w:tblCellSpacing w:w="15" w:type="dxa"/>
        </w:trPr>
        <w:tc>
          <w:tcPr>
            <w:tcW w:w="2606" w:type="pct"/>
            <w:gridSpan w:val="2"/>
            <w:tcBorders>
              <w:top w:val="outset" w:sz="6" w:space="0" w:color="auto"/>
              <w:left w:val="outset" w:sz="6" w:space="0" w:color="auto"/>
              <w:bottom w:val="outset" w:sz="6" w:space="0" w:color="auto"/>
              <w:right w:val="outset" w:sz="6" w:space="0" w:color="auto"/>
            </w:tcBorders>
            <w:hideMark/>
          </w:tcPr>
          <w:p w14:paraId="723C30B5" w14:textId="77777777" w:rsidR="00D47EFD" w:rsidRPr="00914C79" w:rsidRDefault="00D47EFD" w:rsidP="00D47EFD">
            <w:pPr>
              <w:spacing w:after="0"/>
              <w:rPr>
                <w:rFonts w:eastAsia="Times New Roman"/>
                <w:lang w:eastAsia="lv-LV"/>
              </w:rPr>
            </w:pPr>
            <w:r w:rsidRPr="00914C79">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46" w:type="pct"/>
            <w:gridSpan w:val="2"/>
            <w:tcBorders>
              <w:top w:val="outset" w:sz="6" w:space="0" w:color="auto"/>
              <w:left w:val="outset" w:sz="6" w:space="0" w:color="auto"/>
              <w:bottom w:val="outset" w:sz="6" w:space="0" w:color="auto"/>
              <w:right w:val="outset" w:sz="6" w:space="0" w:color="auto"/>
            </w:tcBorders>
          </w:tcPr>
          <w:p w14:paraId="0A2572F6" w14:textId="77777777" w:rsidR="00D47EFD" w:rsidRPr="00914C79" w:rsidRDefault="00F54D4B" w:rsidP="00D47EFD">
            <w:pPr>
              <w:spacing w:after="0"/>
              <w:rPr>
                <w:rFonts w:eastAsia="Times New Roman"/>
                <w:lang w:eastAsia="lv-LV"/>
              </w:rPr>
            </w:pPr>
            <w:r w:rsidRPr="00914C79">
              <w:rPr>
                <w:rFonts w:eastAsia="Times New Roman"/>
                <w:lang w:eastAsia="lv-LV"/>
              </w:rPr>
              <w:t>Projekts šo jomu neskar.</w:t>
            </w:r>
          </w:p>
        </w:tc>
      </w:tr>
      <w:tr w:rsidR="00D47EFD" w:rsidRPr="00914C79" w14:paraId="71E4D4EA" w14:textId="77777777" w:rsidTr="002B4019">
        <w:trPr>
          <w:tblCellSpacing w:w="15" w:type="dxa"/>
        </w:trPr>
        <w:tc>
          <w:tcPr>
            <w:tcW w:w="2606" w:type="pct"/>
            <w:gridSpan w:val="2"/>
            <w:tcBorders>
              <w:top w:val="outset" w:sz="6" w:space="0" w:color="auto"/>
              <w:left w:val="outset" w:sz="6" w:space="0" w:color="auto"/>
              <w:bottom w:val="outset" w:sz="6" w:space="0" w:color="auto"/>
              <w:right w:val="outset" w:sz="6" w:space="0" w:color="auto"/>
            </w:tcBorders>
            <w:hideMark/>
          </w:tcPr>
          <w:p w14:paraId="04F3618E" w14:textId="77777777" w:rsidR="00D47EFD" w:rsidRPr="00914C79" w:rsidRDefault="00D47EFD" w:rsidP="00D47EFD">
            <w:pPr>
              <w:spacing w:after="0"/>
              <w:rPr>
                <w:rFonts w:eastAsia="Times New Roman"/>
                <w:lang w:eastAsia="lv-LV"/>
              </w:rPr>
            </w:pPr>
            <w:r w:rsidRPr="00914C79">
              <w:rPr>
                <w:rFonts w:eastAsia="Times New Roman"/>
                <w:lang w:eastAsia="lv-LV"/>
              </w:rPr>
              <w:t>Cita informācija</w:t>
            </w:r>
          </w:p>
        </w:tc>
        <w:tc>
          <w:tcPr>
            <w:tcW w:w="2346" w:type="pct"/>
            <w:gridSpan w:val="2"/>
            <w:tcBorders>
              <w:top w:val="outset" w:sz="6" w:space="0" w:color="auto"/>
              <w:left w:val="outset" w:sz="6" w:space="0" w:color="auto"/>
              <w:bottom w:val="outset" w:sz="6" w:space="0" w:color="auto"/>
              <w:right w:val="outset" w:sz="6" w:space="0" w:color="auto"/>
            </w:tcBorders>
            <w:hideMark/>
          </w:tcPr>
          <w:p w14:paraId="07F234EB" w14:textId="77777777" w:rsidR="00D47EFD" w:rsidRPr="00914C79" w:rsidRDefault="00D734BD" w:rsidP="00DC1F56">
            <w:pPr>
              <w:spacing w:after="0"/>
              <w:jc w:val="both"/>
              <w:rPr>
                <w:rFonts w:eastAsia="Times New Roman"/>
                <w:lang w:eastAsia="lv-LV"/>
              </w:rPr>
            </w:pPr>
            <w:r w:rsidRPr="00914C79">
              <w:rPr>
                <w:rFonts w:eastAsia="Times New Roman"/>
                <w:lang w:eastAsia="lv-LV"/>
              </w:rPr>
              <w:t>Nav.</w:t>
            </w:r>
          </w:p>
        </w:tc>
      </w:tr>
      <w:tr w:rsidR="00D47EFD" w:rsidRPr="00914C79" w14:paraId="245FAB79" w14:textId="77777777" w:rsidTr="008C0ED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2C90207" w14:textId="77777777" w:rsidR="00D47EFD" w:rsidRPr="00914C79" w:rsidRDefault="00D47EFD" w:rsidP="00D47EFD">
            <w:pPr>
              <w:spacing w:before="100" w:beforeAutospacing="1" w:after="100" w:afterAutospacing="1"/>
              <w:jc w:val="center"/>
              <w:rPr>
                <w:rFonts w:eastAsia="Times New Roman"/>
                <w:b/>
                <w:bCs/>
                <w:lang w:eastAsia="lv-LV"/>
              </w:rPr>
            </w:pPr>
            <w:r w:rsidRPr="00914C79">
              <w:rPr>
                <w:rFonts w:eastAsia="Times New Roman"/>
                <w:b/>
                <w:bCs/>
                <w:lang w:eastAsia="lv-LV"/>
              </w:rPr>
              <w:t>2. tabula</w:t>
            </w:r>
            <w:r w:rsidRPr="00914C79">
              <w:rPr>
                <w:rFonts w:eastAsia="Times New Roman"/>
                <w:b/>
                <w:bCs/>
                <w:lang w:eastAsia="lv-LV"/>
              </w:rPr>
              <w:br/>
              <w:t>Ar tiesību akta projektu izpildītās vai uzņemtās saistības, kas izriet no starptautiskajiem tiesību aktiem vai starptautiskas institūcijas vai organizācijas dokumentiem.</w:t>
            </w:r>
            <w:r w:rsidRPr="00914C79">
              <w:rPr>
                <w:rFonts w:eastAsia="Times New Roman"/>
                <w:b/>
                <w:bCs/>
                <w:lang w:eastAsia="lv-LV"/>
              </w:rPr>
              <w:br/>
              <w:t>Pasākumi šo saistību izpildei</w:t>
            </w:r>
          </w:p>
        </w:tc>
      </w:tr>
      <w:tr w:rsidR="00FC56B4" w:rsidRPr="00914C79" w14:paraId="5227EB82" w14:textId="77777777" w:rsidTr="00FC56B4">
        <w:trPr>
          <w:tblCellSpacing w:w="15" w:type="dxa"/>
        </w:trPr>
        <w:tc>
          <w:tcPr>
            <w:tcW w:w="4968" w:type="pct"/>
            <w:gridSpan w:val="4"/>
            <w:tcBorders>
              <w:top w:val="outset" w:sz="6" w:space="0" w:color="auto"/>
              <w:left w:val="outset" w:sz="6" w:space="0" w:color="auto"/>
              <w:bottom w:val="outset" w:sz="6" w:space="0" w:color="auto"/>
              <w:right w:val="outset" w:sz="6" w:space="0" w:color="auto"/>
            </w:tcBorders>
            <w:hideMark/>
          </w:tcPr>
          <w:p w14:paraId="05420E36" w14:textId="77777777" w:rsidR="00FC56B4" w:rsidRPr="00914C79" w:rsidRDefault="00FC56B4" w:rsidP="00FC56B4">
            <w:pPr>
              <w:spacing w:after="0"/>
              <w:jc w:val="center"/>
              <w:rPr>
                <w:rFonts w:eastAsia="Times New Roman"/>
                <w:lang w:eastAsia="lv-LV"/>
              </w:rPr>
            </w:pPr>
            <w:r w:rsidRPr="00914C79">
              <w:t>Projekts šo jomu neskar.</w:t>
            </w:r>
          </w:p>
        </w:tc>
      </w:tr>
    </w:tbl>
    <w:p w14:paraId="6082B56A" w14:textId="1B2DEDEA" w:rsidR="008C0EDC" w:rsidRDefault="008C0EDC" w:rsidP="008C0EDC">
      <w:pPr>
        <w:spacing w:after="0"/>
        <w:rPr>
          <w:rFonts w:eastAsia="Times New Roman"/>
          <w:lang w:eastAsia="lv-LV"/>
        </w:rPr>
      </w:pPr>
    </w:p>
    <w:p w14:paraId="4C0CE08E" w14:textId="250F8A6B" w:rsidR="00D54260" w:rsidRDefault="00D54260" w:rsidP="008C0EDC">
      <w:pPr>
        <w:spacing w:after="0"/>
        <w:rPr>
          <w:rFonts w:eastAsia="Times New Roman"/>
          <w:lang w:eastAsia="lv-LV"/>
        </w:rPr>
      </w:pPr>
    </w:p>
    <w:p w14:paraId="603DF4C0" w14:textId="43E34756" w:rsidR="00D54260" w:rsidRDefault="00D54260" w:rsidP="008C0EDC">
      <w:pPr>
        <w:spacing w:after="0"/>
        <w:rPr>
          <w:rFonts w:eastAsia="Times New Roman"/>
          <w:lang w:eastAsia="lv-LV"/>
        </w:rPr>
      </w:pPr>
    </w:p>
    <w:p w14:paraId="01348311" w14:textId="77777777" w:rsidR="00D54260" w:rsidRPr="00914C79" w:rsidRDefault="00D54260"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914C79" w14:paraId="0A06ED42"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767F86" w14:textId="77777777" w:rsidR="008C0EDC" w:rsidRPr="00914C79" w:rsidRDefault="008C0EDC" w:rsidP="008C0EDC">
            <w:pPr>
              <w:spacing w:before="100" w:beforeAutospacing="1" w:after="100" w:afterAutospacing="1"/>
              <w:jc w:val="center"/>
              <w:rPr>
                <w:rFonts w:eastAsia="Times New Roman"/>
                <w:b/>
                <w:bCs/>
                <w:lang w:eastAsia="lv-LV"/>
              </w:rPr>
            </w:pPr>
            <w:r w:rsidRPr="00914C79">
              <w:rPr>
                <w:rFonts w:eastAsia="Times New Roman"/>
                <w:b/>
                <w:bCs/>
                <w:lang w:eastAsia="lv-LV"/>
              </w:rPr>
              <w:lastRenderedPageBreak/>
              <w:t>VI. Sabiedrības līdzdalība un komunikācijas aktivitātes</w:t>
            </w:r>
          </w:p>
        </w:tc>
      </w:tr>
      <w:tr w:rsidR="008C0EDC" w:rsidRPr="00914C79" w14:paraId="0B2EF0B1"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C8AB95"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6B4C39" w14:textId="77777777" w:rsidR="008C0EDC" w:rsidRPr="00914C79" w:rsidRDefault="008C0EDC" w:rsidP="008C0EDC">
            <w:pPr>
              <w:spacing w:after="0"/>
              <w:rPr>
                <w:rFonts w:eastAsia="Times New Roman"/>
                <w:lang w:eastAsia="lv-LV"/>
              </w:rPr>
            </w:pPr>
            <w:r w:rsidRPr="00914C79">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7E57D90E" w14:textId="77777777" w:rsidR="008C0EDC" w:rsidRPr="00914C79" w:rsidRDefault="004559FF" w:rsidP="00B8328E">
            <w:pPr>
              <w:spacing w:after="0"/>
              <w:jc w:val="both"/>
              <w:rPr>
                <w:rFonts w:eastAsia="Times New Roman"/>
                <w:lang w:eastAsia="lv-LV"/>
              </w:rPr>
            </w:pPr>
            <w:r w:rsidRPr="00914C79">
              <w:rPr>
                <w:rFonts w:eastAsia="Times New Roman"/>
                <w:lang w:eastAsia="lv-LV"/>
              </w:rPr>
              <w:t>Atbilstoši Ministru kabineta 2009.gada 25.augusta noteikumu Nr.970 „Sabiedrības līdzdalības kārtība attīstības plānošanas procesā” 7.4.</w:t>
            </w:r>
            <w:r w:rsidRPr="00914C79">
              <w:rPr>
                <w:rFonts w:eastAsia="Times New Roman"/>
                <w:vertAlign w:val="superscript"/>
                <w:lang w:eastAsia="lv-LV"/>
              </w:rPr>
              <w:t>1</w:t>
            </w:r>
            <w:r w:rsidRPr="00914C79">
              <w:rPr>
                <w:rFonts w:eastAsia="Times New Roman"/>
                <w:lang w:eastAsia="lv-LV"/>
              </w:rPr>
              <w:t xml:space="preserve"> apakšpunktam sabiedrībai tika dota iespēja rakstiski sniegt viedokli par projektu tā izstrādes stadijā.</w:t>
            </w:r>
            <w:r w:rsidR="00A267B9" w:rsidRPr="00914C79">
              <w:rPr>
                <w:rFonts w:eastAsia="Times New Roman"/>
                <w:lang w:eastAsia="lv-LV"/>
              </w:rPr>
              <w:t xml:space="preserve"> </w:t>
            </w:r>
          </w:p>
        </w:tc>
      </w:tr>
      <w:tr w:rsidR="008C0EDC" w:rsidRPr="00914C79" w14:paraId="592BDB1F"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D45A7E"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A06359" w14:textId="77777777" w:rsidR="008C0EDC" w:rsidRPr="00914C79" w:rsidRDefault="008C0EDC" w:rsidP="008C0EDC">
            <w:pPr>
              <w:spacing w:after="0"/>
              <w:rPr>
                <w:rFonts w:eastAsia="Times New Roman"/>
                <w:lang w:eastAsia="lv-LV"/>
              </w:rPr>
            </w:pPr>
            <w:r w:rsidRPr="00914C79">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6F10236C" w14:textId="77777777" w:rsidR="008C0EDC" w:rsidRPr="00914C79" w:rsidRDefault="004559FF" w:rsidP="00B8328E">
            <w:pPr>
              <w:spacing w:after="0"/>
              <w:jc w:val="both"/>
              <w:rPr>
                <w:rFonts w:eastAsia="Times New Roman"/>
                <w:lang w:eastAsia="lv-LV"/>
              </w:rPr>
            </w:pPr>
            <w:r w:rsidRPr="00914C79">
              <w:rPr>
                <w:rFonts w:eastAsia="Calibri"/>
              </w:rPr>
              <w:t>Paziņojums par līdzdalības iespējām projekta izstrādes procesā 20</w:t>
            </w:r>
            <w:r w:rsidR="00802C5A" w:rsidRPr="00914C79">
              <w:rPr>
                <w:rFonts w:eastAsia="Calibri"/>
              </w:rPr>
              <w:t>20</w:t>
            </w:r>
            <w:r w:rsidRPr="00914C79">
              <w:rPr>
                <w:rFonts w:eastAsia="Calibri"/>
              </w:rPr>
              <w:t xml:space="preserve">.gada </w:t>
            </w:r>
            <w:r w:rsidR="005A2FEA" w:rsidRPr="00914C79">
              <w:rPr>
                <w:rFonts w:eastAsia="Calibri"/>
              </w:rPr>
              <w:t>7</w:t>
            </w:r>
            <w:r w:rsidRPr="00914C79">
              <w:rPr>
                <w:rFonts w:eastAsia="Calibri"/>
              </w:rPr>
              <w:t>.</w:t>
            </w:r>
            <w:r w:rsidR="005A2FEA" w:rsidRPr="00914C79">
              <w:rPr>
                <w:rFonts w:eastAsia="Calibri"/>
              </w:rPr>
              <w:t>decembrī</w:t>
            </w:r>
            <w:r w:rsidRPr="00914C79">
              <w:rPr>
                <w:rFonts w:eastAsia="Calibri"/>
              </w:rPr>
              <w:t xml:space="preserve"> tika ievietots Satiksmes ministrijas tīmekļa vietnē </w:t>
            </w:r>
            <w:r w:rsidRPr="00914C79">
              <w:rPr>
                <w:color w:val="000000" w:themeColor="text1"/>
              </w:rPr>
              <w:t>http://www.sam.gov.lv/sm/content/?cat=553</w:t>
            </w:r>
          </w:p>
        </w:tc>
      </w:tr>
      <w:tr w:rsidR="008C0EDC" w:rsidRPr="00914C79" w14:paraId="34038E6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821BE4"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474B552" w14:textId="77777777" w:rsidR="008C0EDC" w:rsidRPr="00914C79" w:rsidRDefault="008C0EDC" w:rsidP="008C0EDC">
            <w:pPr>
              <w:spacing w:after="0"/>
              <w:rPr>
                <w:rFonts w:eastAsia="Times New Roman"/>
                <w:lang w:eastAsia="lv-LV"/>
              </w:rPr>
            </w:pPr>
            <w:r w:rsidRPr="00914C79">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C5CED2D" w14:textId="77777777" w:rsidR="008C0EDC" w:rsidRPr="00914C79" w:rsidRDefault="00D973DD" w:rsidP="008C0EDC">
            <w:pPr>
              <w:spacing w:after="0"/>
              <w:rPr>
                <w:rFonts w:eastAsia="Times New Roman"/>
                <w:lang w:eastAsia="lv-LV"/>
              </w:rPr>
            </w:pPr>
            <w:r w:rsidRPr="00914C79">
              <w:t>P</w:t>
            </w:r>
            <w:r w:rsidR="00F01236" w:rsidRPr="00914C79">
              <w:t>riekšlikumi netika sniegti.</w:t>
            </w:r>
          </w:p>
        </w:tc>
      </w:tr>
      <w:tr w:rsidR="008C0EDC" w:rsidRPr="00914C79" w14:paraId="4E1BEBA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7B8C1F"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9BB2E4C" w14:textId="77777777" w:rsidR="008C0EDC" w:rsidRPr="00914C79" w:rsidRDefault="008C0EDC" w:rsidP="008C0EDC">
            <w:pPr>
              <w:spacing w:after="0"/>
              <w:rPr>
                <w:rFonts w:eastAsia="Times New Roman"/>
                <w:lang w:eastAsia="lv-LV"/>
              </w:rPr>
            </w:pPr>
            <w:r w:rsidRPr="00914C79">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0CEBD375" w14:textId="77777777" w:rsidR="008C0EDC" w:rsidRPr="00914C79" w:rsidRDefault="00F01236" w:rsidP="008C0EDC">
            <w:pPr>
              <w:spacing w:after="0"/>
              <w:rPr>
                <w:rFonts w:eastAsia="Times New Roman"/>
                <w:lang w:eastAsia="lv-LV"/>
              </w:rPr>
            </w:pPr>
            <w:r w:rsidRPr="00914C79">
              <w:rPr>
                <w:rFonts w:eastAsia="Times New Roman"/>
                <w:lang w:eastAsia="lv-LV"/>
              </w:rPr>
              <w:t>Nav.</w:t>
            </w:r>
          </w:p>
        </w:tc>
      </w:tr>
    </w:tbl>
    <w:p w14:paraId="202CF9DB" w14:textId="77777777" w:rsidR="008C0EDC" w:rsidRPr="00914C79" w:rsidRDefault="008C0EDC" w:rsidP="008C0EDC">
      <w:pPr>
        <w:spacing w:after="0"/>
        <w:rPr>
          <w:rFonts w:eastAsia="Times New Roman"/>
          <w:lang w:eastAsia="lv-LV"/>
        </w:rPr>
      </w:pPr>
    </w:p>
    <w:p w14:paraId="787A0E43" w14:textId="77777777" w:rsidR="00802C5A" w:rsidRPr="00914C79" w:rsidRDefault="00802C5A" w:rsidP="008C0EDC">
      <w:pPr>
        <w:spacing w:after="0"/>
        <w:rPr>
          <w:rFonts w:eastAsia="Times New Roman"/>
          <w:lang w:eastAsia="lv-LV"/>
        </w:rPr>
      </w:pPr>
    </w:p>
    <w:p w14:paraId="7D821A05" w14:textId="77777777" w:rsidR="00802C5A" w:rsidRPr="00914C79" w:rsidRDefault="00802C5A"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57"/>
        <w:gridCol w:w="5563"/>
      </w:tblGrid>
      <w:tr w:rsidR="008C0EDC" w:rsidRPr="00914C79" w14:paraId="77CDBC98"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2D316C" w14:textId="77777777" w:rsidR="008C0EDC" w:rsidRPr="00914C79" w:rsidRDefault="008C0EDC" w:rsidP="008C0EDC">
            <w:pPr>
              <w:spacing w:before="100" w:beforeAutospacing="1" w:after="100" w:afterAutospacing="1"/>
              <w:jc w:val="center"/>
              <w:rPr>
                <w:rFonts w:eastAsia="Times New Roman"/>
                <w:b/>
                <w:bCs/>
                <w:lang w:eastAsia="lv-LV"/>
              </w:rPr>
            </w:pPr>
            <w:r w:rsidRPr="00914C79">
              <w:rPr>
                <w:rFonts w:eastAsia="Times New Roman"/>
                <w:b/>
                <w:bCs/>
                <w:lang w:eastAsia="lv-LV"/>
              </w:rPr>
              <w:t>VII. Tiesību akta projekta izpildes nodrošināšana un tās ietekme uz institūcijām</w:t>
            </w:r>
          </w:p>
        </w:tc>
      </w:tr>
      <w:tr w:rsidR="008C0EDC" w:rsidRPr="00914C79" w14:paraId="337B1614"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C9148D"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F261D0A" w14:textId="77777777" w:rsidR="008C0EDC" w:rsidRPr="00914C79" w:rsidRDefault="008C0EDC" w:rsidP="008C0EDC">
            <w:pPr>
              <w:spacing w:after="0"/>
              <w:rPr>
                <w:rFonts w:eastAsia="Times New Roman"/>
                <w:lang w:eastAsia="lv-LV"/>
              </w:rPr>
            </w:pPr>
            <w:r w:rsidRPr="00914C79">
              <w:rPr>
                <w:rFonts w:eastAsia="Times New Roman"/>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74351532" w14:textId="77777777" w:rsidR="008C0EDC" w:rsidRPr="00914C79" w:rsidRDefault="00D95E66" w:rsidP="00057C6A">
            <w:pPr>
              <w:spacing w:after="0"/>
              <w:jc w:val="both"/>
              <w:rPr>
                <w:rFonts w:eastAsia="Times New Roman"/>
                <w:lang w:eastAsia="lv-LV"/>
              </w:rPr>
            </w:pPr>
            <w:r w:rsidRPr="00914C79">
              <w:rPr>
                <w:rFonts w:eastAsia="Times New Roman"/>
                <w:lang w:eastAsia="lv-LV"/>
              </w:rPr>
              <w:t>Projekta izpildi nodrošinās Civilās aviācijas aģentūra</w:t>
            </w:r>
            <w:r w:rsidR="00D865D6" w:rsidRPr="00914C79">
              <w:rPr>
                <w:rFonts w:eastAsia="Times New Roman"/>
                <w:lang w:eastAsia="lv-LV"/>
              </w:rPr>
              <w:t xml:space="preserve"> un Valsts drošības dienests</w:t>
            </w:r>
            <w:r w:rsidR="00057C6A" w:rsidRPr="00914C79">
              <w:rPr>
                <w:rFonts w:eastAsia="Times New Roman"/>
                <w:lang w:eastAsia="lv-LV"/>
              </w:rPr>
              <w:t>.</w:t>
            </w:r>
          </w:p>
        </w:tc>
      </w:tr>
      <w:tr w:rsidR="008C0EDC" w:rsidRPr="00914C79" w14:paraId="699BBAF6"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0ABAEF"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B2291B" w14:textId="77777777" w:rsidR="008C0EDC" w:rsidRPr="00914C79" w:rsidRDefault="008C0EDC" w:rsidP="008C0EDC">
            <w:pPr>
              <w:spacing w:after="0"/>
              <w:rPr>
                <w:rFonts w:eastAsia="Times New Roman"/>
                <w:lang w:eastAsia="lv-LV"/>
              </w:rPr>
            </w:pPr>
            <w:r w:rsidRPr="00914C79">
              <w:rPr>
                <w:rFonts w:eastAsia="Times New Roman"/>
                <w:lang w:eastAsia="lv-LV"/>
              </w:rPr>
              <w:t>Projekta izpildes ietekme uz pārvaldes funkcijām un institucionālo struktūru.</w:t>
            </w:r>
            <w:r w:rsidRPr="00914C79">
              <w:rPr>
                <w:rFonts w:eastAsia="Times New Roman"/>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1FDFD930" w14:textId="77777777" w:rsidR="008C0EDC" w:rsidRPr="00914C79" w:rsidRDefault="00057C6A" w:rsidP="00D935AC">
            <w:pPr>
              <w:spacing w:after="0"/>
              <w:jc w:val="both"/>
              <w:rPr>
                <w:rFonts w:eastAsia="Times New Roman"/>
                <w:lang w:eastAsia="lv-LV"/>
              </w:rPr>
            </w:pPr>
            <w:r w:rsidRPr="00914C79">
              <w:rPr>
                <w:rFonts w:eastAsia="Times New Roman"/>
                <w:lang w:eastAsia="lv-LV"/>
              </w:rPr>
              <w:t>Noteikumu projekta izpilde neietekmēs pārvaldes funkcijas vai institucionālo struktūru, jo tā izpilde tiks nodrošināta jau esošās valsts pārvaldes institucionālās uzbūves ietvaros.</w:t>
            </w:r>
          </w:p>
        </w:tc>
      </w:tr>
      <w:tr w:rsidR="008C0EDC" w:rsidRPr="00914C79" w14:paraId="7F5003E6" w14:textId="77777777" w:rsidTr="000B6C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6055DF" w14:textId="77777777" w:rsidR="008C0EDC" w:rsidRPr="00914C79" w:rsidRDefault="008C0EDC" w:rsidP="008C0EDC">
            <w:pPr>
              <w:spacing w:before="100" w:beforeAutospacing="1" w:after="100" w:afterAutospacing="1"/>
              <w:jc w:val="center"/>
              <w:rPr>
                <w:rFonts w:eastAsia="Times New Roman"/>
                <w:lang w:eastAsia="lv-LV"/>
              </w:rPr>
            </w:pPr>
            <w:r w:rsidRPr="00914C79">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8CB1213" w14:textId="77777777" w:rsidR="008C0EDC" w:rsidRPr="00914C79" w:rsidRDefault="008C0EDC" w:rsidP="008C0EDC">
            <w:pPr>
              <w:spacing w:after="0"/>
              <w:rPr>
                <w:rFonts w:eastAsia="Times New Roman"/>
                <w:lang w:eastAsia="lv-LV"/>
              </w:rPr>
            </w:pPr>
            <w:r w:rsidRPr="00914C79">
              <w:rPr>
                <w:rFonts w:eastAsia="Times New Roman"/>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71811002" w14:textId="77777777" w:rsidR="008C0EDC" w:rsidRPr="00914C79" w:rsidRDefault="00366604" w:rsidP="008C0EDC">
            <w:pPr>
              <w:spacing w:after="0"/>
              <w:rPr>
                <w:rFonts w:eastAsia="Times New Roman"/>
                <w:lang w:eastAsia="lv-LV"/>
              </w:rPr>
            </w:pPr>
            <w:r w:rsidRPr="00914C79">
              <w:rPr>
                <w:rFonts w:eastAsia="Times New Roman"/>
                <w:lang w:eastAsia="lv-LV"/>
              </w:rPr>
              <w:t>Nav</w:t>
            </w:r>
          </w:p>
        </w:tc>
      </w:tr>
    </w:tbl>
    <w:p w14:paraId="3BB29367" w14:textId="77777777" w:rsidR="000B6C51" w:rsidRPr="00914C79" w:rsidRDefault="000B6C51" w:rsidP="000B6C51">
      <w:pPr>
        <w:tabs>
          <w:tab w:val="left" w:pos="6237"/>
        </w:tabs>
        <w:spacing w:after="0"/>
        <w:ind w:firstLine="720"/>
      </w:pPr>
    </w:p>
    <w:p w14:paraId="4CCDB234" w14:textId="77777777" w:rsidR="000B6C51" w:rsidRPr="00914C79" w:rsidRDefault="000B6C51" w:rsidP="000B6C51">
      <w:pPr>
        <w:tabs>
          <w:tab w:val="left" w:pos="6237"/>
        </w:tabs>
        <w:spacing w:after="0"/>
        <w:ind w:firstLine="720"/>
      </w:pPr>
    </w:p>
    <w:p w14:paraId="0A3A624A" w14:textId="77777777" w:rsidR="000B6C51" w:rsidRPr="00914C79" w:rsidRDefault="000B6C51" w:rsidP="000B6C51">
      <w:pPr>
        <w:tabs>
          <w:tab w:val="left" w:pos="6237"/>
        </w:tabs>
        <w:spacing w:after="0"/>
        <w:ind w:firstLine="720"/>
      </w:pPr>
      <w:r w:rsidRPr="00914C79">
        <w:t>Satiksmes ministrs</w:t>
      </w:r>
      <w:r w:rsidRPr="00914C79">
        <w:tab/>
      </w:r>
      <w:r w:rsidR="00A87AAB" w:rsidRPr="00914C79">
        <w:t>T.Linkaits</w:t>
      </w:r>
    </w:p>
    <w:p w14:paraId="7CD96BD9" w14:textId="77777777" w:rsidR="00B8328E" w:rsidRPr="00914C79" w:rsidRDefault="00B8328E" w:rsidP="000B6C51">
      <w:pPr>
        <w:tabs>
          <w:tab w:val="left" w:pos="6237"/>
        </w:tabs>
        <w:spacing w:after="0"/>
        <w:ind w:firstLine="720"/>
      </w:pPr>
    </w:p>
    <w:p w14:paraId="3C0B6229" w14:textId="77777777" w:rsidR="000B6C51" w:rsidRPr="00914C79" w:rsidRDefault="000B6C51" w:rsidP="000B6C51">
      <w:pPr>
        <w:tabs>
          <w:tab w:val="left" w:pos="6237"/>
        </w:tabs>
        <w:spacing w:after="0"/>
        <w:ind w:firstLine="720"/>
      </w:pPr>
      <w:r w:rsidRPr="00914C79">
        <w:t>Vīza:</w:t>
      </w:r>
    </w:p>
    <w:p w14:paraId="1BC1A254" w14:textId="77777777" w:rsidR="00A87AAB" w:rsidRPr="00914C79" w:rsidRDefault="00A87AAB" w:rsidP="001E34CD">
      <w:pPr>
        <w:tabs>
          <w:tab w:val="left" w:pos="6237"/>
        </w:tabs>
        <w:spacing w:after="0"/>
        <w:ind w:firstLine="720"/>
      </w:pPr>
      <w:r w:rsidRPr="00914C79">
        <w:t>Valsts sekretār</w:t>
      </w:r>
      <w:r w:rsidR="00205B13" w:rsidRPr="00914C79">
        <w:t>e</w:t>
      </w:r>
      <w:r w:rsidRPr="00914C79">
        <w:t xml:space="preserve">                                      </w:t>
      </w:r>
      <w:r w:rsidRPr="00914C79">
        <w:tab/>
      </w:r>
      <w:r w:rsidR="00205B13" w:rsidRPr="00914C79">
        <w:t>I.Stepanova</w:t>
      </w:r>
    </w:p>
    <w:p w14:paraId="6E7D256A" w14:textId="77777777" w:rsidR="000B6C51" w:rsidRPr="00914C79" w:rsidRDefault="000B6C51" w:rsidP="000B6C51">
      <w:pPr>
        <w:tabs>
          <w:tab w:val="left" w:pos="6237"/>
        </w:tabs>
        <w:spacing w:after="0"/>
        <w:ind w:firstLine="720"/>
      </w:pPr>
    </w:p>
    <w:p w14:paraId="5211367D" w14:textId="77777777" w:rsidR="00AE7DAA" w:rsidRPr="00914C79" w:rsidRDefault="00AE7DAA" w:rsidP="000B6C51">
      <w:pPr>
        <w:tabs>
          <w:tab w:val="left" w:pos="6237"/>
        </w:tabs>
        <w:spacing w:after="0"/>
        <w:ind w:firstLine="720"/>
      </w:pPr>
    </w:p>
    <w:p w14:paraId="7964314C" w14:textId="77777777" w:rsidR="00BD6734" w:rsidRPr="00914C79" w:rsidRDefault="00BD6734" w:rsidP="000B6C51">
      <w:pPr>
        <w:tabs>
          <w:tab w:val="left" w:pos="6237"/>
        </w:tabs>
        <w:spacing w:after="0"/>
        <w:ind w:firstLine="720"/>
      </w:pPr>
    </w:p>
    <w:p w14:paraId="13C4334A" w14:textId="77777777" w:rsidR="00BD6734" w:rsidRPr="00914C79" w:rsidRDefault="00023902" w:rsidP="00BD6734">
      <w:pPr>
        <w:tabs>
          <w:tab w:val="left" w:pos="1500"/>
        </w:tabs>
        <w:spacing w:after="0"/>
        <w:rPr>
          <w:sz w:val="20"/>
          <w:szCs w:val="20"/>
        </w:rPr>
      </w:pPr>
      <w:r w:rsidRPr="00914C79">
        <w:rPr>
          <w:sz w:val="20"/>
          <w:szCs w:val="20"/>
        </w:rPr>
        <w:t>Klotiņš</w:t>
      </w:r>
      <w:r w:rsidR="00BD6734" w:rsidRPr="00914C79">
        <w:rPr>
          <w:sz w:val="20"/>
          <w:szCs w:val="20"/>
        </w:rPr>
        <w:t>, 6783096</w:t>
      </w:r>
      <w:r w:rsidRPr="00914C79">
        <w:rPr>
          <w:sz w:val="20"/>
          <w:szCs w:val="20"/>
        </w:rPr>
        <w:t>4</w:t>
      </w:r>
    </w:p>
    <w:p w14:paraId="68F048F7" w14:textId="77777777" w:rsidR="00BD6734" w:rsidRPr="00A03851" w:rsidRDefault="00EE7A1C" w:rsidP="00BD6734">
      <w:pPr>
        <w:tabs>
          <w:tab w:val="left" w:pos="1500"/>
        </w:tabs>
        <w:spacing w:after="0"/>
        <w:rPr>
          <w:sz w:val="20"/>
          <w:szCs w:val="20"/>
        </w:rPr>
      </w:pPr>
      <w:hyperlink r:id="rId7" w:history="1">
        <w:r w:rsidR="00023902" w:rsidRPr="00914C79">
          <w:rPr>
            <w:rStyle w:val="Hyperlink"/>
            <w:sz w:val="20"/>
            <w:szCs w:val="20"/>
            <w:u w:val="none"/>
          </w:rPr>
          <w:t>armands.klotiņš@caa.gov.lv</w:t>
        </w:r>
      </w:hyperlink>
    </w:p>
    <w:p w14:paraId="652C1694" w14:textId="77777777" w:rsidR="00BD6734" w:rsidRPr="00A03851" w:rsidRDefault="00BD6734" w:rsidP="000B6C51">
      <w:pPr>
        <w:tabs>
          <w:tab w:val="left" w:pos="6237"/>
        </w:tabs>
        <w:spacing w:after="0"/>
        <w:ind w:firstLine="720"/>
      </w:pPr>
    </w:p>
    <w:p w14:paraId="676B065A" w14:textId="77777777" w:rsidR="008C0EDC" w:rsidRPr="00A03851" w:rsidRDefault="000B6C51" w:rsidP="00057C6A">
      <w:pPr>
        <w:tabs>
          <w:tab w:val="left" w:pos="1500"/>
        </w:tabs>
        <w:spacing w:after="0"/>
      </w:pPr>
      <w:r w:rsidRPr="00A03851">
        <w:tab/>
      </w:r>
    </w:p>
    <w:sectPr w:rsidR="008C0EDC" w:rsidRPr="00A03851" w:rsidSect="00807C2D">
      <w:headerReference w:type="default" r:id="rId8"/>
      <w:footerReference w:type="default" r:id="rId9"/>
      <w:footerReference w:type="first" r:id="rId10"/>
      <w:pgSz w:w="11906" w:h="16838"/>
      <w:pgMar w:top="1134" w:right="1134"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B8BC" w14:textId="77777777" w:rsidR="008C32D4" w:rsidRDefault="008C32D4" w:rsidP="0055695F">
      <w:pPr>
        <w:spacing w:after="0"/>
      </w:pPr>
      <w:r>
        <w:separator/>
      </w:r>
    </w:p>
  </w:endnote>
  <w:endnote w:type="continuationSeparator" w:id="0">
    <w:p w14:paraId="49EAD8B7" w14:textId="77777777" w:rsidR="008C32D4" w:rsidRDefault="008C32D4"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5542" w14:textId="77777777" w:rsidR="00C72D28" w:rsidRDefault="00F566E3">
    <w:pPr>
      <w:pStyle w:val="Footer"/>
    </w:pPr>
    <w:r>
      <w:t>S</w:t>
    </w:r>
    <w:r w:rsidR="00057C6A">
      <w:t>M</w:t>
    </w:r>
    <w:r w:rsidR="00252377">
      <w:t>a</w:t>
    </w:r>
    <w:r w:rsidR="00057C6A">
      <w:t>not_</w:t>
    </w:r>
    <w:r w:rsidR="00033B25">
      <w:t>20</w:t>
    </w:r>
    <w:r w:rsidR="002E07CC">
      <w:t>10</w:t>
    </w:r>
    <w:r w:rsidR="00B060B8">
      <w:t>21</w:t>
    </w:r>
    <w:r>
      <w:t>_</w:t>
    </w:r>
    <w:r w:rsidR="006F3EF3">
      <w:t>idp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16B8" w14:textId="77777777" w:rsidR="00C72D28" w:rsidRDefault="00F566E3" w:rsidP="0055695F">
    <w:pPr>
      <w:pStyle w:val="Footer"/>
    </w:pPr>
    <w:r>
      <w:t>S</w:t>
    </w:r>
    <w:r w:rsidR="00057C6A">
      <w:t>M</w:t>
    </w:r>
    <w:r w:rsidR="00252377">
      <w:t>a</w:t>
    </w:r>
    <w:r w:rsidR="00057C6A">
      <w:t>not_</w:t>
    </w:r>
    <w:r w:rsidR="00033B25">
      <w:t>20</w:t>
    </w:r>
    <w:r w:rsidR="002E07CC">
      <w:t>10</w:t>
    </w:r>
    <w:r w:rsidR="00B060B8">
      <w:t>21</w:t>
    </w:r>
    <w:r>
      <w:t>_</w:t>
    </w:r>
    <w:r w:rsidR="002669AF">
      <w:t>idp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3A1C" w14:textId="77777777" w:rsidR="008C32D4" w:rsidRDefault="008C32D4" w:rsidP="0055695F">
      <w:pPr>
        <w:spacing w:after="0"/>
      </w:pPr>
      <w:r>
        <w:separator/>
      </w:r>
    </w:p>
  </w:footnote>
  <w:footnote w:type="continuationSeparator" w:id="0">
    <w:p w14:paraId="176F49CD" w14:textId="77777777" w:rsidR="008C32D4" w:rsidRDefault="008C32D4"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377376"/>
      <w:docPartObj>
        <w:docPartGallery w:val="Page Numbers (Top of Page)"/>
        <w:docPartUnique/>
      </w:docPartObj>
    </w:sdtPr>
    <w:sdtEndPr>
      <w:rPr>
        <w:noProof/>
      </w:rPr>
    </w:sdtEndPr>
    <w:sdtContent>
      <w:p w14:paraId="1AD6CD5B" w14:textId="77777777" w:rsidR="00C72D28" w:rsidRDefault="00C72D28">
        <w:pPr>
          <w:pStyle w:val="Header"/>
          <w:jc w:val="center"/>
        </w:pPr>
        <w:r>
          <w:fldChar w:fldCharType="begin"/>
        </w:r>
        <w:r>
          <w:instrText xml:space="preserve"> PAGE   \* MERGEFORMAT </w:instrText>
        </w:r>
        <w:r>
          <w:fldChar w:fldCharType="separate"/>
        </w:r>
        <w:r w:rsidR="00CE341C">
          <w:rPr>
            <w:noProof/>
          </w:rPr>
          <w:t>9</w:t>
        </w:r>
        <w:r>
          <w:rPr>
            <w:noProof/>
          </w:rPr>
          <w:fldChar w:fldCharType="end"/>
        </w:r>
      </w:p>
    </w:sdtContent>
  </w:sdt>
  <w:p w14:paraId="3D90DF6B" w14:textId="77777777" w:rsidR="00C72D28" w:rsidRDefault="00C72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0"/>
    <w:rsid w:val="00002033"/>
    <w:rsid w:val="00007716"/>
    <w:rsid w:val="0001315A"/>
    <w:rsid w:val="00016121"/>
    <w:rsid w:val="000178B3"/>
    <w:rsid w:val="000205FA"/>
    <w:rsid w:val="00021DB8"/>
    <w:rsid w:val="00023902"/>
    <w:rsid w:val="00023DB6"/>
    <w:rsid w:val="00026C18"/>
    <w:rsid w:val="000270AD"/>
    <w:rsid w:val="00033B25"/>
    <w:rsid w:val="000347EE"/>
    <w:rsid w:val="000360D5"/>
    <w:rsid w:val="000424C2"/>
    <w:rsid w:val="00051EDB"/>
    <w:rsid w:val="00052B3B"/>
    <w:rsid w:val="0005345B"/>
    <w:rsid w:val="00053F1F"/>
    <w:rsid w:val="00057C6A"/>
    <w:rsid w:val="00062595"/>
    <w:rsid w:val="00062B72"/>
    <w:rsid w:val="00065D74"/>
    <w:rsid w:val="00066D28"/>
    <w:rsid w:val="000674F4"/>
    <w:rsid w:val="0007297C"/>
    <w:rsid w:val="00077B3D"/>
    <w:rsid w:val="00077FAE"/>
    <w:rsid w:val="00082280"/>
    <w:rsid w:val="00082F56"/>
    <w:rsid w:val="00084AC0"/>
    <w:rsid w:val="000872EF"/>
    <w:rsid w:val="00087703"/>
    <w:rsid w:val="0009214D"/>
    <w:rsid w:val="00094400"/>
    <w:rsid w:val="000A39B5"/>
    <w:rsid w:val="000A6B88"/>
    <w:rsid w:val="000A774F"/>
    <w:rsid w:val="000B6C51"/>
    <w:rsid w:val="000C06A7"/>
    <w:rsid w:val="000C1320"/>
    <w:rsid w:val="000C1E41"/>
    <w:rsid w:val="000C52BA"/>
    <w:rsid w:val="000C5C87"/>
    <w:rsid w:val="000C6617"/>
    <w:rsid w:val="000D11EA"/>
    <w:rsid w:val="000D361C"/>
    <w:rsid w:val="000D4D03"/>
    <w:rsid w:val="000E06A8"/>
    <w:rsid w:val="000E079E"/>
    <w:rsid w:val="000E0E96"/>
    <w:rsid w:val="000E1169"/>
    <w:rsid w:val="000E3292"/>
    <w:rsid w:val="000E397E"/>
    <w:rsid w:val="000E60B4"/>
    <w:rsid w:val="000E7127"/>
    <w:rsid w:val="000F0D5B"/>
    <w:rsid w:val="000F2939"/>
    <w:rsid w:val="000F4BF0"/>
    <w:rsid w:val="000F5A81"/>
    <w:rsid w:val="000F6B92"/>
    <w:rsid w:val="000F714D"/>
    <w:rsid w:val="00102C81"/>
    <w:rsid w:val="00102F99"/>
    <w:rsid w:val="001032EC"/>
    <w:rsid w:val="001120A9"/>
    <w:rsid w:val="0011628A"/>
    <w:rsid w:val="00120E86"/>
    <w:rsid w:val="00122FBD"/>
    <w:rsid w:val="0012667B"/>
    <w:rsid w:val="00134C0D"/>
    <w:rsid w:val="0013655E"/>
    <w:rsid w:val="00137600"/>
    <w:rsid w:val="00137845"/>
    <w:rsid w:val="0014200E"/>
    <w:rsid w:val="001446B0"/>
    <w:rsid w:val="00145872"/>
    <w:rsid w:val="0014724E"/>
    <w:rsid w:val="001476EE"/>
    <w:rsid w:val="00147E2E"/>
    <w:rsid w:val="00151824"/>
    <w:rsid w:val="00152BA5"/>
    <w:rsid w:val="001554CB"/>
    <w:rsid w:val="00164D76"/>
    <w:rsid w:val="001740B0"/>
    <w:rsid w:val="001745D8"/>
    <w:rsid w:val="001801D2"/>
    <w:rsid w:val="0018058E"/>
    <w:rsid w:val="001820EE"/>
    <w:rsid w:val="00185E17"/>
    <w:rsid w:val="001864FE"/>
    <w:rsid w:val="00192F6E"/>
    <w:rsid w:val="00194109"/>
    <w:rsid w:val="00195C30"/>
    <w:rsid w:val="001A2937"/>
    <w:rsid w:val="001A33A9"/>
    <w:rsid w:val="001A4B26"/>
    <w:rsid w:val="001A503E"/>
    <w:rsid w:val="001B22EF"/>
    <w:rsid w:val="001B22FF"/>
    <w:rsid w:val="001B3F08"/>
    <w:rsid w:val="001B4841"/>
    <w:rsid w:val="001B5E28"/>
    <w:rsid w:val="001C044F"/>
    <w:rsid w:val="001C2527"/>
    <w:rsid w:val="001C2C81"/>
    <w:rsid w:val="001D1FE8"/>
    <w:rsid w:val="001D2319"/>
    <w:rsid w:val="001D47E3"/>
    <w:rsid w:val="001D5C4F"/>
    <w:rsid w:val="001D74AD"/>
    <w:rsid w:val="001D7B49"/>
    <w:rsid w:val="001D7D01"/>
    <w:rsid w:val="001E34CD"/>
    <w:rsid w:val="001E4C20"/>
    <w:rsid w:val="001E79E0"/>
    <w:rsid w:val="001E7D61"/>
    <w:rsid w:val="001F146C"/>
    <w:rsid w:val="001F20E7"/>
    <w:rsid w:val="001F2184"/>
    <w:rsid w:val="001F445C"/>
    <w:rsid w:val="001F7464"/>
    <w:rsid w:val="002018F2"/>
    <w:rsid w:val="00204490"/>
    <w:rsid w:val="00205B13"/>
    <w:rsid w:val="0021047F"/>
    <w:rsid w:val="00210F82"/>
    <w:rsid w:val="002209C6"/>
    <w:rsid w:val="0022123D"/>
    <w:rsid w:val="00224937"/>
    <w:rsid w:val="00230B14"/>
    <w:rsid w:val="00230CEE"/>
    <w:rsid w:val="002322C9"/>
    <w:rsid w:val="0023716F"/>
    <w:rsid w:val="00237A81"/>
    <w:rsid w:val="00237A9A"/>
    <w:rsid w:val="002410AD"/>
    <w:rsid w:val="00242097"/>
    <w:rsid w:val="00243760"/>
    <w:rsid w:val="0024686E"/>
    <w:rsid w:val="00252377"/>
    <w:rsid w:val="0025714A"/>
    <w:rsid w:val="00260DA5"/>
    <w:rsid w:val="00260E05"/>
    <w:rsid w:val="0026249E"/>
    <w:rsid w:val="002668CB"/>
    <w:rsid w:val="002669AF"/>
    <w:rsid w:val="002734E0"/>
    <w:rsid w:val="00273BAC"/>
    <w:rsid w:val="00276EB3"/>
    <w:rsid w:val="002805AE"/>
    <w:rsid w:val="002815C0"/>
    <w:rsid w:val="00284982"/>
    <w:rsid w:val="0028788C"/>
    <w:rsid w:val="002906B0"/>
    <w:rsid w:val="00292C86"/>
    <w:rsid w:val="00296EC0"/>
    <w:rsid w:val="002A05F9"/>
    <w:rsid w:val="002A0A18"/>
    <w:rsid w:val="002A14CC"/>
    <w:rsid w:val="002A176F"/>
    <w:rsid w:val="002A5F19"/>
    <w:rsid w:val="002B4019"/>
    <w:rsid w:val="002B588A"/>
    <w:rsid w:val="002B5C7F"/>
    <w:rsid w:val="002B5EBC"/>
    <w:rsid w:val="002B5FA4"/>
    <w:rsid w:val="002B7C9B"/>
    <w:rsid w:val="002B7FF2"/>
    <w:rsid w:val="002C1304"/>
    <w:rsid w:val="002C2EBB"/>
    <w:rsid w:val="002C4A20"/>
    <w:rsid w:val="002D0044"/>
    <w:rsid w:val="002D2516"/>
    <w:rsid w:val="002D3F69"/>
    <w:rsid w:val="002D4979"/>
    <w:rsid w:val="002D4DA0"/>
    <w:rsid w:val="002D5D56"/>
    <w:rsid w:val="002D7647"/>
    <w:rsid w:val="002E07CC"/>
    <w:rsid w:val="002E2089"/>
    <w:rsid w:val="002E2567"/>
    <w:rsid w:val="002E267D"/>
    <w:rsid w:val="002E7673"/>
    <w:rsid w:val="002F3AD7"/>
    <w:rsid w:val="002F4B16"/>
    <w:rsid w:val="002F5989"/>
    <w:rsid w:val="002F626E"/>
    <w:rsid w:val="002F72F0"/>
    <w:rsid w:val="00306057"/>
    <w:rsid w:val="003072EB"/>
    <w:rsid w:val="00307EA9"/>
    <w:rsid w:val="003159AC"/>
    <w:rsid w:val="003171D3"/>
    <w:rsid w:val="00322BD2"/>
    <w:rsid w:val="003249C8"/>
    <w:rsid w:val="00324E99"/>
    <w:rsid w:val="00326473"/>
    <w:rsid w:val="00326816"/>
    <w:rsid w:val="0033190B"/>
    <w:rsid w:val="00343504"/>
    <w:rsid w:val="00343957"/>
    <w:rsid w:val="003439A7"/>
    <w:rsid w:val="003443D0"/>
    <w:rsid w:val="00344BB4"/>
    <w:rsid w:val="00344D51"/>
    <w:rsid w:val="0034599C"/>
    <w:rsid w:val="00346F2B"/>
    <w:rsid w:val="00347B51"/>
    <w:rsid w:val="00351069"/>
    <w:rsid w:val="00352C03"/>
    <w:rsid w:val="0035527D"/>
    <w:rsid w:val="00362094"/>
    <w:rsid w:val="003634A6"/>
    <w:rsid w:val="003643BE"/>
    <w:rsid w:val="00365632"/>
    <w:rsid w:val="00366604"/>
    <w:rsid w:val="00371E2D"/>
    <w:rsid w:val="003749B4"/>
    <w:rsid w:val="0037709D"/>
    <w:rsid w:val="003800A0"/>
    <w:rsid w:val="00381999"/>
    <w:rsid w:val="00381AB2"/>
    <w:rsid w:val="00384976"/>
    <w:rsid w:val="00386DA5"/>
    <w:rsid w:val="003905F0"/>
    <w:rsid w:val="00391907"/>
    <w:rsid w:val="00392D93"/>
    <w:rsid w:val="00393B1F"/>
    <w:rsid w:val="003957E3"/>
    <w:rsid w:val="00395F1F"/>
    <w:rsid w:val="003968C1"/>
    <w:rsid w:val="00397019"/>
    <w:rsid w:val="003A06B8"/>
    <w:rsid w:val="003A1B04"/>
    <w:rsid w:val="003A29F2"/>
    <w:rsid w:val="003A3A11"/>
    <w:rsid w:val="003A4A8C"/>
    <w:rsid w:val="003A6490"/>
    <w:rsid w:val="003B0A69"/>
    <w:rsid w:val="003B2E80"/>
    <w:rsid w:val="003B3663"/>
    <w:rsid w:val="003C1102"/>
    <w:rsid w:val="003C2535"/>
    <w:rsid w:val="003C3221"/>
    <w:rsid w:val="003C4DFB"/>
    <w:rsid w:val="003C4E0E"/>
    <w:rsid w:val="003D0104"/>
    <w:rsid w:val="003D445D"/>
    <w:rsid w:val="003D4EBE"/>
    <w:rsid w:val="003D6694"/>
    <w:rsid w:val="003E12D2"/>
    <w:rsid w:val="003E197D"/>
    <w:rsid w:val="003F0526"/>
    <w:rsid w:val="00400792"/>
    <w:rsid w:val="00406CFA"/>
    <w:rsid w:val="0040752F"/>
    <w:rsid w:val="00407BF3"/>
    <w:rsid w:val="00411269"/>
    <w:rsid w:val="00414629"/>
    <w:rsid w:val="00414A8C"/>
    <w:rsid w:val="00414DF0"/>
    <w:rsid w:val="004158F1"/>
    <w:rsid w:val="00421D28"/>
    <w:rsid w:val="00423F19"/>
    <w:rsid w:val="00426F54"/>
    <w:rsid w:val="004271B6"/>
    <w:rsid w:val="00432A9B"/>
    <w:rsid w:val="00433C50"/>
    <w:rsid w:val="0043419C"/>
    <w:rsid w:val="00434481"/>
    <w:rsid w:val="00435BA3"/>
    <w:rsid w:val="00436FC4"/>
    <w:rsid w:val="00437BA6"/>
    <w:rsid w:val="004416B5"/>
    <w:rsid w:val="0044487B"/>
    <w:rsid w:val="00444A14"/>
    <w:rsid w:val="00446330"/>
    <w:rsid w:val="00446F5B"/>
    <w:rsid w:val="00450DC6"/>
    <w:rsid w:val="00450F19"/>
    <w:rsid w:val="0045152E"/>
    <w:rsid w:val="00451CE4"/>
    <w:rsid w:val="00453628"/>
    <w:rsid w:val="00455188"/>
    <w:rsid w:val="004559FF"/>
    <w:rsid w:val="00462AD9"/>
    <w:rsid w:val="00462E8B"/>
    <w:rsid w:val="0046552B"/>
    <w:rsid w:val="004735FB"/>
    <w:rsid w:val="00474BA2"/>
    <w:rsid w:val="00475EFC"/>
    <w:rsid w:val="0047772D"/>
    <w:rsid w:val="00481493"/>
    <w:rsid w:val="00483DB3"/>
    <w:rsid w:val="00485308"/>
    <w:rsid w:val="00485BA8"/>
    <w:rsid w:val="00486042"/>
    <w:rsid w:val="004918D2"/>
    <w:rsid w:val="00493B25"/>
    <w:rsid w:val="00495BC8"/>
    <w:rsid w:val="00495E06"/>
    <w:rsid w:val="0049652F"/>
    <w:rsid w:val="0049683E"/>
    <w:rsid w:val="00496938"/>
    <w:rsid w:val="004A1206"/>
    <w:rsid w:val="004A2044"/>
    <w:rsid w:val="004A20A8"/>
    <w:rsid w:val="004A4BEC"/>
    <w:rsid w:val="004B0063"/>
    <w:rsid w:val="004B05B8"/>
    <w:rsid w:val="004B50E9"/>
    <w:rsid w:val="004B5F86"/>
    <w:rsid w:val="004B6654"/>
    <w:rsid w:val="004C1778"/>
    <w:rsid w:val="004C2976"/>
    <w:rsid w:val="004C6064"/>
    <w:rsid w:val="004C6668"/>
    <w:rsid w:val="004C6736"/>
    <w:rsid w:val="004C7EE2"/>
    <w:rsid w:val="004D0554"/>
    <w:rsid w:val="004D0DF3"/>
    <w:rsid w:val="004D4026"/>
    <w:rsid w:val="004D41E9"/>
    <w:rsid w:val="004D6EC6"/>
    <w:rsid w:val="004E002B"/>
    <w:rsid w:val="004E04B3"/>
    <w:rsid w:val="004E2E37"/>
    <w:rsid w:val="004E2FC5"/>
    <w:rsid w:val="004E5E3B"/>
    <w:rsid w:val="004E62EC"/>
    <w:rsid w:val="004F556D"/>
    <w:rsid w:val="004F5C2B"/>
    <w:rsid w:val="00500483"/>
    <w:rsid w:val="0050090F"/>
    <w:rsid w:val="00502352"/>
    <w:rsid w:val="00502818"/>
    <w:rsid w:val="00504903"/>
    <w:rsid w:val="00507D81"/>
    <w:rsid w:val="00510CD0"/>
    <w:rsid w:val="00510FA5"/>
    <w:rsid w:val="005120BD"/>
    <w:rsid w:val="005137A1"/>
    <w:rsid w:val="0051384B"/>
    <w:rsid w:val="0051412F"/>
    <w:rsid w:val="00516211"/>
    <w:rsid w:val="00517DEB"/>
    <w:rsid w:val="005215F0"/>
    <w:rsid w:val="005221FF"/>
    <w:rsid w:val="00522250"/>
    <w:rsid w:val="00530547"/>
    <w:rsid w:val="00531E5A"/>
    <w:rsid w:val="005336BF"/>
    <w:rsid w:val="005339B6"/>
    <w:rsid w:val="00542570"/>
    <w:rsid w:val="005431A9"/>
    <w:rsid w:val="005521BB"/>
    <w:rsid w:val="00553A32"/>
    <w:rsid w:val="00553ABF"/>
    <w:rsid w:val="0055695F"/>
    <w:rsid w:val="00556FEB"/>
    <w:rsid w:val="00562164"/>
    <w:rsid w:val="00563D08"/>
    <w:rsid w:val="005736C9"/>
    <w:rsid w:val="00573C9E"/>
    <w:rsid w:val="005760CE"/>
    <w:rsid w:val="00576943"/>
    <w:rsid w:val="0058123A"/>
    <w:rsid w:val="0058182A"/>
    <w:rsid w:val="005833FF"/>
    <w:rsid w:val="00583AC4"/>
    <w:rsid w:val="00584F8E"/>
    <w:rsid w:val="005858AD"/>
    <w:rsid w:val="00585CC3"/>
    <w:rsid w:val="0059071E"/>
    <w:rsid w:val="0059100A"/>
    <w:rsid w:val="005917BC"/>
    <w:rsid w:val="00592C89"/>
    <w:rsid w:val="0059366B"/>
    <w:rsid w:val="00596C30"/>
    <w:rsid w:val="005A2FEA"/>
    <w:rsid w:val="005A499C"/>
    <w:rsid w:val="005A7F56"/>
    <w:rsid w:val="005B0D13"/>
    <w:rsid w:val="005B2637"/>
    <w:rsid w:val="005B267D"/>
    <w:rsid w:val="005B5475"/>
    <w:rsid w:val="005B547B"/>
    <w:rsid w:val="005B5582"/>
    <w:rsid w:val="005B7B20"/>
    <w:rsid w:val="005C0746"/>
    <w:rsid w:val="005C256D"/>
    <w:rsid w:val="005C5447"/>
    <w:rsid w:val="005D08C6"/>
    <w:rsid w:val="005D2892"/>
    <w:rsid w:val="005D50E5"/>
    <w:rsid w:val="005D7281"/>
    <w:rsid w:val="005E22B7"/>
    <w:rsid w:val="005E2A15"/>
    <w:rsid w:val="005F048F"/>
    <w:rsid w:val="005F6544"/>
    <w:rsid w:val="005F6650"/>
    <w:rsid w:val="006000B5"/>
    <w:rsid w:val="00601471"/>
    <w:rsid w:val="00602DCE"/>
    <w:rsid w:val="006052E9"/>
    <w:rsid w:val="0060687E"/>
    <w:rsid w:val="00613FA6"/>
    <w:rsid w:val="006223FB"/>
    <w:rsid w:val="00626FD4"/>
    <w:rsid w:val="00631ADF"/>
    <w:rsid w:val="00632D37"/>
    <w:rsid w:val="006345B6"/>
    <w:rsid w:val="00634635"/>
    <w:rsid w:val="00640824"/>
    <w:rsid w:val="00640D94"/>
    <w:rsid w:val="00641A24"/>
    <w:rsid w:val="0064375B"/>
    <w:rsid w:val="00645377"/>
    <w:rsid w:val="00645A7A"/>
    <w:rsid w:val="00645C45"/>
    <w:rsid w:val="00646F42"/>
    <w:rsid w:val="00647281"/>
    <w:rsid w:val="00647EC0"/>
    <w:rsid w:val="00656342"/>
    <w:rsid w:val="00662255"/>
    <w:rsid w:val="00663F84"/>
    <w:rsid w:val="006643EA"/>
    <w:rsid w:val="00665030"/>
    <w:rsid w:val="00665706"/>
    <w:rsid w:val="00670675"/>
    <w:rsid w:val="00671271"/>
    <w:rsid w:val="00677482"/>
    <w:rsid w:val="00677E26"/>
    <w:rsid w:val="00684280"/>
    <w:rsid w:val="00684974"/>
    <w:rsid w:val="00687194"/>
    <w:rsid w:val="0068731C"/>
    <w:rsid w:val="006935F7"/>
    <w:rsid w:val="006936DE"/>
    <w:rsid w:val="0069421D"/>
    <w:rsid w:val="006956AF"/>
    <w:rsid w:val="00695A3D"/>
    <w:rsid w:val="006962DF"/>
    <w:rsid w:val="00696AF8"/>
    <w:rsid w:val="0069769F"/>
    <w:rsid w:val="006978C4"/>
    <w:rsid w:val="006A0144"/>
    <w:rsid w:val="006A0568"/>
    <w:rsid w:val="006A1755"/>
    <w:rsid w:val="006B1EBD"/>
    <w:rsid w:val="006B236F"/>
    <w:rsid w:val="006B456F"/>
    <w:rsid w:val="006B5D07"/>
    <w:rsid w:val="006B7B23"/>
    <w:rsid w:val="006C07DD"/>
    <w:rsid w:val="006C1069"/>
    <w:rsid w:val="006C24DB"/>
    <w:rsid w:val="006C4723"/>
    <w:rsid w:val="006C7081"/>
    <w:rsid w:val="006D360B"/>
    <w:rsid w:val="006D3AB2"/>
    <w:rsid w:val="006E2FA8"/>
    <w:rsid w:val="006E67A8"/>
    <w:rsid w:val="006E7DC1"/>
    <w:rsid w:val="006F1590"/>
    <w:rsid w:val="006F1CD6"/>
    <w:rsid w:val="006F1DE7"/>
    <w:rsid w:val="006F2C12"/>
    <w:rsid w:val="006F3586"/>
    <w:rsid w:val="006F3EF3"/>
    <w:rsid w:val="006F3F2E"/>
    <w:rsid w:val="006F43EF"/>
    <w:rsid w:val="006F5AB1"/>
    <w:rsid w:val="006F6433"/>
    <w:rsid w:val="00701323"/>
    <w:rsid w:val="0070147D"/>
    <w:rsid w:val="0070413C"/>
    <w:rsid w:val="00704C62"/>
    <w:rsid w:val="00704E62"/>
    <w:rsid w:val="00705E98"/>
    <w:rsid w:val="00706695"/>
    <w:rsid w:val="00707B09"/>
    <w:rsid w:val="007108ED"/>
    <w:rsid w:val="007156B7"/>
    <w:rsid w:val="007175CB"/>
    <w:rsid w:val="00720586"/>
    <w:rsid w:val="00720F58"/>
    <w:rsid w:val="00721D16"/>
    <w:rsid w:val="00723F10"/>
    <w:rsid w:val="00724772"/>
    <w:rsid w:val="00725034"/>
    <w:rsid w:val="007279D1"/>
    <w:rsid w:val="00730DE7"/>
    <w:rsid w:val="00736C92"/>
    <w:rsid w:val="00750A6F"/>
    <w:rsid w:val="00751FDA"/>
    <w:rsid w:val="00752D61"/>
    <w:rsid w:val="007552C2"/>
    <w:rsid w:val="00756ECA"/>
    <w:rsid w:val="00757C52"/>
    <w:rsid w:val="00762579"/>
    <w:rsid w:val="00770A3A"/>
    <w:rsid w:val="007710D0"/>
    <w:rsid w:val="007712E7"/>
    <w:rsid w:val="007744F5"/>
    <w:rsid w:val="007759C3"/>
    <w:rsid w:val="00777D45"/>
    <w:rsid w:val="00780953"/>
    <w:rsid w:val="0078175A"/>
    <w:rsid w:val="00781D98"/>
    <w:rsid w:val="007838BB"/>
    <w:rsid w:val="007851A2"/>
    <w:rsid w:val="00787B9D"/>
    <w:rsid w:val="00793C69"/>
    <w:rsid w:val="00794CA1"/>
    <w:rsid w:val="0079573D"/>
    <w:rsid w:val="007A0630"/>
    <w:rsid w:val="007A3496"/>
    <w:rsid w:val="007A3B17"/>
    <w:rsid w:val="007A4171"/>
    <w:rsid w:val="007A4667"/>
    <w:rsid w:val="007B10F2"/>
    <w:rsid w:val="007B4DCA"/>
    <w:rsid w:val="007B5EC6"/>
    <w:rsid w:val="007B6172"/>
    <w:rsid w:val="007C0912"/>
    <w:rsid w:val="007C0AF5"/>
    <w:rsid w:val="007C1EA7"/>
    <w:rsid w:val="007C2D43"/>
    <w:rsid w:val="007C3DBB"/>
    <w:rsid w:val="007C6237"/>
    <w:rsid w:val="007D0E80"/>
    <w:rsid w:val="007D366A"/>
    <w:rsid w:val="007D6015"/>
    <w:rsid w:val="007D6B29"/>
    <w:rsid w:val="007E6660"/>
    <w:rsid w:val="007F0C5C"/>
    <w:rsid w:val="007F2062"/>
    <w:rsid w:val="007F27E1"/>
    <w:rsid w:val="007F2EEB"/>
    <w:rsid w:val="007F2F01"/>
    <w:rsid w:val="007F39DE"/>
    <w:rsid w:val="007F5E93"/>
    <w:rsid w:val="007F6BF3"/>
    <w:rsid w:val="008018AE"/>
    <w:rsid w:val="00802C5A"/>
    <w:rsid w:val="00802F92"/>
    <w:rsid w:val="00804CA7"/>
    <w:rsid w:val="00805357"/>
    <w:rsid w:val="00807906"/>
    <w:rsid w:val="00807945"/>
    <w:rsid w:val="00807AAD"/>
    <w:rsid w:val="00807C2D"/>
    <w:rsid w:val="008173F6"/>
    <w:rsid w:val="008207C4"/>
    <w:rsid w:val="00821AAC"/>
    <w:rsid w:val="00827945"/>
    <w:rsid w:val="00832374"/>
    <w:rsid w:val="008341DC"/>
    <w:rsid w:val="008343D1"/>
    <w:rsid w:val="008346A5"/>
    <w:rsid w:val="00836C2C"/>
    <w:rsid w:val="008374B6"/>
    <w:rsid w:val="00850207"/>
    <w:rsid w:val="00850AB4"/>
    <w:rsid w:val="0085189E"/>
    <w:rsid w:val="008543CA"/>
    <w:rsid w:val="0085576C"/>
    <w:rsid w:val="00857898"/>
    <w:rsid w:val="008632F0"/>
    <w:rsid w:val="0086344B"/>
    <w:rsid w:val="00865CE2"/>
    <w:rsid w:val="00867AF1"/>
    <w:rsid w:val="0087071D"/>
    <w:rsid w:val="008707B8"/>
    <w:rsid w:val="00873B52"/>
    <w:rsid w:val="00880A72"/>
    <w:rsid w:val="008820BD"/>
    <w:rsid w:val="00886776"/>
    <w:rsid w:val="0089627A"/>
    <w:rsid w:val="008A3251"/>
    <w:rsid w:val="008B257E"/>
    <w:rsid w:val="008B385F"/>
    <w:rsid w:val="008B6703"/>
    <w:rsid w:val="008C054E"/>
    <w:rsid w:val="008C0EDC"/>
    <w:rsid w:val="008C169C"/>
    <w:rsid w:val="008C32D4"/>
    <w:rsid w:val="008C5818"/>
    <w:rsid w:val="008D225C"/>
    <w:rsid w:val="008D22C6"/>
    <w:rsid w:val="008D35C3"/>
    <w:rsid w:val="008D5407"/>
    <w:rsid w:val="008E12D1"/>
    <w:rsid w:val="008E25FF"/>
    <w:rsid w:val="008E4277"/>
    <w:rsid w:val="008E5C4C"/>
    <w:rsid w:val="008E7201"/>
    <w:rsid w:val="008E751C"/>
    <w:rsid w:val="008E7F50"/>
    <w:rsid w:val="008F09BD"/>
    <w:rsid w:val="008F1D43"/>
    <w:rsid w:val="008F3796"/>
    <w:rsid w:val="008F38EA"/>
    <w:rsid w:val="008F7A8F"/>
    <w:rsid w:val="008F7C32"/>
    <w:rsid w:val="00906766"/>
    <w:rsid w:val="00907C84"/>
    <w:rsid w:val="00907D74"/>
    <w:rsid w:val="00910B7B"/>
    <w:rsid w:val="00914013"/>
    <w:rsid w:val="00914C79"/>
    <w:rsid w:val="00917258"/>
    <w:rsid w:val="00917344"/>
    <w:rsid w:val="00924237"/>
    <w:rsid w:val="009251EE"/>
    <w:rsid w:val="00926576"/>
    <w:rsid w:val="009326EE"/>
    <w:rsid w:val="009337B9"/>
    <w:rsid w:val="00933D4F"/>
    <w:rsid w:val="009346D8"/>
    <w:rsid w:val="00935B04"/>
    <w:rsid w:val="009365E8"/>
    <w:rsid w:val="0093665B"/>
    <w:rsid w:val="0094075E"/>
    <w:rsid w:val="00944DB6"/>
    <w:rsid w:val="00945375"/>
    <w:rsid w:val="00946231"/>
    <w:rsid w:val="009468F9"/>
    <w:rsid w:val="0095038A"/>
    <w:rsid w:val="009508C4"/>
    <w:rsid w:val="0095446C"/>
    <w:rsid w:val="009547B9"/>
    <w:rsid w:val="00955C3B"/>
    <w:rsid w:val="009569A7"/>
    <w:rsid w:val="00956A3F"/>
    <w:rsid w:val="00962419"/>
    <w:rsid w:val="009625A2"/>
    <w:rsid w:val="00963BCB"/>
    <w:rsid w:val="009643E5"/>
    <w:rsid w:val="00966C19"/>
    <w:rsid w:val="00966DB9"/>
    <w:rsid w:val="0096793F"/>
    <w:rsid w:val="00967A17"/>
    <w:rsid w:val="00983B8E"/>
    <w:rsid w:val="00984DBE"/>
    <w:rsid w:val="00986B0A"/>
    <w:rsid w:val="00997005"/>
    <w:rsid w:val="009A6388"/>
    <w:rsid w:val="009A6A84"/>
    <w:rsid w:val="009A77B7"/>
    <w:rsid w:val="009B0290"/>
    <w:rsid w:val="009B5D78"/>
    <w:rsid w:val="009B66AC"/>
    <w:rsid w:val="009C2E13"/>
    <w:rsid w:val="009C35FE"/>
    <w:rsid w:val="009D0F59"/>
    <w:rsid w:val="009D2F0E"/>
    <w:rsid w:val="009D32EA"/>
    <w:rsid w:val="009E2065"/>
    <w:rsid w:val="009E3E5C"/>
    <w:rsid w:val="009E47F8"/>
    <w:rsid w:val="009E49EF"/>
    <w:rsid w:val="009E752F"/>
    <w:rsid w:val="009F0340"/>
    <w:rsid w:val="009F2B96"/>
    <w:rsid w:val="009F4710"/>
    <w:rsid w:val="009F6DC3"/>
    <w:rsid w:val="009F6F23"/>
    <w:rsid w:val="009F7EE0"/>
    <w:rsid w:val="00A0131D"/>
    <w:rsid w:val="00A02E01"/>
    <w:rsid w:val="00A02FF0"/>
    <w:rsid w:val="00A03851"/>
    <w:rsid w:val="00A045AB"/>
    <w:rsid w:val="00A046F2"/>
    <w:rsid w:val="00A04DBB"/>
    <w:rsid w:val="00A07033"/>
    <w:rsid w:val="00A12D8E"/>
    <w:rsid w:val="00A1599B"/>
    <w:rsid w:val="00A1617B"/>
    <w:rsid w:val="00A21C4C"/>
    <w:rsid w:val="00A22CE1"/>
    <w:rsid w:val="00A242ED"/>
    <w:rsid w:val="00A256A7"/>
    <w:rsid w:val="00A267B9"/>
    <w:rsid w:val="00A27BFC"/>
    <w:rsid w:val="00A30DFC"/>
    <w:rsid w:val="00A316FF"/>
    <w:rsid w:val="00A319AF"/>
    <w:rsid w:val="00A33D25"/>
    <w:rsid w:val="00A3595F"/>
    <w:rsid w:val="00A362C3"/>
    <w:rsid w:val="00A41CDD"/>
    <w:rsid w:val="00A41FAC"/>
    <w:rsid w:val="00A42CB7"/>
    <w:rsid w:val="00A450D3"/>
    <w:rsid w:val="00A46792"/>
    <w:rsid w:val="00A518B2"/>
    <w:rsid w:val="00A52F79"/>
    <w:rsid w:val="00A5341B"/>
    <w:rsid w:val="00A53E55"/>
    <w:rsid w:val="00A547F4"/>
    <w:rsid w:val="00A567E5"/>
    <w:rsid w:val="00A601C5"/>
    <w:rsid w:val="00A60425"/>
    <w:rsid w:val="00A65740"/>
    <w:rsid w:val="00A6657C"/>
    <w:rsid w:val="00A66A4B"/>
    <w:rsid w:val="00A66A83"/>
    <w:rsid w:val="00A7161C"/>
    <w:rsid w:val="00A73725"/>
    <w:rsid w:val="00A746A3"/>
    <w:rsid w:val="00A84045"/>
    <w:rsid w:val="00A84195"/>
    <w:rsid w:val="00A8425E"/>
    <w:rsid w:val="00A85F83"/>
    <w:rsid w:val="00A87690"/>
    <w:rsid w:val="00A87AAB"/>
    <w:rsid w:val="00A91812"/>
    <w:rsid w:val="00A94B8C"/>
    <w:rsid w:val="00A94BEF"/>
    <w:rsid w:val="00AA134A"/>
    <w:rsid w:val="00AA1C79"/>
    <w:rsid w:val="00AA1CFA"/>
    <w:rsid w:val="00AA2CB4"/>
    <w:rsid w:val="00AA4575"/>
    <w:rsid w:val="00AB1131"/>
    <w:rsid w:val="00AB18E1"/>
    <w:rsid w:val="00AB79FE"/>
    <w:rsid w:val="00AC3F7F"/>
    <w:rsid w:val="00AC627A"/>
    <w:rsid w:val="00AD520C"/>
    <w:rsid w:val="00AD5D29"/>
    <w:rsid w:val="00AD7C27"/>
    <w:rsid w:val="00AE0B72"/>
    <w:rsid w:val="00AE14E8"/>
    <w:rsid w:val="00AE2D2F"/>
    <w:rsid w:val="00AE5C9E"/>
    <w:rsid w:val="00AE5D6A"/>
    <w:rsid w:val="00AE7DAA"/>
    <w:rsid w:val="00AF4417"/>
    <w:rsid w:val="00AF4A08"/>
    <w:rsid w:val="00B004CC"/>
    <w:rsid w:val="00B008D8"/>
    <w:rsid w:val="00B02ABC"/>
    <w:rsid w:val="00B02B67"/>
    <w:rsid w:val="00B02B74"/>
    <w:rsid w:val="00B039C4"/>
    <w:rsid w:val="00B05A2C"/>
    <w:rsid w:val="00B060B8"/>
    <w:rsid w:val="00B07FB4"/>
    <w:rsid w:val="00B1416A"/>
    <w:rsid w:val="00B14ED8"/>
    <w:rsid w:val="00B174C4"/>
    <w:rsid w:val="00B22258"/>
    <w:rsid w:val="00B2255E"/>
    <w:rsid w:val="00B23181"/>
    <w:rsid w:val="00B242C4"/>
    <w:rsid w:val="00B24F08"/>
    <w:rsid w:val="00B260BB"/>
    <w:rsid w:val="00B27BD5"/>
    <w:rsid w:val="00B309C9"/>
    <w:rsid w:val="00B30D8D"/>
    <w:rsid w:val="00B355AB"/>
    <w:rsid w:val="00B35C71"/>
    <w:rsid w:val="00B433C5"/>
    <w:rsid w:val="00B43CC7"/>
    <w:rsid w:val="00B459DD"/>
    <w:rsid w:val="00B5062F"/>
    <w:rsid w:val="00B5457F"/>
    <w:rsid w:val="00B5493D"/>
    <w:rsid w:val="00B55AD2"/>
    <w:rsid w:val="00B70C85"/>
    <w:rsid w:val="00B717FE"/>
    <w:rsid w:val="00B73D44"/>
    <w:rsid w:val="00B73F10"/>
    <w:rsid w:val="00B74A28"/>
    <w:rsid w:val="00B76415"/>
    <w:rsid w:val="00B82F5E"/>
    <w:rsid w:val="00B8328E"/>
    <w:rsid w:val="00B837F1"/>
    <w:rsid w:val="00B8531F"/>
    <w:rsid w:val="00B85BA2"/>
    <w:rsid w:val="00B85C86"/>
    <w:rsid w:val="00B9211A"/>
    <w:rsid w:val="00B926E8"/>
    <w:rsid w:val="00B92FCE"/>
    <w:rsid w:val="00B93F41"/>
    <w:rsid w:val="00B964D7"/>
    <w:rsid w:val="00BA0220"/>
    <w:rsid w:val="00BA0797"/>
    <w:rsid w:val="00BA2C88"/>
    <w:rsid w:val="00BA2F67"/>
    <w:rsid w:val="00BA39CC"/>
    <w:rsid w:val="00BB07C7"/>
    <w:rsid w:val="00BB1691"/>
    <w:rsid w:val="00BC0AA7"/>
    <w:rsid w:val="00BC41A7"/>
    <w:rsid w:val="00BC52CA"/>
    <w:rsid w:val="00BC5ED7"/>
    <w:rsid w:val="00BC63C9"/>
    <w:rsid w:val="00BC652F"/>
    <w:rsid w:val="00BC6795"/>
    <w:rsid w:val="00BD256C"/>
    <w:rsid w:val="00BD3B8F"/>
    <w:rsid w:val="00BD42EF"/>
    <w:rsid w:val="00BD6734"/>
    <w:rsid w:val="00BE2FE3"/>
    <w:rsid w:val="00BE42CF"/>
    <w:rsid w:val="00BE4722"/>
    <w:rsid w:val="00BE798B"/>
    <w:rsid w:val="00BF1297"/>
    <w:rsid w:val="00BF25E8"/>
    <w:rsid w:val="00BF4904"/>
    <w:rsid w:val="00BF7F39"/>
    <w:rsid w:val="00C014D7"/>
    <w:rsid w:val="00C03F5F"/>
    <w:rsid w:val="00C04885"/>
    <w:rsid w:val="00C04DDE"/>
    <w:rsid w:val="00C054CB"/>
    <w:rsid w:val="00C05F77"/>
    <w:rsid w:val="00C158BE"/>
    <w:rsid w:val="00C179FB"/>
    <w:rsid w:val="00C21440"/>
    <w:rsid w:val="00C21E74"/>
    <w:rsid w:val="00C2265B"/>
    <w:rsid w:val="00C252B7"/>
    <w:rsid w:val="00C2538D"/>
    <w:rsid w:val="00C31D2B"/>
    <w:rsid w:val="00C34A33"/>
    <w:rsid w:val="00C411BA"/>
    <w:rsid w:val="00C41E24"/>
    <w:rsid w:val="00C423DA"/>
    <w:rsid w:val="00C463DB"/>
    <w:rsid w:val="00C46869"/>
    <w:rsid w:val="00C4757E"/>
    <w:rsid w:val="00C51438"/>
    <w:rsid w:val="00C51D7B"/>
    <w:rsid w:val="00C52B26"/>
    <w:rsid w:val="00C53676"/>
    <w:rsid w:val="00C556C6"/>
    <w:rsid w:val="00C574D5"/>
    <w:rsid w:val="00C61773"/>
    <w:rsid w:val="00C647E0"/>
    <w:rsid w:val="00C64EF5"/>
    <w:rsid w:val="00C6501F"/>
    <w:rsid w:val="00C6671A"/>
    <w:rsid w:val="00C70A16"/>
    <w:rsid w:val="00C7283D"/>
    <w:rsid w:val="00C72D28"/>
    <w:rsid w:val="00C73CC4"/>
    <w:rsid w:val="00C75BC4"/>
    <w:rsid w:val="00C77462"/>
    <w:rsid w:val="00C834A3"/>
    <w:rsid w:val="00C905BF"/>
    <w:rsid w:val="00C9156B"/>
    <w:rsid w:val="00C91638"/>
    <w:rsid w:val="00C92EC4"/>
    <w:rsid w:val="00C9792E"/>
    <w:rsid w:val="00C97E54"/>
    <w:rsid w:val="00CA0A0E"/>
    <w:rsid w:val="00CA213D"/>
    <w:rsid w:val="00CA296D"/>
    <w:rsid w:val="00CA403C"/>
    <w:rsid w:val="00CA6E89"/>
    <w:rsid w:val="00CA7FB3"/>
    <w:rsid w:val="00CB3977"/>
    <w:rsid w:val="00CC1C35"/>
    <w:rsid w:val="00CC635D"/>
    <w:rsid w:val="00CC7714"/>
    <w:rsid w:val="00CD1C8D"/>
    <w:rsid w:val="00CD69E1"/>
    <w:rsid w:val="00CE341C"/>
    <w:rsid w:val="00CE5F75"/>
    <w:rsid w:val="00CF2904"/>
    <w:rsid w:val="00CF3D0F"/>
    <w:rsid w:val="00CF42B0"/>
    <w:rsid w:val="00CF6A03"/>
    <w:rsid w:val="00D001E0"/>
    <w:rsid w:val="00D0356A"/>
    <w:rsid w:val="00D04E39"/>
    <w:rsid w:val="00D07CEB"/>
    <w:rsid w:val="00D07D40"/>
    <w:rsid w:val="00D102CB"/>
    <w:rsid w:val="00D12846"/>
    <w:rsid w:val="00D14F5E"/>
    <w:rsid w:val="00D20E51"/>
    <w:rsid w:val="00D2135E"/>
    <w:rsid w:val="00D27264"/>
    <w:rsid w:val="00D27650"/>
    <w:rsid w:val="00D304E9"/>
    <w:rsid w:val="00D30B36"/>
    <w:rsid w:val="00D367CC"/>
    <w:rsid w:val="00D47830"/>
    <w:rsid w:val="00D478D5"/>
    <w:rsid w:val="00D47EFD"/>
    <w:rsid w:val="00D5047F"/>
    <w:rsid w:val="00D509FA"/>
    <w:rsid w:val="00D5272F"/>
    <w:rsid w:val="00D53E3E"/>
    <w:rsid w:val="00D54260"/>
    <w:rsid w:val="00D556A5"/>
    <w:rsid w:val="00D57092"/>
    <w:rsid w:val="00D57CDF"/>
    <w:rsid w:val="00D610DC"/>
    <w:rsid w:val="00D6120A"/>
    <w:rsid w:val="00D64E0C"/>
    <w:rsid w:val="00D670B1"/>
    <w:rsid w:val="00D71BCB"/>
    <w:rsid w:val="00D72334"/>
    <w:rsid w:val="00D728E6"/>
    <w:rsid w:val="00D734BD"/>
    <w:rsid w:val="00D73BD9"/>
    <w:rsid w:val="00D75CE4"/>
    <w:rsid w:val="00D77824"/>
    <w:rsid w:val="00D82531"/>
    <w:rsid w:val="00D865D6"/>
    <w:rsid w:val="00D909B7"/>
    <w:rsid w:val="00D935AC"/>
    <w:rsid w:val="00D94AB2"/>
    <w:rsid w:val="00D95E66"/>
    <w:rsid w:val="00D96991"/>
    <w:rsid w:val="00D973DD"/>
    <w:rsid w:val="00DA1ACF"/>
    <w:rsid w:val="00DA2F48"/>
    <w:rsid w:val="00DA385B"/>
    <w:rsid w:val="00DA5954"/>
    <w:rsid w:val="00DB06BD"/>
    <w:rsid w:val="00DB5875"/>
    <w:rsid w:val="00DB603F"/>
    <w:rsid w:val="00DB627F"/>
    <w:rsid w:val="00DC075F"/>
    <w:rsid w:val="00DC1F56"/>
    <w:rsid w:val="00DC4649"/>
    <w:rsid w:val="00DC4D0A"/>
    <w:rsid w:val="00DC60CE"/>
    <w:rsid w:val="00DC6E32"/>
    <w:rsid w:val="00DD4313"/>
    <w:rsid w:val="00DD4696"/>
    <w:rsid w:val="00DE080D"/>
    <w:rsid w:val="00DE55E2"/>
    <w:rsid w:val="00DE637D"/>
    <w:rsid w:val="00DE71FB"/>
    <w:rsid w:val="00DE7677"/>
    <w:rsid w:val="00DE7F0F"/>
    <w:rsid w:val="00DF60FA"/>
    <w:rsid w:val="00E00985"/>
    <w:rsid w:val="00E0161B"/>
    <w:rsid w:val="00E02A43"/>
    <w:rsid w:val="00E06369"/>
    <w:rsid w:val="00E06C2E"/>
    <w:rsid w:val="00E120AF"/>
    <w:rsid w:val="00E127B4"/>
    <w:rsid w:val="00E14C20"/>
    <w:rsid w:val="00E24D77"/>
    <w:rsid w:val="00E25EA0"/>
    <w:rsid w:val="00E356A5"/>
    <w:rsid w:val="00E42933"/>
    <w:rsid w:val="00E43B67"/>
    <w:rsid w:val="00E44D5D"/>
    <w:rsid w:val="00E47C0C"/>
    <w:rsid w:val="00E51FEA"/>
    <w:rsid w:val="00E52A05"/>
    <w:rsid w:val="00E6186A"/>
    <w:rsid w:val="00E625A2"/>
    <w:rsid w:val="00E627B8"/>
    <w:rsid w:val="00E63130"/>
    <w:rsid w:val="00E64178"/>
    <w:rsid w:val="00E64499"/>
    <w:rsid w:val="00E667D3"/>
    <w:rsid w:val="00E73F59"/>
    <w:rsid w:val="00E75206"/>
    <w:rsid w:val="00E7634D"/>
    <w:rsid w:val="00E764AF"/>
    <w:rsid w:val="00E80494"/>
    <w:rsid w:val="00E812AC"/>
    <w:rsid w:val="00E83853"/>
    <w:rsid w:val="00E866B8"/>
    <w:rsid w:val="00E93E75"/>
    <w:rsid w:val="00E94A38"/>
    <w:rsid w:val="00E94DFC"/>
    <w:rsid w:val="00E96B3A"/>
    <w:rsid w:val="00EA15C2"/>
    <w:rsid w:val="00EA724B"/>
    <w:rsid w:val="00EA76C5"/>
    <w:rsid w:val="00EB0453"/>
    <w:rsid w:val="00EB1C15"/>
    <w:rsid w:val="00EB2752"/>
    <w:rsid w:val="00EB2F4E"/>
    <w:rsid w:val="00EB6359"/>
    <w:rsid w:val="00EB6C39"/>
    <w:rsid w:val="00EC1DF5"/>
    <w:rsid w:val="00EC2D66"/>
    <w:rsid w:val="00EC484A"/>
    <w:rsid w:val="00EC49C3"/>
    <w:rsid w:val="00ED08A5"/>
    <w:rsid w:val="00ED1E7F"/>
    <w:rsid w:val="00ED26C5"/>
    <w:rsid w:val="00EE16A0"/>
    <w:rsid w:val="00EE358A"/>
    <w:rsid w:val="00EE61B6"/>
    <w:rsid w:val="00EE7A1C"/>
    <w:rsid w:val="00EF136E"/>
    <w:rsid w:val="00EF1966"/>
    <w:rsid w:val="00EF55E2"/>
    <w:rsid w:val="00F0064D"/>
    <w:rsid w:val="00F0066B"/>
    <w:rsid w:val="00F01236"/>
    <w:rsid w:val="00F0267B"/>
    <w:rsid w:val="00F0446C"/>
    <w:rsid w:val="00F054E3"/>
    <w:rsid w:val="00F1170F"/>
    <w:rsid w:val="00F130E5"/>
    <w:rsid w:val="00F14B00"/>
    <w:rsid w:val="00F15C1D"/>
    <w:rsid w:val="00F16F5F"/>
    <w:rsid w:val="00F174EA"/>
    <w:rsid w:val="00F21127"/>
    <w:rsid w:val="00F22AA3"/>
    <w:rsid w:val="00F26D0D"/>
    <w:rsid w:val="00F32255"/>
    <w:rsid w:val="00F32ED3"/>
    <w:rsid w:val="00F40019"/>
    <w:rsid w:val="00F458BD"/>
    <w:rsid w:val="00F47DD3"/>
    <w:rsid w:val="00F517E0"/>
    <w:rsid w:val="00F54D4B"/>
    <w:rsid w:val="00F552BB"/>
    <w:rsid w:val="00F566E3"/>
    <w:rsid w:val="00F6084F"/>
    <w:rsid w:val="00F61CB9"/>
    <w:rsid w:val="00F626A8"/>
    <w:rsid w:val="00F63B3A"/>
    <w:rsid w:val="00F63D5F"/>
    <w:rsid w:val="00F64315"/>
    <w:rsid w:val="00F70F59"/>
    <w:rsid w:val="00F713C7"/>
    <w:rsid w:val="00F730D3"/>
    <w:rsid w:val="00F73462"/>
    <w:rsid w:val="00F75E0B"/>
    <w:rsid w:val="00F76521"/>
    <w:rsid w:val="00F814CA"/>
    <w:rsid w:val="00F86167"/>
    <w:rsid w:val="00F87ABD"/>
    <w:rsid w:val="00F927BC"/>
    <w:rsid w:val="00F92B89"/>
    <w:rsid w:val="00F93C27"/>
    <w:rsid w:val="00F94178"/>
    <w:rsid w:val="00FA1360"/>
    <w:rsid w:val="00FA187E"/>
    <w:rsid w:val="00FA1880"/>
    <w:rsid w:val="00FA19BF"/>
    <w:rsid w:val="00FA1AC8"/>
    <w:rsid w:val="00FA328E"/>
    <w:rsid w:val="00FB0AD1"/>
    <w:rsid w:val="00FB0B73"/>
    <w:rsid w:val="00FB6007"/>
    <w:rsid w:val="00FB6BF8"/>
    <w:rsid w:val="00FC4785"/>
    <w:rsid w:val="00FC56B4"/>
    <w:rsid w:val="00FD44AA"/>
    <w:rsid w:val="00FD4EFB"/>
    <w:rsid w:val="00FD62D2"/>
    <w:rsid w:val="00FD7AD2"/>
    <w:rsid w:val="00FE0069"/>
    <w:rsid w:val="00FE0319"/>
    <w:rsid w:val="00FE28F4"/>
    <w:rsid w:val="00FF0E7D"/>
    <w:rsid w:val="00FF6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228E0"/>
  <w15:docId w15:val="{9C8ABA91-1798-4050-B613-92DB904C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rsid w:val="00D5272F"/>
    <w:pPr>
      <w:spacing w:before="100" w:beforeAutospacing="1" w:after="100" w:afterAutospacing="1"/>
      <w:outlineLvl w:val="2"/>
    </w:pPr>
    <w:rPr>
      <w:rFonts w:eastAsia="Calibri"/>
      <w:b/>
      <w:bCs/>
      <w:sz w:val="27"/>
      <w:szCs w:val="27"/>
      <w:lang w:eastAsia="lv-LV"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customStyle="1" w:styleId="Heading3Char">
    <w:name w:val="Heading 3 Char"/>
    <w:basedOn w:val="DefaultParagraphFont"/>
    <w:link w:val="Heading3"/>
    <w:rsid w:val="00D5272F"/>
    <w:rPr>
      <w:rFonts w:eastAsia="Calibri"/>
      <w:b/>
      <w:bCs/>
      <w:sz w:val="27"/>
      <w:szCs w:val="27"/>
      <w:lang w:eastAsia="lv-LV" w:bidi="ml-IN"/>
    </w:rPr>
  </w:style>
  <w:style w:type="paragraph" w:customStyle="1" w:styleId="naislab">
    <w:name w:val="naislab"/>
    <w:basedOn w:val="Normal"/>
    <w:rsid w:val="00D5272F"/>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C2527"/>
    <w:rPr>
      <w:sz w:val="16"/>
      <w:szCs w:val="16"/>
    </w:rPr>
  </w:style>
  <w:style w:type="paragraph" w:styleId="CommentText">
    <w:name w:val="annotation text"/>
    <w:basedOn w:val="Normal"/>
    <w:link w:val="CommentTextChar"/>
    <w:uiPriority w:val="99"/>
    <w:unhideWhenUsed/>
    <w:rsid w:val="001C2527"/>
    <w:rPr>
      <w:sz w:val="20"/>
      <w:szCs w:val="20"/>
    </w:rPr>
  </w:style>
  <w:style w:type="character" w:customStyle="1" w:styleId="CommentTextChar">
    <w:name w:val="Comment Text Char"/>
    <w:basedOn w:val="DefaultParagraphFont"/>
    <w:link w:val="CommentText"/>
    <w:uiPriority w:val="99"/>
    <w:rsid w:val="001C2527"/>
    <w:rPr>
      <w:sz w:val="20"/>
      <w:szCs w:val="20"/>
    </w:rPr>
  </w:style>
  <w:style w:type="paragraph" w:styleId="CommentSubject">
    <w:name w:val="annotation subject"/>
    <w:basedOn w:val="CommentText"/>
    <w:next w:val="CommentText"/>
    <w:link w:val="CommentSubjectChar"/>
    <w:uiPriority w:val="99"/>
    <w:semiHidden/>
    <w:unhideWhenUsed/>
    <w:rsid w:val="001C2527"/>
    <w:rPr>
      <w:b/>
      <w:bCs/>
    </w:rPr>
  </w:style>
  <w:style w:type="character" w:customStyle="1" w:styleId="CommentSubjectChar">
    <w:name w:val="Comment Subject Char"/>
    <w:basedOn w:val="CommentTextChar"/>
    <w:link w:val="CommentSubject"/>
    <w:uiPriority w:val="99"/>
    <w:semiHidden/>
    <w:rsid w:val="001C2527"/>
    <w:rPr>
      <w:b/>
      <w:bCs/>
      <w:sz w:val="20"/>
      <w:szCs w:val="20"/>
    </w:rPr>
  </w:style>
  <w:style w:type="paragraph" w:styleId="Revision">
    <w:name w:val="Revision"/>
    <w:hidden/>
    <w:uiPriority w:val="99"/>
    <w:semiHidden/>
    <w:rsid w:val="002B5FA4"/>
    <w:pPr>
      <w:spacing w:after="0"/>
    </w:pPr>
  </w:style>
  <w:style w:type="paragraph" w:customStyle="1" w:styleId="naisf">
    <w:name w:val="naisf"/>
    <w:basedOn w:val="Normal"/>
    <w:rsid w:val="007D6015"/>
    <w:pPr>
      <w:spacing w:before="75" w:after="75"/>
      <w:ind w:firstLine="375"/>
      <w:jc w:val="both"/>
    </w:pPr>
    <w:rPr>
      <w:rFonts w:eastAsia="Times New Roman"/>
      <w:lang w:eastAsia="lv-LV"/>
    </w:rPr>
  </w:style>
  <w:style w:type="paragraph" w:customStyle="1" w:styleId="logo">
    <w:name w:val="logo"/>
    <w:basedOn w:val="Normal"/>
    <w:uiPriority w:val="99"/>
    <w:rsid w:val="007D6015"/>
    <w:pPr>
      <w:spacing w:before="100" w:beforeAutospacing="1" w:after="100" w:afterAutospacing="1"/>
    </w:pPr>
    <w:rPr>
      <w:rFonts w:eastAsia="Times New Roman"/>
      <w:lang w:eastAsia="lv-LV"/>
    </w:rPr>
  </w:style>
  <w:style w:type="character" w:customStyle="1" w:styleId="UnresolvedMention1">
    <w:name w:val="Unresolved Mention1"/>
    <w:basedOn w:val="DefaultParagraphFont"/>
    <w:uiPriority w:val="99"/>
    <w:semiHidden/>
    <w:unhideWhenUsed/>
    <w:rsid w:val="00023902"/>
    <w:rPr>
      <w:color w:val="605E5C"/>
      <w:shd w:val="clear" w:color="auto" w:fill="E1DFDD"/>
    </w:rPr>
  </w:style>
  <w:style w:type="table" w:styleId="TableGrid">
    <w:name w:val="Table Grid"/>
    <w:basedOn w:val="TableNormal"/>
    <w:uiPriority w:val="39"/>
    <w:rsid w:val="002209C6"/>
    <w:pPr>
      <w:pBdr>
        <w:top w:val="nil"/>
        <w:left w:val="nil"/>
        <w:bottom w:val="nil"/>
        <w:right w:val="nil"/>
        <w:between w:val="nil"/>
      </w:pBdr>
      <w:spacing w:after="0"/>
    </w:pPr>
    <w:rPr>
      <w:rFonts w:eastAsia="Times New Roman"/>
      <w:color w:val="00000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209C6"/>
    <w:pPr>
      <w:spacing w:after="160" w:line="259" w:lineRule="auto"/>
      <w:jc w:val="both"/>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2209C6"/>
    <w:rPr>
      <w:rFonts w:asciiTheme="minorHAnsi" w:hAnsiTheme="minorHAnsi" w:cstheme="minorBidi"/>
      <w:sz w:val="22"/>
      <w:szCs w:val="22"/>
    </w:rPr>
  </w:style>
  <w:style w:type="paragraph" w:styleId="BodyText2">
    <w:name w:val="Body Text 2"/>
    <w:basedOn w:val="Normal"/>
    <w:link w:val="BodyText2Char"/>
    <w:uiPriority w:val="99"/>
    <w:unhideWhenUsed/>
    <w:rsid w:val="002209C6"/>
    <w:pPr>
      <w:spacing w:before="100" w:beforeAutospacing="1" w:after="100" w:afterAutospacing="1"/>
      <w:jc w:val="both"/>
    </w:pPr>
    <w:rPr>
      <w:rFonts w:eastAsia="Times New Roman"/>
    </w:rPr>
  </w:style>
  <w:style w:type="character" w:customStyle="1" w:styleId="BodyText2Char">
    <w:name w:val="Body Text 2 Char"/>
    <w:basedOn w:val="DefaultParagraphFont"/>
    <w:link w:val="BodyText2"/>
    <w:uiPriority w:val="99"/>
    <w:rsid w:val="002209C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5526">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78622066">
      <w:bodyDiv w:val="1"/>
      <w:marLeft w:val="0"/>
      <w:marRight w:val="0"/>
      <w:marTop w:val="0"/>
      <w:marBottom w:val="0"/>
      <w:divBdr>
        <w:top w:val="none" w:sz="0" w:space="0" w:color="auto"/>
        <w:left w:val="none" w:sz="0" w:space="0" w:color="auto"/>
        <w:bottom w:val="none" w:sz="0" w:space="0" w:color="auto"/>
        <w:right w:val="none" w:sz="0" w:space="0" w:color="auto"/>
      </w:divBdr>
      <w:divsChild>
        <w:div w:id="2032489350">
          <w:marLeft w:val="0"/>
          <w:marRight w:val="0"/>
          <w:marTop w:val="0"/>
          <w:marBottom w:val="0"/>
          <w:divBdr>
            <w:top w:val="none" w:sz="0" w:space="0" w:color="auto"/>
            <w:left w:val="none" w:sz="0" w:space="0" w:color="auto"/>
            <w:bottom w:val="none" w:sz="0" w:space="0" w:color="auto"/>
            <w:right w:val="none" w:sz="0" w:space="0" w:color="auto"/>
          </w:divBdr>
          <w:divsChild>
            <w:div w:id="610012040">
              <w:marLeft w:val="0"/>
              <w:marRight w:val="0"/>
              <w:marTop w:val="0"/>
              <w:marBottom w:val="0"/>
              <w:divBdr>
                <w:top w:val="none" w:sz="0" w:space="0" w:color="auto"/>
                <w:left w:val="none" w:sz="0" w:space="0" w:color="auto"/>
                <w:bottom w:val="none" w:sz="0" w:space="0" w:color="auto"/>
                <w:right w:val="none" w:sz="0" w:space="0" w:color="auto"/>
              </w:divBdr>
              <w:divsChild>
                <w:div w:id="1993557558">
                  <w:marLeft w:val="0"/>
                  <w:marRight w:val="0"/>
                  <w:marTop w:val="0"/>
                  <w:marBottom w:val="0"/>
                  <w:divBdr>
                    <w:top w:val="none" w:sz="0" w:space="0" w:color="auto"/>
                    <w:left w:val="none" w:sz="0" w:space="0" w:color="auto"/>
                    <w:bottom w:val="none" w:sz="0" w:space="0" w:color="auto"/>
                    <w:right w:val="none" w:sz="0" w:space="0" w:color="auto"/>
                  </w:divBdr>
                  <w:divsChild>
                    <w:div w:id="86927007">
                      <w:marLeft w:val="0"/>
                      <w:marRight w:val="0"/>
                      <w:marTop w:val="0"/>
                      <w:marBottom w:val="0"/>
                      <w:divBdr>
                        <w:top w:val="none" w:sz="0" w:space="0" w:color="auto"/>
                        <w:left w:val="none" w:sz="0" w:space="0" w:color="auto"/>
                        <w:bottom w:val="none" w:sz="0" w:space="0" w:color="auto"/>
                        <w:right w:val="none" w:sz="0" w:space="0" w:color="auto"/>
                      </w:divBdr>
                      <w:divsChild>
                        <w:div w:id="615212743">
                          <w:marLeft w:val="0"/>
                          <w:marRight w:val="0"/>
                          <w:marTop w:val="0"/>
                          <w:marBottom w:val="0"/>
                          <w:divBdr>
                            <w:top w:val="none" w:sz="0" w:space="0" w:color="auto"/>
                            <w:left w:val="none" w:sz="0" w:space="0" w:color="auto"/>
                            <w:bottom w:val="none" w:sz="0" w:space="0" w:color="auto"/>
                            <w:right w:val="none" w:sz="0" w:space="0" w:color="auto"/>
                          </w:divBdr>
                          <w:divsChild>
                            <w:div w:id="16044579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mands.kloti&#326;&#353;@caa.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7CDC-668D-49FC-890B-C11CA4A3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16328</Words>
  <Characters>9308</Characters>
  <Application>Microsoft Office Word</Application>
  <DocSecurity>4</DocSecurity>
  <Lines>77</Lines>
  <Paragraphs>51</Paragraphs>
  <ScaleCrop>false</ScaleCrop>
  <HeadingPairs>
    <vt:vector size="2" baseType="variant">
      <vt:variant>
        <vt:lpstr>Title</vt:lpstr>
      </vt:variant>
      <vt:variant>
        <vt:i4>1</vt:i4>
      </vt:variant>
    </vt:vector>
  </HeadingPairs>
  <TitlesOfParts>
    <vt:vector size="1" baseType="lpstr">
      <vt:lpstr>Ministru kabineta noteikumu projekta „Iepriekšējās darbības pārbaudes veikšanas kārtība, civilās aviācijas gaisa kuģa apkalpes locekļa identitātes kartes un lidostas identitātes kartes izsniegšanas un anulēšanas kārtība” sākotnējās ietekmes novērtējuma zi</vt:lpstr>
    </vt:vector>
  </TitlesOfParts>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„Iepriekšējās darbības pārbaudes veikšanas kārtība, civilās aviācijas gaisa kuģa apkalpes locekļa identitātes kartes un lidostas identitātes kartes izsniegšanas un anulēšanas kārtība” sākotnējās ietekmes novērtējuma ziņojums (anotācija)</dc:title>
  <dc:creator>Armands Klotiņš</dc:creator>
  <cp:lastModifiedBy>Līga Vernera</cp:lastModifiedBy>
  <cp:revision>2</cp:revision>
  <cp:lastPrinted>2019-06-14T08:15:00Z</cp:lastPrinted>
  <dcterms:created xsi:type="dcterms:W3CDTF">2021-12-03T08:18:00Z</dcterms:created>
  <dcterms:modified xsi:type="dcterms:W3CDTF">2021-12-03T08:18:00Z</dcterms:modified>
</cp:coreProperties>
</file>