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9DF55" w14:textId="3F66B5DC" w:rsidR="008D7A16" w:rsidRPr="004D0386" w:rsidRDefault="00CF3886" w:rsidP="004D0386">
      <w:pPr>
        <w:spacing w:after="0" w:line="240" w:lineRule="auto"/>
        <w:jc w:val="right"/>
        <w:rPr>
          <w:rFonts w:ascii="Times New Roman" w:hAnsi="Times New Roman" w:cs="Times New Roman"/>
          <w:i/>
          <w:iCs/>
          <w:sz w:val="24"/>
          <w:szCs w:val="24"/>
        </w:rPr>
      </w:pPr>
      <w:r>
        <w:rPr>
          <w:rFonts w:ascii="Times New Roman" w:hAnsi="Times New Roman" w:cs="Times New Roman"/>
          <w:i/>
          <w:iCs/>
          <w:sz w:val="24"/>
          <w:szCs w:val="24"/>
        </w:rPr>
        <w:t>3</w:t>
      </w:r>
      <w:r w:rsidR="004D0386" w:rsidRPr="004D0386">
        <w:rPr>
          <w:rFonts w:ascii="Times New Roman" w:hAnsi="Times New Roman" w:cs="Times New Roman"/>
          <w:i/>
          <w:iCs/>
          <w:sz w:val="24"/>
          <w:szCs w:val="24"/>
        </w:rPr>
        <w:t>.pielikums</w:t>
      </w:r>
    </w:p>
    <w:p w14:paraId="37C37072" w14:textId="5FBDA878" w:rsidR="004D0386" w:rsidRPr="004D0386" w:rsidRDefault="004D0386" w:rsidP="004D0386">
      <w:pPr>
        <w:spacing w:after="0" w:line="240" w:lineRule="auto"/>
        <w:rPr>
          <w:rFonts w:ascii="Times New Roman" w:hAnsi="Times New Roman" w:cs="Times New Roman"/>
          <w:sz w:val="24"/>
          <w:szCs w:val="24"/>
        </w:rPr>
      </w:pPr>
    </w:p>
    <w:p w14:paraId="5AAC6D31" w14:textId="77777777" w:rsidR="00A10503" w:rsidRDefault="000320C7" w:rsidP="00A10503">
      <w:pPr>
        <w:spacing w:after="0" w:line="240" w:lineRule="auto"/>
        <w:ind w:right="85"/>
        <w:jc w:val="center"/>
        <w:rPr>
          <w:rFonts w:ascii="Times New Roman" w:hAnsi="Times New Roman" w:cs="Times New Roman"/>
          <w:b/>
          <w:bCs/>
          <w:sz w:val="26"/>
          <w:szCs w:val="26"/>
        </w:rPr>
      </w:pPr>
      <w:bookmarkStart w:id="0" w:name="_Toc126852717"/>
      <w:bookmarkStart w:id="1" w:name="_Toc130197142"/>
      <w:r>
        <w:rPr>
          <w:rFonts w:ascii="Times New Roman" w:hAnsi="Times New Roman" w:cs="Times New Roman"/>
          <w:b/>
          <w:bCs/>
          <w:sz w:val="26"/>
          <w:szCs w:val="26"/>
        </w:rPr>
        <w:t xml:space="preserve">Identificētie riski </w:t>
      </w:r>
      <w:r w:rsidR="00CF3886" w:rsidRPr="00CF3886">
        <w:rPr>
          <w:rFonts w:ascii="Times New Roman" w:hAnsi="Times New Roman" w:cs="Times New Roman"/>
          <w:b/>
          <w:bCs/>
          <w:sz w:val="26"/>
          <w:szCs w:val="26"/>
        </w:rPr>
        <w:t>Konkurences padomes iesaiste</w:t>
      </w:r>
      <w:bookmarkEnd w:id="0"/>
      <w:r>
        <w:rPr>
          <w:rFonts w:ascii="Times New Roman" w:hAnsi="Times New Roman" w:cs="Times New Roman"/>
          <w:b/>
          <w:bCs/>
          <w:sz w:val="26"/>
          <w:szCs w:val="26"/>
        </w:rPr>
        <w:t>i</w:t>
      </w:r>
    </w:p>
    <w:p w14:paraId="677526FF" w14:textId="460576D4" w:rsidR="00CF3886" w:rsidRPr="00CF3886" w:rsidRDefault="00CF3886" w:rsidP="00A10503">
      <w:pPr>
        <w:spacing w:after="240" w:line="240" w:lineRule="auto"/>
        <w:ind w:right="84"/>
        <w:jc w:val="center"/>
        <w:rPr>
          <w:rFonts w:ascii="Times New Roman" w:hAnsi="Times New Roman" w:cs="Times New Roman"/>
          <w:b/>
          <w:bCs/>
          <w:sz w:val="26"/>
          <w:szCs w:val="26"/>
        </w:rPr>
      </w:pPr>
      <w:r w:rsidRPr="00CF3886">
        <w:rPr>
          <w:rFonts w:ascii="Times New Roman" w:hAnsi="Times New Roman" w:cs="Times New Roman"/>
          <w:b/>
          <w:bCs/>
          <w:sz w:val="26"/>
          <w:szCs w:val="26"/>
        </w:rPr>
        <w:t xml:space="preserve"> metodiskā atbalsta sniegšanā</w:t>
      </w:r>
      <w:bookmarkEnd w:id="1"/>
    </w:p>
    <w:p w14:paraId="1465E466" w14:textId="77777777" w:rsidR="00CF3886" w:rsidRPr="00714C2B" w:rsidRDefault="00CF3886" w:rsidP="00714C2B">
      <w:pPr>
        <w:spacing w:after="0" w:line="240" w:lineRule="auto"/>
        <w:ind w:firstLine="709"/>
        <w:jc w:val="both"/>
        <w:rPr>
          <w:rFonts w:ascii="Times New Roman" w:hAnsi="Times New Roman" w:cs="Times New Roman"/>
          <w:sz w:val="24"/>
          <w:szCs w:val="24"/>
        </w:rPr>
      </w:pPr>
      <w:r w:rsidRPr="00714C2B">
        <w:rPr>
          <w:rFonts w:ascii="Times New Roman" w:hAnsi="Times New Roman" w:cs="Times New Roman"/>
          <w:sz w:val="24"/>
          <w:szCs w:val="24"/>
        </w:rPr>
        <w:t>Zaudējumu atgūšanas veicināšanā būtiska loma varētu būt arī KP, sniedzot metodisko atbalstu. Vienlaikus ar šādas papildu kompetences uzņemšanos ir identificēti vairāki riski. Kopumā  konkurences uzraudzības iestāžu iesaiste privāto zaudējumu atlīdzināšanas procesā ir netipiska funkcija un informatīvā ziņojuma sagatavošanas laikā netika iegūta informācija, vai kādā citā valstī konkurences iestādes aktīvi iesaistās šajā procesā. Minētais saistīts ar nepieciešamību nodrošināt konkurences iestādes neatkarību izmeklēšanas laikā un, piemēram, arī iecietības programmas efektivitāti.</w:t>
      </w:r>
    </w:p>
    <w:p w14:paraId="23F7D5C7" w14:textId="77777777" w:rsidR="00CF3886" w:rsidRDefault="00CF3886" w:rsidP="00CF3886">
      <w:pPr>
        <w:ind w:firstLine="709"/>
      </w:pPr>
    </w:p>
    <w:p w14:paraId="75D0FA06" w14:textId="4F29314C" w:rsidR="00CF3886" w:rsidRPr="00714C2B" w:rsidRDefault="00714C2B" w:rsidP="00714C2B">
      <w:pPr>
        <w:rPr>
          <w:rFonts w:ascii="Times New Roman" w:hAnsi="Times New Roman" w:cs="Times New Roman"/>
          <w:b/>
          <w:bCs/>
          <w:sz w:val="24"/>
          <w:szCs w:val="24"/>
        </w:rPr>
      </w:pPr>
      <w:bookmarkStart w:id="2" w:name="_Toc130197143"/>
      <w:r w:rsidRPr="00714C2B">
        <w:rPr>
          <w:rFonts w:ascii="Times New Roman" w:hAnsi="Times New Roman" w:cs="Times New Roman"/>
          <w:b/>
          <w:bCs/>
          <w:sz w:val="24"/>
          <w:szCs w:val="24"/>
        </w:rPr>
        <w:t>1. </w:t>
      </w:r>
      <w:r w:rsidR="00CF3886" w:rsidRPr="00714C2B">
        <w:rPr>
          <w:rFonts w:ascii="Times New Roman" w:hAnsi="Times New Roman" w:cs="Times New Roman"/>
          <w:b/>
          <w:bCs/>
          <w:sz w:val="24"/>
          <w:szCs w:val="24"/>
        </w:rPr>
        <w:t>Neatkarības apdraudējums</w:t>
      </w:r>
      <w:bookmarkEnd w:id="2"/>
    </w:p>
    <w:p w14:paraId="6D14A400" w14:textId="77777777" w:rsidR="00CF3886" w:rsidRPr="00714C2B" w:rsidRDefault="00CF3886" w:rsidP="00714C2B">
      <w:pPr>
        <w:spacing w:before="80" w:after="0" w:line="240" w:lineRule="auto"/>
        <w:ind w:firstLine="709"/>
        <w:jc w:val="both"/>
        <w:rPr>
          <w:rFonts w:ascii="Times New Roman" w:hAnsi="Times New Roman" w:cs="Times New Roman"/>
          <w:sz w:val="24"/>
          <w:szCs w:val="24"/>
        </w:rPr>
      </w:pPr>
      <w:r w:rsidRPr="00714C2B">
        <w:rPr>
          <w:rFonts w:ascii="Times New Roman" w:hAnsi="Times New Roman" w:cs="Times New Roman"/>
          <w:sz w:val="24"/>
          <w:szCs w:val="24"/>
        </w:rPr>
        <w:t>KL 4. panta pirmā daļa nosaka, ka KP ir tiešās pārvaldes iestāde, kas darbojas saskaņā ar šo likumu un citiem normatīvajiem aktiem. Minētā norma arī nosaka, ka KP izveido Ministru kabinets, un tās institucionālā pārraudzība tiek īstenota ar ekonomikas ministra starpniecību. Saskaņā ar KL 6. panta pirmo daļu KP ir noteiktas vairākas uzraudzības iestādes funkcijas, t.i., KP kā iestādes pamatfunkcija ir tirgus uzraudzība. KP pastāvēšanas mērķis faktiski izriet no KL 2. panta, kas paredz aizsargāt, saglabāt un attīstīt brīvu, godīgu un vienlīdzīgu konkurenci visās tautsaimniecības nozarēs sabiedrības interesēs.</w:t>
      </w:r>
    </w:p>
    <w:p w14:paraId="4BE47C86" w14:textId="77777777" w:rsidR="00CF3886" w:rsidRPr="00714C2B" w:rsidRDefault="00CF3886" w:rsidP="00714C2B">
      <w:pPr>
        <w:spacing w:before="80" w:after="0" w:line="240" w:lineRule="auto"/>
        <w:ind w:firstLine="709"/>
        <w:jc w:val="both"/>
        <w:rPr>
          <w:rFonts w:ascii="Times New Roman" w:hAnsi="Times New Roman" w:cs="Times New Roman"/>
          <w:sz w:val="24"/>
          <w:szCs w:val="24"/>
        </w:rPr>
      </w:pPr>
      <w:r w:rsidRPr="00714C2B">
        <w:rPr>
          <w:rFonts w:ascii="Times New Roman" w:hAnsi="Times New Roman" w:cs="Times New Roman"/>
          <w:sz w:val="24"/>
          <w:szCs w:val="24"/>
        </w:rPr>
        <w:t>Turklāt arī starptautiskā mērogā tiek atpazīts, cik svarīgi ir tas, lai šādām konkurenci sargājošām iestādēm tiktu nodrošināta absolūta neatkarība to darbībā. Uz minēto norāda arī Direktīva 2019/1/ES</w:t>
      </w:r>
      <w:r w:rsidRPr="00714C2B">
        <w:rPr>
          <w:rStyle w:val="FootnoteReference"/>
          <w:rFonts w:ascii="Times New Roman" w:hAnsi="Times New Roman" w:cs="Times New Roman"/>
          <w:sz w:val="24"/>
          <w:szCs w:val="24"/>
        </w:rPr>
        <w:footnoteReference w:id="1"/>
      </w:r>
      <w:r w:rsidRPr="00714C2B">
        <w:rPr>
          <w:rFonts w:ascii="Times New Roman" w:hAnsi="Times New Roman" w:cs="Times New Roman"/>
          <w:sz w:val="24"/>
          <w:szCs w:val="24"/>
        </w:rPr>
        <w:t>,  kas paredz, ka līdz 04.02.2021. dalībvalstīm savos nacionālajos likumos ir jānostiprina principi, kas vairotu nacionālo konkurences iestāžu neatkarību</w:t>
      </w:r>
      <w:r w:rsidRPr="00714C2B">
        <w:rPr>
          <w:rStyle w:val="FootnoteReference"/>
          <w:rFonts w:ascii="Times New Roman" w:hAnsi="Times New Roman" w:cs="Times New Roman"/>
          <w:sz w:val="24"/>
          <w:szCs w:val="24"/>
        </w:rPr>
        <w:footnoteReference w:id="2"/>
      </w:r>
      <w:r w:rsidRPr="00714C2B">
        <w:rPr>
          <w:rFonts w:ascii="Times New Roman" w:hAnsi="Times New Roman" w:cs="Times New Roman"/>
          <w:sz w:val="24"/>
          <w:szCs w:val="24"/>
        </w:rPr>
        <w:t>. Tādējādi arī no Eiropas Savienības puses tiek uzsvērta nacionālo konkurences iestāžu kā pilnībā neatkarīgu tirgus uzraugu lomas nepieciešamība un būtiskums.</w:t>
      </w:r>
    </w:p>
    <w:p w14:paraId="178A0982" w14:textId="77777777" w:rsidR="00CF3886" w:rsidRPr="00714C2B" w:rsidRDefault="00CF3886" w:rsidP="00714C2B">
      <w:pPr>
        <w:spacing w:before="80" w:after="0" w:line="240" w:lineRule="auto"/>
        <w:ind w:firstLine="709"/>
        <w:jc w:val="both"/>
        <w:rPr>
          <w:rFonts w:ascii="Times New Roman" w:hAnsi="Times New Roman" w:cs="Times New Roman"/>
          <w:sz w:val="24"/>
          <w:szCs w:val="24"/>
        </w:rPr>
      </w:pPr>
      <w:r w:rsidRPr="00714C2B">
        <w:rPr>
          <w:rFonts w:ascii="Times New Roman" w:hAnsi="Times New Roman" w:cs="Times New Roman"/>
          <w:sz w:val="24"/>
          <w:szCs w:val="24"/>
        </w:rPr>
        <w:t>Tādējādi, paredzot KP papildu funkcijas, kas saistītas ar zaudējumu atlīdzināšanas prasību īstenošanu valsts iestāžu un atvasinātu publisku personu interesēs, pastāv pamats domāt, ka šāda funkcija varētu traucēt tirgus uzrauga neatkarībai. Tam par iemeslu ir apstāklis, ka KP ne tikai sodītu tirgus dalībniekus, bet pēc tam iesaistītos arī privāto zaudējumu atlīdzināšanas procesā pret tiem. Tādējādi tas sabiedrības acīs varētu būt kaut kādā mērā subjektīvi ieinteresēts tā vesto lietu iznākumā (vai lietas dalībnieku sodīšanā). Specifisku tiesību paredzēšana risināt strīdus jautājumu tieši attiecībā uz publiskajiem pasūtītājiem kā cietušajiem (tas ir, sniegt atbalstu publisko pasūtītāju interesēs), ja vien pati KP nav cietušā lomā, var radīt šaubas par KP neitralitāti. Līdzvērtīgi KP nevarētu būt pārstāvis privātpersonām, kuras arī var būt cietušas no karteļu vienošanās pārkāpumiem.</w:t>
      </w:r>
    </w:p>
    <w:p w14:paraId="259B7820" w14:textId="77777777" w:rsidR="00CF3886" w:rsidRPr="00714C2B" w:rsidRDefault="00CF3886" w:rsidP="00714C2B">
      <w:pPr>
        <w:spacing w:before="80" w:after="0" w:line="240" w:lineRule="auto"/>
        <w:ind w:firstLine="709"/>
        <w:jc w:val="both"/>
        <w:rPr>
          <w:rFonts w:ascii="Times New Roman" w:hAnsi="Times New Roman" w:cs="Times New Roman"/>
          <w:sz w:val="24"/>
          <w:szCs w:val="24"/>
        </w:rPr>
      </w:pPr>
      <w:r w:rsidRPr="00714C2B">
        <w:rPr>
          <w:rFonts w:ascii="Times New Roman" w:hAnsi="Times New Roman" w:cs="Times New Roman"/>
          <w:sz w:val="24"/>
          <w:szCs w:val="24"/>
        </w:rPr>
        <w:lastRenderedPageBreak/>
        <w:t>Turklāt, pat ja šāda traucēšana neatkarībai ir tikai šķietama, līdzīgi kā tas ir arī gadījumos ar interešu konfliktu</w:t>
      </w:r>
      <w:r w:rsidRPr="00714C2B">
        <w:rPr>
          <w:rStyle w:val="FootnoteReference"/>
          <w:rFonts w:ascii="Times New Roman" w:hAnsi="Times New Roman" w:cs="Times New Roman"/>
          <w:sz w:val="24"/>
          <w:szCs w:val="24"/>
        </w:rPr>
        <w:footnoteReference w:id="3"/>
      </w:r>
      <w:r w:rsidRPr="00714C2B">
        <w:rPr>
          <w:rFonts w:ascii="Times New Roman" w:hAnsi="Times New Roman" w:cs="Times New Roman"/>
          <w:sz w:val="24"/>
          <w:szCs w:val="24"/>
        </w:rPr>
        <w:t>, ja neatkarīgam vērotājam no malas varētu rasties iespaids, ka KP nespēs objektīvi pieņemt lēmumus vai godprātīgi pildīt tam uzticētās funkcijas kā neatkarīgam tirgus uzraugam, sekas būs tādas pašas kā reālam interešu konfliktam. Proti, minētais, iespējams, var negatīvi ietekmēt sabiedrības uzticību KP, un, krītoties sabiedrības uzticībai KP, iespējams, var samazināties arī personu iesniegto iesniegumu skaits (kā arī iecietības programmas ietvaros iesniegto pieteikumu skaits), kas palīdz atklāt, konstatēt un novērst konkurences tiesību pārkāpumus.</w:t>
      </w:r>
    </w:p>
    <w:p w14:paraId="585C2A6E" w14:textId="7D2CD617" w:rsidR="00CF3886" w:rsidRPr="00714C2B" w:rsidRDefault="00CF3886" w:rsidP="00714C2B">
      <w:pPr>
        <w:spacing w:before="80" w:after="0" w:line="240" w:lineRule="auto"/>
        <w:ind w:firstLine="709"/>
        <w:jc w:val="both"/>
        <w:rPr>
          <w:rFonts w:ascii="Times New Roman" w:hAnsi="Times New Roman" w:cs="Times New Roman"/>
          <w:sz w:val="24"/>
          <w:szCs w:val="24"/>
        </w:rPr>
      </w:pPr>
      <w:r w:rsidRPr="00714C2B">
        <w:rPr>
          <w:rFonts w:ascii="Times New Roman" w:hAnsi="Times New Roman" w:cs="Times New Roman"/>
          <w:sz w:val="24"/>
          <w:szCs w:val="24"/>
        </w:rPr>
        <w:t>Uz šādām konceptuālām problēmām norādīja arī E</w:t>
      </w:r>
      <w:r w:rsidR="00714C2B" w:rsidRPr="00714C2B">
        <w:rPr>
          <w:rFonts w:ascii="Times New Roman" w:hAnsi="Times New Roman" w:cs="Times New Roman"/>
          <w:sz w:val="24"/>
          <w:szCs w:val="24"/>
        </w:rPr>
        <w:t>iropas Komisija (turpmāk tekstā – EK)</w:t>
      </w:r>
      <w:r w:rsidRPr="00714C2B">
        <w:rPr>
          <w:rFonts w:ascii="Times New Roman" w:hAnsi="Times New Roman" w:cs="Times New Roman"/>
          <w:sz w:val="24"/>
          <w:szCs w:val="24"/>
        </w:rPr>
        <w:t xml:space="preserve"> pēc KP aicinājuma uz neformālu viedokļu apmaiņas tikšanos. EK norādīja uz nepieciešamību nodrošināt konkurences iestādes neatkarību izmeklēšanas laikā, secinot, ka potenciāli šāda papildus kompetence, jebkādā veidā iesaistoties privāto zaudējumu atlīdzināšanas procesā, to varētu apdraudēt.</w:t>
      </w:r>
    </w:p>
    <w:p w14:paraId="62D4B0C0" w14:textId="77777777" w:rsidR="00CF3886" w:rsidRPr="00714C2B" w:rsidRDefault="00CF3886" w:rsidP="00714C2B">
      <w:pPr>
        <w:spacing w:before="80" w:after="0" w:line="240" w:lineRule="auto"/>
        <w:ind w:firstLine="709"/>
        <w:jc w:val="both"/>
        <w:rPr>
          <w:rFonts w:ascii="Times New Roman" w:hAnsi="Times New Roman" w:cs="Times New Roman"/>
          <w:sz w:val="24"/>
          <w:szCs w:val="24"/>
        </w:rPr>
      </w:pPr>
      <w:r w:rsidRPr="00714C2B">
        <w:rPr>
          <w:rFonts w:ascii="Times New Roman" w:hAnsi="Times New Roman" w:cs="Times New Roman"/>
          <w:sz w:val="24"/>
          <w:szCs w:val="24"/>
        </w:rPr>
        <w:t>Tāpat EK uzsvēra, ka šādas funkcijas piešķiršana var radīt nepareizu iespaidu tirgus dalībniekiem un pastāvētu risks, ka tiktu apdraudēta iecietības programmas efektivitāte, jo tirgus dalībnieki varētu baidīties, ka tās ietvaros sniegtā informācija varētu tikt izmantota, lai sniegtu atbalstu cietušajiem, un tas atturētu viņus no sadarbības ar mums. Nacionālās konkurences iestādes parasti ļoti kritiski raugās uz iesaisti privāto zaudējumu atlīdzināšanas procesā un iebilst pret to.</w:t>
      </w:r>
    </w:p>
    <w:p w14:paraId="148D9A15" w14:textId="77777777" w:rsidR="00CF3886" w:rsidRPr="00714C2B" w:rsidRDefault="00CF3886" w:rsidP="00714C2B">
      <w:pPr>
        <w:spacing w:before="80" w:after="0" w:line="240" w:lineRule="auto"/>
        <w:ind w:firstLine="709"/>
        <w:jc w:val="both"/>
        <w:rPr>
          <w:rFonts w:ascii="Times New Roman" w:hAnsi="Times New Roman" w:cs="Times New Roman"/>
          <w:sz w:val="24"/>
          <w:szCs w:val="24"/>
        </w:rPr>
      </w:pPr>
      <w:r w:rsidRPr="00714C2B">
        <w:rPr>
          <w:rFonts w:ascii="Times New Roman" w:hAnsi="Times New Roman" w:cs="Times New Roman"/>
          <w:sz w:val="24"/>
          <w:szCs w:val="24"/>
        </w:rPr>
        <w:t xml:space="preserve">Tomēr iepriekš informatīvajā ziņojumā minētās bažas varētu mazināt, ja tiktu nodrošināts, ka metodisko atbalstu zaudējumu atlīdzināšanas procesā sniedz atsevišķa, no iestādes pamatfunkcijām nošķirta struktūrvienība. </w:t>
      </w:r>
    </w:p>
    <w:p w14:paraId="175CD36D" w14:textId="77777777" w:rsidR="00CF3886" w:rsidRPr="00211014" w:rsidRDefault="00CF3886" w:rsidP="00CF3886">
      <w:pPr>
        <w:ind w:firstLine="709"/>
      </w:pPr>
    </w:p>
    <w:p w14:paraId="5F27AE20" w14:textId="02F28028" w:rsidR="00CF3886" w:rsidRPr="00714C2B" w:rsidRDefault="00714C2B" w:rsidP="00714C2B">
      <w:pPr>
        <w:rPr>
          <w:rFonts w:ascii="Times New Roman" w:hAnsi="Times New Roman" w:cs="Times New Roman"/>
          <w:b/>
          <w:bCs/>
          <w:sz w:val="24"/>
          <w:szCs w:val="24"/>
        </w:rPr>
      </w:pPr>
      <w:bookmarkStart w:id="3" w:name="_Toc130197144"/>
      <w:r w:rsidRPr="00714C2B">
        <w:rPr>
          <w:rFonts w:ascii="Times New Roman" w:hAnsi="Times New Roman" w:cs="Times New Roman"/>
          <w:b/>
          <w:bCs/>
          <w:sz w:val="24"/>
          <w:szCs w:val="24"/>
        </w:rPr>
        <w:t>2. </w:t>
      </w:r>
      <w:r w:rsidR="00CF3886" w:rsidRPr="00714C2B">
        <w:rPr>
          <w:rFonts w:ascii="Times New Roman" w:hAnsi="Times New Roman" w:cs="Times New Roman"/>
          <w:b/>
          <w:bCs/>
          <w:sz w:val="24"/>
          <w:szCs w:val="24"/>
        </w:rPr>
        <w:t>Šaubas par objektīvās izmeklēšanas principa ievērošanu</w:t>
      </w:r>
      <w:bookmarkEnd w:id="3"/>
    </w:p>
    <w:p w14:paraId="104FDDF1" w14:textId="07220FA6" w:rsidR="00CF3886" w:rsidRPr="00663472" w:rsidRDefault="00CF3886" w:rsidP="00663472">
      <w:pPr>
        <w:spacing w:before="80" w:after="0" w:line="240" w:lineRule="auto"/>
        <w:ind w:firstLine="709"/>
        <w:jc w:val="both"/>
        <w:rPr>
          <w:rFonts w:ascii="Times New Roman" w:hAnsi="Times New Roman" w:cs="Times New Roman"/>
          <w:sz w:val="24"/>
          <w:szCs w:val="24"/>
        </w:rPr>
      </w:pPr>
      <w:r w:rsidRPr="00663472">
        <w:rPr>
          <w:rFonts w:ascii="Times New Roman" w:hAnsi="Times New Roman" w:cs="Times New Roman"/>
          <w:sz w:val="24"/>
          <w:szCs w:val="24"/>
        </w:rPr>
        <w:t xml:space="preserve">Saskaņā ar Senāta Administratīvo lietu departamenta 14.09.2016. spriedumu lietā Nr. SKA-461/2016 (A43017613), “izmeklējot pārkāpuma lietu, [..] </w:t>
      </w:r>
      <w:r w:rsidR="00714C2B" w:rsidRPr="00663472">
        <w:rPr>
          <w:rFonts w:ascii="Times New Roman" w:hAnsi="Times New Roman" w:cs="Times New Roman"/>
          <w:sz w:val="24"/>
          <w:szCs w:val="24"/>
        </w:rPr>
        <w:t>KP</w:t>
      </w:r>
      <w:r w:rsidRPr="00663472">
        <w:rPr>
          <w:rFonts w:ascii="Times New Roman" w:hAnsi="Times New Roman" w:cs="Times New Roman"/>
          <w:sz w:val="24"/>
          <w:szCs w:val="24"/>
        </w:rPr>
        <w:t xml:space="preserve"> savā darbībā rīkojas atbilstoši objektīvās izmeklēšanas principam.”</w:t>
      </w:r>
      <w:r w:rsidRPr="00663472">
        <w:rPr>
          <w:rStyle w:val="FootnoteReference"/>
          <w:rFonts w:ascii="Times New Roman" w:hAnsi="Times New Roman" w:cs="Times New Roman"/>
          <w:sz w:val="24"/>
          <w:szCs w:val="24"/>
        </w:rPr>
        <w:footnoteReference w:id="4"/>
      </w:r>
      <w:r w:rsidRPr="00663472">
        <w:rPr>
          <w:rFonts w:ascii="Times New Roman" w:hAnsi="Times New Roman" w:cs="Times New Roman"/>
          <w:sz w:val="24"/>
          <w:szCs w:val="24"/>
        </w:rPr>
        <w:t xml:space="preserve">  Proti, KP kā iestādes viens no darbības pamatprincipiem ir objektīvās izmeklēšanas princips.</w:t>
      </w:r>
    </w:p>
    <w:p w14:paraId="630211A2" w14:textId="77777777" w:rsidR="00CF3886" w:rsidRPr="00663472" w:rsidRDefault="00CF3886" w:rsidP="00663472">
      <w:pPr>
        <w:spacing w:before="80" w:after="0" w:line="240" w:lineRule="auto"/>
        <w:ind w:firstLine="709"/>
        <w:jc w:val="both"/>
        <w:rPr>
          <w:rFonts w:ascii="Times New Roman" w:hAnsi="Times New Roman" w:cs="Times New Roman"/>
          <w:sz w:val="24"/>
          <w:szCs w:val="24"/>
        </w:rPr>
      </w:pPr>
      <w:r w:rsidRPr="00663472">
        <w:rPr>
          <w:rFonts w:ascii="Times New Roman" w:hAnsi="Times New Roman" w:cs="Times New Roman"/>
          <w:sz w:val="24"/>
          <w:szCs w:val="24"/>
        </w:rPr>
        <w:t>Lai gan minētā principa saturs ir vispārīgi nostiprināts Administratīvā procesa likuma 107. panta ceturtajā daļā</w:t>
      </w:r>
      <w:r w:rsidRPr="00663472">
        <w:rPr>
          <w:rStyle w:val="FootnoteReference"/>
          <w:rFonts w:ascii="Times New Roman" w:hAnsi="Times New Roman" w:cs="Times New Roman"/>
          <w:sz w:val="24"/>
          <w:szCs w:val="24"/>
        </w:rPr>
        <w:footnoteReference w:id="5"/>
      </w:r>
      <w:r w:rsidRPr="00663472">
        <w:rPr>
          <w:rFonts w:ascii="Times New Roman" w:hAnsi="Times New Roman" w:cs="Times New Roman"/>
          <w:sz w:val="24"/>
          <w:szCs w:val="24"/>
        </w:rPr>
        <w:t>, tā plašāks skaidrojums ir rodams tiesu praksē, kur norādīts turpmākais. “Objektīvās izmeklēšanas princips ir atvasināts no pieņēmuma, ka privātpersona ir vājākais procesa dalībnieks, un tāpēc tiesa ne tikai balstās uz procesa dalībnieku iesniegtajiem pierādījumiem, bet arī pēc savas iniciatīvas var iegūt pierādījumus vai dot norādījumus procesa dalībniekiem. Taču tas nenozīmē, ka tiesai jācenšas noskaidrot visus apstākļus tikai vājākās puses (privātpersonas) labā. Tas nozīmē, ka administratīvajai tiesai jācenšas iegūt jebkuru informāciju, lai objektīvi izspriestu lietu.”</w:t>
      </w:r>
      <w:r w:rsidRPr="00663472">
        <w:rPr>
          <w:rStyle w:val="FootnoteReference"/>
          <w:rFonts w:ascii="Times New Roman" w:hAnsi="Times New Roman" w:cs="Times New Roman"/>
          <w:sz w:val="24"/>
          <w:szCs w:val="24"/>
        </w:rPr>
        <w:footnoteReference w:id="6"/>
      </w:r>
      <w:r w:rsidRPr="00663472">
        <w:rPr>
          <w:rFonts w:ascii="Times New Roman" w:hAnsi="Times New Roman" w:cs="Times New Roman"/>
          <w:sz w:val="24"/>
          <w:szCs w:val="24"/>
        </w:rPr>
        <w:t xml:space="preserve"> Un līdzīgi tas ir arī attiecībā uz KP. Proti, šis princips paredz, ka KP </w:t>
      </w:r>
      <w:r w:rsidRPr="00663472">
        <w:rPr>
          <w:rFonts w:ascii="Times New Roman" w:hAnsi="Times New Roman" w:cs="Times New Roman"/>
          <w:sz w:val="24"/>
          <w:szCs w:val="24"/>
        </w:rPr>
        <w:lastRenderedPageBreak/>
        <w:t>ir jācenšas iegūt jebkuru informāciju, lai objektīvi varētu izvērtēt potenciālu konkurences tiesību pārkāpumu, ko veikuši tirgus dalībnieki. Iestādes mērķis ir noskaidrot objektīvo patiesību katrā lietā, ko tā izmeklē.</w:t>
      </w:r>
      <w:r w:rsidRPr="00663472">
        <w:rPr>
          <w:rStyle w:val="FootnoteReference"/>
          <w:rFonts w:ascii="Times New Roman" w:hAnsi="Times New Roman" w:cs="Times New Roman"/>
          <w:sz w:val="24"/>
          <w:szCs w:val="24"/>
        </w:rPr>
        <w:footnoteReference w:id="7"/>
      </w:r>
    </w:p>
    <w:p w14:paraId="616B5EB3" w14:textId="77777777" w:rsidR="00CF3886" w:rsidRPr="00663472" w:rsidRDefault="00CF3886" w:rsidP="00663472">
      <w:pPr>
        <w:spacing w:before="80" w:after="0" w:line="240" w:lineRule="auto"/>
        <w:ind w:firstLine="709"/>
        <w:jc w:val="both"/>
        <w:rPr>
          <w:rFonts w:ascii="Times New Roman" w:hAnsi="Times New Roman" w:cs="Times New Roman"/>
          <w:sz w:val="24"/>
          <w:szCs w:val="24"/>
        </w:rPr>
      </w:pPr>
      <w:r w:rsidRPr="00663472">
        <w:rPr>
          <w:rFonts w:ascii="Times New Roman" w:hAnsi="Times New Roman" w:cs="Times New Roman"/>
          <w:sz w:val="24"/>
          <w:szCs w:val="24"/>
        </w:rPr>
        <w:t>Šai ziņā pastāv risks, ka KP varētu vairs netikt sabiedrības acīs uzskatīta par objektīvās patiesības meklētāju. Tam par iemeslu ir apstāklis, ka tā valsts vārdā varētu šķist ieinteresēta pēc iespējas lielāku zaudējumu atgūšanā un līdz ar to pēc iespējas lielāku “papildu ienākumu” valstij nodrošināšanā (uzliktais sods un zaudējumu atlīdzība). Tādējādi jau sākotnēji tiktu apšaubīta KP neitralitāte, izmeklējot pārkāpumu lietas, kur cietušais varētu būt publiskais pasūtītājs, uzskatot, ka šādu lietu izmeklēšanas mērķis būtu vēlāk sniegt palīdzību zaudējumu piedziņas procesā. Citiem vārdiem, šāda statusa piedēvēšana KP neatkarīgam vērotājam no malas varētu šķist pretrunā ar tā lomu būt par objektīvās patiesības meklētāju, jo faktiski jebkuras pat mazākās aizdomas vai sakritības, kas norādītu uz iespējamu konkurences tiesību pārkāpumu iepirkumā, padarītu to šķietami ieinteresētu soda uzlikšanā (nevis patiesības noskaidrošanā) un nodarīto zaudējumu atgūšanā. Līdz ar to ne tikai no sabiedrības puses, bet arī no mediju un politiķu puses KP varētu tikt pārmesta subjektīvās patiesības meklēšana (kaut arī īstenībā tas varētu tā nebūt), kas līdz ar to varētu arī graut sabiedrības uzticību iestādei un tās amatpersonām. Savukārt tas varētu likumsakarīgi novest arī pie sabiedrības neiesaistīšanās konkurences tiesību pārkāpumu atklāšanā (par tiem ziņojot ar iesniegumu vai iecietības programmu pieteikumu palīdzību vai pilnībā ignorējot KP īstenotās aptaujas vispārējas tirgus situācijas novērtēšanai).</w:t>
      </w:r>
    </w:p>
    <w:p w14:paraId="6F1CD39D" w14:textId="77777777" w:rsidR="00CF3886" w:rsidRDefault="00CF3886" w:rsidP="00CF3886">
      <w:pPr>
        <w:ind w:firstLine="709"/>
      </w:pPr>
    </w:p>
    <w:p w14:paraId="3FEF1F07" w14:textId="0E561DE2" w:rsidR="00CF3886" w:rsidRPr="00663472" w:rsidRDefault="00663472" w:rsidP="00663472">
      <w:pPr>
        <w:rPr>
          <w:rFonts w:ascii="Times New Roman" w:hAnsi="Times New Roman" w:cs="Times New Roman"/>
          <w:b/>
          <w:bCs/>
          <w:sz w:val="24"/>
          <w:szCs w:val="24"/>
        </w:rPr>
      </w:pPr>
      <w:bookmarkStart w:id="4" w:name="_Toc130197145"/>
      <w:r w:rsidRPr="00663472">
        <w:rPr>
          <w:rFonts w:ascii="Times New Roman" w:hAnsi="Times New Roman" w:cs="Times New Roman"/>
          <w:b/>
          <w:bCs/>
          <w:sz w:val="24"/>
          <w:szCs w:val="24"/>
        </w:rPr>
        <w:t>3. </w:t>
      </w:r>
      <w:r w:rsidR="00CF3886" w:rsidRPr="00663472">
        <w:rPr>
          <w:rFonts w:ascii="Times New Roman" w:hAnsi="Times New Roman" w:cs="Times New Roman"/>
          <w:b/>
          <w:bCs/>
          <w:sz w:val="24"/>
          <w:szCs w:val="24"/>
        </w:rPr>
        <w:t>Neitralitātes apdraudējums</w:t>
      </w:r>
      <w:bookmarkEnd w:id="4"/>
    </w:p>
    <w:p w14:paraId="53862616" w14:textId="77777777" w:rsidR="00CF3886" w:rsidRPr="00663472" w:rsidRDefault="00CF3886" w:rsidP="00663472">
      <w:pPr>
        <w:spacing w:before="80" w:after="0" w:line="240" w:lineRule="auto"/>
        <w:ind w:firstLine="709"/>
        <w:jc w:val="both"/>
        <w:rPr>
          <w:rFonts w:ascii="Times New Roman" w:hAnsi="Times New Roman" w:cs="Times New Roman"/>
          <w:sz w:val="24"/>
          <w:szCs w:val="24"/>
        </w:rPr>
      </w:pPr>
      <w:r w:rsidRPr="00663472">
        <w:rPr>
          <w:rFonts w:ascii="Times New Roman" w:hAnsi="Times New Roman" w:cs="Times New Roman"/>
          <w:sz w:val="24"/>
          <w:szCs w:val="24"/>
        </w:rPr>
        <w:t>KL VI nodaļa “Konkurences tiesību piemērošana civilprasībās” un Civilprocesa likuma 30.</w:t>
      </w:r>
      <w:r w:rsidRPr="00663472">
        <w:rPr>
          <w:rFonts w:ascii="Times New Roman" w:hAnsi="Times New Roman" w:cs="Times New Roman"/>
          <w:sz w:val="24"/>
          <w:szCs w:val="24"/>
          <w:vertAlign w:val="superscript"/>
        </w:rPr>
        <w:t>6</w:t>
      </w:r>
      <w:r w:rsidRPr="00663472">
        <w:rPr>
          <w:rFonts w:ascii="Times New Roman" w:hAnsi="Times New Roman" w:cs="Times New Roman"/>
          <w:sz w:val="24"/>
          <w:szCs w:val="24"/>
        </w:rPr>
        <w:t xml:space="preserve"> nodaļa “Lietas par zaudējumu atlīdzināšanu par konkurences tiesību pārkāpumiem” regulē kārtību, kādā personas (fiziskas vai juridiskas) var vērsties ar prasību par zaudējumu piedziņu pret personām, kas īstenojušas vai aizvien vēl īsteno konkurences tiesību pārkāpumu.</w:t>
      </w:r>
    </w:p>
    <w:p w14:paraId="5C6FEBF6" w14:textId="77777777" w:rsidR="00CF3886" w:rsidRPr="00663472" w:rsidRDefault="00CF3886" w:rsidP="00663472">
      <w:pPr>
        <w:spacing w:before="80" w:after="0" w:line="240" w:lineRule="auto"/>
        <w:ind w:firstLine="709"/>
        <w:jc w:val="both"/>
        <w:rPr>
          <w:rFonts w:ascii="Times New Roman" w:hAnsi="Times New Roman" w:cs="Times New Roman"/>
          <w:sz w:val="24"/>
          <w:szCs w:val="24"/>
        </w:rPr>
      </w:pPr>
      <w:bookmarkStart w:id="5" w:name="_Hlk127721958"/>
      <w:r w:rsidRPr="00663472">
        <w:rPr>
          <w:rFonts w:ascii="Times New Roman" w:hAnsi="Times New Roman" w:cs="Times New Roman"/>
          <w:sz w:val="24"/>
          <w:szCs w:val="24"/>
        </w:rPr>
        <w:t>KP kompetence un pilnvaras tiek noteiktas KL II nodaļā “Konkurences padome”, konkrētāk minētos jautājumus regulē KL 6.-9. pants. Bet neviens no minētajiem pantiem, nedz arī kāda cita KL norma nenosaka KP atbalsta cietušajām personām sniegšanas funkciju.</w:t>
      </w:r>
    </w:p>
    <w:bookmarkEnd w:id="5"/>
    <w:p w14:paraId="4CBC31A1" w14:textId="77777777" w:rsidR="00CF3886" w:rsidRPr="00663472" w:rsidRDefault="00CF3886" w:rsidP="00663472">
      <w:pPr>
        <w:spacing w:before="80" w:after="0" w:line="240" w:lineRule="auto"/>
        <w:ind w:firstLine="709"/>
        <w:jc w:val="both"/>
        <w:rPr>
          <w:rFonts w:ascii="Times New Roman" w:hAnsi="Times New Roman" w:cs="Times New Roman"/>
          <w:sz w:val="24"/>
          <w:szCs w:val="24"/>
        </w:rPr>
      </w:pPr>
      <w:r w:rsidRPr="00663472">
        <w:rPr>
          <w:rFonts w:ascii="Times New Roman" w:hAnsi="Times New Roman" w:cs="Times New Roman"/>
          <w:sz w:val="24"/>
          <w:szCs w:val="24"/>
        </w:rPr>
        <w:t>Turklāt norādāms, ka KL 21. panta otrā daļa paredz, ka, ja tiesa zaudējumu atlīdzināšanas lietās par konkurences tiesību pārkāpumiem izprasa pierādījumus no KP lietas materiāliem, KP pēc savas vai tiesas iniciatīvas ir tiesīga sniegt atzinumu par prasījuma samērīgumu un ietekmi uz konkurences tiesību efektīvu piemērošanu. Tātad KP zaudējumu atlīdzināšanas procesos zināmā mērā ir piešķirta eksperta funkcija, kas pirmšķietami nav savietojama ar palīdzības sniegšanu vienai pusei tiesā strīdā par zaudējumu piedziņu.</w:t>
      </w:r>
    </w:p>
    <w:p w14:paraId="6AC8D197" w14:textId="77777777" w:rsidR="00CF3886" w:rsidRPr="00663472" w:rsidRDefault="00CF3886" w:rsidP="00663472">
      <w:pPr>
        <w:spacing w:before="80" w:after="0" w:line="240" w:lineRule="auto"/>
        <w:ind w:firstLine="709"/>
        <w:jc w:val="both"/>
        <w:rPr>
          <w:rFonts w:ascii="Times New Roman" w:hAnsi="Times New Roman" w:cs="Times New Roman"/>
          <w:sz w:val="24"/>
          <w:szCs w:val="24"/>
        </w:rPr>
      </w:pPr>
      <w:r w:rsidRPr="00663472">
        <w:rPr>
          <w:rFonts w:ascii="Times New Roman" w:hAnsi="Times New Roman" w:cs="Times New Roman"/>
          <w:sz w:val="24"/>
          <w:szCs w:val="24"/>
        </w:rPr>
        <w:t xml:space="preserve">Tāpat potenciāli var būt situācijas, ka lietas ietvaros, kurā KP ir sniegusi atbalstu prasītājam (publiskajam pasūtītājam), pie iestādes vēršas arī atbildētājs, piemēram, lai KP izskaidro metodiskajā materiālā zaudējumu aprēķināšanai norādīto. Šādā gadījumā KP visticamāk būtu jāatsaka atbalsta sniegšana, jo procesā jau ir iesaistīta pretējās puses interesēs. Nav arī skaidrs, kā šādas situācijas regulēt normatīvajā regulējumā un kādēļ </w:t>
      </w:r>
      <w:r w:rsidRPr="00663472">
        <w:rPr>
          <w:rFonts w:ascii="Times New Roman" w:hAnsi="Times New Roman" w:cs="Times New Roman"/>
          <w:sz w:val="24"/>
          <w:szCs w:val="24"/>
        </w:rPr>
        <w:lastRenderedPageBreak/>
        <w:t>priekšroka ir piešķirama tieši vienai no pusēm civilprocesā, kur dominējošais ir sacīkstes princips.</w:t>
      </w:r>
    </w:p>
    <w:p w14:paraId="351D8179" w14:textId="77777777" w:rsidR="00CF3886" w:rsidRPr="002F71D8" w:rsidRDefault="00CF3886" w:rsidP="00CF3886">
      <w:pPr>
        <w:ind w:firstLine="709"/>
      </w:pPr>
    </w:p>
    <w:p w14:paraId="47FCBCEC" w14:textId="6726F6B4" w:rsidR="00CF3886" w:rsidRPr="00663472" w:rsidRDefault="00663472" w:rsidP="00663472">
      <w:pPr>
        <w:rPr>
          <w:rFonts w:ascii="Times New Roman" w:hAnsi="Times New Roman" w:cs="Times New Roman"/>
          <w:b/>
          <w:bCs/>
          <w:sz w:val="24"/>
          <w:szCs w:val="24"/>
        </w:rPr>
      </w:pPr>
      <w:bookmarkStart w:id="6" w:name="_Toc130197146"/>
      <w:r w:rsidRPr="00663472">
        <w:rPr>
          <w:rFonts w:ascii="Times New Roman" w:hAnsi="Times New Roman" w:cs="Times New Roman"/>
          <w:b/>
          <w:bCs/>
          <w:sz w:val="24"/>
          <w:szCs w:val="24"/>
        </w:rPr>
        <w:t>4. </w:t>
      </w:r>
      <w:r w:rsidR="00CF3886" w:rsidRPr="00663472">
        <w:rPr>
          <w:rFonts w:ascii="Times New Roman" w:hAnsi="Times New Roman" w:cs="Times New Roman"/>
          <w:b/>
          <w:bCs/>
          <w:sz w:val="24"/>
          <w:szCs w:val="24"/>
        </w:rPr>
        <w:t>Apgrūtināta KP pamatfunkcijas – tirgus uzraudzības - īstenošana</w:t>
      </w:r>
      <w:bookmarkEnd w:id="6"/>
    </w:p>
    <w:p w14:paraId="45E88BE4" w14:textId="529D1A55" w:rsidR="00CF3886" w:rsidRPr="00663472" w:rsidRDefault="00CF3886" w:rsidP="00663472">
      <w:pPr>
        <w:spacing w:before="80" w:after="0" w:line="240" w:lineRule="auto"/>
        <w:ind w:firstLine="709"/>
        <w:jc w:val="both"/>
        <w:rPr>
          <w:rFonts w:ascii="Times New Roman" w:hAnsi="Times New Roman" w:cs="Times New Roman"/>
          <w:sz w:val="24"/>
          <w:szCs w:val="24"/>
        </w:rPr>
      </w:pPr>
      <w:r w:rsidRPr="00663472">
        <w:rPr>
          <w:rFonts w:ascii="Times New Roman" w:hAnsi="Times New Roman" w:cs="Times New Roman"/>
          <w:sz w:val="24"/>
          <w:szCs w:val="24"/>
        </w:rPr>
        <w:t xml:space="preserve">Nosakot KP papildu funkciju iesaistoties privāto zaudējumu atlīdzināšanas lietās, varētu ievērojami tikt apgrūtināta tā pamatfunkcijas – tirgus uzraudzības – īstenošana. Proti, ņemot vērā, ka vispārīgā gadījumā veiksmīga un efektīva metodiskā atbalsta sniegšana varētu prasīt ievērojamu resursu piesaisti, sagaidāms, ka bez atbilstoša papildus finansējuma iestādei, nāktos pārorientēt resursus no tirgus uzraudzības uz zaudējumu atlīdzības prasībām. </w:t>
      </w:r>
      <w:r w:rsidR="00663472">
        <w:rPr>
          <w:rFonts w:ascii="Times New Roman" w:hAnsi="Times New Roman" w:cs="Times New Roman"/>
          <w:sz w:val="24"/>
          <w:szCs w:val="24"/>
        </w:rPr>
        <w:t>Savukārt,</w:t>
      </w:r>
      <w:r w:rsidRPr="00663472">
        <w:rPr>
          <w:rFonts w:ascii="Times New Roman" w:hAnsi="Times New Roman" w:cs="Times New Roman"/>
          <w:sz w:val="24"/>
          <w:szCs w:val="24"/>
        </w:rPr>
        <w:t xml:space="preserve"> samazinot resursus tirgus uzraudzībai, potenciāli varētu ciest ne tikai jau izmeklēšanā un tiesā esošu lietu vešanas kvalitāte, bet arī vēl neatklātu konkurences pārkāpumu atklāšana un pierādīšana. Turklāt jau šobrīd KP rīcības virzieni tiek regulēti saskaņā ar KP Lietu prioritizācijas stratēģijā noteiktajiem kritērijiem</w:t>
      </w:r>
      <w:r w:rsidRPr="00663472">
        <w:rPr>
          <w:rStyle w:val="FootnoteReference"/>
          <w:rFonts w:ascii="Times New Roman" w:hAnsi="Times New Roman" w:cs="Times New Roman"/>
          <w:sz w:val="24"/>
          <w:szCs w:val="24"/>
        </w:rPr>
        <w:footnoteReference w:id="8"/>
      </w:r>
      <w:r w:rsidRPr="00663472">
        <w:rPr>
          <w:rFonts w:ascii="Times New Roman" w:hAnsi="Times New Roman" w:cs="Times New Roman"/>
          <w:sz w:val="24"/>
          <w:szCs w:val="24"/>
        </w:rPr>
        <w:t xml:space="preserve">. Citiem vārdiem, jau šobrīd KP rīcībā nav tādu resursu, lai tā varētu izmeklēt pilnīgi visas ar iespējamiem konkurences tiesību pārkāpumiem saistītas lietas tirgus uzraudzības ietvaros. </w:t>
      </w:r>
      <w:r w:rsidR="00663472">
        <w:rPr>
          <w:rFonts w:ascii="Times New Roman" w:hAnsi="Times New Roman" w:cs="Times New Roman"/>
          <w:sz w:val="24"/>
          <w:szCs w:val="24"/>
        </w:rPr>
        <w:t>Attiecīgi</w:t>
      </w:r>
      <w:r w:rsidRPr="00663472">
        <w:rPr>
          <w:rFonts w:ascii="Times New Roman" w:hAnsi="Times New Roman" w:cs="Times New Roman"/>
          <w:sz w:val="24"/>
          <w:szCs w:val="24"/>
        </w:rPr>
        <w:t xml:space="preserve"> jaunu uzdevumu noteikšana KP bez atbilstoša finansējuma piesaistes nekādā veidā neuzlabotu esošo situāciju, tieši pretēji – tā tikai papildus apgrūtinātu un samazinātu KP kā tirgus uzrauga efektivitāti.</w:t>
      </w:r>
    </w:p>
    <w:p w14:paraId="054B81B9" w14:textId="77777777" w:rsidR="00CF3886" w:rsidRPr="00663472" w:rsidRDefault="00CF3886" w:rsidP="00663472">
      <w:pPr>
        <w:spacing w:before="80" w:after="0" w:line="240" w:lineRule="auto"/>
        <w:ind w:firstLine="709"/>
        <w:jc w:val="both"/>
        <w:rPr>
          <w:rFonts w:ascii="Times New Roman" w:hAnsi="Times New Roman" w:cs="Times New Roman"/>
          <w:sz w:val="24"/>
          <w:szCs w:val="24"/>
        </w:rPr>
      </w:pPr>
      <w:r w:rsidRPr="00663472">
        <w:rPr>
          <w:rFonts w:ascii="Times New Roman" w:hAnsi="Times New Roman" w:cs="Times New Roman"/>
          <w:sz w:val="24"/>
          <w:szCs w:val="24"/>
        </w:rPr>
        <w:t>Tāpat gadījumā, ja KP iesaistās zaudējumu aprēķināšanā, jāņem vērā, ka, piemēram, pēc Būvnieku lietas noslēgšanās, atzīstot KP lēmumu par pārkāpuma konstatēšanu par tiesisku, potenciāli var tikt pieprasīti zaudējumi no pārkāpējiem šobrīd neparedzamā skaitā tiesvedību, kuru ietvaros var tikt iesniegti papildus pierādījumi, kurus arī KP kā iestādei, kas aprēķinājusi zaudējumus, rastos nepieciešamība izvērtēt. Nepieciešamos resursus šādām situācijām šobrīd nav pat iespējams prognozēt, bet ir skaidrs, ka tie būtu ievērojami.</w:t>
      </w:r>
    </w:p>
    <w:p w14:paraId="45624EC8" w14:textId="77777777" w:rsidR="00CF3886" w:rsidRDefault="00CF3886" w:rsidP="004D0386">
      <w:pPr>
        <w:spacing w:after="0" w:line="240" w:lineRule="auto"/>
        <w:rPr>
          <w:rFonts w:ascii="Times New Roman" w:hAnsi="Times New Roman" w:cs="Times New Roman"/>
          <w:sz w:val="24"/>
          <w:szCs w:val="24"/>
        </w:rPr>
      </w:pPr>
    </w:p>
    <w:sectPr w:rsidR="00CF388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5BE5F" w14:textId="77777777" w:rsidR="00D06C2F" w:rsidRDefault="00D06C2F" w:rsidP="00DC15A4">
      <w:pPr>
        <w:spacing w:after="0" w:line="240" w:lineRule="auto"/>
      </w:pPr>
      <w:r>
        <w:separator/>
      </w:r>
    </w:p>
  </w:endnote>
  <w:endnote w:type="continuationSeparator" w:id="0">
    <w:p w14:paraId="4DA0F193" w14:textId="77777777" w:rsidR="00D06C2F" w:rsidRDefault="00D06C2F" w:rsidP="00DC1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EEC3A" w14:textId="77777777" w:rsidR="00D06C2F" w:rsidRDefault="00D06C2F" w:rsidP="00DC15A4">
      <w:pPr>
        <w:spacing w:after="0" w:line="240" w:lineRule="auto"/>
      </w:pPr>
      <w:r>
        <w:separator/>
      </w:r>
    </w:p>
  </w:footnote>
  <w:footnote w:type="continuationSeparator" w:id="0">
    <w:p w14:paraId="42989819" w14:textId="77777777" w:rsidR="00D06C2F" w:rsidRDefault="00D06C2F" w:rsidP="00DC15A4">
      <w:pPr>
        <w:spacing w:after="0" w:line="240" w:lineRule="auto"/>
      </w:pPr>
      <w:r>
        <w:continuationSeparator/>
      </w:r>
    </w:p>
  </w:footnote>
  <w:footnote w:id="1">
    <w:p w14:paraId="23B540AC" w14:textId="77777777" w:rsidR="00CF3886" w:rsidRPr="00477C8B" w:rsidRDefault="00CF3886" w:rsidP="00E20BA5">
      <w:pPr>
        <w:pStyle w:val="FootnoteText"/>
        <w:jc w:val="both"/>
      </w:pPr>
      <w:r w:rsidRPr="00477C8B">
        <w:rPr>
          <w:rStyle w:val="FootnoteReference"/>
        </w:rPr>
        <w:footnoteRef/>
      </w:r>
      <w:r w:rsidRPr="00477C8B">
        <w:t xml:space="preserve"> </w:t>
      </w:r>
      <w:r w:rsidRPr="00E20BA5">
        <w:rPr>
          <w:lang w:val="en-US"/>
        </w:rPr>
        <w:t>Directive (EU) 2019/1 of the European Parliament and of the Council of 11 December 2018 to empower the competition authorities of the Member States to be more effective enforcers and to ensure the proper functioning of the internal market. Available:</w:t>
      </w:r>
      <w:r w:rsidRPr="00477C8B">
        <w:t xml:space="preserve"> </w:t>
      </w:r>
      <w:hyperlink r:id="rId1" w:history="1">
        <w:r w:rsidRPr="00477C8B">
          <w:rPr>
            <w:rStyle w:val="Hyperlink"/>
          </w:rPr>
          <w:t>https://eur-lex.europa.eu/legal-content/EN/TXT/?uri=CELEX%3A32019L0001</w:t>
        </w:r>
      </w:hyperlink>
      <w:r w:rsidRPr="00477C8B">
        <w:t>.</w:t>
      </w:r>
    </w:p>
  </w:footnote>
  <w:footnote w:id="2">
    <w:p w14:paraId="7B7EBAB5" w14:textId="77777777" w:rsidR="00CF3886" w:rsidRPr="00477C8B" w:rsidRDefault="00CF3886" w:rsidP="00E20BA5">
      <w:pPr>
        <w:pStyle w:val="FootnoteText"/>
        <w:jc w:val="both"/>
      </w:pPr>
      <w:r w:rsidRPr="00477C8B">
        <w:rPr>
          <w:rStyle w:val="FootnoteReference"/>
        </w:rPr>
        <w:footnoteRef/>
      </w:r>
      <w:r w:rsidRPr="00477C8B">
        <w:t xml:space="preserve"> Latvijas Republikas Ministru kabinets. Likumprojekta „Grozījumi Konkurences likumā” sākotnējās ietekmes novērtējuma ziņojums (anotācija). Likumprojekts vēl nav pieņemts. Pieejams: </w:t>
      </w:r>
      <w:hyperlink r:id="rId2" w:history="1">
        <w:r w:rsidRPr="00477C8B">
          <w:rPr>
            <w:rStyle w:val="Hyperlink"/>
          </w:rPr>
          <w:t>http://tap.mk.gov.lv/doc/2020_10/EMAnot_051020_ECN.864.docx</w:t>
        </w:r>
      </w:hyperlink>
      <w:r w:rsidRPr="00477C8B">
        <w:t>.</w:t>
      </w:r>
    </w:p>
  </w:footnote>
  <w:footnote w:id="3">
    <w:p w14:paraId="47CDA2BF" w14:textId="77777777" w:rsidR="00CF3886" w:rsidRPr="00477C8B" w:rsidRDefault="00CF3886" w:rsidP="00CF3886">
      <w:pPr>
        <w:pStyle w:val="FootnoteText"/>
      </w:pPr>
      <w:r w:rsidRPr="00477C8B">
        <w:rPr>
          <w:rStyle w:val="FootnoteReference"/>
        </w:rPr>
        <w:footnoteRef/>
      </w:r>
      <w:r w:rsidRPr="00477C8B">
        <w:t xml:space="preserve"> KNAB. Interešu konflikta novēršana. Vadlīnijas valsts civildienesta ierēdņiem. Pieejams: </w:t>
      </w:r>
      <w:hyperlink r:id="rId3" w:history="1">
        <w:r w:rsidRPr="00477C8B">
          <w:rPr>
            <w:rStyle w:val="Hyperlink"/>
          </w:rPr>
          <w:t>https://www.knab.gov.lv/upload/2019/interesu_konflikta_noversana._vadlinijas_valsts_civildienesta_ieredniem.pdf</w:t>
        </w:r>
      </w:hyperlink>
      <w:r w:rsidRPr="00477C8B">
        <w:t>. Skatīt arī Likumu “Par interešu konflikta novēršanu valsts amatpersonu darbībā”.</w:t>
      </w:r>
    </w:p>
  </w:footnote>
  <w:footnote w:id="4">
    <w:p w14:paraId="36E94FEE" w14:textId="77777777" w:rsidR="00CF3886" w:rsidRPr="00477C8B" w:rsidRDefault="00CF3886" w:rsidP="00CF3886">
      <w:pPr>
        <w:pStyle w:val="FootnoteText"/>
      </w:pPr>
      <w:r w:rsidRPr="00477C8B">
        <w:rPr>
          <w:rStyle w:val="FootnoteReference"/>
        </w:rPr>
        <w:footnoteRef/>
      </w:r>
      <w:r w:rsidRPr="00477C8B">
        <w:t xml:space="preserve"> AT 14.09.2016. spriedums SKA-461/2016 (A43017613), </w:t>
      </w:r>
      <w:r w:rsidRPr="00477C8B">
        <w:rPr>
          <w:i/>
        </w:rPr>
        <w:t xml:space="preserve">Latvijas Gāze, </w:t>
      </w:r>
      <w:r w:rsidRPr="00477C8B">
        <w:t>11. punkts. EST 07.01.2004. spriedums C</w:t>
      </w:r>
      <w:r w:rsidRPr="00477C8B">
        <w:noBreakHyphen/>
        <w:t xml:space="preserve">204/00P, </w:t>
      </w:r>
      <w:proofErr w:type="spellStart"/>
      <w:r w:rsidRPr="00477C8B">
        <w:rPr>
          <w:i/>
        </w:rPr>
        <w:t>Aalborg</w:t>
      </w:r>
      <w:proofErr w:type="spellEnd"/>
      <w:r w:rsidRPr="00477C8B">
        <w:rPr>
          <w:i/>
        </w:rPr>
        <w:t xml:space="preserve"> </w:t>
      </w:r>
      <w:proofErr w:type="spellStart"/>
      <w:r w:rsidRPr="00477C8B">
        <w:rPr>
          <w:i/>
        </w:rPr>
        <w:t>Portland</w:t>
      </w:r>
      <w:proofErr w:type="spellEnd"/>
      <w:r w:rsidRPr="00477C8B">
        <w:t>, 200.punkts.</w:t>
      </w:r>
    </w:p>
  </w:footnote>
  <w:footnote w:id="5">
    <w:p w14:paraId="2FAC2F6F" w14:textId="77777777" w:rsidR="00CF3886" w:rsidRPr="00477C8B" w:rsidRDefault="00CF3886" w:rsidP="00CF3886">
      <w:pPr>
        <w:pStyle w:val="FootnoteText"/>
      </w:pPr>
      <w:r w:rsidRPr="00477C8B">
        <w:rPr>
          <w:rStyle w:val="FootnoteReference"/>
        </w:rPr>
        <w:footnoteRef/>
      </w:r>
      <w:r w:rsidRPr="00477C8B">
        <w:t xml:space="preserve"> Administratīvā procesa likuma 107. panta ceturtā daļa nosaka, lai prasījuma robežās noskaidrotu patiesos lietas apstākļus un panāktu tiesisku un taisnīgu lietas izskatīšanu, tiesa dod administratīvā procesa dalībniekiem norādījumus un ieteikumus, kā arī savāc pierādījumus pēc savas iniciatīvas (objektīvās izmeklēšanas princips).</w:t>
      </w:r>
    </w:p>
  </w:footnote>
  <w:footnote w:id="6">
    <w:p w14:paraId="7BA48438" w14:textId="77777777" w:rsidR="00CF3886" w:rsidRPr="00477C8B" w:rsidRDefault="00CF3886" w:rsidP="00CF3886">
      <w:pPr>
        <w:pStyle w:val="FootnoteText"/>
      </w:pPr>
      <w:r w:rsidRPr="00477C8B">
        <w:rPr>
          <w:rStyle w:val="FootnoteReference"/>
        </w:rPr>
        <w:footnoteRef/>
      </w:r>
      <w:r w:rsidRPr="00477C8B">
        <w:t xml:space="preserve"> AT 28.08.2020. spriedums SKA-1102/2020 (A420273418), 10. punkts.</w:t>
      </w:r>
    </w:p>
  </w:footnote>
  <w:footnote w:id="7">
    <w:p w14:paraId="717162CF" w14:textId="77777777" w:rsidR="00CF3886" w:rsidRPr="00477C8B" w:rsidRDefault="00CF3886" w:rsidP="00E20BA5">
      <w:pPr>
        <w:pStyle w:val="FootnoteText"/>
        <w:jc w:val="both"/>
      </w:pPr>
      <w:r w:rsidRPr="00477C8B">
        <w:rPr>
          <w:rStyle w:val="FootnoteReference"/>
        </w:rPr>
        <w:footnoteRef/>
      </w:r>
      <w:r w:rsidRPr="00477C8B">
        <w:t xml:space="preserve"> AT tiesu prakses vispārinājums. Objektīvās izmeklēšanas princips - interpretācija un piemērošana. Pieejams: </w:t>
      </w:r>
      <w:hyperlink r:id="rId4" w:history="1">
        <w:r w:rsidRPr="00477C8B">
          <w:rPr>
            <w:rStyle w:val="Hyperlink"/>
          </w:rPr>
          <w:t>http://www.at.gov.lv/files/uploads/files/6_Judikatura/Tiesu_prakses_apkopojumi/2016/1-Obj_izm_princips_visparinajums-2005.doc</w:t>
        </w:r>
      </w:hyperlink>
    </w:p>
  </w:footnote>
  <w:footnote w:id="8">
    <w:p w14:paraId="25E892D1" w14:textId="77777777" w:rsidR="00CF3886" w:rsidRPr="00477C8B" w:rsidRDefault="00CF3886" w:rsidP="00E20BA5">
      <w:pPr>
        <w:pStyle w:val="FootnoteText"/>
      </w:pPr>
      <w:r w:rsidRPr="00477C8B">
        <w:rPr>
          <w:rStyle w:val="FootnoteReference"/>
        </w:rPr>
        <w:footnoteRef/>
      </w:r>
      <w:r w:rsidRPr="00477C8B">
        <w:t xml:space="preserve"> Konkurences padome. Lietu prioritizācijas stratēģija. Pieejams: </w:t>
      </w:r>
      <w:hyperlink r:id="rId5" w:history="1">
        <w:r w:rsidRPr="00477C8B">
          <w:rPr>
            <w:rStyle w:val="Hyperlink"/>
          </w:rPr>
          <w:t>https://www.kp.gov.lv/lv/vadlinijas/citi_20150110_kp_lietu_prioritizacijas_strategijaed1.pdf</w:t>
        </w:r>
      </w:hyperlink>
      <w:r w:rsidRPr="00477C8B">
        <w:rPr>
          <w:u w:val="singl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07826"/>
    <w:multiLevelType w:val="hybridMultilevel"/>
    <w:tmpl w:val="3CBE9A6C"/>
    <w:lvl w:ilvl="0" w:tplc="F8AC7CFE">
      <w:start w:val="1"/>
      <w:numFmt w:val="decimal"/>
      <w:lvlText w:val="%1"/>
      <w:lvlJc w:val="left"/>
      <w:pPr>
        <w:ind w:left="720" w:hanging="360"/>
      </w:pPr>
      <w:rPr>
        <w:rFonts w:hint="default"/>
      </w:rPr>
    </w:lvl>
    <w:lvl w:ilvl="1" w:tplc="96E091E2">
      <w:start w:val="1"/>
      <w:numFmt w:val="decimal"/>
      <w:lvlText w:val="%2)"/>
      <w:lvlJc w:val="left"/>
      <w:pPr>
        <w:ind w:left="567" w:hanging="567"/>
      </w:pPr>
      <w:rPr>
        <w:rFonts w:hint="default"/>
      </w:rPr>
    </w:lvl>
    <w:lvl w:ilvl="2" w:tplc="2A14A8CC">
      <w:start w:val="1"/>
      <w:numFmt w:val="lowerRoman"/>
      <w:lvlText w:val="%3."/>
      <w:lvlJc w:val="right"/>
      <w:pPr>
        <w:ind w:left="2160" w:hanging="180"/>
      </w:pPr>
      <w:rPr>
        <w:rFonts w:hint="default"/>
      </w:rPr>
    </w:lvl>
    <w:lvl w:ilvl="3" w:tplc="427E6204">
      <w:start w:val="1"/>
      <w:numFmt w:val="decimal"/>
      <w:lvlText w:val="%4."/>
      <w:lvlJc w:val="left"/>
      <w:pPr>
        <w:ind w:left="2880" w:hanging="360"/>
      </w:pPr>
      <w:rPr>
        <w:rFonts w:hint="default"/>
      </w:rPr>
    </w:lvl>
    <w:lvl w:ilvl="4" w:tplc="8C1EC6BA">
      <w:start w:val="1"/>
      <w:numFmt w:val="lowerLetter"/>
      <w:lvlText w:val="%5."/>
      <w:lvlJc w:val="left"/>
      <w:pPr>
        <w:ind w:left="3600" w:hanging="360"/>
      </w:pPr>
      <w:rPr>
        <w:rFonts w:hint="default"/>
      </w:rPr>
    </w:lvl>
    <w:lvl w:ilvl="5" w:tplc="44F4958E">
      <w:start w:val="1"/>
      <w:numFmt w:val="lowerRoman"/>
      <w:lvlText w:val="%6."/>
      <w:lvlJc w:val="right"/>
      <w:pPr>
        <w:ind w:left="4320" w:hanging="180"/>
      </w:pPr>
      <w:rPr>
        <w:rFonts w:hint="default"/>
      </w:rPr>
    </w:lvl>
    <w:lvl w:ilvl="6" w:tplc="CC28CB4C">
      <w:start w:val="1"/>
      <w:numFmt w:val="decimal"/>
      <w:lvlText w:val="%7."/>
      <w:lvlJc w:val="left"/>
      <w:pPr>
        <w:ind w:left="5040" w:hanging="360"/>
      </w:pPr>
      <w:rPr>
        <w:rFonts w:hint="default"/>
      </w:rPr>
    </w:lvl>
    <w:lvl w:ilvl="7" w:tplc="BD420618">
      <w:start w:val="1"/>
      <w:numFmt w:val="lowerLetter"/>
      <w:lvlText w:val="%8."/>
      <w:lvlJc w:val="left"/>
      <w:pPr>
        <w:ind w:left="5760" w:hanging="360"/>
      </w:pPr>
      <w:rPr>
        <w:rFonts w:hint="default"/>
      </w:rPr>
    </w:lvl>
    <w:lvl w:ilvl="8" w:tplc="0052855A">
      <w:start w:val="1"/>
      <w:numFmt w:val="lowerRoman"/>
      <w:lvlText w:val="%9."/>
      <w:lvlJc w:val="right"/>
      <w:pPr>
        <w:ind w:left="6480" w:hanging="180"/>
      </w:pPr>
      <w:rPr>
        <w:rFonts w:hint="default"/>
      </w:rPr>
    </w:lvl>
  </w:abstractNum>
  <w:abstractNum w:abstractNumId="1" w15:restartNumberingAfterBreak="0">
    <w:nsid w:val="2D3035D3"/>
    <w:multiLevelType w:val="hybridMultilevel"/>
    <w:tmpl w:val="49E2DA6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54B85DC3"/>
    <w:multiLevelType w:val="multilevel"/>
    <w:tmpl w:val="154ED64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519655939">
    <w:abstractNumId w:val="0"/>
  </w:num>
  <w:num w:numId="2" w16cid:durableId="1323504655">
    <w:abstractNumId w:val="1"/>
  </w:num>
  <w:num w:numId="3" w16cid:durableId="54818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386"/>
    <w:rsid w:val="000320C7"/>
    <w:rsid w:val="00147F0F"/>
    <w:rsid w:val="00250B42"/>
    <w:rsid w:val="002851E0"/>
    <w:rsid w:val="003D5352"/>
    <w:rsid w:val="004824F7"/>
    <w:rsid w:val="004D0386"/>
    <w:rsid w:val="004E45AD"/>
    <w:rsid w:val="00535D80"/>
    <w:rsid w:val="005622EA"/>
    <w:rsid w:val="005F1519"/>
    <w:rsid w:val="00663472"/>
    <w:rsid w:val="00714C2B"/>
    <w:rsid w:val="00756379"/>
    <w:rsid w:val="00824CE3"/>
    <w:rsid w:val="008D7A16"/>
    <w:rsid w:val="00A10503"/>
    <w:rsid w:val="00B819AE"/>
    <w:rsid w:val="00BC48A3"/>
    <w:rsid w:val="00BC7EF8"/>
    <w:rsid w:val="00C53250"/>
    <w:rsid w:val="00CF3886"/>
    <w:rsid w:val="00D06C2F"/>
    <w:rsid w:val="00DC15A4"/>
    <w:rsid w:val="00E02EBD"/>
    <w:rsid w:val="00E20B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1FDB"/>
  <w15:chartTrackingRefBased/>
  <w15:docId w15:val="{BB94472C-609F-4EDF-B60A-D086955E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8A3"/>
    <w:pPr>
      <w:keepNext/>
      <w:keepLines/>
      <w:numPr>
        <w:numId w:val="3"/>
      </w:numPr>
      <w:spacing w:before="360" w:after="120"/>
      <w:jc w:val="both"/>
      <w:outlineLvl w:val="0"/>
    </w:pPr>
    <w:rPr>
      <w:rFonts w:ascii="Times New Roman" w:eastAsiaTheme="majorEastAsia" w:hAnsi="Times New Roman"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BC48A3"/>
    <w:pPr>
      <w:keepNext/>
      <w:keepLines/>
      <w:numPr>
        <w:ilvl w:val="1"/>
        <w:numId w:val="3"/>
      </w:numPr>
      <w:spacing w:before="160" w:after="120"/>
      <w:jc w:val="both"/>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BC48A3"/>
    <w:pPr>
      <w:keepNext/>
      <w:keepLines/>
      <w:numPr>
        <w:ilvl w:val="2"/>
        <w:numId w:val="3"/>
      </w:numPr>
      <w:spacing w:before="40" w:after="0"/>
      <w:jc w:val="both"/>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C48A3"/>
    <w:pPr>
      <w:keepNext/>
      <w:keepLines/>
      <w:numPr>
        <w:ilvl w:val="3"/>
        <w:numId w:val="3"/>
      </w:numPr>
      <w:spacing w:before="40" w:after="0"/>
      <w:jc w:val="both"/>
      <w:outlineLvl w:val="3"/>
    </w:pPr>
    <w:rPr>
      <w:rFonts w:asciiTheme="majorHAnsi" w:eastAsiaTheme="majorEastAsia" w:hAnsiTheme="majorHAnsi"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BC48A3"/>
    <w:pPr>
      <w:keepNext/>
      <w:keepLines/>
      <w:numPr>
        <w:ilvl w:val="4"/>
        <w:numId w:val="3"/>
      </w:numPr>
      <w:spacing w:before="40" w:after="0"/>
      <w:ind w:left="3600" w:hanging="360"/>
      <w:jc w:val="both"/>
      <w:outlineLvl w:val="4"/>
    </w:pPr>
    <w:rPr>
      <w:rFonts w:asciiTheme="majorHAnsi" w:eastAsiaTheme="majorEastAsia" w:hAnsiTheme="majorHAnsi" w:cstheme="majorBidi"/>
      <w:color w:val="2F5496" w:themeColor="accent1" w:themeShade="BF"/>
      <w:sz w:val="24"/>
    </w:rPr>
  </w:style>
  <w:style w:type="paragraph" w:styleId="Heading6">
    <w:name w:val="heading 6"/>
    <w:basedOn w:val="Normal"/>
    <w:next w:val="Normal"/>
    <w:link w:val="Heading6Char"/>
    <w:uiPriority w:val="9"/>
    <w:semiHidden/>
    <w:unhideWhenUsed/>
    <w:qFormat/>
    <w:rsid w:val="00BC48A3"/>
    <w:pPr>
      <w:keepNext/>
      <w:keepLines/>
      <w:numPr>
        <w:ilvl w:val="5"/>
        <w:numId w:val="3"/>
      </w:numPr>
      <w:spacing w:before="40" w:after="0"/>
      <w:ind w:left="4320" w:hanging="180"/>
      <w:jc w:val="both"/>
      <w:outlineLvl w:val="5"/>
    </w:pPr>
    <w:rPr>
      <w:rFonts w:asciiTheme="majorHAnsi" w:eastAsiaTheme="majorEastAsia" w:hAnsiTheme="majorHAnsi" w:cstheme="majorBidi"/>
      <w:color w:val="1F3763" w:themeColor="accent1" w:themeShade="7F"/>
      <w:sz w:val="24"/>
    </w:rPr>
  </w:style>
  <w:style w:type="paragraph" w:styleId="Heading7">
    <w:name w:val="heading 7"/>
    <w:basedOn w:val="Normal"/>
    <w:next w:val="Normal"/>
    <w:link w:val="Heading7Char"/>
    <w:uiPriority w:val="9"/>
    <w:semiHidden/>
    <w:unhideWhenUsed/>
    <w:qFormat/>
    <w:rsid w:val="00BC48A3"/>
    <w:pPr>
      <w:keepNext/>
      <w:keepLines/>
      <w:numPr>
        <w:ilvl w:val="6"/>
        <w:numId w:val="3"/>
      </w:numPr>
      <w:spacing w:before="40" w:after="0"/>
      <w:ind w:left="5040" w:hanging="360"/>
      <w:jc w:val="both"/>
      <w:outlineLvl w:val="6"/>
    </w:pPr>
    <w:rPr>
      <w:rFonts w:asciiTheme="majorHAnsi" w:eastAsiaTheme="majorEastAsia" w:hAnsiTheme="majorHAnsi" w:cstheme="majorBidi"/>
      <w:i/>
      <w:iCs/>
      <w:color w:val="1F3763" w:themeColor="accent1" w:themeShade="7F"/>
      <w:sz w:val="24"/>
    </w:rPr>
  </w:style>
  <w:style w:type="paragraph" w:styleId="Heading8">
    <w:name w:val="heading 8"/>
    <w:basedOn w:val="Normal"/>
    <w:next w:val="Normal"/>
    <w:link w:val="Heading8Char"/>
    <w:uiPriority w:val="9"/>
    <w:semiHidden/>
    <w:unhideWhenUsed/>
    <w:qFormat/>
    <w:rsid w:val="00BC48A3"/>
    <w:pPr>
      <w:keepNext/>
      <w:keepLines/>
      <w:numPr>
        <w:ilvl w:val="7"/>
        <w:numId w:val="3"/>
      </w:numPr>
      <w:spacing w:before="40" w:after="0"/>
      <w:ind w:left="5760" w:hanging="360"/>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C48A3"/>
    <w:pPr>
      <w:keepNext/>
      <w:keepLines/>
      <w:numPr>
        <w:ilvl w:val="8"/>
        <w:numId w:val="3"/>
      </w:numPr>
      <w:spacing w:before="40" w:after="0"/>
      <w:ind w:left="6480" w:hanging="180"/>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qFormat/>
    <w:rsid w:val="00DC15A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DC15A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qFormat/>
    <w:rsid w:val="00DC15A4"/>
    <w:rPr>
      <w:vertAlign w:val="superscript"/>
    </w:rPr>
  </w:style>
  <w:style w:type="paragraph" w:customStyle="1" w:styleId="CharCharCharChar">
    <w:name w:val="Char Char Char Char"/>
    <w:aliases w:val="Char2"/>
    <w:basedOn w:val="Normal"/>
    <w:next w:val="Normal"/>
    <w:link w:val="FootnoteReference"/>
    <w:uiPriority w:val="99"/>
    <w:qFormat/>
    <w:rsid w:val="00DC15A4"/>
    <w:pPr>
      <w:spacing w:line="240" w:lineRule="exact"/>
      <w:ind w:left="567" w:hanging="499"/>
      <w:jc w:val="both"/>
    </w:pPr>
    <w:rPr>
      <w:vertAlign w:val="superscript"/>
    </w:rPr>
  </w:style>
  <w:style w:type="character" w:styleId="Hyperlink">
    <w:name w:val="Hyperlink"/>
    <w:basedOn w:val="DefaultParagraphFont"/>
    <w:uiPriority w:val="99"/>
    <w:unhideWhenUsed/>
    <w:rsid w:val="00DC15A4"/>
    <w:rPr>
      <w:color w:val="0563C1" w:themeColor="hyperlink"/>
      <w:u w:val="single"/>
    </w:rPr>
  </w:style>
  <w:style w:type="character" w:styleId="CommentReference">
    <w:name w:val="annotation reference"/>
    <w:basedOn w:val="DefaultParagraphFont"/>
    <w:uiPriority w:val="99"/>
    <w:semiHidden/>
    <w:unhideWhenUsed/>
    <w:rsid w:val="00DC15A4"/>
    <w:rPr>
      <w:sz w:val="16"/>
      <w:szCs w:val="16"/>
    </w:rPr>
  </w:style>
  <w:style w:type="paragraph" w:styleId="CommentText">
    <w:name w:val="annotation text"/>
    <w:basedOn w:val="Normal"/>
    <w:link w:val="CommentTextChar"/>
    <w:uiPriority w:val="99"/>
    <w:unhideWhenUsed/>
    <w:rsid w:val="00DC15A4"/>
    <w:pPr>
      <w:spacing w:after="40"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DC15A4"/>
    <w:rPr>
      <w:rFonts w:ascii="Times New Roman" w:hAnsi="Times New Roman"/>
      <w:sz w:val="20"/>
      <w:szCs w:val="20"/>
    </w:rPr>
  </w:style>
  <w:style w:type="character" w:customStyle="1" w:styleId="Heading1Char">
    <w:name w:val="Heading 1 Char"/>
    <w:basedOn w:val="DefaultParagraphFont"/>
    <w:link w:val="Heading1"/>
    <w:uiPriority w:val="9"/>
    <w:rsid w:val="00BC48A3"/>
    <w:rPr>
      <w:rFonts w:ascii="Times New Roman" w:eastAsiaTheme="majorEastAsia" w:hAnsi="Times New Roman" w:cstheme="majorBidi"/>
      <w:b/>
      <w:color w:val="2F5496" w:themeColor="accent1" w:themeShade="BF"/>
      <w:sz w:val="32"/>
      <w:szCs w:val="32"/>
    </w:rPr>
  </w:style>
  <w:style w:type="character" w:customStyle="1" w:styleId="Heading2Char">
    <w:name w:val="Heading 2 Char"/>
    <w:basedOn w:val="DefaultParagraphFont"/>
    <w:link w:val="Heading2"/>
    <w:uiPriority w:val="9"/>
    <w:rsid w:val="00BC48A3"/>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BC48A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C48A3"/>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BC48A3"/>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BC48A3"/>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BC48A3"/>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BC48A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C48A3"/>
    <w:rPr>
      <w:rFonts w:asciiTheme="majorHAnsi" w:eastAsiaTheme="majorEastAsia" w:hAnsiTheme="majorHAnsi" w:cstheme="majorBidi"/>
      <w:i/>
      <w:iCs/>
      <w:color w:val="272727" w:themeColor="text1" w:themeTint="D8"/>
      <w:sz w:val="21"/>
      <w:szCs w:val="21"/>
    </w:rPr>
  </w:style>
  <w:style w:type="paragraph" w:styleId="CommentSubject">
    <w:name w:val="annotation subject"/>
    <w:basedOn w:val="CommentText"/>
    <w:next w:val="CommentText"/>
    <w:link w:val="CommentSubjectChar"/>
    <w:uiPriority w:val="99"/>
    <w:semiHidden/>
    <w:unhideWhenUsed/>
    <w:rsid w:val="002851E0"/>
    <w:pPr>
      <w:spacing w:after="160"/>
      <w:jc w:val="left"/>
    </w:pPr>
    <w:rPr>
      <w:rFonts w:asciiTheme="minorHAnsi" w:hAnsiTheme="minorHAnsi"/>
      <w:b/>
      <w:bCs/>
    </w:rPr>
  </w:style>
  <w:style w:type="character" w:customStyle="1" w:styleId="CommentSubjectChar">
    <w:name w:val="Comment Subject Char"/>
    <w:basedOn w:val="CommentTextChar"/>
    <w:link w:val="CommentSubject"/>
    <w:uiPriority w:val="99"/>
    <w:semiHidden/>
    <w:rsid w:val="002851E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knab.gov.lv/upload/2019/interesu_konflikta_noversana._vadlinijas_valsts_civildienesta_ieredniem.pdf" TargetMode="External"/><Relationship Id="rId2" Type="http://schemas.openxmlformats.org/officeDocument/2006/relationships/hyperlink" Target="http://tap.mk.gov.lv/doc/2020_10/EMAnot_051020_ECN.864.docx" TargetMode="External"/><Relationship Id="rId1" Type="http://schemas.openxmlformats.org/officeDocument/2006/relationships/hyperlink" Target="https://eur-lex.europa.eu/legal-content/EN/TXT/?uri=CELEX%3A32019L0001" TargetMode="External"/><Relationship Id="rId5" Type="http://schemas.openxmlformats.org/officeDocument/2006/relationships/hyperlink" Target="https://www.kp.gov.lv/lv/vadlinijas/citi_20150110_kp_lietu_prioritizacijas_strategijaed1.pdf" TargetMode="External"/><Relationship Id="rId4" Type="http://schemas.openxmlformats.org/officeDocument/2006/relationships/hyperlink" Target="http://www.at.gov.lv/files/uploads/files/6_Judikatura/Tiesu_prakses_apkopojumi/2016/1-Obj_izm_princips_visparinajums-2005.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6889</Words>
  <Characters>3928</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Intars Eglītis</dc:creator>
  <cp:keywords/>
  <dc:description/>
  <cp:lastModifiedBy>Intars Eglītis</cp:lastModifiedBy>
  <cp:revision>2</cp:revision>
  <dcterms:created xsi:type="dcterms:W3CDTF">2023-11-28T12:15:00Z</dcterms:created>
  <dcterms:modified xsi:type="dcterms:W3CDTF">2023-11-28T12:15:00Z</dcterms:modified>
</cp:coreProperties>
</file>