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E2100" w14:textId="77777777" w:rsidR="00B27EB1" w:rsidRPr="00AC74B0" w:rsidRDefault="00B27EB1" w:rsidP="00CC55D5">
      <w:pPr>
        <w:ind w:left="-142" w:right="-143"/>
        <w:jc w:val="center"/>
        <w:rPr>
          <w:b/>
          <w:sz w:val="28"/>
          <w:szCs w:val="28"/>
        </w:rPr>
      </w:pPr>
      <w:r w:rsidRPr="00AC74B0">
        <w:rPr>
          <w:b/>
          <w:sz w:val="28"/>
          <w:szCs w:val="28"/>
        </w:rPr>
        <w:t xml:space="preserve">Informatīvais ziņojums </w:t>
      </w:r>
    </w:p>
    <w:p w14:paraId="5316ABA0" w14:textId="7D689420" w:rsidR="00CC3B65" w:rsidRPr="00AC74B0" w:rsidRDefault="00B27EB1" w:rsidP="006152F4">
      <w:pPr>
        <w:ind w:left="-426" w:right="-199"/>
        <w:jc w:val="center"/>
        <w:rPr>
          <w:b/>
          <w:sz w:val="28"/>
          <w:szCs w:val="28"/>
        </w:rPr>
      </w:pPr>
      <w:r w:rsidRPr="00AC74B0">
        <w:rPr>
          <w:b/>
          <w:sz w:val="28"/>
          <w:szCs w:val="28"/>
        </w:rPr>
        <w:t>„</w:t>
      </w:r>
      <w:r w:rsidR="00664700">
        <w:rPr>
          <w:b/>
          <w:sz w:val="28"/>
          <w:szCs w:val="28"/>
        </w:rPr>
        <w:t>Par a</w:t>
      </w:r>
      <w:r w:rsidR="00664700" w:rsidRPr="00664700">
        <w:rPr>
          <w:b/>
          <w:sz w:val="28"/>
          <w:szCs w:val="28"/>
        </w:rPr>
        <w:t>ugstas gatavības projekt</w:t>
      </w:r>
      <w:r w:rsidR="00664700">
        <w:rPr>
          <w:b/>
          <w:sz w:val="28"/>
          <w:szCs w:val="28"/>
        </w:rPr>
        <w:t>a</w:t>
      </w:r>
      <w:r w:rsidR="00664700" w:rsidRPr="00664700">
        <w:rPr>
          <w:b/>
          <w:sz w:val="28"/>
          <w:szCs w:val="28"/>
        </w:rPr>
        <w:t xml:space="preserve"> </w:t>
      </w:r>
      <w:r w:rsidR="00664700">
        <w:rPr>
          <w:b/>
          <w:sz w:val="28"/>
          <w:szCs w:val="28"/>
        </w:rPr>
        <w:t>(</w:t>
      </w:r>
      <w:r w:rsidR="00664700" w:rsidRPr="00664700">
        <w:rPr>
          <w:b/>
          <w:sz w:val="28"/>
          <w:szCs w:val="28"/>
        </w:rPr>
        <w:t>Komandu sporta spēļu halles izveide Krišjāņa Barona ielā 99C, Rīgā</w:t>
      </w:r>
      <w:r w:rsidR="00664700">
        <w:rPr>
          <w:b/>
          <w:sz w:val="28"/>
          <w:szCs w:val="28"/>
        </w:rPr>
        <w:t xml:space="preserve">) </w:t>
      </w:r>
      <w:r w:rsidR="00096DB2" w:rsidRPr="00096DB2">
        <w:rPr>
          <w:b/>
          <w:sz w:val="28"/>
          <w:szCs w:val="28"/>
        </w:rPr>
        <w:t>īstenošanas termiņa pagarināšanu</w:t>
      </w:r>
      <w:r w:rsidR="00821854">
        <w:rPr>
          <w:b/>
          <w:sz w:val="28"/>
          <w:szCs w:val="28"/>
        </w:rPr>
        <w:t>”</w:t>
      </w:r>
    </w:p>
    <w:p w14:paraId="09C3A7FA" w14:textId="77777777" w:rsidR="008D3E85" w:rsidRDefault="008D3E85" w:rsidP="004367D9">
      <w:pPr>
        <w:rPr>
          <w:szCs w:val="24"/>
        </w:rPr>
      </w:pPr>
    </w:p>
    <w:p w14:paraId="5BF5B10D" w14:textId="77777777" w:rsidR="00E95585" w:rsidRPr="00AC74B0" w:rsidRDefault="00E95585" w:rsidP="004367D9">
      <w:pPr>
        <w:rPr>
          <w:szCs w:val="24"/>
        </w:rPr>
      </w:pPr>
    </w:p>
    <w:p w14:paraId="6FAD518F" w14:textId="5D3BDC0C" w:rsidR="00F066B4" w:rsidRPr="00F066B4" w:rsidRDefault="00F066B4" w:rsidP="00F066B4">
      <w:pPr>
        <w:rPr>
          <w:b/>
          <w:szCs w:val="24"/>
        </w:rPr>
      </w:pPr>
      <w:r w:rsidRPr="00F066B4">
        <w:rPr>
          <w:b/>
          <w:szCs w:val="24"/>
        </w:rPr>
        <w:t xml:space="preserve">1. </w:t>
      </w:r>
      <w:r w:rsidR="001356E4">
        <w:rPr>
          <w:b/>
          <w:szCs w:val="24"/>
        </w:rPr>
        <w:t xml:space="preserve">ESOŠĀS </w:t>
      </w:r>
      <w:r w:rsidR="00FA0494">
        <w:rPr>
          <w:b/>
          <w:szCs w:val="24"/>
        </w:rPr>
        <w:t>SITUĀCIJAS RAKSTUROJUMS</w:t>
      </w:r>
    </w:p>
    <w:p w14:paraId="21214E83" w14:textId="77777777" w:rsidR="00F066B4" w:rsidRDefault="00F066B4" w:rsidP="00F066B4">
      <w:pPr>
        <w:rPr>
          <w:szCs w:val="24"/>
        </w:rPr>
      </w:pPr>
    </w:p>
    <w:p w14:paraId="4F07B21D" w14:textId="456F575B" w:rsidR="00841545" w:rsidRDefault="005164E1" w:rsidP="0000316C">
      <w:pPr>
        <w:ind w:firstLine="720"/>
      </w:pPr>
      <w:r>
        <w:rPr>
          <w:szCs w:val="24"/>
        </w:rPr>
        <w:t>A</w:t>
      </w:r>
      <w:r w:rsidR="00464DFA" w:rsidRPr="00464DFA">
        <w:rPr>
          <w:szCs w:val="24"/>
        </w:rPr>
        <w:t>r Ministru kabineta 2021. gada 18. marta sēdes protokollēmum</w:t>
      </w:r>
      <w:r w:rsidR="00464DFA">
        <w:rPr>
          <w:szCs w:val="24"/>
        </w:rPr>
        <w:t>a</w:t>
      </w:r>
      <w:r w:rsidR="00464DFA" w:rsidRPr="00464DFA">
        <w:rPr>
          <w:szCs w:val="24"/>
        </w:rPr>
        <w:t xml:space="preserve"> (prot. Nr.28 42.§) „Informatīvais ziņojums „Par augstas gatavības projektiem, kas saistīti ar Covid-19 krīzes pārvarēšanu un ekonomikas atlabšanu””  </w:t>
      </w:r>
      <w:r w:rsidR="0000316C">
        <w:rPr>
          <w:szCs w:val="24"/>
        </w:rPr>
        <w:t xml:space="preserve">2. punktu tika </w:t>
      </w:r>
      <w:r w:rsidR="00464DFA" w:rsidRPr="003316EF">
        <w:t>atbalstīta papildu finansējuma piešķiršana ar Covid-19 krīzes seku pārvarēšanu un ekonomikas atlabšanu saistītu augstas gatavības projektu īstenošanai 2021. un 2022.</w:t>
      </w:r>
      <w:r w:rsidR="00464DFA">
        <w:t xml:space="preserve"> </w:t>
      </w:r>
      <w:r w:rsidR="00464DFA" w:rsidRPr="003316EF">
        <w:t xml:space="preserve">gadā sadalījumā pa ministrijām atbilstoši informatīvā ziņojuma „Par augstas gatavības projektiem, kas saistīti ar Covid-19 krīzes pārvarēšanu un ekonomikas atlabšanu” tabulai Nr.1 „Ministriju iesniegtā informācija par nepieciešamo finansējumu augstas gatavības projektiem, kas saistīti ar Covid-19 krīzes pārvarēšanu un ekonomikas atlabšanu”. Viens no atbalstītajiem augstas gatavības projektiem </w:t>
      </w:r>
      <w:r w:rsidR="0000316C">
        <w:t>bija</w:t>
      </w:r>
      <w:r w:rsidR="00464DFA" w:rsidRPr="003316EF">
        <w:t xml:space="preserve"> Komandu sporta spēļu halles projekts, kam </w:t>
      </w:r>
      <w:r w:rsidR="00B10E0B">
        <w:t xml:space="preserve">tika </w:t>
      </w:r>
      <w:r w:rsidR="00464DFA" w:rsidRPr="003316EF">
        <w:t>paredzēts finansējum</w:t>
      </w:r>
      <w:r w:rsidR="00B10E0B">
        <w:t>s</w:t>
      </w:r>
      <w:r w:rsidR="00464DFA" w:rsidRPr="003316EF">
        <w:t xml:space="preserve"> 13 650 000 </w:t>
      </w:r>
      <w:r w:rsidR="00464DFA" w:rsidRPr="003316EF">
        <w:rPr>
          <w:i/>
        </w:rPr>
        <w:t>euro</w:t>
      </w:r>
      <w:r w:rsidR="00464DFA" w:rsidRPr="003316EF">
        <w:t xml:space="preserve"> apmērā. </w:t>
      </w:r>
      <w:r w:rsidR="00FA0499">
        <w:t>A</w:t>
      </w:r>
      <w:r w:rsidR="00FA0499" w:rsidRPr="00096DB2">
        <w:rPr>
          <w:szCs w:val="24"/>
        </w:rPr>
        <w:t>ugstas gatavības projekt</w:t>
      </w:r>
      <w:r w:rsidR="00FA0499">
        <w:rPr>
          <w:szCs w:val="24"/>
        </w:rPr>
        <w:t>s</w:t>
      </w:r>
      <w:r w:rsidR="00FA0499" w:rsidRPr="00096DB2">
        <w:rPr>
          <w:szCs w:val="24"/>
        </w:rPr>
        <w:t xml:space="preserve"> – Komandu sporta spēļu halles izveide Krišjāņa Barona ielā 99C, Rīgā (turpmāk</w:t>
      </w:r>
      <w:r w:rsidR="00496CCF">
        <w:rPr>
          <w:szCs w:val="24"/>
        </w:rPr>
        <w:t xml:space="preserve"> </w:t>
      </w:r>
      <w:r w:rsidR="00FA0499" w:rsidRPr="00096DB2">
        <w:rPr>
          <w:szCs w:val="24"/>
        </w:rPr>
        <w:t>– Projekts)</w:t>
      </w:r>
      <w:r w:rsidR="00FA0499">
        <w:rPr>
          <w:szCs w:val="24"/>
        </w:rPr>
        <w:t xml:space="preserve"> </w:t>
      </w:r>
      <w:r w:rsidR="00487FD0" w:rsidRPr="003316EF">
        <w:t>paredz Komandu sporta spēļu halles (t.s. „Basketbola mājas”) ar trim transformējamiem basketbola laukumiem un tribīnēm līdz 2500 skatītājiem, kā arī vieglatlētikas un smagatlētikas sektoriem ar piegulošo sporta infrastruktūru (ģērbtuves, sporta medicīna, neliela sportistu dienesta viesnīca, autostāvvieta) projektēšanu un būvniecību Krišjāņa Barona ielā 99C, Rīgā. Īstenojot Projektu, tiks attīstīts ne tikai basketbola kompetenču centrs un palielināts basketbolā iesaistīto bērnu un jauniešu skaits, bet arī palielināts citos komandu sporta spēļu veidos</w:t>
      </w:r>
      <w:r w:rsidR="00487FD0">
        <w:t xml:space="preserve"> (</w:t>
      </w:r>
      <w:r w:rsidR="00487FD0" w:rsidRPr="007C0E78">
        <w:t>volejbolā, handbolā, telpu futbolā un florbolā</w:t>
      </w:r>
      <w:r w:rsidR="00487FD0">
        <w:t xml:space="preserve">) </w:t>
      </w:r>
      <w:r w:rsidR="00487FD0" w:rsidRPr="003316EF">
        <w:t>iesaistīto personu skaits. Komandu sporta spēļu hallē būs iespējas sarīkot arī starptautiska līmeņa sport</w:t>
      </w:r>
      <w:r w:rsidR="00487FD0">
        <w:t xml:space="preserve">a sacensības un treniņnometnes. </w:t>
      </w:r>
      <w:r w:rsidR="00464DFA" w:rsidRPr="003316EF">
        <w:t xml:space="preserve">Kā Projekta īstenotāja </w:t>
      </w:r>
      <w:r w:rsidR="00D92541">
        <w:t>tika</w:t>
      </w:r>
      <w:r w:rsidR="003274E6">
        <w:t xml:space="preserve"> izvēlēta </w:t>
      </w:r>
      <w:r w:rsidR="00464DFA" w:rsidRPr="003316EF">
        <w:t>VSIA „Kultūras un sporta centrs „Daugavas stadions””</w:t>
      </w:r>
      <w:r w:rsidR="00E15C4F">
        <w:t xml:space="preserve">. Šobrīd </w:t>
      </w:r>
      <w:r w:rsidR="00D14516">
        <w:t xml:space="preserve">VSIA “Kultūras un sporta centrs </w:t>
      </w:r>
      <w:r w:rsidR="009279F3">
        <w:t xml:space="preserve">“Daugavas stadions”” nosaukums ir mainīts uz </w:t>
      </w:r>
      <w:r w:rsidR="00B03E96">
        <w:t xml:space="preserve">SIA “Latvijas nacionālais </w:t>
      </w:r>
      <w:r w:rsidR="00610C0A">
        <w:t>sporta centrs”</w:t>
      </w:r>
      <w:r w:rsidR="00464DFA" w:rsidRPr="003316EF">
        <w:t xml:space="preserve"> (turpmāk – </w:t>
      </w:r>
      <w:r w:rsidR="002160A7">
        <w:t>LNSC</w:t>
      </w:r>
      <w:r w:rsidR="00464DFA" w:rsidRPr="003316EF">
        <w:t xml:space="preserve">), kura 100% kapitāla daļu turētāja ir IZM. </w:t>
      </w:r>
      <w:r w:rsidR="0014235B">
        <w:t xml:space="preserve">LNSC </w:t>
      </w:r>
      <w:r w:rsidR="00464DFA" w:rsidRPr="003316EF">
        <w:t>pēc halles nodošanas ekspluatācijā nodrošinās arī tās apsaimniekošanu (pārvaldību).</w:t>
      </w:r>
      <w:r w:rsidR="00841545">
        <w:t xml:space="preserve"> </w:t>
      </w:r>
    </w:p>
    <w:p w14:paraId="10773F6C" w14:textId="156C4510" w:rsidR="00841545" w:rsidRDefault="001674B6" w:rsidP="00841545">
      <w:pPr>
        <w:ind w:firstLine="720"/>
      </w:pPr>
      <w:r>
        <w:t>Kā sākotnējais P</w:t>
      </w:r>
      <w:r w:rsidR="00841545" w:rsidRPr="00841545">
        <w:t xml:space="preserve">rojekta īstenošanas </w:t>
      </w:r>
      <w:r w:rsidR="00841545">
        <w:t xml:space="preserve">gala </w:t>
      </w:r>
      <w:r w:rsidR="00841545" w:rsidRPr="00841545">
        <w:t>termiņš tika noteikts 2022. gada 31. decembris.</w:t>
      </w:r>
      <w:r w:rsidR="00841545">
        <w:t xml:space="preserve"> Ar Ministru kabineta 2022. gada 15. februāra sēdes protokollēmuma „Informatīvais ziņojums „</w:t>
      </w:r>
      <w:r w:rsidR="00841545" w:rsidRPr="00841545">
        <w:t>Par augstas gatavības projekta (Komandu sporta spēļu halles izveide Krišjāņa Barona ie</w:t>
      </w:r>
      <w:r w:rsidR="00841545">
        <w:t>lā 99C, Rīgā) īstenošanas gaitu”” (prot Nr. 8 48.</w:t>
      </w:r>
      <w:r w:rsidR="00841545" w:rsidRPr="00096DB2">
        <w:t>§</w:t>
      </w:r>
      <w:r w:rsidR="00496CCF">
        <w:t xml:space="preserve">, </w:t>
      </w:r>
      <w:r w:rsidR="00496CCF" w:rsidRPr="00496CCF">
        <w:t>22-TA-463</w:t>
      </w:r>
      <w:r w:rsidR="00841545">
        <w:t xml:space="preserve">) 2. punktu Ministru kabinets atbalstīja Projekta </w:t>
      </w:r>
      <w:r w:rsidR="00841545" w:rsidRPr="00841545">
        <w:t>īstenošanas gala termiņa pagarināšanu līdz 2023. gada 30. jūnijam.</w:t>
      </w:r>
    </w:p>
    <w:p w14:paraId="29F502E2" w14:textId="77777777" w:rsidR="0038001C" w:rsidRDefault="0038001C" w:rsidP="00550085">
      <w:pPr>
        <w:ind w:firstLine="720"/>
        <w:rPr>
          <w:rFonts w:eastAsia="Times New Roman"/>
          <w:lang w:eastAsia="ru-RU"/>
        </w:rPr>
      </w:pPr>
      <w:r w:rsidRPr="004704E0">
        <w:rPr>
          <w:rFonts w:eastAsia="Times New Roman"/>
          <w:lang w:eastAsia="ru-RU"/>
        </w:rPr>
        <w:t xml:space="preserve">Saskaņā ar Ministru kabineta 2022. gada 14.jūlija sēdes </w:t>
      </w:r>
      <w:proofErr w:type="spellStart"/>
      <w:r w:rsidRPr="004704E0">
        <w:rPr>
          <w:rFonts w:eastAsia="Times New Roman"/>
          <w:lang w:eastAsia="ru-RU"/>
        </w:rPr>
        <w:t>protokollēmumu</w:t>
      </w:r>
      <w:proofErr w:type="spellEnd"/>
      <w:r w:rsidRPr="004704E0">
        <w:rPr>
          <w:rFonts w:eastAsia="Times New Roman"/>
          <w:lang w:eastAsia="ru-RU"/>
        </w:rPr>
        <w:t xml:space="preserve"> “Informatīvais ziņojums "Par augstas gatavības projekta (Komandu sporta spēļu halles izveide Krišjāņa Barona ielā 99C, Rīgā) īstenošanas termiņa pagarināšanu"” (prot. Nr. 36, 110§) nolemts: atbalstīt Izglītības un zinātnes ministrijas priekšlikumu par augstas gatavības projekta - Komandu sporta spēļu halles izveidei Krišjāņa Barona ielā 99C, Rīgā - īstenošanas gala termiņa pagarināšanu līdz 2023. gada 31. decembrim [</w:t>
      </w:r>
      <w:proofErr w:type="spellStart"/>
      <w:r w:rsidRPr="004704E0">
        <w:rPr>
          <w:rFonts w:eastAsia="Times New Roman"/>
          <w:lang w:eastAsia="ru-RU"/>
        </w:rPr>
        <w:t>protokollēmuma</w:t>
      </w:r>
      <w:proofErr w:type="spellEnd"/>
      <w:r w:rsidRPr="004704E0">
        <w:rPr>
          <w:rFonts w:eastAsia="Times New Roman"/>
          <w:lang w:eastAsia="ru-RU"/>
        </w:rPr>
        <w:t xml:space="preserve"> 2. punkts].</w:t>
      </w:r>
    </w:p>
    <w:p w14:paraId="377C5C84" w14:textId="77777777" w:rsidR="0038001C" w:rsidRPr="004704E0" w:rsidRDefault="0038001C" w:rsidP="00550085">
      <w:pPr>
        <w:ind w:firstLine="720"/>
        <w:rPr>
          <w:rFonts w:eastAsia="Times New Roman"/>
          <w:lang w:eastAsia="ru-RU"/>
        </w:rPr>
      </w:pPr>
      <w:r w:rsidRPr="004704E0">
        <w:rPr>
          <w:rFonts w:eastAsia="Times New Roman"/>
          <w:lang w:eastAsia="ru-RU"/>
        </w:rPr>
        <w:t>Sākotnēji Projekta kopējais budžets bija plānots EUR 15 001 000,00, un tas ietvēra nekustamā īpašuma Krišjāņa Barona ielā 99C, Rīgā ieguldījumu LNSC pamatkapitālā EUR 1</w:t>
      </w:r>
      <w:r>
        <w:rPr>
          <w:rFonts w:eastAsia="Times New Roman"/>
          <w:lang w:eastAsia="ru-RU"/>
        </w:rPr>
        <w:t> </w:t>
      </w:r>
      <w:r w:rsidRPr="004704E0">
        <w:rPr>
          <w:rFonts w:eastAsia="Times New Roman"/>
          <w:lang w:eastAsia="ru-RU"/>
        </w:rPr>
        <w:t>351</w:t>
      </w:r>
      <w:r>
        <w:rPr>
          <w:rFonts w:eastAsia="Times New Roman"/>
          <w:lang w:eastAsia="ru-RU"/>
        </w:rPr>
        <w:t> </w:t>
      </w:r>
      <w:r w:rsidRPr="004704E0">
        <w:rPr>
          <w:rFonts w:eastAsia="Times New Roman"/>
          <w:lang w:eastAsia="ru-RU"/>
        </w:rPr>
        <w:t>000,00 vērtībā un nepieciešamos finansējumu EUR 13 650 000,00 Komandu sporta spēļu halles būvniecībai.</w:t>
      </w:r>
    </w:p>
    <w:p w14:paraId="38F5F837" w14:textId="77777777" w:rsidR="0038001C" w:rsidRPr="004704E0" w:rsidRDefault="0038001C" w:rsidP="00354350">
      <w:pPr>
        <w:ind w:firstLine="720"/>
        <w:rPr>
          <w:rFonts w:eastAsia="Times New Roman"/>
          <w:lang w:eastAsia="ru-RU"/>
        </w:rPr>
      </w:pPr>
      <w:r w:rsidRPr="004704E0">
        <w:rPr>
          <w:rFonts w:eastAsia="Times New Roman"/>
          <w:lang w:eastAsia="ru-RU"/>
        </w:rPr>
        <w:t>Saistībā ar būvniecības izmaksu būtisko sadārdzinājumu, atbilstoši izsludināto iepirkumu rezultātiem, lai Projektu realizētu, bija nepieciešams papildu finansējums būvniecības izmaksu segšanai EUR 7 909 405,77 apmērā.</w:t>
      </w:r>
    </w:p>
    <w:p w14:paraId="4F401BAA" w14:textId="77777777" w:rsidR="0038001C" w:rsidRPr="004704E0" w:rsidRDefault="0038001C" w:rsidP="00354350">
      <w:pPr>
        <w:ind w:firstLine="720"/>
        <w:rPr>
          <w:rFonts w:eastAsia="Times New Roman"/>
          <w:lang w:eastAsia="ru-RU"/>
        </w:rPr>
      </w:pPr>
      <w:r w:rsidRPr="004704E0">
        <w:rPr>
          <w:rFonts w:eastAsia="Times New Roman"/>
          <w:lang w:eastAsia="ru-RU"/>
        </w:rPr>
        <w:t xml:space="preserve">Saskaņā ar Ministru kabineta 2022. gada 29.novembra rīkojumu Nr. 851 “Par finanšu līdzekļu piešķiršanu no valsts budžeta programmas "Līdzekļi neparedzētiem gadījumiem"” (prot. Nr. 61 17. §) IZM piešķīra EUR 7 909 000 ieguldījuma veikšanai LNSC pamatkapitālā (apropriācija kategorijā "Akcijas un cita līdzdalība komersantu pašu kapitālā"), lai nodrošinātu vienreizēju investīciju projekta “Komandu sporta spēļu halles izveide Krišjāņa Barona ielā 99C, Rīgā” īstenošanā, tādejādi veicot investīcijas valsts nozīmes sporta infrastruktūras attīstībā. </w:t>
      </w:r>
    </w:p>
    <w:p w14:paraId="69721FBF" w14:textId="6E7C9FC9" w:rsidR="0038001C" w:rsidRPr="004704E0" w:rsidRDefault="0038001C" w:rsidP="00652A39">
      <w:pPr>
        <w:ind w:firstLine="720"/>
        <w:rPr>
          <w:rFonts w:eastAsia="Times New Roman"/>
          <w:lang w:eastAsia="ru-RU"/>
        </w:rPr>
      </w:pPr>
      <w:r w:rsidRPr="004704E0">
        <w:rPr>
          <w:rFonts w:eastAsia="Times New Roman"/>
          <w:lang w:eastAsia="ru-RU"/>
        </w:rPr>
        <w:t xml:space="preserve">Vienlaikus Ministru kabineta 2022. gada 29. novembra sēdes protokola Nr. 61 17. § 3. punktā (turpmāk – MK </w:t>
      </w:r>
      <w:proofErr w:type="spellStart"/>
      <w:r w:rsidRPr="004704E0">
        <w:rPr>
          <w:rFonts w:eastAsia="Times New Roman"/>
          <w:lang w:eastAsia="ru-RU"/>
        </w:rPr>
        <w:t>protokollēmumus</w:t>
      </w:r>
      <w:proofErr w:type="spellEnd"/>
      <w:r w:rsidRPr="004704E0">
        <w:rPr>
          <w:rFonts w:eastAsia="Times New Roman"/>
          <w:lang w:eastAsia="ru-RU"/>
        </w:rPr>
        <w:t xml:space="preserve">) </w:t>
      </w:r>
      <w:r w:rsidR="00205E43">
        <w:rPr>
          <w:rFonts w:eastAsia="Times New Roman"/>
          <w:lang w:eastAsia="ru-RU"/>
        </w:rPr>
        <w:t xml:space="preserve">tika </w:t>
      </w:r>
      <w:r w:rsidR="00205E43" w:rsidRPr="004704E0">
        <w:rPr>
          <w:rFonts w:eastAsia="Times New Roman"/>
          <w:lang w:eastAsia="ru-RU"/>
        </w:rPr>
        <w:t xml:space="preserve">IZM </w:t>
      </w:r>
      <w:r w:rsidRPr="004704E0">
        <w:rPr>
          <w:rFonts w:eastAsia="Times New Roman"/>
          <w:lang w:eastAsia="ru-RU"/>
        </w:rPr>
        <w:t xml:space="preserve">noteikts pienākums kā LNSC kapitāla daļu turētājai </w:t>
      </w:r>
      <w:r w:rsidRPr="004704E0">
        <w:rPr>
          <w:rFonts w:eastAsia="Times New Roman"/>
          <w:lang w:eastAsia="ru-RU"/>
        </w:rPr>
        <w:lastRenderedPageBreak/>
        <w:t xml:space="preserve">nodrošināt, ka rīkojumā paredzētie papildu valsts budžeta līdzekļi LNSC pamatkapitālā tiek ieguldīti ar nosacījumu, ka LNSC piekļuve piešķirtajiem valsts budžeta līdzekļiem Valsts kases kontā iespējama tikai pēc Eiropas Komisijas saskaņojuma saņemšanas un IZM atļaujas saņemšanas. Atbilstoši minētajam, LNSC Uzņēmumu reģistrā pamatkapitāla palielinājumu veiks pēc Eiropas Komisijas saskaņojuma un IZM atļaujas saņemšanas. </w:t>
      </w:r>
    </w:p>
    <w:p w14:paraId="5A38DE2B" w14:textId="77777777" w:rsidR="0038001C" w:rsidRPr="004704E0" w:rsidRDefault="0038001C" w:rsidP="00652A39">
      <w:pPr>
        <w:ind w:firstLine="720"/>
        <w:rPr>
          <w:rFonts w:eastAsia="Times New Roman"/>
          <w:lang w:eastAsia="ru-RU"/>
        </w:rPr>
      </w:pPr>
      <w:r w:rsidRPr="004704E0">
        <w:rPr>
          <w:rFonts w:eastAsia="Times New Roman"/>
          <w:lang w:eastAsia="ru-RU"/>
        </w:rPr>
        <w:t>Attiecīgi 2022. gada decembrī IZM, LNSC pamatkapitāla palielināšanai EUR 7 909 000 apmērā ieskaitīti LNSC atsevišķā Valsts kases kontā.</w:t>
      </w:r>
    </w:p>
    <w:p w14:paraId="608CC7AE" w14:textId="1493E32B" w:rsidR="00E84BC1" w:rsidRPr="004704E0" w:rsidRDefault="00E84BC1" w:rsidP="00F13742">
      <w:pPr>
        <w:ind w:firstLine="720"/>
        <w:rPr>
          <w:rFonts w:eastAsia="Times New Roman"/>
          <w:lang w:eastAsia="ru-RU"/>
        </w:rPr>
      </w:pPr>
      <w:r w:rsidRPr="00E84BC1">
        <w:rPr>
          <w:rFonts w:eastAsia="Times New Roman"/>
          <w:lang w:eastAsia="ru-RU"/>
        </w:rPr>
        <w:t xml:space="preserve">Īstenojot Projektu, tiek ievērotas komercdarbības atbalsta kontroles normas, jo atbalsta sniegšana </w:t>
      </w:r>
      <w:r>
        <w:rPr>
          <w:rFonts w:eastAsia="Times New Roman"/>
          <w:lang w:eastAsia="ru-RU"/>
        </w:rPr>
        <w:t>LNSC</w:t>
      </w:r>
      <w:r w:rsidRPr="00E84BC1">
        <w:rPr>
          <w:rFonts w:eastAsia="Times New Roman"/>
          <w:lang w:eastAsia="ru-RU"/>
        </w:rPr>
        <w:t xml:space="preserve"> kvalificējas kā valsts atbalsts, kura sniegšanai tiek piemērots Komisijas 2014. gada 17. jūnija Regulas (ES) Nr.651/2014, ar ko noteiktas atbalsta kategorijas atzīst par saderīgām ar iekšējo tirgu, piemērojot Līguma 107. un 108.pantu (GBER), 55. pants. </w:t>
      </w:r>
      <w:r w:rsidR="00F13742" w:rsidRPr="00F13742">
        <w:rPr>
          <w:rFonts w:eastAsia="Times New Roman"/>
          <w:lang w:eastAsia="ru-RU"/>
        </w:rPr>
        <w:t xml:space="preserve">IZM Eiropas Komisijai </w:t>
      </w:r>
      <w:r w:rsidR="00F13742">
        <w:rPr>
          <w:rFonts w:eastAsia="Times New Roman"/>
          <w:lang w:eastAsia="ru-RU"/>
        </w:rPr>
        <w:t>iesniegs</w:t>
      </w:r>
      <w:r w:rsidR="00F13742" w:rsidRPr="00F13742">
        <w:rPr>
          <w:rFonts w:eastAsia="Times New Roman"/>
          <w:lang w:eastAsia="ru-RU"/>
        </w:rPr>
        <w:t xml:space="preserve"> kopsavilkuma informācija atbalsta pasākum</w:t>
      </w:r>
      <w:r w:rsidR="00F13742">
        <w:rPr>
          <w:rFonts w:eastAsia="Times New Roman"/>
          <w:lang w:eastAsia="ru-RU"/>
        </w:rPr>
        <w:t>u</w:t>
      </w:r>
      <w:r w:rsidR="00F13742" w:rsidRPr="00F13742">
        <w:rPr>
          <w:rFonts w:eastAsia="Times New Roman"/>
          <w:lang w:eastAsia="ru-RU"/>
        </w:rPr>
        <w:t xml:space="preserve"> „Komandu sporta spēļu halles izveide Krišjāņa Barona ielā 99C, Rīgā” </w:t>
      </w:r>
      <w:r w:rsidR="00F13742">
        <w:rPr>
          <w:rFonts w:eastAsia="Times New Roman"/>
          <w:lang w:eastAsia="ru-RU"/>
        </w:rPr>
        <w:t>EUR 22</w:t>
      </w:r>
      <w:r w:rsidR="00F13742" w:rsidRPr="00F13742">
        <w:rPr>
          <w:rFonts w:eastAsia="Times New Roman"/>
          <w:lang w:eastAsia="ru-RU"/>
        </w:rPr>
        <w:t xml:space="preserve"> </w:t>
      </w:r>
      <w:r w:rsidR="00F13742">
        <w:rPr>
          <w:rFonts w:eastAsia="Times New Roman"/>
          <w:lang w:eastAsia="ru-RU"/>
        </w:rPr>
        <w:t>910</w:t>
      </w:r>
      <w:r w:rsidR="00F13742" w:rsidRPr="00F13742">
        <w:rPr>
          <w:rFonts w:eastAsia="Times New Roman"/>
          <w:lang w:eastAsia="ru-RU"/>
        </w:rPr>
        <w:t xml:space="preserve"> 000 apmērā, ko veido dotācija projekta īstenošanai (naudas ieguldījums pamatkapitālā) </w:t>
      </w:r>
      <w:r w:rsidR="00F13742">
        <w:rPr>
          <w:rFonts w:eastAsia="Times New Roman"/>
          <w:lang w:eastAsia="ru-RU"/>
        </w:rPr>
        <w:t>EUR 21</w:t>
      </w:r>
      <w:r w:rsidR="00F13742" w:rsidRPr="00F13742">
        <w:rPr>
          <w:rFonts w:eastAsia="Times New Roman"/>
          <w:lang w:eastAsia="ru-RU"/>
        </w:rPr>
        <w:t xml:space="preserve"> </w:t>
      </w:r>
      <w:r w:rsidR="00F13742">
        <w:rPr>
          <w:rFonts w:eastAsia="Times New Roman"/>
          <w:lang w:eastAsia="ru-RU"/>
        </w:rPr>
        <w:t>559</w:t>
      </w:r>
      <w:r w:rsidR="00F13742" w:rsidRPr="00F13742">
        <w:rPr>
          <w:rFonts w:eastAsia="Times New Roman"/>
          <w:lang w:eastAsia="ru-RU"/>
        </w:rPr>
        <w:t xml:space="preserve"> 000 apmērā, kā arī nekustamā īpašuma ieguldījums pamatkapitālā </w:t>
      </w:r>
      <w:r w:rsidR="00F13742">
        <w:rPr>
          <w:rFonts w:eastAsia="Times New Roman"/>
          <w:lang w:eastAsia="ru-RU"/>
        </w:rPr>
        <w:t xml:space="preserve">EUR </w:t>
      </w:r>
      <w:r w:rsidR="00F13742" w:rsidRPr="00F13742">
        <w:rPr>
          <w:rFonts w:eastAsia="Times New Roman"/>
          <w:lang w:eastAsia="ru-RU"/>
        </w:rPr>
        <w:t>1</w:t>
      </w:r>
      <w:r w:rsidR="00F13742">
        <w:rPr>
          <w:rFonts w:eastAsia="Times New Roman"/>
          <w:lang w:eastAsia="ru-RU"/>
        </w:rPr>
        <w:t> </w:t>
      </w:r>
      <w:r w:rsidR="00F13742" w:rsidRPr="00F13742">
        <w:rPr>
          <w:rFonts w:eastAsia="Times New Roman"/>
          <w:lang w:eastAsia="ru-RU"/>
        </w:rPr>
        <w:t>351</w:t>
      </w:r>
      <w:r w:rsidR="00F13742">
        <w:rPr>
          <w:rFonts w:eastAsia="Times New Roman"/>
          <w:lang w:eastAsia="ru-RU"/>
        </w:rPr>
        <w:t xml:space="preserve"> </w:t>
      </w:r>
      <w:r w:rsidR="00F13742" w:rsidRPr="00F13742">
        <w:rPr>
          <w:rFonts w:eastAsia="Times New Roman"/>
          <w:lang w:eastAsia="ru-RU"/>
        </w:rPr>
        <w:t xml:space="preserve">000 apmērā. </w:t>
      </w:r>
    </w:p>
    <w:p w14:paraId="1E2E2497" w14:textId="73E7A770" w:rsidR="0038001C" w:rsidRPr="004704E0" w:rsidRDefault="0038001C" w:rsidP="0060617A">
      <w:pPr>
        <w:ind w:firstLine="720"/>
        <w:rPr>
          <w:rFonts w:eastAsia="Times New Roman"/>
          <w:lang w:eastAsia="ru-RU"/>
        </w:rPr>
      </w:pPr>
      <w:r w:rsidRPr="004704E0">
        <w:rPr>
          <w:rFonts w:eastAsia="Times New Roman"/>
          <w:lang w:eastAsia="ru-RU"/>
        </w:rPr>
        <w:t xml:space="preserve">Saistībā ar </w:t>
      </w:r>
      <w:r w:rsidR="0060617A">
        <w:rPr>
          <w:rFonts w:eastAsia="Times New Roman"/>
          <w:lang w:eastAsia="ru-RU"/>
        </w:rPr>
        <w:t>P</w:t>
      </w:r>
      <w:r w:rsidRPr="004704E0">
        <w:rPr>
          <w:rFonts w:eastAsia="Times New Roman"/>
          <w:lang w:eastAsia="ru-RU"/>
        </w:rPr>
        <w:t>rojekta īstenošanas gaitu esošā finansējuma apmērā, minētā projekta (Komandu sporta spēļu halles jaunbūve) izbūves būvdarbu veicējs ir iesniedzis informāciju un pamatojumu</w:t>
      </w:r>
      <w:r w:rsidR="001D0187">
        <w:rPr>
          <w:rFonts w:eastAsia="Times New Roman"/>
          <w:lang w:eastAsia="ru-RU"/>
        </w:rPr>
        <w:t xml:space="preserve"> par </w:t>
      </w:r>
      <w:r w:rsidR="00DE1181">
        <w:rPr>
          <w:rFonts w:eastAsia="Times New Roman"/>
          <w:lang w:eastAsia="ru-RU"/>
        </w:rPr>
        <w:t xml:space="preserve">iemesliem, </w:t>
      </w:r>
      <w:r w:rsidRPr="004704E0">
        <w:rPr>
          <w:rFonts w:eastAsia="Times New Roman"/>
          <w:lang w:eastAsia="ru-RU"/>
        </w:rPr>
        <w:t>kā dēļ ir nepieciešams pārskatīt būvdarbu izpildes gala termiņu, proti, lemt par termiņa pagarinājumu būvniecības līgumā.</w:t>
      </w:r>
    </w:p>
    <w:p w14:paraId="6B3E6A34" w14:textId="77777777" w:rsidR="0038001C" w:rsidRPr="004704E0" w:rsidRDefault="0038001C" w:rsidP="0060617A">
      <w:pPr>
        <w:ind w:firstLine="720"/>
        <w:rPr>
          <w:rFonts w:eastAsia="Times New Roman"/>
          <w:lang w:eastAsia="ru-RU"/>
        </w:rPr>
      </w:pPr>
      <w:r w:rsidRPr="004704E0">
        <w:rPr>
          <w:rFonts w:eastAsia="Times New Roman"/>
          <w:lang w:eastAsia="ru-RU"/>
        </w:rPr>
        <w:t xml:space="preserve">Projekta īstenošanu ir būtiski ietekmējuši līdz šim būvdarbu veikšanas un līguma izpildes laikā konstatētās būvprojekta nepilnības, nepieciešamība optimizēt un vienkāršot būvprojekta risinājumus, dabā un objektā konstatētie šķēršļi un apstākļi, kas nav bijuši saprātīgi paredzami projekta plānošanas stadijās un brīdī, kad tika rīkota attiecīgā iepirkuma procedūra, tādēļ ir nepieciešams pārskatīt konkrētajam projektam atvēlēto termiņu, kādā to ir iespējams realizēt. Piemēram, līdz šim būvdarbu līguma izpildes laiku negatīvu ietekmi uz projekta īstenošanas gaitu ir radījusi būvprojekta risinājumu izmaiņu ieviešana, t.sk., sākotnējo būvprojekta risinājumu par paredzēto saliekamo dzelzsbetona </w:t>
      </w:r>
      <w:proofErr w:type="spellStart"/>
      <w:r w:rsidRPr="004704E0">
        <w:rPr>
          <w:rFonts w:eastAsia="Times New Roman"/>
          <w:lang w:eastAsia="ru-RU"/>
        </w:rPr>
        <w:t>lielizmēra</w:t>
      </w:r>
      <w:proofErr w:type="spellEnd"/>
      <w:r w:rsidRPr="004704E0">
        <w:rPr>
          <w:rFonts w:eastAsia="Times New Roman"/>
          <w:lang w:eastAsia="ru-RU"/>
        </w:rPr>
        <w:t xml:space="preserve"> fasādes konstrukciju izbūves, kuru nogādāšana uz objektu, tā specifiskās atrašanās dēļ pilsētvidē objektīvi nebūtu iespējama, nomaiņa. Tostarp ģeopolitiskā situācija valstī (Krievijas karš ar Ukrainu) un ar šo situāciju saistītās problēmas energoresursu tirgū, resursu straujajiem cenu kāpumiem, lika pasūtītājam risināt energoefektivitātes un ekonomiskos apsvērumu jautājumus. Būvprojekta optimizācijas ietvaros tiek paredzēta saules elektrostacijas izbūve uz objekta jumta un ar to visi saistītie secīgie jautājumi (projektēšana, izbūve, </w:t>
      </w:r>
      <w:proofErr w:type="spellStart"/>
      <w:r w:rsidRPr="004704E0">
        <w:rPr>
          <w:rFonts w:eastAsia="Times New Roman"/>
          <w:lang w:eastAsia="ru-RU"/>
        </w:rPr>
        <w:t>u.tml</w:t>
      </w:r>
      <w:proofErr w:type="spellEnd"/>
      <w:r w:rsidRPr="004704E0">
        <w:rPr>
          <w:rFonts w:eastAsia="Times New Roman"/>
          <w:lang w:eastAsia="ru-RU"/>
        </w:rPr>
        <w:t>).</w:t>
      </w:r>
    </w:p>
    <w:p w14:paraId="547D3351" w14:textId="2173D0B9" w:rsidR="0038001C" w:rsidRPr="004704E0" w:rsidRDefault="0038001C" w:rsidP="00E929A9">
      <w:pPr>
        <w:ind w:firstLine="720"/>
        <w:rPr>
          <w:rFonts w:eastAsia="Times New Roman"/>
          <w:lang w:eastAsia="ru-RU"/>
        </w:rPr>
      </w:pPr>
      <w:r w:rsidRPr="004704E0">
        <w:rPr>
          <w:rFonts w:eastAsia="Times New Roman"/>
          <w:lang w:eastAsia="ru-RU"/>
        </w:rPr>
        <w:t>Kopumā būvdarbu veicēja minētie apstākļi ir negatīvi ietekmējuši būvdarbu izpildes sākotnēji plānotos izpildes termiņus būvniecības procesā. Jānorāda,</w:t>
      </w:r>
      <w:r w:rsidR="005271AE">
        <w:rPr>
          <w:rFonts w:eastAsia="Times New Roman"/>
          <w:lang w:eastAsia="ru-RU"/>
        </w:rPr>
        <w:t xml:space="preserve"> ka neska</w:t>
      </w:r>
      <w:r w:rsidR="009750DB">
        <w:rPr>
          <w:rFonts w:eastAsia="Times New Roman"/>
          <w:lang w:eastAsia="ru-RU"/>
        </w:rPr>
        <w:t>toties uz</w:t>
      </w:r>
      <w:r w:rsidRPr="004704E0">
        <w:rPr>
          <w:rFonts w:eastAsia="Times New Roman"/>
          <w:lang w:eastAsia="ru-RU"/>
        </w:rPr>
        <w:t xml:space="preserve"> šiem apstākļiem, </w:t>
      </w:r>
      <w:r w:rsidR="009750DB">
        <w:rPr>
          <w:rFonts w:eastAsia="Times New Roman"/>
          <w:lang w:eastAsia="ru-RU"/>
        </w:rPr>
        <w:t>P</w:t>
      </w:r>
      <w:r w:rsidRPr="004704E0">
        <w:rPr>
          <w:rFonts w:eastAsia="Times New Roman"/>
          <w:lang w:eastAsia="ru-RU"/>
        </w:rPr>
        <w:t>rojekta īstenošana nav apstājusies un turpina virzīties uz priekšu, taču šobrīd ir acīmredzami sasniegta kritiskā robeža, kur pārskatāmā nākotnē vairs nebūs iespējams pilnvērtīgi īstenot iesāktos darbus bez iepriekš pieņemto termiņu pārskatīšanas.</w:t>
      </w:r>
    </w:p>
    <w:p w14:paraId="62268FF4" w14:textId="77777777" w:rsidR="0038001C" w:rsidRPr="004704E0" w:rsidRDefault="0038001C" w:rsidP="00E929A9">
      <w:pPr>
        <w:ind w:firstLine="720"/>
        <w:rPr>
          <w:rFonts w:eastAsia="Times New Roman"/>
          <w:lang w:eastAsia="ru-RU"/>
        </w:rPr>
      </w:pPr>
      <w:r w:rsidRPr="004704E0">
        <w:rPr>
          <w:rFonts w:eastAsia="Times New Roman"/>
          <w:lang w:eastAsia="ru-RU"/>
        </w:rPr>
        <w:t>Līguma forma, ar kuru tiek īstenots projekts ir nodrošinājusi, ka saprātīgi paredzamie operatīvie un finanšu riski ir veiksmīgi pārnesti no pasūtītāja uz līguma izpildītāju, taču līgums neparedz, ka iepriekš minēto risku iestāšanās būtu pilnībā pārnesama uz līguma izpildītāju. Projekta kļūdas un nepilnības ir novērstas un turpmāk tiks novērstas, nemainot noslēgtā līguma cenu, ļaujot līdz šim iztikt bez nepieciešamības pārskatīt projekta budžetu. Konkrētā līguma gadījumā ir nepieciešams uzsvērt, ka iepirkuma konkurss, kura rezultātā līgums par objekta  “”Komandu sporta spēļu halles jaunbūve” izbūve”, tika noslēgts 2022.</w:t>
      </w:r>
      <w:r>
        <w:rPr>
          <w:rFonts w:eastAsia="Times New Roman"/>
          <w:lang w:eastAsia="ru-RU"/>
        </w:rPr>
        <w:t> </w:t>
      </w:r>
      <w:r w:rsidRPr="004704E0">
        <w:rPr>
          <w:rFonts w:eastAsia="Times New Roman"/>
          <w:lang w:eastAsia="ru-RU"/>
        </w:rPr>
        <w:t>gada 22.</w:t>
      </w:r>
      <w:r>
        <w:rPr>
          <w:rFonts w:eastAsia="Times New Roman"/>
          <w:lang w:eastAsia="ru-RU"/>
        </w:rPr>
        <w:t> </w:t>
      </w:r>
      <w:r w:rsidRPr="004704E0">
        <w:rPr>
          <w:rFonts w:eastAsia="Times New Roman"/>
          <w:lang w:eastAsia="ru-RU"/>
        </w:rPr>
        <w:t>decembrī, bet būvdarbi no būvdarbu veicēja un pasūtītāja neatkarīgu iemeslu dēļ, ievērojot to, ka atzīme par būvniecības nosacījumu izpildi attiecīgajā būvatļaujā izdarīta nekavējoši tikai 2023.</w:t>
      </w:r>
      <w:r>
        <w:rPr>
          <w:rFonts w:eastAsia="Times New Roman"/>
          <w:lang w:eastAsia="ru-RU"/>
        </w:rPr>
        <w:t> </w:t>
      </w:r>
      <w:r w:rsidRPr="004704E0">
        <w:rPr>
          <w:rFonts w:eastAsia="Times New Roman"/>
          <w:lang w:eastAsia="ru-RU"/>
        </w:rPr>
        <w:t>gada 14.</w:t>
      </w:r>
      <w:r>
        <w:rPr>
          <w:rFonts w:eastAsia="Times New Roman"/>
          <w:lang w:eastAsia="ru-RU"/>
        </w:rPr>
        <w:t> </w:t>
      </w:r>
      <w:r w:rsidRPr="004704E0">
        <w:rPr>
          <w:rFonts w:eastAsia="Times New Roman"/>
          <w:lang w:eastAsia="ru-RU"/>
        </w:rPr>
        <w:t>aprīlī, darbi arī tika uzsākti ar nobīdi (vairāk kā trīs mēneši). Vienlaikus darbu plānošanu un izpildi ir aizkavējis un aizkavēs būvprojekta risinājumu aktualizācija, tā optimizācija, korekciju veikšana, kuras, cita starpā, būvniecības laikā ir pieprasījušas veikt arī kontrolējošās iestādes, kas var aizņemt vairākus mēnešus.</w:t>
      </w:r>
    </w:p>
    <w:p w14:paraId="7C6D6232" w14:textId="035148F2" w:rsidR="0038001C" w:rsidRPr="004704E0" w:rsidRDefault="0038001C" w:rsidP="00A431D3">
      <w:pPr>
        <w:ind w:firstLine="720"/>
        <w:rPr>
          <w:rFonts w:eastAsia="Times New Roman"/>
          <w:lang w:eastAsia="ru-RU"/>
        </w:rPr>
      </w:pPr>
      <w:r w:rsidRPr="004704E0">
        <w:rPr>
          <w:rFonts w:eastAsia="Times New Roman"/>
          <w:lang w:eastAsia="ru-RU"/>
        </w:rPr>
        <w:t xml:space="preserve">Līdz ar to ir secināms, ka visi pieņēmumi un apsvērumi, uz kuriem ir balstījušās </w:t>
      </w:r>
      <w:r w:rsidR="00B861B7">
        <w:rPr>
          <w:rFonts w:eastAsia="Times New Roman"/>
          <w:lang w:eastAsia="ru-RU"/>
        </w:rPr>
        <w:t>P</w:t>
      </w:r>
      <w:r w:rsidRPr="004704E0">
        <w:rPr>
          <w:rFonts w:eastAsia="Times New Roman"/>
          <w:lang w:eastAsia="ru-RU"/>
        </w:rPr>
        <w:t>rojekta īstenošanā iesaistītās puses ir balstīti uz “normālo” tirgus situāciju, kāda pastāvēja pirms minētās situācijas. Savukārt, līguma darbības un izpildes laikā konstatētie apstākļi ir atstājuši negatīvu ietekmi uz līguma izpildes gala termiņu.</w:t>
      </w:r>
    </w:p>
    <w:p w14:paraId="0B5D2136" w14:textId="77777777" w:rsidR="0038001C" w:rsidRPr="004704E0" w:rsidRDefault="0038001C" w:rsidP="00A431D3">
      <w:pPr>
        <w:ind w:firstLine="720"/>
        <w:rPr>
          <w:rFonts w:eastAsia="Times New Roman"/>
          <w:lang w:eastAsia="ru-RU"/>
        </w:rPr>
      </w:pPr>
      <w:r w:rsidRPr="004704E0">
        <w:rPr>
          <w:rFonts w:eastAsia="Times New Roman"/>
          <w:lang w:eastAsia="ru-RU"/>
        </w:rPr>
        <w:lastRenderedPageBreak/>
        <w:t>Šis pieņēmums ir atspoguļots arī faktā, ka attiecīgais līgums ir noslēgts ar atrunu, ka tās nepieciešamības gadījumā pieliks visas pūles, lai vienotos par tādu risinājumu, kas neprasa Būvdarbu izmaksu palielinājumu un/vai kopējo Līguma/Būvdarbu izpildes termiņa pagarinājumu. Līguma izpildes laikā konstatētie un radušies apstākļi un ietekme uz to līguma izpildi vērtējami kā neparedzami apstākļi uz piedāvājuma iesniegšanas brīdi. Kopumā visu konstatētu apstākļu radītā ietekme ir pietiekami liela arī uz konkrētā līguma izpildi, jo līguma izpildītājs (būvdarbu veicējs) jau ir brīdinājis par noslēgtā līguma īstenošanas neiespējamību, ja visi šie riski būtu jāuzņemas tikai līguma izpildītājam (būvdarbu veicējam) un turklāt vēl jāatbild par kavējumu un citām līguma noteiktajām sankcijām.</w:t>
      </w:r>
    </w:p>
    <w:p w14:paraId="0ECFD0A3" w14:textId="77777777" w:rsidR="0038001C" w:rsidRDefault="0038001C" w:rsidP="00D747EA">
      <w:pPr>
        <w:ind w:firstLine="720"/>
        <w:rPr>
          <w:rFonts w:eastAsia="Times New Roman"/>
          <w:lang w:eastAsia="ru-RU"/>
        </w:rPr>
      </w:pPr>
      <w:r w:rsidRPr="004704E0">
        <w:rPr>
          <w:rFonts w:eastAsia="Times New Roman"/>
          <w:lang w:eastAsia="ru-RU"/>
        </w:rPr>
        <w:t>No noslēgtā līguma viedokļa šādā situācijā ir pareizi pārskatīt projektam nosprausto termiņu. Iepriekš aprakstītie riski līgumiski nav pilnībā pārnesami uz līguma izpildītāju, savukārt gadījumā, ja tiktu rīkots jauns iepirkuma konkurss pēc šo risku iestāšanās (t.i., līguma izpildes laikā konstatētie apstākļi un to radītais efekts), līguma izpildes termiņš būtu viennozīmīgi garāks ar ļoti niecīgu iespēju īstenot projektu sākotnēji nospraustajā laikā (t.i., jebkurā gadījumā būtu bijis jārēķinās ar garāku termiņu).</w:t>
      </w:r>
    </w:p>
    <w:p w14:paraId="18FA2EE4" w14:textId="29CD9E4F" w:rsidR="00D627B8" w:rsidRPr="00633954" w:rsidRDefault="00175EFF" w:rsidP="00472698">
      <w:pPr>
        <w:ind w:firstLine="720"/>
        <w:rPr>
          <w:rFonts w:eastAsia="Times New Roman"/>
          <w:lang w:eastAsia="ru-RU"/>
        </w:rPr>
      </w:pPr>
      <w:r>
        <w:rPr>
          <w:rFonts w:eastAsia="Times New Roman"/>
          <w:lang w:eastAsia="ru-RU"/>
        </w:rPr>
        <w:t xml:space="preserve">Ievērojot </w:t>
      </w:r>
      <w:r w:rsidR="0038001C" w:rsidRPr="009B432F">
        <w:rPr>
          <w:rFonts w:eastAsia="Times New Roman"/>
          <w:lang w:eastAsia="ru-RU"/>
        </w:rPr>
        <w:t xml:space="preserve">minēto, </w:t>
      </w:r>
      <w:r w:rsidR="002E4533">
        <w:rPr>
          <w:rFonts w:eastAsia="Times New Roman"/>
          <w:lang w:eastAsia="ru-RU"/>
        </w:rPr>
        <w:t xml:space="preserve">nepieciešams </w:t>
      </w:r>
      <w:r w:rsidR="0038001C" w:rsidRPr="009B432F">
        <w:rPr>
          <w:rFonts w:eastAsia="Times New Roman"/>
          <w:lang w:eastAsia="ru-RU"/>
        </w:rPr>
        <w:t xml:space="preserve">pēc iespējas īsākā termiņā lemt par </w:t>
      </w:r>
      <w:r w:rsidR="00D50317">
        <w:rPr>
          <w:rFonts w:eastAsia="Times New Roman"/>
          <w:lang w:eastAsia="ru-RU"/>
        </w:rPr>
        <w:t xml:space="preserve">Projekta </w:t>
      </w:r>
      <w:r w:rsidR="0038001C" w:rsidRPr="009B432F">
        <w:rPr>
          <w:rFonts w:eastAsia="Times New Roman"/>
          <w:lang w:eastAsia="ru-RU"/>
        </w:rPr>
        <w:t>īstenošanas gala termiņa pagarināšanu.</w:t>
      </w:r>
    </w:p>
    <w:p w14:paraId="70907CA2" w14:textId="77777777" w:rsidR="004256FF" w:rsidRDefault="004256FF" w:rsidP="004256FF"/>
    <w:p w14:paraId="317A5918" w14:textId="4A2851DF" w:rsidR="004256FF" w:rsidRPr="00F066B4" w:rsidRDefault="004256FF" w:rsidP="004256FF">
      <w:pPr>
        <w:rPr>
          <w:b/>
          <w:szCs w:val="24"/>
        </w:rPr>
      </w:pPr>
      <w:r>
        <w:rPr>
          <w:b/>
          <w:szCs w:val="24"/>
        </w:rPr>
        <w:t>2</w:t>
      </w:r>
      <w:r w:rsidRPr="00F066B4">
        <w:rPr>
          <w:b/>
          <w:szCs w:val="24"/>
        </w:rPr>
        <w:t xml:space="preserve">. </w:t>
      </w:r>
      <w:r w:rsidR="007D4701">
        <w:rPr>
          <w:b/>
          <w:szCs w:val="24"/>
        </w:rPr>
        <w:t xml:space="preserve">INFORMATĪVĀ ZIŅOJUMA </w:t>
      </w:r>
      <w:r>
        <w:rPr>
          <w:b/>
          <w:szCs w:val="24"/>
        </w:rPr>
        <w:t>IETEKME</w:t>
      </w:r>
      <w:r w:rsidR="007D4701">
        <w:rPr>
          <w:b/>
          <w:szCs w:val="24"/>
        </w:rPr>
        <w:t xml:space="preserve"> UZ VISPĀRĒJĀS VALDĪBAS BUDŽETA BILANCI</w:t>
      </w:r>
    </w:p>
    <w:p w14:paraId="57595BB9" w14:textId="77777777" w:rsidR="00D627B8" w:rsidRDefault="00D627B8" w:rsidP="00841545">
      <w:pPr>
        <w:ind w:firstLine="720"/>
      </w:pPr>
    </w:p>
    <w:p w14:paraId="71CA8415" w14:textId="257CEC89" w:rsidR="008D313E" w:rsidRDefault="008D313E" w:rsidP="00841545">
      <w:pPr>
        <w:ind w:firstLine="720"/>
      </w:pPr>
      <w:r>
        <w:t>Atbilstoši institucionālo sektoru klasifikācijai</w:t>
      </w:r>
      <w:r>
        <w:rPr>
          <w:rStyle w:val="FootnoteReference"/>
        </w:rPr>
        <w:footnoteReference w:id="1"/>
      </w:r>
      <w:r>
        <w:t xml:space="preserve">, LNSC </w:t>
      </w:r>
      <w:r w:rsidRPr="008D313E">
        <w:t xml:space="preserve"> ir vispārējā valdībā pieklasificēta kapitālsabiedrība un ar savu saimniecisko darbību ietekmē vispārējās valdības budžeta bilanci un parādu. </w:t>
      </w:r>
      <w:r>
        <w:t>Pagarinot</w:t>
      </w:r>
      <w:r w:rsidRPr="008D313E">
        <w:t xml:space="preserve"> </w:t>
      </w:r>
      <w:r>
        <w:t>Projekta</w:t>
      </w:r>
      <w:r w:rsidRPr="008D313E">
        <w:t xml:space="preserve"> īstenošanas gala termiņu</w:t>
      </w:r>
      <w:r>
        <w:t>, provizoriski</w:t>
      </w:r>
      <w:r w:rsidRPr="008D313E">
        <w:t xml:space="preserve"> veidojas ietekme uz vispārējās valdības budžeta bilanci </w:t>
      </w:r>
      <w:r>
        <w:t>EUR 15 194 110</w:t>
      </w:r>
      <w:r w:rsidRPr="004256FF">
        <w:t xml:space="preserve"> apmērā </w:t>
      </w:r>
      <w:r w:rsidRPr="008D313E">
        <w:t xml:space="preserve">2023. </w:t>
      </w:r>
      <w:r>
        <w:t xml:space="preserve">gadā (pozitīvā ietekme)  </w:t>
      </w:r>
      <w:r w:rsidRPr="008D313E">
        <w:t xml:space="preserve">un </w:t>
      </w:r>
      <w:r>
        <w:t xml:space="preserve">EUR 15 194 110 </w:t>
      </w:r>
      <w:r w:rsidRPr="004256FF">
        <w:t>apmērā 2024. gadā (negatīva ietekme)</w:t>
      </w:r>
      <w:r>
        <w:t>.</w:t>
      </w:r>
      <w:r w:rsidRPr="008D313E">
        <w:t xml:space="preserve"> </w:t>
      </w:r>
    </w:p>
    <w:p w14:paraId="11100FB4" w14:textId="77777777" w:rsidR="00D627B8" w:rsidRDefault="00D627B8" w:rsidP="00472698"/>
    <w:p w14:paraId="7A7FAB20" w14:textId="5AC37E1D" w:rsidR="004256FF" w:rsidRPr="00F066B4" w:rsidRDefault="004256FF" w:rsidP="004256FF">
      <w:pPr>
        <w:rPr>
          <w:b/>
          <w:szCs w:val="24"/>
        </w:rPr>
      </w:pPr>
      <w:r>
        <w:rPr>
          <w:b/>
          <w:szCs w:val="24"/>
        </w:rPr>
        <w:t>3</w:t>
      </w:r>
      <w:r w:rsidRPr="00F066B4">
        <w:rPr>
          <w:b/>
          <w:szCs w:val="24"/>
        </w:rPr>
        <w:t xml:space="preserve">. </w:t>
      </w:r>
      <w:r>
        <w:rPr>
          <w:b/>
          <w:szCs w:val="24"/>
        </w:rPr>
        <w:t>PRIEKŠLIKUMI TURPMĀKAJAI RĪCĪBAI</w:t>
      </w:r>
    </w:p>
    <w:p w14:paraId="0ED4E908" w14:textId="77777777" w:rsidR="004256FF" w:rsidRDefault="004256FF" w:rsidP="004256FF">
      <w:pPr>
        <w:ind w:firstLine="720"/>
        <w:rPr>
          <w:szCs w:val="24"/>
        </w:rPr>
      </w:pPr>
    </w:p>
    <w:p w14:paraId="18FC9BDE" w14:textId="77777777" w:rsidR="004256FF" w:rsidRDefault="004256FF" w:rsidP="004256FF">
      <w:pPr>
        <w:ind w:firstLine="720"/>
      </w:pPr>
      <w:r>
        <w:rPr>
          <w:szCs w:val="24"/>
        </w:rPr>
        <w:t xml:space="preserve">Ņemot vērā iepriekš minēto, </w:t>
      </w:r>
      <w:r>
        <w:t xml:space="preserve">Izglītības un zinātnes ministrija </w:t>
      </w:r>
      <w:r>
        <w:rPr>
          <w:szCs w:val="24"/>
        </w:rPr>
        <w:t xml:space="preserve">aicina Ministru kabinetu atbalstīt priekšlikumu par </w:t>
      </w:r>
      <w:r>
        <w:t xml:space="preserve">Projekta </w:t>
      </w:r>
      <w:r w:rsidRPr="00A77FA1">
        <w:t>īstenošanas</w:t>
      </w:r>
      <w:r>
        <w:t xml:space="preserve"> gala termiņa pagarināšanu līdz 2024. gada 31. decembrim.</w:t>
      </w:r>
    </w:p>
    <w:p w14:paraId="4CE583CC" w14:textId="77777777" w:rsidR="00D627B8" w:rsidRDefault="00D627B8" w:rsidP="00841545">
      <w:pPr>
        <w:ind w:firstLine="720"/>
      </w:pPr>
    </w:p>
    <w:p w14:paraId="78FAEA82" w14:textId="77777777" w:rsidR="00D627B8" w:rsidRDefault="00D627B8" w:rsidP="00841545">
      <w:pPr>
        <w:ind w:firstLine="720"/>
      </w:pPr>
    </w:p>
    <w:p w14:paraId="1A545242" w14:textId="77777777" w:rsidR="00D627B8" w:rsidRDefault="00D627B8" w:rsidP="00841545">
      <w:pPr>
        <w:ind w:firstLine="720"/>
      </w:pPr>
    </w:p>
    <w:p w14:paraId="6AE269A0" w14:textId="77777777" w:rsidR="00D627B8" w:rsidRDefault="00D627B8" w:rsidP="00841545">
      <w:pPr>
        <w:ind w:firstLine="720"/>
      </w:pPr>
    </w:p>
    <w:p w14:paraId="5BB4B04D" w14:textId="77777777" w:rsidR="00D627B8" w:rsidRDefault="00D627B8" w:rsidP="00841545">
      <w:pPr>
        <w:ind w:firstLine="720"/>
      </w:pPr>
    </w:p>
    <w:p w14:paraId="4D3C8E0C" w14:textId="77777777" w:rsidR="00D627B8" w:rsidRDefault="00D627B8" w:rsidP="00841545">
      <w:pPr>
        <w:ind w:firstLine="720"/>
      </w:pPr>
    </w:p>
    <w:p w14:paraId="674CA39F" w14:textId="77777777" w:rsidR="00D627B8" w:rsidRDefault="00D627B8" w:rsidP="00841545">
      <w:pPr>
        <w:ind w:firstLine="720"/>
      </w:pPr>
    </w:p>
    <w:p w14:paraId="36A1CE5E" w14:textId="77777777" w:rsidR="00D627B8" w:rsidRDefault="00D627B8" w:rsidP="00841545">
      <w:pPr>
        <w:ind w:firstLine="720"/>
      </w:pPr>
    </w:p>
    <w:p w14:paraId="7D885B40" w14:textId="77777777" w:rsidR="00D627B8" w:rsidRDefault="00D627B8" w:rsidP="00841545">
      <w:pPr>
        <w:ind w:firstLine="720"/>
      </w:pPr>
    </w:p>
    <w:p w14:paraId="04C73197" w14:textId="77777777" w:rsidR="0038001C" w:rsidRDefault="0038001C" w:rsidP="00841545">
      <w:pPr>
        <w:ind w:firstLine="720"/>
      </w:pPr>
    </w:p>
    <w:p w14:paraId="11AF25F0" w14:textId="77777777" w:rsidR="0038001C" w:rsidRDefault="0038001C" w:rsidP="00841545">
      <w:pPr>
        <w:ind w:firstLine="720"/>
      </w:pPr>
    </w:p>
    <w:p w14:paraId="005560E6" w14:textId="77777777" w:rsidR="0038001C" w:rsidRDefault="0038001C" w:rsidP="00841545">
      <w:pPr>
        <w:ind w:firstLine="720"/>
      </w:pPr>
    </w:p>
    <w:p w14:paraId="688BEBC8" w14:textId="77777777" w:rsidR="0038001C" w:rsidRDefault="0038001C" w:rsidP="00841545">
      <w:pPr>
        <w:ind w:firstLine="720"/>
      </w:pPr>
    </w:p>
    <w:p w14:paraId="0FA43F3D" w14:textId="77777777" w:rsidR="0038001C" w:rsidRDefault="0038001C" w:rsidP="00841545">
      <w:pPr>
        <w:ind w:firstLine="720"/>
      </w:pPr>
    </w:p>
    <w:sectPr w:rsidR="0038001C" w:rsidSect="00F55071">
      <w:headerReference w:type="default" r:id="rId8"/>
      <w:headerReference w:type="first" r:id="rId9"/>
      <w:footerReference w:type="first" r:id="rId10"/>
      <w:pgSz w:w="11907" w:h="16840" w:code="9"/>
      <w:pgMar w:top="993" w:right="851" w:bottom="709" w:left="1361" w:header="425" w:footer="25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437E4" w14:textId="77777777" w:rsidR="001432A7" w:rsidRDefault="001432A7" w:rsidP="00565577">
      <w:r>
        <w:separator/>
      </w:r>
    </w:p>
  </w:endnote>
  <w:endnote w:type="continuationSeparator" w:id="0">
    <w:p w14:paraId="1767298B" w14:textId="77777777" w:rsidR="001432A7" w:rsidRDefault="001432A7" w:rsidP="00565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7A092" w14:textId="4A96A9B6" w:rsidR="00BC75D9" w:rsidRDefault="00BC75D9" w:rsidP="00BD0A5C">
    <w:pPr>
      <w:pStyle w:val="Head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6F593" w14:textId="77777777" w:rsidR="001432A7" w:rsidRDefault="001432A7" w:rsidP="00565577">
      <w:r>
        <w:separator/>
      </w:r>
    </w:p>
  </w:footnote>
  <w:footnote w:type="continuationSeparator" w:id="0">
    <w:p w14:paraId="03633EAA" w14:textId="77777777" w:rsidR="001432A7" w:rsidRDefault="001432A7" w:rsidP="00565577">
      <w:r>
        <w:continuationSeparator/>
      </w:r>
    </w:p>
  </w:footnote>
  <w:footnote w:id="1">
    <w:p w14:paraId="5044736C" w14:textId="4A183901" w:rsidR="008D313E" w:rsidRDefault="008D313E">
      <w:pPr>
        <w:pStyle w:val="FootnoteText"/>
      </w:pPr>
      <w:r>
        <w:rPr>
          <w:rStyle w:val="FootnoteReference"/>
        </w:rPr>
        <w:footnoteRef/>
      </w:r>
      <w:r>
        <w:t xml:space="preserve"> Pieejams: </w:t>
      </w:r>
      <w:hyperlink r:id="rId1" w:history="1">
        <w:r w:rsidRPr="00230F74">
          <w:rPr>
            <w:rStyle w:val="Hyperlink"/>
          </w:rPr>
          <w:t>https://tools.csb.gov.lv/isk/lv</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9355373"/>
      <w:docPartObj>
        <w:docPartGallery w:val="Page Numbers (Top of Page)"/>
        <w:docPartUnique/>
      </w:docPartObj>
    </w:sdtPr>
    <w:sdtEndPr>
      <w:rPr>
        <w:noProof/>
      </w:rPr>
    </w:sdtEndPr>
    <w:sdtContent>
      <w:p w14:paraId="3B0CED8C" w14:textId="56E3B038" w:rsidR="00BC75D9" w:rsidRDefault="00BC75D9">
        <w:pPr>
          <w:pStyle w:val="Header"/>
          <w:jc w:val="center"/>
        </w:pPr>
        <w:r>
          <w:fldChar w:fldCharType="begin"/>
        </w:r>
        <w:r>
          <w:instrText xml:space="preserve"> PAGE   \* MERGEFORMAT </w:instrText>
        </w:r>
        <w:r>
          <w:fldChar w:fldCharType="separate"/>
        </w:r>
        <w:r w:rsidR="005843B6">
          <w:rPr>
            <w:noProof/>
          </w:rPr>
          <w:t>2</w:t>
        </w:r>
        <w:r>
          <w:rPr>
            <w:noProof/>
          </w:rPr>
          <w:fldChar w:fldCharType="end"/>
        </w:r>
      </w:p>
    </w:sdtContent>
  </w:sdt>
  <w:p w14:paraId="7A01F989" w14:textId="77777777" w:rsidR="00BC75D9" w:rsidRPr="001E77C9" w:rsidRDefault="00BC75D9">
    <w:pPr>
      <w:pStyle w:val="Heade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F6CBA" w14:textId="475608A6" w:rsidR="00BC75D9" w:rsidRDefault="00BC75D9" w:rsidP="00BD0A5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55018"/>
    <w:multiLevelType w:val="hybridMultilevel"/>
    <w:tmpl w:val="0B6EF380"/>
    <w:lvl w:ilvl="0" w:tplc="6D3C125E">
      <w:start w:val="3"/>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04321606"/>
    <w:multiLevelType w:val="hybridMultilevel"/>
    <w:tmpl w:val="82209BB2"/>
    <w:lvl w:ilvl="0" w:tplc="B86EFBA4">
      <w:start w:val="1"/>
      <w:numFmt w:val="decimal"/>
      <w:lvlText w:val="(%1)"/>
      <w:lvlJc w:val="left"/>
      <w:pPr>
        <w:ind w:left="502" w:hanging="360"/>
      </w:pPr>
      <w:rPr>
        <w:rFonts w:hint="default"/>
        <w:sz w:val="25"/>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2" w15:restartNumberingAfterBreak="0">
    <w:nsid w:val="09326542"/>
    <w:multiLevelType w:val="hybridMultilevel"/>
    <w:tmpl w:val="04DA8288"/>
    <w:lvl w:ilvl="0" w:tplc="A1C2272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9DC6E41"/>
    <w:multiLevelType w:val="hybridMultilevel"/>
    <w:tmpl w:val="15D87E0A"/>
    <w:lvl w:ilvl="0" w:tplc="AD3A34D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0A522551"/>
    <w:multiLevelType w:val="hybridMultilevel"/>
    <w:tmpl w:val="8D1046D8"/>
    <w:lvl w:ilvl="0" w:tplc="DDF0D778">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CFC519A"/>
    <w:multiLevelType w:val="hybridMultilevel"/>
    <w:tmpl w:val="AA7A7BF4"/>
    <w:lvl w:ilvl="0" w:tplc="04260019">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15:restartNumberingAfterBreak="0">
    <w:nsid w:val="12795BF1"/>
    <w:multiLevelType w:val="hybridMultilevel"/>
    <w:tmpl w:val="E992103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151F7C76"/>
    <w:multiLevelType w:val="hybridMultilevel"/>
    <w:tmpl w:val="C4545D12"/>
    <w:lvl w:ilvl="0" w:tplc="D4740D3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16C0705C"/>
    <w:multiLevelType w:val="hybridMultilevel"/>
    <w:tmpl w:val="FA74D746"/>
    <w:lvl w:ilvl="0" w:tplc="23887FE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17BF3613"/>
    <w:multiLevelType w:val="hybridMultilevel"/>
    <w:tmpl w:val="56E61D1C"/>
    <w:lvl w:ilvl="0" w:tplc="F68278C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A7D606F"/>
    <w:multiLevelType w:val="hybridMultilevel"/>
    <w:tmpl w:val="F562633C"/>
    <w:lvl w:ilvl="0" w:tplc="E326A608">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AB37ACE"/>
    <w:multiLevelType w:val="hybridMultilevel"/>
    <w:tmpl w:val="1C844630"/>
    <w:lvl w:ilvl="0" w:tplc="493CCFB0">
      <w:start w:val="4"/>
      <w:numFmt w:val="lowerLetter"/>
      <w:lvlText w:val="%1."/>
      <w:lvlJc w:val="left"/>
      <w:pPr>
        <w:ind w:left="144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D1E2F62"/>
    <w:multiLevelType w:val="hybridMultilevel"/>
    <w:tmpl w:val="7AE065D2"/>
    <w:lvl w:ilvl="0" w:tplc="1F1CFBA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20E82E45"/>
    <w:multiLevelType w:val="multilevel"/>
    <w:tmpl w:val="B364A878"/>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4" w15:restartNumberingAfterBreak="0">
    <w:nsid w:val="2288641A"/>
    <w:multiLevelType w:val="hybridMultilevel"/>
    <w:tmpl w:val="02A49C8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90557EB"/>
    <w:multiLevelType w:val="hybridMultilevel"/>
    <w:tmpl w:val="7CBA82AC"/>
    <w:lvl w:ilvl="0" w:tplc="48FC709C">
      <w:start w:val="2"/>
      <w:numFmt w:val="bullet"/>
      <w:lvlText w:val="-"/>
      <w:lvlJc w:val="left"/>
      <w:pPr>
        <w:ind w:left="720" w:hanging="360"/>
      </w:pPr>
      <w:rPr>
        <w:rFonts w:ascii="Calibri" w:eastAsiaTheme="minorEastAsia" w:hAnsi="Calibri" w:cstheme="minorBid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6" w15:restartNumberingAfterBreak="0">
    <w:nsid w:val="2AD145EB"/>
    <w:multiLevelType w:val="hybridMultilevel"/>
    <w:tmpl w:val="CE9A8FEC"/>
    <w:lvl w:ilvl="0" w:tplc="A168B79E">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2CA85F2D"/>
    <w:multiLevelType w:val="multilevel"/>
    <w:tmpl w:val="1EFCF276"/>
    <w:lvl w:ilvl="0">
      <w:start w:val="1"/>
      <w:numFmt w:val="decimal"/>
      <w:lvlText w:val="%1."/>
      <w:lvlJc w:val="left"/>
      <w:pPr>
        <w:ind w:left="720" w:hanging="360"/>
      </w:pPr>
      <w:rPr>
        <w:rFonts w:hint="default"/>
      </w:rPr>
    </w:lvl>
    <w:lvl w:ilvl="1">
      <w:start w:val="1"/>
      <w:numFmt w:val="decimal"/>
      <w:isLgl/>
      <w:lvlText w:val="%1.%2."/>
      <w:lvlJc w:val="left"/>
      <w:pPr>
        <w:ind w:left="1777"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49B5C37"/>
    <w:multiLevelType w:val="hybridMultilevel"/>
    <w:tmpl w:val="EB1A0A4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3E2006D9"/>
    <w:multiLevelType w:val="hybridMultilevel"/>
    <w:tmpl w:val="BDFC231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3FE87B28"/>
    <w:multiLevelType w:val="hybridMultilevel"/>
    <w:tmpl w:val="FDE4BB70"/>
    <w:lvl w:ilvl="0" w:tplc="C94C009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A351CD6"/>
    <w:multiLevelType w:val="hybridMultilevel"/>
    <w:tmpl w:val="A35434BC"/>
    <w:lvl w:ilvl="0" w:tplc="04260005">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B3B6C8A"/>
    <w:multiLevelType w:val="hybridMultilevel"/>
    <w:tmpl w:val="6F2ED71E"/>
    <w:lvl w:ilvl="0" w:tplc="0426000F">
      <w:start w:val="1"/>
      <w:numFmt w:val="decimal"/>
      <w:lvlText w:val="%1."/>
      <w:lvlJc w:val="left"/>
      <w:pPr>
        <w:ind w:left="720" w:hanging="360"/>
      </w:p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3" w15:restartNumberingAfterBreak="0">
    <w:nsid w:val="4CBE49DB"/>
    <w:multiLevelType w:val="multilevel"/>
    <w:tmpl w:val="5844A4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0E313F"/>
    <w:multiLevelType w:val="hybridMultilevel"/>
    <w:tmpl w:val="4CE0BC96"/>
    <w:lvl w:ilvl="0" w:tplc="6688FAC8">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E3D476C"/>
    <w:multiLevelType w:val="hybridMultilevel"/>
    <w:tmpl w:val="F2B0F896"/>
    <w:lvl w:ilvl="0" w:tplc="67405FB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F9D77D0"/>
    <w:multiLevelType w:val="hybridMultilevel"/>
    <w:tmpl w:val="156C287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028547A"/>
    <w:multiLevelType w:val="hybridMultilevel"/>
    <w:tmpl w:val="358CC9D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1493301"/>
    <w:multiLevelType w:val="hybridMultilevel"/>
    <w:tmpl w:val="F4923DF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3B5197D"/>
    <w:multiLevelType w:val="hybridMultilevel"/>
    <w:tmpl w:val="EDA8CBC6"/>
    <w:lvl w:ilvl="0" w:tplc="DE643374">
      <w:start w:val="1"/>
      <w:numFmt w:val="bullet"/>
      <w:lvlText w:val=""/>
      <w:lvlJc w:val="left"/>
      <w:pPr>
        <w:tabs>
          <w:tab w:val="num" w:pos="720"/>
        </w:tabs>
        <w:ind w:left="720" w:hanging="360"/>
      </w:pPr>
      <w:rPr>
        <w:rFonts w:ascii="Wingdings" w:hAnsi="Wingdings" w:hint="default"/>
      </w:rPr>
    </w:lvl>
    <w:lvl w:ilvl="1" w:tplc="604C9C74">
      <w:start w:val="255"/>
      <w:numFmt w:val="bullet"/>
      <w:lvlText w:val=""/>
      <w:lvlJc w:val="left"/>
      <w:pPr>
        <w:tabs>
          <w:tab w:val="num" w:pos="1440"/>
        </w:tabs>
        <w:ind w:left="1440" w:hanging="360"/>
      </w:pPr>
      <w:rPr>
        <w:rFonts w:ascii="Wingdings" w:hAnsi="Wingdings" w:hint="default"/>
      </w:rPr>
    </w:lvl>
    <w:lvl w:ilvl="2" w:tplc="B4E087C2" w:tentative="1">
      <w:start w:val="1"/>
      <w:numFmt w:val="bullet"/>
      <w:lvlText w:val=""/>
      <w:lvlJc w:val="left"/>
      <w:pPr>
        <w:tabs>
          <w:tab w:val="num" w:pos="2160"/>
        </w:tabs>
        <w:ind w:left="2160" w:hanging="360"/>
      </w:pPr>
      <w:rPr>
        <w:rFonts w:ascii="Wingdings" w:hAnsi="Wingdings" w:hint="default"/>
      </w:rPr>
    </w:lvl>
    <w:lvl w:ilvl="3" w:tplc="828E28CA" w:tentative="1">
      <w:start w:val="1"/>
      <w:numFmt w:val="bullet"/>
      <w:lvlText w:val=""/>
      <w:lvlJc w:val="left"/>
      <w:pPr>
        <w:tabs>
          <w:tab w:val="num" w:pos="2880"/>
        </w:tabs>
        <w:ind w:left="2880" w:hanging="360"/>
      </w:pPr>
      <w:rPr>
        <w:rFonts w:ascii="Wingdings" w:hAnsi="Wingdings" w:hint="default"/>
      </w:rPr>
    </w:lvl>
    <w:lvl w:ilvl="4" w:tplc="5C602BA4" w:tentative="1">
      <w:start w:val="1"/>
      <w:numFmt w:val="bullet"/>
      <w:lvlText w:val=""/>
      <w:lvlJc w:val="left"/>
      <w:pPr>
        <w:tabs>
          <w:tab w:val="num" w:pos="3600"/>
        </w:tabs>
        <w:ind w:left="3600" w:hanging="360"/>
      </w:pPr>
      <w:rPr>
        <w:rFonts w:ascii="Wingdings" w:hAnsi="Wingdings" w:hint="default"/>
      </w:rPr>
    </w:lvl>
    <w:lvl w:ilvl="5" w:tplc="981C110C" w:tentative="1">
      <w:start w:val="1"/>
      <w:numFmt w:val="bullet"/>
      <w:lvlText w:val=""/>
      <w:lvlJc w:val="left"/>
      <w:pPr>
        <w:tabs>
          <w:tab w:val="num" w:pos="4320"/>
        </w:tabs>
        <w:ind w:left="4320" w:hanging="360"/>
      </w:pPr>
      <w:rPr>
        <w:rFonts w:ascii="Wingdings" w:hAnsi="Wingdings" w:hint="default"/>
      </w:rPr>
    </w:lvl>
    <w:lvl w:ilvl="6" w:tplc="5A4C7482" w:tentative="1">
      <w:start w:val="1"/>
      <w:numFmt w:val="bullet"/>
      <w:lvlText w:val=""/>
      <w:lvlJc w:val="left"/>
      <w:pPr>
        <w:tabs>
          <w:tab w:val="num" w:pos="5040"/>
        </w:tabs>
        <w:ind w:left="5040" w:hanging="360"/>
      </w:pPr>
      <w:rPr>
        <w:rFonts w:ascii="Wingdings" w:hAnsi="Wingdings" w:hint="default"/>
      </w:rPr>
    </w:lvl>
    <w:lvl w:ilvl="7" w:tplc="13AE51E2" w:tentative="1">
      <w:start w:val="1"/>
      <w:numFmt w:val="bullet"/>
      <w:lvlText w:val=""/>
      <w:lvlJc w:val="left"/>
      <w:pPr>
        <w:tabs>
          <w:tab w:val="num" w:pos="5760"/>
        </w:tabs>
        <w:ind w:left="5760" w:hanging="360"/>
      </w:pPr>
      <w:rPr>
        <w:rFonts w:ascii="Wingdings" w:hAnsi="Wingdings" w:hint="default"/>
      </w:rPr>
    </w:lvl>
    <w:lvl w:ilvl="8" w:tplc="DC6A57C6"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6607B95"/>
    <w:multiLevelType w:val="hybridMultilevel"/>
    <w:tmpl w:val="A6E05A4A"/>
    <w:lvl w:ilvl="0" w:tplc="496C06D8">
      <w:start w:val="1"/>
      <w:numFmt w:val="bullet"/>
      <w:lvlRestart w:val="0"/>
      <w:lvlText w:val=""/>
      <w:lvlJc w:val="left"/>
      <w:pPr>
        <w:ind w:left="0" w:firstLine="705"/>
      </w:pPr>
      <w:rPr>
        <w:u w:val="none"/>
      </w:rPr>
    </w:lvl>
    <w:lvl w:ilvl="1" w:tplc="DA966260">
      <w:numFmt w:val="decimal"/>
      <w:lvlText w:val=""/>
      <w:lvlJc w:val="left"/>
    </w:lvl>
    <w:lvl w:ilvl="2" w:tplc="51F23692">
      <w:numFmt w:val="decimal"/>
      <w:lvlText w:val=""/>
      <w:lvlJc w:val="left"/>
    </w:lvl>
    <w:lvl w:ilvl="3" w:tplc="002620B0">
      <w:numFmt w:val="decimal"/>
      <w:lvlText w:val=""/>
      <w:lvlJc w:val="left"/>
    </w:lvl>
    <w:lvl w:ilvl="4" w:tplc="73C0149A">
      <w:numFmt w:val="decimal"/>
      <w:lvlText w:val=""/>
      <w:lvlJc w:val="left"/>
    </w:lvl>
    <w:lvl w:ilvl="5" w:tplc="C2FCF61A">
      <w:numFmt w:val="decimal"/>
      <w:lvlText w:val=""/>
      <w:lvlJc w:val="left"/>
    </w:lvl>
    <w:lvl w:ilvl="6" w:tplc="0FD48614">
      <w:numFmt w:val="decimal"/>
      <w:lvlText w:val=""/>
      <w:lvlJc w:val="left"/>
    </w:lvl>
    <w:lvl w:ilvl="7" w:tplc="3FA618CE">
      <w:numFmt w:val="decimal"/>
      <w:lvlText w:val=""/>
      <w:lvlJc w:val="left"/>
    </w:lvl>
    <w:lvl w:ilvl="8" w:tplc="F9083210">
      <w:numFmt w:val="decimal"/>
      <w:lvlText w:val=""/>
      <w:lvlJc w:val="left"/>
    </w:lvl>
  </w:abstractNum>
  <w:abstractNum w:abstractNumId="31" w15:restartNumberingAfterBreak="0">
    <w:nsid w:val="57B631BD"/>
    <w:multiLevelType w:val="hybridMultilevel"/>
    <w:tmpl w:val="01ECFE5A"/>
    <w:lvl w:ilvl="0" w:tplc="B5F87B48">
      <w:start w:val="2020"/>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2" w15:restartNumberingAfterBreak="0">
    <w:nsid w:val="583D68C3"/>
    <w:multiLevelType w:val="hybridMultilevel"/>
    <w:tmpl w:val="BA5848A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3" w15:restartNumberingAfterBreak="0">
    <w:nsid w:val="59A83AB6"/>
    <w:multiLevelType w:val="hybridMultilevel"/>
    <w:tmpl w:val="3522C96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4" w15:restartNumberingAfterBreak="0">
    <w:nsid w:val="5C05773E"/>
    <w:multiLevelType w:val="hybridMultilevel"/>
    <w:tmpl w:val="1B2AA22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636C6DCB"/>
    <w:multiLevelType w:val="hybridMultilevel"/>
    <w:tmpl w:val="013CA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2D3B0D"/>
    <w:multiLevelType w:val="hybridMultilevel"/>
    <w:tmpl w:val="2168FAF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7" w15:restartNumberingAfterBreak="0">
    <w:nsid w:val="735135E3"/>
    <w:multiLevelType w:val="hybridMultilevel"/>
    <w:tmpl w:val="AE92AFCA"/>
    <w:lvl w:ilvl="0" w:tplc="0426000B">
      <w:start w:val="1"/>
      <w:numFmt w:val="bullet"/>
      <w:lvlText w:val=""/>
      <w:lvlJc w:val="left"/>
      <w:pPr>
        <w:ind w:left="720" w:hanging="360"/>
      </w:pPr>
      <w:rPr>
        <w:rFonts w:ascii="Wingdings" w:hAnsi="Wingding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73D33549"/>
    <w:multiLevelType w:val="hybridMultilevel"/>
    <w:tmpl w:val="E3281AE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5965B71"/>
    <w:multiLevelType w:val="hybridMultilevel"/>
    <w:tmpl w:val="929877AE"/>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0" w15:restartNumberingAfterBreak="0">
    <w:nsid w:val="797E307D"/>
    <w:multiLevelType w:val="multilevel"/>
    <w:tmpl w:val="EE2210F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1" w15:restartNumberingAfterBreak="0">
    <w:nsid w:val="7B651889"/>
    <w:multiLevelType w:val="hybridMultilevel"/>
    <w:tmpl w:val="DEC022BE"/>
    <w:lvl w:ilvl="0" w:tplc="F58C85AE">
      <w:start w:val="1"/>
      <w:numFmt w:val="lowerLetter"/>
      <w:lvlText w:val="%1."/>
      <w:lvlJc w:val="left"/>
      <w:pPr>
        <w:ind w:left="144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E721DF5"/>
    <w:multiLevelType w:val="hybridMultilevel"/>
    <w:tmpl w:val="A42EECE2"/>
    <w:lvl w:ilvl="0" w:tplc="C8C6C748">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27088892">
    <w:abstractNumId w:val="26"/>
  </w:num>
  <w:num w:numId="2" w16cid:durableId="884947477">
    <w:abstractNumId w:val="36"/>
  </w:num>
  <w:num w:numId="3" w16cid:durableId="532691395">
    <w:abstractNumId w:val="6"/>
  </w:num>
  <w:num w:numId="4" w16cid:durableId="2754550">
    <w:abstractNumId w:val="39"/>
  </w:num>
  <w:num w:numId="5" w16cid:durableId="439762374">
    <w:abstractNumId w:val="28"/>
  </w:num>
  <w:num w:numId="6" w16cid:durableId="388842372">
    <w:abstractNumId w:val="1"/>
  </w:num>
  <w:num w:numId="7" w16cid:durableId="2037660820">
    <w:abstractNumId w:val="25"/>
  </w:num>
  <w:num w:numId="8" w16cid:durableId="1845784155">
    <w:abstractNumId w:val="2"/>
  </w:num>
  <w:num w:numId="9" w16cid:durableId="1964073331">
    <w:abstractNumId w:val="9"/>
  </w:num>
  <w:num w:numId="10" w16cid:durableId="794064123">
    <w:abstractNumId w:val="19"/>
  </w:num>
  <w:num w:numId="11" w16cid:durableId="1671637101">
    <w:abstractNumId w:val="20"/>
  </w:num>
  <w:num w:numId="12" w16cid:durableId="331840875">
    <w:abstractNumId w:val="27"/>
  </w:num>
  <w:num w:numId="13" w16cid:durableId="1437867263">
    <w:abstractNumId w:val="32"/>
  </w:num>
  <w:num w:numId="14" w16cid:durableId="1916934575">
    <w:abstractNumId w:val="23"/>
  </w:num>
  <w:num w:numId="15" w16cid:durableId="1393652486">
    <w:abstractNumId w:val="29"/>
  </w:num>
  <w:num w:numId="16" w16cid:durableId="290401683">
    <w:abstractNumId w:val="18"/>
  </w:num>
  <w:num w:numId="17" w16cid:durableId="1539513968">
    <w:abstractNumId w:val="15"/>
  </w:num>
  <w:num w:numId="18" w16cid:durableId="945191859">
    <w:abstractNumId w:val="22"/>
    <w:lvlOverride w:ilvl="0">
      <w:startOverride w:val="1"/>
    </w:lvlOverride>
    <w:lvlOverride w:ilvl="1"/>
    <w:lvlOverride w:ilvl="2"/>
    <w:lvlOverride w:ilvl="3"/>
    <w:lvlOverride w:ilvl="4"/>
    <w:lvlOverride w:ilvl="5"/>
    <w:lvlOverride w:ilvl="6"/>
    <w:lvlOverride w:ilvl="7"/>
    <w:lvlOverride w:ilvl="8"/>
  </w:num>
  <w:num w:numId="19" w16cid:durableId="1697266375">
    <w:abstractNumId w:val="38"/>
  </w:num>
  <w:num w:numId="20" w16cid:durableId="1333410672">
    <w:abstractNumId w:val="4"/>
  </w:num>
  <w:num w:numId="21" w16cid:durableId="1455057475">
    <w:abstractNumId w:val="24"/>
  </w:num>
  <w:num w:numId="22" w16cid:durableId="1228540254">
    <w:abstractNumId w:val="35"/>
  </w:num>
  <w:num w:numId="23" w16cid:durableId="664095715">
    <w:abstractNumId w:val="7"/>
  </w:num>
  <w:num w:numId="24" w16cid:durableId="1807772679">
    <w:abstractNumId w:val="31"/>
  </w:num>
  <w:num w:numId="25" w16cid:durableId="1861817068">
    <w:abstractNumId w:val="8"/>
  </w:num>
  <w:num w:numId="26" w16cid:durableId="1693413573">
    <w:abstractNumId w:val="17"/>
  </w:num>
  <w:num w:numId="27" w16cid:durableId="1603104124">
    <w:abstractNumId w:val="42"/>
  </w:num>
  <w:num w:numId="28" w16cid:durableId="101844911">
    <w:abstractNumId w:val="12"/>
  </w:num>
  <w:num w:numId="29" w16cid:durableId="2111005750">
    <w:abstractNumId w:val="3"/>
  </w:num>
  <w:num w:numId="30" w16cid:durableId="2025325545">
    <w:abstractNumId w:val="21"/>
  </w:num>
  <w:num w:numId="31" w16cid:durableId="553009311">
    <w:abstractNumId w:val="34"/>
  </w:num>
  <w:num w:numId="32" w16cid:durableId="2084597038">
    <w:abstractNumId w:val="14"/>
  </w:num>
  <w:num w:numId="33" w16cid:durableId="1271547635">
    <w:abstractNumId w:val="0"/>
  </w:num>
  <w:num w:numId="34" w16cid:durableId="816873358">
    <w:abstractNumId w:val="33"/>
  </w:num>
  <w:num w:numId="35" w16cid:durableId="1325547792">
    <w:abstractNumId w:val="10"/>
  </w:num>
  <w:num w:numId="36" w16cid:durableId="1405102961">
    <w:abstractNumId w:val="37"/>
  </w:num>
  <w:num w:numId="37" w16cid:durableId="589195911">
    <w:abstractNumId w:val="16"/>
  </w:num>
  <w:num w:numId="38" w16cid:durableId="1766920647">
    <w:abstractNumId w:val="5"/>
  </w:num>
  <w:num w:numId="39" w16cid:durableId="1798716168">
    <w:abstractNumId w:val="41"/>
  </w:num>
  <w:num w:numId="40" w16cid:durableId="2030789064">
    <w:abstractNumId w:val="11"/>
  </w:num>
  <w:num w:numId="41" w16cid:durableId="806094902">
    <w:abstractNumId w:val="40"/>
  </w:num>
  <w:num w:numId="42" w16cid:durableId="546572576">
    <w:abstractNumId w:val="13"/>
  </w:num>
  <w:num w:numId="43" w16cid:durableId="202166329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2B9"/>
    <w:rsid w:val="00000A3F"/>
    <w:rsid w:val="0000316C"/>
    <w:rsid w:val="00004060"/>
    <w:rsid w:val="00005839"/>
    <w:rsid w:val="00005CF4"/>
    <w:rsid w:val="000064B3"/>
    <w:rsid w:val="00007238"/>
    <w:rsid w:val="000072F5"/>
    <w:rsid w:val="00007539"/>
    <w:rsid w:val="0001049F"/>
    <w:rsid w:val="00011746"/>
    <w:rsid w:val="00017727"/>
    <w:rsid w:val="00020361"/>
    <w:rsid w:val="00020D02"/>
    <w:rsid w:val="00021761"/>
    <w:rsid w:val="0003650A"/>
    <w:rsid w:val="00041140"/>
    <w:rsid w:val="0004197A"/>
    <w:rsid w:val="00043A08"/>
    <w:rsid w:val="0004411C"/>
    <w:rsid w:val="000457E8"/>
    <w:rsid w:val="00052E16"/>
    <w:rsid w:val="000568F8"/>
    <w:rsid w:val="000576FC"/>
    <w:rsid w:val="00060742"/>
    <w:rsid w:val="00061EF8"/>
    <w:rsid w:val="00064559"/>
    <w:rsid w:val="000652AB"/>
    <w:rsid w:val="00065A9F"/>
    <w:rsid w:val="000668F5"/>
    <w:rsid w:val="00071ACD"/>
    <w:rsid w:val="00072F69"/>
    <w:rsid w:val="00073007"/>
    <w:rsid w:val="00075BD6"/>
    <w:rsid w:val="000762AB"/>
    <w:rsid w:val="0008588B"/>
    <w:rsid w:val="00085B55"/>
    <w:rsid w:val="00090411"/>
    <w:rsid w:val="00090FC1"/>
    <w:rsid w:val="00092055"/>
    <w:rsid w:val="00092DFF"/>
    <w:rsid w:val="00095723"/>
    <w:rsid w:val="000963F5"/>
    <w:rsid w:val="00096DB2"/>
    <w:rsid w:val="000A1755"/>
    <w:rsid w:val="000A3DEE"/>
    <w:rsid w:val="000A7521"/>
    <w:rsid w:val="000B3354"/>
    <w:rsid w:val="000B3686"/>
    <w:rsid w:val="000B5364"/>
    <w:rsid w:val="000B548A"/>
    <w:rsid w:val="000B7CEB"/>
    <w:rsid w:val="000B7CF9"/>
    <w:rsid w:val="000C3412"/>
    <w:rsid w:val="000D175A"/>
    <w:rsid w:val="000D21A6"/>
    <w:rsid w:val="000D4CC1"/>
    <w:rsid w:val="000D7939"/>
    <w:rsid w:val="000E3A7A"/>
    <w:rsid w:val="000E484E"/>
    <w:rsid w:val="000E4F3C"/>
    <w:rsid w:val="000F11FF"/>
    <w:rsid w:val="000F21FD"/>
    <w:rsid w:val="000F3C2E"/>
    <w:rsid w:val="000F5922"/>
    <w:rsid w:val="000F7814"/>
    <w:rsid w:val="00100424"/>
    <w:rsid w:val="001048EF"/>
    <w:rsid w:val="00106053"/>
    <w:rsid w:val="00106722"/>
    <w:rsid w:val="0011347A"/>
    <w:rsid w:val="00122EDB"/>
    <w:rsid w:val="001244BF"/>
    <w:rsid w:val="0012582A"/>
    <w:rsid w:val="0012640D"/>
    <w:rsid w:val="0013213F"/>
    <w:rsid w:val="00132DFF"/>
    <w:rsid w:val="00132F6D"/>
    <w:rsid w:val="001356E4"/>
    <w:rsid w:val="00141C9F"/>
    <w:rsid w:val="0014235B"/>
    <w:rsid w:val="001428D1"/>
    <w:rsid w:val="001432A7"/>
    <w:rsid w:val="001432A9"/>
    <w:rsid w:val="001455F1"/>
    <w:rsid w:val="00145F1E"/>
    <w:rsid w:val="00146852"/>
    <w:rsid w:val="001469FB"/>
    <w:rsid w:val="00147DC9"/>
    <w:rsid w:val="00152B2A"/>
    <w:rsid w:val="00155491"/>
    <w:rsid w:val="00155C2E"/>
    <w:rsid w:val="00160609"/>
    <w:rsid w:val="00162D1E"/>
    <w:rsid w:val="00164DBE"/>
    <w:rsid w:val="001662A7"/>
    <w:rsid w:val="001674B6"/>
    <w:rsid w:val="00171E8D"/>
    <w:rsid w:val="00173574"/>
    <w:rsid w:val="00175DAB"/>
    <w:rsid w:val="00175EFF"/>
    <w:rsid w:val="001813D3"/>
    <w:rsid w:val="0018305F"/>
    <w:rsid w:val="00184885"/>
    <w:rsid w:val="001907B7"/>
    <w:rsid w:val="00190FFF"/>
    <w:rsid w:val="001A15F3"/>
    <w:rsid w:val="001A1F9F"/>
    <w:rsid w:val="001A277C"/>
    <w:rsid w:val="001B12DC"/>
    <w:rsid w:val="001B1C7F"/>
    <w:rsid w:val="001B45C8"/>
    <w:rsid w:val="001B4A9E"/>
    <w:rsid w:val="001B4AA3"/>
    <w:rsid w:val="001B6027"/>
    <w:rsid w:val="001B7815"/>
    <w:rsid w:val="001B7E92"/>
    <w:rsid w:val="001C106E"/>
    <w:rsid w:val="001C5C28"/>
    <w:rsid w:val="001D0187"/>
    <w:rsid w:val="001D0215"/>
    <w:rsid w:val="001D155C"/>
    <w:rsid w:val="001D2980"/>
    <w:rsid w:val="001E2840"/>
    <w:rsid w:val="001E2CFD"/>
    <w:rsid w:val="001E4FA2"/>
    <w:rsid w:val="001E5953"/>
    <w:rsid w:val="001E77C9"/>
    <w:rsid w:val="001F0AC1"/>
    <w:rsid w:val="001F0B91"/>
    <w:rsid w:val="001F2716"/>
    <w:rsid w:val="001F2D9C"/>
    <w:rsid w:val="001F52C7"/>
    <w:rsid w:val="001F5DD3"/>
    <w:rsid w:val="00202F54"/>
    <w:rsid w:val="002034DB"/>
    <w:rsid w:val="00203CB2"/>
    <w:rsid w:val="00205E43"/>
    <w:rsid w:val="00206AE7"/>
    <w:rsid w:val="00215128"/>
    <w:rsid w:val="002160A7"/>
    <w:rsid w:val="00216AE2"/>
    <w:rsid w:val="002228FB"/>
    <w:rsid w:val="00224283"/>
    <w:rsid w:val="00224E49"/>
    <w:rsid w:val="00226A8B"/>
    <w:rsid w:val="00227ED3"/>
    <w:rsid w:val="00234BE0"/>
    <w:rsid w:val="0024574C"/>
    <w:rsid w:val="00245CA9"/>
    <w:rsid w:val="00252E7B"/>
    <w:rsid w:val="002544D4"/>
    <w:rsid w:val="00256F00"/>
    <w:rsid w:val="0025784A"/>
    <w:rsid w:val="002635B9"/>
    <w:rsid w:val="00265DD5"/>
    <w:rsid w:val="00266A60"/>
    <w:rsid w:val="002727E9"/>
    <w:rsid w:val="002742E1"/>
    <w:rsid w:val="00275555"/>
    <w:rsid w:val="002762B7"/>
    <w:rsid w:val="00276734"/>
    <w:rsid w:val="00277595"/>
    <w:rsid w:val="002816C1"/>
    <w:rsid w:val="00282BB8"/>
    <w:rsid w:val="00287E4C"/>
    <w:rsid w:val="002A28E8"/>
    <w:rsid w:val="002A3F48"/>
    <w:rsid w:val="002A5A9E"/>
    <w:rsid w:val="002A5AF7"/>
    <w:rsid w:val="002A70BF"/>
    <w:rsid w:val="002A7793"/>
    <w:rsid w:val="002B1230"/>
    <w:rsid w:val="002B16B5"/>
    <w:rsid w:val="002B3532"/>
    <w:rsid w:val="002B488F"/>
    <w:rsid w:val="002C1782"/>
    <w:rsid w:val="002C4DB9"/>
    <w:rsid w:val="002D3CAF"/>
    <w:rsid w:val="002D468D"/>
    <w:rsid w:val="002D539C"/>
    <w:rsid w:val="002E1715"/>
    <w:rsid w:val="002E1B55"/>
    <w:rsid w:val="002E1C44"/>
    <w:rsid w:val="002E4533"/>
    <w:rsid w:val="002E4B6C"/>
    <w:rsid w:val="002E7AA7"/>
    <w:rsid w:val="002F347D"/>
    <w:rsid w:val="002F52CA"/>
    <w:rsid w:val="002F7880"/>
    <w:rsid w:val="00300586"/>
    <w:rsid w:val="00303AA7"/>
    <w:rsid w:val="00317289"/>
    <w:rsid w:val="00317D12"/>
    <w:rsid w:val="0032070F"/>
    <w:rsid w:val="003229DD"/>
    <w:rsid w:val="00323277"/>
    <w:rsid w:val="00323804"/>
    <w:rsid w:val="003266EA"/>
    <w:rsid w:val="003274E6"/>
    <w:rsid w:val="00330E34"/>
    <w:rsid w:val="00331263"/>
    <w:rsid w:val="003315A7"/>
    <w:rsid w:val="00331D5E"/>
    <w:rsid w:val="00332F41"/>
    <w:rsid w:val="00341442"/>
    <w:rsid w:val="00343ABC"/>
    <w:rsid w:val="00344640"/>
    <w:rsid w:val="00345CE5"/>
    <w:rsid w:val="003464F9"/>
    <w:rsid w:val="00346A30"/>
    <w:rsid w:val="00351393"/>
    <w:rsid w:val="0035166B"/>
    <w:rsid w:val="0035251E"/>
    <w:rsid w:val="00354350"/>
    <w:rsid w:val="00354434"/>
    <w:rsid w:val="00354A4A"/>
    <w:rsid w:val="00356520"/>
    <w:rsid w:val="00363CA6"/>
    <w:rsid w:val="003647A4"/>
    <w:rsid w:val="003701E2"/>
    <w:rsid w:val="00370562"/>
    <w:rsid w:val="00372043"/>
    <w:rsid w:val="00373AD0"/>
    <w:rsid w:val="003757F3"/>
    <w:rsid w:val="003766DA"/>
    <w:rsid w:val="0038001C"/>
    <w:rsid w:val="003820A8"/>
    <w:rsid w:val="00383E5E"/>
    <w:rsid w:val="00383FF8"/>
    <w:rsid w:val="0038523A"/>
    <w:rsid w:val="00386298"/>
    <w:rsid w:val="0039064E"/>
    <w:rsid w:val="00390A5F"/>
    <w:rsid w:val="00391A97"/>
    <w:rsid w:val="00392180"/>
    <w:rsid w:val="00392307"/>
    <w:rsid w:val="0039362D"/>
    <w:rsid w:val="00393E5B"/>
    <w:rsid w:val="003A0E0D"/>
    <w:rsid w:val="003A6DD8"/>
    <w:rsid w:val="003A782A"/>
    <w:rsid w:val="003B2B41"/>
    <w:rsid w:val="003B30AF"/>
    <w:rsid w:val="003C621C"/>
    <w:rsid w:val="003D0810"/>
    <w:rsid w:val="003D1DAC"/>
    <w:rsid w:val="003D4CE0"/>
    <w:rsid w:val="003D7EDD"/>
    <w:rsid w:val="003E6334"/>
    <w:rsid w:val="003F0305"/>
    <w:rsid w:val="003F0AE6"/>
    <w:rsid w:val="003F2814"/>
    <w:rsid w:val="00400C93"/>
    <w:rsid w:val="00406465"/>
    <w:rsid w:val="004070A2"/>
    <w:rsid w:val="004112DC"/>
    <w:rsid w:val="004123EE"/>
    <w:rsid w:val="00412C5E"/>
    <w:rsid w:val="00412D6C"/>
    <w:rsid w:val="00414F81"/>
    <w:rsid w:val="004174DE"/>
    <w:rsid w:val="00417B1D"/>
    <w:rsid w:val="00420243"/>
    <w:rsid w:val="004219F7"/>
    <w:rsid w:val="00422A56"/>
    <w:rsid w:val="0042332F"/>
    <w:rsid w:val="004256FF"/>
    <w:rsid w:val="0042627D"/>
    <w:rsid w:val="00427D17"/>
    <w:rsid w:val="0043513E"/>
    <w:rsid w:val="00436772"/>
    <w:rsid w:val="004367D9"/>
    <w:rsid w:val="00440CF5"/>
    <w:rsid w:val="0044126B"/>
    <w:rsid w:val="004416C7"/>
    <w:rsid w:val="00445931"/>
    <w:rsid w:val="0044679A"/>
    <w:rsid w:val="00446FFE"/>
    <w:rsid w:val="00452531"/>
    <w:rsid w:val="004575A7"/>
    <w:rsid w:val="00461253"/>
    <w:rsid w:val="00463982"/>
    <w:rsid w:val="00464ACF"/>
    <w:rsid w:val="00464DFA"/>
    <w:rsid w:val="00467210"/>
    <w:rsid w:val="00471C22"/>
    <w:rsid w:val="00472698"/>
    <w:rsid w:val="00475ACD"/>
    <w:rsid w:val="004827C2"/>
    <w:rsid w:val="0048342D"/>
    <w:rsid w:val="00483D0F"/>
    <w:rsid w:val="00485EE8"/>
    <w:rsid w:val="00487A99"/>
    <w:rsid w:val="00487FD0"/>
    <w:rsid w:val="004916B9"/>
    <w:rsid w:val="004950AE"/>
    <w:rsid w:val="00496CCF"/>
    <w:rsid w:val="004A21E3"/>
    <w:rsid w:val="004A4A48"/>
    <w:rsid w:val="004A7E42"/>
    <w:rsid w:val="004C5643"/>
    <w:rsid w:val="004D3A89"/>
    <w:rsid w:val="004D57BD"/>
    <w:rsid w:val="004D5D80"/>
    <w:rsid w:val="004E01B9"/>
    <w:rsid w:val="004E12C3"/>
    <w:rsid w:val="004E3541"/>
    <w:rsid w:val="004E3750"/>
    <w:rsid w:val="004E75EF"/>
    <w:rsid w:val="004F28E6"/>
    <w:rsid w:val="004F31F4"/>
    <w:rsid w:val="004F5455"/>
    <w:rsid w:val="00502DC5"/>
    <w:rsid w:val="00504C47"/>
    <w:rsid w:val="00506C43"/>
    <w:rsid w:val="00510F66"/>
    <w:rsid w:val="00511DC7"/>
    <w:rsid w:val="00512E6E"/>
    <w:rsid w:val="00515584"/>
    <w:rsid w:val="005164E1"/>
    <w:rsid w:val="00520940"/>
    <w:rsid w:val="00523917"/>
    <w:rsid w:val="00525B62"/>
    <w:rsid w:val="00525CD6"/>
    <w:rsid w:val="005271AE"/>
    <w:rsid w:val="00527359"/>
    <w:rsid w:val="00534AB0"/>
    <w:rsid w:val="005365E2"/>
    <w:rsid w:val="00540A42"/>
    <w:rsid w:val="00546384"/>
    <w:rsid w:val="005466D6"/>
    <w:rsid w:val="00550085"/>
    <w:rsid w:val="0055268B"/>
    <w:rsid w:val="00565577"/>
    <w:rsid w:val="005669A1"/>
    <w:rsid w:val="00566C6A"/>
    <w:rsid w:val="00570575"/>
    <w:rsid w:val="00573C1F"/>
    <w:rsid w:val="00576983"/>
    <w:rsid w:val="0058144F"/>
    <w:rsid w:val="00582A9E"/>
    <w:rsid w:val="00582D1A"/>
    <w:rsid w:val="005843B6"/>
    <w:rsid w:val="005850EF"/>
    <w:rsid w:val="005859CA"/>
    <w:rsid w:val="00590A7E"/>
    <w:rsid w:val="00591025"/>
    <w:rsid w:val="00591EB0"/>
    <w:rsid w:val="00597206"/>
    <w:rsid w:val="005A0091"/>
    <w:rsid w:val="005A313D"/>
    <w:rsid w:val="005A5747"/>
    <w:rsid w:val="005B1701"/>
    <w:rsid w:val="005B553C"/>
    <w:rsid w:val="005C307C"/>
    <w:rsid w:val="005C3CE6"/>
    <w:rsid w:val="005C5DB1"/>
    <w:rsid w:val="005C6E06"/>
    <w:rsid w:val="005D141F"/>
    <w:rsid w:val="005D19CD"/>
    <w:rsid w:val="005D2D47"/>
    <w:rsid w:val="005D4A8B"/>
    <w:rsid w:val="005D592D"/>
    <w:rsid w:val="005D6A79"/>
    <w:rsid w:val="005E0D52"/>
    <w:rsid w:val="005E12E8"/>
    <w:rsid w:val="005E27B5"/>
    <w:rsid w:val="005E3121"/>
    <w:rsid w:val="005E313A"/>
    <w:rsid w:val="005E5BDD"/>
    <w:rsid w:val="005E608C"/>
    <w:rsid w:val="005E65B3"/>
    <w:rsid w:val="005E7B56"/>
    <w:rsid w:val="005F2DB6"/>
    <w:rsid w:val="005F51DE"/>
    <w:rsid w:val="005F59E9"/>
    <w:rsid w:val="005F7636"/>
    <w:rsid w:val="006004B4"/>
    <w:rsid w:val="0060617A"/>
    <w:rsid w:val="00607BC1"/>
    <w:rsid w:val="00610C0A"/>
    <w:rsid w:val="00611B9B"/>
    <w:rsid w:val="00614024"/>
    <w:rsid w:val="00615221"/>
    <w:rsid w:val="006152F4"/>
    <w:rsid w:val="00616BB2"/>
    <w:rsid w:val="006176EF"/>
    <w:rsid w:val="00617C4B"/>
    <w:rsid w:val="00621D1B"/>
    <w:rsid w:val="00621D82"/>
    <w:rsid w:val="00624AE8"/>
    <w:rsid w:val="00626696"/>
    <w:rsid w:val="00634E40"/>
    <w:rsid w:val="006371ED"/>
    <w:rsid w:val="006378AA"/>
    <w:rsid w:val="00642F66"/>
    <w:rsid w:val="006449D4"/>
    <w:rsid w:val="00645298"/>
    <w:rsid w:val="00645C11"/>
    <w:rsid w:val="00645D93"/>
    <w:rsid w:val="00646998"/>
    <w:rsid w:val="00652A39"/>
    <w:rsid w:val="00653CA4"/>
    <w:rsid w:val="006556D5"/>
    <w:rsid w:val="006579A5"/>
    <w:rsid w:val="00657EDF"/>
    <w:rsid w:val="0066034F"/>
    <w:rsid w:val="00661BF1"/>
    <w:rsid w:val="0066346B"/>
    <w:rsid w:val="0066374F"/>
    <w:rsid w:val="00664700"/>
    <w:rsid w:val="0066605D"/>
    <w:rsid w:val="00666FCF"/>
    <w:rsid w:val="0067249A"/>
    <w:rsid w:val="006728FC"/>
    <w:rsid w:val="00676911"/>
    <w:rsid w:val="00677E52"/>
    <w:rsid w:val="00686F46"/>
    <w:rsid w:val="00687D40"/>
    <w:rsid w:val="006910C3"/>
    <w:rsid w:val="00691F43"/>
    <w:rsid w:val="00692057"/>
    <w:rsid w:val="00692C3B"/>
    <w:rsid w:val="0069352A"/>
    <w:rsid w:val="00693E43"/>
    <w:rsid w:val="006974F3"/>
    <w:rsid w:val="006A1265"/>
    <w:rsid w:val="006B120C"/>
    <w:rsid w:val="006B7900"/>
    <w:rsid w:val="006C0607"/>
    <w:rsid w:val="006C2C0A"/>
    <w:rsid w:val="006C380B"/>
    <w:rsid w:val="006D2C60"/>
    <w:rsid w:val="006D5DEC"/>
    <w:rsid w:val="006D7085"/>
    <w:rsid w:val="006D7747"/>
    <w:rsid w:val="006E5F16"/>
    <w:rsid w:val="006E69CF"/>
    <w:rsid w:val="00702DBD"/>
    <w:rsid w:val="007040B5"/>
    <w:rsid w:val="00717B69"/>
    <w:rsid w:val="00723D85"/>
    <w:rsid w:val="00724102"/>
    <w:rsid w:val="00724668"/>
    <w:rsid w:val="00726115"/>
    <w:rsid w:val="00726265"/>
    <w:rsid w:val="00726DAF"/>
    <w:rsid w:val="00733F0C"/>
    <w:rsid w:val="00734182"/>
    <w:rsid w:val="0074495F"/>
    <w:rsid w:val="0074518C"/>
    <w:rsid w:val="0074716C"/>
    <w:rsid w:val="00747D14"/>
    <w:rsid w:val="00750BBF"/>
    <w:rsid w:val="007516D3"/>
    <w:rsid w:val="00756A39"/>
    <w:rsid w:val="00756A56"/>
    <w:rsid w:val="00756B90"/>
    <w:rsid w:val="00756FF0"/>
    <w:rsid w:val="00760283"/>
    <w:rsid w:val="007654DF"/>
    <w:rsid w:val="00766D31"/>
    <w:rsid w:val="00767930"/>
    <w:rsid w:val="00772938"/>
    <w:rsid w:val="007736BD"/>
    <w:rsid w:val="007754A9"/>
    <w:rsid w:val="0078262E"/>
    <w:rsid w:val="00784B76"/>
    <w:rsid w:val="00785B6A"/>
    <w:rsid w:val="00785B71"/>
    <w:rsid w:val="00785D56"/>
    <w:rsid w:val="007867BA"/>
    <w:rsid w:val="007908C3"/>
    <w:rsid w:val="0079149A"/>
    <w:rsid w:val="007942B9"/>
    <w:rsid w:val="00794693"/>
    <w:rsid w:val="007A4A77"/>
    <w:rsid w:val="007A51FD"/>
    <w:rsid w:val="007A5891"/>
    <w:rsid w:val="007A6DFC"/>
    <w:rsid w:val="007B20D7"/>
    <w:rsid w:val="007B3E68"/>
    <w:rsid w:val="007B6003"/>
    <w:rsid w:val="007B6ACB"/>
    <w:rsid w:val="007B6F07"/>
    <w:rsid w:val="007C0CAD"/>
    <w:rsid w:val="007C1287"/>
    <w:rsid w:val="007C3727"/>
    <w:rsid w:val="007C3EDF"/>
    <w:rsid w:val="007C7D76"/>
    <w:rsid w:val="007D177D"/>
    <w:rsid w:val="007D1FF3"/>
    <w:rsid w:val="007D2315"/>
    <w:rsid w:val="007D3502"/>
    <w:rsid w:val="007D37C9"/>
    <w:rsid w:val="007D4701"/>
    <w:rsid w:val="007D4C0C"/>
    <w:rsid w:val="007D4C7A"/>
    <w:rsid w:val="007E3126"/>
    <w:rsid w:val="007E5CE1"/>
    <w:rsid w:val="007E7B2F"/>
    <w:rsid w:val="007F252F"/>
    <w:rsid w:val="007F2DF3"/>
    <w:rsid w:val="007F4E50"/>
    <w:rsid w:val="007F51E7"/>
    <w:rsid w:val="007F590E"/>
    <w:rsid w:val="008079BE"/>
    <w:rsid w:val="008157CC"/>
    <w:rsid w:val="00821854"/>
    <w:rsid w:val="00821E82"/>
    <w:rsid w:val="00827C0F"/>
    <w:rsid w:val="00841545"/>
    <w:rsid w:val="008423D9"/>
    <w:rsid w:val="008429B1"/>
    <w:rsid w:val="008457AE"/>
    <w:rsid w:val="0084753E"/>
    <w:rsid w:val="00850108"/>
    <w:rsid w:val="00850658"/>
    <w:rsid w:val="00850A03"/>
    <w:rsid w:val="00851BBB"/>
    <w:rsid w:val="00853528"/>
    <w:rsid w:val="00857736"/>
    <w:rsid w:val="00861F04"/>
    <w:rsid w:val="00864B1F"/>
    <w:rsid w:val="00870F98"/>
    <w:rsid w:val="00871454"/>
    <w:rsid w:val="00871D3B"/>
    <w:rsid w:val="00872901"/>
    <w:rsid w:val="0088158F"/>
    <w:rsid w:val="0089064C"/>
    <w:rsid w:val="00895A7E"/>
    <w:rsid w:val="00897ED2"/>
    <w:rsid w:val="008A2FEA"/>
    <w:rsid w:val="008B5B2F"/>
    <w:rsid w:val="008B74BD"/>
    <w:rsid w:val="008C07DE"/>
    <w:rsid w:val="008C081C"/>
    <w:rsid w:val="008C4D0D"/>
    <w:rsid w:val="008D301E"/>
    <w:rsid w:val="008D313E"/>
    <w:rsid w:val="008D3B29"/>
    <w:rsid w:val="008D3E85"/>
    <w:rsid w:val="008E0785"/>
    <w:rsid w:val="008E12E6"/>
    <w:rsid w:val="008E6AEF"/>
    <w:rsid w:val="008E7237"/>
    <w:rsid w:val="008F09B8"/>
    <w:rsid w:val="008F1FB6"/>
    <w:rsid w:val="008F2D8F"/>
    <w:rsid w:val="008F326F"/>
    <w:rsid w:val="008F49F0"/>
    <w:rsid w:val="008F5621"/>
    <w:rsid w:val="008F7A85"/>
    <w:rsid w:val="008F7C79"/>
    <w:rsid w:val="009017DB"/>
    <w:rsid w:val="0090449A"/>
    <w:rsid w:val="009053E9"/>
    <w:rsid w:val="00905C8A"/>
    <w:rsid w:val="0090777F"/>
    <w:rsid w:val="009141AD"/>
    <w:rsid w:val="00914391"/>
    <w:rsid w:val="00914666"/>
    <w:rsid w:val="00917858"/>
    <w:rsid w:val="00921317"/>
    <w:rsid w:val="00923865"/>
    <w:rsid w:val="00925983"/>
    <w:rsid w:val="009279F3"/>
    <w:rsid w:val="00927E9F"/>
    <w:rsid w:val="00930C78"/>
    <w:rsid w:val="0093409F"/>
    <w:rsid w:val="00934465"/>
    <w:rsid w:val="0093551E"/>
    <w:rsid w:val="00943C33"/>
    <w:rsid w:val="00950D0E"/>
    <w:rsid w:val="00951532"/>
    <w:rsid w:val="00951833"/>
    <w:rsid w:val="00953667"/>
    <w:rsid w:val="0095562D"/>
    <w:rsid w:val="00957839"/>
    <w:rsid w:val="009713A9"/>
    <w:rsid w:val="009731CE"/>
    <w:rsid w:val="009750DB"/>
    <w:rsid w:val="009768F1"/>
    <w:rsid w:val="00977786"/>
    <w:rsid w:val="00982B45"/>
    <w:rsid w:val="009867CD"/>
    <w:rsid w:val="00991BDF"/>
    <w:rsid w:val="0099389A"/>
    <w:rsid w:val="00995D51"/>
    <w:rsid w:val="009A0DDC"/>
    <w:rsid w:val="009A3D53"/>
    <w:rsid w:val="009A7AB1"/>
    <w:rsid w:val="009B0888"/>
    <w:rsid w:val="009B0972"/>
    <w:rsid w:val="009B409B"/>
    <w:rsid w:val="009B4C91"/>
    <w:rsid w:val="009C00B4"/>
    <w:rsid w:val="009C1FDF"/>
    <w:rsid w:val="009C29A4"/>
    <w:rsid w:val="009C51C0"/>
    <w:rsid w:val="009C548D"/>
    <w:rsid w:val="009C5987"/>
    <w:rsid w:val="009C6083"/>
    <w:rsid w:val="009D088A"/>
    <w:rsid w:val="009D0BB5"/>
    <w:rsid w:val="009D2DCC"/>
    <w:rsid w:val="009D4992"/>
    <w:rsid w:val="009D4D9B"/>
    <w:rsid w:val="009E03EA"/>
    <w:rsid w:val="009E0963"/>
    <w:rsid w:val="009E0ADF"/>
    <w:rsid w:val="009E0FFF"/>
    <w:rsid w:val="009E2F85"/>
    <w:rsid w:val="009E4688"/>
    <w:rsid w:val="009E72CE"/>
    <w:rsid w:val="009E7583"/>
    <w:rsid w:val="009F0D84"/>
    <w:rsid w:val="009F1154"/>
    <w:rsid w:val="009F54C5"/>
    <w:rsid w:val="009F69B0"/>
    <w:rsid w:val="00A02F1E"/>
    <w:rsid w:val="00A042F5"/>
    <w:rsid w:val="00A118F2"/>
    <w:rsid w:val="00A15EB4"/>
    <w:rsid w:val="00A2344E"/>
    <w:rsid w:val="00A24287"/>
    <w:rsid w:val="00A24346"/>
    <w:rsid w:val="00A25CF5"/>
    <w:rsid w:val="00A2628C"/>
    <w:rsid w:val="00A35331"/>
    <w:rsid w:val="00A403A0"/>
    <w:rsid w:val="00A40CB6"/>
    <w:rsid w:val="00A4272B"/>
    <w:rsid w:val="00A431D3"/>
    <w:rsid w:val="00A4594B"/>
    <w:rsid w:val="00A5027D"/>
    <w:rsid w:val="00A50758"/>
    <w:rsid w:val="00A547BC"/>
    <w:rsid w:val="00A55F64"/>
    <w:rsid w:val="00A601A9"/>
    <w:rsid w:val="00A61692"/>
    <w:rsid w:val="00A63053"/>
    <w:rsid w:val="00A63FF8"/>
    <w:rsid w:val="00A64D29"/>
    <w:rsid w:val="00A66DF6"/>
    <w:rsid w:val="00A70C91"/>
    <w:rsid w:val="00A7642E"/>
    <w:rsid w:val="00A77641"/>
    <w:rsid w:val="00A854E5"/>
    <w:rsid w:val="00A96F8D"/>
    <w:rsid w:val="00AB0351"/>
    <w:rsid w:val="00AB0ADA"/>
    <w:rsid w:val="00AB5A16"/>
    <w:rsid w:val="00AB6770"/>
    <w:rsid w:val="00AC0AB7"/>
    <w:rsid w:val="00AC1903"/>
    <w:rsid w:val="00AC2EE4"/>
    <w:rsid w:val="00AC31F2"/>
    <w:rsid w:val="00AC6257"/>
    <w:rsid w:val="00AC6936"/>
    <w:rsid w:val="00AC74B0"/>
    <w:rsid w:val="00AF05AC"/>
    <w:rsid w:val="00AF3CD0"/>
    <w:rsid w:val="00AF6F69"/>
    <w:rsid w:val="00B02013"/>
    <w:rsid w:val="00B03E96"/>
    <w:rsid w:val="00B05FFB"/>
    <w:rsid w:val="00B103B3"/>
    <w:rsid w:val="00B10E0B"/>
    <w:rsid w:val="00B17286"/>
    <w:rsid w:val="00B17F25"/>
    <w:rsid w:val="00B2105F"/>
    <w:rsid w:val="00B27924"/>
    <w:rsid w:val="00B27B9D"/>
    <w:rsid w:val="00B27EB1"/>
    <w:rsid w:val="00B3070B"/>
    <w:rsid w:val="00B3107C"/>
    <w:rsid w:val="00B346C7"/>
    <w:rsid w:val="00B36884"/>
    <w:rsid w:val="00B425AF"/>
    <w:rsid w:val="00B436B0"/>
    <w:rsid w:val="00B43962"/>
    <w:rsid w:val="00B447F6"/>
    <w:rsid w:val="00B46286"/>
    <w:rsid w:val="00B47190"/>
    <w:rsid w:val="00B51EE7"/>
    <w:rsid w:val="00B528CA"/>
    <w:rsid w:val="00B53FF2"/>
    <w:rsid w:val="00B61229"/>
    <w:rsid w:val="00B61958"/>
    <w:rsid w:val="00B6216D"/>
    <w:rsid w:val="00B62840"/>
    <w:rsid w:val="00B631BE"/>
    <w:rsid w:val="00B63FC9"/>
    <w:rsid w:val="00B65A4B"/>
    <w:rsid w:val="00B65E8D"/>
    <w:rsid w:val="00B67B3A"/>
    <w:rsid w:val="00B67D03"/>
    <w:rsid w:val="00B71E0B"/>
    <w:rsid w:val="00B726D9"/>
    <w:rsid w:val="00B76CE9"/>
    <w:rsid w:val="00B773DF"/>
    <w:rsid w:val="00B81CD4"/>
    <w:rsid w:val="00B83708"/>
    <w:rsid w:val="00B8430A"/>
    <w:rsid w:val="00B84751"/>
    <w:rsid w:val="00B861B7"/>
    <w:rsid w:val="00B86A5E"/>
    <w:rsid w:val="00B9062D"/>
    <w:rsid w:val="00B95EEE"/>
    <w:rsid w:val="00BA77FB"/>
    <w:rsid w:val="00BB0CC1"/>
    <w:rsid w:val="00BB18C0"/>
    <w:rsid w:val="00BB4538"/>
    <w:rsid w:val="00BB45C2"/>
    <w:rsid w:val="00BC0E45"/>
    <w:rsid w:val="00BC4F3F"/>
    <w:rsid w:val="00BC5A0F"/>
    <w:rsid w:val="00BC75D9"/>
    <w:rsid w:val="00BC7DDD"/>
    <w:rsid w:val="00BD0A5C"/>
    <w:rsid w:val="00BD2D52"/>
    <w:rsid w:val="00BD3AB8"/>
    <w:rsid w:val="00BD5EBE"/>
    <w:rsid w:val="00BD6071"/>
    <w:rsid w:val="00BE2226"/>
    <w:rsid w:val="00BE44D8"/>
    <w:rsid w:val="00BF0976"/>
    <w:rsid w:val="00BF0B20"/>
    <w:rsid w:val="00BF2AB6"/>
    <w:rsid w:val="00BF532A"/>
    <w:rsid w:val="00C01F1C"/>
    <w:rsid w:val="00C020D2"/>
    <w:rsid w:val="00C10150"/>
    <w:rsid w:val="00C12558"/>
    <w:rsid w:val="00C12EC3"/>
    <w:rsid w:val="00C14FB5"/>
    <w:rsid w:val="00C15C40"/>
    <w:rsid w:val="00C16BD2"/>
    <w:rsid w:val="00C17AC2"/>
    <w:rsid w:val="00C2105D"/>
    <w:rsid w:val="00C27CBB"/>
    <w:rsid w:val="00C30BDB"/>
    <w:rsid w:val="00C326BD"/>
    <w:rsid w:val="00C35C51"/>
    <w:rsid w:val="00C4353C"/>
    <w:rsid w:val="00C4470D"/>
    <w:rsid w:val="00C45E1D"/>
    <w:rsid w:val="00C471BB"/>
    <w:rsid w:val="00C51433"/>
    <w:rsid w:val="00C52EE1"/>
    <w:rsid w:val="00C53CBC"/>
    <w:rsid w:val="00C5430A"/>
    <w:rsid w:val="00C5624C"/>
    <w:rsid w:val="00C601E9"/>
    <w:rsid w:val="00C63B5E"/>
    <w:rsid w:val="00C6410C"/>
    <w:rsid w:val="00C65808"/>
    <w:rsid w:val="00C67F66"/>
    <w:rsid w:val="00C71D10"/>
    <w:rsid w:val="00C74E4D"/>
    <w:rsid w:val="00C75841"/>
    <w:rsid w:val="00C77CD0"/>
    <w:rsid w:val="00C806EB"/>
    <w:rsid w:val="00C82C2B"/>
    <w:rsid w:val="00C842F7"/>
    <w:rsid w:val="00C95828"/>
    <w:rsid w:val="00CA0001"/>
    <w:rsid w:val="00CA3F35"/>
    <w:rsid w:val="00CA54B4"/>
    <w:rsid w:val="00CA6A54"/>
    <w:rsid w:val="00CA733D"/>
    <w:rsid w:val="00CA7540"/>
    <w:rsid w:val="00CB0F32"/>
    <w:rsid w:val="00CB1AE9"/>
    <w:rsid w:val="00CB2BD1"/>
    <w:rsid w:val="00CC3B65"/>
    <w:rsid w:val="00CC55D5"/>
    <w:rsid w:val="00CC613A"/>
    <w:rsid w:val="00CC75DB"/>
    <w:rsid w:val="00CD5468"/>
    <w:rsid w:val="00CD7F15"/>
    <w:rsid w:val="00CE297A"/>
    <w:rsid w:val="00CE640D"/>
    <w:rsid w:val="00CE7685"/>
    <w:rsid w:val="00CF01FA"/>
    <w:rsid w:val="00CF1522"/>
    <w:rsid w:val="00CF2EE2"/>
    <w:rsid w:val="00CF5CF0"/>
    <w:rsid w:val="00CF7915"/>
    <w:rsid w:val="00D002C9"/>
    <w:rsid w:val="00D05355"/>
    <w:rsid w:val="00D12332"/>
    <w:rsid w:val="00D14138"/>
    <w:rsid w:val="00D14516"/>
    <w:rsid w:val="00D3143C"/>
    <w:rsid w:val="00D31DA1"/>
    <w:rsid w:val="00D33975"/>
    <w:rsid w:val="00D36C03"/>
    <w:rsid w:val="00D42A07"/>
    <w:rsid w:val="00D44A2C"/>
    <w:rsid w:val="00D467CA"/>
    <w:rsid w:val="00D50317"/>
    <w:rsid w:val="00D57BE7"/>
    <w:rsid w:val="00D627B8"/>
    <w:rsid w:val="00D630C0"/>
    <w:rsid w:val="00D65646"/>
    <w:rsid w:val="00D65798"/>
    <w:rsid w:val="00D67EC9"/>
    <w:rsid w:val="00D7120C"/>
    <w:rsid w:val="00D71295"/>
    <w:rsid w:val="00D744E6"/>
    <w:rsid w:val="00D747EA"/>
    <w:rsid w:val="00D80221"/>
    <w:rsid w:val="00D803B0"/>
    <w:rsid w:val="00D80AED"/>
    <w:rsid w:val="00D81CEF"/>
    <w:rsid w:val="00D86A2D"/>
    <w:rsid w:val="00D92541"/>
    <w:rsid w:val="00D93FE2"/>
    <w:rsid w:val="00D9558C"/>
    <w:rsid w:val="00DA1A3A"/>
    <w:rsid w:val="00DA53CD"/>
    <w:rsid w:val="00DA53F8"/>
    <w:rsid w:val="00DA66E0"/>
    <w:rsid w:val="00DA78C5"/>
    <w:rsid w:val="00DB3D92"/>
    <w:rsid w:val="00DB4F66"/>
    <w:rsid w:val="00DB6E60"/>
    <w:rsid w:val="00DC044B"/>
    <w:rsid w:val="00DC2FE2"/>
    <w:rsid w:val="00DC3EEA"/>
    <w:rsid w:val="00DC4F1D"/>
    <w:rsid w:val="00DC53FC"/>
    <w:rsid w:val="00DC66E2"/>
    <w:rsid w:val="00DC6E06"/>
    <w:rsid w:val="00DC6FF7"/>
    <w:rsid w:val="00DC7EC9"/>
    <w:rsid w:val="00DD01FA"/>
    <w:rsid w:val="00DD1510"/>
    <w:rsid w:val="00DD1599"/>
    <w:rsid w:val="00DE1181"/>
    <w:rsid w:val="00DE39A1"/>
    <w:rsid w:val="00DE6FB6"/>
    <w:rsid w:val="00DF00B3"/>
    <w:rsid w:val="00DF08F7"/>
    <w:rsid w:val="00DF411C"/>
    <w:rsid w:val="00DF4C05"/>
    <w:rsid w:val="00DF55C4"/>
    <w:rsid w:val="00DF76D1"/>
    <w:rsid w:val="00E00608"/>
    <w:rsid w:val="00E03CAA"/>
    <w:rsid w:val="00E04A0D"/>
    <w:rsid w:val="00E04EE5"/>
    <w:rsid w:val="00E05143"/>
    <w:rsid w:val="00E05A4F"/>
    <w:rsid w:val="00E10333"/>
    <w:rsid w:val="00E12B03"/>
    <w:rsid w:val="00E14232"/>
    <w:rsid w:val="00E15C4F"/>
    <w:rsid w:val="00E16640"/>
    <w:rsid w:val="00E20B4C"/>
    <w:rsid w:val="00E21832"/>
    <w:rsid w:val="00E235B6"/>
    <w:rsid w:val="00E2610D"/>
    <w:rsid w:val="00E27060"/>
    <w:rsid w:val="00E27523"/>
    <w:rsid w:val="00E277A5"/>
    <w:rsid w:val="00E3180B"/>
    <w:rsid w:val="00E32823"/>
    <w:rsid w:val="00E40C3C"/>
    <w:rsid w:val="00E430C2"/>
    <w:rsid w:val="00E52A5A"/>
    <w:rsid w:val="00E538CF"/>
    <w:rsid w:val="00E66980"/>
    <w:rsid w:val="00E716B8"/>
    <w:rsid w:val="00E72C8F"/>
    <w:rsid w:val="00E762B5"/>
    <w:rsid w:val="00E8049B"/>
    <w:rsid w:val="00E81D46"/>
    <w:rsid w:val="00E820D5"/>
    <w:rsid w:val="00E837A5"/>
    <w:rsid w:val="00E84302"/>
    <w:rsid w:val="00E84BC1"/>
    <w:rsid w:val="00E929A9"/>
    <w:rsid w:val="00E95585"/>
    <w:rsid w:val="00E96400"/>
    <w:rsid w:val="00E97A12"/>
    <w:rsid w:val="00EA03E6"/>
    <w:rsid w:val="00EA2371"/>
    <w:rsid w:val="00EA497A"/>
    <w:rsid w:val="00EB0A3A"/>
    <w:rsid w:val="00EB1A5E"/>
    <w:rsid w:val="00EB71C6"/>
    <w:rsid w:val="00EB7841"/>
    <w:rsid w:val="00EC047E"/>
    <w:rsid w:val="00EC19DD"/>
    <w:rsid w:val="00EC5C10"/>
    <w:rsid w:val="00EC6D50"/>
    <w:rsid w:val="00EC7FE0"/>
    <w:rsid w:val="00ED132F"/>
    <w:rsid w:val="00ED1AEF"/>
    <w:rsid w:val="00ED422F"/>
    <w:rsid w:val="00ED5611"/>
    <w:rsid w:val="00EE4156"/>
    <w:rsid w:val="00EE4D39"/>
    <w:rsid w:val="00EE5542"/>
    <w:rsid w:val="00EF5A5D"/>
    <w:rsid w:val="00F014DD"/>
    <w:rsid w:val="00F022E1"/>
    <w:rsid w:val="00F066B4"/>
    <w:rsid w:val="00F109AF"/>
    <w:rsid w:val="00F12534"/>
    <w:rsid w:val="00F1305F"/>
    <w:rsid w:val="00F13742"/>
    <w:rsid w:val="00F225F6"/>
    <w:rsid w:val="00F226C4"/>
    <w:rsid w:val="00F25D5A"/>
    <w:rsid w:val="00F454FE"/>
    <w:rsid w:val="00F50155"/>
    <w:rsid w:val="00F51FD7"/>
    <w:rsid w:val="00F53864"/>
    <w:rsid w:val="00F539EA"/>
    <w:rsid w:val="00F55071"/>
    <w:rsid w:val="00F579CE"/>
    <w:rsid w:val="00F57A0C"/>
    <w:rsid w:val="00F57A59"/>
    <w:rsid w:val="00F61FA5"/>
    <w:rsid w:val="00F62EB2"/>
    <w:rsid w:val="00F62F5B"/>
    <w:rsid w:val="00F63DB6"/>
    <w:rsid w:val="00F64EDC"/>
    <w:rsid w:val="00F65DB2"/>
    <w:rsid w:val="00F6622D"/>
    <w:rsid w:val="00F7016B"/>
    <w:rsid w:val="00F72080"/>
    <w:rsid w:val="00F73BFF"/>
    <w:rsid w:val="00F92BD9"/>
    <w:rsid w:val="00F95EA6"/>
    <w:rsid w:val="00F95F87"/>
    <w:rsid w:val="00FA0494"/>
    <w:rsid w:val="00FA0499"/>
    <w:rsid w:val="00FA36A3"/>
    <w:rsid w:val="00FA5864"/>
    <w:rsid w:val="00FA6284"/>
    <w:rsid w:val="00FB0D05"/>
    <w:rsid w:val="00FB12E9"/>
    <w:rsid w:val="00FB239A"/>
    <w:rsid w:val="00FB4024"/>
    <w:rsid w:val="00FB6A3A"/>
    <w:rsid w:val="00FC0661"/>
    <w:rsid w:val="00FC0813"/>
    <w:rsid w:val="00FC484C"/>
    <w:rsid w:val="00FD1F1A"/>
    <w:rsid w:val="00FD433F"/>
    <w:rsid w:val="00FD51E5"/>
    <w:rsid w:val="00FE30E9"/>
    <w:rsid w:val="00FE375E"/>
    <w:rsid w:val="00FF1AE7"/>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AF4F48"/>
  <w15:docId w15:val="{DFA3D7C8-069D-4A71-8AB3-35EE95C43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B71"/>
    <w:pPr>
      <w:spacing w:after="0" w:line="240" w:lineRule="auto"/>
      <w:jc w:val="both"/>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42B9"/>
    <w:pPr>
      <w:spacing w:before="100" w:beforeAutospacing="1" w:after="100" w:afterAutospacing="1"/>
    </w:pPr>
    <w:rPr>
      <w:rFonts w:eastAsia="Times New Roman"/>
      <w:szCs w:val="24"/>
      <w:lang w:eastAsia="lv-LV"/>
    </w:rPr>
  </w:style>
  <w:style w:type="character" w:styleId="Strong">
    <w:name w:val="Strong"/>
    <w:basedOn w:val="DefaultParagraphFont"/>
    <w:uiPriority w:val="22"/>
    <w:qFormat/>
    <w:rsid w:val="007942B9"/>
    <w:rPr>
      <w:b/>
      <w:bCs/>
    </w:rPr>
  </w:style>
  <w:style w:type="paragraph" w:customStyle="1" w:styleId="article-intro">
    <w:name w:val="article-intro"/>
    <w:basedOn w:val="Normal"/>
    <w:rsid w:val="007942B9"/>
    <w:pPr>
      <w:spacing w:before="30" w:after="100" w:afterAutospacing="1"/>
    </w:pPr>
    <w:rPr>
      <w:rFonts w:eastAsia="Times New Roman"/>
      <w:sz w:val="20"/>
      <w:szCs w:val="20"/>
      <w:lang w:eastAsia="lv-LV"/>
    </w:rPr>
  </w:style>
  <w:style w:type="paragraph" w:customStyle="1" w:styleId="article-pic-details-author">
    <w:name w:val="article-pic-details-author"/>
    <w:basedOn w:val="Normal"/>
    <w:rsid w:val="007942B9"/>
    <w:pPr>
      <w:spacing w:before="100" w:beforeAutospacing="1" w:after="100" w:afterAutospacing="1"/>
    </w:pPr>
    <w:rPr>
      <w:rFonts w:eastAsia="Times New Roman"/>
      <w:szCs w:val="24"/>
      <w:lang w:eastAsia="lv-LV"/>
    </w:rPr>
  </w:style>
  <w:style w:type="paragraph" w:styleId="ListParagraph">
    <w:name w:val="List Paragraph"/>
    <w:aliases w:val="H&amp;P List Paragraph,2,Strip"/>
    <w:basedOn w:val="Normal"/>
    <w:link w:val="ListParagraphChar"/>
    <w:uiPriority w:val="34"/>
    <w:qFormat/>
    <w:rsid w:val="009E0FFF"/>
    <w:pPr>
      <w:ind w:left="720"/>
      <w:contextualSpacing/>
    </w:pPr>
  </w:style>
  <w:style w:type="paragraph" w:styleId="NoSpacing">
    <w:name w:val="No Spacing"/>
    <w:qFormat/>
    <w:rsid w:val="009E0FFF"/>
    <w:pPr>
      <w:spacing w:after="0" w:line="240" w:lineRule="auto"/>
    </w:pPr>
  </w:style>
  <w:style w:type="character" w:styleId="Hyperlink">
    <w:name w:val="Hyperlink"/>
    <w:basedOn w:val="DefaultParagraphFont"/>
    <w:uiPriority w:val="99"/>
    <w:unhideWhenUsed/>
    <w:rsid w:val="0078262E"/>
    <w:rPr>
      <w:color w:val="0563C1" w:themeColor="hyperlink"/>
      <w:u w:val="single"/>
    </w:rPr>
  </w:style>
  <w:style w:type="paragraph" w:styleId="FootnoteText">
    <w:name w:val="footnote text"/>
    <w:aliases w:val="Footnote,Fußnote,Char, Char,fn,Footnote Text2,Footnote Text11,ALTS FOOTNOTE11,Footnote Text Char111,Footnote Text Char Char Char11,Footnote Text Char1 Char Char Char Char11,Footnote Text Char1 Char Char Char11,ALTS FOOTNOTE2,Footnote Text1"/>
    <w:basedOn w:val="Normal"/>
    <w:link w:val="FootnoteTextChar"/>
    <w:uiPriority w:val="99"/>
    <w:unhideWhenUsed/>
    <w:rsid w:val="00565577"/>
    <w:rPr>
      <w:sz w:val="20"/>
      <w:szCs w:val="20"/>
    </w:rPr>
  </w:style>
  <w:style w:type="character" w:customStyle="1" w:styleId="FootnoteTextChar">
    <w:name w:val="Footnote Text Char"/>
    <w:aliases w:val="Footnote Char,Fußnote Char,Char Char, Char Char,fn Char,Footnote Text2 Char,Footnote Text11 Char,ALTS FOOTNOTE11 Char,Footnote Text Char111 Char,Footnote Text Char Char Char11 Char,Footnote Text Char1 Char Char Char Char11 Char"/>
    <w:basedOn w:val="DefaultParagraphFont"/>
    <w:link w:val="FootnoteText"/>
    <w:uiPriority w:val="99"/>
    <w:rsid w:val="00565577"/>
    <w:rPr>
      <w:rFonts w:ascii="Times New Roman" w:eastAsia="Calibri" w:hAnsi="Times New Roman" w:cs="Times New Roman"/>
      <w:sz w:val="20"/>
      <w:szCs w:val="20"/>
    </w:rPr>
  </w:style>
  <w:style w:type="character" w:styleId="FootnoteReference">
    <w:name w:val="footnote reference"/>
    <w:aliases w:val="Footnote Reference Number,Footnote symbol,Nota,Footnote number,de nota al pie,Ref,SUPERS,Voetnootmarkering,Char1,fr,o,(NECG) Footnote Reference,Times 10 Point,Exposant 3 Point,Footnote reference number,FR, Char1,Ch"/>
    <w:uiPriority w:val="99"/>
    <w:unhideWhenUsed/>
    <w:rsid w:val="00565577"/>
    <w:rPr>
      <w:vertAlign w:val="superscript"/>
    </w:rPr>
  </w:style>
  <w:style w:type="paragraph" w:styleId="BalloonText">
    <w:name w:val="Balloon Text"/>
    <w:basedOn w:val="Normal"/>
    <w:link w:val="BalloonTextChar"/>
    <w:uiPriority w:val="99"/>
    <w:semiHidden/>
    <w:unhideWhenUsed/>
    <w:rsid w:val="00A262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28C"/>
    <w:rPr>
      <w:rFonts w:ascii="Segoe UI" w:eastAsia="Calibri" w:hAnsi="Segoe UI" w:cs="Segoe UI"/>
      <w:sz w:val="18"/>
      <w:szCs w:val="18"/>
    </w:rPr>
  </w:style>
  <w:style w:type="table" w:styleId="TableGrid">
    <w:name w:val="Table Grid"/>
    <w:basedOn w:val="TableNormal"/>
    <w:uiPriority w:val="39"/>
    <w:rsid w:val="004E01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link w:val="Bodytext1"/>
    <w:uiPriority w:val="99"/>
    <w:locked/>
    <w:rsid w:val="00354434"/>
    <w:rPr>
      <w:rFonts w:ascii="Times New Roman" w:hAnsi="Times New Roman" w:cs="Times New Roman"/>
      <w:shd w:val="clear" w:color="auto" w:fill="FFFFFF"/>
    </w:rPr>
  </w:style>
  <w:style w:type="paragraph" w:customStyle="1" w:styleId="Bodytext1">
    <w:name w:val="Body text1"/>
    <w:basedOn w:val="Normal"/>
    <w:link w:val="Bodytext"/>
    <w:uiPriority w:val="99"/>
    <w:rsid w:val="00354434"/>
    <w:pPr>
      <w:widowControl w:val="0"/>
      <w:shd w:val="clear" w:color="auto" w:fill="FFFFFF"/>
      <w:spacing w:after="660" w:line="286" w:lineRule="exact"/>
      <w:jc w:val="left"/>
    </w:pPr>
    <w:rPr>
      <w:rFonts w:eastAsiaTheme="minorHAnsi"/>
      <w:sz w:val="22"/>
    </w:rPr>
  </w:style>
  <w:style w:type="paragraph" w:styleId="Header">
    <w:name w:val="header"/>
    <w:basedOn w:val="Normal"/>
    <w:link w:val="HeaderChar"/>
    <w:uiPriority w:val="99"/>
    <w:unhideWhenUsed/>
    <w:rsid w:val="00485EE8"/>
    <w:pPr>
      <w:tabs>
        <w:tab w:val="center" w:pos="4513"/>
        <w:tab w:val="right" w:pos="9026"/>
      </w:tabs>
    </w:pPr>
  </w:style>
  <w:style w:type="character" w:customStyle="1" w:styleId="HeaderChar">
    <w:name w:val="Header Char"/>
    <w:basedOn w:val="DefaultParagraphFont"/>
    <w:link w:val="Header"/>
    <w:uiPriority w:val="99"/>
    <w:rsid w:val="00485EE8"/>
    <w:rPr>
      <w:rFonts w:ascii="Times New Roman" w:eastAsia="Calibri" w:hAnsi="Times New Roman" w:cs="Times New Roman"/>
      <w:sz w:val="24"/>
    </w:rPr>
  </w:style>
  <w:style w:type="paragraph" w:styleId="Footer">
    <w:name w:val="footer"/>
    <w:basedOn w:val="Normal"/>
    <w:link w:val="FooterChar"/>
    <w:uiPriority w:val="99"/>
    <w:unhideWhenUsed/>
    <w:rsid w:val="00485EE8"/>
    <w:pPr>
      <w:tabs>
        <w:tab w:val="center" w:pos="4513"/>
        <w:tab w:val="right" w:pos="9026"/>
      </w:tabs>
    </w:pPr>
  </w:style>
  <w:style w:type="character" w:customStyle="1" w:styleId="FooterChar">
    <w:name w:val="Footer Char"/>
    <w:basedOn w:val="DefaultParagraphFont"/>
    <w:link w:val="Footer"/>
    <w:uiPriority w:val="99"/>
    <w:rsid w:val="00485EE8"/>
    <w:rPr>
      <w:rFonts w:ascii="Times New Roman" w:eastAsia="Calibri" w:hAnsi="Times New Roman" w:cs="Times New Roman"/>
      <w:sz w:val="24"/>
    </w:rPr>
  </w:style>
  <w:style w:type="character" w:styleId="CommentReference">
    <w:name w:val="annotation reference"/>
    <w:basedOn w:val="DefaultParagraphFont"/>
    <w:uiPriority w:val="99"/>
    <w:semiHidden/>
    <w:unhideWhenUsed/>
    <w:rsid w:val="00CC3B65"/>
    <w:rPr>
      <w:sz w:val="16"/>
      <w:szCs w:val="16"/>
    </w:rPr>
  </w:style>
  <w:style w:type="paragraph" w:styleId="CommentText">
    <w:name w:val="annotation text"/>
    <w:basedOn w:val="Normal"/>
    <w:link w:val="CommentTextChar"/>
    <w:uiPriority w:val="99"/>
    <w:semiHidden/>
    <w:unhideWhenUsed/>
    <w:rsid w:val="00CC3B65"/>
    <w:rPr>
      <w:sz w:val="20"/>
      <w:szCs w:val="20"/>
    </w:rPr>
  </w:style>
  <w:style w:type="character" w:customStyle="1" w:styleId="CommentTextChar">
    <w:name w:val="Comment Text Char"/>
    <w:basedOn w:val="DefaultParagraphFont"/>
    <w:link w:val="CommentText"/>
    <w:uiPriority w:val="99"/>
    <w:semiHidden/>
    <w:rsid w:val="00CC3B65"/>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C3B65"/>
    <w:rPr>
      <w:b/>
      <w:bCs/>
    </w:rPr>
  </w:style>
  <w:style w:type="character" w:customStyle="1" w:styleId="CommentSubjectChar">
    <w:name w:val="Comment Subject Char"/>
    <w:basedOn w:val="CommentTextChar"/>
    <w:link w:val="CommentSubject"/>
    <w:uiPriority w:val="99"/>
    <w:semiHidden/>
    <w:rsid w:val="00CC3B65"/>
    <w:rPr>
      <w:rFonts w:ascii="Times New Roman" w:eastAsia="Calibri" w:hAnsi="Times New Roman" w:cs="Times New Roman"/>
      <w:b/>
      <w:bCs/>
      <w:sz w:val="20"/>
      <w:szCs w:val="20"/>
    </w:rPr>
  </w:style>
  <w:style w:type="character" w:styleId="FollowedHyperlink">
    <w:name w:val="FollowedHyperlink"/>
    <w:basedOn w:val="DefaultParagraphFont"/>
    <w:uiPriority w:val="99"/>
    <w:semiHidden/>
    <w:unhideWhenUsed/>
    <w:rsid w:val="003315A7"/>
    <w:rPr>
      <w:color w:val="954F72" w:themeColor="followedHyperlink"/>
      <w:u w:val="single"/>
    </w:rPr>
  </w:style>
  <w:style w:type="character" w:customStyle="1" w:styleId="ListParagraphChar">
    <w:name w:val="List Paragraph Char"/>
    <w:aliases w:val="H&amp;P List Paragraph Char,2 Char,Strip Char"/>
    <w:link w:val="ListParagraph"/>
    <w:uiPriority w:val="34"/>
    <w:locked/>
    <w:rsid w:val="007F4E50"/>
    <w:rPr>
      <w:rFonts w:ascii="Times New Roman" w:eastAsia="Calibri" w:hAnsi="Times New Roman" w:cs="Times New Roman"/>
      <w:sz w:val="24"/>
    </w:rPr>
  </w:style>
  <w:style w:type="character" w:customStyle="1" w:styleId="normalchar1">
    <w:name w:val="normal__char1"/>
    <w:rsid w:val="007F4E50"/>
    <w:rPr>
      <w:rFonts w:ascii="Times New Roman" w:hAnsi="Times New Roman" w:cs="Times New Roman"/>
      <w:strike w:val="0"/>
      <w:dstrike w:val="0"/>
      <w:sz w:val="20"/>
      <w:szCs w:val="20"/>
      <w:u w:val="none"/>
    </w:rPr>
  </w:style>
  <w:style w:type="paragraph" w:customStyle="1" w:styleId="Default">
    <w:name w:val="Default"/>
    <w:rsid w:val="004F28E6"/>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E84BC1"/>
    <w:pPr>
      <w:spacing w:after="0" w:line="240" w:lineRule="auto"/>
    </w:pPr>
    <w:rPr>
      <w:rFonts w:ascii="Times New Roman" w:eastAsia="Calibri" w:hAnsi="Times New Roman" w:cs="Times New Roman"/>
      <w:sz w:val="24"/>
    </w:rPr>
  </w:style>
  <w:style w:type="character" w:styleId="UnresolvedMention">
    <w:name w:val="Unresolved Mention"/>
    <w:basedOn w:val="DefaultParagraphFont"/>
    <w:uiPriority w:val="99"/>
    <w:semiHidden/>
    <w:unhideWhenUsed/>
    <w:rsid w:val="008D31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1012">
      <w:bodyDiv w:val="1"/>
      <w:marLeft w:val="0"/>
      <w:marRight w:val="0"/>
      <w:marTop w:val="0"/>
      <w:marBottom w:val="0"/>
      <w:divBdr>
        <w:top w:val="none" w:sz="0" w:space="0" w:color="auto"/>
        <w:left w:val="none" w:sz="0" w:space="0" w:color="auto"/>
        <w:bottom w:val="none" w:sz="0" w:space="0" w:color="auto"/>
        <w:right w:val="none" w:sz="0" w:space="0" w:color="auto"/>
      </w:divBdr>
    </w:div>
    <w:div w:id="47190537">
      <w:bodyDiv w:val="1"/>
      <w:marLeft w:val="0"/>
      <w:marRight w:val="0"/>
      <w:marTop w:val="0"/>
      <w:marBottom w:val="0"/>
      <w:divBdr>
        <w:top w:val="none" w:sz="0" w:space="0" w:color="auto"/>
        <w:left w:val="none" w:sz="0" w:space="0" w:color="auto"/>
        <w:bottom w:val="none" w:sz="0" w:space="0" w:color="auto"/>
        <w:right w:val="none" w:sz="0" w:space="0" w:color="auto"/>
      </w:divBdr>
    </w:div>
    <w:div w:id="223756393">
      <w:bodyDiv w:val="1"/>
      <w:marLeft w:val="0"/>
      <w:marRight w:val="0"/>
      <w:marTop w:val="0"/>
      <w:marBottom w:val="0"/>
      <w:divBdr>
        <w:top w:val="none" w:sz="0" w:space="0" w:color="auto"/>
        <w:left w:val="none" w:sz="0" w:space="0" w:color="auto"/>
        <w:bottom w:val="none" w:sz="0" w:space="0" w:color="auto"/>
        <w:right w:val="none" w:sz="0" w:space="0" w:color="auto"/>
      </w:divBdr>
      <w:divsChild>
        <w:div w:id="1369992350">
          <w:marLeft w:val="0"/>
          <w:marRight w:val="0"/>
          <w:marTop w:val="100"/>
          <w:marBottom w:val="100"/>
          <w:divBdr>
            <w:top w:val="none" w:sz="0" w:space="0" w:color="auto"/>
            <w:left w:val="none" w:sz="0" w:space="0" w:color="auto"/>
            <w:bottom w:val="none" w:sz="0" w:space="0" w:color="auto"/>
            <w:right w:val="none" w:sz="0" w:space="0" w:color="auto"/>
          </w:divBdr>
          <w:divsChild>
            <w:div w:id="36945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682628">
      <w:bodyDiv w:val="1"/>
      <w:marLeft w:val="0"/>
      <w:marRight w:val="0"/>
      <w:marTop w:val="0"/>
      <w:marBottom w:val="0"/>
      <w:divBdr>
        <w:top w:val="none" w:sz="0" w:space="0" w:color="auto"/>
        <w:left w:val="none" w:sz="0" w:space="0" w:color="auto"/>
        <w:bottom w:val="none" w:sz="0" w:space="0" w:color="auto"/>
        <w:right w:val="none" w:sz="0" w:space="0" w:color="auto"/>
      </w:divBdr>
    </w:div>
    <w:div w:id="1011566298">
      <w:bodyDiv w:val="1"/>
      <w:marLeft w:val="0"/>
      <w:marRight w:val="0"/>
      <w:marTop w:val="0"/>
      <w:marBottom w:val="0"/>
      <w:divBdr>
        <w:top w:val="none" w:sz="0" w:space="0" w:color="auto"/>
        <w:left w:val="none" w:sz="0" w:space="0" w:color="auto"/>
        <w:bottom w:val="none" w:sz="0" w:space="0" w:color="auto"/>
        <w:right w:val="none" w:sz="0" w:space="0" w:color="auto"/>
      </w:divBdr>
    </w:div>
    <w:div w:id="1270771590">
      <w:bodyDiv w:val="1"/>
      <w:marLeft w:val="0"/>
      <w:marRight w:val="0"/>
      <w:marTop w:val="0"/>
      <w:marBottom w:val="0"/>
      <w:divBdr>
        <w:top w:val="none" w:sz="0" w:space="0" w:color="auto"/>
        <w:left w:val="none" w:sz="0" w:space="0" w:color="auto"/>
        <w:bottom w:val="none" w:sz="0" w:space="0" w:color="auto"/>
        <w:right w:val="none" w:sz="0" w:space="0" w:color="auto"/>
      </w:divBdr>
    </w:div>
    <w:div w:id="1592469451">
      <w:bodyDiv w:val="1"/>
      <w:marLeft w:val="0"/>
      <w:marRight w:val="0"/>
      <w:marTop w:val="0"/>
      <w:marBottom w:val="0"/>
      <w:divBdr>
        <w:top w:val="none" w:sz="0" w:space="0" w:color="auto"/>
        <w:left w:val="none" w:sz="0" w:space="0" w:color="auto"/>
        <w:bottom w:val="none" w:sz="0" w:space="0" w:color="auto"/>
        <w:right w:val="none" w:sz="0" w:space="0" w:color="auto"/>
      </w:divBdr>
    </w:div>
    <w:div w:id="1628512206">
      <w:bodyDiv w:val="1"/>
      <w:marLeft w:val="0"/>
      <w:marRight w:val="0"/>
      <w:marTop w:val="0"/>
      <w:marBottom w:val="0"/>
      <w:divBdr>
        <w:top w:val="none" w:sz="0" w:space="0" w:color="auto"/>
        <w:left w:val="none" w:sz="0" w:space="0" w:color="auto"/>
        <w:bottom w:val="none" w:sz="0" w:space="0" w:color="auto"/>
        <w:right w:val="none" w:sz="0" w:space="0" w:color="auto"/>
      </w:divBdr>
      <w:divsChild>
        <w:div w:id="898976015">
          <w:marLeft w:val="0"/>
          <w:marRight w:val="0"/>
          <w:marTop w:val="100"/>
          <w:marBottom w:val="100"/>
          <w:divBdr>
            <w:top w:val="none" w:sz="0" w:space="0" w:color="auto"/>
            <w:left w:val="none" w:sz="0" w:space="0" w:color="auto"/>
            <w:bottom w:val="none" w:sz="0" w:space="0" w:color="auto"/>
            <w:right w:val="none" w:sz="0" w:space="0" w:color="auto"/>
          </w:divBdr>
          <w:divsChild>
            <w:div w:id="65950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656037">
      <w:bodyDiv w:val="1"/>
      <w:marLeft w:val="0"/>
      <w:marRight w:val="0"/>
      <w:marTop w:val="0"/>
      <w:marBottom w:val="0"/>
      <w:divBdr>
        <w:top w:val="none" w:sz="0" w:space="0" w:color="auto"/>
        <w:left w:val="none" w:sz="0" w:space="0" w:color="auto"/>
        <w:bottom w:val="none" w:sz="0" w:space="0" w:color="auto"/>
        <w:right w:val="none" w:sz="0" w:space="0" w:color="auto"/>
      </w:divBdr>
      <w:divsChild>
        <w:div w:id="840315135">
          <w:marLeft w:val="547"/>
          <w:marRight w:val="0"/>
          <w:marTop w:val="0"/>
          <w:marBottom w:val="0"/>
          <w:divBdr>
            <w:top w:val="none" w:sz="0" w:space="0" w:color="auto"/>
            <w:left w:val="none" w:sz="0" w:space="0" w:color="auto"/>
            <w:bottom w:val="none" w:sz="0" w:space="0" w:color="auto"/>
            <w:right w:val="none" w:sz="0" w:space="0" w:color="auto"/>
          </w:divBdr>
        </w:div>
        <w:div w:id="1373964307">
          <w:marLeft w:val="547"/>
          <w:marRight w:val="0"/>
          <w:marTop w:val="0"/>
          <w:marBottom w:val="0"/>
          <w:divBdr>
            <w:top w:val="none" w:sz="0" w:space="0" w:color="auto"/>
            <w:left w:val="none" w:sz="0" w:space="0" w:color="auto"/>
            <w:bottom w:val="none" w:sz="0" w:space="0" w:color="auto"/>
            <w:right w:val="none" w:sz="0" w:space="0" w:color="auto"/>
          </w:divBdr>
        </w:div>
        <w:div w:id="964774084">
          <w:marLeft w:val="1282"/>
          <w:marRight w:val="0"/>
          <w:marTop w:val="0"/>
          <w:marBottom w:val="0"/>
          <w:divBdr>
            <w:top w:val="none" w:sz="0" w:space="0" w:color="auto"/>
            <w:left w:val="none" w:sz="0" w:space="0" w:color="auto"/>
            <w:bottom w:val="none" w:sz="0" w:space="0" w:color="auto"/>
            <w:right w:val="none" w:sz="0" w:space="0" w:color="auto"/>
          </w:divBdr>
        </w:div>
        <w:div w:id="1270310802">
          <w:marLeft w:val="1282"/>
          <w:marRight w:val="0"/>
          <w:marTop w:val="0"/>
          <w:marBottom w:val="0"/>
          <w:divBdr>
            <w:top w:val="none" w:sz="0" w:space="0" w:color="auto"/>
            <w:left w:val="none" w:sz="0" w:space="0" w:color="auto"/>
            <w:bottom w:val="none" w:sz="0" w:space="0" w:color="auto"/>
            <w:right w:val="none" w:sz="0" w:space="0" w:color="auto"/>
          </w:divBdr>
        </w:div>
        <w:div w:id="2091461383">
          <w:marLeft w:val="547"/>
          <w:marRight w:val="0"/>
          <w:marTop w:val="0"/>
          <w:marBottom w:val="0"/>
          <w:divBdr>
            <w:top w:val="none" w:sz="0" w:space="0" w:color="auto"/>
            <w:left w:val="none" w:sz="0" w:space="0" w:color="auto"/>
            <w:bottom w:val="none" w:sz="0" w:space="0" w:color="auto"/>
            <w:right w:val="none" w:sz="0" w:space="0" w:color="auto"/>
          </w:divBdr>
        </w:div>
        <w:div w:id="1032804293">
          <w:marLeft w:val="547"/>
          <w:marRight w:val="0"/>
          <w:marTop w:val="0"/>
          <w:marBottom w:val="0"/>
          <w:divBdr>
            <w:top w:val="none" w:sz="0" w:space="0" w:color="auto"/>
            <w:left w:val="none" w:sz="0" w:space="0" w:color="auto"/>
            <w:bottom w:val="none" w:sz="0" w:space="0" w:color="auto"/>
            <w:right w:val="none" w:sz="0" w:space="0" w:color="auto"/>
          </w:divBdr>
        </w:div>
        <w:div w:id="1548487787">
          <w:marLeft w:val="547"/>
          <w:marRight w:val="0"/>
          <w:marTop w:val="0"/>
          <w:marBottom w:val="0"/>
          <w:divBdr>
            <w:top w:val="none" w:sz="0" w:space="0" w:color="auto"/>
            <w:left w:val="none" w:sz="0" w:space="0" w:color="auto"/>
            <w:bottom w:val="none" w:sz="0" w:space="0" w:color="auto"/>
            <w:right w:val="none" w:sz="0" w:space="0" w:color="auto"/>
          </w:divBdr>
        </w:div>
        <w:div w:id="1008752716">
          <w:marLeft w:val="547"/>
          <w:marRight w:val="0"/>
          <w:marTop w:val="0"/>
          <w:marBottom w:val="0"/>
          <w:divBdr>
            <w:top w:val="none" w:sz="0" w:space="0" w:color="auto"/>
            <w:left w:val="none" w:sz="0" w:space="0" w:color="auto"/>
            <w:bottom w:val="none" w:sz="0" w:space="0" w:color="auto"/>
            <w:right w:val="none" w:sz="0" w:space="0" w:color="auto"/>
          </w:divBdr>
        </w:div>
        <w:div w:id="1352954260">
          <w:marLeft w:val="547"/>
          <w:marRight w:val="0"/>
          <w:marTop w:val="0"/>
          <w:marBottom w:val="0"/>
          <w:divBdr>
            <w:top w:val="none" w:sz="0" w:space="0" w:color="auto"/>
            <w:left w:val="none" w:sz="0" w:space="0" w:color="auto"/>
            <w:bottom w:val="none" w:sz="0" w:space="0" w:color="auto"/>
            <w:right w:val="none" w:sz="0" w:space="0" w:color="auto"/>
          </w:divBdr>
        </w:div>
        <w:div w:id="781270523">
          <w:marLeft w:val="547"/>
          <w:marRight w:val="0"/>
          <w:marTop w:val="0"/>
          <w:marBottom w:val="0"/>
          <w:divBdr>
            <w:top w:val="none" w:sz="0" w:space="0" w:color="auto"/>
            <w:left w:val="none" w:sz="0" w:space="0" w:color="auto"/>
            <w:bottom w:val="none" w:sz="0" w:space="0" w:color="auto"/>
            <w:right w:val="none" w:sz="0" w:space="0" w:color="auto"/>
          </w:divBdr>
        </w:div>
      </w:divsChild>
    </w:div>
    <w:div w:id="1869638156">
      <w:bodyDiv w:val="1"/>
      <w:marLeft w:val="0"/>
      <w:marRight w:val="0"/>
      <w:marTop w:val="0"/>
      <w:marBottom w:val="0"/>
      <w:divBdr>
        <w:top w:val="none" w:sz="0" w:space="0" w:color="auto"/>
        <w:left w:val="none" w:sz="0" w:space="0" w:color="auto"/>
        <w:bottom w:val="none" w:sz="0" w:space="0" w:color="auto"/>
        <w:right w:val="none" w:sz="0" w:space="0" w:color="auto"/>
      </w:divBdr>
      <w:divsChild>
        <w:div w:id="1040932396">
          <w:marLeft w:val="0"/>
          <w:marRight w:val="0"/>
          <w:marTop w:val="0"/>
          <w:marBottom w:val="0"/>
          <w:divBdr>
            <w:top w:val="none" w:sz="0" w:space="0" w:color="auto"/>
            <w:left w:val="none" w:sz="0" w:space="0" w:color="auto"/>
            <w:bottom w:val="none" w:sz="0" w:space="0" w:color="auto"/>
            <w:right w:val="none" w:sz="0" w:space="0" w:color="auto"/>
          </w:divBdr>
          <w:divsChild>
            <w:div w:id="1645504664">
              <w:marLeft w:val="0"/>
              <w:marRight w:val="0"/>
              <w:marTop w:val="225"/>
              <w:marBottom w:val="0"/>
              <w:divBdr>
                <w:top w:val="none" w:sz="0" w:space="0" w:color="auto"/>
                <w:left w:val="none" w:sz="0" w:space="0" w:color="auto"/>
                <w:bottom w:val="none" w:sz="0" w:space="0" w:color="auto"/>
                <w:right w:val="none" w:sz="0" w:space="0" w:color="auto"/>
              </w:divBdr>
              <w:divsChild>
                <w:div w:id="992834420">
                  <w:marLeft w:val="300"/>
                  <w:marRight w:val="300"/>
                  <w:marTop w:val="0"/>
                  <w:marBottom w:val="0"/>
                  <w:divBdr>
                    <w:top w:val="none" w:sz="0" w:space="0" w:color="auto"/>
                    <w:left w:val="none" w:sz="0" w:space="0" w:color="auto"/>
                    <w:bottom w:val="none" w:sz="0" w:space="0" w:color="auto"/>
                    <w:right w:val="none" w:sz="0" w:space="0" w:color="auto"/>
                  </w:divBdr>
                  <w:divsChild>
                    <w:div w:id="87300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956894">
      <w:bodyDiv w:val="1"/>
      <w:marLeft w:val="0"/>
      <w:marRight w:val="0"/>
      <w:marTop w:val="0"/>
      <w:marBottom w:val="0"/>
      <w:divBdr>
        <w:top w:val="none" w:sz="0" w:space="0" w:color="auto"/>
        <w:left w:val="none" w:sz="0" w:space="0" w:color="auto"/>
        <w:bottom w:val="none" w:sz="0" w:space="0" w:color="auto"/>
        <w:right w:val="none" w:sz="0" w:space="0" w:color="auto"/>
      </w:divBdr>
      <w:divsChild>
        <w:div w:id="1934586097">
          <w:marLeft w:val="0"/>
          <w:marRight w:val="0"/>
          <w:marTop w:val="0"/>
          <w:marBottom w:val="0"/>
          <w:divBdr>
            <w:top w:val="none" w:sz="0" w:space="0" w:color="auto"/>
            <w:left w:val="none" w:sz="0" w:space="0" w:color="auto"/>
            <w:bottom w:val="none" w:sz="0" w:space="0" w:color="auto"/>
            <w:right w:val="none" w:sz="0" w:space="0" w:color="auto"/>
          </w:divBdr>
          <w:divsChild>
            <w:div w:id="1472207576">
              <w:marLeft w:val="0"/>
              <w:marRight w:val="0"/>
              <w:marTop w:val="0"/>
              <w:marBottom w:val="0"/>
              <w:divBdr>
                <w:top w:val="single" w:sz="48" w:space="0" w:color="FFFFFF"/>
                <w:left w:val="none" w:sz="0" w:space="0" w:color="auto"/>
                <w:bottom w:val="none" w:sz="0" w:space="0" w:color="auto"/>
                <w:right w:val="none" w:sz="0" w:space="0" w:color="auto"/>
              </w:divBdr>
              <w:divsChild>
                <w:div w:id="91366918">
                  <w:marLeft w:val="0"/>
                  <w:marRight w:val="15"/>
                  <w:marTop w:val="0"/>
                  <w:marBottom w:val="0"/>
                  <w:divBdr>
                    <w:top w:val="none" w:sz="0" w:space="0" w:color="auto"/>
                    <w:left w:val="none" w:sz="0" w:space="0" w:color="auto"/>
                    <w:bottom w:val="none" w:sz="0" w:space="0" w:color="auto"/>
                    <w:right w:val="none" w:sz="0" w:space="0" w:color="auto"/>
                  </w:divBdr>
                  <w:divsChild>
                    <w:div w:id="2011562151">
                      <w:marLeft w:val="0"/>
                      <w:marRight w:val="0"/>
                      <w:marTop w:val="0"/>
                      <w:marBottom w:val="0"/>
                      <w:divBdr>
                        <w:top w:val="none" w:sz="0" w:space="0" w:color="auto"/>
                        <w:left w:val="none" w:sz="0" w:space="0" w:color="auto"/>
                        <w:bottom w:val="none" w:sz="0" w:space="0" w:color="auto"/>
                        <w:right w:val="none" w:sz="0" w:space="0" w:color="auto"/>
                      </w:divBdr>
                      <w:divsChild>
                        <w:div w:id="1777628604">
                          <w:marLeft w:val="0"/>
                          <w:marRight w:val="0"/>
                          <w:marTop w:val="0"/>
                          <w:marBottom w:val="0"/>
                          <w:divBdr>
                            <w:top w:val="none" w:sz="0" w:space="0" w:color="auto"/>
                            <w:left w:val="none" w:sz="0" w:space="0" w:color="auto"/>
                            <w:bottom w:val="none" w:sz="0" w:space="0" w:color="auto"/>
                            <w:right w:val="none" w:sz="0" w:space="0" w:color="auto"/>
                          </w:divBdr>
                          <w:divsChild>
                            <w:div w:id="2113895268">
                              <w:marLeft w:val="0"/>
                              <w:marRight w:val="0"/>
                              <w:marTop w:val="0"/>
                              <w:marBottom w:val="0"/>
                              <w:divBdr>
                                <w:top w:val="none" w:sz="0" w:space="0" w:color="auto"/>
                                <w:left w:val="none" w:sz="0" w:space="0" w:color="auto"/>
                                <w:bottom w:val="none" w:sz="0" w:space="0" w:color="auto"/>
                                <w:right w:val="none" w:sz="0" w:space="0" w:color="auto"/>
                              </w:divBdr>
                            </w:div>
                          </w:divsChild>
                        </w:div>
                        <w:div w:id="98255246">
                          <w:marLeft w:val="0"/>
                          <w:marRight w:val="0"/>
                          <w:marTop w:val="0"/>
                          <w:marBottom w:val="0"/>
                          <w:divBdr>
                            <w:top w:val="none" w:sz="0" w:space="0" w:color="auto"/>
                            <w:left w:val="none" w:sz="0" w:space="0" w:color="auto"/>
                            <w:bottom w:val="none" w:sz="0" w:space="0" w:color="auto"/>
                            <w:right w:val="none" w:sz="0" w:space="0" w:color="auto"/>
                          </w:divBdr>
                          <w:divsChild>
                            <w:div w:id="2121413576">
                              <w:marLeft w:val="0"/>
                              <w:marRight w:val="0"/>
                              <w:marTop w:val="0"/>
                              <w:marBottom w:val="0"/>
                              <w:divBdr>
                                <w:top w:val="none" w:sz="0" w:space="0" w:color="auto"/>
                                <w:left w:val="none" w:sz="0" w:space="0" w:color="auto"/>
                                <w:bottom w:val="none" w:sz="0" w:space="0" w:color="auto"/>
                                <w:right w:val="none" w:sz="0" w:space="0" w:color="auto"/>
                              </w:divBdr>
                              <w:divsChild>
                                <w:div w:id="1425568492">
                                  <w:marLeft w:val="0"/>
                                  <w:marRight w:val="0"/>
                                  <w:marTop w:val="0"/>
                                  <w:marBottom w:val="0"/>
                                  <w:divBdr>
                                    <w:top w:val="none" w:sz="0" w:space="0" w:color="auto"/>
                                    <w:left w:val="none" w:sz="0" w:space="0" w:color="auto"/>
                                    <w:bottom w:val="none" w:sz="0" w:space="0" w:color="auto"/>
                                    <w:right w:val="none" w:sz="0" w:space="0" w:color="auto"/>
                                  </w:divBdr>
                                  <w:divsChild>
                                    <w:div w:id="167449837">
                                      <w:marLeft w:val="75"/>
                                      <w:marRight w:val="0"/>
                                      <w:marTop w:val="0"/>
                                      <w:marBottom w:val="150"/>
                                      <w:divBdr>
                                        <w:top w:val="none" w:sz="0" w:space="0" w:color="auto"/>
                                        <w:left w:val="none" w:sz="0" w:space="0" w:color="auto"/>
                                        <w:bottom w:val="dotted" w:sz="6" w:space="6" w:color="999999"/>
                                        <w:right w:val="none" w:sz="0" w:space="0" w:color="auto"/>
                                      </w:divBdr>
                                      <w:divsChild>
                                        <w:div w:id="173319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tools.csb.gov.lv/isk/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04A10-A075-4A9C-8DE1-F57DDCFEF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7275</Words>
  <Characters>4148</Characters>
  <Application>Microsoft Office Word</Application>
  <DocSecurity>4</DocSecurity>
  <Lines>34</Lines>
  <Paragraphs>22</Paragraphs>
  <ScaleCrop>false</ScaleCrop>
  <HeadingPairs>
    <vt:vector size="2" baseType="variant">
      <vt:variant>
        <vt:lpstr>Title</vt:lpstr>
      </vt:variant>
      <vt:variant>
        <vt:i4>1</vt:i4>
      </vt:variant>
    </vt:vector>
  </HeadingPairs>
  <TitlesOfParts>
    <vt:vector size="1" baseType="lpstr">
      <vt:lpstr>Par kandidēšanu uz 2025. gada Eiropas čempionāta finālturnīra basketbolā vīriešiem (FIBA EuroBasket 2025) organizēšanu Latvijā</vt:lpstr>
    </vt:vector>
  </TitlesOfParts>
  <Company>Izglītības un zinātnes ministrija, Sporta departaments</Company>
  <LinksUpToDate>false</LinksUpToDate>
  <CharactersWithSpaces>11401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kandidēšanu uz 2025. gada Eiropas čempionāta finālturnīra basketbolā vīriešiem (FIBA EuroBasket 2025) organizēšanu Latvijā</dc:title>
  <dc:subject>Informatīvais ziņojums</dc:subject>
  <dc:creator>Edgars Severs</dc:creator>
  <cp:keywords/>
  <dc:description>Izglītības un zinātnes ministrijas_x000d_
valsts sekretāra vietnieks – _x000d_
Sporta departamenta direktors_x000d_
edgars.severs@izm.gov.lv_x000d_
tālr.: 67047935</dc:description>
  <cp:lastModifiedBy>Raitis Tiltiņš</cp:lastModifiedBy>
  <cp:revision>2</cp:revision>
  <cp:lastPrinted>2023-12-06T12:46:00Z</cp:lastPrinted>
  <dcterms:created xsi:type="dcterms:W3CDTF">2023-12-07T07:21:00Z</dcterms:created>
  <dcterms:modified xsi:type="dcterms:W3CDTF">2023-12-07T07:21:00Z</dcterms:modified>
</cp:coreProperties>
</file>