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35B57" w14:textId="77777777" w:rsidR="000D5167" w:rsidRPr="00D61E39" w:rsidRDefault="00D61E39">
      <w:pPr>
        <w:spacing w:after="0" w:line="259" w:lineRule="auto"/>
        <w:ind w:right="-12"/>
        <w:jc w:val="right"/>
        <w:rPr>
          <w:lang w:val="lv-LV"/>
        </w:rPr>
      </w:pPr>
      <w:r w:rsidRPr="00D61E39">
        <w:rPr>
          <w:b/>
          <w:lang w:val="lv-LV"/>
        </w:rPr>
        <w:t>STARPTAUTISKO DZELZCEĻA</w:t>
      </w:r>
    </w:p>
    <w:p w14:paraId="6153D12D" w14:textId="77777777" w:rsidR="000D5167" w:rsidRPr="00D61E39" w:rsidRDefault="00D61E39">
      <w:pPr>
        <w:spacing w:after="0" w:line="259" w:lineRule="auto"/>
        <w:ind w:right="-12"/>
        <w:jc w:val="right"/>
        <w:rPr>
          <w:lang w:val="lv-LV"/>
        </w:rPr>
      </w:pPr>
      <w:r w:rsidRPr="00D61E39">
        <w:rPr>
          <w:b/>
          <w:lang w:val="lv-LV"/>
        </w:rPr>
        <w:t xml:space="preserve"> PĀRVADĀJUMU STARPVALDĪBU </w:t>
      </w:r>
    </w:p>
    <w:p w14:paraId="678C8A81" w14:textId="77777777" w:rsidR="000D5167" w:rsidRPr="00D61E39" w:rsidRDefault="00D61E39">
      <w:pPr>
        <w:spacing w:after="0" w:line="259" w:lineRule="auto"/>
        <w:ind w:right="-12"/>
        <w:jc w:val="right"/>
        <w:rPr>
          <w:lang w:val="lv-LV"/>
        </w:rPr>
      </w:pPr>
      <w:r w:rsidRPr="00D61E39">
        <w:rPr>
          <w:b/>
          <w:lang w:val="lv-LV"/>
        </w:rPr>
        <w:t>ORGANIZĀCIJA (OTIF)</w:t>
      </w:r>
    </w:p>
    <w:p w14:paraId="15AA6AEE" w14:textId="77777777" w:rsidR="000D5167" w:rsidRPr="00D61E39" w:rsidRDefault="00D61E39">
      <w:pPr>
        <w:spacing w:after="236" w:line="259" w:lineRule="auto"/>
        <w:ind w:right="-12"/>
        <w:jc w:val="right"/>
        <w:rPr>
          <w:lang w:val="lv-LV"/>
        </w:rPr>
      </w:pPr>
      <w:r w:rsidRPr="00D61E39">
        <w:rPr>
          <w:b/>
          <w:lang w:val="lv-LV"/>
        </w:rPr>
        <w:t>Ģenerālā Asambleja</w:t>
      </w:r>
    </w:p>
    <w:p w14:paraId="45D4EDCC" w14:textId="77777777" w:rsidR="000D5167" w:rsidRPr="00D61E39" w:rsidRDefault="00D61E39">
      <w:pPr>
        <w:spacing w:after="257" w:line="226" w:lineRule="auto"/>
        <w:ind w:left="7942" w:right="0" w:hanging="804"/>
        <w:jc w:val="left"/>
        <w:rPr>
          <w:lang w:val="lv-LV"/>
        </w:rPr>
      </w:pPr>
      <w:r w:rsidRPr="00D61E39">
        <w:rPr>
          <w:b/>
          <w:lang w:val="lv-LV"/>
        </w:rPr>
        <w:t>AG 12/NOT/Add.2 21.10.2015.</w:t>
      </w:r>
    </w:p>
    <w:p w14:paraId="14B393F0" w14:textId="77777777" w:rsidR="000D5167" w:rsidRPr="00D61E39" w:rsidRDefault="00D61E39">
      <w:pPr>
        <w:spacing w:after="1440" w:line="259" w:lineRule="auto"/>
        <w:ind w:left="0" w:firstLine="0"/>
        <w:jc w:val="right"/>
        <w:rPr>
          <w:lang w:val="lv-LV"/>
        </w:rPr>
      </w:pPr>
      <w:r w:rsidRPr="00D61E39">
        <w:rPr>
          <w:lang w:val="lv-LV"/>
        </w:rPr>
        <w:t>Oriģināls: franču valodā/vācu valodā</w:t>
      </w:r>
    </w:p>
    <w:p w14:paraId="483F1615" w14:textId="77777777" w:rsidR="000D5167" w:rsidRPr="00D61E39" w:rsidRDefault="00D61E39">
      <w:pPr>
        <w:spacing w:after="257" w:line="226" w:lineRule="auto"/>
        <w:ind w:left="-15" w:right="0" w:firstLine="0"/>
        <w:jc w:val="left"/>
        <w:rPr>
          <w:lang w:val="lv-LV"/>
        </w:rPr>
      </w:pPr>
      <w:r w:rsidRPr="00D61E39">
        <w:rPr>
          <w:b/>
          <w:lang w:val="lv-LV"/>
        </w:rPr>
        <w:t>12.</w:t>
      </w:r>
      <w:r w:rsidRPr="00D61E39">
        <w:rPr>
          <w:b/>
          <w:sz w:val="28"/>
          <w:lang w:val="lv-LV"/>
        </w:rPr>
        <w:t xml:space="preserve"> </w:t>
      </w:r>
      <w:r w:rsidRPr="00D61E39">
        <w:rPr>
          <w:b/>
          <w:lang w:val="lv-LV"/>
        </w:rPr>
        <w:t>ĢENERĀLĀ ASAMBLEJA</w:t>
      </w:r>
    </w:p>
    <w:p w14:paraId="373F10CD" w14:textId="77777777" w:rsidR="000D5167" w:rsidRPr="00D61E39" w:rsidRDefault="00D61E39">
      <w:pPr>
        <w:spacing w:after="319" w:line="259" w:lineRule="auto"/>
        <w:ind w:left="-29" w:right="0" w:firstLine="0"/>
        <w:jc w:val="left"/>
        <w:rPr>
          <w:lang w:val="lv-LV"/>
        </w:rPr>
      </w:pPr>
      <w:r w:rsidRPr="00D61E39">
        <w:rPr>
          <w:noProof/>
          <w:sz w:val="22"/>
          <w:lang w:val="lv-LV"/>
        </w:rPr>
        <mc:AlternateContent>
          <mc:Choice Requires="wpg">
            <w:drawing>
              <wp:inline distT="0" distB="0" distL="0" distR="0" wp14:anchorId="05D6B7C0" wp14:editId="1953F4FA">
                <wp:extent cx="5759450" cy="6350"/>
                <wp:effectExtent l="0" t="0" r="0" b="0"/>
                <wp:docPr id="1145" name="Group 1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6350"/>
                          <a:chOff x="0" y="0"/>
                          <a:chExt cx="5759450" cy="6350"/>
                        </a:xfrm>
                      </wpg:grpSpPr>
                      <wps:wsp>
                        <wps:cNvPr id="15" name="Shape 15"/>
                        <wps:cNvSpPr/>
                        <wps:spPr>
                          <a:xfrm>
                            <a:off x="0" y="0"/>
                            <a:ext cx="5759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9450">
                                <a:moveTo>
                                  <a:pt x="0" y="0"/>
                                </a:moveTo>
                                <a:lnTo>
                                  <a:pt x="5759450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45" style="width:453.5pt;height:0.5pt;mso-position-horizontal-relative:char;mso-position-vertical-relative:line" coordsize="57594,63">
                <v:shape id="Shape 15" style="position:absolute;width:57594;height:0;left:0;top:0;" coordsize="5759450,0" path="m0,0l5759450,0">
                  <v:stroke weight="0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97454E7" w14:textId="77777777" w:rsidR="000D5167" w:rsidRPr="00D61E39" w:rsidRDefault="00D61E39">
      <w:pPr>
        <w:ind w:left="-5" w:right="2790"/>
        <w:rPr>
          <w:lang w:val="lv-LV"/>
        </w:rPr>
      </w:pPr>
      <w:r w:rsidRPr="00D61E39">
        <w:rPr>
          <w:lang w:val="lv-LV"/>
        </w:rPr>
        <w:t>D papildinājuma grozījumi (</w:t>
      </w:r>
      <w:r w:rsidRPr="00D61E39">
        <w:rPr>
          <w:i/>
          <w:lang w:val="lv-LV"/>
        </w:rPr>
        <w:t>CUV</w:t>
      </w:r>
      <w:r w:rsidRPr="00D61E39">
        <w:rPr>
          <w:lang w:val="lv-LV"/>
        </w:rPr>
        <w:t xml:space="preserve"> vienveida noteikumi) (Grozītais teksts)</w:t>
      </w:r>
      <w:r w:rsidRPr="00D61E39">
        <w:rPr>
          <w:lang w:val="lv-LV"/>
        </w:rPr>
        <w:br w:type="page"/>
      </w:r>
    </w:p>
    <w:p w14:paraId="4EE9DFE2" w14:textId="77777777" w:rsidR="000D5167" w:rsidRPr="00D61E39" w:rsidRDefault="00D61E39">
      <w:pPr>
        <w:spacing w:after="812" w:line="259" w:lineRule="auto"/>
        <w:ind w:left="0" w:right="0" w:firstLine="0"/>
        <w:jc w:val="center"/>
        <w:rPr>
          <w:lang w:val="lv-LV"/>
        </w:rPr>
      </w:pPr>
      <w:r w:rsidRPr="00D61E39">
        <w:rPr>
          <w:sz w:val="22"/>
          <w:lang w:val="lv-LV"/>
        </w:rPr>
        <w:lastRenderedPageBreak/>
        <w:t>2</w:t>
      </w:r>
    </w:p>
    <w:p w14:paraId="7D3EC341" w14:textId="77777777" w:rsidR="000D5167" w:rsidRPr="00D61E39" w:rsidRDefault="00D61E39">
      <w:pPr>
        <w:pStyle w:val="Heading1"/>
        <w:ind w:right="2"/>
        <w:rPr>
          <w:lang w:val="lv-LV"/>
        </w:rPr>
      </w:pPr>
      <w:r w:rsidRPr="00D61E39">
        <w:rPr>
          <w:lang w:val="lv-LV"/>
        </w:rPr>
        <w:t>Teksta grozījumi</w:t>
      </w:r>
    </w:p>
    <w:p w14:paraId="6BD592DD" w14:textId="77777777" w:rsidR="000D5167" w:rsidRPr="00D61E39" w:rsidRDefault="00D61E39">
      <w:pPr>
        <w:spacing w:after="273"/>
        <w:ind w:left="-5" w:right="-3"/>
        <w:rPr>
          <w:lang w:val="lv-LV"/>
        </w:rPr>
      </w:pPr>
      <w:r w:rsidRPr="00D61E39">
        <w:rPr>
          <w:lang w:val="lv-LV"/>
        </w:rPr>
        <w:t>1. Pēc Vienveida noteikumu attiecībā uz līgumiem par transportlīdzekļu izmantošanu starptautiskajā dzelzceļa satiksmē (</w:t>
      </w:r>
      <w:r w:rsidRPr="00D61E39">
        <w:rPr>
          <w:i/>
          <w:lang w:val="lv-LV"/>
        </w:rPr>
        <w:t>CUV</w:t>
      </w:r>
      <w:r w:rsidRPr="00D61E39">
        <w:rPr>
          <w:lang w:val="lv-LV"/>
        </w:rPr>
        <w:t>), kas ir 1980. gada 9. maija Konvencijas par starptautiskajiem dzelzceļa pārvadājumiem (</w:t>
      </w:r>
      <w:r w:rsidRPr="00D61E39">
        <w:rPr>
          <w:i/>
          <w:lang w:val="lv-LV"/>
        </w:rPr>
        <w:t>COTIF</w:t>
      </w:r>
      <w:r w:rsidRPr="00D61E39">
        <w:rPr>
          <w:lang w:val="lv-LV"/>
        </w:rPr>
        <w:t>) 1999. gada 3. jūnija protokola (Viļņas protokols) D papildinājums ar grozījumiem, kas pieņemti Revīzijas komitejas 25. sesijā, 1. panta tiek iekļauts šāds jauns 1.a pants:</w:t>
      </w:r>
    </w:p>
    <w:p w14:paraId="7B702B08" w14:textId="77777777" w:rsidR="000D5167" w:rsidRPr="00D61E39" w:rsidRDefault="00D61E39">
      <w:pPr>
        <w:pStyle w:val="Heading1"/>
        <w:ind w:right="0"/>
        <w:rPr>
          <w:lang w:val="lv-LV"/>
        </w:rPr>
      </w:pPr>
      <w:r w:rsidRPr="00D61E39">
        <w:rPr>
          <w:lang w:val="lv-LV"/>
        </w:rPr>
        <w:t>“1.a pants Reglamentētās jomas</w:t>
      </w:r>
    </w:p>
    <w:p w14:paraId="192FD0C3" w14:textId="77777777" w:rsidR="000D5167" w:rsidRPr="00D61E39" w:rsidRDefault="00D61E39">
      <w:pPr>
        <w:spacing w:after="273"/>
        <w:ind w:left="-5" w:right="-3"/>
        <w:rPr>
          <w:lang w:val="lv-LV"/>
        </w:rPr>
      </w:pPr>
      <w:r w:rsidRPr="00D61E39">
        <w:rPr>
          <w:lang w:val="lv-LV"/>
        </w:rPr>
        <w:t xml:space="preserve">Šie vienveida noteikumi reglamentē tikai tās pušu tiesības un saistības, kas izriet no līguma par dzelzceļa transportlīdzekļu izmantošanu transportēšanai pārvadājumos, kas tiek veikti saskaņā ar </w:t>
      </w:r>
      <w:r w:rsidRPr="00D61E39">
        <w:rPr>
          <w:i/>
          <w:lang w:val="lv-LV"/>
        </w:rPr>
        <w:t>CIV</w:t>
      </w:r>
      <w:r w:rsidRPr="00D61E39">
        <w:rPr>
          <w:lang w:val="lv-LV"/>
        </w:rPr>
        <w:t xml:space="preserve"> vienveida noteikumiem un </w:t>
      </w:r>
      <w:r w:rsidRPr="00D61E39">
        <w:rPr>
          <w:i/>
          <w:lang w:val="lv-LV"/>
        </w:rPr>
        <w:t>CIM</w:t>
      </w:r>
      <w:r w:rsidRPr="00D61E39">
        <w:rPr>
          <w:lang w:val="lv-LV"/>
        </w:rPr>
        <w:t xml:space="preserve"> vienveida noteikumiem. Valsts likumu priekšraksti, kas piemērojami dzelzceļa transportlīdzekļu izmantošanai, jo īpaši tie priekšraksti, kas attiecas uz transportlīdzekļu tehnisko pieņemšanu, uzturēšanu un ekspluatācijas drošību, tiek piemēroti bez izmaiņām.”</w:t>
      </w:r>
    </w:p>
    <w:p w14:paraId="5A68903F" w14:textId="77777777" w:rsidR="000D5167" w:rsidRPr="00D61E39" w:rsidRDefault="00D61E39">
      <w:pPr>
        <w:spacing w:after="273"/>
        <w:ind w:left="-5" w:right="-3"/>
        <w:rPr>
          <w:lang w:val="lv-LV"/>
        </w:rPr>
      </w:pPr>
      <w:r w:rsidRPr="00D61E39">
        <w:rPr>
          <w:lang w:val="lv-LV"/>
        </w:rPr>
        <w:t>2. Vienveida noteikumu attiecībā uz līgumiem par transportlīdzekļu izmantošanu starptautiskajā dzelzceļa satiksmē (</w:t>
      </w:r>
      <w:r w:rsidRPr="00D61E39">
        <w:rPr>
          <w:i/>
          <w:lang w:val="lv-LV"/>
        </w:rPr>
        <w:t>CUV</w:t>
      </w:r>
      <w:r w:rsidRPr="00D61E39">
        <w:rPr>
          <w:lang w:val="lv-LV"/>
        </w:rPr>
        <w:t>), kas ir 1980. gada 9. maija Konvencijas par starptautiskajiem dzelzceļa pārvadājumiem (</w:t>
      </w:r>
      <w:r w:rsidRPr="00D61E39">
        <w:rPr>
          <w:i/>
          <w:lang w:val="lv-LV"/>
        </w:rPr>
        <w:t>COTIF</w:t>
      </w:r>
      <w:r w:rsidRPr="00D61E39">
        <w:rPr>
          <w:lang w:val="lv-LV"/>
        </w:rPr>
        <w:t>) 1999. gada 3. jūnija protokola (Viļņas protokols) D papildinājums ar grozījumiem, kas pieņemti Revīzijas komitejas 25. sesijā, 9. pants ir izteikts šādā redakcijā:</w:t>
      </w:r>
    </w:p>
    <w:p w14:paraId="78729EB2" w14:textId="77777777" w:rsidR="000D5167" w:rsidRPr="00D61E39" w:rsidRDefault="00D61E39">
      <w:pPr>
        <w:pStyle w:val="Heading1"/>
        <w:ind w:right="0"/>
        <w:rPr>
          <w:lang w:val="lv-LV"/>
        </w:rPr>
      </w:pPr>
      <w:r w:rsidRPr="00D61E39">
        <w:rPr>
          <w:lang w:val="lv-LV"/>
        </w:rPr>
        <w:t>“9. pants Atbildība par darbiniekiem un citām personām</w:t>
      </w:r>
    </w:p>
    <w:p w14:paraId="603EFC63" w14:textId="77777777" w:rsidR="000D5167" w:rsidRPr="00D61E39" w:rsidRDefault="00D61E39">
      <w:pPr>
        <w:ind w:left="694" w:right="-3" w:hanging="709"/>
        <w:rPr>
          <w:lang w:val="lv-LV"/>
        </w:rPr>
      </w:pPr>
      <w:r w:rsidRPr="00D61E39">
        <w:rPr>
          <w:lang w:val="lv-LV"/>
        </w:rPr>
        <w:t>1.§. Līguma puses ir atbildīgas par saviem darbiniekiem un citām personām, kuru pakalpojumus tās izmanto līguma izpildei, ja šie darbinieki un citas personas rīkojas savu funkciju ietvaros.</w:t>
      </w:r>
    </w:p>
    <w:p w14:paraId="6B654731" w14:textId="77777777" w:rsidR="000D5167" w:rsidRPr="00D61E39" w:rsidRDefault="00D61E39">
      <w:pPr>
        <w:ind w:left="694" w:right="-3" w:hanging="709"/>
        <w:rPr>
          <w:lang w:val="lv-LV"/>
        </w:rPr>
      </w:pPr>
      <w:r w:rsidRPr="00D61E39">
        <w:rPr>
          <w:lang w:val="lv-LV"/>
        </w:rPr>
        <w:t>2.§. Ja līguma puses nevienojas citādi, tās infrastruktūras pārvaldītāji, kurā dzelzceļa transporta uzņēmumi lieto transportlīdzekli transportēšanas darbību veikšanai, tiek uzskatīti par personām, kuru pakalpojumus izmanto dzelzceļa transporta uzņēmums.</w:t>
      </w:r>
    </w:p>
    <w:p w14:paraId="27690BDA" w14:textId="77777777" w:rsidR="000D5167" w:rsidRPr="00D61E39" w:rsidRDefault="00D61E39">
      <w:pPr>
        <w:spacing w:after="0"/>
        <w:ind w:left="709" w:right="0" w:hanging="709"/>
        <w:jc w:val="left"/>
        <w:rPr>
          <w:lang w:val="lv-LV"/>
        </w:rPr>
      </w:pPr>
      <w:r w:rsidRPr="00D61E39">
        <w:rPr>
          <w:lang w:val="lv-LV"/>
        </w:rPr>
        <w:t>3.§.</w:t>
      </w:r>
      <w:r w:rsidRPr="00D61E39">
        <w:rPr>
          <w:lang w:val="lv-LV"/>
        </w:rPr>
        <w:tab/>
      </w:r>
      <w:r w:rsidRPr="00D61E39">
        <w:rPr>
          <w:i/>
          <w:lang w:val="lv-LV"/>
        </w:rPr>
        <w:t>ATMF</w:t>
      </w:r>
      <w:r w:rsidRPr="00D61E39">
        <w:rPr>
          <w:lang w:val="lv-LV"/>
        </w:rPr>
        <w:t xml:space="preserve"> vienveida noteikumu 15. panta 2. punktā definēto uzņēmumu, kas ir atbildīgs par uzturēšanu (</w:t>
      </w:r>
      <w:r w:rsidRPr="00D61E39">
        <w:rPr>
          <w:i/>
          <w:lang w:val="lv-LV"/>
        </w:rPr>
        <w:t>ECM</w:t>
      </w:r>
      <w:r w:rsidRPr="00D61E39">
        <w:rPr>
          <w:lang w:val="lv-LV"/>
        </w:rPr>
        <w:t>), uzskata par personu, kuras pakalpojumus izmanto attiecīgais valdītājs.</w:t>
      </w:r>
    </w:p>
    <w:p w14:paraId="03F87727" w14:textId="77777777" w:rsidR="000D5167" w:rsidRPr="00D61E39" w:rsidRDefault="00D61E39">
      <w:pPr>
        <w:ind w:left="719" w:right="-3"/>
        <w:rPr>
          <w:lang w:val="lv-LV"/>
        </w:rPr>
      </w:pPr>
      <w:r w:rsidRPr="00D61E39">
        <w:rPr>
          <w:lang w:val="lv-LV"/>
        </w:rPr>
        <w:t xml:space="preserve">1. pantā noteiktajā līgumā iekļauj attiecīgus noteikumus, lai nodrošinātu informācijas apmaiņu starp </w:t>
      </w:r>
      <w:r w:rsidRPr="00D61E39">
        <w:rPr>
          <w:i/>
          <w:lang w:val="lv-LV"/>
        </w:rPr>
        <w:t>ECM</w:t>
      </w:r>
      <w:r w:rsidRPr="00D61E39">
        <w:rPr>
          <w:lang w:val="lv-LV"/>
        </w:rPr>
        <w:t xml:space="preserve"> un dzelzceļa pārvadātāju saskaņā ar </w:t>
      </w:r>
      <w:r w:rsidRPr="00D61E39">
        <w:rPr>
          <w:i/>
          <w:lang w:val="lv-LV"/>
        </w:rPr>
        <w:t>ATMF</w:t>
      </w:r>
      <w:r w:rsidRPr="00D61E39">
        <w:rPr>
          <w:lang w:val="lv-LV"/>
        </w:rPr>
        <w:t xml:space="preserve"> vienveida noteikumu 15. panta 3. paragrāfu.</w:t>
      </w:r>
    </w:p>
    <w:p w14:paraId="6DFFB52F" w14:textId="77777777" w:rsidR="000D5167" w:rsidRPr="00D61E39" w:rsidRDefault="00D61E39">
      <w:pPr>
        <w:ind w:left="694" w:right="-3" w:hanging="709"/>
        <w:rPr>
          <w:lang w:val="lv-LV"/>
        </w:rPr>
      </w:pPr>
      <w:r w:rsidRPr="00D61E39">
        <w:rPr>
          <w:lang w:val="lv-LV"/>
        </w:rPr>
        <w:t>4.§. 1., 2. un 3. paragrāfu piemēro arī prasības tiesību pārņemšanas gadījumā saskaņā ar 8. pantu.”</w:t>
      </w:r>
    </w:p>
    <w:sectPr w:rsidR="000D5167" w:rsidRPr="00D61E39">
      <w:pgSz w:w="11906" w:h="16838"/>
      <w:pgMar w:top="574" w:right="1131" w:bottom="3871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167"/>
    <w:rsid w:val="000D5167"/>
    <w:rsid w:val="00394FDC"/>
    <w:rsid w:val="008E2009"/>
    <w:rsid w:val="00931101"/>
    <w:rsid w:val="00D6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72C4"/>
  <w15:docId w15:val="{BF189C0D-6229-47B4-9985-288720CB2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29" w:lineRule="auto"/>
      <w:ind w:left="10" w:right="3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6" w:line="259" w:lineRule="auto"/>
      <w:ind w:left="10" w:right="3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07E8496B49E0A4CBBE62DF57FFAE875" ma:contentTypeVersion="15" ma:contentTypeDescription="Izveidot jaunu dokumentu." ma:contentTypeScope="" ma:versionID="f781df68b35c1a01357d2391215027b0">
  <xsd:schema xmlns:xsd="http://www.w3.org/2001/XMLSchema" xmlns:xs="http://www.w3.org/2001/XMLSchema" xmlns:p="http://schemas.microsoft.com/office/2006/metadata/properties" xmlns:ns2="9306484d-546d-4676-815d-28a31f897f56" xmlns:ns3="65b02749-e2fd-4b1d-ba9d-81e7f2b37e61" targetNamespace="http://schemas.microsoft.com/office/2006/metadata/properties" ma:root="true" ma:fieldsID="2d51d0a1cf1949df7d27309de8e7cd73" ns2:_="" ns3:_="">
    <xsd:import namespace="9306484d-546d-4676-815d-28a31f897f56"/>
    <xsd:import namespace="65b02749-e2fd-4b1d-ba9d-81e7f2b37e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6484d-546d-4676-815d-28a31f897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02749-e2fd-4b1d-ba9d-81e7f2b37e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50e7da-c951-46ce-9f88-6f29dfdb7c60}" ma:internalName="TaxCatchAll" ma:showField="CatchAllData" ma:web="65b02749-e2fd-4b1d-ba9d-81e7f2b37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06484d-546d-4676-815d-28a31f897f56">
      <Terms xmlns="http://schemas.microsoft.com/office/infopath/2007/PartnerControls"/>
    </lcf76f155ced4ddcb4097134ff3c332f>
    <TaxCatchAll xmlns="65b02749-e2fd-4b1d-ba9d-81e7f2b37e6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A2CA44-7069-4590-ABF5-FEE828EBD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06484d-546d-4676-815d-28a31f897f56"/>
    <ds:schemaRef ds:uri="65b02749-e2fd-4b1d-ba9d-81e7f2b37e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77F2CB-FF17-48B6-A84B-0F7D4100A167}">
  <ds:schemaRefs>
    <ds:schemaRef ds:uri="http://schemas.microsoft.com/office/2006/metadata/properties"/>
    <ds:schemaRef ds:uri="http://schemas.microsoft.com/office/infopath/2007/PartnerControls"/>
    <ds:schemaRef ds:uri="9306484d-546d-4676-815d-28a31f897f56"/>
    <ds:schemaRef ds:uri="65b02749-e2fd-4b1d-ba9d-81e7f2b37e61"/>
  </ds:schemaRefs>
</ds:datastoreItem>
</file>

<file path=customXml/itemProps3.xml><?xml version="1.0" encoding="utf-8"?>
<ds:datastoreItem xmlns:ds="http://schemas.openxmlformats.org/officeDocument/2006/customXml" ds:itemID="{B226D2CF-ED52-457C-BFEA-DBC3F0FB1C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Māris Aizstrauts</dc:creator>
  <cp:keywords/>
  <cp:lastModifiedBy>Santa Balaša</cp:lastModifiedBy>
  <cp:revision>2</cp:revision>
  <dcterms:created xsi:type="dcterms:W3CDTF">2025-02-10T12:00:00Z</dcterms:created>
  <dcterms:modified xsi:type="dcterms:W3CDTF">2025-02-10T12:00:00Z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0x010100507E8496B49E0A4CBBE62DF57FFAE875</vt:lpwstr>
  </property>
</Properties>
</file>