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2DF20" w14:textId="77777777" w:rsidR="00B47932" w:rsidRDefault="00B47932" w:rsidP="00B47932">
      <w:pPr>
        <w:spacing w:after="240"/>
        <w:jc w:val="center"/>
      </w:pPr>
      <w:r>
        <w:rPr>
          <w:b/>
          <w:bCs/>
          <w:sz w:val="32"/>
          <w:szCs w:val="32"/>
        </w:rPr>
        <w:t>INFORMATĪVAIS ZIŅOJUMS</w:t>
      </w:r>
    </w:p>
    <w:p w14:paraId="5A96A1CB" w14:textId="77777777" w:rsidR="00B47932" w:rsidRDefault="00B47932" w:rsidP="00B47932">
      <w:pPr>
        <w:spacing w:after="600"/>
        <w:jc w:val="center"/>
      </w:pPr>
      <w:r>
        <w:rPr>
          <w:b/>
          <w:bCs/>
          <w:sz w:val="28"/>
          <w:szCs w:val="28"/>
        </w:rPr>
        <w:t xml:space="preserve">par Latvijas </w:t>
      </w:r>
      <w:r w:rsidRPr="36F34738">
        <w:rPr>
          <w:b/>
          <w:bCs/>
          <w:sz w:val="28"/>
          <w:szCs w:val="28"/>
        </w:rPr>
        <w:t>ilgtspējīgas</w:t>
      </w:r>
      <w:r>
        <w:rPr>
          <w:b/>
          <w:bCs/>
          <w:sz w:val="28"/>
          <w:szCs w:val="28"/>
        </w:rPr>
        <w:t xml:space="preserve"> enerģijas tehnoloģiju attīstības plāna līdz 2035. gadam īstenošanas gaitu</w:t>
      </w:r>
    </w:p>
    <w:p w14:paraId="5FC9DA69" w14:textId="77777777" w:rsidR="00B47932" w:rsidRDefault="00B47932" w:rsidP="00B47932">
      <w:pPr>
        <w:pStyle w:val="Heading1"/>
      </w:pPr>
      <w:r>
        <w:t>Saīsinājumu skaidrojums</w:t>
      </w:r>
    </w:p>
    <w:p w14:paraId="5DCCDD09" w14:textId="77777777" w:rsidR="00B47932" w:rsidRDefault="00B47932" w:rsidP="00B47932">
      <w:pPr>
        <w:spacing w:after="80"/>
        <w:jc w:val="both"/>
      </w:pPr>
      <w:r>
        <w:rPr>
          <w:b/>
          <w:bCs/>
        </w:rPr>
        <w:t xml:space="preserve">AER — </w:t>
      </w:r>
      <w:proofErr w:type="spellStart"/>
      <w:r>
        <w:t>atjaunīgie</w:t>
      </w:r>
      <w:proofErr w:type="spellEnd"/>
      <w:r>
        <w:t xml:space="preserve"> energoresursi</w:t>
      </w:r>
    </w:p>
    <w:p w14:paraId="17489BE2" w14:textId="77777777" w:rsidR="00B47932" w:rsidRDefault="00B47932" w:rsidP="00B47932">
      <w:pPr>
        <w:spacing w:after="80"/>
        <w:jc w:val="both"/>
      </w:pPr>
      <w:r>
        <w:rPr>
          <w:b/>
          <w:bCs/>
        </w:rPr>
        <w:t xml:space="preserve">CUN — </w:t>
      </w:r>
      <w:r>
        <w:t xml:space="preserve">cenu starpības nolīgumi (angļu val. </w:t>
      </w:r>
      <w:proofErr w:type="spellStart"/>
      <w:r>
        <w:t>Contracts</w:t>
      </w:r>
      <w:proofErr w:type="spellEnd"/>
      <w:r>
        <w:t xml:space="preserve"> </w:t>
      </w:r>
      <w:proofErr w:type="spellStart"/>
      <w:r>
        <w:t>for</w:t>
      </w:r>
      <w:proofErr w:type="spellEnd"/>
      <w:r>
        <w:t xml:space="preserve"> </w:t>
      </w:r>
      <w:proofErr w:type="spellStart"/>
      <w:r>
        <w:t>Difference</w:t>
      </w:r>
      <w:proofErr w:type="spellEnd"/>
      <w:r>
        <w:t xml:space="preserve">, </w:t>
      </w:r>
      <w:proofErr w:type="spellStart"/>
      <w:r>
        <w:t>CfD</w:t>
      </w:r>
      <w:proofErr w:type="spellEnd"/>
      <w:r>
        <w:t>)</w:t>
      </w:r>
    </w:p>
    <w:p w14:paraId="5790D902" w14:textId="77777777" w:rsidR="00B47932" w:rsidRDefault="00B47932" w:rsidP="00B47932">
      <w:pPr>
        <w:spacing w:after="80"/>
        <w:jc w:val="both"/>
      </w:pPr>
      <w:r>
        <w:rPr>
          <w:b/>
          <w:bCs/>
        </w:rPr>
        <w:t xml:space="preserve">EK — </w:t>
      </w:r>
      <w:r>
        <w:t>Eiropas Komisija</w:t>
      </w:r>
    </w:p>
    <w:p w14:paraId="6AE20C7F" w14:textId="77777777" w:rsidR="00B47932" w:rsidRDefault="00B47932" w:rsidP="00B47932">
      <w:pPr>
        <w:spacing w:after="80"/>
        <w:jc w:val="both"/>
      </w:pPr>
      <w:r>
        <w:rPr>
          <w:b/>
          <w:bCs/>
        </w:rPr>
        <w:t xml:space="preserve">EM — </w:t>
      </w:r>
      <w:r>
        <w:t>Ekonomikas ministrija</w:t>
      </w:r>
    </w:p>
    <w:p w14:paraId="7D065E1E" w14:textId="77777777" w:rsidR="00B47932" w:rsidRDefault="00B47932" w:rsidP="00B47932">
      <w:pPr>
        <w:spacing w:after="80"/>
        <w:jc w:val="both"/>
      </w:pPr>
      <w:r>
        <w:rPr>
          <w:b/>
          <w:bCs/>
        </w:rPr>
        <w:t xml:space="preserve">ES — </w:t>
      </w:r>
      <w:r>
        <w:t>Eiropas Savienība</w:t>
      </w:r>
    </w:p>
    <w:p w14:paraId="78559A02" w14:textId="77777777" w:rsidR="00B47932" w:rsidRDefault="00B47932" w:rsidP="00B47932">
      <w:pPr>
        <w:spacing w:after="80"/>
        <w:jc w:val="both"/>
      </w:pPr>
      <w:r>
        <w:rPr>
          <w:b/>
          <w:bCs/>
        </w:rPr>
        <w:t xml:space="preserve">IVN — </w:t>
      </w:r>
      <w:r>
        <w:t>ietekmes uz vidi novērtējums</w:t>
      </w:r>
    </w:p>
    <w:p w14:paraId="07023B56" w14:textId="77777777" w:rsidR="00B47932" w:rsidRDefault="00B47932" w:rsidP="00B47932">
      <w:pPr>
        <w:spacing w:after="80"/>
        <w:jc w:val="both"/>
      </w:pPr>
      <w:r>
        <w:rPr>
          <w:b/>
          <w:bCs/>
        </w:rPr>
        <w:t xml:space="preserve">LIAA — </w:t>
      </w:r>
      <w:r>
        <w:t>Latvijas Investīciju un attīstības aģentūra</w:t>
      </w:r>
    </w:p>
    <w:p w14:paraId="7BAB0869" w14:textId="77777777" w:rsidR="00B47932" w:rsidRDefault="00B47932" w:rsidP="00B47932">
      <w:pPr>
        <w:spacing w:after="80"/>
        <w:jc w:val="both"/>
      </w:pPr>
      <w:r>
        <w:rPr>
          <w:b/>
          <w:bCs/>
        </w:rPr>
        <w:t xml:space="preserve">LTRK — </w:t>
      </w:r>
      <w:r>
        <w:t>Latvijas Tirdzniecības un rūpniecības kamera</w:t>
      </w:r>
    </w:p>
    <w:p w14:paraId="6B6EB0DC" w14:textId="77777777" w:rsidR="00B47932" w:rsidRDefault="00B47932" w:rsidP="00B47932">
      <w:pPr>
        <w:spacing w:after="80"/>
        <w:jc w:val="both"/>
      </w:pPr>
      <w:r>
        <w:rPr>
          <w:b/>
          <w:bCs/>
        </w:rPr>
        <w:t xml:space="preserve">LU — </w:t>
      </w:r>
      <w:r>
        <w:t>Latvijas Universitāte</w:t>
      </w:r>
    </w:p>
    <w:p w14:paraId="1083C68F" w14:textId="77777777" w:rsidR="00B47932" w:rsidRDefault="00B47932" w:rsidP="00B47932">
      <w:pPr>
        <w:spacing w:after="80"/>
        <w:jc w:val="both"/>
      </w:pPr>
      <w:r>
        <w:rPr>
          <w:b/>
          <w:bCs/>
        </w:rPr>
        <w:t xml:space="preserve">MK — </w:t>
      </w:r>
      <w:r>
        <w:t>Ministru kabinets</w:t>
      </w:r>
    </w:p>
    <w:p w14:paraId="2A651F50" w14:textId="77777777" w:rsidR="00B47932" w:rsidRDefault="00B47932" w:rsidP="00B47932">
      <w:pPr>
        <w:spacing w:after="80"/>
        <w:jc w:val="both"/>
      </w:pPr>
      <w:r>
        <w:rPr>
          <w:b/>
          <w:bCs/>
        </w:rPr>
        <w:t xml:space="preserve">MVU — </w:t>
      </w:r>
      <w:r>
        <w:t>mazie un vidējie uzņēmumi</w:t>
      </w:r>
    </w:p>
    <w:p w14:paraId="046EFEDB" w14:textId="77777777" w:rsidR="00B47932" w:rsidRDefault="00B47932" w:rsidP="00B47932">
      <w:pPr>
        <w:spacing w:after="80"/>
        <w:jc w:val="both"/>
      </w:pPr>
      <w:r>
        <w:rPr>
          <w:b/>
          <w:bCs/>
        </w:rPr>
        <w:t xml:space="preserve">NEKP — </w:t>
      </w:r>
      <w:r>
        <w:t>Nacionālais enerģētikas un klimata plāns</w:t>
      </w:r>
    </w:p>
    <w:p w14:paraId="3133D347" w14:textId="77777777" w:rsidR="00B47932" w:rsidRDefault="00B47932" w:rsidP="00B47932">
      <w:pPr>
        <w:spacing w:after="80"/>
        <w:jc w:val="both"/>
      </w:pPr>
      <w:r>
        <w:rPr>
          <w:b/>
          <w:bCs/>
        </w:rPr>
        <w:t xml:space="preserve">OUU — </w:t>
      </w:r>
      <w:r>
        <w:t>oglekļa uztveršana un uzglabāšana (angļu val. CCS)</w:t>
      </w:r>
    </w:p>
    <w:p w14:paraId="2C3D1BB8" w14:textId="77777777" w:rsidR="00B47932" w:rsidRDefault="00B47932" w:rsidP="00B47932">
      <w:pPr>
        <w:spacing w:after="80"/>
        <w:jc w:val="both"/>
      </w:pPr>
      <w:r>
        <w:rPr>
          <w:b/>
          <w:bCs/>
        </w:rPr>
        <w:t xml:space="preserve">Plāns — </w:t>
      </w:r>
      <w:r>
        <w:t>Latvijas ilgtspējīgas enerģijas tehnoloģiju attīstības plāns līdz 2035. gadam</w:t>
      </w:r>
    </w:p>
    <w:p w14:paraId="3F5D1BEA" w14:textId="77777777" w:rsidR="00B47932" w:rsidRDefault="00B47932" w:rsidP="00B47932">
      <w:pPr>
        <w:spacing w:after="80"/>
        <w:jc w:val="both"/>
      </w:pPr>
      <w:r>
        <w:rPr>
          <w:b/>
          <w:bCs/>
        </w:rPr>
        <w:t xml:space="preserve">SEG — </w:t>
      </w:r>
      <w:r>
        <w:t>siltumnīcefekta gāzes</w:t>
      </w:r>
    </w:p>
    <w:p w14:paraId="7204B114" w14:textId="77777777" w:rsidR="00B47932" w:rsidRDefault="00B47932" w:rsidP="00B47932">
      <w:pPr>
        <w:spacing w:after="80"/>
        <w:jc w:val="both"/>
      </w:pPr>
      <w:r>
        <w:rPr>
          <w:b/>
          <w:bCs/>
        </w:rPr>
        <w:t xml:space="preserve">SEZ — </w:t>
      </w:r>
      <w:r>
        <w:t>speciālās ekonomiskās zonas</w:t>
      </w:r>
    </w:p>
    <w:p w14:paraId="390A3AA3" w14:textId="77777777" w:rsidR="00B47932" w:rsidRDefault="00B47932" w:rsidP="00B47932">
      <w:pPr>
        <w:spacing w:after="80"/>
        <w:jc w:val="both"/>
      </w:pPr>
      <w:r>
        <w:rPr>
          <w:b/>
          <w:bCs/>
        </w:rPr>
        <w:t xml:space="preserve">TEL — </w:t>
      </w:r>
      <w:r>
        <w:t xml:space="preserve">tiešie elektroenerģijas tirdzniecības līgumi (angļu val. </w:t>
      </w:r>
      <w:proofErr w:type="spellStart"/>
      <w:r>
        <w:t>Power</w:t>
      </w:r>
      <w:proofErr w:type="spellEnd"/>
      <w:r>
        <w:t xml:space="preserve"> </w:t>
      </w:r>
      <w:proofErr w:type="spellStart"/>
      <w:r>
        <w:t>Purchase</w:t>
      </w:r>
      <w:proofErr w:type="spellEnd"/>
      <w:r>
        <w:t xml:space="preserve"> </w:t>
      </w:r>
      <w:proofErr w:type="spellStart"/>
      <w:r>
        <w:t>Agreements</w:t>
      </w:r>
      <w:proofErr w:type="spellEnd"/>
      <w:r>
        <w:t>, PPA)</w:t>
      </w:r>
    </w:p>
    <w:p w14:paraId="5878481E" w14:textId="77777777" w:rsidR="00B47932" w:rsidRDefault="00B47932" w:rsidP="00B47932">
      <w:pPr>
        <w:spacing w:after="80"/>
        <w:jc w:val="both"/>
      </w:pPr>
    </w:p>
    <w:p w14:paraId="19739CFD" w14:textId="77777777" w:rsidR="00B47932" w:rsidRDefault="00B47932" w:rsidP="00B47932">
      <w:pPr>
        <w:pStyle w:val="Heading1"/>
        <w:spacing w:before="360"/>
      </w:pPr>
      <w:r>
        <w:t>1. Ievads</w:t>
      </w:r>
    </w:p>
    <w:p w14:paraId="035A5395" w14:textId="77777777" w:rsidR="00B47932" w:rsidRDefault="00B47932" w:rsidP="00B47932">
      <w:pPr>
        <w:spacing w:after="160"/>
        <w:ind w:firstLine="709"/>
        <w:jc w:val="both"/>
      </w:pPr>
      <w:r>
        <w:t>Latvijas ilgtspējīgas enerģijas tehnoloģiju attīstības plāns līdz 2035. gadam</w:t>
      </w:r>
      <w:r>
        <w:rPr>
          <w:rStyle w:val="FootnoteReference"/>
        </w:rPr>
        <w:footnoteReference w:id="1"/>
      </w:r>
      <w:r>
        <w:t xml:space="preserve"> (turpmāk — Plāns) ir EM izstrādāts politikas plānošanas dokuments, kas nosaka prioritāros rīcības virzienus ilgtspējīgas enerģijas tehnoloģiju izmantošanai un ražošanas attīstībai, Latvijas industrijas dekarbonizācijai, kā arī </w:t>
      </w:r>
      <w:proofErr w:type="spellStart"/>
      <w:r>
        <w:t>klimatneitrālo</w:t>
      </w:r>
      <w:proofErr w:type="spellEnd"/>
      <w:r>
        <w:t xml:space="preserve"> tehnoloģiju izmantošanai produktivitātes un klimata mērķu sasniegšanai. Plāns tika apstiprināts ar MK 2026. gada 22. janvāra rīkojumu Nr. 24 (protokola Nr. 2, 24. §) (turpmāk – Rīkojums). Atbildīgā institūcija Plāna īstenošanā ir EM.</w:t>
      </w:r>
    </w:p>
    <w:p w14:paraId="3B451B0D" w14:textId="77777777" w:rsidR="00B47932" w:rsidRDefault="00B47932" w:rsidP="00B47932">
      <w:pPr>
        <w:spacing w:after="160"/>
        <w:ind w:firstLine="709"/>
        <w:jc w:val="both"/>
      </w:pPr>
      <w:r>
        <w:t xml:space="preserve">Plāns fokusējas uz trim galvenajiem virzieniem: ilgtspējīgas enerģijas tehnoloģiju ražošanas attīstību, rūpniecības sektora </w:t>
      </w:r>
      <w:proofErr w:type="spellStart"/>
      <w:r>
        <w:t>zaļināšanu</w:t>
      </w:r>
      <w:proofErr w:type="spellEnd"/>
      <w:r>
        <w:t xml:space="preserve"> un </w:t>
      </w:r>
      <w:proofErr w:type="spellStart"/>
      <w:r>
        <w:t>klimatneitrālo</w:t>
      </w:r>
      <w:proofErr w:type="spellEnd"/>
      <w:r>
        <w:t xml:space="preserve"> tehnoloģiju (tostarp zaļā ūdeņraža) izmantošanu un ekosistēmas izveidi. Plāns palīdz īstenot ES Regulu (ES) 2024/1735 par </w:t>
      </w:r>
      <w:proofErr w:type="spellStart"/>
      <w:r>
        <w:t>klimatneitrālo</w:t>
      </w:r>
      <w:proofErr w:type="spellEnd"/>
      <w:r>
        <w:t xml:space="preserve"> tehnoloģiju izgatavošanas ekosistēmas stiprināšanu</w:t>
      </w:r>
      <w:r>
        <w:rPr>
          <w:rStyle w:val="FootnoteReference"/>
        </w:rPr>
        <w:footnoteReference w:id="2"/>
      </w:r>
      <w:r>
        <w:t>.</w:t>
      </w:r>
    </w:p>
    <w:p w14:paraId="652B83BC" w14:textId="77777777" w:rsidR="00B47932" w:rsidRDefault="00B47932" w:rsidP="00B47932">
      <w:pPr>
        <w:spacing w:after="160"/>
        <w:ind w:firstLine="709"/>
        <w:jc w:val="both"/>
      </w:pPr>
      <w:r>
        <w:lastRenderedPageBreak/>
        <w:t>Saskaņā ar Rīkojuma 4. punktu EM iesniedz informatīvo ziņojumu par Plāna īstenošanas gaitu līdz 2026. gada 1. jūnijam un turpmāk reizi trijos gados. Šis ziņojums aptver sākotnējo īstenošanas posmu no Plāna apstiprināšanas līdz 2026. gada 1.jūnijam.</w:t>
      </w:r>
    </w:p>
    <w:p w14:paraId="51699E1C" w14:textId="77777777" w:rsidR="00B47932" w:rsidRDefault="00B47932" w:rsidP="00B47932">
      <w:pPr>
        <w:pStyle w:val="Heading1"/>
        <w:spacing w:before="480"/>
      </w:pPr>
      <w:r>
        <w:t>2. Normatīvā regulējuma pilnveidošana</w:t>
      </w:r>
    </w:p>
    <w:p w14:paraId="5BE377B4" w14:textId="77777777" w:rsidR="00B47932" w:rsidRDefault="00B47932" w:rsidP="00B47932">
      <w:pPr>
        <w:spacing w:after="160"/>
        <w:ind w:firstLine="709"/>
        <w:jc w:val="both"/>
      </w:pPr>
      <w:r>
        <w:t xml:space="preserve">Lai nodrošinātu </w:t>
      </w:r>
      <w:proofErr w:type="spellStart"/>
      <w:r>
        <w:t>klimatneitrālo</w:t>
      </w:r>
      <w:proofErr w:type="spellEnd"/>
      <w:r>
        <w:t xml:space="preserve"> tehnoloģiju un ūdeņraža ekosistēmas attīstību, plāns paredz nepieciešamību mazināt administratīvos šķēršļus, kur nepieciešams, veidot regulatīvās smilškastes un stiprināt institucionālo sistēmu. </w:t>
      </w:r>
    </w:p>
    <w:p w14:paraId="407424EF" w14:textId="77777777" w:rsidR="00B47932" w:rsidRDefault="00B47932" w:rsidP="00B47932">
      <w:pPr>
        <w:spacing w:after="160"/>
        <w:ind w:firstLine="709"/>
        <w:jc w:val="both"/>
      </w:pPr>
      <w:r>
        <w:t xml:space="preserve">Lai novērstu administratīvos šķēršļus un nodrošinātu stratēģisko projektu, tajā skaitā </w:t>
      </w:r>
      <w:proofErr w:type="spellStart"/>
      <w:r>
        <w:t>klimatneitrālo</w:t>
      </w:r>
      <w:proofErr w:type="spellEnd"/>
      <w:r>
        <w:t xml:space="preserve"> tehnoloģiju projektu, prioritāru virzību valsts pārvaldē nepieciešamo atļauju saņemšanai, MK 2026. gada 24. februārī pieņēma grozījumus Ministru kabineta 2025. gada 6. maija noteikumos Nr. 277 “Kārtība, kādā nodrošina prioritāru publisku pakalpojumu sniegšanu komersantiem”</w:t>
      </w:r>
      <w:r>
        <w:rPr>
          <w:rStyle w:val="FootnoteReference"/>
        </w:rPr>
        <w:footnoteReference w:id="3"/>
      </w:r>
      <w:r>
        <w:t>. Grozījumi veicina Plānā paredzēto pasākumu ieviešanu šādos aspektos:</w:t>
      </w:r>
    </w:p>
    <w:p w14:paraId="42B9B7EB" w14:textId="77777777" w:rsidR="00B47932" w:rsidRDefault="00B47932" w:rsidP="00B47932">
      <w:pPr>
        <w:pStyle w:val="ListParagraph"/>
        <w:numPr>
          <w:ilvl w:val="0"/>
          <w:numId w:val="2"/>
        </w:numPr>
        <w:spacing w:after="100"/>
        <w:jc w:val="both"/>
      </w:pPr>
      <w:proofErr w:type="spellStart"/>
      <w:r>
        <w:rPr>
          <w:b/>
          <w:bCs/>
        </w:rPr>
        <w:t>Klimatneitrālo</w:t>
      </w:r>
      <w:proofErr w:type="spellEnd"/>
      <w:r>
        <w:rPr>
          <w:b/>
          <w:bCs/>
        </w:rPr>
        <w:t xml:space="preserve"> tehnoloģiju vienotais kontaktpunkts. </w:t>
      </w:r>
      <w:r>
        <w:t xml:space="preserve">Grozījumi nosaka LIAA kā vienoto kontaktpunktu </w:t>
      </w:r>
      <w:proofErr w:type="spellStart"/>
      <w:r>
        <w:t>klimatneitrālo</w:t>
      </w:r>
      <w:proofErr w:type="spellEnd"/>
      <w:r>
        <w:t xml:space="preserve"> tehnoloģiju projektu koordinācijai saskaņā ar Regulas (ES) 2024/1735 6. un 18. pantu. LIAA koordinē atļauju piešķiršanu un stratēģisko projektu virzību, ko Plāns noteicis kā priekšnoteikumu liela mēroga investīciju piesaistei (Plāna 1.4.7. pasākums).</w:t>
      </w:r>
    </w:p>
    <w:p w14:paraId="69D19D11" w14:textId="77777777" w:rsidR="00B47932" w:rsidRDefault="00B47932" w:rsidP="00B47932">
      <w:pPr>
        <w:pStyle w:val="ListParagraph"/>
        <w:numPr>
          <w:ilvl w:val="0"/>
          <w:numId w:val="2"/>
        </w:numPr>
        <w:spacing w:after="100"/>
        <w:jc w:val="both"/>
      </w:pPr>
      <w:r>
        <w:rPr>
          <w:b/>
          <w:bCs/>
        </w:rPr>
        <w:t>Stratēģisko projektu statuss un “zaļā koridora” mehānisms</w:t>
      </w:r>
      <w:r>
        <w:rPr>
          <w:rStyle w:val="FootnoteReference"/>
          <w:b/>
          <w:bCs/>
        </w:rPr>
        <w:footnoteReference w:id="4"/>
      </w:r>
      <w:r>
        <w:rPr>
          <w:b/>
          <w:bCs/>
        </w:rPr>
        <w:t xml:space="preserve">. </w:t>
      </w:r>
      <w:r>
        <w:t xml:space="preserve">Komersanti, kuriem LIAA piešķīrusi </w:t>
      </w:r>
      <w:proofErr w:type="spellStart"/>
      <w:r>
        <w:t>klimatneitrālo</w:t>
      </w:r>
      <w:proofErr w:type="spellEnd"/>
      <w:r>
        <w:t xml:space="preserve"> tehnoloģiju stratēģiskā projekta statusu (Regulas (ES) 2024/1735 13.–14. pants), saņem tiesības uz prioritāru publisku pakalpojumu saņemšanu IVN, būvatļaujās, kadastrālajā uzmērīšanā un piesārņojošo darbību atļaujās (Plāna 1.3.1.3., 1.4.1.2. pasākums).</w:t>
      </w:r>
    </w:p>
    <w:p w14:paraId="29838831" w14:textId="77777777" w:rsidR="00B47932" w:rsidRDefault="00B47932" w:rsidP="00B47932">
      <w:pPr>
        <w:pStyle w:val="ListParagraph"/>
        <w:numPr>
          <w:ilvl w:val="0"/>
          <w:numId w:val="2"/>
        </w:numPr>
        <w:spacing w:after="100"/>
        <w:jc w:val="both"/>
      </w:pPr>
      <w:r>
        <w:rPr>
          <w:b/>
          <w:bCs/>
        </w:rPr>
        <w:t xml:space="preserve">Rūpniecības </w:t>
      </w:r>
      <w:proofErr w:type="spellStart"/>
      <w:r>
        <w:rPr>
          <w:b/>
          <w:bCs/>
        </w:rPr>
        <w:t>zaļināšanas</w:t>
      </w:r>
      <w:proofErr w:type="spellEnd"/>
      <w:r>
        <w:rPr>
          <w:b/>
          <w:bCs/>
        </w:rPr>
        <w:t xml:space="preserve"> projektu atbalsts. </w:t>
      </w:r>
      <w:r>
        <w:t xml:space="preserve">Grozījumi paplašina kvalifikācijas kritērijus, iekļaujot komersantus, kas īsteno energoefektivitātes, elektrifikācijas vai AER projektus ar investīcijām no 5 milj. </w:t>
      </w:r>
      <w:proofErr w:type="spellStart"/>
      <w:r w:rsidRPr="004F1665">
        <w:rPr>
          <w:i/>
          <w:iCs/>
        </w:rPr>
        <w:t>euro</w:t>
      </w:r>
      <w:proofErr w:type="spellEnd"/>
      <w:r>
        <w:t xml:space="preserve"> (ārpus Rīgas) un vismaz 20 jaunām darbavietām (Plāna 2.4.3., 2.4.5. pasākums).</w:t>
      </w:r>
    </w:p>
    <w:p w14:paraId="360C92AC" w14:textId="77777777" w:rsidR="00B47932" w:rsidRDefault="00B47932" w:rsidP="00B47932">
      <w:pPr>
        <w:pStyle w:val="ListParagraph"/>
        <w:numPr>
          <w:ilvl w:val="0"/>
          <w:numId w:val="2"/>
        </w:numPr>
        <w:spacing w:after="160"/>
        <w:jc w:val="both"/>
      </w:pPr>
      <w:r>
        <w:rPr>
          <w:b/>
          <w:bCs/>
        </w:rPr>
        <w:t xml:space="preserve">Kritiski svarīgo izejvielu projekti. </w:t>
      </w:r>
      <w:r>
        <w:t>Komersantiem ar EK apstiprinātu kritiski svarīgo izejvielu stratēģiskā projekta statusu (Regula (ES) 2024/1252</w:t>
      </w:r>
      <w:r>
        <w:rPr>
          <w:rStyle w:val="FootnoteReference"/>
        </w:rPr>
        <w:footnoteReference w:id="5"/>
      </w:r>
      <w:r>
        <w:t>) tiek nodrošināta tāda pati prioritāra apkalpošana, netieši atbalstot Plāna mērķus.</w:t>
      </w:r>
    </w:p>
    <w:p w14:paraId="1B63A648" w14:textId="77777777" w:rsidR="00B47932" w:rsidRDefault="00B47932" w:rsidP="00B47932">
      <w:pPr>
        <w:pStyle w:val="Heading1"/>
        <w:spacing w:before="480"/>
      </w:pPr>
      <w:r>
        <w:t xml:space="preserve">3. </w:t>
      </w:r>
      <w:proofErr w:type="spellStart"/>
      <w:r>
        <w:t>Klimatneitrālo</w:t>
      </w:r>
      <w:proofErr w:type="spellEnd"/>
      <w:r>
        <w:t xml:space="preserve"> tehnoloģiju ieviešana un rūpniecības </w:t>
      </w:r>
      <w:proofErr w:type="spellStart"/>
      <w:r>
        <w:t>zaļināšana</w:t>
      </w:r>
      <w:proofErr w:type="spellEnd"/>
    </w:p>
    <w:p w14:paraId="58EECACE" w14:textId="77777777" w:rsidR="00B47932" w:rsidRDefault="00B47932" w:rsidP="00B47932">
      <w:pPr>
        <w:spacing w:after="100"/>
        <w:ind w:firstLine="360"/>
        <w:jc w:val="both"/>
      </w:pPr>
      <w:r>
        <w:t xml:space="preserve">Lai uzsāktu Plāna uzdevumu īstenošanu attiecībā uz </w:t>
      </w:r>
      <w:proofErr w:type="spellStart"/>
      <w:r>
        <w:t>klimatneitrālo</w:t>
      </w:r>
      <w:proofErr w:type="spellEnd"/>
      <w:r>
        <w:t xml:space="preserve"> tehnoloģiju veicināšanas un elektrifikācijas jomām, </w:t>
      </w:r>
      <w:r w:rsidRPr="006A085B">
        <w:t>EM ir noslēgusi līgumu ar LU par finansējuma piešķiršanu valsts pārvaldes uzdevumu izpildei 2026</w:t>
      </w:r>
      <w:r>
        <w:t xml:space="preserve">. gadā jomās, kas nodrošina Plāna prioritāšu izpildi: </w:t>
      </w:r>
    </w:p>
    <w:p w14:paraId="5BE738F2" w14:textId="77777777" w:rsidR="00B47932" w:rsidRDefault="00B47932" w:rsidP="00B47932">
      <w:pPr>
        <w:pStyle w:val="ListParagraph"/>
        <w:numPr>
          <w:ilvl w:val="0"/>
          <w:numId w:val="4"/>
        </w:numPr>
        <w:spacing w:after="100"/>
        <w:jc w:val="both"/>
      </w:pPr>
      <w:r w:rsidRPr="008956EF">
        <w:rPr>
          <w:b/>
          <w:bCs/>
        </w:rPr>
        <w:t xml:space="preserve">ES programmu un sadarbības partneru kartējums. </w:t>
      </w:r>
      <w:r>
        <w:t xml:space="preserve">LU apkopos pieejamās ES programmas un potenciālos partnerus </w:t>
      </w:r>
      <w:proofErr w:type="spellStart"/>
      <w:r>
        <w:t>klimatneitrālo</w:t>
      </w:r>
      <w:proofErr w:type="spellEnd"/>
      <w:r>
        <w:t xml:space="preserve"> tehnoloģiju un ūdeņraža ekosistēmas attīstībai (Plāna 1.4.3. un 1.4.5. pasākums).</w:t>
      </w:r>
    </w:p>
    <w:p w14:paraId="50807C45" w14:textId="77777777" w:rsidR="00B47932" w:rsidRDefault="00B47932" w:rsidP="00B47932">
      <w:pPr>
        <w:pStyle w:val="ListParagraph"/>
        <w:numPr>
          <w:ilvl w:val="0"/>
          <w:numId w:val="2"/>
        </w:numPr>
        <w:spacing w:after="100"/>
        <w:jc w:val="both"/>
      </w:pPr>
      <w:r>
        <w:rPr>
          <w:b/>
          <w:bCs/>
        </w:rPr>
        <w:lastRenderedPageBreak/>
        <w:t xml:space="preserve">Latvijas zinātnieku potenciāls </w:t>
      </w:r>
      <w:proofErr w:type="spellStart"/>
      <w:r>
        <w:rPr>
          <w:b/>
          <w:bCs/>
        </w:rPr>
        <w:t>klimatneitrālajās</w:t>
      </w:r>
      <w:proofErr w:type="spellEnd"/>
      <w:r>
        <w:rPr>
          <w:b/>
          <w:bCs/>
        </w:rPr>
        <w:t xml:space="preserve"> akadēmijās. </w:t>
      </w:r>
      <w:r>
        <w:t xml:space="preserve">Tiks novērtēts, kādā mērā Latvijas izglītības iestādes un zinātniskās institūcijas var iesaistīties EK </w:t>
      </w:r>
      <w:proofErr w:type="spellStart"/>
      <w:r>
        <w:t>klimatneitrālo</w:t>
      </w:r>
      <w:proofErr w:type="spellEnd"/>
      <w:r>
        <w:t xml:space="preserve"> akadēmiju darbībā un to programmu pārņemšanā (Plāna 1.4.6.3. un 1.4.6.4. pasākums).</w:t>
      </w:r>
    </w:p>
    <w:p w14:paraId="6C2C5388" w14:textId="77777777" w:rsidR="00B47932" w:rsidRDefault="00B47932" w:rsidP="00B47932">
      <w:pPr>
        <w:pStyle w:val="ListParagraph"/>
        <w:numPr>
          <w:ilvl w:val="0"/>
          <w:numId w:val="2"/>
        </w:numPr>
        <w:spacing w:after="100"/>
        <w:jc w:val="both"/>
      </w:pPr>
      <w:r>
        <w:rPr>
          <w:b/>
          <w:bCs/>
        </w:rPr>
        <w:t xml:space="preserve">Elektrifikācijas tehnoloģijas apstrādes rūpniecībā. </w:t>
      </w:r>
      <w:r>
        <w:t>Sadarbībā ar uzņēmumiem tiks identificēti vismaz trīs elektrifikācijas tehnoloģiju piemēri ar mērogojamības potenciālu un sagatavoti priekšlikumi paātrinātāja programmas kritērijiem (Plāna 2.3.3. un 2.4.3. pasākums).</w:t>
      </w:r>
    </w:p>
    <w:p w14:paraId="7B8D7AE5" w14:textId="77777777" w:rsidR="00B47932" w:rsidRDefault="00B47932" w:rsidP="00B47932">
      <w:pPr>
        <w:pStyle w:val="ListParagraph"/>
        <w:numPr>
          <w:ilvl w:val="0"/>
          <w:numId w:val="2"/>
        </w:numPr>
        <w:spacing w:after="100"/>
        <w:jc w:val="both"/>
      </w:pPr>
      <w:proofErr w:type="spellStart"/>
      <w:r>
        <w:rPr>
          <w:b/>
          <w:bCs/>
        </w:rPr>
        <w:t>Klimatneitrālo</w:t>
      </w:r>
      <w:proofErr w:type="spellEnd"/>
      <w:r>
        <w:rPr>
          <w:b/>
          <w:bCs/>
        </w:rPr>
        <w:t xml:space="preserve"> tehnoloģiju ieleju un rūpnieciskā paātrinājuma zonu potenciāls. </w:t>
      </w:r>
      <w:r>
        <w:t xml:space="preserve">Tiks novērtēts </w:t>
      </w:r>
      <w:proofErr w:type="spellStart"/>
      <w:r>
        <w:t>klasterizācijas</w:t>
      </w:r>
      <w:proofErr w:type="spellEnd"/>
      <w:r>
        <w:t xml:space="preserve"> potenciāls ap brīvostām, SEZ un pašvaldībām, pielāgojot ES pieredzi Latvijas vajadzībām (Plāna 1.2.1. un 1.3.1. pasākums).</w:t>
      </w:r>
    </w:p>
    <w:p w14:paraId="7DB09202" w14:textId="77777777" w:rsidR="00B47932" w:rsidRDefault="00B47932" w:rsidP="00B47932">
      <w:pPr>
        <w:pStyle w:val="ListParagraph"/>
        <w:numPr>
          <w:ilvl w:val="0"/>
          <w:numId w:val="2"/>
        </w:numPr>
        <w:spacing w:after="100"/>
        <w:jc w:val="both"/>
      </w:pPr>
      <w:r>
        <w:rPr>
          <w:b/>
          <w:bCs/>
        </w:rPr>
        <w:t xml:space="preserve">CUN un TEL instrumenti </w:t>
      </w:r>
      <w:proofErr w:type="spellStart"/>
      <w:r>
        <w:rPr>
          <w:b/>
          <w:bCs/>
        </w:rPr>
        <w:t>energointensīviem</w:t>
      </w:r>
      <w:proofErr w:type="spellEnd"/>
      <w:r>
        <w:rPr>
          <w:b/>
          <w:bCs/>
        </w:rPr>
        <w:t xml:space="preserve"> uzņēmumiem un ūdeņraža ekosistēmai. </w:t>
      </w:r>
      <w:r>
        <w:t>Tiks novērtēta cenu starpības nolīgumu (CUN) un tiešo elektroenerģijas tirdzniecības līgumu (TEL) sociāli ekonomiskā ietekme, balstoties uz reprezentatīvu uzņēmumu analīzi (Plāna 3. nodaļa).</w:t>
      </w:r>
    </w:p>
    <w:p w14:paraId="79DE4970" w14:textId="77777777" w:rsidR="00B47932" w:rsidRDefault="00B47932" w:rsidP="00B47932">
      <w:pPr>
        <w:pStyle w:val="ListParagraph"/>
        <w:numPr>
          <w:ilvl w:val="0"/>
          <w:numId w:val="2"/>
        </w:numPr>
        <w:spacing w:after="100"/>
        <w:jc w:val="both"/>
      </w:pPr>
      <w:r>
        <w:rPr>
          <w:b/>
          <w:bCs/>
        </w:rPr>
        <w:t xml:space="preserve">Ūdeņraža ekosistēmas atbalsta programmu priekšlikumi. </w:t>
      </w:r>
      <w:r>
        <w:t xml:space="preserve">Divos segmentos — </w:t>
      </w:r>
      <w:proofErr w:type="spellStart"/>
      <w:r>
        <w:t>jaunuzņēmumi</w:t>
      </w:r>
      <w:proofErr w:type="spellEnd"/>
      <w:r>
        <w:t xml:space="preserve"> un MVU, kā arī lielie projekti — tiks noteikti atbalsta instrumenti un aprēķināta makroekonomiskā ietekme dažādiem attīstības modeļiem (Plāna 3.3. un 3.4. pasākums).</w:t>
      </w:r>
    </w:p>
    <w:p w14:paraId="5FB4517C" w14:textId="77777777" w:rsidR="00B47932" w:rsidRDefault="00B47932" w:rsidP="00B47932">
      <w:pPr>
        <w:pStyle w:val="ListParagraph"/>
        <w:numPr>
          <w:ilvl w:val="0"/>
          <w:numId w:val="2"/>
        </w:numPr>
        <w:spacing w:after="160"/>
        <w:jc w:val="both"/>
      </w:pPr>
      <w:r>
        <w:rPr>
          <w:b/>
          <w:bCs/>
        </w:rPr>
        <w:t xml:space="preserve">Sabiedrības informēšana. </w:t>
      </w:r>
      <w:r>
        <w:t>LU pētījuma rezultāti tiks prezentēti semināros un konferencēs un publicēti plašsaziņas līdzekļos (Plāna 1.5.5. pasākums).</w:t>
      </w:r>
    </w:p>
    <w:p w14:paraId="23A6EF5F" w14:textId="77777777" w:rsidR="00B47932" w:rsidRDefault="00B47932" w:rsidP="00B47932">
      <w:pPr>
        <w:spacing w:after="160"/>
        <w:ind w:firstLine="709"/>
        <w:jc w:val="both"/>
      </w:pPr>
      <w:r>
        <w:t xml:space="preserve">LU pētījums noslēgsies 2026. gada decembrī un tā secinājumi kalpos par analītisku pamatu atbalsta programmu un normatīvo aktu izmaiņu izstrādei rūpniecības </w:t>
      </w:r>
      <w:proofErr w:type="spellStart"/>
      <w:r>
        <w:t>zaļināšanas</w:t>
      </w:r>
      <w:proofErr w:type="spellEnd"/>
      <w:r>
        <w:t xml:space="preserve"> un ūdeņraža ekosistēmas jomās (Plāna 2.4.1. un 2.4.2. pasākums), kā arī tiks tālāk izmantoti 2027. gadā LIFE NEKP projektā, kas apskatīts turpinājumā, ja projekts gūs apstiprinājumu.</w:t>
      </w:r>
    </w:p>
    <w:p w14:paraId="5639C383" w14:textId="77777777" w:rsidR="00B47932" w:rsidRDefault="00B47932" w:rsidP="00B47932">
      <w:pPr>
        <w:spacing w:after="160" w:line="259" w:lineRule="auto"/>
        <w:ind w:firstLine="709"/>
        <w:jc w:val="both"/>
      </w:pPr>
      <w:r>
        <w:t>Lai veicinātu Plāna un NEKP mērķu izpildi, 2026. gada martā EM ir sagatavojusi un iesniegusi projektu pieteikumus ES LIFE programmas finansētajā projektā "</w:t>
      </w:r>
      <w:proofErr w:type="spellStart"/>
      <w:r>
        <w:t>Local</w:t>
      </w:r>
      <w:proofErr w:type="spellEnd"/>
      <w:r>
        <w:t xml:space="preserve"> </w:t>
      </w:r>
      <w:proofErr w:type="spellStart"/>
      <w:r>
        <w:t>and</w:t>
      </w:r>
      <w:proofErr w:type="spellEnd"/>
      <w:r>
        <w:t xml:space="preserve"> </w:t>
      </w:r>
      <w:proofErr w:type="spellStart"/>
      <w:r>
        <w:t>Regional</w:t>
      </w:r>
      <w:proofErr w:type="spellEnd"/>
      <w:r>
        <w:t xml:space="preserve"> </w:t>
      </w:r>
      <w:proofErr w:type="spellStart"/>
      <w:r>
        <w:t>Action</w:t>
      </w:r>
      <w:proofErr w:type="spellEnd"/>
      <w:r>
        <w:t xml:space="preserve"> </w:t>
      </w:r>
      <w:proofErr w:type="spellStart"/>
      <w:r>
        <w:t>for</w:t>
      </w:r>
      <w:proofErr w:type="spellEnd"/>
      <w:r>
        <w:t xml:space="preserve"> </w:t>
      </w:r>
      <w:proofErr w:type="spellStart"/>
      <w:r>
        <w:t>Latvia's</w:t>
      </w:r>
      <w:proofErr w:type="spellEnd"/>
      <w:r>
        <w:t xml:space="preserve"> </w:t>
      </w:r>
      <w:proofErr w:type="spellStart"/>
      <w:r>
        <w:t>Energy</w:t>
      </w:r>
      <w:proofErr w:type="spellEnd"/>
      <w:r>
        <w:t xml:space="preserve">, Transport, </w:t>
      </w:r>
      <w:proofErr w:type="spellStart"/>
      <w:r>
        <w:t>and</w:t>
      </w:r>
      <w:proofErr w:type="spellEnd"/>
      <w:r>
        <w:t xml:space="preserve"> </w:t>
      </w:r>
      <w:proofErr w:type="spellStart"/>
      <w:r>
        <w:t>Adaptation</w:t>
      </w:r>
      <w:proofErr w:type="spellEnd"/>
      <w:r>
        <w:t xml:space="preserve"> </w:t>
      </w:r>
      <w:proofErr w:type="spellStart"/>
      <w:r>
        <w:t>Goals</w:t>
      </w:r>
      <w:proofErr w:type="spellEnd"/>
      <w:r>
        <w:t>" ("Vietēja un reģionāla rīcība Latvijas enerģētikas, transporta un pielāgošanās mērķu sasniegšanai"; turpmāk — LIFE NEKP projekts), projekta uzdevums T3.9 "Rūpniecības energoefektivitāte un elektrifikācija" kļūs par vienu no Plāna praktiskās ieviešanas instrumentiem no 2027. gada, tieši atbalstot Plāna 2. nodaļas mērķus, kā arī  NEKP saistību izpildi. LIFE NEKP projekta T3.9 uzdevums aptver piecas darbības.</w:t>
      </w:r>
    </w:p>
    <w:p w14:paraId="010E54AE" w14:textId="77777777" w:rsidR="00B47932" w:rsidRDefault="00B47932" w:rsidP="00B47932">
      <w:pPr>
        <w:pStyle w:val="ListParagraph"/>
        <w:numPr>
          <w:ilvl w:val="0"/>
          <w:numId w:val="2"/>
        </w:numPr>
        <w:spacing w:after="100"/>
        <w:jc w:val="both"/>
      </w:pPr>
      <w:r>
        <w:rPr>
          <w:b/>
          <w:bCs/>
        </w:rPr>
        <w:t xml:space="preserve">Tehnoloģisko un administratīvo šķēršļu identifikācija </w:t>
      </w:r>
      <w:r>
        <w:t>— iesaistot uzņēmumus un pašvaldības, tiks apzināti šķēršļi rūpniecības elektrifikācijai un energoefektivitātei, un tie tiks nodoti valsts politikas uzlabošanas procesam (Plāna 2.4.2. pasākums).</w:t>
      </w:r>
    </w:p>
    <w:p w14:paraId="1DD353C1" w14:textId="77777777" w:rsidR="00B47932" w:rsidRDefault="00B47932" w:rsidP="00B47932">
      <w:pPr>
        <w:pStyle w:val="ListParagraph"/>
        <w:numPr>
          <w:ilvl w:val="0"/>
          <w:numId w:val="2"/>
        </w:numPr>
        <w:spacing w:after="100"/>
        <w:jc w:val="both"/>
      </w:pPr>
      <w:r>
        <w:rPr>
          <w:b/>
          <w:bCs/>
        </w:rPr>
        <w:t xml:space="preserve">Tehnoloģisko risinājumu katalogs un makroekonomiskā modelēšana </w:t>
      </w:r>
      <w:r>
        <w:t>— tiks izstrādāts elektrifikācijas un energoefektivitātes risinājumu katalogs galvenajiem rūpniecības procesiem (</w:t>
      </w:r>
      <w:proofErr w:type="spellStart"/>
      <w:r>
        <w:t>siltumsūkņi</w:t>
      </w:r>
      <w:proofErr w:type="spellEnd"/>
      <w:r>
        <w:t>, motoru optimizācija, saules enerģija) un novērtēta ietekme uz iekšzemes kopproduktu, nodarbinātību un investīcijām (Plāna 2.3.1. un 2.3.3. pasākums).</w:t>
      </w:r>
    </w:p>
    <w:p w14:paraId="4F40E3F6" w14:textId="77777777" w:rsidR="00B47932" w:rsidRDefault="00B47932" w:rsidP="00B47932">
      <w:pPr>
        <w:pStyle w:val="ListParagraph"/>
        <w:numPr>
          <w:ilvl w:val="0"/>
          <w:numId w:val="2"/>
        </w:numPr>
        <w:spacing w:after="100"/>
        <w:jc w:val="both"/>
      </w:pPr>
      <w:r>
        <w:rPr>
          <w:b/>
          <w:bCs/>
        </w:rPr>
        <w:t xml:space="preserve">Elektroenerģijas izmaksu samazināšanas pasākumi </w:t>
      </w:r>
      <w:r>
        <w:t>— salīdzinot Latvijas elektroenerģijas izmaksu struktūru ar citām ES dalībvalstīm, tiks izstrādāti politikas priekšlikumi (tarifu samazināšana, nodokļu stimuli, citi atbalsta mehānismi) (Plāna 2.3.2. un 2.4.7. pasākums).</w:t>
      </w:r>
    </w:p>
    <w:p w14:paraId="07763956" w14:textId="77777777" w:rsidR="00B47932" w:rsidRDefault="00B47932" w:rsidP="00B47932">
      <w:pPr>
        <w:pStyle w:val="ListParagraph"/>
        <w:numPr>
          <w:ilvl w:val="0"/>
          <w:numId w:val="2"/>
        </w:numPr>
        <w:spacing w:after="100"/>
        <w:jc w:val="both"/>
      </w:pPr>
      <w:r>
        <w:rPr>
          <w:b/>
          <w:bCs/>
        </w:rPr>
        <w:lastRenderedPageBreak/>
        <w:t xml:space="preserve">Atbalsta programmu izstrāde nākamajam ES finansēšanas periodam </w:t>
      </w:r>
      <w:r>
        <w:t xml:space="preserve">— balstoties uz esošo shēmu </w:t>
      </w:r>
      <w:proofErr w:type="spellStart"/>
      <w:r>
        <w:t>izvērtējumu</w:t>
      </w:r>
      <w:proofErr w:type="spellEnd"/>
      <w:r>
        <w:t xml:space="preserve">, tiks sagatavoti instrumenti rūpniecības </w:t>
      </w:r>
      <w:proofErr w:type="spellStart"/>
      <w:r>
        <w:t>zaļināšanai</w:t>
      </w:r>
      <w:proofErr w:type="spellEnd"/>
      <w:r>
        <w:t xml:space="preserve"> ar fokusu uz MVU pieejamību un SEG samazināšanas potenciālu (Plāna 2.4.1. pasākums).</w:t>
      </w:r>
    </w:p>
    <w:p w14:paraId="5D8255AF" w14:textId="77777777" w:rsidR="00B47932" w:rsidRDefault="00B47932" w:rsidP="00B47932">
      <w:pPr>
        <w:pStyle w:val="ListParagraph"/>
        <w:numPr>
          <w:ilvl w:val="0"/>
          <w:numId w:val="2"/>
        </w:numPr>
        <w:spacing w:after="160"/>
        <w:jc w:val="both"/>
      </w:pPr>
      <w:r>
        <w:rPr>
          <w:b/>
          <w:bCs/>
        </w:rPr>
        <w:t xml:space="preserve">Atbalsta programmu mērogošana reģionos </w:t>
      </w:r>
      <w:r>
        <w:t>— izmantojot plānošanas reģionus un pašvaldības kā starpnieku līmeni, tiks nodrošināta mērķtiecīga informācijas izplatīšana par atbalsta programmām uzņēmumiem ārpus Rīgas (Plāna 1.4.2.2. pasākums).</w:t>
      </w:r>
    </w:p>
    <w:p w14:paraId="6C1DF250" w14:textId="77777777" w:rsidR="00B47932" w:rsidRDefault="00B47932" w:rsidP="00B47932">
      <w:pPr>
        <w:spacing w:after="100"/>
        <w:ind w:firstLine="709"/>
        <w:jc w:val="both"/>
      </w:pPr>
      <w:r>
        <w:t>EM ir uzsākusi darbu pie atbalsta programmu izstrādes nākamajam ES finanšu periodam, balstoties uz trim stratēģiskiem mērķiem:</w:t>
      </w:r>
    </w:p>
    <w:p w14:paraId="53E5DBCD" w14:textId="77777777" w:rsidR="00B47932" w:rsidRDefault="00B47932" w:rsidP="00B47932">
      <w:pPr>
        <w:pStyle w:val="ListParagraph"/>
        <w:numPr>
          <w:ilvl w:val="0"/>
          <w:numId w:val="2"/>
        </w:numPr>
        <w:spacing w:after="100"/>
        <w:jc w:val="both"/>
      </w:pPr>
      <w:r>
        <w:t xml:space="preserve">atbalsts </w:t>
      </w:r>
      <w:proofErr w:type="spellStart"/>
      <w:r>
        <w:t>energointensīvajiem</w:t>
      </w:r>
      <w:proofErr w:type="spellEnd"/>
      <w:r>
        <w:t xml:space="preserve"> uzņēmumiem AER izmantošanas, elektrifikācijas un energoefektivitātes pasākumos to konkurētspējas stiprināšanai un enerģētiskās drošības uzlabošanai (Plāna 2.2. mērķis);</w:t>
      </w:r>
    </w:p>
    <w:p w14:paraId="342E2150" w14:textId="77777777" w:rsidR="00B47932" w:rsidRDefault="00B47932" w:rsidP="00B47932">
      <w:pPr>
        <w:pStyle w:val="ListParagraph"/>
        <w:numPr>
          <w:ilvl w:val="0"/>
          <w:numId w:val="2"/>
        </w:numPr>
        <w:spacing w:after="100"/>
        <w:jc w:val="both"/>
      </w:pPr>
      <w:proofErr w:type="spellStart"/>
      <w:r>
        <w:t>klimatneitrālo</w:t>
      </w:r>
      <w:proofErr w:type="spellEnd"/>
      <w:r>
        <w:t xml:space="preserve"> tehnoloģiju industrijas attīstība un ražošanas kapacitātes izveide Latvijā, veicinot investīciju piesaisti un eksportspēju (Plāna 1.2. mērķis);</w:t>
      </w:r>
    </w:p>
    <w:p w14:paraId="68C0CBBB" w14:textId="77777777" w:rsidR="00B47932" w:rsidRDefault="00B47932" w:rsidP="00B47932">
      <w:pPr>
        <w:pStyle w:val="ListParagraph"/>
        <w:numPr>
          <w:ilvl w:val="0"/>
          <w:numId w:val="2"/>
        </w:numPr>
        <w:spacing w:after="160"/>
        <w:jc w:val="both"/>
      </w:pPr>
      <w:r>
        <w:t>ūdeņraža ekosistēmas veidošanas atbalsts — no pilotprojektiem un pētniecības līdz infrastruktūras un pieprasījuma stimulēšanas instrumentiem (Plāna 3.3.–3.4. pasākums).</w:t>
      </w:r>
    </w:p>
    <w:p w14:paraId="4754C4B0" w14:textId="77777777" w:rsidR="00B47932" w:rsidRDefault="00B47932" w:rsidP="00B47932">
      <w:pPr>
        <w:pStyle w:val="Heading1"/>
        <w:spacing w:before="480"/>
      </w:pPr>
      <w:r>
        <w:t>4. Ūdeņraža ekosistēmas veidošana</w:t>
      </w:r>
    </w:p>
    <w:p w14:paraId="1A0A622A" w14:textId="77777777" w:rsidR="00B47932" w:rsidRDefault="00B47932" w:rsidP="00B47932">
      <w:pPr>
        <w:spacing w:after="160"/>
        <w:ind w:firstLine="709"/>
        <w:jc w:val="both"/>
      </w:pPr>
      <w:r>
        <w:t>Plāna 3. virziena "</w:t>
      </w:r>
      <w:proofErr w:type="spellStart"/>
      <w:r>
        <w:t>Klimatneitrālo</w:t>
      </w:r>
      <w:proofErr w:type="spellEnd"/>
      <w:r>
        <w:t xml:space="preserve"> tehnoloģiju izmantošana Latvijas industrijā, zaļā ūdeņraža ražošana un tā ekosistēmas izveide" praktiskai ieviešanai EM sadarbībā ar Latvijas Tirdzniecības un rūpniecības kameru (turpmāk — LTRK) </w:t>
      </w:r>
      <w:proofErr w:type="spellStart"/>
      <w:r>
        <w:t>Interreg</w:t>
      </w:r>
      <w:proofErr w:type="spellEnd"/>
      <w:r>
        <w:t xml:space="preserve"> </w:t>
      </w:r>
      <w:proofErr w:type="spellStart"/>
      <w:r>
        <w:t>Europe</w:t>
      </w:r>
      <w:proofErr w:type="spellEnd"/>
      <w:r>
        <w:t xml:space="preserve"> programmas projekta "Green </w:t>
      </w:r>
      <w:proofErr w:type="spellStart"/>
      <w:r>
        <w:t>Hydra</w:t>
      </w:r>
      <w:proofErr w:type="spellEnd"/>
      <w:r>
        <w:rPr>
          <w:rStyle w:val="FootnoteReference"/>
        </w:rPr>
        <w:footnoteReference w:id="6"/>
      </w:r>
      <w:r>
        <w:t>" ietvaros ir rīkojusi divus ieinteresēto pušu seminārus: 2025. gada 23. septembrī (38 dalībnieki — uzņēmēji, zinātnieki un politikas veidotāji) un 2026. gada 23. aprīlī, kas tika veltīts Plāna tālāko soļu apspriešanai.</w:t>
      </w:r>
    </w:p>
    <w:p w14:paraId="1B64B103" w14:textId="77777777" w:rsidR="00B47932" w:rsidRDefault="00B47932" w:rsidP="00B47932">
      <w:pPr>
        <w:spacing w:after="160"/>
        <w:ind w:firstLine="709"/>
        <w:jc w:val="both"/>
      </w:pPr>
      <w:r>
        <w:t>2026. gada aprīļa seminārā tā dalībnieki identificēja galvenos šķēršļus ūdeņraža ekosistēmas attīstībai: nepietiekams pieprasījums (nav gatava industrija, nepieciešams stimulēts pieprasījums); augstas izmaksas un ierobežota piekļuve kapitālam (projekti nav finansējami bez valsts atbalsta, trūkst ilgtermiņa finansējums); nepietiekami attīstīta infrastruktūra (ražošanai, uzglabāšanai, transportēšanai); kā arī normatīvā regulējuma un stratēģiskās koordinācijas trūkums, tostarp Latvijas tīkla tarifu vāja konkurētspēja salīdzinājumā ar Lietuvu un Igauniju.</w:t>
      </w:r>
    </w:p>
    <w:p w14:paraId="00E78C12" w14:textId="77777777" w:rsidR="00B47932" w:rsidRDefault="00B47932" w:rsidP="00B47932">
      <w:pPr>
        <w:spacing w:after="100"/>
        <w:ind w:firstLine="709"/>
        <w:jc w:val="both"/>
      </w:pPr>
      <w:r>
        <w:t>Seminārā tika uzsvērti prioritārie rīcības virzieni:</w:t>
      </w:r>
    </w:p>
    <w:p w14:paraId="4DF5490F" w14:textId="77777777" w:rsidR="00B47932" w:rsidRDefault="00B47932" w:rsidP="00B47932">
      <w:pPr>
        <w:pStyle w:val="ListParagraph"/>
        <w:numPr>
          <w:ilvl w:val="0"/>
          <w:numId w:val="2"/>
        </w:numPr>
        <w:spacing w:after="100"/>
        <w:jc w:val="both"/>
      </w:pPr>
      <w:r>
        <w:t>sākotnējā kapitāla piesaiste pirmajiem pilotprojektiem, iekļaujot subsidētus kredītus un vienreizēju finansējumu pētniecībai (Plāna 3.3. un 3.4. pasākums);</w:t>
      </w:r>
    </w:p>
    <w:p w14:paraId="560098F8" w14:textId="77777777" w:rsidR="00B47932" w:rsidRDefault="00B47932" w:rsidP="00B47932">
      <w:pPr>
        <w:pStyle w:val="ListParagraph"/>
        <w:numPr>
          <w:ilvl w:val="0"/>
          <w:numId w:val="2"/>
        </w:numPr>
        <w:spacing w:after="100"/>
        <w:jc w:val="both"/>
      </w:pPr>
      <w:r>
        <w:t>regulatīvās vides sakārtošana un valsts līmeņa koordinējošas struktūras izveide ūdeņraža ekosistēmai (Plāna 3.3.5. un 3.3.6. rīcības virziens);</w:t>
      </w:r>
    </w:p>
    <w:p w14:paraId="6FF94333" w14:textId="77777777" w:rsidR="00B47932" w:rsidRDefault="00B47932" w:rsidP="00B47932">
      <w:pPr>
        <w:pStyle w:val="ListParagraph"/>
        <w:numPr>
          <w:ilvl w:val="0"/>
          <w:numId w:val="2"/>
        </w:numPr>
        <w:spacing w:after="100"/>
        <w:jc w:val="both"/>
      </w:pPr>
      <w:r>
        <w:t xml:space="preserve">ES fondu nākamā perioda atbalsta programmu izstrāde, aptverot visus posmus no pētniecības līdz </w:t>
      </w:r>
      <w:proofErr w:type="spellStart"/>
      <w:r>
        <w:t>komercializācijai</w:t>
      </w:r>
      <w:proofErr w:type="spellEnd"/>
      <w:r>
        <w:t xml:space="preserve"> (Plāna 1.4.3. un 1.4.6. pasākums);</w:t>
      </w:r>
    </w:p>
    <w:p w14:paraId="4893E4F4" w14:textId="77777777" w:rsidR="00B47932" w:rsidRDefault="00B47932" w:rsidP="00B47932">
      <w:pPr>
        <w:pStyle w:val="ListParagraph"/>
        <w:numPr>
          <w:ilvl w:val="0"/>
          <w:numId w:val="2"/>
        </w:numPr>
        <w:spacing w:after="160"/>
        <w:jc w:val="both"/>
      </w:pPr>
      <w:r>
        <w:t>reģionālu ūdeņraža ražošanas, uzglabāšanas un pielietošanas tīklu — ieleju — veidošana ap ražošanas kopienām (Plāna 3.4. pasākums).</w:t>
      </w:r>
    </w:p>
    <w:p w14:paraId="6CC32DFE" w14:textId="77777777" w:rsidR="00B47932" w:rsidRDefault="00B47932" w:rsidP="00B47932">
      <w:pPr>
        <w:spacing w:after="160"/>
        <w:ind w:firstLine="709"/>
        <w:jc w:val="both"/>
      </w:pPr>
      <w:r>
        <w:lastRenderedPageBreak/>
        <w:t>Semināros apkopotie viedokļi tiek izmantoti EM politikas pilnveidošanai, tostarp jaunu ES fondu programmu izstrādē.</w:t>
      </w:r>
    </w:p>
    <w:p w14:paraId="6DF877A7" w14:textId="77777777" w:rsidR="00B47932" w:rsidRDefault="00B47932" w:rsidP="00B47932">
      <w:pPr>
        <w:spacing w:after="160"/>
        <w:ind w:firstLine="709"/>
        <w:jc w:val="both"/>
      </w:pPr>
      <w:r>
        <w:t>Ar plāna 3. nodaļu "</w:t>
      </w:r>
      <w:proofErr w:type="spellStart"/>
      <w:r>
        <w:t>Klimatneitrālo</w:t>
      </w:r>
      <w:proofErr w:type="spellEnd"/>
      <w:r>
        <w:t xml:space="preserve"> tehnoloģiju izmantošana Latvijas industrijā, zaļā ūdeņraža ražošana un tā ekosistēmas izveide" </w:t>
      </w:r>
      <w:r w:rsidRPr="008542EB">
        <w:t>EM ir īstenojusi NEKP noteikto uzdevumu 3.4.2.4.</w:t>
      </w:r>
      <w:r>
        <w:t xml:space="preserve"> </w:t>
      </w:r>
      <w:r w:rsidRPr="008542EB">
        <w:t>“Izstrādāt rīcības plānu ūdeņraža infrastruktūras izveidei un tirgus nosacījumiem”, izstrādājot rīcības plānu, kura tvērums ir plašāks, nekā noteikts uzdevumā, bet sevī ietver uzdevuma nosacījumus, vienlaikus aptverot arī saistītos jautājumus, kuri savukārt izpilda arī citus NEKP dotos uzdevumus.</w:t>
      </w:r>
    </w:p>
    <w:p w14:paraId="0AB21C68" w14:textId="220890F6" w:rsidR="00B47932" w:rsidRDefault="00B47932" w:rsidP="00B47932">
      <w:pPr>
        <w:spacing w:after="160"/>
        <w:ind w:firstLine="709"/>
        <w:jc w:val="both"/>
      </w:pPr>
      <w:r w:rsidRPr="00FB0633">
        <w:t>Atbilstoši Klimata un enerģētikas ministrijas iesniegtajai informācijai,</w:t>
      </w:r>
      <w:r>
        <w:rPr>
          <w:b/>
          <w:bCs/>
        </w:rPr>
        <w:t xml:space="preserve"> </w:t>
      </w:r>
      <w:r w:rsidRPr="00EC3AFC">
        <w:t xml:space="preserve">ūdeņraža ekosistēmas un pētniecības projektu sekmīga attīstība tiek īstenota arī saskaņā Ministru kabineta noteikumiem Nr. 33 "Latvijas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w:t>
      </w:r>
      <w:proofErr w:type="spellStart"/>
      <w:r w:rsidRPr="00EC3AFC">
        <w:t>bioekonomikā</w:t>
      </w:r>
      <w:proofErr w:type="spellEnd"/>
      <w:r w:rsidRPr="00EC3AFC">
        <w:t xml:space="preserve">))" 1.2.1.2.i.2. pasākuma "Inovatīvu produktu un tehnoloģiju izstrāde" īstenošanas noteikumi" finansēto pētniecības projektu ietvaros. Kā piemērus šādiem projektiem var minēt piemēram, ūdeņraža </w:t>
      </w:r>
      <w:proofErr w:type="spellStart"/>
      <w:r w:rsidRPr="00EC3AFC">
        <w:t>vilcējtraktora</w:t>
      </w:r>
      <w:proofErr w:type="spellEnd"/>
      <w:r w:rsidRPr="00EC3AFC">
        <w:t xml:space="preserve"> konceptuāla modeļa un principu shēmas izstrādi, ūdeņraža </w:t>
      </w:r>
      <w:proofErr w:type="spellStart"/>
      <w:r w:rsidRPr="00EC3AFC">
        <w:t>degšūnu</w:t>
      </w:r>
      <w:proofErr w:type="spellEnd"/>
      <w:r w:rsidRPr="00EC3AFC">
        <w:t xml:space="preserve"> tehnoloģisko risinājumu izvērtēšana, testēšana un integrācija </w:t>
      </w:r>
      <w:proofErr w:type="spellStart"/>
      <w:r w:rsidRPr="00EC3AFC">
        <w:t>mazizmēra</w:t>
      </w:r>
      <w:proofErr w:type="spellEnd"/>
      <w:r w:rsidRPr="00EC3AFC">
        <w:t xml:space="preserve"> kuģa sistēmā, inovatīva </w:t>
      </w:r>
      <w:proofErr w:type="spellStart"/>
      <w:r w:rsidRPr="00EC3AFC">
        <w:t>elektrolīzera</w:t>
      </w:r>
      <w:proofErr w:type="spellEnd"/>
      <w:r w:rsidRPr="00EC3AFC">
        <w:t xml:space="preserve"> projektēšanu un rasējumu izstrādi. </w:t>
      </w:r>
    </w:p>
    <w:p w14:paraId="16C862CF" w14:textId="77777777" w:rsidR="00B47932" w:rsidRDefault="00B47932" w:rsidP="00B47932">
      <w:pPr>
        <w:pStyle w:val="Heading1"/>
        <w:spacing w:before="480"/>
      </w:pPr>
      <w:r>
        <w:t>5. Secinājumi un turpmākie soļi</w:t>
      </w:r>
    </w:p>
    <w:p w14:paraId="20836AA7" w14:textId="77777777" w:rsidR="00B47932" w:rsidRDefault="00B47932" w:rsidP="00B47932">
      <w:pPr>
        <w:spacing w:after="160"/>
        <w:ind w:firstLine="709"/>
        <w:jc w:val="both"/>
      </w:pPr>
      <w:r>
        <w:t xml:space="preserve">Plāna īstenošana ir sākumposmā, uz šo brīdi ir sasniegti šādi rezultāti: </w:t>
      </w:r>
    </w:p>
    <w:p w14:paraId="6C9F5F22" w14:textId="77777777" w:rsidR="00B47932" w:rsidRDefault="00B47932" w:rsidP="00B47932">
      <w:pPr>
        <w:pStyle w:val="ListParagraph"/>
        <w:numPr>
          <w:ilvl w:val="0"/>
          <w:numId w:val="3"/>
        </w:numPr>
        <w:spacing w:after="160"/>
        <w:jc w:val="both"/>
      </w:pPr>
      <w:r>
        <w:t xml:space="preserve">izveidots normatīvais ietvars </w:t>
      </w:r>
      <w:proofErr w:type="spellStart"/>
      <w:r>
        <w:t>klimatneitrālo</w:t>
      </w:r>
      <w:proofErr w:type="spellEnd"/>
      <w:r>
        <w:t xml:space="preserve"> tehnoloģiju stratēģisko projektu prioritārai apstrādei; </w:t>
      </w:r>
    </w:p>
    <w:p w14:paraId="39118CB8" w14:textId="77777777" w:rsidR="00B47932" w:rsidRDefault="00B47932" w:rsidP="00B47932">
      <w:pPr>
        <w:pStyle w:val="ListParagraph"/>
        <w:numPr>
          <w:ilvl w:val="0"/>
          <w:numId w:val="3"/>
        </w:numPr>
        <w:spacing w:after="160"/>
        <w:jc w:val="both"/>
      </w:pPr>
      <w:r>
        <w:t xml:space="preserve">LIAA uzsākusi vienotā kontaktpunkta funkciju un "Zaļā koridora" administrēšanu; </w:t>
      </w:r>
    </w:p>
    <w:p w14:paraId="715041F0" w14:textId="77777777" w:rsidR="00B47932" w:rsidRDefault="00B47932" w:rsidP="00B47932">
      <w:pPr>
        <w:pStyle w:val="ListParagraph"/>
        <w:numPr>
          <w:ilvl w:val="0"/>
          <w:numId w:val="3"/>
        </w:numPr>
        <w:spacing w:after="160"/>
        <w:jc w:val="both"/>
      </w:pPr>
      <w:r>
        <w:t xml:space="preserve">noslēgts pētniecības līgums ar LU; </w:t>
      </w:r>
    </w:p>
    <w:p w14:paraId="2EFE7EE3" w14:textId="77777777" w:rsidR="00B47932" w:rsidRDefault="00B47932" w:rsidP="00B47932">
      <w:pPr>
        <w:pStyle w:val="ListParagraph"/>
        <w:numPr>
          <w:ilvl w:val="0"/>
          <w:numId w:val="3"/>
        </w:numPr>
        <w:spacing w:after="160"/>
        <w:jc w:val="both"/>
      </w:pPr>
      <w:r>
        <w:t xml:space="preserve">uzsākts ieinteresēto pušu dialogs ūdeņraža ekosistēmas jomā; </w:t>
      </w:r>
    </w:p>
    <w:p w14:paraId="7456971D" w14:textId="77777777" w:rsidR="00B47932" w:rsidRDefault="00B47932" w:rsidP="00B47932">
      <w:pPr>
        <w:pStyle w:val="ListParagraph"/>
        <w:numPr>
          <w:ilvl w:val="0"/>
          <w:numId w:val="3"/>
        </w:numPr>
        <w:spacing w:after="160"/>
        <w:jc w:val="both"/>
      </w:pPr>
      <w:r>
        <w:t>uzsākts darbs pie ES nākamā finanšu perioda atbalsta programmām.</w:t>
      </w:r>
    </w:p>
    <w:p w14:paraId="38F02CC5" w14:textId="77777777" w:rsidR="00B47932" w:rsidRDefault="00B47932" w:rsidP="00B47932">
      <w:pPr>
        <w:spacing w:after="160"/>
        <w:ind w:firstLine="709"/>
        <w:jc w:val="both"/>
      </w:pPr>
      <w:r>
        <w:t>EM turpinās darbu pie Plāna ieviešanas pasākumu izstrādes un pasākumu izpildes organizēšanas, tajā skaitā:</w:t>
      </w:r>
    </w:p>
    <w:p w14:paraId="70F25782" w14:textId="77777777" w:rsidR="00B47932" w:rsidRDefault="00B47932" w:rsidP="00B47932">
      <w:pPr>
        <w:pStyle w:val="ListParagraph"/>
        <w:numPr>
          <w:ilvl w:val="0"/>
          <w:numId w:val="6"/>
        </w:numPr>
        <w:spacing w:after="160"/>
        <w:ind w:left="1066" w:hanging="357"/>
        <w:jc w:val="both"/>
      </w:pPr>
      <w:r w:rsidRPr="008F61F4">
        <w:t>e</w:t>
      </w:r>
      <w:r>
        <w:t>le</w:t>
      </w:r>
      <w:r w:rsidRPr="008F61F4">
        <w:t>ktrifikācijas tehnoloģij</w:t>
      </w:r>
      <w:r>
        <w:t xml:space="preserve">u </w:t>
      </w:r>
      <w:proofErr w:type="spellStart"/>
      <w:r>
        <w:t>izvērtējuma</w:t>
      </w:r>
      <w:proofErr w:type="spellEnd"/>
      <w:r w:rsidRPr="008F61F4">
        <w:t xml:space="preserve"> apstrādes rūpniecībā</w:t>
      </w:r>
      <w:r>
        <w:t>;</w:t>
      </w:r>
    </w:p>
    <w:p w14:paraId="1C13FD2E" w14:textId="77777777" w:rsidR="00B47932" w:rsidRPr="00B5118E" w:rsidRDefault="00B47932" w:rsidP="00B47932">
      <w:pPr>
        <w:pStyle w:val="ListParagraph"/>
        <w:numPr>
          <w:ilvl w:val="0"/>
          <w:numId w:val="6"/>
        </w:numPr>
        <w:spacing w:after="160"/>
        <w:ind w:left="1066" w:hanging="357"/>
        <w:jc w:val="both"/>
      </w:pPr>
      <w:proofErr w:type="spellStart"/>
      <w:r w:rsidRPr="00B865C2">
        <w:t>klimatneitrālo</w:t>
      </w:r>
      <w:proofErr w:type="spellEnd"/>
      <w:r w:rsidRPr="00B865C2">
        <w:t xml:space="preserve"> tehnoloģiju ieleju un rūpnieciskā paātrinājuma zonu izpētes</w:t>
      </w:r>
      <w:r>
        <w:t>;</w:t>
      </w:r>
      <w:r w:rsidRPr="00B5118E">
        <w:t xml:space="preserve"> </w:t>
      </w:r>
    </w:p>
    <w:p w14:paraId="45E4975E" w14:textId="77777777" w:rsidR="00B47932" w:rsidRDefault="00B47932" w:rsidP="00B47932">
      <w:pPr>
        <w:pStyle w:val="ListParagraph"/>
        <w:numPr>
          <w:ilvl w:val="0"/>
          <w:numId w:val="6"/>
        </w:numPr>
        <w:spacing w:after="160"/>
        <w:ind w:left="1066" w:hanging="357"/>
        <w:jc w:val="both"/>
      </w:pPr>
      <w:r>
        <w:t xml:space="preserve">atbalsta instrumentu un programmu veidošanas rūpniecības </w:t>
      </w:r>
      <w:proofErr w:type="spellStart"/>
      <w:r>
        <w:t>zaļināšanai</w:t>
      </w:r>
      <w:proofErr w:type="spellEnd"/>
      <w:r>
        <w:t xml:space="preserve"> un jaunu </w:t>
      </w:r>
      <w:proofErr w:type="spellStart"/>
      <w:r>
        <w:t>klimatneitrālu</w:t>
      </w:r>
      <w:proofErr w:type="spellEnd"/>
      <w:r>
        <w:t xml:space="preserve"> tehnoloģiju attīstībai;</w:t>
      </w:r>
    </w:p>
    <w:p w14:paraId="6D8FB9D4" w14:textId="77777777" w:rsidR="00B47932" w:rsidRDefault="00B47932" w:rsidP="00B47932">
      <w:pPr>
        <w:spacing w:after="160"/>
        <w:ind w:firstLine="709"/>
        <w:jc w:val="both"/>
      </w:pPr>
      <w:r>
        <w:t>Tiks nodrošināta Plāna īstenošanas uzraudzība, vērtējot Plānā noteikto rezultatīvo rādītāju sasniegšanas progresu.  Nākamais informatīvais ziņojums MK iesniedzams pēc trim gadiem.</w:t>
      </w:r>
    </w:p>
    <w:p w14:paraId="3DD8DB33" w14:textId="77777777" w:rsidR="00B47932" w:rsidRDefault="00B47932" w:rsidP="00B47932"/>
    <w:p w14:paraId="094EC812" w14:textId="77777777" w:rsidR="00992FDA" w:rsidRDefault="00992FDA"/>
    <w:sectPr w:rsidR="00992FDA">
      <w:footerReference w:type="default" r:id="rId8"/>
      <w:pgSz w:w="11906" w:h="16838"/>
      <w:pgMar w:top="1418" w:right="1134" w:bottom="1418"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9EE4D" w14:textId="77777777" w:rsidR="00004488" w:rsidRDefault="00004488">
      <w:r>
        <w:separator/>
      </w:r>
    </w:p>
  </w:endnote>
  <w:endnote w:type="continuationSeparator" w:id="0">
    <w:p w14:paraId="67B87C22" w14:textId="77777777" w:rsidR="00004488" w:rsidRDefault="00004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03094" w14:textId="77777777" w:rsidR="00B83F48" w:rsidRDefault="00CC08C4">
    <w:pPr>
      <w:jc w:val="center"/>
    </w:pPr>
    <w:r>
      <w:rPr>
        <w:sz w:val="20"/>
        <w:szCs w:val="20"/>
      </w:rPr>
      <w:fldChar w:fldCharType="begin"/>
    </w:r>
    <w:r>
      <w:rPr>
        <w:sz w:val="20"/>
        <w:szCs w:val="20"/>
      </w:rPr>
      <w:instrText>PAGE</w:instrText>
    </w:r>
    <w:r>
      <w:rPr>
        <w:sz w:val="20"/>
        <w:szCs w:val="20"/>
      </w:rPr>
      <w:fldChar w:fldCharType="separate"/>
    </w:r>
    <w:r w:rsidR="00AD6E2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75278" w14:textId="77777777" w:rsidR="00004488" w:rsidRDefault="00004488">
      <w:r>
        <w:separator/>
      </w:r>
    </w:p>
  </w:footnote>
  <w:footnote w:type="continuationSeparator" w:id="0">
    <w:p w14:paraId="50852577" w14:textId="77777777" w:rsidR="00004488" w:rsidRDefault="00004488">
      <w:r>
        <w:continuationSeparator/>
      </w:r>
    </w:p>
  </w:footnote>
  <w:footnote w:id="1">
    <w:p w14:paraId="435DFDA2" w14:textId="77777777" w:rsidR="00B47932" w:rsidRDefault="00B47932" w:rsidP="00B47932">
      <w:pPr>
        <w:pStyle w:val="FootnoteText"/>
      </w:pPr>
      <w:r>
        <w:rPr>
          <w:rStyle w:val="FootnoteReference"/>
        </w:rPr>
        <w:footnoteRef/>
      </w:r>
      <w:r>
        <w:t xml:space="preserve"> </w:t>
      </w:r>
      <w:hyperlink r:id="rId1" w:history="1">
        <w:r w:rsidRPr="00F46797">
          <w:rPr>
            <w:rStyle w:val="Hyperlink"/>
            <w:color w:val="auto"/>
            <w:sz w:val="18"/>
            <w:szCs w:val="18"/>
          </w:rPr>
          <w:t>https://likumi.lv/ta/id/365963-par-latvijas-ilgtspejigas-energijas-tehnologiju-attistibas-planu-lidz-2035-gadam</w:t>
        </w:r>
      </w:hyperlink>
    </w:p>
  </w:footnote>
  <w:footnote w:id="2">
    <w:p w14:paraId="07D7FBFC" w14:textId="77777777" w:rsidR="00B47932" w:rsidRPr="00F46797" w:rsidRDefault="00B47932" w:rsidP="00B47932">
      <w:pPr>
        <w:pStyle w:val="FootnoteText"/>
        <w:jc w:val="both"/>
        <w:rPr>
          <w:sz w:val="18"/>
          <w:szCs w:val="18"/>
        </w:rPr>
      </w:pPr>
      <w:r w:rsidRPr="00F46797">
        <w:rPr>
          <w:rStyle w:val="FootnoteReference"/>
          <w:sz w:val="18"/>
          <w:szCs w:val="18"/>
        </w:rPr>
        <w:footnoteRef/>
      </w:r>
      <w:r w:rsidRPr="00F46797">
        <w:rPr>
          <w:sz w:val="18"/>
          <w:szCs w:val="18"/>
        </w:rPr>
        <w:t xml:space="preserve"> </w:t>
      </w:r>
      <w:hyperlink r:id="rId2" w:history="1">
        <w:r w:rsidRPr="00F46797">
          <w:rPr>
            <w:rStyle w:val="Hyperlink"/>
            <w:color w:val="auto"/>
            <w:sz w:val="18"/>
            <w:szCs w:val="18"/>
          </w:rPr>
          <w:t>https://eur-lex.europa.eu/legal-content/EN/TXT/?uri=OJ:L_202401735</w:t>
        </w:r>
      </w:hyperlink>
    </w:p>
  </w:footnote>
  <w:footnote w:id="3">
    <w:p w14:paraId="03EA94A5" w14:textId="77777777" w:rsidR="00B47932" w:rsidRPr="00F46797" w:rsidRDefault="00B47932" w:rsidP="00B47932">
      <w:pPr>
        <w:pStyle w:val="FootnoteText"/>
        <w:jc w:val="both"/>
        <w:rPr>
          <w:sz w:val="18"/>
          <w:szCs w:val="18"/>
        </w:rPr>
      </w:pPr>
      <w:r w:rsidRPr="00F46797">
        <w:rPr>
          <w:rStyle w:val="FootnoteReference"/>
          <w:sz w:val="18"/>
          <w:szCs w:val="18"/>
        </w:rPr>
        <w:footnoteRef/>
      </w:r>
      <w:hyperlink r:id="rId3" w:history="1">
        <w:r w:rsidRPr="00EE374A">
          <w:rPr>
            <w:rStyle w:val="Hyperlink"/>
            <w:sz w:val="18"/>
            <w:szCs w:val="18"/>
          </w:rPr>
          <w:t>https://likumi.lv/ta/id/366680-grozijumi-ministru-kabineta-2025-gada-6-maija-noteikumos-nr-277-kartiba-kada-nodrosina-prioritaru-publisku-pakalpojumu-sniegsan</w:t>
        </w:r>
      </w:hyperlink>
      <w:r w:rsidRPr="00F46797">
        <w:rPr>
          <w:sz w:val="18"/>
          <w:szCs w:val="18"/>
        </w:rPr>
        <w:t>...</w:t>
      </w:r>
    </w:p>
  </w:footnote>
  <w:footnote w:id="4">
    <w:p w14:paraId="595523DB" w14:textId="77777777" w:rsidR="00B47932" w:rsidRPr="00F46797" w:rsidRDefault="00B47932" w:rsidP="00B47932">
      <w:pPr>
        <w:pStyle w:val="FootnoteText"/>
        <w:jc w:val="both"/>
        <w:rPr>
          <w:sz w:val="18"/>
          <w:szCs w:val="18"/>
        </w:rPr>
      </w:pPr>
      <w:r w:rsidRPr="00F46797">
        <w:rPr>
          <w:rStyle w:val="FootnoteReference"/>
          <w:sz w:val="18"/>
          <w:szCs w:val="18"/>
        </w:rPr>
        <w:footnoteRef/>
      </w:r>
      <w:r w:rsidRPr="00F46797">
        <w:rPr>
          <w:sz w:val="18"/>
          <w:szCs w:val="18"/>
        </w:rPr>
        <w:t xml:space="preserve"> </w:t>
      </w:r>
      <w:hyperlink r:id="rId4" w:history="1">
        <w:r w:rsidRPr="00F46797">
          <w:rPr>
            <w:rStyle w:val="Hyperlink"/>
            <w:color w:val="auto"/>
            <w:sz w:val="18"/>
            <w:szCs w:val="18"/>
          </w:rPr>
          <w:t>https://www.liaa.gov.lv/lv/iniciativa-zalais-koridors</w:t>
        </w:r>
      </w:hyperlink>
    </w:p>
  </w:footnote>
  <w:footnote w:id="5">
    <w:p w14:paraId="324D5EF4" w14:textId="77777777" w:rsidR="00B47932" w:rsidRDefault="00B47932" w:rsidP="00B47932">
      <w:pPr>
        <w:pStyle w:val="FootnoteText"/>
        <w:jc w:val="both"/>
      </w:pPr>
      <w:r w:rsidRPr="00F46797">
        <w:rPr>
          <w:rStyle w:val="FootnoteReference"/>
          <w:sz w:val="18"/>
          <w:szCs w:val="18"/>
        </w:rPr>
        <w:footnoteRef/>
      </w:r>
      <w:r w:rsidRPr="00F46797">
        <w:rPr>
          <w:sz w:val="18"/>
          <w:szCs w:val="18"/>
        </w:rPr>
        <w:t xml:space="preserve"> </w:t>
      </w:r>
      <w:hyperlink r:id="rId5" w:history="1">
        <w:r w:rsidRPr="00F46797">
          <w:rPr>
            <w:rStyle w:val="Hyperlink"/>
            <w:color w:val="auto"/>
            <w:sz w:val="18"/>
            <w:szCs w:val="18"/>
          </w:rPr>
          <w:t>https://eur-lex.europa.eu/eli/reg/2024/1252/oj/eng</w:t>
        </w:r>
      </w:hyperlink>
    </w:p>
  </w:footnote>
  <w:footnote w:id="6">
    <w:p w14:paraId="5D407AAD" w14:textId="77777777" w:rsidR="00B47932" w:rsidRDefault="00B47932" w:rsidP="00B47932">
      <w:pPr>
        <w:pStyle w:val="FootnoteText"/>
        <w:jc w:val="both"/>
      </w:pPr>
      <w:r>
        <w:rPr>
          <w:rStyle w:val="FootnoteReference"/>
        </w:rPr>
        <w:footnoteRef/>
      </w:r>
      <w:r>
        <w:t xml:space="preserve"> </w:t>
      </w:r>
      <w:hyperlink r:id="rId6" w:history="1">
        <w:r w:rsidRPr="00F46797">
          <w:rPr>
            <w:rStyle w:val="Hyperlink"/>
            <w:color w:val="auto"/>
            <w:sz w:val="18"/>
            <w:szCs w:val="18"/>
          </w:rPr>
          <w:t>https://ltrk.lv/projekts/green-hydra/</w:t>
        </w:r>
      </w:hyperlink>
    </w:p>
    <w:p w14:paraId="0DAF15FE" w14:textId="77777777" w:rsidR="00B47932" w:rsidRDefault="00B47932" w:rsidP="00B4793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5883"/>
    <w:multiLevelType w:val="hybridMultilevel"/>
    <w:tmpl w:val="17323BC8"/>
    <w:lvl w:ilvl="0" w:tplc="FA3ED3F6">
      <w:start w:val="1"/>
      <w:numFmt w:val="bullet"/>
      <w:lvlText w:val="●"/>
      <w:lvlJc w:val="left"/>
      <w:pPr>
        <w:ind w:left="720" w:hanging="360"/>
      </w:pPr>
    </w:lvl>
    <w:lvl w:ilvl="1" w:tplc="23A03582">
      <w:start w:val="1"/>
      <w:numFmt w:val="bullet"/>
      <w:lvlText w:val="○"/>
      <w:lvlJc w:val="left"/>
      <w:pPr>
        <w:ind w:left="1440" w:hanging="360"/>
      </w:pPr>
    </w:lvl>
    <w:lvl w:ilvl="2" w:tplc="153AACF8">
      <w:start w:val="1"/>
      <w:numFmt w:val="bullet"/>
      <w:lvlText w:val="■"/>
      <w:lvlJc w:val="left"/>
      <w:pPr>
        <w:ind w:left="2160" w:hanging="360"/>
      </w:pPr>
    </w:lvl>
    <w:lvl w:ilvl="3" w:tplc="29FCF5A8">
      <w:start w:val="1"/>
      <w:numFmt w:val="bullet"/>
      <w:lvlText w:val="●"/>
      <w:lvlJc w:val="left"/>
      <w:pPr>
        <w:ind w:left="2880" w:hanging="360"/>
      </w:pPr>
    </w:lvl>
    <w:lvl w:ilvl="4" w:tplc="CC74F448">
      <w:start w:val="1"/>
      <w:numFmt w:val="bullet"/>
      <w:lvlText w:val="○"/>
      <w:lvlJc w:val="left"/>
      <w:pPr>
        <w:ind w:left="3600" w:hanging="360"/>
      </w:pPr>
    </w:lvl>
    <w:lvl w:ilvl="5" w:tplc="2736C050">
      <w:start w:val="1"/>
      <w:numFmt w:val="bullet"/>
      <w:lvlText w:val="■"/>
      <w:lvlJc w:val="left"/>
      <w:pPr>
        <w:ind w:left="4320" w:hanging="360"/>
      </w:pPr>
    </w:lvl>
    <w:lvl w:ilvl="6" w:tplc="78F0F1F8">
      <w:start w:val="1"/>
      <w:numFmt w:val="bullet"/>
      <w:lvlText w:val="●"/>
      <w:lvlJc w:val="left"/>
      <w:pPr>
        <w:ind w:left="5040" w:hanging="360"/>
      </w:pPr>
    </w:lvl>
    <w:lvl w:ilvl="7" w:tplc="3B0EEF98">
      <w:start w:val="1"/>
      <w:numFmt w:val="bullet"/>
      <w:lvlText w:val="●"/>
      <w:lvlJc w:val="left"/>
      <w:pPr>
        <w:ind w:left="5760" w:hanging="360"/>
      </w:pPr>
    </w:lvl>
    <w:lvl w:ilvl="8" w:tplc="4B9AE0E4">
      <w:start w:val="1"/>
      <w:numFmt w:val="bullet"/>
      <w:lvlText w:val="●"/>
      <w:lvlJc w:val="left"/>
      <w:pPr>
        <w:ind w:left="6480" w:hanging="360"/>
      </w:pPr>
    </w:lvl>
  </w:abstractNum>
  <w:abstractNum w:abstractNumId="1" w15:restartNumberingAfterBreak="0">
    <w:nsid w:val="1B1A6449"/>
    <w:multiLevelType w:val="hybridMultilevel"/>
    <w:tmpl w:val="959E3C34"/>
    <w:lvl w:ilvl="0" w:tplc="2928690E">
      <w:start w:val="1"/>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7093881"/>
    <w:multiLevelType w:val="hybridMultilevel"/>
    <w:tmpl w:val="FC04F02A"/>
    <w:lvl w:ilvl="0" w:tplc="2928690E">
      <w:start w:val="1"/>
      <w:numFmt w:val="bullet"/>
      <w:lvlText w:val="–"/>
      <w:lvlJc w:val="left"/>
      <w:pPr>
        <w:ind w:left="720" w:hanging="360"/>
      </w:pPr>
    </w:lvl>
    <w:lvl w:ilvl="1" w:tplc="BA528A14">
      <w:numFmt w:val="decimal"/>
      <w:lvlText w:val=""/>
      <w:lvlJc w:val="left"/>
    </w:lvl>
    <w:lvl w:ilvl="2" w:tplc="B91C0CAC">
      <w:numFmt w:val="decimal"/>
      <w:lvlText w:val=""/>
      <w:lvlJc w:val="left"/>
    </w:lvl>
    <w:lvl w:ilvl="3" w:tplc="831EA732">
      <w:numFmt w:val="decimal"/>
      <w:lvlText w:val=""/>
      <w:lvlJc w:val="left"/>
    </w:lvl>
    <w:lvl w:ilvl="4" w:tplc="C832A5D6">
      <w:numFmt w:val="decimal"/>
      <w:lvlText w:val=""/>
      <w:lvlJc w:val="left"/>
    </w:lvl>
    <w:lvl w:ilvl="5" w:tplc="84C4E5E6">
      <w:numFmt w:val="decimal"/>
      <w:lvlText w:val=""/>
      <w:lvlJc w:val="left"/>
    </w:lvl>
    <w:lvl w:ilvl="6" w:tplc="26304946">
      <w:numFmt w:val="decimal"/>
      <w:lvlText w:val=""/>
      <w:lvlJc w:val="left"/>
    </w:lvl>
    <w:lvl w:ilvl="7" w:tplc="51E89B60">
      <w:numFmt w:val="decimal"/>
      <w:lvlText w:val=""/>
      <w:lvlJc w:val="left"/>
    </w:lvl>
    <w:lvl w:ilvl="8" w:tplc="5DC49518">
      <w:numFmt w:val="decimal"/>
      <w:lvlText w:val=""/>
      <w:lvlJc w:val="left"/>
    </w:lvl>
  </w:abstractNum>
  <w:abstractNum w:abstractNumId="3" w15:restartNumberingAfterBreak="0">
    <w:nsid w:val="3CC34E43"/>
    <w:multiLevelType w:val="hybridMultilevel"/>
    <w:tmpl w:val="FC18B850"/>
    <w:lvl w:ilvl="0" w:tplc="6A2CBB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78517D45"/>
    <w:multiLevelType w:val="hybridMultilevel"/>
    <w:tmpl w:val="4DAA0156"/>
    <w:lvl w:ilvl="0" w:tplc="F24E4E7C">
      <w:start w:val="3"/>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num w:numId="1" w16cid:durableId="1572232905">
    <w:abstractNumId w:val="0"/>
    <w:lvlOverride w:ilvl="0">
      <w:startOverride w:val="1"/>
    </w:lvlOverride>
  </w:num>
  <w:num w:numId="2" w16cid:durableId="768233376">
    <w:abstractNumId w:val="2"/>
    <w:lvlOverride w:ilvl="0">
      <w:startOverride w:val="1"/>
    </w:lvlOverride>
  </w:num>
  <w:num w:numId="3" w16cid:durableId="146634217">
    <w:abstractNumId w:val="3"/>
  </w:num>
  <w:num w:numId="4" w16cid:durableId="1035278319">
    <w:abstractNumId w:val="1"/>
  </w:num>
  <w:num w:numId="5" w16cid:durableId="1807118729">
    <w:abstractNumId w:val="2"/>
  </w:num>
  <w:num w:numId="6" w16cid:durableId="15535363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F48"/>
    <w:rsid w:val="00002876"/>
    <w:rsid w:val="00004488"/>
    <w:rsid w:val="00006112"/>
    <w:rsid w:val="00016884"/>
    <w:rsid w:val="0003003E"/>
    <w:rsid w:val="00034A2F"/>
    <w:rsid w:val="00060904"/>
    <w:rsid w:val="00062A29"/>
    <w:rsid w:val="0007015C"/>
    <w:rsid w:val="00071A18"/>
    <w:rsid w:val="00073CC9"/>
    <w:rsid w:val="000839DF"/>
    <w:rsid w:val="000852D4"/>
    <w:rsid w:val="00092181"/>
    <w:rsid w:val="000A1E44"/>
    <w:rsid w:val="000B540C"/>
    <w:rsid w:val="000D39F5"/>
    <w:rsid w:val="000E4E6B"/>
    <w:rsid w:val="000F3CBF"/>
    <w:rsid w:val="000F766A"/>
    <w:rsid w:val="00112DA0"/>
    <w:rsid w:val="0012177D"/>
    <w:rsid w:val="001335C5"/>
    <w:rsid w:val="00142A60"/>
    <w:rsid w:val="0014757F"/>
    <w:rsid w:val="00152CC5"/>
    <w:rsid w:val="001545D2"/>
    <w:rsid w:val="00160622"/>
    <w:rsid w:val="00166404"/>
    <w:rsid w:val="0017576B"/>
    <w:rsid w:val="0017752F"/>
    <w:rsid w:val="00184418"/>
    <w:rsid w:val="001906C3"/>
    <w:rsid w:val="00192C57"/>
    <w:rsid w:val="001A0364"/>
    <w:rsid w:val="001A16F2"/>
    <w:rsid w:val="001A3AE2"/>
    <w:rsid w:val="001C36C2"/>
    <w:rsid w:val="001C470B"/>
    <w:rsid w:val="001E2404"/>
    <w:rsid w:val="001E7C45"/>
    <w:rsid w:val="00204394"/>
    <w:rsid w:val="002129E8"/>
    <w:rsid w:val="00212D32"/>
    <w:rsid w:val="00224074"/>
    <w:rsid w:val="00242742"/>
    <w:rsid w:val="00243BCA"/>
    <w:rsid w:val="002544B4"/>
    <w:rsid w:val="002614D7"/>
    <w:rsid w:val="00261CCE"/>
    <w:rsid w:val="00270D57"/>
    <w:rsid w:val="00272BE2"/>
    <w:rsid w:val="00274AD1"/>
    <w:rsid w:val="00280A4E"/>
    <w:rsid w:val="00281E52"/>
    <w:rsid w:val="00287385"/>
    <w:rsid w:val="00295C78"/>
    <w:rsid w:val="00297897"/>
    <w:rsid w:val="002D2907"/>
    <w:rsid w:val="002D6DA8"/>
    <w:rsid w:val="002E051F"/>
    <w:rsid w:val="002E7ECD"/>
    <w:rsid w:val="002F2B09"/>
    <w:rsid w:val="002F3141"/>
    <w:rsid w:val="00300A05"/>
    <w:rsid w:val="00306243"/>
    <w:rsid w:val="00312E68"/>
    <w:rsid w:val="00324F73"/>
    <w:rsid w:val="00346A3D"/>
    <w:rsid w:val="00352645"/>
    <w:rsid w:val="00353C38"/>
    <w:rsid w:val="00353CFF"/>
    <w:rsid w:val="003571F7"/>
    <w:rsid w:val="00361635"/>
    <w:rsid w:val="00366C60"/>
    <w:rsid w:val="00370C3A"/>
    <w:rsid w:val="00382A85"/>
    <w:rsid w:val="00390A7D"/>
    <w:rsid w:val="003923EF"/>
    <w:rsid w:val="0039345D"/>
    <w:rsid w:val="00397A2D"/>
    <w:rsid w:val="003A088D"/>
    <w:rsid w:val="003A1E9A"/>
    <w:rsid w:val="003B01FF"/>
    <w:rsid w:val="003B08BF"/>
    <w:rsid w:val="003C5D88"/>
    <w:rsid w:val="003D4AFE"/>
    <w:rsid w:val="003E1175"/>
    <w:rsid w:val="003E380B"/>
    <w:rsid w:val="00404854"/>
    <w:rsid w:val="00414AC4"/>
    <w:rsid w:val="00422C98"/>
    <w:rsid w:val="00426A20"/>
    <w:rsid w:val="004534D2"/>
    <w:rsid w:val="004627E9"/>
    <w:rsid w:val="0046295A"/>
    <w:rsid w:val="00483802"/>
    <w:rsid w:val="0048524F"/>
    <w:rsid w:val="004856B0"/>
    <w:rsid w:val="00486B48"/>
    <w:rsid w:val="00491733"/>
    <w:rsid w:val="004A010E"/>
    <w:rsid w:val="004A34C9"/>
    <w:rsid w:val="004A4D53"/>
    <w:rsid w:val="004C21E9"/>
    <w:rsid w:val="004C4541"/>
    <w:rsid w:val="004C59DE"/>
    <w:rsid w:val="004C7BEA"/>
    <w:rsid w:val="004D3A7E"/>
    <w:rsid w:val="004D4083"/>
    <w:rsid w:val="004F1665"/>
    <w:rsid w:val="004F2819"/>
    <w:rsid w:val="00503BCD"/>
    <w:rsid w:val="00511479"/>
    <w:rsid w:val="005134FD"/>
    <w:rsid w:val="00513502"/>
    <w:rsid w:val="0053531B"/>
    <w:rsid w:val="00540366"/>
    <w:rsid w:val="005413DC"/>
    <w:rsid w:val="00546D88"/>
    <w:rsid w:val="005525C6"/>
    <w:rsid w:val="005653A5"/>
    <w:rsid w:val="005662CF"/>
    <w:rsid w:val="00573732"/>
    <w:rsid w:val="00585E56"/>
    <w:rsid w:val="005E315F"/>
    <w:rsid w:val="005E531D"/>
    <w:rsid w:val="005F3171"/>
    <w:rsid w:val="005F6E65"/>
    <w:rsid w:val="005F7392"/>
    <w:rsid w:val="00601EDE"/>
    <w:rsid w:val="00602373"/>
    <w:rsid w:val="0060244A"/>
    <w:rsid w:val="006060B1"/>
    <w:rsid w:val="00614275"/>
    <w:rsid w:val="00624336"/>
    <w:rsid w:val="00634DBA"/>
    <w:rsid w:val="0063770F"/>
    <w:rsid w:val="00640939"/>
    <w:rsid w:val="00641929"/>
    <w:rsid w:val="00641D12"/>
    <w:rsid w:val="00646A90"/>
    <w:rsid w:val="006556CD"/>
    <w:rsid w:val="00691614"/>
    <w:rsid w:val="00694DAD"/>
    <w:rsid w:val="00697838"/>
    <w:rsid w:val="006A085B"/>
    <w:rsid w:val="006A10B4"/>
    <w:rsid w:val="006A2A92"/>
    <w:rsid w:val="006A3BE7"/>
    <w:rsid w:val="006C65BC"/>
    <w:rsid w:val="006F02EE"/>
    <w:rsid w:val="006F17E1"/>
    <w:rsid w:val="006F3481"/>
    <w:rsid w:val="006F3844"/>
    <w:rsid w:val="006F7067"/>
    <w:rsid w:val="00700290"/>
    <w:rsid w:val="00702746"/>
    <w:rsid w:val="00707E24"/>
    <w:rsid w:val="0071037D"/>
    <w:rsid w:val="007120A6"/>
    <w:rsid w:val="00716AD3"/>
    <w:rsid w:val="00720C61"/>
    <w:rsid w:val="00720F55"/>
    <w:rsid w:val="0074018E"/>
    <w:rsid w:val="0075197A"/>
    <w:rsid w:val="00754C89"/>
    <w:rsid w:val="00762FE7"/>
    <w:rsid w:val="0076666F"/>
    <w:rsid w:val="00771591"/>
    <w:rsid w:val="00771DCA"/>
    <w:rsid w:val="00776962"/>
    <w:rsid w:val="00787FFB"/>
    <w:rsid w:val="007939FE"/>
    <w:rsid w:val="007A37BA"/>
    <w:rsid w:val="007B4EB4"/>
    <w:rsid w:val="007C6B09"/>
    <w:rsid w:val="007D0D40"/>
    <w:rsid w:val="007D5AB2"/>
    <w:rsid w:val="007E207C"/>
    <w:rsid w:val="007F355A"/>
    <w:rsid w:val="007F6502"/>
    <w:rsid w:val="008009BB"/>
    <w:rsid w:val="008058F6"/>
    <w:rsid w:val="00810D53"/>
    <w:rsid w:val="00810DFA"/>
    <w:rsid w:val="00813923"/>
    <w:rsid w:val="00813977"/>
    <w:rsid w:val="008144E2"/>
    <w:rsid w:val="00816F14"/>
    <w:rsid w:val="00827955"/>
    <w:rsid w:val="00833F25"/>
    <w:rsid w:val="0084396D"/>
    <w:rsid w:val="00856B97"/>
    <w:rsid w:val="00861DAB"/>
    <w:rsid w:val="008641B9"/>
    <w:rsid w:val="008755D9"/>
    <w:rsid w:val="008875D0"/>
    <w:rsid w:val="00894D9B"/>
    <w:rsid w:val="008956EF"/>
    <w:rsid w:val="008A14B6"/>
    <w:rsid w:val="008B1DC8"/>
    <w:rsid w:val="008D329D"/>
    <w:rsid w:val="008E1419"/>
    <w:rsid w:val="008E6E88"/>
    <w:rsid w:val="008F61F4"/>
    <w:rsid w:val="008F678D"/>
    <w:rsid w:val="0090768A"/>
    <w:rsid w:val="00920579"/>
    <w:rsid w:val="009242DC"/>
    <w:rsid w:val="00924980"/>
    <w:rsid w:val="00926770"/>
    <w:rsid w:val="00930360"/>
    <w:rsid w:val="00941E61"/>
    <w:rsid w:val="00943163"/>
    <w:rsid w:val="009609FC"/>
    <w:rsid w:val="00961A1A"/>
    <w:rsid w:val="00970DC1"/>
    <w:rsid w:val="00976A83"/>
    <w:rsid w:val="00992FDA"/>
    <w:rsid w:val="009B07B0"/>
    <w:rsid w:val="009B2801"/>
    <w:rsid w:val="009C1EE1"/>
    <w:rsid w:val="009C62DE"/>
    <w:rsid w:val="009D085C"/>
    <w:rsid w:val="009D1780"/>
    <w:rsid w:val="009D34EA"/>
    <w:rsid w:val="009D4671"/>
    <w:rsid w:val="009E230E"/>
    <w:rsid w:val="00A02F2B"/>
    <w:rsid w:val="00A06FE6"/>
    <w:rsid w:val="00A14B7F"/>
    <w:rsid w:val="00A23089"/>
    <w:rsid w:val="00A30FD0"/>
    <w:rsid w:val="00A427A7"/>
    <w:rsid w:val="00A445FA"/>
    <w:rsid w:val="00A50485"/>
    <w:rsid w:val="00A52A69"/>
    <w:rsid w:val="00A53E58"/>
    <w:rsid w:val="00A704B3"/>
    <w:rsid w:val="00A957D0"/>
    <w:rsid w:val="00A975FF"/>
    <w:rsid w:val="00A97E6E"/>
    <w:rsid w:val="00AC2DD3"/>
    <w:rsid w:val="00AD6E24"/>
    <w:rsid w:val="00AE2DF7"/>
    <w:rsid w:val="00AE5AFB"/>
    <w:rsid w:val="00B16EBA"/>
    <w:rsid w:val="00B33746"/>
    <w:rsid w:val="00B47932"/>
    <w:rsid w:val="00B5118E"/>
    <w:rsid w:val="00B51CA2"/>
    <w:rsid w:val="00B529C0"/>
    <w:rsid w:val="00B53A65"/>
    <w:rsid w:val="00B8033D"/>
    <w:rsid w:val="00B817F1"/>
    <w:rsid w:val="00B83F48"/>
    <w:rsid w:val="00B865C2"/>
    <w:rsid w:val="00B87DDF"/>
    <w:rsid w:val="00B96E63"/>
    <w:rsid w:val="00BA5FB1"/>
    <w:rsid w:val="00BC64CD"/>
    <w:rsid w:val="00BD0581"/>
    <w:rsid w:val="00BD4723"/>
    <w:rsid w:val="00BF4E6F"/>
    <w:rsid w:val="00BF5055"/>
    <w:rsid w:val="00C017BC"/>
    <w:rsid w:val="00C020FC"/>
    <w:rsid w:val="00C04370"/>
    <w:rsid w:val="00C148A4"/>
    <w:rsid w:val="00C370C1"/>
    <w:rsid w:val="00C43417"/>
    <w:rsid w:val="00C46A2D"/>
    <w:rsid w:val="00C509F3"/>
    <w:rsid w:val="00C558C7"/>
    <w:rsid w:val="00C573A7"/>
    <w:rsid w:val="00C77DFB"/>
    <w:rsid w:val="00C85497"/>
    <w:rsid w:val="00CA0013"/>
    <w:rsid w:val="00CA283C"/>
    <w:rsid w:val="00CA43F6"/>
    <w:rsid w:val="00CB296D"/>
    <w:rsid w:val="00CC08C4"/>
    <w:rsid w:val="00CC32D2"/>
    <w:rsid w:val="00CE5A6B"/>
    <w:rsid w:val="00CE79B6"/>
    <w:rsid w:val="00CF2DB3"/>
    <w:rsid w:val="00CF4AC2"/>
    <w:rsid w:val="00CF6C48"/>
    <w:rsid w:val="00D2209F"/>
    <w:rsid w:val="00D258A5"/>
    <w:rsid w:val="00D27626"/>
    <w:rsid w:val="00D34689"/>
    <w:rsid w:val="00D467B2"/>
    <w:rsid w:val="00D50D74"/>
    <w:rsid w:val="00D571E1"/>
    <w:rsid w:val="00D57B30"/>
    <w:rsid w:val="00D65992"/>
    <w:rsid w:val="00D671F1"/>
    <w:rsid w:val="00D8065D"/>
    <w:rsid w:val="00D83171"/>
    <w:rsid w:val="00D91337"/>
    <w:rsid w:val="00D977EC"/>
    <w:rsid w:val="00DA19D6"/>
    <w:rsid w:val="00DA23F0"/>
    <w:rsid w:val="00DA7A23"/>
    <w:rsid w:val="00DA7BDE"/>
    <w:rsid w:val="00DB1803"/>
    <w:rsid w:val="00DB279A"/>
    <w:rsid w:val="00DB3D58"/>
    <w:rsid w:val="00DC22AC"/>
    <w:rsid w:val="00DC7E31"/>
    <w:rsid w:val="00DD407D"/>
    <w:rsid w:val="00DE2F09"/>
    <w:rsid w:val="00DE32F6"/>
    <w:rsid w:val="00DF1CC1"/>
    <w:rsid w:val="00DF421D"/>
    <w:rsid w:val="00DF59D1"/>
    <w:rsid w:val="00E06226"/>
    <w:rsid w:val="00E13275"/>
    <w:rsid w:val="00E14F4D"/>
    <w:rsid w:val="00E16B40"/>
    <w:rsid w:val="00E25116"/>
    <w:rsid w:val="00E253BA"/>
    <w:rsid w:val="00E261EA"/>
    <w:rsid w:val="00E36FF7"/>
    <w:rsid w:val="00E649CF"/>
    <w:rsid w:val="00E73B3D"/>
    <w:rsid w:val="00E81231"/>
    <w:rsid w:val="00E853CE"/>
    <w:rsid w:val="00E86571"/>
    <w:rsid w:val="00EA3A46"/>
    <w:rsid w:val="00EB01F7"/>
    <w:rsid w:val="00EB532D"/>
    <w:rsid w:val="00EC3097"/>
    <w:rsid w:val="00EC345F"/>
    <w:rsid w:val="00EC7585"/>
    <w:rsid w:val="00ED773C"/>
    <w:rsid w:val="00EE65BC"/>
    <w:rsid w:val="00EF3580"/>
    <w:rsid w:val="00F02EF4"/>
    <w:rsid w:val="00F0788F"/>
    <w:rsid w:val="00F11257"/>
    <w:rsid w:val="00F32E96"/>
    <w:rsid w:val="00F43E92"/>
    <w:rsid w:val="00F66A6E"/>
    <w:rsid w:val="00F66F80"/>
    <w:rsid w:val="00F671D2"/>
    <w:rsid w:val="00F70068"/>
    <w:rsid w:val="00F91F2F"/>
    <w:rsid w:val="00F94CEB"/>
    <w:rsid w:val="00F955D1"/>
    <w:rsid w:val="00F96E39"/>
    <w:rsid w:val="00F97A83"/>
    <w:rsid w:val="00FA4695"/>
    <w:rsid w:val="00FB1139"/>
    <w:rsid w:val="00FB2914"/>
    <w:rsid w:val="00FB3D0B"/>
    <w:rsid w:val="00FC6EBD"/>
    <w:rsid w:val="00FD2BA3"/>
    <w:rsid w:val="00FD5029"/>
    <w:rsid w:val="00FE0F04"/>
    <w:rsid w:val="00FE612D"/>
    <w:rsid w:val="00FF0B10"/>
    <w:rsid w:val="029F980A"/>
    <w:rsid w:val="069E22DC"/>
    <w:rsid w:val="07464B8E"/>
    <w:rsid w:val="0D6ECF96"/>
    <w:rsid w:val="1321FAA7"/>
    <w:rsid w:val="13B263B4"/>
    <w:rsid w:val="15C62295"/>
    <w:rsid w:val="18792F9E"/>
    <w:rsid w:val="18F1FA16"/>
    <w:rsid w:val="199FE664"/>
    <w:rsid w:val="1A8D15FB"/>
    <w:rsid w:val="1CA16313"/>
    <w:rsid w:val="1D2E7821"/>
    <w:rsid w:val="1FCBB268"/>
    <w:rsid w:val="277FAD5D"/>
    <w:rsid w:val="2782C962"/>
    <w:rsid w:val="30D86EDF"/>
    <w:rsid w:val="31826DC1"/>
    <w:rsid w:val="36F34738"/>
    <w:rsid w:val="3874D234"/>
    <w:rsid w:val="3A2675D0"/>
    <w:rsid w:val="3F0123AD"/>
    <w:rsid w:val="411D0633"/>
    <w:rsid w:val="4179F0C9"/>
    <w:rsid w:val="467108C0"/>
    <w:rsid w:val="491746B5"/>
    <w:rsid w:val="4CC4E543"/>
    <w:rsid w:val="4DCB8205"/>
    <w:rsid w:val="5010606C"/>
    <w:rsid w:val="51155F00"/>
    <w:rsid w:val="541AB610"/>
    <w:rsid w:val="55656D5C"/>
    <w:rsid w:val="56F72688"/>
    <w:rsid w:val="5800502D"/>
    <w:rsid w:val="5845E6EA"/>
    <w:rsid w:val="58AA65D5"/>
    <w:rsid w:val="5A7678B4"/>
    <w:rsid w:val="5BD25210"/>
    <w:rsid w:val="628744C9"/>
    <w:rsid w:val="6A7DA6EC"/>
    <w:rsid w:val="6B87F174"/>
    <w:rsid w:val="6E2CA0DF"/>
    <w:rsid w:val="6E7A5EF2"/>
    <w:rsid w:val="6F1740AC"/>
    <w:rsid w:val="6FCC36D5"/>
    <w:rsid w:val="71390D1B"/>
    <w:rsid w:val="7291839F"/>
    <w:rsid w:val="72D14A6B"/>
    <w:rsid w:val="73518434"/>
    <w:rsid w:val="751DD6D5"/>
    <w:rsid w:val="76308F02"/>
    <w:rsid w:val="76419F87"/>
    <w:rsid w:val="76E25B06"/>
    <w:rsid w:val="7E434C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EB768"/>
  <w15:docId w15:val="{2AFB1E0F-66E2-46EC-8BE1-310650E01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b/>
      <w:bCs/>
      <w:color w:val="000000"/>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uiPriority w:val="39"/>
    <w:qFormat/>
    <w:pPr>
      <w:spacing w:after="200"/>
    </w:pPr>
    <w:rPr>
      <w:b/>
      <w:bCs/>
      <w:sz w:val="28"/>
      <w:szCs w:val="28"/>
    </w:rPr>
  </w:style>
  <w:style w:type="paragraph" w:styleId="TOC1">
    <w:name w:val="toc 1"/>
    <w:basedOn w:val="Normal"/>
    <w:next w:val="Normal"/>
    <w:autoRedefine/>
    <w:uiPriority w:val="39"/>
    <w:unhideWhenUsed/>
    <w:rsid w:val="00DA7A23"/>
    <w:pPr>
      <w:spacing w:after="100"/>
    </w:pPr>
  </w:style>
  <w:style w:type="character" w:styleId="UnresolvedMention">
    <w:name w:val="Unresolved Mention"/>
    <w:basedOn w:val="DefaultParagraphFont"/>
    <w:uiPriority w:val="99"/>
    <w:semiHidden/>
    <w:unhideWhenUsed/>
    <w:rsid w:val="003923EF"/>
    <w:rPr>
      <w:color w:val="605E5C"/>
      <w:shd w:val="clear" w:color="auto" w:fill="E1DFDD"/>
    </w:rPr>
  </w:style>
  <w:style w:type="paragraph" w:styleId="Revision">
    <w:name w:val="Revision"/>
    <w:hidden/>
    <w:uiPriority w:val="99"/>
    <w:semiHidden/>
    <w:rsid w:val="00414AC4"/>
  </w:style>
  <w:style w:type="paragraph" w:styleId="Header">
    <w:name w:val="header"/>
    <w:basedOn w:val="Normal"/>
    <w:link w:val="HeaderChar"/>
    <w:uiPriority w:val="99"/>
    <w:semiHidden/>
    <w:unhideWhenUsed/>
    <w:rsid w:val="00CA0013"/>
    <w:pPr>
      <w:tabs>
        <w:tab w:val="center" w:pos="4680"/>
        <w:tab w:val="right" w:pos="9360"/>
      </w:tabs>
    </w:pPr>
  </w:style>
  <w:style w:type="character" w:customStyle="1" w:styleId="HeaderChar">
    <w:name w:val="Header Char"/>
    <w:basedOn w:val="DefaultParagraphFont"/>
    <w:link w:val="Header"/>
    <w:uiPriority w:val="99"/>
    <w:semiHidden/>
    <w:rsid w:val="00F11257"/>
  </w:style>
  <w:style w:type="paragraph" w:styleId="Footer">
    <w:name w:val="footer"/>
    <w:basedOn w:val="Normal"/>
    <w:link w:val="FooterChar"/>
    <w:uiPriority w:val="99"/>
    <w:semiHidden/>
    <w:unhideWhenUsed/>
    <w:rsid w:val="00CA0013"/>
    <w:pPr>
      <w:tabs>
        <w:tab w:val="center" w:pos="4680"/>
        <w:tab w:val="right" w:pos="9360"/>
      </w:tabs>
    </w:pPr>
  </w:style>
  <w:style w:type="character" w:customStyle="1" w:styleId="FooterChar">
    <w:name w:val="Footer Char"/>
    <w:basedOn w:val="DefaultParagraphFont"/>
    <w:link w:val="Footer"/>
    <w:uiPriority w:val="99"/>
    <w:semiHidden/>
    <w:rsid w:val="00F11257"/>
  </w:style>
  <w:style w:type="paragraph" w:styleId="CommentText">
    <w:name w:val="annotation text"/>
    <w:basedOn w:val="Normal"/>
    <w:link w:val="CommentTextChar"/>
    <w:uiPriority w:val="99"/>
    <w:unhideWhenUsed/>
    <w:rsid w:val="00D467B2"/>
    <w:rPr>
      <w:sz w:val="20"/>
      <w:szCs w:val="20"/>
    </w:rPr>
  </w:style>
  <w:style w:type="character" w:customStyle="1" w:styleId="CommentTextChar">
    <w:name w:val="Comment Text Char"/>
    <w:basedOn w:val="DefaultParagraphFont"/>
    <w:link w:val="CommentText"/>
    <w:uiPriority w:val="99"/>
    <w:rsid w:val="00D467B2"/>
    <w:rPr>
      <w:sz w:val="20"/>
      <w:szCs w:val="20"/>
    </w:rPr>
  </w:style>
  <w:style w:type="character" w:styleId="CommentReference">
    <w:name w:val="annotation reference"/>
    <w:basedOn w:val="DefaultParagraphFont"/>
    <w:uiPriority w:val="99"/>
    <w:semiHidden/>
    <w:unhideWhenUsed/>
    <w:rsid w:val="00D467B2"/>
    <w:rPr>
      <w:sz w:val="16"/>
      <w:szCs w:val="16"/>
    </w:rPr>
  </w:style>
  <w:style w:type="paragraph" w:styleId="CommentSubject">
    <w:name w:val="annotation subject"/>
    <w:basedOn w:val="CommentText"/>
    <w:next w:val="CommentText"/>
    <w:link w:val="CommentSubjectChar"/>
    <w:uiPriority w:val="99"/>
    <w:semiHidden/>
    <w:unhideWhenUsed/>
    <w:rsid w:val="00DA7BDE"/>
    <w:rPr>
      <w:b/>
      <w:bCs/>
    </w:rPr>
  </w:style>
  <w:style w:type="character" w:customStyle="1" w:styleId="CommentSubjectChar">
    <w:name w:val="Comment Subject Char"/>
    <w:basedOn w:val="CommentTextChar"/>
    <w:link w:val="CommentSubject"/>
    <w:uiPriority w:val="99"/>
    <w:semiHidden/>
    <w:rsid w:val="00DA7BDE"/>
    <w:rPr>
      <w:b/>
      <w:bCs/>
      <w:sz w:val="20"/>
      <w:szCs w:val="20"/>
    </w:rPr>
  </w:style>
  <w:style w:type="character" w:styleId="PlaceholderText">
    <w:name w:val="Placeholder Text"/>
    <w:basedOn w:val="DefaultParagraphFont"/>
    <w:uiPriority w:val="99"/>
    <w:semiHidden/>
    <w:rsid w:val="00DF421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66680-grozijumi-ministru-kabineta-2025-gada-6-maija-noteikumos-nr-277-kartiba-kada-nodrosina-prioritaru-publisku-pakalpojumu-sniegsan" TargetMode="External"/><Relationship Id="rId2" Type="http://schemas.openxmlformats.org/officeDocument/2006/relationships/hyperlink" Target="https://eur-lex.europa.eu/legal-content/EN/TXT/?uri=OJ:L_202401735" TargetMode="External"/><Relationship Id="rId1" Type="http://schemas.openxmlformats.org/officeDocument/2006/relationships/hyperlink" Target="https://likumi.lv/ta/id/365963-par-latvijas-ilgtspejigas-energijas-tehnologiju-attistibas-planu-lidz-2035-gadam" TargetMode="External"/><Relationship Id="rId6" Type="http://schemas.openxmlformats.org/officeDocument/2006/relationships/hyperlink" Target="https://ltrk.lv/projekts/green-hydra/" TargetMode="External"/><Relationship Id="rId5" Type="http://schemas.openxmlformats.org/officeDocument/2006/relationships/hyperlink" Target="https://eur-lex.europa.eu/eli/reg/2024/1252/oj/eng" TargetMode="External"/><Relationship Id="rId4" Type="http://schemas.openxmlformats.org/officeDocument/2006/relationships/hyperlink" Target="https://www.liaa.gov.lv/lv/iniciativa-zalais-korid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297AE-9C89-41FD-8DAF-33D4AD8F6FD7}">
  <ds:schemaRefs>
    <ds:schemaRef ds:uri="http://schemas.openxmlformats.org/officeDocument/2006/bibliography"/>
  </ds:schemaRefs>
</ds:datastoreItem>
</file>

<file path=docMetadata/LabelInfo.xml><?xml version="1.0" encoding="utf-8"?>
<clbl:labelList xmlns:clbl="http://schemas.microsoft.com/office/2020/mipLabelMetadata">
  <clbl:label id="{d776fea5-7f8f-444d-ab4e-5cffc08995f1}" enabled="0" method="" siteId="{d776fea5-7f8f-444d-ab4e-5cffc08995f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8435</Words>
  <Characters>4808</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13217</CharactersWithSpaces>
  <SharedDoc>false</SharedDoc>
  <HLinks>
    <vt:vector size="72" baseType="variant">
      <vt:variant>
        <vt:i4>1507387</vt:i4>
      </vt:variant>
      <vt:variant>
        <vt:i4>32</vt:i4>
      </vt:variant>
      <vt:variant>
        <vt:i4>0</vt:i4>
      </vt:variant>
      <vt:variant>
        <vt:i4>5</vt:i4>
      </vt:variant>
      <vt:variant>
        <vt:lpwstr/>
      </vt:variant>
      <vt:variant>
        <vt:lpwstr>_Toc230705913</vt:lpwstr>
      </vt:variant>
      <vt:variant>
        <vt:i4>1507387</vt:i4>
      </vt:variant>
      <vt:variant>
        <vt:i4>26</vt:i4>
      </vt:variant>
      <vt:variant>
        <vt:i4>0</vt:i4>
      </vt:variant>
      <vt:variant>
        <vt:i4>5</vt:i4>
      </vt:variant>
      <vt:variant>
        <vt:lpwstr/>
      </vt:variant>
      <vt:variant>
        <vt:lpwstr>_Toc230705912</vt:lpwstr>
      </vt:variant>
      <vt:variant>
        <vt:i4>1507387</vt:i4>
      </vt:variant>
      <vt:variant>
        <vt:i4>20</vt:i4>
      </vt:variant>
      <vt:variant>
        <vt:i4>0</vt:i4>
      </vt:variant>
      <vt:variant>
        <vt:i4>5</vt:i4>
      </vt:variant>
      <vt:variant>
        <vt:lpwstr/>
      </vt:variant>
      <vt:variant>
        <vt:lpwstr>_Toc230705911</vt:lpwstr>
      </vt:variant>
      <vt:variant>
        <vt:i4>1507387</vt:i4>
      </vt:variant>
      <vt:variant>
        <vt:i4>14</vt:i4>
      </vt:variant>
      <vt:variant>
        <vt:i4>0</vt:i4>
      </vt:variant>
      <vt:variant>
        <vt:i4>5</vt:i4>
      </vt:variant>
      <vt:variant>
        <vt:lpwstr/>
      </vt:variant>
      <vt:variant>
        <vt:lpwstr>_Toc230705910</vt:lpwstr>
      </vt:variant>
      <vt:variant>
        <vt:i4>1441851</vt:i4>
      </vt:variant>
      <vt:variant>
        <vt:i4>8</vt:i4>
      </vt:variant>
      <vt:variant>
        <vt:i4>0</vt:i4>
      </vt:variant>
      <vt:variant>
        <vt:i4>5</vt:i4>
      </vt:variant>
      <vt:variant>
        <vt:lpwstr/>
      </vt:variant>
      <vt:variant>
        <vt:lpwstr>_Toc230705909</vt:lpwstr>
      </vt:variant>
      <vt:variant>
        <vt:i4>1441851</vt:i4>
      </vt:variant>
      <vt:variant>
        <vt:i4>2</vt:i4>
      </vt:variant>
      <vt:variant>
        <vt:i4>0</vt:i4>
      </vt:variant>
      <vt:variant>
        <vt:i4>5</vt:i4>
      </vt:variant>
      <vt:variant>
        <vt:lpwstr/>
      </vt:variant>
      <vt:variant>
        <vt:lpwstr>_Toc230705908</vt:lpwstr>
      </vt:variant>
      <vt:variant>
        <vt:i4>4980758</vt:i4>
      </vt:variant>
      <vt:variant>
        <vt:i4>15</vt:i4>
      </vt:variant>
      <vt:variant>
        <vt:i4>0</vt:i4>
      </vt:variant>
      <vt:variant>
        <vt:i4>5</vt:i4>
      </vt:variant>
      <vt:variant>
        <vt:lpwstr>https://ltrk.lv/projekts/green-hydra/</vt:lpwstr>
      </vt:variant>
      <vt:variant>
        <vt:lpwstr/>
      </vt:variant>
      <vt:variant>
        <vt:i4>8192103</vt:i4>
      </vt:variant>
      <vt:variant>
        <vt:i4>12</vt:i4>
      </vt:variant>
      <vt:variant>
        <vt:i4>0</vt:i4>
      </vt:variant>
      <vt:variant>
        <vt:i4>5</vt:i4>
      </vt:variant>
      <vt:variant>
        <vt:lpwstr>https://eur-lex.europa.eu/eli/reg/2024/1252/oj/eng</vt:lpwstr>
      </vt:variant>
      <vt:variant>
        <vt:lpwstr/>
      </vt:variant>
      <vt:variant>
        <vt:i4>6160456</vt:i4>
      </vt:variant>
      <vt:variant>
        <vt:i4>9</vt:i4>
      </vt:variant>
      <vt:variant>
        <vt:i4>0</vt:i4>
      </vt:variant>
      <vt:variant>
        <vt:i4>5</vt:i4>
      </vt:variant>
      <vt:variant>
        <vt:lpwstr>https://www.liaa.gov.lv/lv/iniciativa-zalais-koridors</vt:lpwstr>
      </vt:variant>
      <vt:variant>
        <vt:lpwstr/>
      </vt:variant>
      <vt:variant>
        <vt:i4>2883626</vt:i4>
      </vt:variant>
      <vt:variant>
        <vt:i4>6</vt:i4>
      </vt:variant>
      <vt:variant>
        <vt:i4>0</vt:i4>
      </vt:variant>
      <vt:variant>
        <vt:i4>5</vt:i4>
      </vt:variant>
      <vt:variant>
        <vt:lpwstr>https://likumi.lv/ta/id/366680-grozijumi-ministru-kabineta-2025-gada-6-maija-noteikumos-nr-277-kartiba-kada-nodrosina-prioritaru-publisku-pakalpojumu-sniegsan</vt:lpwstr>
      </vt:variant>
      <vt:variant>
        <vt:lpwstr/>
      </vt:variant>
      <vt:variant>
        <vt:i4>6946825</vt:i4>
      </vt:variant>
      <vt:variant>
        <vt:i4>3</vt:i4>
      </vt:variant>
      <vt:variant>
        <vt:i4>0</vt:i4>
      </vt:variant>
      <vt:variant>
        <vt:i4>5</vt:i4>
      </vt:variant>
      <vt:variant>
        <vt:lpwstr>https://eur-lex.europa.eu/legal-content/EN/TXT/?uri=OJ:L_202401735</vt:lpwstr>
      </vt:variant>
      <vt:variant>
        <vt:lpwstr/>
      </vt:variant>
      <vt:variant>
        <vt:i4>3670126</vt:i4>
      </vt:variant>
      <vt:variant>
        <vt:i4>0</vt:i4>
      </vt:variant>
      <vt:variant>
        <vt:i4>0</vt:i4>
      </vt:variant>
      <vt:variant>
        <vt:i4>5</vt:i4>
      </vt:variant>
      <vt:variant>
        <vt:lpwstr>https://likumi.lv/ta/id/365963-par-latvijas-ilgtspejigas-energijas-tehnologiju-attistibas-planu-lidz-2035-gadam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Ilze Maskalāne</cp:lastModifiedBy>
  <cp:revision>2</cp:revision>
  <dcterms:created xsi:type="dcterms:W3CDTF">2026-06-15T07:35:00Z</dcterms:created>
  <dcterms:modified xsi:type="dcterms:W3CDTF">2026-06-15T07:35:00Z</dcterms:modified>
</cp:coreProperties>
</file>