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87EF0" w14:textId="77777777" w:rsidR="00274F00" w:rsidRPr="00D55D21" w:rsidRDefault="00274F00" w:rsidP="00274F00">
      <w:pPr>
        <w:jc w:val="center"/>
        <w:rPr>
          <w:b/>
          <w:sz w:val="28"/>
          <w:szCs w:val="28"/>
        </w:rPr>
      </w:pPr>
      <w:r w:rsidRPr="00D55D21">
        <w:rPr>
          <w:b/>
          <w:sz w:val="28"/>
          <w:szCs w:val="28"/>
        </w:rPr>
        <w:t>Informatīvais ziņojums</w:t>
      </w:r>
    </w:p>
    <w:p w14:paraId="061B0BA1" w14:textId="59B8A4AB" w:rsidR="00136369" w:rsidRDefault="00274F00" w:rsidP="00274F00">
      <w:pPr>
        <w:jc w:val="center"/>
        <w:rPr>
          <w:b/>
          <w:sz w:val="28"/>
          <w:szCs w:val="28"/>
        </w:rPr>
      </w:pPr>
      <w:r w:rsidRPr="00D55D21">
        <w:rPr>
          <w:b/>
          <w:sz w:val="28"/>
          <w:szCs w:val="28"/>
        </w:rPr>
        <w:t xml:space="preserve">Par </w:t>
      </w:r>
      <w:r w:rsidR="00A37C0C">
        <w:rPr>
          <w:b/>
          <w:sz w:val="28"/>
          <w:szCs w:val="28"/>
        </w:rPr>
        <w:t>īstenojamiem pasākumiem</w:t>
      </w:r>
      <w:r w:rsidR="00136369">
        <w:rPr>
          <w:b/>
          <w:sz w:val="28"/>
          <w:szCs w:val="28"/>
        </w:rPr>
        <w:t xml:space="preserve">, lai veicinātu aktīvāku publisko pasūtītāju iesaisti zaudējumu atgūšanā, kas </w:t>
      </w:r>
      <w:r w:rsidR="000F38C0">
        <w:rPr>
          <w:b/>
          <w:sz w:val="28"/>
          <w:szCs w:val="28"/>
        </w:rPr>
        <w:t xml:space="preserve">tiem </w:t>
      </w:r>
      <w:r w:rsidR="00136369">
        <w:rPr>
          <w:b/>
          <w:sz w:val="28"/>
          <w:szCs w:val="28"/>
        </w:rPr>
        <w:t xml:space="preserve">radušies </w:t>
      </w:r>
      <w:r w:rsidR="000F38C0">
        <w:rPr>
          <w:b/>
          <w:sz w:val="28"/>
          <w:szCs w:val="28"/>
        </w:rPr>
        <w:t xml:space="preserve">organizētajos iepirkumos </w:t>
      </w:r>
      <w:r w:rsidR="000F38C0" w:rsidRPr="000F38C0">
        <w:rPr>
          <w:b/>
          <w:sz w:val="28"/>
          <w:szCs w:val="28"/>
        </w:rPr>
        <w:t>tirgus dalībnieku īstenoto konkurences tiesību pārkāpumu dēļ</w:t>
      </w:r>
    </w:p>
    <w:p w14:paraId="38D6AF05" w14:textId="22FEFA2D" w:rsidR="00303220" w:rsidRDefault="00303220" w:rsidP="00274F00">
      <w:pPr>
        <w:jc w:val="center"/>
        <w:rPr>
          <w:b/>
          <w:sz w:val="28"/>
          <w:szCs w:val="28"/>
        </w:rPr>
      </w:pPr>
    </w:p>
    <w:p w14:paraId="32AC0229" w14:textId="048E238D" w:rsidR="00FC0416" w:rsidRPr="001F2DCB" w:rsidRDefault="00FC0416" w:rsidP="00FC0416">
      <w:pPr>
        <w:pStyle w:val="Heading1"/>
        <w:numPr>
          <w:ilvl w:val="0"/>
          <w:numId w:val="0"/>
        </w:numPr>
        <w:rPr>
          <w:rFonts w:ascii="Times New Roman" w:hAnsi="Times New Roman" w:cs="Times New Roman"/>
          <w:color w:val="0099CC"/>
          <w:sz w:val="26"/>
          <w:szCs w:val="26"/>
        </w:rPr>
      </w:pPr>
      <w:r w:rsidRPr="001F2DCB">
        <w:rPr>
          <w:rFonts w:ascii="Times New Roman" w:hAnsi="Times New Roman" w:cs="Times New Roman"/>
          <w:color w:val="0099CC"/>
          <w:sz w:val="26"/>
          <w:szCs w:val="26"/>
        </w:rPr>
        <w:t>Ievads</w:t>
      </w:r>
    </w:p>
    <w:p w14:paraId="0E0836E8" w14:textId="1142A957" w:rsidR="00255A49" w:rsidRDefault="00255A49" w:rsidP="001F2DCB">
      <w:pPr>
        <w:spacing w:before="80"/>
        <w:ind w:firstLine="709"/>
        <w:jc w:val="both"/>
      </w:pPr>
      <w:r w:rsidRPr="7842FC33">
        <w:t xml:space="preserve">Informatīvais ziņojums ir sagatavots saskaņā ar </w:t>
      </w:r>
      <w:bookmarkStart w:id="0" w:name="_Hlk87452500"/>
      <w:r w:rsidRPr="7842FC33">
        <w:t xml:space="preserve">Ministru kabineta </w:t>
      </w:r>
      <w:r>
        <w:t xml:space="preserve">11.02.2020. rīkojuma Nr. 49 </w:t>
      </w:r>
      <w:r w:rsidRPr="00E21C2E">
        <w:t xml:space="preserve">“Par Rīcības plānu publisko iepirkumu sistēmas uzlabošanai” </w:t>
      </w:r>
      <w:bookmarkEnd w:id="0"/>
      <w:r>
        <w:t xml:space="preserve">(turpmāk tekstā – Rīcības plāns) </w:t>
      </w:r>
      <w:r w:rsidRPr="00E21C2E">
        <w:t>12. punkt</w:t>
      </w:r>
      <w:r>
        <w:t xml:space="preserve">ā noteikto, proti, </w:t>
      </w:r>
      <w:r w:rsidRPr="00E21C2E">
        <w:t>Konkurences padomei (turpmāk – KP) sadarbībā ar Ekonomikas ministriju (turpmāk – EM) līdz 01.03.2021. izvērtēt iespēju piešķirt kompetenci valsts iestādei centralizēti vērsties ar zaudējumu atlīdzināšanas prasību tiesā pret uzņēmumiem, kas pārkāpuši Konkurences likumu (turpmāk – KL)</w:t>
      </w:r>
      <w:r>
        <w:t xml:space="preserve">, un līdz 30.12.2021. </w:t>
      </w:r>
      <w:r w:rsidRPr="00E21C2E">
        <w:t>iesniegt informatīvo ziņojumu izskatīšanai Ministru kabinetā par centralizētu zaudējumu atlīdzināšanu par konkurences tiesību pārkāpumiem attiecībā uz prasībām, kuras var celt publiskās personas.</w:t>
      </w:r>
    </w:p>
    <w:p w14:paraId="6C2F10E2" w14:textId="2263F90B" w:rsidR="00255A49" w:rsidRDefault="00255A49" w:rsidP="001F2DCB">
      <w:pPr>
        <w:spacing w:before="80"/>
        <w:ind w:firstLine="709"/>
        <w:jc w:val="both"/>
      </w:pPr>
      <w:r>
        <w:t xml:space="preserve">Iepriekš minētais Rīcības plāns </w:t>
      </w:r>
      <w:r w:rsidRPr="00695B35">
        <w:t>izstrādāts</w:t>
      </w:r>
      <w:r>
        <w:t xml:space="preserve"> ar EM 12.11.2019. rīkojumu Nr. 1-6.1/2019/138 izveidotās darba grupas ietvaros, ņemot vērā saņemtos priekšlikumus no nozaru nevalstiskajām organizācijām un diskusijās ar </w:t>
      </w:r>
      <w:r w:rsidR="00375038">
        <w:t>R</w:t>
      </w:r>
      <w:r>
        <w:t xml:space="preserve">īcības plānā iesaistītajām atbildīgajām un līdzatbildīgajām institūcijām pārrunāto. </w:t>
      </w:r>
      <w:r w:rsidRPr="00695B35">
        <w:t xml:space="preserve">Rīcības plāna pasākumi ir vērsti uz publisko iepirkumu </w:t>
      </w:r>
      <w:r>
        <w:t>sistēmas</w:t>
      </w:r>
      <w:r w:rsidRPr="00695B35">
        <w:t xml:space="preserve"> uzlabo</w:t>
      </w:r>
      <w:r>
        <w:t>šan</w:t>
      </w:r>
      <w:r w:rsidR="005C7A25">
        <w:t>u</w:t>
      </w:r>
      <w:r w:rsidRPr="00695B35">
        <w:t>.</w:t>
      </w:r>
      <w:r>
        <w:rPr>
          <w:rStyle w:val="FootnoteReference"/>
        </w:rPr>
        <w:footnoteReference w:id="2"/>
      </w:r>
    </w:p>
    <w:p w14:paraId="09A8BD95" w14:textId="297DB866" w:rsidR="005249D2" w:rsidRDefault="005249D2" w:rsidP="00827F5D">
      <w:pPr>
        <w:ind w:firstLine="709"/>
        <w:jc w:val="both"/>
        <w:rPr>
          <w:sz w:val="24"/>
          <w:shd w:val="clear" w:color="auto" w:fill="FFFFFF"/>
        </w:rPr>
      </w:pPr>
    </w:p>
    <w:p w14:paraId="335E1F68" w14:textId="0316BDF4" w:rsidR="006E7EF7" w:rsidRPr="001F2DCB" w:rsidRDefault="001F2DCB" w:rsidP="00CA4136">
      <w:pPr>
        <w:pStyle w:val="Heading1"/>
        <w:tabs>
          <w:tab w:val="left" w:pos="426"/>
        </w:tabs>
        <w:jc w:val="both"/>
        <w:rPr>
          <w:color w:val="0099CC"/>
          <w:sz w:val="26"/>
          <w:szCs w:val="26"/>
        </w:rPr>
      </w:pPr>
      <w:r w:rsidRPr="001F2DCB">
        <w:rPr>
          <w:rFonts w:ascii="Times New Roman" w:hAnsi="Times New Roman" w:cs="Times New Roman"/>
          <w:color w:val="0099CC"/>
          <w:sz w:val="26"/>
          <w:szCs w:val="26"/>
        </w:rPr>
        <w:t>Pašreizējās situācijas raksturojums un identificētās problēmas</w:t>
      </w:r>
    </w:p>
    <w:p w14:paraId="0FB8935F" w14:textId="0F9C41BF" w:rsidR="00CF5EFF" w:rsidRPr="00BD6E53" w:rsidRDefault="00CF5EFF" w:rsidP="00CF5EFF">
      <w:pPr>
        <w:spacing w:before="80"/>
        <w:ind w:firstLine="709"/>
        <w:jc w:val="both"/>
      </w:pPr>
      <w:r w:rsidRPr="00BD6E53">
        <w:t>KL mērķis ir aizsargāt, saglabāt un attīstīt brīvu, godīgu un vienlīdzīgu konkurenci visās tautsaimniecības nozarēs sabiedrības interesēs, ierobežojot tirgus koncentrāciju, uzliekot par pienākumu izbeigt konkurenci regulējošajos normatīvajos aktos aizliegtas darbības un normatīvajos aktos noteiktajā kārtībā saucot pie atbildības vainīgās personas</w:t>
      </w:r>
      <w:r w:rsidRPr="00BD6E53">
        <w:rPr>
          <w:vertAlign w:val="superscript"/>
        </w:rPr>
        <w:footnoteReference w:id="3"/>
      </w:r>
      <w:r w:rsidRPr="00BD6E53">
        <w:t>. KL 11. pants aptver konkurentu aizliegtas vienošanās par dalības, kā arī citiem nosacījumiem iepirkumos jeb karteļa vienošanās</w:t>
      </w:r>
      <w:r w:rsidRPr="00BD6E53">
        <w:rPr>
          <w:vertAlign w:val="superscript"/>
        </w:rPr>
        <w:footnoteReference w:id="4"/>
      </w:r>
      <w:r w:rsidRPr="00BD6E53">
        <w:t xml:space="preserve">, kas </w:t>
      </w:r>
      <w:r w:rsidR="00DB20A1">
        <w:t xml:space="preserve">konstanti </w:t>
      </w:r>
      <w:r w:rsidRPr="00BD6E53">
        <w:t>ir izplatītākais</w:t>
      </w:r>
      <w:r w:rsidRPr="00BD6E53">
        <w:rPr>
          <w:vertAlign w:val="superscript"/>
        </w:rPr>
        <w:footnoteReference w:id="5"/>
      </w:r>
      <w:r w:rsidRPr="00BD6E53">
        <w:t xml:space="preserve"> un smagākais pārkāpums konkurences tiesībās, paredzot naudas sodu līdz pat 10 procentiem no tirgus dalībnieka pēdējā finanšu gada neto apgrozījuma</w:t>
      </w:r>
      <w:r w:rsidRPr="00BD6E53">
        <w:rPr>
          <w:vertAlign w:val="superscript"/>
        </w:rPr>
        <w:footnoteReference w:id="6"/>
      </w:r>
      <w:r w:rsidRPr="00BD6E53">
        <w:t>. Konkurences tiesību pārkāpumu līdztekus KP var konstatēt arī tiesa, savukārt izskatīt prasības par konkurences tiesību pārkāpuma rezultātā radīto zaudējumu atlīdzināšanu kompetence ir tikai tiesai.</w:t>
      </w:r>
    </w:p>
    <w:p w14:paraId="36FA55B7" w14:textId="77777777" w:rsidR="00CF5EFF" w:rsidRPr="00BD6E53" w:rsidRDefault="00CF5EFF" w:rsidP="00CF5EFF">
      <w:pPr>
        <w:spacing w:before="80"/>
        <w:ind w:firstLine="709"/>
        <w:jc w:val="both"/>
      </w:pPr>
      <w:r w:rsidRPr="00BD6E53">
        <w:lastRenderedPageBreak/>
        <w:t>KL VI nodaļa reglamentē konkurences tiesību piemērošanu civilprocesos. Persona, kura cietusi zaudējumus konkurences tiesību pārkāpuma dēļ, ir tiesīga prasīt un saņemt no pārkāpēja zaudējumu atlīdzību, tai skaitā atrauto peļņu un procentus no dienas, kad zaudējumi radušies, līdz dienai, kad samaksāta zaudējumu atlīdzība, lai nodrošinātu tādu stāvokli, kāds personai būtu bijis, ja konkurences tiesību pārkāpums nebūtu izdarīts. [..]</w:t>
      </w:r>
      <w:r w:rsidRPr="00BD6E53">
        <w:rPr>
          <w:vertAlign w:val="superscript"/>
        </w:rPr>
        <w:footnoteReference w:id="7"/>
      </w:r>
      <w:r w:rsidRPr="00BD6E53">
        <w:t>. Konkurences tiesību pārkāpums šīs nodaļas izpratnē, ceļot zaudējumu atlīdzināšanas prasības, ir KL pārkāpums vai Līguma par Eiropas Savienības darbību (turpmāk – LESD) 101. vai 102.</w:t>
      </w:r>
      <w:r>
        <w:t> panta pārkāpums</w:t>
      </w:r>
      <w:r w:rsidRPr="00BD6E53">
        <w:t>, vai attiecīgās dalībvalsts konkurences tiesību aktu pārkāpums. [..]</w:t>
      </w:r>
      <w:r w:rsidRPr="00BD6E53">
        <w:rPr>
          <w:vertAlign w:val="superscript"/>
        </w:rPr>
        <w:footnoteReference w:id="8"/>
      </w:r>
      <w:r w:rsidRPr="00BD6E53">
        <w:t>.</w:t>
      </w:r>
    </w:p>
    <w:p w14:paraId="3CB71BC8" w14:textId="77777777" w:rsidR="00CF5EFF" w:rsidRPr="00BD6E53" w:rsidRDefault="00CF5EFF" w:rsidP="00CF5EFF">
      <w:pPr>
        <w:spacing w:before="80"/>
        <w:ind w:firstLine="709"/>
        <w:jc w:val="both"/>
      </w:pPr>
      <w:r w:rsidRPr="00BD6E53">
        <w:t>Civilprocesa likuma (turpmāk – CPL) 30.</w:t>
      </w:r>
      <w:r w:rsidRPr="00BD6E53">
        <w:rPr>
          <w:vertAlign w:val="superscript"/>
        </w:rPr>
        <w:t>6</w:t>
      </w:r>
      <w:r w:rsidRPr="00BD6E53">
        <w:t xml:space="preserve"> nodaļā noteikta lietu par zaudējumu atlīdzināšanu par konkurences tiesību pārkāpumiem izskatīšanas kārtība. Atbilstoši CPL 250.</w:t>
      </w:r>
      <w:r w:rsidRPr="00BD6E53">
        <w:rPr>
          <w:vertAlign w:val="superscript"/>
        </w:rPr>
        <w:t>65</w:t>
      </w:r>
      <w:r>
        <w:t> </w:t>
      </w:r>
      <w:r w:rsidRPr="00BD6E53">
        <w:t>panta pirmajai daļai lietas par zaudējumu atlīdzināšanu par konkurences tiesību pārkāpumiem izskata Ekonomisko lietu tiesa prasības kārtībā pēc vispārējiem noteikumiem, ievērojot šajā nodaļā paredzētos izņēmumus. Tāpat kā KL 21. panta otrā daļa, CPL 250.</w:t>
      </w:r>
      <w:r w:rsidRPr="00BD6E53">
        <w:rPr>
          <w:vertAlign w:val="superscript"/>
        </w:rPr>
        <w:t>65</w:t>
      </w:r>
      <w:r w:rsidRPr="00BD6E53">
        <w:t> panta otrā daļa paredz, ka lietas par zaudējumu atlīdzināšanu par konkurences tiesību pārkāpumiem šīs nodaļas izpratnē ir lietas saistībā ar tādiem konkurences tiesību pārkāpumiem, kuras noteiktas LESD 101. vai 102. pantā vai Latvijas vai Eiropas Savienības dalībvalsts tiesību aktos, kuru galvenais mērķis ir tāds pats, kā LESD 101. vai 102. pantam.</w:t>
      </w:r>
    </w:p>
    <w:p w14:paraId="57B19A60" w14:textId="096018C5" w:rsidR="00CF5EFF" w:rsidRPr="00BD6E53" w:rsidRDefault="006D46E9" w:rsidP="00CF5EFF">
      <w:pPr>
        <w:spacing w:before="80"/>
        <w:ind w:firstLine="709"/>
        <w:jc w:val="both"/>
      </w:pPr>
      <w:r>
        <w:t>P</w:t>
      </w:r>
      <w:r w:rsidR="00CF5EFF" w:rsidRPr="00BD6E53">
        <w:t xml:space="preserve">ubliskie pasūtītāji ir viens no subjektiem, kas ir tiesīgs vērsties tiesā ar zaudējumu atlīdzināšanas prasību pret karteļa dalībniekiem. Eiropas Savienības Tiesa (turpmāk – EST) ir atzinusi, ka attiecībā uz iespēju prasīt kompensāciju par zaudējumiem, kas radušies tāda līguma vai rīcības rezultātā, kas var ierobežot vai traucēt konkurenci, vispirms ir jāatceras, ka atbilstoši pastāvīgajai judikatūrai, valsts tiesām, uz kurām gulstas Kopienu tiesību normu piemērošanas pienākums to kompetences ietvaros, ir jānodrošina šo normu pilna iedarbība un jāaizsargā indivīdiem piešķirtās tiesības. Pilna </w:t>
      </w:r>
      <w:r w:rsidR="008C0B6B">
        <w:t>Eiropas Kopienas dibināšanas</w:t>
      </w:r>
      <w:r w:rsidR="008C0B6B" w:rsidRPr="00BD6E53">
        <w:t xml:space="preserve"> </w:t>
      </w:r>
      <w:r w:rsidR="00CF5EFF" w:rsidRPr="00BD6E53">
        <w:t>līguma</w:t>
      </w:r>
      <w:r w:rsidR="000A0279">
        <w:t xml:space="preserve"> (turpmāk – EK līgums)</w:t>
      </w:r>
      <w:r w:rsidR="00CF5EFF" w:rsidRPr="00BD6E53">
        <w:t xml:space="preserve"> 85. panta iedarbība un it īpaši tā 1. punktā noteiktā aizlieguma lietderīgā iedarbība var būt apdraudēta, ja </w:t>
      </w:r>
      <w:r w:rsidR="00CF5EFF" w:rsidRPr="00BD6E53">
        <w:rPr>
          <w:u w:val="single"/>
        </w:rPr>
        <w:t>jebkura persona</w:t>
      </w:r>
      <w:r w:rsidR="00CF5EFF" w:rsidRPr="00BD6E53">
        <w:t xml:space="preserve"> nevarētu prasīt atlīdzību par zaudējumiem, kas tai radušies līguma rezultātā, vai par rīcību, kas var ierobežot vai traucēt konkurenci</w:t>
      </w:r>
      <w:r w:rsidR="00CF5EFF" w:rsidRPr="00BD6E53">
        <w:rPr>
          <w:vertAlign w:val="superscript"/>
        </w:rPr>
        <w:footnoteReference w:id="9"/>
      </w:r>
      <w:r w:rsidR="00CF5EFF" w:rsidRPr="00BD6E53">
        <w:t xml:space="preserve">. </w:t>
      </w:r>
      <w:r w:rsidR="00CF5EFF" w:rsidRPr="00BD6E53">
        <w:rPr>
          <w:u w:val="single"/>
        </w:rPr>
        <w:t>Ikviena persona</w:t>
      </w:r>
      <w:r w:rsidR="00CF5EFF" w:rsidRPr="00BD6E53">
        <w:t xml:space="preserve"> ir tiesīga prasīt radušos zaudējumu atlīdzību gadījumos, kad pastāv cēloņsakarība starp minētajiem zaudējumiem un </w:t>
      </w:r>
      <w:r w:rsidR="00CF5EFF" w:rsidRPr="00E805F2">
        <w:t>EK līguma</w:t>
      </w:r>
      <w:r w:rsidR="00CF5EFF" w:rsidRPr="00BD6E53">
        <w:t xml:space="preserve"> 81. pantā aizliegto vienošanos vai saskaņoto darbību</w:t>
      </w:r>
      <w:r w:rsidR="00CF5EFF" w:rsidRPr="00BD6E53">
        <w:rPr>
          <w:vertAlign w:val="superscript"/>
        </w:rPr>
        <w:footnoteReference w:id="10"/>
      </w:r>
      <w:r w:rsidR="00CF5EFF" w:rsidRPr="00BD6E53">
        <w:t xml:space="preserve">. </w:t>
      </w:r>
      <w:r w:rsidR="00CF5EFF" w:rsidRPr="00BD6E53">
        <w:rPr>
          <w:u w:val="single"/>
        </w:rPr>
        <w:t>Šādas tiesības ir arī Savienībai</w:t>
      </w:r>
      <w:r w:rsidR="00CF5EFF" w:rsidRPr="00BD6E53">
        <w:t xml:space="preserve"> un Eiropas Komisijai, vēršoties ar zaudējumu atlīdzināšanas prasību EST pret karteļa dalībniekiem, kuru sākotnējais konkurences tiesību pārkāpums konstatēts ar Eiropas Komisijas lēmumu, </w:t>
      </w:r>
      <w:r w:rsidR="00CF5EFF">
        <w:t xml:space="preserve">ja </w:t>
      </w:r>
      <w:r w:rsidR="00CF5EFF" w:rsidRPr="00BD6E53">
        <w:t xml:space="preserve">netiek pārkāpts </w:t>
      </w:r>
      <w:r w:rsidR="00CF5EFF" w:rsidRPr="00BD6E53">
        <w:rPr>
          <w:i/>
          <w:iCs/>
        </w:rPr>
        <w:t>nemo judex in sua causa</w:t>
      </w:r>
      <w:r w:rsidR="00CF5EFF" w:rsidRPr="00BD6E53">
        <w:t xml:space="preserve"> (neviens nedrīkst būt tiesnesis lietā, kuras iznākumā tas ir ieinteresēts) princips</w:t>
      </w:r>
      <w:r w:rsidR="00CF5EFF" w:rsidRPr="00BD6E53">
        <w:rPr>
          <w:vertAlign w:val="superscript"/>
        </w:rPr>
        <w:footnoteReference w:id="11"/>
      </w:r>
      <w:r w:rsidR="00CF5EFF" w:rsidRPr="00BD6E53">
        <w:t>.</w:t>
      </w:r>
    </w:p>
    <w:p w14:paraId="537C4318" w14:textId="77777777" w:rsidR="00CF5EFF" w:rsidRPr="00BD6E53" w:rsidRDefault="00CF5EFF" w:rsidP="00CF5EFF">
      <w:pPr>
        <w:spacing w:before="80"/>
        <w:ind w:firstLine="709"/>
        <w:jc w:val="both"/>
      </w:pPr>
      <w:r w:rsidRPr="00BD6E53">
        <w:t xml:space="preserve">Arī no Eiropas Parlamenta un Padomes 26.11.2014. direktīvas Nr. 2014/104/ES par atsevišķiem noteikumiem, kuri valstu tiesībās reglamentē zaudējumu atlīdzināšanas prasības par dalībvalstu un Eiropas Savienības konkurences tiesību pārkāpumiem </w:t>
      </w:r>
      <w:r w:rsidRPr="00BD6E53">
        <w:lastRenderedPageBreak/>
        <w:t>(turpmāk – Zaudējumu atlīdzināšanas direktīva)</w:t>
      </w:r>
      <w:r w:rsidRPr="00BD6E53">
        <w:rPr>
          <w:vertAlign w:val="superscript"/>
        </w:rPr>
        <w:footnoteReference w:id="12"/>
      </w:r>
      <w:r w:rsidRPr="00BD6E53">
        <w:t>, preambulas 3. punkta izriet, ka ikviens – neatkarīgi no tā, vai runa ir par personu, tostarp patērētājiem un uzņēmumiem, vai par publisku iestādi – var valstu tiesās prasīt atlīdzinājumu par kaitējumu, ko radījis Eiropas Savienības vai nacionālajā regulējumā paredzētais konkurences tiesību pārkāpums.</w:t>
      </w:r>
    </w:p>
    <w:p w14:paraId="6126D0F9" w14:textId="77777777" w:rsidR="00CF5EFF" w:rsidRPr="00BD6E53" w:rsidRDefault="00CF5EFF" w:rsidP="00CF5EFF">
      <w:pPr>
        <w:spacing w:before="80"/>
        <w:ind w:firstLine="709"/>
        <w:jc w:val="both"/>
      </w:pPr>
      <w:r w:rsidRPr="00BD6E53">
        <w:t>Jau vēsturiski KL 21. pants paredz personas, kas cietusi zaudējumus konkurences tiesību pārkāpuma rezultātā (t.sk. karteļa vienošanās dēļ), tiesības uz zaudējumu atlīdzinājumu. Ar 12.05.2016. likumprojektu “Grozījumi Konkurences likumā”, kas stājās spēkā 15.06.2016., KL 21. pantā attiecībā uz karteļa vienošanās pārkāpuma rezultātā nodarīto zaudējumu apmēra pierādīšanu tika iekļauta prezumpcija, ka pārkāpums radījis kaitējumu un tā rezultātā cena paaugstināta par 10 procentiem, ja vien netiek pierādīts pretēji.</w:t>
      </w:r>
    </w:p>
    <w:p w14:paraId="292BD7D2" w14:textId="77777777" w:rsidR="00CF5EFF" w:rsidRPr="00BD6E53" w:rsidRDefault="00CF5EFF" w:rsidP="00CF5EFF">
      <w:pPr>
        <w:spacing w:before="80"/>
        <w:ind w:firstLine="709"/>
        <w:jc w:val="both"/>
      </w:pPr>
      <w:r w:rsidRPr="00BD6E53">
        <w:t>Kā izriet no minētā likumprojekta sākotnējās ietekmes novērtējuma ziņojuma (anotācijas)</w:t>
      </w:r>
      <w:r w:rsidRPr="00BD6E53">
        <w:rPr>
          <w:vertAlign w:val="superscript"/>
        </w:rPr>
        <w:footnoteReference w:id="13"/>
      </w:r>
      <w:r w:rsidRPr="00BD6E53">
        <w:t>, zaudējumu piedziņa, kas radušies tādu konkurences tiesību pārkāpuma rezultātā, kā aizliegtas vienošanās, šobrīd ir apgrūtināta, jo praksē ir grūti noteikt precīzu nodarīto zaudējumu apmēru, kā arī to pierādīt tiesā. Augstākminētā rezultātā zaudējumi netiek piedzīti un konkurences tiesību pārkāpēji var turpināt lietot nelikumīgu iegūtos līdzekļus, tādējādi arī turpinot izmantot pārkāpuma rezultātā gūtās priekšrocības pret pārējiem tirgus dalībniekiem un konkurentiem, kā rezultātā pārkāpuma negatīvās sekas paliek nenovērstas un ilgtermiņā</w:t>
      </w:r>
      <w:r>
        <w:t xml:space="preserve"> </w:t>
      </w:r>
      <w:r w:rsidRPr="00BD6E53">
        <w:t>pat var pieaugt. Tāpēc ir nepieciešams atvieglot zaudējumu pierādīšanas procesu. [..]. Tādējādi tiks veicināts, ka personas, kas tieši vai netieši cietušas konkurences tiesību pārkāpuma rezultātā, vismaz daļēji atgūs tiem nodarītos zaudējumus un pārkāpējiem būs ierobežota iespēja saglabāt nelikumīgi iegūtos līdzekļus.</w:t>
      </w:r>
    </w:p>
    <w:p w14:paraId="12035454" w14:textId="5A1AB770" w:rsidR="00CF5EFF" w:rsidRPr="00BD6E53" w:rsidRDefault="00CF5EFF" w:rsidP="00CF5EFF">
      <w:pPr>
        <w:spacing w:before="80"/>
        <w:ind w:firstLine="709"/>
        <w:jc w:val="both"/>
      </w:pPr>
      <w:r w:rsidRPr="00BD6E53">
        <w:t>Savukārt ar 05.10.2017. likumprojektu “Grozījumi Konkurences likumā”, kas stājās spēkā 01.11.2017.</w:t>
      </w:r>
      <w:r w:rsidRPr="00BD6E53">
        <w:rPr>
          <w:vertAlign w:val="superscript"/>
        </w:rPr>
        <w:footnoteReference w:id="14"/>
      </w:r>
      <w:r w:rsidRPr="00BD6E53">
        <w:t xml:space="preserve"> un kas izstrādāts, lai Latvijas normatīvajā regulējumā ieviestu Zaudējumu atlīdzināšanas direktīvas nosacījumus, process zaudējumu piedziņai (tai skaitā arī karteļa vienošanās gadījumā) vēl vairāk tika atvieglots, lai nodrošinātu, ka ikviena persona, kurai ir nodarīti zaudējumi, var efektīvi īstenot tiesības prasīt pilnīgu atlīdzinājumu.</w:t>
      </w:r>
    </w:p>
    <w:p w14:paraId="1A9B4F2F" w14:textId="74F9809E" w:rsidR="00CF5EFF" w:rsidRDefault="00CF5EFF" w:rsidP="00CF5EFF">
      <w:pPr>
        <w:spacing w:before="80"/>
        <w:ind w:firstLine="720"/>
        <w:jc w:val="both"/>
        <w:rPr>
          <w:sz w:val="24"/>
        </w:rPr>
      </w:pPr>
      <w:r w:rsidRPr="00BD6E53">
        <w:t>Tomēr praksē publiskie pasūtītāji (valsts un pašvaldību iestādes, publisko personu kapitālsabiedrības) par konkurences tiesību pārkāpuma rezultātā radīto zaudējumu atlīdzināšanu pret pārkāpējiem nevēršas</w:t>
      </w:r>
      <w:r w:rsidRPr="00BD6E53">
        <w:rPr>
          <w:vertAlign w:val="superscript"/>
        </w:rPr>
        <w:footnoteReference w:id="15"/>
      </w:r>
      <w:r w:rsidRPr="00BD6E53">
        <w:t xml:space="preserve">, lai gan normatīvais regulējums šādas tiesības paredz jau vēsturiski. Pat atvieglota procesa zaudējumu piedziņai </w:t>
      </w:r>
      <w:r w:rsidRPr="00BD6E53">
        <w:lastRenderedPageBreak/>
        <w:t>ieviešana nav sekmējusi publisko personu aktivitāti</w:t>
      </w:r>
      <w:r w:rsidRPr="00BD6E53">
        <w:rPr>
          <w:vertAlign w:val="superscript"/>
        </w:rPr>
        <w:footnoteReference w:id="16"/>
      </w:r>
      <w:r w:rsidRPr="00BD6E53">
        <w:t>. Iemesli šādai bezdarbībai var būt vairāki, piemēram, publiskie pasūtītāji nevēlas uzņemties finansiālos riskus, uzsākot tiesvedību, jo pastāv neskaidrības, kas saistās ar zināšanu un pieredzes trūkumu. Publiskajiem pasūtītājiem trūkst resursu, zināšanas un kompetences, lai aprēķinātu un pierādītu tiem nodarītos zaudējumus un celtu prasību tiesā (iestādes dažādi izprot normatīvos aktus, zaudējumu atlīdzināšanas process vēl joprojām ir pārāk sarežģīts, tiesvedības process – ilgs), vai arī publisko pasūtītāju amatpersonas pašas ir iesaistītas prettiesiskās darbībās</w:t>
      </w:r>
      <w:r w:rsidR="006D46E9">
        <w:t>, bijušas nevērīgas</w:t>
      </w:r>
      <w:r w:rsidRPr="00BD6E53">
        <w:t xml:space="preserve"> un nav ieinteresētas (motivētas) vērsties pret pārkāpēju par zaudējumu atlīdzināšanu.</w:t>
      </w:r>
    </w:p>
    <w:p w14:paraId="5F3BAF15" w14:textId="29FC174E" w:rsidR="00CF5EFF" w:rsidRDefault="00CF5EFF" w:rsidP="0045654F">
      <w:pPr>
        <w:ind w:firstLine="720"/>
        <w:jc w:val="both"/>
        <w:rPr>
          <w:sz w:val="24"/>
        </w:rPr>
      </w:pPr>
    </w:p>
    <w:p w14:paraId="040761A8" w14:textId="07CB01CA" w:rsidR="005831D2" w:rsidRPr="004772BE" w:rsidRDefault="008A5825" w:rsidP="00CA4136">
      <w:pPr>
        <w:pStyle w:val="Heading1"/>
        <w:tabs>
          <w:tab w:val="left" w:pos="284"/>
        </w:tabs>
        <w:jc w:val="both"/>
        <w:rPr>
          <w:color w:val="0099CC"/>
          <w:sz w:val="26"/>
          <w:szCs w:val="26"/>
        </w:rPr>
      </w:pPr>
      <w:r>
        <w:rPr>
          <w:color w:val="0099CC"/>
          <w:sz w:val="26"/>
          <w:szCs w:val="26"/>
        </w:rPr>
        <w:t>C</w:t>
      </w:r>
      <w:r w:rsidR="004772BE" w:rsidRPr="004772BE">
        <w:rPr>
          <w:color w:val="0099CC"/>
          <w:sz w:val="26"/>
          <w:szCs w:val="26"/>
        </w:rPr>
        <w:t>entraliz</w:t>
      </w:r>
      <w:r>
        <w:rPr>
          <w:color w:val="0099CC"/>
          <w:sz w:val="26"/>
          <w:szCs w:val="26"/>
        </w:rPr>
        <w:t>ācijas risinājumi</w:t>
      </w:r>
    </w:p>
    <w:p w14:paraId="6191C682" w14:textId="34644B20" w:rsidR="004772BE" w:rsidRPr="00116F83" w:rsidRDefault="0004064D" w:rsidP="00116F83">
      <w:pPr>
        <w:spacing w:before="80"/>
        <w:ind w:firstLine="720"/>
        <w:jc w:val="both"/>
        <w:rPr>
          <w:szCs w:val="26"/>
        </w:rPr>
      </w:pPr>
      <w:r w:rsidRPr="00A9588A">
        <w:t xml:space="preserve">Lai nodrošinātu Rīcības plāna 12.punktā dotā uzdevuma izpildi, kā viens no </w:t>
      </w:r>
      <w:r w:rsidRPr="00116F83">
        <w:rPr>
          <w:szCs w:val="26"/>
        </w:rPr>
        <w:t>identificētā</w:t>
      </w:r>
      <w:r w:rsidR="00A9588A" w:rsidRPr="00116F83">
        <w:rPr>
          <w:szCs w:val="26"/>
        </w:rPr>
        <w:t>s</w:t>
      </w:r>
      <w:r w:rsidRPr="00116F83">
        <w:rPr>
          <w:szCs w:val="26"/>
        </w:rPr>
        <w:t xml:space="preserve"> problēm</w:t>
      </w:r>
      <w:r w:rsidR="00A9588A" w:rsidRPr="00116F83">
        <w:rPr>
          <w:szCs w:val="26"/>
        </w:rPr>
        <w:t xml:space="preserve">as </w:t>
      </w:r>
      <w:r w:rsidRPr="00116F83">
        <w:rPr>
          <w:szCs w:val="26"/>
        </w:rPr>
        <w:t>risinājumiem, kas turpmāk tiks izvērtēts informatīvajā ziņojumā, ir kompetences piešķiršana vienai valsts iestādei vai ārpakalpojuma sniedzējam centralizēti (t.i., visu publisko pasūtītāju vietā un vārdā) vērsties ar zaudējumu atlīdzināšanas prasību tiesā pret tirgus dalībniekiem, kas ir izdarījuši karteļa vienošanās pārkāpumu un šī pārkāpuma rezultātā nodarījuši zaudējumus publiskajam pasūtītājam, kas rīkojas ar publiskā budžeta līdzekļiem – sabiedrības locekļu nodokļos samaksāto naudu.</w:t>
      </w:r>
      <w:r w:rsidR="00A9588A" w:rsidRPr="00116F83">
        <w:rPr>
          <w:szCs w:val="26"/>
        </w:rPr>
        <w:t xml:space="preserve"> </w:t>
      </w:r>
    </w:p>
    <w:p w14:paraId="403F6016" w14:textId="58CBB390" w:rsidR="00A9588A" w:rsidRPr="00116F83" w:rsidRDefault="00A9588A" w:rsidP="00116F83">
      <w:pPr>
        <w:spacing w:before="80"/>
        <w:ind w:firstLine="720"/>
        <w:jc w:val="both"/>
        <w:rPr>
          <w:szCs w:val="26"/>
        </w:rPr>
      </w:pPr>
      <w:r w:rsidRPr="00116F83">
        <w:rPr>
          <w:szCs w:val="26"/>
        </w:rPr>
        <w:t xml:space="preserve">Vienlaikus jāuzsver, ka publiskai personai jārīkojas ar saviem finanšu līdzekļiem un mantu likumīgi, </w:t>
      </w:r>
      <w:r w:rsidR="00CC4B81" w:rsidRPr="00116F83">
        <w:rPr>
          <w:szCs w:val="26"/>
        </w:rPr>
        <w:t>t.i.,</w:t>
      </w:r>
      <w:r w:rsidRPr="00116F83">
        <w:rPr>
          <w:szCs w:val="26"/>
        </w:rPr>
        <w:t xml:space="preserve"> jebkurai rīcībai ar publiskas personas finanšu līdzekļiem un mantu jāatbilst ārējos normatīvajos aktos paredzētajiem mērķiem, kā arī normatīvajos aktos noteiktajai kārtībai.</w:t>
      </w:r>
      <w:r w:rsidRPr="00116F83">
        <w:rPr>
          <w:rStyle w:val="FootnoteReference"/>
          <w:szCs w:val="26"/>
        </w:rPr>
        <w:footnoteReference w:id="17"/>
      </w:r>
      <w:r w:rsidRPr="00116F83">
        <w:rPr>
          <w:szCs w:val="26"/>
        </w:rPr>
        <w:t xml:space="preserve"> Informatīvā ziņojuma sagatavošanas procesā Ģenerālprokuratūra ir norādījusi, ka minētais </w:t>
      </w:r>
      <w:r w:rsidR="008C0B6B">
        <w:rPr>
          <w:szCs w:val="26"/>
        </w:rPr>
        <w:t xml:space="preserve">pienākums </w:t>
      </w:r>
      <w:r w:rsidRPr="00116F83">
        <w:rPr>
          <w:szCs w:val="26"/>
        </w:rPr>
        <w:t xml:space="preserve">ietver arī pienākumu pašai publiskai personai būt aktīvai savu tiesību un pienākumu realizācijā un gadījumos, kad ir stājies spēkā KP lēmums par konkurences tiesu pārkāpuma konstatēšanu, </w:t>
      </w:r>
      <w:r w:rsidRPr="00F84EF1">
        <w:rPr>
          <w:szCs w:val="26"/>
        </w:rPr>
        <w:t>celt</w:t>
      </w:r>
      <w:r w:rsidRPr="00116F83">
        <w:rPr>
          <w:szCs w:val="26"/>
        </w:rPr>
        <w:t xml:space="preserve"> prasību tiesā par tai nodarīto zaudējumu piedziņu. Valsts amatpersonas bezdarbība, t.i., nevēlēšanās pildīt tai normatīvajos aktos paredzētos pienākumus, ir vērtējama saskaņā ar Krimināllikuma 319. pantā paredzēto atbildību.</w:t>
      </w:r>
      <w:r w:rsidRPr="00116F83">
        <w:rPr>
          <w:rStyle w:val="FootnoteReference"/>
          <w:szCs w:val="26"/>
        </w:rPr>
        <w:footnoteReference w:id="18"/>
      </w:r>
    </w:p>
    <w:p w14:paraId="5C215D9B" w14:textId="730FF995" w:rsidR="00A9588A" w:rsidRDefault="00CC4B81" w:rsidP="00893850">
      <w:pPr>
        <w:spacing w:before="80"/>
        <w:ind w:firstLine="720"/>
        <w:jc w:val="both"/>
        <w:rPr>
          <w:szCs w:val="26"/>
        </w:rPr>
      </w:pPr>
      <w:r w:rsidRPr="00116F83">
        <w:rPr>
          <w:szCs w:val="26"/>
        </w:rPr>
        <w:t>Ņemot vērā iepriekš</w:t>
      </w:r>
      <w:r w:rsidR="00A9588A" w:rsidRPr="00116F83">
        <w:rPr>
          <w:szCs w:val="26"/>
        </w:rPr>
        <w:t xml:space="preserve"> minēto, publiskās personas atbildība un pienākumi ir nodalāmi no centralizēta zaudējumu atlīdzināšanas mehānisma, kam ir citi mērķi. Centralizēts zaudējumu atlīdzināšanas process neizslēdz publiskā pasūtītāja atbildību par to, ka tas neveic pasākumus zaudējumu atgūšanai</w:t>
      </w:r>
      <w:r w:rsidR="00116F83" w:rsidRPr="00116F83">
        <w:rPr>
          <w:szCs w:val="26"/>
        </w:rPr>
        <w:t>.</w:t>
      </w:r>
    </w:p>
    <w:p w14:paraId="1FD13733" w14:textId="1D2ABDA8" w:rsidR="00C57BC7" w:rsidRDefault="0053243C" w:rsidP="00893850">
      <w:pPr>
        <w:spacing w:before="80"/>
        <w:ind w:firstLine="720"/>
        <w:jc w:val="both"/>
        <w:rPr>
          <w:szCs w:val="26"/>
        </w:rPr>
      </w:pPr>
      <w:r>
        <w:rPr>
          <w:szCs w:val="26"/>
        </w:rPr>
        <w:t xml:space="preserve">Apzinot iespējamos risinājumus </w:t>
      </w:r>
      <w:r w:rsidR="009004E5">
        <w:rPr>
          <w:szCs w:val="26"/>
        </w:rPr>
        <w:t xml:space="preserve">centralizētai zaudējumu atlīdzināšanas mehānisma ieviešanai, informatīvā ziņojuma izstrādes procesā </w:t>
      </w:r>
      <w:bookmarkStart w:id="1" w:name="_Hlk132891077"/>
      <w:r w:rsidR="009004E5">
        <w:rPr>
          <w:szCs w:val="26"/>
        </w:rPr>
        <w:t xml:space="preserve">tostarp </w:t>
      </w:r>
      <w:r w:rsidR="00235C2B">
        <w:rPr>
          <w:szCs w:val="26"/>
        </w:rPr>
        <w:t>analizēti tika</w:t>
      </w:r>
      <w:r w:rsidR="009004E5">
        <w:rPr>
          <w:szCs w:val="26"/>
        </w:rPr>
        <w:t xml:space="preserve"> iespējamie ieguvumi no centralizēta zaudējumu atlīdzināšanas procesa ieviešanas</w:t>
      </w:r>
      <w:r w:rsidR="009004E5">
        <w:rPr>
          <w:rStyle w:val="FootnoteReference"/>
          <w:szCs w:val="26"/>
        </w:rPr>
        <w:footnoteReference w:id="19"/>
      </w:r>
      <w:r w:rsidR="009004E5">
        <w:rPr>
          <w:szCs w:val="26"/>
        </w:rPr>
        <w:t>, prasījumu un lietu apvienošanas iespējas</w:t>
      </w:r>
      <w:r w:rsidR="00DC2F63">
        <w:rPr>
          <w:rStyle w:val="FootnoteReference"/>
          <w:szCs w:val="26"/>
        </w:rPr>
        <w:footnoteReference w:id="20"/>
      </w:r>
      <w:r w:rsidR="009004E5">
        <w:rPr>
          <w:szCs w:val="26"/>
        </w:rPr>
        <w:t xml:space="preserve">, </w:t>
      </w:r>
      <w:r w:rsidR="00235C2B">
        <w:rPr>
          <w:szCs w:val="26"/>
        </w:rPr>
        <w:t xml:space="preserve">centralizēta valsts interešu pārstāvība citās </w:t>
      </w:r>
      <w:r w:rsidR="00235C2B">
        <w:rPr>
          <w:szCs w:val="26"/>
        </w:rPr>
        <w:lastRenderedPageBreak/>
        <w:t>jomās (nozarēs) Latvijā</w:t>
      </w:r>
      <w:r w:rsidR="00235C2B">
        <w:rPr>
          <w:rStyle w:val="FootnoteReference"/>
          <w:szCs w:val="26"/>
        </w:rPr>
        <w:footnoteReference w:id="21"/>
      </w:r>
      <w:r w:rsidR="00235C2B">
        <w:rPr>
          <w:szCs w:val="26"/>
        </w:rPr>
        <w:t>, kā arī citu valstu normatīvais regulējums un prakse zaudējumu atlīdzināšanā</w:t>
      </w:r>
      <w:r w:rsidR="00235C2B">
        <w:rPr>
          <w:rStyle w:val="FootnoteReference"/>
          <w:szCs w:val="26"/>
        </w:rPr>
        <w:footnoteReference w:id="22"/>
      </w:r>
      <w:r w:rsidR="00893850">
        <w:rPr>
          <w:szCs w:val="26"/>
        </w:rPr>
        <w:t xml:space="preserve"> </w:t>
      </w:r>
      <w:bookmarkEnd w:id="1"/>
      <w:r w:rsidR="00893850">
        <w:rPr>
          <w:szCs w:val="26"/>
        </w:rPr>
        <w:t>(</w:t>
      </w:r>
      <w:r w:rsidR="00893850" w:rsidRPr="0052092E">
        <w:rPr>
          <w:i/>
          <w:iCs/>
          <w:szCs w:val="26"/>
        </w:rPr>
        <w:t>skatīt 1.pielikumu</w:t>
      </w:r>
      <w:r w:rsidR="00893850" w:rsidRPr="0052092E">
        <w:rPr>
          <w:szCs w:val="26"/>
        </w:rPr>
        <w:t>)</w:t>
      </w:r>
      <w:r w:rsidR="00235C2B" w:rsidRPr="0052092E">
        <w:rPr>
          <w:szCs w:val="26"/>
        </w:rPr>
        <w:t>.</w:t>
      </w:r>
      <w:r w:rsidR="00416A55">
        <w:rPr>
          <w:szCs w:val="26"/>
        </w:rPr>
        <w:t xml:space="preserve"> </w:t>
      </w:r>
    </w:p>
    <w:p w14:paraId="46E6B64D" w14:textId="04B58D76" w:rsidR="0053243C" w:rsidRDefault="00416A55" w:rsidP="00893850">
      <w:pPr>
        <w:spacing w:before="80"/>
        <w:ind w:firstLine="720"/>
        <w:jc w:val="both"/>
      </w:pPr>
      <w:r>
        <w:rPr>
          <w:szCs w:val="26"/>
        </w:rPr>
        <w:t xml:space="preserve">Tāpat informatīvā ziņojuma izstrādes procesā tika </w:t>
      </w:r>
      <w:r w:rsidR="00C57BC7">
        <w:rPr>
          <w:szCs w:val="26"/>
        </w:rPr>
        <w:t xml:space="preserve">apzināts subjektu loks – publiskie pasūtītāji, uz kuriem attiektos centralizēta zaudējumu atlīdzība, un </w:t>
      </w:r>
      <w:r>
        <w:rPr>
          <w:szCs w:val="26"/>
        </w:rPr>
        <w:t xml:space="preserve">secināts, ka centralizācija būtu attiecināma uz </w:t>
      </w:r>
      <w:r w:rsidR="0000437E">
        <w:rPr>
          <w:szCs w:val="26"/>
        </w:rPr>
        <w:t>pasūtītājiem Publisko iepirkumu likuma izpratnē un sabiedrisko pakalpojumu sniedzējiem Sabiedrisko pakalpojumu sniedzēja likuma izpratnē</w:t>
      </w:r>
      <w:r w:rsidR="00C57BC7" w:rsidRPr="008A7576">
        <w:t xml:space="preserve"> un kuri tiek finansēti no publiskajiem naudas līdzekļiem</w:t>
      </w:r>
      <w:r w:rsidR="00893850">
        <w:rPr>
          <w:rStyle w:val="FootnoteReference"/>
        </w:rPr>
        <w:footnoteReference w:id="23"/>
      </w:r>
      <w:r w:rsidR="00893850">
        <w:t xml:space="preserve"> </w:t>
      </w:r>
      <w:r w:rsidR="00893850" w:rsidRPr="0052092E">
        <w:rPr>
          <w:szCs w:val="26"/>
        </w:rPr>
        <w:t>(</w:t>
      </w:r>
      <w:r w:rsidR="00893850" w:rsidRPr="0052092E">
        <w:rPr>
          <w:i/>
          <w:iCs/>
          <w:szCs w:val="26"/>
        </w:rPr>
        <w:t>skatīt 1.pielikumu</w:t>
      </w:r>
      <w:r w:rsidR="00893850" w:rsidRPr="0052092E">
        <w:rPr>
          <w:szCs w:val="26"/>
        </w:rPr>
        <w:t>)</w:t>
      </w:r>
      <w:r w:rsidR="00C57BC7" w:rsidRPr="0052092E">
        <w:t>.</w:t>
      </w:r>
    </w:p>
    <w:p w14:paraId="5F0AD63B" w14:textId="1B8A135F" w:rsidR="00B6247F" w:rsidRDefault="00B6247F" w:rsidP="00B6247F">
      <w:pPr>
        <w:spacing w:before="80"/>
        <w:ind w:firstLine="709"/>
      </w:pPr>
      <w:r>
        <w:t>Informatīvajā ziņojumā</w:t>
      </w:r>
      <w:r w:rsidR="00352C2D" w:rsidRPr="008A7576">
        <w:t xml:space="preserve"> izvērtēti </w:t>
      </w:r>
      <w:r>
        <w:t xml:space="preserve">ir </w:t>
      </w:r>
      <w:r w:rsidR="00352C2D" w:rsidRPr="008A7576">
        <w:t>vairāki centralizācijas risinājumi</w:t>
      </w:r>
      <w:r>
        <w:t xml:space="preserve">: </w:t>
      </w:r>
    </w:p>
    <w:p w14:paraId="7B45F79E" w14:textId="46396694" w:rsidR="00B6247F" w:rsidRDefault="00352C2D" w:rsidP="00B6247F">
      <w:pPr>
        <w:pStyle w:val="ListParagraph"/>
        <w:numPr>
          <w:ilvl w:val="0"/>
          <w:numId w:val="22"/>
        </w:numPr>
        <w:spacing w:before="80"/>
        <w:contextualSpacing w:val="0"/>
      </w:pPr>
      <w:r w:rsidRPr="008A7576">
        <w:t xml:space="preserve">autonoma centralizācija; </w:t>
      </w:r>
    </w:p>
    <w:p w14:paraId="5D23156B" w14:textId="77777777" w:rsidR="00B6247F" w:rsidRDefault="00352C2D" w:rsidP="00B6247F">
      <w:pPr>
        <w:pStyle w:val="ListParagraph"/>
        <w:numPr>
          <w:ilvl w:val="0"/>
          <w:numId w:val="22"/>
        </w:numPr>
        <w:spacing w:before="80"/>
        <w:contextualSpacing w:val="0"/>
      </w:pPr>
      <w:r w:rsidRPr="008A7576">
        <w:t>paralēlas kompetences;</w:t>
      </w:r>
    </w:p>
    <w:p w14:paraId="31217D90" w14:textId="77777777" w:rsidR="00B6247F" w:rsidRDefault="00352C2D" w:rsidP="008411DE">
      <w:pPr>
        <w:pStyle w:val="ListParagraph"/>
        <w:numPr>
          <w:ilvl w:val="0"/>
          <w:numId w:val="22"/>
        </w:numPr>
        <w:spacing w:before="80"/>
        <w:contextualSpacing w:val="0"/>
        <w:jc w:val="both"/>
      </w:pPr>
      <w:r w:rsidRPr="008A7576">
        <w:t xml:space="preserve">līguma slēgšana ar privātpersonu, kas nodrošinātu ārpakalpojumu (pārstāvību tiesā). </w:t>
      </w:r>
    </w:p>
    <w:p w14:paraId="4EE533B3" w14:textId="06D218C8" w:rsidR="00352C2D" w:rsidRPr="00116F83" w:rsidRDefault="00352C2D" w:rsidP="00811D41">
      <w:pPr>
        <w:spacing w:before="80"/>
        <w:ind w:firstLine="720"/>
        <w:jc w:val="both"/>
        <w:rPr>
          <w:szCs w:val="26"/>
        </w:rPr>
      </w:pPr>
      <w:r w:rsidRPr="008A7576">
        <w:t>No izvēlētā centralizācijas risinājuma būtu atkarīga arī deleģējuma forma un nepieciešamās izmaiņas normatīvajos aktos centralizētā zaudējumu atlīdzības institūta ieviešanai.</w:t>
      </w:r>
    </w:p>
    <w:p w14:paraId="6DABA8D7" w14:textId="620CFEEC" w:rsidR="00B1398A" w:rsidRPr="00811D41" w:rsidRDefault="0019759F" w:rsidP="00811D41">
      <w:pPr>
        <w:pStyle w:val="Heading2"/>
        <w:numPr>
          <w:ilvl w:val="1"/>
          <w:numId w:val="4"/>
        </w:numPr>
        <w:tabs>
          <w:tab w:val="left" w:pos="1134"/>
        </w:tabs>
        <w:spacing w:before="240"/>
        <w:ind w:left="993" w:hanging="284"/>
        <w:jc w:val="both"/>
        <w:rPr>
          <w:color w:val="0099CC"/>
          <w:sz w:val="26"/>
        </w:rPr>
      </w:pPr>
      <w:r w:rsidRPr="00811D41">
        <w:rPr>
          <w:color w:val="0099CC"/>
          <w:sz w:val="26"/>
        </w:rPr>
        <w:t>Autonoma centralizācija</w:t>
      </w:r>
    </w:p>
    <w:p w14:paraId="70F24EBE" w14:textId="01D4AACD" w:rsidR="0019759F" w:rsidRDefault="0019759F" w:rsidP="00144F75">
      <w:pPr>
        <w:ind w:firstLine="720"/>
        <w:jc w:val="both"/>
      </w:pPr>
      <w:r>
        <w:t xml:space="preserve">Autonoma centralizācija nozīmētu </w:t>
      </w:r>
      <w:r w:rsidRPr="005855B3">
        <w:t>kompetences piešķiršanu vienai iestādei publisko pasūtītāju vietā</w:t>
      </w:r>
      <w:r w:rsidRPr="00A605C9">
        <w:t xml:space="preserve"> un vārdā </w:t>
      </w:r>
      <w:r w:rsidRPr="005855B3">
        <w:t>vērsties ar prasību tiesā (t.sk. īstenot ārpustiesas zaudējumu atgūšanas darbības) par zaudējumu</w:t>
      </w:r>
      <w:r w:rsidRPr="00A605C9">
        <w:t>,</w:t>
      </w:r>
      <w:r>
        <w:t xml:space="preserve"> kas publiskajam pasūtītājam nodarīts KL normu pārkāpuma gadījumā, atlīdzinājumu. Šādā gadījumā būtu nepieciešamas izmaiņas </w:t>
      </w:r>
      <w:r w:rsidR="004162CE">
        <w:t xml:space="preserve">normatīvajā </w:t>
      </w:r>
      <w:r>
        <w:t xml:space="preserve">regulējumā, </w:t>
      </w:r>
      <w:r w:rsidR="004162CE">
        <w:t>lai</w:t>
      </w:r>
      <w:r w:rsidRPr="004162CE">
        <w:t xml:space="preserve"> deleģē</w:t>
      </w:r>
      <w:r w:rsidR="004162CE" w:rsidRPr="004162CE">
        <w:t>tu</w:t>
      </w:r>
      <w:r w:rsidRPr="004162CE">
        <w:t xml:space="preserve"> šo funkciju konkrētajai iestādei ar ārējo normatīvo aktu. </w:t>
      </w:r>
      <w:bookmarkStart w:id="2" w:name="_Hlk111722533"/>
      <w:r>
        <w:t>Proti, publiskais pasūtītājs nevarētu izvēlēties, vai vērsties tiesā ar prasību par zaudējumu atlīdzināšanu</w:t>
      </w:r>
      <w:r w:rsidRPr="005558AA">
        <w:t xml:space="preserve"> vai ārpusties</w:t>
      </w:r>
      <w:r>
        <w:t>as</w:t>
      </w:r>
      <w:r w:rsidRPr="005558AA">
        <w:t xml:space="preserve"> zaudējumu atgūšanas darbību īstenošanu</w:t>
      </w:r>
      <w:r>
        <w:t>, jo šī kompetence būtu nodota autonomās atbildīgās iestādes kompetencē centralizētas funkcijas ietvaros.</w:t>
      </w:r>
      <w:bookmarkEnd w:id="2"/>
    </w:p>
    <w:p w14:paraId="0E2DE6DB" w14:textId="3EFBA64E" w:rsidR="004162CE" w:rsidRDefault="004162CE" w:rsidP="004162CE">
      <w:pPr>
        <w:spacing w:before="80"/>
        <w:ind w:firstLine="709"/>
        <w:jc w:val="both"/>
      </w:pPr>
      <w:r>
        <w:t xml:space="preserve">Autonomas centralizācijas gadījumā, centralizētai iestādei pārņemot publiskā pasūtītāja konkrēto funkciju – zaudējumu atgūšanu par konkurences pārkāpumiem, publiskajam pasūtītājam saglabātos pienākums pilnībā sadarboties ar centralizēto iestādi un sniegt visu informāciju par iepirkumiem (t.sk. pretendentu sniegtiem piedāvājumiem un citiem dokumentiem), to norisi, pasūtījuma izpildi un citu centralizētai iestādes pieprasīto informāciju. </w:t>
      </w:r>
    </w:p>
    <w:p w14:paraId="56A922DC" w14:textId="11FE13A3" w:rsidR="004162CE" w:rsidRDefault="004162CE" w:rsidP="004162CE">
      <w:pPr>
        <w:spacing w:before="80"/>
        <w:ind w:firstLine="720"/>
        <w:jc w:val="both"/>
      </w:pPr>
      <w:r>
        <w:t>Izdevumu segšana par zaudējumu atgūšanas procesu (tiesvedību u.c.) būtu risināma, piešķirot budžeta finansējumu centralizētai iestādei. Ieviešot šo modeli, būtu arī risināms jautājums, kā ar centralizētās iestādes starpniecību atgūtie naudas līdzekļi tiktu novirzīti attiecīgā tiešas vai pastarpinātās pārvaldes publiskām personām (valsts, pašvaldībām, citām autonomām iestādēm) budžetā vai publisko personu kapitālsabiedrības budžetā.</w:t>
      </w:r>
    </w:p>
    <w:p w14:paraId="65FB1024" w14:textId="738F16A2" w:rsidR="00B1398A" w:rsidRPr="00811D41" w:rsidRDefault="00CD1DCB" w:rsidP="00811D41">
      <w:pPr>
        <w:pStyle w:val="Heading2"/>
        <w:numPr>
          <w:ilvl w:val="1"/>
          <w:numId w:val="4"/>
        </w:numPr>
        <w:spacing w:before="240"/>
        <w:ind w:left="1134" w:hanging="425"/>
        <w:jc w:val="both"/>
        <w:rPr>
          <w:rFonts w:ascii="Times New Roman" w:eastAsia="Calibri" w:hAnsi="Times New Roman" w:cs="Times New Roman"/>
          <w:color w:val="0099CC"/>
          <w:sz w:val="26"/>
        </w:rPr>
      </w:pPr>
      <w:r w:rsidRPr="00811D41">
        <w:rPr>
          <w:color w:val="0099CC"/>
          <w:sz w:val="26"/>
        </w:rPr>
        <w:t>Paralēlas kompetences</w:t>
      </w:r>
    </w:p>
    <w:p w14:paraId="5F76EA83" w14:textId="7EDE126B" w:rsidR="00B1398A" w:rsidRDefault="001F573C" w:rsidP="006E2D2F">
      <w:pPr>
        <w:spacing w:before="80"/>
        <w:ind w:firstLine="714"/>
        <w:jc w:val="both"/>
      </w:pPr>
      <w:r>
        <w:t xml:space="preserve">Paralēlas kompetences modelis līdzīgi kā autonomās centralizācijas mehānisms paredzētu </w:t>
      </w:r>
      <w:r w:rsidRPr="00B066F9">
        <w:t>kompetences piešķiršan</w:t>
      </w:r>
      <w:r>
        <w:t>u</w:t>
      </w:r>
      <w:r w:rsidRPr="00B066F9">
        <w:t xml:space="preserve"> </w:t>
      </w:r>
      <w:r>
        <w:t xml:space="preserve">vienai iestādei publisko pasūtītāju vārdā veikt </w:t>
      </w:r>
      <w:r>
        <w:lastRenderedPageBreak/>
        <w:t>darbības zaudējumu</w:t>
      </w:r>
      <w:r w:rsidRPr="00B066F9">
        <w:t xml:space="preserve"> </w:t>
      </w:r>
      <w:r>
        <w:t>atlīdzināšanai</w:t>
      </w:r>
      <w:r w:rsidRPr="00B066F9">
        <w:t xml:space="preserve">, </w:t>
      </w:r>
      <w:r>
        <w:t xml:space="preserve">vienlaikus skaidri definējot centralizētās iestādes un publiskā pasūtītāja sadarbības kārtību, kā arī </w:t>
      </w:r>
      <w:r w:rsidRPr="00B066F9">
        <w:t xml:space="preserve">neizslēdzot iespējamību, ka </w:t>
      </w:r>
      <w:r>
        <w:t xml:space="preserve">pie noteiktiem apstākļiem </w:t>
      </w:r>
      <w:r w:rsidRPr="00B066F9">
        <w:t xml:space="preserve">publiskais pasūtītājs pats varētu </w:t>
      </w:r>
      <w:r>
        <w:t xml:space="preserve">izmantot savas tiesības </w:t>
      </w:r>
      <w:r w:rsidRPr="00B066F9">
        <w:t xml:space="preserve">vērsties tiesā ar prasību par zaudējumu atlīdzinājumu </w:t>
      </w:r>
      <w:r>
        <w:t xml:space="preserve">vai īstenot ārpustiesas atgūšanas darbības </w:t>
      </w:r>
      <w:r w:rsidRPr="00B066F9">
        <w:t xml:space="preserve">(paralēlas kompetences). </w:t>
      </w:r>
      <w:r>
        <w:t>Izmantojot paralēlās kompetences modeli, centralizētā iestāde jau sākuma stadijā iesaistītos zaudējumu atgūšanas procesā, tiklīdz stātos spēkā KP lēmums par konstatēto KL normu pārkāpumu. Savukārt g</w:t>
      </w:r>
      <w:r w:rsidRPr="00B066F9">
        <w:t>adījumā, ja publiskais pasūtītājs savas tiesības īstenotu pats, tad atbildīgā iestāde atsevišķu (dublējošu) prasību neceltu, ja par to pašu priekšmetu un uz tā paša pamata jau būtu ierosināta tiesvedība.</w:t>
      </w:r>
      <w:r w:rsidRPr="00B066F9">
        <w:rPr>
          <w:vertAlign w:val="superscript"/>
        </w:rPr>
        <w:footnoteReference w:id="24"/>
      </w:r>
      <w:r>
        <w:t xml:space="preserve"> Protams, būtu izslēdzama vienlaikus procesu un darbību dublēšana no abu iestāžu puses, t.i., tikai tad, kad centralizētās iestādes un publiskās personas sadarbības rezultātā, izvērtējot iespējamos pierādījumus, starp institūcijām nav panākta vienota izpratne par zaudējumu apmēru, publiskais pasūtītājs zaudējumu atgūšanas procesu īsteno pats. Proti, gadījumā, ja pasūtītājs, sadarbībā ar centralizēto iestādi veicot lietas izvērtēšanu, secina, ka nodarīto zaudējumu apmērs ir lielāks nekā to uzskata centralizētā iestāde, publiskais pasūtītājs saglabā tiesības turpmākās darbības zaudējumu atgūšanai veikt patstāvīgi un centralizētās iestādes turpmākajai iesaistei būtu tikai konsultatīvs raksturs.</w:t>
      </w:r>
    </w:p>
    <w:p w14:paraId="4CB9E714" w14:textId="12B1121A" w:rsidR="001F573C" w:rsidRPr="00B1398A" w:rsidRDefault="001F573C" w:rsidP="006E2D2F">
      <w:pPr>
        <w:spacing w:before="80"/>
        <w:ind w:firstLine="714"/>
        <w:jc w:val="both"/>
        <w:rPr>
          <w:rFonts w:eastAsia="Calibri"/>
        </w:rPr>
      </w:pPr>
      <w:r>
        <w:t>Lai minimizētu dublēšanos, paralēlu kompetenču modelis tāpat kā autonoma centralizācija pieprasa precīzu sadarbību un informācijas apmaiņas kārtības ieviešanu starp iestādēm, kā arī nepieciešamību piešķirt finansējumu centralizētai iestādei un rast risinājumu tālākai atgūto līdzekļu sadalei.</w:t>
      </w:r>
    </w:p>
    <w:p w14:paraId="6CB459FA" w14:textId="1DAB7C65" w:rsidR="003F31F5" w:rsidRPr="00811D41" w:rsidRDefault="005247B0" w:rsidP="00811D41">
      <w:pPr>
        <w:pStyle w:val="Heading2"/>
        <w:numPr>
          <w:ilvl w:val="1"/>
          <w:numId w:val="4"/>
        </w:numPr>
        <w:tabs>
          <w:tab w:val="left" w:pos="1134"/>
        </w:tabs>
        <w:spacing w:before="240"/>
        <w:ind w:left="993" w:hanging="357"/>
        <w:jc w:val="both"/>
        <w:rPr>
          <w:rFonts w:ascii="Times New Roman" w:eastAsia="Calibri" w:hAnsi="Times New Roman" w:cs="Times New Roman"/>
          <w:color w:val="0099CC"/>
          <w:sz w:val="26"/>
        </w:rPr>
      </w:pPr>
      <w:r w:rsidRPr="00811D41">
        <w:rPr>
          <w:color w:val="0099CC"/>
          <w:sz w:val="26"/>
        </w:rPr>
        <w:t>Līguma slēgšana ar privātpersonu, lai nodrošinātu ārpakalpojumu (pārstāvību tiesā)</w:t>
      </w:r>
    </w:p>
    <w:p w14:paraId="6E3E3094" w14:textId="2FABA6A4" w:rsidR="00B1398A" w:rsidRDefault="006E2D2F" w:rsidP="00AF7709">
      <w:pPr>
        <w:ind w:firstLine="714"/>
        <w:jc w:val="both"/>
      </w:pPr>
      <w:r w:rsidRPr="00B066F9">
        <w:t>Vēl viens centralizācija</w:t>
      </w:r>
      <w:r w:rsidR="00AF7709">
        <w:t>s risinājums</w:t>
      </w:r>
      <w:r w:rsidRPr="00B066F9">
        <w:t xml:space="preserve"> varētu būt privāttiesiska </w:t>
      </w:r>
      <w:r>
        <w:t xml:space="preserve">ārpakalpojuma </w:t>
      </w:r>
      <w:r w:rsidRPr="00B066F9">
        <w:t>līguma slēgšana ar privātpersonu</w:t>
      </w:r>
      <w:r>
        <w:t xml:space="preserve"> </w:t>
      </w:r>
      <w:r w:rsidRPr="00D7560A">
        <w:t xml:space="preserve">par vairāku </w:t>
      </w:r>
      <w:r w:rsidR="00AF7709">
        <w:t xml:space="preserve">publisko </w:t>
      </w:r>
      <w:r w:rsidRPr="00D7560A">
        <w:t>pasūtītāju rīkotiem iepirkumiem centralizēti</w:t>
      </w:r>
      <w:r w:rsidR="00C64FD3">
        <w:t xml:space="preserve">, lai ārpakalpojuma sniedzējs nodrošinātu </w:t>
      </w:r>
      <w:r w:rsidRPr="00B066F9">
        <w:t xml:space="preserve">pārstāvību </w:t>
      </w:r>
      <w:r>
        <w:t>zaudējumu atgūšanā</w:t>
      </w:r>
      <w:r w:rsidR="00C64FD3">
        <w:t xml:space="preserve">, t.i., celtu </w:t>
      </w:r>
      <w:r w:rsidRPr="00B066F9">
        <w:t>zaudējumu prasības publiskā pasūtītāja vārdā</w:t>
      </w:r>
      <w:r>
        <w:t>. Vienlaikus tas neizslēdz, ka centralizēti tiek nodrošināta arī ārpustiesas zaudējumu atgūšana.</w:t>
      </w:r>
    </w:p>
    <w:p w14:paraId="6E14BD6C" w14:textId="0A58EBFD" w:rsidR="00C64FD3" w:rsidRPr="00786B89" w:rsidRDefault="00424264" w:rsidP="00C64FD3">
      <w:pPr>
        <w:spacing w:before="80"/>
        <w:ind w:firstLine="709"/>
        <w:jc w:val="both"/>
      </w:pPr>
      <w:r>
        <w:t>Iepriekš minēto</w:t>
      </w:r>
      <w:r w:rsidR="00C64FD3" w:rsidRPr="00B066F9">
        <w:t xml:space="preserve"> ārpakalpojuma sniedzēju būtu iespējams atrast centralizēta iepirkuma ietvaros. </w:t>
      </w:r>
      <w:r>
        <w:t xml:space="preserve">Proti, </w:t>
      </w:r>
      <w:r w:rsidR="00C64FD3" w:rsidRPr="00786B89">
        <w:t>Publisko iepirkumu likuma 17. panta vienpadsmitā daļa paredz, ka pasūtītāji var vienoties par atsevišķu iepirkumu kopīgu rīkošanu. I</w:t>
      </w:r>
      <w:r w:rsidR="00C64FD3">
        <w:t>epirkumu uzraudzības birojs (turpmāk – IUB)</w:t>
      </w:r>
      <w:r w:rsidR="00C64FD3" w:rsidRPr="00786B89">
        <w:t xml:space="preserve"> ir izstrādājis </w:t>
      </w:r>
      <w:r>
        <w:t xml:space="preserve">arī </w:t>
      </w:r>
      <w:r w:rsidR="00C64FD3" w:rsidRPr="00786B89">
        <w:t>vadlīnijas centralizēto iepirkumu veikšanai.</w:t>
      </w:r>
      <w:r w:rsidR="00C64FD3" w:rsidRPr="00786B89">
        <w:rPr>
          <w:vertAlign w:val="superscript"/>
        </w:rPr>
        <w:footnoteReference w:id="25"/>
      </w:r>
    </w:p>
    <w:p w14:paraId="2CB3B7C5" w14:textId="7993C744" w:rsidR="00C64FD3" w:rsidRDefault="00C64FD3" w:rsidP="00C64FD3">
      <w:pPr>
        <w:spacing w:before="80"/>
        <w:ind w:firstLine="709"/>
        <w:jc w:val="both"/>
      </w:pPr>
      <w:r w:rsidRPr="00786B89">
        <w:t xml:space="preserve">Centralizētu iepirkumu veikšana </w:t>
      </w:r>
      <w:r w:rsidR="00811D41">
        <w:t xml:space="preserve">iespējams ļautu publiskajiem </w:t>
      </w:r>
      <w:r w:rsidRPr="00786B89">
        <w:t>pasūtītājiem racionalizēt savas darbības iepirkumu jomā. Veicot iepirkumus centralizēti, tiek samazinātas administratīvo resursu izmaksas, preces un pakalpojumi var tikt iegādāti par zemāku līgumcenu, kā arī tiek atvieglota iepirkuma procesa uzraudzība. Konsolidējot pasūtītājiem nepieciešamo līdzīgo preču un pakalpojumu apjomus, iepirkuma līgumi kļūst vērtīgāki, savukārt uzņēmēji kļūst ieinteresētāki iepirkuma līguma iegūšanā.</w:t>
      </w:r>
      <w:r w:rsidRPr="00786B89">
        <w:rPr>
          <w:vertAlign w:val="superscript"/>
        </w:rPr>
        <w:footnoteReference w:id="26"/>
      </w:r>
    </w:p>
    <w:p w14:paraId="059DCAD3" w14:textId="77777777" w:rsidR="00C64FD3" w:rsidRDefault="00C64FD3" w:rsidP="00C64FD3">
      <w:pPr>
        <w:spacing w:before="80"/>
        <w:ind w:firstLine="709"/>
        <w:jc w:val="both"/>
      </w:pPr>
      <w:r w:rsidRPr="00786B89">
        <w:t>Vadlīnijās aprakstīti trīs centralizēto iepirkumu veikšanas veidi. Ņemot vērā konkrēto situāciju, pasūtītājs var izvēlēties situācijai piemērotāko risinājumu</w:t>
      </w:r>
      <w:r>
        <w:t xml:space="preserve">, t.sk. (i) </w:t>
      </w:r>
      <w:r>
        <w:lastRenderedPageBreak/>
        <w:t>veikt centralizētu iepirkumu no citas centralizēto iepirkumu institūcijas vai ar tās starpniecību vai (ii) rīkot kopīgu iepirkumu, vairākiem pasūtītājiem apvienojoties</w:t>
      </w:r>
      <w:r w:rsidRPr="00786B89">
        <w:t>.</w:t>
      </w:r>
      <w:r>
        <w:rPr>
          <w:rStyle w:val="FootnoteReference"/>
        </w:rPr>
        <w:footnoteReference w:id="27"/>
      </w:r>
    </w:p>
    <w:p w14:paraId="1BF0677E" w14:textId="78435042" w:rsidR="00C64FD3" w:rsidRDefault="00C64FD3" w:rsidP="00A951D2">
      <w:pPr>
        <w:spacing w:before="80"/>
        <w:ind w:firstLine="714"/>
        <w:jc w:val="both"/>
      </w:pPr>
      <w:r>
        <w:t>Tādējādi publiskais pasūtītājs var ne tikai pats individuāli nolīgt ārpakalpojuma sniedzēju zaudējumu atgūšanai, bet vairāki pasūtītāji var arī brīvprātīgi apvienoties, organizējot kopīgu iepirkumu, tādējādi kopīgi sadalot arī izdevumus par to. Tāpat centralizācija, slēdzot līgumu ar privātpersonu, var tikt īstenota piespiedu kārtā, kad šī funkcija tiek deleģēta centralizēto iepirkumu institūcijai, to darot vairāku publisko pasūtītāju vārdā.</w:t>
      </w:r>
    </w:p>
    <w:p w14:paraId="74CD1E88" w14:textId="6757CC73" w:rsidR="003F31F5" w:rsidRPr="007D2166" w:rsidRDefault="003F31F5" w:rsidP="00A951D2">
      <w:pPr>
        <w:pStyle w:val="Heading2"/>
        <w:numPr>
          <w:ilvl w:val="1"/>
          <w:numId w:val="4"/>
        </w:numPr>
        <w:tabs>
          <w:tab w:val="left" w:pos="851"/>
        </w:tabs>
        <w:spacing w:before="240"/>
        <w:ind w:left="714" w:hanging="357"/>
        <w:jc w:val="both"/>
        <w:rPr>
          <w:rFonts w:ascii="Times New Roman" w:eastAsia="Calibri" w:hAnsi="Times New Roman" w:cs="Times New Roman"/>
          <w:color w:val="0099CC"/>
          <w:sz w:val="26"/>
        </w:rPr>
      </w:pPr>
      <w:r w:rsidRPr="007D2166">
        <w:rPr>
          <w:color w:val="0099CC"/>
          <w:sz w:val="26"/>
        </w:rPr>
        <w:t>Potenciāli atbilstošākās iestādes</w:t>
      </w:r>
    </w:p>
    <w:p w14:paraId="46E66A8C" w14:textId="2E6D199B" w:rsidR="00A951D2" w:rsidRPr="00B066F9" w:rsidRDefault="00A951D2" w:rsidP="00A951D2">
      <w:pPr>
        <w:spacing w:before="80"/>
        <w:ind w:firstLine="709"/>
        <w:jc w:val="both"/>
      </w:pPr>
      <w:r>
        <w:t>Informatīvā</w:t>
      </w:r>
      <w:r w:rsidRPr="00B066F9">
        <w:t xml:space="preserve"> ziņojuma izstrādes laikā tika apzināts</w:t>
      </w:r>
      <w:r>
        <w:t xml:space="preserve"> un</w:t>
      </w:r>
      <w:r w:rsidRPr="00B066F9">
        <w:t xml:space="preserve"> vērtēts vairāku iestāžu kompetenču loks potenciāli visatbilstošākās atbildīgās iestādes centralizētas zaudējumu atlīdzības prasību īstenošanai noteikšanai. Proti, tika pētīts kompetenču </w:t>
      </w:r>
      <w:r>
        <w:t>tvērums</w:t>
      </w:r>
      <w:r w:rsidRPr="00B066F9">
        <w:t xml:space="preserve"> tādām iestādēm kā Finanšu ministrija, Tieslietu ministrija, Ģenerālprokuratūra, Valsts kanceleja, Valsts kontrole, Centrālā finanšu un līgumu aģentūra, </w:t>
      </w:r>
      <w:r>
        <w:t xml:space="preserve">Konkurences padome, </w:t>
      </w:r>
      <w:r w:rsidRPr="00B066F9">
        <w:t xml:space="preserve">Lauku atbalsta dienests </w:t>
      </w:r>
      <w:r>
        <w:t>u.c.,</w:t>
      </w:r>
      <w:r w:rsidRPr="00B066F9">
        <w:t xml:space="preserve"> kā arī tika apsvērta šādas funkcijas nodošana ārpakalpojumā</w:t>
      </w:r>
      <w:r>
        <w:t xml:space="preserve"> vai deleģēšana ar Ministru kabineta noteikumiem, piemēram, uzdodot to SIA “Publisko aktīvu pārvaldītājam Possessor” (turpmāk – Possessor)</w:t>
      </w:r>
      <w:r w:rsidRPr="00B066F9">
        <w:t>.</w:t>
      </w:r>
    </w:p>
    <w:p w14:paraId="10924F22" w14:textId="4E91EFB4" w:rsidR="00A951D2" w:rsidRPr="00B066F9" w:rsidRDefault="00A951D2" w:rsidP="00A951D2">
      <w:pPr>
        <w:spacing w:before="80"/>
        <w:ind w:firstLine="709"/>
        <w:jc w:val="both"/>
      </w:pPr>
      <w:bookmarkStart w:id="3" w:name="_Hlk134178878"/>
      <w:r>
        <w:t>Analīzes rezultātā</w:t>
      </w:r>
      <w:r w:rsidRPr="00B066F9">
        <w:t xml:space="preserve"> kā potenciāli </w:t>
      </w:r>
      <w:r w:rsidRPr="00FC78D3">
        <w:t>vispiemērotākās tika izvēlētas šādas iestādes (un ārpakalpojuma sniedzējs) – Ģenerālprokuratūra</w:t>
      </w:r>
      <w:r w:rsidRPr="00FC78D3">
        <w:rPr>
          <w:vertAlign w:val="superscript"/>
        </w:rPr>
        <w:footnoteReference w:id="28"/>
      </w:r>
      <w:r w:rsidRPr="00FC78D3">
        <w:t>, Valsts kontrole</w:t>
      </w:r>
      <w:r w:rsidRPr="00FC78D3">
        <w:rPr>
          <w:vertAlign w:val="superscript"/>
        </w:rPr>
        <w:footnoteReference w:id="29"/>
      </w:r>
      <w:r w:rsidRPr="00FC78D3">
        <w:t>, KP, Possessor</w:t>
      </w:r>
      <w:r w:rsidRPr="00FC78D3">
        <w:rPr>
          <w:vertAlign w:val="superscript"/>
        </w:rPr>
        <w:footnoteReference w:id="30"/>
      </w:r>
      <w:r w:rsidRPr="00FC78D3">
        <w:t xml:space="preserve"> un Latvijas Zvērinātu advokātu kolēģija</w:t>
      </w:r>
      <w:r w:rsidRPr="00FC78D3">
        <w:rPr>
          <w:vertAlign w:val="superscript"/>
        </w:rPr>
        <w:footnoteReference w:id="31"/>
      </w:r>
      <w:r w:rsidRPr="00FC78D3">
        <w:t>. KP un EM attiecīgi</w:t>
      </w:r>
      <w:r w:rsidRPr="00B066F9">
        <w:t xml:space="preserve"> organizēja tikšanos ar </w:t>
      </w:r>
      <w:r>
        <w:t>iepriekš minētajām iestādēm</w:t>
      </w:r>
      <w:r w:rsidR="004B6948">
        <w:t xml:space="preserve"> un</w:t>
      </w:r>
      <w:r w:rsidRPr="00B066F9">
        <w:t xml:space="preserve"> lū</w:t>
      </w:r>
      <w:r w:rsidR="004B6948">
        <w:t>dza</w:t>
      </w:r>
      <w:r w:rsidRPr="00B066F9">
        <w:t xml:space="preserve"> sniegt savu pašnovērtējumu attiecībā uz konkrētiem objektīviem kritērijiem, kas varētu būt nozīmīgi </w:t>
      </w:r>
      <w:bookmarkStart w:id="4" w:name="_Hlk132893041"/>
      <w:r w:rsidRPr="00B066F9">
        <w:t>centralizētu zaudējumu atlīdzības prasību vešanā</w:t>
      </w:r>
      <w:bookmarkEnd w:id="4"/>
      <w:r w:rsidRPr="00B066F9">
        <w:t>, lai būtu iespējams sniegt pēc iespējas objektīvu vērtējumu par to, kura varētu būt potenciāli vispiemērotākā iestāde (vai ārpakalpojuma sniedzējs) minēto prasību vešanai.</w:t>
      </w:r>
      <w:r>
        <w:t xml:space="preserve"> </w:t>
      </w:r>
    </w:p>
    <w:p w14:paraId="57F28FC3" w14:textId="41C3B35A" w:rsidR="00A951D2" w:rsidRDefault="00A951D2" w:rsidP="00A951D2">
      <w:pPr>
        <w:spacing w:before="80"/>
        <w:ind w:firstLine="709"/>
        <w:jc w:val="both"/>
      </w:pPr>
      <w:r w:rsidRPr="00B066F9">
        <w:t xml:space="preserve">Par minētajiem objektīvajiem kritērijiem tika izvēlēti šādi kritēriji: īsteno pārstāvību civilprocesā, īsteno pārstāvību zaudējumu atlīdzības prasībās civilprocesā, pieredze zaudējumu aprēķināšanā civilprocesā, ekonomistu pieejamība, resursu pieejamība, nepieciešamais finansējums, citas priekšrocības un citi trūkumi. </w:t>
      </w:r>
      <w:r w:rsidR="00E54DA8">
        <w:t xml:space="preserve">Izvērtējot iestādes atbilstoši izvirzītajiem objektīvajiem kritērijiem, vērtējums apkopots </w:t>
      </w:r>
      <w:r w:rsidR="00E54DA8" w:rsidRPr="0052092E">
        <w:rPr>
          <w:i/>
          <w:iCs/>
        </w:rPr>
        <w:t>2. pielikumā</w:t>
      </w:r>
      <w:r w:rsidR="00E54DA8">
        <w:t xml:space="preserve"> minētajā tabulā.</w:t>
      </w:r>
    </w:p>
    <w:bookmarkEnd w:id="3"/>
    <w:p w14:paraId="61B195CF" w14:textId="282FD443" w:rsidR="003F31F5" w:rsidRDefault="00EC14B0" w:rsidP="004B6948">
      <w:pPr>
        <w:spacing w:before="80"/>
        <w:ind w:firstLine="709"/>
        <w:jc w:val="both"/>
      </w:pPr>
      <w:r w:rsidRPr="0072439F">
        <w:lastRenderedPageBreak/>
        <w:t>Izvērtējot tikšanās laikā ar iepriekš minētajām iestādēm s</w:t>
      </w:r>
      <w:r w:rsidR="004649C0" w:rsidRPr="0072439F">
        <w:t>niegto</w:t>
      </w:r>
      <w:r w:rsidRPr="0072439F">
        <w:t xml:space="preserve"> informāciju </w:t>
      </w:r>
      <w:r w:rsidR="006437DC" w:rsidRPr="0072439F">
        <w:t>un apsvērumus,</w:t>
      </w:r>
      <w:r w:rsidRPr="0072439F">
        <w:t xml:space="preserve"> </w:t>
      </w:r>
      <w:r w:rsidR="0072439F" w:rsidRPr="0072439F">
        <w:t xml:space="preserve">vēl detalizētākai turpmākai izvērtēšanai tika nolemts virzīt </w:t>
      </w:r>
      <w:r w:rsidR="00A951D2" w:rsidRPr="0072439F">
        <w:t xml:space="preserve">Ģenerālprokuratūru, Possessor un ārpakalpojuma sniedzēju, kuru iesniegtie pašvērtējumi apkopoti </w:t>
      </w:r>
      <w:r w:rsidR="005F3DD4" w:rsidRPr="0072439F">
        <w:rPr>
          <w:i/>
          <w:iCs/>
        </w:rPr>
        <w:t>2</w:t>
      </w:r>
      <w:r w:rsidR="004B6948" w:rsidRPr="0072439F">
        <w:rPr>
          <w:i/>
          <w:iCs/>
        </w:rPr>
        <w:t>.pielikumā</w:t>
      </w:r>
      <w:r w:rsidR="004B6948" w:rsidRPr="0072439F">
        <w:t xml:space="preserve"> </w:t>
      </w:r>
      <w:r w:rsidR="00A951D2" w:rsidRPr="0072439F">
        <w:t xml:space="preserve">minētajās </w:t>
      </w:r>
      <w:r w:rsidR="0072439F">
        <w:t xml:space="preserve">pašnovērtējuma </w:t>
      </w:r>
      <w:r w:rsidR="00A951D2" w:rsidRPr="0072439F">
        <w:t>tabulās</w:t>
      </w:r>
      <w:r w:rsidR="004B6948" w:rsidRPr="0072439F">
        <w:t>.</w:t>
      </w:r>
    </w:p>
    <w:p w14:paraId="6DA5E089" w14:textId="4306AF82" w:rsidR="005F22C2" w:rsidRDefault="0072439F" w:rsidP="005F22C2">
      <w:pPr>
        <w:spacing w:before="80"/>
        <w:ind w:firstLine="709"/>
      </w:pPr>
      <w:r>
        <w:t>Attiecīgi kopumā</w:t>
      </w:r>
      <w:r w:rsidR="005F22C2">
        <w:t xml:space="preserve"> pēc veiktās analīzes</w:t>
      </w:r>
      <w:r w:rsidR="005F22C2" w:rsidRPr="00B066F9">
        <w:t xml:space="preserve"> ir iespējams izdarīt vairākus secinājumus</w:t>
      </w:r>
      <w:r w:rsidR="009B2127">
        <w:t>.</w:t>
      </w:r>
    </w:p>
    <w:p w14:paraId="0FB9CCD3" w14:textId="496F50C2" w:rsidR="00C451BB" w:rsidRDefault="00C451BB" w:rsidP="005F22C2">
      <w:pPr>
        <w:spacing w:before="80"/>
        <w:ind w:firstLine="709"/>
        <w:jc w:val="both"/>
      </w:pPr>
      <w:r w:rsidRPr="00C451BB">
        <w:rPr>
          <w:i/>
          <w:iCs/>
        </w:rPr>
        <w:t>Pirmkārt</w:t>
      </w:r>
      <w:r>
        <w:t>, vērtējot</w:t>
      </w:r>
      <w:r w:rsidR="005F22C2" w:rsidRPr="00C358CF">
        <w:t xml:space="preserve"> pārstāvības </w:t>
      </w:r>
      <w:r>
        <w:t xml:space="preserve">īstenošanu </w:t>
      </w:r>
      <w:r w:rsidR="005F22C2" w:rsidRPr="00C358CF">
        <w:t xml:space="preserve">civilprocesā, </w:t>
      </w:r>
      <w:r w:rsidR="00437754">
        <w:t xml:space="preserve">iespējamajiem ārpakalpojuma sniedzējiem (Possessor un </w:t>
      </w:r>
      <w:r w:rsidR="00D52B79">
        <w:t xml:space="preserve">privātiem juridiskās palīdzības sniedzējiem, t.i., zvērinātiem advokātiem) </w:t>
      </w:r>
      <w:r w:rsidR="00D52B79" w:rsidRPr="00C358CF">
        <w:t xml:space="preserve">ir </w:t>
      </w:r>
      <w:r w:rsidR="00D52B79">
        <w:t xml:space="preserve">būtiski lielāka </w:t>
      </w:r>
      <w:r w:rsidR="00D52B79" w:rsidRPr="00C358CF">
        <w:t>pieredze civilprocesos</w:t>
      </w:r>
      <w:r w:rsidR="00D52B79">
        <w:t xml:space="preserve"> nekā Ģenerālprokuratūrai. </w:t>
      </w:r>
      <w:r w:rsidR="00D52B79" w:rsidRPr="00C358CF">
        <w:t>Vērtējot pārstāvības tieši zaudējumu atlīdzības prasībās civilprocesā īstenošanu, situācija ir līdzīga</w:t>
      </w:r>
      <w:r w:rsidR="00D52B79">
        <w:t>.</w:t>
      </w:r>
    </w:p>
    <w:p w14:paraId="205E3AD9" w14:textId="43E8265F" w:rsidR="00D43C15" w:rsidRDefault="00D52B79" w:rsidP="005F22C2">
      <w:pPr>
        <w:spacing w:before="80"/>
        <w:ind w:firstLine="709"/>
        <w:jc w:val="both"/>
      </w:pPr>
      <w:r w:rsidRPr="00D52B79">
        <w:rPr>
          <w:i/>
          <w:iCs/>
        </w:rPr>
        <w:t>Otrkārt</w:t>
      </w:r>
      <w:r>
        <w:t>, vērtējot pieredzi zaudējumu aprēķināšanā civilprocesā</w:t>
      </w:r>
      <w:r w:rsidR="00D43C15">
        <w:t xml:space="preserve"> un ekonomistu pieejamību</w:t>
      </w:r>
      <w:r>
        <w:t>, norādāms, ka Ģenerālprokuratūr</w:t>
      </w:r>
      <w:r w:rsidR="00064EB6">
        <w:t xml:space="preserve">a </w:t>
      </w:r>
      <w:r w:rsidR="00D43C15">
        <w:t xml:space="preserve">līdz šim </w:t>
      </w:r>
      <w:r w:rsidR="00064EB6">
        <w:t xml:space="preserve">šādus aprēķinus nav veikusi un </w:t>
      </w:r>
      <w:r w:rsidR="00D43C15">
        <w:t>tai nav pieejami speciālisti ar atbilstošu ekonomisko izglītību. S</w:t>
      </w:r>
      <w:r w:rsidR="00D43C15" w:rsidRPr="00C358CF">
        <w:t>avukārt</w:t>
      </w:r>
      <w:r w:rsidR="00D43C15">
        <w:t xml:space="preserve"> ārpakalpojuma sniedzējiem jau ir pieredze zaudējumu aprēķināšanā, </w:t>
      </w:r>
      <w:r w:rsidR="00D43C15" w:rsidRPr="0072439F">
        <w:t>kur Possessor piemīt atbilstoša kompetence, bet zvērinātiem advokātiem ir ierasta prak</w:t>
      </w:r>
      <w:r w:rsidR="00D43C15" w:rsidRPr="00C358CF">
        <w:t>se pieaicināt nepieciešamos speciālistus, ja tādi nepieciešami un konkrētajam advokātam nav pietiekamu zināšanu konkrētajā nozarē.</w:t>
      </w:r>
    </w:p>
    <w:p w14:paraId="73BE5AC7" w14:textId="5B33DBEB" w:rsidR="005F22C2" w:rsidRPr="00C358CF" w:rsidRDefault="00D43C15" w:rsidP="009B2127">
      <w:pPr>
        <w:ind w:firstLine="709"/>
        <w:jc w:val="both"/>
      </w:pPr>
      <w:r w:rsidRPr="008D08B4">
        <w:rPr>
          <w:i/>
          <w:iCs/>
        </w:rPr>
        <w:t>Treškārt</w:t>
      </w:r>
      <w:r>
        <w:t>, vērtējot resursu pieejamību</w:t>
      </w:r>
      <w:r w:rsidR="008D08B4">
        <w:t xml:space="preserve">, secināms, ka </w:t>
      </w:r>
      <w:r w:rsidR="005F22C2" w:rsidRPr="00C358CF">
        <w:t>Ģenerālprokuratūrai nav pieejami resursi centralizētas zaudējumu atlīdzināšanas prasību vešanas funkcijas īstenošanai</w:t>
      </w:r>
      <w:r w:rsidR="008D08B4">
        <w:t xml:space="preserve">, </w:t>
      </w:r>
      <w:r w:rsidR="00CD36C2">
        <w:t xml:space="preserve">tādēļ tai būtu nepieciešams piesaistīt 3-5 jaunus darbiniekus un izrietoši papildus nepieciešamais </w:t>
      </w:r>
      <w:r w:rsidR="00593274">
        <w:t xml:space="preserve">valsts </w:t>
      </w:r>
      <w:r w:rsidR="00CD36C2">
        <w:t xml:space="preserve">finansējumus </w:t>
      </w:r>
      <w:r w:rsidR="00593274">
        <w:t xml:space="preserve">veidotu </w:t>
      </w:r>
      <w:r w:rsidR="00CD36C2" w:rsidRPr="00593274">
        <w:t xml:space="preserve">69 012 – 115 020 EUR </w:t>
      </w:r>
      <w:r w:rsidR="00593274" w:rsidRPr="00593274">
        <w:t>ik gadu.</w:t>
      </w:r>
      <w:r w:rsidR="009B2127">
        <w:t xml:space="preserve"> </w:t>
      </w:r>
      <w:r w:rsidR="00593274">
        <w:t xml:space="preserve">Savukārt Possessor piedāvātais finansēšanas modelis paredz, ka </w:t>
      </w:r>
      <w:r w:rsidR="00593274" w:rsidRPr="00C358CF">
        <w:t>centralizētas zaudējumu atlīdzināšanas prasību vešanas funkcijas īstenošanai</w:t>
      </w:r>
      <w:r w:rsidR="00593274">
        <w:t xml:space="preserve"> tam pirmajos 3 darbības gados nepieciešams papildus finansējums līdz </w:t>
      </w:r>
      <w:r w:rsidR="00593274" w:rsidRPr="009B2127">
        <w:t>250 000 EUR gadā jaunu darbinieku piesaistei</w:t>
      </w:r>
      <w:r w:rsidR="009B2127" w:rsidRPr="009B2127">
        <w:t>, bet t</w:t>
      </w:r>
      <w:r w:rsidR="00593274" w:rsidRPr="009B2127">
        <w:t>urpmāk iespējama iestādes darbība pašfinansēšanās modeļa ietvaros, saņemot 10% no atgūtajiem zaudējumiem.</w:t>
      </w:r>
      <w:r w:rsidR="009B2127">
        <w:t xml:space="preserve"> </w:t>
      </w:r>
      <w:r w:rsidR="005F22C2" w:rsidRPr="00C358CF">
        <w:t xml:space="preserve">Attiecībā uz </w:t>
      </w:r>
      <w:r w:rsidR="009B2127">
        <w:t>zvērinātiem advokātiem</w:t>
      </w:r>
      <w:r w:rsidR="005F22C2" w:rsidRPr="00C358CF">
        <w:t xml:space="preserve"> CPL procesā paredzēti mehānismi, lai zaudētājpuse būtu tā, kurai arī jāatlīdzina publiskā pasūtītāja izdevumi par zvērināta advokāta palīdzību. Turklāt zvērinātu advokātu piesaistes gadījumā publiskais pasūtītājs var vienoties par veiksmes atlīdzības (</w:t>
      </w:r>
      <w:r w:rsidR="005F22C2" w:rsidRPr="00C358CF">
        <w:rPr>
          <w:i/>
          <w:iCs/>
        </w:rPr>
        <w:t>success fee</w:t>
      </w:r>
      <w:r w:rsidR="005F22C2" w:rsidRPr="00C358CF">
        <w:t xml:space="preserve">) piemērošanu, kas nozīmētu, ka par publiskajam pasūtītājam par juridiskās palīdzības saņemšanu būtu jāmaksā tikai prasības veiksmīga iznākuma gadījumā. </w:t>
      </w:r>
    </w:p>
    <w:p w14:paraId="68AD8145" w14:textId="359548BF" w:rsidR="005F22C2" w:rsidRPr="00C358CF" w:rsidRDefault="009B2127" w:rsidP="005F22C2">
      <w:pPr>
        <w:spacing w:before="80"/>
        <w:ind w:firstLine="709"/>
        <w:jc w:val="both"/>
        <w:rPr>
          <w:iCs/>
        </w:rPr>
      </w:pPr>
      <w:r w:rsidRPr="009B2127">
        <w:rPr>
          <w:i/>
          <w:iCs/>
        </w:rPr>
        <w:t>Ceturtkārt</w:t>
      </w:r>
      <w:r>
        <w:t>, v</w:t>
      </w:r>
      <w:r w:rsidR="005F22C2" w:rsidRPr="00C358CF">
        <w:t xml:space="preserve">ērtējot citas priekšrocības un trūkumus, secināms, ka centralizētas zaudējumu atlīdzināšanas prasību </w:t>
      </w:r>
      <w:r w:rsidR="005F22C2" w:rsidRPr="00A03109">
        <w:t>vešana ar ārpakalpojuma palīdzību pieredzes</w:t>
      </w:r>
      <w:r w:rsidR="005F22C2" w:rsidRPr="00C358CF">
        <w:t xml:space="preserve"> esamības dēļ šķiet visoptimālākais risinājums. Proti, zvērinātiem advokātiem </w:t>
      </w:r>
      <w:r w:rsidR="005F22C2">
        <w:t xml:space="preserve">un Possessor </w:t>
      </w:r>
      <w:r w:rsidR="005F22C2" w:rsidRPr="00C358CF">
        <w:t>ir tiesāšanās pieredze, zināšanas tiesvedības procesos un to praktiskajā norisē, zināšanas tiesāšanās taktikas izstrādē, zināšanas pierādījumu iegūšanā un noformēšanā, zināšanas par procesuālajiem termiņiem, procesuālajiem līdzekļiem, kā un kad to pielietot, kādus pierādījumus izmantot, kā arī prasības apmierināšanas vai daļējas apmierināšanas gadījumā honorāru piedzen no pretējās puses. Turklāt attiecībā uz tiem nav būtisku trūkumu. Savukārt, attiecībā uz Ģenerālprokuratūru ir nebūtiskas priekšrocības, bet nozīmīgs trūkums ir tas, ka konkrētajai iestādei nav pieredzes tamlīdzīgu prasību pilnīgā īstenošanā.</w:t>
      </w:r>
    </w:p>
    <w:p w14:paraId="40DEFC0B" w14:textId="62F884AF" w:rsidR="005F22C2" w:rsidRDefault="005F22C2" w:rsidP="005F22C2">
      <w:pPr>
        <w:spacing w:before="80"/>
        <w:ind w:firstLine="709"/>
        <w:jc w:val="both"/>
      </w:pPr>
      <w:r w:rsidRPr="00C358CF">
        <w:rPr>
          <w:iCs/>
        </w:rPr>
        <w:t>Ģenerālprokuratūras</w:t>
      </w:r>
      <w:r>
        <w:rPr>
          <w:iCs/>
        </w:rPr>
        <w:t xml:space="preserve">, </w:t>
      </w:r>
      <w:r w:rsidRPr="0072439F">
        <w:rPr>
          <w:iCs/>
        </w:rPr>
        <w:t>Possessor un</w:t>
      </w:r>
      <w:r w:rsidRPr="00C358CF">
        <w:rPr>
          <w:iCs/>
        </w:rPr>
        <w:t xml:space="preserve"> </w:t>
      </w:r>
      <w:r>
        <w:rPr>
          <w:iCs/>
        </w:rPr>
        <w:t>Latvijas Zvērinātu advokātu kolēģijas</w:t>
      </w:r>
      <w:r w:rsidRPr="00C358CF">
        <w:rPr>
          <w:iCs/>
        </w:rPr>
        <w:t xml:space="preserve"> sniegtās atbildes pašvērtējuma ietvaros apkopojuma formā </w:t>
      </w:r>
      <w:r w:rsidRPr="0072439F">
        <w:rPr>
          <w:iCs/>
        </w:rPr>
        <w:t xml:space="preserve">atspoguļotas </w:t>
      </w:r>
      <w:r w:rsidR="00BE4C15" w:rsidRPr="0072439F">
        <w:rPr>
          <w:i/>
          <w:iCs/>
        </w:rPr>
        <w:t>2</w:t>
      </w:r>
      <w:r w:rsidR="009B2127" w:rsidRPr="0072439F">
        <w:rPr>
          <w:i/>
          <w:iCs/>
        </w:rPr>
        <w:t>.pielikumā</w:t>
      </w:r>
      <w:r w:rsidRPr="0072439F">
        <w:rPr>
          <w:iCs/>
        </w:rPr>
        <w:t>.</w:t>
      </w:r>
    </w:p>
    <w:p w14:paraId="23388B72" w14:textId="038D0C84" w:rsidR="00403FCD" w:rsidRPr="007D2166" w:rsidRDefault="00403FCD" w:rsidP="00403FCD">
      <w:pPr>
        <w:pStyle w:val="Heading2"/>
        <w:numPr>
          <w:ilvl w:val="1"/>
          <w:numId w:val="4"/>
        </w:numPr>
        <w:tabs>
          <w:tab w:val="left" w:pos="851"/>
        </w:tabs>
        <w:spacing w:before="240"/>
        <w:ind w:left="714" w:hanging="357"/>
        <w:jc w:val="both"/>
        <w:rPr>
          <w:rFonts w:ascii="Times New Roman" w:eastAsia="Calibri" w:hAnsi="Times New Roman" w:cs="Times New Roman"/>
          <w:color w:val="0099CC"/>
          <w:sz w:val="26"/>
        </w:rPr>
      </w:pPr>
      <w:r>
        <w:rPr>
          <w:color w:val="0099CC"/>
          <w:sz w:val="26"/>
        </w:rPr>
        <w:lastRenderedPageBreak/>
        <w:t>Centralizēta zaudējumu atlīdzināšanas procesa ieviešanas riski</w:t>
      </w:r>
    </w:p>
    <w:p w14:paraId="455D6969" w14:textId="0CBDADBA" w:rsidR="00344A8D" w:rsidRDefault="00344A8D" w:rsidP="00906361">
      <w:pPr>
        <w:spacing w:before="80"/>
        <w:ind w:firstLine="709"/>
        <w:jc w:val="both"/>
      </w:pPr>
      <w:r>
        <w:t>Informatīvā ziņojuma izstrādes laikā, ņemot vērā Ģenerālprokuratūras, ārpakalpojuma sniedzēja un citu iesaistīto pušu sniegto informāciju gan tikšanos laikā, gan rakstveidā, tika identificēti zaudējumu atlīdzināšanas centralizācijas riski, kuriem informatīvā ziņojuma izstrādes laikā netika rasti risinājumi, tādēļ tiek piedāvāti arī alternatīvi risinājumi, kas varētu tikpat efektīvi veicināt zaudējumu atlīdzināšanas procesu un stiprināt publiskā pasūtītāja atbildību.</w:t>
      </w:r>
    </w:p>
    <w:p w14:paraId="2BA1A8A1" w14:textId="67E075A4" w:rsidR="00344A8D" w:rsidRPr="003E3457" w:rsidRDefault="00344A8D" w:rsidP="00906361">
      <w:pPr>
        <w:spacing w:before="80"/>
        <w:ind w:firstLine="709"/>
        <w:jc w:val="both"/>
      </w:pPr>
      <w:r>
        <w:t>K</w:t>
      </w:r>
      <w:r w:rsidRPr="003E3457">
        <w:t xml:space="preserve">ā norādīts </w:t>
      </w:r>
      <w:r>
        <w:t>informatīvā</w:t>
      </w:r>
      <w:r w:rsidRPr="003E3457">
        <w:t xml:space="preserve"> ziņojuma </w:t>
      </w:r>
      <w:r w:rsidRPr="003E3457">
        <w:fldChar w:fldCharType="begin"/>
      </w:r>
      <w:r w:rsidRPr="003E3457">
        <w:instrText xml:space="preserve"> REF _Ref90971926 \r \h </w:instrText>
      </w:r>
      <w:r w:rsidR="00906361">
        <w:instrText xml:space="preserve"> \* MERGEFORMAT </w:instrText>
      </w:r>
      <w:r w:rsidRPr="003E3457">
        <w:fldChar w:fldCharType="separate"/>
      </w:r>
      <w:r>
        <w:t>2</w:t>
      </w:r>
      <w:r w:rsidRPr="003E3457">
        <w:fldChar w:fldCharType="end"/>
      </w:r>
      <w:r w:rsidRPr="003E3457">
        <w:t>.</w:t>
      </w:r>
      <w:r>
        <w:t> no</w:t>
      </w:r>
      <w:r w:rsidRPr="003E3457">
        <w:t>daļ</w:t>
      </w:r>
      <w:r>
        <w:t>as ievaddaļā</w:t>
      </w:r>
      <w:r w:rsidRPr="003E3457">
        <w:t xml:space="preserve">, </w:t>
      </w:r>
      <w:r w:rsidRPr="00D32B34">
        <w:t>publiskas personas atbildība un pienākumi ir nodalāmi no centralizēta zaudējumu atlīdzināšanas mehānisma,</w:t>
      </w:r>
      <w:r w:rsidRPr="003E3457">
        <w:t xml:space="preserve"> t.i., tas neizslēdz publiskā pasūtītāja atbildību par to, ka tas neveic pasākumus zaudējumu atgūšanai. Nav pieļaujama situācija, kurā publiskajam pasūtītājam rodas nepamatota paļāvība, ka tas ir atbrīvots no normatīvajos aktos noteikto pienākumu veikšanas un atbildības, ja cits subjekts publiskā pasūtītāja vietā izvērtētu tam radušos zaudējumus, to apmēru un celtu prasību tiesā.</w:t>
      </w:r>
    </w:p>
    <w:p w14:paraId="73CEE6E7" w14:textId="774B9895" w:rsidR="00344A8D" w:rsidRDefault="00344A8D" w:rsidP="00906361">
      <w:pPr>
        <w:spacing w:before="80"/>
        <w:ind w:firstLine="709"/>
        <w:jc w:val="both"/>
      </w:pPr>
      <w:r w:rsidRPr="003E3457">
        <w:t xml:space="preserve">Proti, publiskās personas pienākums </w:t>
      </w:r>
      <w:r>
        <w:t xml:space="preserve">ir </w:t>
      </w:r>
      <w:r w:rsidRPr="003E3457">
        <w:t xml:space="preserve">būt aktīvai savu tiesību un pienākumu realizācijā, t.sk. </w:t>
      </w:r>
      <w:r>
        <w:t xml:space="preserve">pie noteiktiem apstākļiem </w:t>
      </w:r>
      <w:r w:rsidRPr="003E3457">
        <w:t xml:space="preserve">ceļot prasību par tai radītajiem zaudējumiem arī konkurences tiesību pārkāpumu gadījumos. Šo pienākumu nepildīšana var radīt pamatu vērsties pret pašu publiskās personas atbildīgo amatpersonu arī atbilstoši Krimināllikumam, ja ir iestājušās attiecīgas sekas. Ģenerālprokuratūra </w:t>
      </w:r>
      <w:r>
        <w:t xml:space="preserve">ir </w:t>
      </w:r>
      <w:r w:rsidRPr="003E3457">
        <w:t>norād</w:t>
      </w:r>
      <w:r>
        <w:t>ījusi</w:t>
      </w:r>
      <w:r w:rsidRPr="003E3457">
        <w:t>, ka tieši pats publiskais pasūtītājs ir viskompetentākais zaudējumu aprēķināšanā, jo šī persona slēdz līgumu par iepirkumu, nosakot tehniskās specifikācijas un citus būtiskus parametrus, kas veido līguma priekšmetu, tāpēc tieši publiskai personai, kura algo juristus un finanšu darbiniekus, ir jābūt spējīgai novērtēt un pamatot tai nodarīto zaudējumu apmērus.</w:t>
      </w:r>
      <w:r>
        <w:rPr>
          <w:rStyle w:val="FootnoteReference"/>
        </w:rPr>
        <w:footnoteReference w:id="32"/>
      </w:r>
      <w:r>
        <w:t xml:space="preserve"> Arī 23.12.2021. starpinstitūciju tikšanās laikā Ģenerālprokurors J. Stukāns norādīja, ka jāliek akcents uz publiskā pasūtītāja atbildību, veicot iepirkumu. Publiskā pasūtītāja atbildība ir jāstiprina, gan nepieļaujot zaudējumu rašanos, gan to rašanās gadījumā nosakot viennozīmīgu rīcību, piemēram, uzliekot par pienākumu izvērtēt zaudējumu prasības celšanas apmēru.</w:t>
      </w:r>
    </w:p>
    <w:p w14:paraId="637D1185" w14:textId="0FA0B8C2" w:rsidR="00344A8D" w:rsidRDefault="00344A8D" w:rsidP="00906361">
      <w:pPr>
        <w:spacing w:before="80"/>
        <w:ind w:firstLine="709"/>
        <w:jc w:val="both"/>
      </w:pPr>
      <w:r>
        <w:t>Uz nepieciešamību stimulēt pašus publiskos pasūtītājus vērsties tiesā ar zaudējumu atlīdzināšanas prasībām uzsvēra arī Valsts kontrole 07.01.2022. tikšanās laikā ar KP un EM pārstāvjiem. Tāpat rakstveidā sniegtajā viedoklī Valsts kontrole ir vērsusi uzmanību uz Likuma par budžetu un finanšu vadību 46. panta pirmajā daļā noteikto, ka b</w:t>
      </w:r>
      <w:r w:rsidRPr="00CC37CE">
        <w:t>udžeta finansētu institūciju, budžeta nefinansētu iestāžu un pašvaldību, kā arī kapitālsabiedrību, kurās ieguldīta valsts vai pašvaldību kapitāla daļa, vadītāji ir atbildīgi par budžeta līdzekļu efektīvu un ekonomisku izlietošanu atbilstoši paredzētajiem mērķiem</w:t>
      </w:r>
      <w:r>
        <w:t>.</w:t>
      </w:r>
    </w:p>
    <w:p w14:paraId="501600D8" w14:textId="77777777" w:rsidR="00344A8D" w:rsidRPr="007872B7" w:rsidRDefault="00344A8D" w:rsidP="00906361">
      <w:pPr>
        <w:spacing w:before="80"/>
        <w:ind w:firstLine="709"/>
        <w:jc w:val="both"/>
      </w:pPr>
      <w:r w:rsidRPr="007872B7">
        <w:t>Publiskas personas finanšu līdzekļu un mantas izšķērdēšanas novēršanas likuma 2.</w:t>
      </w:r>
      <w:r>
        <w:t> </w:t>
      </w:r>
      <w:r w:rsidRPr="007872B7">
        <w:t>panta pirmajā daļā paredzēts publiskas personas un kapitālsabiedrības pienākums rīkoties ar finanšu līdzekļiem atbilstoši normatīvajos aktos paredzētajiem mērķiem un noteiktajai kārtībai, savukārt minētā likuma 3.</w:t>
      </w:r>
      <w:r>
        <w:t> </w:t>
      </w:r>
      <w:r w:rsidRPr="007872B7">
        <w:t xml:space="preserve">pantā ir nostiprināts publiskas personas un kapitālsabiedrības pienākums rīkoties ar finanšu līdzekļiem tā, lai mērķi sasniegtu ar mazāko finanšu līdzekļu izlietojumu, kā arī pienākums mantu iegūt īpašumā vai lietošanā par izdevīgāko cenu. Publiskas personas finanšu līdzekļu un mantas izšķērdēšanas novēršanas likuma normu mērķis ir panākt, lai publiskas personas finanšu </w:t>
      </w:r>
      <w:r w:rsidRPr="007872B7">
        <w:lastRenderedPageBreak/>
        <w:t xml:space="preserve">līdzekļi un manta tiktu izmantota likumīgi un atbilstoši iedzīvotāju interesēm, kā arī novērst to izšķērdēšanu un nelietderīgu izmantošanu. </w:t>
      </w:r>
    </w:p>
    <w:p w14:paraId="772B3D06" w14:textId="77777777" w:rsidR="00344A8D" w:rsidRDefault="00344A8D" w:rsidP="00906361">
      <w:pPr>
        <w:spacing w:before="80"/>
        <w:ind w:firstLine="709"/>
        <w:jc w:val="both"/>
      </w:pPr>
      <w:r>
        <w:t xml:space="preserve">Ievērojot minēto un KL 21. panta pirmajā daļā noteikto, uzskatāms, ka </w:t>
      </w:r>
      <w:r w:rsidRPr="007872B7">
        <w:t>publiskajam pasūtītājam ir pienākums vērsties pret pārkāpēju konkurences tiesību pārkāpuma rezultātā radīto zaudējumu atgūšanai, ja vien nav konstatējami tādi konkrēti apstākļi, kuru dēļ vēršanās nav uzskatāma par juridiski adekvātu vai nav attaisnojama objektīvi novērtējamu sagaidāmo ieguvumu neesamības dēļ.</w:t>
      </w:r>
    </w:p>
    <w:p w14:paraId="50D11839" w14:textId="77777777" w:rsidR="00344A8D" w:rsidRPr="007872B7" w:rsidRDefault="00344A8D" w:rsidP="00906361">
      <w:pPr>
        <w:spacing w:before="80"/>
        <w:ind w:firstLine="709"/>
        <w:jc w:val="both"/>
      </w:pPr>
      <w:r w:rsidRPr="007872B7">
        <w:t>Proti, arī vēršanās publiskai personai piekrītošo zaudējumu atgūšanai uzskatāma par rīcību ar publiskas personas finanšu līdzekļiem, un arī šajā gadījumā vēršanās vai nevēršanās ar zaudējumu atlīdzināšanas prasību pret konkurences tiesību pārkāpēju, t.i., to zaudējumu piedziņai, kuri prezumēti likumā un kuru atgūšanas tiesības paredzētas likumā, uzskatāma par rīcību ar publiskas personas finanšu līdzekļiem.</w:t>
      </w:r>
      <w:r>
        <w:rPr>
          <w:rStyle w:val="FootnoteReference"/>
        </w:rPr>
        <w:footnoteReference w:id="33"/>
      </w:r>
    </w:p>
    <w:p w14:paraId="009B2518" w14:textId="77777777" w:rsidR="00344A8D" w:rsidRDefault="00344A8D" w:rsidP="00906361">
      <w:pPr>
        <w:spacing w:before="80"/>
        <w:ind w:firstLine="709"/>
        <w:jc w:val="both"/>
      </w:pPr>
      <w:r>
        <w:t>Krimināllikumam noteiktā atbildība novērš to, ka atbildīgās amatpersonas varētu izvairīties no citos normatīvajos aktos noteiktā pienākuma atgūt zaudējumus, vai apzinoties to, pat tīši nākotnē iesaistīties konkurences tiesību pārkāpumos un izšķērdēt publiskās personas finanšu līdzekļus.</w:t>
      </w:r>
    </w:p>
    <w:p w14:paraId="5AEAA9C9" w14:textId="35643D34" w:rsidR="00344A8D" w:rsidRDefault="00344A8D" w:rsidP="00906361">
      <w:pPr>
        <w:spacing w:before="80"/>
        <w:ind w:firstLine="709"/>
        <w:jc w:val="both"/>
      </w:pPr>
      <w:r>
        <w:t>Tādējādi primāri publiskā pasūtītāja pienākums ir veikt aktīvas darbības zaudējumu apmēra apzināšanai. Vienlaikus atzīstams, ka, ņemot vērā publisko pasūtītāju ierobežoto kompetenci un pieredzi šādu kategoriju lietās, tiem ir jāsniedz ne tikai metodiska palīdzība zaudējumu novērtēšanā un aprēķināšanā, bet arī jāmazina zaudējumu rašanās risks un jāatvieglo zaudējumu atlīdzināšanas process.</w:t>
      </w:r>
    </w:p>
    <w:p w14:paraId="618CB886" w14:textId="38774D55" w:rsidR="00546DEE" w:rsidRDefault="00546DEE" w:rsidP="00906361">
      <w:pPr>
        <w:spacing w:before="80"/>
        <w:ind w:firstLine="709"/>
        <w:jc w:val="both"/>
      </w:pPr>
      <w:r>
        <w:t xml:space="preserve">Vienlaikus jānorāda, ka </w:t>
      </w:r>
      <w:r w:rsidRPr="00546DEE">
        <w:t>publisk</w:t>
      </w:r>
      <w:r w:rsidR="00A863D1">
        <w:t>ie</w:t>
      </w:r>
      <w:r w:rsidRPr="00546DEE">
        <w:t xml:space="preserve"> p</w:t>
      </w:r>
      <w:r w:rsidR="00A863D1">
        <w:t>asūtītāji</w:t>
      </w:r>
      <w:r w:rsidRPr="00546DEE">
        <w:t xml:space="preserve"> praksē jau esošā </w:t>
      </w:r>
      <w:r>
        <w:t xml:space="preserve">tiesiskā regulējuma ietvaros </w:t>
      </w:r>
      <w:r w:rsidR="00A863D1" w:rsidRPr="00546DEE">
        <w:t>ir spējīg</w:t>
      </w:r>
      <w:r w:rsidR="00A863D1">
        <w:t>i</w:t>
      </w:r>
      <w:r w:rsidR="00A863D1" w:rsidRPr="00546DEE">
        <w:t xml:space="preserve"> </w:t>
      </w:r>
      <w:r w:rsidRPr="00546DEE">
        <w:t>zaudējumu atgūšanas proces</w:t>
      </w:r>
      <w:r>
        <w:t>ā</w:t>
      </w:r>
      <w:r w:rsidRPr="00546DEE">
        <w:t xml:space="preserve"> sagatavot un iesniegt prasību tiesā</w:t>
      </w:r>
      <w:r>
        <w:t xml:space="preserve">. </w:t>
      </w:r>
      <w:r w:rsidR="00F03A6F" w:rsidRPr="00F03A6F">
        <w:t xml:space="preserve">Lai </w:t>
      </w:r>
      <w:r w:rsidR="00A863D1">
        <w:t>arī</w:t>
      </w:r>
      <w:r w:rsidR="00F03A6F" w:rsidRPr="00F03A6F">
        <w:t xml:space="preserve"> līdz 2020.gadam šāda tendence n</w:t>
      </w:r>
      <w:r w:rsidR="00A863D1">
        <w:t>etika</w:t>
      </w:r>
      <w:r w:rsidR="00F03A6F" w:rsidRPr="00F03A6F">
        <w:t xml:space="preserve"> novērota, </w:t>
      </w:r>
      <w:r w:rsidR="00A863D1">
        <w:t xml:space="preserve">tomēr </w:t>
      </w:r>
      <w:r w:rsidR="00F03A6F" w:rsidRPr="00F03A6F">
        <w:t>sākot ar 202</w:t>
      </w:r>
      <w:r w:rsidR="00A863D1">
        <w:t>1</w:t>
      </w:r>
      <w:r w:rsidR="00F03A6F" w:rsidRPr="00F03A6F">
        <w:t>.gadu KP ir saņēmusi iesniegumus no publiskajām personām par dažādiem jautājumiem saistībā ar zaudējumu atlīdzināšanu, kas rad</w:t>
      </w:r>
      <w:r w:rsidR="00A863D1">
        <w:t>ušies</w:t>
      </w:r>
      <w:r w:rsidR="00F03A6F" w:rsidRPr="00F03A6F">
        <w:t xml:space="preserve"> konkurences tiesību pārkāpuma dēļ. Piemēram, 2022.gadā tika saņemti rakstiski iesniegumi no SIA “Rīgas Austrumu klīniskā universitātes slimnīca” (par solidāro atbildību), Nodarbinātības valsts aģentūras (par jēdziena “cietušais” saturu) un Liepājas speciālās ekonomiskās zonas pārvaldes (par 10% pārmaksas prezumpciju), savukārt 2023. gadā (līdz šim brīdim) – no Rīgas Tehniskās universitātes (par jēdziena “cietušais” saturu), Ventspils valstspilsētas pašvaldības (par 10% pārmaksas prezumpciju) un Gulbenes novada pašvaldības (par pārkāpuma ilgumu). Tāpat arī KP ir vairākkārt uzdoti jautājumi par tās 2021.gadā publicēto metodisko materiālu “Zaudējumu aprēķināšana un zaudējumu par konkurences tiesību pārkāpumu piedziņa”. Minētais līdz ar to kopumā liecina par pieaugošu interesi no publisko personu puses jautājumos par zaudējumu aprēķināšanu un piedziņu saistībā ar konkurences tiesību pārkāpumiem. Tāpat ir arī zināms, ka citas pašvaldības jau ir vērsušās tiesā, lai saņemtu zaudējumus un tos veiksmīgi ir arī saņēmušas (piemēram, Kuldīgas novada pašvaldības celtā prasība lietā Nr. C29380719, kurā atteikts ierosināt kasācijas tiesvedību). Papildus pirmajā instancē prasības apmierināšanu ir izdevies, piemēram, panākt arī Talsu novada pašvaldībai (lieta Nr. C75012722), AS “Latvijas valsts meži” (lieta Nr. C75014622) un citām.</w:t>
      </w:r>
      <w:r>
        <w:t xml:space="preserve"> Var secināt, ka pastāvošā prakse sāk mainīties, publiskie pasūtītāji ir kļuvuši aktīvāki rīcībā, kas nepieciešama </w:t>
      </w:r>
      <w:r w:rsidRPr="007872B7">
        <w:t>publiskai personai piekrītošo zaudējumu atgūšan</w:t>
      </w:r>
      <w:r>
        <w:t>as procesā.</w:t>
      </w:r>
      <w:r w:rsidR="00957C9A">
        <w:t xml:space="preserve"> </w:t>
      </w:r>
      <w:r w:rsidR="00A863D1">
        <w:t>Informatīvā</w:t>
      </w:r>
      <w:r w:rsidR="00642086">
        <w:t xml:space="preserve"> </w:t>
      </w:r>
      <w:r w:rsidR="00642086">
        <w:lastRenderedPageBreak/>
        <w:t>ziņojuma izstrādes laikā var konstatēt, ka, ņ</w:t>
      </w:r>
      <w:r w:rsidR="00957C9A">
        <w:t>emot vērā Ģenerālprokuratūras iniciatīvu</w:t>
      </w:r>
      <w:r w:rsidR="00137528">
        <w:rPr>
          <w:rStyle w:val="FootnoteReference"/>
        </w:rPr>
        <w:footnoteReference w:id="34"/>
      </w:r>
      <w:r w:rsidR="00957C9A">
        <w:t>, publiskie pasūtītāji šobrīd</w:t>
      </w:r>
      <w:r w:rsidR="00642086">
        <w:t xml:space="preserve"> intensīvāk</w:t>
      </w:r>
      <w:r w:rsidR="00957C9A">
        <w:t xml:space="preserve"> vēršas KP un konsultējas jautājumā par cietušā statusa piemērojamību KP konkrētā lēmuma kontekstā, ar mērķi noskaidrot arī zaudējuma kvantifikāciju.</w:t>
      </w:r>
    </w:p>
    <w:p w14:paraId="3215CE11" w14:textId="1E7F4FFD" w:rsidR="00934AFC" w:rsidRDefault="00934AFC">
      <w:pPr>
        <w:rPr>
          <w:sz w:val="24"/>
        </w:rPr>
      </w:pPr>
    </w:p>
    <w:p w14:paraId="7A4EA387" w14:textId="4266A517" w:rsidR="007D7024" w:rsidRDefault="00B1398A" w:rsidP="00CA4136">
      <w:pPr>
        <w:pStyle w:val="Heading1"/>
        <w:tabs>
          <w:tab w:val="left" w:pos="284"/>
        </w:tabs>
        <w:jc w:val="both"/>
        <w:rPr>
          <w:rFonts w:ascii="Times New Roman" w:hAnsi="Times New Roman" w:cs="Times New Roman"/>
          <w:color w:val="0099CC"/>
          <w:szCs w:val="24"/>
        </w:rPr>
      </w:pPr>
      <w:r>
        <w:rPr>
          <w:rFonts w:ascii="Times New Roman" w:hAnsi="Times New Roman" w:cs="Times New Roman"/>
          <w:color w:val="0099CC"/>
          <w:szCs w:val="24"/>
        </w:rPr>
        <w:t>Alternatīvi risinājumi aktīvākai publisko pasūtītāju iesaistei zaudējumu atgūšanā</w:t>
      </w:r>
    </w:p>
    <w:p w14:paraId="7F7634F3" w14:textId="49582440" w:rsidR="00906361" w:rsidRDefault="00906361" w:rsidP="004F6B7C">
      <w:pPr>
        <w:ind w:firstLine="709"/>
        <w:jc w:val="both"/>
      </w:pPr>
      <w:r>
        <w:t>Ņemot vērā 2.</w:t>
      </w:r>
      <w:r w:rsidR="00897724">
        <w:t>5</w:t>
      </w:r>
      <w:r>
        <w:t>.</w:t>
      </w:r>
      <w:r w:rsidR="00AF214E">
        <w:t>apakšnodaļ</w:t>
      </w:r>
      <w:r w:rsidR="003C2ECB">
        <w:t>ā</w:t>
      </w:r>
      <w:r>
        <w:t xml:space="preserve"> minētos apsvērumus, informatīvā ziņojuma izstrādes procesā tika apzināti arī citi alternatīvi risinājumi, kā veicināt publisko pasūtītāju aktīvāku iesaisti zaudējumu atgūšanā:</w:t>
      </w:r>
    </w:p>
    <w:p w14:paraId="178DB5A4" w14:textId="77777777" w:rsidR="00906361" w:rsidRDefault="00906361" w:rsidP="00906361">
      <w:pPr>
        <w:pStyle w:val="ListParagraph"/>
        <w:numPr>
          <w:ilvl w:val="0"/>
          <w:numId w:val="23"/>
        </w:numPr>
        <w:spacing w:after="40" w:line="259" w:lineRule="auto"/>
        <w:jc w:val="both"/>
      </w:pPr>
      <w:r>
        <w:t>mazinot zaudējumu rašanās risku, paredzot pušu tiesības un pienākumus līgumtiesiskajās attiecībās;</w:t>
      </w:r>
    </w:p>
    <w:p w14:paraId="327E026F" w14:textId="77777777" w:rsidR="00906361" w:rsidRDefault="00906361" w:rsidP="00906361">
      <w:pPr>
        <w:pStyle w:val="ListParagraph"/>
        <w:numPr>
          <w:ilvl w:val="0"/>
          <w:numId w:val="23"/>
        </w:numPr>
        <w:spacing w:after="40" w:line="259" w:lineRule="auto"/>
        <w:jc w:val="both"/>
      </w:pPr>
      <w:r>
        <w:t>atvieglojot zaudējumu atlīdzināšanas procesu, atbrīvojot prasītāju no tiesas izdevumu samaksas;</w:t>
      </w:r>
    </w:p>
    <w:p w14:paraId="1D1CD4AB" w14:textId="77777777" w:rsidR="00906361" w:rsidRDefault="00906361" w:rsidP="00906361">
      <w:pPr>
        <w:pStyle w:val="ListParagraph"/>
        <w:numPr>
          <w:ilvl w:val="0"/>
          <w:numId w:val="23"/>
        </w:numPr>
        <w:spacing w:after="40" w:line="259" w:lineRule="auto"/>
        <w:jc w:val="both"/>
      </w:pPr>
      <w:r>
        <w:rPr>
          <w:u w:val="single"/>
        </w:rPr>
        <w:t xml:space="preserve">nodrošinot </w:t>
      </w:r>
      <w:r w:rsidRPr="00250B04">
        <w:rPr>
          <w:u w:val="single"/>
        </w:rPr>
        <w:t xml:space="preserve">KP </w:t>
      </w:r>
      <w:r>
        <w:rPr>
          <w:u w:val="single"/>
        </w:rPr>
        <w:t xml:space="preserve">lielāku </w:t>
      </w:r>
      <w:r w:rsidRPr="009F242A">
        <w:rPr>
          <w:u w:val="single"/>
        </w:rPr>
        <w:t>iesaist</w:t>
      </w:r>
      <w:r>
        <w:rPr>
          <w:u w:val="single"/>
        </w:rPr>
        <w:t>i metodiskā atbalsta sniegšanā</w:t>
      </w:r>
      <w:r w:rsidRPr="009F242A">
        <w:rPr>
          <w:u w:val="single"/>
        </w:rPr>
        <w:t xml:space="preserve">, </w:t>
      </w:r>
      <w:r>
        <w:rPr>
          <w:u w:val="single"/>
        </w:rPr>
        <w:t xml:space="preserve">t.i., </w:t>
      </w:r>
      <w:r w:rsidRPr="00250B04">
        <w:rPr>
          <w:u w:val="single"/>
        </w:rPr>
        <w:t xml:space="preserve">sniedzot </w:t>
      </w:r>
      <w:r>
        <w:rPr>
          <w:u w:val="single"/>
        </w:rPr>
        <w:t>konsultācijas</w:t>
      </w:r>
      <w:r w:rsidRPr="009F242A">
        <w:rPr>
          <w:u w:val="single"/>
        </w:rPr>
        <w:t xml:space="preserve"> publiskajiem pasūtītājiem</w:t>
      </w:r>
      <w:r w:rsidRPr="00250B04">
        <w:rPr>
          <w:u w:val="single"/>
        </w:rPr>
        <w:t xml:space="preserve"> zaudējumu novērtēšanā un </w:t>
      </w:r>
      <w:r w:rsidRPr="009F242A">
        <w:rPr>
          <w:u w:val="single"/>
        </w:rPr>
        <w:t>aprēķināšanas metodes izvēlē</w:t>
      </w:r>
      <w:r>
        <w:rPr>
          <w:u w:val="single"/>
        </w:rPr>
        <w:t>.</w:t>
      </w:r>
    </w:p>
    <w:p w14:paraId="76176B73" w14:textId="77777777" w:rsidR="00906361" w:rsidRDefault="00906361" w:rsidP="00906361">
      <w:pPr>
        <w:spacing w:before="80"/>
        <w:ind w:firstLine="709"/>
        <w:jc w:val="both"/>
      </w:pPr>
    </w:p>
    <w:p w14:paraId="3C786B11" w14:textId="7B1B22A7" w:rsidR="00C31279" w:rsidRPr="00905BD3" w:rsidRDefault="002E05D8" w:rsidP="00905BD3">
      <w:pPr>
        <w:pStyle w:val="Heading2"/>
        <w:numPr>
          <w:ilvl w:val="1"/>
          <w:numId w:val="4"/>
        </w:numPr>
        <w:tabs>
          <w:tab w:val="left" w:pos="851"/>
        </w:tabs>
        <w:spacing w:before="240"/>
        <w:ind w:left="714" w:hanging="357"/>
        <w:jc w:val="both"/>
        <w:rPr>
          <w:rFonts w:ascii="Times New Roman" w:eastAsia="Calibri" w:hAnsi="Times New Roman" w:cs="Times New Roman"/>
          <w:color w:val="0099CC"/>
          <w:sz w:val="26"/>
        </w:rPr>
      </w:pPr>
      <w:r w:rsidRPr="00905BD3">
        <w:rPr>
          <w:color w:val="0099CC"/>
          <w:sz w:val="26"/>
        </w:rPr>
        <w:t>Pušu tiesību un pienākumu paredzēšana līgumtiesiskajās attiecībās</w:t>
      </w:r>
    </w:p>
    <w:p w14:paraId="71F75BA8" w14:textId="326A9EF3" w:rsidR="005831CD" w:rsidRDefault="00465A2A" w:rsidP="00905BD3">
      <w:pPr>
        <w:spacing w:before="80"/>
        <w:ind w:firstLine="709"/>
        <w:jc w:val="both"/>
      </w:pPr>
      <w:r>
        <w:t xml:space="preserve">Publisko pasūtītāju </w:t>
      </w:r>
      <w:r w:rsidRPr="005855B3">
        <w:t>izstrādātie iepirkuma līgumi nesatur regulējumu attiecībā uz pušu tiesībām un pienākumiem, ja tiek konstatēts konkurences tiesību pārkāpums</w:t>
      </w:r>
      <w:r w:rsidRPr="001944E2">
        <w:t>.</w:t>
      </w:r>
      <w:r>
        <w:t xml:space="preserve"> Šādā gadījumā publiskajam pasūtītājam līgumtiesisko attiecību ietvaros nav tiesības vērsties pret karteļa pārkāpuma dalībnieku, piemēram, piemērojot ieturējumu vai izmantojot citas garantijas vai apdrošināšanu.</w:t>
      </w:r>
    </w:p>
    <w:p w14:paraId="3F60A41F" w14:textId="4CBDE4B5" w:rsidR="00465A2A" w:rsidRDefault="00465A2A" w:rsidP="00C95CD2">
      <w:pPr>
        <w:spacing w:before="80"/>
        <w:ind w:firstLine="709"/>
        <w:jc w:val="both"/>
      </w:pPr>
      <w:bookmarkStart w:id="5" w:name="_Hlk94531370"/>
      <w:r>
        <w:t>Ņemot vērā iepriekš minēto, ir nepieciešams veicināt publiskā pasūtītāja izpratni par caurspīdīgu un efektīvu iepirkuma procesu, t.sk. uzsverot uz konkurences tiesību risku paredzēšanu iepirkumu līgumtiesiskajās attiecībās. Šo mērķu sasniegšanai</w:t>
      </w:r>
      <w:r w:rsidR="00BB7F20">
        <w:t xml:space="preserve"> papildus Iepirkumu uzraudzības biroja tīmekļvietnē</w:t>
      </w:r>
      <w:r>
        <w:t xml:space="preserve"> </w:t>
      </w:r>
      <w:r w:rsidR="00BB7F20">
        <w:t>jau pieejamajiem ieteikumiem pasūtītājiem par līgumā nosakam</w:t>
      </w:r>
      <w:r w:rsidR="00C95CD2">
        <w:t>ajām</w:t>
      </w:r>
      <w:r w:rsidR="00BB7F20">
        <w:t xml:space="preserve"> prasībām attiecībā uz pasūtītāja tiesībām vienpusēji atkāpties no līguma izpildes un veikt grozījumus publiska iepirkuma līgumā, t.sk. konkurences tiesību pārkāpumu gadījumos</w:t>
      </w:r>
      <w:r w:rsidR="00C95CD2">
        <w:t xml:space="preserve">, izvērtējama </w:t>
      </w:r>
      <w:bookmarkEnd w:id="5"/>
      <w:r>
        <w:t>būtu nepieciešamība izstrādāt priekšlikumus arī publisko iepirkumu līgumu regulējumam, kas varētu būt ietverts publisko iepirkumu reglamentējošajos normatīvajos aktos, atrunājot pušu tiesības un pienākumus konkurences tiesību pārkāpuma konstatēšanas gadījumā, kur, piemēram, konkurences tiesību risku neparedzēšana līgumtiesiskajās attiecībās varētu būt viens no apstākļiem, kas tiktu vērtēts, izvērtējot publiskās personas iespējamo atbildību par bezdarbību, neveicot tam normatīvajos aktos noteiktos pienākumus.</w:t>
      </w:r>
    </w:p>
    <w:p w14:paraId="058B8A77" w14:textId="6F8D173B" w:rsidR="00905BD3" w:rsidRPr="00905BD3" w:rsidRDefault="00905BD3" w:rsidP="00905BD3">
      <w:pPr>
        <w:pStyle w:val="Heading2"/>
        <w:numPr>
          <w:ilvl w:val="1"/>
          <w:numId w:val="4"/>
        </w:numPr>
        <w:tabs>
          <w:tab w:val="left" w:pos="851"/>
        </w:tabs>
        <w:spacing w:before="240"/>
        <w:ind w:left="714" w:hanging="357"/>
        <w:jc w:val="both"/>
        <w:rPr>
          <w:rFonts w:ascii="Times New Roman" w:eastAsia="Calibri" w:hAnsi="Times New Roman" w:cs="Times New Roman"/>
          <w:color w:val="0099CC"/>
          <w:sz w:val="26"/>
        </w:rPr>
      </w:pPr>
      <w:r w:rsidRPr="00905BD3">
        <w:rPr>
          <w:color w:val="0099CC"/>
          <w:sz w:val="26"/>
        </w:rPr>
        <w:lastRenderedPageBreak/>
        <w:t>P</w:t>
      </w:r>
      <w:r>
        <w:rPr>
          <w:color w:val="0099CC"/>
          <w:sz w:val="26"/>
        </w:rPr>
        <w:t>rasītāja atbrīvošana no tiesas izdevumu samaksas</w:t>
      </w:r>
    </w:p>
    <w:p w14:paraId="395D2094" w14:textId="2B1FA8E2" w:rsidR="00905BD3" w:rsidRDefault="00905BD3" w:rsidP="00F20859">
      <w:pPr>
        <w:spacing w:before="80"/>
        <w:ind w:firstLine="709"/>
        <w:jc w:val="both"/>
      </w:pPr>
      <w:r>
        <w:t>Ģenerālprokuratūra norāda, ka, lai atvieglotu finansiālo slogu prasību celšanā, nav izvērtētas iespējas grozījumu izdarīšanai CPL, paredzot, ka lietās par zaudējumu piedziņu, kas izriet no KL pārkāpumiem, prasītājs būtu atbrīvojams no valsts nodevas samaksas, kā tas ir attiecībā uz prokuratūras sniegtajām prasībām (CPL 43. pants).</w:t>
      </w:r>
      <w:r>
        <w:rPr>
          <w:rStyle w:val="FootnoteReference"/>
        </w:rPr>
        <w:footnoteReference w:id="35"/>
      </w:r>
    </w:p>
    <w:p w14:paraId="789EAE2E" w14:textId="347E1221" w:rsidR="00905BD3" w:rsidRDefault="00905BD3" w:rsidP="00F20859">
      <w:pPr>
        <w:spacing w:before="80"/>
        <w:ind w:firstLine="709"/>
        <w:jc w:val="both"/>
      </w:pPr>
      <w:r>
        <w:t>Izvērtējot CPL 43. panta pirmajā daļā noteiktos izņēmumus no vispārīgiem noteikumiem par tiesas izdevumiem, izdarāms secinājums, ka no tiesas izdevumu samaksas valsts ienākumos atbrīvoti mazāk aizsargātie prasītāji un pieteikuma iesniedzēji (piemēram, prasībās, kas izriet no darba tiesiskajām attiecībām</w:t>
      </w:r>
      <w:r>
        <w:rPr>
          <w:rStyle w:val="FootnoteReference"/>
        </w:rPr>
        <w:footnoteReference w:id="36"/>
      </w:r>
      <w:r>
        <w:t>; prasībās, kas izriet no personiskiem aizskārumiem</w:t>
      </w:r>
      <w:r>
        <w:rPr>
          <w:rStyle w:val="FootnoteReference"/>
        </w:rPr>
        <w:footnoteReference w:id="37"/>
      </w:r>
      <w:r>
        <w:t>, vai par noziedzīga nodarījuma vai administratīvā pārkāpuma rezultātā radušos zaudējumu un nemantiskā kaitējuma atlīdzināšanu</w:t>
      </w:r>
      <w:r>
        <w:rPr>
          <w:rStyle w:val="FootnoteReference"/>
        </w:rPr>
        <w:footnoteReference w:id="38"/>
      </w:r>
      <w:r>
        <w:t>; prasībās par uzturlīdzekļiem</w:t>
      </w:r>
      <w:r>
        <w:rPr>
          <w:rStyle w:val="FootnoteReference"/>
        </w:rPr>
        <w:footnoteReference w:id="39"/>
      </w:r>
      <w:r>
        <w:t xml:space="preserve"> un aizgādnību</w:t>
      </w:r>
      <w:r>
        <w:rPr>
          <w:rStyle w:val="FootnoteReference"/>
        </w:rPr>
        <w:footnoteReference w:id="40"/>
      </w:r>
      <w:r>
        <w:t xml:space="preserve"> u.tml.), kā arī, piemēram, prokurori, tās valsts un pašvaldību iestādes, kurām ar likumu piešķirtas tiesības aizstāvēt tiesā citu personu tiesības un ar likumu aizsargātās intereses</w:t>
      </w:r>
      <w:r>
        <w:rPr>
          <w:rStyle w:val="FootnoteReference"/>
        </w:rPr>
        <w:footnoteReference w:id="41"/>
      </w:r>
      <w:r>
        <w:t>; piedzinēji izpildu lietās par piedziņām valsts ienākumos</w:t>
      </w:r>
      <w:r>
        <w:rPr>
          <w:rStyle w:val="FootnoteReference"/>
        </w:rPr>
        <w:footnoteReference w:id="42"/>
      </w:r>
      <w:r>
        <w:t xml:space="preserve"> un atsevišķās prasībās arī iestādes, kas rīkojas valsts, pašvaldības un sabiedrības interesēs</w:t>
      </w:r>
      <w:r>
        <w:rPr>
          <w:rStyle w:val="FootnoteReference"/>
        </w:rPr>
        <w:footnoteReference w:id="43"/>
      </w:r>
      <w:r>
        <w:t>.</w:t>
      </w:r>
    </w:p>
    <w:p w14:paraId="328730DB" w14:textId="0BB75841" w:rsidR="00825010" w:rsidRDefault="00825010" w:rsidP="00F20859">
      <w:pPr>
        <w:spacing w:before="80"/>
        <w:ind w:firstLine="709"/>
        <w:jc w:val="both"/>
      </w:pPr>
      <w:r>
        <w:t xml:space="preserve">Izvērtējot minētos izņēmumus un ņemot vērā to, ka </w:t>
      </w:r>
      <w:r w:rsidRPr="001B5AB3">
        <w:t>karteļa vienošanās pārkāpuma gadījumā tiek nodarīts kaitējums likumā noteikto valsts vai pašvaldības tiesību un interešu aizsardzībai, jo publisko iepirkumu līgumu finansēšanai tiek novirzīta būtiska valsts</w:t>
      </w:r>
      <w:r>
        <w:t>, pašvaldību vai pat Eiropas Savienības</w:t>
      </w:r>
      <w:r w:rsidRPr="001B5AB3">
        <w:t xml:space="preserve"> budžeta daļa – publiskā sektora līdzekļi, kas ir visas sabiedrības nodokļu maksātāju nauda, un pārkāpuma rezultātā pārmaksāto naudas līdzekļu atgūšana ir visas sabiedrības interesēs</w:t>
      </w:r>
      <w:r>
        <w:t>, izvērtējama ir nepieciešamība CPL 43. panta pirmajā noteikt, ka prasītājs – publiskais pasūtītājs (vai persona, kura ceļ prasību publiska pasūtītāja vietā) – kurš ir cietis konkurences tiesību pārkāpuma rezultātā, ir atbrīvots no tiesas izdevumu samaksas (valsts nodevas samaksas). Šāds izņēmums būtu pamatojams ar valsts un sabiedrības interesēm un minētā iemesla dēļ būtu pieļaujama atšķirīga attieksme pret publiskajām personām, salīdzinot tās ar privātpersonām, kurām konkurences tiesību pārkāpuma rezultātā ir radies zaudējums. Atbrīvojums no tiesas izdevumu samaksas mazinātu finanšu slogu publiskajam pasūtītājam vai atbildīgai iestādei, kurai būtu piešķirta kompetence īstenot centralizētu zaudējumu atgūšanu publisko personu vārdā par īstenotajiem konkurences tiesību pārkāpumiem.</w:t>
      </w:r>
    </w:p>
    <w:p w14:paraId="7AA062E5" w14:textId="53166BEE" w:rsidR="00905BD3" w:rsidRPr="00905BD3" w:rsidRDefault="00A26841" w:rsidP="00905BD3">
      <w:pPr>
        <w:pStyle w:val="Heading2"/>
        <w:numPr>
          <w:ilvl w:val="1"/>
          <w:numId w:val="4"/>
        </w:numPr>
        <w:tabs>
          <w:tab w:val="left" w:pos="851"/>
        </w:tabs>
        <w:spacing w:before="240"/>
        <w:jc w:val="both"/>
        <w:rPr>
          <w:rFonts w:ascii="Times New Roman" w:eastAsia="Calibri" w:hAnsi="Times New Roman" w:cs="Times New Roman"/>
          <w:color w:val="0099CC"/>
          <w:sz w:val="26"/>
        </w:rPr>
      </w:pPr>
      <w:r>
        <w:rPr>
          <w:color w:val="0099CC"/>
          <w:sz w:val="26"/>
        </w:rPr>
        <w:lastRenderedPageBreak/>
        <w:t>KP iesaiste metodiskā atbalsta sniegšanā</w:t>
      </w:r>
    </w:p>
    <w:p w14:paraId="1FD306DF" w14:textId="15C67355" w:rsidR="00905BD3" w:rsidRDefault="009F0399" w:rsidP="00465A2A">
      <w:pPr>
        <w:ind w:firstLine="709"/>
        <w:jc w:val="both"/>
      </w:pPr>
      <w:r>
        <w:t>Zaudējumu atgūšanas veicināšanā būtiska loma varētu būt arī KP, sniedzot metodisko atbalstu. Vienlaikus ar šādas papildu kompetences uzņemšanos ir identificēti vairāki riski</w:t>
      </w:r>
      <w:r w:rsidR="00BC57FB">
        <w:t xml:space="preserve"> </w:t>
      </w:r>
      <w:r w:rsidR="00BC57FB" w:rsidRPr="00E01BAD">
        <w:t>(</w:t>
      </w:r>
      <w:r w:rsidR="00BC57FB" w:rsidRPr="00E01BAD">
        <w:rPr>
          <w:i/>
          <w:iCs/>
        </w:rPr>
        <w:t xml:space="preserve">skatīt </w:t>
      </w:r>
      <w:r w:rsidR="00BE4C15" w:rsidRPr="00E01BAD">
        <w:rPr>
          <w:i/>
          <w:iCs/>
        </w:rPr>
        <w:t>3</w:t>
      </w:r>
      <w:r w:rsidR="00BC57FB" w:rsidRPr="00E01BAD">
        <w:rPr>
          <w:i/>
          <w:iCs/>
        </w:rPr>
        <w:t>.pielikumu</w:t>
      </w:r>
      <w:r w:rsidR="00BC57FB" w:rsidRPr="00E01BAD">
        <w:t>)</w:t>
      </w:r>
      <w:r w:rsidRPr="00E01BAD">
        <w:t>.</w:t>
      </w:r>
      <w:r>
        <w:t xml:space="preserve"> Minētais saistīts ar nepieciešamību nodrošināt konkurences iestādes neatkarību izmeklēšanas laikā un, piemēram, arī iecietības programmas</w:t>
      </w:r>
      <w:r w:rsidR="007E5E9A">
        <w:t xml:space="preserve"> efektivitāti.</w:t>
      </w:r>
      <w:r w:rsidR="0003201A">
        <w:t xml:space="preserve"> Tomēr iepriekš informatīvajā ziņojumā minētās bažas var mazināt, ja ti</w:t>
      </w:r>
      <w:r w:rsidR="00CE63C7">
        <w:t>e</w:t>
      </w:r>
      <w:r w:rsidR="0003201A">
        <w:t>k nodrošināts, ka metodisko atbalstu zaudējumu atlīdzināšanas procesā sniedz atsevišķa</w:t>
      </w:r>
      <w:r w:rsidR="0003201A" w:rsidRPr="00211014">
        <w:t>, no iestādes pamatfunkcijām nošķirta struktūrvienība</w:t>
      </w:r>
      <w:r w:rsidR="00CE63C7">
        <w:t>.</w:t>
      </w:r>
    </w:p>
    <w:p w14:paraId="0CA2AB8C" w14:textId="53DD7583" w:rsidR="009F44CC" w:rsidRPr="00E117A6" w:rsidRDefault="009F44CC" w:rsidP="005B1BB3">
      <w:pPr>
        <w:spacing w:before="80"/>
        <w:ind w:firstLine="709"/>
        <w:jc w:val="both"/>
      </w:pPr>
      <w:r>
        <w:t xml:space="preserve">Norādāms, ka </w:t>
      </w:r>
      <w:r w:rsidRPr="00237119">
        <w:t xml:space="preserve">KP kompetence un pilnvaras </w:t>
      </w:r>
      <w:r>
        <w:t xml:space="preserve">ir </w:t>
      </w:r>
      <w:r w:rsidRPr="00237119">
        <w:t>noteiktas KL II nodaļā “Konkurences padome”</w:t>
      </w:r>
      <w:r>
        <w:t xml:space="preserve"> (</w:t>
      </w:r>
      <w:r w:rsidRPr="00237119">
        <w:t>6.-9.</w:t>
      </w:r>
      <w:r>
        <w:t> </w:t>
      </w:r>
      <w:r w:rsidRPr="00237119">
        <w:t>pant</w:t>
      </w:r>
      <w:r>
        <w:t>ā), tādēļ, lai nodrošinātu, ka KP sniedz metodisko atbalstu zaudējumu atlīdzināšanas procesā, n</w:t>
      </w:r>
      <w:r w:rsidRPr="00237119">
        <w:t xml:space="preserve">ormatīvais regulējums </w:t>
      </w:r>
      <w:r>
        <w:t>būtu papildināms</w:t>
      </w:r>
      <w:r w:rsidRPr="00237119">
        <w:t xml:space="preserve"> ar KP konsultēšanas </w:t>
      </w:r>
      <w:r>
        <w:t xml:space="preserve">vai atzinuma (konsultācijas un zaudējumu aprēķins) </w:t>
      </w:r>
      <w:r w:rsidRPr="00237119">
        <w:t>cietušajām personām sniegšanas funkciju</w:t>
      </w:r>
      <w:r>
        <w:t>, savukārt KP nolikumā būtu nosakāma KP struktūra un struktūrvienības kompetence funkcijas īstenošanā.</w:t>
      </w:r>
    </w:p>
    <w:p w14:paraId="21C078D1" w14:textId="45C4E97E" w:rsidR="009F44CC" w:rsidRDefault="009F44CC" w:rsidP="005B1BB3">
      <w:pPr>
        <w:spacing w:before="80"/>
        <w:ind w:firstLine="709"/>
        <w:jc w:val="both"/>
      </w:pPr>
      <w:r w:rsidRPr="009A2CC9">
        <w:t xml:space="preserve">KP iesaiste metodiskā atbalsta sniegšanā </w:t>
      </w:r>
      <w:r w:rsidR="00552C3A" w:rsidRPr="009A2CC9">
        <w:t xml:space="preserve">teorētiski </w:t>
      </w:r>
      <w:r w:rsidRPr="009A2CC9">
        <w:t>var izpausties dažādos veidos, tādēļ informatīvajā ziņojumā  turpmāk tiks piedāvāts un aprakstīts visoptimālākais</w:t>
      </w:r>
      <w:r w:rsidR="00552C3A" w:rsidRPr="009A2CC9">
        <w:t xml:space="preserve"> risinājums, </w:t>
      </w:r>
      <w:r w:rsidR="009A2CC9">
        <w:t xml:space="preserve">kas </w:t>
      </w:r>
      <w:r w:rsidR="00552C3A" w:rsidRPr="009A2CC9">
        <w:t>nodrošin</w:t>
      </w:r>
      <w:r w:rsidR="009A2CC9">
        <w:t>a</w:t>
      </w:r>
      <w:r w:rsidR="00552C3A" w:rsidRPr="009A2CC9">
        <w:t xml:space="preserve"> pēc iespējas lielāku</w:t>
      </w:r>
      <w:r w:rsidR="00552C3A">
        <w:t xml:space="preserve"> iestādes metodisko atbalstu publiskajam pasūtītājam zaudējumu apmēra </w:t>
      </w:r>
      <w:r w:rsidR="009A2CC9">
        <w:t xml:space="preserve">apzināšanā un vienlaikus </w:t>
      </w:r>
      <w:r w:rsidR="009A2CC9" w:rsidRPr="00E01BAD">
        <w:t xml:space="preserve">mazina </w:t>
      </w:r>
      <w:r w:rsidR="006D2E16" w:rsidRPr="00E01BAD">
        <w:rPr>
          <w:i/>
          <w:iCs/>
        </w:rPr>
        <w:t>3</w:t>
      </w:r>
      <w:r w:rsidR="009A2CC9" w:rsidRPr="00E01BAD">
        <w:rPr>
          <w:i/>
          <w:iCs/>
        </w:rPr>
        <w:t>.pielikumā</w:t>
      </w:r>
      <w:r w:rsidR="009A2CC9" w:rsidRPr="005B1BB3">
        <w:rPr>
          <w:i/>
          <w:iCs/>
        </w:rPr>
        <w:t xml:space="preserve"> </w:t>
      </w:r>
      <w:r w:rsidR="009A2CC9">
        <w:t>minētos riskus.</w:t>
      </w:r>
    </w:p>
    <w:p w14:paraId="132AB096" w14:textId="77777777" w:rsidR="00F17A1D" w:rsidRDefault="00F17A1D" w:rsidP="005B1BB3">
      <w:pPr>
        <w:spacing w:before="80"/>
        <w:ind w:firstLine="709"/>
        <w:jc w:val="both"/>
      </w:pPr>
      <w:r w:rsidRPr="00216A46">
        <w:t xml:space="preserve">KP </w:t>
      </w:r>
      <w:r>
        <w:t xml:space="preserve">jau </w:t>
      </w:r>
      <w:r w:rsidRPr="00216A46">
        <w:t>ir izstrādājusi metodisko materiālu zaudējumu aprēķināšanai, kas ietver detalizētāku skaidrojumu par zaudējumu aprēķināšanas problemātiku konkurences pārkāpumu gadījumos</w:t>
      </w:r>
      <w:r>
        <w:t>. Šis metodiskais materiāls ir sagatavots, lai veicinātu prasību par zaudējumu atlīdzināšanu no valsts iestāžu un to kapitālsabiedrību puses konkurences tiesību pārkāpumu gadījumos un ir sagatavots kā vispārīgs, nesaistošs un noderīgs ceļvedis.</w:t>
      </w:r>
      <w:r w:rsidRPr="00216A46">
        <w:rPr>
          <w:vertAlign w:val="superscript"/>
        </w:rPr>
        <w:footnoteReference w:id="44"/>
      </w:r>
      <w:r>
        <w:t xml:space="preserve"> Tādējādi KP varētu sniegt papildu atbalstu, sniedzot konsultācijas - skaidrojot šo </w:t>
      </w:r>
      <w:r w:rsidRPr="00BE774C">
        <w:rPr>
          <w:u w:val="single"/>
        </w:rPr>
        <w:t xml:space="preserve">metodisko </w:t>
      </w:r>
      <w:r w:rsidRPr="00250B04">
        <w:rPr>
          <w:u w:val="single"/>
        </w:rPr>
        <w:t>materiālu</w:t>
      </w:r>
      <w:r w:rsidRPr="00BE774C">
        <w:rPr>
          <w:u w:val="single"/>
        </w:rPr>
        <w:t xml:space="preserve"> kontekstā </w:t>
      </w:r>
      <w:r w:rsidRPr="00250B04">
        <w:rPr>
          <w:u w:val="single"/>
        </w:rPr>
        <w:t>ar konkrētās lietas apstākļiem</w:t>
      </w:r>
      <w:r>
        <w:t>.</w:t>
      </w:r>
    </w:p>
    <w:p w14:paraId="05A3A9A0" w14:textId="329A5C17" w:rsidR="00362087" w:rsidRPr="00F25DE8" w:rsidRDefault="00362087" w:rsidP="005B1BB3">
      <w:pPr>
        <w:spacing w:before="80"/>
        <w:ind w:firstLine="709"/>
        <w:jc w:val="both"/>
      </w:pPr>
      <w:r>
        <w:t xml:space="preserve">Pēc publiskā pasūtītāja lūguma </w:t>
      </w:r>
      <w:r w:rsidRPr="00746B7D">
        <w:t xml:space="preserve">KP varētu </w:t>
      </w:r>
      <w:r w:rsidRPr="00746B7D">
        <w:rPr>
          <w:u w:val="single"/>
        </w:rPr>
        <w:t>iesaistīties arī zaudējumu aprēķināšanā</w:t>
      </w:r>
      <w:r w:rsidRPr="00746B7D">
        <w:t>.</w:t>
      </w:r>
      <w:r>
        <w:t xml:space="preserve"> Tas nozīmē, ka KP snie</w:t>
      </w:r>
      <w:r w:rsidR="00746B7D">
        <w:t>gtu</w:t>
      </w:r>
      <w:r>
        <w:t xml:space="preserve"> ne tikai </w:t>
      </w:r>
      <w:r w:rsidRPr="00F25DE8">
        <w:t>konsultācijas publiskajiem pasūtītājiem zaudējumu novērtēšanas aprēķinos un aprēķināšanas metodes izvēlē (teorētiskas pieejas konsultēšana)</w:t>
      </w:r>
      <w:r>
        <w:t>, bet arī vei</w:t>
      </w:r>
      <w:r w:rsidR="00746B7D">
        <w:t>ktu</w:t>
      </w:r>
      <w:r>
        <w:t xml:space="preserve"> </w:t>
      </w:r>
      <w:r w:rsidRPr="00F25DE8">
        <w:t>radīto zaudējumu aprēķināšan</w:t>
      </w:r>
      <w:r>
        <w:t>u</w:t>
      </w:r>
      <w:r w:rsidRPr="00F25DE8">
        <w:t xml:space="preserve"> </w:t>
      </w:r>
      <w:r>
        <w:t xml:space="preserve">publiskajam pasūtītājam </w:t>
      </w:r>
      <w:r w:rsidRPr="00F25DE8">
        <w:t>prasības pieteikuma iesniegšanai tiesā (kalkulācija)</w:t>
      </w:r>
      <w:r w:rsidR="0046282D">
        <w:t>.</w:t>
      </w:r>
      <w:r>
        <w:t xml:space="preserve"> </w:t>
      </w:r>
      <w:r w:rsidR="0046282D">
        <w:rPr>
          <w:u w:val="single"/>
        </w:rPr>
        <w:t>Š</w:t>
      </w:r>
      <w:r w:rsidRPr="00746B7D">
        <w:rPr>
          <w:u w:val="single"/>
        </w:rPr>
        <w:t>ī funkcija ir jānošķir no administratīvā procesa ietvaros veiktas konkurences tiesību pārkāpumu izmeklēšanas</w:t>
      </w:r>
      <w:r w:rsidR="00746B7D">
        <w:rPr>
          <w:u w:val="single"/>
        </w:rPr>
        <w:t xml:space="preserve"> (izveidojot atsevišķu struktūrvienību</w:t>
      </w:r>
      <w:r w:rsidR="00C9340C">
        <w:rPr>
          <w:rStyle w:val="FootnoteReference"/>
          <w:u w:val="single"/>
        </w:rPr>
        <w:footnoteReference w:id="45"/>
      </w:r>
      <w:r w:rsidR="00746B7D">
        <w:rPr>
          <w:u w:val="single"/>
        </w:rPr>
        <w:t>)</w:t>
      </w:r>
      <w:r>
        <w:t xml:space="preserve">, pamatojoties uz iepriekš </w:t>
      </w:r>
      <w:r w:rsidR="00746B7D">
        <w:t xml:space="preserve">informatīvajā </w:t>
      </w:r>
      <w:r w:rsidRPr="00E01BAD">
        <w:t xml:space="preserve">ziņojumā </w:t>
      </w:r>
      <w:r w:rsidR="00746B7D" w:rsidRPr="00E01BAD">
        <w:t>(</w:t>
      </w:r>
      <w:r w:rsidR="006D2E16" w:rsidRPr="00E01BAD">
        <w:t>3</w:t>
      </w:r>
      <w:r w:rsidR="00746B7D" w:rsidRPr="00E01BAD">
        <w:t>.pielikumā)</w:t>
      </w:r>
      <w:r w:rsidR="00746B7D">
        <w:t xml:space="preserve"> </w:t>
      </w:r>
      <w:r>
        <w:t>norādītajiem riskiem. Būtiski, ka n</w:t>
      </w:r>
      <w:r w:rsidRPr="00996911">
        <w:t>etiek izmantoti KP administratīvās lietas ietvaros iegūtie materiāli</w:t>
      </w:r>
      <w:r>
        <w:t>, ņemot vērā interešu konfliktu – objektīvās izmeklēšanas principu.</w:t>
      </w:r>
    </w:p>
    <w:p w14:paraId="2032F6DB" w14:textId="5DC5C86B" w:rsidR="00426B83" w:rsidRDefault="00C9340C" w:rsidP="00ED7C3B">
      <w:pPr>
        <w:spacing w:before="80"/>
        <w:ind w:firstLine="709"/>
        <w:jc w:val="both"/>
      </w:pPr>
      <w:r>
        <w:lastRenderedPageBreak/>
        <w:t>I</w:t>
      </w:r>
      <w:r w:rsidR="00362087">
        <w:t>zveido</w:t>
      </w:r>
      <w:r>
        <w:t>jo</w:t>
      </w:r>
      <w:r w:rsidR="00362087">
        <w:t xml:space="preserve">t atsevišķu, no iestādes pamatfunkcijām nošķirtu struktūrvienību, KP priekšsēdētājs īstenotu </w:t>
      </w:r>
      <w:r w:rsidR="00B76A4A" w:rsidRPr="00F14F83">
        <w:t xml:space="preserve">institucionālo </w:t>
      </w:r>
      <w:r w:rsidR="00362087" w:rsidRPr="00F14F83">
        <w:t>padotību pārraudzības formā pār struktūrvienību, neiesaistoties atzinuma sniegšanā un tā saturā pēc būtības, tajā pat laikā saglabājot VPIL, KL un KP nolikumā noteiktās iestādes administratīvā darba vadīšanas funkcijas.</w:t>
      </w:r>
      <w:r w:rsidR="006A6E89" w:rsidRPr="00F14F83">
        <w:t xml:space="preserve"> Tādējādi</w:t>
      </w:r>
      <w:r w:rsidR="00D37870" w:rsidRPr="00F14F83">
        <w:t xml:space="preserve"> </w:t>
      </w:r>
      <w:r w:rsidR="00435E2F" w:rsidRPr="00F14F83">
        <w:t>KP jaunās struktūrvienības funkcija izpau</w:t>
      </w:r>
      <w:r w:rsidR="008411DE" w:rsidRPr="00F14F83">
        <w:t>stos</w:t>
      </w:r>
      <w:r w:rsidR="00435E2F" w:rsidRPr="00F14F83">
        <w:t xml:space="preserve"> kā metodiskā atbalsta sniegšan</w:t>
      </w:r>
      <w:r w:rsidR="00B76A4A" w:rsidRPr="00F14F83">
        <w:t>a</w:t>
      </w:r>
      <w:r w:rsidR="00435E2F" w:rsidRPr="00F14F83">
        <w:t xml:space="preserve"> publiskām personām zaudējumu atlīdzināšanas procesa ietvaros</w:t>
      </w:r>
      <w:r w:rsidR="006A6E89" w:rsidRPr="00F14F83">
        <w:t xml:space="preserve"> un tā</w:t>
      </w:r>
      <w:r w:rsidR="00435E2F" w:rsidRPr="00F14F83">
        <w:t xml:space="preserve"> </w:t>
      </w:r>
      <w:r w:rsidR="006A6E89" w:rsidRPr="00F14F83">
        <w:t>atrastos</w:t>
      </w:r>
      <w:r w:rsidR="00435E2F" w:rsidRPr="00F14F83">
        <w:t xml:space="preserve"> institucionāl</w:t>
      </w:r>
      <w:r w:rsidR="006A6E89" w:rsidRPr="00F14F83">
        <w:t>ā</w:t>
      </w:r>
      <w:r w:rsidR="00435E2F" w:rsidRPr="00F14F83">
        <w:t>, bet ne funkcionāl</w:t>
      </w:r>
      <w:r w:rsidR="006A6E89" w:rsidRPr="00F14F83">
        <w:t>ā</w:t>
      </w:r>
      <w:r w:rsidR="00435E2F">
        <w:t xml:space="preserve"> padot</w:t>
      </w:r>
      <w:r w:rsidR="006A6E89">
        <w:t>ībā</w:t>
      </w:r>
      <w:r w:rsidR="00435E2F">
        <w:t xml:space="preserve"> KP priekšsēdētājam. KP jaunās struktūrvienības funkcionālā neatkarība ir veidota ar mērķi nodrošināt sniegtā atbalsta publiskajām personām objektivitāti, kā arī nepieļaut KP pamatfunkciju (konkurences pārkāpumu lietu izmeklēšanu) saplūšanu ar zaudējumu prasību celšanu tiesā, jo tas apdraudētu iecietības programmas efektivitāti un samazinātu tirgus dalībnieku vēlmi sadarboties ar KP.</w:t>
      </w:r>
      <w:r w:rsidR="00435E2F" w:rsidRPr="008A28E7">
        <w:t xml:space="preserve"> </w:t>
      </w:r>
    </w:p>
    <w:p w14:paraId="04151899" w14:textId="4937221A" w:rsidR="00435E2F" w:rsidRDefault="00435E2F" w:rsidP="00435E2F">
      <w:pPr>
        <w:spacing w:before="80"/>
        <w:ind w:firstLine="709"/>
        <w:jc w:val="both"/>
      </w:pPr>
      <w:r w:rsidRPr="008A28E7">
        <w:t>Ja publiskā persona izteiktu lūgumu</w:t>
      </w:r>
      <w:r w:rsidR="00B76A4A">
        <w:t xml:space="preserve"> sniegt atbalstu zaudējumu novērtēšanā un aprēķināšanā</w:t>
      </w:r>
      <w:r w:rsidRPr="008A28E7">
        <w:t xml:space="preserve">, tad KP </w:t>
      </w:r>
      <w:r w:rsidR="00B76A4A">
        <w:t>šādu atbalstu sniegtu</w:t>
      </w:r>
      <w:r w:rsidRPr="008A28E7">
        <w:t xml:space="preserve">, lai publiskā persona varētu </w:t>
      </w:r>
      <w:r w:rsidR="00B76A4A">
        <w:t xml:space="preserve">efektīvāk </w:t>
      </w:r>
      <w:r w:rsidRPr="008A28E7">
        <w:t>izvērtēt tai radīto konkurences pārkāpuma rezultātā zaudējumu esību un to apmēru</w:t>
      </w:r>
      <w:r>
        <w:t xml:space="preserve">. </w:t>
      </w:r>
      <w:r w:rsidR="00B76A4A">
        <w:t xml:space="preserve">Atbalsta procesā </w:t>
      </w:r>
      <w:r>
        <w:t xml:space="preserve">KP sniegtais atzinums </w:t>
      </w:r>
      <w:r w:rsidRPr="008A28E7">
        <w:t>nebūtu uzskatāms par eksperta atzinumu CPL 121. panta vai institūcijas atzinumu CPL 126. panta izpratnē</w:t>
      </w:r>
      <w:r>
        <w:t>, jo tas tiktu sniegts pirms publiskā persona ir vērsusies tiesā ar lūgumu ierosināt civillietu par radīto zaudējumu atlīdzināšanu.</w:t>
      </w:r>
      <w:r w:rsidR="00A34DFC">
        <w:t xml:space="preserve"> </w:t>
      </w:r>
      <w:r w:rsidRPr="008411DE">
        <w:t xml:space="preserve">Proti, no iepriekš minētā izriet, ka </w:t>
      </w:r>
      <w:r w:rsidR="00ED7C3B" w:rsidRPr="008411DE">
        <w:t xml:space="preserve">KP </w:t>
      </w:r>
      <w:r w:rsidRPr="008411DE">
        <w:t xml:space="preserve">amatpersona dos objektīvu atzinumu savā vārdā un </w:t>
      </w:r>
      <w:r w:rsidR="00ED7C3B" w:rsidRPr="008411DE">
        <w:t>būs</w:t>
      </w:r>
      <w:r w:rsidRPr="008411DE">
        <w:t xml:space="preserve"> personīgi atbildīg</w:t>
      </w:r>
      <w:r w:rsidR="006A6E89" w:rsidRPr="008411DE">
        <w:t>a</w:t>
      </w:r>
      <w:r w:rsidRPr="008411DE">
        <w:t xml:space="preserve"> par to. Tas nozīmē, ka šīs neatkarīgās KP struktūrvienības </w:t>
      </w:r>
      <w:r w:rsidR="00ED7C3B" w:rsidRPr="008411DE">
        <w:t>amatpersonu</w:t>
      </w:r>
      <w:r w:rsidRPr="008411DE">
        <w:t xml:space="preserve"> </w:t>
      </w:r>
      <w:r w:rsidR="00ED7C3B" w:rsidRPr="008411DE">
        <w:t xml:space="preserve">(ekspertu) </w:t>
      </w:r>
      <w:r w:rsidRPr="008411DE">
        <w:t>sniegtos atzinumus ar savu parakstu apliecinātu paš</w:t>
      </w:r>
      <w:r w:rsidR="00ED7C3B" w:rsidRPr="008411DE">
        <w:t>as</w:t>
      </w:r>
      <w:r w:rsidRPr="008411DE">
        <w:t xml:space="preserve"> </w:t>
      </w:r>
      <w:r w:rsidR="00ED7C3B" w:rsidRPr="008411DE">
        <w:t>amatpersonas.</w:t>
      </w:r>
      <w:r w:rsidR="00A34DFC" w:rsidRPr="008411DE">
        <w:t xml:space="preserve"> Savukārt</w:t>
      </w:r>
      <w:r w:rsidR="00A34DFC">
        <w:t>, ja pēc civillietas ierosināšanas tiesa uzskatīs, ka ir nepieciešams saņemt KP kā iestādes viedokli, tad KP jaunā struktūrvienība sniegtu atzinumu saskaņā ar CPL 89. un 126. pantu.</w:t>
      </w:r>
    </w:p>
    <w:p w14:paraId="5C37AD95" w14:textId="7810C4B3" w:rsidR="00362087" w:rsidRDefault="00362087" w:rsidP="007A2CD0">
      <w:pPr>
        <w:spacing w:before="80"/>
        <w:ind w:firstLine="709"/>
        <w:jc w:val="both"/>
      </w:pPr>
      <w:r>
        <w:t>P</w:t>
      </w:r>
      <w:r w:rsidRPr="0024549E">
        <w:t>aredzot KP papildu funkcij</w:t>
      </w:r>
      <w:r>
        <w:t>u</w:t>
      </w:r>
      <w:r w:rsidRPr="0024549E">
        <w:t>, kas saistīta</w:t>
      </w:r>
      <w:r w:rsidR="00C2513F">
        <w:t xml:space="preserve"> ar metodiskā atbalsta sniegšanu publiskām personām</w:t>
      </w:r>
      <w:r w:rsidRPr="0024549E">
        <w:t xml:space="preserve"> zaudējumu </w:t>
      </w:r>
      <w:r w:rsidRPr="00E01BAD">
        <w:rPr>
          <w:szCs w:val="26"/>
        </w:rPr>
        <w:t xml:space="preserve">atlīdzināšanas </w:t>
      </w:r>
      <w:r w:rsidR="00C2513F" w:rsidRPr="00E01BAD">
        <w:rPr>
          <w:szCs w:val="26"/>
        </w:rPr>
        <w:t>procesa ietvaros</w:t>
      </w:r>
      <w:r w:rsidRPr="00E01BAD">
        <w:rPr>
          <w:szCs w:val="26"/>
        </w:rPr>
        <w:t xml:space="preserve">, </w:t>
      </w:r>
      <w:r w:rsidR="007A2CD0" w:rsidRPr="00E01BAD">
        <w:rPr>
          <w:szCs w:val="26"/>
        </w:rPr>
        <w:t>iestādē tiktu i</w:t>
      </w:r>
      <w:r w:rsidR="00C2513F" w:rsidRPr="00E01BAD">
        <w:rPr>
          <w:szCs w:val="26"/>
        </w:rPr>
        <w:t>zveido</w:t>
      </w:r>
      <w:r w:rsidR="007A2CD0" w:rsidRPr="00E01BAD">
        <w:rPr>
          <w:szCs w:val="26"/>
        </w:rPr>
        <w:t>ta</w:t>
      </w:r>
      <w:r w:rsidR="00C2513F" w:rsidRPr="00E01BAD">
        <w:rPr>
          <w:szCs w:val="26"/>
        </w:rPr>
        <w:t xml:space="preserve"> atsevišķ</w:t>
      </w:r>
      <w:r w:rsidR="007A2CD0" w:rsidRPr="00E01BAD">
        <w:rPr>
          <w:szCs w:val="26"/>
        </w:rPr>
        <w:t>a</w:t>
      </w:r>
      <w:r w:rsidR="00C2513F" w:rsidRPr="00E01BAD">
        <w:rPr>
          <w:szCs w:val="26"/>
        </w:rPr>
        <w:t>, no iestādes pamatfunkcijām nošķirt</w:t>
      </w:r>
      <w:r w:rsidR="007A2CD0" w:rsidRPr="00E01BAD">
        <w:rPr>
          <w:szCs w:val="26"/>
        </w:rPr>
        <w:t>a</w:t>
      </w:r>
      <w:r w:rsidR="00C2513F" w:rsidRPr="00E01BAD">
        <w:rPr>
          <w:szCs w:val="26"/>
        </w:rPr>
        <w:t xml:space="preserve"> struktūrvienīb</w:t>
      </w:r>
      <w:r w:rsidR="007A2CD0" w:rsidRPr="00E01BAD">
        <w:rPr>
          <w:szCs w:val="26"/>
        </w:rPr>
        <w:t>a ar sešām jaunām amata vietām</w:t>
      </w:r>
      <w:r w:rsidR="003C77B5">
        <w:rPr>
          <w:rStyle w:val="FootnoteReference"/>
          <w:szCs w:val="26"/>
        </w:rPr>
        <w:footnoteReference w:id="46"/>
      </w:r>
      <w:r w:rsidR="007A2CD0" w:rsidRPr="00E01BAD">
        <w:rPr>
          <w:szCs w:val="26"/>
        </w:rPr>
        <w:t>, tādēļ tai</w:t>
      </w:r>
      <w:r w:rsidR="00C2513F" w:rsidRPr="00E01BAD">
        <w:rPr>
          <w:szCs w:val="26"/>
        </w:rPr>
        <w:t xml:space="preserve"> </w:t>
      </w:r>
      <w:r w:rsidR="007A2CD0" w:rsidRPr="00E01BAD">
        <w:rPr>
          <w:szCs w:val="26"/>
        </w:rPr>
        <w:t xml:space="preserve">būtu </w:t>
      </w:r>
      <w:r w:rsidR="00115FD6" w:rsidRPr="00E01BAD">
        <w:rPr>
          <w:szCs w:val="26"/>
        </w:rPr>
        <w:t xml:space="preserve">nepieciešams valsts budžeta finansējums </w:t>
      </w:r>
      <w:r w:rsidR="008E4EBD" w:rsidRPr="00E01BAD">
        <w:rPr>
          <w:szCs w:val="26"/>
        </w:rPr>
        <w:t>2024. </w:t>
      </w:r>
      <w:r w:rsidR="008E4EBD" w:rsidRPr="00564121">
        <w:rPr>
          <w:szCs w:val="26"/>
        </w:rPr>
        <w:t>gadā 360</w:t>
      </w:r>
      <w:r w:rsidR="009D5115">
        <w:rPr>
          <w:szCs w:val="26"/>
        </w:rPr>
        <w:t> </w:t>
      </w:r>
      <w:r w:rsidR="008E4EBD" w:rsidRPr="00564121">
        <w:rPr>
          <w:szCs w:val="26"/>
        </w:rPr>
        <w:t xml:space="preserve">128 </w:t>
      </w:r>
      <w:r w:rsidR="008E4EBD" w:rsidRPr="00564121">
        <w:rPr>
          <w:i/>
          <w:iCs/>
          <w:szCs w:val="26"/>
        </w:rPr>
        <w:t>euro</w:t>
      </w:r>
      <w:r w:rsidR="008E4EBD" w:rsidRPr="00564121">
        <w:rPr>
          <w:szCs w:val="26"/>
        </w:rPr>
        <w:t>, 2025. gadā 3</w:t>
      </w:r>
      <w:r w:rsidR="00F14F83" w:rsidRPr="00564121">
        <w:rPr>
          <w:szCs w:val="26"/>
        </w:rPr>
        <w:t>22</w:t>
      </w:r>
      <w:r w:rsidR="008E4EBD" w:rsidRPr="00564121">
        <w:rPr>
          <w:szCs w:val="26"/>
        </w:rPr>
        <w:t> </w:t>
      </w:r>
      <w:r w:rsidR="00F14F83" w:rsidRPr="00564121">
        <w:rPr>
          <w:szCs w:val="26"/>
        </w:rPr>
        <w:t>798</w:t>
      </w:r>
      <w:r w:rsidR="008E4EBD" w:rsidRPr="00564121">
        <w:rPr>
          <w:szCs w:val="26"/>
        </w:rPr>
        <w:t xml:space="preserve"> </w:t>
      </w:r>
      <w:r w:rsidR="008E4EBD" w:rsidRPr="00564121">
        <w:rPr>
          <w:i/>
          <w:iCs/>
          <w:szCs w:val="26"/>
        </w:rPr>
        <w:t>euro</w:t>
      </w:r>
      <w:r w:rsidR="008E4EBD" w:rsidRPr="00564121">
        <w:rPr>
          <w:szCs w:val="26"/>
        </w:rPr>
        <w:t>, 2026. gadā un turpmāk ik gadu – 3</w:t>
      </w:r>
      <w:r w:rsidR="00F14F83" w:rsidRPr="00564121">
        <w:rPr>
          <w:szCs w:val="26"/>
        </w:rPr>
        <w:t>22</w:t>
      </w:r>
      <w:r w:rsidR="008E4EBD" w:rsidRPr="00564121">
        <w:rPr>
          <w:szCs w:val="26"/>
        </w:rPr>
        <w:t> </w:t>
      </w:r>
      <w:r w:rsidR="00F14F83" w:rsidRPr="00564121">
        <w:rPr>
          <w:szCs w:val="26"/>
        </w:rPr>
        <w:t>095</w:t>
      </w:r>
      <w:r w:rsidR="008E4EBD" w:rsidRPr="00564121">
        <w:rPr>
          <w:szCs w:val="26"/>
        </w:rPr>
        <w:t xml:space="preserve"> </w:t>
      </w:r>
      <w:r w:rsidR="008E4EBD" w:rsidRPr="00564121">
        <w:rPr>
          <w:i/>
          <w:iCs/>
          <w:szCs w:val="26"/>
        </w:rPr>
        <w:t>euro</w:t>
      </w:r>
      <w:r w:rsidR="008E4EBD" w:rsidRPr="00E01BAD">
        <w:rPr>
          <w:szCs w:val="26"/>
        </w:rPr>
        <w:t xml:space="preserve"> apmērā.</w:t>
      </w:r>
      <w:r w:rsidR="008E4EBD" w:rsidRPr="00E01BAD">
        <w:rPr>
          <w:szCs w:val="26"/>
          <w:highlight w:val="yellow"/>
        </w:rPr>
        <w:t xml:space="preserve"> </w:t>
      </w:r>
      <w:r w:rsidR="00C2513F" w:rsidRPr="00E01BAD">
        <w:rPr>
          <w:szCs w:val="26"/>
        </w:rPr>
        <w:t xml:space="preserve">(detalizētus aprēķinus skatīt </w:t>
      </w:r>
      <w:r w:rsidR="006D2E16" w:rsidRPr="00E01BAD">
        <w:rPr>
          <w:i/>
          <w:iCs/>
          <w:szCs w:val="26"/>
        </w:rPr>
        <w:t>4</w:t>
      </w:r>
      <w:r w:rsidR="00C2513F" w:rsidRPr="00E01BAD">
        <w:rPr>
          <w:i/>
          <w:iCs/>
          <w:szCs w:val="26"/>
        </w:rPr>
        <w:t>.pielikumā</w:t>
      </w:r>
      <w:r w:rsidR="00C2513F" w:rsidRPr="00E01BAD">
        <w:rPr>
          <w:szCs w:val="26"/>
        </w:rPr>
        <w:t>)</w:t>
      </w:r>
      <w:r w:rsidR="003C77B5">
        <w:rPr>
          <w:szCs w:val="26"/>
        </w:rPr>
        <w:t>.</w:t>
      </w:r>
      <w:r w:rsidR="00C2513F" w:rsidRPr="00E01BAD">
        <w:rPr>
          <w:szCs w:val="26"/>
        </w:rPr>
        <w:t xml:space="preserve"> </w:t>
      </w:r>
      <w:r>
        <w:t xml:space="preserve"> </w:t>
      </w:r>
    </w:p>
    <w:p w14:paraId="513BB72B" w14:textId="599CB2BA" w:rsidR="003C77B5" w:rsidRPr="003C77B5" w:rsidRDefault="003C77B5" w:rsidP="003C77B5">
      <w:pPr>
        <w:spacing w:before="80"/>
        <w:ind w:firstLine="709"/>
        <w:jc w:val="both"/>
        <w:rPr>
          <w:szCs w:val="26"/>
        </w:rPr>
      </w:pPr>
      <w:r w:rsidRPr="003C77B5">
        <w:rPr>
          <w:szCs w:val="26"/>
        </w:rPr>
        <w:t>Attiecīgi norādāms, ka finansējums K</w:t>
      </w:r>
      <w:r>
        <w:rPr>
          <w:szCs w:val="26"/>
        </w:rPr>
        <w:t>P</w:t>
      </w:r>
      <w:r w:rsidRPr="003C77B5">
        <w:rPr>
          <w:szCs w:val="26"/>
        </w:rPr>
        <w:t xml:space="preserve"> prioritārajam pasākumam “Atbalsta sniegšana publiskajiem pasūtītājiem karteļa vienošanās rezultātā nodarīto zaudējumu atgūšanā” 2024.gadam 360</w:t>
      </w:r>
      <w:r w:rsidR="009D5115">
        <w:rPr>
          <w:szCs w:val="26"/>
        </w:rPr>
        <w:t> </w:t>
      </w:r>
      <w:r w:rsidRPr="003C77B5">
        <w:rPr>
          <w:szCs w:val="26"/>
        </w:rPr>
        <w:t xml:space="preserve">128 </w:t>
      </w:r>
      <w:r w:rsidRPr="009D5115">
        <w:rPr>
          <w:i/>
          <w:iCs/>
          <w:szCs w:val="26"/>
        </w:rPr>
        <w:t>euro</w:t>
      </w:r>
      <w:r w:rsidRPr="003C77B5">
        <w:rPr>
          <w:szCs w:val="26"/>
        </w:rPr>
        <w:t xml:space="preserve"> apmērā, 2025.gadam 322</w:t>
      </w:r>
      <w:r w:rsidR="009D5115">
        <w:rPr>
          <w:szCs w:val="26"/>
        </w:rPr>
        <w:t> </w:t>
      </w:r>
      <w:r w:rsidRPr="003C77B5">
        <w:rPr>
          <w:szCs w:val="26"/>
        </w:rPr>
        <w:t xml:space="preserve">798 </w:t>
      </w:r>
      <w:r w:rsidRPr="009D5115">
        <w:rPr>
          <w:i/>
          <w:iCs/>
          <w:szCs w:val="26"/>
        </w:rPr>
        <w:t>euro</w:t>
      </w:r>
      <w:r w:rsidRPr="003C77B5">
        <w:rPr>
          <w:szCs w:val="26"/>
        </w:rPr>
        <w:t xml:space="preserve"> apmērā un 2026.gadam 322</w:t>
      </w:r>
      <w:r w:rsidR="009D5115">
        <w:rPr>
          <w:szCs w:val="26"/>
        </w:rPr>
        <w:t> </w:t>
      </w:r>
      <w:r w:rsidRPr="003C77B5">
        <w:rPr>
          <w:szCs w:val="26"/>
        </w:rPr>
        <w:t xml:space="preserve">095 </w:t>
      </w:r>
      <w:r w:rsidRPr="009D5115">
        <w:rPr>
          <w:i/>
          <w:iCs/>
          <w:szCs w:val="26"/>
        </w:rPr>
        <w:t>euro</w:t>
      </w:r>
      <w:r w:rsidRPr="003C77B5">
        <w:rPr>
          <w:szCs w:val="26"/>
        </w:rPr>
        <w:t xml:space="preserve"> apmērā </w:t>
      </w:r>
      <w:r>
        <w:rPr>
          <w:szCs w:val="26"/>
        </w:rPr>
        <w:t xml:space="preserve">ir </w:t>
      </w:r>
      <w:r w:rsidRPr="003C77B5">
        <w:rPr>
          <w:szCs w:val="26"/>
        </w:rPr>
        <w:t>piešķirts saskaņā ar 2023.gada 26.septembra Ministru kabineta sēdē (prot. Nr.47, 43.§ “</w:t>
      </w:r>
      <w:r w:rsidRPr="003C77B5">
        <w:rPr>
          <w:i/>
          <w:iCs/>
          <w:szCs w:val="26"/>
        </w:rPr>
        <w:t>Informatīvais ziņojums “Par priekšlikumiem valsts budžeta prioritārajiem pasākumiem 2024. gadam un budžeta ietvaram 2024.–2026. gadam</w:t>
      </w:r>
      <w:r w:rsidRPr="003C77B5">
        <w:rPr>
          <w:szCs w:val="26"/>
        </w:rPr>
        <w:t>””) nolemto un ieplānots likumprojektā “Par valsts budžetu 2024.gadam un budžeta ietvaru 2024., 2025. un 2026.gadam” Ekonomikas ministrijas budžeta apakšprogrammā 26.02.00 “Konkurences politikas ieviešana”.</w:t>
      </w:r>
    </w:p>
    <w:p w14:paraId="05C39A17" w14:textId="044E7B53" w:rsidR="002C740D" w:rsidRPr="00D55D21" w:rsidRDefault="002C740D" w:rsidP="002C740D">
      <w:pPr>
        <w:jc w:val="center"/>
        <w:rPr>
          <w:b/>
          <w:bCs/>
          <w:sz w:val="24"/>
        </w:rPr>
      </w:pPr>
    </w:p>
    <w:p w14:paraId="10DDDA58" w14:textId="2F9097AB" w:rsidR="0026763A" w:rsidRPr="00730640" w:rsidRDefault="0026763A" w:rsidP="00920B40">
      <w:pPr>
        <w:pStyle w:val="Heading1"/>
        <w:numPr>
          <w:ilvl w:val="0"/>
          <w:numId w:val="0"/>
        </w:numPr>
        <w:rPr>
          <w:rFonts w:ascii="Times New Roman" w:hAnsi="Times New Roman" w:cs="Times New Roman"/>
          <w:color w:val="0099CC"/>
          <w:sz w:val="26"/>
          <w:szCs w:val="26"/>
        </w:rPr>
      </w:pPr>
      <w:r w:rsidRPr="00730640">
        <w:rPr>
          <w:rFonts w:ascii="Times New Roman" w:hAnsi="Times New Roman" w:cs="Times New Roman"/>
          <w:color w:val="0099CC"/>
          <w:sz w:val="26"/>
          <w:szCs w:val="26"/>
        </w:rPr>
        <w:lastRenderedPageBreak/>
        <w:t>Secinājumi</w:t>
      </w:r>
      <w:r w:rsidR="00883CEA" w:rsidRPr="00730640">
        <w:rPr>
          <w:rFonts w:ascii="Times New Roman" w:hAnsi="Times New Roman" w:cs="Times New Roman"/>
          <w:color w:val="0099CC"/>
          <w:sz w:val="26"/>
          <w:szCs w:val="26"/>
        </w:rPr>
        <w:t xml:space="preserve"> un priekšlikumi</w:t>
      </w:r>
    </w:p>
    <w:p w14:paraId="52505A15" w14:textId="77777777" w:rsidR="00883CEA" w:rsidRPr="00730640" w:rsidRDefault="00883CEA" w:rsidP="000F4F03">
      <w:pPr>
        <w:pStyle w:val="NoSpacing"/>
        <w:spacing w:before="240"/>
        <w:rPr>
          <w:b/>
          <w:bCs/>
          <w:sz w:val="26"/>
          <w:szCs w:val="26"/>
        </w:rPr>
      </w:pPr>
      <w:r w:rsidRPr="00730640">
        <w:rPr>
          <w:b/>
          <w:bCs/>
          <w:sz w:val="26"/>
          <w:szCs w:val="26"/>
        </w:rPr>
        <w:t>Secinājumi:</w:t>
      </w:r>
    </w:p>
    <w:p w14:paraId="6BF77BBE" w14:textId="3C85341C" w:rsidR="00883CEA" w:rsidRDefault="00883CEA" w:rsidP="00883CEA">
      <w:pPr>
        <w:pStyle w:val="ListParagraph"/>
        <w:numPr>
          <w:ilvl w:val="0"/>
          <w:numId w:val="31"/>
        </w:numPr>
        <w:tabs>
          <w:tab w:val="left" w:pos="1134"/>
        </w:tabs>
        <w:spacing w:before="80"/>
        <w:ind w:left="357" w:hanging="357"/>
        <w:contextualSpacing w:val="0"/>
        <w:jc w:val="both"/>
        <w:rPr>
          <w:color w:val="000000" w:themeColor="text1"/>
        </w:rPr>
      </w:pPr>
      <w:r>
        <w:rPr>
          <w:color w:val="000000" w:themeColor="text1"/>
        </w:rPr>
        <w:t xml:space="preserve">izvērtējot </w:t>
      </w:r>
      <w:r w:rsidRPr="00F555D3">
        <w:rPr>
          <w:color w:val="000000" w:themeColor="text1"/>
        </w:rPr>
        <w:t xml:space="preserve">Latvijas pieredzi atsevišķu funkciju nodošanā vienai atbildīgajai iestādei, kā arī ārvalstu pieredzi zaudējumu atlīdzināšanā karteļa vienošanās pārkāpuma gadījumos, konstatēts, ka Latvijā šobrīd dažās jomās (piemēram, starptautisko ieguldījumu strīdos, pārstāvībā starptautiskās institūcijās) darbojas efektīvs mehānisms, kā valsts centralizēti nodrošina kvalitatīvu </w:t>
      </w:r>
      <w:r w:rsidR="00CB57F2">
        <w:rPr>
          <w:color w:val="000000" w:themeColor="text1"/>
        </w:rPr>
        <w:t xml:space="preserve">tās </w:t>
      </w:r>
      <w:r w:rsidRPr="00F555D3">
        <w:rPr>
          <w:color w:val="000000" w:themeColor="text1"/>
        </w:rPr>
        <w:t xml:space="preserve">interešu pārstāvību un atsevišķu funkciju veikšanu, savukārt pieredze </w:t>
      </w:r>
      <w:r w:rsidR="00CB57F2">
        <w:rPr>
          <w:color w:val="000000" w:themeColor="text1"/>
        </w:rPr>
        <w:t xml:space="preserve">prasību celšanā publisko personu vārdā </w:t>
      </w:r>
      <w:r w:rsidRPr="00F555D3">
        <w:rPr>
          <w:color w:val="000000" w:themeColor="text1"/>
        </w:rPr>
        <w:t>centralizētu zaudējumu atlīdzināšanā konkurences tiesību pārkāpumu gadījumā praksē citās valstīs faktiski nav konstatēta;</w:t>
      </w:r>
    </w:p>
    <w:p w14:paraId="10531A71" w14:textId="77777777" w:rsidR="00883CEA" w:rsidRDefault="00883CEA" w:rsidP="00883CEA">
      <w:pPr>
        <w:pStyle w:val="ListParagraph"/>
        <w:numPr>
          <w:ilvl w:val="0"/>
          <w:numId w:val="31"/>
        </w:numPr>
        <w:tabs>
          <w:tab w:val="left" w:pos="1134"/>
        </w:tabs>
        <w:spacing w:before="80"/>
        <w:ind w:left="357" w:hanging="357"/>
        <w:contextualSpacing w:val="0"/>
        <w:jc w:val="both"/>
        <w:rPr>
          <w:color w:val="000000" w:themeColor="text1"/>
        </w:rPr>
      </w:pPr>
      <w:r>
        <w:rPr>
          <w:color w:val="000000" w:themeColor="text1"/>
        </w:rPr>
        <w:t>nepieciešams nodalīt publiskas personas atbildību, proti, publiskais pasūtītājs jebkuros apstākļos saglabā atbildību par to, ka tas neveic pasākumus zaudējumu, kas tam radušies konkurences tiesību pārkāpuma rezultātā, atgūšanai;</w:t>
      </w:r>
    </w:p>
    <w:p w14:paraId="5F2A229D" w14:textId="77777777" w:rsidR="00883CEA" w:rsidRPr="00A304DB" w:rsidRDefault="00883CEA" w:rsidP="00730640">
      <w:pPr>
        <w:pStyle w:val="ListParagraph"/>
        <w:numPr>
          <w:ilvl w:val="0"/>
          <w:numId w:val="31"/>
        </w:numPr>
        <w:tabs>
          <w:tab w:val="left" w:pos="1134"/>
        </w:tabs>
        <w:spacing w:before="80"/>
        <w:ind w:left="357" w:hanging="357"/>
        <w:contextualSpacing w:val="0"/>
        <w:jc w:val="both"/>
      </w:pPr>
      <w:r w:rsidRPr="00590BC9">
        <w:t>sa</w:t>
      </w:r>
      <w:r>
        <w:t xml:space="preserve">glabājot publiska pasūtītāja </w:t>
      </w:r>
      <w:r>
        <w:rPr>
          <w:color w:val="000000" w:themeColor="text1"/>
        </w:rPr>
        <w:t xml:space="preserve">atbildību un pienākumus, nepieciešams </w:t>
      </w:r>
      <w:r>
        <w:rPr>
          <w:u w:val="single"/>
          <w:lang w:eastAsia="lv-LV"/>
        </w:rPr>
        <w:t>veicināt tā aktīvāku iesaisti zaudējumu atgūšanā</w:t>
      </w:r>
      <w:r>
        <w:rPr>
          <w:color w:val="000000" w:themeColor="text1"/>
        </w:rPr>
        <w:t xml:space="preserve"> par tirgus dalībnieku nodarījumiem, kas saistīti ar KL normu pārkāpumiem:</w:t>
      </w:r>
    </w:p>
    <w:p w14:paraId="6E7EB866" w14:textId="77777777" w:rsidR="00883CEA" w:rsidRPr="00730640" w:rsidRDefault="00883CEA" w:rsidP="00730640">
      <w:pPr>
        <w:pStyle w:val="ListParagraph"/>
        <w:numPr>
          <w:ilvl w:val="0"/>
          <w:numId w:val="27"/>
        </w:numPr>
        <w:tabs>
          <w:tab w:val="left" w:pos="1134"/>
        </w:tabs>
        <w:spacing w:before="80"/>
        <w:jc w:val="both"/>
      </w:pPr>
      <w:r w:rsidRPr="00730640">
        <w:rPr>
          <w:lang w:eastAsia="lv-LV"/>
        </w:rPr>
        <w:t>nodrošinot metodiskā atbalsta sniegšanu publiskām personām konkurences pārkāpumu rezultātā radīto zaudējumu apzināšanai</w:t>
      </w:r>
      <w:r w:rsidRPr="00730640">
        <w:rPr>
          <w:color w:val="000000" w:themeColor="text1"/>
        </w:rPr>
        <w:t>;</w:t>
      </w:r>
    </w:p>
    <w:p w14:paraId="2D5D5A65" w14:textId="77777777" w:rsidR="00883CEA" w:rsidRPr="00684F9A" w:rsidRDefault="00883CEA" w:rsidP="00730640">
      <w:pPr>
        <w:pStyle w:val="ListParagraph"/>
        <w:numPr>
          <w:ilvl w:val="0"/>
          <w:numId w:val="29"/>
        </w:numPr>
        <w:tabs>
          <w:tab w:val="left" w:pos="1134"/>
        </w:tabs>
        <w:spacing w:before="80"/>
        <w:jc w:val="both"/>
      </w:pPr>
      <w:r>
        <w:rPr>
          <w:lang w:eastAsia="lv-LV"/>
        </w:rPr>
        <w:t>paredzot iespēju a</w:t>
      </w:r>
      <w:r w:rsidRPr="00684F9A">
        <w:rPr>
          <w:lang w:eastAsia="lv-LV"/>
        </w:rPr>
        <w:t>tbrīvot prasītāju – publisko personu, kas cietusi no konkurences tiesību pārkāpuma – no tiesas izdevumu samaksas (valsts</w:t>
      </w:r>
      <w:r>
        <w:rPr>
          <w:lang w:eastAsia="lv-LV"/>
        </w:rPr>
        <w:t xml:space="preserve"> nodevas samaksas);</w:t>
      </w:r>
    </w:p>
    <w:p w14:paraId="06EE0E6D" w14:textId="4CBF9D6B" w:rsidR="00730640" w:rsidRPr="004E052F" w:rsidRDefault="00730640" w:rsidP="00730640">
      <w:pPr>
        <w:pStyle w:val="ListParagraph"/>
        <w:numPr>
          <w:ilvl w:val="0"/>
          <w:numId w:val="29"/>
        </w:numPr>
        <w:tabs>
          <w:tab w:val="left" w:pos="1134"/>
        </w:tabs>
        <w:spacing w:before="80"/>
        <w:jc w:val="both"/>
      </w:pPr>
      <w:r>
        <w:t>veicinot publiskā pasūtītāja izpratni par caurspīdīgu un efektīvu iepirkuma procesu, t.sk. uzsverot uz konkurences tiesību risku paredzēšanu iepirkumu līgumtiesiskajās attiecībās.</w:t>
      </w:r>
    </w:p>
    <w:p w14:paraId="1C4EE55D" w14:textId="7D45DDAC" w:rsidR="00883CEA" w:rsidRPr="004276FF" w:rsidRDefault="00883CEA" w:rsidP="004348E9">
      <w:pPr>
        <w:spacing w:before="360"/>
        <w:rPr>
          <w:b/>
          <w:bCs/>
        </w:rPr>
      </w:pPr>
      <w:r w:rsidRPr="00EB4061">
        <w:rPr>
          <w:b/>
          <w:bCs/>
        </w:rPr>
        <w:t>Priekšlikumi:</w:t>
      </w:r>
    </w:p>
    <w:p w14:paraId="19C1DD2E" w14:textId="77777777" w:rsidR="00883CEA" w:rsidRPr="00403FAD" w:rsidRDefault="00883CEA" w:rsidP="002221AD">
      <w:pPr>
        <w:pStyle w:val="ListParagraph"/>
        <w:spacing w:before="80"/>
        <w:ind w:left="0"/>
        <w:contextualSpacing w:val="0"/>
      </w:pPr>
      <w:r>
        <w:t xml:space="preserve">Lai nodrošinātu secinājumos ietvertās turpmākās rīcības īstenošanu, nepieciešams: </w:t>
      </w:r>
    </w:p>
    <w:p w14:paraId="647D0109" w14:textId="7625FC6C" w:rsidR="00883CEA" w:rsidRDefault="00883CEA" w:rsidP="00463FC8">
      <w:pPr>
        <w:pStyle w:val="ListParagraph"/>
        <w:numPr>
          <w:ilvl w:val="1"/>
          <w:numId w:val="26"/>
        </w:numPr>
        <w:tabs>
          <w:tab w:val="left" w:pos="851"/>
        </w:tabs>
        <w:spacing w:before="80"/>
        <w:contextualSpacing w:val="0"/>
        <w:jc w:val="both"/>
      </w:pPr>
      <w:r>
        <w:t xml:space="preserve">sagatavot priekšlikumus </w:t>
      </w:r>
      <w:r w:rsidRPr="00403FAD">
        <w:t>grozījum</w:t>
      </w:r>
      <w:r>
        <w:t>iem</w:t>
      </w:r>
      <w:r w:rsidRPr="00403FAD">
        <w:t xml:space="preserve"> </w:t>
      </w:r>
      <w:r>
        <w:t>KL</w:t>
      </w:r>
      <w:r w:rsidR="00555356">
        <w:rPr>
          <w:szCs w:val="26"/>
        </w:rPr>
        <w:t xml:space="preserve">, nosakot Konkurences padomei jaunu funkciju - </w:t>
      </w:r>
      <w:r w:rsidR="00555356" w:rsidRPr="0026036D">
        <w:rPr>
          <w:szCs w:val="26"/>
        </w:rPr>
        <w:t>metodisk</w:t>
      </w:r>
      <w:r w:rsidR="00555356">
        <w:rPr>
          <w:szCs w:val="26"/>
        </w:rPr>
        <w:t>ā</w:t>
      </w:r>
      <w:r w:rsidR="00555356" w:rsidRPr="0026036D">
        <w:rPr>
          <w:szCs w:val="26"/>
        </w:rPr>
        <w:t xml:space="preserve"> atbalst</w:t>
      </w:r>
      <w:r w:rsidR="00555356">
        <w:rPr>
          <w:szCs w:val="26"/>
        </w:rPr>
        <w:t>a</w:t>
      </w:r>
      <w:r w:rsidR="00555356" w:rsidRPr="0026036D">
        <w:rPr>
          <w:szCs w:val="26"/>
        </w:rPr>
        <w:t xml:space="preserve"> </w:t>
      </w:r>
      <w:r w:rsidR="00555356">
        <w:rPr>
          <w:szCs w:val="26"/>
        </w:rPr>
        <w:t xml:space="preserve">sniegšanu </w:t>
      </w:r>
      <w:r w:rsidR="00555356" w:rsidRPr="0026036D">
        <w:rPr>
          <w:szCs w:val="26"/>
        </w:rPr>
        <w:t>publiskaj</w:t>
      </w:r>
      <w:r w:rsidR="00555356">
        <w:rPr>
          <w:szCs w:val="26"/>
        </w:rPr>
        <w:t>a</w:t>
      </w:r>
      <w:r w:rsidR="00555356" w:rsidRPr="0026036D">
        <w:rPr>
          <w:szCs w:val="26"/>
        </w:rPr>
        <w:t>m pasūtītāj</w:t>
      </w:r>
      <w:r w:rsidR="00555356">
        <w:rPr>
          <w:szCs w:val="26"/>
        </w:rPr>
        <w:t>a</w:t>
      </w:r>
      <w:r w:rsidR="00555356" w:rsidRPr="0026036D">
        <w:rPr>
          <w:szCs w:val="26"/>
        </w:rPr>
        <w:t>m konkurences pārkāpumu rezultātā radīto zaudējumu apzināšanai</w:t>
      </w:r>
      <w:r w:rsidR="00555356">
        <w:rPr>
          <w:szCs w:val="26"/>
        </w:rPr>
        <w:t xml:space="preserve">, </w:t>
      </w:r>
      <w:r w:rsidR="00555356" w:rsidRPr="0026036D">
        <w:rPr>
          <w:szCs w:val="26"/>
        </w:rPr>
        <w:t>tai skaitā reglamentējot publiskā pasūtītāja un Konkurences padomes sadarbības kārtību, atbildību un pienākumus zaudējumu atgūšanas procesā</w:t>
      </w:r>
      <w:r w:rsidR="00CA1E8B" w:rsidRPr="00BF2A53">
        <w:t xml:space="preserve"> </w:t>
      </w:r>
      <w:r w:rsidRPr="00BF2A53">
        <w:t>(</w:t>
      </w:r>
      <w:r w:rsidRPr="00CA1E8B">
        <w:rPr>
          <w:i/>
          <w:iCs/>
        </w:rPr>
        <w:t xml:space="preserve">atbildīgā iestāde – Ekonomikas ministrija,  līdzatbildīgā iestāde – </w:t>
      </w:r>
      <w:r w:rsidR="00463FC8">
        <w:rPr>
          <w:i/>
          <w:iCs/>
        </w:rPr>
        <w:t>KP</w:t>
      </w:r>
      <w:r w:rsidRPr="00BF2A53">
        <w:t>)</w:t>
      </w:r>
      <w:r>
        <w:t>;</w:t>
      </w:r>
    </w:p>
    <w:p w14:paraId="2A9DAB4F" w14:textId="3E07D5EC" w:rsidR="00883CEA" w:rsidRPr="00403FAD" w:rsidRDefault="00883CEA" w:rsidP="002221AD">
      <w:pPr>
        <w:pStyle w:val="ListParagraph"/>
        <w:numPr>
          <w:ilvl w:val="1"/>
          <w:numId w:val="26"/>
        </w:numPr>
        <w:tabs>
          <w:tab w:val="left" w:pos="1134"/>
        </w:tabs>
        <w:spacing w:before="80"/>
        <w:contextualSpacing w:val="0"/>
        <w:jc w:val="both"/>
      </w:pPr>
      <w:r w:rsidRPr="00403FAD">
        <w:t xml:space="preserve">izvērtēt nepieciešamību </w:t>
      </w:r>
      <w:r>
        <w:t>sagatavot priekšlikumus</w:t>
      </w:r>
      <w:r w:rsidRPr="00403FAD">
        <w:t xml:space="preserve"> grozījum</w:t>
      </w:r>
      <w:r>
        <w:t>iem</w:t>
      </w:r>
      <w:r w:rsidRPr="00403FAD">
        <w:t xml:space="preserve"> publisko iepirkumu jomu reglamentējošajos normatīvajos aktos, atrunājot publisko iepirkumu līgumos ietveramās pušu tiesības un pienākumus konkurences tiesību pārkāpuma gadījumā (</w:t>
      </w:r>
      <w:r w:rsidRPr="00DF4587">
        <w:rPr>
          <w:i/>
          <w:iCs/>
        </w:rPr>
        <w:t xml:space="preserve">atbildīgā iestāde – </w:t>
      </w:r>
      <w:r w:rsidRPr="00AE1CA2">
        <w:rPr>
          <w:i/>
          <w:iCs/>
        </w:rPr>
        <w:t>Finanšu ministrija</w:t>
      </w:r>
      <w:r w:rsidRPr="00DF4587">
        <w:rPr>
          <w:i/>
          <w:iCs/>
        </w:rPr>
        <w:t>, līdzatbildīgās iestādes – IUB, KP, Ekonomikas ministrija</w:t>
      </w:r>
      <w:r w:rsidRPr="00403FAD">
        <w:t>);</w:t>
      </w:r>
    </w:p>
    <w:p w14:paraId="7DC1C4E5" w14:textId="7DECADF7" w:rsidR="00883CEA" w:rsidRDefault="00883CEA" w:rsidP="002221AD">
      <w:pPr>
        <w:pStyle w:val="ListParagraph"/>
        <w:numPr>
          <w:ilvl w:val="1"/>
          <w:numId w:val="26"/>
        </w:numPr>
        <w:tabs>
          <w:tab w:val="left" w:pos="1134"/>
        </w:tabs>
        <w:spacing w:before="80"/>
        <w:contextualSpacing w:val="0"/>
        <w:jc w:val="both"/>
      </w:pPr>
      <w:r w:rsidRPr="00403FAD">
        <w:t>izvērtēt nepieciešamību izstrādāt grozījumus CPL, paredzot, ka publiskais pasūtītājs, kurš ir cietis konkurences tiesību pārkāpuma rezultātā, ir atbrīvots no tiesas izdevumu samaksas valsts ienākumos (</w:t>
      </w:r>
      <w:r w:rsidRPr="00DF4587">
        <w:rPr>
          <w:i/>
          <w:iCs/>
        </w:rPr>
        <w:t>atbildīgā iestāde – Tieslietu ministrija, līdzatbildīgās iestādes – KP, Ekonomikas ministrija</w:t>
      </w:r>
      <w:r w:rsidRPr="00403FAD">
        <w:t>)</w:t>
      </w:r>
      <w:r w:rsidR="00A11CF2">
        <w:t>.</w:t>
      </w:r>
    </w:p>
    <w:p w14:paraId="0820A5C1" w14:textId="77777777" w:rsidR="00883CEA" w:rsidRDefault="00883CEA" w:rsidP="002221AD">
      <w:pPr>
        <w:pStyle w:val="ListParagraph"/>
        <w:tabs>
          <w:tab w:val="left" w:pos="1134"/>
        </w:tabs>
        <w:spacing w:before="80"/>
        <w:ind w:left="360"/>
        <w:contextualSpacing w:val="0"/>
        <w:jc w:val="both"/>
      </w:pPr>
    </w:p>
    <w:p w14:paraId="3F17CDF7" w14:textId="3066BC0D" w:rsidR="00883CEA" w:rsidRDefault="00F20859" w:rsidP="00F20859">
      <w:pPr>
        <w:tabs>
          <w:tab w:val="left" w:pos="0"/>
        </w:tabs>
        <w:jc w:val="both"/>
        <w:rPr>
          <w:szCs w:val="26"/>
        </w:rPr>
      </w:pPr>
      <w:r>
        <w:tab/>
      </w:r>
      <w:r w:rsidR="00883CEA">
        <w:t xml:space="preserve">Lai nodrošinātu </w:t>
      </w:r>
      <w:r w:rsidR="00E805F2">
        <w:t xml:space="preserve">cietušajiem publiskajiem pasūtītājiem </w:t>
      </w:r>
      <w:r w:rsidR="00883CEA">
        <w:t xml:space="preserve">iespējami lielāku metodisko atbalstu zaudējumu atlīdzināšanas procesā, Ekonomikas ministrija aicina </w:t>
      </w:r>
      <w:r w:rsidR="00883CEA">
        <w:lastRenderedPageBreak/>
        <w:t xml:space="preserve">atbalstīt </w:t>
      </w:r>
      <w:r w:rsidR="00883CEA" w:rsidRPr="00AE1CA2">
        <w:t xml:space="preserve">informatīvajā ziņojumā </w:t>
      </w:r>
      <w:r w:rsidR="00883CEA" w:rsidRPr="00A11CF2">
        <w:rPr>
          <w:szCs w:val="26"/>
        </w:rPr>
        <w:t xml:space="preserve">piedāvāto </w:t>
      </w:r>
      <w:r w:rsidR="005C7F49" w:rsidRPr="00A11CF2">
        <w:rPr>
          <w:szCs w:val="26"/>
        </w:rPr>
        <w:t>risinājumu</w:t>
      </w:r>
      <w:r w:rsidR="00883CEA" w:rsidRPr="00A11CF2">
        <w:rPr>
          <w:szCs w:val="26"/>
        </w:rPr>
        <w:t>, kas paredz, ka KP sniedz konsultācijas publiskajiem pasūtītājiem zaudējumu novērtēšanas aprēķinos un aprēķināšanas metodes izvēlē (teorētiskas pieejas konsultēšana), kā arī nodrošina atbalsu radīto zaudējumu aprēķināšanā publiskajam pasūtītājam prasības pieteikuma iesniegšanai tiesā (kalkulācija), iepriekš minētās funkcijas nošķirot no administratīvā procesa ietvaros veiktās konkurences tiesību pārkāpumu izmeklēšanas.</w:t>
      </w:r>
    </w:p>
    <w:p w14:paraId="4D00C55F" w14:textId="70F1EEEE" w:rsidR="00F20859" w:rsidRDefault="00F20859" w:rsidP="002221AD">
      <w:pPr>
        <w:tabs>
          <w:tab w:val="left" w:pos="1134"/>
        </w:tabs>
        <w:jc w:val="both"/>
        <w:rPr>
          <w:szCs w:val="26"/>
        </w:rPr>
      </w:pPr>
    </w:p>
    <w:p w14:paraId="0C68205E" w14:textId="683FB058" w:rsidR="00F14F83" w:rsidRDefault="00F14F83" w:rsidP="002221AD">
      <w:pPr>
        <w:tabs>
          <w:tab w:val="left" w:pos="1134"/>
        </w:tabs>
        <w:jc w:val="both"/>
        <w:rPr>
          <w:szCs w:val="26"/>
        </w:rPr>
      </w:pPr>
    </w:p>
    <w:p w14:paraId="6E5D10CF" w14:textId="5AEDE43F" w:rsidR="004348E9" w:rsidRDefault="004348E9" w:rsidP="002221AD">
      <w:pPr>
        <w:tabs>
          <w:tab w:val="left" w:pos="1134"/>
        </w:tabs>
        <w:jc w:val="both"/>
        <w:rPr>
          <w:szCs w:val="26"/>
        </w:rPr>
      </w:pPr>
    </w:p>
    <w:p w14:paraId="735A2EAF" w14:textId="77777777" w:rsidR="004348E9" w:rsidRPr="00A11CF2" w:rsidRDefault="004348E9" w:rsidP="002221AD">
      <w:pPr>
        <w:tabs>
          <w:tab w:val="left" w:pos="1134"/>
        </w:tabs>
        <w:jc w:val="both"/>
        <w:rPr>
          <w:szCs w:val="26"/>
        </w:rPr>
      </w:pPr>
    </w:p>
    <w:p w14:paraId="227C64CA" w14:textId="7903B3E9" w:rsidR="00883CEA" w:rsidRPr="00883CEA" w:rsidRDefault="00D74FB9" w:rsidP="00F20859">
      <w:pPr>
        <w:spacing w:line="276" w:lineRule="auto"/>
      </w:pPr>
      <w:r>
        <w:t>Ekonomikas ministr</w:t>
      </w:r>
      <w:r w:rsidR="004348E9">
        <w:t>s</w:t>
      </w:r>
      <w:r>
        <w:tab/>
      </w:r>
      <w:r>
        <w:tab/>
      </w:r>
      <w:r>
        <w:tab/>
      </w:r>
      <w:r>
        <w:tab/>
      </w:r>
      <w:r>
        <w:tab/>
      </w:r>
      <w:r>
        <w:tab/>
      </w:r>
      <w:r>
        <w:tab/>
      </w:r>
      <w:r w:rsidR="004348E9">
        <w:t>V. Valainis</w:t>
      </w:r>
    </w:p>
    <w:sectPr w:rsidR="00883CEA" w:rsidRPr="00883CEA" w:rsidSect="00934AFC">
      <w:headerReference w:type="default" r:id="rId11"/>
      <w:footerReference w:type="default" r:id="rId12"/>
      <w:pgSz w:w="11907" w:h="16840" w:code="9"/>
      <w:pgMar w:top="993" w:right="1134" w:bottom="993"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449F1" w14:textId="77777777" w:rsidR="009F221D" w:rsidRDefault="009F221D">
      <w:r>
        <w:separator/>
      </w:r>
    </w:p>
  </w:endnote>
  <w:endnote w:type="continuationSeparator" w:id="0">
    <w:p w14:paraId="550DD19C" w14:textId="77777777" w:rsidR="009F221D" w:rsidRDefault="009F221D">
      <w:r>
        <w:continuationSeparator/>
      </w:r>
    </w:p>
  </w:endnote>
  <w:endnote w:type="continuationNotice" w:id="1">
    <w:p w14:paraId="4314125D" w14:textId="77777777" w:rsidR="009F221D" w:rsidRDefault="009F22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335654"/>
      <w:docPartObj>
        <w:docPartGallery w:val="Page Numbers (Bottom of Page)"/>
        <w:docPartUnique/>
      </w:docPartObj>
    </w:sdtPr>
    <w:sdtEndPr>
      <w:rPr>
        <w:noProof/>
      </w:rPr>
    </w:sdtEndPr>
    <w:sdtContent>
      <w:p w14:paraId="402A4B8B" w14:textId="03AA05D8" w:rsidR="00DA2661" w:rsidRDefault="00DA26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1D2BB9" w14:textId="77777777" w:rsidR="004C0A8A" w:rsidRDefault="004C0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75B84" w14:textId="77777777" w:rsidR="009F221D" w:rsidRDefault="009F221D">
      <w:r>
        <w:separator/>
      </w:r>
    </w:p>
  </w:footnote>
  <w:footnote w:type="continuationSeparator" w:id="0">
    <w:p w14:paraId="26B48398" w14:textId="77777777" w:rsidR="009F221D" w:rsidRDefault="009F221D">
      <w:r>
        <w:continuationSeparator/>
      </w:r>
    </w:p>
  </w:footnote>
  <w:footnote w:type="continuationNotice" w:id="1">
    <w:p w14:paraId="22B51306" w14:textId="77777777" w:rsidR="009F221D" w:rsidRDefault="009F221D"/>
  </w:footnote>
  <w:footnote w:id="2">
    <w:p w14:paraId="0FB9F961" w14:textId="77777777" w:rsidR="00255A49" w:rsidRDefault="00255A49" w:rsidP="00885FA5">
      <w:pPr>
        <w:pStyle w:val="FootnoteText"/>
        <w:jc w:val="both"/>
      </w:pPr>
      <w:r>
        <w:rPr>
          <w:rStyle w:val="FootnoteReference"/>
        </w:rPr>
        <w:footnoteRef/>
      </w:r>
      <w:r>
        <w:t xml:space="preserve"> </w:t>
      </w:r>
      <w:r w:rsidRPr="00695B35">
        <w:t>Ministru kabineta 11.02.2020. rīkojuma Nr. 49 “Par Rīcības plānu publisko iepirkumu sistēmas uzlabošanai”</w:t>
      </w:r>
      <w:r>
        <w:t xml:space="preserve"> anotācija. Pieejama: </w:t>
      </w:r>
      <w:hyperlink r:id="rId1" w:history="1">
        <w:r w:rsidRPr="00EF15B1">
          <w:rPr>
            <w:rStyle w:val="Hyperlink"/>
          </w:rPr>
          <w:t>http://tap.mk.gov.lv/lv/mk/tap/?pid=40483224</w:t>
        </w:r>
      </w:hyperlink>
      <w:r>
        <w:t xml:space="preserve"> </w:t>
      </w:r>
    </w:p>
  </w:footnote>
  <w:footnote w:id="3">
    <w:p w14:paraId="7DAAAEF9" w14:textId="77777777" w:rsidR="00CF5EFF" w:rsidRPr="00477C8B" w:rsidRDefault="00CF5EFF" w:rsidP="00CF5EFF">
      <w:pPr>
        <w:pStyle w:val="FootnoteText"/>
        <w:ind w:left="142" w:hanging="142"/>
      </w:pPr>
      <w:r w:rsidRPr="00477C8B">
        <w:rPr>
          <w:rStyle w:val="FootnoteReference"/>
        </w:rPr>
        <w:footnoteRef/>
      </w:r>
      <w:r w:rsidRPr="00477C8B">
        <w:t xml:space="preserve"> KL 2. pants.</w:t>
      </w:r>
    </w:p>
  </w:footnote>
  <w:footnote w:id="4">
    <w:p w14:paraId="18077222" w14:textId="77777777" w:rsidR="00CF5EFF" w:rsidRPr="00477C8B" w:rsidRDefault="00CF5EFF" w:rsidP="00885FA5">
      <w:pPr>
        <w:pStyle w:val="FootnoteText"/>
        <w:ind w:left="142" w:hanging="142"/>
        <w:jc w:val="both"/>
      </w:pPr>
      <w:r w:rsidRPr="00477C8B">
        <w:rPr>
          <w:rStyle w:val="FootnoteReference"/>
        </w:rPr>
        <w:footnoteRef/>
      </w:r>
      <w:r w:rsidRPr="00477C8B">
        <w:t xml:space="preserve"> KL 1. panta 2.</w:t>
      </w:r>
      <w:r w:rsidRPr="00477C8B">
        <w:rPr>
          <w:vertAlign w:val="superscript"/>
        </w:rPr>
        <w:t>1</w:t>
      </w:r>
      <w:r w:rsidRPr="00477C8B">
        <w:t> punkts:</w:t>
      </w:r>
      <w:r w:rsidRPr="00477C8B">
        <w:rPr>
          <w:b/>
          <w:bCs/>
        </w:rPr>
        <w:t> </w:t>
      </w:r>
      <w:r w:rsidRPr="00477C8B">
        <w:t>“konkurentu vienošanās, kuras mērķis ir kavēt, ierobežot vai deformēt konkurenci, īstenojot, bet neaprobežojoties ar iepirkuma vai pārdošanas cenu vai citu tirdzniecības nosacījumu, tai skaitā saistībā ar intelektuālā īpašuma tiesībām, noteikšanu vai koordinēšanu, ražošanas vai pārdošanas kvotu sadali, tirgu un klientu sadali, tai skaitā piedalīšanos vai nepiedalīšanos konkursos vai izsolēs vai vienošanos par šīs darbības (bezdarbības) noteikumiem, importa vai eksporta ierobežošanu vai pret konkurenci vērstām darbībām attiecībā uz citiem konkurentiem”.</w:t>
      </w:r>
    </w:p>
  </w:footnote>
  <w:footnote w:id="5">
    <w:p w14:paraId="70B23693" w14:textId="69D51BFD" w:rsidR="00CF5EFF" w:rsidRPr="00477C8B" w:rsidRDefault="00CF5EFF" w:rsidP="00885FA5">
      <w:pPr>
        <w:pStyle w:val="FootnoteText"/>
        <w:ind w:left="142" w:hanging="142"/>
        <w:jc w:val="both"/>
      </w:pPr>
      <w:r w:rsidRPr="00477C8B">
        <w:rPr>
          <w:rStyle w:val="FootnoteReference"/>
        </w:rPr>
        <w:footnoteRef/>
      </w:r>
      <w:r w:rsidRPr="00477C8B">
        <w:t xml:space="preserve"> </w:t>
      </w:r>
      <w:r w:rsidR="00DB20A1" w:rsidRPr="00DB20A1">
        <w:t>KP 20</w:t>
      </w:r>
      <w:r w:rsidR="00DB20A1">
        <w:t>18</w:t>
      </w:r>
      <w:r w:rsidR="00DB20A1" w:rsidRPr="00DB20A1">
        <w:t xml:space="preserve">. gada sabiedriskās domas pētījums “Par konkurences politikas un tās īstenošanas jautājumiem”, </w:t>
      </w:r>
      <w:r w:rsidR="00DB20A1">
        <w:t>45</w:t>
      </w:r>
      <w:r w:rsidR="00DB20A1" w:rsidRPr="00DB20A1">
        <w:t>. slaids. Pieejams: https://www.kp.gov.lv/lv/galerija/sabiedriskas-domas-petijums-2018-gads-0#49</w:t>
      </w:r>
      <w:r w:rsidR="00DB20A1">
        <w:t>;</w:t>
      </w:r>
      <w:r w:rsidR="00DB20A1" w:rsidRPr="00DB20A1">
        <w:t xml:space="preserve"> </w:t>
      </w:r>
      <w:r w:rsidRPr="00477C8B">
        <w:t>KP 20</w:t>
      </w:r>
      <w:r w:rsidR="00FC1795">
        <w:t>22</w:t>
      </w:r>
      <w:r w:rsidRPr="00477C8B">
        <w:t xml:space="preserve">. gada sabiedriskās domas pētījums “Par konkurences politikas un tās īstenošanas jautājumiem”, </w:t>
      </w:r>
      <w:r w:rsidR="00FC1795">
        <w:t>13</w:t>
      </w:r>
      <w:r w:rsidRPr="00477C8B">
        <w:t xml:space="preserve">. slaids. Pieejams: </w:t>
      </w:r>
      <w:r w:rsidR="00FC1795" w:rsidRPr="00FC1795">
        <w:t>https://www.kp.gov.lv/lv/media/10473/download?attachment</w:t>
      </w:r>
      <w:r w:rsidRPr="00477C8B">
        <w:t xml:space="preserve">. </w:t>
      </w:r>
    </w:p>
  </w:footnote>
  <w:footnote w:id="6">
    <w:p w14:paraId="7FE49664" w14:textId="77777777" w:rsidR="00CF5EFF" w:rsidRPr="00477C8B" w:rsidRDefault="00CF5EFF" w:rsidP="00CF5EFF">
      <w:pPr>
        <w:pStyle w:val="FootnoteText"/>
        <w:ind w:left="142" w:hanging="142"/>
      </w:pPr>
      <w:r w:rsidRPr="00477C8B">
        <w:rPr>
          <w:rStyle w:val="FootnoteReference"/>
        </w:rPr>
        <w:footnoteRef/>
      </w:r>
      <w:r w:rsidRPr="00477C8B">
        <w:t xml:space="preserve"> KL 12. panta trešā daļa.</w:t>
      </w:r>
    </w:p>
  </w:footnote>
  <w:footnote w:id="7">
    <w:p w14:paraId="7F6A773B" w14:textId="77777777" w:rsidR="00CF5EFF" w:rsidRPr="00477C8B" w:rsidRDefault="00CF5EFF" w:rsidP="00CF5EFF">
      <w:pPr>
        <w:pStyle w:val="FootnoteText"/>
        <w:ind w:left="142" w:hanging="142"/>
      </w:pPr>
      <w:r w:rsidRPr="00477C8B">
        <w:rPr>
          <w:rStyle w:val="FootnoteReference"/>
        </w:rPr>
        <w:footnoteRef/>
      </w:r>
      <w:r w:rsidRPr="00477C8B">
        <w:t xml:space="preserve"> KL 21. panta pirmā daļa.</w:t>
      </w:r>
    </w:p>
  </w:footnote>
  <w:footnote w:id="8">
    <w:p w14:paraId="326D0AD8" w14:textId="77777777" w:rsidR="00CF5EFF" w:rsidRPr="00477C8B" w:rsidRDefault="00CF5EFF" w:rsidP="00CF5EFF">
      <w:pPr>
        <w:pStyle w:val="FootnoteText"/>
        <w:ind w:left="142" w:hanging="142"/>
      </w:pPr>
      <w:r w:rsidRPr="00477C8B">
        <w:rPr>
          <w:rStyle w:val="FootnoteReference"/>
        </w:rPr>
        <w:footnoteRef/>
      </w:r>
      <w:r w:rsidRPr="00477C8B">
        <w:t xml:space="preserve"> KL 21. panta otrā daļa.</w:t>
      </w:r>
    </w:p>
  </w:footnote>
  <w:footnote w:id="9">
    <w:p w14:paraId="1C45D66A" w14:textId="77777777" w:rsidR="00CF5EFF" w:rsidRPr="00477C8B" w:rsidRDefault="00CF5EFF" w:rsidP="00885FA5">
      <w:pPr>
        <w:pStyle w:val="FootnoteText"/>
        <w:ind w:left="142" w:hanging="142"/>
        <w:jc w:val="both"/>
      </w:pPr>
      <w:r w:rsidRPr="00477C8B">
        <w:rPr>
          <w:rStyle w:val="FootnoteReference"/>
        </w:rPr>
        <w:footnoteRef/>
      </w:r>
      <w:r w:rsidRPr="00477C8B">
        <w:t xml:space="preserve"> EST 20.09.2001. spriedums lietā Nr. C-453/99, </w:t>
      </w:r>
      <w:r w:rsidRPr="00477C8B">
        <w:rPr>
          <w:i/>
          <w:iCs/>
        </w:rPr>
        <w:t>Courage Ltd</w:t>
      </w:r>
      <w:r w:rsidRPr="00477C8B">
        <w:t xml:space="preserve">, 25., 26. punkts. Pieejams: </w:t>
      </w:r>
      <w:hyperlink r:id="rId2" w:history="1">
        <w:r w:rsidRPr="00477C8B">
          <w:rPr>
            <w:rStyle w:val="Hyperlink"/>
          </w:rPr>
          <w:t>https://eur-lex.europa.eu/legal-content/LV/TXT/HTML/?uri=CELEX:61999CJ0453&amp;from=LV</w:t>
        </w:r>
      </w:hyperlink>
      <w:r w:rsidRPr="00477C8B">
        <w:t>.</w:t>
      </w:r>
    </w:p>
  </w:footnote>
  <w:footnote w:id="10">
    <w:p w14:paraId="3E3F6119" w14:textId="77777777" w:rsidR="00CF5EFF" w:rsidRPr="00477C8B" w:rsidRDefault="00CF5EFF" w:rsidP="00885FA5">
      <w:pPr>
        <w:pStyle w:val="FootnoteText"/>
        <w:ind w:left="142" w:hanging="142"/>
        <w:jc w:val="both"/>
      </w:pPr>
      <w:r w:rsidRPr="00477C8B">
        <w:rPr>
          <w:rStyle w:val="FootnoteReference"/>
        </w:rPr>
        <w:footnoteRef/>
      </w:r>
      <w:r w:rsidRPr="00477C8B">
        <w:t xml:space="preserve"> EST 13.07.2006. spriedums apvienotajās lietās Nr. C-295/04 līdz C-298/04, </w:t>
      </w:r>
      <w:r w:rsidRPr="00477C8B">
        <w:rPr>
          <w:i/>
          <w:iCs/>
        </w:rPr>
        <w:t>Manfredi</w:t>
      </w:r>
      <w:r w:rsidRPr="00477C8B">
        <w:t>, 61. punkts. Pieejams: </w:t>
      </w:r>
      <w:hyperlink r:id="rId3" w:history="1">
        <w:r w:rsidRPr="00477C8B">
          <w:rPr>
            <w:rStyle w:val="Hyperlink"/>
          </w:rPr>
          <w:t>https://eur-lex.europa.eu/legal-content/LV/TXT/HTML/?uri=CELEX:62004CJ0295&amp;from=LV</w:t>
        </w:r>
      </w:hyperlink>
      <w:r w:rsidRPr="00477C8B">
        <w:t>.</w:t>
      </w:r>
    </w:p>
  </w:footnote>
  <w:footnote w:id="11">
    <w:p w14:paraId="207CC597" w14:textId="77777777" w:rsidR="00CF5EFF" w:rsidRPr="00477C8B" w:rsidRDefault="00CF5EFF" w:rsidP="00885FA5">
      <w:pPr>
        <w:pStyle w:val="FootnoteText"/>
        <w:ind w:left="142" w:hanging="142"/>
        <w:jc w:val="both"/>
      </w:pPr>
      <w:r w:rsidRPr="00477C8B">
        <w:rPr>
          <w:rStyle w:val="FootnoteReference"/>
        </w:rPr>
        <w:footnoteRef/>
      </w:r>
      <w:r w:rsidRPr="00477C8B">
        <w:t xml:space="preserve"> EST 06.12.2012. spriedums lietā Nr. C-199/11, </w:t>
      </w:r>
      <w:r w:rsidRPr="00477C8B">
        <w:rPr>
          <w:i/>
          <w:iCs/>
        </w:rPr>
        <w:t>Otis u.c.</w:t>
      </w:r>
      <w:r w:rsidRPr="00477C8B">
        <w:t xml:space="preserve">, 40. – 44. punkts. Pieejams: </w:t>
      </w:r>
      <w:hyperlink r:id="rId4" w:history="1">
        <w:r w:rsidRPr="00477C8B">
          <w:rPr>
            <w:rStyle w:val="Hyperlink"/>
          </w:rPr>
          <w:t>https://eur-lex.europa.eu/legal-content/LV/TXT/HTML/?uri=CELEX:62011CJ0199&amp;from=LV</w:t>
        </w:r>
      </w:hyperlink>
      <w:r w:rsidRPr="00477C8B">
        <w:t xml:space="preserve">. </w:t>
      </w:r>
    </w:p>
  </w:footnote>
  <w:footnote w:id="12">
    <w:p w14:paraId="6DB4EC99" w14:textId="77777777" w:rsidR="00CF5EFF" w:rsidRPr="00477C8B" w:rsidRDefault="00CF5EFF" w:rsidP="0052092E">
      <w:pPr>
        <w:pStyle w:val="FootnoteText"/>
        <w:ind w:left="142" w:hanging="142"/>
        <w:jc w:val="both"/>
      </w:pPr>
      <w:r w:rsidRPr="00477C8B">
        <w:rPr>
          <w:rStyle w:val="FootnoteReference"/>
        </w:rPr>
        <w:footnoteRef/>
      </w:r>
      <w:r w:rsidRPr="00477C8B">
        <w:t xml:space="preserve"> Eiropas Parlamenta un Padomes 26.11.2014. direktīva Nr. 2014/104/ES par atsevišķiem noteikumiem, kuri valstu tiesībās reglamentē zaudējumu atlīdzināšanas prasības par dalībvalstu un Eiropas Savienības konkurences tiesību pārkāpumiem. Pieejama: </w:t>
      </w:r>
      <w:hyperlink r:id="rId5" w:history="1">
        <w:r w:rsidRPr="00477C8B">
          <w:rPr>
            <w:rStyle w:val="Hyperlink"/>
          </w:rPr>
          <w:t>https://eur-lex.europa.eu/legal-content/LV/TXT/PDF/?uri=CELEX:32014L0104&amp;from=lv</w:t>
        </w:r>
      </w:hyperlink>
      <w:r w:rsidRPr="00477C8B">
        <w:t xml:space="preserve">. </w:t>
      </w:r>
    </w:p>
  </w:footnote>
  <w:footnote w:id="13">
    <w:p w14:paraId="50E59301" w14:textId="77777777" w:rsidR="00CF5EFF" w:rsidRPr="00477C8B" w:rsidRDefault="00CF5EFF" w:rsidP="0052092E">
      <w:pPr>
        <w:pStyle w:val="FootnoteText"/>
        <w:ind w:left="142" w:hanging="142"/>
        <w:jc w:val="both"/>
      </w:pPr>
      <w:r w:rsidRPr="00477C8B">
        <w:rPr>
          <w:rStyle w:val="FootnoteReference"/>
        </w:rPr>
        <w:footnoteRef/>
      </w:r>
      <w:r w:rsidRPr="00477C8B">
        <w:t> Pieejama: </w:t>
      </w:r>
      <w:hyperlink r:id="rId6" w:history="1">
        <w:r w:rsidRPr="00477C8B">
          <w:rPr>
            <w:rStyle w:val="Hyperlink"/>
          </w:rPr>
          <w:t>http://titania.saeima.lv/LIVS12/SaeimaLIVS12.nsf/0/B079BC5404CC6F91C2257E500027E87B?OpenDocument</w:t>
        </w:r>
      </w:hyperlink>
      <w:r w:rsidRPr="00477C8B">
        <w:t xml:space="preserve"> </w:t>
      </w:r>
    </w:p>
  </w:footnote>
  <w:footnote w:id="14">
    <w:p w14:paraId="12457D16" w14:textId="77777777" w:rsidR="00CF5EFF" w:rsidRPr="00477C8B" w:rsidRDefault="00CF5EFF" w:rsidP="0052092E">
      <w:pPr>
        <w:pStyle w:val="FootnoteText"/>
        <w:ind w:left="142" w:hanging="142"/>
        <w:jc w:val="both"/>
      </w:pPr>
      <w:r w:rsidRPr="00477C8B">
        <w:rPr>
          <w:rStyle w:val="FootnoteReference"/>
        </w:rPr>
        <w:footnoteRef/>
      </w:r>
      <w:r w:rsidRPr="00477C8B">
        <w:t xml:space="preserve"> 05.10.2017. likumprojekts “Grozījumi Konkurences likumā” un tā sākotnējās ietekmes novērtējuma ziņojums (anotācija). Pieejami: </w:t>
      </w:r>
      <w:hyperlink r:id="rId7" w:history="1">
        <w:r w:rsidRPr="00477C8B">
          <w:rPr>
            <w:rStyle w:val="Hyperlink"/>
          </w:rPr>
          <w:t>http://titania.saeima.lv/LIVS12/SaeimaLIVS12.nsf/0/4ADF39D81E2DF2F4C225812A00270EB8?OpenDocument</w:t>
        </w:r>
      </w:hyperlink>
      <w:r w:rsidRPr="00477C8B">
        <w:t xml:space="preserve">) </w:t>
      </w:r>
    </w:p>
  </w:footnote>
  <w:footnote w:id="15">
    <w:p w14:paraId="0EDC61CD" w14:textId="77777777" w:rsidR="00CF5EFF" w:rsidRPr="00477C8B" w:rsidRDefault="00CF5EFF" w:rsidP="0052092E">
      <w:pPr>
        <w:pStyle w:val="FootnoteText"/>
        <w:ind w:left="142" w:hanging="142"/>
        <w:jc w:val="both"/>
      </w:pPr>
      <w:r w:rsidRPr="00477C8B">
        <w:rPr>
          <w:rStyle w:val="FootnoteReference"/>
        </w:rPr>
        <w:footnoteRef/>
      </w:r>
      <w:r w:rsidRPr="00477C8B">
        <w:t xml:space="preserve"> Laika periodā no 2015. gada līdz 2020. gadam KP ir atklājusi 13 iepirkumu karteļus un sodījusi 65 uzņēmumus, taču neviens publiskais pasūtītājs nav vērsies tiesā ar prasību par zaudējumu piedziņu.</w:t>
      </w:r>
    </w:p>
  </w:footnote>
  <w:footnote w:id="16">
    <w:p w14:paraId="37A0C0C7" w14:textId="77777777" w:rsidR="00CF5EFF" w:rsidRPr="00477C8B" w:rsidRDefault="00CF5EFF" w:rsidP="0052092E">
      <w:pPr>
        <w:pStyle w:val="FootnoteText"/>
        <w:ind w:left="142" w:hanging="142"/>
        <w:jc w:val="both"/>
      </w:pPr>
      <w:r w:rsidRPr="00477C8B">
        <w:rPr>
          <w:rStyle w:val="FootnoteReference"/>
        </w:rPr>
        <w:footnoteRef/>
      </w:r>
      <w:r w:rsidRPr="00477C8B">
        <w:t xml:space="preserve"> Lai gan var piekrist tam, ka normatīvais regulējums, pirms spēkā stājās 16.10.2017. grozījumi KL, bija vispārīgs, tas tomēr neliedza jau 2009. gadā privātajam komersantam vērsties ar zaudējumu atlīdzības prasību tiesā par konkurences tiesību pārkāpuma rezultātā tam nodarītajiem zaudējumiem un gūt to atlīdzinājumu. Skatīt, piemēram, </w:t>
      </w:r>
      <w:hyperlink r:id="rId8" w:history="1">
        <w:r w:rsidRPr="00477C8B">
          <w:rPr>
            <w:rStyle w:val="Hyperlink"/>
          </w:rPr>
          <w:t>https://juristavards.lv/zinas/273797-tiesa-pirmoreiz-nolemj-piedzit-zaudejumu-atlidzibu-no-publiskas-personas-par-konkurences-parkapumu/</w:t>
        </w:r>
      </w:hyperlink>
      <w:r w:rsidRPr="00477C8B">
        <w:t xml:space="preserve">. </w:t>
      </w:r>
    </w:p>
  </w:footnote>
  <w:footnote w:id="17">
    <w:p w14:paraId="3335B684" w14:textId="77777777" w:rsidR="00A9588A" w:rsidRPr="00477C8B" w:rsidRDefault="00A9588A" w:rsidP="0052092E">
      <w:pPr>
        <w:pStyle w:val="FootnoteText"/>
        <w:jc w:val="both"/>
      </w:pPr>
      <w:r w:rsidRPr="00477C8B">
        <w:rPr>
          <w:rStyle w:val="FootnoteReference"/>
        </w:rPr>
        <w:footnoteRef/>
      </w:r>
      <w:r w:rsidRPr="00477C8B">
        <w:t xml:space="preserve"> Publiskas personas finanšu līdzekļu un mantas izšķērdēšanas novēršanas likuma 2. panta pirmā daļa.</w:t>
      </w:r>
    </w:p>
  </w:footnote>
  <w:footnote w:id="18">
    <w:p w14:paraId="2EA7AA37" w14:textId="77777777" w:rsidR="00A9588A" w:rsidRPr="00477C8B" w:rsidRDefault="00A9588A" w:rsidP="00A9588A">
      <w:pPr>
        <w:pStyle w:val="FootnoteText"/>
      </w:pPr>
      <w:r w:rsidRPr="00477C8B">
        <w:rPr>
          <w:rStyle w:val="FootnoteReference"/>
        </w:rPr>
        <w:footnoteRef/>
      </w:r>
      <w:r w:rsidRPr="00477C8B">
        <w:t xml:space="preserve"> Ģenerālprokuratūras 20.12.2021. vēstule Nr. N-101-2021-00514.</w:t>
      </w:r>
    </w:p>
  </w:footnote>
  <w:footnote w:id="19">
    <w:p w14:paraId="2F15CFDE" w14:textId="4EDF36B2" w:rsidR="00DC2F63" w:rsidRDefault="009004E5">
      <w:pPr>
        <w:pStyle w:val="FootnoteText"/>
      </w:pPr>
      <w:r>
        <w:rPr>
          <w:rStyle w:val="FootnoteReference"/>
        </w:rPr>
        <w:footnoteRef/>
      </w:r>
      <w:r>
        <w:t xml:space="preserve"> </w:t>
      </w:r>
      <w:r w:rsidR="000A0279">
        <w:t>1.pielikuma 1.</w:t>
      </w:r>
      <w:r w:rsidR="0052092E">
        <w:t> </w:t>
      </w:r>
      <w:r w:rsidR="000A0279">
        <w:t>–</w:t>
      </w:r>
      <w:r w:rsidR="0052092E">
        <w:t> </w:t>
      </w:r>
      <w:r w:rsidR="000A0279">
        <w:t>2.lpp.</w:t>
      </w:r>
    </w:p>
  </w:footnote>
  <w:footnote w:id="20">
    <w:p w14:paraId="5868A0D1" w14:textId="3FE31989" w:rsidR="00DC2F63" w:rsidRDefault="00DC2F63">
      <w:pPr>
        <w:pStyle w:val="FootnoteText"/>
      </w:pPr>
      <w:r>
        <w:rPr>
          <w:rStyle w:val="FootnoteReference"/>
        </w:rPr>
        <w:footnoteRef/>
      </w:r>
      <w:r>
        <w:t xml:space="preserve"> </w:t>
      </w:r>
      <w:r w:rsidR="000A0279">
        <w:t>1.pielikuma 2.lpp.</w:t>
      </w:r>
    </w:p>
  </w:footnote>
  <w:footnote w:id="21">
    <w:p w14:paraId="1AF9667C" w14:textId="27FD8E4C" w:rsidR="00235C2B" w:rsidRDefault="00235C2B">
      <w:pPr>
        <w:pStyle w:val="FootnoteText"/>
      </w:pPr>
      <w:r>
        <w:rPr>
          <w:rStyle w:val="FootnoteReference"/>
        </w:rPr>
        <w:footnoteRef/>
      </w:r>
      <w:r>
        <w:t xml:space="preserve"> </w:t>
      </w:r>
      <w:r w:rsidR="000A0279">
        <w:t>1.pielikuma 2.</w:t>
      </w:r>
      <w:r w:rsidR="0052092E">
        <w:t> </w:t>
      </w:r>
      <w:r w:rsidR="000A0279">
        <w:t xml:space="preserve"> – </w:t>
      </w:r>
      <w:r w:rsidR="0052092E">
        <w:t> </w:t>
      </w:r>
      <w:r w:rsidR="000A0279">
        <w:t>3.lpp.</w:t>
      </w:r>
    </w:p>
  </w:footnote>
  <w:footnote w:id="22">
    <w:p w14:paraId="0C7CA854" w14:textId="626694D0" w:rsidR="00235C2B" w:rsidRDefault="00235C2B">
      <w:pPr>
        <w:pStyle w:val="FootnoteText"/>
      </w:pPr>
      <w:r>
        <w:rPr>
          <w:rStyle w:val="FootnoteReference"/>
        </w:rPr>
        <w:footnoteRef/>
      </w:r>
      <w:r>
        <w:t xml:space="preserve"> </w:t>
      </w:r>
      <w:r w:rsidR="000A0279">
        <w:t>1.pielikuma 4.</w:t>
      </w:r>
      <w:r w:rsidR="0052092E">
        <w:t> </w:t>
      </w:r>
      <w:r w:rsidR="000A0279">
        <w:t>–</w:t>
      </w:r>
      <w:r w:rsidR="0052092E">
        <w:t> </w:t>
      </w:r>
      <w:r w:rsidR="000A0279">
        <w:t>7.lpp.</w:t>
      </w:r>
    </w:p>
  </w:footnote>
  <w:footnote w:id="23">
    <w:p w14:paraId="11C06540" w14:textId="46B415D6" w:rsidR="00893850" w:rsidRDefault="00893850">
      <w:pPr>
        <w:pStyle w:val="FootnoteText"/>
      </w:pPr>
      <w:r>
        <w:rPr>
          <w:rStyle w:val="FootnoteReference"/>
        </w:rPr>
        <w:footnoteRef/>
      </w:r>
      <w:r>
        <w:t xml:space="preserve"> </w:t>
      </w:r>
      <w:r w:rsidR="000A0279">
        <w:t>1.pielikuma 7.</w:t>
      </w:r>
      <w:r w:rsidR="0052092E">
        <w:t> </w:t>
      </w:r>
      <w:r w:rsidR="000A0279">
        <w:t>–</w:t>
      </w:r>
      <w:r w:rsidR="0052092E">
        <w:t> </w:t>
      </w:r>
      <w:r w:rsidR="000A0279">
        <w:t>9.lpp.</w:t>
      </w:r>
    </w:p>
  </w:footnote>
  <w:footnote w:id="24">
    <w:p w14:paraId="13A6ACD1" w14:textId="77777777" w:rsidR="001F573C" w:rsidRPr="00477C8B" w:rsidRDefault="001F573C" w:rsidP="001F573C">
      <w:pPr>
        <w:pStyle w:val="FootnoteText"/>
      </w:pPr>
      <w:r w:rsidRPr="00477C8B">
        <w:rPr>
          <w:rStyle w:val="FootnoteReference"/>
        </w:rPr>
        <w:footnoteRef/>
      </w:r>
      <w:r w:rsidRPr="00477C8B">
        <w:t xml:space="preserve"> CPL 132. panta pirmās daļas 4. punkts.</w:t>
      </w:r>
    </w:p>
  </w:footnote>
  <w:footnote w:id="25">
    <w:p w14:paraId="2B65C746" w14:textId="77777777" w:rsidR="00C64FD3" w:rsidRPr="00477C8B" w:rsidRDefault="00C64FD3" w:rsidP="00C64FD3">
      <w:pPr>
        <w:pStyle w:val="FootnoteText"/>
      </w:pPr>
      <w:r w:rsidRPr="00477C8B">
        <w:rPr>
          <w:rStyle w:val="FootnoteReference"/>
        </w:rPr>
        <w:footnoteRef/>
      </w:r>
      <w:r w:rsidRPr="00477C8B">
        <w:t xml:space="preserve"> Pieejamas: </w:t>
      </w:r>
      <w:hyperlink r:id="rId9" w:history="1">
        <w:r w:rsidRPr="00477C8B">
          <w:rPr>
            <w:rStyle w:val="Hyperlink"/>
          </w:rPr>
          <w:t>https://www.iub.gov.lv/lv/vadlinijas-centralizeto-iepirkumu-veiksanai</w:t>
        </w:r>
      </w:hyperlink>
      <w:r w:rsidRPr="00477C8B">
        <w:t xml:space="preserve"> </w:t>
      </w:r>
    </w:p>
  </w:footnote>
  <w:footnote w:id="26">
    <w:p w14:paraId="7A9A9574" w14:textId="77777777" w:rsidR="00C64FD3" w:rsidRPr="00477C8B" w:rsidRDefault="00C64FD3" w:rsidP="00C64FD3">
      <w:pPr>
        <w:pStyle w:val="FootnoteText"/>
      </w:pPr>
      <w:r w:rsidRPr="00477C8B">
        <w:rPr>
          <w:rStyle w:val="FootnoteReference"/>
        </w:rPr>
        <w:footnoteRef/>
      </w:r>
      <w:r w:rsidRPr="00477C8B">
        <w:t xml:space="preserve"> Vadlīnijas centralizēto iepirkumu veikšanai, 1.1. punkts.</w:t>
      </w:r>
    </w:p>
  </w:footnote>
  <w:footnote w:id="27">
    <w:p w14:paraId="176478DB" w14:textId="77777777" w:rsidR="00C64FD3" w:rsidRPr="00477C8B" w:rsidRDefault="00C64FD3" w:rsidP="00C64FD3">
      <w:pPr>
        <w:pStyle w:val="FootnoteText"/>
      </w:pPr>
      <w:r w:rsidRPr="00477C8B">
        <w:rPr>
          <w:rStyle w:val="FootnoteReference"/>
        </w:rPr>
        <w:footnoteRef/>
      </w:r>
      <w:r w:rsidRPr="00477C8B">
        <w:t xml:space="preserve"> Vadlīnijas centralizēto iepirkumu veikšanai, 1.2.2. un 1.2.3. punkts</w:t>
      </w:r>
    </w:p>
  </w:footnote>
  <w:footnote w:id="28">
    <w:p w14:paraId="631A2390" w14:textId="77777777" w:rsidR="00A951D2" w:rsidRPr="00477C8B" w:rsidRDefault="00A951D2" w:rsidP="004B6948">
      <w:pPr>
        <w:pStyle w:val="FootnoteText"/>
        <w:jc w:val="both"/>
      </w:pPr>
      <w:r w:rsidRPr="00477C8B">
        <w:rPr>
          <w:rStyle w:val="FootnoteReference"/>
        </w:rPr>
        <w:footnoteRef/>
      </w:r>
      <w:r w:rsidRPr="00477C8B">
        <w:t xml:space="preserve"> Ģenerālprokuratūra tika izvēlēta, jo CPL 90. panta pirmā daļa nosaka, ka prokurors ir tiesīgs piedalīties lietas izskatīšanā, ja viņš ir cēlis prasību, iesniedzis pieteikumu vai viņa piedalīšanās ir obligāta. Savukārt, minētā panta otrās daļas 1. punktā norādīts, ka prokuroram ir tiesības celt prasību vai iesniegt pieteikumu tiesā, ja tas ir nepieciešams likumā noteikto valsts vai pašvaldības tiesību un interešu aizsardzībai. Tādējādi faktiski jau šobrīd Ģenerālprokuratūrai būtu tiesības celt prasības par zaudējumu atlīdzināšanu par konkurences tiesību pārkāpumiem, kas pēc savas būtības arī ir prasības valsts un pašvaldību tiesību un interešu aizsardzībai.</w:t>
      </w:r>
    </w:p>
  </w:footnote>
  <w:footnote w:id="29">
    <w:p w14:paraId="7CD3472A" w14:textId="77777777" w:rsidR="00A951D2" w:rsidRPr="00477C8B" w:rsidRDefault="00A951D2" w:rsidP="004B6948">
      <w:pPr>
        <w:pStyle w:val="FootnoteText"/>
        <w:jc w:val="both"/>
      </w:pPr>
      <w:r w:rsidRPr="00477C8B">
        <w:rPr>
          <w:rStyle w:val="FootnoteReference"/>
        </w:rPr>
        <w:footnoteRef/>
      </w:r>
      <w:r w:rsidRPr="00477C8B">
        <w:t xml:space="preserve"> Valsts kontrole tika izvēlēta, jo Valsts kontroles likumā no 01.08.2019. ir iekļauts 57.</w:t>
      </w:r>
      <w:r w:rsidRPr="00477C8B">
        <w:rPr>
          <w:vertAlign w:val="superscript"/>
        </w:rPr>
        <w:t>1</w:t>
      </w:r>
      <w:r w:rsidRPr="00477C8B">
        <w:t xml:space="preserve"> pants, kas nosaka, ka Valsts kontrole pēc tam, kad stājies spēkā lēmums par revīzijas ziņojuma apstiprināšanu, veic šajā likumā noteiktos pasākumus, lai informētu kompetentās iestādes par revīzijā konstatētajiem tiesību normu pārkāpumiem, sekotu to izskatīšanas gaitai, kā arī lemj par revīzijā konstatētās nelikumīgās rīcības rezultātā nodarīto zaudējumu piedziņu.</w:t>
      </w:r>
    </w:p>
  </w:footnote>
  <w:footnote w:id="30">
    <w:p w14:paraId="505E2020" w14:textId="17E42F01" w:rsidR="00A951D2" w:rsidRPr="00477C8B" w:rsidRDefault="00A951D2" w:rsidP="004B6948">
      <w:pPr>
        <w:pStyle w:val="FootnoteText"/>
        <w:jc w:val="both"/>
      </w:pPr>
      <w:r w:rsidRPr="00477C8B">
        <w:rPr>
          <w:rStyle w:val="FootnoteReference"/>
        </w:rPr>
        <w:footnoteRef/>
      </w:r>
      <w:r w:rsidRPr="00477C8B">
        <w:t xml:space="preserve"> Possessor tika izvēlēt</w:t>
      </w:r>
      <w:r w:rsidR="004B6948">
        <w:t>s</w:t>
      </w:r>
      <w:r w:rsidRPr="00477C8B">
        <w:t>, jo t</w:t>
      </w:r>
      <w:r w:rsidR="004B6948">
        <w:t>as</w:t>
      </w:r>
      <w:r w:rsidRPr="00477C8B">
        <w:t xml:space="preserve"> jau šobrīd deleģēto valsts pārvaldes uzdevumu ietvaros īsteno tās interešu aizstāvību tiesvedības procesos un ta</w:t>
      </w:r>
      <w:r w:rsidR="004B6948">
        <w:t>m</w:t>
      </w:r>
      <w:r w:rsidRPr="00477C8B">
        <w:t xml:space="preserve"> ir pieredze zaudējumu atlīdzības civiltiesiskos strīdos, kā arī ir nepieciešamā pieredze un eksperti (ekonomisti, finansisti). </w:t>
      </w:r>
    </w:p>
  </w:footnote>
  <w:footnote w:id="31">
    <w:p w14:paraId="46034DDB" w14:textId="77777777" w:rsidR="00A951D2" w:rsidRPr="00477C8B" w:rsidRDefault="00A951D2" w:rsidP="004B6948">
      <w:pPr>
        <w:pStyle w:val="FootnoteText"/>
        <w:jc w:val="both"/>
      </w:pPr>
      <w:r w:rsidRPr="00477C8B">
        <w:rPr>
          <w:rStyle w:val="FootnoteReference"/>
        </w:rPr>
        <w:footnoteRef/>
      </w:r>
      <w:r w:rsidRPr="00477C8B">
        <w:t xml:space="preserve"> Latvijas Zvērinātu advokātu kolēģija tika izvēlēta, jo tā ir Latvijas zvērinātu advokātu profesionāla korporācija, kas apvieno visus Latvijā praktizējošos zvērinātus advokātus, kas potenciāli ir viskompetentākais ārpakalpojuma sniedzējs prasību par zaudējumu atlīdzināšanu vešanā.</w:t>
      </w:r>
    </w:p>
  </w:footnote>
  <w:footnote w:id="32">
    <w:p w14:paraId="265F9812" w14:textId="77777777" w:rsidR="00344A8D" w:rsidRPr="00477C8B" w:rsidRDefault="00344A8D" w:rsidP="00344A8D">
      <w:pPr>
        <w:pStyle w:val="FootnoteText"/>
      </w:pPr>
      <w:r w:rsidRPr="00477C8B">
        <w:rPr>
          <w:rStyle w:val="FootnoteReference"/>
        </w:rPr>
        <w:footnoteRef/>
      </w:r>
      <w:r w:rsidRPr="00477C8B">
        <w:t xml:space="preserve"> Ģenerālprokuratūras 20.12.2021. vēstule Nr. N-101-2021-00514.</w:t>
      </w:r>
    </w:p>
  </w:footnote>
  <w:footnote w:id="33">
    <w:p w14:paraId="3C599F4A" w14:textId="77777777" w:rsidR="00344A8D" w:rsidRPr="00477C8B" w:rsidRDefault="00344A8D" w:rsidP="00344A8D">
      <w:pPr>
        <w:pStyle w:val="FootnoteText"/>
      </w:pPr>
      <w:r w:rsidRPr="00477C8B">
        <w:rPr>
          <w:rStyle w:val="FootnoteReference"/>
        </w:rPr>
        <w:footnoteRef/>
      </w:r>
      <w:r w:rsidRPr="00477C8B">
        <w:t xml:space="preserve"> Valsts kontroles 25.01.2022. vēstule Nr. 14-3.5.4.1e/9.</w:t>
      </w:r>
    </w:p>
  </w:footnote>
  <w:footnote w:id="34">
    <w:p w14:paraId="6BED140D" w14:textId="20CFD293" w:rsidR="00137528" w:rsidRDefault="00137528" w:rsidP="00137528">
      <w:pPr>
        <w:pStyle w:val="FootnoteText"/>
        <w:jc w:val="both"/>
      </w:pPr>
      <w:r>
        <w:rPr>
          <w:rStyle w:val="FootnoteReference"/>
        </w:rPr>
        <w:footnoteRef/>
      </w:r>
      <w:r>
        <w:t xml:space="preserve"> Ģenerālprokuratūras 21.06.2022. vēstule Nr. </w:t>
      </w:r>
      <w:fldSimple w:instr=" DOCPROPERTY  #DOC_NR#  \* MERGEFORMAT ">
        <w:r>
          <w:t>N-101-2022-00256</w:t>
        </w:r>
      </w:fldSimple>
      <w:r>
        <w:t xml:space="preserve">, kurā tiek norādīts, ka </w:t>
      </w:r>
      <w:r>
        <w:rPr>
          <w:color w:val="000000" w:themeColor="text1"/>
        </w:rPr>
        <w:t>02.03.2022. uzsākta prokurora pārbaude saskaņā ar Prokuratūras likuma 16.panta otrās daļas 1. punktu, kuras ietvaros publiskajām personām nosūtīti pieprasījumi sniegt ziņas par to vai sakarā ar KP lēmumā konstatētajiem faktiem ir celta prasība tiesā  pret konkurences pārkāpumā vainīgajām personām, vai arī zaudējumu atlīdzība panākta ārpustiesas procesā</w:t>
      </w:r>
    </w:p>
  </w:footnote>
  <w:footnote w:id="35">
    <w:p w14:paraId="59C5BCDA" w14:textId="77777777" w:rsidR="00905BD3" w:rsidRPr="00477C8B" w:rsidRDefault="00905BD3" w:rsidP="00905BD3">
      <w:pPr>
        <w:pStyle w:val="FootnoteText"/>
      </w:pPr>
      <w:r w:rsidRPr="00477C8B">
        <w:rPr>
          <w:rStyle w:val="FootnoteReference"/>
        </w:rPr>
        <w:footnoteRef/>
      </w:r>
      <w:r w:rsidRPr="00477C8B">
        <w:t xml:space="preserve"> Ģenerālprokuratūras 20.12.2021. vēstule Nr. N-101-2021-00514.</w:t>
      </w:r>
    </w:p>
  </w:footnote>
  <w:footnote w:id="36">
    <w:p w14:paraId="10CD2616" w14:textId="77777777" w:rsidR="00905BD3" w:rsidRPr="00477C8B" w:rsidRDefault="00905BD3" w:rsidP="00905BD3">
      <w:pPr>
        <w:pStyle w:val="FootnoteText"/>
      </w:pPr>
      <w:r w:rsidRPr="00477C8B">
        <w:rPr>
          <w:rStyle w:val="FootnoteReference"/>
        </w:rPr>
        <w:footnoteRef/>
      </w:r>
      <w:r w:rsidRPr="00477C8B">
        <w:t xml:space="preserve"> CPL 43. panta pirmās daļas 1. punkts.</w:t>
      </w:r>
    </w:p>
  </w:footnote>
  <w:footnote w:id="37">
    <w:p w14:paraId="293AE333" w14:textId="77777777" w:rsidR="00905BD3" w:rsidRPr="00477C8B" w:rsidRDefault="00905BD3" w:rsidP="00905BD3">
      <w:pPr>
        <w:pStyle w:val="FootnoteText"/>
      </w:pPr>
      <w:r w:rsidRPr="00477C8B">
        <w:rPr>
          <w:rStyle w:val="FootnoteReference"/>
        </w:rPr>
        <w:footnoteRef/>
      </w:r>
      <w:r w:rsidRPr="00477C8B">
        <w:t xml:space="preserve"> CPL 43. panta pirmās daļas 2. punkts.</w:t>
      </w:r>
    </w:p>
  </w:footnote>
  <w:footnote w:id="38">
    <w:p w14:paraId="532AE0C3" w14:textId="77777777" w:rsidR="00905BD3" w:rsidRPr="00477C8B" w:rsidRDefault="00905BD3" w:rsidP="00905BD3">
      <w:pPr>
        <w:pStyle w:val="FootnoteText"/>
      </w:pPr>
      <w:r w:rsidRPr="00477C8B">
        <w:rPr>
          <w:rStyle w:val="FootnoteReference"/>
        </w:rPr>
        <w:footnoteRef/>
      </w:r>
      <w:r w:rsidRPr="00477C8B">
        <w:t xml:space="preserve"> CPL 43. panta pirmās daļas 4. punkts.</w:t>
      </w:r>
    </w:p>
  </w:footnote>
  <w:footnote w:id="39">
    <w:p w14:paraId="2EFD6C63" w14:textId="77777777" w:rsidR="00905BD3" w:rsidRPr="00477C8B" w:rsidRDefault="00905BD3" w:rsidP="00905BD3">
      <w:pPr>
        <w:pStyle w:val="FootnoteText"/>
      </w:pPr>
      <w:r w:rsidRPr="00477C8B">
        <w:rPr>
          <w:rStyle w:val="FootnoteReference"/>
        </w:rPr>
        <w:footnoteRef/>
      </w:r>
      <w:r w:rsidRPr="00477C8B">
        <w:t xml:space="preserve"> CPL 43. panta pirmās daļas 3.</w:t>
      </w:r>
      <w:r w:rsidRPr="00477C8B">
        <w:rPr>
          <w:vertAlign w:val="superscript"/>
        </w:rPr>
        <w:t>1</w:t>
      </w:r>
      <w:r w:rsidRPr="00477C8B">
        <w:t> punkts un 8. punkts.</w:t>
      </w:r>
    </w:p>
  </w:footnote>
  <w:footnote w:id="40">
    <w:p w14:paraId="4B33D9BF" w14:textId="77777777" w:rsidR="00905BD3" w:rsidRPr="00477C8B" w:rsidRDefault="00905BD3" w:rsidP="00905BD3">
      <w:pPr>
        <w:pStyle w:val="FootnoteText"/>
      </w:pPr>
      <w:r w:rsidRPr="00477C8B">
        <w:rPr>
          <w:rStyle w:val="FootnoteReference"/>
        </w:rPr>
        <w:footnoteRef/>
      </w:r>
      <w:r w:rsidRPr="00477C8B">
        <w:t xml:space="preserve"> CPL 43. panta pirmās daļas 6.</w:t>
      </w:r>
      <w:r w:rsidRPr="00477C8B">
        <w:rPr>
          <w:vertAlign w:val="superscript"/>
        </w:rPr>
        <w:t>1</w:t>
      </w:r>
      <w:r w:rsidRPr="00477C8B">
        <w:t> punkts.</w:t>
      </w:r>
    </w:p>
  </w:footnote>
  <w:footnote w:id="41">
    <w:p w14:paraId="1F354EAD" w14:textId="77777777" w:rsidR="00905BD3" w:rsidRPr="00477C8B" w:rsidRDefault="00905BD3" w:rsidP="00905BD3">
      <w:pPr>
        <w:pStyle w:val="FootnoteText"/>
      </w:pPr>
      <w:r w:rsidRPr="00477C8B">
        <w:rPr>
          <w:rStyle w:val="FootnoteReference"/>
        </w:rPr>
        <w:footnoteRef/>
      </w:r>
      <w:r w:rsidRPr="00477C8B">
        <w:t xml:space="preserve"> CPL 43. panta pirmās daļas 5. punkts.</w:t>
      </w:r>
    </w:p>
  </w:footnote>
  <w:footnote w:id="42">
    <w:p w14:paraId="5B1817F7" w14:textId="77777777" w:rsidR="00905BD3" w:rsidRPr="00477C8B" w:rsidRDefault="00905BD3" w:rsidP="00905BD3">
      <w:pPr>
        <w:pStyle w:val="FootnoteText"/>
      </w:pPr>
      <w:r w:rsidRPr="00477C8B">
        <w:rPr>
          <w:rStyle w:val="FootnoteReference"/>
        </w:rPr>
        <w:footnoteRef/>
      </w:r>
      <w:r w:rsidRPr="00477C8B">
        <w:t xml:space="preserve"> CPL 43. panta pirmās daļas 11. punkts..</w:t>
      </w:r>
    </w:p>
  </w:footnote>
  <w:footnote w:id="43">
    <w:p w14:paraId="465C45C2" w14:textId="77777777" w:rsidR="00905BD3" w:rsidRPr="00477C8B" w:rsidRDefault="00905BD3" w:rsidP="008820E7">
      <w:pPr>
        <w:pStyle w:val="FootnoteText"/>
        <w:jc w:val="both"/>
      </w:pPr>
      <w:r w:rsidRPr="00477C8B">
        <w:rPr>
          <w:rStyle w:val="FootnoteReference"/>
        </w:rPr>
        <w:footnoteRef/>
      </w:r>
      <w:r w:rsidRPr="00477C8B">
        <w:t xml:space="preserve"> Nodokļu (nodevu) administrācija pieteikumos juridiskās personas maksātnespējas procesa lietās (CPL 43. panta pirmās daļas 12. punkts), Pilsonības un migrācijas lietu pārvalde lietās par Latvijas pilsonības atņemšanu (CPL 43. panta pirmās daļas 13. punkts) un Valsts sociālās apdrošināšanas aģentūra lietās par finanšu līdzekļu atgūšanu valsts budžetā daļā par sociālās apdrošināšanas pakalpojumu vai valsts sociālo pabalstu pārmaksu un sociālās apdrošināšanas pakalpojumu vai valsts sociālo pabalstu izmaksu sakarā ar ceļu satiksmes negadījumiem (CPL 43. panta pirmās daļas 14. punkts).</w:t>
      </w:r>
    </w:p>
  </w:footnote>
  <w:footnote w:id="44">
    <w:p w14:paraId="67C518F2" w14:textId="77777777" w:rsidR="00F17A1D" w:rsidRPr="00477C8B" w:rsidRDefault="00F17A1D" w:rsidP="00F17A1D">
      <w:pPr>
        <w:pStyle w:val="FootnoteText"/>
      </w:pPr>
      <w:r w:rsidRPr="00477C8B">
        <w:rPr>
          <w:rStyle w:val="FootnoteReference"/>
        </w:rPr>
        <w:footnoteRef/>
      </w:r>
      <w:r w:rsidRPr="00477C8B">
        <w:t xml:space="preserve"> Pieejams: </w:t>
      </w:r>
      <w:hyperlink r:id="rId10" w:history="1">
        <w:r w:rsidRPr="00477C8B">
          <w:rPr>
            <w:rStyle w:val="Hyperlink"/>
          </w:rPr>
          <w:t>https://www.kp.gov.lv/lv/media/9682/download</w:t>
        </w:r>
      </w:hyperlink>
      <w:r w:rsidRPr="00477C8B">
        <w:t>.</w:t>
      </w:r>
    </w:p>
  </w:footnote>
  <w:footnote w:id="45">
    <w:p w14:paraId="7C1609A6" w14:textId="77777777" w:rsidR="00C9340C" w:rsidRPr="00C9340C" w:rsidRDefault="00C9340C" w:rsidP="00C9340C">
      <w:pPr>
        <w:jc w:val="both"/>
        <w:rPr>
          <w:sz w:val="20"/>
          <w:szCs w:val="20"/>
        </w:rPr>
      </w:pPr>
      <w:r>
        <w:rPr>
          <w:rStyle w:val="FootnoteReference"/>
        </w:rPr>
        <w:footnoteRef/>
      </w:r>
      <w:r>
        <w:t xml:space="preserve"> </w:t>
      </w:r>
      <w:r w:rsidRPr="00C9340C">
        <w:rPr>
          <w:sz w:val="20"/>
          <w:szCs w:val="20"/>
        </w:rPr>
        <w:t>TM tikšanās laikā ar KP pārstāvjiem sniedza konsultāciju saistībā ar izvēlētā modeļa atbilstību tiesiskajam regulējumam, t.i., atsevišķas struktūrvienības izveidi KP ietvaros, kā arī norādīja uz līdzīgu risinājumu sekojošā piemērā.</w:t>
      </w:r>
    </w:p>
    <w:p w14:paraId="6F5E2F3C" w14:textId="4F3BE929" w:rsidR="00C9340C" w:rsidRDefault="00C9340C" w:rsidP="00C9340C">
      <w:pPr>
        <w:jc w:val="both"/>
      </w:pPr>
      <w:r w:rsidRPr="00C9340C">
        <w:rPr>
          <w:i/>
          <w:iCs/>
          <w:sz w:val="20"/>
          <w:szCs w:val="20"/>
        </w:rPr>
        <w:t>Piemērs</w:t>
      </w:r>
      <w:r w:rsidRPr="00C9340C">
        <w:rPr>
          <w:sz w:val="20"/>
          <w:szCs w:val="20"/>
        </w:rPr>
        <w:t>. Bērna māja ir projekts bērna labāko interešu ievērošanā, ja bērns ir cietis no vardarbības. Bērna māja darbosies kā Valsts bērnu tiesību aizsardzības inspekcijas (turpmāk – VBTAI) struktūrvienība. Līdz šim Bērnu mājas sadarbības modelis nebija reglamentēts, tagad to paredz likumprojekts “</w:t>
      </w:r>
      <w:hyperlink r:id="rId11" w:history="1">
        <w:r w:rsidRPr="00C9340C">
          <w:rPr>
            <w:rStyle w:val="Hyperlink"/>
            <w:sz w:val="20"/>
            <w:szCs w:val="20"/>
          </w:rPr>
          <w:t>Grozījumi Bērnu tiesību aizsardzības likumā</w:t>
        </w:r>
      </w:hyperlink>
      <w:r w:rsidRPr="00C9340C">
        <w:rPr>
          <w:sz w:val="20"/>
          <w:szCs w:val="20"/>
        </w:rPr>
        <w:t xml:space="preserve">”. </w:t>
      </w:r>
      <w:r w:rsidRPr="00C9340C">
        <w:rPr>
          <w:color w:val="333333"/>
          <w:sz w:val="20"/>
          <w:szCs w:val="20"/>
          <w:shd w:val="clear" w:color="auto" w:fill="FFFFFF"/>
        </w:rPr>
        <w:t xml:space="preserve">Savukārt </w:t>
      </w:r>
      <w:hyperlink r:id="rId12" w:history="1">
        <w:r w:rsidRPr="00C9340C">
          <w:rPr>
            <w:rStyle w:val="Hyperlink"/>
            <w:sz w:val="20"/>
            <w:szCs w:val="20"/>
            <w:shd w:val="clear" w:color="auto" w:fill="FFFFFF"/>
          </w:rPr>
          <w:t>lēmums</w:t>
        </w:r>
      </w:hyperlink>
      <w:r w:rsidRPr="00C9340C">
        <w:rPr>
          <w:color w:val="333333"/>
          <w:sz w:val="20"/>
          <w:szCs w:val="20"/>
          <w:shd w:val="clear" w:color="auto" w:fill="FFFFFF"/>
        </w:rPr>
        <w:t xml:space="preserve"> par atsevišķas VBTAI struktūrvienības izveidi pieņemts jau 2022. gada 1. jūnijā. </w:t>
      </w:r>
      <w:r w:rsidRPr="00C9340C">
        <w:rPr>
          <w:sz w:val="20"/>
          <w:szCs w:val="20"/>
        </w:rPr>
        <w:t xml:space="preserve">No likumprojekta izriet, ka struktūrvienības uzraudzību īstenos koleģiāla institūcija (padome), kas sastāv no dažādu institūciju pārstāvjiem, kuras darbību organizēs </w:t>
      </w:r>
      <w:r w:rsidRPr="00C9340C">
        <w:rPr>
          <w:color w:val="333333"/>
          <w:sz w:val="20"/>
          <w:szCs w:val="20"/>
          <w:shd w:val="clear" w:color="auto" w:fill="FFFFFF"/>
        </w:rPr>
        <w:t xml:space="preserve">VBTAI. </w:t>
      </w:r>
    </w:p>
  </w:footnote>
  <w:footnote w:id="46">
    <w:p w14:paraId="61895D54" w14:textId="77777777" w:rsidR="003C77B5" w:rsidRDefault="003C77B5" w:rsidP="003C77B5">
      <w:pPr>
        <w:pStyle w:val="FootnoteText"/>
        <w:jc w:val="both"/>
      </w:pPr>
      <w:r>
        <w:rPr>
          <w:rStyle w:val="FootnoteReference"/>
        </w:rPr>
        <w:footnoteRef/>
      </w:r>
      <w:r>
        <w:t xml:space="preserve"> </w:t>
      </w:r>
      <w:r w:rsidRPr="006C0AC2">
        <w:rPr>
          <w:rStyle w:val="ui-provider"/>
        </w:rPr>
        <w:t>2023. gada 24. august</w:t>
      </w:r>
      <w:r>
        <w:rPr>
          <w:rStyle w:val="ui-provider"/>
        </w:rPr>
        <w:t>a Valsts sekretāru sanāksmē (prot. Nr. 25  </w:t>
      </w:r>
      <w:r w:rsidRPr="006C0AC2">
        <w:rPr>
          <w:bCs/>
        </w:rPr>
        <w:t>1.§</w:t>
      </w:r>
      <w:r>
        <w:rPr>
          <w:bCs/>
        </w:rPr>
        <w:t>  2.punkts</w:t>
      </w:r>
      <w:r w:rsidRPr="006C0AC2">
        <w:rPr>
          <w:rStyle w:val="ui-provider"/>
          <w:bCs/>
        </w:rPr>
        <w:t>)</w:t>
      </w:r>
      <w:r>
        <w:rPr>
          <w:rStyle w:val="ui-provider"/>
        </w:rPr>
        <w:t xml:space="preserve">  tika dots uzdevums </w:t>
      </w:r>
      <w:r>
        <w:t xml:space="preserve">Ekonomikas ministrijai organizēt starpinstitūciju sanāksmi ar ministrijām un Valsts kanceleju, lai izvērtētu iespēju nepieciešamās amata vietas rast kopējo vakanto amata vietu ietvaros. Apzinot iepriekš minēto mērķauditoriju, KP jaunās funkcijas īstenošanai nepieciešamo amata vietu skaitu neizdevās rast. Vienlaikus Ministru kabineta 2023.gada 1.novembra ārkārtas sēdē, izskatot likumprojektu “Par valsts budžetu 2024.gadam un budžeta ietvaru 2024., 2025. un 2026.gadam” </w:t>
      </w:r>
      <w:r>
        <w:rPr>
          <w:rStyle w:val="ui-provider"/>
        </w:rPr>
        <w:t>(prot. Nr. 55  </w:t>
      </w:r>
      <w:r w:rsidRPr="006C0AC2">
        <w:rPr>
          <w:bCs/>
        </w:rPr>
        <w:t>1.§</w:t>
      </w:r>
      <w:r>
        <w:rPr>
          <w:bCs/>
        </w:rPr>
        <w:t>  10.3.apakšpunkts</w:t>
      </w:r>
      <w:r w:rsidRPr="006C0AC2">
        <w:rPr>
          <w:rStyle w:val="ui-provider"/>
          <w:bCs/>
        </w:rPr>
        <w:t>)</w:t>
      </w:r>
      <w:r>
        <w:rPr>
          <w:rStyle w:val="ui-provider"/>
          <w:bCs/>
        </w:rPr>
        <w:t>, pieņemts zināšanai, ka KP ar 2024.gadu paredz izveidot sešas jaunas amata vietas prioritārā pasākuma "Atbalsta sniegšana publiskajiem pasūtītājiem karteļa vienošanās rezultātā nodarīto zaudējumu atgūšanā“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326A" w14:textId="6423F0A4" w:rsidR="001D08EC" w:rsidRDefault="001D08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105C"/>
    <w:multiLevelType w:val="hybridMultilevel"/>
    <w:tmpl w:val="794484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995F1F"/>
    <w:multiLevelType w:val="hybridMultilevel"/>
    <w:tmpl w:val="D5D87792"/>
    <w:lvl w:ilvl="0" w:tplc="A5C8797A">
      <w:start w:val="1"/>
      <w:numFmt w:val="decimal"/>
      <w:lvlText w:val="%1)"/>
      <w:lvlJc w:val="left"/>
      <w:pPr>
        <w:ind w:left="1069" w:hanging="360"/>
      </w:pPr>
      <w:rPr>
        <w:rFonts w:hint="default"/>
        <w:i w:val="0"/>
        <w:i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D56516C"/>
    <w:multiLevelType w:val="hybridMultilevel"/>
    <w:tmpl w:val="6AF23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0E2E64"/>
    <w:multiLevelType w:val="hybridMultilevel"/>
    <w:tmpl w:val="AD66BB6C"/>
    <w:lvl w:ilvl="0" w:tplc="D1E0179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3F4A14"/>
    <w:multiLevelType w:val="hybridMultilevel"/>
    <w:tmpl w:val="468AA1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7C5216"/>
    <w:multiLevelType w:val="hybridMultilevel"/>
    <w:tmpl w:val="861A0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38312B"/>
    <w:multiLevelType w:val="hybridMultilevel"/>
    <w:tmpl w:val="F642D46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C14097"/>
    <w:multiLevelType w:val="multilevel"/>
    <w:tmpl w:val="555AC92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C2708C"/>
    <w:multiLevelType w:val="hybridMultilevel"/>
    <w:tmpl w:val="EA7E9A90"/>
    <w:lvl w:ilvl="0" w:tplc="C67E62D4">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9" w15:restartNumberingAfterBreak="0">
    <w:nsid w:val="2F1B5736"/>
    <w:multiLevelType w:val="hybridMultilevel"/>
    <w:tmpl w:val="861A01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F50379"/>
    <w:multiLevelType w:val="hybridMultilevel"/>
    <w:tmpl w:val="E1F29E1C"/>
    <w:lvl w:ilvl="0" w:tplc="04260011">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5E84D4D"/>
    <w:multiLevelType w:val="hybridMultilevel"/>
    <w:tmpl w:val="1BD04854"/>
    <w:lvl w:ilvl="0" w:tplc="BF4684A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5F00D3"/>
    <w:multiLevelType w:val="hybridMultilevel"/>
    <w:tmpl w:val="2BA8423C"/>
    <w:lvl w:ilvl="0" w:tplc="452E42A2">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8F198C"/>
    <w:multiLevelType w:val="multilevel"/>
    <w:tmpl w:val="555AC92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232305E"/>
    <w:multiLevelType w:val="hybridMultilevel"/>
    <w:tmpl w:val="6BA0757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55A44BF"/>
    <w:multiLevelType w:val="multilevel"/>
    <w:tmpl w:val="93FE0D50"/>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B77526A"/>
    <w:multiLevelType w:val="multilevel"/>
    <w:tmpl w:val="826499AA"/>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5335E4"/>
    <w:multiLevelType w:val="hybridMultilevel"/>
    <w:tmpl w:val="674A1CB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7A75C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4A2918"/>
    <w:multiLevelType w:val="hybridMultilevel"/>
    <w:tmpl w:val="793A3604"/>
    <w:lvl w:ilvl="0" w:tplc="C67E62D4">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5D055409"/>
    <w:multiLevelType w:val="hybridMultilevel"/>
    <w:tmpl w:val="861A0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EA65F9"/>
    <w:multiLevelType w:val="hybridMultilevel"/>
    <w:tmpl w:val="B6EC10D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26872C0"/>
    <w:multiLevelType w:val="hybridMultilevel"/>
    <w:tmpl w:val="958CC572"/>
    <w:lvl w:ilvl="0" w:tplc="D946E1D8">
      <w:start w:val="1"/>
      <w:numFmt w:val="lowerLetter"/>
      <w:lvlText w:val="%1)"/>
      <w:lvlJc w:val="left"/>
      <w:pPr>
        <w:ind w:left="1440" w:hanging="360"/>
      </w:pPr>
      <w:rPr>
        <w:rFonts w:eastAsia="Times New Roman" w:cs="Times New Roman" w:hint="default"/>
        <w:color w:val="000000" w:themeColor="text1"/>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665E6048"/>
    <w:multiLevelType w:val="hybridMultilevel"/>
    <w:tmpl w:val="6F8A9094"/>
    <w:lvl w:ilvl="0" w:tplc="09C066B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678228DB"/>
    <w:multiLevelType w:val="hybridMultilevel"/>
    <w:tmpl w:val="34F06A3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9565D36"/>
    <w:multiLevelType w:val="hybridMultilevel"/>
    <w:tmpl w:val="57A250A6"/>
    <w:lvl w:ilvl="0" w:tplc="4A66917E">
      <w:start w:val="1"/>
      <w:numFmt w:val="bullet"/>
      <w:lvlRestart w:val="0"/>
      <w:lvlText w:val=""/>
      <w:lvlJc w:val="left"/>
      <w:pPr>
        <w:ind w:left="0" w:firstLine="705"/>
      </w:pPr>
      <w:rPr>
        <w:u w:val="none"/>
      </w:rPr>
    </w:lvl>
    <w:lvl w:ilvl="1" w:tplc="2D98881C">
      <w:numFmt w:val="decimal"/>
      <w:lvlText w:val=""/>
      <w:lvlJc w:val="left"/>
    </w:lvl>
    <w:lvl w:ilvl="2" w:tplc="4376928A">
      <w:numFmt w:val="decimal"/>
      <w:lvlText w:val=""/>
      <w:lvlJc w:val="left"/>
    </w:lvl>
    <w:lvl w:ilvl="3" w:tplc="1B888A28">
      <w:numFmt w:val="decimal"/>
      <w:lvlText w:val=""/>
      <w:lvlJc w:val="left"/>
    </w:lvl>
    <w:lvl w:ilvl="4" w:tplc="B5C2605E">
      <w:numFmt w:val="decimal"/>
      <w:lvlText w:val=""/>
      <w:lvlJc w:val="left"/>
    </w:lvl>
    <w:lvl w:ilvl="5" w:tplc="4E1E4F94">
      <w:numFmt w:val="decimal"/>
      <w:lvlText w:val=""/>
      <w:lvlJc w:val="left"/>
    </w:lvl>
    <w:lvl w:ilvl="6" w:tplc="6D968324">
      <w:numFmt w:val="decimal"/>
      <w:lvlText w:val=""/>
      <w:lvlJc w:val="left"/>
    </w:lvl>
    <w:lvl w:ilvl="7" w:tplc="6D445DF2">
      <w:numFmt w:val="decimal"/>
      <w:lvlText w:val=""/>
      <w:lvlJc w:val="left"/>
    </w:lvl>
    <w:lvl w:ilvl="8" w:tplc="6CA2F6F0">
      <w:numFmt w:val="decimal"/>
      <w:lvlText w:val=""/>
      <w:lvlJc w:val="left"/>
    </w:lvl>
  </w:abstractNum>
  <w:abstractNum w:abstractNumId="26" w15:restartNumberingAfterBreak="0">
    <w:nsid w:val="72C01052"/>
    <w:multiLevelType w:val="hybridMultilevel"/>
    <w:tmpl w:val="29C23C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5981C5A"/>
    <w:multiLevelType w:val="hybridMultilevel"/>
    <w:tmpl w:val="A2D08B0E"/>
    <w:lvl w:ilvl="0" w:tplc="65AC158A">
      <w:start w:val="1"/>
      <w:numFmt w:val="lowerLetter"/>
      <w:lvlText w:val="%1)"/>
      <w:lvlJc w:val="left"/>
      <w:pPr>
        <w:ind w:left="760" w:hanging="4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6020B59"/>
    <w:multiLevelType w:val="hybridMultilevel"/>
    <w:tmpl w:val="F1F84D0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FB102BE"/>
    <w:multiLevelType w:val="hybridMultilevel"/>
    <w:tmpl w:val="ABEC28A8"/>
    <w:lvl w:ilvl="0" w:tplc="04260003">
      <w:start w:val="1"/>
      <w:numFmt w:val="bullet"/>
      <w:lvlText w:val="o"/>
      <w:lvlJc w:val="left"/>
      <w:pPr>
        <w:ind w:left="1800" w:hanging="360"/>
      </w:pPr>
      <w:rPr>
        <w:rFonts w:ascii="Courier New" w:hAnsi="Courier New" w:cs="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764963931">
    <w:abstractNumId w:val="7"/>
  </w:num>
  <w:num w:numId="2" w16cid:durableId="249780743">
    <w:abstractNumId w:val="26"/>
  </w:num>
  <w:num w:numId="3" w16cid:durableId="840971064">
    <w:abstractNumId w:val="2"/>
  </w:num>
  <w:num w:numId="4" w16cid:durableId="622079082">
    <w:abstractNumId w:val="16"/>
  </w:num>
  <w:num w:numId="5" w16cid:durableId="425806611">
    <w:abstractNumId w:val="18"/>
  </w:num>
  <w:num w:numId="6" w16cid:durableId="1117019078">
    <w:abstractNumId w:val="17"/>
  </w:num>
  <w:num w:numId="7" w16cid:durableId="526993485">
    <w:abstractNumId w:val="14"/>
  </w:num>
  <w:num w:numId="8" w16cid:durableId="1670668481">
    <w:abstractNumId w:val="28"/>
  </w:num>
  <w:num w:numId="9" w16cid:durableId="27335617">
    <w:abstractNumId w:val="11"/>
  </w:num>
  <w:num w:numId="10" w16cid:durableId="987512582">
    <w:abstractNumId w:val="4"/>
  </w:num>
  <w:num w:numId="11" w16cid:durableId="808668346">
    <w:abstractNumId w:val="13"/>
  </w:num>
  <w:num w:numId="12" w16cid:durableId="1804349141">
    <w:abstractNumId w:val="0"/>
  </w:num>
  <w:num w:numId="13" w16cid:durableId="255289066">
    <w:abstractNumId w:val="12"/>
  </w:num>
  <w:num w:numId="14" w16cid:durableId="751701739">
    <w:abstractNumId w:val="9"/>
  </w:num>
  <w:num w:numId="15" w16cid:durableId="572472540">
    <w:abstractNumId w:val="5"/>
  </w:num>
  <w:num w:numId="16" w16cid:durableId="1335188805">
    <w:abstractNumId w:val="20"/>
  </w:num>
  <w:num w:numId="17" w16cid:durableId="271788824">
    <w:abstractNumId w:val="6"/>
  </w:num>
  <w:num w:numId="18" w16cid:durableId="11149078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7934356">
    <w:abstractNumId w:val="25"/>
  </w:num>
  <w:num w:numId="20" w16cid:durableId="1205411423">
    <w:abstractNumId w:val="29"/>
  </w:num>
  <w:num w:numId="21" w16cid:durableId="1749962408">
    <w:abstractNumId w:val="21"/>
  </w:num>
  <w:num w:numId="22" w16cid:durableId="1380085477">
    <w:abstractNumId w:val="24"/>
  </w:num>
  <w:num w:numId="23" w16cid:durableId="86269345">
    <w:abstractNumId w:val="1"/>
  </w:num>
  <w:num w:numId="24" w16cid:durableId="1789738752">
    <w:abstractNumId w:val="23"/>
  </w:num>
  <w:num w:numId="25" w16cid:durableId="1587615565">
    <w:abstractNumId w:val="3"/>
  </w:num>
  <w:num w:numId="26" w16cid:durableId="373388035">
    <w:abstractNumId w:val="15"/>
  </w:num>
  <w:num w:numId="27" w16cid:durableId="132408644">
    <w:abstractNumId w:val="19"/>
  </w:num>
  <w:num w:numId="28" w16cid:durableId="550114421">
    <w:abstractNumId w:val="22"/>
  </w:num>
  <w:num w:numId="29" w16cid:durableId="2078476263">
    <w:abstractNumId w:val="8"/>
  </w:num>
  <w:num w:numId="30" w16cid:durableId="1204901965">
    <w:abstractNumId w:val="27"/>
  </w:num>
  <w:num w:numId="31" w16cid:durableId="176869175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A2"/>
    <w:rsid w:val="0000132E"/>
    <w:rsid w:val="00002E01"/>
    <w:rsid w:val="00003A35"/>
    <w:rsid w:val="0000437E"/>
    <w:rsid w:val="000047A7"/>
    <w:rsid w:val="00005522"/>
    <w:rsid w:val="00005628"/>
    <w:rsid w:val="00005F6B"/>
    <w:rsid w:val="000066B1"/>
    <w:rsid w:val="000069BC"/>
    <w:rsid w:val="00007782"/>
    <w:rsid w:val="000101E4"/>
    <w:rsid w:val="000104B1"/>
    <w:rsid w:val="00010B31"/>
    <w:rsid w:val="00010DA5"/>
    <w:rsid w:val="00011209"/>
    <w:rsid w:val="000128BB"/>
    <w:rsid w:val="00013AB5"/>
    <w:rsid w:val="00013CA4"/>
    <w:rsid w:val="00015481"/>
    <w:rsid w:val="000163FA"/>
    <w:rsid w:val="000169AA"/>
    <w:rsid w:val="00020255"/>
    <w:rsid w:val="00022D8C"/>
    <w:rsid w:val="00022F64"/>
    <w:rsid w:val="000232FB"/>
    <w:rsid w:val="00023D82"/>
    <w:rsid w:val="000243C1"/>
    <w:rsid w:val="00024B01"/>
    <w:rsid w:val="00024C42"/>
    <w:rsid w:val="00025194"/>
    <w:rsid w:val="000270FC"/>
    <w:rsid w:val="00030837"/>
    <w:rsid w:val="000311ED"/>
    <w:rsid w:val="000312FE"/>
    <w:rsid w:val="0003201A"/>
    <w:rsid w:val="000324F3"/>
    <w:rsid w:val="00032605"/>
    <w:rsid w:val="00032E73"/>
    <w:rsid w:val="000330BA"/>
    <w:rsid w:val="00035097"/>
    <w:rsid w:val="00035394"/>
    <w:rsid w:val="00035B77"/>
    <w:rsid w:val="00035CB3"/>
    <w:rsid w:val="0003600A"/>
    <w:rsid w:val="00036472"/>
    <w:rsid w:val="00036F39"/>
    <w:rsid w:val="00036FED"/>
    <w:rsid w:val="0004026E"/>
    <w:rsid w:val="000404C3"/>
    <w:rsid w:val="000404DE"/>
    <w:rsid w:val="0004064D"/>
    <w:rsid w:val="00040E66"/>
    <w:rsid w:val="00041CFA"/>
    <w:rsid w:val="00042FB1"/>
    <w:rsid w:val="00044DE9"/>
    <w:rsid w:val="00044F4A"/>
    <w:rsid w:val="000453C0"/>
    <w:rsid w:val="000454FF"/>
    <w:rsid w:val="00045BBE"/>
    <w:rsid w:val="000463C0"/>
    <w:rsid w:val="000472F6"/>
    <w:rsid w:val="0004792C"/>
    <w:rsid w:val="00047C4B"/>
    <w:rsid w:val="000505E8"/>
    <w:rsid w:val="0005121D"/>
    <w:rsid w:val="00051465"/>
    <w:rsid w:val="00051AAD"/>
    <w:rsid w:val="000543D9"/>
    <w:rsid w:val="0005446B"/>
    <w:rsid w:val="00054C84"/>
    <w:rsid w:val="00055BB2"/>
    <w:rsid w:val="00055F05"/>
    <w:rsid w:val="00056267"/>
    <w:rsid w:val="00056A40"/>
    <w:rsid w:val="00057237"/>
    <w:rsid w:val="00060741"/>
    <w:rsid w:val="00060E4F"/>
    <w:rsid w:val="000619F7"/>
    <w:rsid w:val="0006283D"/>
    <w:rsid w:val="00062B70"/>
    <w:rsid w:val="000636DE"/>
    <w:rsid w:val="00064A79"/>
    <w:rsid w:val="00064ACA"/>
    <w:rsid w:val="00064EB6"/>
    <w:rsid w:val="00065997"/>
    <w:rsid w:val="00065F5E"/>
    <w:rsid w:val="0006618D"/>
    <w:rsid w:val="00066CC0"/>
    <w:rsid w:val="00070351"/>
    <w:rsid w:val="00070B5A"/>
    <w:rsid w:val="0007241C"/>
    <w:rsid w:val="0007244B"/>
    <w:rsid w:val="00072B89"/>
    <w:rsid w:val="00073191"/>
    <w:rsid w:val="0007428B"/>
    <w:rsid w:val="0007551E"/>
    <w:rsid w:val="00075913"/>
    <w:rsid w:val="00075F4D"/>
    <w:rsid w:val="000766F3"/>
    <w:rsid w:val="00080CFA"/>
    <w:rsid w:val="00081384"/>
    <w:rsid w:val="0008140C"/>
    <w:rsid w:val="0008184E"/>
    <w:rsid w:val="00082449"/>
    <w:rsid w:val="00082995"/>
    <w:rsid w:val="000836C5"/>
    <w:rsid w:val="00083B2F"/>
    <w:rsid w:val="000842B0"/>
    <w:rsid w:val="000843D3"/>
    <w:rsid w:val="0008451C"/>
    <w:rsid w:val="0008457F"/>
    <w:rsid w:val="00084C94"/>
    <w:rsid w:val="00084DDC"/>
    <w:rsid w:val="00085614"/>
    <w:rsid w:val="0008646B"/>
    <w:rsid w:val="00087ACE"/>
    <w:rsid w:val="0009008A"/>
    <w:rsid w:val="0009018B"/>
    <w:rsid w:val="000907E3"/>
    <w:rsid w:val="00091332"/>
    <w:rsid w:val="00091679"/>
    <w:rsid w:val="00091E0A"/>
    <w:rsid w:val="0009361D"/>
    <w:rsid w:val="00093857"/>
    <w:rsid w:val="00095B7F"/>
    <w:rsid w:val="00096D9D"/>
    <w:rsid w:val="00097C35"/>
    <w:rsid w:val="000A0279"/>
    <w:rsid w:val="000A04B1"/>
    <w:rsid w:val="000A0ED2"/>
    <w:rsid w:val="000A1501"/>
    <w:rsid w:val="000A1C92"/>
    <w:rsid w:val="000A1E82"/>
    <w:rsid w:val="000A24C8"/>
    <w:rsid w:val="000A2D31"/>
    <w:rsid w:val="000A2EB6"/>
    <w:rsid w:val="000A5A4C"/>
    <w:rsid w:val="000A5D6C"/>
    <w:rsid w:val="000A615C"/>
    <w:rsid w:val="000A648C"/>
    <w:rsid w:val="000B0141"/>
    <w:rsid w:val="000B03A5"/>
    <w:rsid w:val="000B04F4"/>
    <w:rsid w:val="000B0653"/>
    <w:rsid w:val="000B0A2B"/>
    <w:rsid w:val="000B1835"/>
    <w:rsid w:val="000B31F0"/>
    <w:rsid w:val="000B32F3"/>
    <w:rsid w:val="000B392E"/>
    <w:rsid w:val="000B3FA5"/>
    <w:rsid w:val="000B4E37"/>
    <w:rsid w:val="000B4F28"/>
    <w:rsid w:val="000B5AB1"/>
    <w:rsid w:val="000B5C1B"/>
    <w:rsid w:val="000B63B7"/>
    <w:rsid w:val="000B6748"/>
    <w:rsid w:val="000B6971"/>
    <w:rsid w:val="000B6C97"/>
    <w:rsid w:val="000B7957"/>
    <w:rsid w:val="000B7E2D"/>
    <w:rsid w:val="000B7FD7"/>
    <w:rsid w:val="000C10D1"/>
    <w:rsid w:val="000C1191"/>
    <w:rsid w:val="000C1B00"/>
    <w:rsid w:val="000C1BE1"/>
    <w:rsid w:val="000C24CD"/>
    <w:rsid w:val="000C2905"/>
    <w:rsid w:val="000C4CCB"/>
    <w:rsid w:val="000C62CA"/>
    <w:rsid w:val="000C63BB"/>
    <w:rsid w:val="000C652B"/>
    <w:rsid w:val="000C71D2"/>
    <w:rsid w:val="000C7485"/>
    <w:rsid w:val="000D03ED"/>
    <w:rsid w:val="000D0911"/>
    <w:rsid w:val="000D288F"/>
    <w:rsid w:val="000D2F3F"/>
    <w:rsid w:val="000D40C1"/>
    <w:rsid w:val="000D4322"/>
    <w:rsid w:val="000D511E"/>
    <w:rsid w:val="000D6529"/>
    <w:rsid w:val="000D6E9E"/>
    <w:rsid w:val="000D797A"/>
    <w:rsid w:val="000E00A2"/>
    <w:rsid w:val="000E25B6"/>
    <w:rsid w:val="000E2CD9"/>
    <w:rsid w:val="000E2FA8"/>
    <w:rsid w:val="000E35E7"/>
    <w:rsid w:val="000E407B"/>
    <w:rsid w:val="000E576D"/>
    <w:rsid w:val="000E6417"/>
    <w:rsid w:val="000E7B9D"/>
    <w:rsid w:val="000F0902"/>
    <w:rsid w:val="000F09D3"/>
    <w:rsid w:val="000F0BA0"/>
    <w:rsid w:val="000F101C"/>
    <w:rsid w:val="000F1710"/>
    <w:rsid w:val="000F1A3C"/>
    <w:rsid w:val="000F20F4"/>
    <w:rsid w:val="000F2CE6"/>
    <w:rsid w:val="000F2ECE"/>
    <w:rsid w:val="000F31E5"/>
    <w:rsid w:val="000F38C0"/>
    <w:rsid w:val="000F40C7"/>
    <w:rsid w:val="000F4C27"/>
    <w:rsid w:val="000F4EB0"/>
    <w:rsid w:val="000F4F03"/>
    <w:rsid w:val="000F525A"/>
    <w:rsid w:val="000F561E"/>
    <w:rsid w:val="000F5B1A"/>
    <w:rsid w:val="000F5F2E"/>
    <w:rsid w:val="000F6F73"/>
    <w:rsid w:val="000F7007"/>
    <w:rsid w:val="00100147"/>
    <w:rsid w:val="00100270"/>
    <w:rsid w:val="001013D6"/>
    <w:rsid w:val="00102897"/>
    <w:rsid w:val="00103F56"/>
    <w:rsid w:val="00104005"/>
    <w:rsid w:val="001043A7"/>
    <w:rsid w:val="00104526"/>
    <w:rsid w:val="00104CE9"/>
    <w:rsid w:val="00105BD5"/>
    <w:rsid w:val="00105D39"/>
    <w:rsid w:val="00106322"/>
    <w:rsid w:val="001064C2"/>
    <w:rsid w:val="00106E94"/>
    <w:rsid w:val="001070F3"/>
    <w:rsid w:val="00112C19"/>
    <w:rsid w:val="001147F3"/>
    <w:rsid w:val="00114E6D"/>
    <w:rsid w:val="00115FD6"/>
    <w:rsid w:val="00116ABB"/>
    <w:rsid w:val="00116F83"/>
    <w:rsid w:val="001201EF"/>
    <w:rsid w:val="001209B9"/>
    <w:rsid w:val="0012129D"/>
    <w:rsid w:val="001212F0"/>
    <w:rsid w:val="00121377"/>
    <w:rsid w:val="001214A1"/>
    <w:rsid w:val="001216D8"/>
    <w:rsid w:val="0012197A"/>
    <w:rsid w:val="00121F60"/>
    <w:rsid w:val="0012246C"/>
    <w:rsid w:val="00124D80"/>
    <w:rsid w:val="001252DB"/>
    <w:rsid w:val="001267C8"/>
    <w:rsid w:val="00126EDF"/>
    <w:rsid w:val="001278FD"/>
    <w:rsid w:val="00130635"/>
    <w:rsid w:val="00130DE4"/>
    <w:rsid w:val="00131FD6"/>
    <w:rsid w:val="00132181"/>
    <w:rsid w:val="001328B4"/>
    <w:rsid w:val="00132C1F"/>
    <w:rsid w:val="00133B33"/>
    <w:rsid w:val="00134FD3"/>
    <w:rsid w:val="0013540E"/>
    <w:rsid w:val="00135CB0"/>
    <w:rsid w:val="00136369"/>
    <w:rsid w:val="001363F9"/>
    <w:rsid w:val="0013651B"/>
    <w:rsid w:val="00136C71"/>
    <w:rsid w:val="00137528"/>
    <w:rsid w:val="00137716"/>
    <w:rsid w:val="00137FCA"/>
    <w:rsid w:val="00140425"/>
    <w:rsid w:val="00140816"/>
    <w:rsid w:val="00140BB1"/>
    <w:rsid w:val="00140E88"/>
    <w:rsid w:val="00141246"/>
    <w:rsid w:val="00142E9B"/>
    <w:rsid w:val="0014410D"/>
    <w:rsid w:val="00144D55"/>
    <w:rsid w:val="00144E87"/>
    <w:rsid w:val="00144F75"/>
    <w:rsid w:val="001451CD"/>
    <w:rsid w:val="0014567A"/>
    <w:rsid w:val="00145B15"/>
    <w:rsid w:val="00145DBC"/>
    <w:rsid w:val="00145EEF"/>
    <w:rsid w:val="00146912"/>
    <w:rsid w:val="00146E8D"/>
    <w:rsid w:val="001471C7"/>
    <w:rsid w:val="00147CEB"/>
    <w:rsid w:val="00150727"/>
    <w:rsid w:val="001509B3"/>
    <w:rsid w:val="00150EDC"/>
    <w:rsid w:val="00153815"/>
    <w:rsid w:val="00153DD4"/>
    <w:rsid w:val="00154655"/>
    <w:rsid w:val="00156280"/>
    <w:rsid w:val="0015685E"/>
    <w:rsid w:val="00156FA2"/>
    <w:rsid w:val="0015767C"/>
    <w:rsid w:val="00157A22"/>
    <w:rsid w:val="001610BC"/>
    <w:rsid w:val="001614DF"/>
    <w:rsid w:val="00161852"/>
    <w:rsid w:val="00161FF4"/>
    <w:rsid w:val="0016358A"/>
    <w:rsid w:val="00163C4F"/>
    <w:rsid w:val="00164193"/>
    <w:rsid w:val="0016511B"/>
    <w:rsid w:val="00165466"/>
    <w:rsid w:val="00165E05"/>
    <w:rsid w:val="00166191"/>
    <w:rsid w:val="00166822"/>
    <w:rsid w:val="00167A30"/>
    <w:rsid w:val="00167BEA"/>
    <w:rsid w:val="00171BC2"/>
    <w:rsid w:val="001722EF"/>
    <w:rsid w:val="0017305E"/>
    <w:rsid w:val="0017348B"/>
    <w:rsid w:val="00173A6D"/>
    <w:rsid w:val="001742B7"/>
    <w:rsid w:val="001743F6"/>
    <w:rsid w:val="00175888"/>
    <w:rsid w:val="001760D8"/>
    <w:rsid w:val="00176414"/>
    <w:rsid w:val="00177BC1"/>
    <w:rsid w:val="00180E9D"/>
    <w:rsid w:val="00181306"/>
    <w:rsid w:val="00181676"/>
    <w:rsid w:val="00181A58"/>
    <w:rsid w:val="001825BE"/>
    <w:rsid w:val="001827DC"/>
    <w:rsid w:val="00182B93"/>
    <w:rsid w:val="00185A3C"/>
    <w:rsid w:val="001861F0"/>
    <w:rsid w:val="001863F0"/>
    <w:rsid w:val="00186620"/>
    <w:rsid w:val="00186694"/>
    <w:rsid w:val="00187376"/>
    <w:rsid w:val="00187524"/>
    <w:rsid w:val="001907E2"/>
    <w:rsid w:val="001907E3"/>
    <w:rsid w:val="00190A67"/>
    <w:rsid w:val="00190A81"/>
    <w:rsid w:val="001916B2"/>
    <w:rsid w:val="00191DC2"/>
    <w:rsid w:val="00192A2E"/>
    <w:rsid w:val="001931A3"/>
    <w:rsid w:val="00193409"/>
    <w:rsid w:val="001941A6"/>
    <w:rsid w:val="0019583C"/>
    <w:rsid w:val="00196CA2"/>
    <w:rsid w:val="0019759F"/>
    <w:rsid w:val="001979FC"/>
    <w:rsid w:val="001A00D7"/>
    <w:rsid w:val="001A04F6"/>
    <w:rsid w:val="001A1439"/>
    <w:rsid w:val="001A1667"/>
    <w:rsid w:val="001A18F0"/>
    <w:rsid w:val="001A1B05"/>
    <w:rsid w:val="001A2321"/>
    <w:rsid w:val="001A2538"/>
    <w:rsid w:val="001A3566"/>
    <w:rsid w:val="001A40D6"/>
    <w:rsid w:val="001A4C3F"/>
    <w:rsid w:val="001A4CFD"/>
    <w:rsid w:val="001A5095"/>
    <w:rsid w:val="001A55AD"/>
    <w:rsid w:val="001A57AC"/>
    <w:rsid w:val="001A6483"/>
    <w:rsid w:val="001A698B"/>
    <w:rsid w:val="001A7430"/>
    <w:rsid w:val="001B0A80"/>
    <w:rsid w:val="001B0AD3"/>
    <w:rsid w:val="001B0F5E"/>
    <w:rsid w:val="001B11F8"/>
    <w:rsid w:val="001B36C1"/>
    <w:rsid w:val="001B3ED0"/>
    <w:rsid w:val="001B44FA"/>
    <w:rsid w:val="001B4E3D"/>
    <w:rsid w:val="001B52F3"/>
    <w:rsid w:val="001B675B"/>
    <w:rsid w:val="001B6F27"/>
    <w:rsid w:val="001B7763"/>
    <w:rsid w:val="001B7F17"/>
    <w:rsid w:val="001C0045"/>
    <w:rsid w:val="001C0780"/>
    <w:rsid w:val="001C0B8A"/>
    <w:rsid w:val="001C0C2E"/>
    <w:rsid w:val="001C1BEC"/>
    <w:rsid w:val="001C322F"/>
    <w:rsid w:val="001C3EA7"/>
    <w:rsid w:val="001C4040"/>
    <w:rsid w:val="001C419F"/>
    <w:rsid w:val="001C4E5D"/>
    <w:rsid w:val="001C54A1"/>
    <w:rsid w:val="001C58E3"/>
    <w:rsid w:val="001C5923"/>
    <w:rsid w:val="001C676D"/>
    <w:rsid w:val="001C6970"/>
    <w:rsid w:val="001C6D16"/>
    <w:rsid w:val="001C7562"/>
    <w:rsid w:val="001C769E"/>
    <w:rsid w:val="001D005F"/>
    <w:rsid w:val="001D0512"/>
    <w:rsid w:val="001D08EC"/>
    <w:rsid w:val="001D0CD4"/>
    <w:rsid w:val="001D19E5"/>
    <w:rsid w:val="001D1E7C"/>
    <w:rsid w:val="001D2139"/>
    <w:rsid w:val="001D243B"/>
    <w:rsid w:val="001D244D"/>
    <w:rsid w:val="001D352E"/>
    <w:rsid w:val="001D3AEA"/>
    <w:rsid w:val="001D4715"/>
    <w:rsid w:val="001D5B61"/>
    <w:rsid w:val="001D615A"/>
    <w:rsid w:val="001D714C"/>
    <w:rsid w:val="001D7F25"/>
    <w:rsid w:val="001E017B"/>
    <w:rsid w:val="001E0623"/>
    <w:rsid w:val="001E0636"/>
    <w:rsid w:val="001E0BC8"/>
    <w:rsid w:val="001E1BD8"/>
    <w:rsid w:val="001E1D8B"/>
    <w:rsid w:val="001E3DEA"/>
    <w:rsid w:val="001E497E"/>
    <w:rsid w:val="001E5220"/>
    <w:rsid w:val="001E5CED"/>
    <w:rsid w:val="001E663E"/>
    <w:rsid w:val="001E6AEF"/>
    <w:rsid w:val="001E78A7"/>
    <w:rsid w:val="001F073F"/>
    <w:rsid w:val="001F0E5C"/>
    <w:rsid w:val="001F1A54"/>
    <w:rsid w:val="001F2654"/>
    <w:rsid w:val="001F26CE"/>
    <w:rsid w:val="001F2DCB"/>
    <w:rsid w:val="001F319E"/>
    <w:rsid w:val="001F352E"/>
    <w:rsid w:val="001F3694"/>
    <w:rsid w:val="001F373F"/>
    <w:rsid w:val="001F3BA2"/>
    <w:rsid w:val="001F4608"/>
    <w:rsid w:val="001F573C"/>
    <w:rsid w:val="001F6E7D"/>
    <w:rsid w:val="001F7088"/>
    <w:rsid w:val="001F77D2"/>
    <w:rsid w:val="001F7B4A"/>
    <w:rsid w:val="00200143"/>
    <w:rsid w:val="002004EF"/>
    <w:rsid w:val="00203813"/>
    <w:rsid w:val="00203C52"/>
    <w:rsid w:val="0020446F"/>
    <w:rsid w:val="002050F1"/>
    <w:rsid w:val="00206418"/>
    <w:rsid w:val="00207520"/>
    <w:rsid w:val="00207EF6"/>
    <w:rsid w:val="00210ECE"/>
    <w:rsid w:val="00211955"/>
    <w:rsid w:val="002126A8"/>
    <w:rsid w:val="00212D5F"/>
    <w:rsid w:val="002131F7"/>
    <w:rsid w:val="00215515"/>
    <w:rsid w:val="00215D39"/>
    <w:rsid w:val="00215F25"/>
    <w:rsid w:val="002169D8"/>
    <w:rsid w:val="00217329"/>
    <w:rsid w:val="002178A5"/>
    <w:rsid w:val="00217C60"/>
    <w:rsid w:val="0022022E"/>
    <w:rsid w:val="00220758"/>
    <w:rsid w:val="002208D3"/>
    <w:rsid w:val="002210C8"/>
    <w:rsid w:val="00221260"/>
    <w:rsid w:val="00221519"/>
    <w:rsid w:val="002221AD"/>
    <w:rsid w:val="002225C5"/>
    <w:rsid w:val="002228A4"/>
    <w:rsid w:val="002230E0"/>
    <w:rsid w:val="002232F6"/>
    <w:rsid w:val="00223A80"/>
    <w:rsid w:val="00223D3A"/>
    <w:rsid w:val="00224070"/>
    <w:rsid w:val="00226C59"/>
    <w:rsid w:val="00227101"/>
    <w:rsid w:val="00227399"/>
    <w:rsid w:val="002276F2"/>
    <w:rsid w:val="002279FC"/>
    <w:rsid w:val="00227A14"/>
    <w:rsid w:val="00227FD2"/>
    <w:rsid w:val="002312F6"/>
    <w:rsid w:val="002328BB"/>
    <w:rsid w:val="0023314B"/>
    <w:rsid w:val="002331C3"/>
    <w:rsid w:val="002345C4"/>
    <w:rsid w:val="00234F41"/>
    <w:rsid w:val="00235633"/>
    <w:rsid w:val="00235C2B"/>
    <w:rsid w:val="0023720C"/>
    <w:rsid w:val="0023768C"/>
    <w:rsid w:val="00237CE3"/>
    <w:rsid w:val="00237EE3"/>
    <w:rsid w:val="00240FB1"/>
    <w:rsid w:val="00242663"/>
    <w:rsid w:val="002441F6"/>
    <w:rsid w:val="0024479D"/>
    <w:rsid w:val="00245308"/>
    <w:rsid w:val="00245549"/>
    <w:rsid w:val="002477B8"/>
    <w:rsid w:val="00250138"/>
    <w:rsid w:val="002506D2"/>
    <w:rsid w:val="00251090"/>
    <w:rsid w:val="00251098"/>
    <w:rsid w:val="00251132"/>
    <w:rsid w:val="00251736"/>
    <w:rsid w:val="00252ACB"/>
    <w:rsid w:val="00252D45"/>
    <w:rsid w:val="002534EA"/>
    <w:rsid w:val="0025379F"/>
    <w:rsid w:val="00253CB5"/>
    <w:rsid w:val="00253DE8"/>
    <w:rsid w:val="002543EF"/>
    <w:rsid w:val="002548D6"/>
    <w:rsid w:val="00254AAE"/>
    <w:rsid w:val="00254D81"/>
    <w:rsid w:val="0025551E"/>
    <w:rsid w:val="002558E1"/>
    <w:rsid w:val="00255A49"/>
    <w:rsid w:val="00255ADA"/>
    <w:rsid w:val="002567D3"/>
    <w:rsid w:val="00257541"/>
    <w:rsid w:val="00257A37"/>
    <w:rsid w:val="00257FBD"/>
    <w:rsid w:val="00260B1F"/>
    <w:rsid w:val="00260BF5"/>
    <w:rsid w:val="00261A33"/>
    <w:rsid w:val="0026231F"/>
    <w:rsid w:val="00263CE5"/>
    <w:rsid w:val="00263FD5"/>
    <w:rsid w:val="002641CB"/>
    <w:rsid w:val="00264B37"/>
    <w:rsid w:val="002660FC"/>
    <w:rsid w:val="00266681"/>
    <w:rsid w:val="0026763A"/>
    <w:rsid w:val="00267843"/>
    <w:rsid w:val="00267DF3"/>
    <w:rsid w:val="00267F10"/>
    <w:rsid w:val="002708B9"/>
    <w:rsid w:val="00270DA3"/>
    <w:rsid w:val="00271466"/>
    <w:rsid w:val="002722BB"/>
    <w:rsid w:val="00272ADD"/>
    <w:rsid w:val="00272DB1"/>
    <w:rsid w:val="00273E5C"/>
    <w:rsid w:val="0027458D"/>
    <w:rsid w:val="00274BA2"/>
    <w:rsid w:val="00274F00"/>
    <w:rsid w:val="00274F46"/>
    <w:rsid w:val="0027693E"/>
    <w:rsid w:val="00276F59"/>
    <w:rsid w:val="0027753D"/>
    <w:rsid w:val="00277547"/>
    <w:rsid w:val="00277F38"/>
    <w:rsid w:val="00281C11"/>
    <w:rsid w:val="0028306E"/>
    <w:rsid w:val="0028353E"/>
    <w:rsid w:val="00283CA9"/>
    <w:rsid w:val="0028410B"/>
    <w:rsid w:val="002843C5"/>
    <w:rsid w:val="0028494A"/>
    <w:rsid w:val="0028536A"/>
    <w:rsid w:val="00286A62"/>
    <w:rsid w:val="00290300"/>
    <w:rsid w:val="002904B3"/>
    <w:rsid w:val="00290E88"/>
    <w:rsid w:val="002916EF"/>
    <w:rsid w:val="00291809"/>
    <w:rsid w:val="00291FAA"/>
    <w:rsid w:val="00292409"/>
    <w:rsid w:val="002926A0"/>
    <w:rsid w:val="00292D26"/>
    <w:rsid w:val="0029473D"/>
    <w:rsid w:val="00294AA6"/>
    <w:rsid w:val="0029563C"/>
    <w:rsid w:val="002958DD"/>
    <w:rsid w:val="00296BC7"/>
    <w:rsid w:val="002A0562"/>
    <w:rsid w:val="002A064B"/>
    <w:rsid w:val="002A224B"/>
    <w:rsid w:val="002A234D"/>
    <w:rsid w:val="002A2B22"/>
    <w:rsid w:val="002A35E8"/>
    <w:rsid w:val="002A3BF6"/>
    <w:rsid w:val="002A47C1"/>
    <w:rsid w:val="002A52F6"/>
    <w:rsid w:val="002A538F"/>
    <w:rsid w:val="002A57C8"/>
    <w:rsid w:val="002A5BD7"/>
    <w:rsid w:val="002A7434"/>
    <w:rsid w:val="002A7E8C"/>
    <w:rsid w:val="002A7ED6"/>
    <w:rsid w:val="002B00D1"/>
    <w:rsid w:val="002B0F4F"/>
    <w:rsid w:val="002B2480"/>
    <w:rsid w:val="002B2DA7"/>
    <w:rsid w:val="002B35DD"/>
    <w:rsid w:val="002B3737"/>
    <w:rsid w:val="002B400A"/>
    <w:rsid w:val="002B543B"/>
    <w:rsid w:val="002B60BF"/>
    <w:rsid w:val="002B639C"/>
    <w:rsid w:val="002B7009"/>
    <w:rsid w:val="002B7394"/>
    <w:rsid w:val="002B7998"/>
    <w:rsid w:val="002B7FC7"/>
    <w:rsid w:val="002C0234"/>
    <w:rsid w:val="002C1C11"/>
    <w:rsid w:val="002C294C"/>
    <w:rsid w:val="002C2E95"/>
    <w:rsid w:val="002C435C"/>
    <w:rsid w:val="002C43EC"/>
    <w:rsid w:val="002C4C5D"/>
    <w:rsid w:val="002C4DBF"/>
    <w:rsid w:val="002C58D2"/>
    <w:rsid w:val="002C62B6"/>
    <w:rsid w:val="002C7192"/>
    <w:rsid w:val="002C740D"/>
    <w:rsid w:val="002C7669"/>
    <w:rsid w:val="002C7904"/>
    <w:rsid w:val="002D02E9"/>
    <w:rsid w:val="002D04AE"/>
    <w:rsid w:val="002D0781"/>
    <w:rsid w:val="002D0B5C"/>
    <w:rsid w:val="002D2122"/>
    <w:rsid w:val="002D25C0"/>
    <w:rsid w:val="002D2FCD"/>
    <w:rsid w:val="002D37AD"/>
    <w:rsid w:val="002D3BBE"/>
    <w:rsid w:val="002D3E62"/>
    <w:rsid w:val="002D4036"/>
    <w:rsid w:val="002D43A8"/>
    <w:rsid w:val="002D4AEC"/>
    <w:rsid w:val="002D5D41"/>
    <w:rsid w:val="002D622F"/>
    <w:rsid w:val="002D72D7"/>
    <w:rsid w:val="002E05D8"/>
    <w:rsid w:val="002E0C48"/>
    <w:rsid w:val="002E0CBF"/>
    <w:rsid w:val="002E1031"/>
    <w:rsid w:val="002E23E2"/>
    <w:rsid w:val="002E261D"/>
    <w:rsid w:val="002E2ADD"/>
    <w:rsid w:val="002E3DFE"/>
    <w:rsid w:val="002E4BFB"/>
    <w:rsid w:val="002E5EEF"/>
    <w:rsid w:val="002E74C1"/>
    <w:rsid w:val="002E773D"/>
    <w:rsid w:val="002E7743"/>
    <w:rsid w:val="002E779E"/>
    <w:rsid w:val="002F0074"/>
    <w:rsid w:val="002F1EAB"/>
    <w:rsid w:val="002F284E"/>
    <w:rsid w:val="002F5508"/>
    <w:rsid w:val="002F5EA3"/>
    <w:rsid w:val="002F6407"/>
    <w:rsid w:val="002F68EC"/>
    <w:rsid w:val="002F6A80"/>
    <w:rsid w:val="002F6D8A"/>
    <w:rsid w:val="002F70E7"/>
    <w:rsid w:val="002F7103"/>
    <w:rsid w:val="002F721F"/>
    <w:rsid w:val="002F7C11"/>
    <w:rsid w:val="002F7D8C"/>
    <w:rsid w:val="00300FCD"/>
    <w:rsid w:val="0030150B"/>
    <w:rsid w:val="00302F61"/>
    <w:rsid w:val="00302F88"/>
    <w:rsid w:val="00303220"/>
    <w:rsid w:val="00303327"/>
    <w:rsid w:val="003046EB"/>
    <w:rsid w:val="00304AD0"/>
    <w:rsid w:val="003051B1"/>
    <w:rsid w:val="00306A5E"/>
    <w:rsid w:val="00306FF5"/>
    <w:rsid w:val="003073A2"/>
    <w:rsid w:val="003077EB"/>
    <w:rsid w:val="003100F4"/>
    <w:rsid w:val="00310B33"/>
    <w:rsid w:val="00312217"/>
    <w:rsid w:val="003125A4"/>
    <w:rsid w:val="0031274F"/>
    <w:rsid w:val="0031296B"/>
    <w:rsid w:val="003134F5"/>
    <w:rsid w:val="00313A3C"/>
    <w:rsid w:val="00313CE2"/>
    <w:rsid w:val="00314DCA"/>
    <w:rsid w:val="00314EE6"/>
    <w:rsid w:val="00315210"/>
    <w:rsid w:val="003154CC"/>
    <w:rsid w:val="00316C6F"/>
    <w:rsid w:val="00317A89"/>
    <w:rsid w:val="00317B0E"/>
    <w:rsid w:val="00317C4A"/>
    <w:rsid w:val="003203F4"/>
    <w:rsid w:val="00320E4F"/>
    <w:rsid w:val="0032168D"/>
    <w:rsid w:val="00321B66"/>
    <w:rsid w:val="00322071"/>
    <w:rsid w:val="003220E7"/>
    <w:rsid w:val="003224D7"/>
    <w:rsid w:val="0032352B"/>
    <w:rsid w:val="00324216"/>
    <w:rsid w:val="00324FC1"/>
    <w:rsid w:val="0032506C"/>
    <w:rsid w:val="00325F4D"/>
    <w:rsid w:val="0032683D"/>
    <w:rsid w:val="00326FA1"/>
    <w:rsid w:val="003270FD"/>
    <w:rsid w:val="00327151"/>
    <w:rsid w:val="003278A9"/>
    <w:rsid w:val="00327AC2"/>
    <w:rsid w:val="00330851"/>
    <w:rsid w:val="0033186B"/>
    <w:rsid w:val="0033212F"/>
    <w:rsid w:val="003321A9"/>
    <w:rsid w:val="003324B1"/>
    <w:rsid w:val="003340C3"/>
    <w:rsid w:val="003341D5"/>
    <w:rsid w:val="0033656B"/>
    <w:rsid w:val="0033657A"/>
    <w:rsid w:val="0034001C"/>
    <w:rsid w:val="003419BF"/>
    <w:rsid w:val="00341C7D"/>
    <w:rsid w:val="00341FFE"/>
    <w:rsid w:val="003430FE"/>
    <w:rsid w:val="00344A8D"/>
    <w:rsid w:val="00344ABE"/>
    <w:rsid w:val="003451E0"/>
    <w:rsid w:val="003453D1"/>
    <w:rsid w:val="003457FC"/>
    <w:rsid w:val="00350471"/>
    <w:rsid w:val="00350502"/>
    <w:rsid w:val="00350CFA"/>
    <w:rsid w:val="0035104B"/>
    <w:rsid w:val="00351C75"/>
    <w:rsid w:val="00351EB5"/>
    <w:rsid w:val="00352C2D"/>
    <w:rsid w:val="00353657"/>
    <w:rsid w:val="00353A1C"/>
    <w:rsid w:val="00353EB3"/>
    <w:rsid w:val="0035481C"/>
    <w:rsid w:val="00354BC4"/>
    <w:rsid w:val="00354C80"/>
    <w:rsid w:val="00354F12"/>
    <w:rsid w:val="003560E7"/>
    <w:rsid w:val="0035796B"/>
    <w:rsid w:val="00362087"/>
    <w:rsid w:val="00362E0D"/>
    <w:rsid w:val="003632BE"/>
    <w:rsid w:val="003639FA"/>
    <w:rsid w:val="003647BB"/>
    <w:rsid w:val="00364F56"/>
    <w:rsid w:val="003651C0"/>
    <w:rsid w:val="003672A2"/>
    <w:rsid w:val="00367D4E"/>
    <w:rsid w:val="003704EF"/>
    <w:rsid w:val="00370838"/>
    <w:rsid w:val="00370EC2"/>
    <w:rsid w:val="0037106E"/>
    <w:rsid w:val="00371122"/>
    <w:rsid w:val="0037126C"/>
    <w:rsid w:val="003713FE"/>
    <w:rsid w:val="00372F13"/>
    <w:rsid w:val="00374156"/>
    <w:rsid w:val="00374504"/>
    <w:rsid w:val="00374B89"/>
    <w:rsid w:val="00374ED3"/>
    <w:rsid w:val="00375038"/>
    <w:rsid w:val="00375044"/>
    <w:rsid w:val="00375257"/>
    <w:rsid w:val="00375352"/>
    <w:rsid w:val="00375DDE"/>
    <w:rsid w:val="00376367"/>
    <w:rsid w:val="003767AB"/>
    <w:rsid w:val="0037748E"/>
    <w:rsid w:val="0037793E"/>
    <w:rsid w:val="00377AEB"/>
    <w:rsid w:val="00377D3C"/>
    <w:rsid w:val="00377DE2"/>
    <w:rsid w:val="00380285"/>
    <w:rsid w:val="003806A0"/>
    <w:rsid w:val="00381660"/>
    <w:rsid w:val="00381DFB"/>
    <w:rsid w:val="003822D9"/>
    <w:rsid w:val="0038251C"/>
    <w:rsid w:val="00382FF1"/>
    <w:rsid w:val="00383956"/>
    <w:rsid w:val="00385DF6"/>
    <w:rsid w:val="00386427"/>
    <w:rsid w:val="00387363"/>
    <w:rsid w:val="00391DC9"/>
    <w:rsid w:val="003922C0"/>
    <w:rsid w:val="00392366"/>
    <w:rsid w:val="00393657"/>
    <w:rsid w:val="00394840"/>
    <w:rsid w:val="003950CF"/>
    <w:rsid w:val="003952B1"/>
    <w:rsid w:val="0039531F"/>
    <w:rsid w:val="00396363"/>
    <w:rsid w:val="00396643"/>
    <w:rsid w:val="003969A7"/>
    <w:rsid w:val="0039768A"/>
    <w:rsid w:val="00397734"/>
    <w:rsid w:val="003A02B8"/>
    <w:rsid w:val="003A09A4"/>
    <w:rsid w:val="003A2144"/>
    <w:rsid w:val="003A22FC"/>
    <w:rsid w:val="003A23A2"/>
    <w:rsid w:val="003A38DC"/>
    <w:rsid w:val="003A4B03"/>
    <w:rsid w:val="003A4DEE"/>
    <w:rsid w:val="003A5BC3"/>
    <w:rsid w:val="003A60F9"/>
    <w:rsid w:val="003B0A52"/>
    <w:rsid w:val="003B10E1"/>
    <w:rsid w:val="003B18CC"/>
    <w:rsid w:val="003B35CC"/>
    <w:rsid w:val="003B42E2"/>
    <w:rsid w:val="003B47D3"/>
    <w:rsid w:val="003B481B"/>
    <w:rsid w:val="003B5483"/>
    <w:rsid w:val="003B7F05"/>
    <w:rsid w:val="003C00FD"/>
    <w:rsid w:val="003C2ECB"/>
    <w:rsid w:val="003C31C5"/>
    <w:rsid w:val="003C44D9"/>
    <w:rsid w:val="003C4BCE"/>
    <w:rsid w:val="003C54BA"/>
    <w:rsid w:val="003C57A4"/>
    <w:rsid w:val="003C58F7"/>
    <w:rsid w:val="003C60D6"/>
    <w:rsid w:val="003C61C4"/>
    <w:rsid w:val="003C65FB"/>
    <w:rsid w:val="003C76D6"/>
    <w:rsid w:val="003C77B5"/>
    <w:rsid w:val="003C7E52"/>
    <w:rsid w:val="003D0E13"/>
    <w:rsid w:val="003D11B2"/>
    <w:rsid w:val="003D144E"/>
    <w:rsid w:val="003D1B23"/>
    <w:rsid w:val="003D1EE7"/>
    <w:rsid w:val="003D2152"/>
    <w:rsid w:val="003D242D"/>
    <w:rsid w:val="003D26E5"/>
    <w:rsid w:val="003D339C"/>
    <w:rsid w:val="003D352B"/>
    <w:rsid w:val="003D3B4A"/>
    <w:rsid w:val="003D3CE4"/>
    <w:rsid w:val="003D4001"/>
    <w:rsid w:val="003D5665"/>
    <w:rsid w:val="003D6A3A"/>
    <w:rsid w:val="003D7CB8"/>
    <w:rsid w:val="003D7CD9"/>
    <w:rsid w:val="003E076C"/>
    <w:rsid w:val="003E1075"/>
    <w:rsid w:val="003E150C"/>
    <w:rsid w:val="003E167C"/>
    <w:rsid w:val="003E2320"/>
    <w:rsid w:val="003E2371"/>
    <w:rsid w:val="003E3CEA"/>
    <w:rsid w:val="003E44E6"/>
    <w:rsid w:val="003E4A9E"/>
    <w:rsid w:val="003E4D0B"/>
    <w:rsid w:val="003E51B2"/>
    <w:rsid w:val="003E58A2"/>
    <w:rsid w:val="003E5D71"/>
    <w:rsid w:val="003E6997"/>
    <w:rsid w:val="003E6CC7"/>
    <w:rsid w:val="003E6E22"/>
    <w:rsid w:val="003E6E70"/>
    <w:rsid w:val="003E779D"/>
    <w:rsid w:val="003F05C3"/>
    <w:rsid w:val="003F0630"/>
    <w:rsid w:val="003F07D7"/>
    <w:rsid w:val="003F091B"/>
    <w:rsid w:val="003F0A08"/>
    <w:rsid w:val="003F1A37"/>
    <w:rsid w:val="003F2537"/>
    <w:rsid w:val="003F2629"/>
    <w:rsid w:val="003F31F5"/>
    <w:rsid w:val="003F376E"/>
    <w:rsid w:val="003F44F4"/>
    <w:rsid w:val="003F5021"/>
    <w:rsid w:val="003F54BC"/>
    <w:rsid w:val="003F562D"/>
    <w:rsid w:val="003F65CA"/>
    <w:rsid w:val="003F76A0"/>
    <w:rsid w:val="003F7EF6"/>
    <w:rsid w:val="003F7F19"/>
    <w:rsid w:val="00400B9E"/>
    <w:rsid w:val="00400BF3"/>
    <w:rsid w:val="00401E33"/>
    <w:rsid w:val="00402325"/>
    <w:rsid w:val="0040278A"/>
    <w:rsid w:val="004035AD"/>
    <w:rsid w:val="004038AB"/>
    <w:rsid w:val="00403B55"/>
    <w:rsid w:val="00403FCD"/>
    <w:rsid w:val="00404863"/>
    <w:rsid w:val="0040540B"/>
    <w:rsid w:val="00405637"/>
    <w:rsid w:val="0040659F"/>
    <w:rsid w:val="00406EAD"/>
    <w:rsid w:val="00407080"/>
    <w:rsid w:val="004076C1"/>
    <w:rsid w:val="0040771A"/>
    <w:rsid w:val="0040792B"/>
    <w:rsid w:val="00410841"/>
    <w:rsid w:val="0041192A"/>
    <w:rsid w:val="00411C5A"/>
    <w:rsid w:val="00411FFE"/>
    <w:rsid w:val="00413840"/>
    <w:rsid w:val="0041444A"/>
    <w:rsid w:val="00415411"/>
    <w:rsid w:val="004158C9"/>
    <w:rsid w:val="004162CE"/>
    <w:rsid w:val="00416A55"/>
    <w:rsid w:val="00416A9A"/>
    <w:rsid w:val="00417AAA"/>
    <w:rsid w:val="0042262D"/>
    <w:rsid w:val="00422EEC"/>
    <w:rsid w:val="00424264"/>
    <w:rsid w:val="00424726"/>
    <w:rsid w:val="004247C9"/>
    <w:rsid w:val="00425317"/>
    <w:rsid w:val="004266E3"/>
    <w:rsid w:val="00426938"/>
    <w:rsid w:val="00426B83"/>
    <w:rsid w:val="0042707E"/>
    <w:rsid w:val="00427E06"/>
    <w:rsid w:val="00430B56"/>
    <w:rsid w:val="00430D64"/>
    <w:rsid w:val="00430F66"/>
    <w:rsid w:val="00431CF5"/>
    <w:rsid w:val="004327C6"/>
    <w:rsid w:val="004329B1"/>
    <w:rsid w:val="00432B4A"/>
    <w:rsid w:val="004339C3"/>
    <w:rsid w:val="00433A78"/>
    <w:rsid w:val="004344B1"/>
    <w:rsid w:val="004348E9"/>
    <w:rsid w:val="00435E2F"/>
    <w:rsid w:val="004362E8"/>
    <w:rsid w:val="0043678B"/>
    <w:rsid w:val="004367E4"/>
    <w:rsid w:val="004373E8"/>
    <w:rsid w:val="00437754"/>
    <w:rsid w:val="0043779A"/>
    <w:rsid w:val="00437DCB"/>
    <w:rsid w:val="004400DF"/>
    <w:rsid w:val="0044059A"/>
    <w:rsid w:val="00441027"/>
    <w:rsid w:val="00441BD6"/>
    <w:rsid w:val="004430FC"/>
    <w:rsid w:val="004449E7"/>
    <w:rsid w:val="0044555E"/>
    <w:rsid w:val="004456D0"/>
    <w:rsid w:val="0044589A"/>
    <w:rsid w:val="00445B29"/>
    <w:rsid w:val="00446AA7"/>
    <w:rsid w:val="00446CF0"/>
    <w:rsid w:val="00450349"/>
    <w:rsid w:val="004508A8"/>
    <w:rsid w:val="00450E63"/>
    <w:rsid w:val="00450E66"/>
    <w:rsid w:val="004517B7"/>
    <w:rsid w:val="004519A6"/>
    <w:rsid w:val="004520D0"/>
    <w:rsid w:val="004523BD"/>
    <w:rsid w:val="004526D0"/>
    <w:rsid w:val="00454149"/>
    <w:rsid w:val="00454184"/>
    <w:rsid w:val="00454603"/>
    <w:rsid w:val="004559E6"/>
    <w:rsid w:val="0045654F"/>
    <w:rsid w:val="00456B7D"/>
    <w:rsid w:val="00456CBB"/>
    <w:rsid w:val="00456E28"/>
    <w:rsid w:val="00457BCC"/>
    <w:rsid w:val="004606A8"/>
    <w:rsid w:val="0046134D"/>
    <w:rsid w:val="00461A2F"/>
    <w:rsid w:val="00462016"/>
    <w:rsid w:val="0046217A"/>
    <w:rsid w:val="00462607"/>
    <w:rsid w:val="00462770"/>
    <w:rsid w:val="0046282D"/>
    <w:rsid w:val="00462978"/>
    <w:rsid w:val="00462D0C"/>
    <w:rsid w:val="00463255"/>
    <w:rsid w:val="004633DA"/>
    <w:rsid w:val="004636C2"/>
    <w:rsid w:val="0046395A"/>
    <w:rsid w:val="00463E52"/>
    <w:rsid w:val="00463FC8"/>
    <w:rsid w:val="004643E0"/>
    <w:rsid w:val="0046456E"/>
    <w:rsid w:val="00464787"/>
    <w:rsid w:val="004649C0"/>
    <w:rsid w:val="00465A2A"/>
    <w:rsid w:val="00466248"/>
    <w:rsid w:val="00466DDA"/>
    <w:rsid w:val="004675C7"/>
    <w:rsid w:val="00467C17"/>
    <w:rsid w:val="00467E9F"/>
    <w:rsid w:val="00472063"/>
    <w:rsid w:val="004726C2"/>
    <w:rsid w:val="00474276"/>
    <w:rsid w:val="00474E59"/>
    <w:rsid w:val="00474F53"/>
    <w:rsid w:val="004769C4"/>
    <w:rsid w:val="00477152"/>
    <w:rsid w:val="004772BE"/>
    <w:rsid w:val="004773A1"/>
    <w:rsid w:val="00477740"/>
    <w:rsid w:val="0047790C"/>
    <w:rsid w:val="004808F4"/>
    <w:rsid w:val="00481145"/>
    <w:rsid w:val="00481277"/>
    <w:rsid w:val="0048229F"/>
    <w:rsid w:val="00482D1C"/>
    <w:rsid w:val="00482FA1"/>
    <w:rsid w:val="0048355F"/>
    <w:rsid w:val="00483BB4"/>
    <w:rsid w:val="004843DE"/>
    <w:rsid w:val="00485027"/>
    <w:rsid w:val="00485BCE"/>
    <w:rsid w:val="004863B8"/>
    <w:rsid w:val="00486B5F"/>
    <w:rsid w:val="00486BBB"/>
    <w:rsid w:val="0049013F"/>
    <w:rsid w:val="00490464"/>
    <w:rsid w:val="00491B8D"/>
    <w:rsid w:val="004936C5"/>
    <w:rsid w:val="0049395D"/>
    <w:rsid w:val="00493F2A"/>
    <w:rsid w:val="004943FE"/>
    <w:rsid w:val="00494CC6"/>
    <w:rsid w:val="00494FF6"/>
    <w:rsid w:val="00495074"/>
    <w:rsid w:val="00495680"/>
    <w:rsid w:val="0049752C"/>
    <w:rsid w:val="004979CD"/>
    <w:rsid w:val="00497E09"/>
    <w:rsid w:val="004A044F"/>
    <w:rsid w:val="004A22B3"/>
    <w:rsid w:val="004A2D2A"/>
    <w:rsid w:val="004A3969"/>
    <w:rsid w:val="004A433B"/>
    <w:rsid w:val="004A4CC2"/>
    <w:rsid w:val="004A6410"/>
    <w:rsid w:val="004A6423"/>
    <w:rsid w:val="004A791F"/>
    <w:rsid w:val="004A7AB6"/>
    <w:rsid w:val="004B0142"/>
    <w:rsid w:val="004B08E1"/>
    <w:rsid w:val="004B22E0"/>
    <w:rsid w:val="004B251F"/>
    <w:rsid w:val="004B258A"/>
    <w:rsid w:val="004B2D2B"/>
    <w:rsid w:val="004B2D48"/>
    <w:rsid w:val="004B3C2D"/>
    <w:rsid w:val="004B46F5"/>
    <w:rsid w:val="004B4757"/>
    <w:rsid w:val="004B555A"/>
    <w:rsid w:val="004B6948"/>
    <w:rsid w:val="004B736F"/>
    <w:rsid w:val="004B7857"/>
    <w:rsid w:val="004B7C95"/>
    <w:rsid w:val="004B7D3F"/>
    <w:rsid w:val="004C03F2"/>
    <w:rsid w:val="004C05B2"/>
    <w:rsid w:val="004C07D9"/>
    <w:rsid w:val="004C0875"/>
    <w:rsid w:val="004C0A8A"/>
    <w:rsid w:val="004C15E6"/>
    <w:rsid w:val="004C1FFB"/>
    <w:rsid w:val="004C3085"/>
    <w:rsid w:val="004C383F"/>
    <w:rsid w:val="004C3C1F"/>
    <w:rsid w:val="004C42D4"/>
    <w:rsid w:val="004C49EA"/>
    <w:rsid w:val="004C4AE2"/>
    <w:rsid w:val="004C4CC6"/>
    <w:rsid w:val="004C4DF4"/>
    <w:rsid w:val="004C5105"/>
    <w:rsid w:val="004C5848"/>
    <w:rsid w:val="004C587B"/>
    <w:rsid w:val="004C5E8C"/>
    <w:rsid w:val="004C7211"/>
    <w:rsid w:val="004D159F"/>
    <w:rsid w:val="004D2143"/>
    <w:rsid w:val="004D26D8"/>
    <w:rsid w:val="004D4460"/>
    <w:rsid w:val="004D44DC"/>
    <w:rsid w:val="004D577E"/>
    <w:rsid w:val="004D5CBA"/>
    <w:rsid w:val="004D6F5B"/>
    <w:rsid w:val="004D7046"/>
    <w:rsid w:val="004D7CF2"/>
    <w:rsid w:val="004E00AD"/>
    <w:rsid w:val="004E0176"/>
    <w:rsid w:val="004E03BF"/>
    <w:rsid w:val="004E03C9"/>
    <w:rsid w:val="004E16A2"/>
    <w:rsid w:val="004E24CC"/>
    <w:rsid w:val="004E2721"/>
    <w:rsid w:val="004E310D"/>
    <w:rsid w:val="004E3143"/>
    <w:rsid w:val="004E373B"/>
    <w:rsid w:val="004E37A5"/>
    <w:rsid w:val="004E3C54"/>
    <w:rsid w:val="004E3F93"/>
    <w:rsid w:val="004E512A"/>
    <w:rsid w:val="004E524D"/>
    <w:rsid w:val="004E5722"/>
    <w:rsid w:val="004E5996"/>
    <w:rsid w:val="004E59C9"/>
    <w:rsid w:val="004E5D64"/>
    <w:rsid w:val="004E61CD"/>
    <w:rsid w:val="004E63E0"/>
    <w:rsid w:val="004E6878"/>
    <w:rsid w:val="004E6E72"/>
    <w:rsid w:val="004E768A"/>
    <w:rsid w:val="004E79FF"/>
    <w:rsid w:val="004E7EA6"/>
    <w:rsid w:val="004F00F4"/>
    <w:rsid w:val="004F0B7D"/>
    <w:rsid w:val="004F0E58"/>
    <w:rsid w:val="004F14D5"/>
    <w:rsid w:val="004F198A"/>
    <w:rsid w:val="004F1EA6"/>
    <w:rsid w:val="004F2024"/>
    <w:rsid w:val="004F277A"/>
    <w:rsid w:val="004F2B24"/>
    <w:rsid w:val="004F4A71"/>
    <w:rsid w:val="004F5192"/>
    <w:rsid w:val="004F51CF"/>
    <w:rsid w:val="004F5926"/>
    <w:rsid w:val="004F5BBF"/>
    <w:rsid w:val="004F5DAB"/>
    <w:rsid w:val="004F5E01"/>
    <w:rsid w:val="004F60B6"/>
    <w:rsid w:val="004F623D"/>
    <w:rsid w:val="004F6742"/>
    <w:rsid w:val="004F6B7C"/>
    <w:rsid w:val="004F7EF4"/>
    <w:rsid w:val="0050163E"/>
    <w:rsid w:val="0050259C"/>
    <w:rsid w:val="00503748"/>
    <w:rsid w:val="00504A3F"/>
    <w:rsid w:val="00504E7E"/>
    <w:rsid w:val="0050635F"/>
    <w:rsid w:val="005063A9"/>
    <w:rsid w:val="005101DF"/>
    <w:rsid w:val="00510B7D"/>
    <w:rsid w:val="00510D49"/>
    <w:rsid w:val="00510E1C"/>
    <w:rsid w:val="00510F1A"/>
    <w:rsid w:val="0051172C"/>
    <w:rsid w:val="0051217A"/>
    <w:rsid w:val="00512534"/>
    <w:rsid w:val="00512763"/>
    <w:rsid w:val="0051316A"/>
    <w:rsid w:val="0051325E"/>
    <w:rsid w:val="0051343E"/>
    <w:rsid w:val="005134D0"/>
    <w:rsid w:val="00514A9A"/>
    <w:rsid w:val="00514E45"/>
    <w:rsid w:val="0051544D"/>
    <w:rsid w:val="00516DBB"/>
    <w:rsid w:val="00516F9B"/>
    <w:rsid w:val="005172ED"/>
    <w:rsid w:val="0052092E"/>
    <w:rsid w:val="005209BD"/>
    <w:rsid w:val="005209F7"/>
    <w:rsid w:val="005211F8"/>
    <w:rsid w:val="0052156C"/>
    <w:rsid w:val="00521F1A"/>
    <w:rsid w:val="00523006"/>
    <w:rsid w:val="00523EA7"/>
    <w:rsid w:val="00524234"/>
    <w:rsid w:val="005247B0"/>
    <w:rsid w:val="005249D2"/>
    <w:rsid w:val="00524F58"/>
    <w:rsid w:val="00525E5F"/>
    <w:rsid w:val="005269F3"/>
    <w:rsid w:val="00526A8F"/>
    <w:rsid w:val="00530D56"/>
    <w:rsid w:val="005315CD"/>
    <w:rsid w:val="00531F23"/>
    <w:rsid w:val="0053243C"/>
    <w:rsid w:val="005329D5"/>
    <w:rsid w:val="00532FA1"/>
    <w:rsid w:val="005330AF"/>
    <w:rsid w:val="005332EE"/>
    <w:rsid w:val="005337F3"/>
    <w:rsid w:val="00534628"/>
    <w:rsid w:val="00534E9E"/>
    <w:rsid w:val="00534F22"/>
    <w:rsid w:val="005361C2"/>
    <w:rsid w:val="00536224"/>
    <w:rsid w:val="00536BF6"/>
    <w:rsid w:val="0054061A"/>
    <w:rsid w:val="00541C54"/>
    <w:rsid w:val="00541E61"/>
    <w:rsid w:val="0054347F"/>
    <w:rsid w:val="0054354D"/>
    <w:rsid w:val="00543C52"/>
    <w:rsid w:val="0054424C"/>
    <w:rsid w:val="0054583E"/>
    <w:rsid w:val="0054585B"/>
    <w:rsid w:val="00545876"/>
    <w:rsid w:val="00546866"/>
    <w:rsid w:val="00546C42"/>
    <w:rsid w:val="00546D74"/>
    <w:rsid w:val="00546DEE"/>
    <w:rsid w:val="0055194E"/>
    <w:rsid w:val="00551B6B"/>
    <w:rsid w:val="005525A3"/>
    <w:rsid w:val="00552C3A"/>
    <w:rsid w:val="00552C3B"/>
    <w:rsid w:val="00552E7D"/>
    <w:rsid w:val="005538D9"/>
    <w:rsid w:val="00553978"/>
    <w:rsid w:val="00554258"/>
    <w:rsid w:val="005543D2"/>
    <w:rsid w:val="00554E3B"/>
    <w:rsid w:val="0055512B"/>
    <w:rsid w:val="00555356"/>
    <w:rsid w:val="005557CC"/>
    <w:rsid w:val="00555F14"/>
    <w:rsid w:val="00556025"/>
    <w:rsid w:val="00556051"/>
    <w:rsid w:val="005564B7"/>
    <w:rsid w:val="005567DC"/>
    <w:rsid w:val="00561033"/>
    <w:rsid w:val="0056108A"/>
    <w:rsid w:val="0056238F"/>
    <w:rsid w:val="00562549"/>
    <w:rsid w:val="005626E4"/>
    <w:rsid w:val="00562CA3"/>
    <w:rsid w:val="00563BC3"/>
    <w:rsid w:val="00564121"/>
    <w:rsid w:val="00564C1B"/>
    <w:rsid w:val="005657DB"/>
    <w:rsid w:val="00565CA1"/>
    <w:rsid w:val="00567E51"/>
    <w:rsid w:val="0057029A"/>
    <w:rsid w:val="005704A1"/>
    <w:rsid w:val="00570869"/>
    <w:rsid w:val="0057086B"/>
    <w:rsid w:val="005708F1"/>
    <w:rsid w:val="00571453"/>
    <w:rsid w:val="00571B61"/>
    <w:rsid w:val="00571F35"/>
    <w:rsid w:val="00572C40"/>
    <w:rsid w:val="005738FA"/>
    <w:rsid w:val="00574566"/>
    <w:rsid w:val="00574DD8"/>
    <w:rsid w:val="005751AF"/>
    <w:rsid w:val="005759B8"/>
    <w:rsid w:val="00575C31"/>
    <w:rsid w:val="00575D98"/>
    <w:rsid w:val="005763B0"/>
    <w:rsid w:val="00576F51"/>
    <w:rsid w:val="00577029"/>
    <w:rsid w:val="0058228C"/>
    <w:rsid w:val="00582705"/>
    <w:rsid w:val="00582F30"/>
    <w:rsid w:val="005831CD"/>
    <w:rsid w:val="005831D2"/>
    <w:rsid w:val="00583332"/>
    <w:rsid w:val="00584EB1"/>
    <w:rsid w:val="0058541F"/>
    <w:rsid w:val="005857B1"/>
    <w:rsid w:val="00585ACB"/>
    <w:rsid w:val="00585CB0"/>
    <w:rsid w:val="00587DFB"/>
    <w:rsid w:val="00587EB5"/>
    <w:rsid w:val="005903E0"/>
    <w:rsid w:val="00592747"/>
    <w:rsid w:val="005928CD"/>
    <w:rsid w:val="00592B83"/>
    <w:rsid w:val="005931A6"/>
    <w:rsid w:val="00593274"/>
    <w:rsid w:val="0059354B"/>
    <w:rsid w:val="00593D97"/>
    <w:rsid w:val="0059572B"/>
    <w:rsid w:val="00595C92"/>
    <w:rsid w:val="00596392"/>
    <w:rsid w:val="00596394"/>
    <w:rsid w:val="00596F98"/>
    <w:rsid w:val="005977C1"/>
    <w:rsid w:val="00597CDA"/>
    <w:rsid w:val="00597F83"/>
    <w:rsid w:val="005A025B"/>
    <w:rsid w:val="005A1267"/>
    <w:rsid w:val="005A1727"/>
    <w:rsid w:val="005A394D"/>
    <w:rsid w:val="005A3E07"/>
    <w:rsid w:val="005A3FCD"/>
    <w:rsid w:val="005A43EB"/>
    <w:rsid w:val="005A4536"/>
    <w:rsid w:val="005A5239"/>
    <w:rsid w:val="005A5477"/>
    <w:rsid w:val="005A562B"/>
    <w:rsid w:val="005A6E4B"/>
    <w:rsid w:val="005A6F66"/>
    <w:rsid w:val="005A703C"/>
    <w:rsid w:val="005A7DE6"/>
    <w:rsid w:val="005B03AD"/>
    <w:rsid w:val="005B0B2B"/>
    <w:rsid w:val="005B1BB3"/>
    <w:rsid w:val="005B2112"/>
    <w:rsid w:val="005B27AD"/>
    <w:rsid w:val="005B2B7F"/>
    <w:rsid w:val="005B4553"/>
    <w:rsid w:val="005B6D4D"/>
    <w:rsid w:val="005C0919"/>
    <w:rsid w:val="005C0F85"/>
    <w:rsid w:val="005C1C2F"/>
    <w:rsid w:val="005C1D9A"/>
    <w:rsid w:val="005C21BB"/>
    <w:rsid w:val="005C3A33"/>
    <w:rsid w:val="005C4930"/>
    <w:rsid w:val="005C614B"/>
    <w:rsid w:val="005C7A25"/>
    <w:rsid w:val="005C7E73"/>
    <w:rsid w:val="005C7F49"/>
    <w:rsid w:val="005D0D6A"/>
    <w:rsid w:val="005D1852"/>
    <w:rsid w:val="005D1FE5"/>
    <w:rsid w:val="005D27A5"/>
    <w:rsid w:val="005D2F38"/>
    <w:rsid w:val="005D397F"/>
    <w:rsid w:val="005D3EBC"/>
    <w:rsid w:val="005D418F"/>
    <w:rsid w:val="005D4EA5"/>
    <w:rsid w:val="005D51E7"/>
    <w:rsid w:val="005D5FD2"/>
    <w:rsid w:val="005D60E6"/>
    <w:rsid w:val="005D6639"/>
    <w:rsid w:val="005D6AF9"/>
    <w:rsid w:val="005D6D78"/>
    <w:rsid w:val="005D7049"/>
    <w:rsid w:val="005D724C"/>
    <w:rsid w:val="005D7C2A"/>
    <w:rsid w:val="005E01BB"/>
    <w:rsid w:val="005E09EB"/>
    <w:rsid w:val="005E0F7B"/>
    <w:rsid w:val="005E13B2"/>
    <w:rsid w:val="005E16A4"/>
    <w:rsid w:val="005E21A3"/>
    <w:rsid w:val="005E268E"/>
    <w:rsid w:val="005E2D37"/>
    <w:rsid w:val="005E3C38"/>
    <w:rsid w:val="005E3C4E"/>
    <w:rsid w:val="005E4130"/>
    <w:rsid w:val="005E487E"/>
    <w:rsid w:val="005E4DDB"/>
    <w:rsid w:val="005E56BC"/>
    <w:rsid w:val="005E6CBD"/>
    <w:rsid w:val="005E6E30"/>
    <w:rsid w:val="005E7374"/>
    <w:rsid w:val="005F061C"/>
    <w:rsid w:val="005F126F"/>
    <w:rsid w:val="005F153D"/>
    <w:rsid w:val="005F226B"/>
    <w:rsid w:val="005F22C2"/>
    <w:rsid w:val="005F2453"/>
    <w:rsid w:val="005F3498"/>
    <w:rsid w:val="005F3883"/>
    <w:rsid w:val="005F3DD4"/>
    <w:rsid w:val="005F3DDE"/>
    <w:rsid w:val="005F425B"/>
    <w:rsid w:val="005F4DCE"/>
    <w:rsid w:val="005F4DFA"/>
    <w:rsid w:val="005F621A"/>
    <w:rsid w:val="005F70F7"/>
    <w:rsid w:val="005F749A"/>
    <w:rsid w:val="00600C5B"/>
    <w:rsid w:val="00601469"/>
    <w:rsid w:val="0060215D"/>
    <w:rsid w:val="00602C15"/>
    <w:rsid w:val="00604218"/>
    <w:rsid w:val="00604483"/>
    <w:rsid w:val="00604888"/>
    <w:rsid w:val="00604A61"/>
    <w:rsid w:val="00604C3C"/>
    <w:rsid w:val="00604F87"/>
    <w:rsid w:val="00605067"/>
    <w:rsid w:val="006057ED"/>
    <w:rsid w:val="00605A1D"/>
    <w:rsid w:val="006064E1"/>
    <w:rsid w:val="0061077E"/>
    <w:rsid w:val="006114E1"/>
    <w:rsid w:val="0061192D"/>
    <w:rsid w:val="006121F5"/>
    <w:rsid w:val="0061227C"/>
    <w:rsid w:val="006123F5"/>
    <w:rsid w:val="0061276F"/>
    <w:rsid w:val="0061308C"/>
    <w:rsid w:val="006144CA"/>
    <w:rsid w:val="00614656"/>
    <w:rsid w:val="00614E04"/>
    <w:rsid w:val="00615699"/>
    <w:rsid w:val="006158B5"/>
    <w:rsid w:val="0061593D"/>
    <w:rsid w:val="0061643D"/>
    <w:rsid w:val="006166B0"/>
    <w:rsid w:val="006173AC"/>
    <w:rsid w:val="00617467"/>
    <w:rsid w:val="006179FF"/>
    <w:rsid w:val="00617BA2"/>
    <w:rsid w:val="006225D7"/>
    <w:rsid w:val="00622E30"/>
    <w:rsid w:val="00623443"/>
    <w:rsid w:val="00626621"/>
    <w:rsid w:val="006271A1"/>
    <w:rsid w:val="00627382"/>
    <w:rsid w:val="006274C9"/>
    <w:rsid w:val="006275EC"/>
    <w:rsid w:val="006278CB"/>
    <w:rsid w:val="00627B78"/>
    <w:rsid w:val="00627C54"/>
    <w:rsid w:val="00627FC1"/>
    <w:rsid w:val="006322EE"/>
    <w:rsid w:val="00632742"/>
    <w:rsid w:val="00632A24"/>
    <w:rsid w:val="00632BD7"/>
    <w:rsid w:val="0063354C"/>
    <w:rsid w:val="00635415"/>
    <w:rsid w:val="006354F8"/>
    <w:rsid w:val="00635B3D"/>
    <w:rsid w:val="00635CCA"/>
    <w:rsid w:val="00635D31"/>
    <w:rsid w:val="00635DF1"/>
    <w:rsid w:val="0063652A"/>
    <w:rsid w:val="0064088A"/>
    <w:rsid w:val="006410CD"/>
    <w:rsid w:val="0064175C"/>
    <w:rsid w:val="00642086"/>
    <w:rsid w:val="00642694"/>
    <w:rsid w:val="006428F0"/>
    <w:rsid w:val="00642C42"/>
    <w:rsid w:val="006436C7"/>
    <w:rsid w:val="006437DC"/>
    <w:rsid w:val="006440DA"/>
    <w:rsid w:val="0064554E"/>
    <w:rsid w:val="006463E8"/>
    <w:rsid w:val="006464A9"/>
    <w:rsid w:val="00647A2F"/>
    <w:rsid w:val="00647B11"/>
    <w:rsid w:val="00647E1A"/>
    <w:rsid w:val="00647EAF"/>
    <w:rsid w:val="00651049"/>
    <w:rsid w:val="00651350"/>
    <w:rsid w:val="00651578"/>
    <w:rsid w:val="00651BF6"/>
    <w:rsid w:val="00652338"/>
    <w:rsid w:val="006532F3"/>
    <w:rsid w:val="006557D4"/>
    <w:rsid w:val="00656588"/>
    <w:rsid w:val="006569BB"/>
    <w:rsid w:val="006570A8"/>
    <w:rsid w:val="00657EC1"/>
    <w:rsid w:val="006606E5"/>
    <w:rsid w:val="00661ECF"/>
    <w:rsid w:val="006622A4"/>
    <w:rsid w:val="0066490F"/>
    <w:rsid w:val="00664FC7"/>
    <w:rsid w:val="00665A83"/>
    <w:rsid w:val="00666B3A"/>
    <w:rsid w:val="00666F97"/>
    <w:rsid w:val="00667384"/>
    <w:rsid w:val="006675E9"/>
    <w:rsid w:val="00670D50"/>
    <w:rsid w:val="00671C54"/>
    <w:rsid w:val="0067214B"/>
    <w:rsid w:val="00673972"/>
    <w:rsid w:val="00673975"/>
    <w:rsid w:val="006748C1"/>
    <w:rsid w:val="00674AED"/>
    <w:rsid w:val="00675015"/>
    <w:rsid w:val="00675DF2"/>
    <w:rsid w:val="006766AD"/>
    <w:rsid w:val="006770F0"/>
    <w:rsid w:val="0068014C"/>
    <w:rsid w:val="006801FB"/>
    <w:rsid w:val="00680293"/>
    <w:rsid w:val="00680A73"/>
    <w:rsid w:val="0068233F"/>
    <w:rsid w:val="00682CA7"/>
    <w:rsid w:val="00682EA3"/>
    <w:rsid w:val="0068442A"/>
    <w:rsid w:val="00685178"/>
    <w:rsid w:val="006869A6"/>
    <w:rsid w:val="0068741E"/>
    <w:rsid w:val="00687500"/>
    <w:rsid w:val="00691D04"/>
    <w:rsid w:val="00692483"/>
    <w:rsid w:val="00692708"/>
    <w:rsid w:val="00692CE6"/>
    <w:rsid w:val="0069451C"/>
    <w:rsid w:val="00694E37"/>
    <w:rsid w:val="00696074"/>
    <w:rsid w:val="00696179"/>
    <w:rsid w:val="0069650A"/>
    <w:rsid w:val="00696C97"/>
    <w:rsid w:val="00697E3E"/>
    <w:rsid w:val="00697FF5"/>
    <w:rsid w:val="006A01C4"/>
    <w:rsid w:val="006A0D11"/>
    <w:rsid w:val="006A1616"/>
    <w:rsid w:val="006A223A"/>
    <w:rsid w:val="006A233B"/>
    <w:rsid w:val="006A30ED"/>
    <w:rsid w:val="006A3676"/>
    <w:rsid w:val="006A3D0F"/>
    <w:rsid w:val="006A41D7"/>
    <w:rsid w:val="006A5474"/>
    <w:rsid w:val="006A5AB8"/>
    <w:rsid w:val="006A68DF"/>
    <w:rsid w:val="006A6E89"/>
    <w:rsid w:val="006A76D1"/>
    <w:rsid w:val="006A7DFA"/>
    <w:rsid w:val="006A7E8E"/>
    <w:rsid w:val="006A7FA6"/>
    <w:rsid w:val="006B02A1"/>
    <w:rsid w:val="006B09D2"/>
    <w:rsid w:val="006B0E96"/>
    <w:rsid w:val="006B1468"/>
    <w:rsid w:val="006B16BC"/>
    <w:rsid w:val="006B172A"/>
    <w:rsid w:val="006B2147"/>
    <w:rsid w:val="006B24B4"/>
    <w:rsid w:val="006B304D"/>
    <w:rsid w:val="006B4A47"/>
    <w:rsid w:val="006B6C47"/>
    <w:rsid w:val="006B6E73"/>
    <w:rsid w:val="006B7B97"/>
    <w:rsid w:val="006B7C19"/>
    <w:rsid w:val="006B7D4D"/>
    <w:rsid w:val="006C0AC2"/>
    <w:rsid w:val="006C1A0C"/>
    <w:rsid w:val="006C1F1B"/>
    <w:rsid w:val="006C2593"/>
    <w:rsid w:val="006C2945"/>
    <w:rsid w:val="006C2C4F"/>
    <w:rsid w:val="006C30CA"/>
    <w:rsid w:val="006D1A5A"/>
    <w:rsid w:val="006D1B2D"/>
    <w:rsid w:val="006D2385"/>
    <w:rsid w:val="006D2D0C"/>
    <w:rsid w:val="006D2E16"/>
    <w:rsid w:val="006D3F44"/>
    <w:rsid w:val="006D46E9"/>
    <w:rsid w:val="006D6230"/>
    <w:rsid w:val="006D62C8"/>
    <w:rsid w:val="006D7A24"/>
    <w:rsid w:val="006D7E99"/>
    <w:rsid w:val="006E1AB0"/>
    <w:rsid w:val="006E2D2F"/>
    <w:rsid w:val="006E2DE5"/>
    <w:rsid w:val="006E3D66"/>
    <w:rsid w:val="006E40DF"/>
    <w:rsid w:val="006E4553"/>
    <w:rsid w:val="006E501C"/>
    <w:rsid w:val="006E5B30"/>
    <w:rsid w:val="006E68F8"/>
    <w:rsid w:val="006E6938"/>
    <w:rsid w:val="006E69FA"/>
    <w:rsid w:val="006E75F1"/>
    <w:rsid w:val="006E7EF7"/>
    <w:rsid w:val="006F0008"/>
    <w:rsid w:val="006F055B"/>
    <w:rsid w:val="006F0CE5"/>
    <w:rsid w:val="006F0DCB"/>
    <w:rsid w:val="006F0F91"/>
    <w:rsid w:val="006F18D8"/>
    <w:rsid w:val="006F2AC5"/>
    <w:rsid w:val="006F375F"/>
    <w:rsid w:val="006F73A4"/>
    <w:rsid w:val="0070167E"/>
    <w:rsid w:val="00702115"/>
    <w:rsid w:val="00702723"/>
    <w:rsid w:val="00703A84"/>
    <w:rsid w:val="00703B08"/>
    <w:rsid w:val="00703EF6"/>
    <w:rsid w:val="00703F34"/>
    <w:rsid w:val="007042F8"/>
    <w:rsid w:val="007049A8"/>
    <w:rsid w:val="007051E3"/>
    <w:rsid w:val="00705A4C"/>
    <w:rsid w:val="00705DED"/>
    <w:rsid w:val="00705F8B"/>
    <w:rsid w:val="00706F00"/>
    <w:rsid w:val="00707AAE"/>
    <w:rsid w:val="00710D06"/>
    <w:rsid w:val="00710ECA"/>
    <w:rsid w:val="007113AA"/>
    <w:rsid w:val="00711B92"/>
    <w:rsid w:val="00712209"/>
    <w:rsid w:val="00712502"/>
    <w:rsid w:val="007147C1"/>
    <w:rsid w:val="00715782"/>
    <w:rsid w:val="007157B5"/>
    <w:rsid w:val="007157D6"/>
    <w:rsid w:val="00715F52"/>
    <w:rsid w:val="00716A7E"/>
    <w:rsid w:val="007173BA"/>
    <w:rsid w:val="00717EF0"/>
    <w:rsid w:val="0072013B"/>
    <w:rsid w:val="0072058C"/>
    <w:rsid w:val="0072145A"/>
    <w:rsid w:val="00721EE7"/>
    <w:rsid w:val="00721FDD"/>
    <w:rsid w:val="00722257"/>
    <w:rsid w:val="0072439F"/>
    <w:rsid w:val="00724726"/>
    <w:rsid w:val="00724857"/>
    <w:rsid w:val="00724934"/>
    <w:rsid w:val="007256CE"/>
    <w:rsid w:val="007260C5"/>
    <w:rsid w:val="007262AB"/>
    <w:rsid w:val="007273CD"/>
    <w:rsid w:val="0072769E"/>
    <w:rsid w:val="007279A6"/>
    <w:rsid w:val="0073017E"/>
    <w:rsid w:val="0073041A"/>
    <w:rsid w:val="00730640"/>
    <w:rsid w:val="007306B5"/>
    <w:rsid w:val="007325D6"/>
    <w:rsid w:val="00733014"/>
    <w:rsid w:val="00733BB3"/>
    <w:rsid w:val="00734660"/>
    <w:rsid w:val="0073466A"/>
    <w:rsid w:val="00734DAC"/>
    <w:rsid w:val="007357ED"/>
    <w:rsid w:val="00735A58"/>
    <w:rsid w:val="00736EED"/>
    <w:rsid w:val="007370FF"/>
    <w:rsid w:val="00740191"/>
    <w:rsid w:val="00740E5B"/>
    <w:rsid w:val="00742A9F"/>
    <w:rsid w:val="007434F2"/>
    <w:rsid w:val="00743EDB"/>
    <w:rsid w:val="00743F31"/>
    <w:rsid w:val="00744237"/>
    <w:rsid w:val="00744610"/>
    <w:rsid w:val="00744F26"/>
    <w:rsid w:val="007460B1"/>
    <w:rsid w:val="00746640"/>
    <w:rsid w:val="007467A3"/>
    <w:rsid w:val="007468D5"/>
    <w:rsid w:val="00746B7D"/>
    <w:rsid w:val="00746CF9"/>
    <w:rsid w:val="00746EA1"/>
    <w:rsid w:val="0074772B"/>
    <w:rsid w:val="00747880"/>
    <w:rsid w:val="00750379"/>
    <w:rsid w:val="00751599"/>
    <w:rsid w:val="0075204E"/>
    <w:rsid w:val="00752245"/>
    <w:rsid w:val="00752D57"/>
    <w:rsid w:val="007543E5"/>
    <w:rsid w:val="00754A5A"/>
    <w:rsid w:val="00754C1B"/>
    <w:rsid w:val="00755465"/>
    <w:rsid w:val="007557AE"/>
    <w:rsid w:val="0075593C"/>
    <w:rsid w:val="00755A61"/>
    <w:rsid w:val="00756126"/>
    <w:rsid w:val="00756970"/>
    <w:rsid w:val="007574F4"/>
    <w:rsid w:val="0075762A"/>
    <w:rsid w:val="007606AD"/>
    <w:rsid w:val="00760D8E"/>
    <w:rsid w:val="00761B4E"/>
    <w:rsid w:val="007624C7"/>
    <w:rsid w:val="00762CB6"/>
    <w:rsid w:val="00762D4B"/>
    <w:rsid w:val="00762F88"/>
    <w:rsid w:val="0076313B"/>
    <w:rsid w:val="0076327C"/>
    <w:rsid w:val="00763A4C"/>
    <w:rsid w:val="00763AAD"/>
    <w:rsid w:val="00763CCF"/>
    <w:rsid w:val="007644D2"/>
    <w:rsid w:val="00764B71"/>
    <w:rsid w:val="00765446"/>
    <w:rsid w:val="00765FD9"/>
    <w:rsid w:val="007661EA"/>
    <w:rsid w:val="007663AB"/>
    <w:rsid w:val="00766725"/>
    <w:rsid w:val="007674E0"/>
    <w:rsid w:val="00767DA5"/>
    <w:rsid w:val="00770068"/>
    <w:rsid w:val="00770247"/>
    <w:rsid w:val="007706AD"/>
    <w:rsid w:val="007709FA"/>
    <w:rsid w:val="00770D92"/>
    <w:rsid w:val="007717D6"/>
    <w:rsid w:val="007739C8"/>
    <w:rsid w:val="00773AE2"/>
    <w:rsid w:val="007743DE"/>
    <w:rsid w:val="007746ED"/>
    <w:rsid w:val="00774818"/>
    <w:rsid w:val="007754A3"/>
    <w:rsid w:val="007756AD"/>
    <w:rsid w:val="00775C61"/>
    <w:rsid w:val="00775F95"/>
    <w:rsid w:val="007764CB"/>
    <w:rsid w:val="0077702F"/>
    <w:rsid w:val="00777BF8"/>
    <w:rsid w:val="00780507"/>
    <w:rsid w:val="00780641"/>
    <w:rsid w:val="007807EF"/>
    <w:rsid w:val="00780D9F"/>
    <w:rsid w:val="00784433"/>
    <w:rsid w:val="007844F7"/>
    <w:rsid w:val="00784D30"/>
    <w:rsid w:val="00785741"/>
    <w:rsid w:val="00785C64"/>
    <w:rsid w:val="00786E0B"/>
    <w:rsid w:val="0078707A"/>
    <w:rsid w:val="00790BAB"/>
    <w:rsid w:val="00790E8F"/>
    <w:rsid w:val="00791A8F"/>
    <w:rsid w:val="00792281"/>
    <w:rsid w:val="00792423"/>
    <w:rsid w:val="00792B3F"/>
    <w:rsid w:val="00792E92"/>
    <w:rsid w:val="0079399E"/>
    <w:rsid w:val="00793A15"/>
    <w:rsid w:val="00794C07"/>
    <w:rsid w:val="0079560C"/>
    <w:rsid w:val="00795675"/>
    <w:rsid w:val="007969A8"/>
    <w:rsid w:val="00796D90"/>
    <w:rsid w:val="007972AA"/>
    <w:rsid w:val="00797564"/>
    <w:rsid w:val="00797D0F"/>
    <w:rsid w:val="007A0032"/>
    <w:rsid w:val="007A097C"/>
    <w:rsid w:val="007A1697"/>
    <w:rsid w:val="007A17AA"/>
    <w:rsid w:val="007A2271"/>
    <w:rsid w:val="007A2CD0"/>
    <w:rsid w:val="007A300A"/>
    <w:rsid w:val="007A31E3"/>
    <w:rsid w:val="007A3234"/>
    <w:rsid w:val="007A52AA"/>
    <w:rsid w:val="007A67DB"/>
    <w:rsid w:val="007A7F7A"/>
    <w:rsid w:val="007B0E1D"/>
    <w:rsid w:val="007B1989"/>
    <w:rsid w:val="007B1D9A"/>
    <w:rsid w:val="007B31D7"/>
    <w:rsid w:val="007B37E6"/>
    <w:rsid w:val="007B6060"/>
    <w:rsid w:val="007B70C9"/>
    <w:rsid w:val="007B777F"/>
    <w:rsid w:val="007B7A2D"/>
    <w:rsid w:val="007C035F"/>
    <w:rsid w:val="007C1453"/>
    <w:rsid w:val="007C3082"/>
    <w:rsid w:val="007C30C5"/>
    <w:rsid w:val="007C3F2A"/>
    <w:rsid w:val="007C4593"/>
    <w:rsid w:val="007C510C"/>
    <w:rsid w:val="007C5FE2"/>
    <w:rsid w:val="007C65E0"/>
    <w:rsid w:val="007C69C2"/>
    <w:rsid w:val="007C72AF"/>
    <w:rsid w:val="007C7F54"/>
    <w:rsid w:val="007D005C"/>
    <w:rsid w:val="007D1617"/>
    <w:rsid w:val="007D170A"/>
    <w:rsid w:val="007D177B"/>
    <w:rsid w:val="007D2166"/>
    <w:rsid w:val="007D351F"/>
    <w:rsid w:val="007D3897"/>
    <w:rsid w:val="007D5ABB"/>
    <w:rsid w:val="007D5E13"/>
    <w:rsid w:val="007D5E71"/>
    <w:rsid w:val="007D5F8F"/>
    <w:rsid w:val="007D6030"/>
    <w:rsid w:val="007D6AD0"/>
    <w:rsid w:val="007D6C4C"/>
    <w:rsid w:val="007D7024"/>
    <w:rsid w:val="007D7329"/>
    <w:rsid w:val="007D7AE7"/>
    <w:rsid w:val="007D7C3B"/>
    <w:rsid w:val="007E0895"/>
    <w:rsid w:val="007E098C"/>
    <w:rsid w:val="007E117E"/>
    <w:rsid w:val="007E11F3"/>
    <w:rsid w:val="007E124C"/>
    <w:rsid w:val="007E1F5C"/>
    <w:rsid w:val="007E2387"/>
    <w:rsid w:val="007E314D"/>
    <w:rsid w:val="007E32F4"/>
    <w:rsid w:val="007E3929"/>
    <w:rsid w:val="007E3EDF"/>
    <w:rsid w:val="007E58D3"/>
    <w:rsid w:val="007E5BF0"/>
    <w:rsid w:val="007E5E9A"/>
    <w:rsid w:val="007F0C0A"/>
    <w:rsid w:val="007F297B"/>
    <w:rsid w:val="007F2C1E"/>
    <w:rsid w:val="007F4DA1"/>
    <w:rsid w:val="007F559E"/>
    <w:rsid w:val="007F57DD"/>
    <w:rsid w:val="007F5F21"/>
    <w:rsid w:val="007F681D"/>
    <w:rsid w:val="007F7282"/>
    <w:rsid w:val="007F73E5"/>
    <w:rsid w:val="00800823"/>
    <w:rsid w:val="00800CE6"/>
    <w:rsid w:val="0080103B"/>
    <w:rsid w:val="00801DD0"/>
    <w:rsid w:val="00802355"/>
    <w:rsid w:val="00802493"/>
    <w:rsid w:val="0080297E"/>
    <w:rsid w:val="008038AB"/>
    <w:rsid w:val="0080390F"/>
    <w:rsid w:val="00803D4B"/>
    <w:rsid w:val="0080426B"/>
    <w:rsid w:val="00805312"/>
    <w:rsid w:val="00805582"/>
    <w:rsid w:val="008066F7"/>
    <w:rsid w:val="00807849"/>
    <w:rsid w:val="00807DF3"/>
    <w:rsid w:val="008103D2"/>
    <w:rsid w:val="008105D5"/>
    <w:rsid w:val="00810E9B"/>
    <w:rsid w:val="00810F38"/>
    <w:rsid w:val="0081149C"/>
    <w:rsid w:val="00811A75"/>
    <w:rsid w:val="00811D41"/>
    <w:rsid w:val="008126C8"/>
    <w:rsid w:val="0081273D"/>
    <w:rsid w:val="008127FA"/>
    <w:rsid w:val="00812853"/>
    <w:rsid w:val="008139E5"/>
    <w:rsid w:val="00814B34"/>
    <w:rsid w:val="008160C8"/>
    <w:rsid w:val="008160DE"/>
    <w:rsid w:val="008163A3"/>
    <w:rsid w:val="00816713"/>
    <w:rsid w:val="008178C5"/>
    <w:rsid w:val="008205DA"/>
    <w:rsid w:val="00821DBE"/>
    <w:rsid w:val="00822056"/>
    <w:rsid w:val="0082345F"/>
    <w:rsid w:val="008241A9"/>
    <w:rsid w:val="00825010"/>
    <w:rsid w:val="0082626A"/>
    <w:rsid w:val="00826B79"/>
    <w:rsid w:val="00826ED6"/>
    <w:rsid w:val="00827944"/>
    <w:rsid w:val="00827F0E"/>
    <w:rsid w:val="00827F5D"/>
    <w:rsid w:val="008303E6"/>
    <w:rsid w:val="008318CD"/>
    <w:rsid w:val="00831F3D"/>
    <w:rsid w:val="00832A28"/>
    <w:rsid w:val="00832C28"/>
    <w:rsid w:val="008333DA"/>
    <w:rsid w:val="00833575"/>
    <w:rsid w:val="00833EA7"/>
    <w:rsid w:val="00833F32"/>
    <w:rsid w:val="008353F4"/>
    <w:rsid w:val="0083592A"/>
    <w:rsid w:val="00835E6D"/>
    <w:rsid w:val="00835F6E"/>
    <w:rsid w:val="0083661F"/>
    <w:rsid w:val="00836F6A"/>
    <w:rsid w:val="0083723C"/>
    <w:rsid w:val="00837566"/>
    <w:rsid w:val="0083780E"/>
    <w:rsid w:val="00841054"/>
    <w:rsid w:val="008411B3"/>
    <w:rsid w:val="008411DE"/>
    <w:rsid w:val="00841F61"/>
    <w:rsid w:val="008420A4"/>
    <w:rsid w:val="00842450"/>
    <w:rsid w:val="0084260C"/>
    <w:rsid w:val="0084270B"/>
    <w:rsid w:val="008430B3"/>
    <w:rsid w:val="00844ACC"/>
    <w:rsid w:val="00844B43"/>
    <w:rsid w:val="00845D2C"/>
    <w:rsid w:val="00846436"/>
    <w:rsid w:val="0084671C"/>
    <w:rsid w:val="00846D98"/>
    <w:rsid w:val="0085032B"/>
    <w:rsid w:val="008514B4"/>
    <w:rsid w:val="00852B07"/>
    <w:rsid w:val="00852C4C"/>
    <w:rsid w:val="00853D6F"/>
    <w:rsid w:val="00854798"/>
    <w:rsid w:val="008549E0"/>
    <w:rsid w:val="0085552F"/>
    <w:rsid w:val="00855BF5"/>
    <w:rsid w:val="00855FB2"/>
    <w:rsid w:val="0086074E"/>
    <w:rsid w:val="008608F3"/>
    <w:rsid w:val="00860A0A"/>
    <w:rsid w:val="00860B01"/>
    <w:rsid w:val="0086139A"/>
    <w:rsid w:val="008613C8"/>
    <w:rsid w:val="00861C66"/>
    <w:rsid w:val="00861EF4"/>
    <w:rsid w:val="00862ABD"/>
    <w:rsid w:val="00863333"/>
    <w:rsid w:val="00863739"/>
    <w:rsid w:val="00863938"/>
    <w:rsid w:val="00863D08"/>
    <w:rsid w:val="008648F9"/>
    <w:rsid w:val="00864982"/>
    <w:rsid w:val="00865ACB"/>
    <w:rsid w:val="00865F91"/>
    <w:rsid w:val="0086625E"/>
    <w:rsid w:val="00866446"/>
    <w:rsid w:val="00866B5B"/>
    <w:rsid w:val="00867091"/>
    <w:rsid w:val="00867A27"/>
    <w:rsid w:val="00870CB4"/>
    <w:rsid w:val="008714A1"/>
    <w:rsid w:val="0087189E"/>
    <w:rsid w:val="00872D88"/>
    <w:rsid w:val="00873563"/>
    <w:rsid w:val="00874320"/>
    <w:rsid w:val="00874587"/>
    <w:rsid w:val="00874BD5"/>
    <w:rsid w:val="008759D4"/>
    <w:rsid w:val="00875B6E"/>
    <w:rsid w:val="00880D51"/>
    <w:rsid w:val="008820A0"/>
    <w:rsid w:val="008820E7"/>
    <w:rsid w:val="00882D13"/>
    <w:rsid w:val="00882FDF"/>
    <w:rsid w:val="00883CEA"/>
    <w:rsid w:val="0088445A"/>
    <w:rsid w:val="008847E5"/>
    <w:rsid w:val="008847F1"/>
    <w:rsid w:val="00885FA5"/>
    <w:rsid w:val="00886D00"/>
    <w:rsid w:val="008873C7"/>
    <w:rsid w:val="00887838"/>
    <w:rsid w:val="00887D80"/>
    <w:rsid w:val="00890A47"/>
    <w:rsid w:val="00892522"/>
    <w:rsid w:val="00892DAD"/>
    <w:rsid w:val="00893405"/>
    <w:rsid w:val="00893850"/>
    <w:rsid w:val="00894486"/>
    <w:rsid w:val="00894571"/>
    <w:rsid w:val="008956C2"/>
    <w:rsid w:val="00895844"/>
    <w:rsid w:val="0089591F"/>
    <w:rsid w:val="0089648A"/>
    <w:rsid w:val="00896A87"/>
    <w:rsid w:val="00896ED0"/>
    <w:rsid w:val="008973EA"/>
    <w:rsid w:val="008974BC"/>
    <w:rsid w:val="0089750E"/>
    <w:rsid w:val="00897724"/>
    <w:rsid w:val="008A3669"/>
    <w:rsid w:val="008A4547"/>
    <w:rsid w:val="008A4980"/>
    <w:rsid w:val="008A5825"/>
    <w:rsid w:val="008A60C3"/>
    <w:rsid w:val="008A7126"/>
    <w:rsid w:val="008A7DC8"/>
    <w:rsid w:val="008B0A5B"/>
    <w:rsid w:val="008B0E68"/>
    <w:rsid w:val="008B1074"/>
    <w:rsid w:val="008B1EB0"/>
    <w:rsid w:val="008B29E1"/>
    <w:rsid w:val="008B2BBB"/>
    <w:rsid w:val="008B3380"/>
    <w:rsid w:val="008B34B1"/>
    <w:rsid w:val="008B3A8E"/>
    <w:rsid w:val="008B48B0"/>
    <w:rsid w:val="008B494C"/>
    <w:rsid w:val="008B4BDD"/>
    <w:rsid w:val="008B51E3"/>
    <w:rsid w:val="008B556B"/>
    <w:rsid w:val="008B5E05"/>
    <w:rsid w:val="008B5F8D"/>
    <w:rsid w:val="008B67B7"/>
    <w:rsid w:val="008B6B49"/>
    <w:rsid w:val="008B6B9F"/>
    <w:rsid w:val="008B6F7E"/>
    <w:rsid w:val="008B72B1"/>
    <w:rsid w:val="008B73E6"/>
    <w:rsid w:val="008B7786"/>
    <w:rsid w:val="008C0B6B"/>
    <w:rsid w:val="008C13AC"/>
    <w:rsid w:val="008C19C2"/>
    <w:rsid w:val="008C2789"/>
    <w:rsid w:val="008C3BB0"/>
    <w:rsid w:val="008C3F66"/>
    <w:rsid w:val="008C7C7E"/>
    <w:rsid w:val="008C7FDC"/>
    <w:rsid w:val="008D01DD"/>
    <w:rsid w:val="008D02DC"/>
    <w:rsid w:val="008D08B4"/>
    <w:rsid w:val="008D1D61"/>
    <w:rsid w:val="008D2038"/>
    <w:rsid w:val="008D22CE"/>
    <w:rsid w:val="008D23BC"/>
    <w:rsid w:val="008D330C"/>
    <w:rsid w:val="008D34AC"/>
    <w:rsid w:val="008D4F00"/>
    <w:rsid w:val="008D5910"/>
    <w:rsid w:val="008D6E2C"/>
    <w:rsid w:val="008D7671"/>
    <w:rsid w:val="008E033A"/>
    <w:rsid w:val="008E0405"/>
    <w:rsid w:val="008E17BA"/>
    <w:rsid w:val="008E1AE6"/>
    <w:rsid w:val="008E2390"/>
    <w:rsid w:val="008E3609"/>
    <w:rsid w:val="008E41D9"/>
    <w:rsid w:val="008E4900"/>
    <w:rsid w:val="008E4ABB"/>
    <w:rsid w:val="008E4EBD"/>
    <w:rsid w:val="008E5782"/>
    <w:rsid w:val="008E724C"/>
    <w:rsid w:val="008E734F"/>
    <w:rsid w:val="008E75FD"/>
    <w:rsid w:val="008F08F5"/>
    <w:rsid w:val="008F0A68"/>
    <w:rsid w:val="008F0AA0"/>
    <w:rsid w:val="008F102E"/>
    <w:rsid w:val="008F17CB"/>
    <w:rsid w:val="008F19B4"/>
    <w:rsid w:val="008F1C5E"/>
    <w:rsid w:val="008F2E11"/>
    <w:rsid w:val="008F2FF9"/>
    <w:rsid w:val="008F33B7"/>
    <w:rsid w:val="008F4DF9"/>
    <w:rsid w:val="008F51B7"/>
    <w:rsid w:val="008F576A"/>
    <w:rsid w:val="008F5B22"/>
    <w:rsid w:val="008F5B6F"/>
    <w:rsid w:val="008F5CAD"/>
    <w:rsid w:val="009004E5"/>
    <w:rsid w:val="00900561"/>
    <w:rsid w:val="00901908"/>
    <w:rsid w:val="0090269D"/>
    <w:rsid w:val="00905B56"/>
    <w:rsid w:val="00905BD3"/>
    <w:rsid w:val="00906166"/>
    <w:rsid w:val="00906361"/>
    <w:rsid w:val="00906670"/>
    <w:rsid w:val="00906AD8"/>
    <w:rsid w:val="00906F61"/>
    <w:rsid w:val="00907280"/>
    <w:rsid w:val="00907C58"/>
    <w:rsid w:val="00910D7B"/>
    <w:rsid w:val="00911572"/>
    <w:rsid w:val="00912308"/>
    <w:rsid w:val="009123F9"/>
    <w:rsid w:val="0091287B"/>
    <w:rsid w:val="0091294B"/>
    <w:rsid w:val="00913156"/>
    <w:rsid w:val="00914677"/>
    <w:rsid w:val="00915283"/>
    <w:rsid w:val="00915A03"/>
    <w:rsid w:val="0091610A"/>
    <w:rsid w:val="0091636E"/>
    <w:rsid w:val="00916657"/>
    <w:rsid w:val="00916AE4"/>
    <w:rsid w:val="00916CC7"/>
    <w:rsid w:val="00917156"/>
    <w:rsid w:val="009179B4"/>
    <w:rsid w:val="00917D94"/>
    <w:rsid w:val="00920769"/>
    <w:rsid w:val="00920B40"/>
    <w:rsid w:val="0092111E"/>
    <w:rsid w:val="00921D68"/>
    <w:rsid w:val="00921EA1"/>
    <w:rsid w:val="00922517"/>
    <w:rsid w:val="00922595"/>
    <w:rsid w:val="009229D9"/>
    <w:rsid w:val="00923879"/>
    <w:rsid w:val="00923CAB"/>
    <w:rsid w:val="00924253"/>
    <w:rsid w:val="009263D3"/>
    <w:rsid w:val="00926F7A"/>
    <w:rsid w:val="00927892"/>
    <w:rsid w:val="0092791E"/>
    <w:rsid w:val="0093018C"/>
    <w:rsid w:val="00931765"/>
    <w:rsid w:val="0093176D"/>
    <w:rsid w:val="0093272F"/>
    <w:rsid w:val="009332CE"/>
    <w:rsid w:val="0093355E"/>
    <w:rsid w:val="009335D3"/>
    <w:rsid w:val="009337B3"/>
    <w:rsid w:val="00933C47"/>
    <w:rsid w:val="009343A1"/>
    <w:rsid w:val="00934417"/>
    <w:rsid w:val="009346C2"/>
    <w:rsid w:val="009347FB"/>
    <w:rsid w:val="00934AFC"/>
    <w:rsid w:val="009352F2"/>
    <w:rsid w:val="00935AEB"/>
    <w:rsid w:val="00937713"/>
    <w:rsid w:val="0094080F"/>
    <w:rsid w:val="009412AB"/>
    <w:rsid w:val="009418A5"/>
    <w:rsid w:val="00941BA3"/>
    <w:rsid w:val="00943019"/>
    <w:rsid w:val="00944626"/>
    <w:rsid w:val="00946C15"/>
    <w:rsid w:val="00946EA7"/>
    <w:rsid w:val="00947CAA"/>
    <w:rsid w:val="00950181"/>
    <w:rsid w:val="0095109A"/>
    <w:rsid w:val="0095147B"/>
    <w:rsid w:val="00952D08"/>
    <w:rsid w:val="009530DD"/>
    <w:rsid w:val="00954ACC"/>
    <w:rsid w:val="00954C2D"/>
    <w:rsid w:val="00955167"/>
    <w:rsid w:val="009557D7"/>
    <w:rsid w:val="009565DC"/>
    <w:rsid w:val="00956623"/>
    <w:rsid w:val="009566A7"/>
    <w:rsid w:val="00957C9A"/>
    <w:rsid w:val="00960FEC"/>
    <w:rsid w:val="009614F6"/>
    <w:rsid w:val="00961F0D"/>
    <w:rsid w:val="00961F78"/>
    <w:rsid w:val="00962A4D"/>
    <w:rsid w:val="009630E7"/>
    <w:rsid w:val="00963852"/>
    <w:rsid w:val="00964765"/>
    <w:rsid w:val="00965940"/>
    <w:rsid w:val="00965979"/>
    <w:rsid w:val="00965BDF"/>
    <w:rsid w:val="00966132"/>
    <w:rsid w:val="00966476"/>
    <w:rsid w:val="00967C1C"/>
    <w:rsid w:val="00967FA9"/>
    <w:rsid w:val="00970FCB"/>
    <w:rsid w:val="009724B5"/>
    <w:rsid w:val="00972D79"/>
    <w:rsid w:val="00973D3E"/>
    <w:rsid w:val="0097406B"/>
    <w:rsid w:val="0097479C"/>
    <w:rsid w:val="00974904"/>
    <w:rsid w:val="00974BFB"/>
    <w:rsid w:val="00974D8D"/>
    <w:rsid w:val="009750AC"/>
    <w:rsid w:val="00975DEB"/>
    <w:rsid w:val="0097727B"/>
    <w:rsid w:val="009834C1"/>
    <w:rsid w:val="009839B9"/>
    <w:rsid w:val="00983DAD"/>
    <w:rsid w:val="00984E60"/>
    <w:rsid w:val="0098553A"/>
    <w:rsid w:val="00985623"/>
    <w:rsid w:val="00985B3C"/>
    <w:rsid w:val="00986392"/>
    <w:rsid w:val="009863B7"/>
    <w:rsid w:val="00986BF9"/>
    <w:rsid w:val="00987A0B"/>
    <w:rsid w:val="00991B1A"/>
    <w:rsid w:val="0099284F"/>
    <w:rsid w:val="00992E66"/>
    <w:rsid w:val="00993D1E"/>
    <w:rsid w:val="009941C3"/>
    <w:rsid w:val="00994501"/>
    <w:rsid w:val="00994B6B"/>
    <w:rsid w:val="00995776"/>
    <w:rsid w:val="00995ACE"/>
    <w:rsid w:val="00995D98"/>
    <w:rsid w:val="009967B0"/>
    <w:rsid w:val="00996F1C"/>
    <w:rsid w:val="009970F6"/>
    <w:rsid w:val="009974D1"/>
    <w:rsid w:val="009A1318"/>
    <w:rsid w:val="009A14B8"/>
    <w:rsid w:val="009A1ABD"/>
    <w:rsid w:val="009A1B10"/>
    <w:rsid w:val="009A215A"/>
    <w:rsid w:val="009A2CC9"/>
    <w:rsid w:val="009A2ED5"/>
    <w:rsid w:val="009A4282"/>
    <w:rsid w:val="009A4299"/>
    <w:rsid w:val="009A43E0"/>
    <w:rsid w:val="009A4E57"/>
    <w:rsid w:val="009A5474"/>
    <w:rsid w:val="009A5AC4"/>
    <w:rsid w:val="009A60A7"/>
    <w:rsid w:val="009A6177"/>
    <w:rsid w:val="009A6A04"/>
    <w:rsid w:val="009A6F62"/>
    <w:rsid w:val="009A7F50"/>
    <w:rsid w:val="009B050A"/>
    <w:rsid w:val="009B0B23"/>
    <w:rsid w:val="009B0C73"/>
    <w:rsid w:val="009B1E94"/>
    <w:rsid w:val="009B2127"/>
    <w:rsid w:val="009B29C4"/>
    <w:rsid w:val="009B4365"/>
    <w:rsid w:val="009B5352"/>
    <w:rsid w:val="009B5E67"/>
    <w:rsid w:val="009B6490"/>
    <w:rsid w:val="009B68FC"/>
    <w:rsid w:val="009B71D4"/>
    <w:rsid w:val="009B76D5"/>
    <w:rsid w:val="009B78F4"/>
    <w:rsid w:val="009B7A06"/>
    <w:rsid w:val="009C0576"/>
    <w:rsid w:val="009C0E2C"/>
    <w:rsid w:val="009C1B62"/>
    <w:rsid w:val="009C2F19"/>
    <w:rsid w:val="009C390B"/>
    <w:rsid w:val="009C3B71"/>
    <w:rsid w:val="009C3B7E"/>
    <w:rsid w:val="009C3CBC"/>
    <w:rsid w:val="009C458A"/>
    <w:rsid w:val="009C464D"/>
    <w:rsid w:val="009C496B"/>
    <w:rsid w:val="009C5885"/>
    <w:rsid w:val="009C5DB1"/>
    <w:rsid w:val="009C6C58"/>
    <w:rsid w:val="009C75BD"/>
    <w:rsid w:val="009C7891"/>
    <w:rsid w:val="009C7A2F"/>
    <w:rsid w:val="009D0376"/>
    <w:rsid w:val="009D15BA"/>
    <w:rsid w:val="009D1E65"/>
    <w:rsid w:val="009D2C2A"/>
    <w:rsid w:val="009D2F7C"/>
    <w:rsid w:val="009D2F92"/>
    <w:rsid w:val="009D5115"/>
    <w:rsid w:val="009D5382"/>
    <w:rsid w:val="009D5F89"/>
    <w:rsid w:val="009D6359"/>
    <w:rsid w:val="009D6BC0"/>
    <w:rsid w:val="009D72C1"/>
    <w:rsid w:val="009D75C0"/>
    <w:rsid w:val="009E0392"/>
    <w:rsid w:val="009E0A5A"/>
    <w:rsid w:val="009E11C8"/>
    <w:rsid w:val="009E17F1"/>
    <w:rsid w:val="009E1872"/>
    <w:rsid w:val="009E1B05"/>
    <w:rsid w:val="009E1F56"/>
    <w:rsid w:val="009E2131"/>
    <w:rsid w:val="009E21F6"/>
    <w:rsid w:val="009E228F"/>
    <w:rsid w:val="009E4147"/>
    <w:rsid w:val="009E463B"/>
    <w:rsid w:val="009E46E2"/>
    <w:rsid w:val="009E4B42"/>
    <w:rsid w:val="009E56D9"/>
    <w:rsid w:val="009E5CF9"/>
    <w:rsid w:val="009E6375"/>
    <w:rsid w:val="009E64E0"/>
    <w:rsid w:val="009E7FE7"/>
    <w:rsid w:val="009F0399"/>
    <w:rsid w:val="009F03AE"/>
    <w:rsid w:val="009F15AE"/>
    <w:rsid w:val="009F1B77"/>
    <w:rsid w:val="009F1D14"/>
    <w:rsid w:val="009F1EDF"/>
    <w:rsid w:val="009F221D"/>
    <w:rsid w:val="009F34C8"/>
    <w:rsid w:val="009F35C6"/>
    <w:rsid w:val="009F39A3"/>
    <w:rsid w:val="009F44CC"/>
    <w:rsid w:val="009F4F90"/>
    <w:rsid w:val="009F62DC"/>
    <w:rsid w:val="009F6819"/>
    <w:rsid w:val="009F6C48"/>
    <w:rsid w:val="00A01FA3"/>
    <w:rsid w:val="00A02070"/>
    <w:rsid w:val="00A0253E"/>
    <w:rsid w:val="00A02609"/>
    <w:rsid w:val="00A038CF"/>
    <w:rsid w:val="00A0391C"/>
    <w:rsid w:val="00A04560"/>
    <w:rsid w:val="00A04A35"/>
    <w:rsid w:val="00A04A56"/>
    <w:rsid w:val="00A06217"/>
    <w:rsid w:val="00A07F8C"/>
    <w:rsid w:val="00A101F2"/>
    <w:rsid w:val="00A11433"/>
    <w:rsid w:val="00A11CF2"/>
    <w:rsid w:val="00A12579"/>
    <w:rsid w:val="00A12AA6"/>
    <w:rsid w:val="00A14214"/>
    <w:rsid w:val="00A14294"/>
    <w:rsid w:val="00A162DE"/>
    <w:rsid w:val="00A169FA"/>
    <w:rsid w:val="00A16B85"/>
    <w:rsid w:val="00A21352"/>
    <w:rsid w:val="00A21F86"/>
    <w:rsid w:val="00A226F8"/>
    <w:rsid w:val="00A22F75"/>
    <w:rsid w:val="00A24DFF"/>
    <w:rsid w:val="00A24F61"/>
    <w:rsid w:val="00A25162"/>
    <w:rsid w:val="00A25809"/>
    <w:rsid w:val="00A25ED8"/>
    <w:rsid w:val="00A2612A"/>
    <w:rsid w:val="00A264B1"/>
    <w:rsid w:val="00A26841"/>
    <w:rsid w:val="00A27718"/>
    <w:rsid w:val="00A27C34"/>
    <w:rsid w:val="00A30129"/>
    <w:rsid w:val="00A30991"/>
    <w:rsid w:val="00A30D15"/>
    <w:rsid w:val="00A31E77"/>
    <w:rsid w:val="00A32132"/>
    <w:rsid w:val="00A32561"/>
    <w:rsid w:val="00A32DC3"/>
    <w:rsid w:val="00A3367E"/>
    <w:rsid w:val="00A33996"/>
    <w:rsid w:val="00A33CD7"/>
    <w:rsid w:val="00A33D38"/>
    <w:rsid w:val="00A34CA9"/>
    <w:rsid w:val="00A34DFC"/>
    <w:rsid w:val="00A34F07"/>
    <w:rsid w:val="00A3518D"/>
    <w:rsid w:val="00A3524D"/>
    <w:rsid w:val="00A35599"/>
    <w:rsid w:val="00A35CD7"/>
    <w:rsid w:val="00A36B83"/>
    <w:rsid w:val="00A36E1F"/>
    <w:rsid w:val="00A3787B"/>
    <w:rsid w:val="00A37C0C"/>
    <w:rsid w:val="00A40859"/>
    <w:rsid w:val="00A42047"/>
    <w:rsid w:val="00A43BBE"/>
    <w:rsid w:val="00A43F17"/>
    <w:rsid w:val="00A452A5"/>
    <w:rsid w:val="00A453A8"/>
    <w:rsid w:val="00A460A0"/>
    <w:rsid w:val="00A46259"/>
    <w:rsid w:val="00A4686D"/>
    <w:rsid w:val="00A47E43"/>
    <w:rsid w:val="00A513AB"/>
    <w:rsid w:val="00A533AC"/>
    <w:rsid w:val="00A544CA"/>
    <w:rsid w:val="00A54AB9"/>
    <w:rsid w:val="00A5596A"/>
    <w:rsid w:val="00A5635D"/>
    <w:rsid w:val="00A564D3"/>
    <w:rsid w:val="00A56DD5"/>
    <w:rsid w:val="00A56E77"/>
    <w:rsid w:val="00A57058"/>
    <w:rsid w:val="00A571FB"/>
    <w:rsid w:val="00A6066E"/>
    <w:rsid w:val="00A606D5"/>
    <w:rsid w:val="00A61171"/>
    <w:rsid w:val="00A61799"/>
    <w:rsid w:val="00A63095"/>
    <w:rsid w:val="00A63432"/>
    <w:rsid w:val="00A63588"/>
    <w:rsid w:val="00A636CA"/>
    <w:rsid w:val="00A63D1A"/>
    <w:rsid w:val="00A6422D"/>
    <w:rsid w:val="00A64815"/>
    <w:rsid w:val="00A6508B"/>
    <w:rsid w:val="00A652FC"/>
    <w:rsid w:val="00A65A7E"/>
    <w:rsid w:val="00A66551"/>
    <w:rsid w:val="00A67E02"/>
    <w:rsid w:val="00A7210D"/>
    <w:rsid w:val="00A7328B"/>
    <w:rsid w:val="00A7356E"/>
    <w:rsid w:val="00A736F2"/>
    <w:rsid w:val="00A74843"/>
    <w:rsid w:val="00A7622B"/>
    <w:rsid w:val="00A76661"/>
    <w:rsid w:val="00A76B13"/>
    <w:rsid w:val="00A77801"/>
    <w:rsid w:val="00A81AB8"/>
    <w:rsid w:val="00A82650"/>
    <w:rsid w:val="00A844CF"/>
    <w:rsid w:val="00A84617"/>
    <w:rsid w:val="00A84959"/>
    <w:rsid w:val="00A85B48"/>
    <w:rsid w:val="00A8618D"/>
    <w:rsid w:val="00A863D1"/>
    <w:rsid w:val="00A86A37"/>
    <w:rsid w:val="00A86E51"/>
    <w:rsid w:val="00A87A72"/>
    <w:rsid w:val="00A9099A"/>
    <w:rsid w:val="00A9428D"/>
    <w:rsid w:val="00A951D2"/>
    <w:rsid w:val="00A9523F"/>
    <w:rsid w:val="00A9542A"/>
    <w:rsid w:val="00A957DF"/>
    <w:rsid w:val="00A957FA"/>
    <w:rsid w:val="00A9588A"/>
    <w:rsid w:val="00A95BF0"/>
    <w:rsid w:val="00A95C41"/>
    <w:rsid w:val="00A95D1C"/>
    <w:rsid w:val="00A95DE2"/>
    <w:rsid w:val="00A95F56"/>
    <w:rsid w:val="00A9630D"/>
    <w:rsid w:val="00A9658A"/>
    <w:rsid w:val="00A968F3"/>
    <w:rsid w:val="00A9715A"/>
    <w:rsid w:val="00AA0548"/>
    <w:rsid w:val="00AA256E"/>
    <w:rsid w:val="00AA2585"/>
    <w:rsid w:val="00AA2751"/>
    <w:rsid w:val="00AA3A3D"/>
    <w:rsid w:val="00AA3F78"/>
    <w:rsid w:val="00AA523F"/>
    <w:rsid w:val="00AA6428"/>
    <w:rsid w:val="00AA72B7"/>
    <w:rsid w:val="00AA74DC"/>
    <w:rsid w:val="00AA76D8"/>
    <w:rsid w:val="00AB0590"/>
    <w:rsid w:val="00AB0D44"/>
    <w:rsid w:val="00AB1FF3"/>
    <w:rsid w:val="00AB334E"/>
    <w:rsid w:val="00AB396F"/>
    <w:rsid w:val="00AB41CE"/>
    <w:rsid w:val="00AB613B"/>
    <w:rsid w:val="00AB6E6F"/>
    <w:rsid w:val="00AB7ABE"/>
    <w:rsid w:val="00AC054B"/>
    <w:rsid w:val="00AC098F"/>
    <w:rsid w:val="00AC1342"/>
    <w:rsid w:val="00AC16F2"/>
    <w:rsid w:val="00AC35BD"/>
    <w:rsid w:val="00AC3C0A"/>
    <w:rsid w:val="00AC3EF0"/>
    <w:rsid w:val="00AC5A23"/>
    <w:rsid w:val="00AC6563"/>
    <w:rsid w:val="00AC666F"/>
    <w:rsid w:val="00AD0540"/>
    <w:rsid w:val="00AD0A72"/>
    <w:rsid w:val="00AD1451"/>
    <w:rsid w:val="00AD1C65"/>
    <w:rsid w:val="00AD2622"/>
    <w:rsid w:val="00AD2677"/>
    <w:rsid w:val="00AD26EB"/>
    <w:rsid w:val="00AD3037"/>
    <w:rsid w:val="00AD39A9"/>
    <w:rsid w:val="00AD4377"/>
    <w:rsid w:val="00AD4A8B"/>
    <w:rsid w:val="00AD4AD7"/>
    <w:rsid w:val="00AD565E"/>
    <w:rsid w:val="00AD5D90"/>
    <w:rsid w:val="00AD6451"/>
    <w:rsid w:val="00AD70F8"/>
    <w:rsid w:val="00AD7A6A"/>
    <w:rsid w:val="00AE0BD4"/>
    <w:rsid w:val="00AE0E96"/>
    <w:rsid w:val="00AE1C4A"/>
    <w:rsid w:val="00AE1CA2"/>
    <w:rsid w:val="00AE2273"/>
    <w:rsid w:val="00AE2754"/>
    <w:rsid w:val="00AE372C"/>
    <w:rsid w:val="00AE397B"/>
    <w:rsid w:val="00AE4D43"/>
    <w:rsid w:val="00AE57E7"/>
    <w:rsid w:val="00AE674B"/>
    <w:rsid w:val="00AE70AA"/>
    <w:rsid w:val="00AE76ED"/>
    <w:rsid w:val="00AF003E"/>
    <w:rsid w:val="00AF0169"/>
    <w:rsid w:val="00AF0483"/>
    <w:rsid w:val="00AF1D34"/>
    <w:rsid w:val="00AF1FC8"/>
    <w:rsid w:val="00AF214E"/>
    <w:rsid w:val="00AF221F"/>
    <w:rsid w:val="00AF2A13"/>
    <w:rsid w:val="00AF2A4A"/>
    <w:rsid w:val="00AF2AB9"/>
    <w:rsid w:val="00AF2F29"/>
    <w:rsid w:val="00AF3598"/>
    <w:rsid w:val="00AF38D8"/>
    <w:rsid w:val="00AF5B6B"/>
    <w:rsid w:val="00AF62D8"/>
    <w:rsid w:val="00AF64F9"/>
    <w:rsid w:val="00AF7496"/>
    <w:rsid w:val="00AF7635"/>
    <w:rsid w:val="00AF7683"/>
    <w:rsid w:val="00AF7709"/>
    <w:rsid w:val="00AF7F2E"/>
    <w:rsid w:val="00B00EC3"/>
    <w:rsid w:val="00B01262"/>
    <w:rsid w:val="00B01F33"/>
    <w:rsid w:val="00B02CF7"/>
    <w:rsid w:val="00B041FF"/>
    <w:rsid w:val="00B05785"/>
    <w:rsid w:val="00B05ED6"/>
    <w:rsid w:val="00B07ACC"/>
    <w:rsid w:val="00B105C7"/>
    <w:rsid w:val="00B1090A"/>
    <w:rsid w:val="00B10953"/>
    <w:rsid w:val="00B10C9B"/>
    <w:rsid w:val="00B1118F"/>
    <w:rsid w:val="00B1137A"/>
    <w:rsid w:val="00B11649"/>
    <w:rsid w:val="00B11A41"/>
    <w:rsid w:val="00B11CE8"/>
    <w:rsid w:val="00B11F5D"/>
    <w:rsid w:val="00B1398A"/>
    <w:rsid w:val="00B14327"/>
    <w:rsid w:val="00B14449"/>
    <w:rsid w:val="00B15FAD"/>
    <w:rsid w:val="00B1602B"/>
    <w:rsid w:val="00B16748"/>
    <w:rsid w:val="00B207F6"/>
    <w:rsid w:val="00B22D90"/>
    <w:rsid w:val="00B23A23"/>
    <w:rsid w:val="00B23F4E"/>
    <w:rsid w:val="00B24201"/>
    <w:rsid w:val="00B26B54"/>
    <w:rsid w:val="00B2753F"/>
    <w:rsid w:val="00B30021"/>
    <w:rsid w:val="00B32CE2"/>
    <w:rsid w:val="00B33FB2"/>
    <w:rsid w:val="00B349DE"/>
    <w:rsid w:val="00B353A4"/>
    <w:rsid w:val="00B369C8"/>
    <w:rsid w:val="00B372C7"/>
    <w:rsid w:val="00B37476"/>
    <w:rsid w:val="00B410BA"/>
    <w:rsid w:val="00B41311"/>
    <w:rsid w:val="00B41F33"/>
    <w:rsid w:val="00B428BB"/>
    <w:rsid w:val="00B42A05"/>
    <w:rsid w:val="00B42E24"/>
    <w:rsid w:val="00B43538"/>
    <w:rsid w:val="00B439BC"/>
    <w:rsid w:val="00B4401D"/>
    <w:rsid w:val="00B4416F"/>
    <w:rsid w:val="00B443E5"/>
    <w:rsid w:val="00B4627E"/>
    <w:rsid w:val="00B46363"/>
    <w:rsid w:val="00B46C94"/>
    <w:rsid w:val="00B47C12"/>
    <w:rsid w:val="00B50EDA"/>
    <w:rsid w:val="00B53267"/>
    <w:rsid w:val="00B536BA"/>
    <w:rsid w:val="00B53E08"/>
    <w:rsid w:val="00B5420F"/>
    <w:rsid w:val="00B543CC"/>
    <w:rsid w:val="00B548D1"/>
    <w:rsid w:val="00B55055"/>
    <w:rsid w:val="00B56185"/>
    <w:rsid w:val="00B56A93"/>
    <w:rsid w:val="00B56D13"/>
    <w:rsid w:val="00B61906"/>
    <w:rsid w:val="00B61E39"/>
    <w:rsid w:val="00B6247F"/>
    <w:rsid w:val="00B62756"/>
    <w:rsid w:val="00B62A4A"/>
    <w:rsid w:val="00B63059"/>
    <w:rsid w:val="00B63F5A"/>
    <w:rsid w:val="00B643C9"/>
    <w:rsid w:val="00B647FB"/>
    <w:rsid w:val="00B64EE9"/>
    <w:rsid w:val="00B6506C"/>
    <w:rsid w:val="00B66BE8"/>
    <w:rsid w:val="00B7114A"/>
    <w:rsid w:val="00B7159C"/>
    <w:rsid w:val="00B717E3"/>
    <w:rsid w:val="00B71B1F"/>
    <w:rsid w:val="00B728C1"/>
    <w:rsid w:val="00B73271"/>
    <w:rsid w:val="00B74401"/>
    <w:rsid w:val="00B764E6"/>
    <w:rsid w:val="00B76A4A"/>
    <w:rsid w:val="00B76ED9"/>
    <w:rsid w:val="00B76F0B"/>
    <w:rsid w:val="00B77641"/>
    <w:rsid w:val="00B779F5"/>
    <w:rsid w:val="00B80005"/>
    <w:rsid w:val="00B80D34"/>
    <w:rsid w:val="00B8138D"/>
    <w:rsid w:val="00B82A4B"/>
    <w:rsid w:val="00B82F22"/>
    <w:rsid w:val="00B830B9"/>
    <w:rsid w:val="00B839FC"/>
    <w:rsid w:val="00B845AA"/>
    <w:rsid w:val="00B8480A"/>
    <w:rsid w:val="00B854A1"/>
    <w:rsid w:val="00B8550E"/>
    <w:rsid w:val="00B856FD"/>
    <w:rsid w:val="00B8790B"/>
    <w:rsid w:val="00B87A32"/>
    <w:rsid w:val="00B87B8B"/>
    <w:rsid w:val="00B87ECB"/>
    <w:rsid w:val="00B905E9"/>
    <w:rsid w:val="00B9070D"/>
    <w:rsid w:val="00B90877"/>
    <w:rsid w:val="00B9134A"/>
    <w:rsid w:val="00B91791"/>
    <w:rsid w:val="00B91C3D"/>
    <w:rsid w:val="00B92165"/>
    <w:rsid w:val="00B92530"/>
    <w:rsid w:val="00B92B3D"/>
    <w:rsid w:val="00B94139"/>
    <w:rsid w:val="00B944CA"/>
    <w:rsid w:val="00B94F83"/>
    <w:rsid w:val="00B95519"/>
    <w:rsid w:val="00B96445"/>
    <w:rsid w:val="00B97B08"/>
    <w:rsid w:val="00B97D4A"/>
    <w:rsid w:val="00BA0F84"/>
    <w:rsid w:val="00BA114C"/>
    <w:rsid w:val="00BA1E60"/>
    <w:rsid w:val="00BA28C1"/>
    <w:rsid w:val="00BA34B0"/>
    <w:rsid w:val="00BA3ACD"/>
    <w:rsid w:val="00BA4705"/>
    <w:rsid w:val="00BA4805"/>
    <w:rsid w:val="00BA519C"/>
    <w:rsid w:val="00BA692C"/>
    <w:rsid w:val="00BA738E"/>
    <w:rsid w:val="00BA75E2"/>
    <w:rsid w:val="00BB0041"/>
    <w:rsid w:val="00BB022C"/>
    <w:rsid w:val="00BB046E"/>
    <w:rsid w:val="00BB0906"/>
    <w:rsid w:val="00BB194B"/>
    <w:rsid w:val="00BB3BFA"/>
    <w:rsid w:val="00BB3D11"/>
    <w:rsid w:val="00BB4A57"/>
    <w:rsid w:val="00BB57CC"/>
    <w:rsid w:val="00BB5C37"/>
    <w:rsid w:val="00BB6144"/>
    <w:rsid w:val="00BB66D7"/>
    <w:rsid w:val="00BB78F3"/>
    <w:rsid w:val="00BB79B1"/>
    <w:rsid w:val="00BB7F20"/>
    <w:rsid w:val="00BC0227"/>
    <w:rsid w:val="00BC03DD"/>
    <w:rsid w:val="00BC136C"/>
    <w:rsid w:val="00BC14B3"/>
    <w:rsid w:val="00BC1BBF"/>
    <w:rsid w:val="00BC1EEC"/>
    <w:rsid w:val="00BC2894"/>
    <w:rsid w:val="00BC2E3E"/>
    <w:rsid w:val="00BC45FD"/>
    <w:rsid w:val="00BC4ABE"/>
    <w:rsid w:val="00BC57FB"/>
    <w:rsid w:val="00BC5BDD"/>
    <w:rsid w:val="00BC5C45"/>
    <w:rsid w:val="00BC652E"/>
    <w:rsid w:val="00BC65DF"/>
    <w:rsid w:val="00BC6AD3"/>
    <w:rsid w:val="00BC6DA6"/>
    <w:rsid w:val="00BC7E86"/>
    <w:rsid w:val="00BD0E4E"/>
    <w:rsid w:val="00BD1F3F"/>
    <w:rsid w:val="00BD3309"/>
    <w:rsid w:val="00BD4286"/>
    <w:rsid w:val="00BD44F2"/>
    <w:rsid w:val="00BD536A"/>
    <w:rsid w:val="00BD55F6"/>
    <w:rsid w:val="00BD684A"/>
    <w:rsid w:val="00BD7104"/>
    <w:rsid w:val="00BD71D7"/>
    <w:rsid w:val="00BD720E"/>
    <w:rsid w:val="00BD7DAF"/>
    <w:rsid w:val="00BD7DC2"/>
    <w:rsid w:val="00BE0723"/>
    <w:rsid w:val="00BE0800"/>
    <w:rsid w:val="00BE1837"/>
    <w:rsid w:val="00BE2712"/>
    <w:rsid w:val="00BE2823"/>
    <w:rsid w:val="00BE4373"/>
    <w:rsid w:val="00BE4684"/>
    <w:rsid w:val="00BE49AE"/>
    <w:rsid w:val="00BE4C15"/>
    <w:rsid w:val="00BE5987"/>
    <w:rsid w:val="00BE6324"/>
    <w:rsid w:val="00BE786E"/>
    <w:rsid w:val="00BE7AAD"/>
    <w:rsid w:val="00BF07FE"/>
    <w:rsid w:val="00BF0AE4"/>
    <w:rsid w:val="00BF1515"/>
    <w:rsid w:val="00BF18B4"/>
    <w:rsid w:val="00BF1A93"/>
    <w:rsid w:val="00BF1BCE"/>
    <w:rsid w:val="00BF21D4"/>
    <w:rsid w:val="00BF2421"/>
    <w:rsid w:val="00BF3DA6"/>
    <w:rsid w:val="00BF4CAF"/>
    <w:rsid w:val="00BF50CE"/>
    <w:rsid w:val="00BF51F3"/>
    <w:rsid w:val="00BF5457"/>
    <w:rsid w:val="00BF60E6"/>
    <w:rsid w:val="00BF6D4A"/>
    <w:rsid w:val="00BF6F3A"/>
    <w:rsid w:val="00BF7402"/>
    <w:rsid w:val="00BF7859"/>
    <w:rsid w:val="00BF7C57"/>
    <w:rsid w:val="00C0020D"/>
    <w:rsid w:val="00C01550"/>
    <w:rsid w:val="00C01B13"/>
    <w:rsid w:val="00C02634"/>
    <w:rsid w:val="00C037CE"/>
    <w:rsid w:val="00C03F7D"/>
    <w:rsid w:val="00C04B02"/>
    <w:rsid w:val="00C04B59"/>
    <w:rsid w:val="00C04CDC"/>
    <w:rsid w:val="00C054AA"/>
    <w:rsid w:val="00C05750"/>
    <w:rsid w:val="00C059D6"/>
    <w:rsid w:val="00C05A98"/>
    <w:rsid w:val="00C06058"/>
    <w:rsid w:val="00C062BA"/>
    <w:rsid w:val="00C06505"/>
    <w:rsid w:val="00C06843"/>
    <w:rsid w:val="00C068D9"/>
    <w:rsid w:val="00C07816"/>
    <w:rsid w:val="00C079C1"/>
    <w:rsid w:val="00C07F96"/>
    <w:rsid w:val="00C10236"/>
    <w:rsid w:val="00C1039B"/>
    <w:rsid w:val="00C1186E"/>
    <w:rsid w:val="00C118BD"/>
    <w:rsid w:val="00C12549"/>
    <w:rsid w:val="00C12592"/>
    <w:rsid w:val="00C12E4F"/>
    <w:rsid w:val="00C1380E"/>
    <w:rsid w:val="00C13A0B"/>
    <w:rsid w:val="00C13C35"/>
    <w:rsid w:val="00C13F76"/>
    <w:rsid w:val="00C14BF3"/>
    <w:rsid w:val="00C15CB5"/>
    <w:rsid w:val="00C166C1"/>
    <w:rsid w:val="00C170A4"/>
    <w:rsid w:val="00C1710B"/>
    <w:rsid w:val="00C20811"/>
    <w:rsid w:val="00C222E4"/>
    <w:rsid w:val="00C22F33"/>
    <w:rsid w:val="00C231F3"/>
    <w:rsid w:val="00C238C2"/>
    <w:rsid w:val="00C24310"/>
    <w:rsid w:val="00C2513F"/>
    <w:rsid w:val="00C26108"/>
    <w:rsid w:val="00C265A8"/>
    <w:rsid w:val="00C2715C"/>
    <w:rsid w:val="00C27869"/>
    <w:rsid w:val="00C27CCD"/>
    <w:rsid w:val="00C30799"/>
    <w:rsid w:val="00C3116E"/>
    <w:rsid w:val="00C31279"/>
    <w:rsid w:val="00C31E2C"/>
    <w:rsid w:val="00C32334"/>
    <w:rsid w:val="00C324FD"/>
    <w:rsid w:val="00C3257B"/>
    <w:rsid w:val="00C3332C"/>
    <w:rsid w:val="00C341E2"/>
    <w:rsid w:val="00C344A4"/>
    <w:rsid w:val="00C359F5"/>
    <w:rsid w:val="00C36193"/>
    <w:rsid w:val="00C36B7D"/>
    <w:rsid w:val="00C36E3F"/>
    <w:rsid w:val="00C3731A"/>
    <w:rsid w:val="00C379A0"/>
    <w:rsid w:val="00C37A25"/>
    <w:rsid w:val="00C37A9D"/>
    <w:rsid w:val="00C4006A"/>
    <w:rsid w:val="00C40FE9"/>
    <w:rsid w:val="00C412BC"/>
    <w:rsid w:val="00C436E6"/>
    <w:rsid w:val="00C43B12"/>
    <w:rsid w:val="00C451BB"/>
    <w:rsid w:val="00C45858"/>
    <w:rsid w:val="00C45A2C"/>
    <w:rsid w:val="00C46109"/>
    <w:rsid w:val="00C46556"/>
    <w:rsid w:val="00C50D2E"/>
    <w:rsid w:val="00C5180A"/>
    <w:rsid w:val="00C51FDA"/>
    <w:rsid w:val="00C53062"/>
    <w:rsid w:val="00C535CD"/>
    <w:rsid w:val="00C53C3C"/>
    <w:rsid w:val="00C54043"/>
    <w:rsid w:val="00C5437E"/>
    <w:rsid w:val="00C54BF6"/>
    <w:rsid w:val="00C55C7B"/>
    <w:rsid w:val="00C561B1"/>
    <w:rsid w:val="00C571C1"/>
    <w:rsid w:val="00C57BC7"/>
    <w:rsid w:val="00C57D29"/>
    <w:rsid w:val="00C605F2"/>
    <w:rsid w:val="00C61309"/>
    <w:rsid w:val="00C61EC2"/>
    <w:rsid w:val="00C61F97"/>
    <w:rsid w:val="00C62A98"/>
    <w:rsid w:val="00C63169"/>
    <w:rsid w:val="00C63C87"/>
    <w:rsid w:val="00C64101"/>
    <w:rsid w:val="00C64106"/>
    <w:rsid w:val="00C64C2D"/>
    <w:rsid w:val="00C64C9B"/>
    <w:rsid w:val="00C64FD3"/>
    <w:rsid w:val="00C6554D"/>
    <w:rsid w:val="00C65F42"/>
    <w:rsid w:val="00C663A4"/>
    <w:rsid w:val="00C66877"/>
    <w:rsid w:val="00C66AAC"/>
    <w:rsid w:val="00C66AB6"/>
    <w:rsid w:val="00C66CF3"/>
    <w:rsid w:val="00C70086"/>
    <w:rsid w:val="00C70E38"/>
    <w:rsid w:val="00C71222"/>
    <w:rsid w:val="00C72016"/>
    <w:rsid w:val="00C72148"/>
    <w:rsid w:val="00C72AF9"/>
    <w:rsid w:val="00C733F6"/>
    <w:rsid w:val="00C738C4"/>
    <w:rsid w:val="00C73B73"/>
    <w:rsid w:val="00C7463B"/>
    <w:rsid w:val="00C750F3"/>
    <w:rsid w:val="00C75171"/>
    <w:rsid w:val="00C75FED"/>
    <w:rsid w:val="00C762F2"/>
    <w:rsid w:val="00C7634D"/>
    <w:rsid w:val="00C763AD"/>
    <w:rsid w:val="00C773BD"/>
    <w:rsid w:val="00C77B7F"/>
    <w:rsid w:val="00C77BAE"/>
    <w:rsid w:val="00C77CE2"/>
    <w:rsid w:val="00C80F61"/>
    <w:rsid w:val="00C810A4"/>
    <w:rsid w:val="00C810C1"/>
    <w:rsid w:val="00C8160F"/>
    <w:rsid w:val="00C821F0"/>
    <w:rsid w:val="00C82BE2"/>
    <w:rsid w:val="00C82F42"/>
    <w:rsid w:val="00C838CF"/>
    <w:rsid w:val="00C83F2D"/>
    <w:rsid w:val="00C84097"/>
    <w:rsid w:val="00C84E74"/>
    <w:rsid w:val="00C852A4"/>
    <w:rsid w:val="00C85A2E"/>
    <w:rsid w:val="00C85F69"/>
    <w:rsid w:val="00C87E03"/>
    <w:rsid w:val="00C9021A"/>
    <w:rsid w:val="00C90366"/>
    <w:rsid w:val="00C90F65"/>
    <w:rsid w:val="00C911D1"/>
    <w:rsid w:val="00C921A3"/>
    <w:rsid w:val="00C9340C"/>
    <w:rsid w:val="00C9514D"/>
    <w:rsid w:val="00C95CD2"/>
    <w:rsid w:val="00C967FA"/>
    <w:rsid w:val="00CA04F6"/>
    <w:rsid w:val="00CA0857"/>
    <w:rsid w:val="00CA101E"/>
    <w:rsid w:val="00CA1E8B"/>
    <w:rsid w:val="00CA2919"/>
    <w:rsid w:val="00CA4136"/>
    <w:rsid w:val="00CA414B"/>
    <w:rsid w:val="00CA44BF"/>
    <w:rsid w:val="00CA4A2E"/>
    <w:rsid w:val="00CA4FA9"/>
    <w:rsid w:val="00CA6B4C"/>
    <w:rsid w:val="00CA708C"/>
    <w:rsid w:val="00CA7A04"/>
    <w:rsid w:val="00CB042D"/>
    <w:rsid w:val="00CB106B"/>
    <w:rsid w:val="00CB19C1"/>
    <w:rsid w:val="00CB1DB1"/>
    <w:rsid w:val="00CB2053"/>
    <w:rsid w:val="00CB2179"/>
    <w:rsid w:val="00CB262C"/>
    <w:rsid w:val="00CB2F95"/>
    <w:rsid w:val="00CB3ABE"/>
    <w:rsid w:val="00CB49C8"/>
    <w:rsid w:val="00CB57F2"/>
    <w:rsid w:val="00CB622E"/>
    <w:rsid w:val="00CB6697"/>
    <w:rsid w:val="00CB7E0E"/>
    <w:rsid w:val="00CC05CF"/>
    <w:rsid w:val="00CC1181"/>
    <w:rsid w:val="00CC156C"/>
    <w:rsid w:val="00CC1E5E"/>
    <w:rsid w:val="00CC22D5"/>
    <w:rsid w:val="00CC2739"/>
    <w:rsid w:val="00CC27A4"/>
    <w:rsid w:val="00CC282D"/>
    <w:rsid w:val="00CC445F"/>
    <w:rsid w:val="00CC4607"/>
    <w:rsid w:val="00CC4B81"/>
    <w:rsid w:val="00CC5EEC"/>
    <w:rsid w:val="00CC6399"/>
    <w:rsid w:val="00CC79A0"/>
    <w:rsid w:val="00CD00E1"/>
    <w:rsid w:val="00CD028B"/>
    <w:rsid w:val="00CD1125"/>
    <w:rsid w:val="00CD1DCB"/>
    <w:rsid w:val="00CD2239"/>
    <w:rsid w:val="00CD2BB9"/>
    <w:rsid w:val="00CD36C2"/>
    <w:rsid w:val="00CD4014"/>
    <w:rsid w:val="00CD47A7"/>
    <w:rsid w:val="00CD4F30"/>
    <w:rsid w:val="00CD52A3"/>
    <w:rsid w:val="00CD5C18"/>
    <w:rsid w:val="00CD6B74"/>
    <w:rsid w:val="00CD72FE"/>
    <w:rsid w:val="00CE0BF4"/>
    <w:rsid w:val="00CE0C79"/>
    <w:rsid w:val="00CE1BEE"/>
    <w:rsid w:val="00CE2804"/>
    <w:rsid w:val="00CE33B1"/>
    <w:rsid w:val="00CE341D"/>
    <w:rsid w:val="00CE3F06"/>
    <w:rsid w:val="00CE5A41"/>
    <w:rsid w:val="00CE5BCD"/>
    <w:rsid w:val="00CE5CA5"/>
    <w:rsid w:val="00CE63C7"/>
    <w:rsid w:val="00CE6960"/>
    <w:rsid w:val="00CE7FBE"/>
    <w:rsid w:val="00CF0C00"/>
    <w:rsid w:val="00CF1219"/>
    <w:rsid w:val="00CF1BA0"/>
    <w:rsid w:val="00CF1BCE"/>
    <w:rsid w:val="00CF1F46"/>
    <w:rsid w:val="00CF2FA0"/>
    <w:rsid w:val="00CF36C1"/>
    <w:rsid w:val="00CF3A0A"/>
    <w:rsid w:val="00CF3B3D"/>
    <w:rsid w:val="00CF47C7"/>
    <w:rsid w:val="00CF4E19"/>
    <w:rsid w:val="00CF52D1"/>
    <w:rsid w:val="00CF5604"/>
    <w:rsid w:val="00CF5EFF"/>
    <w:rsid w:val="00CF64CD"/>
    <w:rsid w:val="00CF6C87"/>
    <w:rsid w:val="00CF7341"/>
    <w:rsid w:val="00D0189E"/>
    <w:rsid w:val="00D02436"/>
    <w:rsid w:val="00D02530"/>
    <w:rsid w:val="00D0382F"/>
    <w:rsid w:val="00D03E94"/>
    <w:rsid w:val="00D044E9"/>
    <w:rsid w:val="00D04601"/>
    <w:rsid w:val="00D04959"/>
    <w:rsid w:val="00D051A1"/>
    <w:rsid w:val="00D06338"/>
    <w:rsid w:val="00D112D3"/>
    <w:rsid w:val="00D11420"/>
    <w:rsid w:val="00D118A6"/>
    <w:rsid w:val="00D122EB"/>
    <w:rsid w:val="00D13A5C"/>
    <w:rsid w:val="00D13EAC"/>
    <w:rsid w:val="00D13ECB"/>
    <w:rsid w:val="00D13F22"/>
    <w:rsid w:val="00D14E73"/>
    <w:rsid w:val="00D1628F"/>
    <w:rsid w:val="00D163D0"/>
    <w:rsid w:val="00D16C8A"/>
    <w:rsid w:val="00D17681"/>
    <w:rsid w:val="00D176CA"/>
    <w:rsid w:val="00D222AD"/>
    <w:rsid w:val="00D239E9"/>
    <w:rsid w:val="00D23E65"/>
    <w:rsid w:val="00D24173"/>
    <w:rsid w:val="00D241D2"/>
    <w:rsid w:val="00D25CE5"/>
    <w:rsid w:val="00D266C4"/>
    <w:rsid w:val="00D278C6"/>
    <w:rsid w:val="00D31347"/>
    <w:rsid w:val="00D3197D"/>
    <w:rsid w:val="00D32513"/>
    <w:rsid w:val="00D328E1"/>
    <w:rsid w:val="00D35036"/>
    <w:rsid w:val="00D352E9"/>
    <w:rsid w:val="00D35856"/>
    <w:rsid w:val="00D35865"/>
    <w:rsid w:val="00D36F8C"/>
    <w:rsid w:val="00D3755B"/>
    <w:rsid w:val="00D37870"/>
    <w:rsid w:val="00D40C34"/>
    <w:rsid w:val="00D40F40"/>
    <w:rsid w:val="00D41300"/>
    <w:rsid w:val="00D41D9C"/>
    <w:rsid w:val="00D42E9E"/>
    <w:rsid w:val="00D43C15"/>
    <w:rsid w:val="00D4596D"/>
    <w:rsid w:val="00D46D62"/>
    <w:rsid w:val="00D47E9B"/>
    <w:rsid w:val="00D50BC7"/>
    <w:rsid w:val="00D50DB8"/>
    <w:rsid w:val="00D5173D"/>
    <w:rsid w:val="00D51F3E"/>
    <w:rsid w:val="00D51FD9"/>
    <w:rsid w:val="00D52B79"/>
    <w:rsid w:val="00D52DE5"/>
    <w:rsid w:val="00D53ACA"/>
    <w:rsid w:val="00D5451C"/>
    <w:rsid w:val="00D54E23"/>
    <w:rsid w:val="00D557E4"/>
    <w:rsid w:val="00D55D21"/>
    <w:rsid w:val="00D56174"/>
    <w:rsid w:val="00D566AD"/>
    <w:rsid w:val="00D5683C"/>
    <w:rsid w:val="00D56A57"/>
    <w:rsid w:val="00D57A0A"/>
    <w:rsid w:val="00D60444"/>
    <w:rsid w:val="00D61D5F"/>
    <w:rsid w:val="00D62296"/>
    <w:rsid w:val="00D62489"/>
    <w:rsid w:val="00D637A1"/>
    <w:rsid w:val="00D639CE"/>
    <w:rsid w:val="00D639F9"/>
    <w:rsid w:val="00D642A4"/>
    <w:rsid w:val="00D64E98"/>
    <w:rsid w:val="00D652F0"/>
    <w:rsid w:val="00D65CDE"/>
    <w:rsid w:val="00D65FF9"/>
    <w:rsid w:val="00D66012"/>
    <w:rsid w:val="00D660E3"/>
    <w:rsid w:val="00D66F7F"/>
    <w:rsid w:val="00D67DBE"/>
    <w:rsid w:val="00D702B6"/>
    <w:rsid w:val="00D70C12"/>
    <w:rsid w:val="00D71932"/>
    <w:rsid w:val="00D71F9D"/>
    <w:rsid w:val="00D72785"/>
    <w:rsid w:val="00D727D8"/>
    <w:rsid w:val="00D73105"/>
    <w:rsid w:val="00D73429"/>
    <w:rsid w:val="00D7369A"/>
    <w:rsid w:val="00D74037"/>
    <w:rsid w:val="00D7420A"/>
    <w:rsid w:val="00D74A97"/>
    <w:rsid w:val="00D74FB9"/>
    <w:rsid w:val="00D75749"/>
    <w:rsid w:val="00D7632A"/>
    <w:rsid w:val="00D76401"/>
    <w:rsid w:val="00D808A5"/>
    <w:rsid w:val="00D80E63"/>
    <w:rsid w:val="00D8132E"/>
    <w:rsid w:val="00D81A28"/>
    <w:rsid w:val="00D828C7"/>
    <w:rsid w:val="00D83B1E"/>
    <w:rsid w:val="00D8456C"/>
    <w:rsid w:val="00D84D8E"/>
    <w:rsid w:val="00D85955"/>
    <w:rsid w:val="00D86153"/>
    <w:rsid w:val="00D904FE"/>
    <w:rsid w:val="00D9064B"/>
    <w:rsid w:val="00D9068B"/>
    <w:rsid w:val="00D9073B"/>
    <w:rsid w:val="00D908CB"/>
    <w:rsid w:val="00D9142C"/>
    <w:rsid w:val="00D91C13"/>
    <w:rsid w:val="00D91DD2"/>
    <w:rsid w:val="00D926BF"/>
    <w:rsid w:val="00D92A41"/>
    <w:rsid w:val="00D92B3F"/>
    <w:rsid w:val="00D93086"/>
    <w:rsid w:val="00D935D7"/>
    <w:rsid w:val="00D94086"/>
    <w:rsid w:val="00D95291"/>
    <w:rsid w:val="00D96D00"/>
    <w:rsid w:val="00D971A4"/>
    <w:rsid w:val="00D97E88"/>
    <w:rsid w:val="00DA0677"/>
    <w:rsid w:val="00DA0BE0"/>
    <w:rsid w:val="00DA2661"/>
    <w:rsid w:val="00DA2777"/>
    <w:rsid w:val="00DA2966"/>
    <w:rsid w:val="00DA2C05"/>
    <w:rsid w:val="00DA2E4C"/>
    <w:rsid w:val="00DA354A"/>
    <w:rsid w:val="00DA3DF1"/>
    <w:rsid w:val="00DA476E"/>
    <w:rsid w:val="00DA4F0F"/>
    <w:rsid w:val="00DA599B"/>
    <w:rsid w:val="00DA6DF3"/>
    <w:rsid w:val="00DA754D"/>
    <w:rsid w:val="00DB0B7E"/>
    <w:rsid w:val="00DB20A1"/>
    <w:rsid w:val="00DB2D78"/>
    <w:rsid w:val="00DB7829"/>
    <w:rsid w:val="00DC0AE2"/>
    <w:rsid w:val="00DC15D7"/>
    <w:rsid w:val="00DC2683"/>
    <w:rsid w:val="00DC28F4"/>
    <w:rsid w:val="00DC2AF3"/>
    <w:rsid w:val="00DC2B9E"/>
    <w:rsid w:val="00DC2F63"/>
    <w:rsid w:val="00DC3AD5"/>
    <w:rsid w:val="00DC5091"/>
    <w:rsid w:val="00DC5640"/>
    <w:rsid w:val="00DC5FA6"/>
    <w:rsid w:val="00DC60E3"/>
    <w:rsid w:val="00DC7694"/>
    <w:rsid w:val="00DC78FF"/>
    <w:rsid w:val="00DC7F28"/>
    <w:rsid w:val="00DD017F"/>
    <w:rsid w:val="00DD1252"/>
    <w:rsid w:val="00DD1FC9"/>
    <w:rsid w:val="00DD2D9B"/>
    <w:rsid w:val="00DD3A56"/>
    <w:rsid w:val="00DD488D"/>
    <w:rsid w:val="00DD50AD"/>
    <w:rsid w:val="00DD58A9"/>
    <w:rsid w:val="00DD5E16"/>
    <w:rsid w:val="00DD5E9F"/>
    <w:rsid w:val="00DD6208"/>
    <w:rsid w:val="00DD6401"/>
    <w:rsid w:val="00DD6C39"/>
    <w:rsid w:val="00DE129B"/>
    <w:rsid w:val="00DE187F"/>
    <w:rsid w:val="00DE297D"/>
    <w:rsid w:val="00DE2A92"/>
    <w:rsid w:val="00DE3968"/>
    <w:rsid w:val="00DE4069"/>
    <w:rsid w:val="00DE4A7D"/>
    <w:rsid w:val="00DE5238"/>
    <w:rsid w:val="00DE5CC6"/>
    <w:rsid w:val="00DE5F88"/>
    <w:rsid w:val="00DE6F0C"/>
    <w:rsid w:val="00DF078B"/>
    <w:rsid w:val="00DF1DFD"/>
    <w:rsid w:val="00DF26E9"/>
    <w:rsid w:val="00DF2CBE"/>
    <w:rsid w:val="00DF3073"/>
    <w:rsid w:val="00DF3CF4"/>
    <w:rsid w:val="00DF5BE8"/>
    <w:rsid w:val="00DF5D5C"/>
    <w:rsid w:val="00DF5D60"/>
    <w:rsid w:val="00DF652A"/>
    <w:rsid w:val="00DF6DF4"/>
    <w:rsid w:val="00E00710"/>
    <w:rsid w:val="00E01BAD"/>
    <w:rsid w:val="00E02CF6"/>
    <w:rsid w:val="00E02E86"/>
    <w:rsid w:val="00E03BF5"/>
    <w:rsid w:val="00E053CD"/>
    <w:rsid w:val="00E06D72"/>
    <w:rsid w:val="00E07622"/>
    <w:rsid w:val="00E11C2B"/>
    <w:rsid w:val="00E126A3"/>
    <w:rsid w:val="00E127C5"/>
    <w:rsid w:val="00E1284C"/>
    <w:rsid w:val="00E12B05"/>
    <w:rsid w:val="00E12ED0"/>
    <w:rsid w:val="00E13B4E"/>
    <w:rsid w:val="00E13E9E"/>
    <w:rsid w:val="00E14B8E"/>
    <w:rsid w:val="00E166AC"/>
    <w:rsid w:val="00E1685D"/>
    <w:rsid w:val="00E177B5"/>
    <w:rsid w:val="00E21D3B"/>
    <w:rsid w:val="00E22291"/>
    <w:rsid w:val="00E225B4"/>
    <w:rsid w:val="00E22658"/>
    <w:rsid w:val="00E22CF2"/>
    <w:rsid w:val="00E22F57"/>
    <w:rsid w:val="00E23847"/>
    <w:rsid w:val="00E26C69"/>
    <w:rsid w:val="00E26F02"/>
    <w:rsid w:val="00E30F6A"/>
    <w:rsid w:val="00E3115B"/>
    <w:rsid w:val="00E3159F"/>
    <w:rsid w:val="00E3163F"/>
    <w:rsid w:val="00E31BB3"/>
    <w:rsid w:val="00E31BD9"/>
    <w:rsid w:val="00E32703"/>
    <w:rsid w:val="00E32F9C"/>
    <w:rsid w:val="00E34441"/>
    <w:rsid w:val="00E352E5"/>
    <w:rsid w:val="00E35EAB"/>
    <w:rsid w:val="00E367D2"/>
    <w:rsid w:val="00E37E2E"/>
    <w:rsid w:val="00E40A47"/>
    <w:rsid w:val="00E40C34"/>
    <w:rsid w:val="00E41D6D"/>
    <w:rsid w:val="00E425DA"/>
    <w:rsid w:val="00E43803"/>
    <w:rsid w:val="00E43CAF"/>
    <w:rsid w:val="00E445CA"/>
    <w:rsid w:val="00E4570A"/>
    <w:rsid w:val="00E46841"/>
    <w:rsid w:val="00E468FD"/>
    <w:rsid w:val="00E46AF0"/>
    <w:rsid w:val="00E47285"/>
    <w:rsid w:val="00E50FE8"/>
    <w:rsid w:val="00E51274"/>
    <w:rsid w:val="00E51311"/>
    <w:rsid w:val="00E51E09"/>
    <w:rsid w:val="00E51EFA"/>
    <w:rsid w:val="00E5285E"/>
    <w:rsid w:val="00E52A42"/>
    <w:rsid w:val="00E52BE2"/>
    <w:rsid w:val="00E534DC"/>
    <w:rsid w:val="00E5394E"/>
    <w:rsid w:val="00E54DA8"/>
    <w:rsid w:val="00E5518E"/>
    <w:rsid w:val="00E551F2"/>
    <w:rsid w:val="00E5536A"/>
    <w:rsid w:val="00E55439"/>
    <w:rsid w:val="00E56946"/>
    <w:rsid w:val="00E5739B"/>
    <w:rsid w:val="00E574B9"/>
    <w:rsid w:val="00E576FD"/>
    <w:rsid w:val="00E579E2"/>
    <w:rsid w:val="00E6089C"/>
    <w:rsid w:val="00E60FF5"/>
    <w:rsid w:val="00E61799"/>
    <w:rsid w:val="00E61E73"/>
    <w:rsid w:val="00E630D1"/>
    <w:rsid w:val="00E63518"/>
    <w:rsid w:val="00E63A76"/>
    <w:rsid w:val="00E63E3E"/>
    <w:rsid w:val="00E64077"/>
    <w:rsid w:val="00E64274"/>
    <w:rsid w:val="00E64628"/>
    <w:rsid w:val="00E64DC2"/>
    <w:rsid w:val="00E65051"/>
    <w:rsid w:val="00E65E40"/>
    <w:rsid w:val="00E668F9"/>
    <w:rsid w:val="00E66A3A"/>
    <w:rsid w:val="00E674B5"/>
    <w:rsid w:val="00E67A1B"/>
    <w:rsid w:val="00E67ACC"/>
    <w:rsid w:val="00E67E76"/>
    <w:rsid w:val="00E71F5E"/>
    <w:rsid w:val="00E73512"/>
    <w:rsid w:val="00E73DDE"/>
    <w:rsid w:val="00E74D25"/>
    <w:rsid w:val="00E756F0"/>
    <w:rsid w:val="00E759D2"/>
    <w:rsid w:val="00E75FD0"/>
    <w:rsid w:val="00E77D9F"/>
    <w:rsid w:val="00E805A1"/>
    <w:rsid w:val="00E805F2"/>
    <w:rsid w:val="00E806E7"/>
    <w:rsid w:val="00E80E9C"/>
    <w:rsid w:val="00E8112E"/>
    <w:rsid w:val="00E817F3"/>
    <w:rsid w:val="00E81DED"/>
    <w:rsid w:val="00E81FB2"/>
    <w:rsid w:val="00E81FD1"/>
    <w:rsid w:val="00E829A0"/>
    <w:rsid w:val="00E82BCC"/>
    <w:rsid w:val="00E82E61"/>
    <w:rsid w:val="00E83DC0"/>
    <w:rsid w:val="00E852AB"/>
    <w:rsid w:val="00E8555C"/>
    <w:rsid w:val="00E859F9"/>
    <w:rsid w:val="00E861B0"/>
    <w:rsid w:val="00E86A5E"/>
    <w:rsid w:val="00E8742A"/>
    <w:rsid w:val="00E90138"/>
    <w:rsid w:val="00E90169"/>
    <w:rsid w:val="00E903D4"/>
    <w:rsid w:val="00E9097A"/>
    <w:rsid w:val="00E91120"/>
    <w:rsid w:val="00E914A7"/>
    <w:rsid w:val="00E9304E"/>
    <w:rsid w:val="00E94068"/>
    <w:rsid w:val="00E94285"/>
    <w:rsid w:val="00E94379"/>
    <w:rsid w:val="00E94774"/>
    <w:rsid w:val="00E94D9E"/>
    <w:rsid w:val="00E958BB"/>
    <w:rsid w:val="00E97947"/>
    <w:rsid w:val="00E97B77"/>
    <w:rsid w:val="00E97CB6"/>
    <w:rsid w:val="00E97E4F"/>
    <w:rsid w:val="00EA084B"/>
    <w:rsid w:val="00EA0AB9"/>
    <w:rsid w:val="00EA1D1E"/>
    <w:rsid w:val="00EA2F85"/>
    <w:rsid w:val="00EA34B6"/>
    <w:rsid w:val="00EA42A3"/>
    <w:rsid w:val="00EA514F"/>
    <w:rsid w:val="00EA5EE0"/>
    <w:rsid w:val="00EA6DCF"/>
    <w:rsid w:val="00EA7C63"/>
    <w:rsid w:val="00EB0BE0"/>
    <w:rsid w:val="00EB0FCC"/>
    <w:rsid w:val="00EB18D2"/>
    <w:rsid w:val="00EB3F43"/>
    <w:rsid w:val="00EB4091"/>
    <w:rsid w:val="00EB45FB"/>
    <w:rsid w:val="00EB47C6"/>
    <w:rsid w:val="00EB4BF9"/>
    <w:rsid w:val="00EB5C92"/>
    <w:rsid w:val="00EB74C5"/>
    <w:rsid w:val="00EB7676"/>
    <w:rsid w:val="00EB7E84"/>
    <w:rsid w:val="00EC0CC8"/>
    <w:rsid w:val="00EC14B0"/>
    <w:rsid w:val="00EC1534"/>
    <w:rsid w:val="00EC3362"/>
    <w:rsid w:val="00EC3390"/>
    <w:rsid w:val="00EC36E6"/>
    <w:rsid w:val="00EC448B"/>
    <w:rsid w:val="00EC4C31"/>
    <w:rsid w:val="00EC5A16"/>
    <w:rsid w:val="00EC60A8"/>
    <w:rsid w:val="00ED083C"/>
    <w:rsid w:val="00ED14D6"/>
    <w:rsid w:val="00ED2873"/>
    <w:rsid w:val="00ED2D8D"/>
    <w:rsid w:val="00ED3015"/>
    <w:rsid w:val="00ED3083"/>
    <w:rsid w:val="00ED3B36"/>
    <w:rsid w:val="00ED48F6"/>
    <w:rsid w:val="00ED4EE8"/>
    <w:rsid w:val="00ED4F79"/>
    <w:rsid w:val="00ED56E8"/>
    <w:rsid w:val="00ED6C43"/>
    <w:rsid w:val="00ED75DB"/>
    <w:rsid w:val="00ED78F8"/>
    <w:rsid w:val="00ED7ABB"/>
    <w:rsid w:val="00ED7C3B"/>
    <w:rsid w:val="00EE1A1C"/>
    <w:rsid w:val="00EE1A39"/>
    <w:rsid w:val="00EE21E1"/>
    <w:rsid w:val="00EE274E"/>
    <w:rsid w:val="00EE2953"/>
    <w:rsid w:val="00EE2996"/>
    <w:rsid w:val="00EE2AD9"/>
    <w:rsid w:val="00EE3167"/>
    <w:rsid w:val="00EE3FBC"/>
    <w:rsid w:val="00EE3FCE"/>
    <w:rsid w:val="00EE5550"/>
    <w:rsid w:val="00EE5FCC"/>
    <w:rsid w:val="00EE625A"/>
    <w:rsid w:val="00EE6B39"/>
    <w:rsid w:val="00EE79AF"/>
    <w:rsid w:val="00EE7BAC"/>
    <w:rsid w:val="00EF0557"/>
    <w:rsid w:val="00EF0FCE"/>
    <w:rsid w:val="00EF1FF0"/>
    <w:rsid w:val="00EF2D54"/>
    <w:rsid w:val="00EF4155"/>
    <w:rsid w:val="00EF441C"/>
    <w:rsid w:val="00EF617F"/>
    <w:rsid w:val="00EF66CE"/>
    <w:rsid w:val="00EF6916"/>
    <w:rsid w:val="00EF6D51"/>
    <w:rsid w:val="00EF7414"/>
    <w:rsid w:val="00EF7A30"/>
    <w:rsid w:val="00F00993"/>
    <w:rsid w:val="00F01EAA"/>
    <w:rsid w:val="00F03912"/>
    <w:rsid w:val="00F03A6F"/>
    <w:rsid w:val="00F03E44"/>
    <w:rsid w:val="00F03FB5"/>
    <w:rsid w:val="00F04820"/>
    <w:rsid w:val="00F04BC3"/>
    <w:rsid w:val="00F05AEE"/>
    <w:rsid w:val="00F07095"/>
    <w:rsid w:val="00F100E6"/>
    <w:rsid w:val="00F109A2"/>
    <w:rsid w:val="00F11013"/>
    <w:rsid w:val="00F11758"/>
    <w:rsid w:val="00F12225"/>
    <w:rsid w:val="00F12E26"/>
    <w:rsid w:val="00F133EA"/>
    <w:rsid w:val="00F13740"/>
    <w:rsid w:val="00F139B8"/>
    <w:rsid w:val="00F14F83"/>
    <w:rsid w:val="00F1509B"/>
    <w:rsid w:val="00F1532A"/>
    <w:rsid w:val="00F15981"/>
    <w:rsid w:val="00F15BAF"/>
    <w:rsid w:val="00F15D70"/>
    <w:rsid w:val="00F170EB"/>
    <w:rsid w:val="00F17A1D"/>
    <w:rsid w:val="00F204A9"/>
    <w:rsid w:val="00F20859"/>
    <w:rsid w:val="00F208AD"/>
    <w:rsid w:val="00F21255"/>
    <w:rsid w:val="00F21972"/>
    <w:rsid w:val="00F222A8"/>
    <w:rsid w:val="00F22631"/>
    <w:rsid w:val="00F230F3"/>
    <w:rsid w:val="00F23177"/>
    <w:rsid w:val="00F232F8"/>
    <w:rsid w:val="00F24FB8"/>
    <w:rsid w:val="00F253BF"/>
    <w:rsid w:val="00F2702C"/>
    <w:rsid w:val="00F272E8"/>
    <w:rsid w:val="00F274DC"/>
    <w:rsid w:val="00F3040D"/>
    <w:rsid w:val="00F30D04"/>
    <w:rsid w:val="00F30E81"/>
    <w:rsid w:val="00F31212"/>
    <w:rsid w:val="00F3154D"/>
    <w:rsid w:val="00F32108"/>
    <w:rsid w:val="00F3376A"/>
    <w:rsid w:val="00F339E9"/>
    <w:rsid w:val="00F33BF9"/>
    <w:rsid w:val="00F34355"/>
    <w:rsid w:val="00F359EF"/>
    <w:rsid w:val="00F35C08"/>
    <w:rsid w:val="00F35CBA"/>
    <w:rsid w:val="00F36941"/>
    <w:rsid w:val="00F37337"/>
    <w:rsid w:val="00F37538"/>
    <w:rsid w:val="00F37A60"/>
    <w:rsid w:val="00F37BB8"/>
    <w:rsid w:val="00F37E10"/>
    <w:rsid w:val="00F4013C"/>
    <w:rsid w:val="00F40888"/>
    <w:rsid w:val="00F41471"/>
    <w:rsid w:val="00F41F6C"/>
    <w:rsid w:val="00F41FE2"/>
    <w:rsid w:val="00F42B1F"/>
    <w:rsid w:val="00F43B23"/>
    <w:rsid w:val="00F43B43"/>
    <w:rsid w:val="00F45FB9"/>
    <w:rsid w:val="00F46739"/>
    <w:rsid w:val="00F46C36"/>
    <w:rsid w:val="00F475B1"/>
    <w:rsid w:val="00F477BA"/>
    <w:rsid w:val="00F47D5A"/>
    <w:rsid w:val="00F503C5"/>
    <w:rsid w:val="00F51DF8"/>
    <w:rsid w:val="00F5249D"/>
    <w:rsid w:val="00F53317"/>
    <w:rsid w:val="00F53B3B"/>
    <w:rsid w:val="00F53D37"/>
    <w:rsid w:val="00F53DBB"/>
    <w:rsid w:val="00F5458A"/>
    <w:rsid w:val="00F56A72"/>
    <w:rsid w:val="00F56BBA"/>
    <w:rsid w:val="00F56BC3"/>
    <w:rsid w:val="00F56BDE"/>
    <w:rsid w:val="00F56C7F"/>
    <w:rsid w:val="00F56DD8"/>
    <w:rsid w:val="00F5754C"/>
    <w:rsid w:val="00F607CC"/>
    <w:rsid w:val="00F6156F"/>
    <w:rsid w:val="00F620E6"/>
    <w:rsid w:val="00F63100"/>
    <w:rsid w:val="00F648BE"/>
    <w:rsid w:val="00F65BFF"/>
    <w:rsid w:val="00F67712"/>
    <w:rsid w:val="00F678D1"/>
    <w:rsid w:val="00F710A5"/>
    <w:rsid w:val="00F7119F"/>
    <w:rsid w:val="00F71BAE"/>
    <w:rsid w:val="00F725AD"/>
    <w:rsid w:val="00F72D23"/>
    <w:rsid w:val="00F74813"/>
    <w:rsid w:val="00F74CD1"/>
    <w:rsid w:val="00F7590D"/>
    <w:rsid w:val="00F75A5D"/>
    <w:rsid w:val="00F76A30"/>
    <w:rsid w:val="00F77794"/>
    <w:rsid w:val="00F77949"/>
    <w:rsid w:val="00F80641"/>
    <w:rsid w:val="00F80661"/>
    <w:rsid w:val="00F80997"/>
    <w:rsid w:val="00F81DE1"/>
    <w:rsid w:val="00F8293D"/>
    <w:rsid w:val="00F82996"/>
    <w:rsid w:val="00F84140"/>
    <w:rsid w:val="00F84AF9"/>
    <w:rsid w:val="00F84B1A"/>
    <w:rsid w:val="00F84EF1"/>
    <w:rsid w:val="00F86F27"/>
    <w:rsid w:val="00F870F7"/>
    <w:rsid w:val="00F871D8"/>
    <w:rsid w:val="00F87532"/>
    <w:rsid w:val="00F875CB"/>
    <w:rsid w:val="00F876EE"/>
    <w:rsid w:val="00F87740"/>
    <w:rsid w:val="00F90F56"/>
    <w:rsid w:val="00F916B6"/>
    <w:rsid w:val="00F91B6D"/>
    <w:rsid w:val="00F926D1"/>
    <w:rsid w:val="00F92A7C"/>
    <w:rsid w:val="00F92E05"/>
    <w:rsid w:val="00F93457"/>
    <w:rsid w:val="00F93DF7"/>
    <w:rsid w:val="00F93FA4"/>
    <w:rsid w:val="00F9558D"/>
    <w:rsid w:val="00F95BB5"/>
    <w:rsid w:val="00F95CAE"/>
    <w:rsid w:val="00F96513"/>
    <w:rsid w:val="00F96A66"/>
    <w:rsid w:val="00F97DBB"/>
    <w:rsid w:val="00FA02B8"/>
    <w:rsid w:val="00FA0DCF"/>
    <w:rsid w:val="00FA0F6C"/>
    <w:rsid w:val="00FA116C"/>
    <w:rsid w:val="00FA24CA"/>
    <w:rsid w:val="00FA28F7"/>
    <w:rsid w:val="00FA368D"/>
    <w:rsid w:val="00FA450D"/>
    <w:rsid w:val="00FA4573"/>
    <w:rsid w:val="00FA534A"/>
    <w:rsid w:val="00FA5BB0"/>
    <w:rsid w:val="00FA6649"/>
    <w:rsid w:val="00FA6751"/>
    <w:rsid w:val="00FB15E4"/>
    <w:rsid w:val="00FB1D6B"/>
    <w:rsid w:val="00FB1DE4"/>
    <w:rsid w:val="00FB1E4A"/>
    <w:rsid w:val="00FB1E89"/>
    <w:rsid w:val="00FB2B9F"/>
    <w:rsid w:val="00FB3FCA"/>
    <w:rsid w:val="00FB42B1"/>
    <w:rsid w:val="00FB4754"/>
    <w:rsid w:val="00FB4C0A"/>
    <w:rsid w:val="00FB5363"/>
    <w:rsid w:val="00FB555B"/>
    <w:rsid w:val="00FB57ED"/>
    <w:rsid w:val="00FB5B67"/>
    <w:rsid w:val="00FB644C"/>
    <w:rsid w:val="00FB69C4"/>
    <w:rsid w:val="00FB7286"/>
    <w:rsid w:val="00FB7302"/>
    <w:rsid w:val="00FB7D5C"/>
    <w:rsid w:val="00FB7E33"/>
    <w:rsid w:val="00FC0013"/>
    <w:rsid w:val="00FC0416"/>
    <w:rsid w:val="00FC1795"/>
    <w:rsid w:val="00FC21FC"/>
    <w:rsid w:val="00FC3172"/>
    <w:rsid w:val="00FC398A"/>
    <w:rsid w:val="00FC3D8C"/>
    <w:rsid w:val="00FC4CC9"/>
    <w:rsid w:val="00FC4F86"/>
    <w:rsid w:val="00FC5168"/>
    <w:rsid w:val="00FC5227"/>
    <w:rsid w:val="00FC545E"/>
    <w:rsid w:val="00FC76E7"/>
    <w:rsid w:val="00FC78D3"/>
    <w:rsid w:val="00FC7D07"/>
    <w:rsid w:val="00FD0604"/>
    <w:rsid w:val="00FD0BEF"/>
    <w:rsid w:val="00FD0F90"/>
    <w:rsid w:val="00FD11B0"/>
    <w:rsid w:val="00FD1CFC"/>
    <w:rsid w:val="00FD1ED2"/>
    <w:rsid w:val="00FD31CB"/>
    <w:rsid w:val="00FD3273"/>
    <w:rsid w:val="00FD40D8"/>
    <w:rsid w:val="00FD49CC"/>
    <w:rsid w:val="00FD64C8"/>
    <w:rsid w:val="00FD68E1"/>
    <w:rsid w:val="00FD6D4B"/>
    <w:rsid w:val="00FD6F66"/>
    <w:rsid w:val="00FD741A"/>
    <w:rsid w:val="00FD74D6"/>
    <w:rsid w:val="00FD74E1"/>
    <w:rsid w:val="00FD7617"/>
    <w:rsid w:val="00FD78A0"/>
    <w:rsid w:val="00FE127D"/>
    <w:rsid w:val="00FE166E"/>
    <w:rsid w:val="00FE1A95"/>
    <w:rsid w:val="00FE1E77"/>
    <w:rsid w:val="00FE2189"/>
    <w:rsid w:val="00FE30BA"/>
    <w:rsid w:val="00FE3F1F"/>
    <w:rsid w:val="00FE40F9"/>
    <w:rsid w:val="00FE47CA"/>
    <w:rsid w:val="00FE4871"/>
    <w:rsid w:val="00FE5D16"/>
    <w:rsid w:val="00FE6416"/>
    <w:rsid w:val="00FE643D"/>
    <w:rsid w:val="00FE73EC"/>
    <w:rsid w:val="00FF06AD"/>
    <w:rsid w:val="00FF0856"/>
    <w:rsid w:val="00FF0E23"/>
    <w:rsid w:val="00FF0F06"/>
    <w:rsid w:val="00FF17A2"/>
    <w:rsid w:val="00FF17C0"/>
    <w:rsid w:val="00FF2229"/>
    <w:rsid w:val="00FF22F5"/>
    <w:rsid w:val="00FF24F8"/>
    <w:rsid w:val="00FF2C39"/>
    <w:rsid w:val="00FF30C0"/>
    <w:rsid w:val="00FF3309"/>
    <w:rsid w:val="00FF3800"/>
    <w:rsid w:val="00FF3BA3"/>
    <w:rsid w:val="00FF3F65"/>
    <w:rsid w:val="00FF400E"/>
    <w:rsid w:val="00FF473C"/>
    <w:rsid w:val="00FF4BDB"/>
    <w:rsid w:val="00FF6333"/>
    <w:rsid w:val="00FF6A1B"/>
    <w:rsid w:val="00FF7D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2E556"/>
  <w15:docId w15:val="{875EF964-92B7-427F-8F38-38F78376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5665"/>
    <w:rPr>
      <w:sz w:val="26"/>
      <w:lang w:eastAsia="en-US"/>
    </w:rPr>
  </w:style>
  <w:style w:type="paragraph" w:styleId="Heading1">
    <w:name w:val="heading 1"/>
    <w:basedOn w:val="Normal"/>
    <w:next w:val="Normal"/>
    <w:link w:val="Heading1Char"/>
    <w:qFormat/>
    <w:rsid w:val="00907280"/>
    <w:pPr>
      <w:keepNext/>
      <w:keepLines/>
      <w:numPr>
        <w:numId w:val="4"/>
      </w:numPr>
      <w:spacing w:before="240" w:after="120"/>
      <w:ind w:left="0" w:firstLine="0"/>
      <w:outlineLvl w:val="0"/>
    </w:pPr>
    <w:rPr>
      <w:rFonts w:ascii="Times" w:eastAsiaTheme="majorEastAsia" w:hAnsi="Times" w:cstheme="majorBidi"/>
      <w:b/>
      <w:bCs/>
      <w:color w:val="365F91" w:themeColor="accent1" w:themeShade="BF"/>
      <w:sz w:val="24"/>
      <w:szCs w:val="28"/>
    </w:rPr>
  </w:style>
  <w:style w:type="paragraph" w:styleId="Heading2">
    <w:name w:val="heading 2"/>
    <w:basedOn w:val="Normal"/>
    <w:next w:val="Normal"/>
    <w:link w:val="Heading2Char"/>
    <w:unhideWhenUsed/>
    <w:qFormat/>
    <w:rsid w:val="00907280"/>
    <w:pPr>
      <w:keepNext/>
      <w:keepLines/>
      <w:spacing w:before="120" w:after="120"/>
      <w:outlineLvl w:val="1"/>
    </w:pPr>
    <w:rPr>
      <w:rFonts w:ascii="Times" w:eastAsiaTheme="majorEastAsia" w:hAnsi="Times" w:cstheme="majorBidi"/>
      <w:color w:val="365F91" w:themeColor="accent1" w:themeShade="BF"/>
      <w:sz w:val="24"/>
      <w:szCs w:val="26"/>
    </w:rPr>
  </w:style>
  <w:style w:type="paragraph" w:styleId="Heading3">
    <w:name w:val="heading 3"/>
    <w:basedOn w:val="Normal"/>
    <w:next w:val="Normal"/>
    <w:link w:val="Heading3Char"/>
    <w:unhideWhenUsed/>
    <w:qFormat/>
    <w:rsid w:val="003D56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6B54"/>
    <w:pPr>
      <w:tabs>
        <w:tab w:val="center" w:pos="4153"/>
        <w:tab w:val="right" w:pos="8306"/>
      </w:tabs>
    </w:pPr>
  </w:style>
  <w:style w:type="paragraph" w:styleId="Footer">
    <w:name w:val="footer"/>
    <w:basedOn w:val="Normal"/>
    <w:link w:val="FooterChar"/>
    <w:uiPriority w:val="99"/>
    <w:rsid w:val="00B26B54"/>
    <w:pPr>
      <w:tabs>
        <w:tab w:val="center" w:pos="4153"/>
        <w:tab w:val="right" w:pos="8306"/>
      </w:tabs>
    </w:pPr>
  </w:style>
  <w:style w:type="paragraph" w:styleId="Subtitle">
    <w:name w:val="Subtitle"/>
    <w:basedOn w:val="Normal"/>
    <w:next w:val="Normal"/>
    <w:link w:val="SubtitleChar"/>
    <w:qFormat/>
    <w:rsid w:val="003D5665"/>
    <w:pPr>
      <w:keepNext/>
      <w:keepLines/>
      <w:widowControl w:val="0"/>
      <w:suppressAutoHyphens/>
      <w:spacing w:before="600" w:after="600"/>
      <w:ind w:right="4820"/>
    </w:pPr>
    <w:rPr>
      <w:b/>
      <w:sz w:val="24"/>
    </w:rPr>
  </w:style>
  <w:style w:type="paragraph" w:styleId="BodyText">
    <w:name w:val="Body Text"/>
    <w:basedOn w:val="Normal"/>
    <w:rsid w:val="00B26B54"/>
    <w:pPr>
      <w:widowControl w:val="0"/>
      <w:spacing w:before="60" w:after="60"/>
    </w:pPr>
    <w:rPr>
      <w:sz w:val="20"/>
    </w:rPr>
  </w:style>
  <w:style w:type="character" w:customStyle="1" w:styleId="Heading1Char">
    <w:name w:val="Heading 1 Char"/>
    <w:basedOn w:val="DefaultParagraphFont"/>
    <w:link w:val="Heading1"/>
    <w:rsid w:val="00907280"/>
    <w:rPr>
      <w:rFonts w:ascii="Times" w:eastAsiaTheme="majorEastAsia" w:hAnsi="Times" w:cstheme="majorBidi"/>
      <w:b/>
      <w:bCs/>
      <w:color w:val="365F91" w:themeColor="accent1" w:themeShade="BF"/>
      <w:szCs w:val="28"/>
      <w:lang w:eastAsia="en-US"/>
    </w:rPr>
  </w:style>
  <w:style w:type="character" w:customStyle="1" w:styleId="Heading3Char">
    <w:name w:val="Heading 3 Char"/>
    <w:basedOn w:val="DefaultParagraphFont"/>
    <w:link w:val="Heading3"/>
    <w:rsid w:val="003D5665"/>
    <w:rPr>
      <w:rFonts w:asciiTheme="majorHAnsi" w:eastAsiaTheme="majorEastAsia" w:hAnsiTheme="majorHAnsi" w:cstheme="majorBidi"/>
      <w:b/>
      <w:bCs/>
      <w:color w:val="4F81BD" w:themeColor="accent1"/>
      <w:sz w:val="26"/>
      <w:lang w:eastAsia="en-US"/>
    </w:rPr>
  </w:style>
  <w:style w:type="character" w:customStyle="1" w:styleId="SubtitleChar">
    <w:name w:val="Subtitle Char"/>
    <w:basedOn w:val="DefaultParagraphFont"/>
    <w:link w:val="Subtitle"/>
    <w:rsid w:val="003D5665"/>
    <w:rPr>
      <w:b/>
      <w:lang w:eastAsia="en-US"/>
    </w:rPr>
  </w:style>
  <w:style w:type="character" w:styleId="Strong">
    <w:name w:val="Strong"/>
    <w:basedOn w:val="DefaultParagraphFont"/>
    <w:uiPriority w:val="22"/>
    <w:qFormat/>
    <w:rsid w:val="003D5665"/>
    <w:rPr>
      <w:b/>
      <w:bCs/>
    </w:rPr>
  </w:style>
  <w:style w:type="character" w:styleId="Emphasis">
    <w:name w:val="Emphasis"/>
    <w:basedOn w:val="DefaultParagraphFont"/>
    <w:qFormat/>
    <w:rsid w:val="003D5665"/>
    <w:rPr>
      <w:i/>
      <w:iCs/>
    </w:rPr>
  </w:style>
  <w:style w:type="paragraph" w:styleId="ListParagraph">
    <w:name w:val="List Paragraph"/>
    <w:aliases w:val="H&amp;P List Paragraph,Strip,Colorful List - Accent 12,2,Normal bullet 2,Bullet list,Syle 1,PPS_Bullet,Saistīto dokumentu saraksts,Numurets,Table of contents numbered,Citation List,Virsraksti,List Paragraph1,Bullet EY,ERP-List Paragraph"/>
    <w:basedOn w:val="Normal"/>
    <w:link w:val="ListParagraphChar"/>
    <w:uiPriority w:val="34"/>
    <w:qFormat/>
    <w:rsid w:val="003D5665"/>
    <w:pPr>
      <w:ind w:left="720"/>
      <w:contextualSpacing/>
    </w:pPr>
  </w:style>
  <w:style w:type="character" w:customStyle="1" w:styleId="FooterChar">
    <w:name w:val="Footer Char"/>
    <w:basedOn w:val="DefaultParagraphFont"/>
    <w:link w:val="Footer"/>
    <w:uiPriority w:val="99"/>
    <w:rsid w:val="001C4040"/>
    <w:rPr>
      <w:sz w:val="26"/>
      <w:lang w:eastAsia="en-US"/>
    </w:rPr>
  </w:style>
  <w:style w:type="paragraph" w:styleId="BalloonText">
    <w:name w:val="Balloon Text"/>
    <w:basedOn w:val="Normal"/>
    <w:link w:val="BalloonTextChar"/>
    <w:rsid w:val="00867091"/>
    <w:rPr>
      <w:rFonts w:ascii="Tahoma" w:hAnsi="Tahoma" w:cs="Tahoma"/>
      <w:sz w:val="16"/>
      <w:szCs w:val="16"/>
    </w:rPr>
  </w:style>
  <w:style w:type="character" w:customStyle="1" w:styleId="BalloonTextChar">
    <w:name w:val="Balloon Text Char"/>
    <w:basedOn w:val="DefaultParagraphFont"/>
    <w:link w:val="BalloonText"/>
    <w:rsid w:val="00867091"/>
    <w:rPr>
      <w:rFonts w:ascii="Tahoma" w:hAnsi="Tahoma" w:cs="Tahoma"/>
      <w:sz w:val="16"/>
      <w:szCs w:val="16"/>
      <w:lang w:eastAsia="en-US"/>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qFormat/>
    <w:rsid w:val="00B1137A"/>
    <w:rPr>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B1137A"/>
    <w:rPr>
      <w:sz w:val="20"/>
      <w:szCs w:val="20"/>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qFormat/>
    <w:rsid w:val="00B1137A"/>
    <w:rPr>
      <w:vertAlign w:val="superscript"/>
    </w:rPr>
  </w:style>
  <w:style w:type="character" w:styleId="Hyperlink">
    <w:name w:val="Hyperlink"/>
    <w:basedOn w:val="DefaultParagraphFont"/>
    <w:uiPriority w:val="99"/>
    <w:rsid w:val="009D15BA"/>
    <w:rPr>
      <w:color w:val="0000FF" w:themeColor="hyperlink"/>
      <w:u w:val="single"/>
    </w:rPr>
  </w:style>
  <w:style w:type="character" w:customStyle="1" w:styleId="HeaderChar">
    <w:name w:val="Header Char"/>
    <w:basedOn w:val="DefaultParagraphFont"/>
    <w:link w:val="Header"/>
    <w:uiPriority w:val="99"/>
    <w:rsid w:val="001D08EC"/>
    <w:rPr>
      <w:sz w:val="26"/>
      <w:lang w:eastAsia="en-US"/>
    </w:rPr>
  </w:style>
  <w:style w:type="table" w:styleId="TableGrid">
    <w:name w:val="Table Grid"/>
    <w:basedOn w:val="TableNormal"/>
    <w:rsid w:val="00C05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F2F29"/>
    <w:rPr>
      <w:sz w:val="16"/>
      <w:szCs w:val="16"/>
    </w:rPr>
  </w:style>
  <w:style w:type="paragraph" w:styleId="CommentText">
    <w:name w:val="annotation text"/>
    <w:basedOn w:val="Normal"/>
    <w:link w:val="CommentTextChar"/>
    <w:uiPriority w:val="99"/>
    <w:unhideWhenUsed/>
    <w:rsid w:val="00AF2F29"/>
    <w:rPr>
      <w:sz w:val="20"/>
      <w:szCs w:val="20"/>
    </w:rPr>
  </w:style>
  <w:style w:type="character" w:customStyle="1" w:styleId="CommentTextChar">
    <w:name w:val="Comment Text Char"/>
    <w:basedOn w:val="DefaultParagraphFont"/>
    <w:link w:val="CommentText"/>
    <w:uiPriority w:val="99"/>
    <w:rsid w:val="00AF2F29"/>
    <w:rPr>
      <w:sz w:val="20"/>
      <w:szCs w:val="20"/>
      <w:lang w:eastAsia="en-US"/>
    </w:rPr>
  </w:style>
  <w:style w:type="paragraph" w:styleId="CommentSubject">
    <w:name w:val="annotation subject"/>
    <w:basedOn w:val="CommentText"/>
    <w:next w:val="CommentText"/>
    <w:link w:val="CommentSubjectChar"/>
    <w:semiHidden/>
    <w:unhideWhenUsed/>
    <w:rsid w:val="00AF2F29"/>
    <w:rPr>
      <w:b/>
      <w:bCs/>
    </w:rPr>
  </w:style>
  <w:style w:type="character" w:customStyle="1" w:styleId="CommentSubjectChar">
    <w:name w:val="Comment Subject Char"/>
    <w:basedOn w:val="CommentTextChar"/>
    <w:link w:val="CommentSubject"/>
    <w:semiHidden/>
    <w:rsid w:val="00AF2F29"/>
    <w:rPr>
      <w:b/>
      <w:bCs/>
      <w:sz w:val="20"/>
      <w:szCs w:val="20"/>
      <w:lang w:eastAsia="en-US"/>
    </w:rPr>
  </w:style>
  <w:style w:type="paragraph" w:customStyle="1" w:styleId="Default">
    <w:name w:val="Default"/>
    <w:rsid w:val="001B0AD3"/>
    <w:pPr>
      <w:autoSpaceDE w:val="0"/>
      <w:autoSpaceDN w:val="0"/>
      <w:adjustRightInd w:val="0"/>
    </w:pPr>
    <w:rPr>
      <w:color w:val="000000"/>
    </w:rPr>
  </w:style>
  <w:style w:type="character" w:customStyle="1" w:styleId="cf01">
    <w:name w:val="cf01"/>
    <w:basedOn w:val="DefaultParagraphFont"/>
    <w:rsid w:val="00BC2894"/>
    <w:rPr>
      <w:rFonts w:ascii="Segoe UI" w:hAnsi="Segoe UI" w:cs="Segoe UI" w:hint="default"/>
      <w:sz w:val="18"/>
      <w:szCs w:val="18"/>
    </w:rPr>
  </w:style>
  <w:style w:type="character" w:styleId="UnresolvedMention">
    <w:name w:val="Unresolved Mention"/>
    <w:basedOn w:val="DefaultParagraphFont"/>
    <w:uiPriority w:val="99"/>
    <w:semiHidden/>
    <w:unhideWhenUsed/>
    <w:rsid w:val="004F5192"/>
    <w:rPr>
      <w:color w:val="605E5C"/>
      <w:shd w:val="clear" w:color="auto" w:fill="E1DFDD"/>
    </w:rPr>
  </w:style>
  <w:style w:type="paragraph" w:styleId="Revision">
    <w:name w:val="Revision"/>
    <w:hidden/>
    <w:uiPriority w:val="99"/>
    <w:semiHidden/>
    <w:rsid w:val="004C0A8A"/>
    <w:rPr>
      <w:sz w:val="26"/>
      <w:lang w:eastAsia="en-US"/>
    </w:rPr>
  </w:style>
  <w:style w:type="paragraph" w:styleId="NormalWeb">
    <w:name w:val="Normal (Web)"/>
    <w:basedOn w:val="Normal"/>
    <w:uiPriority w:val="99"/>
    <w:unhideWhenUsed/>
    <w:rsid w:val="00D639CE"/>
    <w:pPr>
      <w:spacing w:before="100" w:beforeAutospacing="1" w:after="100" w:afterAutospacing="1"/>
    </w:pPr>
    <w:rPr>
      <w:sz w:val="24"/>
      <w:lang w:eastAsia="lv-LV"/>
    </w:rPr>
  </w:style>
  <w:style w:type="paragraph" w:customStyle="1" w:styleId="CharCharCharChar">
    <w:name w:val="Char Char Char Char"/>
    <w:aliases w:val="Char2"/>
    <w:basedOn w:val="Normal"/>
    <w:next w:val="Normal"/>
    <w:link w:val="FootnoteReference"/>
    <w:uiPriority w:val="99"/>
    <w:qFormat/>
    <w:rsid w:val="00DC7694"/>
    <w:pPr>
      <w:spacing w:after="160" w:line="240" w:lineRule="exact"/>
      <w:ind w:left="567" w:hanging="499"/>
      <w:jc w:val="both"/>
    </w:pPr>
    <w:rPr>
      <w:sz w:val="24"/>
      <w:vertAlign w:val="superscript"/>
      <w:lang w:eastAsia="lv-LV"/>
    </w:rPr>
  </w:style>
  <w:style w:type="character" w:customStyle="1" w:styleId="Heading2Char">
    <w:name w:val="Heading 2 Char"/>
    <w:basedOn w:val="DefaultParagraphFont"/>
    <w:link w:val="Heading2"/>
    <w:rsid w:val="00907280"/>
    <w:rPr>
      <w:rFonts w:ascii="Times" w:eastAsiaTheme="majorEastAsia" w:hAnsi="Times" w:cstheme="majorBidi"/>
      <w:color w:val="365F91" w:themeColor="accent1" w:themeShade="BF"/>
      <w:szCs w:val="26"/>
      <w:lang w:eastAsia="en-US"/>
    </w:rPr>
  </w:style>
  <w:style w:type="character" w:customStyle="1" w:styleId="ListParagraphChar">
    <w:name w:val="List Paragraph Char"/>
    <w:aliases w:val="H&amp;P List Paragraph Char,Strip Char,Colorful List - Accent 12 Char,2 Char,Normal bullet 2 Char,Bullet list Char,Syle 1 Char,PPS_Bullet Char,Saistīto dokumentu saraksts Char,Numurets Char,Table of contents numbered Char,Virsraksti Char"/>
    <w:link w:val="ListParagraph"/>
    <w:qFormat/>
    <w:rsid w:val="00736EED"/>
    <w:rPr>
      <w:sz w:val="26"/>
      <w:lang w:eastAsia="en-US"/>
    </w:rPr>
  </w:style>
  <w:style w:type="paragraph" w:styleId="Caption">
    <w:name w:val="caption"/>
    <w:basedOn w:val="Normal"/>
    <w:next w:val="Normal"/>
    <w:uiPriority w:val="35"/>
    <w:unhideWhenUsed/>
    <w:qFormat/>
    <w:rsid w:val="003430FE"/>
    <w:pPr>
      <w:spacing w:before="120" w:after="120"/>
      <w:ind w:firstLine="720"/>
      <w:jc w:val="both"/>
    </w:pPr>
    <w:rPr>
      <w:rFonts w:asciiTheme="minorHAnsi" w:eastAsiaTheme="minorHAnsi" w:hAnsiTheme="minorHAnsi" w:cstheme="minorBidi"/>
      <w:i/>
      <w:iCs/>
      <w:color w:val="000000" w:themeColor="text1"/>
      <w:sz w:val="18"/>
      <w:szCs w:val="18"/>
    </w:rPr>
  </w:style>
  <w:style w:type="table" w:styleId="GridTable6Colorful">
    <w:name w:val="Grid Table 6 Colorful"/>
    <w:basedOn w:val="TableNormal"/>
    <w:uiPriority w:val="51"/>
    <w:rsid w:val="004808F4"/>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3">
    <w:name w:val="Grid Table 6 Colorful Accent 3"/>
    <w:basedOn w:val="TableNormal"/>
    <w:uiPriority w:val="51"/>
    <w:rsid w:val="004808F4"/>
    <w:rPr>
      <w:rFonts w:asciiTheme="minorHAnsi" w:eastAsiaTheme="minorHAnsi" w:hAnsiTheme="minorHAnsi" w:cstheme="minorBidi"/>
      <w:color w:val="76923C" w:themeColor="accent3" w:themeShade="BF"/>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textrun">
    <w:name w:val="normaltextrun"/>
    <w:basedOn w:val="DefaultParagraphFont"/>
    <w:rsid w:val="001E78A7"/>
  </w:style>
  <w:style w:type="character" w:customStyle="1" w:styleId="eop">
    <w:name w:val="eop"/>
    <w:basedOn w:val="DefaultParagraphFont"/>
    <w:rsid w:val="001E78A7"/>
  </w:style>
  <w:style w:type="paragraph" w:styleId="EndnoteText">
    <w:name w:val="endnote text"/>
    <w:basedOn w:val="Normal"/>
    <w:link w:val="EndnoteTextChar"/>
    <w:semiHidden/>
    <w:unhideWhenUsed/>
    <w:rsid w:val="000F2CE6"/>
    <w:rPr>
      <w:sz w:val="20"/>
      <w:szCs w:val="20"/>
    </w:rPr>
  </w:style>
  <w:style w:type="character" w:customStyle="1" w:styleId="EndnoteTextChar">
    <w:name w:val="Endnote Text Char"/>
    <w:basedOn w:val="DefaultParagraphFont"/>
    <w:link w:val="EndnoteText"/>
    <w:semiHidden/>
    <w:rsid w:val="000F2CE6"/>
    <w:rPr>
      <w:sz w:val="20"/>
      <w:szCs w:val="20"/>
      <w:lang w:eastAsia="en-US"/>
    </w:rPr>
  </w:style>
  <w:style w:type="character" w:styleId="EndnoteReference">
    <w:name w:val="endnote reference"/>
    <w:basedOn w:val="DefaultParagraphFont"/>
    <w:semiHidden/>
    <w:unhideWhenUsed/>
    <w:rsid w:val="000F2CE6"/>
    <w:rPr>
      <w:vertAlign w:val="superscript"/>
    </w:rPr>
  </w:style>
  <w:style w:type="character" w:customStyle="1" w:styleId="markedcontent">
    <w:name w:val="markedcontent"/>
    <w:basedOn w:val="DefaultParagraphFont"/>
    <w:rsid w:val="00A37C0C"/>
  </w:style>
  <w:style w:type="character" w:styleId="FollowedHyperlink">
    <w:name w:val="FollowedHyperlink"/>
    <w:basedOn w:val="DefaultParagraphFont"/>
    <w:semiHidden/>
    <w:unhideWhenUsed/>
    <w:rsid w:val="00255A49"/>
    <w:rPr>
      <w:color w:val="800080" w:themeColor="followedHyperlink"/>
      <w:u w:val="single"/>
    </w:rPr>
  </w:style>
  <w:style w:type="paragraph" w:styleId="NoSpacing">
    <w:name w:val="No Spacing"/>
    <w:uiPriority w:val="1"/>
    <w:qFormat/>
    <w:rsid w:val="00883CEA"/>
    <w:pPr>
      <w:jc w:val="both"/>
    </w:pPr>
    <w:rPr>
      <w:rFonts w:eastAsiaTheme="minorHAnsi" w:cstheme="minorBidi"/>
      <w:szCs w:val="22"/>
      <w:lang w:eastAsia="en-US"/>
    </w:rPr>
  </w:style>
  <w:style w:type="character" w:customStyle="1" w:styleId="ui-provider">
    <w:name w:val="ui-provider"/>
    <w:basedOn w:val="DefaultParagraphFont"/>
    <w:rsid w:val="00F33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30814">
      <w:bodyDiv w:val="1"/>
      <w:marLeft w:val="0"/>
      <w:marRight w:val="0"/>
      <w:marTop w:val="0"/>
      <w:marBottom w:val="0"/>
      <w:divBdr>
        <w:top w:val="none" w:sz="0" w:space="0" w:color="auto"/>
        <w:left w:val="none" w:sz="0" w:space="0" w:color="auto"/>
        <w:bottom w:val="none" w:sz="0" w:space="0" w:color="auto"/>
        <w:right w:val="none" w:sz="0" w:space="0" w:color="auto"/>
      </w:divBdr>
    </w:div>
    <w:div w:id="385564697">
      <w:bodyDiv w:val="1"/>
      <w:marLeft w:val="0"/>
      <w:marRight w:val="0"/>
      <w:marTop w:val="0"/>
      <w:marBottom w:val="0"/>
      <w:divBdr>
        <w:top w:val="none" w:sz="0" w:space="0" w:color="auto"/>
        <w:left w:val="none" w:sz="0" w:space="0" w:color="auto"/>
        <w:bottom w:val="none" w:sz="0" w:space="0" w:color="auto"/>
        <w:right w:val="none" w:sz="0" w:space="0" w:color="auto"/>
      </w:divBdr>
    </w:div>
    <w:div w:id="503670710">
      <w:bodyDiv w:val="1"/>
      <w:marLeft w:val="0"/>
      <w:marRight w:val="0"/>
      <w:marTop w:val="0"/>
      <w:marBottom w:val="0"/>
      <w:divBdr>
        <w:top w:val="none" w:sz="0" w:space="0" w:color="auto"/>
        <w:left w:val="none" w:sz="0" w:space="0" w:color="auto"/>
        <w:bottom w:val="none" w:sz="0" w:space="0" w:color="auto"/>
        <w:right w:val="none" w:sz="0" w:space="0" w:color="auto"/>
      </w:divBdr>
    </w:div>
    <w:div w:id="506359873">
      <w:bodyDiv w:val="1"/>
      <w:marLeft w:val="0"/>
      <w:marRight w:val="0"/>
      <w:marTop w:val="0"/>
      <w:marBottom w:val="0"/>
      <w:divBdr>
        <w:top w:val="none" w:sz="0" w:space="0" w:color="auto"/>
        <w:left w:val="none" w:sz="0" w:space="0" w:color="auto"/>
        <w:bottom w:val="none" w:sz="0" w:space="0" w:color="auto"/>
        <w:right w:val="none" w:sz="0" w:space="0" w:color="auto"/>
      </w:divBdr>
      <w:divsChild>
        <w:div w:id="1219166909">
          <w:marLeft w:val="0"/>
          <w:marRight w:val="0"/>
          <w:marTop w:val="0"/>
          <w:marBottom w:val="0"/>
          <w:divBdr>
            <w:top w:val="none" w:sz="0" w:space="0" w:color="auto"/>
            <w:left w:val="none" w:sz="0" w:space="0" w:color="auto"/>
            <w:bottom w:val="none" w:sz="0" w:space="0" w:color="auto"/>
            <w:right w:val="none" w:sz="0" w:space="0" w:color="auto"/>
          </w:divBdr>
        </w:div>
        <w:div w:id="1625849246">
          <w:marLeft w:val="0"/>
          <w:marRight w:val="0"/>
          <w:marTop w:val="0"/>
          <w:marBottom w:val="0"/>
          <w:divBdr>
            <w:top w:val="none" w:sz="0" w:space="0" w:color="auto"/>
            <w:left w:val="none" w:sz="0" w:space="0" w:color="auto"/>
            <w:bottom w:val="none" w:sz="0" w:space="0" w:color="auto"/>
            <w:right w:val="none" w:sz="0" w:space="0" w:color="auto"/>
          </w:divBdr>
        </w:div>
      </w:divsChild>
    </w:div>
    <w:div w:id="568031802">
      <w:bodyDiv w:val="1"/>
      <w:marLeft w:val="0"/>
      <w:marRight w:val="0"/>
      <w:marTop w:val="0"/>
      <w:marBottom w:val="0"/>
      <w:divBdr>
        <w:top w:val="none" w:sz="0" w:space="0" w:color="auto"/>
        <w:left w:val="none" w:sz="0" w:space="0" w:color="auto"/>
        <w:bottom w:val="none" w:sz="0" w:space="0" w:color="auto"/>
        <w:right w:val="none" w:sz="0" w:space="0" w:color="auto"/>
      </w:divBdr>
    </w:div>
    <w:div w:id="1579290446">
      <w:bodyDiv w:val="1"/>
      <w:marLeft w:val="0"/>
      <w:marRight w:val="0"/>
      <w:marTop w:val="0"/>
      <w:marBottom w:val="0"/>
      <w:divBdr>
        <w:top w:val="none" w:sz="0" w:space="0" w:color="auto"/>
        <w:left w:val="none" w:sz="0" w:space="0" w:color="auto"/>
        <w:bottom w:val="none" w:sz="0" w:space="0" w:color="auto"/>
        <w:right w:val="none" w:sz="0" w:space="0" w:color="auto"/>
      </w:divBdr>
      <w:divsChild>
        <w:div w:id="886257394">
          <w:marLeft w:val="0"/>
          <w:marRight w:val="0"/>
          <w:marTop w:val="15"/>
          <w:marBottom w:val="0"/>
          <w:divBdr>
            <w:top w:val="single" w:sz="48" w:space="0" w:color="auto"/>
            <w:left w:val="single" w:sz="48" w:space="0" w:color="auto"/>
            <w:bottom w:val="single" w:sz="48" w:space="0" w:color="auto"/>
            <w:right w:val="single" w:sz="48" w:space="0" w:color="auto"/>
          </w:divBdr>
          <w:divsChild>
            <w:div w:id="973947196">
              <w:marLeft w:val="0"/>
              <w:marRight w:val="0"/>
              <w:marTop w:val="0"/>
              <w:marBottom w:val="0"/>
              <w:divBdr>
                <w:top w:val="none" w:sz="0" w:space="0" w:color="auto"/>
                <w:left w:val="none" w:sz="0" w:space="0" w:color="auto"/>
                <w:bottom w:val="none" w:sz="0" w:space="0" w:color="auto"/>
                <w:right w:val="none" w:sz="0" w:space="0" w:color="auto"/>
              </w:divBdr>
              <w:divsChild>
                <w:div w:id="13120146">
                  <w:marLeft w:val="0"/>
                  <w:marRight w:val="0"/>
                  <w:marTop w:val="0"/>
                  <w:marBottom w:val="0"/>
                  <w:divBdr>
                    <w:top w:val="none" w:sz="0" w:space="0" w:color="auto"/>
                    <w:left w:val="none" w:sz="0" w:space="0" w:color="auto"/>
                    <w:bottom w:val="none" w:sz="0" w:space="0" w:color="auto"/>
                    <w:right w:val="none" w:sz="0" w:space="0" w:color="auto"/>
                  </w:divBdr>
                </w:div>
                <w:div w:id="30618767">
                  <w:marLeft w:val="0"/>
                  <w:marRight w:val="0"/>
                  <w:marTop w:val="0"/>
                  <w:marBottom w:val="0"/>
                  <w:divBdr>
                    <w:top w:val="none" w:sz="0" w:space="0" w:color="auto"/>
                    <w:left w:val="none" w:sz="0" w:space="0" w:color="auto"/>
                    <w:bottom w:val="none" w:sz="0" w:space="0" w:color="auto"/>
                    <w:right w:val="none" w:sz="0" w:space="0" w:color="auto"/>
                  </w:divBdr>
                </w:div>
                <w:div w:id="93673743">
                  <w:marLeft w:val="0"/>
                  <w:marRight w:val="0"/>
                  <w:marTop w:val="0"/>
                  <w:marBottom w:val="0"/>
                  <w:divBdr>
                    <w:top w:val="none" w:sz="0" w:space="0" w:color="auto"/>
                    <w:left w:val="none" w:sz="0" w:space="0" w:color="auto"/>
                    <w:bottom w:val="none" w:sz="0" w:space="0" w:color="auto"/>
                    <w:right w:val="none" w:sz="0" w:space="0" w:color="auto"/>
                  </w:divBdr>
                </w:div>
                <w:div w:id="123819877">
                  <w:marLeft w:val="0"/>
                  <w:marRight w:val="0"/>
                  <w:marTop w:val="0"/>
                  <w:marBottom w:val="0"/>
                  <w:divBdr>
                    <w:top w:val="none" w:sz="0" w:space="0" w:color="auto"/>
                    <w:left w:val="none" w:sz="0" w:space="0" w:color="auto"/>
                    <w:bottom w:val="none" w:sz="0" w:space="0" w:color="auto"/>
                    <w:right w:val="none" w:sz="0" w:space="0" w:color="auto"/>
                  </w:divBdr>
                </w:div>
                <w:div w:id="146165635">
                  <w:marLeft w:val="0"/>
                  <w:marRight w:val="0"/>
                  <w:marTop w:val="0"/>
                  <w:marBottom w:val="0"/>
                  <w:divBdr>
                    <w:top w:val="none" w:sz="0" w:space="0" w:color="auto"/>
                    <w:left w:val="none" w:sz="0" w:space="0" w:color="auto"/>
                    <w:bottom w:val="none" w:sz="0" w:space="0" w:color="auto"/>
                    <w:right w:val="none" w:sz="0" w:space="0" w:color="auto"/>
                  </w:divBdr>
                </w:div>
                <w:div w:id="149256621">
                  <w:marLeft w:val="0"/>
                  <w:marRight w:val="0"/>
                  <w:marTop w:val="0"/>
                  <w:marBottom w:val="0"/>
                  <w:divBdr>
                    <w:top w:val="none" w:sz="0" w:space="0" w:color="auto"/>
                    <w:left w:val="none" w:sz="0" w:space="0" w:color="auto"/>
                    <w:bottom w:val="none" w:sz="0" w:space="0" w:color="auto"/>
                    <w:right w:val="none" w:sz="0" w:space="0" w:color="auto"/>
                  </w:divBdr>
                </w:div>
                <w:div w:id="159779533">
                  <w:marLeft w:val="0"/>
                  <w:marRight w:val="0"/>
                  <w:marTop w:val="0"/>
                  <w:marBottom w:val="0"/>
                  <w:divBdr>
                    <w:top w:val="none" w:sz="0" w:space="0" w:color="auto"/>
                    <w:left w:val="none" w:sz="0" w:space="0" w:color="auto"/>
                    <w:bottom w:val="none" w:sz="0" w:space="0" w:color="auto"/>
                    <w:right w:val="none" w:sz="0" w:space="0" w:color="auto"/>
                  </w:divBdr>
                </w:div>
                <w:div w:id="282616214">
                  <w:marLeft w:val="0"/>
                  <w:marRight w:val="0"/>
                  <w:marTop w:val="0"/>
                  <w:marBottom w:val="0"/>
                  <w:divBdr>
                    <w:top w:val="none" w:sz="0" w:space="0" w:color="auto"/>
                    <w:left w:val="none" w:sz="0" w:space="0" w:color="auto"/>
                    <w:bottom w:val="none" w:sz="0" w:space="0" w:color="auto"/>
                    <w:right w:val="none" w:sz="0" w:space="0" w:color="auto"/>
                  </w:divBdr>
                </w:div>
                <w:div w:id="382603029">
                  <w:marLeft w:val="0"/>
                  <w:marRight w:val="0"/>
                  <w:marTop w:val="0"/>
                  <w:marBottom w:val="0"/>
                  <w:divBdr>
                    <w:top w:val="none" w:sz="0" w:space="0" w:color="auto"/>
                    <w:left w:val="none" w:sz="0" w:space="0" w:color="auto"/>
                    <w:bottom w:val="none" w:sz="0" w:space="0" w:color="auto"/>
                    <w:right w:val="none" w:sz="0" w:space="0" w:color="auto"/>
                  </w:divBdr>
                </w:div>
                <w:div w:id="397365184">
                  <w:marLeft w:val="0"/>
                  <w:marRight w:val="0"/>
                  <w:marTop w:val="0"/>
                  <w:marBottom w:val="0"/>
                  <w:divBdr>
                    <w:top w:val="none" w:sz="0" w:space="0" w:color="auto"/>
                    <w:left w:val="none" w:sz="0" w:space="0" w:color="auto"/>
                    <w:bottom w:val="none" w:sz="0" w:space="0" w:color="auto"/>
                    <w:right w:val="none" w:sz="0" w:space="0" w:color="auto"/>
                  </w:divBdr>
                </w:div>
                <w:div w:id="412510182">
                  <w:marLeft w:val="0"/>
                  <w:marRight w:val="0"/>
                  <w:marTop w:val="0"/>
                  <w:marBottom w:val="0"/>
                  <w:divBdr>
                    <w:top w:val="none" w:sz="0" w:space="0" w:color="auto"/>
                    <w:left w:val="none" w:sz="0" w:space="0" w:color="auto"/>
                    <w:bottom w:val="none" w:sz="0" w:space="0" w:color="auto"/>
                    <w:right w:val="none" w:sz="0" w:space="0" w:color="auto"/>
                  </w:divBdr>
                </w:div>
                <w:div w:id="454760142">
                  <w:marLeft w:val="0"/>
                  <w:marRight w:val="0"/>
                  <w:marTop w:val="0"/>
                  <w:marBottom w:val="0"/>
                  <w:divBdr>
                    <w:top w:val="none" w:sz="0" w:space="0" w:color="auto"/>
                    <w:left w:val="none" w:sz="0" w:space="0" w:color="auto"/>
                    <w:bottom w:val="none" w:sz="0" w:space="0" w:color="auto"/>
                    <w:right w:val="none" w:sz="0" w:space="0" w:color="auto"/>
                  </w:divBdr>
                </w:div>
                <w:div w:id="457575980">
                  <w:marLeft w:val="0"/>
                  <w:marRight w:val="0"/>
                  <w:marTop w:val="0"/>
                  <w:marBottom w:val="0"/>
                  <w:divBdr>
                    <w:top w:val="none" w:sz="0" w:space="0" w:color="auto"/>
                    <w:left w:val="none" w:sz="0" w:space="0" w:color="auto"/>
                    <w:bottom w:val="none" w:sz="0" w:space="0" w:color="auto"/>
                    <w:right w:val="none" w:sz="0" w:space="0" w:color="auto"/>
                  </w:divBdr>
                </w:div>
                <w:div w:id="471824803">
                  <w:marLeft w:val="0"/>
                  <w:marRight w:val="0"/>
                  <w:marTop w:val="0"/>
                  <w:marBottom w:val="0"/>
                  <w:divBdr>
                    <w:top w:val="none" w:sz="0" w:space="0" w:color="auto"/>
                    <w:left w:val="none" w:sz="0" w:space="0" w:color="auto"/>
                    <w:bottom w:val="none" w:sz="0" w:space="0" w:color="auto"/>
                    <w:right w:val="none" w:sz="0" w:space="0" w:color="auto"/>
                  </w:divBdr>
                </w:div>
                <w:div w:id="536086845">
                  <w:marLeft w:val="0"/>
                  <w:marRight w:val="0"/>
                  <w:marTop w:val="0"/>
                  <w:marBottom w:val="0"/>
                  <w:divBdr>
                    <w:top w:val="none" w:sz="0" w:space="0" w:color="auto"/>
                    <w:left w:val="none" w:sz="0" w:space="0" w:color="auto"/>
                    <w:bottom w:val="none" w:sz="0" w:space="0" w:color="auto"/>
                    <w:right w:val="none" w:sz="0" w:space="0" w:color="auto"/>
                  </w:divBdr>
                </w:div>
                <w:div w:id="550657673">
                  <w:marLeft w:val="0"/>
                  <w:marRight w:val="0"/>
                  <w:marTop w:val="0"/>
                  <w:marBottom w:val="0"/>
                  <w:divBdr>
                    <w:top w:val="none" w:sz="0" w:space="0" w:color="auto"/>
                    <w:left w:val="none" w:sz="0" w:space="0" w:color="auto"/>
                    <w:bottom w:val="none" w:sz="0" w:space="0" w:color="auto"/>
                    <w:right w:val="none" w:sz="0" w:space="0" w:color="auto"/>
                  </w:divBdr>
                </w:div>
                <w:div w:id="601180401">
                  <w:marLeft w:val="0"/>
                  <w:marRight w:val="0"/>
                  <w:marTop w:val="0"/>
                  <w:marBottom w:val="0"/>
                  <w:divBdr>
                    <w:top w:val="none" w:sz="0" w:space="0" w:color="auto"/>
                    <w:left w:val="none" w:sz="0" w:space="0" w:color="auto"/>
                    <w:bottom w:val="none" w:sz="0" w:space="0" w:color="auto"/>
                    <w:right w:val="none" w:sz="0" w:space="0" w:color="auto"/>
                  </w:divBdr>
                </w:div>
                <w:div w:id="693576559">
                  <w:marLeft w:val="0"/>
                  <w:marRight w:val="0"/>
                  <w:marTop w:val="0"/>
                  <w:marBottom w:val="0"/>
                  <w:divBdr>
                    <w:top w:val="none" w:sz="0" w:space="0" w:color="auto"/>
                    <w:left w:val="none" w:sz="0" w:space="0" w:color="auto"/>
                    <w:bottom w:val="none" w:sz="0" w:space="0" w:color="auto"/>
                    <w:right w:val="none" w:sz="0" w:space="0" w:color="auto"/>
                  </w:divBdr>
                </w:div>
                <w:div w:id="726034912">
                  <w:marLeft w:val="0"/>
                  <w:marRight w:val="0"/>
                  <w:marTop w:val="0"/>
                  <w:marBottom w:val="0"/>
                  <w:divBdr>
                    <w:top w:val="none" w:sz="0" w:space="0" w:color="auto"/>
                    <w:left w:val="none" w:sz="0" w:space="0" w:color="auto"/>
                    <w:bottom w:val="none" w:sz="0" w:space="0" w:color="auto"/>
                    <w:right w:val="none" w:sz="0" w:space="0" w:color="auto"/>
                  </w:divBdr>
                </w:div>
                <w:div w:id="756486595">
                  <w:marLeft w:val="0"/>
                  <w:marRight w:val="0"/>
                  <w:marTop w:val="0"/>
                  <w:marBottom w:val="0"/>
                  <w:divBdr>
                    <w:top w:val="none" w:sz="0" w:space="0" w:color="auto"/>
                    <w:left w:val="none" w:sz="0" w:space="0" w:color="auto"/>
                    <w:bottom w:val="none" w:sz="0" w:space="0" w:color="auto"/>
                    <w:right w:val="none" w:sz="0" w:space="0" w:color="auto"/>
                  </w:divBdr>
                </w:div>
                <w:div w:id="828130738">
                  <w:marLeft w:val="0"/>
                  <w:marRight w:val="0"/>
                  <w:marTop w:val="0"/>
                  <w:marBottom w:val="0"/>
                  <w:divBdr>
                    <w:top w:val="none" w:sz="0" w:space="0" w:color="auto"/>
                    <w:left w:val="none" w:sz="0" w:space="0" w:color="auto"/>
                    <w:bottom w:val="none" w:sz="0" w:space="0" w:color="auto"/>
                    <w:right w:val="none" w:sz="0" w:space="0" w:color="auto"/>
                  </w:divBdr>
                </w:div>
                <w:div w:id="880746643">
                  <w:marLeft w:val="0"/>
                  <w:marRight w:val="0"/>
                  <w:marTop w:val="0"/>
                  <w:marBottom w:val="0"/>
                  <w:divBdr>
                    <w:top w:val="none" w:sz="0" w:space="0" w:color="auto"/>
                    <w:left w:val="none" w:sz="0" w:space="0" w:color="auto"/>
                    <w:bottom w:val="none" w:sz="0" w:space="0" w:color="auto"/>
                    <w:right w:val="none" w:sz="0" w:space="0" w:color="auto"/>
                  </w:divBdr>
                </w:div>
                <w:div w:id="910652402">
                  <w:marLeft w:val="0"/>
                  <w:marRight w:val="0"/>
                  <w:marTop w:val="0"/>
                  <w:marBottom w:val="0"/>
                  <w:divBdr>
                    <w:top w:val="none" w:sz="0" w:space="0" w:color="auto"/>
                    <w:left w:val="none" w:sz="0" w:space="0" w:color="auto"/>
                    <w:bottom w:val="none" w:sz="0" w:space="0" w:color="auto"/>
                    <w:right w:val="none" w:sz="0" w:space="0" w:color="auto"/>
                  </w:divBdr>
                </w:div>
                <w:div w:id="962223820">
                  <w:marLeft w:val="0"/>
                  <w:marRight w:val="0"/>
                  <w:marTop w:val="0"/>
                  <w:marBottom w:val="0"/>
                  <w:divBdr>
                    <w:top w:val="none" w:sz="0" w:space="0" w:color="auto"/>
                    <w:left w:val="none" w:sz="0" w:space="0" w:color="auto"/>
                    <w:bottom w:val="none" w:sz="0" w:space="0" w:color="auto"/>
                    <w:right w:val="none" w:sz="0" w:space="0" w:color="auto"/>
                  </w:divBdr>
                </w:div>
                <w:div w:id="1120412225">
                  <w:marLeft w:val="0"/>
                  <w:marRight w:val="0"/>
                  <w:marTop w:val="0"/>
                  <w:marBottom w:val="0"/>
                  <w:divBdr>
                    <w:top w:val="none" w:sz="0" w:space="0" w:color="auto"/>
                    <w:left w:val="none" w:sz="0" w:space="0" w:color="auto"/>
                    <w:bottom w:val="none" w:sz="0" w:space="0" w:color="auto"/>
                    <w:right w:val="none" w:sz="0" w:space="0" w:color="auto"/>
                  </w:divBdr>
                </w:div>
                <w:div w:id="1166748590">
                  <w:marLeft w:val="0"/>
                  <w:marRight w:val="0"/>
                  <w:marTop w:val="0"/>
                  <w:marBottom w:val="0"/>
                  <w:divBdr>
                    <w:top w:val="none" w:sz="0" w:space="0" w:color="auto"/>
                    <w:left w:val="none" w:sz="0" w:space="0" w:color="auto"/>
                    <w:bottom w:val="none" w:sz="0" w:space="0" w:color="auto"/>
                    <w:right w:val="none" w:sz="0" w:space="0" w:color="auto"/>
                  </w:divBdr>
                </w:div>
                <w:div w:id="1184395571">
                  <w:marLeft w:val="0"/>
                  <w:marRight w:val="0"/>
                  <w:marTop w:val="0"/>
                  <w:marBottom w:val="0"/>
                  <w:divBdr>
                    <w:top w:val="none" w:sz="0" w:space="0" w:color="auto"/>
                    <w:left w:val="none" w:sz="0" w:space="0" w:color="auto"/>
                    <w:bottom w:val="none" w:sz="0" w:space="0" w:color="auto"/>
                    <w:right w:val="none" w:sz="0" w:space="0" w:color="auto"/>
                  </w:divBdr>
                </w:div>
                <w:div w:id="1193153684">
                  <w:marLeft w:val="0"/>
                  <w:marRight w:val="0"/>
                  <w:marTop w:val="0"/>
                  <w:marBottom w:val="0"/>
                  <w:divBdr>
                    <w:top w:val="none" w:sz="0" w:space="0" w:color="auto"/>
                    <w:left w:val="none" w:sz="0" w:space="0" w:color="auto"/>
                    <w:bottom w:val="none" w:sz="0" w:space="0" w:color="auto"/>
                    <w:right w:val="none" w:sz="0" w:space="0" w:color="auto"/>
                  </w:divBdr>
                </w:div>
                <w:div w:id="1195314780">
                  <w:marLeft w:val="0"/>
                  <w:marRight w:val="0"/>
                  <w:marTop w:val="0"/>
                  <w:marBottom w:val="0"/>
                  <w:divBdr>
                    <w:top w:val="none" w:sz="0" w:space="0" w:color="auto"/>
                    <w:left w:val="none" w:sz="0" w:space="0" w:color="auto"/>
                    <w:bottom w:val="none" w:sz="0" w:space="0" w:color="auto"/>
                    <w:right w:val="none" w:sz="0" w:space="0" w:color="auto"/>
                  </w:divBdr>
                </w:div>
                <w:div w:id="1287196084">
                  <w:marLeft w:val="0"/>
                  <w:marRight w:val="0"/>
                  <w:marTop w:val="0"/>
                  <w:marBottom w:val="0"/>
                  <w:divBdr>
                    <w:top w:val="none" w:sz="0" w:space="0" w:color="auto"/>
                    <w:left w:val="none" w:sz="0" w:space="0" w:color="auto"/>
                    <w:bottom w:val="none" w:sz="0" w:space="0" w:color="auto"/>
                    <w:right w:val="none" w:sz="0" w:space="0" w:color="auto"/>
                  </w:divBdr>
                </w:div>
                <w:div w:id="1319461661">
                  <w:marLeft w:val="0"/>
                  <w:marRight w:val="0"/>
                  <w:marTop w:val="0"/>
                  <w:marBottom w:val="0"/>
                  <w:divBdr>
                    <w:top w:val="none" w:sz="0" w:space="0" w:color="auto"/>
                    <w:left w:val="none" w:sz="0" w:space="0" w:color="auto"/>
                    <w:bottom w:val="none" w:sz="0" w:space="0" w:color="auto"/>
                    <w:right w:val="none" w:sz="0" w:space="0" w:color="auto"/>
                  </w:divBdr>
                </w:div>
                <w:div w:id="1332367515">
                  <w:marLeft w:val="0"/>
                  <w:marRight w:val="0"/>
                  <w:marTop w:val="0"/>
                  <w:marBottom w:val="0"/>
                  <w:divBdr>
                    <w:top w:val="none" w:sz="0" w:space="0" w:color="auto"/>
                    <w:left w:val="none" w:sz="0" w:space="0" w:color="auto"/>
                    <w:bottom w:val="none" w:sz="0" w:space="0" w:color="auto"/>
                    <w:right w:val="none" w:sz="0" w:space="0" w:color="auto"/>
                  </w:divBdr>
                </w:div>
                <w:div w:id="1350839213">
                  <w:marLeft w:val="0"/>
                  <w:marRight w:val="0"/>
                  <w:marTop w:val="0"/>
                  <w:marBottom w:val="0"/>
                  <w:divBdr>
                    <w:top w:val="none" w:sz="0" w:space="0" w:color="auto"/>
                    <w:left w:val="none" w:sz="0" w:space="0" w:color="auto"/>
                    <w:bottom w:val="none" w:sz="0" w:space="0" w:color="auto"/>
                    <w:right w:val="none" w:sz="0" w:space="0" w:color="auto"/>
                  </w:divBdr>
                </w:div>
                <w:div w:id="1382628337">
                  <w:marLeft w:val="0"/>
                  <w:marRight w:val="0"/>
                  <w:marTop w:val="0"/>
                  <w:marBottom w:val="0"/>
                  <w:divBdr>
                    <w:top w:val="none" w:sz="0" w:space="0" w:color="auto"/>
                    <w:left w:val="none" w:sz="0" w:space="0" w:color="auto"/>
                    <w:bottom w:val="none" w:sz="0" w:space="0" w:color="auto"/>
                    <w:right w:val="none" w:sz="0" w:space="0" w:color="auto"/>
                  </w:divBdr>
                </w:div>
                <w:div w:id="1427313324">
                  <w:marLeft w:val="0"/>
                  <w:marRight w:val="0"/>
                  <w:marTop w:val="0"/>
                  <w:marBottom w:val="0"/>
                  <w:divBdr>
                    <w:top w:val="none" w:sz="0" w:space="0" w:color="auto"/>
                    <w:left w:val="none" w:sz="0" w:space="0" w:color="auto"/>
                    <w:bottom w:val="none" w:sz="0" w:space="0" w:color="auto"/>
                    <w:right w:val="none" w:sz="0" w:space="0" w:color="auto"/>
                  </w:divBdr>
                </w:div>
                <w:div w:id="1438209443">
                  <w:marLeft w:val="0"/>
                  <w:marRight w:val="0"/>
                  <w:marTop w:val="0"/>
                  <w:marBottom w:val="0"/>
                  <w:divBdr>
                    <w:top w:val="none" w:sz="0" w:space="0" w:color="auto"/>
                    <w:left w:val="none" w:sz="0" w:space="0" w:color="auto"/>
                    <w:bottom w:val="none" w:sz="0" w:space="0" w:color="auto"/>
                    <w:right w:val="none" w:sz="0" w:space="0" w:color="auto"/>
                  </w:divBdr>
                </w:div>
                <w:div w:id="1441490114">
                  <w:marLeft w:val="0"/>
                  <w:marRight w:val="0"/>
                  <w:marTop w:val="0"/>
                  <w:marBottom w:val="0"/>
                  <w:divBdr>
                    <w:top w:val="none" w:sz="0" w:space="0" w:color="auto"/>
                    <w:left w:val="none" w:sz="0" w:space="0" w:color="auto"/>
                    <w:bottom w:val="none" w:sz="0" w:space="0" w:color="auto"/>
                    <w:right w:val="none" w:sz="0" w:space="0" w:color="auto"/>
                  </w:divBdr>
                </w:div>
                <w:div w:id="1559435440">
                  <w:marLeft w:val="0"/>
                  <w:marRight w:val="0"/>
                  <w:marTop w:val="0"/>
                  <w:marBottom w:val="0"/>
                  <w:divBdr>
                    <w:top w:val="none" w:sz="0" w:space="0" w:color="auto"/>
                    <w:left w:val="none" w:sz="0" w:space="0" w:color="auto"/>
                    <w:bottom w:val="none" w:sz="0" w:space="0" w:color="auto"/>
                    <w:right w:val="none" w:sz="0" w:space="0" w:color="auto"/>
                  </w:divBdr>
                </w:div>
                <w:div w:id="1605766058">
                  <w:marLeft w:val="0"/>
                  <w:marRight w:val="0"/>
                  <w:marTop w:val="0"/>
                  <w:marBottom w:val="0"/>
                  <w:divBdr>
                    <w:top w:val="none" w:sz="0" w:space="0" w:color="auto"/>
                    <w:left w:val="none" w:sz="0" w:space="0" w:color="auto"/>
                    <w:bottom w:val="none" w:sz="0" w:space="0" w:color="auto"/>
                    <w:right w:val="none" w:sz="0" w:space="0" w:color="auto"/>
                  </w:divBdr>
                </w:div>
                <w:div w:id="1682314743">
                  <w:marLeft w:val="0"/>
                  <w:marRight w:val="0"/>
                  <w:marTop w:val="0"/>
                  <w:marBottom w:val="0"/>
                  <w:divBdr>
                    <w:top w:val="none" w:sz="0" w:space="0" w:color="auto"/>
                    <w:left w:val="none" w:sz="0" w:space="0" w:color="auto"/>
                    <w:bottom w:val="none" w:sz="0" w:space="0" w:color="auto"/>
                    <w:right w:val="none" w:sz="0" w:space="0" w:color="auto"/>
                  </w:divBdr>
                </w:div>
                <w:div w:id="1705792036">
                  <w:marLeft w:val="0"/>
                  <w:marRight w:val="0"/>
                  <w:marTop w:val="0"/>
                  <w:marBottom w:val="0"/>
                  <w:divBdr>
                    <w:top w:val="none" w:sz="0" w:space="0" w:color="auto"/>
                    <w:left w:val="none" w:sz="0" w:space="0" w:color="auto"/>
                    <w:bottom w:val="none" w:sz="0" w:space="0" w:color="auto"/>
                    <w:right w:val="none" w:sz="0" w:space="0" w:color="auto"/>
                  </w:divBdr>
                </w:div>
                <w:div w:id="1719739088">
                  <w:marLeft w:val="0"/>
                  <w:marRight w:val="0"/>
                  <w:marTop w:val="0"/>
                  <w:marBottom w:val="0"/>
                  <w:divBdr>
                    <w:top w:val="none" w:sz="0" w:space="0" w:color="auto"/>
                    <w:left w:val="none" w:sz="0" w:space="0" w:color="auto"/>
                    <w:bottom w:val="none" w:sz="0" w:space="0" w:color="auto"/>
                    <w:right w:val="none" w:sz="0" w:space="0" w:color="auto"/>
                  </w:divBdr>
                </w:div>
                <w:div w:id="1729722239">
                  <w:marLeft w:val="0"/>
                  <w:marRight w:val="0"/>
                  <w:marTop w:val="0"/>
                  <w:marBottom w:val="0"/>
                  <w:divBdr>
                    <w:top w:val="none" w:sz="0" w:space="0" w:color="auto"/>
                    <w:left w:val="none" w:sz="0" w:space="0" w:color="auto"/>
                    <w:bottom w:val="none" w:sz="0" w:space="0" w:color="auto"/>
                    <w:right w:val="none" w:sz="0" w:space="0" w:color="auto"/>
                  </w:divBdr>
                </w:div>
                <w:div w:id="1778596910">
                  <w:marLeft w:val="0"/>
                  <w:marRight w:val="0"/>
                  <w:marTop w:val="0"/>
                  <w:marBottom w:val="0"/>
                  <w:divBdr>
                    <w:top w:val="none" w:sz="0" w:space="0" w:color="auto"/>
                    <w:left w:val="none" w:sz="0" w:space="0" w:color="auto"/>
                    <w:bottom w:val="none" w:sz="0" w:space="0" w:color="auto"/>
                    <w:right w:val="none" w:sz="0" w:space="0" w:color="auto"/>
                  </w:divBdr>
                </w:div>
                <w:div w:id="1855610861">
                  <w:marLeft w:val="0"/>
                  <w:marRight w:val="0"/>
                  <w:marTop w:val="0"/>
                  <w:marBottom w:val="0"/>
                  <w:divBdr>
                    <w:top w:val="none" w:sz="0" w:space="0" w:color="auto"/>
                    <w:left w:val="none" w:sz="0" w:space="0" w:color="auto"/>
                    <w:bottom w:val="none" w:sz="0" w:space="0" w:color="auto"/>
                    <w:right w:val="none" w:sz="0" w:space="0" w:color="auto"/>
                  </w:divBdr>
                </w:div>
                <w:div w:id="1890603948">
                  <w:marLeft w:val="0"/>
                  <w:marRight w:val="0"/>
                  <w:marTop w:val="0"/>
                  <w:marBottom w:val="0"/>
                  <w:divBdr>
                    <w:top w:val="none" w:sz="0" w:space="0" w:color="auto"/>
                    <w:left w:val="none" w:sz="0" w:space="0" w:color="auto"/>
                    <w:bottom w:val="none" w:sz="0" w:space="0" w:color="auto"/>
                    <w:right w:val="none" w:sz="0" w:space="0" w:color="auto"/>
                  </w:divBdr>
                </w:div>
                <w:div w:id="1905722248">
                  <w:marLeft w:val="0"/>
                  <w:marRight w:val="0"/>
                  <w:marTop w:val="0"/>
                  <w:marBottom w:val="0"/>
                  <w:divBdr>
                    <w:top w:val="none" w:sz="0" w:space="0" w:color="auto"/>
                    <w:left w:val="none" w:sz="0" w:space="0" w:color="auto"/>
                    <w:bottom w:val="none" w:sz="0" w:space="0" w:color="auto"/>
                    <w:right w:val="none" w:sz="0" w:space="0" w:color="auto"/>
                  </w:divBdr>
                </w:div>
                <w:div w:id="1914122150">
                  <w:marLeft w:val="0"/>
                  <w:marRight w:val="0"/>
                  <w:marTop w:val="0"/>
                  <w:marBottom w:val="0"/>
                  <w:divBdr>
                    <w:top w:val="none" w:sz="0" w:space="0" w:color="auto"/>
                    <w:left w:val="none" w:sz="0" w:space="0" w:color="auto"/>
                    <w:bottom w:val="none" w:sz="0" w:space="0" w:color="auto"/>
                    <w:right w:val="none" w:sz="0" w:space="0" w:color="auto"/>
                  </w:divBdr>
                </w:div>
                <w:div w:id="1936745749">
                  <w:marLeft w:val="0"/>
                  <w:marRight w:val="0"/>
                  <w:marTop w:val="0"/>
                  <w:marBottom w:val="0"/>
                  <w:divBdr>
                    <w:top w:val="none" w:sz="0" w:space="0" w:color="auto"/>
                    <w:left w:val="none" w:sz="0" w:space="0" w:color="auto"/>
                    <w:bottom w:val="none" w:sz="0" w:space="0" w:color="auto"/>
                    <w:right w:val="none" w:sz="0" w:space="0" w:color="auto"/>
                  </w:divBdr>
                </w:div>
                <w:div w:id="2003971225">
                  <w:marLeft w:val="0"/>
                  <w:marRight w:val="0"/>
                  <w:marTop w:val="0"/>
                  <w:marBottom w:val="0"/>
                  <w:divBdr>
                    <w:top w:val="none" w:sz="0" w:space="0" w:color="auto"/>
                    <w:left w:val="none" w:sz="0" w:space="0" w:color="auto"/>
                    <w:bottom w:val="none" w:sz="0" w:space="0" w:color="auto"/>
                    <w:right w:val="none" w:sz="0" w:space="0" w:color="auto"/>
                  </w:divBdr>
                </w:div>
                <w:div w:id="2054697839">
                  <w:marLeft w:val="0"/>
                  <w:marRight w:val="0"/>
                  <w:marTop w:val="0"/>
                  <w:marBottom w:val="0"/>
                  <w:divBdr>
                    <w:top w:val="none" w:sz="0" w:space="0" w:color="auto"/>
                    <w:left w:val="none" w:sz="0" w:space="0" w:color="auto"/>
                    <w:bottom w:val="none" w:sz="0" w:space="0" w:color="auto"/>
                    <w:right w:val="none" w:sz="0" w:space="0" w:color="auto"/>
                  </w:divBdr>
                </w:div>
                <w:div w:id="2077320549">
                  <w:marLeft w:val="0"/>
                  <w:marRight w:val="0"/>
                  <w:marTop w:val="0"/>
                  <w:marBottom w:val="0"/>
                  <w:divBdr>
                    <w:top w:val="none" w:sz="0" w:space="0" w:color="auto"/>
                    <w:left w:val="none" w:sz="0" w:space="0" w:color="auto"/>
                    <w:bottom w:val="none" w:sz="0" w:space="0" w:color="auto"/>
                    <w:right w:val="none" w:sz="0" w:space="0" w:color="auto"/>
                  </w:divBdr>
                </w:div>
                <w:div w:id="211362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23328">
          <w:marLeft w:val="0"/>
          <w:marRight w:val="0"/>
          <w:marTop w:val="15"/>
          <w:marBottom w:val="0"/>
          <w:divBdr>
            <w:top w:val="single" w:sz="48" w:space="0" w:color="auto"/>
            <w:left w:val="single" w:sz="48" w:space="0" w:color="auto"/>
            <w:bottom w:val="single" w:sz="48" w:space="0" w:color="auto"/>
            <w:right w:val="single" w:sz="48" w:space="0" w:color="auto"/>
          </w:divBdr>
          <w:divsChild>
            <w:div w:id="1445887027">
              <w:marLeft w:val="0"/>
              <w:marRight w:val="0"/>
              <w:marTop w:val="0"/>
              <w:marBottom w:val="0"/>
              <w:divBdr>
                <w:top w:val="none" w:sz="0" w:space="0" w:color="auto"/>
                <w:left w:val="none" w:sz="0" w:space="0" w:color="auto"/>
                <w:bottom w:val="none" w:sz="0" w:space="0" w:color="auto"/>
                <w:right w:val="none" w:sz="0" w:space="0" w:color="auto"/>
              </w:divBdr>
              <w:divsChild>
                <w:div w:id="247424188">
                  <w:marLeft w:val="0"/>
                  <w:marRight w:val="0"/>
                  <w:marTop w:val="0"/>
                  <w:marBottom w:val="0"/>
                  <w:divBdr>
                    <w:top w:val="none" w:sz="0" w:space="0" w:color="auto"/>
                    <w:left w:val="none" w:sz="0" w:space="0" w:color="auto"/>
                    <w:bottom w:val="none" w:sz="0" w:space="0" w:color="auto"/>
                    <w:right w:val="none" w:sz="0" w:space="0" w:color="auto"/>
                  </w:divBdr>
                </w:div>
                <w:div w:id="420028210">
                  <w:marLeft w:val="0"/>
                  <w:marRight w:val="0"/>
                  <w:marTop w:val="0"/>
                  <w:marBottom w:val="0"/>
                  <w:divBdr>
                    <w:top w:val="none" w:sz="0" w:space="0" w:color="auto"/>
                    <w:left w:val="none" w:sz="0" w:space="0" w:color="auto"/>
                    <w:bottom w:val="none" w:sz="0" w:space="0" w:color="auto"/>
                    <w:right w:val="none" w:sz="0" w:space="0" w:color="auto"/>
                  </w:divBdr>
                </w:div>
                <w:div w:id="1221593044">
                  <w:marLeft w:val="0"/>
                  <w:marRight w:val="0"/>
                  <w:marTop w:val="0"/>
                  <w:marBottom w:val="0"/>
                  <w:divBdr>
                    <w:top w:val="none" w:sz="0" w:space="0" w:color="auto"/>
                    <w:left w:val="none" w:sz="0" w:space="0" w:color="auto"/>
                    <w:bottom w:val="none" w:sz="0" w:space="0" w:color="auto"/>
                    <w:right w:val="none" w:sz="0" w:space="0" w:color="auto"/>
                  </w:divBdr>
                </w:div>
                <w:div w:id="1333340431">
                  <w:marLeft w:val="0"/>
                  <w:marRight w:val="0"/>
                  <w:marTop w:val="0"/>
                  <w:marBottom w:val="0"/>
                  <w:divBdr>
                    <w:top w:val="none" w:sz="0" w:space="0" w:color="auto"/>
                    <w:left w:val="none" w:sz="0" w:space="0" w:color="auto"/>
                    <w:bottom w:val="none" w:sz="0" w:space="0" w:color="auto"/>
                    <w:right w:val="none" w:sz="0" w:space="0" w:color="auto"/>
                  </w:divBdr>
                </w:div>
                <w:div w:id="189569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59757">
      <w:bodyDiv w:val="1"/>
      <w:marLeft w:val="0"/>
      <w:marRight w:val="0"/>
      <w:marTop w:val="0"/>
      <w:marBottom w:val="0"/>
      <w:divBdr>
        <w:top w:val="none" w:sz="0" w:space="0" w:color="auto"/>
        <w:left w:val="none" w:sz="0" w:space="0" w:color="auto"/>
        <w:bottom w:val="none" w:sz="0" w:space="0" w:color="auto"/>
        <w:right w:val="none" w:sz="0" w:space="0" w:color="auto"/>
      </w:divBdr>
    </w:div>
    <w:div w:id="1779449942">
      <w:bodyDiv w:val="1"/>
      <w:marLeft w:val="0"/>
      <w:marRight w:val="0"/>
      <w:marTop w:val="0"/>
      <w:marBottom w:val="0"/>
      <w:divBdr>
        <w:top w:val="none" w:sz="0" w:space="0" w:color="auto"/>
        <w:left w:val="none" w:sz="0" w:space="0" w:color="auto"/>
        <w:bottom w:val="none" w:sz="0" w:space="0" w:color="auto"/>
        <w:right w:val="none" w:sz="0" w:space="0" w:color="auto"/>
      </w:divBdr>
    </w:div>
    <w:div w:id="1782068014">
      <w:bodyDiv w:val="1"/>
      <w:marLeft w:val="0"/>
      <w:marRight w:val="0"/>
      <w:marTop w:val="0"/>
      <w:marBottom w:val="0"/>
      <w:divBdr>
        <w:top w:val="none" w:sz="0" w:space="0" w:color="auto"/>
        <w:left w:val="none" w:sz="0" w:space="0" w:color="auto"/>
        <w:bottom w:val="none" w:sz="0" w:space="0" w:color="auto"/>
        <w:right w:val="none" w:sz="0" w:space="0" w:color="auto"/>
      </w:divBdr>
    </w:div>
    <w:div w:id="1883052414">
      <w:bodyDiv w:val="1"/>
      <w:marLeft w:val="0"/>
      <w:marRight w:val="0"/>
      <w:marTop w:val="0"/>
      <w:marBottom w:val="0"/>
      <w:divBdr>
        <w:top w:val="none" w:sz="0" w:space="0" w:color="auto"/>
        <w:left w:val="none" w:sz="0" w:space="0" w:color="auto"/>
        <w:bottom w:val="none" w:sz="0" w:space="0" w:color="auto"/>
        <w:right w:val="none" w:sz="0" w:space="0" w:color="auto"/>
      </w:divBdr>
    </w:div>
    <w:div w:id="2047682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juristavards.lv/zinas/273797-tiesa-pirmoreiz-nolemj-piedzit-zaudejumu-atlidzibu-no-publiskas-personas-par-konkurences-parkapumu/" TargetMode="External"/><Relationship Id="rId3" Type="http://schemas.openxmlformats.org/officeDocument/2006/relationships/hyperlink" Target="https://eur-lex.europa.eu/legal-content/LV/TXT/HTML/?uri=CELEX:62004CJ0295&amp;from=LV" TargetMode="External"/><Relationship Id="rId7" Type="http://schemas.openxmlformats.org/officeDocument/2006/relationships/hyperlink" Target="http://titania.saeima.lv/LIVS12/SaeimaLIVS12.nsf/0/4ADF39D81E2DF2F4C225812A00270EB8?OpenDocument" TargetMode="External"/><Relationship Id="rId12" Type="http://schemas.openxmlformats.org/officeDocument/2006/relationships/hyperlink" Target="https://www.vestnesis.lv/op/2022/252.1" TargetMode="External"/><Relationship Id="rId2" Type="http://schemas.openxmlformats.org/officeDocument/2006/relationships/hyperlink" Target="https://eur-lex.europa.eu/legal-content/LV/TXT/HTML/?uri=CELEX:61999CJ0453&amp;from=LV" TargetMode="External"/><Relationship Id="rId1" Type="http://schemas.openxmlformats.org/officeDocument/2006/relationships/hyperlink" Target="http://tap.mk.gov.lv/lv/mk/tap/?pid=40483224" TargetMode="External"/><Relationship Id="rId6" Type="http://schemas.openxmlformats.org/officeDocument/2006/relationships/hyperlink" Target="http://titania.saeima.lv/LIVS12/SaeimaLIVS12.nsf/0/B079BC5404CC6F91C2257E500027E87B?OpenDocument" TargetMode="External"/><Relationship Id="rId11" Type="http://schemas.openxmlformats.org/officeDocument/2006/relationships/hyperlink" Target="https://titania.saeima.lv/LIVS14/saeimalivs14.nsf/0/1A830B8AAF9CC2ACC2258966004AED35?OpenDocument" TargetMode="External"/><Relationship Id="rId5" Type="http://schemas.openxmlformats.org/officeDocument/2006/relationships/hyperlink" Target="https://eur-lex.europa.eu/legal-content/LV/TXT/PDF/?uri=CELEX:32014L0104&amp;from=lv" TargetMode="External"/><Relationship Id="rId10" Type="http://schemas.openxmlformats.org/officeDocument/2006/relationships/hyperlink" Target="https://www.kp.gov.lv/lv/media/9682/download" TargetMode="External"/><Relationship Id="rId4" Type="http://schemas.openxmlformats.org/officeDocument/2006/relationships/hyperlink" Target="https://eur-lex.europa.eu/legal-content/LV/TXT/HTML/?uri=CELEX:62011CJ0199&amp;from=LV" TargetMode="External"/><Relationship Id="rId9" Type="http://schemas.openxmlformats.org/officeDocument/2006/relationships/hyperlink" Target="https://www.iub.gov.lv/lv/vadlinijas-centralizeto-iepirkumu-veik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9A6E0A5577AAB64BBC02552CE6366509" ma:contentTypeVersion="15" ma:contentTypeDescription="Izveidot jaunu dokumentu." ma:contentTypeScope="" ma:versionID="ceb58de9804651d4693276a8070a0410">
  <xsd:schema xmlns:xsd="http://www.w3.org/2001/XMLSchema" xmlns:xs="http://www.w3.org/2001/XMLSchema" xmlns:p="http://schemas.microsoft.com/office/2006/metadata/properties" xmlns:ns1="http://schemas.microsoft.com/sharepoint/v3" xmlns:ns2="1bc3c780-2bb1-47eb-9d86-5e03f4973a45" xmlns:ns3="a69edea8-00eb-4580-9f73-f1910d8c677f" targetNamespace="http://schemas.microsoft.com/office/2006/metadata/properties" ma:root="true" ma:fieldsID="d74a7cacbd59c0ec595ee073a813aa7b" ns1:_="" ns2:_="" ns3:_="">
    <xsd:import namespace="http://schemas.microsoft.com/sharepoint/v3"/>
    <xsd:import namespace="1bc3c780-2bb1-47eb-9d86-5e03f4973a45"/>
    <xsd:import namespace="a69edea8-00eb-4580-9f73-f1910d8c67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Vienotās atbilstības politikas rekvizīti" ma:hidden="true" ma:internalName="_ip_UnifiedCompliancePolicyProperties">
      <xsd:simpleType>
        <xsd:restriction base="dms:Note"/>
      </xsd:simpleType>
    </xsd:element>
    <xsd:element name="_ip_UnifiedCompliancePolicyUIAction" ma:index="21"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3c780-2bb1-47eb-9d86-5e03f4973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9edea8-00eb-4580-9f73-f1910d8c677f"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2C13CAF-4873-482A-B7CC-A5258FBE840C}">
  <ds:schemaRefs>
    <ds:schemaRef ds:uri="http://schemas.openxmlformats.org/officeDocument/2006/bibliography"/>
  </ds:schemaRefs>
</ds:datastoreItem>
</file>

<file path=customXml/itemProps2.xml><?xml version="1.0" encoding="utf-8"?>
<ds:datastoreItem xmlns:ds="http://schemas.openxmlformats.org/officeDocument/2006/customXml" ds:itemID="{60D4E389-89DC-427D-9610-7DFA161F2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c3c780-2bb1-47eb-9d86-5e03f4973a45"/>
    <ds:schemaRef ds:uri="a69edea8-00eb-4580-9f73-f1910d8c6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C3C2B-56BD-4A6A-8FCA-73FB8618D1CF}">
  <ds:schemaRefs>
    <ds:schemaRef ds:uri="http://schemas.microsoft.com/sharepoint/v3/contenttype/forms"/>
  </ds:schemaRefs>
</ds:datastoreItem>
</file>

<file path=customXml/itemProps4.xml><?xml version="1.0" encoding="utf-8"?>
<ds:datastoreItem xmlns:ds="http://schemas.openxmlformats.org/officeDocument/2006/customXml" ds:itemID="{70EC9F21-1A1A-4626-9581-4C57477DCB1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27782</Words>
  <Characters>15836</Characters>
  <Application>Microsoft Office Word</Application>
  <DocSecurity>0</DocSecurity>
  <Lines>131</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īstenojamiem pasākumiem, lai veicinātu aktīvāku publisko pasūtītāju iesaisti zaudējumu atgūšanā, kas tiem radušies organizētajos iepirkumos tirgus dalībnieku īstenoto konkurences tiesību pārkāpumu dēļ</vt:lpstr>
      <vt:lpstr>Informatīvais ziņojums par īstenojamiem pasākumiem, lai veicinātu aktīvāku publisko pasūtītāju iesaisti zaudējumu atgūšanā, kas tiem radušies organizētajos iepirkumos tirgus dalībnieku īstenoto konkurences tiesību pārkāpumu dēļ</vt:lpstr>
    </vt:vector>
  </TitlesOfParts>
  <Company>Ekonomikas ministrija</Company>
  <LinksUpToDate>false</LinksUpToDate>
  <CharactersWithSpaces>43531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īstenojamiem pasākumiem, lai veicinātu aktīvāku publisko pasūtītāju iesaisti zaudējumu atgūšanā, kas tiem radušies organizētajos iepirkumos tirgus dalībnieku īstenoto konkurences tiesību pārkāpumu dēļ</dc:title>
  <dc:subject>Informatīvais ziņojums</dc:subject>
  <dc:creator>Intars Eglītis</dc:creator>
  <cp:keywords/>
  <dc:description/>
  <cp:lastModifiedBy>Intars Eglītis</cp:lastModifiedBy>
  <cp:revision>5</cp:revision>
  <cp:lastPrinted>2022-03-28T08:41:00Z</cp:lastPrinted>
  <dcterms:created xsi:type="dcterms:W3CDTF">2023-11-28T13:21:00Z</dcterms:created>
  <dcterms:modified xsi:type="dcterms:W3CDTF">2023-11-28T13:48:00Z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0x0101009A6E0A5577AAB64BBC02552CE6366509</vt:lpwstr>
  </property>
</Properties>
</file>