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Style w:val="Reatabula"/>
        <w:tblW w:w="0" w:type="auto"/>
        <w:tblLook w:firstRow="1" w:lastRow="0" w:firstColumn="1" w:lastColumn="0" w:noHBand="0" w:noVBand="1" w:val="04A0"/>
      </w:tblPr>
      <w:tblGrid>
        <w:gridCol w:w="1217"/>
        <w:gridCol w:w="6630"/>
        <w:gridCol w:w="1214"/>
      </w:tblGrid>
      <w:tr w:rsidR="00446663" w:rsidTr="00255074" w14:paraId="5A48A49F" w14:textId="77777777">
        <w:trPr>
          <w:trHeight w:val="1832"/>
        </w:trPr>
        <w:tc>
          <w:tcPr>
            <w:tcW w:w="1242" w:type="dxa"/>
            <w:tcBorders>
              <w:top w:val="single" w:color="FFFFFF" w:themeColor="background1" w:sz="4" w:space="0"/>
              <w:left w:val="single" w:color="FFFFFF" w:themeColor="background1" w:sz="4" w:space="0"/>
              <w:bottom w:val="dashed" w:color="auto" w:sz="4" w:space="0"/>
              <w:right w:val="single" w:color="FFFFFF" w:themeColor="background1" w:sz="4" w:space="0"/>
            </w:tcBorders>
          </w:tcPr>
          <w:p w:rsidRPr="005A3EEC" w:rsidR="00255074" w:rsidP="00FE70A0" w:rsidRDefault="00255074" w14:paraId="74A7DD4A" w14:textId="77777777">
            <w:pPr>
              <w:jc w:val="both"/>
              <w:rPr>
                <w:szCs w:val="28"/>
              </w:rPr>
            </w:pPr>
          </w:p>
        </w:tc>
        <w:tc>
          <w:tcPr>
            <w:tcW w:w="6804" w:type="dxa"/>
            <w:tcBorders>
              <w:top w:val="single" w:color="FFFFFF" w:themeColor="background1" w:sz="4" w:space="0"/>
              <w:left w:val="single" w:color="FFFFFF" w:themeColor="background1" w:sz="4" w:space="0"/>
              <w:bottom w:val="single" w:color="auto" w:sz="4" w:space="0"/>
              <w:right w:val="single" w:color="FFFFFF" w:themeColor="background1" w:sz="4" w:space="0"/>
            </w:tcBorders>
          </w:tcPr>
          <w:p w:rsidRPr="005A3EEC" w:rsidR="006F49E4" w:rsidP="000E429F" w:rsidRDefault="002A46A6" w14:paraId="66E15E36" w14:textId="77777777">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false" relativeHeight="251658240" behindDoc="false" locked="false" layoutInCell="true" allowOverlap="true">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noChangeAspect="true"/>
                  </wp:cNvGraphicFramePr>
                  <a:graphic>
                    <a:graphicData uri="http://schemas.openxmlformats.org/drawingml/2006/picture">
                      <pic:pic>
                        <pic:nvPicPr>
                          <pic:cNvPr id="909907021" name="bez_laukuma_rgb-LV_81.png"/>
                          <pic:cNvPicPr/>
                        </pic:nvPicPr>
                        <pic:blipFill>
                          <a:blip cstate="print" r:embed="rId8"/>
                          <a:stretch>
                            <a:fillRect/>
                          </a:stretch>
                        </pic:blipFill>
                        <pic:spPr>
                          <a:xfrm>
                            <a:off x="0" y="0"/>
                            <a:ext cx="1800000" cy="1800000"/>
                          </a:xfrm>
                          <a:prstGeom prst="rect">
                            <a:avLst/>
                          </a:prstGeom>
                        </pic:spPr>
                      </pic:pic>
                    </a:graphicData>
                  </a:graphic>
                </wp:anchor>
              </w:drawing>
            </w:r>
          </w:p>
        </w:tc>
        <w:tc>
          <w:tcPr>
            <w:tcW w:w="1241" w:type="dxa"/>
            <w:tcBorders>
              <w:top w:val="single" w:color="FFFFFF" w:themeColor="background1" w:sz="4" w:space="0"/>
              <w:left w:val="single" w:color="FFFFFF" w:themeColor="background1" w:sz="4" w:space="0"/>
              <w:bottom w:val="dashed" w:color="auto" w:sz="4" w:space="0"/>
              <w:right w:val="single" w:color="FFFFFF" w:themeColor="background1" w:sz="4" w:space="0"/>
            </w:tcBorders>
          </w:tcPr>
          <w:p w:rsidRPr="005A3EEC" w:rsidR="00255074" w:rsidP="00255074" w:rsidRDefault="00255074" w14:paraId="6EE8210B" w14:textId="77777777">
            <w:pPr>
              <w:jc w:val="center"/>
              <w:rPr>
                <w:szCs w:val="28"/>
              </w:rPr>
            </w:pPr>
          </w:p>
        </w:tc>
      </w:tr>
      <w:tr w:rsidR="00446663" w:rsidTr="00255074" w14:paraId="4AA5F295" w14:textId="77777777">
        <w:trPr>
          <w:trHeight w:val="553"/>
        </w:trPr>
        <w:tc>
          <w:tcPr>
            <w:tcW w:w="9287" w:type="dxa"/>
            <w:gridSpan w:val="3"/>
            <w:tcBorders>
              <w:top w:val="single" w:color="FFFFFF" w:themeColor="background1" w:sz="4" w:space="0"/>
              <w:left w:val="single" w:color="FFFFFF" w:themeColor="background1" w:sz="4" w:space="0"/>
              <w:bottom w:val="dashed" w:color="auto" w:sz="4" w:space="0"/>
              <w:right w:val="single" w:color="FFFFFF" w:themeColor="background1" w:sz="4" w:space="0"/>
            </w:tcBorders>
            <w:vAlign w:val="center"/>
          </w:tcPr>
          <w:p w:rsidRPr="005A3EEC" w:rsidR="00255074" w:rsidP="00255074" w:rsidRDefault="002A46A6" w14:paraId="2FE04AE5" w14:textId="77777777">
            <w:pPr>
              <w:jc w:val="center"/>
              <w:rPr>
                <w:szCs w:val="28"/>
              </w:rPr>
            </w:pPr>
            <w:r w:rsidRPr="005A3EEC">
              <w:rPr>
                <w:rFonts w:ascii="Times New Roman" w:hAnsi="Times New Roman" w:eastAsia="Times New Roman"/>
                <w:color w:val="231F20"/>
                <w:sz w:val="17"/>
                <w:szCs w:val="17"/>
              </w:rPr>
              <w:t>Brīvības iela 72, Rīga, LV-1011, tālr. 67876000, fakss 67876002, e-pasts vm@vm.gov.lv, www.vm.gov.lv</w:t>
            </w:r>
          </w:p>
        </w:tc>
      </w:tr>
      <w:tr w:rsidR="00446663" w:rsidTr="00255074" w14:paraId="5BB3ACC0" w14:textId="77777777">
        <w:tblPrEx>
          <w:tblLook w:firstRow="0" w:lastRow="0" w:firstColumn="0" w:lastColumn="0" w:noHBand="0" w:noVBand="0" w:val="0000"/>
        </w:tblPrEx>
        <w:trPr>
          <w:trHeight w:val="561"/>
        </w:trPr>
        <w:tc>
          <w:tcPr>
            <w:tcW w:w="9287" w:type="dxa"/>
            <w:gridSpan w:val="3"/>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vAlign w:val="center"/>
          </w:tcPr>
          <w:p w:rsidRPr="005A3EEC" w:rsidR="00255074" w:rsidP="00255074" w:rsidRDefault="002A46A6" w14:paraId="5B580B3B" w14:textId="77777777">
            <w:pPr>
              <w:jc w:val="center"/>
              <w:rPr>
                <w:szCs w:val="28"/>
              </w:rPr>
            </w:pPr>
            <w:r w:rsidRPr="005A3EEC">
              <w:rPr>
                <w:rFonts w:ascii="Times New Roman" w:hAnsi="Times New Roman"/>
                <w:sz w:val="28"/>
                <w:szCs w:val="28"/>
              </w:rPr>
              <w:t>Rīgā</w:t>
            </w:r>
          </w:p>
        </w:tc>
      </w:tr>
    </w:tbl>
    <w:p w:rsidRPr="005A3EEC" w:rsidR="00255074" w:rsidP="00BD73D9" w:rsidRDefault="00255074" w14:paraId="16F7252F" w14:textId="77777777">
      <w:pPr>
        <w:tabs>
          <w:tab w:val="left" w:pos="0"/>
          <w:tab w:val="right" w:pos="4678"/>
        </w:tabs>
        <w:spacing w:after="0" w:line="240" w:lineRule="auto"/>
        <w15:collapsed w:val="false"/>
        <w:rPr>
          <w:rFonts w:ascii="Times New Roman" w:hAnsi="Times New Roman"/>
          <w:sz w:val="28"/>
          <w:szCs w:val="28"/>
        </w:rPr>
      </w:pPr>
    </w:p>
    <w:p w:rsidRPr="00DC13B6" w:rsidR="008616C4" w:rsidP="008616C4" w:rsidRDefault="002A46A6" w14:paraId="225A30FA" w14:textId="612E3D6F">
      <w:pPr>
        <w:pStyle w:val="pamattekststabul"/>
        <w:spacing w:before="0" w:beforeAutospacing="false" w:after="0" w:afterAutospacing="false"/>
        <w:rPr>
          <w:rFonts w:ascii="Verdana" w:hAnsi="Verdana"/>
          <w:sz w:val="20"/>
          <w:szCs w:val="20"/>
          <w:lang w:val="lv-LV"/>
        </w:rPr>
      </w:pPr>
      <w:r w:rsidRPr="005A3EEC">
        <w:rPr>
          <w:sz w:val="20"/>
          <w:szCs w:val="20"/>
          <w:lang w:val="lv-LV"/>
        </w:rPr>
        <w:t>Datums skatāms laika zīmogā</w:t>
      </w:r>
      <w:r w:rsidRPr="005A3EEC">
        <w:rPr>
          <w:sz w:val="28"/>
          <w:szCs w:val="28"/>
          <w:lang w:val="lv-LV"/>
        </w:rPr>
        <w:tab/>
        <w:t>Nr</w:t>
      </w:r>
      <w:r w:rsidRPr="005A3EEC" w:rsidR="0025235E">
        <w:rPr>
          <w:sz w:val="28"/>
          <w:szCs w:val="28"/>
          <w:lang w:val="lv-LV"/>
        </w:rPr>
        <w:t xml:space="preserve">. </w:t>
      </w:r>
      <w:r w:rsidRPr="005A3EEC" w:rsidR="0035248E">
        <w:rPr>
          <w:sz w:val="28"/>
          <w:szCs w:val="28"/>
          <w:lang w:val="lv-LV"/>
        </w:rPr>
        <w:t>{{ DOKREGNUMURS}}</w:t>
      </w:r>
    </w:p>
    <w:tbl>
      <w:tblPr>
        <w:tblStyle w:val="Reatab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0"/>
        <w:gridCol w:w="4531"/>
      </w:tblGrid>
      <w:tr w:rsidR="00446663" w:rsidTr="0041608F" w14:paraId="64327DC3" w14:textId="77777777">
        <w:tc>
          <w:tcPr>
            <w:tcW w:w="4530" w:type="dxa"/>
          </w:tcPr>
          <w:p w:rsidRPr="00556D5B" w:rsidR="00EA1868" w:rsidP="0041608F" w:rsidRDefault="00EA1868" w14:paraId="7915A36F" w14:textId="77777777">
            <w:pPr>
              <w:rPr>
                <w:rFonts w:ascii="Times New Roman" w:hAnsi="Times New Roman"/>
                <w:i/>
                <w:sz w:val="28"/>
                <w:szCs w:val="28"/>
              </w:rPr>
            </w:pPr>
            <w:bookmarkStart w:name="_Hlk505799474" w:id="0"/>
          </w:p>
        </w:tc>
        <w:tc>
          <w:tcPr>
            <w:tcW w:w="4531" w:type="dxa"/>
          </w:tcPr>
          <w:p w:rsidR="00DD5F14" w:rsidP="00FE70A0" w:rsidRDefault="00DD5F14" w14:paraId="4E2BD781" w14:textId="77777777">
            <w:pPr>
              <w:jc w:val="right"/>
              <w:rPr>
                <w:rFonts w:ascii="Times New Roman" w:hAnsi="Times New Roman" w:eastAsia="Times New Roman"/>
                <w:sz w:val="28"/>
                <w:szCs w:val="28"/>
              </w:rPr>
            </w:pPr>
          </w:p>
          <w:p w:rsidR="00EA1868" w:rsidP="00FE70A0" w:rsidRDefault="002A46A6" w14:paraId="02F74536" w14:textId="77777777">
            <w:pPr>
              <w:jc w:val="right"/>
              <w:rPr>
                <w:rFonts w:ascii="Times New Roman" w:hAnsi="Times New Roman" w:eastAsia="Times New Roman"/>
                <w:sz w:val="28"/>
                <w:szCs w:val="28"/>
              </w:rPr>
            </w:pPr>
            <w:r w:rsidRPr="005A3EEC">
              <w:rPr>
                <w:rFonts w:ascii="Times New Roman" w:hAnsi="Times New Roman" w:eastAsia="Times New Roman"/>
                <w:noProof/>
                <w:sz w:val="28"/>
                <w:szCs w:val="28"/>
              </w:rPr>
              <w:t>Valsts kanceleja</w:t>
            </w:r>
            <w:r w:rsidR="00843835">
              <w:rPr>
                <w:rFonts w:ascii="Times New Roman" w:hAnsi="Times New Roman" w:eastAsia="Times New Roman"/>
                <w:noProof/>
                <w:sz w:val="28"/>
                <w:szCs w:val="28"/>
              </w:rPr>
              <w:t>i</w:t>
            </w:r>
          </w:p>
          <w:p w:rsidRPr="00A477D6" w:rsidR="008155FB" w:rsidP="00FE70A0" w:rsidRDefault="008155FB" w14:paraId="6326D7D2" w14:textId="77777777">
            <w:pPr>
              <w:jc w:val="right"/>
              <w:rPr>
                <w:rFonts w:ascii="Times New Roman" w:hAnsi="Times New Roman"/>
                <w:sz w:val="28"/>
                <w:szCs w:val="28"/>
              </w:rPr>
            </w:pPr>
          </w:p>
        </w:tc>
      </w:tr>
      <w:tr w:rsidR="00446663" w:rsidTr="0041608F" w14:paraId="493CAEB2" w14:textId="77777777">
        <w:tc>
          <w:tcPr>
            <w:tcW w:w="4530" w:type="dxa"/>
          </w:tcPr>
          <w:p w:rsidRPr="00BD1854" w:rsidR="00EA1868" w:rsidP="0041608F" w:rsidRDefault="002A46A6" w14:paraId="000F96F5" w14:textId="7E4FEE0A">
            <w:pPr>
              <w:rPr>
                <w:rFonts w:ascii="Times New Roman" w:hAnsi="Times New Roman"/>
                <w:i/>
                <w:sz w:val="28"/>
                <w:szCs w:val="28"/>
              </w:rPr>
            </w:pPr>
            <w:bookmarkStart w:name="_Hlk505798417" w:id="1"/>
            <w:r w:rsidRPr="00BD1854">
              <w:rPr>
                <w:rFonts w:ascii="Times New Roman" w:hAnsi="Times New Roman"/>
                <w:i/>
                <w:noProof/>
                <w:sz w:val="28"/>
                <w:szCs w:val="28"/>
              </w:rPr>
              <w:t xml:space="preserve">Par </w:t>
            </w:r>
            <w:bookmarkStart w:name="_Hlk112674604" w:id="2"/>
            <w:r w:rsidRPr="00BD1854" w:rsidR="00E50414">
              <w:rPr>
                <w:rFonts w:ascii="Times New Roman" w:hAnsi="Times New Roman"/>
                <w:i/>
                <w:noProof/>
                <w:sz w:val="28"/>
                <w:szCs w:val="28"/>
              </w:rPr>
              <w:t>Latvijas nacionāl</w:t>
            </w:r>
            <w:r w:rsidRPr="00BD1854" w:rsidR="00131EF9">
              <w:rPr>
                <w:rFonts w:ascii="Times New Roman" w:hAnsi="Times New Roman"/>
                <w:i/>
                <w:noProof/>
                <w:sz w:val="28"/>
                <w:szCs w:val="28"/>
              </w:rPr>
              <w:t>ās</w:t>
            </w:r>
            <w:r w:rsidRPr="00BD1854" w:rsidR="00E50414">
              <w:rPr>
                <w:rFonts w:ascii="Times New Roman" w:hAnsi="Times New Roman"/>
                <w:i/>
                <w:noProof/>
                <w:sz w:val="28"/>
                <w:szCs w:val="28"/>
              </w:rPr>
              <w:t xml:space="preserve"> pozīcij</w:t>
            </w:r>
            <w:r w:rsidRPr="00BD1854" w:rsidR="00131EF9">
              <w:rPr>
                <w:rFonts w:ascii="Times New Roman" w:hAnsi="Times New Roman"/>
                <w:i/>
                <w:noProof/>
                <w:sz w:val="28"/>
                <w:szCs w:val="28"/>
              </w:rPr>
              <w:t>as projektu</w:t>
            </w:r>
            <w:r w:rsidRPr="00BD1854" w:rsidR="00E50414">
              <w:rPr>
                <w:rFonts w:ascii="Times New Roman" w:hAnsi="Times New Roman"/>
                <w:i/>
                <w:noProof/>
                <w:sz w:val="28"/>
                <w:szCs w:val="28"/>
              </w:rPr>
              <w:t xml:space="preserve"> par </w:t>
            </w:r>
            <w:r w:rsidRPr="00BD1854" w:rsidR="00BD1854">
              <w:rPr>
                <w:rFonts w:ascii="Times New Roman" w:hAnsi="Times New Roman"/>
                <w:i/>
                <w:sz w:val="28"/>
                <w:szCs w:val="28"/>
              </w:rPr>
              <w:t>Priekšlikumu Eiropas Parlamenta un Padomes regulai par maksām un nodevām, kuras maksājamas Eiropas Zāļu aģentūrai, un ar ko groza Eiropas Parlamenta un Padomes Regulu (ES) Nr. 2017/745, kā arī atceļ Padomes Regulu (EK) Nr. 297/95 un Eiropas Parlamenta un Padomes Regulu (ES) Nr. 658/2014</w:t>
            </w:r>
            <w:bookmarkEnd w:id="1"/>
            <w:bookmarkEnd w:id="2"/>
          </w:p>
        </w:tc>
        <w:tc>
          <w:tcPr>
            <w:tcW w:w="4531" w:type="dxa"/>
          </w:tcPr>
          <w:p w:rsidRPr="00A477D6" w:rsidR="00EA1868" w:rsidP="0041608F" w:rsidRDefault="00EA1868" w14:paraId="711EE4CE" w14:textId="77777777">
            <w:pPr>
              <w:jc w:val="right"/>
              <w:rPr>
                <w:rFonts w:ascii="Times New Roman" w:hAnsi="Times New Roman"/>
                <w:sz w:val="28"/>
                <w:szCs w:val="28"/>
              </w:rPr>
            </w:pPr>
          </w:p>
        </w:tc>
      </w:tr>
      <w:bookmarkEnd w:id="0"/>
    </w:tbl>
    <w:p w:rsidRPr="005A3EEC" w:rsidR="00BE191A" w:rsidP="00962685" w:rsidRDefault="00BE191A" w14:paraId="3806AD85" w14:textId="77777777">
      <w:pPr>
        <w:spacing w:after="0" w:line="240" w:lineRule="auto"/>
        <w:ind w:firstLine="720"/>
        <w:jc w:val="both"/>
        <w:rPr>
          <w:rFonts w:ascii="Times New Roman" w:hAnsi="Times New Roman"/>
          <w:sz w:val="28"/>
          <w:szCs w:val="28"/>
        </w:rPr>
      </w:pPr>
    </w:p>
    <w:p w:rsidRPr="00D75345" w:rsidR="004A2562" w:rsidP="004A2562" w:rsidRDefault="004A2562" w14:paraId="733B8C66" w14:textId="77777777">
      <w:pPr>
        <w:spacing w:after="0" w:line="240" w:lineRule="auto"/>
        <w:rPr>
          <w:rFonts w:ascii="Times New Roman" w:hAnsi="Times New Roman" w:eastAsia="Times New Roman"/>
          <w:i/>
          <w:sz w:val="28"/>
          <w:szCs w:val="28"/>
        </w:rPr>
      </w:pPr>
      <w:bookmarkStart w:name="OLE_LINK5" w:id="3"/>
      <w:bookmarkStart w:name="OLE_LINK7" w:id="4"/>
      <w:bookmarkStart w:name="OLE_LINK8" w:id="5"/>
    </w:p>
    <w:bookmarkEnd w:id="3"/>
    <w:bookmarkEnd w:id="4"/>
    <w:bookmarkEnd w:id="5"/>
    <w:p w:rsidRPr="00D75345" w:rsidR="004A2562" w:rsidP="004A2562" w:rsidRDefault="002A46A6" w14:paraId="4E861107" w14:textId="67ECF2DE">
      <w:pPr>
        <w:spacing w:after="0" w:line="240" w:lineRule="auto"/>
        <w:jc w:val="both"/>
        <w:rPr>
          <w:rFonts w:ascii="Times New Roman" w:hAnsi="Times New Roman" w:eastAsia="Times New Roman"/>
          <w:i/>
          <w:sz w:val="28"/>
          <w:szCs w:val="28"/>
        </w:rPr>
      </w:pPr>
      <w:r w:rsidRPr="00D75345">
        <w:rPr>
          <w:rFonts w:ascii="Times New Roman" w:hAnsi="Times New Roman" w:eastAsia="Times New Roman"/>
          <w:sz w:val="28"/>
          <w:szCs w:val="28"/>
          <w:lang w:eastAsia="lv-LV"/>
        </w:rPr>
        <w:t xml:space="preserve">         Pamatojoties uz Ministru kabineta </w:t>
      </w:r>
      <w:r w:rsidRPr="00D85645" w:rsidR="00D85645">
        <w:rPr>
          <w:rFonts w:ascii="Times New Roman" w:hAnsi="Times New Roman"/>
          <w:sz w:val="28"/>
          <w:szCs w:val="28"/>
        </w:rPr>
        <w:t>2021.gada 7.septembra noteikumu Nr.606 "Ministru kabineta kārtības rullis" 43.punkt</w:t>
      </w:r>
      <w:r w:rsidR="00D85645">
        <w:rPr>
          <w:rFonts w:ascii="Times New Roman" w:hAnsi="Times New Roman"/>
          <w:sz w:val="28"/>
          <w:szCs w:val="28"/>
        </w:rPr>
        <w:t>u</w:t>
      </w:r>
      <w:r w:rsidRPr="00D75345">
        <w:rPr>
          <w:rFonts w:ascii="Times New Roman" w:hAnsi="Times New Roman" w:eastAsia="Times New Roman"/>
          <w:sz w:val="28"/>
          <w:szCs w:val="28"/>
          <w:lang w:eastAsia="lv-LV"/>
        </w:rPr>
        <w:t xml:space="preserve">, iesniedzu izskatīšanai </w:t>
      </w:r>
      <w:r w:rsidR="00D85645">
        <w:rPr>
          <w:rFonts w:ascii="Times New Roman" w:hAnsi="Times New Roman" w:eastAsia="Times New Roman"/>
          <w:b/>
          <w:sz w:val="28"/>
          <w:szCs w:val="28"/>
          <w:lang w:eastAsia="lv-LV"/>
        </w:rPr>
        <w:t>202</w:t>
      </w:r>
      <w:r w:rsidR="00BD1854">
        <w:rPr>
          <w:rFonts w:ascii="Times New Roman" w:hAnsi="Times New Roman" w:eastAsia="Times New Roman"/>
          <w:b/>
          <w:sz w:val="28"/>
          <w:szCs w:val="28"/>
          <w:lang w:eastAsia="lv-LV"/>
        </w:rPr>
        <w:t>3</w:t>
      </w:r>
      <w:r w:rsidR="00D85645">
        <w:rPr>
          <w:rFonts w:ascii="Times New Roman" w:hAnsi="Times New Roman" w:eastAsia="Times New Roman"/>
          <w:b/>
          <w:sz w:val="28"/>
          <w:szCs w:val="28"/>
          <w:lang w:eastAsia="lv-LV"/>
        </w:rPr>
        <w:t>.gada</w:t>
      </w:r>
      <w:r w:rsidR="006F2092">
        <w:rPr>
          <w:rFonts w:ascii="Times New Roman" w:hAnsi="Times New Roman" w:eastAsia="Times New Roman"/>
          <w:b/>
          <w:sz w:val="28"/>
          <w:szCs w:val="28"/>
          <w:lang w:eastAsia="lv-LV"/>
        </w:rPr>
        <w:t xml:space="preserve"> </w:t>
      </w:r>
      <w:r w:rsidR="00BD1854">
        <w:rPr>
          <w:rFonts w:ascii="Times New Roman" w:hAnsi="Times New Roman" w:eastAsia="Times New Roman"/>
          <w:b/>
          <w:sz w:val="28"/>
          <w:szCs w:val="28"/>
          <w:lang w:eastAsia="lv-LV"/>
        </w:rPr>
        <w:t>31</w:t>
      </w:r>
      <w:r w:rsidR="006F2092">
        <w:rPr>
          <w:rFonts w:ascii="Times New Roman" w:hAnsi="Times New Roman" w:eastAsia="Times New Roman"/>
          <w:b/>
          <w:sz w:val="28"/>
          <w:szCs w:val="28"/>
          <w:lang w:eastAsia="lv-LV"/>
        </w:rPr>
        <w:t>.</w:t>
      </w:r>
      <w:r w:rsidR="00BD1854">
        <w:rPr>
          <w:rFonts w:ascii="Times New Roman" w:hAnsi="Times New Roman" w:eastAsia="Times New Roman"/>
          <w:b/>
          <w:sz w:val="28"/>
          <w:szCs w:val="28"/>
          <w:lang w:eastAsia="lv-LV"/>
        </w:rPr>
        <w:t>janvār</w:t>
      </w:r>
      <w:r w:rsidR="00131EF9">
        <w:rPr>
          <w:rFonts w:ascii="Times New Roman" w:hAnsi="Times New Roman" w:eastAsia="Times New Roman"/>
          <w:b/>
          <w:sz w:val="28"/>
          <w:szCs w:val="28"/>
          <w:lang w:eastAsia="lv-LV"/>
        </w:rPr>
        <w:t>a</w:t>
      </w:r>
      <w:r w:rsidRPr="00D75345">
        <w:rPr>
          <w:rFonts w:ascii="Times New Roman" w:hAnsi="Times New Roman" w:eastAsia="Times New Roman"/>
          <w:b/>
          <w:sz w:val="28"/>
          <w:szCs w:val="28"/>
          <w:lang w:eastAsia="lv-LV"/>
        </w:rPr>
        <w:t xml:space="preserve"> Ministru kabineta sēdē</w:t>
      </w:r>
      <w:r w:rsidRPr="00D75345">
        <w:rPr>
          <w:rFonts w:ascii="Times New Roman" w:hAnsi="Times New Roman" w:eastAsia="Times New Roman"/>
          <w:sz w:val="28"/>
          <w:szCs w:val="28"/>
          <w:lang w:eastAsia="lv-LV"/>
        </w:rPr>
        <w:t xml:space="preserve"> </w:t>
      </w:r>
      <w:r w:rsidRPr="00131EF9" w:rsidR="00131EF9">
        <w:rPr>
          <w:rFonts w:ascii="Times New Roman" w:hAnsi="Times New Roman" w:eastAsia="Times New Roman"/>
          <w:sz w:val="28"/>
          <w:szCs w:val="28"/>
          <w:lang w:eastAsia="lv-LV"/>
        </w:rPr>
        <w:t>Latvijas nacionāl</w:t>
      </w:r>
      <w:r w:rsidR="00131EF9">
        <w:rPr>
          <w:rFonts w:ascii="Times New Roman" w:hAnsi="Times New Roman" w:eastAsia="Times New Roman"/>
          <w:sz w:val="28"/>
          <w:szCs w:val="28"/>
          <w:lang w:eastAsia="lv-LV"/>
        </w:rPr>
        <w:t>ās</w:t>
      </w:r>
      <w:r w:rsidRPr="00131EF9" w:rsidR="00131EF9">
        <w:rPr>
          <w:rFonts w:ascii="Times New Roman" w:hAnsi="Times New Roman" w:eastAsia="Times New Roman"/>
          <w:sz w:val="28"/>
          <w:szCs w:val="28"/>
          <w:lang w:eastAsia="lv-LV"/>
        </w:rPr>
        <w:t xml:space="preserve"> pozīcij</w:t>
      </w:r>
      <w:r w:rsidR="00131EF9">
        <w:rPr>
          <w:rFonts w:ascii="Times New Roman" w:hAnsi="Times New Roman" w:eastAsia="Times New Roman"/>
          <w:sz w:val="28"/>
          <w:szCs w:val="28"/>
          <w:lang w:eastAsia="lv-LV"/>
        </w:rPr>
        <w:t>as projektu</w:t>
      </w:r>
      <w:r w:rsidRPr="00131EF9" w:rsidR="00131EF9">
        <w:rPr>
          <w:rFonts w:ascii="Times New Roman" w:hAnsi="Times New Roman" w:eastAsia="Times New Roman"/>
          <w:sz w:val="28"/>
          <w:szCs w:val="28"/>
          <w:lang w:eastAsia="lv-LV"/>
        </w:rPr>
        <w:t xml:space="preserve"> par </w:t>
      </w:r>
      <w:r w:rsidRPr="00BD1854" w:rsidR="00BD1854">
        <w:rPr>
          <w:rFonts w:ascii="Times New Roman" w:hAnsi="Times New Roman"/>
          <w:iCs/>
          <w:sz w:val="28"/>
          <w:szCs w:val="28"/>
        </w:rPr>
        <w:t>Priekšlikumu Eiropas Parlamenta un Padomes regulai par maksām un nodevām, kuras maksājamas Eiropas Zāļu aģentūrai, un ar ko groza Eiropas Parlamenta un Padomes Regulu (ES) Nr. 2017/745, kā arī atceļ Padomes Regulu (EK) Nr. 297/95 un Eiropas Parlamenta un Padomes Regulu (ES) Nr. 658/2014</w:t>
      </w:r>
      <w:r w:rsidRPr="00D75345">
        <w:rPr>
          <w:rFonts w:ascii="Times New Roman" w:hAnsi="Times New Roman" w:eastAsia="Times New Roman"/>
          <w:b/>
          <w:sz w:val="20"/>
          <w:szCs w:val="20"/>
          <w:lang w:eastAsia="lv-LV"/>
        </w:rPr>
        <w:t>.</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985"/>
        <w:gridCol w:w="6082"/>
      </w:tblGrid>
      <w:tr w:rsidR="00446663" w:rsidTr="005C4441" w14:paraId="6D175908" w14:textId="77777777">
        <w:tc>
          <w:tcPr>
            <w:tcW w:w="2985" w:type="dxa"/>
            <w:shd w:val="clear" w:color="auto" w:fill="auto"/>
          </w:tcPr>
          <w:p w:rsidRPr="00D75345" w:rsidR="004A2562" w:rsidP="005C4441" w:rsidRDefault="002A46A6" w14:paraId="084809A5" w14:textId="77777777">
            <w:pPr>
              <w:pStyle w:val="Pamatteksts"/>
              <w:rPr>
                <w:sz w:val="28"/>
                <w:szCs w:val="28"/>
              </w:rPr>
            </w:pPr>
            <w:r w:rsidRPr="00D75345">
              <w:rPr>
                <w:sz w:val="28"/>
                <w:szCs w:val="28"/>
              </w:rPr>
              <w:t>Iesniegšanas pamatojums</w:t>
            </w:r>
          </w:p>
        </w:tc>
        <w:tc>
          <w:tcPr>
            <w:tcW w:w="6082" w:type="dxa"/>
            <w:shd w:val="clear" w:color="auto" w:fill="auto"/>
          </w:tcPr>
          <w:p w:rsidRPr="00D75345" w:rsidR="004A2562" w:rsidP="005C4441" w:rsidRDefault="002A46A6" w14:paraId="4EA6B916" w14:textId="651C319A">
            <w:pPr>
              <w:pStyle w:val="Pamatteksts"/>
              <w:rPr>
                <w:sz w:val="28"/>
                <w:szCs w:val="28"/>
              </w:rPr>
            </w:pPr>
            <w:r w:rsidRPr="00FF4B92">
              <w:rPr>
                <w:sz w:val="28"/>
                <w:szCs w:val="28"/>
              </w:rPr>
              <w:t>20</w:t>
            </w:r>
            <w:r w:rsidR="009D2415">
              <w:rPr>
                <w:sz w:val="28"/>
                <w:szCs w:val="28"/>
              </w:rPr>
              <w:t>21</w:t>
            </w:r>
            <w:r w:rsidRPr="00FF4B92">
              <w:rPr>
                <w:sz w:val="28"/>
                <w:szCs w:val="28"/>
              </w:rPr>
              <w:t>.gada 7.</w:t>
            </w:r>
            <w:r w:rsidR="009D2415">
              <w:rPr>
                <w:sz w:val="28"/>
                <w:szCs w:val="28"/>
              </w:rPr>
              <w:t>septembra</w:t>
            </w:r>
            <w:r w:rsidRPr="00FF4B92">
              <w:rPr>
                <w:sz w:val="28"/>
                <w:szCs w:val="28"/>
              </w:rPr>
              <w:t xml:space="preserve"> noteikumu Nr.</w:t>
            </w:r>
            <w:r w:rsidR="009D2415">
              <w:rPr>
                <w:sz w:val="28"/>
                <w:szCs w:val="28"/>
              </w:rPr>
              <w:t>606</w:t>
            </w:r>
            <w:r w:rsidRPr="00FF4B92">
              <w:rPr>
                <w:sz w:val="28"/>
                <w:szCs w:val="28"/>
              </w:rPr>
              <w:t xml:space="preserve"> "Ministru kabineta kārtības rullis" </w:t>
            </w:r>
            <w:r w:rsidR="009D2415">
              <w:rPr>
                <w:sz w:val="28"/>
                <w:szCs w:val="28"/>
              </w:rPr>
              <w:t>43</w:t>
            </w:r>
            <w:r w:rsidRPr="00FF4B92">
              <w:rPr>
                <w:sz w:val="28"/>
                <w:szCs w:val="28"/>
              </w:rPr>
              <w:t>.punkts.</w:t>
            </w:r>
            <w:r>
              <w:rPr>
                <w:sz w:val="28"/>
                <w:szCs w:val="28"/>
              </w:rPr>
              <w:t xml:space="preserve"> </w:t>
            </w:r>
          </w:p>
        </w:tc>
      </w:tr>
      <w:tr w:rsidR="00446663" w:rsidTr="005C4441" w14:paraId="4105A4A3" w14:textId="77777777">
        <w:trPr>
          <w:trHeight w:val="854"/>
        </w:trPr>
        <w:tc>
          <w:tcPr>
            <w:tcW w:w="2985" w:type="dxa"/>
            <w:shd w:val="clear" w:color="auto" w:fill="auto"/>
          </w:tcPr>
          <w:p w:rsidRPr="00D75345" w:rsidR="004A2562" w:rsidP="005C4441" w:rsidRDefault="002A46A6" w14:paraId="33BF7228" w14:textId="77777777">
            <w:pPr>
              <w:pStyle w:val="Pamatteksts"/>
              <w:rPr>
                <w:sz w:val="28"/>
                <w:szCs w:val="28"/>
              </w:rPr>
            </w:pPr>
            <w:r w:rsidRPr="00D75345">
              <w:rPr>
                <w:sz w:val="28"/>
                <w:szCs w:val="28"/>
              </w:rPr>
              <w:t>Valsts sekretāru sanāksmes datums un numurs</w:t>
            </w:r>
          </w:p>
        </w:tc>
        <w:tc>
          <w:tcPr>
            <w:tcW w:w="6082" w:type="dxa"/>
            <w:shd w:val="clear" w:color="auto" w:fill="auto"/>
          </w:tcPr>
          <w:p w:rsidRPr="00D75345" w:rsidR="004A2562" w:rsidP="005C4441" w:rsidRDefault="002A46A6" w14:paraId="528B31E3" w14:textId="77777777">
            <w:pPr>
              <w:pStyle w:val="Pamatteksts"/>
              <w:rPr>
                <w:sz w:val="28"/>
                <w:szCs w:val="28"/>
              </w:rPr>
            </w:pPr>
            <w:r w:rsidRPr="00D75345">
              <w:rPr>
                <w:sz w:val="28"/>
                <w:szCs w:val="28"/>
              </w:rPr>
              <w:t>Nav attiecināms</w:t>
            </w:r>
          </w:p>
        </w:tc>
      </w:tr>
      <w:tr w:rsidR="00446663" w:rsidTr="00BD1854" w14:paraId="4ADF918B" w14:textId="77777777">
        <w:trPr>
          <w:trHeight w:val="126"/>
        </w:trPr>
        <w:tc>
          <w:tcPr>
            <w:tcW w:w="2985" w:type="dxa"/>
            <w:shd w:val="clear" w:color="auto" w:fill="auto"/>
          </w:tcPr>
          <w:p w:rsidRPr="00BD1854" w:rsidR="004A2562" w:rsidP="00BD1854" w:rsidRDefault="002A46A6" w14:paraId="1177D2DA" w14:textId="392F09C3">
            <w:pPr>
              <w:pStyle w:val="Pamatteksts"/>
              <w:rPr>
                <w:sz w:val="28"/>
                <w:szCs w:val="28"/>
              </w:rPr>
            </w:pPr>
            <w:r w:rsidRPr="00D75345">
              <w:rPr>
                <w:sz w:val="28"/>
                <w:szCs w:val="28"/>
              </w:rPr>
              <w:t>Informācija par saskaņojumiem</w:t>
            </w:r>
          </w:p>
          <w:p w:rsidR="004A2562" w:rsidP="004A2562" w:rsidRDefault="004A2562" w14:paraId="2CF1DCC6" w14:textId="77777777">
            <w:pPr>
              <w:ind w:firstLine="720"/>
              <w:rPr>
                <w:highlight w:val="yellow"/>
              </w:rPr>
            </w:pPr>
          </w:p>
          <w:p w:rsidRPr="00BD1854" w:rsidR="00BD1854" w:rsidP="00BD1854" w:rsidRDefault="00BD1854" w14:paraId="3CE0A214" w14:textId="55AF6136">
            <w:pPr>
              <w:tabs>
                <w:tab w:val="left" w:pos="910"/>
              </w:tabs>
              <w:rPr>
                <w:highlight w:val="yellow"/>
              </w:rPr>
            </w:pPr>
            <w:r w:rsidRPr="00BD1854">
              <w:lastRenderedPageBreak/>
              <w:tab/>
            </w:r>
          </w:p>
        </w:tc>
        <w:tc>
          <w:tcPr>
            <w:tcW w:w="6082" w:type="dxa"/>
            <w:shd w:val="clear" w:color="auto" w:fill="auto"/>
          </w:tcPr>
          <w:p w:rsidRPr="00D75345" w:rsidR="004A2562" w:rsidP="005C4441" w:rsidRDefault="00131EF9" w14:paraId="10B6AB8A" w14:textId="5034533A">
            <w:pPr>
              <w:spacing w:after="0" w:line="240" w:lineRule="auto"/>
              <w:jc w:val="both"/>
              <w:rPr>
                <w:rFonts w:ascii="Times New Roman" w:hAnsi="Times New Roman"/>
                <w:b/>
                <w:sz w:val="28"/>
                <w:szCs w:val="28"/>
              </w:rPr>
            </w:pPr>
            <w:r>
              <w:rPr>
                <w:rFonts w:ascii="Times New Roman" w:hAnsi="Times New Roman"/>
                <w:sz w:val="28"/>
                <w:szCs w:val="28"/>
              </w:rPr>
              <w:lastRenderedPageBreak/>
              <w:t>Pozīcijas projekts</w:t>
            </w:r>
            <w:r w:rsidRPr="00D75345" w:rsidR="002A46A6">
              <w:rPr>
                <w:rFonts w:ascii="Times New Roman" w:hAnsi="Times New Roman"/>
                <w:sz w:val="28"/>
                <w:szCs w:val="28"/>
              </w:rPr>
              <w:t xml:space="preserve"> saskaņots ar </w:t>
            </w:r>
            <w:r w:rsidRPr="00131EF9">
              <w:rPr>
                <w:rFonts w:ascii="Times New Roman" w:hAnsi="Times New Roman"/>
                <w:sz w:val="28"/>
                <w:szCs w:val="28"/>
              </w:rPr>
              <w:t>Finanšu ministrij</w:t>
            </w:r>
            <w:r w:rsidR="008F1DEF">
              <w:rPr>
                <w:rFonts w:ascii="Times New Roman" w:hAnsi="Times New Roman"/>
                <w:sz w:val="28"/>
                <w:szCs w:val="28"/>
              </w:rPr>
              <w:t>u</w:t>
            </w:r>
            <w:r w:rsidRPr="00131EF9">
              <w:rPr>
                <w:rFonts w:ascii="Times New Roman" w:hAnsi="Times New Roman"/>
                <w:sz w:val="28"/>
                <w:szCs w:val="28"/>
              </w:rPr>
              <w:t>, ministrij</w:t>
            </w:r>
            <w:r w:rsidR="008F1DEF">
              <w:rPr>
                <w:rFonts w:ascii="Times New Roman" w:hAnsi="Times New Roman"/>
                <w:sz w:val="28"/>
                <w:szCs w:val="28"/>
              </w:rPr>
              <w:t>u</w:t>
            </w:r>
            <w:r w:rsidRPr="00131EF9">
              <w:rPr>
                <w:rFonts w:ascii="Times New Roman" w:hAnsi="Times New Roman"/>
                <w:sz w:val="28"/>
                <w:szCs w:val="28"/>
              </w:rPr>
              <w:t>, Ārlietu ministrij</w:t>
            </w:r>
            <w:r w:rsidR="008F1DEF">
              <w:rPr>
                <w:rFonts w:ascii="Times New Roman" w:hAnsi="Times New Roman"/>
                <w:sz w:val="28"/>
                <w:szCs w:val="28"/>
              </w:rPr>
              <w:t>u</w:t>
            </w:r>
            <w:r w:rsidRPr="00131EF9">
              <w:rPr>
                <w:rFonts w:ascii="Times New Roman" w:hAnsi="Times New Roman"/>
                <w:sz w:val="28"/>
                <w:szCs w:val="28"/>
              </w:rPr>
              <w:t xml:space="preserve">, </w:t>
            </w:r>
            <w:r w:rsidR="00BD1854">
              <w:rPr>
                <w:rFonts w:ascii="Times New Roman" w:hAnsi="Times New Roman"/>
                <w:sz w:val="28"/>
                <w:szCs w:val="28"/>
              </w:rPr>
              <w:t>Zemkopības ministriju.</w:t>
            </w:r>
          </w:p>
        </w:tc>
      </w:tr>
      <w:tr w:rsidR="00446663" w:rsidTr="005C4441" w14:paraId="22F76C8D" w14:textId="77777777">
        <w:tc>
          <w:tcPr>
            <w:tcW w:w="2985" w:type="dxa"/>
            <w:shd w:val="clear" w:color="auto" w:fill="auto"/>
          </w:tcPr>
          <w:p w:rsidRPr="00D75345" w:rsidR="004A2562" w:rsidP="005C4441" w:rsidRDefault="002A46A6" w14:paraId="7DDF551D" w14:textId="77777777">
            <w:pPr>
              <w:widowControl/>
              <w:spacing w:after="0" w:line="240" w:lineRule="auto"/>
              <w:rPr>
                <w:rFonts w:ascii="Times New Roman" w:hAnsi="Times New Roman" w:eastAsia="Times New Roman"/>
                <w:sz w:val="28"/>
                <w:szCs w:val="28"/>
              </w:rPr>
            </w:pPr>
            <w:r w:rsidRPr="00D75345">
              <w:rPr>
                <w:rFonts w:ascii="Times New Roman" w:hAnsi="Times New Roman" w:eastAsia="Times New Roman"/>
                <w:sz w:val="28"/>
                <w:szCs w:val="28"/>
              </w:rPr>
              <w:t>Informācija par saskaņojumu ar Eiropas Savienības institūcijām</w:t>
            </w:r>
          </w:p>
        </w:tc>
        <w:tc>
          <w:tcPr>
            <w:tcW w:w="6082" w:type="dxa"/>
            <w:shd w:val="clear" w:color="auto" w:fill="auto"/>
          </w:tcPr>
          <w:p w:rsidRPr="00D75345" w:rsidR="004A2562" w:rsidP="005C4441" w:rsidRDefault="002A46A6" w14:paraId="7BD12EA5" w14:textId="77777777">
            <w:pPr>
              <w:pStyle w:val="Pamatteksts"/>
              <w:rPr>
                <w:sz w:val="28"/>
                <w:szCs w:val="28"/>
              </w:rPr>
            </w:pPr>
            <w:r w:rsidRPr="00D75345">
              <w:rPr>
                <w:sz w:val="28"/>
                <w:szCs w:val="28"/>
              </w:rPr>
              <w:t>Nav attiecināms</w:t>
            </w:r>
          </w:p>
        </w:tc>
      </w:tr>
      <w:tr w:rsidR="00446663" w:rsidTr="005C4441" w14:paraId="4F15B47B" w14:textId="77777777">
        <w:tc>
          <w:tcPr>
            <w:tcW w:w="2985" w:type="dxa"/>
            <w:shd w:val="clear" w:color="auto" w:fill="auto"/>
          </w:tcPr>
          <w:p w:rsidRPr="00D75345" w:rsidR="004A2562" w:rsidP="005C4441" w:rsidRDefault="002A46A6" w14:paraId="090C1366" w14:textId="77777777">
            <w:pPr>
              <w:pStyle w:val="Pamatteksts"/>
              <w:rPr>
                <w:sz w:val="28"/>
                <w:szCs w:val="28"/>
              </w:rPr>
            </w:pPr>
            <w:r w:rsidRPr="00D75345">
              <w:rPr>
                <w:sz w:val="28"/>
                <w:szCs w:val="28"/>
              </w:rPr>
              <w:t>Politikas joma</w:t>
            </w:r>
          </w:p>
        </w:tc>
        <w:tc>
          <w:tcPr>
            <w:tcW w:w="6082" w:type="dxa"/>
            <w:shd w:val="clear" w:color="auto" w:fill="auto"/>
          </w:tcPr>
          <w:p w:rsidRPr="00D75345" w:rsidR="004A2562" w:rsidP="005C4441" w:rsidRDefault="002A46A6" w14:paraId="2F50F00B" w14:textId="77777777">
            <w:pPr>
              <w:pStyle w:val="Pamatteksts"/>
              <w:rPr>
                <w:sz w:val="28"/>
                <w:szCs w:val="28"/>
              </w:rPr>
            </w:pPr>
            <w:r w:rsidRPr="00D75345">
              <w:rPr>
                <w:iCs/>
                <w:sz w:val="28"/>
                <w:szCs w:val="28"/>
                <w:lang w:eastAsia="lv-LV"/>
              </w:rPr>
              <w:t>Veselības politika</w:t>
            </w:r>
          </w:p>
        </w:tc>
      </w:tr>
      <w:tr w:rsidR="00446663" w:rsidTr="00BD1854" w14:paraId="7B7C1F48" w14:textId="77777777">
        <w:trPr>
          <w:trHeight w:val="988"/>
        </w:trPr>
        <w:tc>
          <w:tcPr>
            <w:tcW w:w="2985" w:type="dxa"/>
            <w:shd w:val="clear" w:color="auto" w:fill="auto"/>
          </w:tcPr>
          <w:p w:rsidR="004A2562" w:rsidP="005C4441" w:rsidRDefault="002A46A6" w14:paraId="0EB9AE66" w14:textId="77777777">
            <w:pPr>
              <w:pStyle w:val="Pamatteksts"/>
              <w:tabs>
                <w:tab w:val="left" w:pos="1956"/>
              </w:tabs>
              <w:rPr>
                <w:sz w:val="28"/>
                <w:szCs w:val="28"/>
              </w:rPr>
            </w:pPr>
            <w:r w:rsidRPr="00D75345">
              <w:rPr>
                <w:sz w:val="28"/>
                <w:szCs w:val="28"/>
              </w:rPr>
              <w:t>Atbildīgā amatpersona</w:t>
            </w:r>
            <w:r w:rsidRPr="00D75345">
              <w:rPr>
                <w:sz w:val="28"/>
                <w:szCs w:val="28"/>
              </w:rPr>
              <w:tab/>
            </w:r>
          </w:p>
          <w:p w:rsidRPr="00126F5A" w:rsidR="00126F5A" w:rsidP="006F2092" w:rsidRDefault="00404C8E" w14:paraId="04643F1F" w14:textId="13CA494F">
            <w:pPr>
              <w:tabs>
                <w:tab w:val="left" w:pos="840"/>
                <w:tab w:val="right" w:pos="2769"/>
              </w:tabs>
            </w:pPr>
            <w:r>
              <w:tab/>
            </w:r>
            <w:r w:rsidR="006F2092">
              <w:tab/>
            </w:r>
          </w:p>
        </w:tc>
        <w:tc>
          <w:tcPr>
            <w:tcW w:w="6082" w:type="dxa"/>
            <w:shd w:val="clear" w:color="auto" w:fill="auto"/>
          </w:tcPr>
          <w:p w:rsidRPr="00D75345" w:rsidR="004A2562" w:rsidP="005C4441" w:rsidRDefault="00BD1854" w14:paraId="14D6475B" w14:textId="2586E7A1">
            <w:pPr>
              <w:pStyle w:val="Pamatteksts"/>
              <w:rPr>
                <w:sz w:val="28"/>
                <w:szCs w:val="28"/>
              </w:rPr>
            </w:pPr>
            <w:r>
              <w:rPr>
                <w:iCs/>
                <w:sz w:val="28"/>
                <w:szCs w:val="28"/>
                <w:lang w:eastAsia="lv-LV"/>
              </w:rPr>
              <w:t>Aleksandrs Takašovs</w:t>
            </w:r>
            <w:r w:rsidRPr="00D20585" w:rsidR="002A46A6">
              <w:rPr>
                <w:iCs/>
                <w:sz w:val="28"/>
                <w:szCs w:val="28"/>
                <w:lang w:eastAsia="lv-LV"/>
              </w:rPr>
              <w:t xml:space="preserve">, Veselības ministrijas Eiropas lietu un starptautiskās sadarbības departamenta </w:t>
            </w:r>
            <w:r>
              <w:rPr>
                <w:iCs/>
                <w:sz w:val="28"/>
                <w:szCs w:val="28"/>
                <w:lang w:eastAsia="lv-LV"/>
              </w:rPr>
              <w:t>vadošais eksperts Eiropas lietās</w:t>
            </w:r>
          </w:p>
        </w:tc>
      </w:tr>
      <w:tr w:rsidR="00446663" w:rsidTr="005C4441" w14:paraId="66C68531" w14:textId="77777777">
        <w:tc>
          <w:tcPr>
            <w:tcW w:w="2985" w:type="dxa"/>
            <w:shd w:val="clear" w:color="auto" w:fill="auto"/>
          </w:tcPr>
          <w:p w:rsidRPr="00BD1854" w:rsidR="004A2562" w:rsidP="005C4441" w:rsidRDefault="002A46A6" w14:paraId="63C91A52" w14:textId="77777777">
            <w:pPr>
              <w:pStyle w:val="Pamatteksts"/>
              <w:rPr>
                <w:sz w:val="28"/>
                <w:szCs w:val="28"/>
              </w:rPr>
            </w:pPr>
            <w:r w:rsidRPr="00BD1854">
              <w:rPr>
                <w:sz w:val="28"/>
                <w:szCs w:val="28"/>
              </w:rPr>
              <w:t>Uzaicināmās personas</w:t>
            </w:r>
          </w:p>
        </w:tc>
        <w:tc>
          <w:tcPr>
            <w:tcW w:w="6082" w:type="dxa"/>
            <w:shd w:val="clear" w:color="auto" w:fill="auto"/>
          </w:tcPr>
          <w:p w:rsidRPr="00BD1854" w:rsidR="004A2562" w:rsidP="00BD1854" w:rsidRDefault="00BD1854" w14:paraId="35039DB9" w14:textId="7C3A171C">
            <w:pPr>
              <w:spacing w:after="0" w:line="240" w:lineRule="auto"/>
              <w:rPr>
                <w:rFonts w:ascii="Times New Roman" w:hAnsi="Times New Roman"/>
                <w:sz w:val="28"/>
                <w:szCs w:val="28"/>
              </w:rPr>
            </w:pPr>
            <w:r w:rsidRPr="00BD1854">
              <w:rPr>
                <w:rFonts w:ascii="Times New Roman" w:hAnsi="Times New Roman"/>
                <w:iCs/>
                <w:sz w:val="28"/>
                <w:szCs w:val="28"/>
                <w:lang w:eastAsia="lv-LV"/>
              </w:rPr>
              <w:t>Ineta Popēna</w:t>
            </w:r>
            <w:r w:rsidR="000A5A49">
              <w:rPr>
                <w:rFonts w:ascii="Times New Roman" w:hAnsi="Times New Roman"/>
                <w:iCs/>
                <w:sz w:val="28"/>
                <w:szCs w:val="28"/>
                <w:lang w:eastAsia="lv-LV"/>
              </w:rPr>
              <w:t xml:space="preserve">, </w:t>
            </w:r>
            <w:r w:rsidRPr="00BD1854">
              <w:rPr>
                <w:rFonts w:ascii="Times New Roman" w:hAnsi="Times New Roman"/>
                <w:sz w:val="28"/>
                <w:szCs w:val="28"/>
              </w:rPr>
              <w:t>Zāļu valsts aģentūras Zāļu reģistrācijas departamenta vadītāja</w:t>
            </w:r>
          </w:p>
        </w:tc>
      </w:tr>
      <w:tr w:rsidR="00446663" w:rsidTr="005C4441" w14:paraId="41F019FE" w14:textId="77777777">
        <w:tc>
          <w:tcPr>
            <w:tcW w:w="2985" w:type="dxa"/>
            <w:shd w:val="clear" w:color="auto" w:fill="auto"/>
          </w:tcPr>
          <w:p w:rsidRPr="00D75345" w:rsidR="004A2562" w:rsidP="005C4441" w:rsidRDefault="002A46A6" w14:paraId="68F09179" w14:textId="77777777">
            <w:pPr>
              <w:pStyle w:val="Pamatteksts"/>
              <w:rPr>
                <w:sz w:val="28"/>
                <w:szCs w:val="28"/>
              </w:rPr>
            </w:pPr>
            <w:r w:rsidRPr="00D75345">
              <w:rPr>
                <w:sz w:val="28"/>
                <w:szCs w:val="28"/>
              </w:rPr>
              <w:t>Projekta ierobežotas lietošanas statuss</w:t>
            </w:r>
          </w:p>
        </w:tc>
        <w:tc>
          <w:tcPr>
            <w:tcW w:w="6082" w:type="dxa"/>
            <w:shd w:val="clear" w:color="auto" w:fill="auto"/>
          </w:tcPr>
          <w:p w:rsidRPr="00D75345" w:rsidR="004A2562" w:rsidP="005C4441" w:rsidRDefault="008F1DEF" w14:paraId="7009C5A4" w14:textId="4C4DB432">
            <w:pPr>
              <w:pStyle w:val="Pamatteksts"/>
              <w:rPr>
                <w:sz w:val="28"/>
                <w:szCs w:val="28"/>
                <w:highlight w:val="yellow"/>
              </w:rPr>
            </w:pPr>
            <w:r>
              <w:rPr>
                <w:sz w:val="28"/>
                <w:szCs w:val="28"/>
              </w:rPr>
              <w:t xml:space="preserve">Pozīcijas projektam ir </w:t>
            </w:r>
            <w:r w:rsidRPr="00D75345">
              <w:rPr>
                <w:sz w:val="28"/>
                <w:szCs w:val="28"/>
              </w:rPr>
              <w:t>ierobežotas pieejamības statuss</w:t>
            </w:r>
            <w:r>
              <w:rPr>
                <w:sz w:val="28"/>
                <w:szCs w:val="28"/>
              </w:rPr>
              <w:t>.</w:t>
            </w:r>
            <w:r w:rsidRPr="00D75345">
              <w:rPr>
                <w:sz w:val="28"/>
                <w:szCs w:val="28"/>
              </w:rPr>
              <w:t xml:space="preserve"> Pavadvēstulei</w:t>
            </w:r>
            <w:r>
              <w:rPr>
                <w:sz w:val="28"/>
                <w:szCs w:val="28"/>
              </w:rPr>
              <w:t xml:space="preserve"> un</w:t>
            </w:r>
            <w:r w:rsidRPr="00D75345">
              <w:rPr>
                <w:sz w:val="28"/>
                <w:szCs w:val="28"/>
              </w:rPr>
              <w:t xml:space="preserve"> protokollēmuma projektam nav ierobežotas pieejamības statuss.</w:t>
            </w:r>
          </w:p>
        </w:tc>
      </w:tr>
      <w:tr w:rsidR="00446663" w:rsidTr="005C4441" w14:paraId="00CB8034" w14:textId="77777777">
        <w:tc>
          <w:tcPr>
            <w:tcW w:w="2985" w:type="dxa"/>
            <w:shd w:val="clear" w:color="auto" w:fill="auto"/>
          </w:tcPr>
          <w:p w:rsidRPr="00D75345" w:rsidR="004A2562" w:rsidP="005C4441" w:rsidRDefault="002A46A6" w14:paraId="3321F107" w14:textId="77777777">
            <w:pPr>
              <w:pStyle w:val="Pamatteksts"/>
              <w:rPr>
                <w:sz w:val="28"/>
                <w:szCs w:val="28"/>
              </w:rPr>
            </w:pPr>
            <w:r w:rsidRPr="00D75345">
              <w:rPr>
                <w:sz w:val="28"/>
                <w:szCs w:val="28"/>
              </w:rPr>
              <w:t>Cita informācija</w:t>
            </w:r>
          </w:p>
        </w:tc>
        <w:tc>
          <w:tcPr>
            <w:tcW w:w="6082" w:type="dxa"/>
            <w:shd w:val="clear" w:color="auto" w:fill="auto"/>
          </w:tcPr>
          <w:p w:rsidRPr="00D75345" w:rsidR="004A2562" w:rsidP="005C4441" w:rsidRDefault="00F22532" w14:paraId="38286585" w14:textId="461B8829">
            <w:pPr>
              <w:pStyle w:val="Pamatteksts"/>
              <w:rPr>
                <w:sz w:val="28"/>
                <w:szCs w:val="28"/>
                <w:highlight w:val="yellow"/>
              </w:rPr>
            </w:pPr>
            <w:r w:rsidRPr="00F22532">
              <w:rPr>
                <w:sz w:val="28"/>
                <w:szCs w:val="28"/>
              </w:rPr>
              <w:t>Nav attiecināms</w:t>
            </w:r>
          </w:p>
        </w:tc>
      </w:tr>
      <w:tr w:rsidR="00446663" w:rsidTr="005C4441" w14:paraId="42CB57F1" w14:textId="77777777">
        <w:tc>
          <w:tcPr>
            <w:tcW w:w="2985" w:type="dxa"/>
            <w:shd w:val="clear" w:color="auto" w:fill="auto"/>
          </w:tcPr>
          <w:p w:rsidRPr="00BA7BAB" w:rsidR="004A2562" w:rsidP="005C4441" w:rsidRDefault="002A46A6" w14:paraId="1A01F90D" w14:textId="77777777">
            <w:pPr>
              <w:pStyle w:val="Pamatteksts"/>
              <w:rPr>
                <w:sz w:val="28"/>
                <w:szCs w:val="28"/>
              </w:rPr>
            </w:pPr>
            <w:r w:rsidRPr="00BA7BAB">
              <w:rPr>
                <w:sz w:val="28"/>
                <w:szCs w:val="28"/>
              </w:rPr>
              <w:t>Steidzamības kārtības pamatojums</w:t>
            </w:r>
          </w:p>
        </w:tc>
        <w:tc>
          <w:tcPr>
            <w:tcW w:w="6082" w:type="dxa"/>
            <w:shd w:val="clear" w:color="auto" w:fill="auto"/>
          </w:tcPr>
          <w:p w:rsidRPr="00AD5FB4" w:rsidR="004A2562" w:rsidP="005C4441" w:rsidRDefault="00F22532" w14:paraId="58BC1701" w14:textId="799ED636">
            <w:pPr>
              <w:pStyle w:val="Pamatteksts"/>
              <w:rPr>
                <w:sz w:val="28"/>
                <w:szCs w:val="28"/>
              </w:rPr>
            </w:pPr>
            <w:r w:rsidRPr="00F22532">
              <w:rPr>
                <w:sz w:val="28"/>
                <w:szCs w:val="28"/>
              </w:rPr>
              <w:t>Nav attiecināms</w:t>
            </w:r>
          </w:p>
        </w:tc>
      </w:tr>
      <w:tr w:rsidR="00446663" w:rsidTr="005C4441" w14:paraId="18A7CDDA" w14:textId="77777777">
        <w:tc>
          <w:tcPr>
            <w:tcW w:w="2985" w:type="dxa"/>
            <w:shd w:val="clear" w:color="auto" w:fill="auto"/>
          </w:tcPr>
          <w:p w:rsidRPr="00BA7BAB" w:rsidR="004A2562" w:rsidP="005C4441" w:rsidRDefault="002A46A6" w14:paraId="0DF9A127" w14:textId="77777777">
            <w:pPr>
              <w:pStyle w:val="Pamatteksts"/>
              <w:rPr>
                <w:sz w:val="28"/>
                <w:szCs w:val="28"/>
              </w:rPr>
            </w:pPr>
            <w:r w:rsidRPr="00BA7BAB">
              <w:rPr>
                <w:sz w:val="28"/>
                <w:szCs w:val="28"/>
              </w:rPr>
              <w:t>Jautājuma savlaicīgas neiesniegšanas iemesli</w:t>
            </w:r>
          </w:p>
        </w:tc>
        <w:tc>
          <w:tcPr>
            <w:tcW w:w="6082" w:type="dxa"/>
            <w:shd w:val="clear" w:color="auto" w:fill="auto"/>
          </w:tcPr>
          <w:p w:rsidRPr="00AD5FB4" w:rsidR="004A2562" w:rsidP="005C4441" w:rsidRDefault="00F22532" w14:paraId="3CA81E86" w14:textId="1CE3AC6A">
            <w:pPr>
              <w:pStyle w:val="Pamatteksts"/>
              <w:rPr>
                <w:sz w:val="28"/>
                <w:szCs w:val="28"/>
              </w:rPr>
            </w:pPr>
            <w:r w:rsidRPr="00F22532">
              <w:rPr>
                <w:sz w:val="28"/>
                <w:szCs w:val="28"/>
              </w:rPr>
              <w:t>Nav attiecināms</w:t>
            </w:r>
          </w:p>
        </w:tc>
      </w:tr>
      <w:tr w:rsidR="00446663" w:rsidTr="005C4441" w14:paraId="2F936827" w14:textId="77777777">
        <w:tc>
          <w:tcPr>
            <w:tcW w:w="2985" w:type="dxa"/>
            <w:shd w:val="clear" w:color="auto" w:fill="auto"/>
          </w:tcPr>
          <w:p w:rsidRPr="00BA7BAB" w:rsidR="004A2562" w:rsidP="005C4441" w:rsidRDefault="002A46A6" w14:paraId="7890EF7F" w14:textId="77777777">
            <w:pPr>
              <w:pStyle w:val="Pamatteksts"/>
              <w:rPr>
                <w:sz w:val="28"/>
                <w:szCs w:val="28"/>
              </w:rPr>
            </w:pPr>
            <w:r w:rsidRPr="00BA7BAB">
              <w:rPr>
                <w:sz w:val="28"/>
                <w:szCs w:val="28"/>
              </w:rPr>
              <w:t>Lēmuma pieņemšanas galīgais termiņš</w:t>
            </w:r>
          </w:p>
        </w:tc>
        <w:tc>
          <w:tcPr>
            <w:tcW w:w="6082" w:type="dxa"/>
            <w:shd w:val="clear" w:color="auto" w:fill="auto"/>
          </w:tcPr>
          <w:p w:rsidRPr="00AD5FB4" w:rsidR="004A2562" w:rsidP="005C4441" w:rsidRDefault="00F22532" w14:paraId="6B40CA07" w14:textId="43394763">
            <w:pPr>
              <w:pStyle w:val="Pamatteksts"/>
              <w:rPr>
                <w:sz w:val="28"/>
                <w:szCs w:val="28"/>
              </w:rPr>
            </w:pPr>
            <w:r w:rsidRPr="00F22532">
              <w:rPr>
                <w:sz w:val="28"/>
                <w:szCs w:val="28"/>
              </w:rPr>
              <w:t>Nav attiecināms</w:t>
            </w:r>
          </w:p>
        </w:tc>
      </w:tr>
    </w:tbl>
    <w:p w:rsidRPr="00D75345" w:rsidR="004A2562" w:rsidP="004A2562" w:rsidRDefault="004A2562" w14:paraId="450F7284" w14:textId="77777777">
      <w:pPr>
        <w:spacing w:after="0" w:line="240" w:lineRule="auto"/>
        <w:jc w:val="both"/>
        <w:rPr>
          <w:rFonts w:ascii="Times New Roman" w:hAnsi="Times New Roman" w:eastAsia="Times New Roman"/>
          <w:bCs/>
          <w:sz w:val="28"/>
          <w:szCs w:val="28"/>
        </w:rPr>
      </w:pPr>
    </w:p>
    <w:p w:rsidRPr="000D53FD" w:rsidR="004A2562" w:rsidP="004A2562" w:rsidRDefault="002A46A6" w14:paraId="7CA8FD54" w14:textId="77777777">
      <w:pPr>
        <w:spacing w:after="0" w:line="240" w:lineRule="auto"/>
        <w:jc w:val="both"/>
        <w:rPr>
          <w:rFonts w:ascii="Times New Roman" w:hAnsi="Times New Roman" w:eastAsia="Times New Roman"/>
          <w:bCs/>
          <w:sz w:val="28"/>
          <w:szCs w:val="28"/>
        </w:rPr>
      </w:pPr>
      <w:r w:rsidRPr="000D53FD">
        <w:rPr>
          <w:rFonts w:ascii="Times New Roman" w:hAnsi="Times New Roman" w:eastAsia="Times New Roman"/>
          <w:bCs/>
          <w:sz w:val="28"/>
          <w:szCs w:val="28"/>
        </w:rPr>
        <w:t>Pielikumā:</w:t>
      </w:r>
    </w:p>
    <w:p w:rsidRPr="00D20585" w:rsidR="004A2562" w:rsidP="004A2562" w:rsidRDefault="002A46A6" w14:paraId="7A0B7560" w14:textId="625B7C68">
      <w:pPr>
        <w:numPr>
          <w:ilvl w:val="0"/>
          <w:numId w:val="1"/>
        </w:numPr>
        <w:tabs>
          <w:tab w:val="left" w:pos="709"/>
        </w:tabs>
        <w:spacing w:after="0" w:line="240" w:lineRule="auto"/>
        <w:ind w:left="0" w:firstLine="0"/>
        <w:jc w:val="both"/>
        <w:outlineLvl w:val="1"/>
        <w:rPr>
          <w:rFonts w:ascii="Times New Roman" w:hAnsi="Times New Roman" w:eastAsia="Times New Roman"/>
          <w:sz w:val="28"/>
          <w:szCs w:val="28"/>
        </w:rPr>
      </w:pPr>
      <w:r w:rsidRPr="000D53FD">
        <w:rPr>
          <w:rFonts w:ascii="Times New Roman" w:hAnsi="Times New Roman" w:eastAsia="Times New Roman"/>
          <w:bCs/>
          <w:sz w:val="28"/>
          <w:szCs w:val="28"/>
        </w:rPr>
        <w:t xml:space="preserve">Protokollēmuma projekts par </w:t>
      </w:r>
      <w:r w:rsidRPr="00BD1854" w:rsidR="00BD1854">
        <w:rPr>
          <w:rFonts w:ascii="Times New Roman" w:hAnsi="Times New Roman"/>
          <w:iCs/>
          <w:sz w:val="28"/>
          <w:szCs w:val="28"/>
        </w:rPr>
        <w:t>Priekšlikumu Eiropas Parlamenta un Padomes regulai par maksām un nodevām, kuras maksājamas Eiropas Zāļu aģentūrai, un ar ko groza Eiropas Parlamenta un Padomes Regulu (ES) Nr. 2017/745, kā arī atceļ Padomes Regulu (EK) Nr. 297/95 un Eiropas Parlamenta un Padomes Regulu (ES) Nr. 658/2014</w:t>
      </w:r>
      <w:r w:rsidRPr="000D53FD">
        <w:rPr>
          <w:rFonts w:ascii="Times New Roman" w:hAnsi="Times New Roman" w:eastAsia="Times New Roman"/>
          <w:sz w:val="28"/>
          <w:szCs w:val="28"/>
        </w:rPr>
        <w:t xml:space="preserve"> uz 1</w:t>
      </w:r>
      <w:r>
        <w:rPr>
          <w:rFonts w:ascii="Times New Roman" w:hAnsi="Times New Roman" w:eastAsia="Times New Roman"/>
          <w:sz w:val="28"/>
          <w:szCs w:val="28"/>
        </w:rPr>
        <w:t xml:space="preserve"> lpp. (datne: </w:t>
      </w:r>
      <w:r w:rsidRPr="00D20585">
        <w:rPr>
          <w:rFonts w:ascii="Times New Roman" w:hAnsi="Times New Roman" w:eastAsia="Times New Roman"/>
          <w:sz w:val="28"/>
          <w:szCs w:val="28"/>
        </w:rPr>
        <w:t>VMprot_</w:t>
      </w:r>
      <w:r w:rsidR="00BD1854">
        <w:rPr>
          <w:rFonts w:ascii="Times New Roman" w:hAnsi="Times New Roman" w:eastAsia="Times New Roman"/>
          <w:sz w:val="28"/>
          <w:szCs w:val="28"/>
        </w:rPr>
        <w:t>250123</w:t>
      </w:r>
      <w:r w:rsidRPr="00D20585">
        <w:rPr>
          <w:rFonts w:ascii="Times New Roman" w:hAnsi="Times New Roman" w:eastAsia="Times New Roman"/>
          <w:sz w:val="28"/>
          <w:szCs w:val="28"/>
        </w:rPr>
        <w:t>_</w:t>
      </w:r>
      <w:r w:rsidR="00BD1854">
        <w:rPr>
          <w:rFonts w:ascii="Times New Roman" w:hAnsi="Times New Roman" w:eastAsia="Times New Roman"/>
          <w:sz w:val="28"/>
          <w:szCs w:val="28"/>
        </w:rPr>
        <w:t>EMA</w:t>
      </w:r>
      <w:r w:rsidRPr="00D20585">
        <w:rPr>
          <w:rFonts w:ascii="Times New Roman" w:hAnsi="Times New Roman" w:eastAsia="Times New Roman"/>
          <w:sz w:val="28"/>
          <w:szCs w:val="28"/>
        </w:rPr>
        <w:t>);</w:t>
      </w:r>
    </w:p>
    <w:p w:rsidRPr="00D20585" w:rsidR="004A2562" w:rsidP="004A2562" w:rsidRDefault="006F2092" w14:paraId="24A2D971" w14:textId="5620F837">
      <w:pPr>
        <w:numPr>
          <w:ilvl w:val="0"/>
          <w:numId w:val="1"/>
        </w:numPr>
        <w:tabs>
          <w:tab w:val="left" w:pos="709"/>
        </w:tabs>
        <w:spacing w:after="120" w:line="240" w:lineRule="auto"/>
        <w:ind w:left="0" w:firstLine="0"/>
        <w:jc w:val="both"/>
        <w:outlineLvl w:val="1"/>
        <w:rPr>
          <w:rFonts w:ascii="Times New Roman" w:hAnsi="Times New Roman" w:eastAsia="Times New Roman"/>
          <w:bCs/>
          <w:sz w:val="28"/>
          <w:szCs w:val="28"/>
        </w:rPr>
      </w:pPr>
      <w:r w:rsidRPr="006F2092">
        <w:rPr>
          <w:rFonts w:ascii="Times New Roman" w:hAnsi="Times New Roman" w:eastAsia="Times New Roman"/>
          <w:bCs/>
          <w:sz w:val="28"/>
          <w:szCs w:val="28"/>
        </w:rPr>
        <w:t>Latvijas nacionālās pozīcijas projekt</w:t>
      </w:r>
      <w:r>
        <w:rPr>
          <w:rFonts w:ascii="Times New Roman" w:hAnsi="Times New Roman" w:eastAsia="Times New Roman"/>
          <w:bCs/>
          <w:sz w:val="28"/>
          <w:szCs w:val="28"/>
        </w:rPr>
        <w:t>s</w:t>
      </w:r>
      <w:r w:rsidRPr="006F2092">
        <w:rPr>
          <w:rFonts w:ascii="Times New Roman" w:hAnsi="Times New Roman" w:eastAsia="Times New Roman"/>
          <w:bCs/>
          <w:sz w:val="28"/>
          <w:szCs w:val="28"/>
        </w:rPr>
        <w:t xml:space="preserve"> par </w:t>
      </w:r>
      <w:r w:rsidRPr="00BD1854" w:rsidR="00BD1854">
        <w:rPr>
          <w:rFonts w:ascii="Times New Roman" w:hAnsi="Times New Roman"/>
          <w:iCs/>
          <w:sz w:val="28"/>
          <w:szCs w:val="28"/>
        </w:rPr>
        <w:t>Priekšlikumu Eiropas Parlamenta un Padomes regulai par maksām un nodevām, kuras maksājamas Eiropas Zāļu aģentūrai, un ar ko groza Eiropas Parlamenta un Padomes Regulu (ES) Nr. 2017/745, kā arī atceļ Padomes Regulu (EK) Nr. 297/95 un Eiropas Parlamenta un Padomes Regulu (ES) Nr. 658/2014</w:t>
      </w:r>
      <w:r>
        <w:rPr>
          <w:rFonts w:ascii="Times New Roman" w:hAnsi="Times New Roman" w:eastAsia="Times New Roman"/>
          <w:bCs/>
          <w:sz w:val="28"/>
          <w:szCs w:val="28"/>
        </w:rPr>
        <w:t xml:space="preserve"> </w:t>
      </w:r>
      <w:r w:rsidRPr="00D20585" w:rsidR="002A46A6">
        <w:rPr>
          <w:rFonts w:ascii="Times New Roman" w:hAnsi="Times New Roman" w:eastAsia="Times New Roman"/>
          <w:bCs/>
          <w:sz w:val="28"/>
          <w:szCs w:val="28"/>
        </w:rPr>
        <w:t xml:space="preserve">uz </w:t>
      </w:r>
      <w:r w:rsidR="00BD1854">
        <w:rPr>
          <w:rFonts w:ascii="Times New Roman" w:hAnsi="Times New Roman" w:eastAsia="Times New Roman"/>
          <w:bCs/>
          <w:sz w:val="28"/>
          <w:szCs w:val="28"/>
        </w:rPr>
        <w:t>9</w:t>
      </w:r>
      <w:r w:rsidRPr="00D20585" w:rsidR="002A46A6">
        <w:rPr>
          <w:rFonts w:ascii="Times New Roman" w:hAnsi="Times New Roman" w:eastAsia="Times New Roman"/>
          <w:bCs/>
          <w:sz w:val="28"/>
          <w:szCs w:val="28"/>
        </w:rPr>
        <w:t> lpp. (datne: VM</w:t>
      </w:r>
      <w:r>
        <w:rPr>
          <w:rFonts w:ascii="Times New Roman" w:hAnsi="Times New Roman" w:eastAsia="Times New Roman"/>
          <w:bCs/>
          <w:sz w:val="28"/>
          <w:szCs w:val="28"/>
        </w:rPr>
        <w:t>sakpoz</w:t>
      </w:r>
      <w:r w:rsidRPr="00D20585" w:rsidR="002A46A6">
        <w:rPr>
          <w:rFonts w:ascii="Times New Roman" w:hAnsi="Times New Roman" w:eastAsia="Times New Roman"/>
          <w:bCs/>
          <w:sz w:val="28"/>
          <w:szCs w:val="28"/>
        </w:rPr>
        <w:t>_</w:t>
      </w:r>
      <w:r w:rsidR="00BD1854">
        <w:rPr>
          <w:rFonts w:ascii="Times New Roman" w:hAnsi="Times New Roman" w:eastAsia="Times New Roman"/>
          <w:sz w:val="28"/>
          <w:szCs w:val="28"/>
        </w:rPr>
        <w:t>250123</w:t>
      </w:r>
      <w:r w:rsidRPr="00D20585" w:rsidR="002A46A6">
        <w:rPr>
          <w:rFonts w:ascii="Times New Roman" w:hAnsi="Times New Roman" w:eastAsia="Times New Roman"/>
          <w:bCs/>
          <w:sz w:val="28"/>
          <w:szCs w:val="28"/>
        </w:rPr>
        <w:t>_</w:t>
      </w:r>
      <w:r>
        <w:rPr>
          <w:rFonts w:ascii="Times New Roman" w:hAnsi="Times New Roman" w:eastAsia="Times New Roman"/>
          <w:bCs/>
          <w:sz w:val="28"/>
          <w:szCs w:val="28"/>
        </w:rPr>
        <w:t>E</w:t>
      </w:r>
      <w:r w:rsidR="00BD1854">
        <w:rPr>
          <w:rFonts w:ascii="Times New Roman" w:hAnsi="Times New Roman" w:eastAsia="Times New Roman"/>
          <w:bCs/>
          <w:sz w:val="28"/>
          <w:szCs w:val="28"/>
        </w:rPr>
        <w:t>MA</w:t>
      </w:r>
      <w:r w:rsidRPr="00D20585" w:rsidR="002A46A6">
        <w:rPr>
          <w:rFonts w:ascii="Times New Roman" w:hAnsi="Times New Roman" w:eastAsia="Times New Roman"/>
          <w:bCs/>
          <w:sz w:val="28"/>
          <w:szCs w:val="28"/>
        </w:rPr>
        <w:t>).</w:t>
      </w:r>
    </w:p>
    <w:p w:rsidR="00EA1868" w:rsidP="00962685" w:rsidRDefault="00EA1868" w14:paraId="167C7761" w14:textId="77777777">
      <w:pPr>
        <w:spacing w:after="0" w:line="240" w:lineRule="auto"/>
        <w:ind w:firstLine="720"/>
        <w:rPr>
          <w:rFonts w:ascii="Times New Roman" w:hAnsi="Times New Roman"/>
          <w:sz w:val="28"/>
          <w:szCs w:val="28"/>
        </w:rPr>
      </w:pPr>
    </w:p>
    <w:p w:rsidRPr="005A3EEC" w:rsidR="006541D3" w:rsidP="006A2FD2" w:rsidRDefault="006541D3" w14:paraId="3FFC87F9" w14:textId="77777777">
      <w:pPr>
        <w:tabs>
          <w:tab w:val="center" w:pos="4678"/>
          <w:tab w:val="right" w:pos="9072"/>
        </w:tabs>
        <w:spacing w:after="0" w:line="240" w:lineRule="auto"/>
        <w:rPr>
          <w:rFonts w:ascii="Times New Roman" w:hAnsi="Times New Roman"/>
          <w:sz w:val="28"/>
          <w:szCs w:val="28"/>
        </w:rPr>
      </w:pPr>
    </w:p>
    <w:tbl>
      <w:tblPr>
        <w:tblStyle w:val="Reatab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686"/>
        <w:gridCol w:w="1134"/>
        <w:gridCol w:w="4251"/>
      </w:tblGrid>
      <w:tr w:rsidR="00446663" w:rsidTr="00F24F7D" w14:paraId="0A533B2D" w14:textId="77777777">
        <w:tc>
          <w:tcPr>
            <w:tcW w:w="3686" w:type="dxa"/>
          </w:tcPr>
          <w:p w:rsidRPr="005A3EEC" w:rsidR="00BE191A" w:rsidP="0041608F" w:rsidRDefault="002A46A6" w14:paraId="55F93D16" w14:textId="1E06FC31">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w:t>
            </w:r>
            <w:r w:rsidR="00D20585">
              <w:rPr>
                <w:rFonts w:eastAsia="Calibri"/>
                <w:noProof/>
                <w:sz w:val="28"/>
                <w:szCs w:val="28"/>
                <w:lang w:val="lv-LV"/>
              </w:rPr>
              <w:t>s</w:t>
            </w:r>
          </w:p>
        </w:tc>
        <w:tc>
          <w:tcPr>
            <w:tcW w:w="1134" w:type="dxa"/>
            <w:vAlign w:val="center"/>
          </w:tcPr>
          <w:p w:rsidRPr="005A3EEC" w:rsidR="00BE191A" w:rsidP="0041608F" w:rsidRDefault="002A46A6" w14:paraId="55A968D5" w14:textId="77777777">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Pr="005A3EEC" w:rsidR="00BE191A" w:rsidP="0041608F" w:rsidRDefault="00BD1854" w14:paraId="5F27862C" w14:textId="2858FDFE">
            <w:pPr>
              <w:pStyle w:val="pamattekststabul"/>
              <w:tabs>
                <w:tab w:val="left" w:pos="3969"/>
                <w:tab w:val="left" w:pos="6379"/>
              </w:tabs>
              <w:jc w:val="right"/>
              <w:rPr>
                <w:rFonts w:eastAsia="Calibri"/>
                <w:sz w:val="28"/>
                <w:szCs w:val="28"/>
                <w:lang w:val="lv-LV"/>
              </w:rPr>
            </w:pPr>
            <w:r>
              <w:rPr>
                <w:rFonts w:eastAsia="Calibri"/>
                <w:noProof/>
                <w:sz w:val="28"/>
                <w:szCs w:val="28"/>
                <w:lang w:val="lv-LV"/>
              </w:rPr>
              <w:t>Līga Meņģelsone</w:t>
            </w:r>
          </w:p>
        </w:tc>
      </w:tr>
    </w:tbl>
    <w:p w:rsidRPr="005A3EEC" w:rsidR="00BE191A" w:rsidP="00BE191A" w:rsidRDefault="00BE191A" w14:paraId="3611E41F" w14:textId="77777777">
      <w:pPr>
        <w:spacing w:after="0"/>
        <w:rPr>
          <w:rFonts w:ascii="Times New Roman" w:hAnsi="Times New Roman"/>
          <w:sz w:val="28"/>
          <w:szCs w:val="28"/>
        </w:rPr>
      </w:pPr>
    </w:p>
    <w:p w:rsidRPr="005A3EEC" w:rsidR="00BE191A" w:rsidP="00BE191A" w:rsidRDefault="00BE191A" w14:paraId="67694AA2" w14:textId="77777777">
      <w:pPr>
        <w:spacing w:after="0"/>
        <w:rPr>
          <w:rFonts w:ascii="Times New Roman" w:hAnsi="Times New Roman"/>
          <w:sz w:val="28"/>
          <w:szCs w:val="28"/>
        </w:rPr>
      </w:pPr>
    </w:p>
    <w:p w:rsidRPr="005A3EEC" w:rsidR="00BE191A" w:rsidP="00BD1854" w:rsidRDefault="00BD1854" w14:paraId="4D610CBB" w14:textId="7914C027">
      <w:pPr>
        <w:tabs>
          <w:tab w:val="left" w:pos="1050"/>
        </w:tabs>
        <w:spacing w:after="0"/>
        <w:rPr>
          <w:rFonts w:ascii="Times New Roman" w:hAnsi="Times New Roman"/>
          <w:sz w:val="28"/>
          <w:szCs w:val="28"/>
        </w:rPr>
      </w:pPr>
      <w:r>
        <w:rPr>
          <w:rFonts w:ascii="Times New Roman" w:hAnsi="Times New Roman"/>
          <w:sz w:val="28"/>
          <w:szCs w:val="28"/>
        </w:rPr>
        <w:tab/>
      </w:r>
    </w:p>
    <w:p w:rsidRPr="005A3EEC" w:rsidR="00BE191A" w:rsidP="00EA1868" w:rsidRDefault="00BD1854" w14:paraId="68FA7454" w14:textId="743CC55D">
      <w:pPr>
        <w:pStyle w:val="pamattekststabul"/>
        <w:spacing w:before="0" w:beforeAutospacing="false" w:after="0" w:afterAutospacing="false"/>
        <w:rPr>
          <w:lang w:val="lv-LV"/>
        </w:rPr>
      </w:pPr>
      <w:r>
        <w:rPr>
          <w:noProof/>
          <w:lang w:val="lv-LV"/>
        </w:rPr>
        <w:t>Takašovs</w:t>
      </w:r>
      <w:r w:rsidR="006F2092">
        <w:rPr>
          <w:noProof/>
          <w:lang w:val="lv-LV"/>
        </w:rPr>
        <w:t xml:space="preserve"> </w:t>
      </w:r>
      <w:r w:rsidRPr="005A3EEC" w:rsidR="002A46A6">
        <w:rPr>
          <w:noProof/>
          <w:lang w:val="lv-LV"/>
        </w:rPr>
        <w:t>6787602</w:t>
      </w:r>
      <w:r>
        <w:rPr>
          <w:noProof/>
          <w:lang w:val="lv-LV"/>
        </w:rPr>
        <w:t>5</w:t>
      </w:r>
    </w:p>
    <w:p w:rsidRPr="00E66F6C" w:rsidR="00E66F6C" w:rsidP="00BD1854" w:rsidRDefault="00BD1854" w14:paraId="7C293B13" w14:textId="092058C0">
      <w:pPr>
        <w:tabs>
          <w:tab w:val="right" w:pos="9356"/>
        </w:tabs>
        <w:spacing w:after="0"/>
        <w:rPr>
          <w:rFonts w:ascii="Times New Roman" w:hAnsi="Times New Roman"/>
          <w:noProof/>
          <w:sz w:val="24"/>
          <w:szCs w:val="24"/>
        </w:rPr>
      </w:pPr>
      <w:r>
        <w:rPr>
          <w:rFonts w:ascii="Times New Roman" w:hAnsi="Times New Roman"/>
          <w:noProof/>
          <w:sz w:val="24"/>
          <w:szCs w:val="24"/>
        </w:rPr>
        <w:t>aleksandrs.takasovs</w:t>
      </w:r>
      <w:r w:rsidRPr="003756FE" w:rsidR="002A46A6">
        <w:rPr>
          <w:rFonts w:ascii="Times New Roman" w:hAnsi="Times New Roman"/>
          <w:noProof/>
          <w:sz w:val="24"/>
          <w:szCs w:val="24"/>
        </w:rPr>
        <w:t>@vm.gov.lv</w:t>
      </w:r>
    </w:p>
    <w:sectPr w:rsidRPr="00E66F6C" w:rsidR="00E66F6C" w:rsidSect="005862AD">
      <w:headerReference w:type="default" r:id="rId9"/>
      <w:footerReference w:type="default" r:id="rId10"/>
      <w:headerReference w:type="first" r:id="rId11"/>
      <w:footerReference w:type="first" r:id="rId12"/>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82C1" w14:textId="77777777" w:rsidR="00353FF8" w:rsidRDefault="002A46A6">
      <w:pPr>
        <w:spacing w:after="0" w:line="240" w:lineRule="auto"/>
      </w:pPr>
      <w:r>
        <w:separator/>
      </w:r>
    </w:p>
  </w:endnote>
  <w:endnote w:type="continuationSeparator" w:id="0">
    <w:p w14:paraId="10DE0A60" w14:textId="77777777" w:rsidR="00353FF8" w:rsidRDefault="002A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CF09" w14:textId="2376FA36" w:rsidR="00D20585" w:rsidRDefault="00D20585" w:rsidP="00D20585">
    <w:pPr>
      <w:pStyle w:val="Kjene"/>
      <w:rPr>
        <w:rFonts w:ascii="Times New Roman" w:hAnsi="Times New Roman"/>
      </w:rPr>
    </w:pPr>
    <w:r>
      <w:rPr>
        <w:rFonts w:ascii="Times New Roman" w:hAnsi="Times New Roman"/>
      </w:rPr>
      <w:t>VMpav_</w:t>
    </w:r>
    <w:r w:rsidR="00BD1854">
      <w:rPr>
        <w:rFonts w:ascii="Times New Roman" w:hAnsi="Times New Roman"/>
      </w:rPr>
      <w:t>250123</w:t>
    </w:r>
    <w:r>
      <w:rPr>
        <w:rFonts w:ascii="Times New Roman" w:hAnsi="Times New Roman"/>
      </w:rPr>
      <w:t>_</w:t>
    </w:r>
    <w:r w:rsidR="006F2092">
      <w:rPr>
        <w:rFonts w:ascii="Times New Roman" w:hAnsi="Times New Roman"/>
      </w:rPr>
      <w:t>E</w:t>
    </w:r>
    <w:r w:rsidR="00BD1854">
      <w:rPr>
        <w:rFonts w:ascii="Times New Roman" w:hAnsi="Times New Roman"/>
      </w:rPr>
      <w:t>MA</w:t>
    </w:r>
  </w:p>
  <w:p w14:paraId="18178E33" w14:textId="77777777" w:rsidR="004A2562" w:rsidRDefault="004A2562" w:rsidP="004A2562">
    <w:pPr>
      <w:pStyle w:val="Kjene"/>
      <w:rPr>
        <w:rFonts w:ascii="Times New Roman" w:hAnsi="Times New Roman"/>
      </w:rPr>
    </w:pPr>
  </w:p>
  <w:p w14:paraId="5AB6EADB" w14:textId="77777777" w:rsidR="005E06C4" w:rsidRDefault="002A46A6" w:rsidP="00F24F7D">
    <w:pPr>
      <w:pStyle w:val="Kjene"/>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14:paraId="365CB378" w14:textId="77777777" w:rsidR="00F24F7D" w:rsidRPr="009D36CB" w:rsidRDefault="00F24F7D">
    <w:pPr>
      <w:pStyle w:val="Kjene"/>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0DDC" w14:textId="217715CA" w:rsidR="004A2562" w:rsidRDefault="002A46A6" w:rsidP="004A2562">
    <w:pPr>
      <w:pStyle w:val="Kjene"/>
      <w:rPr>
        <w:rFonts w:ascii="Times New Roman" w:hAnsi="Times New Roman"/>
      </w:rPr>
    </w:pPr>
    <w:r>
      <w:rPr>
        <w:rFonts w:ascii="Times New Roman" w:hAnsi="Times New Roman"/>
      </w:rPr>
      <w:t>VMpav_</w:t>
    </w:r>
    <w:r w:rsidR="00BD1854">
      <w:rPr>
        <w:rFonts w:ascii="Times New Roman" w:hAnsi="Times New Roman"/>
      </w:rPr>
      <w:t>250123</w:t>
    </w:r>
    <w:r>
      <w:rPr>
        <w:rFonts w:ascii="Times New Roman" w:hAnsi="Times New Roman"/>
      </w:rPr>
      <w:t>_</w:t>
    </w:r>
    <w:r w:rsidR="00BD1854">
      <w:rPr>
        <w:rFonts w:ascii="Times New Roman" w:hAnsi="Times New Roman"/>
      </w:rPr>
      <w:t>EMA</w:t>
    </w:r>
  </w:p>
  <w:p w14:paraId="6A2E8FDB" w14:textId="77777777" w:rsidR="005E06C4" w:rsidRDefault="002A46A6" w:rsidP="00BE191A">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1751A3B8" w14:textId="77777777" w:rsidR="00EA1868" w:rsidRPr="006541D3" w:rsidRDefault="00EA1868" w:rsidP="00BE191A">
    <w:pPr>
      <w:pStyle w:val="Kje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86E9" w14:textId="77777777" w:rsidR="00353FF8" w:rsidRDefault="002A46A6">
      <w:pPr>
        <w:spacing w:after="0" w:line="240" w:lineRule="auto"/>
      </w:pPr>
      <w:r>
        <w:separator/>
      </w:r>
    </w:p>
  </w:footnote>
  <w:footnote w:type="continuationSeparator" w:id="0">
    <w:p w14:paraId="30FB354E" w14:textId="77777777" w:rsidR="00353FF8" w:rsidRDefault="002A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909411739"/>
      <w:docPartObj>
        <w:docPartGallery w:val="Page Numbers (Top of Page)"/>
        <w:docPartUnique/>
      </w:docPartObj>
    </w:sdtPr>
    <w:sdtEndPr/>
    <w:sdtContent>
      <w:p w14:paraId="584D89DB" w14:textId="77777777" w:rsidR="005E06C4" w:rsidRPr="00126258" w:rsidRDefault="002A46A6">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2</w:t>
        </w:r>
        <w:r w:rsidRPr="00126258">
          <w:rPr>
            <w:rFonts w:ascii="Times New Roman" w:hAnsi="Times New Roman"/>
            <w:sz w:val="24"/>
            <w:szCs w:val="24"/>
          </w:rPr>
          <w:fldChar w:fldCharType="end"/>
        </w:r>
      </w:p>
    </w:sdtContent>
  </w:sdt>
  <w:p w14:paraId="31AE7498" w14:textId="77777777" w:rsidR="005E06C4" w:rsidRDefault="005E06C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811B" w14:textId="77777777" w:rsidR="007261FB" w:rsidRPr="007261FB" w:rsidRDefault="007261FB" w:rsidP="007261FB">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1D7AD1"/>
    <w:multiLevelType w:val="hybridMultilevel"/>
    <w:tmpl w:val="F8A09686"/>
    <w:lvl w:ilvl="0" w:tplc="16A88270">
      <w:start w:val="1"/>
      <w:numFmt w:val="decimal"/>
      <w:lvlText w:val="%1."/>
      <w:lvlJc w:val="left"/>
      <w:pPr>
        <w:ind w:left="720" w:hanging="360"/>
      </w:pPr>
    </w:lvl>
    <w:lvl w:ilvl="1" w:tplc="9DBCB246" w:tentative="1">
      <w:start w:val="1"/>
      <w:numFmt w:val="lowerLetter"/>
      <w:lvlText w:val="%2."/>
      <w:lvlJc w:val="left"/>
      <w:pPr>
        <w:ind w:left="1440" w:hanging="360"/>
      </w:pPr>
    </w:lvl>
    <w:lvl w:ilvl="2" w:tplc="D50CABEE" w:tentative="1">
      <w:start w:val="1"/>
      <w:numFmt w:val="lowerRoman"/>
      <w:lvlText w:val="%3."/>
      <w:lvlJc w:val="right"/>
      <w:pPr>
        <w:ind w:left="2160" w:hanging="180"/>
      </w:pPr>
    </w:lvl>
    <w:lvl w:ilvl="3" w:tplc="78DE3D0E" w:tentative="1">
      <w:start w:val="1"/>
      <w:numFmt w:val="decimal"/>
      <w:lvlText w:val="%4."/>
      <w:lvlJc w:val="left"/>
      <w:pPr>
        <w:ind w:left="2880" w:hanging="360"/>
      </w:pPr>
    </w:lvl>
    <w:lvl w:ilvl="4" w:tplc="B240B41C" w:tentative="1">
      <w:start w:val="1"/>
      <w:numFmt w:val="lowerLetter"/>
      <w:lvlText w:val="%5."/>
      <w:lvlJc w:val="left"/>
      <w:pPr>
        <w:ind w:left="3600" w:hanging="360"/>
      </w:pPr>
    </w:lvl>
    <w:lvl w:ilvl="5" w:tplc="1AD235E4" w:tentative="1">
      <w:start w:val="1"/>
      <w:numFmt w:val="lowerRoman"/>
      <w:lvlText w:val="%6."/>
      <w:lvlJc w:val="right"/>
      <w:pPr>
        <w:ind w:left="4320" w:hanging="180"/>
      </w:pPr>
    </w:lvl>
    <w:lvl w:ilvl="6" w:tplc="F61AC894" w:tentative="1">
      <w:start w:val="1"/>
      <w:numFmt w:val="decimal"/>
      <w:lvlText w:val="%7."/>
      <w:lvlJc w:val="left"/>
      <w:pPr>
        <w:ind w:left="5040" w:hanging="360"/>
      </w:pPr>
    </w:lvl>
    <w:lvl w:ilvl="7" w:tplc="4C0851CE" w:tentative="1">
      <w:start w:val="1"/>
      <w:numFmt w:val="lowerLetter"/>
      <w:lvlText w:val="%8."/>
      <w:lvlJc w:val="left"/>
      <w:pPr>
        <w:ind w:left="5760" w:hanging="360"/>
      </w:pPr>
    </w:lvl>
    <w:lvl w:ilvl="8" w:tplc="BE3694C4" w:tentative="1">
      <w:start w:val="1"/>
      <w:numFmt w:val="lowerRoman"/>
      <w:lvlText w:val="%9."/>
      <w:lvlJc w:val="right"/>
      <w:pPr>
        <w:ind w:left="6480" w:hanging="180"/>
      </w:pPr>
    </w:lvl>
  </w:abstractNum>
  <w:num w:numId="1" w16cid:durableId="97144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16B4"/>
    <w:rsid w:val="0000527F"/>
    <w:rsid w:val="000115D2"/>
    <w:rsid w:val="000256CA"/>
    <w:rsid w:val="00026358"/>
    <w:rsid w:val="00026646"/>
    <w:rsid w:val="0002675F"/>
    <w:rsid w:val="00032602"/>
    <w:rsid w:val="0004599D"/>
    <w:rsid w:val="00050A7F"/>
    <w:rsid w:val="00056D94"/>
    <w:rsid w:val="00071EA6"/>
    <w:rsid w:val="000726A8"/>
    <w:rsid w:val="00076969"/>
    <w:rsid w:val="00076AA3"/>
    <w:rsid w:val="00084361"/>
    <w:rsid w:val="00091DD9"/>
    <w:rsid w:val="00097F9D"/>
    <w:rsid w:val="000A1011"/>
    <w:rsid w:val="000A5A49"/>
    <w:rsid w:val="000A61F3"/>
    <w:rsid w:val="000B12AC"/>
    <w:rsid w:val="000B7899"/>
    <w:rsid w:val="000D181F"/>
    <w:rsid w:val="000D2AB9"/>
    <w:rsid w:val="000D3DF7"/>
    <w:rsid w:val="000D49B5"/>
    <w:rsid w:val="000D53FD"/>
    <w:rsid w:val="000D54E3"/>
    <w:rsid w:val="000E1E20"/>
    <w:rsid w:val="000E429F"/>
    <w:rsid w:val="000F377C"/>
    <w:rsid w:val="000F4E7C"/>
    <w:rsid w:val="00104654"/>
    <w:rsid w:val="00110E85"/>
    <w:rsid w:val="00123CBF"/>
    <w:rsid w:val="00126258"/>
    <w:rsid w:val="00126F5A"/>
    <w:rsid w:val="00127A26"/>
    <w:rsid w:val="00130889"/>
    <w:rsid w:val="00131EF9"/>
    <w:rsid w:val="001321DF"/>
    <w:rsid w:val="00134E5B"/>
    <w:rsid w:val="001545B7"/>
    <w:rsid w:val="001553D6"/>
    <w:rsid w:val="00160DFB"/>
    <w:rsid w:val="001632CE"/>
    <w:rsid w:val="00166EC1"/>
    <w:rsid w:val="00172A3B"/>
    <w:rsid w:val="001753BE"/>
    <w:rsid w:val="00177683"/>
    <w:rsid w:val="00177E78"/>
    <w:rsid w:val="00184599"/>
    <w:rsid w:val="00191A1D"/>
    <w:rsid w:val="00196A44"/>
    <w:rsid w:val="001A31B8"/>
    <w:rsid w:val="001A7BEF"/>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27E68"/>
    <w:rsid w:val="00233A18"/>
    <w:rsid w:val="002409C9"/>
    <w:rsid w:val="0025235E"/>
    <w:rsid w:val="00255074"/>
    <w:rsid w:val="00256676"/>
    <w:rsid w:val="002778B0"/>
    <w:rsid w:val="002930BF"/>
    <w:rsid w:val="00293BD5"/>
    <w:rsid w:val="002A3540"/>
    <w:rsid w:val="002A4619"/>
    <w:rsid w:val="002A46A6"/>
    <w:rsid w:val="002A661C"/>
    <w:rsid w:val="002B6E80"/>
    <w:rsid w:val="002C4CF2"/>
    <w:rsid w:val="002E23D6"/>
    <w:rsid w:val="002F0CCC"/>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248E"/>
    <w:rsid w:val="00353FF8"/>
    <w:rsid w:val="00355797"/>
    <w:rsid w:val="00361D64"/>
    <w:rsid w:val="00364BC5"/>
    <w:rsid w:val="00370D43"/>
    <w:rsid w:val="00373E81"/>
    <w:rsid w:val="003756FE"/>
    <w:rsid w:val="003764A9"/>
    <w:rsid w:val="003768FB"/>
    <w:rsid w:val="00377916"/>
    <w:rsid w:val="00380B22"/>
    <w:rsid w:val="00383773"/>
    <w:rsid w:val="0038672B"/>
    <w:rsid w:val="00392DA3"/>
    <w:rsid w:val="003966CF"/>
    <w:rsid w:val="003A28B1"/>
    <w:rsid w:val="003A335B"/>
    <w:rsid w:val="003A5A3B"/>
    <w:rsid w:val="003B5DA1"/>
    <w:rsid w:val="003C1784"/>
    <w:rsid w:val="003C5F22"/>
    <w:rsid w:val="003D1F57"/>
    <w:rsid w:val="003D7430"/>
    <w:rsid w:val="003E29F0"/>
    <w:rsid w:val="003E6052"/>
    <w:rsid w:val="003F169F"/>
    <w:rsid w:val="004022F1"/>
    <w:rsid w:val="00404C8E"/>
    <w:rsid w:val="00415AAA"/>
    <w:rsid w:val="0041608F"/>
    <w:rsid w:val="00424025"/>
    <w:rsid w:val="0043271F"/>
    <w:rsid w:val="004458A7"/>
    <w:rsid w:val="00445D62"/>
    <w:rsid w:val="00446663"/>
    <w:rsid w:val="00453587"/>
    <w:rsid w:val="00457C58"/>
    <w:rsid w:val="00461490"/>
    <w:rsid w:val="00466BEC"/>
    <w:rsid w:val="004712B6"/>
    <w:rsid w:val="004818CE"/>
    <w:rsid w:val="00485F41"/>
    <w:rsid w:val="004918FE"/>
    <w:rsid w:val="00494D8F"/>
    <w:rsid w:val="0049705D"/>
    <w:rsid w:val="004A0A94"/>
    <w:rsid w:val="004A2562"/>
    <w:rsid w:val="004A4D7F"/>
    <w:rsid w:val="004A6461"/>
    <w:rsid w:val="004A6D08"/>
    <w:rsid w:val="004A7518"/>
    <w:rsid w:val="004B2796"/>
    <w:rsid w:val="004C2657"/>
    <w:rsid w:val="004C2BA4"/>
    <w:rsid w:val="004C6F24"/>
    <w:rsid w:val="004C7EC3"/>
    <w:rsid w:val="004C7FBA"/>
    <w:rsid w:val="004D6F51"/>
    <w:rsid w:val="004E0D7A"/>
    <w:rsid w:val="004E4165"/>
    <w:rsid w:val="004E77A8"/>
    <w:rsid w:val="004F2FD9"/>
    <w:rsid w:val="004F4A94"/>
    <w:rsid w:val="004F5A8D"/>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37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4441"/>
    <w:rsid w:val="005C6E0E"/>
    <w:rsid w:val="005D2A31"/>
    <w:rsid w:val="005D64BA"/>
    <w:rsid w:val="005D7801"/>
    <w:rsid w:val="005E06C4"/>
    <w:rsid w:val="005F6F12"/>
    <w:rsid w:val="005F7A3C"/>
    <w:rsid w:val="00610F9D"/>
    <w:rsid w:val="00611A31"/>
    <w:rsid w:val="006151E9"/>
    <w:rsid w:val="006158EA"/>
    <w:rsid w:val="006160EE"/>
    <w:rsid w:val="0062495A"/>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9282A"/>
    <w:rsid w:val="00694243"/>
    <w:rsid w:val="006A0531"/>
    <w:rsid w:val="006A2FD2"/>
    <w:rsid w:val="006B30C2"/>
    <w:rsid w:val="006C1779"/>
    <w:rsid w:val="006C3F70"/>
    <w:rsid w:val="006D47FC"/>
    <w:rsid w:val="006E1E5C"/>
    <w:rsid w:val="006E22F9"/>
    <w:rsid w:val="006E490F"/>
    <w:rsid w:val="006E53D9"/>
    <w:rsid w:val="006E7DC0"/>
    <w:rsid w:val="006F2092"/>
    <w:rsid w:val="006F49E4"/>
    <w:rsid w:val="006F5C7C"/>
    <w:rsid w:val="006F7FAF"/>
    <w:rsid w:val="00701264"/>
    <w:rsid w:val="00707D30"/>
    <w:rsid w:val="00711948"/>
    <w:rsid w:val="00713E4E"/>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6214"/>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3835"/>
    <w:rsid w:val="0084694B"/>
    <w:rsid w:val="008471C1"/>
    <w:rsid w:val="00851B24"/>
    <w:rsid w:val="00854FF6"/>
    <w:rsid w:val="008616C4"/>
    <w:rsid w:val="008674A1"/>
    <w:rsid w:val="00873D99"/>
    <w:rsid w:val="00876647"/>
    <w:rsid w:val="00880F53"/>
    <w:rsid w:val="00883CBA"/>
    <w:rsid w:val="00884273"/>
    <w:rsid w:val="008878F9"/>
    <w:rsid w:val="00890F13"/>
    <w:rsid w:val="00896C39"/>
    <w:rsid w:val="008A04D0"/>
    <w:rsid w:val="008B259C"/>
    <w:rsid w:val="008B47BA"/>
    <w:rsid w:val="008B53DC"/>
    <w:rsid w:val="008C05F5"/>
    <w:rsid w:val="008C5F6C"/>
    <w:rsid w:val="008C7292"/>
    <w:rsid w:val="008D0193"/>
    <w:rsid w:val="008D18D6"/>
    <w:rsid w:val="008E3A8E"/>
    <w:rsid w:val="008F1DEF"/>
    <w:rsid w:val="008F3E94"/>
    <w:rsid w:val="008F70C3"/>
    <w:rsid w:val="00902CA9"/>
    <w:rsid w:val="0091364A"/>
    <w:rsid w:val="00916705"/>
    <w:rsid w:val="009202C1"/>
    <w:rsid w:val="00923055"/>
    <w:rsid w:val="00925A9A"/>
    <w:rsid w:val="00926F46"/>
    <w:rsid w:val="00927820"/>
    <w:rsid w:val="0095437C"/>
    <w:rsid w:val="00960B85"/>
    <w:rsid w:val="00962685"/>
    <w:rsid w:val="00964904"/>
    <w:rsid w:val="00966689"/>
    <w:rsid w:val="00970D6E"/>
    <w:rsid w:val="00971791"/>
    <w:rsid w:val="00972621"/>
    <w:rsid w:val="009742B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2415"/>
    <w:rsid w:val="009D36CB"/>
    <w:rsid w:val="009D48DA"/>
    <w:rsid w:val="009D5CA0"/>
    <w:rsid w:val="009E4D02"/>
    <w:rsid w:val="009F02C5"/>
    <w:rsid w:val="009F194F"/>
    <w:rsid w:val="00A04A07"/>
    <w:rsid w:val="00A06E6A"/>
    <w:rsid w:val="00A11284"/>
    <w:rsid w:val="00A17C38"/>
    <w:rsid w:val="00A2025F"/>
    <w:rsid w:val="00A20BAF"/>
    <w:rsid w:val="00A35B7B"/>
    <w:rsid w:val="00A36317"/>
    <w:rsid w:val="00A477D6"/>
    <w:rsid w:val="00A47AB2"/>
    <w:rsid w:val="00A47C5D"/>
    <w:rsid w:val="00A64F41"/>
    <w:rsid w:val="00A673E6"/>
    <w:rsid w:val="00A72C84"/>
    <w:rsid w:val="00A74B06"/>
    <w:rsid w:val="00A756E7"/>
    <w:rsid w:val="00A757DC"/>
    <w:rsid w:val="00A84A4C"/>
    <w:rsid w:val="00A9636F"/>
    <w:rsid w:val="00A9639A"/>
    <w:rsid w:val="00AA26BA"/>
    <w:rsid w:val="00AA4C3C"/>
    <w:rsid w:val="00AB124F"/>
    <w:rsid w:val="00AB350C"/>
    <w:rsid w:val="00AB7C19"/>
    <w:rsid w:val="00AC0627"/>
    <w:rsid w:val="00AD5FB4"/>
    <w:rsid w:val="00AE0974"/>
    <w:rsid w:val="00AE4FFA"/>
    <w:rsid w:val="00AE642B"/>
    <w:rsid w:val="00AF0347"/>
    <w:rsid w:val="00AF6D7C"/>
    <w:rsid w:val="00B0037C"/>
    <w:rsid w:val="00B14D75"/>
    <w:rsid w:val="00B20901"/>
    <w:rsid w:val="00B37546"/>
    <w:rsid w:val="00B41855"/>
    <w:rsid w:val="00B45FF9"/>
    <w:rsid w:val="00B61591"/>
    <w:rsid w:val="00B7320B"/>
    <w:rsid w:val="00B749CC"/>
    <w:rsid w:val="00B7575D"/>
    <w:rsid w:val="00B77AB5"/>
    <w:rsid w:val="00B8084E"/>
    <w:rsid w:val="00B8104F"/>
    <w:rsid w:val="00B8421D"/>
    <w:rsid w:val="00B853A6"/>
    <w:rsid w:val="00B92DD6"/>
    <w:rsid w:val="00B9342E"/>
    <w:rsid w:val="00BA5A8A"/>
    <w:rsid w:val="00BA7BAB"/>
    <w:rsid w:val="00BB120E"/>
    <w:rsid w:val="00BB16EA"/>
    <w:rsid w:val="00BB18EA"/>
    <w:rsid w:val="00BB2022"/>
    <w:rsid w:val="00BB63CD"/>
    <w:rsid w:val="00BD1854"/>
    <w:rsid w:val="00BD73D9"/>
    <w:rsid w:val="00BE191A"/>
    <w:rsid w:val="00BE3EB8"/>
    <w:rsid w:val="00BE5647"/>
    <w:rsid w:val="00BF2971"/>
    <w:rsid w:val="00BF781D"/>
    <w:rsid w:val="00C01B12"/>
    <w:rsid w:val="00C03EE4"/>
    <w:rsid w:val="00C05679"/>
    <w:rsid w:val="00C36C93"/>
    <w:rsid w:val="00C40E72"/>
    <w:rsid w:val="00C43A00"/>
    <w:rsid w:val="00C67C69"/>
    <w:rsid w:val="00C86E4C"/>
    <w:rsid w:val="00C870DA"/>
    <w:rsid w:val="00C9274C"/>
    <w:rsid w:val="00C94355"/>
    <w:rsid w:val="00C96DA8"/>
    <w:rsid w:val="00C9789F"/>
    <w:rsid w:val="00CA0787"/>
    <w:rsid w:val="00CA6EE9"/>
    <w:rsid w:val="00CB110D"/>
    <w:rsid w:val="00CC344E"/>
    <w:rsid w:val="00CC4FD3"/>
    <w:rsid w:val="00CC51FE"/>
    <w:rsid w:val="00CD4D6D"/>
    <w:rsid w:val="00CD6AD2"/>
    <w:rsid w:val="00CE112B"/>
    <w:rsid w:val="00CE3CC5"/>
    <w:rsid w:val="00CF1EB0"/>
    <w:rsid w:val="00CF4425"/>
    <w:rsid w:val="00D00FD2"/>
    <w:rsid w:val="00D0758B"/>
    <w:rsid w:val="00D10C6B"/>
    <w:rsid w:val="00D12888"/>
    <w:rsid w:val="00D13677"/>
    <w:rsid w:val="00D13CC5"/>
    <w:rsid w:val="00D14571"/>
    <w:rsid w:val="00D15161"/>
    <w:rsid w:val="00D20585"/>
    <w:rsid w:val="00D20E32"/>
    <w:rsid w:val="00D25D57"/>
    <w:rsid w:val="00D34B6E"/>
    <w:rsid w:val="00D45F38"/>
    <w:rsid w:val="00D52F78"/>
    <w:rsid w:val="00D54D31"/>
    <w:rsid w:val="00D63A87"/>
    <w:rsid w:val="00D63CBB"/>
    <w:rsid w:val="00D63D80"/>
    <w:rsid w:val="00D64340"/>
    <w:rsid w:val="00D658A2"/>
    <w:rsid w:val="00D677D1"/>
    <w:rsid w:val="00D74FD3"/>
    <w:rsid w:val="00D75345"/>
    <w:rsid w:val="00D824C3"/>
    <w:rsid w:val="00D85645"/>
    <w:rsid w:val="00D86736"/>
    <w:rsid w:val="00D86BA7"/>
    <w:rsid w:val="00D92B69"/>
    <w:rsid w:val="00D93B6A"/>
    <w:rsid w:val="00D94A5D"/>
    <w:rsid w:val="00D96676"/>
    <w:rsid w:val="00DA0538"/>
    <w:rsid w:val="00DA77BC"/>
    <w:rsid w:val="00DB0190"/>
    <w:rsid w:val="00DB6B7A"/>
    <w:rsid w:val="00DB6E26"/>
    <w:rsid w:val="00DC00FB"/>
    <w:rsid w:val="00DC13B6"/>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50414"/>
    <w:rsid w:val="00E649F6"/>
    <w:rsid w:val="00E65763"/>
    <w:rsid w:val="00E66F6C"/>
    <w:rsid w:val="00E71132"/>
    <w:rsid w:val="00E72448"/>
    <w:rsid w:val="00E74099"/>
    <w:rsid w:val="00E76981"/>
    <w:rsid w:val="00E8323E"/>
    <w:rsid w:val="00E861B9"/>
    <w:rsid w:val="00E90EB5"/>
    <w:rsid w:val="00E93E37"/>
    <w:rsid w:val="00E9757D"/>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6569"/>
    <w:rsid w:val="00F07758"/>
    <w:rsid w:val="00F12597"/>
    <w:rsid w:val="00F13BE8"/>
    <w:rsid w:val="00F14F1B"/>
    <w:rsid w:val="00F159C3"/>
    <w:rsid w:val="00F17D57"/>
    <w:rsid w:val="00F22532"/>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B10D0"/>
    <w:rsid w:val="00FB355D"/>
    <w:rsid w:val="00FB4F1A"/>
    <w:rsid w:val="00FB50D3"/>
    <w:rsid w:val="00FC0EFF"/>
    <w:rsid w:val="00FC1D1C"/>
    <w:rsid w:val="00FC24BD"/>
    <w:rsid w:val="00FD465D"/>
    <w:rsid w:val="00FD6B28"/>
    <w:rsid w:val="00FD7FAD"/>
    <w:rsid w:val="00FE697D"/>
    <w:rsid w:val="00FE70A0"/>
    <w:rsid w:val="00FF0F76"/>
    <w:rsid w:val="00FF4B92"/>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Parastatabula"/>
    <w:next w:val="Reatabula"/>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4A2562"/>
    <w:pPr>
      <w:widowControl/>
      <w:spacing w:after="0" w:line="240" w:lineRule="auto"/>
      <w:jc w:val="both"/>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25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B40D87B-09DF-491E-AE15-FAC30DC9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1881</Words>
  <Characters>1073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Eiropas Savienības veselības  ministru 2022 gada 6.-7.septembra neformālajā sanāksmē izskatāmajiem  jautājumiem”</vt:lpstr>
      <vt:lpstr>Par informatīvo ziņojumu “Par  Eiropas Savienības veselības  ministru 2022 gada 6.-7.septembra neformālajā sanāksmē izskatāmajiem  jautājumiem”</vt:lpstr>
    </vt:vector>
  </TitlesOfParts>
  <Company>Veselības ministrija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Eiropas Savienības veselības  ministru 2022 gada 6.-7.septembra neformālajā sanāksmē izskatāmajiem  jautājumiem”</dc:title>
  <dc:creator>outsource</dc:creator>
  <cp:lastModifiedBy>Aleksandrs Takašovs</cp:lastModifiedBy>
  <cp:revision>5</cp:revision>
  <cp:lastPrinted>2015-07-10T08:13:00Z</cp:lastPrinted>
  <dcterms:created xsi:type="dcterms:W3CDTF">2022-08-29T13:14:00Z</dcterms:created>
  <dcterms:modified xsi:type="dcterms:W3CDTF">2023-01-25T18:38:00Z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idcName">
    <vt:lpwstr>1020404016200</vt:lpwstr>
  </property>
  <property fmtid="{D5CDD505-2E9C-101B-9397-08002B2CF9AE}" pid="3" name="DISdID">
    <vt:lpwstr>455835</vt:lpwstr>
  </property>
  <property fmtid="{D5CDD505-2E9C-101B-9397-08002B2CF9AE}" pid="4" name="DISCesvisTitle">
    <vt:lpwstr>Par Latvijas nacionālās pozīcijas projektu par Priekšlikumu Eiropas Parlamenta un Padomes regulai par maksām un nodevām, kuras maksājamas Eiropas Zāļu aģentūrai, un ar ko groza Eiropas Parlamenta un Padomes Regulu (ES) Nr. 2017/745, kā arī atceļ Padomes Regulu (EK) Nr. 297/95 un Eiropas Parlamenta un Padomes Regulu (ES) Nr. 658/2014</vt:lpwstr>
  </property>
  <property fmtid="{D5CDD505-2E9C-101B-9397-08002B2CF9AE}" pid="5" name="DIScgiUrl">
    <vt:lpwstr>https://lim.esvis.gov.lv/cs/idcplg</vt:lpwstr>
  </property>
  <property fmtid="{D5CDD505-2E9C-101B-9397-08002B2CF9AE}" pid="6" name="DISCesvisMinistryOfMinister">
    <vt:lpwstr>wwTemplateNP_MinistryOfMinister(Veselības,)</vt:lpwstr>
  </property>
  <property fmtid="{D5CDD505-2E9C-101B-9397-08002B2CF9AE}" pid="7" name="DISCesvisSafetyLevel">
    <vt:lpwstr>Vispārpieejams</vt:lpwstr>
  </property>
  <property fmtid="{D5CDD505-2E9C-101B-9397-08002B2CF9AE}" pid="8" name="DISCesvisSigner">
    <vt:lpwstr>Ministre Līga Meņģelsone</vt:lpwstr>
  </property>
  <property fmtid="{D5CDD505-2E9C-101B-9397-08002B2CF9AE}" pid="9" name="DISProperties">
    <vt:lpwstr>DISCesvisAdditionalMakers,DIScgiUrl,DISdDocName,DISCesvisAdditionalMakersPhone,DISCesvisSigner,DISTaskPaneUrl,DISCesvisSafetyLevel,DISCesvisTitle,DISCesvisDocRegDate,DISCesvisMinistryOfMinister,DISCesvisAuthor,DISCesvisMainMaker,DISCesvisRelatedDocNP,DISidcName,DISCesvisAdditionalMakersMail,DISdUser,DISCesvisRegDate,DISCesvisDocRegNr,DISdID,DISCesvisMainMakerOrgUnitTitle</vt:lpwstr>
  </property>
  <property fmtid="{D5CDD505-2E9C-101B-9397-08002B2CF9AE}" pid="10" name="DISTaskPaneUrl">
    <vt:lpwstr>https://lim.esvis.gov.lv/cs/idcplg?ClientControlled=DocMan&amp;coreContentOnly=1&amp;WebdavRequest=1&amp;IdcService=DOC_INFO&amp;dID=455835</vt:lpwstr>
  </property>
  <property fmtid="{D5CDD505-2E9C-101B-9397-08002B2CF9AE}" pid="11" name="DISCesvisAuthor">
    <vt:lpwstr>Veselības ministrija</vt:lpwstr>
  </property>
  <property fmtid="{D5CDD505-2E9C-101B-9397-08002B2CF9AE}" pid="12" name="DISdUser">
    <vt:lpwstr>weblogic</vt:lpwstr>
  </property>
  <property fmtid="{D5CDD505-2E9C-101B-9397-08002B2CF9AE}" pid="13" name="DISdDocName">
    <vt:lpwstr>L370052</vt:lpwstr>
  </property>
  <property fmtid="{D5CDD505-2E9C-101B-9397-08002B2CF9AE}" pid="14" name="DISCesvisAdditionalMakers">
    <vt:lpwstr>Vecākais eksperts Aleksandrs Takašovs</vt:lpwstr>
  </property>
  <property fmtid="{D5CDD505-2E9C-101B-9397-08002B2CF9AE}" pid="15" name="DISCesvisAdditionalMakersPhone">
    <vt:lpwstr>67876025</vt:lpwstr>
  </property>
  <property fmtid="{D5CDD505-2E9C-101B-9397-08002B2CF9AE}" pid="16" name="DISCesvisMainMaker">
    <vt:lpwstr>Vecākais eksperts Aleksandrs Takašovs</vt:lpwstr>
  </property>
  <property fmtid="{D5CDD505-2E9C-101B-9397-08002B2CF9AE}" pid="17" name="DISCesvisAdditionalMakersMail">
    <vt:lpwstr>aleksandrs.takasovs@vm.gov.lv</vt:lpwstr>
  </property>
  <property fmtid="{D5CDD505-2E9C-101B-9397-08002B2CF9AE}" pid="18" name="DISCesvisMainMakerOrgUnitTitle">
    <vt:lpwstr>Eiropas lietu un starptautiskās sadarbības departaments</vt:lpwstr>
  </property>
  <property fmtid="{D5CDD505-2E9C-101B-9397-08002B2CF9AE}" pid="19" name="DISCesvisRelatedDocNP">
    <vt:lpwstr>Priekšlikums Eiropas Parlamenta un Padomes regulai par maksām un nodevām, kuras maksājamas Eiropas Zāļu aģentūrai, un ar ko groza Eiropas Parlamenta un Padomes Regulu (ES) Nr. 2017/745, kā arī atceļ Padomes Regulu (EK) Nr. 297/95 un Eiropas Parlamenta un Padomes Regulu (ES) Nr. 658/2014</vt:lpwstr>
  </property>
  <property fmtid="{D5CDD505-2E9C-101B-9397-08002B2CF9AE}" pid="20" name="DISCesvisDocRegDate">
    <vt:lpwstr>2023-02-01</vt:lpwstr>
  </property>
  <property fmtid="{D5CDD505-2E9C-101B-9397-08002B2CF9AE}" pid="21" name="DISCesvisRegDate">
    <vt:lpwstr>2023-02-01</vt:lpwstr>
  </property>
  <property fmtid="{D5CDD505-2E9C-101B-9397-08002B2CF9AE}" pid="22" name="DISCesvisDocRegNr">
    <vt:lpwstr>PV-13</vt:lpwstr>
  </property>
</Properties>
</file>