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0928E" w14:textId="4991183C" w:rsidR="005541BA" w:rsidRPr="00BA54E6" w:rsidRDefault="005541BA" w:rsidP="00BA54E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4D4C">
        <w:rPr>
          <w:rFonts w:ascii="Times New Roman" w:hAnsi="Times New Roman" w:cs="Times New Roman"/>
          <w:b/>
          <w:bCs/>
          <w:sz w:val="28"/>
          <w:szCs w:val="28"/>
        </w:rPr>
        <w:t xml:space="preserve">Kopsavilkums informatīvajam ziņojumam </w:t>
      </w:r>
      <w:r w:rsidR="00213D21" w:rsidRPr="00213D21">
        <w:rPr>
          <w:rFonts w:ascii="Times New Roman" w:hAnsi="Times New Roman" w:cs="Times New Roman"/>
          <w:b/>
          <w:bCs/>
          <w:sz w:val="28"/>
          <w:szCs w:val="28"/>
        </w:rPr>
        <w:t xml:space="preserve"> “Par Ekonomikas ministrijai Valdības deklarācijā un Valdības rīcības plānā noteikto uzdevumu izpildi, kā arī plānoto apņemšanos īstenošanu un pasākumu ietekmi uz Latgales reģionu”</w:t>
      </w:r>
    </w:p>
    <w:p w14:paraId="22DFF5FA" w14:textId="6684A0D2" w:rsidR="005541BA" w:rsidRDefault="00BD2D69" w:rsidP="003B23A9">
      <w:pPr>
        <w:spacing w:before="60" w:after="6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4D4C">
        <w:rPr>
          <w:rStyle w:val="normaltextrun"/>
          <w:rFonts w:ascii="Times New Roman" w:hAnsi="Times New Roman" w:cs="Times New Roman"/>
          <w:color w:val="000000"/>
          <w:sz w:val="24"/>
          <w:szCs w:val="24"/>
        </w:rPr>
        <w:t xml:space="preserve">Laika posmā no 2019.gada līdz 2022.gadam ekonomisko attīstību Latvijā būtiski ietekmēja </w:t>
      </w:r>
      <w:r w:rsidRPr="00FC4D4C">
        <w:rPr>
          <w:rFonts w:ascii="Times New Roman" w:hAnsi="Times New Roman" w:cs="Times New Roman"/>
          <w:sz w:val="24"/>
          <w:szCs w:val="24"/>
        </w:rPr>
        <w:t xml:space="preserve">Covid-19 pandēmija un kopš 2022.gada 24.februāra Krievijas agresija pret Ukrainu. Pateicoties apjomīgajiem valdības un Eiropas Savienības fondu atbalsta pasākumiem, Latvijas ekonomika 2022.gadā turpina atveseļoties, taču </w:t>
      </w:r>
      <w:r w:rsidR="00FC4D4C" w:rsidRPr="00FC4D4C">
        <w:rPr>
          <w:rFonts w:ascii="Times New Roman" w:hAnsi="Times New Roman" w:cs="Times New Roman"/>
          <w:sz w:val="24"/>
          <w:szCs w:val="24"/>
        </w:rPr>
        <w:t xml:space="preserve">Ekonomikas ministrija prognozē, ka 2022.gadā ekonomikas izaugsme ģeopolitisko faktoru dēļ samazināsies par vismaz 3 procentpunktiem salīdzinājumā ar iepriekš prognozēto. </w:t>
      </w:r>
    </w:p>
    <w:p w14:paraId="4E9ED01B" w14:textId="5DC89780" w:rsidR="00EE55A8" w:rsidRPr="00F24E0E" w:rsidRDefault="00EE55A8" w:rsidP="003B23A9">
      <w:pPr>
        <w:spacing w:before="60" w:after="60" w:line="24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4E0E">
        <w:rPr>
          <w:rFonts w:ascii="Times New Roman" w:hAnsi="Times New Roman" w:cs="Times New Roman"/>
          <w:color w:val="000000" w:themeColor="text1"/>
          <w:sz w:val="24"/>
          <w:szCs w:val="24"/>
        </w:rPr>
        <w:t>Lai nodrošinātu Ministru kabineta 2019.gada 7.maijā apstiprinātā Valdības rīcības plānu Deklarāciju par Artura Krišjāņa Kariņa vadītā Ministru kabineta iecerēto darbību īstenošanu, Ekonomikas līdz šim nodrošinājusi mērķtiecīgu noteikto darbību īstenošanu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F24E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proaktīvi pielāgoties mainīgajiem ekonomiskajiem apstākļiem un jauniem izaicinājumiem tautsaimniecības attīstības transformācijā. </w:t>
      </w:r>
    </w:p>
    <w:p w14:paraId="29277FE8" w14:textId="1DCA48F2" w:rsidR="00627ECA" w:rsidRPr="00F24E0E" w:rsidRDefault="00627ECA" w:rsidP="003B23A9">
      <w:pPr>
        <w:spacing w:before="60" w:after="60" w:line="24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4E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 Artura Krišjāņa Kariņa vadītā Ministru kabineta apstiprināšanas </w:t>
      </w:r>
      <w:r w:rsidRPr="00627EC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Ekonomikas ministrija</w:t>
      </w:r>
      <w:r w:rsidRPr="00F24E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savā atbildības jomā </w:t>
      </w:r>
      <w:r w:rsidRPr="00627EC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kopš 2019.gada ir nodrošinājusi vairāk nekā 50 uzdevumu īstenošanu</w:t>
      </w:r>
      <w:r w:rsidRPr="00F24E0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Ekonomikas ministrijai uzdotie uzdevumi ir noteikti četros Deklarācijas rīcības virzienos:</w:t>
      </w:r>
    </w:p>
    <w:p w14:paraId="6B62BAD3" w14:textId="77777777" w:rsidR="00627ECA" w:rsidRDefault="00627ECA" w:rsidP="003B23A9">
      <w:pPr>
        <w:pStyle w:val="ListParagraph"/>
        <w:numPr>
          <w:ilvl w:val="0"/>
          <w:numId w:val="1"/>
        </w:numPr>
        <w:spacing w:before="60" w:after="60" w:line="24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nākotnes tautsaimniecība;</w:t>
      </w:r>
    </w:p>
    <w:p w14:paraId="45A61ECC" w14:textId="77777777" w:rsidR="00627ECA" w:rsidRDefault="00627ECA" w:rsidP="003B23A9">
      <w:pPr>
        <w:pStyle w:val="ListParagraph"/>
        <w:numPr>
          <w:ilvl w:val="0"/>
          <w:numId w:val="1"/>
        </w:numPr>
        <w:spacing w:before="60" w:after="60" w:line="24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Latvijas cilvēki;</w:t>
      </w:r>
    </w:p>
    <w:p w14:paraId="10F8528D" w14:textId="77777777" w:rsidR="00627ECA" w:rsidRDefault="00627ECA" w:rsidP="003B23A9">
      <w:pPr>
        <w:pStyle w:val="ListParagraph"/>
        <w:numPr>
          <w:ilvl w:val="0"/>
          <w:numId w:val="1"/>
        </w:numPr>
        <w:spacing w:before="60" w:after="60" w:line="24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valsts drošība un ārlietas;</w:t>
      </w:r>
    </w:p>
    <w:p w14:paraId="2183A7EB" w14:textId="77777777" w:rsidR="00627ECA" w:rsidRPr="004D228D" w:rsidRDefault="00627ECA" w:rsidP="003B23A9">
      <w:pPr>
        <w:pStyle w:val="ListParagraph"/>
        <w:numPr>
          <w:ilvl w:val="0"/>
          <w:numId w:val="1"/>
        </w:numPr>
        <w:spacing w:before="60" w:after="60" w:line="240" w:lineRule="auto"/>
        <w:ind w:left="141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moderna pārvaldība.</w:t>
      </w:r>
    </w:p>
    <w:p w14:paraId="52DF25FB" w14:textId="77777777" w:rsidR="003B23A9" w:rsidRDefault="003B23A9" w:rsidP="003B23A9">
      <w:pPr>
        <w:spacing w:before="60" w:after="6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718ECB" w14:textId="36F14BAE" w:rsidR="003B23A9" w:rsidRPr="002C5BE6" w:rsidRDefault="00C3133E" w:rsidP="002C5BE6">
      <w:pPr>
        <w:pStyle w:val="ListParagraph"/>
        <w:numPr>
          <w:ilvl w:val="0"/>
          <w:numId w:val="3"/>
        </w:numPr>
        <w:spacing w:before="60" w:after="6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C5BE6">
        <w:rPr>
          <w:rFonts w:ascii="Times New Roman" w:hAnsi="Times New Roman" w:cs="Times New Roman"/>
          <w:sz w:val="24"/>
          <w:szCs w:val="24"/>
        </w:rPr>
        <w:t>Rīcības joma</w:t>
      </w:r>
      <w:r w:rsidR="00A7215E" w:rsidRPr="002C5BE6">
        <w:rPr>
          <w:rFonts w:ascii="Times New Roman" w:hAnsi="Times New Roman" w:cs="Times New Roman"/>
          <w:sz w:val="24"/>
          <w:szCs w:val="24"/>
        </w:rPr>
        <w:t>s</w:t>
      </w:r>
      <w:r w:rsidRPr="002C5BE6">
        <w:rPr>
          <w:rFonts w:ascii="Times New Roman" w:hAnsi="Times New Roman" w:cs="Times New Roman"/>
          <w:sz w:val="24"/>
          <w:szCs w:val="24"/>
        </w:rPr>
        <w:t xml:space="preserve"> </w:t>
      </w:r>
      <w:r w:rsidRPr="002C5B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Investīcijas tautsaimniecībā un proaktīva, mērķtiecīga investīciju piesaiste</w:t>
      </w:r>
      <w:r w:rsidR="00C54F7A" w:rsidRPr="002C5B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7215E" w:rsidRPr="002C5BE6">
        <w:rPr>
          <w:rFonts w:ascii="Times New Roman" w:hAnsi="Times New Roman" w:cs="Times New Roman"/>
          <w:sz w:val="24"/>
          <w:szCs w:val="24"/>
        </w:rPr>
        <w:t>būtiskākie pasākumi</w:t>
      </w:r>
      <w:r w:rsidRPr="002C5BE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91A8982" w14:textId="692C9C38" w:rsidR="000471A7" w:rsidRPr="00A7215E" w:rsidRDefault="00F365C7" w:rsidP="002C5BE6">
      <w:pPr>
        <w:spacing w:before="60" w:after="60"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Tautsaimniecības stabilizēšanai un turpmākai izaugsmei i</w:t>
      </w:r>
      <w:r w:rsidR="00C3133E">
        <w:rPr>
          <w:rFonts w:ascii="Times New Roman" w:hAnsi="Times New Roman" w:cs="Times New Roman"/>
          <w:sz w:val="24"/>
          <w:szCs w:val="24"/>
        </w:rPr>
        <w:t xml:space="preserve">r </w:t>
      </w:r>
      <w:r w:rsidR="00C3133E" w:rsidRPr="00C54F7A">
        <w:rPr>
          <w:rFonts w:ascii="Times New Roman" w:hAnsi="Times New Roman" w:cs="Times New Roman"/>
          <w:b/>
          <w:bCs/>
          <w:sz w:val="24"/>
          <w:szCs w:val="24"/>
        </w:rPr>
        <w:t xml:space="preserve">izstrādāta Stratēģija Latvijai </w:t>
      </w:r>
      <w:r w:rsidR="00C3133E" w:rsidRPr="00C54F7A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>Covid-19 krīzes radīto seku mazināšanai</w:t>
      </w:r>
      <w:r w:rsidR="00C3133E" w:rsidRPr="00C3133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, kas paredz visaptverošu pasākumu kopumu Covid-19 seku pārvarēšanai. </w:t>
      </w:r>
      <w:r w:rsidR="00880854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Vienlaikus Covid-19 radīto seku </w:t>
      </w:r>
      <w:r w:rsidR="00723313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mazināšanai ir izstrādātas un </w:t>
      </w:r>
      <w:r w:rsidR="00723313" w:rsidRPr="00C54F7A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 xml:space="preserve">ieviestas 9 grantu un 4 finanšu instrumentu atbalsta programmas </w:t>
      </w:r>
      <w:r w:rsidR="00723313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uzņēmumiem</w:t>
      </w:r>
      <w:r w:rsidR="00E25B7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  <w:r w:rsidR="00AE62AA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Vienlaikus valdība ir atbalstījusi Ekonomikas ministrijas </w:t>
      </w:r>
      <w:r w:rsidR="00AE62AA" w:rsidRPr="00C54F7A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>izstrādātās  Nacionālās in</w:t>
      </w:r>
      <w:r w:rsidR="005A6A5E" w:rsidRPr="00C54F7A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>dustriālās politikas pamatnostādnes 2021. – 2027.gadam</w:t>
      </w:r>
      <w:r w:rsidR="005A6A5E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, kas nosaka tautsaimniecības attīstības virzienus turpmākiem septiņiem gadiem. </w:t>
      </w:r>
      <w:r w:rsidR="002E38AD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Lai veicinātu </w:t>
      </w:r>
      <w:r w:rsidR="00CF44B3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investīciju piesaisti Latvijā </w:t>
      </w:r>
      <w:r w:rsidR="00CF44B3" w:rsidRPr="00C54F7A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>ir ieviesta iniciatīva “zaļais koridors”</w:t>
      </w:r>
      <w:r w:rsidR="00CF44B3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, kas paredz </w:t>
      </w:r>
      <w:r w:rsidR="00CF44B3" w:rsidRPr="00CF44B3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birokrātijas un administratīvo procesu paātrināšan</w:t>
      </w:r>
      <w:r w:rsidR="00CF44B3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u</w:t>
      </w:r>
      <w:r w:rsidR="00CF44B3" w:rsidRPr="00CF44B3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augstas pievienotās vērtības investīciju projektiem.</w:t>
      </w:r>
      <w:r w:rsidR="00C54F7A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="000A775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Mērķtiecīgu pasākumu rezultātā no </w:t>
      </w:r>
      <w:r w:rsidR="00C54F7A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2019.-2021.gadam </w:t>
      </w:r>
      <w:r w:rsidR="00C54F7A" w:rsidRPr="00A7215E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>LIAA ir izdevies piesaistīt investīcijas 1,127 mljrd. EUR</w:t>
      </w:r>
      <w:r w:rsidR="00C54F7A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</w:p>
    <w:p w14:paraId="5FBE1841" w14:textId="1AB5724C" w:rsidR="00C54F7A" w:rsidRDefault="00C54F7A" w:rsidP="003B23A9">
      <w:pPr>
        <w:spacing w:before="60" w:after="6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</w:p>
    <w:p w14:paraId="30002E3C" w14:textId="5E1BB9B7" w:rsidR="003B23A9" w:rsidRPr="002C5BE6" w:rsidRDefault="00C54F7A" w:rsidP="002C5BE6">
      <w:pPr>
        <w:pStyle w:val="ListParagraph"/>
        <w:numPr>
          <w:ilvl w:val="0"/>
          <w:numId w:val="3"/>
        </w:num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5BE6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Rīcības jomas</w:t>
      </w:r>
      <w:r w:rsidR="00A7215E" w:rsidRPr="002C5BE6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="00A7215E" w:rsidRPr="002C5BE6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 xml:space="preserve">Produktivitātes kāpināšana </w:t>
      </w:r>
      <w:r w:rsidR="00882ED1" w:rsidRPr="002C5BE6">
        <w:rPr>
          <w:rFonts w:ascii="Times New Roman" w:hAnsi="Times New Roman" w:cs="Times New Roman"/>
          <w:sz w:val="24"/>
          <w:szCs w:val="24"/>
        </w:rPr>
        <w:t xml:space="preserve">būtiskākie pasākumi: </w:t>
      </w:r>
    </w:p>
    <w:p w14:paraId="57EEF085" w14:textId="77777777" w:rsidR="0024122D" w:rsidRDefault="001715C6" w:rsidP="00561689">
      <w:pPr>
        <w:spacing w:before="60" w:after="60" w:line="240" w:lineRule="auto"/>
        <w:ind w:firstLine="72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1715C6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2022.gadā uzsākta jauna </w:t>
      </w:r>
      <w:r w:rsidRPr="000F3BC6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>inovāciju institucionālās pārvaldības un Viedās specializācijas stratēģijas (RIS3) pārvaldības modeļa īstenošana</w:t>
      </w:r>
      <w:r w:rsidRPr="001715C6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r w:rsidR="00B1171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Lai paaugstinātu  </w:t>
      </w:r>
      <w:r w:rsidR="00BE3096" w:rsidRPr="00BE3096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budžeta finansējumu zinātnes un pētniecības projektu īstenošanai, uzsākta </w:t>
      </w:r>
      <w:r w:rsidR="00BE3096" w:rsidRPr="00BE3096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>valsts pētījumu programmas “Inovāciju fonds – Nozaru pētījumu programma” īstenošana.</w:t>
      </w:r>
      <w:r w:rsidR="003B23A9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3B23A9" w:rsidRPr="00C0638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Izveidota jauna </w:t>
      </w:r>
      <w:r w:rsidR="003B23A9" w:rsidRPr="00C063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informācijas tehnoloģiju izcilības bakalaura studiju programma</w:t>
      </w:r>
      <w:r w:rsidR="003B23A9" w:rsidRPr="00C06388">
        <w:rPr>
          <w:rFonts w:ascii="Times New Roman" w:hAnsi="Times New Roman" w:cs="Times New Roman"/>
          <w:color w:val="000000" w:themeColor="text1"/>
          <w:sz w:val="24"/>
          <w:szCs w:val="24"/>
        </w:rPr>
        <w:t>, kas 2019./2020.mācību gadā uzņēmusi pirmos studentus, un ko īstenos RTU Rīgas Biznesa skola, piedaloties Latvijas Universitātei un Bufalo universitātei (ASV).</w:t>
      </w:r>
      <w:r w:rsidR="003C10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1039" w:rsidRPr="003C10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“Lidostas parkā” </w:t>
      </w:r>
      <w:r w:rsidR="003C1039" w:rsidRPr="00242D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atklāta pasaulē lielākās DNS gēnu sekvencēšanas</w:t>
      </w:r>
      <w:r w:rsidR="003C1039" w:rsidRPr="003C10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organizācijas </w:t>
      </w:r>
      <w:r w:rsidR="003C1039" w:rsidRPr="003C103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Beijing Genomics Institute</w:t>
      </w:r>
      <w:r w:rsidR="003C1039" w:rsidRPr="003C10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1039" w:rsidRPr="00242D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ražotne </w:t>
      </w:r>
      <w:r w:rsidR="003C1039" w:rsidRPr="003C1039">
        <w:rPr>
          <w:rFonts w:ascii="Times New Roman" w:hAnsi="Times New Roman" w:cs="Times New Roman"/>
          <w:color w:val="000000" w:themeColor="text1"/>
          <w:sz w:val="24"/>
          <w:szCs w:val="24"/>
        </w:rPr>
        <w:t>Latvijā</w:t>
      </w:r>
      <w:r w:rsidR="003C1039">
        <w:rPr>
          <w:rFonts w:ascii="Times New Roman" w:hAnsi="Times New Roman" w:cs="Times New Roman"/>
          <w:color w:val="000000" w:themeColor="text1"/>
          <w:sz w:val="24"/>
          <w:szCs w:val="24"/>
        </w:rPr>
        <w:t>, kurā i</w:t>
      </w:r>
      <w:r w:rsidR="003C1039" w:rsidRPr="003C1039">
        <w:rPr>
          <w:rFonts w:ascii="Times New Roman" w:hAnsi="Times New Roman" w:cs="Times New Roman"/>
          <w:color w:val="000000" w:themeColor="text1"/>
          <w:sz w:val="24"/>
          <w:szCs w:val="24"/>
        </w:rPr>
        <w:t>nvestēti vairāk kā 15 milj. EUR.</w:t>
      </w:r>
      <w:r w:rsidR="0035090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Lai sekmētu jaunuzņēmu eko sistēmas attīstību </w:t>
      </w:r>
      <w:r w:rsidR="00260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būtiski pilnveidots un </w:t>
      </w:r>
      <w:r w:rsidR="00260733" w:rsidRPr="0026073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paplašināts Jaunuzņēmumu atbalsta likuma tvērums</w:t>
      </w:r>
      <w:r w:rsidR="002607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 izstrādāta </w:t>
      </w:r>
      <w:r w:rsidR="00260733" w:rsidRPr="006232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Jaunuzņēmumu ekosistēmas attīstības stratēģij</w:t>
      </w:r>
      <w:r w:rsidR="002607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</w:t>
      </w:r>
      <w:r w:rsidR="00260733" w:rsidRPr="006232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</w:t>
      </w:r>
      <w:r w:rsidR="00260733" w:rsidRPr="006232B6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260733" w:rsidRPr="006232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.-202</w:t>
      </w:r>
      <w:r w:rsidR="00260733" w:rsidRPr="006232B6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260733" w:rsidRPr="006232B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gadam</w:t>
      </w:r>
      <w:r w:rsidR="0026073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</w:p>
    <w:p w14:paraId="6020170C" w14:textId="1375D1F3" w:rsidR="005A6A5E" w:rsidRDefault="0024122D" w:rsidP="00561689">
      <w:pPr>
        <w:spacing w:before="60" w:after="60" w:line="240" w:lineRule="auto"/>
        <w:ind w:firstLine="720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lastRenderedPageBreak/>
        <w:t xml:space="preserve">Vienlaikus nozīmīgs ieguldījums pētniecības attīstībai ir bijusi </w:t>
      </w:r>
      <w:r w:rsidRPr="0024122D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2016.gadā uzsāktā </w:t>
      </w:r>
      <w:r w:rsidRPr="0024122D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>Kompetences centru programma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, kur </w:t>
      </w:r>
      <w:r w:rsidRPr="0024122D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pētniecīb</w:t>
      </w:r>
      <w:r w:rsidR="00213FAC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as attīstības ietvaros ir atbalstīti 226 sadarbības partneri</w:t>
      </w:r>
      <w:r w:rsidR="00DA615D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(Latvijas vadošie zinātniskie centri, universitātes un lielākie uzņēmumi). </w:t>
      </w:r>
    </w:p>
    <w:p w14:paraId="06C2C7B8" w14:textId="77777777" w:rsidR="00C23FB3" w:rsidRDefault="00C23FB3" w:rsidP="00561689">
      <w:pPr>
        <w:spacing w:before="60" w:after="6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</w:p>
    <w:p w14:paraId="439EEBF2" w14:textId="4C26AC43" w:rsidR="00C23FB3" w:rsidRPr="00925CB7" w:rsidRDefault="00DA615D" w:rsidP="00925CB7">
      <w:pPr>
        <w:pStyle w:val="ListParagraph"/>
        <w:numPr>
          <w:ilvl w:val="0"/>
          <w:numId w:val="3"/>
        </w:numPr>
        <w:spacing w:before="60" w:after="6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925CB7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Rīcības jomas </w:t>
      </w:r>
      <w:r w:rsidRPr="00925CB7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>Eksporta atbalsts</w:t>
      </w:r>
      <w:r w:rsidRPr="00925CB7">
        <w:rPr>
          <w:rFonts w:ascii="Times New Roman" w:hAnsi="Times New Roman" w:cs="Times New Roman"/>
          <w:sz w:val="24"/>
          <w:szCs w:val="24"/>
        </w:rPr>
        <w:t xml:space="preserve"> būtiskākie pasākumi: </w:t>
      </w:r>
    </w:p>
    <w:p w14:paraId="334A93AC" w14:textId="4ACDC3B7" w:rsidR="000471A7" w:rsidRDefault="000471A7" w:rsidP="00561689">
      <w:pPr>
        <w:spacing w:before="60" w:after="6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23FB3">
        <w:rPr>
          <w:rFonts w:ascii="Times New Roman" w:hAnsi="Times New Roman" w:cs="Times New Roman"/>
          <w:sz w:val="24"/>
          <w:szCs w:val="24"/>
        </w:rPr>
        <w:t xml:space="preserve">Nozīmīgu lomu eksporta veicināšanā un jaunu tirgu apguvē līdz šim nodrošina LIAA ārējās ekonomiskās pārstāvniecības. </w:t>
      </w:r>
      <w:r w:rsidR="00C23FB3" w:rsidRPr="00C23FB3">
        <w:rPr>
          <w:rFonts w:ascii="Times New Roman" w:hAnsi="Times New Roman" w:cs="Times New Roman"/>
          <w:b/>
          <w:bCs/>
          <w:sz w:val="24"/>
          <w:szCs w:val="24"/>
        </w:rPr>
        <w:t>Lai radītu labvēlīgus apstākļus</w:t>
      </w:r>
      <w:r w:rsidR="00C23FB3">
        <w:rPr>
          <w:rFonts w:ascii="Times New Roman" w:hAnsi="Times New Roman" w:cs="Times New Roman"/>
          <w:sz w:val="24"/>
          <w:szCs w:val="24"/>
        </w:rPr>
        <w:t xml:space="preserve"> Latvijas eksportējošiem uzņēmumiem ir </w:t>
      </w:r>
      <w:r w:rsidR="00C23FB3" w:rsidRPr="00C23FB3">
        <w:rPr>
          <w:rFonts w:ascii="Times New Roman" w:hAnsi="Times New Roman" w:cs="Times New Roman"/>
          <w:b/>
          <w:bCs/>
          <w:sz w:val="24"/>
          <w:szCs w:val="24"/>
        </w:rPr>
        <w:t>noslēgtas vienošanās ar 16 valstīm</w:t>
      </w:r>
      <w:r w:rsidR="00C23FB3">
        <w:rPr>
          <w:rFonts w:ascii="Times New Roman" w:hAnsi="Times New Roman" w:cs="Times New Roman"/>
          <w:sz w:val="24"/>
          <w:szCs w:val="24"/>
        </w:rPr>
        <w:t xml:space="preserve">. Lai sekmētu Latvijas </w:t>
      </w:r>
      <w:r w:rsidR="00E8045F">
        <w:rPr>
          <w:rFonts w:ascii="Times New Roman" w:hAnsi="Times New Roman" w:cs="Times New Roman"/>
          <w:sz w:val="24"/>
          <w:szCs w:val="24"/>
        </w:rPr>
        <w:t xml:space="preserve">ekonomikas </w:t>
      </w:r>
      <w:r w:rsidR="0000217F">
        <w:rPr>
          <w:rFonts w:ascii="Times New Roman" w:hAnsi="Times New Roman" w:cs="Times New Roman"/>
          <w:sz w:val="24"/>
          <w:szCs w:val="24"/>
        </w:rPr>
        <w:t>izaugsmi</w:t>
      </w:r>
      <w:r w:rsidR="00E8045F">
        <w:rPr>
          <w:rFonts w:ascii="Times New Roman" w:hAnsi="Times New Roman" w:cs="Times New Roman"/>
          <w:sz w:val="24"/>
          <w:szCs w:val="24"/>
        </w:rPr>
        <w:t xml:space="preserve"> un atpazīstamību</w:t>
      </w:r>
      <w:r w:rsidR="00C23FB3">
        <w:rPr>
          <w:rFonts w:ascii="Times New Roman" w:hAnsi="Times New Roman" w:cs="Times New Roman"/>
          <w:sz w:val="24"/>
          <w:szCs w:val="24"/>
        </w:rPr>
        <w:t xml:space="preserve"> starptautiskā </w:t>
      </w:r>
      <w:r w:rsidR="00E8045F">
        <w:rPr>
          <w:rFonts w:ascii="Times New Roman" w:hAnsi="Times New Roman" w:cs="Times New Roman"/>
          <w:sz w:val="24"/>
          <w:szCs w:val="24"/>
        </w:rPr>
        <w:t>mērogā</w:t>
      </w:r>
      <w:r w:rsidR="00C23FB3">
        <w:rPr>
          <w:rFonts w:ascii="Times New Roman" w:hAnsi="Times New Roman" w:cs="Times New Roman"/>
          <w:sz w:val="24"/>
          <w:szCs w:val="24"/>
        </w:rPr>
        <w:t xml:space="preserve"> ir </w:t>
      </w:r>
      <w:r w:rsidR="00E8045F" w:rsidRPr="0000217F">
        <w:rPr>
          <w:rFonts w:ascii="Times New Roman" w:hAnsi="Times New Roman" w:cs="Times New Roman"/>
          <w:b/>
          <w:bCs/>
          <w:sz w:val="24"/>
          <w:szCs w:val="24"/>
        </w:rPr>
        <w:t>apstiprināts vienots redzējums par Latvijas tēlu</w:t>
      </w:r>
      <w:r w:rsidR="00E8045F">
        <w:rPr>
          <w:rFonts w:ascii="Times New Roman" w:hAnsi="Times New Roman" w:cs="Times New Roman"/>
          <w:sz w:val="24"/>
          <w:szCs w:val="24"/>
        </w:rPr>
        <w:t>.</w:t>
      </w:r>
      <w:r w:rsidR="005C00B5">
        <w:rPr>
          <w:rFonts w:ascii="Times New Roman" w:hAnsi="Times New Roman" w:cs="Times New Roman"/>
          <w:sz w:val="24"/>
          <w:szCs w:val="24"/>
        </w:rPr>
        <w:t xml:space="preserve"> 2021./2022.gadā </w:t>
      </w:r>
      <w:r w:rsidR="005C00B5" w:rsidRPr="005C00B5">
        <w:rPr>
          <w:rFonts w:ascii="Times New Roman" w:hAnsi="Times New Roman" w:cs="Times New Roman"/>
          <w:b/>
          <w:bCs/>
          <w:sz w:val="24"/>
          <w:szCs w:val="24"/>
        </w:rPr>
        <w:t>nodrošināta dalība starptautiskajā izstādē “Expo Dubaija</w:t>
      </w:r>
      <w:r w:rsidR="008C074E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5C00B5">
        <w:rPr>
          <w:rFonts w:ascii="Times New Roman" w:hAnsi="Times New Roman" w:cs="Times New Roman"/>
          <w:sz w:val="24"/>
          <w:szCs w:val="24"/>
        </w:rPr>
        <w:t xml:space="preserve">, kur </w:t>
      </w:r>
      <w:r w:rsidR="005C00B5" w:rsidRPr="005C00B5">
        <w:rPr>
          <w:rFonts w:ascii="Times New Roman" w:hAnsi="Times New Roman" w:cs="Times New Roman"/>
          <w:sz w:val="24"/>
          <w:szCs w:val="24"/>
        </w:rPr>
        <w:t xml:space="preserve"> pasaule iepazīstināta ar Latvijas uzņēmēju piedāvājum</w:t>
      </w:r>
      <w:r w:rsidR="005C00B5">
        <w:rPr>
          <w:rFonts w:ascii="Times New Roman" w:hAnsi="Times New Roman" w:cs="Times New Roman"/>
          <w:sz w:val="24"/>
          <w:szCs w:val="24"/>
        </w:rPr>
        <w:t xml:space="preserve">iem. </w:t>
      </w:r>
      <w:r w:rsidR="00BF3446" w:rsidRPr="004D228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Lai esošajā ekonomiskajā situācijā nodrošinātu papildus atbalstu tirgus pārorientācijai un jaunu tirgus apgūšanai, būtiski paplašinā</w:t>
      </w:r>
      <w:r w:rsidR="00BF34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ta</w:t>
      </w:r>
      <w:r w:rsidR="00BF3446" w:rsidRPr="004D228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LIAA īstenot</w:t>
      </w:r>
      <w:r w:rsidR="00BF34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ā</w:t>
      </w:r>
      <w:r w:rsidR="00BF3446" w:rsidRPr="004D228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atbalst</w:t>
      </w:r>
      <w:r w:rsidR="00BF34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</w:t>
      </w:r>
      <w:r w:rsidR="00BF3446" w:rsidRPr="004D228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programm</w:t>
      </w:r>
      <w:r w:rsidR="00BF34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</w:t>
      </w:r>
      <w:r w:rsidR="00BF3446" w:rsidRPr="004D228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F3446" w:rsidRPr="004D228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starptautiskās konkurētspējas veicināšanai</w:t>
      </w:r>
      <w:r w:rsidR="00B97CD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kā arī būtisku atbalstu sniedz finanšu institūcijas ALTUM piedāvātās atbalsta programmas (eksporta kredīta garantijas, portfeļgarantijas, riska kapitāla instrumenti un aizdevumu programmas). </w:t>
      </w:r>
    </w:p>
    <w:p w14:paraId="5B98C3AF" w14:textId="0E97EC5D" w:rsidR="007749FC" w:rsidRDefault="007749FC" w:rsidP="00561689">
      <w:pPr>
        <w:spacing w:before="60" w:after="6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42F66288" w14:textId="65782CAF" w:rsidR="007749FC" w:rsidRPr="008C074E" w:rsidRDefault="007749FC" w:rsidP="008C074E">
      <w:pPr>
        <w:pStyle w:val="ListParagraph"/>
        <w:numPr>
          <w:ilvl w:val="0"/>
          <w:numId w:val="3"/>
        </w:numPr>
        <w:spacing w:before="60" w:after="60" w:line="240" w:lineRule="auto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8C074E">
        <w:rPr>
          <w:rFonts w:ascii="Times New Roman" w:hAnsi="Times New Roman" w:cs="Times New Roman"/>
          <w:sz w:val="24"/>
          <w:szCs w:val="24"/>
        </w:rPr>
        <w:t xml:space="preserve">Rīcības jomas </w:t>
      </w:r>
      <w:r w:rsidRPr="008C074E">
        <w:rPr>
          <w:rFonts w:ascii="Times New Roman" w:hAnsi="Times New Roman" w:cs="Times New Roman"/>
          <w:b/>
          <w:bCs/>
          <w:sz w:val="24"/>
          <w:szCs w:val="24"/>
        </w:rPr>
        <w:t>Labākā biznesa vide Baltijas valstīs</w:t>
      </w:r>
      <w:r w:rsidRPr="008C074E">
        <w:rPr>
          <w:rFonts w:ascii="Times New Roman" w:hAnsi="Times New Roman" w:cs="Times New Roman"/>
          <w:sz w:val="24"/>
          <w:szCs w:val="24"/>
        </w:rPr>
        <w:t xml:space="preserve"> būtiskākie pasākumi: </w:t>
      </w:r>
    </w:p>
    <w:p w14:paraId="755372D0" w14:textId="6C15F746" w:rsidR="007749FC" w:rsidRDefault="00C946AB" w:rsidP="00C946AB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Lai radītu pievilcīgu uzņēmējdarbības vidi </w:t>
      </w:r>
      <w:r w:rsidRPr="00C946AB">
        <w:rPr>
          <w:rFonts w:ascii="Times New Roman" w:hAnsi="Times New Roman" w:cs="Times New Roman"/>
          <w:b/>
          <w:bCs/>
          <w:sz w:val="24"/>
          <w:szCs w:val="24"/>
        </w:rPr>
        <w:t>ir ieviesti mērķtiecīgi pasākumi konkurences neitralitātes principa stiprināšanā</w:t>
      </w:r>
      <w:r>
        <w:rPr>
          <w:rFonts w:ascii="Times New Roman" w:hAnsi="Times New Roman" w:cs="Times New Roman"/>
          <w:sz w:val="24"/>
          <w:szCs w:val="24"/>
        </w:rPr>
        <w:t xml:space="preserve"> un uzraudzībā, paralēli normatīvā regulējuma pilnveidošanai ir nodrošinātas </w:t>
      </w:r>
      <w:r w:rsidRPr="00C946AB">
        <w:rPr>
          <w:rFonts w:ascii="Times New Roman" w:hAnsi="Times New Roman" w:cs="Times New Roman"/>
          <w:sz w:val="24"/>
          <w:szCs w:val="24"/>
        </w:rPr>
        <w:t>28 tirgu uzraudzības</w:t>
      </w:r>
      <w:r w:rsidR="003E3984">
        <w:rPr>
          <w:rFonts w:ascii="Times New Roman" w:hAnsi="Times New Roman" w:cs="Times New Roman"/>
          <w:sz w:val="24"/>
          <w:szCs w:val="24"/>
        </w:rPr>
        <w:t xml:space="preserve">, kā arī </w:t>
      </w:r>
      <w:r w:rsidRPr="00C946AB">
        <w:rPr>
          <w:rFonts w:ascii="Times New Roman" w:hAnsi="Times New Roman" w:cs="Times New Roman"/>
          <w:sz w:val="24"/>
          <w:szCs w:val="24"/>
        </w:rPr>
        <w:t>sabiedrības izglītošana.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946AB">
        <w:rPr>
          <w:rFonts w:ascii="Times New Roman" w:hAnsi="Times New Roman" w:cs="Times New Roman"/>
          <w:sz w:val="24"/>
          <w:szCs w:val="24"/>
        </w:rPr>
        <w:t xml:space="preserve">Vēršoties pret smagākajiem konkurences tiesību pārkāpumiem, Konkurences padome no 2019. līdz 2022.gadam ir </w:t>
      </w:r>
      <w:r w:rsidRPr="00C946AB">
        <w:rPr>
          <w:rFonts w:ascii="Times New Roman" w:hAnsi="Times New Roman" w:cs="Times New Roman"/>
          <w:b/>
          <w:bCs/>
          <w:sz w:val="24"/>
          <w:szCs w:val="24"/>
        </w:rPr>
        <w:t>pieņēmusi 12 lēmumus par uzņēmēju aizliegtām vienošanām</w:t>
      </w:r>
      <w:r w:rsidRPr="00C946AB">
        <w:rPr>
          <w:rFonts w:ascii="Times New Roman" w:hAnsi="Times New Roman" w:cs="Times New Roman"/>
          <w:sz w:val="24"/>
          <w:szCs w:val="24"/>
        </w:rPr>
        <w:t xml:space="preserve"> un uzņēmumu dominējošā stāvokļa ļaunprātīgu izmantošanu. </w:t>
      </w:r>
      <w:r w:rsidR="007749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647E4D" w14:textId="704E4528" w:rsidR="00C946AB" w:rsidRDefault="00C946AB" w:rsidP="00C946AB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5C01309" w14:textId="2B667A4C" w:rsidR="00C946AB" w:rsidRPr="003E3984" w:rsidRDefault="00C946AB" w:rsidP="003E3984">
      <w:pPr>
        <w:pStyle w:val="ListParagraph"/>
        <w:numPr>
          <w:ilvl w:val="0"/>
          <w:numId w:val="3"/>
        </w:num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3984">
        <w:rPr>
          <w:rFonts w:ascii="Times New Roman" w:hAnsi="Times New Roman" w:cs="Times New Roman"/>
          <w:sz w:val="24"/>
          <w:szCs w:val="24"/>
        </w:rPr>
        <w:t xml:space="preserve">Rīcības jomas </w:t>
      </w:r>
      <w:r w:rsidRPr="003E3984">
        <w:rPr>
          <w:rFonts w:ascii="Times New Roman" w:hAnsi="Times New Roman" w:cs="Times New Roman"/>
          <w:b/>
          <w:bCs/>
          <w:sz w:val="24"/>
          <w:szCs w:val="24"/>
        </w:rPr>
        <w:t>Vide un dabas kapitāls</w:t>
      </w:r>
      <w:r w:rsidRPr="003E3984">
        <w:rPr>
          <w:rFonts w:ascii="Times New Roman" w:hAnsi="Times New Roman" w:cs="Times New Roman"/>
          <w:sz w:val="24"/>
          <w:szCs w:val="24"/>
        </w:rPr>
        <w:t xml:space="preserve"> būtiskākie pasākumi:</w:t>
      </w:r>
    </w:p>
    <w:p w14:paraId="177D8C68" w14:textId="2CC460E6" w:rsidR="00C946AB" w:rsidRDefault="00674230" w:rsidP="00674230">
      <w:pPr>
        <w:spacing w:before="60" w:after="6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F5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Pēc konceptuāla risinājuma atbalstīšanas tika veikti grozījumi virknē likumu un MK noteikumu, ar ko </w:t>
      </w:r>
      <w:r w:rsidRPr="00E04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enerģētikas politikas administrēšanas funkcijas</w:t>
      </w:r>
      <w:r w:rsidRPr="00EF5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sākot ar 2020.gada 1.janvāri tika nodotas </w:t>
      </w:r>
      <w:r w:rsidRPr="00E04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Būvniecības valsts kontroles birojam</w:t>
      </w:r>
      <w:r w:rsidRPr="00EF59F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328E">
        <w:rPr>
          <w:rFonts w:ascii="Times New Roman" w:hAnsi="Times New Roman" w:cs="Times New Roman"/>
          <w:sz w:val="24"/>
          <w:szCs w:val="24"/>
        </w:rPr>
        <w:t xml:space="preserve">Pamatojoties uz valdības vienošanos par OIK reformas īstenošanu ir </w:t>
      </w:r>
      <w:r w:rsidR="0035328E" w:rsidRPr="00CE4696">
        <w:rPr>
          <w:rFonts w:ascii="Times New Roman" w:hAnsi="Times New Roman" w:cs="Times New Roman"/>
          <w:b/>
          <w:bCs/>
          <w:sz w:val="24"/>
          <w:szCs w:val="24"/>
        </w:rPr>
        <w:t xml:space="preserve">panākts, ka </w:t>
      </w:r>
      <w:r w:rsidR="00CE4696" w:rsidRPr="00CE469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2021.gadā OIK vidēji patērētājiem samazināsies par 23%.</w:t>
      </w:r>
      <w:r w:rsidR="00CE46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4A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Vienlaikus valdība ir atbalstījusi Ekonomikas ministrijas izstrādāto </w:t>
      </w:r>
      <w:r w:rsidR="00D54AFB" w:rsidRPr="00D54AF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Latvijas Nacionālo enerģētikas un klimata plānu 2021.-2030.gadam</w:t>
      </w:r>
      <w:r w:rsidR="00D54AFB" w:rsidRPr="00D54AFB">
        <w:rPr>
          <w:rFonts w:ascii="Times New Roman" w:hAnsi="Times New Roman" w:cs="Times New Roman"/>
          <w:color w:val="000000" w:themeColor="text1"/>
          <w:sz w:val="24"/>
          <w:szCs w:val="24"/>
        </w:rPr>
        <w:t>, kas nosaka nacionālos enerģētikas un klimata mērķus</w:t>
      </w:r>
      <w:r w:rsidR="00D54A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</w:t>
      </w:r>
      <w:r w:rsidR="00D54AFB" w:rsidRPr="00D54A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politikas pasākumus to sasniegšanai</w:t>
      </w:r>
      <w:r w:rsidR="00D54A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C65B6" w:rsidRPr="2779114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Turpinot īstenot </w:t>
      </w:r>
      <w:r w:rsidR="009C65B6" w:rsidRPr="00DA65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energoefektivitātes pasākumu</w:t>
      </w:r>
      <w:r w:rsidR="009C65B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s valdība ir atbalstījusi </w:t>
      </w:r>
      <w:r w:rsidR="009175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virkni atbalstu programmu: </w:t>
      </w:r>
      <w:r w:rsidR="009C65B6" w:rsidRPr="009175D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daudzīvokļu ēku energoefektivitātes paaugstināšanai</w:t>
      </w:r>
      <w:r w:rsidR="009175DB" w:rsidRPr="009175D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9C65B6" w:rsidRPr="009175D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aizdevuma programma daudzdzīvokļu māju remontam</w:t>
      </w:r>
      <w:r w:rsidR="001D036A" w:rsidRPr="009175D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, privātmāju energoefektivitātes un atjaunojamo energoresursu ieviešana</w:t>
      </w:r>
      <w:r w:rsidR="009175DB" w:rsidRPr="009175DB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i, kā arī lēmusi atbalstīt centralizē</w:t>
      </w:r>
      <w:r w:rsidR="009175D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tās siltumapgādes sistēmas uzņēmumus. </w:t>
      </w:r>
    </w:p>
    <w:p w14:paraId="04C6136D" w14:textId="28F3B258" w:rsidR="009175DB" w:rsidRDefault="009175DB" w:rsidP="00674230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5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Lai īstenotu jau 2014.gadā Baltijas valstu ministru prezidentu starpā nolemto – ar 2020.gadu izveidot </w:t>
      </w:r>
      <w:r w:rsidRPr="00EF59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reģionālo gāzes tirgu</w:t>
      </w:r>
      <w:r w:rsidRPr="00EF5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valdībā iesniegti </w:t>
      </w:r>
      <w:r w:rsidRPr="00EF59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grozījumi Enerģētikas likumā</w:t>
      </w:r>
      <w:r w:rsidRPr="00EF59FE">
        <w:rPr>
          <w:rFonts w:ascii="Times New Roman" w:hAnsi="Times New Roman" w:cs="Times New Roman"/>
          <w:color w:val="000000" w:themeColor="text1"/>
          <w:sz w:val="24"/>
          <w:szCs w:val="24"/>
        </w:rPr>
        <w:t>, kas no</w:t>
      </w:r>
      <w:r w:rsidR="00E65CA2">
        <w:rPr>
          <w:rFonts w:ascii="Times New Roman" w:hAnsi="Times New Roman" w:cs="Times New Roman"/>
          <w:color w:val="000000" w:themeColor="text1"/>
          <w:sz w:val="24"/>
          <w:szCs w:val="24"/>
        </w:rPr>
        <w:t>saka</w:t>
      </w:r>
      <w:r w:rsidRPr="00EF59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tiesības un pienākumus reģionālajā gāzes tirgū.</w:t>
      </w:r>
      <w:r w:rsidR="00A025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25D1" w:rsidRPr="00AD4B45">
        <w:rPr>
          <w:rFonts w:ascii="Times New Roman" w:eastAsia="Open Sans" w:hAnsi="Times New Roman" w:cs="Times New Roman"/>
          <w:color w:val="000000" w:themeColor="text1"/>
          <w:sz w:val="24"/>
          <w:szCs w:val="24"/>
        </w:rPr>
        <w:t xml:space="preserve">2019.gada 21.maijā Ministru kabinets apstiprināja virzību uz </w:t>
      </w:r>
      <w:r w:rsidR="00A025D1" w:rsidRPr="004D228D">
        <w:rPr>
          <w:rFonts w:ascii="Times New Roman" w:eastAsia="Open Sans" w:hAnsi="Times New Roman" w:cs="Times New Roman"/>
          <w:b/>
          <w:color w:val="000000" w:themeColor="text1"/>
          <w:sz w:val="24"/>
          <w:szCs w:val="24"/>
        </w:rPr>
        <w:t>Latvijas elektrotīklu sinhronizāciju ar Eiropas elektroenerģijas sistēmu</w:t>
      </w:r>
      <w:r w:rsidR="00A025D1" w:rsidRPr="00AD4B45">
        <w:rPr>
          <w:rFonts w:ascii="Times New Roman" w:eastAsia="Open Sans" w:hAnsi="Times New Roman" w:cs="Times New Roman"/>
          <w:color w:val="000000" w:themeColor="text1"/>
          <w:sz w:val="24"/>
          <w:szCs w:val="24"/>
        </w:rPr>
        <w:t xml:space="preserve"> 2025.gadā</w:t>
      </w:r>
      <w:r w:rsidR="00A025D1">
        <w:rPr>
          <w:rFonts w:ascii="Times New Roman" w:eastAsia="Open Sans" w:hAnsi="Times New Roman" w:cs="Times New Roman"/>
          <w:color w:val="000000" w:themeColor="text1"/>
          <w:sz w:val="24"/>
          <w:szCs w:val="24"/>
        </w:rPr>
        <w:t xml:space="preserve">, kas </w:t>
      </w:r>
      <w:r w:rsidR="00A025D1" w:rsidRPr="3320C9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palielinās Baltijas spēju pastāvīgi pārvaldīt savu elektroenerģijas sistēmu</w:t>
      </w:r>
      <w:r w:rsidR="00A025D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14F6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Lai energoresursu </w:t>
      </w:r>
      <w:r w:rsidR="00314F6A" w:rsidRPr="000D7F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krīzes situācijā sniegtu atbalstu </w:t>
      </w:r>
      <w:r w:rsidR="00225EBD" w:rsidRPr="000D7FB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ir izstrādāts vairāku pasākumu kopums</w:t>
      </w:r>
      <w:r w:rsidR="00225EB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FF5C12" w:rsidRPr="00FF5C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pilnveidota un automatizēta aizsargātā lietotāja tirdzniecības pakalpojuma sistēma un palielināts atbalsts aizsargātajiem lietotājiem</w:t>
      </w:r>
      <w:r w:rsidR="00FF5C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295DC1" w:rsidRPr="00B915D5">
        <w:rPr>
          <w:rFonts w:ascii="Times New Roman" w:hAnsi="Times New Roman" w:cs="Times New Roman"/>
          <w:color w:val="000000" w:themeColor="text1"/>
          <w:sz w:val="24"/>
          <w:szCs w:val="24"/>
        </w:rPr>
        <w:t>apkures sezonā 100% apmērā no valsts tiks segtas OIK un elektroenerģijas sistēmas pakalpojuma izmaksas visiem galalietotājiem</w:t>
      </w:r>
      <w:r w:rsidR="00295D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6860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apkures sezonā kompensēti tarifu pieaugumi, </w:t>
      </w:r>
      <w:r w:rsidR="007330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u.c. </w:t>
      </w:r>
    </w:p>
    <w:p w14:paraId="0DB2E8AB" w14:textId="2394A650" w:rsidR="00E27C90" w:rsidRDefault="00E27C90" w:rsidP="00C946AB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46228C" w14:textId="1A9AE57F" w:rsidR="00E27C90" w:rsidRPr="004F07FD" w:rsidRDefault="00E27C90" w:rsidP="004F07FD">
      <w:pPr>
        <w:pStyle w:val="ListParagraph"/>
        <w:numPr>
          <w:ilvl w:val="0"/>
          <w:numId w:val="3"/>
        </w:num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7FD">
        <w:rPr>
          <w:rFonts w:ascii="Times New Roman" w:hAnsi="Times New Roman" w:cs="Times New Roman"/>
          <w:sz w:val="24"/>
          <w:szCs w:val="24"/>
        </w:rPr>
        <w:t xml:space="preserve">Rīcības jomas </w:t>
      </w:r>
      <w:r w:rsidRPr="004F07FD">
        <w:rPr>
          <w:rFonts w:ascii="Times New Roman" w:hAnsi="Times New Roman" w:cs="Times New Roman"/>
          <w:b/>
          <w:bCs/>
          <w:sz w:val="24"/>
          <w:szCs w:val="24"/>
        </w:rPr>
        <w:t>Mājokļu politika un būvniecība</w:t>
      </w:r>
      <w:r w:rsidRPr="004F07FD">
        <w:rPr>
          <w:rFonts w:ascii="Times New Roman" w:hAnsi="Times New Roman" w:cs="Times New Roman"/>
          <w:sz w:val="24"/>
          <w:szCs w:val="24"/>
        </w:rPr>
        <w:t xml:space="preserve"> būtiskākie pasākumi:</w:t>
      </w:r>
    </w:p>
    <w:p w14:paraId="18BD1BC3" w14:textId="0A7F3D3F" w:rsidR="00E27C90" w:rsidRDefault="006010BB" w:rsidP="325EEE0A">
      <w:pPr>
        <w:spacing w:before="60" w:after="6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325EEE0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2021.gadā ir būtiski </w:t>
      </w:r>
      <w:r w:rsidRPr="325EEE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pilnveidoti un vienkāršoti būvniecības procesi</w:t>
      </w:r>
      <w:r w:rsidRPr="325EEE0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8144F3" w:rsidRPr="325EEE0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144F3" w:rsidRPr="325EEE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Lai padarītu būvniecības administratīvos procesus ievērojami ātrākus un caurskatāmus, ir panākts, ka </w:t>
      </w:r>
      <w:r w:rsidR="00333032" w:rsidRPr="325EEE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Būvniecības informācijas sistēma (BIS) sākot ar 2020.gada 1.janvāri ir obligāti lietojama. </w:t>
      </w:r>
      <w:r w:rsidR="0077533E" w:rsidRPr="325EEE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Papildus tam, lai sekmētu nozares sakārtošanu un mazinātu ēnu ekonomiku ir stājusies spēkā </w:t>
      </w:r>
      <w:r w:rsidR="0077533E" w:rsidRPr="325EEE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ģenerālvienošanās būvniecības nozarē</w:t>
      </w:r>
      <w:r w:rsidR="0077533E" w:rsidRPr="325EEE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kā rezultātā minimālā alga būvniecībā nodarbinātajiem noteikta 780 EUR apmērā. </w:t>
      </w:r>
      <w:r w:rsidR="0077533E" w:rsidRPr="325EEE0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Ekonomikas ministrija ir izstrādājusi arī divus tipveida projektus </w:t>
      </w:r>
      <w:r w:rsidR="0077533E" w:rsidRPr="325EEE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daudzdzīvokļu dzīvojamās mājas ar koka konstrukcijām un dzelzsbetona konstrukcijām</w:t>
      </w:r>
      <w:r w:rsidR="0077533E" w:rsidRPr="325EEE0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kuri ir pieejami bez maksas. </w:t>
      </w:r>
    </w:p>
    <w:p w14:paraId="3AFC99D0" w14:textId="0711971A" w:rsidR="0080453C" w:rsidRDefault="00C13B88" w:rsidP="325EEE0A">
      <w:pPr>
        <w:spacing w:before="60" w:after="6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325EEE0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Pieņemti </w:t>
      </w:r>
      <w:r w:rsidR="0077533E" w:rsidRPr="325EEE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“</w:t>
      </w:r>
      <w:r w:rsidR="0077533E" w:rsidRPr="325EEE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Grozījumi Dzīvojamo māju pārvaldīšanas likumā”</w:t>
      </w:r>
      <w:r w:rsidR="0077533E" w:rsidRPr="325EEE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kas paredz jaunu obligāto pārvaldīšanas darbību - dzīvojamās mājas energoefektivitātes uzlabošanas pasākumu nodrošināšana. </w:t>
      </w:r>
      <w:r w:rsidRPr="325EEE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Tāpat pieņemti grozījumi </w:t>
      </w:r>
      <w:r w:rsidR="0077533E" w:rsidRPr="325EEE0A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77533E" w:rsidRPr="325EEE0A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>Dzīvojamo telpu īres likum</w:t>
      </w:r>
      <w:r w:rsidRPr="325EEE0A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</w:rPr>
        <w:t>ā</w:t>
      </w:r>
      <w:r w:rsidR="0077533E" w:rsidRPr="325EEE0A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325EEE0A">
        <w:rPr>
          <w:rStyle w:val="Strong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shd w:val="clear" w:color="auto" w:fill="FFFFFF"/>
        </w:rPr>
        <w:t>kas paredz</w:t>
      </w:r>
      <w:r w:rsidRPr="325EEE0A">
        <w:rPr>
          <w:rStyle w:val="Strong"/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7533E" w:rsidRPr="325EEE0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pieejamāku īres dzīvokļu izveidi</w:t>
      </w:r>
      <w:r w:rsidRPr="325EEE0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Lai sekmētu mājokļu pieejamību Latvijas iedzīvotājiem </w:t>
      </w:r>
      <w:r w:rsidR="0080453C" w:rsidRPr="325EEE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2019.gada jūlijā tika īstenots </w:t>
      </w:r>
      <w:r w:rsidR="0080453C" w:rsidRPr="325EEE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sadarbības projekts ar OECD par mājokļu pieejamību Latvijā</w:t>
      </w:r>
      <w:r w:rsidR="0080453C" w:rsidRPr="325EEE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kura ietvaros tiks definētas personas un mājsaimniecības, kurām nepieciešams atbalsts mājokļu pieejamības nodrošināšanai, kā rezultātā </w:t>
      </w:r>
      <w:r w:rsidR="0080453C" w:rsidRPr="325EEE0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uzsāktas jaunas </w:t>
      </w:r>
      <w:r w:rsidR="0080453C" w:rsidRPr="325EEE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atbalsta programmas privātmāju energoefektivitātei</w:t>
      </w:r>
      <w:r w:rsidR="0080453C" w:rsidRPr="325EEE0A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un daudzdzīvokļu māju remontiem. Daudzbērnu ģimeņu atbalstam </w:t>
      </w:r>
      <w:r w:rsidR="325EEE0A" w:rsidRPr="325EEE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veikti mājokļu garantiju programmas uzlabojumi un ieviests </w:t>
      </w:r>
      <w:r w:rsidR="325EEE0A" w:rsidRPr="325EEE0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jauns atbalsts - subsīdija “Balsts”</w:t>
      </w:r>
      <w:r w:rsidR="325EEE0A" w:rsidRPr="325EEE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8 000 – 12 000EUR apmērā, ja ģimenē ir 3 un vairāk  bērnu (paredzēts lielāks garantijas apmērs ģimenēm ar 4 bērniem – līdz 30%); visos atbalsta veidos paredzēts to piemērot arī ģimenēm, kurās bērns vēl gaidāms (iestājusies grūtniecība).</w:t>
      </w:r>
    </w:p>
    <w:p w14:paraId="25CC1B06" w14:textId="42880DBC" w:rsidR="0073231E" w:rsidRDefault="0073231E" w:rsidP="325EEE0A">
      <w:pPr>
        <w:spacing w:before="60" w:after="60" w:line="240" w:lineRule="auto"/>
        <w:ind w:firstLine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0410A03C" w14:textId="6795825C" w:rsidR="0073231E" w:rsidRPr="00AD1391" w:rsidRDefault="0073231E" w:rsidP="00AD1391">
      <w:pPr>
        <w:pStyle w:val="ListParagraph"/>
        <w:numPr>
          <w:ilvl w:val="0"/>
          <w:numId w:val="3"/>
        </w:numPr>
        <w:spacing w:before="60" w:after="6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AD13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Rīcības joma</w:t>
      </w:r>
      <w:r w:rsidR="00BA54E6" w:rsidRPr="00AD13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 </w:t>
      </w:r>
      <w:r w:rsidRPr="00AD139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Valsts pārvalde un valsts aktīvu pārvaldība</w:t>
      </w:r>
      <w:r w:rsidR="00BA54E6" w:rsidRPr="00AD139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BA54E6" w:rsidRPr="00AD1391">
        <w:rPr>
          <w:rFonts w:ascii="Times New Roman" w:hAnsi="Times New Roman" w:cs="Times New Roman"/>
          <w:sz w:val="24"/>
          <w:szCs w:val="24"/>
        </w:rPr>
        <w:t>būtiskākie pasākumi:</w:t>
      </w:r>
    </w:p>
    <w:p w14:paraId="2BF5DCD9" w14:textId="26908727" w:rsidR="00BA54E6" w:rsidRPr="00BA54E6" w:rsidRDefault="00BA54E6" w:rsidP="00AD1391">
      <w:pPr>
        <w:spacing w:before="60" w:after="6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54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Veiksmīgi īstenota un noslēgusies </w:t>
      </w:r>
      <w:r w:rsidRPr="00BA54E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iniciatīva “Konsultē vispirms”</w:t>
      </w:r>
      <w:r w:rsidRPr="00BA54E6">
        <w:rPr>
          <w:rFonts w:ascii="Times New Roman" w:hAnsi="Times New Roman" w:cs="Times New Roman"/>
          <w:color w:val="000000" w:themeColor="text1"/>
          <w:sz w:val="24"/>
          <w:szCs w:val="24"/>
        </w:rPr>
        <w:t>, kas ir veicinājusi valsts pārvaldes pieejas maiņu, palīdzot padarīt efektīvākus dažādus procesus, taup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ot</w:t>
      </w:r>
      <w:r w:rsidRPr="00BA54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uzņēmēju resursus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 </w:t>
      </w:r>
      <w:r w:rsidRPr="00BA54E6">
        <w:rPr>
          <w:rFonts w:ascii="Times New Roman" w:hAnsi="Times New Roman" w:cs="Times New Roman"/>
          <w:color w:val="000000" w:themeColor="text1"/>
          <w:sz w:val="24"/>
          <w:szCs w:val="24"/>
        </w:rPr>
        <w:t>atbalstot veiksmīgākas sadarbības attīstību. Uzņēmēj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BA54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gadu laikā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iniciatīvu</w:t>
      </w:r>
      <w:r w:rsidRPr="00BA54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novērtē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juši</w:t>
      </w:r>
      <w:r w:rsidRPr="00BA54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 80,88 indeksa punktiem no iespējamiem 100 punktiem.</w:t>
      </w:r>
    </w:p>
    <w:p w14:paraId="664442A1" w14:textId="77777777" w:rsidR="00BA54E6" w:rsidRDefault="00BA54E6" w:rsidP="00AD1391">
      <w:pPr>
        <w:spacing w:before="60" w:after="6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328C504F" w14:textId="6DB6E247" w:rsidR="00C571CF" w:rsidRPr="00AD1391" w:rsidRDefault="00C571CF" w:rsidP="00AD1391">
      <w:pPr>
        <w:spacing w:before="60" w:after="6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BA54E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Sniegtais atbalsts Latgales reģionā </w:t>
      </w:r>
    </w:p>
    <w:p w14:paraId="2F41DF06" w14:textId="57B67E2F" w:rsidR="00C571CF" w:rsidRDefault="00C571CF" w:rsidP="00AD1391">
      <w:pPr>
        <w:spacing w:before="60" w:after="60" w:line="240" w:lineRule="auto"/>
        <w:ind w:firstLine="720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</w:pPr>
      <w:r w:rsidRPr="005D57D5">
        <w:rPr>
          <w:rFonts w:ascii="Times New Roman" w:eastAsia="Times New Roman" w:hAnsi="Times New Roman" w:cs="Times New Roman"/>
          <w:sz w:val="24"/>
          <w:szCs w:val="24"/>
        </w:rPr>
        <w:t>Latgalē kopumā ir 251 tūkstoši iedzīvotāji. Vidējā darba alga  Latgalē 2021. gadā 896 EUR, kas ir par 29,83 % mazāka nekā Latvijā vidēji. Bezdarba līmenis Latgalē 2021. gadā ir 9,1%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kas ir par 1,5% lielāks nekā Latvijā vidēji. </w:t>
      </w:r>
      <w:r w:rsidR="00C03AD1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Latgalē apstrādes rūpniecības pievienotās vērtība ir 8 % no kopējās Latvijas vērtības.</w:t>
      </w:r>
    </w:p>
    <w:p w14:paraId="0F13C24B" w14:textId="5124D334" w:rsidR="00C03AD1" w:rsidRDefault="00F52F6D" w:rsidP="00AD1391">
      <w:pPr>
        <w:spacing w:before="60" w:after="6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A76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Izsniegtais </w:t>
      </w:r>
      <w:r w:rsidRPr="00F52F6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Covid-19 atbalsts Latgalē</w:t>
      </w:r>
      <w:r w:rsidRPr="006A76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no 2020.gada aprīļa līdz 2022.gada feb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r</w:t>
      </w:r>
      <w:r w:rsidRPr="006A76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uārim ir 31,27 milj. EUR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un a</w:t>
      </w:r>
      <w:r w:rsidRPr="006A76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tbalstu kopumā </w:t>
      </w:r>
      <w:r w:rsidRPr="00F52F6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saņēmuši 1322 uzņēmumi</w:t>
      </w:r>
      <w:r w:rsidRPr="006A76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185E8E" w:rsidRPr="00185E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5E8E" w:rsidRPr="00185E8E">
        <w:rPr>
          <w:rFonts w:ascii="Times New Roman" w:eastAsia="Calibri" w:hAnsi="Times New Roman" w:cs="Times New Roman"/>
          <w:b/>
          <w:bCs/>
          <w:sz w:val="24"/>
          <w:szCs w:val="24"/>
        </w:rPr>
        <w:t>ALTUM no kopējā portfeļa Latgales reģionā ir sniedzis atbalstu 45,7 milj. EUR</w:t>
      </w:r>
      <w:r w:rsidR="00185E8E" w:rsidRPr="004D228D">
        <w:rPr>
          <w:rFonts w:ascii="Times New Roman" w:eastAsia="Calibri" w:hAnsi="Times New Roman" w:cs="Times New Roman"/>
          <w:sz w:val="24"/>
          <w:szCs w:val="24"/>
        </w:rPr>
        <w:t xml:space="preserve"> apmērā tādu finanšu instrumentu veidā kā aizdevumi un garantijas, kur praktiski 99% gadījumos atbalstu ir saņēmis MVU.</w:t>
      </w:r>
      <w:r w:rsidR="00185E8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D5C20" w:rsidRPr="007D5C20">
        <w:rPr>
          <w:rFonts w:ascii="Times New Roman" w:eastAsia="Times New Roman" w:hAnsi="Times New Roman" w:cs="Times New Roman"/>
          <w:bCs/>
          <w:sz w:val="24"/>
          <w:szCs w:val="24"/>
        </w:rPr>
        <w:t xml:space="preserve">No 2019.-2022.gadam ALTUM apstiprināti  532 aizdevumi </w:t>
      </w:r>
      <w:r w:rsidR="007D5C20">
        <w:rPr>
          <w:rFonts w:ascii="Times New Roman" w:eastAsia="Times New Roman" w:hAnsi="Times New Roman" w:cs="Times New Roman"/>
          <w:bCs/>
          <w:sz w:val="24"/>
          <w:szCs w:val="24"/>
        </w:rPr>
        <w:t xml:space="preserve">Latgales reģionā </w:t>
      </w:r>
      <w:r w:rsidR="007D5C20" w:rsidRPr="007D5C20">
        <w:rPr>
          <w:rFonts w:ascii="Times New Roman" w:eastAsia="Times New Roman" w:hAnsi="Times New Roman" w:cs="Times New Roman"/>
          <w:bCs/>
          <w:sz w:val="24"/>
          <w:szCs w:val="24"/>
        </w:rPr>
        <w:t>38 milj. EUR apmērā</w:t>
      </w:r>
      <w:r w:rsidR="007D5C20">
        <w:rPr>
          <w:rFonts w:ascii="Times New Roman" w:eastAsia="Times New Roman" w:hAnsi="Times New Roman" w:cs="Times New Roman"/>
          <w:bCs/>
          <w:sz w:val="24"/>
          <w:szCs w:val="24"/>
        </w:rPr>
        <w:t xml:space="preserve"> un 74 garantijas </w:t>
      </w:r>
      <w:r w:rsidR="007D5C20" w:rsidRPr="007D5C20">
        <w:rPr>
          <w:rFonts w:ascii="Times New Roman" w:eastAsia="Times New Roman" w:hAnsi="Times New Roman" w:cs="Times New Roman"/>
          <w:bCs/>
          <w:sz w:val="24"/>
          <w:szCs w:val="24"/>
        </w:rPr>
        <w:t xml:space="preserve">7,7 milj. EUR apmērā. </w:t>
      </w:r>
      <w:r w:rsidR="00AF2F16">
        <w:rPr>
          <w:rFonts w:ascii="Times New Roman" w:eastAsia="Times New Roman" w:hAnsi="Times New Roman" w:cs="Times New Roman"/>
          <w:bCs/>
          <w:sz w:val="24"/>
          <w:szCs w:val="24"/>
        </w:rPr>
        <w:t xml:space="preserve">Lielākie atbalsti no ALTUM sniegti tādiem uzņēmumiem kā </w:t>
      </w:r>
      <w:r w:rsidR="00AF2F16">
        <w:rPr>
          <w:rFonts w:ascii="Times New Roman" w:eastAsia="Calibri" w:hAnsi="Times New Roman" w:cs="Times New Roman"/>
          <w:sz w:val="24"/>
          <w:szCs w:val="24"/>
        </w:rPr>
        <w:t xml:space="preserve">SIA “Nexis Fibers”, SIA “Grantiņi mežs”, SIA “Nordic CLT” un SIA “LīvMet”. </w:t>
      </w:r>
    </w:p>
    <w:p w14:paraId="233CE7A0" w14:textId="6D1D1504" w:rsidR="00E8189C" w:rsidRPr="004D228D" w:rsidRDefault="00AF2F16" w:rsidP="00A26609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Būtisku atbalstu Latgales </w:t>
      </w:r>
      <w:r w:rsidRPr="00E8189C">
        <w:rPr>
          <w:rFonts w:ascii="Times New Roman" w:eastAsia="Calibri" w:hAnsi="Times New Roman" w:cs="Times New Roman"/>
          <w:b/>
          <w:bCs/>
          <w:sz w:val="24"/>
          <w:szCs w:val="24"/>
        </w:rPr>
        <w:t>uzņēmējdarbības attīstībai sniedz Rēzeknē un Daugavpilī izvietoti LIAA biznesa inkubatori</w:t>
      </w:r>
      <w:r>
        <w:rPr>
          <w:rFonts w:ascii="Times New Roman" w:eastAsia="Calibri" w:hAnsi="Times New Roman" w:cs="Times New Roman"/>
          <w:sz w:val="24"/>
          <w:szCs w:val="24"/>
        </w:rPr>
        <w:t xml:space="preserve">. No 2019.gada Latgales biznesa inkubatoros pirmsinkubācijā uzņemts 261 dalībnieks savukārt inkubācijā 67 dalībnieki. </w:t>
      </w:r>
      <w:r w:rsidR="00E8189C">
        <w:rPr>
          <w:rFonts w:ascii="Times New Roman" w:eastAsia="Calibri" w:hAnsi="Times New Roman" w:cs="Times New Roman"/>
          <w:sz w:val="24"/>
          <w:szCs w:val="24"/>
        </w:rPr>
        <w:t xml:space="preserve">Latgales </w:t>
      </w:r>
      <w:r w:rsidR="00E8189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</w:t>
      </w:r>
      <w:r w:rsidR="00E8189C" w:rsidRPr="004D228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iznesa inkubatoru </w:t>
      </w:r>
      <w:r w:rsidR="00E8189C" w:rsidRPr="00E8189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piesaistīto investīciju apmērs no 2019.gada 3,90 milj.EUR</w:t>
      </w:r>
      <w:r w:rsidR="00E8189C" w:rsidRPr="004D228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kas ir 17,2% no kopējā </w:t>
      </w:r>
      <w:r w:rsidR="00E8189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biznesa inkubatoru </w:t>
      </w:r>
      <w:r w:rsidR="00E8189C" w:rsidRPr="004D228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piesaistīto investīciju apmēra. </w:t>
      </w:r>
      <w:r w:rsidR="00E8189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Savukārt Latgales b</w:t>
      </w:r>
      <w:r w:rsidR="00E8189C" w:rsidRPr="004D228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iznesa inkubatoru komersantu kopējais </w:t>
      </w:r>
      <w:r w:rsidR="00E8189C" w:rsidRPr="00E8189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eksporta apmērs no 2019.gada ir 29,84 milj. EUR, kas ir lielākais apmērs no visiem novadiem un Rīgas</w:t>
      </w:r>
      <w:r w:rsidR="00E8189C" w:rsidRPr="004D228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</w:p>
    <w:p w14:paraId="691F14D0" w14:textId="77777777" w:rsidR="006219CA" w:rsidRDefault="006562C0" w:rsidP="006219CA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Ar nolūku uzsākt</w:t>
      </w:r>
      <w:r w:rsidRPr="002F4CB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re-industrializācijas procesu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 Latvijā</w:t>
      </w:r>
      <w:r w:rsidRPr="002F4CB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un nodrošinātu finanšu pieejamību lieliem investīciju projektiem ekonomikas atveseļošanai pēc Covid-19 izraisītās krīzes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2F4CB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lielo investīciju projektu atbalsta programma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 ietvaros ir </w:t>
      </w:r>
      <w:r w:rsidRPr="002F4CB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apstiprināti </w:t>
      </w:r>
      <w:r w:rsidRPr="006562C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2 Latgales reģiona lielo investīciju pieteikumi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kuru plānotās </w:t>
      </w:r>
      <w:r w:rsidRPr="002F4CB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kopējās investīcijas 71 milj.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EUR </w:t>
      </w:r>
      <w:r w:rsidRPr="002F4CB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apmērā, kā arī plānots radīt 150 jaunas darbavietas.</w:t>
      </w:r>
      <w:r w:rsidR="00766F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Latgales reģionā LIAA ir atbalstījusi arī </w:t>
      </w:r>
      <w:r w:rsidR="00766F0C" w:rsidRPr="00766F0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4 Rēzeknes </w:t>
      </w:r>
      <w:r w:rsidR="00766F0C" w:rsidRPr="00766F0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lastRenderedPageBreak/>
        <w:t>tehnoloģiskās akadēmijas pētniecības komercializācijas projektus</w:t>
      </w:r>
      <w:r w:rsidR="00766F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par kopējo finansējumu 700 000 EUR. Vienlaikus, lai sekmētu apstrādes rūpniecības attīstību Latgales reģionā atbalstīti un </w:t>
      </w:r>
      <w:r w:rsidR="00766F0C" w:rsidRPr="006219C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īstenoti 4 projekti ražošanas telpu un infrastruktūras izbūvei vai rekonstrukcijai 3,65 milj. EUR apmērā</w:t>
      </w:r>
      <w:r w:rsidR="00766F0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6219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Papildus tam Latgales reģionā atbalstīti un īstenoti </w:t>
      </w:r>
      <w:r w:rsidR="006219CA" w:rsidRPr="006219C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4 projekti jaunu inovatīvu produktu ieviešanai ražošanai 16,35 milj. EUR apmērā</w:t>
      </w:r>
      <w:r w:rsidR="006219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</w:p>
    <w:p w14:paraId="6C728A06" w14:textId="77777777" w:rsidR="006219CA" w:rsidRDefault="006219CA" w:rsidP="006219CA">
      <w:pPr>
        <w:spacing w:before="60" w:after="6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54220D38" w14:textId="3291BB34" w:rsidR="006219CA" w:rsidRPr="006219CA" w:rsidRDefault="006219CA" w:rsidP="006219CA">
      <w:pPr>
        <w:spacing w:before="60" w:after="6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7BE0FDF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Turpmāk plānoto darbu izklāsts</w:t>
      </w:r>
    </w:p>
    <w:p w14:paraId="3961F29D" w14:textId="7BDB4177" w:rsidR="006219CA" w:rsidRPr="006219CA" w:rsidRDefault="006219CA" w:rsidP="006219CA">
      <w:pPr>
        <w:spacing w:before="60" w:after="60" w:line="240" w:lineRule="auto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19CA">
        <w:rPr>
          <w:rFonts w:ascii="Times New Roman" w:hAnsi="Times New Roman" w:cs="Times New Roman"/>
          <w:color w:val="000000" w:themeColor="text1"/>
          <w:sz w:val="24"/>
          <w:szCs w:val="24"/>
        </w:rPr>
        <w:t>Esošā ekonomikas situācija un ģeopolitiskās norises apstiprina un arī turpmākajos gados iezīmē galvenos rīcības virzienus:</w:t>
      </w:r>
    </w:p>
    <w:p w14:paraId="7DA53FA2" w14:textId="7F9422E9" w:rsidR="006219CA" w:rsidRPr="006219CA" w:rsidRDefault="006219CA" w:rsidP="67233F1E">
      <w:pPr>
        <w:pStyle w:val="ListParagraph"/>
        <w:numPr>
          <w:ilvl w:val="0"/>
          <w:numId w:val="2"/>
        </w:numPr>
        <w:spacing w:before="60" w:after="6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67233F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Turpināt uzsākto darbu pie atbalsta programmu izstrādes, lai jau 2022.gadā un 2023.gadā </w:t>
      </w:r>
      <w:r w:rsidR="00EC769F" w:rsidRPr="67233F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būtu </w:t>
      </w:r>
      <w:r w:rsidR="00EF5245" w:rsidRPr="67233F1E">
        <w:rPr>
          <w:rFonts w:ascii="Times New Roman" w:hAnsi="Times New Roman" w:cs="Times New Roman"/>
          <w:color w:val="000000" w:themeColor="text1"/>
          <w:sz w:val="24"/>
          <w:szCs w:val="24"/>
        </w:rPr>
        <w:t>nodrošināts gan</w:t>
      </w:r>
      <w:r w:rsidR="00EC769F" w:rsidRPr="67233F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Atveseļošanās un noturības mehānisma, </w:t>
      </w:r>
      <w:r w:rsidR="00EF5245" w:rsidRPr="67233F1E">
        <w:rPr>
          <w:rFonts w:ascii="Times New Roman" w:hAnsi="Times New Roman" w:cs="Times New Roman"/>
          <w:color w:val="000000" w:themeColor="text1"/>
          <w:sz w:val="24"/>
          <w:szCs w:val="24"/>
        </w:rPr>
        <w:t>gan</w:t>
      </w:r>
      <w:r w:rsidR="00EC769F" w:rsidRPr="67233F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arī jaunā Eiropas Savienības struktūr</w:t>
      </w:r>
      <w:r w:rsidR="00EF5245" w:rsidRPr="67233F1E">
        <w:rPr>
          <w:rFonts w:ascii="Times New Roman" w:hAnsi="Times New Roman" w:cs="Times New Roman"/>
          <w:color w:val="000000" w:themeColor="text1"/>
          <w:sz w:val="24"/>
          <w:szCs w:val="24"/>
        </w:rPr>
        <w:t>fondu 2021.-2027.gada plānošanas perioda</w:t>
      </w:r>
      <w:r w:rsidRPr="67233F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atbalst</w:t>
      </w:r>
      <w:r w:rsidR="00EF5245" w:rsidRPr="67233F1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67233F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uzņēmējiem visā Latvijā</w:t>
      </w:r>
      <w:r w:rsidR="00D0660A" w:rsidRPr="67233F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EF5245" w:rsidRPr="67233F1E">
        <w:rPr>
          <w:rFonts w:ascii="Times New Roman" w:hAnsi="Times New Roman" w:cs="Times New Roman"/>
          <w:color w:val="000000" w:themeColor="text1"/>
          <w:sz w:val="24"/>
          <w:szCs w:val="24"/>
        </w:rPr>
        <w:t>tādējādi virzoties</w:t>
      </w:r>
      <w:r w:rsidR="007021FF" w:rsidRPr="67233F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uz inovācijām un zināšanām balstītu </w:t>
      </w:r>
      <w:r w:rsidR="00E07E49" w:rsidRPr="67233F1E">
        <w:rPr>
          <w:rFonts w:ascii="Times New Roman" w:hAnsi="Times New Roman" w:cs="Times New Roman"/>
          <w:color w:val="000000" w:themeColor="text1"/>
          <w:sz w:val="24"/>
          <w:szCs w:val="24"/>
        </w:rPr>
        <w:t>tautsaimniecības</w:t>
      </w:r>
      <w:r w:rsidR="007021FF" w:rsidRPr="67233F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attīstību</w:t>
      </w:r>
      <w:r w:rsidRPr="67233F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5862045D" w14:textId="00C3D0D4" w:rsidR="67233F1E" w:rsidRDefault="51021F3F" w:rsidP="51021F3F">
      <w:pPr>
        <w:pStyle w:val="ListParagraph"/>
        <w:numPr>
          <w:ilvl w:val="0"/>
          <w:numId w:val="2"/>
        </w:numPr>
        <w:spacing w:before="60" w:after="60" w:line="24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 w:rsidRPr="51021F3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Turpināt enerģētiskās neatkarības un drošības stiprināšanu, kā arī īstenot pasākumus efektīvai pārejai uz atjaunojamiem energo resursiem. </w:t>
      </w:r>
    </w:p>
    <w:p w14:paraId="0CC7631C" w14:textId="728EB9A4" w:rsidR="00AF2F16" w:rsidRPr="007D5C20" w:rsidRDefault="00AF2F16" w:rsidP="006219CA">
      <w:pPr>
        <w:spacing w:before="60" w:after="6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AF2F16" w:rsidRPr="007D5C20" w:rsidSect="00FC4D4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689C1" w14:textId="77777777" w:rsidR="00BD42CA" w:rsidRDefault="00BD42CA" w:rsidP="0077533E">
      <w:pPr>
        <w:spacing w:after="0" w:line="240" w:lineRule="auto"/>
      </w:pPr>
      <w:r>
        <w:separator/>
      </w:r>
    </w:p>
  </w:endnote>
  <w:endnote w:type="continuationSeparator" w:id="0">
    <w:p w14:paraId="54747BFA" w14:textId="77777777" w:rsidR="00BD42CA" w:rsidRDefault="00BD42CA" w:rsidP="0077533E">
      <w:pPr>
        <w:spacing w:after="0" w:line="240" w:lineRule="auto"/>
      </w:pPr>
      <w:r>
        <w:continuationSeparator/>
      </w:r>
    </w:p>
  </w:endnote>
  <w:endnote w:type="continuationNotice" w:id="1">
    <w:p w14:paraId="0B483D43" w14:textId="77777777" w:rsidR="00BD42CA" w:rsidRDefault="00BD42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2E639" w14:textId="77777777" w:rsidR="00BD42CA" w:rsidRDefault="00BD42CA" w:rsidP="0077533E">
      <w:pPr>
        <w:spacing w:after="0" w:line="240" w:lineRule="auto"/>
      </w:pPr>
      <w:r>
        <w:separator/>
      </w:r>
    </w:p>
  </w:footnote>
  <w:footnote w:type="continuationSeparator" w:id="0">
    <w:p w14:paraId="1197BF00" w14:textId="77777777" w:rsidR="00BD42CA" w:rsidRDefault="00BD42CA" w:rsidP="0077533E">
      <w:pPr>
        <w:spacing w:after="0" w:line="240" w:lineRule="auto"/>
      </w:pPr>
      <w:r>
        <w:continuationSeparator/>
      </w:r>
    </w:p>
  </w:footnote>
  <w:footnote w:type="continuationNotice" w:id="1">
    <w:p w14:paraId="2A56796B" w14:textId="77777777" w:rsidR="00BD42CA" w:rsidRDefault="00BD42C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1D07"/>
    <w:multiLevelType w:val="hybridMultilevel"/>
    <w:tmpl w:val="A7505004"/>
    <w:lvl w:ilvl="0" w:tplc="0426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1" w15:restartNumberingAfterBreak="0">
    <w:nsid w:val="34387717"/>
    <w:multiLevelType w:val="hybridMultilevel"/>
    <w:tmpl w:val="DE7E13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4F67D3"/>
    <w:multiLevelType w:val="hybridMultilevel"/>
    <w:tmpl w:val="2D7A16A6"/>
    <w:lvl w:ilvl="0" w:tplc="247041BC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1BA"/>
    <w:rsid w:val="0000217F"/>
    <w:rsid w:val="000471A7"/>
    <w:rsid w:val="000A7755"/>
    <w:rsid w:val="000D7FB1"/>
    <w:rsid w:val="000F3BC6"/>
    <w:rsid w:val="00120EFA"/>
    <w:rsid w:val="0014145E"/>
    <w:rsid w:val="001715C6"/>
    <w:rsid w:val="00185E8E"/>
    <w:rsid w:val="001D036A"/>
    <w:rsid w:val="001D2549"/>
    <w:rsid w:val="001D7D2F"/>
    <w:rsid w:val="00213D21"/>
    <w:rsid w:val="00213FAC"/>
    <w:rsid w:val="00225EBD"/>
    <w:rsid w:val="00227034"/>
    <w:rsid w:val="0024122D"/>
    <w:rsid w:val="00242DEC"/>
    <w:rsid w:val="00260733"/>
    <w:rsid w:val="00277931"/>
    <w:rsid w:val="00295DC1"/>
    <w:rsid w:val="002C5BE6"/>
    <w:rsid w:val="002E38AD"/>
    <w:rsid w:val="00314F6A"/>
    <w:rsid w:val="00333032"/>
    <w:rsid w:val="0035090E"/>
    <w:rsid w:val="0035328E"/>
    <w:rsid w:val="00366B34"/>
    <w:rsid w:val="003B23A9"/>
    <w:rsid w:val="003C1039"/>
    <w:rsid w:val="003E3984"/>
    <w:rsid w:val="004F07FD"/>
    <w:rsid w:val="005541BA"/>
    <w:rsid w:val="00561689"/>
    <w:rsid w:val="005A6A5E"/>
    <w:rsid w:val="005C00B5"/>
    <w:rsid w:val="006010BB"/>
    <w:rsid w:val="006219CA"/>
    <w:rsid w:val="00627ECA"/>
    <w:rsid w:val="006562C0"/>
    <w:rsid w:val="00674230"/>
    <w:rsid w:val="0068606D"/>
    <w:rsid w:val="006A206F"/>
    <w:rsid w:val="00700CCA"/>
    <w:rsid w:val="007021FF"/>
    <w:rsid w:val="00723313"/>
    <w:rsid w:val="007255B6"/>
    <w:rsid w:val="0073231E"/>
    <w:rsid w:val="007330F4"/>
    <w:rsid w:val="00766F0C"/>
    <w:rsid w:val="007749FC"/>
    <w:rsid w:val="0077533E"/>
    <w:rsid w:val="007D5C20"/>
    <w:rsid w:val="0080453C"/>
    <w:rsid w:val="008144F3"/>
    <w:rsid w:val="00817830"/>
    <w:rsid w:val="00853615"/>
    <w:rsid w:val="00880854"/>
    <w:rsid w:val="00882ED1"/>
    <w:rsid w:val="008C074E"/>
    <w:rsid w:val="009175DB"/>
    <w:rsid w:val="00925CB7"/>
    <w:rsid w:val="009C65B6"/>
    <w:rsid w:val="009F2785"/>
    <w:rsid w:val="00A025D1"/>
    <w:rsid w:val="00A26609"/>
    <w:rsid w:val="00A46010"/>
    <w:rsid w:val="00A656FE"/>
    <w:rsid w:val="00A7215E"/>
    <w:rsid w:val="00AD1391"/>
    <w:rsid w:val="00AE62AA"/>
    <w:rsid w:val="00AF2F16"/>
    <w:rsid w:val="00B11715"/>
    <w:rsid w:val="00B97CDC"/>
    <w:rsid w:val="00BA54E6"/>
    <w:rsid w:val="00BD2D69"/>
    <w:rsid w:val="00BD42CA"/>
    <w:rsid w:val="00BE3096"/>
    <w:rsid w:val="00BF3446"/>
    <w:rsid w:val="00C03AD1"/>
    <w:rsid w:val="00C13B88"/>
    <w:rsid w:val="00C23FB3"/>
    <w:rsid w:val="00C3133E"/>
    <w:rsid w:val="00C407C3"/>
    <w:rsid w:val="00C54F7A"/>
    <w:rsid w:val="00C571CF"/>
    <w:rsid w:val="00C946AB"/>
    <w:rsid w:val="00CB5649"/>
    <w:rsid w:val="00CD4E9A"/>
    <w:rsid w:val="00CE4696"/>
    <w:rsid w:val="00CF44B3"/>
    <w:rsid w:val="00D0660A"/>
    <w:rsid w:val="00D54AFB"/>
    <w:rsid w:val="00DA615D"/>
    <w:rsid w:val="00DE0165"/>
    <w:rsid w:val="00E07E49"/>
    <w:rsid w:val="00E25B7C"/>
    <w:rsid w:val="00E27C90"/>
    <w:rsid w:val="00E65CA2"/>
    <w:rsid w:val="00E8045F"/>
    <w:rsid w:val="00E8189C"/>
    <w:rsid w:val="00EC769F"/>
    <w:rsid w:val="00EE55A8"/>
    <w:rsid w:val="00EF5245"/>
    <w:rsid w:val="00F226AE"/>
    <w:rsid w:val="00F33EDF"/>
    <w:rsid w:val="00F365C7"/>
    <w:rsid w:val="00F52F6D"/>
    <w:rsid w:val="00F7473C"/>
    <w:rsid w:val="00FC4D4C"/>
    <w:rsid w:val="00FF5C12"/>
    <w:rsid w:val="066862D6"/>
    <w:rsid w:val="25F75745"/>
    <w:rsid w:val="2995CD88"/>
    <w:rsid w:val="325EEE0A"/>
    <w:rsid w:val="51021F3F"/>
    <w:rsid w:val="6723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8C9B3B"/>
  <w15:chartTrackingRefBased/>
  <w15:docId w15:val="{4DB6905B-E9C4-40A8-A2FA-ABE6426F9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BD2D69"/>
  </w:style>
  <w:style w:type="paragraph" w:styleId="ListParagraph">
    <w:name w:val="List Paragraph"/>
    <w:aliases w:val="2,Numbered Para 1,Dot pt,No Spacing1,List Paragraph Char Char Char,Indicator Text,Bullet 1,Bullet Points,MAIN CONTENT,IFCL - List Paragraph,List Paragraph12,OBC Bullet,F5 List Paragraph,Colorful List - Accent 11,Strip,Saraksta rindkopa"/>
    <w:basedOn w:val="Normal"/>
    <w:link w:val="ListParagraphChar"/>
    <w:uiPriority w:val="34"/>
    <w:qFormat/>
    <w:rsid w:val="00627ECA"/>
    <w:pPr>
      <w:ind w:left="720"/>
      <w:contextualSpacing/>
    </w:pPr>
  </w:style>
  <w:style w:type="character" w:customStyle="1" w:styleId="ListParagraphChar">
    <w:name w:val="List Paragraph Char"/>
    <w:aliases w:val="2 Char,Numbered Para 1 Char,Dot pt Char,No Spacing1 Char,List Paragraph Char Char Char Char,Indicator Text Char,Bullet 1 Char,Bullet Points Char,MAIN CONTENT Char,IFCL - List Paragraph Char,List Paragraph12 Char,OBC Bullet Char"/>
    <w:basedOn w:val="DefaultParagraphFont"/>
    <w:link w:val="ListParagraph"/>
    <w:uiPriority w:val="34"/>
    <w:locked/>
    <w:rsid w:val="00627ECA"/>
  </w:style>
  <w:style w:type="character" w:styleId="Hyperlink">
    <w:name w:val="Hyperlink"/>
    <w:basedOn w:val="DefaultParagraphFont"/>
    <w:uiPriority w:val="99"/>
    <w:unhideWhenUsed/>
    <w:rsid w:val="007753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33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33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33E"/>
    <w:rPr>
      <w:vertAlign w:val="superscript"/>
    </w:rPr>
  </w:style>
  <w:style w:type="character" w:styleId="Strong">
    <w:name w:val="Strong"/>
    <w:basedOn w:val="DefaultParagraphFont"/>
    <w:uiPriority w:val="22"/>
    <w:qFormat/>
    <w:rsid w:val="0077533E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8536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3615"/>
  </w:style>
  <w:style w:type="paragraph" w:styleId="Footer">
    <w:name w:val="footer"/>
    <w:basedOn w:val="Normal"/>
    <w:link w:val="FooterChar"/>
    <w:uiPriority w:val="99"/>
    <w:semiHidden/>
    <w:unhideWhenUsed/>
    <w:rsid w:val="0085361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36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7784</Words>
  <Characters>4438</Characters>
  <Application>Microsoft Office Word</Application>
  <DocSecurity>0</DocSecurity>
  <Lines>36</Lines>
  <Paragraphs>24</Paragraphs>
  <ScaleCrop>false</ScaleCrop>
  <Company/>
  <LinksUpToDate>false</LinksUpToDate>
  <CharactersWithSpaces>12198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Baltābola</dc:creator>
  <cp:keywords/>
  <dc:description/>
  <cp:lastModifiedBy>Ilze Baltābola</cp:lastModifiedBy>
  <cp:revision>3</cp:revision>
  <cp:lastPrinted>2022-08-11T12:04:00Z</cp:lastPrinted>
  <dcterms:created xsi:type="dcterms:W3CDTF">2022-08-12T14:34:00Z</dcterms:created>
  <dcterms:modified xsi:type="dcterms:W3CDTF">2022-08-12T14:43:00Z</dcterms:modified>
</cp:coreProperties>
</file>