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0372" w14:textId="5C67A9B7" w:rsidR="003E5ADF" w:rsidRDefault="003E5ADF" w:rsidP="001221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E6C15A" w14:textId="77777777" w:rsidR="003E5ADF" w:rsidRPr="0012213B" w:rsidRDefault="003E5ADF" w:rsidP="001221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3E5ADF" w:rsidRPr="00421F7D" w14:paraId="7B758FD6" w14:textId="77777777" w:rsidTr="00CE3F9F">
        <w:trPr>
          <w:cantSplit/>
        </w:trPr>
        <w:tc>
          <w:tcPr>
            <w:tcW w:w="9078" w:type="dxa"/>
          </w:tcPr>
          <w:tbl>
            <w:tblPr>
              <w:tblStyle w:val="TableGrid"/>
              <w:tblW w:w="90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8"/>
            </w:tblGrid>
            <w:tr w:rsidR="00421F7D" w:rsidRPr="00421F7D" w14:paraId="3DA2936E" w14:textId="77777777" w:rsidTr="00CE3F9F">
              <w:trPr>
                <w:cantSplit/>
              </w:trPr>
              <w:tc>
                <w:tcPr>
                  <w:tcW w:w="9078" w:type="dxa"/>
                </w:tcPr>
                <w:p w14:paraId="164A0FB4" w14:textId="77777777" w:rsidR="00421F7D" w:rsidRPr="0012213B" w:rsidRDefault="00421F7D" w:rsidP="00421F7D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jc w:val="righ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Ministru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kabineta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noteikumi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324935D2" w14:textId="77777777" w:rsidR="00421F7D" w:rsidRPr="0012213B" w:rsidRDefault="00421F7D" w:rsidP="00421F7D">
                  <w:pPr>
                    <w:spacing w:before="100" w:beforeAutospacing="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2022. gada 18. janvārī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prot.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 §</w:t>
                  </w:r>
                  <w:r w:rsidRPr="00122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58E8F115" w14:textId="58EBCB2A" w:rsidR="003E5ADF" w:rsidRPr="0012213B" w:rsidRDefault="003E5ADF" w:rsidP="001221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33CEF" w14:textId="3464B277" w:rsidR="00F33D11" w:rsidRDefault="00F33D11" w:rsidP="0057323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BB64821" w14:textId="20555364" w:rsidR="00234AED" w:rsidRPr="00B434D1" w:rsidRDefault="00234AED" w:rsidP="00573235">
      <w:pPr>
        <w:pStyle w:val="a"/>
        <w:tabs>
          <w:tab w:val="righ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lv-LV" w:eastAsia="lv-LV"/>
        </w:rPr>
      </w:pPr>
      <w:bookmarkStart w:id="0" w:name="_Hlk91498293"/>
      <w:r w:rsidRPr="00B434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lv-LV" w:eastAsia="lv-LV"/>
        </w:rPr>
        <w:t>Nacionālā meža monitoringa noteikumi</w:t>
      </w:r>
    </w:p>
    <w:p w14:paraId="046CE006" w14:textId="77777777" w:rsidR="007F4989" w:rsidRPr="00F33D11" w:rsidRDefault="007F4989" w:rsidP="00573235">
      <w:pPr>
        <w:pStyle w:val="a"/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bookmarkEnd w:id="0"/>
    <w:p w14:paraId="5B9D524C" w14:textId="2CA86A78" w:rsidR="00F33D11" w:rsidRPr="001576AD" w:rsidRDefault="00234AED" w:rsidP="0012213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576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  <w:t>Izdoti saskaņā ar Meža</w:t>
      </w:r>
      <w:r w:rsidR="00D62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Pr="001576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  <w:t>likuma</w:t>
      </w:r>
    </w:p>
    <w:p w14:paraId="0AF9DC14" w14:textId="600EE48E" w:rsidR="00234AED" w:rsidRPr="001576AD" w:rsidRDefault="006862B5" w:rsidP="0012213B">
      <w:pPr>
        <w:pStyle w:val="ListParagraph"/>
        <w:ind w:left="0"/>
        <w:jc w:val="righ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576AD">
        <w:rPr>
          <w:iCs/>
          <w:sz w:val="28"/>
          <w:szCs w:val="28"/>
          <w:bdr w:val="none" w:sz="0" w:space="0" w:color="auto" w:frame="1"/>
          <w:shd w:val="clear" w:color="auto" w:fill="FFFFFF"/>
        </w:rPr>
        <w:t>29.</w:t>
      </w:r>
      <w:r w:rsidRPr="001576AD">
        <w:rPr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34AED" w:rsidRPr="001576AD">
        <w:rPr>
          <w:iCs/>
          <w:sz w:val="28"/>
          <w:szCs w:val="28"/>
          <w:bdr w:val="none" w:sz="0" w:space="0" w:color="auto" w:frame="1"/>
          <w:shd w:val="clear" w:color="auto" w:fill="FFFFFF"/>
        </w:rPr>
        <w:t>panta otro daļu</w:t>
      </w:r>
    </w:p>
    <w:p w14:paraId="3ED08073" w14:textId="10F46526" w:rsidR="002921F6" w:rsidRDefault="002921F6" w:rsidP="001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C30BCBB" w14:textId="703DE12D" w:rsidR="007D47FA" w:rsidRPr="00103060" w:rsidRDefault="002921F6" w:rsidP="0012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30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1. </w:t>
      </w:r>
      <w:r w:rsidR="00234AED" w:rsidRPr="001030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Noteikumi nosaka nacionālā meža monitoringa saturu un kārtību.</w:t>
      </w:r>
    </w:p>
    <w:p w14:paraId="4E19EB27" w14:textId="77777777" w:rsidR="002921F6" w:rsidRPr="00103060" w:rsidRDefault="002921F6" w:rsidP="00573235">
      <w:pPr>
        <w:pStyle w:val="ListParagraph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9D1E41B" w14:textId="130E31A6" w:rsidR="002921F6" w:rsidRPr="00103060" w:rsidRDefault="003739D7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</w:t>
      </w:r>
      <w:r w:rsidR="003D26B7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4963E2" w:rsidRPr="00103060">
        <w:rPr>
          <w:rFonts w:ascii="Times New Roman" w:hAnsi="Times New Roman" w:cs="Times New Roman"/>
          <w:sz w:val="28"/>
          <w:szCs w:val="28"/>
        </w:rPr>
        <w:t xml:space="preserve">Latvijas Valsts mežzinātnes institūts </w:t>
      </w:r>
      <w:r w:rsidR="00421F7D">
        <w:rPr>
          <w:rFonts w:ascii="Times New Roman" w:eastAsia="Calibri" w:hAnsi="Times New Roman" w:cs="Times New Roman"/>
          <w:sz w:val="28"/>
          <w:szCs w:val="28"/>
        </w:rPr>
        <w:t>"</w:t>
      </w:r>
      <w:r w:rsidR="004963E2" w:rsidRPr="00103060">
        <w:rPr>
          <w:rFonts w:ascii="Times New Roman" w:hAnsi="Times New Roman" w:cs="Times New Roman"/>
          <w:sz w:val="28"/>
          <w:szCs w:val="28"/>
        </w:rPr>
        <w:t>Silava</w:t>
      </w:r>
      <w:r w:rsidR="00421F7D">
        <w:rPr>
          <w:rFonts w:ascii="Times New Roman" w:eastAsia="Calibri" w:hAnsi="Times New Roman" w:cs="Times New Roman"/>
          <w:sz w:val="28"/>
          <w:szCs w:val="28"/>
        </w:rPr>
        <w:t>"</w:t>
      </w:r>
      <w:r w:rsidR="004963E2" w:rsidRPr="00103060">
        <w:rPr>
          <w:rFonts w:ascii="Times New Roman" w:hAnsi="Times New Roman" w:cs="Times New Roman"/>
          <w:sz w:val="28"/>
          <w:szCs w:val="28"/>
        </w:rPr>
        <w:t xml:space="preserve"> (turpmāk – institūts) veic </w:t>
      </w:r>
      <w:r w:rsidR="004E39A3" w:rsidRPr="00103060">
        <w:rPr>
          <w:rFonts w:ascii="Times New Roman" w:hAnsi="Times New Roman" w:cs="Times New Roman"/>
          <w:sz w:val="28"/>
          <w:szCs w:val="28"/>
        </w:rPr>
        <w:t>nacionāl</w:t>
      </w:r>
      <w:r w:rsidR="004E39A3">
        <w:rPr>
          <w:rFonts w:ascii="Times New Roman" w:hAnsi="Times New Roman" w:cs="Times New Roman"/>
          <w:sz w:val="28"/>
          <w:szCs w:val="28"/>
        </w:rPr>
        <w:t>o</w:t>
      </w:r>
      <w:r w:rsidR="004E39A3" w:rsidRPr="00103060">
        <w:rPr>
          <w:rFonts w:ascii="Times New Roman" w:hAnsi="Times New Roman" w:cs="Times New Roman"/>
          <w:sz w:val="28"/>
          <w:szCs w:val="28"/>
        </w:rPr>
        <w:t xml:space="preserve"> </w:t>
      </w:r>
      <w:r w:rsidR="004963E2" w:rsidRPr="00103060">
        <w:rPr>
          <w:rFonts w:ascii="Times New Roman" w:hAnsi="Times New Roman" w:cs="Times New Roman"/>
          <w:sz w:val="28"/>
          <w:szCs w:val="28"/>
        </w:rPr>
        <w:t>meža monitoringu, īstenojot šādus monitoringa veidus:</w:t>
      </w:r>
    </w:p>
    <w:p w14:paraId="25C94E77" w14:textId="7DB9A539" w:rsidR="00234AED" w:rsidRPr="008B5743" w:rsidRDefault="00234AE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2.1. meža resursu monitoringu, lai iegūtu informāciju par meža platības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maiņām, meža koksnes resursu struktūru un dinamiku, mežaudžu bojājumiem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atmirušo koksni un uzkrātu hronoloģisku informāciju par mežaudžu attīstības gaitu;</w:t>
      </w:r>
    </w:p>
    <w:p w14:paraId="36D3FAE1" w14:textId="04E46D77" w:rsidR="00234AED" w:rsidRPr="008B5743" w:rsidRDefault="00234AE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2.2. pirmā un otrā līmeņa gaisa piesārņojuma ietekmes novērtēšanas monitoringu, lai novērtētu meža veselības stāvokli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tā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maiņas un noskaidrotu gaisa piesārņojuma un citu vides faktoru ietekmi uz meža ekosistēmām;</w:t>
      </w:r>
    </w:p>
    <w:p w14:paraId="7D4C66CC" w14:textId="0AB71139" w:rsidR="003739D7" w:rsidRPr="008B5743" w:rsidRDefault="006F5A3C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2.3. mežsaimniecības </w:t>
      </w:r>
      <w:proofErr w:type="spellStart"/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biotisko</w:t>
      </w:r>
      <w:proofErr w:type="spellEnd"/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risk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 faktoru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monitoringu, lai iegūtu operatīvu informāciju par bīstamāko meža kaitēkļu un slimību izplatību, kā arī informāciju par briežu dzimtas dzīvnieku </w:t>
      </w:r>
      <w:r w:rsidR="00A80CC6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mežaudzēm nodarītiem bojājumiem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 </w:t>
      </w:r>
      <w:r w:rsidR="00024243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to </w:t>
      </w:r>
      <w:r w:rsidR="00A80CC6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populācijas blīvumu</w:t>
      </w:r>
      <w:r w:rsidR="00B241E3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771090E0" w14:textId="0BEBDF36" w:rsidR="006F5A3C" w:rsidRDefault="006F5A3C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2.4</w:t>
      </w:r>
      <w:r w:rsidR="00421F7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421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 bioloģiskās daudzveidības monitoringu, lai iegūtu fona informāciju par meža biolo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ģ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iskās daudzveidības stāvokli un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tā pār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maiņu novērtējumu valstī.</w:t>
      </w:r>
    </w:p>
    <w:p w14:paraId="29635B49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192C973" w14:textId="5A252FE7" w:rsidR="00B241E3" w:rsidRPr="006B4A6C" w:rsidRDefault="00234AE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3. Meža resursu monitoringa informāciju iegūst </w:t>
      </w:r>
      <w:r w:rsidR="003460EE"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piecu gadu ciklā </w:t>
      </w:r>
      <w:r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visā valsts teritorijā </w:t>
      </w:r>
      <w:r w:rsidR="006862B5"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no </w:t>
      </w:r>
      <w:r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vienmērīgi četru kilometru attālumā izvietotu parauglaukumu traktu tīkl</w:t>
      </w:r>
      <w:r w:rsidR="006862B5"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</w:t>
      </w:r>
      <w:r w:rsidRPr="006B4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 katru gadu apsekojot vienu piekto daļu no kopējā parauglaukumu skaita.</w:t>
      </w:r>
    </w:p>
    <w:p w14:paraId="14CC559B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4F8F9D27" w14:textId="421C4722" w:rsidR="00234AED" w:rsidRPr="00103060" w:rsidRDefault="00B241E3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4</w:t>
      </w:r>
      <w:r w:rsidR="0086172C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. 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 resursu monitoringa parauglaukumus ierīko visā valsts teritorijā</w:t>
      </w:r>
      <w:r w:rsidR="00A243D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, kas</w:t>
      </w:r>
      <w:r w:rsidR="006B4A6C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dabā nav vizuāli identificējami</w:t>
      </w:r>
      <w:r w:rsidR="006B4A6C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</w:p>
    <w:p w14:paraId="57F1EA3A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38CCC17" w14:textId="72DEC480" w:rsidR="00234AED" w:rsidRDefault="00D62FBE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lastRenderedPageBreak/>
        <w:t>5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Pirmā līmeņa gaisa piesārņojuma ietekmes novērtēšanas monitoringa informāciju iegūst</w:t>
      </w:r>
      <w:r w:rsidR="000402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no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ikgadēj</w:t>
      </w:r>
      <w:r w:rsidR="000402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iem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novērojum</w:t>
      </w:r>
      <w:r w:rsidR="000402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iem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115 meža resursu monitoringa parauglaukumos, </w:t>
      </w:r>
      <w:r w:rsidR="00EE2A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kas izvietoti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16 </w:t>
      </w:r>
      <w:r w:rsidR="00421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×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16 kilometru tīklā un iezīmēt</w:t>
      </w:r>
      <w:r w:rsidR="00EE2A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 dabā.</w:t>
      </w:r>
    </w:p>
    <w:p w14:paraId="296A8C31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B7E6FE9" w14:textId="3AAC466A" w:rsidR="00234AED" w:rsidRPr="006B4A6C" w:rsidRDefault="00D62FBE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3F4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6</w:t>
      </w:r>
      <w:r w:rsidR="00234AED" w:rsidRPr="003F4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234AED" w:rsidRPr="006B4A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3F4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Otrā līmeņa gaisa piesārņojuma ietekmes novērtēšanas monitoringa 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informāciju iegūs</w:t>
      </w:r>
      <w:r w:rsidR="004214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t no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ikgadēj</w:t>
      </w:r>
      <w:r w:rsidR="004214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iem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novērojum</w:t>
      </w:r>
      <w:r w:rsidR="004214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iem</w:t>
      </w:r>
      <w:r w:rsidR="00234AED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valsts zinātniskās izpētes mežos izveidotos parauglaukumos</w:t>
      </w:r>
      <w:r w:rsidR="006B4A6C" w:rsidRPr="001030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lv-LV"/>
        </w:rPr>
        <w:t>, kuros netiek veikta galvenā cirte un kopšanas cirte.</w:t>
      </w:r>
    </w:p>
    <w:p w14:paraId="654FDD55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C982A85" w14:textId="7E78A4B1" w:rsidR="00234AED" w:rsidRDefault="002C0C4A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7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Ja ierīkoto otrā līmeņa gaisa piesārņojuma ietekmes novērtēšanas monitoringa parauglaukumu skaits vai izvietojums nenodrošina datu ticamību, institūts var ierīkot </w:t>
      </w:r>
      <w:r w:rsidR="006862B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papildu parauglaukumus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arī ārpus valsts zinātniskās izpētes mežiem, slēdzot līgumu ar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attiecīgās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zemes īpašnieku, tiesisko valdītāju vai tā pilnvarotu personu.</w:t>
      </w:r>
    </w:p>
    <w:p w14:paraId="344E86B3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6DF69976" w14:textId="14EEC2E7" w:rsidR="0032562E" w:rsidRPr="003F40B6" w:rsidRDefault="00DE13B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8</w:t>
      </w:r>
      <w:r w:rsidR="00770E2B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E14B5F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Mežsaimniecības </w:t>
      </w:r>
      <w:proofErr w:type="spellStart"/>
      <w:r w:rsidR="00526F18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biotisko</w:t>
      </w:r>
      <w:proofErr w:type="spellEnd"/>
      <w:r w:rsidR="00526F18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risk</w:t>
      </w:r>
      <w:r w:rsidR="006862B5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 faktoru</w:t>
      </w:r>
      <w:r w:rsidR="00526F18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monitoringa informāciju iegūst, veicot </w:t>
      </w:r>
      <w:r w:rsidR="00D57CA5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novērojumus speciāli izveidotos parauglaukumos.</w:t>
      </w:r>
    </w:p>
    <w:p w14:paraId="00461049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86A2487" w14:textId="7E161942" w:rsidR="00D57CA5" w:rsidRPr="008B5743" w:rsidRDefault="00DE13B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9</w:t>
      </w:r>
      <w:r w:rsidR="00A042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 bioloģiskās daudzveidības monitoringa informāciju iegūst:</w:t>
      </w:r>
    </w:p>
    <w:p w14:paraId="0B080ECF" w14:textId="6F9429C8" w:rsidR="00D57CA5" w:rsidRPr="008B5743" w:rsidRDefault="00FE7591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9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.1.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ģenētiskā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ģenētisko resursu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mežaudzēs un sēklu plantācijās;</w:t>
      </w:r>
    </w:p>
    <w:p w14:paraId="4F2CE4C7" w14:textId="3D5BAD78" w:rsidR="00D57CA5" w:rsidRPr="008B5743" w:rsidRDefault="00FE7591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9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.2.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sugu un ekosistēmu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</w:t>
      </w:r>
      <w:r w:rsidR="00CF3C0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eža resursu monitoringa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parauglaukumos;</w:t>
      </w:r>
    </w:p>
    <w:p w14:paraId="08518E5F" w14:textId="3B11BA7D" w:rsidR="00526F18" w:rsidRDefault="00FE7591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9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.3.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ainavu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izmantojot attālās izpētes datus.</w:t>
      </w:r>
    </w:p>
    <w:p w14:paraId="322C1D82" w14:textId="77777777" w:rsidR="00A13C0F" w:rsidRDefault="00A13C0F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9BB2034" w14:textId="6FF95885" w:rsidR="00D93182" w:rsidRPr="000352EE" w:rsidRDefault="00D93182" w:rsidP="0057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497919"/>
      <w:r w:rsidRPr="00BC0C0D">
        <w:rPr>
          <w:rFonts w:ascii="Times New Roman" w:hAnsi="Times New Roman" w:cs="Times New Roman"/>
          <w:sz w:val="28"/>
          <w:szCs w:val="28"/>
        </w:rPr>
        <w:t>10</w:t>
      </w:r>
      <w:r w:rsidR="00421F7D" w:rsidRPr="00BC0C0D">
        <w:rPr>
          <w:rFonts w:ascii="Times New Roman" w:hAnsi="Times New Roman" w:cs="Times New Roman"/>
          <w:sz w:val="28"/>
          <w:szCs w:val="28"/>
        </w:rPr>
        <w:t>.</w:t>
      </w:r>
      <w:r w:rsidR="00421F7D">
        <w:rPr>
          <w:rFonts w:ascii="Times New Roman" w:hAnsi="Times New Roman" w:cs="Times New Roman"/>
          <w:sz w:val="28"/>
          <w:szCs w:val="28"/>
        </w:rPr>
        <w:t> </w:t>
      </w:r>
      <w:r w:rsidRPr="00BC0C0D">
        <w:rPr>
          <w:rFonts w:ascii="Times New Roman" w:hAnsi="Times New Roman" w:cs="Times New Roman"/>
          <w:sz w:val="28"/>
          <w:szCs w:val="28"/>
        </w:rPr>
        <w:t xml:space="preserve">Institūts izstrādā un </w:t>
      </w:r>
      <w:r w:rsidR="00C20494">
        <w:rPr>
          <w:rFonts w:ascii="Times New Roman" w:hAnsi="Times New Roman" w:cs="Times New Roman"/>
          <w:sz w:val="28"/>
          <w:szCs w:val="28"/>
        </w:rPr>
        <w:t xml:space="preserve">pēc </w:t>
      </w:r>
      <w:r w:rsidR="00C20494" w:rsidRPr="000352EE">
        <w:rPr>
          <w:rFonts w:ascii="Times New Roman" w:hAnsi="Times New Roman" w:cs="Times New Roman"/>
          <w:sz w:val="28"/>
          <w:szCs w:val="28"/>
        </w:rPr>
        <w:t>saskaņo</w:t>
      </w:r>
      <w:r w:rsidR="00C20494">
        <w:rPr>
          <w:rFonts w:ascii="Times New Roman" w:hAnsi="Times New Roman" w:cs="Times New Roman"/>
          <w:sz w:val="28"/>
          <w:szCs w:val="28"/>
        </w:rPr>
        <w:t>šanas</w:t>
      </w:r>
      <w:r w:rsidR="00C20494" w:rsidRPr="000352EE">
        <w:rPr>
          <w:rFonts w:ascii="Times New Roman" w:hAnsi="Times New Roman" w:cs="Times New Roman"/>
          <w:sz w:val="28"/>
          <w:szCs w:val="28"/>
        </w:rPr>
        <w:t xml:space="preserve"> ar Zemkopības ministriju</w:t>
      </w:r>
      <w:r w:rsidR="00C20494" w:rsidRPr="00BC0C0D">
        <w:rPr>
          <w:rFonts w:ascii="Times New Roman" w:hAnsi="Times New Roman" w:cs="Times New Roman"/>
          <w:sz w:val="28"/>
          <w:szCs w:val="28"/>
        </w:rPr>
        <w:t xml:space="preserve"> </w:t>
      </w:r>
      <w:r w:rsidRPr="00BC0C0D">
        <w:rPr>
          <w:rFonts w:ascii="Times New Roman" w:hAnsi="Times New Roman" w:cs="Times New Roman"/>
          <w:sz w:val="28"/>
          <w:szCs w:val="28"/>
        </w:rPr>
        <w:t>apstiprina nacionālā meža monitoringa metodiku</w:t>
      </w:r>
      <w:r w:rsidRPr="000352EE">
        <w:rPr>
          <w:rFonts w:ascii="Times New Roman" w:hAnsi="Times New Roman" w:cs="Times New Roman"/>
          <w:sz w:val="28"/>
          <w:szCs w:val="28"/>
        </w:rPr>
        <w:t>.</w:t>
      </w:r>
      <w:r w:rsidR="004C3845">
        <w:rPr>
          <w:rFonts w:ascii="Times New Roman" w:hAnsi="Times New Roman" w:cs="Times New Roman"/>
          <w:sz w:val="28"/>
          <w:szCs w:val="28"/>
        </w:rPr>
        <w:t xml:space="preserve"> </w:t>
      </w:r>
      <w:r w:rsidR="00FC36C7">
        <w:rPr>
          <w:rFonts w:ascii="Times New Roman" w:hAnsi="Times New Roman" w:cs="Times New Roman"/>
          <w:sz w:val="28"/>
          <w:szCs w:val="28"/>
        </w:rPr>
        <w:t xml:space="preserve">Par izstrādātājiem un </w:t>
      </w:r>
      <w:r w:rsidRPr="000352EE">
        <w:rPr>
          <w:rFonts w:ascii="Times New Roman" w:hAnsi="Times New Roman" w:cs="Times New Roman"/>
          <w:sz w:val="28"/>
          <w:szCs w:val="28"/>
        </w:rPr>
        <w:t>apstiprin</w:t>
      </w:r>
      <w:r w:rsidR="00FC36C7">
        <w:rPr>
          <w:rFonts w:ascii="Times New Roman" w:hAnsi="Times New Roman" w:cs="Times New Roman"/>
          <w:sz w:val="28"/>
          <w:szCs w:val="28"/>
        </w:rPr>
        <w:t xml:space="preserve">ātajiem </w:t>
      </w:r>
      <w:r w:rsidRPr="000352EE">
        <w:rPr>
          <w:rFonts w:ascii="Times New Roman" w:hAnsi="Times New Roman" w:cs="Times New Roman"/>
          <w:sz w:val="28"/>
          <w:szCs w:val="28"/>
        </w:rPr>
        <w:t>grozījum</w:t>
      </w:r>
      <w:r w:rsidR="00FC36C7">
        <w:rPr>
          <w:rFonts w:ascii="Times New Roman" w:hAnsi="Times New Roman" w:cs="Times New Roman"/>
          <w:sz w:val="28"/>
          <w:szCs w:val="28"/>
        </w:rPr>
        <w:t>iem</w:t>
      </w:r>
      <w:r w:rsidRPr="000352EE">
        <w:rPr>
          <w:rFonts w:ascii="Times New Roman" w:hAnsi="Times New Roman" w:cs="Times New Roman"/>
          <w:sz w:val="28"/>
          <w:szCs w:val="28"/>
        </w:rPr>
        <w:t xml:space="preserve"> metodikā par meža bioloģiskās daudzveidības monitoringā iegūstamo informācijas apjomu institūts informē Dabas aizsardzības pārvaldi.</w:t>
      </w:r>
    </w:p>
    <w:bookmarkEnd w:id="1"/>
    <w:p w14:paraId="1069BAAC" w14:textId="77777777" w:rsidR="00C664FD" w:rsidRPr="00D93182" w:rsidRDefault="00C664FD" w:rsidP="00573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88D2CA" w14:textId="03292AC3" w:rsidR="008A6642" w:rsidRPr="008B5743" w:rsidRDefault="00F05510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bookmarkStart w:id="2" w:name="_Hlk91497808"/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DE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Institūts sagatavo un:</w:t>
      </w:r>
    </w:p>
    <w:p w14:paraId="660B7090" w14:textId="5189211D" w:rsidR="00234AED" w:rsidRPr="008B5743" w:rsidRDefault="00F05510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DE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1. katru gadu līdz 1</w:t>
      </w:r>
      <w:r w:rsidR="009F5005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9F5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aprīlim </w:t>
      </w:r>
      <w:r w:rsidR="009F500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iesniedz</w:t>
      </w:r>
      <w:r w:rsidR="009F5005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Zem</w:t>
      </w:r>
      <w:r w:rsidR="002E474B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kopības ministrijā</w:t>
      </w:r>
      <w:r w:rsidR="00106670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0B1C21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pārskatu (pielikum</w:t>
      </w:r>
      <w:r w:rsidR="009C081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) par iepriekšējā kalendāra gadā </w:t>
      </w:r>
      <w:r w:rsidR="005D0130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nacionālā meža 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monitoringa izpildē </w:t>
      </w:r>
      <w:r w:rsidR="002E474B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iegūto informāciju</w:t>
      </w:r>
      <w:r w:rsidR="00891ED3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60676747" w14:textId="22D3583D" w:rsidR="00A4695D" w:rsidRPr="003F40B6" w:rsidRDefault="00A4695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DE13B6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.2. </w:t>
      </w:r>
      <w:r w:rsidR="00A54328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reizi gadā</w:t>
      </w:r>
      <w:r w:rsidR="009F5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DB167F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saskaņā</w:t>
      </w:r>
      <w:r w:rsidR="00DB167F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ar Starptautiskās sadarbības programmas par gaisa piesārņojuma ietekmes uz mežiem novērtēšanu un monitoringu (</w:t>
      </w:r>
      <w:r w:rsidR="00DB167F" w:rsidRPr="003F40B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ICP </w:t>
      </w:r>
      <w:proofErr w:type="spellStart"/>
      <w:r w:rsidR="00DB167F" w:rsidRPr="003F40B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lv-LV"/>
        </w:rPr>
        <w:t>Forests</w:t>
      </w:r>
      <w:proofErr w:type="spellEnd"/>
      <w:r w:rsidR="00DB167F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) noteikto laika grafiku</w:t>
      </w:r>
      <w:r w:rsidR="009F5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9F500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iesniedz</w:t>
      </w:r>
      <w:r w:rsidR="00DB167F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koordinācijas centrā informāciju par pirmā un </w:t>
      </w:r>
      <w:r w:rsidR="00B33C09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otr</w:t>
      </w:r>
      <w:r w:rsidR="00B33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ā</w:t>
      </w:r>
      <w:r w:rsidR="00B33C09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DB167F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līmeņa gaisa piesārņojuma ietekmi</w:t>
      </w:r>
      <w:r w:rsidR="00891ED3" w:rsidRPr="003F4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bookmarkEnd w:id="2"/>
    <w:p w14:paraId="3207CA14" w14:textId="5B9A76F6" w:rsidR="002E474B" w:rsidRDefault="00A4695D" w:rsidP="0057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DE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.3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katru gadu līdz 15</w:t>
      </w:r>
      <w:r w:rsidR="009F500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9F5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10667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jūlijam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9F500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iesniedz</w:t>
      </w:r>
      <w:r w:rsidR="009F5005" w:rsidRPr="008B5743" w:rsidDel="009F5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Zemkopības ministrijā un Valsts meža dienestā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informāciju par meža kaitēkļu un slimību</w:t>
      </w:r>
      <w:r w:rsidR="00B309DA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izplatību</w:t>
      </w:r>
      <w:r w:rsidR="007475EE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</w:t>
      </w:r>
      <w:r w:rsidR="00767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gada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t>pirmajā</w:t>
      </w:r>
      <w:r w:rsidR="00097B76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pusgadā</w:t>
      </w:r>
      <w:r w:rsidR="00B309DA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izplatības prognozēm,</w:t>
      </w:r>
      <w:r w:rsidR="00767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kā arī nekavējoties</w:t>
      </w:r>
      <w:r w:rsidR="003634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97B76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informāciju par </w:t>
      </w:r>
      <w:r w:rsidR="009F5005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konstatēt</w:t>
      </w:r>
      <w:r w:rsidR="009F500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9F5005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straujas meža kaitēkļu vai slimību savairošanās risku.</w:t>
      </w:r>
    </w:p>
    <w:p w14:paraId="506AAF79" w14:textId="77777777" w:rsidR="002921F6" w:rsidRPr="002921F6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67CC8595" w14:textId="47A7291B" w:rsidR="00234AED" w:rsidRDefault="002D45E4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lastRenderedPageBreak/>
        <w:t>1</w:t>
      </w:r>
      <w:r w:rsidR="00DE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Institūts apkopo 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un analizē </w:t>
      </w:r>
      <w:r w:rsidR="005D0130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nacionālā meža </w:t>
      </w:r>
      <w:r w:rsidR="00B309DA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monitoringa</w:t>
      </w:r>
      <w:r w:rsidR="00B309D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izpildē iegūto informāciju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</w:t>
      </w:r>
      <w:r w:rsidR="007D12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kā arī 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reizi piecos gados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sagatavo un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iesniedz Zemkopības ministrijā publisku ziņojumu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E04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Ziņojumu iesniedz gada laikā pēc piecu gadu cikla beigām.</w:t>
      </w:r>
    </w:p>
    <w:p w14:paraId="0A249542" w14:textId="77777777" w:rsidR="002921F6" w:rsidRPr="008B5743" w:rsidRDefault="002921F6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CFD2DF4" w14:textId="5C1A8AC7" w:rsidR="00D95142" w:rsidRDefault="008E3F30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DE13B6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3</w:t>
      </w: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Šo noteikumu 1</w:t>
      </w:r>
      <w:r w:rsidR="00DE13B6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 un 1</w:t>
      </w:r>
      <w:r w:rsidR="00DE13B6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</w:t>
      </w:r>
      <w:r w:rsidR="00573235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1030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punktā minētie</w:t>
      </w:r>
      <w:r w:rsidR="00234AED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5E4794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pārskati un </w:t>
      </w:r>
      <w:r w:rsidR="005F4AAC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ziņ</w:t>
      </w:r>
      <w:r w:rsidR="005E4794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ojums</w:t>
      </w:r>
      <w:r w:rsidR="005F4AAC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146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pēc to iesniegšanas Zemkopības ministrijā ir publiski pieejami institūta tīmekļvietnē.</w:t>
      </w:r>
    </w:p>
    <w:p w14:paraId="07A42821" w14:textId="77777777" w:rsidR="000A5F15" w:rsidRPr="00146A92" w:rsidRDefault="000A5F15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B47602A" w14:textId="31BDF2E4" w:rsidR="00C664FD" w:rsidRPr="000352EE" w:rsidRDefault="000A5F15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bookmarkStart w:id="3" w:name="_Hlk88646278"/>
      <w:r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14</w:t>
      </w:r>
      <w:r w:rsidR="00573235"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B5E74"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Šo noteikumu 10.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B5E74"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punktā minēto</w:t>
      </w:r>
      <w:r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metodiku institūts izstrādā un apstiprina līdz 2022.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gada 1.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035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maijam.</w:t>
      </w:r>
    </w:p>
    <w:p w14:paraId="6CF1DB3D" w14:textId="77777777" w:rsidR="00E963D8" w:rsidRPr="000352EE" w:rsidRDefault="00E963D8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4B4F19A" w14:textId="471BE926" w:rsidR="000A5F15" w:rsidRPr="000352EE" w:rsidRDefault="00E963D8" w:rsidP="0057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EE">
        <w:rPr>
          <w:rFonts w:ascii="Times New Roman" w:hAnsi="Times New Roman" w:cs="Times New Roman"/>
          <w:sz w:val="28"/>
          <w:szCs w:val="28"/>
        </w:rPr>
        <w:t>15</w:t>
      </w:r>
      <w:r w:rsidR="00573235" w:rsidRPr="000352EE">
        <w:rPr>
          <w:rFonts w:ascii="Times New Roman" w:hAnsi="Times New Roman" w:cs="Times New Roman"/>
          <w:sz w:val="28"/>
          <w:szCs w:val="28"/>
        </w:rPr>
        <w:t>.</w:t>
      </w:r>
      <w:r w:rsidR="00573235">
        <w:rPr>
          <w:rFonts w:ascii="Times New Roman" w:hAnsi="Times New Roman" w:cs="Times New Roman"/>
          <w:sz w:val="28"/>
          <w:szCs w:val="28"/>
        </w:rPr>
        <w:t> </w:t>
      </w:r>
      <w:r w:rsidRPr="000352EE">
        <w:rPr>
          <w:rFonts w:ascii="Times New Roman" w:hAnsi="Times New Roman" w:cs="Times New Roman"/>
          <w:sz w:val="28"/>
          <w:szCs w:val="28"/>
        </w:rPr>
        <w:t>Līdz šo noteikumu 10</w:t>
      </w:r>
      <w:r w:rsidR="009F5005" w:rsidRPr="000352EE">
        <w:rPr>
          <w:rFonts w:ascii="Times New Roman" w:hAnsi="Times New Roman" w:cs="Times New Roman"/>
          <w:sz w:val="28"/>
          <w:szCs w:val="28"/>
        </w:rPr>
        <w:t>.</w:t>
      </w:r>
      <w:r w:rsidR="009F5005">
        <w:rPr>
          <w:rFonts w:ascii="Times New Roman" w:hAnsi="Times New Roman" w:cs="Times New Roman"/>
          <w:sz w:val="28"/>
          <w:szCs w:val="28"/>
        </w:rPr>
        <w:t> </w:t>
      </w:r>
      <w:r w:rsidRPr="000352EE">
        <w:rPr>
          <w:rFonts w:ascii="Times New Roman" w:hAnsi="Times New Roman" w:cs="Times New Roman"/>
          <w:sz w:val="28"/>
          <w:szCs w:val="28"/>
        </w:rPr>
        <w:t>punktā minētās metodikas spēkā stāšanās dienai piemēro saskaņā ar Ministru kabineta 2012</w:t>
      </w:r>
      <w:r w:rsidR="00573235" w:rsidRPr="000352EE">
        <w:rPr>
          <w:rFonts w:ascii="Times New Roman" w:hAnsi="Times New Roman" w:cs="Times New Roman"/>
          <w:sz w:val="28"/>
          <w:szCs w:val="28"/>
        </w:rPr>
        <w:t>.</w:t>
      </w:r>
      <w:r w:rsidR="00573235">
        <w:rPr>
          <w:rFonts w:ascii="Times New Roman" w:hAnsi="Times New Roman" w:cs="Times New Roman"/>
          <w:sz w:val="28"/>
          <w:szCs w:val="28"/>
        </w:rPr>
        <w:t> </w:t>
      </w:r>
      <w:r w:rsidRPr="000352EE">
        <w:rPr>
          <w:rFonts w:ascii="Times New Roman" w:hAnsi="Times New Roman" w:cs="Times New Roman"/>
          <w:sz w:val="28"/>
          <w:szCs w:val="28"/>
        </w:rPr>
        <w:t>gada 3</w:t>
      </w:r>
      <w:r w:rsidR="00573235" w:rsidRPr="000352EE">
        <w:rPr>
          <w:rFonts w:ascii="Times New Roman" w:hAnsi="Times New Roman" w:cs="Times New Roman"/>
          <w:sz w:val="28"/>
          <w:szCs w:val="28"/>
        </w:rPr>
        <w:t>.</w:t>
      </w:r>
      <w:r w:rsidR="00573235">
        <w:rPr>
          <w:rFonts w:ascii="Times New Roman" w:hAnsi="Times New Roman" w:cs="Times New Roman"/>
          <w:sz w:val="28"/>
          <w:szCs w:val="28"/>
        </w:rPr>
        <w:t> </w:t>
      </w:r>
      <w:r w:rsidRPr="000352EE">
        <w:rPr>
          <w:rFonts w:ascii="Times New Roman" w:hAnsi="Times New Roman" w:cs="Times New Roman"/>
          <w:sz w:val="28"/>
          <w:szCs w:val="28"/>
        </w:rPr>
        <w:t xml:space="preserve">aprīļa </w:t>
      </w:r>
      <w:r w:rsidR="00573235" w:rsidRPr="000352EE">
        <w:rPr>
          <w:rFonts w:ascii="Times New Roman" w:hAnsi="Times New Roman" w:cs="Times New Roman"/>
          <w:sz w:val="28"/>
          <w:szCs w:val="28"/>
        </w:rPr>
        <w:t>noteikum</w:t>
      </w:r>
      <w:r w:rsidR="00573235">
        <w:rPr>
          <w:rFonts w:ascii="Times New Roman" w:hAnsi="Times New Roman" w:cs="Times New Roman"/>
          <w:sz w:val="28"/>
          <w:szCs w:val="28"/>
        </w:rPr>
        <w:t>iem</w:t>
      </w:r>
      <w:r w:rsidR="00573235" w:rsidRPr="000352EE">
        <w:rPr>
          <w:rFonts w:ascii="Times New Roman" w:hAnsi="Times New Roman" w:cs="Times New Roman"/>
          <w:sz w:val="28"/>
          <w:szCs w:val="28"/>
        </w:rPr>
        <w:t xml:space="preserve"> </w:t>
      </w:r>
      <w:r w:rsidRPr="000352EE">
        <w:rPr>
          <w:rFonts w:ascii="Times New Roman" w:hAnsi="Times New Roman" w:cs="Times New Roman"/>
          <w:sz w:val="28"/>
          <w:szCs w:val="28"/>
        </w:rPr>
        <w:t>Nr</w:t>
      </w:r>
      <w:r w:rsidR="00573235" w:rsidRPr="000352EE">
        <w:rPr>
          <w:rFonts w:ascii="Times New Roman" w:hAnsi="Times New Roman" w:cs="Times New Roman"/>
          <w:sz w:val="28"/>
          <w:szCs w:val="28"/>
        </w:rPr>
        <w:t>.</w:t>
      </w:r>
      <w:r w:rsidR="00573235">
        <w:rPr>
          <w:rFonts w:ascii="Times New Roman" w:hAnsi="Times New Roman" w:cs="Times New Roman"/>
          <w:sz w:val="28"/>
          <w:szCs w:val="28"/>
        </w:rPr>
        <w:t> </w:t>
      </w:r>
      <w:r w:rsidRPr="000352EE">
        <w:rPr>
          <w:rFonts w:ascii="Times New Roman" w:hAnsi="Times New Roman" w:cs="Times New Roman"/>
          <w:sz w:val="28"/>
          <w:szCs w:val="28"/>
        </w:rPr>
        <w:t>238 "Nacionālā meža monitoringa noteikumi" apstiprināto metodiku, ciktāl tā nav pretrunā ar šiem noteikumiem.</w:t>
      </w:r>
    </w:p>
    <w:p w14:paraId="37207EFB" w14:textId="77777777" w:rsidR="00E963D8" w:rsidRDefault="00E963D8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782EE028" w14:textId="4DBA8ACA" w:rsidR="00C664FD" w:rsidRDefault="00C664F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E96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Atzīt par spēku zaudējušiem Ministru kabineta 2012</w:t>
      </w:r>
      <w:r w:rsidR="0057323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gada 3</w:t>
      </w:r>
      <w:r w:rsidR="0057323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573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aprīļa noteikumus Nr.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238 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Nacionālā m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eža monitoringa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noteikumi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" (Latvijas Vēstnesis, 2012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55.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nr.).</w:t>
      </w:r>
    </w:p>
    <w:p w14:paraId="3CDCA83C" w14:textId="77777777" w:rsidR="00C664FD" w:rsidRDefault="00C664FD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5E8092F" w14:textId="3030F6EF" w:rsidR="00F10D4F" w:rsidRPr="002921F6" w:rsidRDefault="00F10D4F" w:rsidP="0057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-427607"/>
      <w:bookmarkStart w:id="5" w:name="427607"/>
      <w:bookmarkStart w:id="6" w:name="p-427608"/>
      <w:bookmarkStart w:id="7" w:name="p213"/>
      <w:bookmarkEnd w:id="3"/>
      <w:bookmarkEnd w:id="4"/>
      <w:bookmarkEnd w:id="5"/>
      <w:bookmarkEnd w:id="6"/>
      <w:bookmarkEnd w:id="7"/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10D4F" w:rsidRPr="00F10D4F" w14:paraId="5871D1EB" w14:textId="77777777" w:rsidTr="00CE3F9F">
        <w:trPr>
          <w:cantSplit/>
        </w:trPr>
        <w:tc>
          <w:tcPr>
            <w:tcW w:w="9072" w:type="dxa"/>
          </w:tcPr>
          <w:p w14:paraId="01B50906" w14:textId="77777777" w:rsidR="00F10D4F" w:rsidRPr="0012213B" w:rsidRDefault="00F10D4F" w:rsidP="0012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242424"/>
                <w:lang w:val="lv-LV" w:eastAsia="zh-CN"/>
              </w:rPr>
            </w:pPr>
            <w:bookmarkStart w:id="8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F10D4F" w:rsidRPr="00F10D4F" w14:paraId="7AFBDB24" w14:textId="77777777" w:rsidTr="00CE3F9F">
              <w:tc>
                <w:tcPr>
                  <w:tcW w:w="2948" w:type="dxa"/>
                </w:tcPr>
                <w:p w14:paraId="1927E075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29DAA19A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43766B29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30F9D20C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F10D4F" w:rsidRPr="00F10D4F" w14:paraId="7541F089" w14:textId="77777777" w:rsidTr="00CE3F9F">
              <w:tc>
                <w:tcPr>
                  <w:tcW w:w="2948" w:type="dxa"/>
                </w:tcPr>
                <w:p w14:paraId="2B12EA8B" w14:textId="77777777" w:rsidR="00F10D4F" w:rsidRPr="0012213B" w:rsidRDefault="00F10D4F" w:rsidP="0012213B">
                  <w:pPr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Zemkopības ministrs</w:t>
                  </w: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0FBC90B8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12213B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50089B7D" w14:textId="77777777" w:rsidR="00F10D4F" w:rsidRPr="0012213B" w:rsidRDefault="00F10D4F" w:rsidP="0012213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12213B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K. Gerhards</w:t>
                  </w:r>
                </w:p>
              </w:tc>
            </w:tr>
          </w:tbl>
          <w:p w14:paraId="7DB5A7B5" w14:textId="77777777" w:rsidR="00F10D4F" w:rsidRPr="0012213B" w:rsidRDefault="00F10D4F" w:rsidP="00573235">
            <w:pPr>
              <w:rPr>
                <w:rFonts w:ascii="Times New Roman" w:hAnsi="Times New Roman" w:cs="Times New Roman"/>
                <w:color w:val="242424"/>
                <w:lang w:eastAsia="zh-CN"/>
              </w:rPr>
            </w:pPr>
          </w:p>
          <w:p w14:paraId="3CEFD958" w14:textId="77777777" w:rsidR="00F10D4F" w:rsidRPr="0012213B" w:rsidRDefault="00F10D4F" w:rsidP="0012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12213B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</w:tc>
      </w:tr>
      <w:bookmarkEnd w:id="8"/>
    </w:tbl>
    <w:p w14:paraId="218F131E" w14:textId="77777777" w:rsidR="00F10D4F" w:rsidRPr="004F0F11" w:rsidRDefault="00F10D4F" w:rsidP="0012213B">
      <w:pPr>
        <w:spacing w:after="0" w:line="240" w:lineRule="auto"/>
        <w:rPr>
          <w:color w:val="242424"/>
          <w:sz w:val="24"/>
          <w:szCs w:val="24"/>
          <w:lang w:val="en-GB" w:eastAsia="zh-CN"/>
        </w:rPr>
      </w:pPr>
    </w:p>
    <w:p w14:paraId="0AAD51D3" w14:textId="1BEAB32A" w:rsidR="000F2A53" w:rsidRPr="0012213B" w:rsidRDefault="000F2A53" w:rsidP="001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sectPr w:rsidR="000F2A53" w:rsidRPr="0012213B" w:rsidSect="00A67C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7DD7" w14:textId="77777777" w:rsidR="00F94121" w:rsidRDefault="00F94121" w:rsidP="00234AED">
      <w:pPr>
        <w:spacing w:after="0" w:line="240" w:lineRule="auto"/>
      </w:pPr>
      <w:r>
        <w:separator/>
      </w:r>
    </w:p>
  </w:endnote>
  <w:endnote w:type="continuationSeparator" w:id="0">
    <w:p w14:paraId="6C934122" w14:textId="77777777" w:rsidR="00F94121" w:rsidRDefault="00F94121" w:rsidP="0023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CF7" w14:textId="62067374" w:rsidR="003E5ADF" w:rsidRPr="0012213B" w:rsidRDefault="00644E5C">
    <w:pPr>
      <w:pStyle w:val="Footer"/>
      <w:rPr>
        <w:rFonts w:ascii="Times New Roman" w:hAnsi="Times New Roman" w:cs="Times New Roman"/>
        <w:sz w:val="16"/>
        <w:szCs w:val="16"/>
      </w:rPr>
    </w:pPr>
    <w:r w:rsidRPr="0012213B">
      <w:rPr>
        <w:rFonts w:ascii="Times New Roman" w:hAnsi="Times New Roman" w:cs="Times New Roman"/>
        <w:sz w:val="16"/>
        <w:szCs w:val="16"/>
      </w:rPr>
      <w:t>N1614_1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2119" w14:textId="41C0DA3C" w:rsidR="003E5ADF" w:rsidRDefault="00644E5C">
    <w:pPr>
      <w:pStyle w:val="Footer"/>
    </w:pPr>
    <w:r w:rsidRPr="0012213B">
      <w:rPr>
        <w:rFonts w:ascii="Times New Roman" w:hAnsi="Times New Roman" w:cs="Times New Roman"/>
        <w:sz w:val="16"/>
        <w:szCs w:val="16"/>
      </w:rPr>
      <w:t>N1614_1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BAA9" w14:textId="77777777" w:rsidR="00F94121" w:rsidRDefault="00F94121" w:rsidP="00234AED">
      <w:pPr>
        <w:spacing w:after="0" w:line="240" w:lineRule="auto"/>
      </w:pPr>
      <w:r>
        <w:separator/>
      </w:r>
    </w:p>
  </w:footnote>
  <w:footnote w:type="continuationSeparator" w:id="0">
    <w:p w14:paraId="593958CE" w14:textId="77777777" w:rsidR="00F94121" w:rsidRDefault="00F94121" w:rsidP="0023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317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44BA22" w14:textId="4E7A43C1" w:rsidR="00A67C90" w:rsidRPr="00A67C90" w:rsidRDefault="00A67C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7C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7C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7C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2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7C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8D252" w14:textId="77777777" w:rsidR="00A67C90" w:rsidRDefault="00A6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36B4" w14:textId="77777777" w:rsidR="003E5ADF" w:rsidRDefault="003E5ADF" w:rsidP="003E5ADF">
    <w:pPr>
      <w:pStyle w:val="Header"/>
    </w:pPr>
    <w:r>
      <w:rPr>
        <w:noProof/>
      </w:rPr>
      <w:drawing>
        <wp:inline distT="0" distB="0" distL="0" distR="0" wp14:anchorId="21F37055" wp14:editId="132937A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2016F" w14:textId="77777777" w:rsidR="003E5ADF" w:rsidRDefault="003E5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1B"/>
    <w:multiLevelType w:val="multilevel"/>
    <w:tmpl w:val="154A33B2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96" w:hanging="2160"/>
      </w:pPr>
      <w:rPr>
        <w:rFonts w:hint="default"/>
      </w:rPr>
    </w:lvl>
  </w:abstractNum>
  <w:abstractNum w:abstractNumId="1" w15:restartNumberingAfterBreak="0">
    <w:nsid w:val="093B4160"/>
    <w:multiLevelType w:val="hybridMultilevel"/>
    <w:tmpl w:val="228CC646"/>
    <w:lvl w:ilvl="0" w:tplc="52BE928A">
      <w:start w:val="29"/>
      <w:numFmt w:val="decimal"/>
      <w:lvlText w:val="%1."/>
      <w:lvlJc w:val="left"/>
      <w:pPr>
        <w:ind w:left="6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15" w:hanging="360"/>
      </w:pPr>
    </w:lvl>
    <w:lvl w:ilvl="2" w:tplc="0426001B" w:tentative="1">
      <w:start w:val="1"/>
      <w:numFmt w:val="lowerRoman"/>
      <w:lvlText w:val="%3."/>
      <w:lvlJc w:val="right"/>
      <w:pPr>
        <w:ind w:left="7935" w:hanging="180"/>
      </w:pPr>
    </w:lvl>
    <w:lvl w:ilvl="3" w:tplc="0426000F" w:tentative="1">
      <w:start w:val="1"/>
      <w:numFmt w:val="decimal"/>
      <w:lvlText w:val="%4."/>
      <w:lvlJc w:val="left"/>
      <w:pPr>
        <w:ind w:left="8655" w:hanging="360"/>
      </w:pPr>
    </w:lvl>
    <w:lvl w:ilvl="4" w:tplc="04260019" w:tentative="1">
      <w:start w:val="1"/>
      <w:numFmt w:val="lowerLetter"/>
      <w:lvlText w:val="%5."/>
      <w:lvlJc w:val="left"/>
      <w:pPr>
        <w:ind w:left="9375" w:hanging="360"/>
      </w:pPr>
    </w:lvl>
    <w:lvl w:ilvl="5" w:tplc="0426001B" w:tentative="1">
      <w:start w:val="1"/>
      <w:numFmt w:val="lowerRoman"/>
      <w:lvlText w:val="%6."/>
      <w:lvlJc w:val="right"/>
      <w:pPr>
        <w:ind w:left="10095" w:hanging="180"/>
      </w:pPr>
    </w:lvl>
    <w:lvl w:ilvl="6" w:tplc="0426000F" w:tentative="1">
      <w:start w:val="1"/>
      <w:numFmt w:val="decimal"/>
      <w:lvlText w:val="%7."/>
      <w:lvlJc w:val="left"/>
      <w:pPr>
        <w:ind w:left="10815" w:hanging="360"/>
      </w:pPr>
    </w:lvl>
    <w:lvl w:ilvl="7" w:tplc="04260019" w:tentative="1">
      <w:start w:val="1"/>
      <w:numFmt w:val="lowerLetter"/>
      <w:lvlText w:val="%8."/>
      <w:lvlJc w:val="left"/>
      <w:pPr>
        <w:ind w:left="11535" w:hanging="360"/>
      </w:pPr>
    </w:lvl>
    <w:lvl w:ilvl="8" w:tplc="0426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2" w15:restartNumberingAfterBreak="0">
    <w:nsid w:val="1A637FE9"/>
    <w:multiLevelType w:val="hybridMultilevel"/>
    <w:tmpl w:val="FC2E1D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7318"/>
    <w:multiLevelType w:val="hybridMultilevel"/>
    <w:tmpl w:val="A5AEB3D0"/>
    <w:lvl w:ilvl="0" w:tplc="2BEC5524">
      <w:start w:val="29"/>
      <w:numFmt w:val="decimal"/>
      <w:lvlText w:val="%1."/>
      <w:lvlJc w:val="left"/>
      <w:pPr>
        <w:ind w:left="61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840" w:hanging="360"/>
      </w:pPr>
    </w:lvl>
    <w:lvl w:ilvl="2" w:tplc="0426001B" w:tentative="1">
      <w:start w:val="1"/>
      <w:numFmt w:val="lowerRoman"/>
      <w:lvlText w:val="%3."/>
      <w:lvlJc w:val="right"/>
      <w:pPr>
        <w:ind w:left="7560" w:hanging="180"/>
      </w:pPr>
    </w:lvl>
    <w:lvl w:ilvl="3" w:tplc="0426000F" w:tentative="1">
      <w:start w:val="1"/>
      <w:numFmt w:val="decimal"/>
      <w:lvlText w:val="%4."/>
      <w:lvlJc w:val="left"/>
      <w:pPr>
        <w:ind w:left="8280" w:hanging="360"/>
      </w:pPr>
    </w:lvl>
    <w:lvl w:ilvl="4" w:tplc="04260019" w:tentative="1">
      <w:start w:val="1"/>
      <w:numFmt w:val="lowerLetter"/>
      <w:lvlText w:val="%5."/>
      <w:lvlJc w:val="left"/>
      <w:pPr>
        <w:ind w:left="9000" w:hanging="360"/>
      </w:pPr>
    </w:lvl>
    <w:lvl w:ilvl="5" w:tplc="0426001B" w:tentative="1">
      <w:start w:val="1"/>
      <w:numFmt w:val="lowerRoman"/>
      <w:lvlText w:val="%6."/>
      <w:lvlJc w:val="right"/>
      <w:pPr>
        <w:ind w:left="9720" w:hanging="180"/>
      </w:pPr>
    </w:lvl>
    <w:lvl w:ilvl="6" w:tplc="0426000F" w:tentative="1">
      <w:start w:val="1"/>
      <w:numFmt w:val="decimal"/>
      <w:lvlText w:val="%7."/>
      <w:lvlJc w:val="left"/>
      <w:pPr>
        <w:ind w:left="10440" w:hanging="360"/>
      </w:pPr>
    </w:lvl>
    <w:lvl w:ilvl="7" w:tplc="04260019" w:tentative="1">
      <w:start w:val="1"/>
      <w:numFmt w:val="lowerLetter"/>
      <w:lvlText w:val="%8."/>
      <w:lvlJc w:val="left"/>
      <w:pPr>
        <w:ind w:left="11160" w:hanging="360"/>
      </w:pPr>
    </w:lvl>
    <w:lvl w:ilvl="8" w:tplc="0426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72B72176"/>
    <w:multiLevelType w:val="multilevel"/>
    <w:tmpl w:val="C0CAA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746C19C6"/>
    <w:multiLevelType w:val="hybridMultilevel"/>
    <w:tmpl w:val="B7641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ED"/>
    <w:rsid w:val="00001C44"/>
    <w:rsid w:val="00003874"/>
    <w:rsid w:val="00003C1D"/>
    <w:rsid w:val="00016B04"/>
    <w:rsid w:val="000208FF"/>
    <w:rsid w:val="00024243"/>
    <w:rsid w:val="000352EE"/>
    <w:rsid w:val="000402FC"/>
    <w:rsid w:val="0004125C"/>
    <w:rsid w:val="0005691B"/>
    <w:rsid w:val="00060A0E"/>
    <w:rsid w:val="00094704"/>
    <w:rsid w:val="00095CF3"/>
    <w:rsid w:val="00097B76"/>
    <w:rsid w:val="000A5D2A"/>
    <w:rsid w:val="000A5F15"/>
    <w:rsid w:val="000A644C"/>
    <w:rsid w:val="000B19D5"/>
    <w:rsid w:val="000B1C21"/>
    <w:rsid w:val="000B38B8"/>
    <w:rsid w:val="000B55CD"/>
    <w:rsid w:val="000C06FA"/>
    <w:rsid w:val="000C47C4"/>
    <w:rsid w:val="000C4B3B"/>
    <w:rsid w:val="000F2A53"/>
    <w:rsid w:val="00103060"/>
    <w:rsid w:val="00106670"/>
    <w:rsid w:val="00112781"/>
    <w:rsid w:val="0012213B"/>
    <w:rsid w:val="00131EBD"/>
    <w:rsid w:val="00141667"/>
    <w:rsid w:val="00146A92"/>
    <w:rsid w:val="001477CE"/>
    <w:rsid w:val="001576AD"/>
    <w:rsid w:val="00164083"/>
    <w:rsid w:val="00191081"/>
    <w:rsid w:val="001A45C4"/>
    <w:rsid w:val="001A74CA"/>
    <w:rsid w:val="001B1950"/>
    <w:rsid w:val="001B3E17"/>
    <w:rsid w:val="001B50AB"/>
    <w:rsid w:val="001C178D"/>
    <w:rsid w:val="001C7ED0"/>
    <w:rsid w:val="001D5EF0"/>
    <w:rsid w:val="002002D6"/>
    <w:rsid w:val="00217CEB"/>
    <w:rsid w:val="00233A81"/>
    <w:rsid w:val="00234AED"/>
    <w:rsid w:val="00241650"/>
    <w:rsid w:val="00261739"/>
    <w:rsid w:val="00267250"/>
    <w:rsid w:val="00272B5B"/>
    <w:rsid w:val="0028273A"/>
    <w:rsid w:val="00286070"/>
    <w:rsid w:val="002879C2"/>
    <w:rsid w:val="00287CFF"/>
    <w:rsid w:val="002921F6"/>
    <w:rsid w:val="002922E2"/>
    <w:rsid w:val="0029471E"/>
    <w:rsid w:val="00294CE3"/>
    <w:rsid w:val="002978CF"/>
    <w:rsid w:val="002A42A5"/>
    <w:rsid w:val="002B5E74"/>
    <w:rsid w:val="002C0229"/>
    <w:rsid w:val="002C0C4A"/>
    <w:rsid w:val="002D1074"/>
    <w:rsid w:val="002D45E4"/>
    <w:rsid w:val="002D599F"/>
    <w:rsid w:val="002E474B"/>
    <w:rsid w:val="002E7EE7"/>
    <w:rsid w:val="002F31FD"/>
    <w:rsid w:val="002F4AC6"/>
    <w:rsid w:val="00301FEF"/>
    <w:rsid w:val="00305BDA"/>
    <w:rsid w:val="0030627B"/>
    <w:rsid w:val="00312366"/>
    <w:rsid w:val="0032080A"/>
    <w:rsid w:val="00323BE3"/>
    <w:rsid w:val="0032562E"/>
    <w:rsid w:val="00342898"/>
    <w:rsid w:val="003428F4"/>
    <w:rsid w:val="003460EE"/>
    <w:rsid w:val="0036345F"/>
    <w:rsid w:val="00366019"/>
    <w:rsid w:val="003700BC"/>
    <w:rsid w:val="003739D7"/>
    <w:rsid w:val="0037684C"/>
    <w:rsid w:val="00380C23"/>
    <w:rsid w:val="00382A77"/>
    <w:rsid w:val="0039258E"/>
    <w:rsid w:val="00393195"/>
    <w:rsid w:val="00396128"/>
    <w:rsid w:val="003B031B"/>
    <w:rsid w:val="003B52BF"/>
    <w:rsid w:val="003C5C98"/>
    <w:rsid w:val="003D08C7"/>
    <w:rsid w:val="003D1C23"/>
    <w:rsid w:val="003D26B7"/>
    <w:rsid w:val="003D3CB7"/>
    <w:rsid w:val="003D5840"/>
    <w:rsid w:val="003E26CE"/>
    <w:rsid w:val="003E5ADF"/>
    <w:rsid w:val="003F40B6"/>
    <w:rsid w:val="004075F9"/>
    <w:rsid w:val="004111E1"/>
    <w:rsid w:val="00412313"/>
    <w:rsid w:val="004148FD"/>
    <w:rsid w:val="004214B3"/>
    <w:rsid w:val="00421F7D"/>
    <w:rsid w:val="00457A37"/>
    <w:rsid w:val="00486557"/>
    <w:rsid w:val="004963E2"/>
    <w:rsid w:val="004A145B"/>
    <w:rsid w:val="004A38B9"/>
    <w:rsid w:val="004A3F40"/>
    <w:rsid w:val="004C3845"/>
    <w:rsid w:val="004E0EB7"/>
    <w:rsid w:val="004E39A3"/>
    <w:rsid w:val="004E4F70"/>
    <w:rsid w:val="00503674"/>
    <w:rsid w:val="00515636"/>
    <w:rsid w:val="00521243"/>
    <w:rsid w:val="00526F18"/>
    <w:rsid w:val="00530F9E"/>
    <w:rsid w:val="0053117A"/>
    <w:rsid w:val="00531510"/>
    <w:rsid w:val="005402C8"/>
    <w:rsid w:val="00541F26"/>
    <w:rsid w:val="005448ED"/>
    <w:rsid w:val="00555CFF"/>
    <w:rsid w:val="005618B3"/>
    <w:rsid w:val="0056282E"/>
    <w:rsid w:val="00573235"/>
    <w:rsid w:val="00583315"/>
    <w:rsid w:val="005842EB"/>
    <w:rsid w:val="00584FA2"/>
    <w:rsid w:val="00585BBC"/>
    <w:rsid w:val="0059584C"/>
    <w:rsid w:val="005B3621"/>
    <w:rsid w:val="005D0130"/>
    <w:rsid w:val="005D4A85"/>
    <w:rsid w:val="005D71E3"/>
    <w:rsid w:val="005E4201"/>
    <w:rsid w:val="005E4794"/>
    <w:rsid w:val="005F23C1"/>
    <w:rsid w:val="005F4AAC"/>
    <w:rsid w:val="00604E8A"/>
    <w:rsid w:val="006063A0"/>
    <w:rsid w:val="00612355"/>
    <w:rsid w:val="00614FF1"/>
    <w:rsid w:val="00627869"/>
    <w:rsid w:val="00627E7C"/>
    <w:rsid w:val="00630B27"/>
    <w:rsid w:val="00644E5C"/>
    <w:rsid w:val="00644F92"/>
    <w:rsid w:val="006502FE"/>
    <w:rsid w:val="00654A35"/>
    <w:rsid w:val="00676A54"/>
    <w:rsid w:val="006862B5"/>
    <w:rsid w:val="006953D7"/>
    <w:rsid w:val="006A6B58"/>
    <w:rsid w:val="006B4A6C"/>
    <w:rsid w:val="006C4068"/>
    <w:rsid w:val="006C53E1"/>
    <w:rsid w:val="006D7662"/>
    <w:rsid w:val="006E44CC"/>
    <w:rsid w:val="006E5504"/>
    <w:rsid w:val="006F5A3C"/>
    <w:rsid w:val="00704E83"/>
    <w:rsid w:val="00704F1B"/>
    <w:rsid w:val="00722313"/>
    <w:rsid w:val="00731818"/>
    <w:rsid w:val="00744AF6"/>
    <w:rsid w:val="00745123"/>
    <w:rsid w:val="00746798"/>
    <w:rsid w:val="00746FE8"/>
    <w:rsid w:val="007475EE"/>
    <w:rsid w:val="00755391"/>
    <w:rsid w:val="00755F7F"/>
    <w:rsid w:val="00762547"/>
    <w:rsid w:val="00767A1E"/>
    <w:rsid w:val="00770E2B"/>
    <w:rsid w:val="00784033"/>
    <w:rsid w:val="00791AE2"/>
    <w:rsid w:val="007940E9"/>
    <w:rsid w:val="00794778"/>
    <w:rsid w:val="007B1709"/>
    <w:rsid w:val="007B1D5A"/>
    <w:rsid w:val="007B4748"/>
    <w:rsid w:val="007B5137"/>
    <w:rsid w:val="007B55C2"/>
    <w:rsid w:val="007C3B2F"/>
    <w:rsid w:val="007D12B6"/>
    <w:rsid w:val="007D2450"/>
    <w:rsid w:val="007D47FA"/>
    <w:rsid w:val="007D6FF5"/>
    <w:rsid w:val="007E338F"/>
    <w:rsid w:val="007E3AAA"/>
    <w:rsid w:val="007E69D4"/>
    <w:rsid w:val="007F4989"/>
    <w:rsid w:val="007F7FBD"/>
    <w:rsid w:val="00823863"/>
    <w:rsid w:val="008307BC"/>
    <w:rsid w:val="00834D57"/>
    <w:rsid w:val="008503B5"/>
    <w:rsid w:val="0085361A"/>
    <w:rsid w:val="0086029B"/>
    <w:rsid w:val="0086172C"/>
    <w:rsid w:val="0088214F"/>
    <w:rsid w:val="00891ED3"/>
    <w:rsid w:val="008A487E"/>
    <w:rsid w:val="008A6642"/>
    <w:rsid w:val="008B13B3"/>
    <w:rsid w:val="008B5743"/>
    <w:rsid w:val="008C05FB"/>
    <w:rsid w:val="008C28BB"/>
    <w:rsid w:val="008D4DEE"/>
    <w:rsid w:val="008D5EF0"/>
    <w:rsid w:val="008E3F30"/>
    <w:rsid w:val="008E61BA"/>
    <w:rsid w:val="00904FAE"/>
    <w:rsid w:val="00921A37"/>
    <w:rsid w:val="00925C61"/>
    <w:rsid w:val="00927957"/>
    <w:rsid w:val="00937235"/>
    <w:rsid w:val="0094443C"/>
    <w:rsid w:val="00946B35"/>
    <w:rsid w:val="0095210F"/>
    <w:rsid w:val="0096267C"/>
    <w:rsid w:val="009652A9"/>
    <w:rsid w:val="00966C64"/>
    <w:rsid w:val="00970E52"/>
    <w:rsid w:val="00980392"/>
    <w:rsid w:val="00994CAC"/>
    <w:rsid w:val="00996B35"/>
    <w:rsid w:val="009A1F4A"/>
    <w:rsid w:val="009A6795"/>
    <w:rsid w:val="009A6FF4"/>
    <w:rsid w:val="009C081D"/>
    <w:rsid w:val="009C72DD"/>
    <w:rsid w:val="009D072A"/>
    <w:rsid w:val="009D1B72"/>
    <w:rsid w:val="009D7B5C"/>
    <w:rsid w:val="009E21C5"/>
    <w:rsid w:val="009E3DCE"/>
    <w:rsid w:val="009E5E20"/>
    <w:rsid w:val="009F0FED"/>
    <w:rsid w:val="009F183C"/>
    <w:rsid w:val="009F5005"/>
    <w:rsid w:val="00A02CEA"/>
    <w:rsid w:val="00A04276"/>
    <w:rsid w:val="00A105E0"/>
    <w:rsid w:val="00A109F5"/>
    <w:rsid w:val="00A11F05"/>
    <w:rsid w:val="00A13C0F"/>
    <w:rsid w:val="00A243DD"/>
    <w:rsid w:val="00A3690F"/>
    <w:rsid w:val="00A41442"/>
    <w:rsid w:val="00A4695D"/>
    <w:rsid w:val="00A54328"/>
    <w:rsid w:val="00A54DD4"/>
    <w:rsid w:val="00A67C90"/>
    <w:rsid w:val="00A722C1"/>
    <w:rsid w:val="00A80228"/>
    <w:rsid w:val="00A80CC6"/>
    <w:rsid w:val="00A811B7"/>
    <w:rsid w:val="00A82ACA"/>
    <w:rsid w:val="00A82BCD"/>
    <w:rsid w:val="00A84E72"/>
    <w:rsid w:val="00A91B46"/>
    <w:rsid w:val="00AC3B24"/>
    <w:rsid w:val="00AD30A2"/>
    <w:rsid w:val="00AF36A6"/>
    <w:rsid w:val="00AF68C4"/>
    <w:rsid w:val="00B01719"/>
    <w:rsid w:val="00B01B41"/>
    <w:rsid w:val="00B121A9"/>
    <w:rsid w:val="00B1540C"/>
    <w:rsid w:val="00B1547A"/>
    <w:rsid w:val="00B23103"/>
    <w:rsid w:val="00B241E3"/>
    <w:rsid w:val="00B242C5"/>
    <w:rsid w:val="00B26AE9"/>
    <w:rsid w:val="00B3054A"/>
    <w:rsid w:val="00B309DA"/>
    <w:rsid w:val="00B31855"/>
    <w:rsid w:val="00B3299E"/>
    <w:rsid w:val="00B33C09"/>
    <w:rsid w:val="00B40A1D"/>
    <w:rsid w:val="00B424E3"/>
    <w:rsid w:val="00B434D1"/>
    <w:rsid w:val="00B458D0"/>
    <w:rsid w:val="00B824A4"/>
    <w:rsid w:val="00B8273F"/>
    <w:rsid w:val="00B87BA8"/>
    <w:rsid w:val="00B87E66"/>
    <w:rsid w:val="00B95A2C"/>
    <w:rsid w:val="00BA4E30"/>
    <w:rsid w:val="00BA790B"/>
    <w:rsid w:val="00BC0C0D"/>
    <w:rsid w:val="00BC5EB7"/>
    <w:rsid w:val="00BC69D5"/>
    <w:rsid w:val="00BD0F6F"/>
    <w:rsid w:val="00BD4FAA"/>
    <w:rsid w:val="00C00B19"/>
    <w:rsid w:val="00C02F92"/>
    <w:rsid w:val="00C20494"/>
    <w:rsid w:val="00C252A6"/>
    <w:rsid w:val="00C35B20"/>
    <w:rsid w:val="00C55952"/>
    <w:rsid w:val="00C57D5E"/>
    <w:rsid w:val="00C664FD"/>
    <w:rsid w:val="00C770E1"/>
    <w:rsid w:val="00C9275B"/>
    <w:rsid w:val="00C943A9"/>
    <w:rsid w:val="00C96E6C"/>
    <w:rsid w:val="00CB48C5"/>
    <w:rsid w:val="00CB6BDD"/>
    <w:rsid w:val="00CC124D"/>
    <w:rsid w:val="00CD3377"/>
    <w:rsid w:val="00CE14F9"/>
    <w:rsid w:val="00CE2194"/>
    <w:rsid w:val="00CF0C11"/>
    <w:rsid w:val="00CF3C0F"/>
    <w:rsid w:val="00D0022E"/>
    <w:rsid w:val="00D3333B"/>
    <w:rsid w:val="00D34319"/>
    <w:rsid w:val="00D354F2"/>
    <w:rsid w:val="00D42D54"/>
    <w:rsid w:val="00D47D62"/>
    <w:rsid w:val="00D57CA5"/>
    <w:rsid w:val="00D62FBE"/>
    <w:rsid w:val="00D840DB"/>
    <w:rsid w:val="00D85CDB"/>
    <w:rsid w:val="00D917C5"/>
    <w:rsid w:val="00D93182"/>
    <w:rsid w:val="00D94629"/>
    <w:rsid w:val="00D95142"/>
    <w:rsid w:val="00D960E5"/>
    <w:rsid w:val="00DB167F"/>
    <w:rsid w:val="00DE13B6"/>
    <w:rsid w:val="00DE4793"/>
    <w:rsid w:val="00DF1EC4"/>
    <w:rsid w:val="00E036B8"/>
    <w:rsid w:val="00E04B2A"/>
    <w:rsid w:val="00E10134"/>
    <w:rsid w:val="00E14B5F"/>
    <w:rsid w:val="00E54354"/>
    <w:rsid w:val="00E56293"/>
    <w:rsid w:val="00E5646F"/>
    <w:rsid w:val="00E56808"/>
    <w:rsid w:val="00E74875"/>
    <w:rsid w:val="00E82DBA"/>
    <w:rsid w:val="00E83608"/>
    <w:rsid w:val="00E86D66"/>
    <w:rsid w:val="00E9203C"/>
    <w:rsid w:val="00E963D8"/>
    <w:rsid w:val="00EA2175"/>
    <w:rsid w:val="00EA264D"/>
    <w:rsid w:val="00EA5D73"/>
    <w:rsid w:val="00EA5F26"/>
    <w:rsid w:val="00EB44CF"/>
    <w:rsid w:val="00ED0EC9"/>
    <w:rsid w:val="00EE2A18"/>
    <w:rsid w:val="00EF3382"/>
    <w:rsid w:val="00F04B82"/>
    <w:rsid w:val="00F05510"/>
    <w:rsid w:val="00F10D4F"/>
    <w:rsid w:val="00F16FE3"/>
    <w:rsid w:val="00F20FDD"/>
    <w:rsid w:val="00F31752"/>
    <w:rsid w:val="00F330F2"/>
    <w:rsid w:val="00F33D11"/>
    <w:rsid w:val="00F34A1C"/>
    <w:rsid w:val="00F37592"/>
    <w:rsid w:val="00F37C30"/>
    <w:rsid w:val="00F46DEE"/>
    <w:rsid w:val="00F676DE"/>
    <w:rsid w:val="00F7430C"/>
    <w:rsid w:val="00F87AFB"/>
    <w:rsid w:val="00F91F39"/>
    <w:rsid w:val="00F94121"/>
    <w:rsid w:val="00FB1032"/>
    <w:rsid w:val="00FB5BC7"/>
    <w:rsid w:val="00FB6DBF"/>
    <w:rsid w:val="00FC36C7"/>
    <w:rsid w:val="00FD7E95"/>
    <w:rsid w:val="00FE7591"/>
    <w:rsid w:val="00FF2CB7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B3496"/>
  <w15:chartTrackingRefBased/>
  <w15:docId w15:val="{D4367E02-67CB-4698-972C-941B170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ED"/>
  </w:style>
  <w:style w:type="paragraph" w:styleId="Footer">
    <w:name w:val="footer"/>
    <w:basedOn w:val="Normal"/>
    <w:link w:val="FooterChar"/>
    <w:uiPriority w:val="99"/>
    <w:unhideWhenUsed/>
    <w:rsid w:val="0023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ED"/>
  </w:style>
  <w:style w:type="paragraph" w:styleId="NormalWeb">
    <w:name w:val="Normal (Web)"/>
    <w:basedOn w:val="Normal"/>
    <w:uiPriority w:val="99"/>
    <w:semiHidden/>
    <w:unhideWhenUsed/>
    <w:rsid w:val="00C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7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B4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B48C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B48C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CB48C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48C5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a">
    <w:name w:val="Текстовый блок"/>
    <w:rsid w:val="00F33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ru-RU"/>
    </w:rPr>
  </w:style>
  <w:style w:type="paragraph" w:customStyle="1" w:styleId="tv213">
    <w:name w:val="tv213"/>
    <w:basedOn w:val="Normal"/>
    <w:rsid w:val="009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01719"/>
    <w:rPr>
      <w:color w:val="0000FF"/>
      <w:u w:val="single"/>
    </w:rPr>
  </w:style>
  <w:style w:type="paragraph" w:customStyle="1" w:styleId="xmsonormal">
    <w:name w:val="x_msonormal"/>
    <w:basedOn w:val="Normal"/>
    <w:rsid w:val="002D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E5ADF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3E5A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4F8B73C2C18545855E9AC271AC9C94" ma:contentTypeVersion="13" ma:contentTypeDescription="Izveidot jaunu dokumentu." ma:contentTypeScope="" ma:versionID="9c779161edbcafeba18ef1b32447e386">
  <xsd:schema xmlns:xsd="http://www.w3.org/2001/XMLSchema" xmlns:xs="http://www.w3.org/2001/XMLSchema" xmlns:p="http://schemas.microsoft.com/office/2006/metadata/properties" xmlns:ns3="fc506f0e-7631-4af9-8222-3d472d714e74" xmlns:ns4="cdf21ab2-be27-4212-b0e8-b5b82f21baa9" targetNamespace="http://schemas.microsoft.com/office/2006/metadata/properties" ma:root="true" ma:fieldsID="2e388819f2bc7273faaf642220b8d074" ns3:_="" ns4:_="">
    <xsd:import namespace="fc506f0e-7631-4af9-8222-3d472d714e74"/>
    <xsd:import namespace="cdf21ab2-be27-4212-b0e8-b5b82f21b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6f0e-7631-4af9-8222-3d472d714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21ab2-be27-4212-b0e8-b5b82f21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F537A-8373-4B81-B0E6-EFB1F150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6f0e-7631-4af9-8222-3d472d714e74"/>
    <ds:schemaRef ds:uri="cdf21ab2-be27-4212-b0e8-b5b82f21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2D8EC-62FF-4060-9A07-6650935F0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908E5-0A54-46E9-BA21-8BB148D08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E47C9-3E20-4824-BFB3-4C23712C8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"Nacionālā meža monotoringa noteikumi"</vt:lpstr>
      <vt:lpstr>Ministru kabineta noteikumu projekts "Nacionālā meža monotoringa noteikumi"</vt:lpstr>
    </vt:vector>
  </TitlesOfParts>
  <Company>Zemkopības ministrija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"Nacionālā meža monotoringa noteikumi"</dc:title>
  <dc:subject>noteikumu projekts</dc:subject>
  <dc:creator>Inga Ozola</dc:creator>
  <cp:keywords/>
  <dc:description>Inga Ozola, tālr.67027118, e-pasts: Inga.Ozola@zm.gov.lv;</dc:description>
  <cp:lastModifiedBy>Sandra Rocēna</cp:lastModifiedBy>
  <cp:revision>3</cp:revision>
  <cp:lastPrinted>2021-10-06T09:30:00Z</cp:lastPrinted>
  <dcterms:created xsi:type="dcterms:W3CDTF">2022-01-03T06:58:00Z</dcterms:created>
  <dcterms:modified xsi:type="dcterms:W3CDTF">2022-01-03T09:53:00Z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0x0101003D4F8B73C2C18545855E9AC271AC9C94</vt:lpwstr>
  </property>
</Properties>
</file>