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19043" w14:textId="77777777" w:rsidR="00F8459C" w:rsidRDefault="00F8459C">
      <w:pPr>
        <w:spacing w:after="0" w:line="240" w:lineRule="auto"/>
        <w:jc w:val="both"/>
        <w:rPr>
          <w:rFonts w:ascii="Times New Roman" w:hAnsi="Times New Roman" w:cs="Times New Roman"/>
          <w:sz w:val="24"/>
          <w:szCs w:val="24"/>
        </w:rPr>
      </w:pPr>
      <w:bookmarkStart w:id="0" w:name="_Hlk126051350"/>
      <w:bookmarkEnd w:id="0"/>
    </w:p>
    <w:p w14:paraId="4D282A70" w14:textId="77777777" w:rsidR="00F8459C" w:rsidRDefault="00F8459C">
      <w:pPr>
        <w:spacing w:after="0" w:line="240" w:lineRule="auto"/>
        <w:jc w:val="both"/>
        <w:rPr>
          <w:rFonts w:ascii="Times New Roman" w:hAnsi="Times New Roman" w:cs="Times New Roman"/>
          <w:sz w:val="24"/>
          <w:szCs w:val="24"/>
        </w:rPr>
      </w:pPr>
    </w:p>
    <w:p w14:paraId="3341D17F" w14:textId="4D3A2C09" w:rsidR="00F8459C" w:rsidRDefault="00F8459C">
      <w:pPr>
        <w:spacing w:after="0" w:line="240" w:lineRule="auto"/>
        <w:jc w:val="center"/>
        <w:rPr>
          <w:rFonts w:ascii="Times New Roman" w:hAnsi="Times New Roman" w:cs="Times New Roman"/>
          <w:sz w:val="24"/>
          <w:szCs w:val="24"/>
        </w:rPr>
      </w:pPr>
    </w:p>
    <w:p w14:paraId="4BB837A6" w14:textId="753BC819" w:rsidR="00114CF7" w:rsidRDefault="00114CF7">
      <w:pPr>
        <w:spacing w:after="0" w:line="240" w:lineRule="auto"/>
        <w:jc w:val="center"/>
        <w:rPr>
          <w:rFonts w:ascii="Times New Roman" w:hAnsi="Times New Roman" w:cs="Times New Roman"/>
          <w:sz w:val="24"/>
          <w:szCs w:val="24"/>
        </w:rPr>
      </w:pPr>
    </w:p>
    <w:p w14:paraId="11785D66" w14:textId="51A3BE56" w:rsidR="00114CF7" w:rsidRDefault="00114CF7">
      <w:pPr>
        <w:spacing w:after="0" w:line="240" w:lineRule="auto"/>
        <w:jc w:val="center"/>
        <w:rPr>
          <w:rFonts w:ascii="Times New Roman" w:hAnsi="Times New Roman" w:cs="Times New Roman"/>
          <w:sz w:val="24"/>
          <w:szCs w:val="24"/>
        </w:rPr>
      </w:pPr>
    </w:p>
    <w:p w14:paraId="11C9D07F" w14:textId="77777777" w:rsidR="00114CF7" w:rsidRPr="00E34E1E" w:rsidRDefault="00114CF7">
      <w:pPr>
        <w:spacing w:after="0" w:line="240" w:lineRule="auto"/>
        <w:jc w:val="center"/>
        <w:rPr>
          <w:rFonts w:ascii="Times New Roman" w:hAnsi="Times New Roman" w:cs="Times New Roman"/>
          <w:sz w:val="24"/>
          <w:szCs w:val="24"/>
        </w:rPr>
      </w:pPr>
    </w:p>
    <w:p w14:paraId="7B537BC3" w14:textId="4CBFF1DB" w:rsidR="00474BDF" w:rsidRPr="00E34E1E" w:rsidRDefault="00474BDF">
      <w:pPr>
        <w:spacing w:after="0" w:line="240" w:lineRule="auto"/>
        <w:jc w:val="center"/>
        <w:rPr>
          <w:rFonts w:ascii="Times New Roman" w:hAnsi="Times New Roman" w:cs="Times New Roman"/>
          <w:sz w:val="24"/>
          <w:szCs w:val="24"/>
        </w:rPr>
      </w:pPr>
    </w:p>
    <w:p w14:paraId="7AAE4EDF" w14:textId="0C14CBEF" w:rsidR="00474BDF" w:rsidRPr="00E34E1E" w:rsidRDefault="00474BDF">
      <w:pPr>
        <w:spacing w:after="0" w:line="240" w:lineRule="auto"/>
        <w:jc w:val="center"/>
        <w:rPr>
          <w:rFonts w:ascii="Times New Roman" w:hAnsi="Times New Roman" w:cs="Times New Roman"/>
          <w:sz w:val="24"/>
          <w:szCs w:val="24"/>
        </w:rPr>
      </w:pPr>
    </w:p>
    <w:p w14:paraId="14E03A50" w14:textId="7929C229" w:rsidR="00474BDF" w:rsidRPr="00E34E1E" w:rsidRDefault="00474BDF">
      <w:pPr>
        <w:spacing w:after="0" w:line="240" w:lineRule="auto"/>
        <w:jc w:val="center"/>
        <w:rPr>
          <w:rFonts w:ascii="Times New Roman" w:hAnsi="Times New Roman" w:cs="Times New Roman"/>
          <w:sz w:val="24"/>
          <w:szCs w:val="24"/>
        </w:rPr>
      </w:pPr>
    </w:p>
    <w:p w14:paraId="520A9A73" w14:textId="7BD41BD8" w:rsidR="00474BDF" w:rsidRPr="00E34E1E" w:rsidRDefault="00474BDF">
      <w:pPr>
        <w:spacing w:after="0" w:line="240" w:lineRule="auto"/>
        <w:jc w:val="center"/>
        <w:rPr>
          <w:rFonts w:ascii="Times New Roman" w:hAnsi="Times New Roman" w:cs="Times New Roman"/>
          <w:sz w:val="24"/>
          <w:szCs w:val="24"/>
        </w:rPr>
      </w:pPr>
    </w:p>
    <w:p w14:paraId="133D2728" w14:textId="2C13DC69" w:rsidR="00474BDF" w:rsidRPr="00E34E1E" w:rsidRDefault="00474BDF">
      <w:pPr>
        <w:spacing w:after="0" w:line="240" w:lineRule="auto"/>
        <w:jc w:val="center"/>
        <w:rPr>
          <w:rFonts w:ascii="Times New Roman" w:hAnsi="Times New Roman" w:cs="Times New Roman"/>
          <w:sz w:val="24"/>
          <w:szCs w:val="24"/>
        </w:rPr>
      </w:pPr>
    </w:p>
    <w:p w14:paraId="10FB6870" w14:textId="17E23E52" w:rsidR="00474BDF" w:rsidRPr="00E34E1E" w:rsidRDefault="00474BDF">
      <w:pPr>
        <w:spacing w:after="0" w:line="240" w:lineRule="auto"/>
        <w:jc w:val="center"/>
        <w:rPr>
          <w:rFonts w:ascii="Times New Roman" w:hAnsi="Times New Roman" w:cs="Times New Roman"/>
          <w:sz w:val="24"/>
          <w:szCs w:val="24"/>
        </w:rPr>
      </w:pPr>
    </w:p>
    <w:p w14:paraId="5D7D9B04" w14:textId="36B0D061" w:rsidR="00474BDF" w:rsidRPr="00E34E1E" w:rsidRDefault="00474BDF">
      <w:pPr>
        <w:spacing w:after="0" w:line="240" w:lineRule="auto"/>
        <w:jc w:val="center"/>
        <w:rPr>
          <w:rFonts w:ascii="Times New Roman" w:hAnsi="Times New Roman" w:cs="Times New Roman"/>
          <w:sz w:val="24"/>
          <w:szCs w:val="24"/>
        </w:rPr>
      </w:pPr>
    </w:p>
    <w:p w14:paraId="3836F09B" w14:textId="2EB93C35" w:rsidR="00474BDF" w:rsidRPr="00E34E1E" w:rsidRDefault="00474BDF">
      <w:pPr>
        <w:spacing w:after="0" w:line="240" w:lineRule="auto"/>
        <w:jc w:val="center"/>
        <w:rPr>
          <w:rFonts w:ascii="Times New Roman" w:hAnsi="Times New Roman" w:cs="Times New Roman"/>
          <w:sz w:val="24"/>
          <w:szCs w:val="24"/>
        </w:rPr>
      </w:pPr>
    </w:p>
    <w:p w14:paraId="13478530" w14:textId="39CD444D" w:rsidR="00474BDF" w:rsidRPr="00E34E1E" w:rsidRDefault="00474BDF">
      <w:pPr>
        <w:spacing w:after="0" w:line="240" w:lineRule="auto"/>
        <w:jc w:val="center"/>
        <w:rPr>
          <w:rFonts w:ascii="Times New Roman" w:hAnsi="Times New Roman" w:cs="Times New Roman"/>
          <w:sz w:val="24"/>
          <w:szCs w:val="24"/>
        </w:rPr>
      </w:pPr>
    </w:p>
    <w:p w14:paraId="12C20ADA" w14:textId="39270E9C" w:rsidR="00474BDF" w:rsidRPr="00E34E1E" w:rsidRDefault="00474BDF">
      <w:pPr>
        <w:spacing w:after="0" w:line="240" w:lineRule="auto"/>
        <w:jc w:val="center"/>
        <w:rPr>
          <w:rFonts w:ascii="Times New Roman" w:hAnsi="Times New Roman" w:cs="Times New Roman"/>
          <w:sz w:val="24"/>
          <w:szCs w:val="24"/>
        </w:rPr>
      </w:pPr>
    </w:p>
    <w:p w14:paraId="2A68401A" w14:textId="77777777" w:rsidR="00474BDF" w:rsidRPr="00E34E1E" w:rsidRDefault="00474BDF">
      <w:pPr>
        <w:spacing w:after="0" w:line="240" w:lineRule="auto"/>
        <w:jc w:val="center"/>
        <w:rPr>
          <w:rFonts w:ascii="Times New Roman" w:hAnsi="Times New Roman" w:cs="Times New Roman"/>
          <w:sz w:val="24"/>
          <w:szCs w:val="24"/>
        </w:rPr>
      </w:pPr>
    </w:p>
    <w:p w14:paraId="7F0EC070" w14:textId="77777777" w:rsidR="00F8459C" w:rsidRPr="00E34E1E" w:rsidRDefault="00F8459C">
      <w:pPr>
        <w:spacing w:after="0" w:line="240" w:lineRule="auto"/>
        <w:jc w:val="center"/>
        <w:rPr>
          <w:rFonts w:ascii="Times New Roman" w:hAnsi="Times New Roman" w:cs="Times New Roman"/>
          <w:sz w:val="24"/>
          <w:szCs w:val="24"/>
        </w:rPr>
      </w:pPr>
    </w:p>
    <w:p w14:paraId="73F97794" w14:textId="0AF4524B" w:rsidR="00F8459C" w:rsidRPr="00E34E1E" w:rsidRDefault="00C71529">
      <w:pPr>
        <w:spacing w:after="0" w:line="240" w:lineRule="auto"/>
        <w:jc w:val="center"/>
        <w:rPr>
          <w:rFonts w:ascii="Times New Roman" w:hAnsi="Times New Roman" w:cs="Times New Roman"/>
          <w:b/>
          <w:sz w:val="24"/>
          <w:szCs w:val="24"/>
        </w:rPr>
      </w:pPr>
      <w:bookmarkStart w:id="1" w:name="OLE_LINK1"/>
      <w:bookmarkStart w:id="2" w:name="OLE_LINK2"/>
      <w:r w:rsidRPr="00E34E1E">
        <w:rPr>
          <w:rFonts w:ascii="Times New Roman" w:hAnsi="Times New Roman" w:cs="Times New Roman"/>
          <w:b/>
          <w:sz w:val="24"/>
          <w:szCs w:val="24"/>
        </w:rPr>
        <w:t>Konceptuāl</w:t>
      </w:r>
      <w:r w:rsidR="003A74FF" w:rsidRPr="00E34E1E">
        <w:rPr>
          <w:rFonts w:ascii="Times New Roman" w:hAnsi="Times New Roman" w:cs="Times New Roman"/>
          <w:b/>
          <w:sz w:val="24"/>
          <w:szCs w:val="24"/>
        </w:rPr>
        <w:t>ai</w:t>
      </w:r>
      <w:r w:rsidRPr="00E34E1E">
        <w:rPr>
          <w:rFonts w:ascii="Times New Roman" w:hAnsi="Times New Roman" w:cs="Times New Roman"/>
          <w:b/>
          <w:sz w:val="24"/>
          <w:szCs w:val="24"/>
        </w:rPr>
        <w:t>s ziņojums</w:t>
      </w:r>
    </w:p>
    <w:p w14:paraId="446D6260" w14:textId="77777777" w:rsidR="00F8459C" w:rsidRPr="00E34E1E" w:rsidRDefault="00C71529">
      <w:pPr>
        <w:spacing w:after="0" w:line="240" w:lineRule="auto"/>
        <w:jc w:val="center"/>
        <w:rPr>
          <w:rFonts w:ascii="Times New Roman" w:hAnsi="Times New Roman" w:cs="Times New Roman"/>
          <w:b/>
          <w:sz w:val="36"/>
          <w:szCs w:val="36"/>
        </w:rPr>
      </w:pPr>
      <w:bookmarkStart w:id="3" w:name="OLE_LINK3"/>
      <w:bookmarkStart w:id="4" w:name="OLE_LINK4"/>
      <w:bookmarkEnd w:id="1"/>
      <w:bookmarkEnd w:id="2"/>
      <w:r w:rsidRPr="00E34E1E">
        <w:rPr>
          <w:rFonts w:ascii="Times New Roman" w:hAnsi="Times New Roman" w:cs="Times New Roman"/>
          <w:b/>
          <w:sz w:val="36"/>
          <w:szCs w:val="36"/>
        </w:rPr>
        <w:t xml:space="preserve">„Par valsts naftas produktu </w:t>
      </w:r>
    </w:p>
    <w:p w14:paraId="3363CF39" w14:textId="44E96E8F" w:rsidR="00F8459C" w:rsidRPr="00E34E1E" w:rsidRDefault="00C71529">
      <w:pPr>
        <w:spacing w:after="0" w:line="240" w:lineRule="auto"/>
        <w:jc w:val="center"/>
        <w:rPr>
          <w:rFonts w:ascii="Times New Roman" w:hAnsi="Times New Roman" w:cs="Times New Roman"/>
          <w:b/>
          <w:sz w:val="36"/>
          <w:szCs w:val="36"/>
        </w:rPr>
      </w:pPr>
      <w:r w:rsidRPr="00E34E1E">
        <w:rPr>
          <w:rFonts w:ascii="Times New Roman" w:hAnsi="Times New Roman" w:cs="Times New Roman"/>
          <w:b/>
          <w:sz w:val="36"/>
          <w:szCs w:val="36"/>
        </w:rPr>
        <w:t xml:space="preserve">drošības rezervju </w:t>
      </w:r>
      <w:r w:rsidR="009B3576" w:rsidRPr="00E34E1E">
        <w:rPr>
          <w:rFonts w:ascii="Times New Roman" w:hAnsi="Times New Roman" w:cs="Times New Roman"/>
          <w:b/>
          <w:sz w:val="36"/>
          <w:szCs w:val="36"/>
        </w:rPr>
        <w:t>pārvaldību</w:t>
      </w:r>
      <w:r w:rsidRPr="00E34E1E">
        <w:rPr>
          <w:rFonts w:ascii="Times New Roman" w:hAnsi="Times New Roman" w:cs="Times New Roman"/>
          <w:b/>
          <w:sz w:val="36"/>
          <w:szCs w:val="36"/>
        </w:rPr>
        <w:t>”</w:t>
      </w:r>
    </w:p>
    <w:bookmarkEnd w:id="3"/>
    <w:bookmarkEnd w:id="4"/>
    <w:p w14:paraId="32FF4C48" w14:textId="77777777" w:rsidR="00F8459C" w:rsidRPr="00E34E1E" w:rsidRDefault="00F8459C">
      <w:pPr>
        <w:spacing w:after="0" w:line="240" w:lineRule="auto"/>
        <w:jc w:val="center"/>
        <w:rPr>
          <w:rFonts w:ascii="Times New Roman" w:hAnsi="Times New Roman" w:cs="Times New Roman"/>
          <w:sz w:val="24"/>
          <w:szCs w:val="24"/>
        </w:rPr>
      </w:pPr>
    </w:p>
    <w:p w14:paraId="071E3D14" w14:textId="77777777" w:rsidR="00F8459C" w:rsidRPr="00E34E1E" w:rsidRDefault="00F8459C">
      <w:pPr>
        <w:spacing w:after="0" w:line="240" w:lineRule="auto"/>
        <w:jc w:val="center"/>
        <w:rPr>
          <w:rFonts w:ascii="Times New Roman" w:hAnsi="Times New Roman" w:cs="Times New Roman"/>
          <w:sz w:val="24"/>
          <w:szCs w:val="24"/>
        </w:rPr>
      </w:pPr>
    </w:p>
    <w:p w14:paraId="2E19D05B" w14:textId="77777777" w:rsidR="00F8459C" w:rsidRPr="00E34E1E" w:rsidRDefault="00F8459C">
      <w:pPr>
        <w:spacing w:after="0" w:line="240" w:lineRule="auto"/>
        <w:jc w:val="center"/>
        <w:rPr>
          <w:rFonts w:ascii="Times New Roman" w:hAnsi="Times New Roman" w:cs="Times New Roman"/>
          <w:sz w:val="24"/>
          <w:szCs w:val="24"/>
        </w:rPr>
      </w:pPr>
    </w:p>
    <w:p w14:paraId="2F5AED5B" w14:textId="77777777" w:rsidR="00F8459C" w:rsidRPr="00E34E1E" w:rsidRDefault="00F8459C">
      <w:pPr>
        <w:spacing w:after="0" w:line="240" w:lineRule="auto"/>
        <w:jc w:val="center"/>
        <w:rPr>
          <w:rFonts w:ascii="Times New Roman" w:hAnsi="Times New Roman" w:cs="Times New Roman"/>
          <w:sz w:val="24"/>
          <w:szCs w:val="24"/>
        </w:rPr>
      </w:pPr>
    </w:p>
    <w:p w14:paraId="4E507BAC" w14:textId="77777777" w:rsidR="00F8459C" w:rsidRPr="00E34E1E" w:rsidRDefault="00F8459C">
      <w:pPr>
        <w:spacing w:after="0" w:line="240" w:lineRule="auto"/>
        <w:jc w:val="center"/>
        <w:rPr>
          <w:rFonts w:ascii="Times New Roman" w:hAnsi="Times New Roman" w:cs="Times New Roman"/>
          <w:sz w:val="24"/>
          <w:szCs w:val="24"/>
        </w:rPr>
      </w:pPr>
    </w:p>
    <w:p w14:paraId="00A5577F" w14:textId="77777777" w:rsidR="00F8459C" w:rsidRPr="00E34E1E" w:rsidRDefault="00F8459C">
      <w:pPr>
        <w:spacing w:after="0" w:line="240" w:lineRule="auto"/>
        <w:jc w:val="center"/>
        <w:rPr>
          <w:rFonts w:ascii="Times New Roman" w:hAnsi="Times New Roman" w:cs="Times New Roman"/>
          <w:sz w:val="24"/>
          <w:szCs w:val="24"/>
        </w:rPr>
      </w:pPr>
    </w:p>
    <w:p w14:paraId="621A46BA" w14:textId="77777777" w:rsidR="00F8459C" w:rsidRPr="00E34E1E" w:rsidRDefault="00F8459C">
      <w:pPr>
        <w:spacing w:after="0" w:line="240" w:lineRule="auto"/>
        <w:jc w:val="center"/>
        <w:rPr>
          <w:rFonts w:ascii="Times New Roman" w:hAnsi="Times New Roman" w:cs="Times New Roman"/>
          <w:sz w:val="24"/>
          <w:szCs w:val="24"/>
        </w:rPr>
      </w:pPr>
    </w:p>
    <w:p w14:paraId="25183221" w14:textId="77777777" w:rsidR="00F8459C" w:rsidRPr="00E34E1E" w:rsidRDefault="00F8459C">
      <w:pPr>
        <w:spacing w:after="0" w:line="240" w:lineRule="auto"/>
        <w:jc w:val="center"/>
        <w:rPr>
          <w:rFonts w:ascii="Times New Roman" w:hAnsi="Times New Roman" w:cs="Times New Roman"/>
          <w:sz w:val="24"/>
          <w:szCs w:val="24"/>
        </w:rPr>
      </w:pPr>
    </w:p>
    <w:p w14:paraId="2C47D1CA" w14:textId="77777777" w:rsidR="00F8459C" w:rsidRPr="00E34E1E" w:rsidRDefault="00F8459C">
      <w:pPr>
        <w:spacing w:after="0" w:line="240" w:lineRule="auto"/>
        <w:jc w:val="center"/>
        <w:rPr>
          <w:rFonts w:ascii="Times New Roman" w:hAnsi="Times New Roman" w:cs="Times New Roman"/>
          <w:sz w:val="24"/>
          <w:szCs w:val="24"/>
        </w:rPr>
      </w:pPr>
    </w:p>
    <w:p w14:paraId="5A47F5E4" w14:textId="77777777" w:rsidR="00F8459C" w:rsidRPr="00E34E1E" w:rsidRDefault="00F8459C">
      <w:pPr>
        <w:spacing w:after="0" w:line="240" w:lineRule="auto"/>
        <w:jc w:val="center"/>
        <w:rPr>
          <w:rFonts w:ascii="Times New Roman" w:hAnsi="Times New Roman" w:cs="Times New Roman"/>
          <w:sz w:val="24"/>
          <w:szCs w:val="24"/>
        </w:rPr>
      </w:pPr>
    </w:p>
    <w:p w14:paraId="15B11EEC" w14:textId="77777777" w:rsidR="00F8459C" w:rsidRPr="00E34E1E" w:rsidRDefault="00F8459C">
      <w:pPr>
        <w:spacing w:after="0" w:line="240" w:lineRule="auto"/>
        <w:jc w:val="center"/>
        <w:rPr>
          <w:rFonts w:ascii="Times New Roman" w:hAnsi="Times New Roman" w:cs="Times New Roman"/>
          <w:sz w:val="24"/>
          <w:szCs w:val="24"/>
        </w:rPr>
      </w:pPr>
    </w:p>
    <w:p w14:paraId="46FBF736" w14:textId="77777777" w:rsidR="00F8459C" w:rsidRPr="00E34E1E" w:rsidRDefault="00F8459C">
      <w:pPr>
        <w:spacing w:after="0" w:line="240" w:lineRule="auto"/>
        <w:jc w:val="center"/>
        <w:rPr>
          <w:rFonts w:ascii="Times New Roman" w:hAnsi="Times New Roman" w:cs="Times New Roman"/>
          <w:sz w:val="24"/>
          <w:szCs w:val="24"/>
        </w:rPr>
      </w:pPr>
    </w:p>
    <w:p w14:paraId="4B47A44A" w14:textId="77777777" w:rsidR="00F8459C" w:rsidRPr="00E34E1E" w:rsidRDefault="00F8459C">
      <w:pPr>
        <w:spacing w:after="0" w:line="240" w:lineRule="auto"/>
        <w:jc w:val="center"/>
        <w:rPr>
          <w:rFonts w:ascii="Times New Roman" w:hAnsi="Times New Roman" w:cs="Times New Roman"/>
          <w:sz w:val="24"/>
          <w:szCs w:val="24"/>
        </w:rPr>
      </w:pPr>
    </w:p>
    <w:p w14:paraId="16768446" w14:textId="77777777" w:rsidR="00F8459C" w:rsidRPr="00E34E1E" w:rsidRDefault="00F8459C">
      <w:pPr>
        <w:spacing w:after="0" w:line="240" w:lineRule="auto"/>
        <w:jc w:val="center"/>
        <w:rPr>
          <w:rFonts w:ascii="Times New Roman" w:hAnsi="Times New Roman" w:cs="Times New Roman"/>
          <w:sz w:val="24"/>
          <w:szCs w:val="24"/>
        </w:rPr>
      </w:pPr>
    </w:p>
    <w:p w14:paraId="5BBD3FA7" w14:textId="77777777" w:rsidR="00F8459C" w:rsidRPr="00E34E1E" w:rsidRDefault="00F8459C">
      <w:pPr>
        <w:spacing w:after="0" w:line="240" w:lineRule="auto"/>
        <w:jc w:val="center"/>
        <w:rPr>
          <w:rFonts w:ascii="Times New Roman" w:hAnsi="Times New Roman" w:cs="Times New Roman"/>
          <w:sz w:val="24"/>
          <w:szCs w:val="24"/>
        </w:rPr>
      </w:pPr>
    </w:p>
    <w:p w14:paraId="063FDBCA" w14:textId="77777777" w:rsidR="00F8459C" w:rsidRPr="00E34E1E" w:rsidRDefault="00F8459C">
      <w:pPr>
        <w:spacing w:after="0" w:line="240" w:lineRule="auto"/>
        <w:jc w:val="center"/>
        <w:rPr>
          <w:rFonts w:ascii="Times New Roman" w:hAnsi="Times New Roman" w:cs="Times New Roman"/>
          <w:sz w:val="24"/>
          <w:szCs w:val="24"/>
        </w:rPr>
      </w:pPr>
    </w:p>
    <w:p w14:paraId="4A580C85" w14:textId="77777777" w:rsidR="00F8459C" w:rsidRPr="00E34E1E" w:rsidRDefault="00F8459C">
      <w:pPr>
        <w:spacing w:after="0" w:line="240" w:lineRule="auto"/>
        <w:jc w:val="center"/>
        <w:rPr>
          <w:rFonts w:ascii="Times New Roman" w:hAnsi="Times New Roman" w:cs="Times New Roman"/>
          <w:sz w:val="24"/>
          <w:szCs w:val="24"/>
        </w:rPr>
      </w:pPr>
    </w:p>
    <w:p w14:paraId="2EE51ED6" w14:textId="77777777" w:rsidR="00F8459C" w:rsidRPr="00E34E1E" w:rsidRDefault="00F8459C">
      <w:pPr>
        <w:spacing w:after="0" w:line="240" w:lineRule="auto"/>
        <w:jc w:val="center"/>
        <w:rPr>
          <w:rFonts w:ascii="Times New Roman" w:hAnsi="Times New Roman" w:cs="Times New Roman"/>
          <w:sz w:val="24"/>
          <w:szCs w:val="24"/>
        </w:rPr>
      </w:pPr>
    </w:p>
    <w:p w14:paraId="26DCCD63" w14:textId="77777777" w:rsidR="00F8459C" w:rsidRPr="00E34E1E" w:rsidRDefault="00F8459C">
      <w:pPr>
        <w:spacing w:after="0" w:line="240" w:lineRule="auto"/>
        <w:jc w:val="center"/>
        <w:rPr>
          <w:rFonts w:ascii="Times New Roman" w:hAnsi="Times New Roman" w:cs="Times New Roman"/>
          <w:sz w:val="24"/>
          <w:szCs w:val="24"/>
        </w:rPr>
      </w:pPr>
    </w:p>
    <w:p w14:paraId="7FC01A0A" w14:textId="77777777" w:rsidR="00F8459C" w:rsidRPr="00E34E1E" w:rsidRDefault="00F8459C">
      <w:pPr>
        <w:spacing w:after="0" w:line="240" w:lineRule="auto"/>
        <w:jc w:val="center"/>
        <w:rPr>
          <w:rFonts w:ascii="Times New Roman" w:hAnsi="Times New Roman" w:cs="Times New Roman"/>
          <w:sz w:val="24"/>
          <w:szCs w:val="24"/>
        </w:rPr>
      </w:pPr>
    </w:p>
    <w:p w14:paraId="07B3F1FD" w14:textId="77777777" w:rsidR="00F8459C" w:rsidRPr="00E34E1E" w:rsidRDefault="00F8459C">
      <w:pPr>
        <w:spacing w:after="0" w:line="240" w:lineRule="auto"/>
        <w:jc w:val="center"/>
        <w:rPr>
          <w:rFonts w:ascii="Times New Roman" w:hAnsi="Times New Roman" w:cs="Times New Roman"/>
          <w:sz w:val="24"/>
          <w:szCs w:val="24"/>
        </w:rPr>
      </w:pPr>
    </w:p>
    <w:p w14:paraId="1D57303C" w14:textId="77777777" w:rsidR="00F8459C" w:rsidRPr="00E34E1E" w:rsidRDefault="00F8459C">
      <w:pPr>
        <w:spacing w:after="0" w:line="240" w:lineRule="auto"/>
        <w:jc w:val="center"/>
        <w:rPr>
          <w:rFonts w:ascii="Times New Roman" w:hAnsi="Times New Roman" w:cs="Times New Roman"/>
          <w:sz w:val="24"/>
          <w:szCs w:val="24"/>
        </w:rPr>
      </w:pPr>
    </w:p>
    <w:p w14:paraId="34E21F8D" w14:textId="77777777" w:rsidR="00F8459C" w:rsidRPr="00E34E1E" w:rsidRDefault="00F8459C">
      <w:pPr>
        <w:spacing w:after="0" w:line="240" w:lineRule="auto"/>
        <w:jc w:val="center"/>
        <w:rPr>
          <w:rFonts w:ascii="Times New Roman" w:hAnsi="Times New Roman" w:cs="Times New Roman"/>
          <w:sz w:val="24"/>
          <w:szCs w:val="24"/>
        </w:rPr>
      </w:pPr>
    </w:p>
    <w:p w14:paraId="61E12F13" w14:textId="77777777" w:rsidR="00F8459C" w:rsidRPr="00E34E1E" w:rsidRDefault="00F8459C">
      <w:pPr>
        <w:spacing w:after="0" w:line="240" w:lineRule="auto"/>
        <w:jc w:val="center"/>
        <w:rPr>
          <w:rFonts w:ascii="Times New Roman" w:hAnsi="Times New Roman" w:cs="Times New Roman"/>
          <w:sz w:val="24"/>
          <w:szCs w:val="24"/>
        </w:rPr>
      </w:pPr>
    </w:p>
    <w:p w14:paraId="16D7D75A" w14:textId="77777777" w:rsidR="00F8459C" w:rsidRPr="00E34E1E" w:rsidRDefault="00F8459C">
      <w:pPr>
        <w:spacing w:after="0" w:line="240" w:lineRule="auto"/>
        <w:jc w:val="center"/>
        <w:rPr>
          <w:rFonts w:ascii="Times New Roman" w:hAnsi="Times New Roman" w:cs="Times New Roman"/>
          <w:sz w:val="24"/>
          <w:szCs w:val="24"/>
        </w:rPr>
      </w:pPr>
    </w:p>
    <w:p w14:paraId="716D5D4D" w14:textId="4A43304D" w:rsidR="00F8459C" w:rsidRPr="00E34E1E" w:rsidRDefault="00F8459C">
      <w:pPr>
        <w:spacing w:after="0" w:line="240" w:lineRule="auto"/>
        <w:jc w:val="center"/>
        <w:rPr>
          <w:rFonts w:ascii="Times New Roman" w:hAnsi="Times New Roman" w:cs="Times New Roman"/>
          <w:sz w:val="24"/>
          <w:szCs w:val="24"/>
        </w:rPr>
      </w:pPr>
    </w:p>
    <w:p w14:paraId="0EA0D756" w14:textId="4B71BE28" w:rsidR="00AC13B4" w:rsidRPr="00E34E1E" w:rsidRDefault="00AC13B4">
      <w:pPr>
        <w:spacing w:after="0" w:line="240" w:lineRule="auto"/>
        <w:jc w:val="center"/>
        <w:rPr>
          <w:rFonts w:ascii="Times New Roman" w:hAnsi="Times New Roman" w:cs="Times New Roman"/>
          <w:sz w:val="24"/>
          <w:szCs w:val="24"/>
        </w:rPr>
      </w:pPr>
    </w:p>
    <w:p w14:paraId="6598DC0C" w14:textId="343E9832" w:rsidR="00AC13B4" w:rsidRPr="00E34E1E" w:rsidRDefault="00AC13B4">
      <w:pPr>
        <w:spacing w:after="0" w:line="240" w:lineRule="auto"/>
        <w:jc w:val="center"/>
        <w:rPr>
          <w:rFonts w:ascii="Times New Roman" w:hAnsi="Times New Roman" w:cs="Times New Roman"/>
          <w:sz w:val="24"/>
          <w:szCs w:val="24"/>
        </w:rPr>
      </w:pPr>
    </w:p>
    <w:p w14:paraId="606175DA" w14:textId="77777777" w:rsidR="00AC13B4" w:rsidRPr="00E34E1E" w:rsidRDefault="00AC13B4">
      <w:pPr>
        <w:spacing w:after="0" w:line="240" w:lineRule="auto"/>
        <w:jc w:val="center"/>
        <w:rPr>
          <w:rFonts w:ascii="Times New Roman" w:hAnsi="Times New Roman" w:cs="Times New Roman"/>
          <w:sz w:val="24"/>
          <w:szCs w:val="24"/>
        </w:rPr>
      </w:pPr>
    </w:p>
    <w:p w14:paraId="0BA1495D" w14:textId="77777777" w:rsidR="00F8459C" w:rsidRPr="00E34E1E" w:rsidRDefault="00F8459C">
      <w:pPr>
        <w:spacing w:after="0" w:line="240" w:lineRule="auto"/>
        <w:jc w:val="center"/>
        <w:rPr>
          <w:rFonts w:ascii="Times New Roman" w:hAnsi="Times New Roman" w:cs="Times New Roman"/>
          <w:sz w:val="24"/>
          <w:szCs w:val="24"/>
        </w:rPr>
      </w:pPr>
    </w:p>
    <w:p w14:paraId="458827F6" w14:textId="77777777" w:rsidR="00F8459C" w:rsidRPr="00E34E1E" w:rsidRDefault="00F8459C">
      <w:pPr>
        <w:spacing w:after="0" w:line="240" w:lineRule="auto"/>
        <w:jc w:val="center"/>
        <w:rPr>
          <w:rFonts w:ascii="Times New Roman" w:hAnsi="Times New Roman" w:cs="Times New Roman"/>
          <w:sz w:val="24"/>
          <w:szCs w:val="24"/>
        </w:rPr>
      </w:pPr>
    </w:p>
    <w:p w14:paraId="1371E488" w14:textId="77777777" w:rsidR="00F8459C" w:rsidRPr="00E34E1E" w:rsidRDefault="00F8459C">
      <w:pPr>
        <w:spacing w:after="0" w:line="240" w:lineRule="auto"/>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531839264"/>
        <w:docPartObj>
          <w:docPartGallery w:val="Table of Contents"/>
          <w:docPartUnique/>
        </w:docPartObj>
      </w:sdtPr>
      <w:sdtContent>
        <w:p w14:paraId="135E43A1" w14:textId="77777777" w:rsidR="009B3576" w:rsidRPr="00E34E1E" w:rsidRDefault="009B3576" w:rsidP="009B3576">
          <w:pPr>
            <w:pStyle w:val="TOCHeading"/>
            <w:spacing w:before="0" w:line="240" w:lineRule="auto"/>
            <w:jc w:val="center"/>
            <w:rPr>
              <w:rFonts w:ascii="Times New Roman" w:hAnsi="Times New Roman" w:cs="Times New Roman"/>
              <w:color w:val="auto"/>
            </w:rPr>
          </w:pPr>
          <w:r w:rsidRPr="00E34E1E">
            <w:rPr>
              <w:rFonts w:ascii="Times New Roman" w:hAnsi="Times New Roman" w:cs="Times New Roman"/>
              <w:color w:val="auto"/>
            </w:rPr>
            <w:t>Saturs</w:t>
          </w:r>
        </w:p>
        <w:p w14:paraId="7951662B" w14:textId="22554052" w:rsidR="00F8459C" w:rsidRPr="00E34E1E" w:rsidRDefault="00F8459C" w:rsidP="009B3576">
          <w:pPr>
            <w:jc w:val="center"/>
            <w:rPr>
              <w:rFonts w:ascii="Times New Roman" w:hAnsi="Times New Roman" w:cs="Times New Roman"/>
            </w:rPr>
          </w:pPr>
          <w:bookmarkStart w:id="5" w:name="_Hlk125286293"/>
        </w:p>
        <w:bookmarkStart w:id="6" w:name="_Hlk125128035"/>
        <w:p w14:paraId="74048F01" w14:textId="5C9A4FF5" w:rsidR="0091668E" w:rsidRPr="00E34E1E" w:rsidRDefault="00C71529">
          <w:pPr>
            <w:pStyle w:val="TOC1"/>
            <w:rPr>
              <w:rFonts w:ascii="Times New Roman" w:eastAsiaTheme="minorEastAsia" w:hAnsi="Times New Roman" w:cs="Times New Roman"/>
              <w:noProof/>
              <w:sz w:val="24"/>
              <w:szCs w:val="24"/>
              <w:lang w:eastAsia="lv-LV"/>
            </w:rPr>
          </w:pPr>
          <w:r w:rsidRPr="00E34E1E">
            <w:rPr>
              <w:rFonts w:ascii="Times New Roman" w:hAnsi="Times New Roman" w:cs="Times New Roman"/>
              <w:sz w:val="24"/>
              <w:szCs w:val="24"/>
            </w:rPr>
            <w:fldChar w:fldCharType="begin"/>
          </w:r>
          <w:r w:rsidRPr="00E34E1E">
            <w:rPr>
              <w:rFonts w:ascii="Times New Roman" w:hAnsi="Times New Roman" w:cs="Times New Roman"/>
              <w:sz w:val="24"/>
              <w:szCs w:val="24"/>
            </w:rPr>
            <w:instrText xml:space="preserve"> TOC \o "1-3" \h \z \u </w:instrText>
          </w:r>
          <w:r w:rsidRPr="00E34E1E">
            <w:rPr>
              <w:rFonts w:ascii="Times New Roman" w:hAnsi="Times New Roman" w:cs="Times New Roman"/>
              <w:sz w:val="24"/>
              <w:szCs w:val="24"/>
            </w:rPr>
            <w:fldChar w:fldCharType="separate"/>
          </w:r>
          <w:hyperlink w:anchor="_Toc126061807" w:history="1">
            <w:r w:rsidR="0091668E" w:rsidRPr="00E34E1E">
              <w:rPr>
                <w:rStyle w:val="Hyperlink"/>
                <w:rFonts w:ascii="Times New Roman" w:hAnsi="Times New Roman" w:cs="Times New Roman"/>
                <w:noProof/>
                <w:sz w:val="24"/>
                <w:szCs w:val="24"/>
              </w:rPr>
              <w:t>Apzīmējum</w:t>
            </w:r>
            <w:r w:rsidR="00A122B5" w:rsidRPr="00E34E1E">
              <w:rPr>
                <w:rStyle w:val="Hyperlink"/>
                <w:rFonts w:ascii="Times New Roman" w:hAnsi="Times New Roman" w:cs="Times New Roman"/>
                <w:noProof/>
                <w:sz w:val="24"/>
                <w:szCs w:val="24"/>
              </w:rPr>
              <w:t>i</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_Toc126061807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3</w:t>
            </w:r>
            <w:r w:rsidR="0091668E" w:rsidRPr="00E34E1E">
              <w:rPr>
                <w:rFonts w:ascii="Times New Roman" w:hAnsi="Times New Roman" w:cs="Times New Roman"/>
                <w:noProof/>
                <w:webHidden/>
                <w:sz w:val="24"/>
                <w:szCs w:val="24"/>
              </w:rPr>
              <w:fldChar w:fldCharType="end"/>
            </w:r>
          </w:hyperlink>
        </w:p>
        <w:p w14:paraId="6DEF161E" w14:textId="7086F697" w:rsidR="0091668E" w:rsidRPr="00E34E1E" w:rsidRDefault="00000000">
          <w:pPr>
            <w:pStyle w:val="TOC1"/>
            <w:rPr>
              <w:rFonts w:ascii="Times New Roman" w:eastAsiaTheme="minorEastAsia" w:hAnsi="Times New Roman" w:cs="Times New Roman"/>
              <w:noProof/>
              <w:sz w:val="24"/>
              <w:szCs w:val="24"/>
              <w:lang w:eastAsia="lv-LV"/>
            </w:rPr>
          </w:pPr>
          <w:hyperlink w:anchor="_Toc126061808" w:history="1">
            <w:r w:rsidR="0091668E" w:rsidRPr="00E34E1E">
              <w:rPr>
                <w:rStyle w:val="Hyperlink"/>
                <w:rFonts w:ascii="Times New Roman" w:hAnsi="Times New Roman" w:cs="Times New Roman"/>
                <w:noProof/>
                <w:sz w:val="24"/>
                <w:szCs w:val="24"/>
              </w:rPr>
              <w:t>1. Kopsavilkums</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_Toc126061808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4</w:t>
            </w:r>
            <w:r w:rsidR="0091668E" w:rsidRPr="00E34E1E">
              <w:rPr>
                <w:rFonts w:ascii="Times New Roman" w:hAnsi="Times New Roman" w:cs="Times New Roman"/>
                <w:noProof/>
                <w:webHidden/>
                <w:sz w:val="24"/>
                <w:szCs w:val="24"/>
              </w:rPr>
              <w:fldChar w:fldCharType="end"/>
            </w:r>
          </w:hyperlink>
        </w:p>
        <w:p w14:paraId="08306760" w14:textId="4C20589B" w:rsidR="0091668E" w:rsidRPr="00E34E1E" w:rsidRDefault="00000000">
          <w:pPr>
            <w:pStyle w:val="TOC1"/>
            <w:rPr>
              <w:rFonts w:ascii="Times New Roman" w:eastAsiaTheme="minorEastAsia" w:hAnsi="Times New Roman" w:cs="Times New Roman"/>
              <w:noProof/>
              <w:sz w:val="24"/>
              <w:szCs w:val="24"/>
              <w:lang w:eastAsia="lv-LV"/>
            </w:rPr>
          </w:pPr>
          <w:hyperlink w:anchor="_Toc126061809" w:history="1">
            <w:r w:rsidR="0091668E" w:rsidRPr="00E34E1E">
              <w:rPr>
                <w:rStyle w:val="Hyperlink"/>
                <w:rFonts w:ascii="Times New Roman" w:hAnsi="Times New Roman" w:cs="Times New Roman"/>
                <w:noProof/>
                <w:sz w:val="24"/>
                <w:szCs w:val="24"/>
              </w:rPr>
              <w:t>2. Drošības rezervju pārvaldības sistēmas darbība</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_Toc126061809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5</w:t>
            </w:r>
            <w:r w:rsidR="0091668E" w:rsidRPr="00E34E1E">
              <w:rPr>
                <w:rFonts w:ascii="Times New Roman" w:hAnsi="Times New Roman" w:cs="Times New Roman"/>
                <w:noProof/>
                <w:webHidden/>
                <w:sz w:val="24"/>
                <w:szCs w:val="24"/>
              </w:rPr>
              <w:fldChar w:fldCharType="end"/>
            </w:r>
          </w:hyperlink>
        </w:p>
        <w:p w14:paraId="43FA85B2" w14:textId="3BEC88BF"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0" w:history="1">
            <w:r w:rsidR="0091668E" w:rsidRPr="00E34E1E">
              <w:rPr>
                <w:rStyle w:val="Hyperlink"/>
                <w:rFonts w:ascii="Times New Roman" w:hAnsi="Times New Roman" w:cs="Times New Roman"/>
                <w:noProof/>
                <w:sz w:val="24"/>
                <w:szCs w:val="24"/>
              </w:rPr>
              <w:t>2.1. Eiropas Savienības prasības dalībvalstu drošības rezervēm</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_Toc126061810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5</w:t>
            </w:r>
            <w:r w:rsidR="0091668E" w:rsidRPr="00E34E1E">
              <w:rPr>
                <w:rFonts w:ascii="Times New Roman" w:hAnsi="Times New Roman" w:cs="Times New Roman"/>
                <w:noProof/>
                <w:webHidden/>
                <w:sz w:val="24"/>
                <w:szCs w:val="24"/>
              </w:rPr>
              <w:fldChar w:fldCharType="end"/>
            </w:r>
          </w:hyperlink>
        </w:p>
        <w:p w14:paraId="7CE7E3DD" w14:textId="0D5D449A"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1" w:history="1">
            <w:r w:rsidR="0091668E" w:rsidRPr="00E34E1E">
              <w:rPr>
                <w:rStyle w:val="Hyperlink"/>
                <w:rFonts w:ascii="Times New Roman" w:hAnsi="Times New Roman" w:cs="Times New Roman"/>
                <w:noProof/>
                <w:sz w:val="24"/>
                <w:szCs w:val="24"/>
              </w:rPr>
              <w:t>2.2. Latvijas drošības rezervju pārvaldības modelis</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_Toc126061811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6</w:t>
            </w:r>
            <w:r w:rsidR="0091668E" w:rsidRPr="00E34E1E">
              <w:rPr>
                <w:rFonts w:ascii="Times New Roman" w:hAnsi="Times New Roman" w:cs="Times New Roman"/>
                <w:noProof/>
                <w:webHidden/>
                <w:sz w:val="24"/>
                <w:szCs w:val="24"/>
              </w:rPr>
              <w:fldChar w:fldCharType="end"/>
            </w:r>
          </w:hyperlink>
        </w:p>
        <w:p w14:paraId="671D8C32" w14:textId="1C43D703" w:rsidR="0091668E" w:rsidRPr="00E34E1E" w:rsidRDefault="00000000">
          <w:pPr>
            <w:pStyle w:val="TOC1"/>
            <w:rPr>
              <w:rFonts w:ascii="Times New Roman" w:eastAsiaTheme="minorEastAsia" w:hAnsi="Times New Roman" w:cs="Times New Roman"/>
              <w:noProof/>
              <w:sz w:val="24"/>
              <w:szCs w:val="24"/>
              <w:lang w:eastAsia="lv-LV"/>
            </w:rPr>
          </w:pPr>
          <w:hyperlink w:anchor="_Toc126061812" w:history="1">
            <w:r w:rsidR="0091668E" w:rsidRPr="00E34E1E">
              <w:rPr>
                <w:rStyle w:val="Hyperlink"/>
                <w:rFonts w:ascii="Times New Roman" w:hAnsi="Times New Roman" w:cs="Times New Roman"/>
                <w:noProof/>
                <w:sz w:val="24"/>
                <w:szCs w:val="24"/>
              </w:rPr>
              <w:t>3. Pētījumu rezultāti par drošības rezervju pārvaldības risinājumiem</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_Toc126061812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7</w:t>
            </w:r>
            <w:r w:rsidR="0091668E" w:rsidRPr="00E34E1E">
              <w:rPr>
                <w:rFonts w:ascii="Times New Roman" w:hAnsi="Times New Roman" w:cs="Times New Roman"/>
                <w:noProof/>
                <w:webHidden/>
                <w:sz w:val="24"/>
                <w:szCs w:val="24"/>
              </w:rPr>
              <w:fldChar w:fldCharType="end"/>
            </w:r>
          </w:hyperlink>
        </w:p>
        <w:p w14:paraId="73983E31" w14:textId="31C2A752"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3" w:history="1">
            <w:r w:rsidR="0091668E" w:rsidRPr="00E34E1E">
              <w:rPr>
                <w:rStyle w:val="Hyperlink"/>
                <w:rFonts w:ascii="Times New Roman" w:hAnsi="Times New Roman" w:cs="Times New Roman"/>
                <w:noProof/>
                <w:sz w:val="24"/>
                <w:szCs w:val="24"/>
              </w:rPr>
              <w:t>3.1. Deloitte pētījums</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_Toc126061813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7</w:t>
            </w:r>
            <w:r w:rsidR="0091668E" w:rsidRPr="00E34E1E">
              <w:rPr>
                <w:rFonts w:ascii="Times New Roman" w:hAnsi="Times New Roman" w:cs="Times New Roman"/>
                <w:noProof/>
                <w:webHidden/>
                <w:sz w:val="24"/>
                <w:szCs w:val="24"/>
              </w:rPr>
              <w:fldChar w:fldCharType="end"/>
            </w:r>
          </w:hyperlink>
        </w:p>
        <w:p w14:paraId="3296CA73" w14:textId="7F139E31"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4" w:history="1">
            <w:r w:rsidR="0091668E" w:rsidRPr="00E34E1E">
              <w:rPr>
                <w:rStyle w:val="Hyperlink"/>
                <w:rFonts w:ascii="Times New Roman" w:hAnsi="Times New Roman" w:cs="Times New Roman"/>
                <w:noProof/>
                <w:sz w:val="24"/>
                <w:szCs w:val="24"/>
              </w:rPr>
              <w:t>3.2. Civitta pētījumi</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_Toc126061814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10</w:t>
            </w:r>
            <w:r w:rsidR="0091668E" w:rsidRPr="00E34E1E">
              <w:rPr>
                <w:rFonts w:ascii="Times New Roman" w:hAnsi="Times New Roman" w:cs="Times New Roman"/>
                <w:noProof/>
                <w:webHidden/>
                <w:sz w:val="24"/>
                <w:szCs w:val="24"/>
              </w:rPr>
              <w:fldChar w:fldCharType="end"/>
            </w:r>
          </w:hyperlink>
        </w:p>
        <w:p w14:paraId="5DE15FF0" w14:textId="42436B1A" w:rsidR="0091668E" w:rsidRPr="00E34E1E" w:rsidRDefault="00000000">
          <w:pPr>
            <w:pStyle w:val="TOC1"/>
            <w:rPr>
              <w:rFonts w:ascii="Times New Roman" w:eastAsiaTheme="minorEastAsia" w:hAnsi="Times New Roman" w:cs="Times New Roman"/>
              <w:noProof/>
              <w:sz w:val="24"/>
              <w:szCs w:val="24"/>
              <w:lang w:eastAsia="lv-LV"/>
            </w:rPr>
          </w:pPr>
          <w:hyperlink w:anchor="_Toc126061815" w:history="1">
            <w:r w:rsidR="0091668E" w:rsidRPr="00E34E1E">
              <w:rPr>
                <w:rStyle w:val="Hyperlink"/>
                <w:rFonts w:ascii="Times New Roman" w:hAnsi="Times New Roman" w:cs="Times New Roman"/>
                <w:noProof/>
                <w:sz w:val="24"/>
                <w:szCs w:val="24"/>
              </w:rPr>
              <w:t>4. Latvijas drošības rezervju pārvaldības modeļa maiņa</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_Toc126061815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15</w:t>
            </w:r>
            <w:r w:rsidR="0091668E" w:rsidRPr="00E34E1E">
              <w:rPr>
                <w:rFonts w:ascii="Times New Roman" w:hAnsi="Times New Roman" w:cs="Times New Roman"/>
                <w:noProof/>
                <w:webHidden/>
                <w:sz w:val="24"/>
                <w:szCs w:val="24"/>
              </w:rPr>
              <w:fldChar w:fldCharType="end"/>
            </w:r>
          </w:hyperlink>
        </w:p>
        <w:p w14:paraId="2A2A62F0" w14:textId="55B6A8F6"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6" w:history="1">
            <w:r w:rsidR="0091668E" w:rsidRPr="00E34E1E">
              <w:rPr>
                <w:rStyle w:val="Hyperlink"/>
                <w:rFonts w:ascii="Times New Roman" w:hAnsi="Times New Roman" w:cs="Times New Roman"/>
                <w:noProof/>
                <w:sz w:val="24"/>
                <w:szCs w:val="24"/>
              </w:rPr>
              <w:t>4.1. Konceptuālās izmaiņas drošības rezervju pārvaldībai ar aģentūru</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_Toc126061816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15</w:t>
            </w:r>
            <w:r w:rsidR="0091668E" w:rsidRPr="00E34E1E">
              <w:rPr>
                <w:rFonts w:ascii="Times New Roman" w:hAnsi="Times New Roman" w:cs="Times New Roman"/>
                <w:noProof/>
                <w:webHidden/>
                <w:sz w:val="24"/>
                <w:szCs w:val="24"/>
              </w:rPr>
              <w:fldChar w:fldCharType="end"/>
            </w:r>
          </w:hyperlink>
        </w:p>
        <w:p w14:paraId="3722687B" w14:textId="174B003D" w:rsidR="0091668E" w:rsidRPr="00E34E1E" w:rsidRDefault="00000000">
          <w:pPr>
            <w:pStyle w:val="TOC2"/>
            <w:tabs>
              <w:tab w:val="right" w:leader="dot" w:pos="8920"/>
            </w:tabs>
            <w:rPr>
              <w:rFonts w:ascii="Times New Roman" w:eastAsiaTheme="minorEastAsia" w:hAnsi="Times New Roman" w:cs="Times New Roman"/>
              <w:noProof/>
              <w:sz w:val="24"/>
              <w:szCs w:val="24"/>
              <w:lang w:eastAsia="lv-LV"/>
            </w:rPr>
          </w:pPr>
          <w:hyperlink w:anchor="_Toc126061817" w:history="1">
            <w:r w:rsidR="0091668E" w:rsidRPr="00E34E1E">
              <w:rPr>
                <w:rStyle w:val="Hyperlink"/>
                <w:rFonts w:ascii="Times New Roman" w:hAnsi="Times New Roman" w:cs="Times New Roman"/>
                <w:noProof/>
                <w:sz w:val="24"/>
                <w:szCs w:val="24"/>
              </w:rPr>
              <w:t xml:space="preserve">4.2. </w:t>
            </w:r>
            <w:r w:rsidR="00373388" w:rsidRPr="00E34E1E">
              <w:rPr>
                <w:rStyle w:val="Hyperlink"/>
                <w:rFonts w:ascii="Times New Roman" w:hAnsi="Times New Roman" w:cs="Times New Roman"/>
                <w:noProof/>
                <w:sz w:val="24"/>
                <w:szCs w:val="24"/>
              </w:rPr>
              <w:t>Possessor kapacitāte kā drošības rezervju pārvaldītājs</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_Toc126061817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16</w:t>
            </w:r>
            <w:r w:rsidR="0091668E" w:rsidRPr="00E34E1E">
              <w:rPr>
                <w:rFonts w:ascii="Times New Roman" w:hAnsi="Times New Roman" w:cs="Times New Roman"/>
                <w:noProof/>
                <w:webHidden/>
                <w:sz w:val="24"/>
                <w:szCs w:val="24"/>
              </w:rPr>
              <w:fldChar w:fldCharType="end"/>
            </w:r>
          </w:hyperlink>
        </w:p>
        <w:p w14:paraId="3E0F019D" w14:textId="7BA0E7AF" w:rsidR="0091668E" w:rsidRPr="00E34E1E" w:rsidRDefault="00000000">
          <w:pPr>
            <w:pStyle w:val="TOC1"/>
            <w:rPr>
              <w:rFonts w:ascii="Times New Roman" w:eastAsiaTheme="minorEastAsia" w:hAnsi="Times New Roman" w:cs="Times New Roman"/>
              <w:noProof/>
              <w:sz w:val="24"/>
              <w:szCs w:val="24"/>
              <w:lang w:eastAsia="lv-LV"/>
            </w:rPr>
          </w:pPr>
          <w:hyperlink w:anchor="_Toc126061818" w:history="1">
            <w:r w:rsidR="0091668E" w:rsidRPr="00E34E1E">
              <w:rPr>
                <w:rStyle w:val="Hyperlink"/>
                <w:rFonts w:ascii="Times New Roman" w:hAnsi="Times New Roman" w:cs="Times New Roman"/>
                <w:noProof/>
                <w:sz w:val="24"/>
                <w:szCs w:val="24"/>
              </w:rPr>
              <w:t>5. Latvijas jaunās drošības rezervju pārvaldības finansiālā ietekme</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_Toc126061818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18</w:t>
            </w:r>
            <w:r w:rsidR="0091668E" w:rsidRPr="00E34E1E">
              <w:rPr>
                <w:rFonts w:ascii="Times New Roman" w:hAnsi="Times New Roman" w:cs="Times New Roman"/>
                <w:noProof/>
                <w:webHidden/>
                <w:sz w:val="24"/>
                <w:szCs w:val="24"/>
              </w:rPr>
              <w:fldChar w:fldCharType="end"/>
            </w:r>
          </w:hyperlink>
        </w:p>
        <w:p w14:paraId="60BDB016" w14:textId="53B1FB8B" w:rsidR="0091668E" w:rsidRPr="00E34E1E" w:rsidRDefault="00000000">
          <w:pPr>
            <w:pStyle w:val="TOC1"/>
            <w:rPr>
              <w:rFonts w:ascii="Times New Roman" w:eastAsiaTheme="minorEastAsia" w:hAnsi="Times New Roman" w:cs="Times New Roman"/>
              <w:noProof/>
              <w:sz w:val="24"/>
              <w:szCs w:val="24"/>
              <w:lang w:eastAsia="lv-LV"/>
            </w:rPr>
          </w:pPr>
          <w:hyperlink w:anchor="_Toc126061819" w:history="1">
            <w:r w:rsidR="0091668E" w:rsidRPr="00E34E1E">
              <w:rPr>
                <w:rStyle w:val="Hyperlink"/>
                <w:rFonts w:ascii="Times New Roman" w:hAnsi="Times New Roman" w:cs="Times New Roman"/>
                <w:noProof/>
                <w:sz w:val="24"/>
                <w:szCs w:val="24"/>
              </w:rPr>
              <w:t xml:space="preserve">6. </w:t>
            </w:r>
            <w:r w:rsidR="00AC13B4" w:rsidRPr="00E34E1E">
              <w:rPr>
                <w:rStyle w:val="Hyperlink"/>
                <w:rFonts w:ascii="Times New Roman" w:hAnsi="Times New Roman" w:cs="Times New Roman"/>
                <w:noProof/>
                <w:sz w:val="24"/>
                <w:szCs w:val="24"/>
              </w:rPr>
              <w:t>Turpmākā rīcība</w:t>
            </w:r>
            <w:r w:rsidR="0091668E" w:rsidRPr="00E34E1E">
              <w:rPr>
                <w:rFonts w:ascii="Times New Roman" w:hAnsi="Times New Roman" w:cs="Times New Roman"/>
                <w:noProof/>
                <w:webHidden/>
                <w:sz w:val="24"/>
                <w:szCs w:val="24"/>
              </w:rPr>
              <w:tab/>
            </w:r>
            <w:r w:rsidR="0091668E" w:rsidRPr="00E34E1E">
              <w:rPr>
                <w:rFonts w:ascii="Times New Roman" w:hAnsi="Times New Roman" w:cs="Times New Roman"/>
                <w:noProof/>
                <w:webHidden/>
                <w:sz w:val="24"/>
                <w:szCs w:val="24"/>
              </w:rPr>
              <w:fldChar w:fldCharType="begin"/>
            </w:r>
            <w:r w:rsidR="0091668E" w:rsidRPr="00E34E1E">
              <w:rPr>
                <w:rFonts w:ascii="Times New Roman" w:hAnsi="Times New Roman" w:cs="Times New Roman"/>
                <w:noProof/>
                <w:webHidden/>
                <w:sz w:val="24"/>
                <w:szCs w:val="24"/>
              </w:rPr>
              <w:instrText xml:space="preserve"> PAGEREF _Toc126061819 \h </w:instrText>
            </w:r>
            <w:r w:rsidR="0091668E" w:rsidRPr="00E34E1E">
              <w:rPr>
                <w:rFonts w:ascii="Times New Roman" w:hAnsi="Times New Roman" w:cs="Times New Roman"/>
                <w:noProof/>
                <w:webHidden/>
                <w:sz w:val="24"/>
                <w:szCs w:val="24"/>
              </w:rPr>
            </w:r>
            <w:r w:rsidR="0091668E" w:rsidRPr="00E34E1E">
              <w:rPr>
                <w:rFonts w:ascii="Times New Roman" w:hAnsi="Times New Roman" w:cs="Times New Roman"/>
                <w:noProof/>
                <w:webHidden/>
                <w:sz w:val="24"/>
                <w:szCs w:val="24"/>
              </w:rPr>
              <w:fldChar w:fldCharType="separate"/>
            </w:r>
            <w:r w:rsidR="0091668E" w:rsidRPr="00E34E1E">
              <w:rPr>
                <w:rFonts w:ascii="Times New Roman" w:hAnsi="Times New Roman" w:cs="Times New Roman"/>
                <w:noProof/>
                <w:webHidden/>
                <w:sz w:val="24"/>
                <w:szCs w:val="24"/>
              </w:rPr>
              <w:t>20</w:t>
            </w:r>
            <w:r w:rsidR="0091668E" w:rsidRPr="00E34E1E">
              <w:rPr>
                <w:rFonts w:ascii="Times New Roman" w:hAnsi="Times New Roman" w:cs="Times New Roman"/>
                <w:noProof/>
                <w:webHidden/>
                <w:sz w:val="24"/>
                <w:szCs w:val="24"/>
              </w:rPr>
              <w:fldChar w:fldCharType="end"/>
            </w:r>
          </w:hyperlink>
        </w:p>
        <w:p w14:paraId="557F1A47" w14:textId="681923D7" w:rsidR="00F8459C" w:rsidRPr="00E34E1E" w:rsidRDefault="00C71529" w:rsidP="009B3576">
          <w:pPr>
            <w:pStyle w:val="TOC1"/>
            <w:rPr>
              <w:rFonts w:ascii="Times New Roman" w:hAnsi="Times New Roman" w:cs="Times New Roman"/>
              <w:sz w:val="24"/>
              <w:szCs w:val="24"/>
            </w:rPr>
          </w:pPr>
          <w:r w:rsidRPr="00E34E1E">
            <w:rPr>
              <w:rFonts w:ascii="Times New Roman" w:hAnsi="Times New Roman" w:cs="Times New Roman"/>
              <w:sz w:val="24"/>
              <w:szCs w:val="24"/>
            </w:rPr>
            <w:fldChar w:fldCharType="end"/>
          </w:r>
        </w:p>
      </w:sdtContent>
    </w:sdt>
    <w:bookmarkEnd w:id="6" w:displacedByCustomXml="prev"/>
    <w:bookmarkEnd w:id="5" w:displacedByCustomXml="prev"/>
    <w:p w14:paraId="139AF32E" w14:textId="442A7C85" w:rsidR="005552B1" w:rsidRPr="00E34E1E" w:rsidRDefault="00C71529" w:rsidP="005552B1">
      <w:pPr>
        <w:spacing w:after="0" w:line="240" w:lineRule="auto"/>
        <w:rPr>
          <w:rFonts w:ascii="Times New Roman" w:eastAsia="Times New Roman" w:hAnsi="Times New Roman" w:cs="Times New Roman"/>
          <w:b/>
          <w:bCs/>
          <w:color w:val="414142"/>
          <w:sz w:val="24"/>
          <w:szCs w:val="24"/>
          <w:lang w:eastAsia="lv-LV"/>
        </w:rPr>
      </w:pPr>
      <w:r w:rsidRPr="00E34E1E">
        <w:rPr>
          <w:rFonts w:ascii="Times New Roman" w:eastAsia="Times New Roman" w:hAnsi="Times New Roman" w:cs="Times New Roman"/>
          <w:b/>
          <w:bCs/>
          <w:color w:val="414142"/>
          <w:sz w:val="24"/>
          <w:szCs w:val="24"/>
          <w:lang w:eastAsia="lv-LV"/>
        </w:rPr>
        <w:br w:type="page"/>
      </w:r>
      <w:r w:rsidR="00814C2C" w:rsidRPr="00E34E1E">
        <w:rPr>
          <w:rFonts w:ascii="Times New Roman" w:eastAsia="Times New Roman" w:hAnsi="Times New Roman" w:cs="Times New Roman"/>
          <w:b/>
          <w:bCs/>
          <w:color w:val="414142"/>
          <w:sz w:val="24"/>
          <w:szCs w:val="24"/>
          <w:lang w:eastAsia="lv-LV"/>
        </w:rPr>
        <w:lastRenderedPageBreak/>
        <w:t xml:space="preserve"> </w:t>
      </w:r>
    </w:p>
    <w:p w14:paraId="3A6FEA80" w14:textId="01F28A16" w:rsidR="005552B1" w:rsidRPr="00E34E1E" w:rsidRDefault="005552B1" w:rsidP="005552B1">
      <w:pPr>
        <w:pStyle w:val="Style1"/>
        <w:spacing w:before="0" w:line="240" w:lineRule="auto"/>
        <w:jc w:val="center"/>
      </w:pPr>
      <w:bookmarkStart w:id="7" w:name="_Toc126061807"/>
      <w:r w:rsidRPr="00E34E1E">
        <w:t>Apzīmējum</w:t>
      </w:r>
      <w:bookmarkEnd w:id="7"/>
      <w:r w:rsidR="00A122B5" w:rsidRPr="00E34E1E">
        <w:t>i</w:t>
      </w:r>
    </w:p>
    <w:p w14:paraId="613B38C1" w14:textId="77777777" w:rsidR="00A122B5" w:rsidRPr="00E34E1E" w:rsidRDefault="00A122B5" w:rsidP="005552B1">
      <w:pPr>
        <w:spacing w:after="0" w:line="240" w:lineRule="auto"/>
        <w:jc w:val="both"/>
        <w:rPr>
          <w:rFonts w:ascii="Times New Roman" w:hAnsi="Times New Roman" w:cs="Times New Roman"/>
          <w:sz w:val="24"/>
          <w:szCs w:val="24"/>
        </w:rPr>
      </w:pPr>
    </w:p>
    <w:p w14:paraId="72841294" w14:textId="46485D97" w:rsidR="005552B1" w:rsidRPr="00E34E1E" w:rsidRDefault="00A122B5" w:rsidP="005552B1">
      <w:pPr>
        <w:spacing w:after="0" w:line="240" w:lineRule="auto"/>
        <w:jc w:val="both"/>
        <w:rPr>
          <w:rFonts w:ascii="Times New Roman" w:hAnsi="Times New Roman" w:cs="Times New Roman"/>
          <w:sz w:val="24"/>
          <w:szCs w:val="24"/>
        </w:rPr>
      </w:pPr>
      <w:r w:rsidRPr="00E34E1E">
        <w:rPr>
          <w:rFonts w:ascii="Times New Roman" w:hAnsi="Times New Roman" w:cs="Times New Roman"/>
          <w:sz w:val="24"/>
          <w:szCs w:val="24"/>
        </w:rPr>
        <w:t>Konceptuālajā ziņojumā tiek lietoti šādi apzīmējumi:</w:t>
      </w:r>
    </w:p>
    <w:p w14:paraId="37620436" w14:textId="77777777" w:rsidR="00A122B5" w:rsidRPr="00E34E1E" w:rsidRDefault="00A122B5" w:rsidP="005552B1">
      <w:pPr>
        <w:spacing w:after="0" w:line="240" w:lineRule="auto"/>
        <w:jc w:val="both"/>
        <w:rPr>
          <w:rFonts w:ascii="Times New Roman" w:hAnsi="Times New Roman" w:cs="Times New Roman"/>
          <w:sz w:val="24"/>
          <w:szCs w:val="24"/>
        </w:rPr>
      </w:pPr>
    </w:p>
    <w:p w14:paraId="2A09F8EF" w14:textId="4A5E0849" w:rsidR="005552B1" w:rsidRPr="00E34E1E" w:rsidRDefault="005552B1" w:rsidP="00BD6B7C">
      <w:pPr>
        <w:spacing w:after="0"/>
        <w:jc w:val="both"/>
        <w:rPr>
          <w:rFonts w:ascii="Times New Roman" w:hAnsi="Times New Roman" w:cs="Times New Roman"/>
          <w:sz w:val="24"/>
          <w:szCs w:val="24"/>
        </w:rPr>
      </w:pPr>
      <w:r w:rsidRPr="00E34E1E">
        <w:rPr>
          <w:rFonts w:ascii="Times New Roman" w:hAnsi="Times New Roman" w:cs="Times New Roman"/>
          <w:sz w:val="24"/>
          <w:szCs w:val="24"/>
        </w:rPr>
        <w:t xml:space="preserve">BVKB </w:t>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sz w:val="24"/>
          <w:szCs w:val="24"/>
        </w:rPr>
        <w:t>Būvniecības valsts kontroles birojs</w:t>
      </w:r>
    </w:p>
    <w:p w14:paraId="5B9FB540" w14:textId="77777777" w:rsidR="005552B1" w:rsidRPr="00E34E1E" w:rsidRDefault="005552B1" w:rsidP="00BD6B7C">
      <w:pPr>
        <w:spacing w:after="0"/>
        <w:ind w:left="4320" w:hanging="4320"/>
        <w:jc w:val="both"/>
        <w:rPr>
          <w:rFonts w:ascii="Times New Roman" w:hAnsi="Times New Roman" w:cs="Times New Roman"/>
          <w:sz w:val="24"/>
          <w:szCs w:val="24"/>
        </w:rPr>
      </w:pPr>
      <w:proofErr w:type="spellStart"/>
      <w:r w:rsidRPr="00E34E1E">
        <w:rPr>
          <w:rFonts w:ascii="Times New Roman" w:hAnsi="Times New Roman" w:cs="Times New Roman"/>
          <w:sz w:val="24"/>
          <w:szCs w:val="24"/>
        </w:rPr>
        <w:t>Civitta</w:t>
      </w:r>
      <w:proofErr w:type="spellEnd"/>
      <w:r w:rsidRPr="00E34E1E">
        <w:rPr>
          <w:rFonts w:ascii="Times New Roman" w:hAnsi="Times New Roman" w:cs="Times New Roman"/>
          <w:sz w:val="24"/>
          <w:szCs w:val="24"/>
        </w:rPr>
        <w:t xml:space="preserve"> 1. pētījums</w:t>
      </w:r>
      <w:r w:rsidRPr="00E34E1E">
        <w:rPr>
          <w:rFonts w:ascii="Times New Roman" w:hAnsi="Times New Roman" w:cs="Times New Roman"/>
        </w:rPr>
        <w:tab/>
      </w:r>
      <w:proofErr w:type="spellStart"/>
      <w:r w:rsidRPr="00E34E1E">
        <w:rPr>
          <w:rFonts w:ascii="Times New Roman" w:hAnsi="Times New Roman" w:cs="Times New Roman"/>
          <w:sz w:val="24"/>
          <w:szCs w:val="24"/>
        </w:rPr>
        <w:t>Civitta</w:t>
      </w:r>
      <w:proofErr w:type="spellEnd"/>
      <w:r w:rsidRPr="00E34E1E">
        <w:rPr>
          <w:rFonts w:ascii="Times New Roman" w:hAnsi="Times New Roman" w:cs="Times New Roman"/>
          <w:sz w:val="24"/>
          <w:szCs w:val="24"/>
        </w:rPr>
        <w:t xml:space="preserve"> Latvija 2022. gadā izstrādātais pētījums par aģentūras iespējamo formu salīdzinājumu naftas produktu drošības rezervju pārvaldes funkciju nodrošināšanai</w:t>
      </w:r>
    </w:p>
    <w:p w14:paraId="18F93C95" w14:textId="77777777" w:rsidR="005552B1" w:rsidRPr="00E34E1E" w:rsidRDefault="005552B1" w:rsidP="00BD6B7C">
      <w:pPr>
        <w:spacing w:after="0"/>
        <w:ind w:left="4320" w:hanging="4320"/>
        <w:jc w:val="both"/>
        <w:rPr>
          <w:rFonts w:ascii="Times New Roman" w:hAnsi="Times New Roman" w:cs="Times New Roman"/>
          <w:sz w:val="24"/>
          <w:szCs w:val="24"/>
        </w:rPr>
      </w:pPr>
      <w:proofErr w:type="spellStart"/>
      <w:r w:rsidRPr="00E34E1E">
        <w:rPr>
          <w:rFonts w:ascii="Times New Roman" w:hAnsi="Times New Roman" w:cs="Times New Roman"/>
          <w:sz w:val="24"/>
          <w:szCs w:val="24"/>
        </w:rPr>
        <w:t>Civitta</w:t>
      </w:r>
      <w:proofErr w:type="spellEnd"/>
      <w:r w:rsidRPr="00E34E1E">
        <w:rPr>
          <w:rFonts w:ascii="Times New Roman" w:hAnsi="Times New Roman" w:cs="Times New Roman"/>
          <w:sz w:val="24"/>
          <w:szCs w:val="24"/>
        </w:rPr>
        <w:t xml:space="preserve"> 2. pētījums </w:t>
      </w:r>
      <w:r w:rsidRPr="00E34E1E">
        <w:rPr>
          <w:rFonts w:ascii="Times New Roman" w:hAnsi="Times New Roman" w:cs="Times New Roman"/>
        </w:rPr>
        <w:tab/>
      </w:r>
      <w:proofErr w:type="spellStart"/>
      <w:r w:rsidRPr="00E34E1E">
        <w:rPr>
          <w:rFonts w:ascii="Times New Roman" w:hAnsi="Times New Roman" w:cs="Times New Roman"/>
          <w:sz w:val="24"/>
          <w:szCs w:val="24"/>
        </w:rPr>
        <w:t>Civitta</w:t>
      </w:r>
      <w:proofErr w:type="spellEnd"/>
      <w:r w:rsidRPr="00E34E1E">
        <w:rPr>
          <w:rFonts w:ascii="Times New Roman" w:hAnsi="Times New Roman" w:cs="Times New Roman"/>
          <w:sz w:val="24"/>
          <w:szCs w:val="24"/>
        </w:rPr>
        <w:t xml:space="preserve"> Latvija 2022. gadā izstrādātais pētījums, kurā analizēts valsts naftas produktu drošības rezervju aģentūras biznesa plāns</w:t>
      </w:r>
    </w:p>
    <w:p w14:paraId="2C95DBEC" w14:textId="757E3C1E" w:rsidR="005552B1" w:rsidRPr="00E34E1E" w:rsidRDefault="005552B1" w:rsidP="00BD6B7C">
      <w:pPr>
        <w:spacing w:after="0"/>
        <w:jc w:val="both"/>
        <w:rPr>
          <w:rFonts w:ascii="Times New Roman" w:hAnsi="Times New Roman" w:cs="Times New Roman"/>
          <w:sz w:val="24"/>
          <w:szCs w:val="24"/>
        </w:rPr>
      </w:pPr>
      <w:r w:rsidRPr="00E34E1E">
        <w:rPr>
          <w:rFonts w:ascii="Times New Roman" w:hAnsi="Times New Roman" w:cs="Times New Roman"/>
          <w:sz w:val="24"/>
          <w:szCs w:val="24"/>
        </w:rPr>
        <w:t xml:space="preserve">CKUS </w:t>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00BD6B7C" w:rsidRPr="00E34E1E">
        <w:rPr>
          <w:rFonts w:ascii="Times New Roman" w:hAnsi="Times New Roman" w:cs="Times New Roman"/>
        </w:rPr>
        <w:tab/>
      </w:r>
      <w:r w:rsidRPr="00E34E1E">
        <w:rPr>
          <w:rFonts w:ascii="Times New Roman" w:hAnsi="Times New Roman" w:cs="Times New Roman"/>
          <w:sz w:val="24"/>
          <w:szCs w:val="24"/>
        </w:rPr>
        <w:t>Centrālā krājumu uzturēšanas struktūra</w:t>
      </w:r>
    </w:p>
    <w:p w14:paraId="0C22C4A1" w14:textId="77777777" w:rsidR="005552B1" w:rsidRPr="00E34E1E" w:rsidRDefault="005552B1" w:rsidP="00BD6B7C">
      <w:pPr>
        <w:spacing w:after="0"/>
        <w:ind w:left="4320" w:hanging="4320"/>
        <w:jc w:val="both"/>
        <w:rPr>
          <w:rFonts w:ascii="Times New Roman" w:hAnsi="Times New Roman" w:cs="Times New Roman"/>
          <w:sz w:val="24"/>
          <w:szCs w:val="24"/>
        </w:rPr>
      </w:pPr>
      <w:proofErr w:type="spellStart"/>
      <w:r w:rsidRPr="00E34E1E">
        <w:rPr>
          <w:rFonts w:ascii="Times New Roman" w:hAnsi="Times New Roman" w:cs="Times New Roman"/>
          <w:sz w:val="24"/>
          <w:szCs w:val="24"/>
        </w:rPr>
        <w:t>Deloitte</w:t>
      </w:r>
      <w:proofErr w:type="spellEnd"/>
      <w:r w:rsidRPr="00E34E1E">
        <w:rPr>
          <w:rFonts w:ascii="Times New Roman" w:hAnsi="Times New Roman" w:cs="Times New Roman"/>
          <w:sz w:val="24"/>
          <w:szCs w:val="24"/>
        </w:rPr>
        <w:t xml:space="preserve"> pētījums </w:t>
      </w:r>
      <w:r w:rsidRPr="00E34E1E">
        <w:rPr>
          <w:rFonts w:ascii="Times New Roman" w:hAnsi="Times New Roman" w:cs="Times New Roman"/>
        </w:rPr>
        <w:tab/>
      </w:r>
      <w:proofErr w:type="spellStart"/>
      <w:r w:rsidRPr="00E34E1E">
        <w:rPr>
          <w:rFonts w:ascii="Times New Roman" w:hAnsi="Times New Roman" w:cs="Times New Roman"/>
          <w:sz w:val="24"/>
          <w:szCs w:val="24"/>
        </w:rPr>
        <w:t>Deloitte</w:t>
      </w:r>
      <w:proofErr w:type="spellEnd"/>
      <w:r w:rsidRPr="00E34E1E">
        <w:rPr>
          <w:rFonts w:ascii="Times New Roman" w:hAnsi="Times New Roman" w:cs="Times New Roman"/>
          <w:sz w:val="24"/>
          <w:szCs w:val="24"/>
        </w:rPr>
        <w:t xml:space="preserve"> </w:t>
      </w:r>
      <w:proofErr w:type="spellStart"/>
      <w:r w:rsidRPr="00E34E1E">
        <w:rPr>
          <w:rFonts w:ascii="Times New Roman" w:hAnsi="Times New Roman" w:cs="Times New Roman"/>
          <w:sz w:val="24"/>
          <w:szCs w:val="24"/>
        </w:rPr>
        <w:t>Advisory</w:t>
      </w:r>
      <w:proofErr w:type="spellEnd"/>
      <w:r w:rsidRPr="00E34E1E">
        <w:rPr>
          <w:rFonts w:ascii="Times New Roman" w:hAnsi="Times New Roman" w:cs="Times New Roman"/>
          <w:sz w:val="24"/>
          <w:szCs w:val="24"/>
        </w:rPr>
        <w:t xml:space="preserve"> </w:t>
      </w:r>
      <w:proofErr w:type="spellStart"/>
      <w:r w:rsidRPr="00E34E1E">
        <w:rPr>
          <w:rFonts w:ascii="Times New Roman" w:hAnsi="Times New Roman" w:cs="Times New Roman"/>
          <w:sz w:val="24"/>
          <w:szCs w:val="24"/>
        </w:rPr>
        <w:t>s.r.o</w:t>
      </w:r>
      <w:proofErr w:type="spellEnd"/>
      <w:r w:rsidRPr="00E34E1E">
        <w:rPr>
          <w:rFonts w:ascii="Times New Roman" w:hAnsi="Times New Roman" w:cs="Times New Roman"/>
          <w:sz w:val="24"/>
          <w:szCs w:val="24"/>
        </w:rPr>
        <w:t xml:space="preserve"> 2020. gadā izstrādātais pētījums par naftas un naftas produktu drošības rezervju cenas veidošanos un priekšlikumu izstrāde labākajam risinājumam valsts naftas produktu drošības rezervju izveidei</w:t>
      </w:r>
    </w:p>
    <w:p w14:paraId="2CDE0A70" w14:textId="28692DC5"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Direktīva 2009/119/EK</w:t>
      </w:r>
      <w:r w:rsidRPr="00E34E1E">
        <w:rPr>
          <w:rFonts w:ascii="Times New Roman" w:hAnsi="Times New Roman" w:cs="Times New Roman"/>
        </w:rPr>
        <w:tab/>
      </w:r>
      <w:r w:rsidR="00187C50" w:rsidRPr="00E34E1E">
        <w:rPr>
          <w:rFonts w:ascii="Times New Roman" w:hAnsi="Times New Roman" w:cs="Times New Roman"/>
        </w:rPr>
        <w:t xml:space="preserve">Eiropas Savienības </w:t>
      </w:r>
      <w:r w:rsidRPr="00E34E1E">
        <w:rPr>
          <w:rFonts w:ascii="Times New Roman" w:hAnsi="Times New Roman" w:cs="Times New Roman"/>
          <w:sz w:val="24"/>
          <w:szCs w:val="24"/>
        </w:rPr>
        <w:t>Padomes 2009. gada 14. septembra Direktīva 2009/119/EK, ar ko dalībvalstīm tiek uzlikts pienākums uzturēt jēlnaftas un/vai naftas produktu obligātas rezerves</w:t>
      </w:r>
    </w:p>
    <w:p w14:paraId="5D433C22" w14:textId="0A6795EF"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 xml:space="preserve">Drošības rezerves </w:t>
      </w:r>
      <w:r w:rsidRPr="00E34E1E">
        <w:rPr>
          <w:rFonts w:ascii="Times New Roman" w:hAnsi="Times New Roman" w:cs="Times New Roman"/>
        </w:rPr>
        <w:tab/>
      </w:r>
      <w:r w:rsidRPr="00E34E1E">
        <w:rPr>
          <w:rFonts w:ascii="Times New Roman" w:hAnsi="Times New Roman" w:cs="Times New Roman"/>
          <w:sz w:val="24"/>
          <w:szCs w:val="24"/>
        </w:rPr>
        <w:t>Valsts naftas produktu drošības rezerves</w:t>
      </w:r>
    </w:p>
    <w:p w14:paraId="13E8F39B" w14:textId="77777777" w:rsidR="005552B1" w:rsidRPr="00E34E1E" w:rsidRDefault="005552B1" w:rsidP="00BD6B7C">
      <w:pPr>
        <w:spacing w:after="0"/>
        <w:jc w:val="both"/>
        <w:rPr>
          <w:rFonts w:ascii="Times New Roman" w:hAnsi="Times New Roman" w:cs="Times New Roman"/>
          <w:sz w:val="24"/>
          <w:szCs w:val="24"/>
        </w:rPr>
      </w:pPr>
      <w:r w:rsidRPr="00E34E1E">
        <w:rPr>
          <w:rFonts w:ascii="Times New Roman" w:hAnsi="Times New Roman" w:cs="Times New Roman"/>
          <w:sz w:val="24"/>
          <w:szCs w:val="24"/>
        </w:rPr>
        <w:t xml:space="preserve">ES </w:t>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sz w:val="24"/>
          <w:szCs w:val="24"/>
        </w:rPr>
        <w:t>Eiropas Savienība</w:t>
      </w:r>
    </w:p>
    <w:p w14:paraId="6AD63874" w14:textId="77777777" w:rsidR="005552B1" w:rsidRPr="00E34E1E" w:rsidRDefault="005552B1" w:rsidP="00BD6B7C">
      <w:pPr>
        <w:spacing w:after="0"/>
        <w:jc w:val="both"/>
        <w:rPr>
          <w:rFonts w:ascii="Times New Roman" w:hAnsi="Times New Roman" w:cs="Times New Roman"/>
          <w:sz w:val="24"/>
          <w:szCs w:val="24"/>
        </w:rPr>
      </w:pPr>
      <w:r w:rsidRPr="00E34E1E">
        <w:rPr>
          <w:rFonts w:ascii="Times New Roman" w:hAnsi="Times New Roman" w:cs="Times New Roman"/>
          <w:sz w:val="24"/>
          <w:szCs w:val="24"/>
        </w:rPr>
        <w:t>EUR</w:t>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sz w:val="24"/>
          <w:szCs w:val="24"/>
        </w:rPr>
        <w:t>Eiro</w:t>
      </w:r>
    </w:p>
    <w:p w14:paraId="476DA868" w14:textId="77777777"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 xml:space="preserve">INKA </w:t>
      </w:r>
      <w:r w:rsidRPr="00E34E1E">
        <w:rPr>
          <w:rFonts w:ascii="Times New Roman" w:hAnsi="Times New Roman" w:cs="Times New Roman"/>
        </w:rPr>
        <w:tab/>
      </w:r>
      <w:r w:rsidRPr="00E34E1E">
        <w:rPr>
          <w:rFonts w:ascii="Times New Roman" w:hAnsi="Times New Roman" w:cs="Times New Roman"/>
          <w:sz w:val="24"/>
          <w:szCs w:val="24"/>
        </w:rPr>
        <w:t>Igaunijas Naftas krājumu aģentūra jeb AS “</w:t>
      </w:r>
      <w:proofErr w:type="spellStart"/>
      <w:r w:rsidRPr="00E34E1E">
        <w:rPr>
          <w:rFonts w:ascii="Times New Roman" w:hAnsi="Times New Roman" w:cs="Times New Roman"/>
          <w:sz w:val="24"/>
          <w:szCs w:val="24"/>
        </w:rPr>
        <w:t>Eesti</w:t>
      </w:r>
      <w:proofErr w:type="spellEnd"/>
      <w:r w:rsidRPr="00E34E1E">
        <w:rPr>
          <w:rFonts w:ascii="Times New Roman" w:hAnsi="Times New Roman" w:cs="Times New Roman"/>
          <w:sz w:val="24"/>
          <w:szCs w:val="24"/>
        </w:rPr>
        <w:t xml:space="preserve"> </w:t>
      </w:r>
      <w:proofErr w:type="spellStart"/>
      <w:r w:rsidRPr="00E34E1E">
        <w:rPr>
          <w:rFonts w:ascii="Times New Roman" w:hAnsi="Times New Roman" w:cs="Times New Roman"/>
          <w:sz w:val="24"/>
          <w:szCs w:val="24"/>
        </w:rPr>
        <w:t>Vedelkütusevaru</w:t>
      </w:r>
      <w:proofErr w:type="spellEnd"/>
      <w:r w:rsidRPr="00E34E1E">
        <w:rPr>
          <w:rFonts w:ascii="Times New Roman" w:hAnsi="Times New Roman" w:cs="Times New Roman"/>
          <w:sz w:val="24"/>
          <w:szCs w:val="24"/>
        </w:rPr>
        <w:t xml:space="preserve"> </w:t>
      </w:r>
      <w:proofErr w:type="spellStart"/>
      <w:r w:rsidRPr="00E34E1E">
        <w:rPr>
          <w:rFonts w:ascii="Times New Roman" w:hAnsi="Times New Roman" w:cs="Times New Roman"/>
          <w:sz w:val="24"/>
          <w:szCs w:val="24"/>
        </w:rPr>
        <w:t>Agentuur</w:t>
      </w:r>
      <w:proofErr w:type="spellEnd"/>
      <w:r w:rsidRPr="00E34E1E">
        <w:rPr>
          <w:rFonts w:ascii="Times New Roman" w:hAnsi="Times New Roman" w:cs="Times New Roman"/>
          <w:sz w:val="24"/>
          <w:szCs w:val="24"/>
        </w:rPr>
        <w:t>”</w:t>
      </w:r>
    </w:p>
    <w:p w14:paraId="54E28555" w14:textId="5CDFD79E" w:rsidR="005552B1" w:rsidRPr="00E34E1E" w:rsidRDefault="005552B1" w:rsidP="00BD6B7C">
      <w:pPr>
        <w:spacing w:after="0"/>
        <w:jc w:val="both"/>
        <w:rPr>
          <w:rFonts w:ascii="Times New Roman" w:hAnsi="Times New Roman" w:cs="Times New Roman"/>
          <w:sz w:val="24"/>
          <w:szCs w:val="24"/>
        </w:rPr>
      </w:pPr>
      <w:proofErr w:type="spellStart"/>
      <w:r w:rsidRPr="00E34E1E">
        <w:rPr>
          <w:rFonts w:ascii="Times New Roman" w:hAnsi="Times New Roman" w:cs="Times New Roman"/>
          <w:sz w:val="24"/>
          <w:szCs w:val="24"/>
        </w:rPr>
        <w:t>mb</w:t>
      </w:r>
      <w:proofErr w:type="spellEnd"/>
      <w:r w:rsidRPr="00E34E1E">
        <w:rPr>
          <w:rFonts w:ascii="Times New Roman" w:hAnsi="Times New Roman" w:cs="Times New Roman"/>
          <w:sz w:val="24"/>
          <w:szCs w:val="24"/>
        </w:rPr>
        <w:t>/d</w:t>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rPr>
        <w:tab/>
      </w:r>
      <w:r w:rsidRPr="00E34E1E">
        <w:rPr>
          <w:rFonts w:ascii="Times New Roman" w:hAnsi="Times New Roman" w:cs="Times New Roman"/>
          <w:sz w:val="24"/>
          <w:szCs w:val="24"/>
        </w:rPr>
        <w:t>Miljoni barelu dienā</w:t>
      </w:r>
    </w:p>
    <w:p w14:paraId="463DD1C2" w14:textId="4F876D21" w:rsidR="00A122B5" w:rsidRPr="00E34E1E" w:rsidRDefault="00A122B5"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MK</w:t>
      </w:r>
      <w:r w:rsidRPr="00E34E1E">
        <w:rPr>
          <w:rFonts w:ascii="Times New Roman" w:hAnsi="Times New Roman" w:cs="Times New Roman"/>
          <w:sz w:val="24"/>
          <w:szCs w:val="24"/>
        </w:rPr>
        <w:tab/>
        <w:t>Ministru kabinets</w:t>
      </w:r>
    </w:p>
    <w:p w14:paraId="5CEB8DB4" w14:textId="139B41F3"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OECD</w:t>
      </w:r>
      <w:r w:rsidRPr="00E34E1E">
        <w:rPr>
          <w:rFonts w:ascii="Times New Roman" w:hAnsi="Times New Roman" w:cs="Times New Roman"/>
        </w:rPr>
        <w:tab/>
      </w:r>
      <w:r w:rsidRPr="00E34E1E">
        <w:rPr>
          <w:rFonts w:ascii="Times New Roman" w:hAnsi="Times New Roman" w:cs="Times New Roman"/>
          <w:sz w:val="24"/>
          <w:szCs w:val="24"/>
        </w:rPr>
        <w:t>Ekonomiskās sadarbības un attīstības organizācija</w:t>
      </w:r>
    </w:p>
    <w:p w14:paraId="53A81ED0" w14:textId="77777777"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 xml:space="preserve">Possessor </w:t>
      </w:r>
      <w:r w:rsidRPr="00E34E1E">
        <w:rPr>
          <w:rFonts w:ascii="Times New Roman" w:hAnsi="Times New Roman" w:cs="Times New Roman"/>
        </w:rPr>
        <w:tab/>
      </w:r>
      <w:r w:rsidRPr="00E34E1E">
        <w:rPr>
          <w:rFonts w:ascii="Times New Roman" w:hAnsi="Times New Roman" w:cs="Times New Roman"/>
          <w:sz w:val="24"/>
          <w:szCs w:val="24"/>
        </w:rPr>
        <w:t>Sabiedrība ar ierobežotu atbildību “Publisko aktīvu pārvaldītājs Possessor”</w:t>
      </w:r>
    </w:p>
    <w:p w14:paraId="73B2E508" w14:textId="4021F105" w:rsidR="005552B1" w:rsidRPr="00E34E1E" w:rsidRDefault="005B0DD5"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 xml:space="preserve">Pakalpojuma </w:t>
      </w:r>
      <w:r w:rsidR="005552B1" w:rsidRPr="00E34E1E">
        <w:rPr>
          <w:rFonts w:ascii="Times New Roman" w:hAnsi="Times New Roman" w:cs="Times New Roman"/>
          <w:sz w:val="24"/>
          <w:szCs w:val="24"/>
        </w:rPr>
        <w:t>maksa</w:t>
      </w:r>
      <w:r w:rsidR="005552B1" w:rsidRPr="00E34E1E">
        <w:rPr>
          <w:rFonts w:ascii="Times New Roman" w:hAnsi="Times New Roman" w:cs="Times New Roman"/>
        </w:rPr>
        <w:tab/>
      </w:r>
      <w:r w:rsidR="005552B1" w:rsidRPr="00E34E1E">
        <w:rPr>
          <w:rFonts w:ascii="Times New Roman" w:hAnsi="Times New Roman" w:cs="Times New Roman"/>
          <w:sz w:val="24"/>
          <w:szCs w:val="24"/>
        </w:rPr>
        <w:t>P</w:t>
      </w:r>
      <w:r w:rsidR="00D2742B" w:rsidRPr="00E34E1E">
        <w:rPr>
          <w:rFonts w:ascii="Times New Roman" w:hAnsi="Times New Roman" w:cs="Times New Roman"/>
          <w:sz w:val="24"/>
          <w:szCs w:val="24"/>
        </w:rPr>
        <w:t>ubliskā p</w:t>
      </w:r>
      <w:r w:rsidR="005552B1" w:rsidRPr="00E34E1E">
        <w:rPr>
          <w:rFonts w:ascii="Times New Roman" w:hAnsi="Times New Roman" w:cs="Times New Roman"/>
          <w:sz w:val="24"/>
          <w:szCs w:val="24"/>
        </w:rPr>
        <w:t>akalpojuma maksa par drošības rezervju uzturēšanu</w:t>
      </w:r>
    </w:p>
    <w:p w14:paraId="3A39C7DE" w14:textId="7AFF11F0" w:rsidR="00F055D4" w:rsidRPr="00E34E1E" w:rsidRDefault="005552B1" w:rsidP="00BD6B7C">
      <w:pPr>
        <w:spacing w:after="0"/>
        <w:jc w:val="both"/>
        <w:rPr>
          <w:rFonts w:ascii="Times New Roman" w:hAnsi="Times New Roman" w:cs="Times New Roman"/>
        </w:rPr>
      </w:pPr>
      <w:r w:rsidRPr="00E34E1E">
        <w:rPr>
          <w:rFonts w:ascii="Times New Roman" w:hAnsi="Times New Roman" w:cs="Times New Roman"/>
          <w:sz w:val="24"/>
          <w:szCs w:val="24"/>
        </w:rPr>
        <w:t>T</w:t>
      </w:r>
      <w:r w:rsidRPr="00E34E1E">
        <w:rPr>
          <w:rFonts w:ascii="Times New Roman" w:hAnsi="Times New Roman" w:cs="Times New Roman"/>
        </w:rPr>
        <w:tab/>
      </w:r>
      <w:r w:rsidR="00F055D4" w:rsidRPr="00E34E1E">
        <w:rPr>
          <w:rFonts w:ascii="Times New Roman" w:hAnsi="Times New Roman" w:cs="Times New Roman"/>
        </w:rPr>
        <w:tab/>
      </w:r>
      <w:r w:rsidR="00F055D4" w:rsidRPr="00E34E1E">
        <w:rPr>
          <w:rFonts w:ascii="Times New Roman" w:hAnsi="Times New Roman" w:cs="Times New Roman"/>
        </w:rPr>
        <w:tab/>
      </w:r>
      <w:r w:rsidR="00F055D4" w:rsidRPr="00E34E1E">
        <w:rPr>
          <w:rFonts w:ascii="Times New Roman" w:hAnsi="Times New Roman" w:cs="Times New Roman"/>
        </w:rPr>
        <w:tab/>
      </w:r>
      <w:r w:rsidR="00F055D4" w:rsidRPr="00E34E1E">
        <w:rPr>
          <w:rFonts w:ascii="Times New Roman" w:hAnsi="Times New Roman" w:cs="Times New Roman"/>
        </w:rPr>
        <w:tab/>
      </w:r>
      <w:r w:rsidR="00F055D4" w:rsidRPr="00E34E1E">
        <w:rPr>
          <w:rFonts w:ascii="Times New Roman" w:hAnsi="Times New Roman" w:cs="Times New Roman"/>
          <w:sz w:val="24"/>
          <w:szCs w:val="24"/>
        </w:rPr>
        <w:tab/>
        <w:t>Tonnas</w:t>
      </w:r>
    </w:p>
    <w:p w14:paraId="4C92431D" w14:textId="0AED909C" w:rsidR="005552B1" w:rsidRPr="00E34E1E" w:rsidRDefault="00F055D4" w:rsidP="00F055D4">
      <w:pPr>
        <w:spacing w:after="0"/>
        <w:ind w:left="4320" w:hanging="4320"/>
        <w:jc w:val="both"/>
        <w:rPr>
          <w:rFonts w:ascii="Times New Roman" w:hAnsi="Times New Roman" w:cs="Times New Roman"/>
          <w:sz w:val="24"/>
          <w:szCs w:val="24"/>
        </w:rPr>
      </w:pPr>
      <w:r w:rsidRPr="00E34E1E">
        <w:rPr>
          <w:rFonts w:ascii="Times New Roman" w:hAnsi="Times New Roman" w:cs="Times New Roman"/>
        </w:rPr>
        <w:t>Uzkrāšanas fonds</w:t>
      </w:r>
      <w:r w:rsidR="005552B1" w:rsidRPr="00E34E1E">
        <w:rPr>
          <w:rFonts w:ascii="Times New Roman" w:hAnsi="Times New Roman" w:cs="Times New Roman"/>
        </w:rPr>
        <w:tab/>
      </w:r>
      <w:r w:rsidRPr="00E34E1E">
        <w:rPr>
          <w:rFonts w:ascii="Times New Roman" w:hAnsi="Times New Roman" w:cs="Times New Roman"/>
        </w:rPr>
        <w:t>P</w:t>
      </w:r>
      <w:r w:rsidRPr="00E34E1E">
        <w:rPr>
          <w:rFonts w:ascii="Times New Roman" w:hAnsi="Times New Roman" w:cs="Times New Roman"/>
          <w:sz w:val="24"/>
          <w:szCs w:val="24"/>
        </w:rPr>
        <w:t xml:space="preserve">ossessor ārpusbilances </w:t>
      </w:r>
      <w:r w:rsidR="00B5025D">
        <w:rPr>
          <w:rFonts w:ascii="Times New Roman" w:hAnsi="Times New Roman" w:cs="Times New Roman"/>
          <w:sz w:val="24"/>
          <w:szCs w:val="24"/>
        </w:rPr>
        <w:t>rezerves fonds, kurā tiek uzkrāts finansējums</w:t>
      </w:r>
      <w:r w:rsidRPr="00E34E1E">
        <w:rPr>
          <w:rFonts w:ascii="Times New Roman" w:hAnsi="Times New Roman" w:cs="Times New Roman"/>
          <w:sz w:val="24"/>
          <w:szCs w:val="24"/>
        </w:rPr>
        <w:t xml:space="preserve"> drošības rezervju uzturēšanai</w:t>
      </w:r>
    </w:p>
    <w:p w14:paraId="22258B40" w14:textId="77777777" w:rsidR="005552B1" w:rsidRPr="00E34E1E" w:rsidRDefault="005552B1" w:rsidP="00BD6B7C">
      <w:pPr>
        <w:spacing w:after="0"/>
        <w:ind w:left="4320" w:hanging="4320"/>
        <w:jc w:val="both"/>
        <w:rPr>
          <w:rFonts w:ascii="Times New Roman" w:hAnsi="Times New Roman" w:cs="Times New Roman"/>
          <w:sz w:val="24"/>
          <w:szCs w:val="24"/>
        </w:rPr>
      </w:pPr>
      <w:r w:rsidRPr="00E34E1E">
        <w:rPr>
          <w:rFonts w:ascii="Times New Roman" w:hAnsi="Times New Roman" w:cs="Times New Roman"/>
          <w:sz w:val="24"/>
          <w:szCs w:val="24"/>
        </w:rPr>
        <w:t xml:space="preserve">Valsts nodeva </w:t>
      </w:r>
      <w:r w:rsidRPr="00E34E1E">
        <w:rPr>
          <w:rFonts w:ascii="Times New Roman" w:hAnsi="Times New Roman" w:cs="Times New Roman"/>
        </w:rPr>
        <w:tab/>
      </w:r>
      <w:r w:rsidRPr="00E34E1E">
        <w:rPr>
          <w:rFonts w:ascii="Times New Roman" w:hAnsi="Times New Roman" w:cs="Times New Roman"/>
          <w:sz w:val="24"/>
          <w:szCs w:val="24"/>
        </w:rPr>
        <w:t>Valsts nodeva par drošības rezervju uzturēšanu</w:t>
      </w:r>
    </w:p>
    <w:p w14:paraId="79FD9C3C" w14:textId="115FB5C4" w:rsidR="005552B1" w:rsidRPr="00E34E1E" w:rsidRDefault="005552B1">
      <w:pPr>
        <w:spacing w:after="0" w:line="240" w:lineRule="auto"/>
        <w:rPr>
          <w:rFonts w:ascii="Times New Roman" w:eastAsia="Times New Roman" w:hAnsi="Times New Roman" w:cs="Times New Roman"/>
          <w:color w:val="414142"/>
          <w:sz w:val="24"/>
          <w:szCs w:val="24"/>
          <w:lang w:eastAsia="lv-LV"/>
        </w:rPr>
      </w:pPr>
    </w:p>
    <w:p w14:paraId="1FCCDF5F" w14:textId="44A01E8B" w:rsidR="005552B1" w:rsidRPr="00E34E1E" w:rsidRDefault="005552B1">
      <w:pPr>
        <w:spacing w:after="0" w:line="240" w:lineRule="auto"/>
        <w:rPr>
          <w:rFonts w:ascii="Times New Roman" w:eastAsia="Times New Roman" w:hAnsi="Times New Roman" w:cs="Times New Roman"/>
          <w:b/>
          <w:bCs/>
          <w:color w:val="414142"/>
          <w:sz w:val="24"/>
          <w:szCs w:val="24"/>
          <w:lang w:eastAsia="lv-LV"/>
        </w:rPr>
      </w:pPr>
    </w:p>
    <w:p w14:paraId="4DC08859" w14:textId="506EF65B" w:rsidR="00D2742B" w:rsidRPr="00E34E1E" w:rsidRDefault="00D2742B">
      <w:pPr>
        <w:spacing w:after="0" w:line="240" w:lineRule="auto"/>
        <w:rPr>
          <w:rFonts w:ascii="Times New Roman" w:eastAsia="Times New Roman" w:hAnsi="Times New Roman" w:cs="Times New Roman"/>
          <w:b/>
          <w:bCs/>
          <w:color w:val="414142"/>
          <w:sz w:val="24"/>
          <w:szCs w:val="24"/>
          <w:lang w:eastAsia="lv-LV"/>
        </w:rPr>
      </w:pPr>
    </w:p>
    <w:p w14:paraId="4BEDE23D" w14:textId="000D2E8F" w:rsidR="00D2742B" w:rsidRPr="00E34E1E" w:rsidRDefault="00D2742B">
      <w:pPr>
        <w:spacing w:after="0" w:line="240" w:lineRule="auto"/>
        <w:rPr>
          <w:rFonts w:ascii="Times New Roman" w:eastAsia="Times New Roman" w:hAnsi="Times New Roman" w:cs="Times New Roman"/>
          <w:b/>
          <w:bCs/>
          <w:color w:val="414142"/>
          <w:sz w:val="24"/>
          <w:szCs w:val="24"/>
          <w:lang w:eastAsia="lv-LV"/>
        </w:rPr>
      </w:pPr>
    </w:p>
    <w:p w14:paraId="14BFC2BF" w14:textId="1B9EE5F8" w:rsidR="00D2742B" w:rsidRPr="00E34E1E" w:rsidRDefault="00D2742B">
      <w:pPr>
        <w:spacing w:after="0" w:line="240" w:lineRule="auto"/>
        <w:rPr>
          <w:rFonts w:ascii="Times New Roman" w:eastAsia="Times New Roman" w:hAnsi="Times New Roman" w:cs="Times New Roman"/>
          <w:b/>
          <w:bCs/>
          <w:color w:val="414142"/>
          <w:sz w:val="24"/>
          <w:szCs w:val="24"/>
          <w:lang w:eastAsia="lv-LV"/>
        </w:rPr>
      </w:pPr>
    </w:p>
    <w:p w14:paraId="39E90E4A" w14:textId="3CD6012D" w:rsidR="00D2742B" w:rsidRPr="00E34E1E" w:rsidRDefault="00D2742B">
      <w:pPr>
        <w:spacing w:after="0" w:line="240" w:lineRule="auto"/>
        <w:rPr>
          <w:rFonts w:ascii="Times New Roman" w:eastAsia="Times New Roman" w:hAnsi="Times New Roman" w:cs="Times New Roman"/>
          <w:b/>
          <w:bCs/>
          <w:color w:val="414142"/>
          <w:sz w:val="24"/>
          <w:szCs w:val="24"/>
          <w:lang w:eastAsia="lv-LV"/>
        </w:rPr>
      </w:pPr>
    </w:p>
    <w:p w14:paraId="78F80272" w14:textId="5D82CD38" w:rsidR="00D2742B" w:rsidRPr="00E34E1E" w:rsidRDefault="00D2742B">
      <w:pPr>
        <w:spacing w:after="0" w:line="240" w:lineRule="auto"/>
        <w:rPr>
          <w:rFonts w:ascii="Times New Roman" w:eastAsia="Times New Roman" w:hAnsi="Times New Roman" w:cs="Times New Roman"/>
          <w:b/>
          <w:bCs/>
          <w:color w:val="414142"/>
          <w:sz w:val="24"/>
          <w:szCs w:val="24"/>
          <w:lang w:eastAsia="lv-LV"/>
        </w:rPr>
      </w:pPr>
    </w:p>
    <w:p w14:paraId="4F078B31" w14:textId="773BB294" w:rsidR="00F8459C" w:rsidRPr="00E34E1E" w:rsidRDefault="00C71529">
      <w:pPr>
        <w:pStyle w:val="Style1"/>
        <w:spacing w:before="0" w:line="240" w:lineRule="auto"/>
        <w:jc w:val="center"/>
      </w:pPr>
      <w:bookmarkStart w:id="8" w:name="_Toc126061808"/>
      <w:r w:rsidRPr="00E34E1E">
        <w:lastRenderedPageBreak/>
        <w:t>1. Kopsavilkums</w:t>
      </w:r>
      <w:bookmarkEnd w:id="8"/>
    </w:p>
    <w:p w14:paraId="6F73B5BB" w14:textId="77777777" w:rsidR="00F8459C" w:rsidRPr="00E34E1E" w:rsidRDefault="00F8459C">
      <w:pPr>
        <w:spacing w:after="0" w:line="240" w:lineRule="auto"/>
        <w:jc w:val="both"/>
        <w:rPr>
          <w:rFonts w:ascii="Times New Roman" w:hAnsi="Times New Roman" w:cs="Times New Roman"/>
          <w:sz w:val="24"/>
          <w:szCs w:val="24"/>
        </w:rPr>
      </w:pPr>
    </w:p>
    <w:p w14:paraId="0598A091" w14:textId="21ADC782" w:rsidR="005552B1" w:rsidRPr="00E34E1E" w:rsidRDefault="005552B1" w:rsidP="00475B82">
      <w:pPr>
        <w:pStyle w:val="Style2"/>
      </w:pPr>
      <w:r w:rsidRPr="00E34E1E">
        <w:t>Ekonomikas ministrija</w:t>
      </w:r>
      <w:r w:rsidR="009F5880" w:rsidRPr="00E34E1E">
        <w:t xml:space="preserve"> </w:t>
      </w:r>
      <w:r w:rsidRPr="00E34E1E">
        <w:t>ir sagatavojusi konceptuālo ziņojumu "Par valsts naftas produktu drošības rezervju pārvaldību</w:t>
      </w:r>
      <w:r w:rsidR="00BD6B7C" w:rsidRPr="00E34E1E">
        <w:t>”</w:t>
      </w:r>
      <w:r w:rsidRPr="00E34E1E">
        <w:t xml:space="preserve">, lai Latvijas drošības rezervju </w:t>
      </w:r>
      <w:r w:rsidR="00BD6B7C" w:rsidRPr="00E34E1E">
        <w:t>plānošanā būtu</w:t>
      </w:r>
      <w:r w:rsidRPr="00E34E1E">
        <w:t>:</w:t>
      </w:r>
    </w:p>
    <w:p w14:paraId="4B547EF1" w14:textId="6763E794" w:rsidR="005552B1" w:rsidRPr="00E34E1E" w:rsidRDefault="005552B1" w:rsidP="00475B82">
      <w:pPr>
        <w:pStyle w:val="Style2"/>
        <w:numPr>
          <w:ilvl w:val="0"/>
          <w:numId w:val="25"/>
        </w:numPr>
      </w:pPr>
      <w:r w:rsidRPr="00E34E1E">
        <w:t>izvērtēti aģentūras izveides scenāriji nacionālā līmenī;</w:t>
      </w:r>
    </w:p>
    <w:p w14:paraId="0396BA19" w14:textId="77777777" w:rsidR="005552B1" w:rsidRPr="00E34E1E" w:rsidRDefault="005552B1" w:rsidP="00475B82">
      <w:pPr>
        <w:pStyle w:val="Style2"/>
        <w:numPr>
          <w:ilvl w:val="0"/>
          <w:numId w:val="25"/>
        </w:numPr>
      </w:pPr>
      <w:r w:rsidRPr="00E34E1E">
        <w:t>aprakstīts iegādātās degvielas aprites (rotācijas) process;</w:t>
      </w:r>
    </w:p>
    <w:p w14:paraId="486DFCB1" w14:textId="77777777" w:rsidR="005552B1" w:rsidRPr="00E34E1E" w:rsidRDefault="005552B1" w:rsidP="00475B82">
      <w:pPr>
        <w:pStyle w:val="Style2"/>
        <w:numPr>
          <w:ilvl w:val="0"/>
          <w:numId w:val="25"/>
        </w:numPr>
      </w:pPr>
      <w:r w:rsidRPr="00E34E1E">
        <w:t xml:space="preserve">veikts </w:t>
      </w:r>
      <w:proofErr w:type="spellStart"/>
      <w:r w:rsidRPr="00E34E1E">
        <w:t>izvērtējums</w:t>
      </w:r>
      <w:proofErr w:type="spellEnd"/>
      <w:r w:rsidRPr="00E34E1E">
        <w:t xml:space="preserve"> par naftas produktu piegādes ķēdē esošo komersantu un to naftas produktu iesaisti drošības rezervju veidošanā, pēc iespējas izmantojot (attiecinot uz drošības rezervēm) komerciālajā apritē esošos naftas produktu resursus un tādējādi samazinot valsts tiešos izdevumus;</w:t>
      </w:r>
    </w:p>
    <w:p w14:paraId="3E83E133" w14:textId="77777777" w:rsidR="005552B1" w:rsidRPr="00E34E1E" w:rsidRDefault="005552B1" w:rsidP="00475B82">
      <w:pPr>
        <w:pStyle w:val="Style2"/>
        <w:numPr>
          <w:ilvl w:val="0"/>
          <w:numId w:val="25"/>
        </w:numPr>
      </w:pPr>
      <w:r w:rsidRPr="00E34E1E">
        <w:t xml:space="preserve">sniegts detalizēts </w:t>
      </w:r>
      <w:proofErr w:type="spellStart"/>
      <w:r w:rsidRPr="00E34E1E">
        <w:t>izvērtējums</w:t>
      </w:r>
      <w:proofErr w:type="spellEnd"/>
      <w:r w:rsidRPr="00E34E1E">
        <w:t xml:space="preserve"> par nepieciešamo finansējumu un tā avotiem, tai skaitā izvērtējot iespējas izmantot finanšu instrumentu un aizņemto kapitālu.</w:t>
      </w:r>
    </w:p>
    <w:p w14:paraId="5F4B1E7D" w14:textId="75C5390D" w:rsidR="00301456" w:rsidRPr="00E34E1E" w:rsidRDefault="00301456" w:rsidP="00475B82">
      <w:pPr>
        <w:pStyle w:val="Style2"/>
      </w:pPr>
      <w:r w:rsidRPr="00E34E1E">
        <w:t xml:space="preserve">Konceptuālais ziņojums izstrādāts </w:t>
      </w:r>
      <w:r w:rsidR="00A122B5" w:rsidRPr="00E34E1E">
        <w:t xml:space="preserve">atbilstoši MK </w:t>
      </w:r>
      <w:r w:rsidRPr="00E34E1E">
        <w:t>2021. gada 8. jūnija rīkojuma Nr. 399 "Par konceptuālo ziņojumu "Par valsts naftas produktu drošības rezervju nodrošināšanu"" (turpmāk - 2021. gada ziņojums) 6. punkt</w:t>
      </w:r>
      <w:r w:rsidR="00A122B5" w:rsidRPr="00E34E1E">
        <w:t>ā</w:t>
      </w:r>
      <w:r w:rsidR="00082DA3" w:rsidRPr="00E34E1E">
        <w:rPr>
          <w:rStyle w:val="FootnoteReference"/>
        </w:rPr>
        <w:footnoteReference w:id="2"/>
      </w:r>
      <w:r w:rsidR="00A122B5" w:rsidRPr="00E34E1E">
        <w:t xml:space="preserve"> sniegtajam uzdevumam</w:t>
      </w:r>
      <w:r w:rsidRPr="00E34E1E">
        <w:t>, izvērtējot Latvijas naftas produktu drošības rezervju pārvaldības funkciju risinājumus ar nacionālas aģentūras modeli. Tādējādi konceptuālais ziņojums apraksta</w:t>
      </w:r>
      <w:r w:rsidR="003A74FF" w:rsidRPr="00E34E1E">
        <w:t xml:space="preserve"> pašreizējā pārvaldības modeļa situāciju un</w:t>
      </w:r>
      <w:r w:rsidRPr="00E34E1E">
        <w:t xml:space="preserve"> pakāpenisk</w:t>
      </w:r>
      <w:r w:rsidR="003A74FF" w:rsidRPr="00E34E1E">
        <w:t>o</w:t>
      </w:r>
      <w:r w:rsidRPr="00E34E1E">
        <w:t xml:space="preserve"> pārej</w:t>
      </w:r>
      <w:r w:rsidR="003A74FF" w:rsidRPr="00E34E1E">
        <w:t>u</w:t>
      </w:r>
      <w:r w:rsidRPr="00E34E1E">
        <w:t xml:space="preserve"> Latvijā uz nacionālas aģentūras pārvaldības modeli </w:t>
      </w:r>
      <w:r w:rsidR="003A74FF" w:rsidRPr="00E34E1E">
        <w:t>kā</w:t>
      </w:r>
      <w:r w:rsidRPr="00E34E1E">
        <w:t xml:space="preserve"> </w:t>
      </w:r>
      <w:r w:rsidR="00BD6B7C" w:rsidRPr="00E34E1E">
        <w:t>samērīgāko</w:t>
      </w:r>
      <w:r w:rsidRPr="00E34E1E">
        <w:t xml:space="preserve"> risinājum</w:t>
      </w:r>
      <w:r w:rsidR="003A74FF" w:rsidRPr="00E34E1E">
        <w:t>u</w:t>
      </w:r>
      <w:r w:rsidRPr="00E34E1E">
        <w:t xml:space="preserve">, </w:t>
      </w:r>
      <w:r w:rsidR="003A74FF" w:rsidRPr="00E34E1E">
        <w:t>lai</w:t>
      </w:r>
      <w:r w:rsidRPr="00E34E1E">
        <w:t xml:space="preserve"> </w:t>
      </w:r>
      <w:proofErr w:type="spellStart"/>
      <w:r w:rsidRPr="00E34E1E">
        <w:t>kapitālintensīvo</w:t>
      </w:r>
      <w:proofErr w:type="spellEnd"/>
      <w:r w:rsidRPr="00E34E1E">
        <w:t xml:space="preserve"> procesu ļau</w:t>
      </w:r>
      <w:r w:rsidR="003A74FF" w:rsidRPr="00E34E1E">
        <w:t>tu</w:t>
      </w:r>
      <w:r w:rsidRPr="00E34E1E">
        <w:t xml:space="preserve"> balansēt ar</w:t>
      </w:r>
      <w:r w:rsidR="003A74FF" w:rsidRPr="00E34E1E">
        <w:t xml:space="preserve"> Latvijas</w:t>
      </w:r>
      <w:r w:rsidRPr="00E34E1E">
        <w:t xml:space="preserve"> iekšzemes kopproduktu un fiskāl</w:t>
      </w:r>
      <w:r w:rsidR="003A74FF" w:rsidRPr="00E34E1E">
        <w:t>ās plānošanas prasībām</w:t>
      </w:r>
      <w:r w:rsidRPr="00E34E1E">
        <w:t>.</w:t>
      </w:r>
    </w:p>
    <w:p w14:paraId="592FFFF6" w14:textId="0279BE65" w:rsidR="003A74FF" w:rsidRPr="00E34E1E" w:rsidRDefault="003A74FF" w:rsidP="00475B82">
      <w:pPr>
        <w:pStyle w:val="Style2"/>
      </w:pPr>
      <w:r w:rsidRPr="00E34E1E">
        <w:t xml:space="preserve">Iepriekš 2021.gada ziņojums tika izstrādāts ar mērķi piedāvāt priekšlikumus efektīvākam risinājumam, lai nodrošinātu valstij nepieciešamās drošības rezerves, izvērtējot valsts aģentūras izveidi. Kā atbilstošākais risinājums tika izvēlēts - pakāpeniski 3 gadu laikā </w:t>
      </w:r>
      <w:r w:rsidR="00D84DD9" w:rsidRPr="00E34E1E">
        <w:t xml:space="preserve">palielināt </w:t>
      </w:r>
      <w:r w:rsidRPr="00E34E1E">
        <w:t xml:space="preserve">drošības rezervju apjomu, kas glabājās Latvijas teritorijā - 2023. gadā līdz 75%, 2024. gadā līdz 85% un 2025. gadā līdz 100%, vienlaikus ieviešot aģentūras modeli 5 gadu laikā. </w:t>
      </w:r>
      <w:r w:rsidRPr="00E34E1E">
        <w:rPr>
          <w:u w:val="single"/>
        </w:rPr>
        <w:t xml:space="preserve">Tātad sasniedzamais rezultāts ir 100% drošības rezervju glabāšana Latvijas teritorijā, drošības rezerves kā Latvijas valstij piederošs īpašums un organizatoriski efektīvs ietvars drošības rezervju </w:t>
      </w:r>
      <w:r w:rsidR="001E1BAE" w:rsidRPr="00E34E1E">
        <w:rPr>
          <w:u w:val="single"/>
        </w:rPr>
        <w:t>pārvaldībai</w:t>
      </w:r>
      <w:r w:rsidRPr="00E34E1E">
        <w:rPr>
          <w:u w:val="single"/>
        </w:rPr>
        <w:t>.</w:t>
      </w:r>
    </w:p>
    <w:p w14:paraId="42B9E42C" w14:textId="52AB32F0" w:rsidR="00246A9F" w:rsidRPr="00E34E1E" w:rsidRDefault="003A74FF" w:rsidP="00475B82">
      <w:pPr>
        <w:pStyle w:val="Style2"/>
      </w:pPr>
      <w:r w:rsidRPr="00E34E1E">
        <w:t xml:space="preserve">Minētā ziņojuma sakarā tika veikti neatkarīgi pētījumi – </w:t>
      </w:r>
      <w:proofErr w:type="spellStart"/>
      <w:r w:rsidRPr="00E34E1E">
        <w:t>Deloitte</w:t>
      </w:r>
      <w:proofErr w:type="spellEnd"/>
      <w:r w:rsidRPr="00E34E1E">
        <w:t xml:space="preserve"> pētījums un </w:t>
      </w:r>
      <w:r w:rsidR="00D84DD9" w:rsidRPr="00E34E1E">
        <w:t xml:space="preserve">divi </w:t>
      </w:r>
      <w:proofErr w:type="spellStart"/>
      <w:r w:rsidRPr="00E34E1E">
        <w:t>Civitta</w:t>
      </w:r>
      <w:proofErr w:type="spellEnd"/>
      <w:r w:rsidRPr="00E34E1E">
        <w:t xml:space="preserve"> pētījum</w:t>
      </w:r>
      <w:r w:rsidR="00246A9F" w:rsidRPr="00E34E1E">
        <w:t>i</w:t>
      </w:r>
      <w:r w:rsidRPr="00E34E1E">
        <w:t xml:space="preserve">. </w:t>
      </w:r>
      <w:r w:rsidR="00246A9F" w:rsidRPr="00E34E1E">
        <w:t>Tajos</w:t>
      </w:r>
      <w:r w:rsidRPr="00E34E1E">
        <w:t xml:space="preserve"> </w:t>
      </w:r>
      <w:r w:rsidR="00246A9F" w:rsidRPr="00E34E1E">
        <w:t xml:space="preserve">t.s. </w:t>
      </w:r>
      <w:r w:rsidRPr="00E34E1E">
        <w:t xml:space="preserve">SVID (angļu val. – SWOT) analīzes rezultātā, apzinot ekonomiski dzīvotspējīgāko un izmaksu efektīvāko risinājumu Latvijai, ievērojot, darbību un izmaksu </w:t>
      </w:r>
      <w:proofErr w:type="spellStart"/>
      <w:r w:rsidRPr="00E34E1E">
        <w:t>pārredzamību</w:t>
      </w:r>
      <w:proofErr w:type="spellEnd"/>
      <w:r w:rsidRPr="00E34E1E">
        <w:t xml:space="preserve"> (caurspīdīgumu), publisko iepirkumu (turpinātu) pielietošanu, lai neradītu naftas produktu tirgus un to uzglabāšanas tirgus nepamatotu kropļojumu, non</w:t>
      </w:r>
      <w:r w:rsidR="00246A9F" w:rsidRPr="00E34E1E">
        <w:t xml:space="preserve">āca </w:t>
      </w:r>
      <w:r w:rsidRPr="00E34E1E">
        <w:t xml:space="preserve">pie secinājuma par aģentūras modeļa izveidi. </w:t>
      </w:r>
      <w:proofErr w:type="spellStart"/>
      <w:r w:rsidRPr="00E34E1E">
        <w:t>Civitta</w:t>
      </w:r>
      <w:proofErr w:type="spellEnd"/>
      <w:r w:rsidRPr="00E34E1E">
        <w:t xml:space="preserve"> abos pētījumos, analizējot vairāku scenāriju salīdzinājumu, tostarp izvērtējot ārvalstu pieredzi, </w:t>
      </w:r>
      <w:r w:rsidR="00246A9F" w:rsidRPr="00E34E1E">
        <w:t>norādīja “</w:t>
      </w:r>
      <w:r w:rsidR="00246A9F" w:rsidRPr="00E34E1E">
        <w:rPr>
          <w:i/>
          <w:iCs/>
          <w:color w:val="000000"/>
        </w:rPr>
        <w:t xml:space="preserve">Ņemot vērā scenāriju savstarpējo salīdzinājumu, ir secināms, ka </w:t>
      </w:r>
      <w:proofErr w:type="spellStart"/>
      <w:r w:rsidR="00246A9F" w:rsidRPr="00E34E1E">
        <w:rPr>
          <w:i/>
          <w:iCs/>
          <w:color w:val="000000"/>
        </w:rPr>
        <w:t>Possesor</w:t>
      </w:r>
      <w:proofErr w:type="spellEnd"/>
      <w:r w:rsidR="00246A9F" w:rsidRPr="00E34E1E">
        <w:rPr>
          <w:i/>
          <w:iCs/>
          <w:color w:val="000000"/>
        </w:rPr>
        <w:t xml:space="preserve"> spēj nodrošināt efektīvāko drošības rezervju pārvaldes procesu, ņemot vērā Possessor līdzšinējo pieredzi aktīvu pārvaldībā un iepirkumu veikšanā, atbilstošu personāla struktūru, iespēju piesaistīt finansējumu uz izdevīgākiem nosacījumiem nekā jaunā kapitālsabiedrībā un lemt par esošās darbības nesadalītās peļņas daļēju novirzīšanu drošības rezervju iegādei. Tāpat jāņem vērā fakts, ka drošības rezervju pārvaldes funkcijas, kas nenodrošina 100% personāla noslodzi, būtu kā papildu funkcija. Šādā veidā tiktu nodrošināta 100% darbinieku noslodze un administratīvās izmaksas tiktu sadalītas uz vairākām veicamajām funkcijām”.</w:t>
      </w:r>
      <w:r w:rsidR="00246A9F" w:rsidRPr="00E34E1E">
        <w:rPr>
          <w:color w:val="000000"/>
        </w:rPr>
        <w:t xml:space="preserve"> </w:t>
      </w:r>
    </w:p>
    <w:p w14:paraId="0F4238BC" w14:textId="797B3C9B" w:rsidR="00246A9F" w:rsidRPr="00E34E1E" w:rsidRDefault="00246A9F" w:rsidP="00475B82">
      <w:pPr>
        <w:pStyle w:val="Style2"/>
      </w:pPr>
      <w:r w:rsidRPr="00E34E1E">
        <w:t>Pamatojoties uz divu nesaistītu ārpakalpojumu analītiskiem secinājumiem, izvērtējot naftas produktu drošības rezervju pārvaldības modeļus, to ilgtspējīgu un līdzsvarotu valsts ekonomisko attīstību</w:t>
      </w:r>
      <w:r w:rsidR="005762FE" w:rsidRPr="00E34E1E">
        <w:t>,</w:t>
      </w:r>
      <w:r w:rsidRPr="00E34E1E">
        <w:t xml:space="preserve"> Latvijas nacionālās drošības interesēs </w:t>
      </w:r>
      <w:r w:rsidRPr="00E34E1E">
        <w:rPr>
          <w:u w:val="single"/>
        </w:rPr>
        <w:t xml:space="preserve">būtu </w:t>
      </w:r>
      <w:r w:rsidR="00BD6B7C" w:rsidRPr="00E34E1E">
        <w:rPr>
          <w:u w:val="single"/>
        </w:rPr>
        <w:t xml:space="preserve">virzāms risinājums, </w:t>
      </w:r>
      <w:r w:rsidR="00F32BBD" w:rsidRPr="00E34E1E">
        <w:rPr>
          <w:u w:val="single"/>
        </w:rPr>
        <w:t>ar kuru</w:t>
      </w:r>
      <w:r w:rsidR="00BD6B7C" w:rsidRPr="00E34E1E">
        <w:rPr>
          <w:u w:val="single"/>
        </w:rPr>
        <w:t xml:space="preserve"> naftas produktu drošības rezervju pārvaldīšanu</w:t>
      </w:r>
      <w:r w:rsidRPr="00E34E1E">
        <w:rPr>
          <w:u w:val="single"/>
        </w:rPr>
        <w:t xml:space="preserve"> uzdo</w:t>
      </w:r>
      <w:r w:rsidR="00BD6B7C" w:rsidRPr="00E34E1E">
        <w:rPr>
          <w:u w:val="single"/>
        </w:rPr>
        <w:t>d</w:t>
      </w:r>
      <w:r w:rsidRPr="00E34E1E">
        <w:rPr>
          <w:u w:val="single"/>
        </w:rPr>
        <w:t xml:space="preserve"> Possessor ar primāro </w:t>
      </w:r>
      <w:r w:rsidR="005762FE" w:rsidRPr="00E34E1E">
        <w:rPr>
          <w:u w:val="single"/>
        </w:rPr>
        <w:t xml:space="preserve">funkciju </w:t>
      </w:r>
      <w:r w:rsidRPr="00E34E1E">
        <w:rPr>
          <w:u w:val="single"/>
        </w:rPr>
        <w:t xml:space="preserve">Latvijas naftas produktu kā valsts īpašuma uzskaitei, iegādei un </w:t>
      </w:r>
      <w:r w:rsidR="005762FE" w:rsidRPr="00E34E1E">
        <w:rPr>
          <w:u w:val="single"/>
        </w:rPr>
        <w:t>apritei</w:t>
      </w:r>
      <w:r w:rsidRPr="00E34E1E">
        <w:t xml:space="preserve">. Sākot ar 2024. gadu, katru gadu iegādājoties 20% no kopējām nepieciešamajām drošības rezervēm valsts īpašumā un iegādi veicot par vidējo prognozēto naftas produktu cenu, 5 gadu laikā </w:t>
      </w:r>
      <w:r w:rsidR="00A73333" w:rsidRPr="00E34E1E">
        <w:t xml:space="preserve">pārejas finansēšanai </w:t>
      </w:r>
      <w:r w:rsidRPr="00E34E1E">
        <w:t xml:space="preserve">provizoriski nepieciešami </w:t>
      </w:r>
      <w:r w:rsidR="00A73333" w:rsidRPr="00E34E1E">
        <w:t xml:space="preserve">612,97 </w:t>
      </w:r>
      <w:r w:rsidRPr="00E34E1E">
        <w:t>milj. EUR</w:t>
      </w:r>
      <w:r w:rsidR="00A73333" w:rsidRPr="00E34E1E">
        <w:t xml:space="preserve"> ieguldījumi, iepērkot aktīvus (naftas produktus) un nodrošinot iespēju ilgtermiņā stabilizēt izmaksas sistēmas uzturēšanai.</w:t>
      </w:r>
    </w:p>
    <w:p w14:paraId="1242DC4D" w14:textId="57B28D3C" w:rsidR="00F8459C" w:rsidRPr="00E34E1E" w:rsidRDefault="00C71529" w:rsidP="004364F3">
      <w:pPr>
        <w:pStyle w:val="Style1"/>
        <w:spacing w:before="0" w:after="120" w:line="240" w:lineRule="auto"/>
        <w:jc w:val="center"/>
      </w:pPr>
      <w:bookmarkStart w:id="9" w:name="_Toc126061809"/>
      <w:r w:rsidRPr="00E34E1E">
        <w:lastRenderedPageBreak/>
        <w:t xml:space="preserve">2. </w:t>
      </w:r>
      <w:r w:rsidR="00BD6B7C" w:rsidRPr="00E34E1E">
        <w:t xml:space="preserve">Drošības rezervju pārvaldības sistēmas </w:t>
      </w:r>
      <w:r w:rsidR="00F664E9" w:rsidRPr="00E34E1E">
        <w:t>darbība</w:t>
      </w:r>
      <w:bookmarkEnd w:id="9"/>
      <w:r w:rsidRPr="00E34E1E">
        <w:t xml:space="preserve"> </w:t>
      </w:r>
    </w:p>
    <w:p w14:paraId="2A0A24E1" w14:textId="77777777" w:rsidR="00F8459C" w:rsidRPr="00E34E1E" w:rsidRDefault="00F8459C">
      <w:pPr>
        <w:pStyle w:val="Style1"/>
        <w:spacing w:before="0" w:line="240" w:lineRule="auto"/>
        <w:jc w:val="center"/>
      </w:pPr>
    </w:p>
    <w:p w14:paraId="62359A56" w14:textId="02100EA6" w:rsidR="00F8459C" w:rsidRPr="00E34E1E" w:rsidRDefault="00C71529" w:rsidP="00194EA3">
      <w:pPr>
        <w:pStyle w:val="Style3"/>
        <w:spacing w:before="0" w:after="120" w:line="240" w:lineRule="auto"/>
      </w:pPr>
      <w:bookmarkStart w:id="10" w:name="_Toc126061810"/>
      <w:r w:rsidRPr="00E34E1E">
        <w:t xml:space="preserve">2.1. </w:t>
      </w:r>
      <w:r w:rsidR="00BD6B7C" w:rsidRPr="00E34E1E">
        <w:t xml:space="preserve">Eiropas Savienības </w:t>
      </w:r>
      <w:r w:rsidR="00182668" w:rsidRPr="00E34E1E">
        <w:t xml:space="preserve">prasības </w:t>
      </w:r>
      <w:r w:rsidR="00A70050" w:rsidRPr="00E34E1E">
        <w:t>dalībvalstu drošības rezervēm</w:t>
      </w:r>
      <w:bookmarkEnd w:id="10"/>
    </w:p>
    <w:p w14:paraId="3D6EC3D6" w14:textId="77777777" w:rsidR="00F8459C" w:rsidRPr="00E34E1E" w:rsidRDefault="00F8459C">
      <w:pPr>
        <w:pStyle w:val="Style2"/>
      </w:pPr>
    </w:p>
    <w:p w14:paraId="5D5BC67A" w14:textId="438D3633" w:rsidR="00F8459C" w:rsidRPr="00E34E1E" w:rsidRDefault="00C71529" w:rsidP="00194EA3">
      <w:pPr>
        <w:pStyle w:val="Style2"/>
        <w:spacing w:after="60"/>
      </w:pPr>
      <w:r w:rsidRPr="00E34E1E">
        <w:t xml:space="preserve">Drošības rezerves </w:t>
      </w:r>
      <w:r w:rsidR="00BD6B7C" w:rsidRPr="00E34E1E">
        <w:t>ir paredzētas</w:t>
      </w:r>
      <w:r w:rsidRPr="00E34E1E">
        <w:t xml:space="preserve"> </w:t>
      </w:r>
      <w:r w:rsidR="009E2A6D" w:rsidRPr="00E34E1E">
        <w:t>gan enerģētikas, gan krīžu vadības un nacionālās drošības plānošanas</w:t>
      </w:r>
      <w:r w:rsidRPr="00E34E1E">
        <w:t xml:space="preserve"> </w:t>
      </w:r>
      <w:r w:rsidR="009E2A6D" w:rsidRPr="00E34E1E">
        <w:t xml:space="preserve">ietvaros. Tās pēc būtības ir dažādām </w:t>
      </w:r>
      <w:r w:rsidRPr="00E34E1E">
        <w:t>lietotāju grup</w:t>
      </w:r>
      <w:r w:rsidR="009E2A6D" w:rsidRPr="00E34E1E">
        <w:t>ām pieejamā</w:t>
      </w:r>
      <w:r w:rsidRPr="00E34E1E">
        <w:t xml:space="preserve"> naftas produktu apgād</w:t>
      </w:r>
      <w:r w:rsidR="009E2A6D" w:rsidRPr="00E34E1E">
        <w:t>es sistēma, kad valstī ir</w:t>
      </w:r>
      <w:r w:rsidRPr="00E34E1E">
        <w:t xml:space="preserve"> </w:t>
      </w:r>
      <w:r w:rsidR="009E2A6D" w:rsidRPr="00E34E1E">
        <w:t xml:space="preserve">būtiski ierobežotas iespējas nodrošināt ikdienišķu </w:t>
      </w:r>
      <w:r w:rsidR="00A70050" w:rsidRPr="00E34E1E">
        <w:t>naftas produktu privāttiesisko</w:t>
      </w:r>
      <w:r w:rsidR="009E2A6D" w:rsidRPr="00E34E1E">
        <w:t xml:space="preserve"> apgrozību. Plānošana un kapacitāte saistās ar to, vai ir </w:t>
      </w:r>
      <w:r w:rsidRPr="00E34E1E">
        <w:t>izsludināt</w:t>
      </w:r>
      <w:r w:rsidR="009E2A6D" w:rsidRPr="00E34E1E">
        <w:t>i īpaši tiesiskie režīmi, iestājusies</w:t>
      </w:r>
      <w:r w:rsidRPr="00E34E1E">
        <w:t xml:space="preserve"> valsts vai vietējā mēroga enerģētiskā krīze, </w:t>
      </w:r>
      <w:r w:rsidR="009E2A6D" w:rsidRPr="00E34E1E">
        <w:t xml:space="preserve">notiek </w:t>
      </w:r>
      <w:r w:rsidRPr="00E34E1E">
        <w:t>valsts apdraudējum</w:t>
      </w:r>
      <w:r w:rsidR="009E2A6D" w:rsidRPr="00E34E1E">
        <w:t>s</w:t>
      </w:r>
      <w:r w:rsidRPr="00E34E1E">
        <w:t xml:space="preserve">, kā arī </w:t>
      </w:r>
      <w:r w:rsidR="009E2A6D" w:rsidRPr="00E34E1E">
        <w:t>ar darbību koordinēšanu</w:t>
      </w:r>
      <w:r w:rsidRPr="00E34E1E">
        <w:t xml:space="preserve"> ES</w:t>
      </w:r>
      <w:r w:rsidR="00AC13B4" w:rsidRPr="00E34E1E">
        <w:t xml:space="preserve"> </w:t>
      </w:r>
      <w:r w:rsidRPr="00E34E1E">
        <w:t xml:space="preserve">un </w:t>
      </w:r>
      <w:r w:rsidR="009E2A6D" w:rsidRPr="00E34E1E">
        <w:t xml:space="preserve">citviet </w:t>
      </w:r>
      <w:r w:rsidRPr="00E34E1E">
        <w:t xml:space="preserve">pasaulē. </w:t>
      </w:r>
    </w:p>
    <w:p w14:paraId="2A65A952" w14:textId="3A9C1FEE" w:rsidR="009E2A6D" w:rsidRPr="00E34E1E" w:rsidRDefault="00E5535E" w:rsidP="00194EA3">
      <w:pPr>
        <w:pStyle w:val="Style2"/>
        <w:spacing w:after="60"/>
      </w:pPr>
      <w:r w:rsidRPr="00E34E1E">
        <w:t>Direktīvas </w:t>
      </w:r>
      <w:hyperlink r:id="rId11" w:tgtFrame="_blank" w:history="1">
        <w:r w:rsidRPr="00E34E1E">
          <w:t>2009/119/EK</w:t>
        </w:r>
      </w:hyperlink>
      <w:r w:rsidRPr="00E34E1E">
        <w:rPr>
          <w:rStyle w:val="FootnoteReference"/>
        </w:rPr>
        <w:footnoteReference w:id="3"/>
      </w:r>
      <w:r w:rsidRPr="00E34E1E">
        <w:rPr>
          <w:i/>
          <w:iCs/>
        </w:rPr>
        <w:t> </w:t>
      </w:r>
      <w:r w:rsidR="00FB6BCD" w:rsidRPr="00E34E1E">
        <w:t>3. panta pirmās daļas</w:t>
      </w:r>
      <w:r w:rsidRPr="00E34E1E">
        <w:rPr>
          <w:i/>
          <w:iCs/>
        </w:rPr>
        <w:t xml:space="preserve"> </w:t>
      </w:r>
      <w:r w:rsidRPr="00E34E1E">
        <w:t>prasības uzliek par pienākumu katrai ES dalībvalstij nodrošināt drošības rezervju apjomus, kas atbilst vismaz dienas vidējā tīrā importa daudzumiem 90 dienu laikā vai arī dienas vidējam iekšzemes patēriņam 61 dienai atkarībā no tā, kurš no abiem daudzumiem ir lielāks, kā arī nosaka rīcību obligāto rezervju izmantošanai nopietnu apgādes traucējumu gadījumā. Tā kā Latvija ir naftas produktu importētāja valsts, tad drošības rezervju apjomam tiek piemērotas 90 dienas.</w:t>
      </w:r>
    </w:p>
    <w:p w14:paraId="5E00D72D" w14:textId="6C2481D0" w:rsidR="00F8459C" w:rsidRPr="00E34E1E" w:rsidRDefault="00C71529" w:rsidP="00194EA3">
      <w:pPr>
        <w:pStyle w:val="Style2"/>
        <w:spacing w:after="60"/>
      </w:pPr>
      <w:r w:rsidRPr="00E34E1E">
        <w:t>Direktīva 2009/119/EK nosaka, ka drošības rezervju pieejamība un enerģijas piegāžu saglabāšana ir ES un dalībvalstu valsts drošības būtiskas sastāvdaļas, atzīstot, ka CKUS</w:t>
      </w:r>
      <w:r w:rsidR="00195218" w:rsidRPr="00E34E1E">
        <w:t xml:space="preserve"> </w:t>
      </w:r>
      <w:r w:rsidRPr="00E34E1E">
        <w:t>pastāvēšana ES ļauj tuvoties šo mērķu sasniegšanai. Direktīvas 2009/119/EK izpratnē CKUS ir organizācija vai dienests, kuram uzticētas pilnvaras rīkoties, lai iegādātos, uzturētu vai pārdotu naftas krājumus, tostarp drošības rezerves un īpašos krājumus.</w:t>
      </w:r>
    </w:p>
    <w:p w14:paraId="0ADBFB7E" w14:textId="29BA56E1" w:rsidR="00182668" w:rsidRPr="00E34E1E" w:rsidRDefault="00182668" w:rsidP="00194EA3">
      <w:pPr>
        <w:pStyle w:val="Style2"/>
        <w:spacing w:after="60"/>
      </w:pPr>
      <w:r w:rsidRPr="00E34E1E">
        <w:t xml:space="preserve">Saistībā ar ES tirgus situāciju </w:t>
      </w:r>
      <w:r w:rsidR="00945AEB" w:rsidRPr="00E34E1E">
        <w:t>tiek uzskatīts</w:t>
      </w:r>
      <w:r w:rsidRPr="00E34E1E">
        <w:t xml:space="preserve">, ka drošības rezervju, pareizāk, naftas produktu industrijai ir raksturīgs augsts slieksnis ienākšanai tirgū, ko veido augstas investīcijas naftas ieguves un pārstrādes infrastruktūras izbūvei, ierobežota efektīvu pārstrādes tehnoloģiju pieejamība, kas turklāt bieži ir pakļauta licencēšanai, augstas loģistikas izmaksas krājumu veidošanai no galvenajām izejvielām (jēlnafta) un produktu izplatīšanai tālākai pārstrādei vai gala lietotājiem. Līdzīgi augstas ir arī izmaksas iziešanai no tirgus. Lai arī situācija pakāpeniski uzlabojas, Baltijas valstu </w:t>
      </w:r>
      <w:proofErr w:type="spellStart"/>
      <w:r w:rsidRPr="00E34E1E">
        <w:t>starpsavienojumi</w:t>
      </w:r>
      <w:proofErr w:type="spellEnd"/>
      <w:r w:rsidRPr="00E34E1E">
        <w:t xml:space="preserve"> ar ES enerģijas tirgu joprojām ir ierobežoti, saglabājoties nozīmīgai atkarībai no trešo valstu piegādēm. </w:t>
      </w:r>
    </w:p>
    <w:p w14:paraId="48C2F679" w14:textId="0CCE127C" w:rsidR="00A70050" w:rsidRPr="00E34E1E" w:rsidRDefault="00182668" w:rsidP="00194EA3">
      <w:pPr>
        <w:pStyle w:val="Style2"/>
        <w:spacing w:after="60"/>
      </w:pPr>
      <w:r w:rsidRPr="00E34E1E">
        <w:t xml:space="preserve">Katrā no Baltijas valstīm ir izveidojušies atšķirīgi enerģijas tirgus apstākļi. Naftas drošības rezerves pārvaldības modelis ir tieši atkarīgs no konkrētās valsts naftas nozares nacionālās vērtības ķēdes. </w:t>
      </w:r>
      <w:r w:rsidR="00A70050" w:rsidRPr="00E34E1E">
        <w:t xml:space="preserve">Līdz ar to drošības rezervju pārvaldība ir arī nacionālo industriju atbalstošs pasākums, ļaujot plašāk izmantot valstī bāzētus komersantus un infrastruktūru, lai visaptverošā veidā valsts varētu pārraudzīt un kontrolēt krīzes seku novēršanu. </w:t>
      </w:r>
    </w:p>
    <w:p w14:paraId="67C3275F" w14:textId="199B3B12" w:rsidR="00A70050" w:rsidRPr="00E34E1E" w:rsidRDefault="00A70050" w:rsidP="00194EA3">
      <w:pPr>
        <w:pStyle w:val="Style2"/>
        <w:spacing w:after="60"/>
      </w:pPr>
      <w:r w:rsidRPr="00E34E1E">
        <w:t>Izmantojot vietējo infrastruktūru</w:t>
      </w:r>
      <w:r w:rsidR="006717A8" w:rsidRPr="00E34E1E">
        <w:t>,</w:t>
      </w:r>
      <w:r w:rsidRPr="00E34E1E">
        <w:t xml:space="preserve"> ir iespējams vienmērīgi izvietot krājumus pa visu valsti, veicinot krājumu drošību un uzlabojot apgādes ķēdi krīzes gadījumā. COVID-19 krīze ir apstiprinājusi valsts stratēģisko rezervju nozīmību valsts drošības un stabilitātes uzturēšanā, ievērojot pārrobežu loģistikas ceļu ievainojamību pie dažādu riska faktoru iestāšanās. Naftas produktu drošības rezervēm ir nozīmīga loma valsts ekonomiskās drošības, kā arī ilgtspējīgas un līdzsvarotas ekonomiskās attīstības nodrošināšanā. Noturīgi ieviesta un funkcionējoša naftas produktu drošības rezervju pārvaldības sistēma ļauj nodrošināt dažādas lietotāju grupas ar nepieciešamajiem resursiem krīžu laikā, kā arī valsts apdraudējuma gadījumā. Valsts un iedzīvotāju interesēs ir šādas sistēmas efektīva un ekonomiski izdevīga pārvaldība. Līdz šim naftas produktu drošības rezervju sistēma ir pieredzējusi vairākas izmaiņas, kuru mērķis ir bijis risināt esošās problēmas, kas ietekmē sistēmas efektivitāti un tās izmaksas.</w:t>
      </w:r>
    </w:p>
    <w:p w14:paraId="5724A1FE" w14:textId="4417A84E" w:rsidR="00E5535E" w:rsidRPr="00E34E1E" w:rsidRDefault="00A70050" w:rsidP="00194EA3">
      <w:pPr>
        <w:pStyle w:val="Style2"/>
        <w:spacing w:after="60"/>
      </w:pPr>
      <w:r w:rsidRPr="00E34E1E">
        <w:t xml:space="preserve">Tā kā naftas produkti ir viena no vitāli svarīgām materiāltehnisko līdzekļu grupām, no kā ir atkarīga virkne dienestu, tostarp bruņoto spēku efektivitāte, ES dalībvalstīs </w:t>
      </w:r>
      <w:r w:rsidR="00182668" w:rsidRPr="00E34E1E">
        <w:t xml:space="preserve">risinājumi ir jābalsta </w:t>
      </w:r>
      <w:r w:rsidRPr="00E34E1E">
        <w:t>konkrētās valsts</w:t>
      </w:r>
      <w:r w:rsidR="00182668" w:rsidRPr="00E34E1E">
        <w:t xml:space="preserve"> </w:t>
      </w:r>
      <w:r w:rsidRPr="00E34E1E">
        <w:t xml:space="preserve">konjunktūras un </w:t>
      </w:r>
      <w:r w:rsidR="00182668" w:rsidRPr="00E34E1E">
        <w:t xml:space="preserve">naftas </w:t>
      </w:r>
      <w:r w:rsidRPr="00E34E1E">
        <w:t xml:space="preserve">produktu </w:t>
      </w:r>
      <w:r w:rsidR="00182668" w:rsidRPr="00E34E1E">
        <w:t>nozares apstākļos.</w:t>
      </w:r>
    </w:p>
    <w:p w14:paraId="5AA09F83" w14:textId="3CAA1FFF" w:rsidR="00195218" w:rsidRPr="00E34E1E" w:rsidRDefault="00195218">
      <w:pPr>
        <w:pStyle w:val="Style2"/>
      </w:pPr>
    </w:p>
    <w:p w14:paraId="659A5BB7" w14:textId="77777777" w:rsidR="00D2742B" w:rsidRPr="00E34E1E" w:rsidRDefault="00D2742B">
      <w:pPr>
        <w:pStyle w:val="Style2"/>
      </w:pPr>
    </w:p>
    <w:p w14:paraId="3AD664E8" w14:textId="20C3698E" w:rsidR="00CB7654" w:rsidRPr="00E34E1E" w:rsidRDefault="00CB7654" w:rsidP="00CB7654">
      <w:pPr>
        <w:pStyle w:val="Style3"/>
        <w:spacing w:before="0" w:line="240" w:lineRule="auto"/>
      </w:pPr>
      <w:bookmarkStart w:id="11" w:name="_Toc126061811"/>
      <w:r w:rsidRPr="00E34E1E">
        <w:lastRenderedPageBreak/>
        <w:t>2.2. Latvijas drošības rezervju pārvaldības modelis</w:t>
      </w:r>
      <w:bookmarkEnd w:id="11"/>
    </w:p>
    <w:p w14:paraId="4DE9FD6F" w14:textId="77777777" w:rsidR="00CB7654" w:rsidRPr="005B0D17" w:rsidRDefault="00CB7654" w:rsidP="00CB7654">
      <w:pPr>
        <w:pStyle w:val="Style2"/>
        <w:rPr>
          <w:sz w:val="8"/>
          <w:szCs w:val="8"/>
        </w:rPr>
      </w:pPr>
    </w:p>
    <w:p w14:paraId="3153DC88" w14:textId="160983B8" w:rsidR="00F8459C" w:rsidRPr="00E34E1E" w:rsidRDefault="00C71529" w:rsidP="00475B82">
      <w:pPr>
        <w:pStyle w:val="Style2"/>
        <w:ind w:firstLine="706"/>
        <w:rPr>
          <w:u w:val="single"/>
        </w:rPr>
      </w:pPr>
      <w:r w:rsidRPr="00E34E1E">
        <w:t>Latvij</w:t>
      </w:r>
      <w:r w:rsidR="00CB7654" w:rsidRPr="00E34E1E">
        <w:t>as naftas produktu</w:t>
      </w:r>
      <w:r w:rsidRPr="00E34E1E">
        <w:t xml:space="preserve"> drošības rezerves tiek veidotas atbilstoši Direktīva</w:t>
      </w:r>
      <w:r w:rsidR="00CB7654" w:rsidRPr="00E34E1E">
        <w:t>s</w:t>
      </w:r>
      <w:r w:rsidRPr="00E34E1E">
        <w:t> </w:t>
      </w:r>
      <w:hyperlink r:id="rId12" w:tgtFrame="_blank" w:history="1">
        <w:r w:rsidRPr="00E34E1E">
          <w:t>2009/119/EK</w:t>
        </w:r>
      </w:hyperlink>
      <w:r w:rsidRPr="00E34E1E">
        <w:t xml:space="preserve"> prasībām, </w:t>
      </w:r>
      <w:r w:rsidR="00CB7654" w:rsidRPr="00E34E1E">
        <w:t xml:space="preserve">kas ir transponētas </w:t>
      </w:r>
      <w:hyperlink r:id="rId13" w:tgtFrame="_blank" w:history="1">
        <w:r w:rsidRPr="00E34E1E">
          <w:t>Enerģētikas likum</w:t>
        </w:r>
        <w:r w:rsidR="00CB7654" w:rsidRPr="00E34E1E">
          <w:t>ā</w:t>
        </w:r>
      </w:hyperlink>
      <w:r w:rsidRPr="00E34E1E">
        <w:t>.</w:t>
      </w:r>
      <w:r w:rsidR="00E5535E" w:rsidRPr="00E34E1E">
        <w:t xml:space="preserve"> </w:t>
      </w:r>
      <w:r w:rsidR="00D2742B" w:rsidRPr="00E34E1E">
        <w:t>Atbilstoši šī likuma</w:t>
      </w:r>
      <w:r w:rsidRPr="00E34E1E">
        <w:t xml:space="preserve"> 72.</w:t>
      </w:r>
      <w:r w:rsidRPr="00E34E1E">
        <w:rPr>
          <w:vertAlign w:val="superscript"/>
        </w:rPr>
        <w:t>1</w:t>
      </w:r>
      <w:r w:rsidRPr="00E34E1E">
        <w:t xml:space="preserve"> pant</w:t>
      </w:r>
      <w:r w:rsidR="00D2742B" w:rsidRPr="00E34E1E">
        <w:t>am</w:t>
      </w:r>
      <w:r w:rsidR="00E5535E" w:rsidRPr="00E34E1E">
        <w:t xml:space="preserve"> </w:t>
      </w:r>
      <w:r w:rsidRPr="00E34E1E">
        <w:t>kopš 2020.gada 1. janvāra CKUS funkcijas pild</w:t>
      </w:r>
      <w:r w:rsidR="00D2742B" w:rsidRPr="00E34E1E">
        <w:t xml:space="preserve">a </w:t>
      </w:r>
      <w:r w:rsidR="00E5535E" w:rsidRPr="00E34E1E">
        <w:t>BVKB</w:t>
      </w:r>
      <w:r w:rsidRPr="00E34E1E">
        <w:t xml:space="preserve">. CKUS funkcijas ietver </w:t>
      </w:r>
      <w:r w:rsidR="006717A8" w:rsidRPr="00E34E1E">
        <w:t xml:space="preserve">pienākumu </w:t>
      </w:r>
      <w:r w:rsidRPr="00E34E1E">
        <w:t>iegādāties un administrēt drošības</w:t>
      </w:r>
      <w:r w:rsidR="00C424DD" w:rsidRPr="00E34E1E">
        <w:t xml:space="preserve"> </w:t>
      </w:r>
      <w:r w:rsidRPr="00E34E1E">
        <w:t>rezervju izveides pakalpojumu noteiktā apjomā, lai enerģētiskās krīzes periodos tiktu nodrošināta apgāde ar naftas produktiem.</w:t>
      </w:r>
      <w:r w:rsidR="00CB7654" w:rsidRPr="00E34E1E">
        <w:t xml:space="preserve"> </w:t>
      </w:r>
      <w:bookmarkStart w:id="12" w:name="_Hlk69221740"/>
      <w:r w:rsidR="007E51BB">
        <w:t xml:space="preserve">Saskaņā ar </w:t>
      </w:r>
      <w:r w:rsidR="002A71D5" w:rsidRPr="00E34E1E">
        <w:t>MK</w:t>
      </w:r>
      <w:r w:rsidR="009B60D6" w:rsidRPr="00E34E1E">
        <w:t xml:space="preserve"> 2011. gada 12. aprīļa noteikumu Nr. 286 "Kārtība, kādā komersanti nodrošina un sniedz drošības rezervju pakalpojumu valsts naftas produktu drošības rezervju izveidei noteiktā apjomā" </w:t>
      </w:r>
      <w:bookmarkEnd w:id="12"/>
      <w:r w:rsidR="00195218" w:rsidRPr="00E34E1E">
        <w:t>5</w:t>
      </w:r>
      <w:r w:rsidR="009B60D6" w:rsidRPr="00E34E1E">
        <w:t>.punkt</w:t>
      </w:r>
      <w:r w:rsidR="007E51BB">
        <w:t>u</w:t>
      </w:r>
      <w:r w:rsidR="009B60D6" w:rsidRPr="00E34E1E">
        <w:t xml:space="preserve"> </w:t>
      </w:r>
      <w:r w:rsidR="00B7237A" w:rsidRPr="00E34E1E">
        <w:t>iepirkuma procedūras prasības</w:t>
      </w:r>
      <w:r w:rsidR="009B60D6" w:rsidRPr="00E34E1E">
        <w:t xml:space="preserve"> </w:t>
      </w:r>
      <w:r w:rsidR="00CB7654" w:rsidRPr="00E34E1E">
        <w:t>drošības rezervju pakalpojumu (naftas produktu uzglabāšanas pakalpojums)</w:t>
      </w:r>
      <w:r w:rsidR="00B7237A" w:rsidRPr="00E34E1E">
        <w:t xml:space="preserve"> iegādei</w:t>
      </w:r>
      <w:r w:rsidR="00187C50" w:rsidRPr="00E34E1E">
        <w:t>. Proti,</w:t>
      </w:r>
      <w:r w:rsidR="00CB032B" w:rsidRPr="00E34E1E">
        <w:t xml:space="preserve"> </w:t>
      </w:r>
      <w:r w:rsidR="009B60D6" w:rsidRPr="00E34E1E">
        <w:t>BVKB iepirkum</w:t>
      </w:r>
      <w:r w:rsidR="002A71D5" w:rsidRPr="00E34E1E">
        <w:t xml:space="preserve">ā </w:t>
      </w:r>
      <w:r w:rsidR="009B60D6" w:rsidRPr="00E34E1E">
        <w:t>izvēl</w:t>
      </w:r>
      <w:r w:rsidR="00187C50" w:rsidRPr="00E34E1E">
        <w:t>as</w:t>
      </w:r>
      <w:r w:rsidR="009B60D6" w:rsidRPr="00E34E1E">
        <w:t xml:space="preserve"> komersantus</w:t>
      </w:r>
      <w:r w:rsidR="006717A8" w:rsidRPr="00E34E1E">
        <w:t>, kuri nodrošinās</w:t>
      </w:r>
      <w:r w:rsidR="009B60D6" w:rsidRPr="00E34E1E">
        <w:t xml:space="preserve"> naftas produktu pieejamīb</w:t>
      </w:r>
      <w:r w:rsidR="002A71D5" w:rsidRPr="00E34E1E">
        <w:t>ai</w:t>
      </w:r>
      <w:r w:rsidR="009B60D6" w:rsidRPr="00E34E1E">
        <w:t xml:space="preserve"> vajadzības gadījumā</w:t>
      </w:r>
      <w:r w:rsidR="00B95F64" w:rsidRPr="00E34E1E">
        <w:t xml:space="preserve">. Latvijā uzglabājamais drošības rezervju apjoms </w:t>
      </w:r>
      <w:r w:rsidR="002A71D5" w:rsidRPr="00E34E1E">
        <w:t>no</w:t>
      </w:r>
      <w:r w:rsidR="00B95F64" w:rsidRPr="00E34E1E">
        <w:t xml:space="preserve"> 2023. gad</w:t>
      </w:r>
      <w:r w:rsidR="002A71D5" w:rsidRPr="00E34E1E">
        <w:t>a ir</w:t>
      </w:r>
      <w:r w:rsidR="00B95F64" w:rsidRPr="00E34E1E">
        <w:t xml:space="preserve"> </w:t>
      </w:r>
      <w:r w:rsidR="002A71D5" w:rsidRPr="00E34E1E">
        <w:t>vismaz</w:t>
      </w:r>
      <w:r w:rsidR="00B95F64" w:rsidRPr="00E34E1E">
        <w:t xml:space="preserve"> 75 %</w:t>
      </w:r>
      <w:r w:rsidR="002A71D5" w:rsidRPr="00E34E1E">
        <w:t>,</w:t>
      </w:r>
      <w:r w:rsidR="00B95F64" w:rsidRPr="00E34E1E">
        <w:t xml:space="preserve">  2024. gad</w:t>
      </w:r>
      <w:r w:rsidR="002A71D5" w:rsidRPr="00E34E1E">
        <w:t>ā vismaz</w:t>
      </w:r>
      <w:r w:rsidR="00B95F64" w:rsidRPr="00E34E1E">
        <w:t xml:space="preserve"> 85 % un</w:t>
      </w:r>
      <w:r w:rsidR="002A71D5" w:rsidRPr="00E34E1E">
        <w:t xml:space="preserve"> no </w:t>
      </w:r>
      <w:r w:rsidR="00B95F64" w:rsidRPr="00E34E1E">
        <w:t>2025. gad</w:t>
      </w:r>
      <w:r w:rsidR="002A71D5" w:rsidRPr="00E34E1E">
        <w:t>a</w:t>
      </w:r>
      <w:r w:rsidR="00B95F64" w:rsidRPr="00E34E1E">
        <w:t xml:space="preserve"> 100 % no kopējā drošības rezervju apjoma.</w:t>
      </w:r>
      <w:r w:rsidR="009B60D6" w:rsidRPr="00E34E1E">
        <w:rPr>
          <w:rStyle w:val="FootnoteReference"/>
        </w:rPr>
        <w:footnoteReference w:id="4"/>
      </w:r>
      <w:r w:rsidR="00CB7654" w:rsidRPr="00E34E1E">
        <w:t xml:space="preserve"> </w:t>
      </w:r>
      <w:r w:rsidR="00CB7654" w:rsidRPr="00E34E1E">
        <w:rPr>
          <w:u w:val="single"/>
        </w:rPr>
        <w:t xml:space="preserve">Tātad pašreizējais pārvaldības modelis paredz </w:t>
      </w:r>
      <w:r w:rsidR="00FD3EB1" w:rsidRPr="00E34E1E">
        <w:rPr>
          <w:u w:val="single"/>
        </w:rPr>
        <w:t xml:space="preserve">BVKB </w:t>
      </w:r>
      <w:r w:rsidR="00CB7654" w:rsidRPr="00E34E1E">
        <w:rPr>
          <w:u w:val="single"/>
        </w:rPr>
        <w:t xml:space="preserve">rezervēt iespēju pirkt </w:t>
      </w:r>
      <w:r w:rsidR="00CB032B" w:rsidRPr="00E34E1E">
        <w:rPr>
          <w:u w:val="single"/>
        </w:rPr>
        <w:t xml:space="preserve">komersantu </w:t>
      </w:r>
      <w:r w:rsidR="00B95F64" w:rsidRPr="00E34E1E">
        <w:rPr>
          <w:u w:val="single"/>
        </w:rPr>
        <w:t xml:space="preserve">vietējos </w:t>
      </w:r>
      <w:r w:rsidR="00CB7654" w:rsidRPr="00E34E1E">
        <w:rPr>
          <w:u w:val="single"/>
        </w:rPr>
        <w:t xml:space="preserve">krājumus, </w:t>
      </w:r>
      <w:r w:rsidR="00CB032B" w:rsidRPr="00E34E1E">
        <w:rPr>
          <w:u w:val="single"/>
        </w:rPr>
        <w:t>nevis</w:t>
      </w:r>
      <w:r w:rsidR="00CB7654" w:rsidRPr="00E34E1E">
        <w:rPr>
          <w:u w:val="single"/>
        </w:rPr>
        <w:t xml:space="preserve"> uzkrāt </w:t>
      </w:r>
      <w:r w:rsidR="00B7237A" w:rsidRPr="00E34E1E">
        <w:rPr>
          <w:u w:val="single"/>
        </w:rPr>
        <w:t xml:space="preserve">naftas produktus </w:t>
      </w:r>
      <w:r w:rsidR="00CB7654" w:rsidRPr="00E34E1E">
        <w:rPr>
          <w:u w:val="single"/>
        </w:rPr>
        <w:t>kā valsts īpašumu.</w:t>
      </w:r>
    </w:p>
    <w:p w14:paraId="3A323EB5" w14:textId="4563AA34" w:rsidR="00F8459C" w:rsidRPr="00E34E1E" w:rsidRDefault="002A71D5" w:rsidP="00475B82">
      <w:pPr>
        <w:pStyle w:val="Style2"/>
        <w:ind w:firstLine="706"/>
      </w:pPr>
      <w:r w:rsidRPr="00E34E1E">
        <w:t>MK</w:t>
      </w:r>
      <w:r w:rsidR="005F3374" w:rsidRPr="00E34E1E">
        <w:t xml:space="preserve"> 2011. gada 14. jūnija noteikumu Nr. 450 "Noteikumi par valsts naftas produktu rezervju apmēru, apmēru, kādā maksājama valsts nodeva par drošības rezervju uzturēšanu, kā arī tās aprēķināšanas, maksāšanas un administrēšanas kārtību” </w:t>
      </w:r>
      <w:r w:rsidR="001D1364" w:rsidRPr="00E34E1E">
        <w:t>(turpmāk - Noteikumi Nr.450)</w:t>
      </w:r>
      <w:r w:rsidR="005F3374" w:rsidRPr="00E34E1E">
        <w:t xml:space="preserve"> 5. punkts</w:t>
      </w:r>
      <w:r w:rsidR="001D1364" w:rsidRPr="00E34E1E">
        <w:t xml:space="preserve"> </w:t>
      </w:r>
      <w:r w:rsidR="00C71529" w:rsidRPr="00E34E1E">
        <w:t xml:space="preserve">nosaka </w:t>
      </w:r>
      <w:r w:rsidR="00187C50" w:rsidRPr="00E34E1E">
        <w:t xml:space="preserve">jomas komersantiem pienākumu maksāt </w:t>
      </w:r>
      <w:r w:rsidR="00C71529" w:rsidRPr="00E34E1E">
        <w:t>valsts nodev</w:t>
      </w:r>
      <w:r w:rsidR="00187C50" w:rsidRPr="00E34E1E">
        <w:t>u</w:t>
      </w:r>
      <w:r w:rsidR="005F3374" w:rsidRPr="00E34E1E">
        <w:t xml:space="preserve"> (</w:t>
      </w:r>
      <w:r w:rsidR="006717A8" w:rsidRPr="00E34E1E">
        <w:t xml:space="preserve">aktuālais nodevas apmērs </w:t>
      </w:r>
      <w:r w:rsidR="005F3374" w:rsidRPr="00E34E1E">
        <w:t>ir 45,45 EUR/t)</w:t>
      </w:r>
      <w:r w:rsidR="00187C50" w:rsidRPr="00E34E1E">
        <w:t xml:space="preserve"> </w:t>
      </w:r>
      <w:r w:rsidR="00C71529" w:rsidRPr="00E34E1E">
        <w:t>par drošības rezervju uzturēšanu (turpmāk – valsts nodeva)</w:t>
      </w:r>
      <w:r w:rsidR="005F3374" w:rsidRPr="00E34E1E">
        <w:t>. Noteikumi nosaka arī</w:t>
      </w:r>
      <w:r w:rsidR="00C71529" w:rsidRPr="00E34E1E">
        <w:t xml:space="preserve"> valsts nodevas maksāšanas kārtību un kārtību, kādā valsts nodeva tiek administrēta. Valsts nodevu maksā komersanti, kas saņēmuši speciālu atļauju (licenci) apstiprinātā akcīzes preču noliktavas turētāja darbībai, komersanti, kas saņēmuši speciālu atļauju (licenci) reģistrēta saņēmēja darbībai, komersanti, kas saņēmuši speciālu atļauju (licenci) naftas produktu vairumtirdzniecībai, komersanti, kas saņēmuši speciālu atļauju (licenci) naftas produktu mazumtirdzniecībai. Citi komersanti maksā valsts nodevu par naftas produktu apjomu, kuru tie Latvijas Republikā savam patēriņam ieved no ES dalībvalsts vai trešās valsts. </w:t>
      </w:r>
      <w:r w:rsidR="009A4C5E" w:rsidRPr="00E34E1E">
        <w:t xml:space="preserve">Vidēji tie </w:t>
      </w:r>
      <w:r w:rsidR="00C71529" w:rsidRPr="00E34E1E">
        <w:t>ir aptuveni 60</w:t>
      </w:r>
      <w:r w:rsidR="00C71529" w:rsidRPr="00E34E1E">
        <w:rPr>
          <w:color w:val="414142"/>
        </w:rPr>
        <w:t xml:space="preserve"> </w:t>
      </w:r>
      <w:r w:rsidR="00C71529" w:rsidRPr="00E34E1E">
        <w:t>komersanti, kuriem ir izsniegtas</w:t>
      </w:r>
      <w:r w:rsidR="00C71529" w:rsidRPr="00E34E1E">
        <w:rPr>
          <w:sz w:val="26"/>
          <w:szCs w:val="26"/>
        </w:rPr>
        <w:t xml:space="preserve"> </w:t>
      </w:r>
      <w:r w:rsidR="00C71529" w:rsidRPr="00E34E1E">
        <w:t xml:space="preserve">dažāda veida speciālās atļaujas (licences) darbībām ar akcīzes precēm (naftas produktiem). </w:t>
      </w:r>
      <w:r w:rsidR="00FD3EB1" w:rsidRPr="00E34E1E">
        <w:t>Valsts nodevas likmes apjomu saistībā ar drošības rezervju pārvaldības izmaksām ietekmē komersantu piedāvātā cena par uzglabāšanas pakalpojumu nodrošināšanu iepirkuma ietvaros un drošības rezervju apjoms. Nodevas likmes apjomu var ietekmēt arī citi izdevumi – saistības, atalgojuma izmaksas</w:t>
      </w:r>
      <w:r w:rsidR="00D2742B" w:rsidRPr="00E34E1E">
        <w:t xml:space="preserve"> </w:t>
      </w:r>
      <w:r w:rsidR="00FD3EB1" w:rsidRPr="00E34E1E">
        <w:t xml:space="preserve">un citas sistēmas administrēšanas izmaksas. </w:t>
      </w:r>
    </w:p>
    <w:p w14:paraId="6F87C20A" w14:textId="26F4F077" w:rsidR="00F8459C" w:rsidRPr="00E34E1E" w:rsidRDefault="002A71D5" w:rsidP="00475B82">
      <w:pPr>
        <w:pStyle w:val="Style2"/>
        <w:ind w:firstLine="706"/>
      </w:pPr>
      <w:r w:rsidRPr="00E34E1E">
        <w:t>MK</w:t>
      </w:r>
      <w:r w:rsidR="00FD3EB1" w:rsidRPr="00E34E1E">
        <w:t xml:space="preserve"> 2011. gada 19. aprīļa noteikumi Nr. 312 "Enerģijas lietotāju apgādes un kurināmā pārdošanas kārtība izsludinātas enerģētiskās krīzes laikā un valsts apdraudējuma gadījumā"</w:t>
      </w:r>
      <w:r w:rsidR="00605CB7" w:rsidRPr="00E34E1E">
        <w:rPr>
          <w:rStyle w:val="FootnoteReference"/>
        </w:rPr>
        <w:footnoteReference w:id="5"/>
      </w:r>
      <w:r w:rsidR="00FD3EB1" w:rsidRPr="00E34E1E">
        <w:t xml:space="preserve"> 2. punkts</w:t>
      </w:r>
      <w:r w:rsidR="00C71529" w:rsidRPr="00E34E1E">
        <w:t xml:space="preserve"> nosaka kārtību, kādā tiek</w:t>
      </w:r>
      <w:r w:rsidR="00FD3EB1" w:rsidRPr="00E34E1E">
        <w:t xml:space="preserve"> izsludinātas enerģētiskās krīzes un </w:t>
      </w:r>
      <w:r w:rsidR="00C71529" w:rsidRPr="00E34E1E">
        <w:t>izmantotas drošības rezerve</w:t>
      </w:r>
      <w:r w:rsidR="00FD3EB1" w:rsidRPr="00E34E1E">
        <w:t xml:space="preserve">s, paredzot, ka </w:t>
      </w:r>
      <w:r w:rsidR="00C71529" w:rsidRPr="00E34E1E">
        <w:t xml:space="preserve">Valsts enerģētiskās krīzes centra (turpmāk - Centrs) </w:t>
      </w:r>
      <w:r w:rsidR="00FD3EB1" w:rsidRPr="00E34E1E">
        <w:t>kompetencē ir</w:t>
      </w:r>
      <w:r w:rsidR="00C71529" w:rsidRPr="00E34E1E">
        <w:t xml:space="preserve"> vadīt</w:t>
      </w:r>
      <w:r w:rsidR="00FD3EB1" w:rsidRPr="00E34E1E">
        <w:t xml:space="preserve"> </w:t>
      </w:r>
      <w:r w:rsidR="00C71529" w:rsidRPr="00E34E1E">
        <w:t>krīzes novēršanas un seku likvidēšanas pasākumus</w:t>
      </w:r>
      <w:r w:rsidRPr="00E34E1E">
        <w:t>. Krīzē</w:t>
      </w:r>
      <w:r w:rsidR="00B95F64" w:rsidRPr="00E34E1E">
        <w:t xml:space="preserve"> </w:t>
      </w:r>
      <w:r w:rsidRPr="00E34E1E">
        <w:t xml:space="preserve">atbilstoši Centra norādījumiem </w:t>
      </w:r>
      <w:r w:rsidR="00B95F64" w:rsidRPr="00E34E1E">
        <w:t>naftas produktu</w:t>
      </w:r>
      <w:r w:rsidRPr="00E34E1E">
        <w:t xml:space="preserve">s </w:t>
      </w:r>
      <w:r w:rsidR="009F32CD">
        <w:t xml:space="preserve">pakalpojuma sniedzējiem </w:t>
      </w:r>
      <w:r w:rsidR="00B95F64" w:rsidRPr="00E34E1E">
        <w:t>jāspēj piegādāt, ieskaitot no ārvalstīm.</w:t>
      </w:r>
    </w:p>
    <w:p w14:paraId="1E4FAE78" w14:textId="1B8562E9" w:rsidR="00FD3EB1" w:rsidRPr="00E34E1E" w:rsidRDefault="00FD3EB1" w:rsidP="00475B82">
      <w:pPr>
        <w:pStyle w:val="Style2"/>
        <w:ind w:firstLine="706"/>
      </w:pPr>
      <w:r w:rsidRPr="00E34E1E">
        <w:t xml:space="preserve">Drošības rezervju uzturēšana, izmantojot iepirkumu, no valsts budžeta viedokļa īstermiņā ir rentabla, bet no sistēmas pārvaldības viedokļa tā nav uzskatāma par efektīvu, jo paredz lielu atbildības sadali privātajam sektoram, kam krīzes pārvarēšanas gadījumos var būt arī atšķirīgas prioritātes, salīdzinot ar publisko pārvaldi. Komersanti atspoguļo visus finanšu riskus un kapitāla izmaksas galīgajā uzglabāšanas cenā, tādējādi radot augstākas pakalpojuma cenas. Tas nozīmē, ka risks tiek apmaksāts vienmēr, pat ja konkrētais risks līguma darbības laikā neiestājas, piemēram, degvielas cenu izmaiņas līguma izpildes laikā. Papildus </w:t>
      </w:r>
      <w:r w:rsidR="006717A8" w:rsidRPr="00E34E1E">
        <w:t xml:space="preserve">uzglabāšanas  </w:t>
      </w:r>
      <w:r w:rsidRPr="00E34E1E">
        <w:t>izmaksām valsts vai vietējā līmeņa naftas produktu krīzes gadījumā krājumi no komersantiem jāpērk par aktuālajām cenām saskaņā ar spēkā esošajiem līgumiem.</w:t>
      </w:r>
    </w:p>
    <w:p w14:paraId="0D4D9927" w14:textId="72EF626E" w:rsidR="00945AEB" w:rsidRPr="00E34E1E" w:rsidRDefault="00945AEB" w:rsidP="004364F3">
      <w:pPr>
        <w:pStyle w:val="Style1"/>
        <w:spacing w:before="0" w:after="120" w:line="240" w:lineRule="auto"/>
        <w:jc w:val="center"/>
      </w:pPr>
      <w:bookmarkStart w:id="13" w:name="_Toc126061812"/>
      <w:r w:rsidRPr="00E34E1E">
        <w:lastRenderedPageBreak/>
        <w:t xml:space="preserve">3. Pētījumu rezultāti par drošības rezervju pārvaldības </w:t>
      </w:r>
      <w:r w:rsidR="00F664E9" w:rsidRPr="00E34E1E">
        <w:t>risinājumiem</w:t>
      </w:r>
      <w:bookmarkEnd w:id="13"/>
    </w:p>
    <w:p w14:paraId="74F935D8" w14:textId="77777777" w:rsidR="00945AEB" w:rsidRPr="00E34E1E" w:rsidRDefault="00945AEB" w:rsidP="00945AEB">
      <w:pPr>
        <w:pStyle w:val="Style1"/>
        <w:spacing w:before="0" w:line="240" w:lineRule="auto"/>
        <w:jc w:val="center"/>
      </w:pPr>
    </w:p>
    <w:p w14:paraId="1793A704" w14:textId="1CC51185" w:rsidR="00945AEB" w:rsidRPr="00E34E1E" w:rsidRDefault="00945AEB" w:rsidP="009F32CD">
      <w:pPr>
        <w:pStyle w:val="Style3"/>
        <w:spacing w:before="0" w:after="240" w:line="240" w:lineRule="auto"/>
      </w:pPr>
      <w:bookmarkStart w:id="14" w:name="_Toc126061813"/>
      <w:r w:rsidRPr="00E34E1E">
        <w:t xml:space="preserve">3.1. </w:t>
      </w:r>
      <w:proofErr w:type="spellStart"/>
      <w:r w:rsidRPr="00E34E1E">
        <w:t>Deloitte</w:t>
      </w:r>
      <w:proofErr w:type="spellEnd"/>
      <w:r w:rsidRPr="00E34E1E">
        <w:t xml:space="preserve"> pētījums</w:t>
      </w:r>
      <w:bookmarkEnd w:id="14"/>
    </w:p>
    <w:p w14:paraId="167B0E8F" w14:textId="77777777" w:rsidR="00945AEB" w:rsidRPr="00E34E1E" w:rsidRDefault="00945AEB" w:rsidP="00945AEB">
      <w:pPr>
        <w:pStyle w:val="Style2"/>
      </w:pPr>
    </w:p>
    <w:p w14:paraId="57042455" w14:textId="2214B1A5" w:rsidR="00087930" w:rsidRPr="00E34E1E" w:rsidRDefault="00087930" w:rsidP="009F32CD">
      <w:pPr>
        <w:pStyle w:val="Style2"/>
        <w:spacing w:after="60"/>
      </w:pPr>
      <w:r w:rsidRPr="00E34E1E">
        <w:t xml:space="preserve">ES dalībvalstis ir atbildīgas par savu drošības rezervju modeļu izstrādi. Tomēr pēc galvenajiem nosacījumiem var izdalīt trīs atšķirīgus drošības rezervju pārvaldīšanas un uzturēšanas modeļus: </w:t>
      </w:r>
    </w:p>
    <w:p w14:paraId="63F9E8D8" w14:textId="67304C33" w:rsidR="00087930" w:rsidRPr="00E34E1E" w:rsidRDefault="00087930" w:rsidP="009F32CD">
      <w:pPr>
        <w:pStyle w:val="Style2"/>
        <w:spacing w:after="60"/>
      </w:pPr>
      <w:r w:rsidRPr="00E34E1E">
        <w:t>1) Valsts modelis – paredz, ka drošības rezerves pieder valstij, un t</w:t>
      </w:r>
      <w:r w:rsidR="005C7D6A" w:rsidRPr="00E34E1E">
        <w:t>ā</w:t>
      </w:r>
      <w:r w:rsidRPr="00E34E1E">
        <w:t xml:space="preserve">s pārvalda un finansē no valsts budžeta. </w:t>
      </w:r>
    </w:p>
    <w:p w14:paraId="6F0CA364" w14:textId="404F11F6" w:rsidR="00087930" w:rsidRPr="00E34E1E" w:rsidRDefault="00087930" w:rsidP="009F32CD">
      <w:pPr>
        <w:pStyle w:val="Style2"/>
        <w:spacing w:after="60"/>
      </w:pPr>
      <w:r w:rsidRPr="00E34E1E">
        <w:t xml:space="preserve">2) Aģentūras modelis – paredz, ka ir noslēgta vienošanās, saskaņā ar kuru neatkarīga aģentūra bezpeļņas orientētas organizatoriskas vienības veidā, pārvalda drošības rezervju krājumus un ir šo krājumu īpašniece. </w:t>
      </w:r>
    </w:p>
    <w:p w14:paraId="10D6C7F1" w14:textId="42E82C46" w:rsidR="00087930" w:rsidRPr="00E34E1E" w:rsidRDefault="00087930" w:rsidP="009F32CD">
      <w:pPr>
        <w:pStyle w:val="Style2"/>
        <w:spacing w:after="60"/>
      </w:pPr>
      <w:r w:rsidRPr="00E34E1E">
        <w:t xml:space="preserve">3) Industrijas modelis - paredz, ka ir vienošanās, ar kuru atbildība par drošības rezervju krājumu izveidošanu un aizsardzību, kā arī finansiālais slogs tiek pilnībā nodots naftas produktu nozarei. </w:t>
      </w:r>
    </w:p>
    <w:p w14:paraId="7036B364" w14:textId="77777777" w:rsidR="00C1543B" w:rsidRPr="00E34E1E" w:rsidRDefault="00C1543B">
      <w:pPr>
        <w:pStyle w:val="Style2"/>
        <w:rPr>
          <w:u w:val="single"/>
        </w:rPr>
      </w:pPr>
    </w:p>
    <w:p w14:paraId="6E93C196" w14:textId="20DA4285" w:rsidR="00C1543B" w:rsidRPr="009F32CD" w:rsidRDefault="00C1543B" w:rsidP="004364F3">
      <w:pPr>
        <w:pStyle w:val="Style2"/>
        <w:spacing w:after="240"/>
        <w:rPr>
          <w:b/>
          <w:bCs/>
          <w:i/>
          <w:iCs/>
        </w:rPr>
      </w:pPr>
      <w:r w:rsidRPr="009F32CD">
        <w:rPr>
          <w:b/>
          <w:bCs/>
          <w:i/>
          <w:iCs/>
          <w:u w:val="single"/>
        </w:rPr>
        <w:t>Valsts modeļa piemērs Čehija</w:t>
      </w:r>
      <w:r w:rsidR="00743899" w:rsidRPr="009F32CD">
        <w:rPr>
          <w:b/>
          <w:bCs/>
          <w:i/>
          <w:iCs/>
        </w:rPr>
        <w:t xml:space="preserve"> </w:t>
      </w:r>
    </w:p>
    <w:p w14:paraId="5464CBF9" w14:textId="0E264E3A" w:rsidR="00743899" w:rsidRPr="00E34E1E" w:rsidRDefault="0040791C" w:rsidP="009F32CD">
      <w:pPr>
        <w:pStyle w:val="Style2"/>
        <w:spacing w:after="60"/>
      </w:pPr>
      <w:r w:rsidRPr="00E34E1E">
        <w:t xml:space="preserve">Čehijas naftas, naftas pārstrādes un naftas ķīmijas industrijai piemīt būtiskas īpatnības, kas izriet no īpašuma tiesībām. Proti, valstij pieder naftas uzglabāšanas un pārvades sistēma, galaproduktu noliktavu sistēma un naftas produktu cauruļvadu tīkli starp tiem, naftas vairumtirdzniecība un viens no lielākajiem degvielas </w:t>
      </w:r>
      <w:proofErr w:type="spellStart"/>
      <w:r w:rsidRPr="00E34E1E">
        <w:t>uzpildes</w:t>
      </w:r>
      <w:proofErr w:type="spellEnd"/>
      <w:r w:rsidRPr="00E34E1E">
        <w:t xml:space="preserve"> staciju tīkliem (</w:t>
      </w:r>
      <w:proofErr w:type="spellStart"/>
      <w:r w:rsidRPr="00E34E1E">
        <w:t>EuroOil</w:t>
      </w:r>
      <w:proofErr w:type="spellEnd"/>
      <w:r w:rsidRPr="00E34E1E">
        <w:t xml:space="preserve">). Savukārt naftas pārstrādes uzņēmumi, ar tiem saistītā naftas ķīmijas rūpniecība un lielākā daļa no aptuveni 7’000 degvielas </w:t>
      </w:r>
      <w:proofErr w:type="spellStart"/>
      <w:r w:rsidRPr="00E34E1E">
        <w:t>uzpildes</w:t>
      </w:r>
      <w:proofErr w:type="spellEnd"/>
      <w:r w:rsidRPr="00E34E1E">
        <w:t xml:space="preserve"> staciju tīkla pieder privātajam sektoram. 2004. – 2005.gadā Čehija pilnībā privatizēja naftas pārstrādes uzņēmumus, ko tagad pārvalda PKN Orlen. Cita būtiska īpatnība ir tā, ka naftas produktu cauruļvadu sistēma ir tieši savienota ar </w:t>
      </w:r>
      <w:proofErr w:type="spellStart"/>
      <w:r w:rsidRPr="00E34E1E">
        <w:t>Slovnaft</w:t>
      </w:r>
      <w:proofErr w:type="spellEnd"/>
      <w:r w:rsidRPr="00E34E1E">
        <w:t xml:space="preserve"> naftas pārstrādes rūpnīcu Bratislavā (Slovākija). Gandrīz trešā daļa no naftas preču apjoma, ko pārvada šī valstij piederošā sistēma, nonāk Čehijas tirgū.</w:t>
      </w:r>
    </w:p>
    <w:p w14:paraId="7175DFC5" w14:textId="7CA63C60" w:rsidR="0040791C" w:rsidRPr="00E34E1E" w:rsidRDefault="00B54CFC" w:rsidP="009F32CD">
      <w:pPr>
        <w:pStyle w:val="Style2"/>
        <w:spacing w:after="60"/>
      </w:pPr>
      <w:r w:rsidRPr="00E34E1E">
        <w:t xml:space="preserve">Valsts Materiālo rezervju administrācija (turpmāk - VMRA) ir valstij piederošs uzņēmums, kas naftas un naftas pārstrādes nozarē pilda starpnieka lomu. Tā ir centrālā valsts pārvaldes institūcija ekonomisku līdzekļu noteikšanai ārkārtas situācijās, kā arī noteiktu patēriņa preču veidu, tostarp jēlnaftas un naftas produktu, valsts materiālo rezervju izveidošanai un administrēšanai. Jēlnaftas un naftas produktu drošības rezerve veido vairāk kā pusi no visām valsts materiālajām rezervēm. Pašlaik naftas drošības rezerves iegāde un valsts materiālo rezervju aizsardzība pilnībā tiek finansēta no valsts budžeta. Jēlnaftas un naftas produktu drošības rezerves vērtība ir aptuveni 1,5 miljardi EUR. Ikgadējās izmaksas to aizsardzībai un atjaunināšanai (ierobežots uzglabāšanas termiņš) sasniedz aptuveni 60 miljonus EUR. Nozīmīga loma šīs rezerves uzglabāšanā ir valstij piederošajiem uzņēmumiem MERO ČR, </w:t>
      </w:r>
      <w:proofErr w:type="spellStart"/>
      <w:r w:rsidRPr="00E34E1E">
        <w:t>a.s</w:t>
      </w:r>
      <w:proofErr w:type="spellEnd"/>
      <w:r w:rsidRPr="00E34E1E">
        <w:t xml:space="preserve">. un </w:t>
      </w:r>
      <w:proofErr w:type="spellStart"/>
      <w:r w:rsidRPr="00E34E1E">
        <w:t>Čepro</w:t>
      </w:r>
      <w:proofErr w:type="spellEnd"/>
      <w:r w:rsidRPr="00E34E1E">
        <w:t xml:space="preserve">, </w:t>
      </w:r>
      <w:proofErr w:type="spellStart"/>
      <w:r w:rsidRPr="00E34E1E">
        <w:t>a.s</w:t>
      </w:r>
      <w:proofErr w:type="spellEnd"/>
      <w:r w:rsidRPr="00E34E1E">
        <w:t xml:space="preserve">. MERO uzglabā jēlnaftu, bet </w:t>
      </w:r>
      <w:proofErr w:type="spellStart"/>
      <w:r w:rsidRPr="00E34E1E">
        <w:t>Čepro</w:t>
      </w:r>
      <w:proofErr w:type="spellEnd"/>
      <w:r w:rsidRPr="00E34E1E">
        <w:t xml:space="preserve"> - gala produktus.</w:t>
      </w:r>
    </w:p>
    <w:p w14:paraId="10672F28" w14:textId="56D78531" w:rsidR="0080472B" w:rsidRPr="00E34E1E" w:rsidRDefault="0080472B" w:rsidP="009F32CD">
      <w:pPr>
        <w:pStyle w:val="Style2"/>
        <w:spacing w:after="60"/>
      </w:pPr>
      <w:r w:rsidRPr="00E34E1E">
        <w:t>Naftas Krīzes Likums nosaka naftas drošības rezerves jomas pamatjēdzienus, metodi naftas produktu drošības rezervju izveidošanai, uzturēšanai un uzglabāšanai, kā arī risina drošības rezervju uzglabātāju jautājumu. Līdztekus tas regulē jautājumus, kas saistīti ar naftas apgādes krīzi, nosaka līdzekļus naftas produktu patēriņa mazināšanai un naftas drošības rezerves izlietošanas kārtību. Naftas Krīzes Likum</w:t>
      </w:r>
      <w:r w:rsidR="00D2742B" w:rsidRPr="00E34E1E">
        <w:t>ā</w:t>
      </w:r>
      <w:r w:rsidRPr="00E34E1E">
        <w:t xml:space="preserve"> nosaka VMRA kompetenci. Tostarp VMRA ir jāveido un jāuztur naftas un noteiktu veidu naftas produktu drošības rezerves, lai segtu vismaz 90 dienas no vidējā dienas neto importa. </w:t>
      </w:r>
      <w:r w:rsidR="00D2742B" w:rsidRPr="00E34E1E">
        <w:t>Tāpat šīs l</w:t>
      </w:r>
      <w:r w:rsidRPr="00E34E1E">
        <w:t xml:space="preserve">ikums nosaka, ka naftas apgādes krīzi var izsludināt tikai valdība, balstoties uz VMRA vadītāja priekšlikumu. </w:t>
      </w:r>
      <w:r w:rsidR="00D2742B" w:rsidRPr="00E34E1E">
        <w:t xml:space="preserve">Turklāt likums </w:t>
      </w:r>
      <w:r w:rsidR="00C1543B" w:rsidRPr="00E34E1E">
        <w:t xml:space="preserve">arī nosaka VMRA pienākumus pret Starptautisko Enerģētikas Aģentūru (turpmāk - SEA) un ES, piemēram, pienākumu sniegt statistikas pārskatus par valsts materiālajiem krājumiem, nekavējoties ziņot par jebkuru drošības rezervju samazinājumu zem obligātā minimuma un pieņemtajiem mēriem drošības rezervju apmēra atjaunošanai, kā arī pienākumu pārstāvēt Čehiju kompetentajās ES iestādēs, SEA un citās starptautiskās institūcijās. </w:t>
      </w:r>
      <w:r w:rsidRPr="00E34E1E">
        <w:t xml:space="preserve">Turklāt </w:t>
      </w:r>
      <w:r w:rsidRPr="00E34E1E">
        <w:lastRenderedPageBreak/>
        <w:t>tikai ar valdības piekrišanu naftas un naftas produktu drošības rezerves var tikt pārdotas, aizdotas vai kā citādi nodotas tiesības uz to pārvaldību vai lietošanu.</w:t>
      </w:r>
    </w:p>
    <w:p w14:paraId="416711C1" w14:textId="2EBD4DB6" w:rsidR="00C156D2" w:rsidRPr="00E34E1E" w:rsidRDefault="00C156D2">
      <w:pPr>
        <w:pStyle w:val="Style2"/>
      </w:pPr>
      <w:r w:rsidRPr="00E34E1E">
        <w:t xml:space="preserve">Čehijā ir bijuši divi neveiksmīgi mēģinājumi vismaz daļējai pārējai uz aģentūras modeli. Neviens no tiem neguva politisku atbalstu vēl pirms to apspriešanas uzsākšanas valdībā. Pirmais mēģinājums bija 2009.-2010.gadā. Tika izstrādāts Valsts naftas un naftas produktu drošības rezervju fonda likumprojekts. Tika iecerēts izveidot atsevišķu fondu, kas pakāpeniski palielinātu naftas drošības rezervi no 90 uz 120 dienām, izmantojot nozares maksātu nodevu. Tomēr priekšlikums tika atsauks vēl pirms tā apspriešanas valdībā. Tāds pats liktenis piemeklēja arī otru mēģinājumu. Tika izstrādāti grozījumi Naftas Krīzes Likumā, paredzot iedalīt drošības rezerves obligātajos krājumos (līdz 90 dienām no vidējā dienas importa) un stratēģiskos krājumos (pakāpenisks pieaugums obligātajos krājumos par papildus 30 dienām). Šo krājumu iegādi finansētu industrija, maksājot nodevu EUR 0,006 par vietējā tirgū ievestas degvielas litru. Tomēr projekts nebija dzīvotspējīgs. Būtiskus iebildumus cēla arodbiedrības. Politiskus šķēršļus radīja tobrīd īpaši augstās degvielas tirgus cenas, ko izraisīja milzīgs naftas cenu kāpums pasaules tirgos. </w:t>
      </w:r>
      <w:r w:rsidR="00D2742B" w:rsidRPr="00E34E1E">
        <w:t>Attiecīgi minētais regulējums tika izņemts</w:t>
      </w:r>
      <w:r w:rsidRPr="00E34E1E">
        <w:t xml:space="preserve"> no likumprojekta vēl pirms tā apspriešanas valdībā.</w:t>
      </w:r>
    </w:p>
    <w:p w14:paraId="3AC3D90E" w14:textId="77777777" w:rsidR="00743899" w:rsidRPr="00E34E1E" w:rsidRDefault="00743899">
      <w:pPr>
        <w:pStyle w:val="Style2"/>
      </w:pPr>
    </w:p>
    <w:p w14:paraId="3F2F5D85" w14:textId="5A48392D" w:rsidR="00C1543B" w:rsidRPr="009F32CD" w:rsidRDefault="00C1543B" w:rsidP="004364F3">
      <w:pPr>
        <w:pStyle w:val="Style2"/>
        <w:spacing w:after="240"/>
        <w:rPr>
          <w:b/>
          <w:bCs/>
          <w:i/>
          <w:iCs/>
          <w:u w:val="single"/>
        </w:rPr>
      </w:pPr>
      <w:r w:rsidRPr="009F32CD">
        <w:rPr>
          <w:b/>
          <w:bCs/>
          <w:i/>
          <w:iCs/>
          <w:u w:val="single"/>
        </w:rPr>
        <w:t>Aģentūras modeļa piemērs Igaunija</w:t>
      </w:r>
    </w:p>
    <w:p w14:paraId="65884773" w14:textId="547D44D0" w:rsidR="00C500AA" w:rsidRPr="00E34E1E" w:rsidRDefault="00C500AA" w:rsidP="009F32CD">
      <w:pPr>
        <w:pStyle w:val="Style2"/>
        <w:spacing w:after="60"/>
      </w:pPr>
      <w:r w:rsidRPr="00E34E1E">
        <w:t xml:space="preserve">INKA ir Igaunijas stratēģiskas nozīmes uzņēmums. INKA uzdevums ir izveidot, uzturēt un atjaunināt valsts šķidrās degvielas drošības rezerves. 2005.gada 15.aprīlī Igaunijas valdība nodibināja INKA saskaņā ar Šķidrās degvielas krājumu likumu. Visas uzņēmuma daļas pieder valstij. Ekonomisko lietu un komunikāciju ministrija īsteno dalībnieka tiesības. Dalībnieku sapulcē piedalās ekonomisko lietu un komunikāciju ministrs. </w:t>
      </w:r>
    </w:p>
    <w:p w14:paraId="3ACB915D" w14:textId="77777777" w:rsidR="00C500AA" w:rsidRPr="00E34E1E" w:rsidRDefault="00C500AA" w:rsidP="009F32CD">
      <w:pPr>
        <w:pStyle w:val="Style2"/>
        <w:spacing w:after="60"/>
      </w:pPr>
      <w:r w:rsidRPr="00E34E1E">
        <w:t xml:space="preserve">INKA ir noteikti šādi galvenie uzdevumi: </w:t>
      </w:r>
    </w:p>
    <w:p w14:paraId="0E4D442F" w14:textId="77777777" w:rsidR="00C500AA" w:rsidRPr="00E34E1E" w:rsidRDefault="00C500AA" w:rsidP="009F32CD">
      <w:pPr>
        <w:pStyle w:val="Style2"/>
        <w:spacing w:after="60"/>
      </w:pPr>
      <w:r w:rsidRPr="00E34E1E">
        <w:t xml:space="preserve">• izveidot un uzturēt Igaunijas šķidrās degvielas drošības rezerves, papildināt tās saskaņā ar Šķidrās degvielas krājumu likumu, </w:t>
      </w:r>
    </w:p>
    <w:p w14:paraId="60D0A35C" w14:textId="77777777" w:rsidR="00C500AA" w:rsidRPr="00E34E1E" w:rsidRDefault="00C500AA" w:rsidP="009F32CD">
      <w:pPr>
        <w:pStyle w:val="Style2"/>
        <w:spacing w:after="60"/>
      </w:pPr>
      <w:r w:rsidRPr="00E34E1E">
        <w:t xml:space="preserve">• organizēt šķidro degvielu drošības rezerves iepirkšanu, pārdošanu un uzglabāšanu, </w:t>
      </w:r>
    </w:p>
    <w:p w14:paraId="132DF638" w14:textId="77777777" w:rsidR="00C500AA" w:rsidRPr="00E34E1E" w:rsidRDefault="00C500AA" w:rsidP="009F32CD">
      <w:pPr>
        <w:pStyle w:val="Style2"/>
        <w:spacing w:after="60"/>
      </w:pPr>
      <w:r w:rsidRPr="00E34E1E">
        <w:t xml:space="preserve">• organizēt šķidro degvielu drošības rezerves piegādi valstij un situācijas analīzi šķidro degvielu apgādes krīzes apstākļos, </w:t>
      </w:r>
    </w:p>
    <w:p w14:paraId="1C3B7C38" w14:textId="77777777" w:rsidR="00C500AA" w:rsidRPr="00E34E1E" w:rsidRDefault="00C500AA" w:rsidP="009F32CD">
      <w:pPr>
        <w:pStyle w:val="Style2"/>
        <w:spacing w:after="60"/>
      </w:pPr>
      <w:r w:rsidRPr="00E34E1E">
        <w:t xml:space="preserve">• organizēt šķidro degvielu krājumus šķidro degvielu apgādes krīzes laikā, </w:t>
      </w:r>
    </w:p>
    <w:p w14:paraId="2330E021" w14:textId="77777777" w:rsidR="005C7D6A" w:rsidRPr="00E34E1E" w:rsidRDefault="00C500AA" w:rsidP="009F32CD">
      <w:pPr>
        <w:pStyle w:val="Style2"/>
        <w:spacing w:after="60"/>
      </w:pPr>
      <w:r w:rsidRPr="00E34E1E">
        <w:t xml:space="preserve">• sadarboties ar degvielas tirgus dalībniekiem un organizācijām, kas veido citu valstu drošības rezerves. </w:t>
      </w:r>
    </w:p>
    <w:p w14:paraId="33F96C8B" w14:textId="31080FE6" w:rsidR="00C1543B" w:rsidRPr="00E34E1E" w:rsidRDefault="00C500AA" w:rsidP="009F32CD">
      <w:pPr>
        <w:pStyle w:val="Style2"/>
        <w:spacing w:after="60"/>
      </w:pPr>
      <w:r w:rsidRPr="00E34E1E">
        <w:t>INKA saimnieciskā darbība ir balstīta uz efektivitātes un peļņas principiem, ko tai ir noteicis īpašnieks. Šķidro degvielu krājumu likums nosaka INKA pārvaldības principus, ienākumu pamatu un izdevumu plānošanu, kā arī ierobežojumus peļņas sadalei, kas tiek nopelnīta no drošības rezervju nodevas. Saskaņā ar valdības “Daļu pārvaldības ziņojumu”, Ekonomisko lietu un komunikāciju ministrija ir noteikusi, ka no INKA netiek sagaidīta dividenžu izmaksa.</w:t>
      </w:r>
    </w:p>
    <w:p w14:paraId="1A067E5C" w14:textId="77777777" w:rsidR="00EB7D2A" w:rsidRPr="00E34E1E" w:rsidRDefault="00FA7872" w:rsidP="009F32CD">
      <w:pPr>
        <w:pStyle w:val="Style2"/>
        <w:spacing w:after="60"/>
      </w:pPr>
      <w:r w:rsidRPr="00E34E1E">
        <w:t xml:space="preserve">Atšķirībā no Čehijas, Igaunija drošības rezervēs neuzglabā jēlnaftu. Naftas drošības rezerves veido benzīns, dīzeļdegviela, aviācijas degviela, smagā degvieleļļa. </w:t>
      </w:r>
      <w:r w:rsidR="00EB7D2A" w:rsidRPr="00E34E1E">
        <w:t xml:space="preserve"> INKA ir pienākums uzturēt drošības rezervi gadā tādā līmenī, kas atbilst 90 dienu vidējam dienas neto importam gadā, sekot, ka drošības rezerves atbilst 90 dienu vidējai neto importa vērtībai arī tajā gadījumā, ja ir vērojams samazinājums uz vietas saražoto </w:t>
      </w:r>
      <w:proofErr w:type="spellStart"/>
      <w:r w:rsidR="00EB7D2A" w:rsidRPr="00E34E1E">
        <w:t>energoproduktu</w:t>
      </w:r>
      <w:proofErr w:type="spellEnd"/>
      <w:r w:rsidR="00EB7D2A" w:rsidRPr="00E34E1E">
        <w:t xml:space="preserve"> eksportā. </w:t>
      </w:r>
    </w:p>
    <w:p w14:paraId="7CD00184" w14:textId="1D56B8A2" w:rsidR="00C1543B" w:rsidRPr="00E34E1E" w:rsidRDefault="00195218" w:rsidP="009F32CD">
      <w:pPr>
        <w:pStyle w:val="Style2"/>
        <w:spacing w:after="60"/>
      </w:pPr>
      <w:r w:rsidRPr="00E34E1E">
        <w:t>Direktīva 2009/119/EK</w:t>
      </w:r>
      <w:r w:rsidR="00EB7D2A" w:rsidRPr="00E34E1E">
        <w:t xml:space="preserve"> drošības rezerves pieļauj uzglabāt jebkurā dalībvalstī. Igaunijā krājumi tiek izvietoti ārpus nacionālās valsts, lai uzturēšanas pakalpojumu izmaks</w:t>
      </w:r>
      <w:r w:rsidR="005C7D6A" w:rsidRPr="00E34E1E">
        <w:t>as</w:t>
      </w:r>
      <w:r w:rsidR="00EB7D2A" w:rsidRPr="00E34E1E">
        <w:t xml:space="preserve"> būtu efektīvas. Pamats šo krājumu turēšanai ārvalstīs ir starptautisks līgums starp dalībvalstīm, lai saņemtu attiecīgos naftas produktus to apgādes krīzes apstākļos. Igaunija šādus līgumus ir noslēgusi ar Somiju, Zviedriju, Latviju un Dāniju. Saskaņā ar statistiku par šķidro degvielu iekšzemes patēriņu 2017.gadā, 2018.gadam obligātais drošības rezervju apjoms bija 234,7 tūkstoši t. Sākot ar 2018.gada 31.decembri INKA kopējais šķidro degvielu drošības rezerves apjoms sasniedza 237,3 tūkstošus t. Šķidro degvielu drošības rezerves izveidošanas un </w:t>
      </w:r>
      <w:r w:rsidR="00EB7D2A" w:rsidRPr="00E34E1E">
        <w:lastRenderedPageBreak/>
        <w:t>rotācijas iepirkumu rezultātā Igaunijā uz vietas tika uzglabāti 53 % no drošības rezervēm. 2018.gadā šķidrās degvielas drošības rezerves tika uzglabātas 9 terminālos Igaunijā un astoņos terminālos ārvalstīs (Zviedrijā un Somijā). Līgumi par šķidro degvielu drošības rezervju izvietošanu ir noslēgti ar 15 uzņēmumiem.</w:t>
      </w:r>
    </w:p>
    <w:p w14:paraId="7276B840" w14:textId="4D1F6057" w:rsidR="00EB7D2A" w:rsidRPr="00E34E1E" w:rsidRDefault="00342471" w:rsidP="009F32CD">
      <w:pPr>
        <w:pStyle w:val="Style2"/>
        <w:spacing w:after="60"/>
      </w:pPr>
      <w:r w:rsidRPr="00E34E1E">
        <w:t>Igaunijas drošības rezerves izveidi finansē no valsts budžeta, palielinot INKA pamatkapitālu un izmantojot līdzekļus, kas tiek iegūti no drošības rezervju pārdošanas.</w:t>
      </w:r>
      <w:r w:rsidR="006E3DC5" w:rsidRPr="00E34E1E">
        <w:t xml:space="preserve"> Drošības rezervju uzturēšanas izmaksas sedz no valsts nodevas, ko maksā degvielas akcīzes nodokļa maksātāji, personas, kas laiž degvielu tirgū patēriņam vai piegādā aviācijas degvielu, aviācijas benzīnu vai spirta veida aviācijas degvielu lidaparātiem, kas atkārtoti uzpildās Igaunijā. Valsts nodeva tiek maksāta uz INKA bankas kontu bez iepriekšēja maksājuma pieprasījuma ne vēlāk kā līdz katra mēneša 15. datumam tādā apmērā, kas atbilst degvielas apjomam, ko iepriekšējā kalendārajā mēnesī valsts nodevas maksātājs ir izlaidis tirgū patēriņam, saskaņā ar maksājuma brīdī noteikto valsts nodevas likmi</w:t>
      </w:r>
      <w:r w:rsidR="007A27CF" w:rsidRPr="00E34E1E">
        <w:t xml:space="preserve">. </w:t>
      </w:r>
      <w:r w:rsidRPr="00E34E1E">
        <w:t>No 2018.gada 31.decembra uzņēmuma pamatkapitāls ir EUR 132 851 000.</w:t>
      </w:r>
    </w:p>
    <w:p w14:paraId="218E65A8" w14:textId="77777777" w:rsidR="00C1543B" w:rsidRPr="00E34E1E" w:rsidRDefault="00C1543B">
      <w:pPr>
        <w:pStyle w:val="Style2"/>
      </w:pPr>
    </w:p>
    <w:p w14:paraId="033C362F" w14:textId="454DD611" w:rsidR="00342471" w:rsidRPr="009F32CD" w:rsidRDefault="006369E3" w:rsidP="004364F3">
      <w:pPr>
        <w:pStyle w:val="Style2"/>
        <w:spacing w:after="240"/>
        <w:rPr>
          <w:b/>
          <w:bCs/>
          <w:i/>
          <w:iCs/>
          <w:u w:val="single"/>
        </w:rPr>
      </w:pPr>
      <w:r w:rsidRPr="009F32CD">
        <w:rPr>
          <w:b/>
          <w:bCs/>
          <w:i/>
          <w:iCs/>
          <w:u w:val="single"/>
        </w:rPr>
        <w:t>Industrijas</w:t>
      </w:r>
      <w:r w:rsidR="00342471" w:rsidRPr="009F32CD">
        <w:rPr>
          <w:b/>
          <w:bCs/>
          <w:i/>
          <w:iCs/>
          <w:u w:val="single"/>
        </w:rPr>
        <w:t xml:space="preserve"> modeļa piemērs </w:t>
      </w:r>
      <w:r w:rsidRPr="009F32CD">
        <w:rPr>
          <w:b/>
          <w:bCs/>
          <w:i/>
          <w:iCs/>
          <w:u w:val="single"/>
        </w:rPr>
        <w:t>Dānija</w:t>
      </w:r>
    </w:p>
    <w:p w14:paraId="70D09CBA" w14:textId="47BFC9BD" w:rsidR="00C1543B" w:rsidRPr="00E34E1E" w:rsidRDefault="007A27CF" w:rsidP="009F32CD">
      <w:pPr>
        <w:pStyle w:val="Style2"/>
        <w:spacing w:after="60"/>
      </w:pPr>
      <w:r w:rsidRPr="00E34E1E">
        <w:t>Kopš 1970.gadiem Dānija ražo naftu un gāzi, kas ir pietiekami iekšējā patēriņa segšanai. 2013.gadā tika pārskatīti noteikumi un nosacījumi ogļūdeņražu ieguvei Ziemeļjūrā. Pēc plašām publiskām debatēm valdība sadarbībā ar industriju izstrādāja stratēģiju Ziemeļjūrā esošo naftas un gāzes resursu efektīvai izmantošanai. Nafta ir nozīmīgākais kurināmais Dānijas enerģētikā, sastādot aptuveni pusi no iekšējā enerģijas ražošanas apjoma un vairāk kā vienu trešdaļu no primārā enerģijas patēriņa. Tomēr naftas dominance nepārtraukti samazinās. Naftas ražošanas samazinājumam seko kritums jēlnaftas eksportā. Samazinās arī iekšējais patēriņš, jo uzlabojas energoefektivitāte un pieaug atjaunojamo energoresursu izmantošana, daļēji aizvietojot</w:t>
      </w:r>
      <w:r w:rsidR="005C7D6A" w:rsidRPr="00E34E1E">
        <w:t xml:space="preserve"> naftas produktus</w:t>
      </w:r>
      <w:r w:rsidRPr="00E34E1E">
        <w:t xml:space="preserve">. Neskatoties uz būtisku samazinājumu jēlnaftas eksportā pēdējā desmitgadē, Dānija joprojām ir nozīmīga jēlnaftas eksportētājvalsts, galvenokārt eksportējot to uz Zviedriju. Dānijā ir 16 naftas termināli, kuru kopējā </w:t>
      </w:r>
      <w:proofErr w:type="spellStart"/>
      <w:r w:rsidRPr="00E34E1E">
        <w:t>ielādes</w:t>
      </w:r>
      <w:proofErr w:type="spellEnd"/>
      <w:r w:rsidRPr="00E34E1E">
        <w:t xml:space="preserve"> jauda ir 0,5 miljoni kubikmetru dienā (mcm/d), bet kopējā izlādes jauda ir 1,2 miljoni kubikmetru dienā. Saražotā un importētā jēlnafta tiek pārstrādāta divās naftas pārstrādes rūpnīcās, kas atrodas </w:t>
      </w:r>
      <w:proofErr w:type="spellStart"/>
      <w:r w:rsidRPr="00E34E1E">
        <w:rPr>
          <w:i/>
          <w:iCs/>
        </w:rPr>
        <w:t>Fredericia</w:t>
      </w:r>
      <w:proofErr w:type="spellEnd"/>
      <w:r w:rsidRPr="00E34E1E">
        <w:t xml:space="preserve"> un </w:t>
      </w:r>
      <w:proofErr w:type="spellStart"/>
      <w:r w:rsidRPr="00E34E1E">
        <w:rPr>
          <w:i/>
          <w:iCs/>
        </w:rPr>
        <w:t>Kalundborg</w:t>
      </w:r>
      <w:proofErr w:type="spellEnd"/>
      <w:r w:rsidRPr="00E34E1E">
        <w:t>.</w:t>
      </w:r>
    </w:p>
    <w:p w14:paraId="6EBBD371" w14:textId="7B2548BD" w:rsidR="007A27CF" w:rsidRPr="00E34E1E" w:rsidRDefault="0021082E" w:rsidP="009F32CD">
      <w:pPr>
        <w:pStyle w:val="Style2"/>
        <w:spacing w:after="60"/>
      </w:pPr>
      <w:r w:rsidRPr="00E34E1E">
        <w:t xml:space="preserve">Dānijas Centrālā naftas krājumu organizācija (CNKO) </w:t>
      </w:r>
      <w:r w:rsidR="00465516" w:rsidRPr="00E34E1E">
        <w:t xml:space="preserve">ir </w:t>
      </w:r>
      <w:r w:rsidRPr="00E34E1E">
        <w:t xml:space="preserve">juridiskā persona krājumu uzturēšanai, ko pārvalda privātie uzņēmumi. Uzņēmumi, kas ražo naftu Dānijā vai importē naftu uz Dāniju, ir pakļauti obligātam pienākumam veidot drošības rezerves. </w:t>
      </w:r>
      <w:r w:rsidR="0098776C" w:rsidRPr="00E34E1E">
        <w:t>Uz pētījuma brīdi</w:t>
      </w:r>
      <w:r w:rsidRPr="00E34E1E">
        <w:t xml:space="preserve"> CNKO dalībnieki ir 12 uzņēmumi. Deviņi atrodas Dānijā, divi – Zviedrijā, bet viens – Apvienotajā Karalistē.</w:t>
      </w:r>
    </w:p>
    <w:p w14:paraId="76158929" w14:textId="1668CA98" w:rsidR="007A27CF" w:rsidRPr="00E34E1E" w:rsidRDefault="0098776C" w:rsidP="009F32CD">
      <w:pPr>
        <w:pStyle w:val="Style2"/>
        <w:spacing w:after="60"/>
      </w:pPr>
      <w:r w:rsidRPr="00E34E1E">
        <w:t xml:space="preserve">Pienākumu veidot drošības rezervi nosaka Dānijas Enerģētikas aģentūra. Tas tiek noteikts, sākot ar dienu, kad uzņēmums, kuram iepriekš nav bijis noteikts pienākums veidot drošības rezervi, importē 1 000 t vai vairāk jēlnaftas uz Dāniju vai Dānijā sāk ražot vairāk kā 1 000 t naftas gadā. Pienākums veidot drošības rezervi tiek noteikts ‘nulle’ līdz brīdim, kad kalendārā gada laikā tirdzniecība, kas izraisa pienākumu veidot drošības rezervi, pārsniedz nulli. Importējošam vai ražojošam uzņēmumam ir pienākums ne vēlāk kā 14 dienu laikā pēc importa vai ražošanas uzsākšanas paziņot par to Dānijas Enerģētikas aģentūrai. Kad tiek noteikts pienākums veidot drošības rezervi, ieskaitot tā noteikšanu nulles apmērā, attiecīgajam uzņēmumam ir pienākums sniegt ikmēneša atskaites CNKO. Tās ir jāsagatavo </w:t>
      </w:r>
      <w:proofErr w:type="spellStart"/>
      <w:r w:rsidRPr="00E34E1E">
        <w:t>Oildata</w:t>
      </w:r>
      <w:proofErr w:type="spellEnd"/>
      <w:r w:rsidRPr="00E34E1E">
        <w:t xml:space="preserve"> IT sistēmā ne vēlāk kā līdz nākamā mēneša 20.datumam. Pieeju </w:t>
      </w:r>
      <w:proofErr w:type="spellStart"/>
      <w:r w:rsidRPr="00E34E1E">
        <w:t>Oildata</w:t>
      </w:r>
      <w:proofErr w:type="spellEnd"/>
      <w:r w:rsidRPr="00E34E1E">
        <w:t xml:space="preserve"> nodrošina CNKO pēc tam, kad ir oficiāli reģistrēts pienākums veidot drošības rezervi. Sods par nepareizu atskaiti vai iesniegšanas termiņa kavējumu pašlaik ir 5,000 </w:t>
      </w:r>
      <w:r w:rsidR="0083560B" w:rsidRPr="00E34E1E">
        <w:t xml:space="preserve">DKK </w:t>
      </w:r>
      <w:r w:rsidRPr="00E34E1E">
        <w:t>par pirmreizēju pārkāpumu. Papildus ikmēneša atskaitēm, uzņēmumiem, kuriem ir noteikts pienākums veidot drošības rezervi, ir jānodrošina, ka ikmēneša atskaites reizi gadā tiek auditētas gada pārskata ietvaros. Auditu veic Dānijas valdības pilnvarots publiskais auditors. Šāda auditora auditēts gada pārskats ir jāiesniedz CNKO ne vēlāk, kā līdz nākamā gada 15.martam. Turklāt CNKO laiku pa laikam noteiktā mēnesī prasa uzņēmumiem dokumentēt drošības rezerves pienākuma izpildi ar ikdienas regularitāti.</w:t>
      </w:r>
    </w:p>
    <w:p w14:paraId="4CFAA234" w14:textId="0E8D6FCA" w:rsidR="006A6612" w:rsidRPr="00E34E1E" w:rsidRDefault="006A6612" w:rsidP="009F32CD">
      <w:pPr>
        <w:pStyle w:val="Style2"/>
        <w:spacing w:after="60"/>
      </w:pPr>
      <w:r w:rsidRPr="00E34E1E">
        <w:lastRenderedPageBreak/>
        <w:t xml:space="preserve">CNKO drošības rezervju uzglabāšanas maksas sevī ietver: </w:t>
      </w:r>
    </w:p>
    <w:p w14:paraId="5A5AFDFE" w14:textId="77777777" w:rsidR="006A6612" w:rsidRPr="00E34E1E" w:rsidRDefault="006A6612" w:rsidP="009F32CD">
      <w:pPr>
        <w:pStyle w:val="Style2"/>
        <w:spacing w:after="60"/>
      </w:pPr>
      <w:r w:rsidRPr="00E34E1E">
        <w:t xml:space="preserve">• personāla izmaksas, </w:t>
      </w:r>
    </w:p>
    <w:p w14:paraId="6E4EDCA4" w14:textId="77777777" w:rsidR="006A6612" w:rsidRPr="00E34E1E" w:rsidRDefault="006A6612" w:rsidP="009F32CD">
      <w:pPr>
        <w:pStyle w:val="Style2"/>
        <w:spacing w:after="60"/>
      </w:pPr>
      <w:r w:rsidRPr="00E34E1E">
        <w:t xml:space="preserve">• administratīvās izmaksas, piemēram, noma u.c., </w:t>
      </w:r>
    </w:p>
    <w:p w14:paraId="4FB519CD" w14:textId="71ABB373" w:rsidR="006A6612" w:rsidRPr="00E34E1E" w:rsidRDefault="006A6612" w:rsidP="009F32CD">
      <w:pPr>
        <w:pStyle w:val="Style2"/>
        <w:spacing w:after="60"/>
      </w:pPr>
      <w:r w:rsidRPr="00E34E1E">
        <w:t xml:space="preserve">• operatīvās un uzturēšanas izmaksas, kas attiecas uz drošības rezervju uzturēšanu, </w:t>
      </w:r>
    </w:p>
    <w:p w14:paraId="5B65436D" w14:textId="56D8A169" w:rsidR="006A6612" w:rsidRPr="00E34E1E" w:rsidRDefault="006A6612" w:rsidP="009F32CD">
      <w:pPr>
        <w:pStyle w:val="Style2"/>
        <w:spacing w:after="60"/>
      </w:pPr>
      <w:r w:rsidRPr="00E34E1E">
        <w:t xml:space="preserve">• </w:t>
      </w:r>
      <w:proofErr w:type="spellStart"/>
      <w:r w:rsidRPr="00E34E1E">
        <w:t>atsvaidzes</w:t>
      </w:r>
      <w:proofErr w:type="spellEnd"/>
      <w:r w:rsidRPr="00E34E1E">
        <w:t xml:space="preserve"> izmaksas, lai uzturētu produktus pārdošanas gatavībā, </w:t>
      </w:r>
    </w:p>
    <w:p w14:paraId="0375B35B" w14:textId="7C1C0E80" w:rsidR="006A6612" w:rsidRPr="00E34E1E" w:rsidRDefault="006A6612" w:rsidP="009F32CD">
      <w:pPr>
        <w:pStyle w:val="Style2"/>
        <w:spacing w:after="60"/>
      </w:pPr>
      <w:r w:rsidRPr="00E34E1E">
        <w:t xml:space="preserve">• izmaksas par uzglabāšanas vietas nomu, piemēram, jēlnaftai un </w:t>
      </w:r>
      <w:proofErr w:type="spellStart"/>
      <w:r w:rsidRPr="00E34E1E">
        <w:t>etanolam</w:t>
      </w:r>
      <w:proofErr w:type="spellEnd"/>
      <w:r w:rsidRPr="00E34E1E">
        <w:t xml:space="preserve">, </w:t>
      </w:r>
    </w:p>
    <w:p w14:paraId="7A50F2D5" w14:textId="0E80BE95" w:rsidR="006A6612" w:rsidRPr="00E34E1E" w:rsidRDefault="006A6612" w:rsidP="009F32CD">
      <w:pPr>
        <w:pStyle w:val="Style2"/>
        <w:spacing w:after="60"/>
      </w:pPr>
      <w:r w:rsidRPr="00E34E1E">
        <w:t xml:space="preserve">• alternatīvās izmaksas attiecībā uz kapitālu, kas ir pārvērsts produktos. Šeit CNKO piemēro sociālekonomisko diskonta likmi (skatīt 2013.gada faktu lapas, ko ir publicējusi Dānijas Finanšu ministrija). Lai novērtētu drošības rezerves, tiek izmantotas vidējās </w:t>
      </w:r>
      <w:proofErr w:type="spellStart"/>
      <w:r w:rsidRPr="00E34E1E">
        <w:t>Platts</w:t>
      </w:r>
      <w:proofErr w:type="spellEnd"/>
      <w:r w:rsidRPr="00E34E1E">
        <w:t xml:space="preserve">’ cenas gada laikā, un izteikšanai Dānijas kronās (DKK) tiek pielietota vidējā dolāra valūtas likme, </w:t>
      </w:r>
    </w:p>
    <w:p w14:paraId="3D2BCA5A" w14:textId="686EB635" w:rsidR="006A6612" w:rsidRPr="00E34E1E" w:rsidRDefault="006A6612" w:rsidP="009F32CD">
      <w:pPr>
        <w:pStyle w:val="Style2"/>
        <w:spacing w:after="60"/>
      </w:pPr>
      <w:r w:rsidRPr="00E34E1E">
        <w:t>• nolietojums un amortizācija tiek noteikta, balstoties uz iepriekšējo gada pārskatu.</w:t>
      </w:r>
    </w:p>
    <w:p w14:paraId="4F10423B" w14:textId="06977A74" w:rsidR="00C1543B" w:rsidRPr="00E34E1E" w:rsidRDefault="00937CDB" w:rsidP="009F32CD">
      <w:pPr>
        <w:pStyle w:val="Style2"/>
        <w:spacing w:after="60"/>
      </w:pPr>
      <w:r w:rsidRPr="00E34E1E">
        <w:t>S</w:t>
      </w:r>
      <w:r w:rsidR="0083560B" w:rsidRPr="00E34E1E">
        <w:t xml:space="preserve">ecināts, ka Dānijai ir labi attīstīts naftas produktu tirgus, kā arī tai ir spēcīga saistītā infrastruktūra. </w:t>
      </w:r>
      <w:r w:rsidR="00E34E1E" w:rsidRPr="00E34E1E">
        <w:t xml:space="preserve">Dānijā </w:t>
      </w:r>
      <w:r w:rsidR="00BE101C" w:rsidRPr="00E34E1E">
        <w:t>81 dienas vidējā patēriņa drošības rezerves uzturēšanas pienākums ir sadalīts starp CNKO (atbild par 57 dienām) un naftas uzņēmumiem (atbild par 24 dienām). CNKO bez maksas nodrošina 57 dienu drošības rezerves, kamēr 24 dienu drošības rezervi ir pienākums apmaksāt uzņēmumiem pašiem. Šai vajadzībai CNKO</w:t>
      </w:r>
      <w:r w:rsidR="00E34E1E" w:rsidRPr="00E34E1E">
        <w:t xml:space="preserve"> kā bezpeļņas organizācija</w:t>
      </w:r>
      <w:r w:rsidR="00BE101C" w:rsidRPr="00E34E1E">
        <w:t xml:space="preserve"> par tirgus cenām piedāvā izmantot savus uzglabāšanas terminālus</w:t>
      </w:r>
      <w:r w:rsidR="00E34E1E" w:rsidRPr="00E34E1E">
        <w:t>.</w:t>
      </w:r>
    </w:p>
    <w:p w14:paraId="1A186145" w14:textId="77777777" w:rsidR="00F16B9F" w:rsidRPr="00E34E1E" w:rsidRDefault="00F16B9F">
      <w:pPr>
        <w:pStyle w:val="Style2"/>
        <w:rPr>
          <w:u w:val="single"/>
        </w:rPr>
      </w:pPr>
    </w:p>
    <w:p w14:paraId="28E5A785" w14:textId="003AB705" w:rsidR="00F16B9F" w:rsidRPr="009F32CD" w:rsidRDefault="00F16B9F" w:rsidP="004364F3">
      <w:pPr>
        <w:pStyle w:val="Style2"/>
        <w:spacing w:after="240"/>
        <w:rPr>
          <w:b/>
          <w:bCs/>
          <w:i/>
          <w:iCs/>
          <w:u w:val="single"/>
        </w:rPr>
      </w:pPr>
      <w:r w:rsidRPr="009F32CD">
        <w:rPr>
          <w:b/>
          <w:bCs/>
          <w:i/>
          <w:iCs/>
          <w:u w:val="single"/>
        </w:rPr>
        <w:t xml:space="preserve">Pētījuma </w:t>
      </w:r>
      <w:r w:rsidR="00BE101C" w:rsidRPr="009F32CD">
        <w:rPr>
          <w:b/>
          <w:bCs/>
          <w:i/>
          <w:iCs/>
          <w:u w:val="single"/>
        </w:rPr>
        <w:t>rezultāti</w:t>
      </w:r>
    </w:p>
    <w:p w14:paraId="738BDFDB" w14:textId="1E9E3B06" w:rsidR="00087930" w:rsidRPr="00E34E1E" w:rsidRDefault="00F16B9F" w:rsidP="009F32CD">
      <w:pPr>
        <w:pStyle w:val="Style2"/>
        <w:spacing w:after="480"/>
      </w:pPr>
      <w:r w:rsidRPr="00E34E1E">
        <w:t>P</w:t>
      </w:r>
      <w:r w:rsidR="00937CDB" w:rsidRPr="00E34E1E">
        <w:t xml:space="preserve">ētījuma izmaksu efektivitātes salīdzinājuma rezultāti liecina, ka visvairāk izmaksu efektīvi ir tie modeļi, kuros tiek izmantots tiešs finansējums. Tā kā otrs būtisks šīs sistēmas aspekts ir valsts loma, aģentūras modelis </w:t>
      </w:r>
      <w:r w:rsidRPr="00E34E1E">
        <w:t>novērtējams kā</w:t>
      </w:r>
      <w:r w:rsidR="00937CDB" w:rsidRPr="00E34E1E">
        <w:t xml:space="preserve"> piemērotākais risinājums Latvijai, jo tas apvieno izmaksu efektivitāti ar valsts stratēģisko lomu.</w:t>
      </w:r>
    </w:p>
    <w:p w14:paraId="40CC9C50" w14:textId="2E31FACB" w:rsidR="00945AEB" w:rsidRPr="00E34E1E" w:rsidRDefault="00945AEB" w:rsidP="00945AEB">
      <w:pPr>
        <w:pStyle w:val="Style3"/>
        <w:spacing w:before="0" w:line="240" w:lineRule="auto"/>
      </w:pPr>
      <w:bookmarkStart w:id="15" w:name="_Toc126061814"/>
      <w:r w:rsidRPr="00E34E1E">
        <w:t xml:space="preserve">3.2. </w:t>
      </w:r>
      <w:proofErr w:type="spellStart"/>
      <w:r w:rsidRPr="00E34E1E">
        <w:t>Civitta</w:t>
      </w:r>
      <w:proofErr w:type="spellEnd"/>
      <w:r w:rsidRPr="00E34E1E">
        <w:t xml:space="preserve"> pētījumi</w:t>
      </w:r>
      <w:bookmarkEnd w:id="15"/>
    </w:p>
    <w:p w14:paraId="04956E26" w14:textId="77777777" w:rsidR="00945AEB" w:rsidRPr="00E34E1E" w:rsidRDefault="00945AEB" w:rsidP="00945AEB">
      <w:pPr>
        <w:pStyle w:val="Style2"/>
      </w:pPr>
    </w:p>
    <w:p w14:paraId="71C260BA" w14:textId="18E83144" w:rsidR="0070546B" w:rsidRPr="00E34E1E" w:rsidRDefault="0070546B">
      <w:pPr>
        <w:pStyle w:val="Style2"/>
      </w:pPr>
      <w:r w:rsidRPr="00E34E1E">
        <w:t>Personu apvienība “</w:t>
      </w:r>
      <w:proofErr w:type="spellStart"/>
      <w:r w:rsidRPr="00E34E1E">
        <w:t>Civitta</w:t>
      </w:r>
      <w:proofErr w:type="spellEnd"/>
      <w:r w:rsidRPr="00E34E1E">
        <w:t xml:space="preserve">” </w:t>
      </w:r>
      <w:r w:rsidR="003322AF" w:rsidRPr="00E34E1E">
        <w:t xml:space="preserve">tika piesaistīta no </w:t>
      </w:r>
      <w:r w:rsidR="009F5880" w:rsidRPr="00E34E1E">
        <w:t>E</w:t>
      </w:r>
      <w:r w:rsidR="00C0478A" w:rsidRPr="00E34E1E">
        <w:t>konomikas ministrijas</w:t>
      </w:r>
      <w:r w:rsidR="003322AF" w:rsidRPr="00E34E1E">
        <w:t xml:space="preserve"> turpmākai sistēmas attīstības izvērtēšanai. </w:t>
      </w:r>
      <w:proofErr w:type="spellStart"/>
      <w:r w:rsidR="003322AF" w:rsidRPr="00E34E1E">
        <w:t>Civitta</w:t>
      </w:r>
      <w:proofErr w:type="spellEnd"/>
      <w:r w:rsidR="003322AF" w:rsidRPr="00E34E1E">
        <w:t xml:space="preserve"> pētījumos ir analizējusi valsts naftas produktu drošības rezervju nodrošināšanas institūcijas izveidi Latvijā, kas sasniegtu darbspējīgu un ekonomiski pamatotu naftas pārvaldības institūcijas izveidi uz esošas vai jaunas institūcijas pamata. </w:t>
      </w:r>
      <w:proofErr w:type="spellStart"/>
      <w:r w:rsidR="003322AF" w:rsidRPr="00E34E1E">
        <w:t>Civitta</w:t>
      </w:r>
      <w:proofErr w:type="spellEnd"/>
      <w:r w:rsidR="003322AF" w:rsidRPr="00E34E1E">
        <w:t xml:space="preserve"> d</w:t>
      </w:r>
      <w:r w:rsidRPr="00E34E1E">
        <w:t>ivos secīgos pētījumos raksturojusi un analizējusi iespējamos scenārijus pārvaldības institūcijas izveidei, atbilstoši scenāriju salīdzinājuma metodoloģijai veikusi visoptimālākā scenārija analīzi un vērtējumu salīdzinājumu, kā arī veikusi finanšu aprēķinus drošības rezervju pārvaldības institūcijas ieviešanai un uzturēšanai, kas pēc izvērtēšanas iekļauti arī šajā ziņojumā.</w:t>
      </w:r>
    </w:p>
    <w:p w14:paraId="7B09865A" w14:textId="77777777" w:rsidR="00814A40" w:rsidRPr="00E34E1E" w:rsidRDefault="00814A40">
      <w:pPr>
        <w:pStyle w:val="Style2"/>
        <w:rPr>
          <w:u w:val="single"/>
        </w:rPr>
      </w:pPr>
    </w:p>
    <w:p w14:paraId="49F5B066" w14:textId="656BFE59" w:rsidR="00814A40" w:rsidRPr="009F32CD" w:rsidRDefault="0070546B" w:rsidP="004364F3">
      <w:pPr>
        <w:pStyle w:val="Style2"/>
        <w:spacing w:after="180"/>
        <w:rPr>
          <w:b/>
          <w:bCs/>
          <w:i/>
          <w:iCs/>
          <w:u w:val="single"/>
        </w:rPr>
      </w:pPr>
      <w:proofErr w:type="spellStart"/>
      <w:r w:rsidRPr="009F32CD">
        <w:rPr>
          <w:b/>
          <w:bCs/>
          <w:i/>
          <w:iCs/>
          <w:u w:val="single"/>
        </w:rPr>
        <w:t>Civitta</w:t>
      </w:r>
      <w:proofErr w:type="spellEnd"/>
      <w:r w:rsidRPr="009F32CD">
        <w:rPr>
          <w:b/>
          <w:bCs/>
          <w:i/>
          <w:iCs/>
          <w:u w:val="single"/>
        </w:rPr>
        <w:t xml:space="preserve"> 1. pētījums</w:t>
      </w:r>
    </w:p>
    <w:p w14:paraId="1F8C35B0" w14:textId="729ADFED" w:rsidR="0092067C" w:rsidRPr="00E34E1E" w:rsidRDefault="0092067C" w:rsidP="009F32CD">
      <w:pPr>
        <w:pStyle w:val="Style2"/>
        <w:spacing w:after="60"/>
      </w:pPr>
      <w:r w:rsidRPr="00E34E1E">
        <w:t xml:space="preserve">Salīdzinot dažādus scenārijus, veikta izvērtēšana </w:t>
      </w:r>
      <w:r w:rsidR="00C258D8" w:rsidRPr="00E34E1E">
        <w:t xml:space="preserve">valstij piederošo </w:t>
      </w:r>
      <w:r w:rsidRPr="00E34E1E">
        <w:t>drošības rezervju pārvaldības veicēju funkcijām pēc šādiem kritērijiem:</w:t>
      </w:r>
    </w:p>
    <w:p w14:paraId="73923D3C" w14:textId="49487539" w:rsidR="0092067C" w:rsidRPr="00E34E1E" w:rsidRDefault="0092067C" w:rsidP="009F32CD">
      <w:pPr>
        <w:pStyle w:val="Style2"/>
        <w:spacing w:after="60"/>
      </w:pPr>
      <w:r w:rsidRPr="00E34E1E">
        <w:t xml:space="preserve">• Nodrošināt valsts naftas produktu obligāto rezervju uzturēšanu saskaņā ar Direktīvu 2009/119/EK; </w:t>
      </w:r>
    </w:p>
    <w:p w14:paraId="2B5FF00E" w14:textId="02E71911" w:rsidR="0092067C" w:rsidRPr="00E34E1E" w:rsidRDefault="0092067C" w:rsidP="009F32CD">
      <w:pPr>
        <w:pStyle w:val="Style2"/>
        <w:spacing w:after="60"/>
      </w:pPr>
      <w:r w:rsidRPr="00E34E1E">
        <w:t xml:space="preserve">• Veikt uzglabāšanas pakalpojuma iepirkumu. Ņemot vērā iepriekšējo pētījumu secinājumus, ka jaunas infrastruktūras izbūve nav rentabla, jaunajai aģentūrai, līdzīgi kā pašreiz, ir jāveic iepirkums, kā rezultātā tiktu izvēlēti komersanti, kas uz līguma pamata uzglabātu drošības rezerves attiecīgajā apjomā Latvijas teritorijā; </w:t>
      </w:r>
    </w:p>
    <w:p w14:paraId="1533E7A4" w14:textId="77777777" w:rsidR="0092067C" w:rsidRPr="00E34E1E" w:rsidRDefault="0092067C" w:rsidP="009F32CD">
      <w:pPr>
        <w:pStyle w:val="Style2"/>
        <w:spacing w:after="60"/>
      </w:pPr>
      <w:r w:rsidRPr="00E34E1E">
        <w:t xml:space="preserve">• Veikt drošības rezervju apsekošanu to uzglabāšanas vietās un uzturēt aktuālo informāciju par drošības rezervju apjomu; </w:t>
      </w:r>
    </w:p>
    <w:p w14:paraId="52B3BAA2" w14:textId="77777777" w:rsidR="0092067C" w:rsidRPr="00E34E1E" w:rsidRDefault="0092067C" w:rsidP="009F32CD">
      <w:pPr>
        <w:pStyle w:val="Style2"/>
        <w:spacing w:after="60"/>
      </w:pPr>
      <w:r w:rsidRPr="00E34E1E">
        <w:t xml:space="preserve">• Veikt naftas produktu informācijas sistēmas administrēšanu; </w:t>
      </w:r>
    </w:p>
    <w:p w14:paraId="617C85D5" w14:textId="77777777" w:rsidR="0092067C" w:rsidRPr="00E34E1E" w:rsidRDefault="0092067C" w:rsidP="009F32CD">
      <w:pPr>
        <w:pStyle w:val="Style2"/>
        <w:spacing w:after="60"/>
      </w:pPr>
      <w:r w:rsidRPr="00E34E1E">
        <w:lastRenderedPageBreak/>
        <w:t xml:space="preserve">• Veikt degvielas tirgus uzraudzību; </w:t>
      </w:r>
    </w:p>
    <w:p w14:paraId="5ACC8DBF" w14:textId="085C8B6C" w:rsidR="0092067C" w:rsidRPr="00E34E1E" w:rsidRDefault="0092067C" w:rsidP="009F32CD">
      <w:pPr>
        <w:pStyle w:val="Style2"/>
        <w:spacing w:after="60"/>
      </w:pPr>
      <w:r w:rsidRPr="00E34E1E">
        <w:t>• Veikt valsts nodevu aprēķināšanu un administrēšanu;</w:t>
      </w:r>
    </w:p>
    <w:p w14:paraId="262888DB" w14:textId="77777777" w:rsidR="00C258D8" w:rsidRPr="00E34E1E" w:rsidRDefault="00C258D8" w:rsidP="009F32CD">
      <w:pPr>
        <w:pStyle w:val="Style2"/>
        <w:spacing w:after="60"/>
      </w:pPr>
      <w:r w:rsidRPr="00E34E1E">
        <w:t xml:space="preserve">• Veikt nepieciešamo finanšu līdzekļu piesaisti un pārvaldi. Iespējamie drošības rezervju iegādes finanšu avoti ir atkarīgi no aģentūras formāta. Līdz šim valsts nodeva tiek izmantota, lai finansētu esošo drošības rezervju uzglabāšanas pakalpojumus. Kā alternatīva pastāv aizņemtā kapitāla izmantošana. Aģentūrai ir jāpārvalda kapitāla struktūra, nodrošinot optimālāko kapitāla struktūras proporciju; </w:t>
      </w:r>
    </w:p>
    <w:p w14:paraId="18EBE8C9" w14:textId="77777777" w:rsidR="00C258D8" w:rsidRPr="00E34E1E" w:rsidRDefault="00C258D8" w:rsidP="009F32CD">
      <w:pPr>
        <w:pStyle w:val="Style2"/>
        <w:spacing w:after="60"/>
      </w:pPr>
      <w:r w:rsidRPr="00E34E1E">
        <w:t xml:space="preserve">• Veikt drošības rezervju iegādi. Atsaucoties uz iepriekš izvirzītajiem principiem, ka drošības rezervēm ir jābūt valsts īpašumā, viens no aģentūras uzdevumiem būtu rast izdevīgāko iegādes formātu; </w:t>
      </w:r>
    </w:p>
    <w:p w14:paraId="615D733E" w14:textId="7C16FCC4" w:rsidR="0092067C" w:rsidRPr="00E34E1E" w:rsidRDefault="00C258D8" w:rsidP="009F32CD">
      <w:pPr>
        <w:pStyle w:val="Style2"/>
        <w:spacing w:after="60"/>
      </w:pPr>
      <w:r w:rsidRPr="00E34E1E">
        <w:t>• Veikt tirgus operācijas ar drošības rezervēm. Ekonomiski izdevīga drošības rezervju iegāde un realizācija</w:t>
      </w:r>
    </w:p>
    <w:p w14:paraId="2AB71F0A" w14:textId="3440E302" w:rsidR="00733E49" w:rsidRPr="00E34E1E" w:rsidRDefault="00A1027C" w:rsidP="009F32CD">
      <w:pPr>
        <w:pStyle w:val="Style2"/>
        <w:spacing w:after="60"/>
      </w:pPr>
      <w:r w:rsidRPr="00E34E1E">
        <w:t>Pēc analīzes v</w:t>
      </w:r>
      <w:r w:rsidR="00733E49" w:rsidRPr="00E34E1E">
        <w:t xml:space="preserve">isaugstāk novērtēts Possessor kā potenciālais </w:t>
      </w:r>
      <w:r w:rsidRPr="00E34E1E">
        <w:t xml:space="preserve">Latvijas </w:t>
      </w:r>
      <w:r w:rsidR="00733E49" w:rsidRPr="00E34E1E">
        <w:t>nacionālo drošības rezervju pārvaldītājs nākotnē, balstoties uz šādiem apsvērumiem:</w:t>
      </w:r>
    </w:p>
    <w:p w14:paraId="6AFC793C" w14:textId="0D185C18" w:rsidR="00733E49" w:rsidRPr="00E34E1E" w:rsidRDefault="00733E49" w:rsidP="009F32CD">
      <w:pPr>
        <w:pStyle w:val="Style2"/>
        <w:spacing w:after="60"/>
      </w:pPr>
      <w:r w:rsidRPr="00E34E1E">
        <w:t xml:space="preserve"> • Ņemot vērā, ka struktūrai ir jāspēj patstāvīgi ģenerēt regulāru</w:t>
      </w:r>
      <w:r w:rsidR="00465516" w:rsidRPr="00E34E1E">
        <w:t>s</w:t>
      </w:r>
      <w:r w:rsidRPr="00E34E1E">
        <w:t xml:space="preserve"> ienākumus, tās personāla struktūrai ir jābūt atbilstošai šīs funkcijas izpildei un caurskatāmību nodrošinošam formātam ir jāspēj sniegt atbilstošu saimnieciskās darbības atspoguļojumu. No šī secinājuma izriet, ka: </w:t>
      </w:r>
    </w:p>
    <w:p w14:paraId="5E09C9E4" w14:textId="49D4B91A" w:rsidR="00733E49" w:rsidRPr="00E34E1E" w:rsidRDefault="00733E49" w:rsidP="009F32CD">
      <w:pPr>
        <w:pStyle w:val="Style2"/>
        <w:spacing w:after="60"/>
        <w:ind w:left="709" w:firstLine="720"/>
      </w:pPr>
      <w:r w:rsidRPr="00E34E1E">
        <w:t xml:space="preserve">o Gada pārskats ir uzskatāms par atbilstošāko formātu darbības caurskatāmības nodrošināšanai. Gada pārskata formāts ir noteikts ar Gada pārskatu un konsolidēto gada pārskatu likumu. Informācija gada pārskatā tiek atspoguļota atbilstoši finanšu analīzes veikšanas prasībām. Tas nozīmē, ka ir iespējams atbilstoši atspoguļot finanšu informāciju un pārskata struktūra ļauj veikt darbības analīzi (finanšu analīze) un salīdzināšanu ar līdzvērtīgām organizācijām (Igaunijas gadījumā drošības rezervju aģentūrai ir VAS statuss, kas arī paredz gada pārskatu kā darbības atspoguļošanas formātu). Salīdzināšana ar līdzvērtīgām organizācijām ļauj izvērtēt darbības efektivitāti industrijas līmenī. Papildu kontroles mehānisms ir statūti, kuros Possessor gadījumā jau ir iestrādāts kontroles mehānisms (Possessor statūtu 11. punkts: “Papildus likumā noteiktajam valdei nepieciešama iepriekšēja dalībnieku sapulces piekrišana pirms lēmuma pieņemšanas par tāda darījuma slēgšanu, kas pārsniedz 140 000 EUR bez pievienotās vērtības nodokļa, izņemot darījumus, kas tiek slēgti, izpildot valsts pārvaldes uzdevumus un saskaņā ar </w:t>
      </w:r>
      <w:r w:rsidR="002A71D5" w:rsidRPr="00E34E1E">
        <w:t>MK</w:t>
      </w:r>
      <w:r w:rsidRPr="00E34E1E">
        <w:t xml:space="preserve"> lēmumiem”). </w:t>
      </w:r>
    </w:p>
    <w:p w14:paraId="0333D074" w14:textId="77777777" w:rsidR="00A1027C" w:rsidRPr="00E34E1E" w:rsidRDefault="00733E49" w:rsidP="009F32CD">
      <w:pPr>
        <w:pStyle w:val="Style2"/>
        <w:spacing w:after="60"/>
        <w:ind w:left="709" w:firstLine="720"/>
      </w:pPr>
      <w:r w:rsidRPr="00E34E1E">
        <w:t xml:space="preserve">o Possessor personāla struktūrā iekļauts finanšu, administratīvais un juridiskais departaments. Drošības rezervju pārvaldības funkcijas realizēšanai tiktu pievienots papildu departaments. Esošā departamentu ekspertīze pārklājas ar drošības rezervju pārvaldei nepieciešamo ekspertīzi (iepirkumu veikšana, aktīvu pārvaldība un vērtēšana, apjomīgu finanšu aktīvu pārvaldība). Papildus tiktu pievienota arī padome, kas nodrošinātu papildu kontroles iespējas attiecībā uz vadības lēmumu pamatotību un atbilstību struktūras mērķim un uzdevumiem. Atšķirībā no jaundibinātas kapitālsabiedrības, Possessor gadījumā padomes izmaksas tiktu dalītas starp jauno un esošo funkcionalitāti. </w:t>
      </w:r>
    </w:p>
    <w:p w14:paraId="4BA49010" w14:textId="79D8EA32" w:rsidR="00A1027C" w:rsidRPr="00E34E1E" w:rsidRDefault="00733E49" w:rsidP="009F32CD">
      <w:pPr>
        <w:pStyle w:val="Style2"/>
        <w:spacing w:after="60"/>
      </w:pPr>
      <w:r w:rsidRPr="00E34E1E">
        <w:t>• Ņemot vērā pieņēmumu, ka faktiskā noslodze varētu būt aptuveni 70%, tad ir pozitīvi vērtējama iespēja pievienot funkcijas jau esošai organizācijai, kas veic nepieciešamo ekspertīžu ziņā līdzīgu funkciju. Šo pieņēmumu pamato arī Igaunijas piemērs, kur drošības rezervju aģentūrai tika pievienota pārtikas rezervju pārvaldīb</w:t>
      </w:r>
      <w:r w:rsidR="004339F0" w:rsidRPr="00E34E1E">
        <w:t>a</w:t>
      </w:r>
      <w:r w:rsidRPr="00E34E1E">
        <w:t xml:space="preserve"> kā papildus funkcija. Šādi tiek palielināta personāla </w:t>
      </w:r>
      <w:proofErr w:type="spellStart"/>
      <w:r w:rsidRPr="00E34E1E">
        <w:t>atdeve</w:t>
      </w:r>
      <w:proofErr w:type="spellEnd"/>
      <w:r w:rsidRPr="00E34E1E">
        <w:t xml:space="preserve"> un optimizētas administratīvās izmaksas, samazinot to proporciju pret ienākumiem. </w:t>
      </w:r>
    </w:p>
    <w:p w14:paraId="3306BFBB" w14:textId="77777777" w:rsidR="00932A84" w:rsidRDefault="00932A84" w:rsidP="004364F3">
      <w:pPr>
        <w:pStyle w:val="Style2"/>
        <w:spacing w:after="180"/>
        <w:rPr>
          <w:b/>
          <w:bCs/>
          <w:i/>
          <w:iCs/>
          <w:u w:val="single"/>
        </w:rPr>
      </w:pPr>
    </w:p>
    <w:p w14:paraId="14614F24" w14:textId="77777777" w:rsidR="00932A84" w:rsidRDefault="00932A84" w:rsidP="004364F3">
      <w:pPr>
        <w:pStyle w:val="Style2"/>
        <w:spacing w:after="180"/>
        <w:rPr>
          <w:b/>
          <w:bCs/>
          <w:i/>
          <w:iCs/>
          <w:u w:val="single"/>
        </w:rPr>
      </w:pPr>
    </w:p>
    <w:p w14:paraId="6C183490" w14:textId="77777777" w:rsidR="00932A84" w:rsidRDefault="00932A84" w:rsidP="004364F3">
      <w:pPr>
        <w:pStyle w:val="Style2"/>
        <w:spacing w:after="180"/>
        <w:rPr>
          <w:b/>
          <w:bCs/>
          <w:i/>
          <w:iCs/>
          <w:u w:val="single"/>
        </w:rPr>
      </w:pPr>
    </w:p>
    <w:p w14:paraId="45CC4979" w14:textId="77A55F56" w:rsidR="00814A40" w:rsidRPr="00F23E70" w:rsidRDefault="00814A40" w:rsidP="004364F3">
      <w:pPr>
        <w:pStyle w:val="Style2"/>
        <w:spacing w:after="180"/>
        <w:rPr>
          <w:b/>
          <w:bCs/>
          <w:i/>
          <w:iCs/>
          <w:u w:val="single"/>
        </w:rPr>
      </w:pPr>
      <w:proofErr w:type="spellStart"/>
      <w:r w:rsidRPr="00F23E70">
        <w:rPr>
          <w:b/>
          <w:bCs/>
          <w:i/>
          <w:iCs/>
          <w:u w:val="single"/>
        </w:rPr>
        <w:lastRenderedPageBreak/>
        <w:t>Civitta</w:t>
      </w:r>
      <w:proofErr w:type="spellEnd"/>
      <w:r w:rsidRPr="00F23E70">
        <w:rPr>
          <w:b/>
          <w:bCs/>
          <w:i/>
          <w:iCs/>
          <w:u w:val="single"/>
        </w:rPr>
        <w:t xml:space="preserve"> 2. pētījums</w:t>
      </w:r>
    </w:p>
    <w:p w14:paraId="07DCCF41" w14:textId="341AAD94" w:rsidR="0000028F" w:rsidRPr="00E34E1E" w:rsidRDefault="0000028F" w:rsidP="00F23E70">
      <w:pPr>
        <w:pStyle w:val="Style2"/>
        <w:spacing w:after="60"/>
      </w:pPr>
      <w:r w:rsidRPr="00E34E1E">
        <w:t xml:space="preserve">Pēc pētījuma pirmajā posmā jeb </w:t>
      </w:r>
      <w:proofErr w:type="spellStart"/>
      <w:r w:rsidRPr="00E34E1E">
        <w:t>Civitta</w:t>
      </w:r>
      <w:proofErr w:type="spellEnd"/>
      <w:r w:rsidRPr="00E34E1E">
        <w:t xml:space="preserve"> 1. pētījuma slēdziens bija šāds: “</w:t>
      </w:r>
      <w:r w:rsidRPr="00E34E1E">
        <w:rPr>
          <w:i/>
          <w:iCs/>
        </w:rPr>
        <w:t xml:space="preserve">Ņemot vērā scenāriju savstarpējo salīdzinājumu, ir secināms, ka </w:t>
      </w:r>
      <w:proofErr w:type="spellStart"/>
      <w:r w:rsidRPr="00E34E1E">
        <w:rPr>
          <w:i/>
          <w:iCs/>
        </w:rPr>
        <w:t>Possesor</w:t>
      </w:r>
      <w:proofErr w:type="spellEnd"/>
      <w:r w:rsidRPr="00E34E1E">
        <w:rPr>
          <w:i/>
          <w:iCs/>
        </w:rPr>
        <w:t xml:space="preserve"> spēj nodrošināt efektīvāko drošības rezervju pārvaldes procesu, ņemot vērā Possessor līdzšinējo pieredzi aktīvu pārvaldībā un iepirkumu veikšanā, atbilstošu personāla struktūru, iespēju piesaistīt finansējumu uz izdevīgākiem nosacījumiem nekā jaunā kapitālsabiedrībā un lemt par esošās darbības nesadalītās peļņas daļēju novirzīšanu drošības rezervju iegādei. Tāpat jāņem vērā fakts, ka drošības rezervju pārvaldes funkcijas, kas nenodrošina 100% personāla noslodzi, būtu kā papildu funkcija. Šādā veidā tiktu nodrošināta 100% darbinieku noslodze un administratīvās izmaksas tiktu sadalītas uz vairākām veicamajām funkcijām</w:t>
      </w:r>
      <w:r w:rsidRPr="00E34E1E">
        <w:t xml:space="preserve">.”. </w:t>
      </w:r>
    </w:p>
    <w:p w14:paraId="534645C9" w14:textId="218F0C6F" w:rsidR="0075114F" w:rsidRPr="00E34E1E" w:rsidRDefault="0000028F" w:rsidP="00F23E70">
      <w:pPr>
        <w:pStyle w:val="Style2"/>
        <w:spacing w:after="60"/>
      </w:pPr>
      <w:r w:rsidRPr="00E34E1E">
        <w:t>Pētījuma otrās daļas mērķis bija sagatavot aģentūras biznesa plānu 2023.-2029. gadam, ņemot vērā aģentūras juridisko ietvaru, veicamās funkcijas un aģentūrai izvirzīto mērķi – 3 gadu laikā palielināt drošības rezervju apjomu, kas glabājās Latvijas teritorijā (2023. gadā līdz 75%, 2024. gadā līdz 85% un 2025. gadā līdz 100%).</w:t>
      </w:r>
    </w:p>
    <w:p w14:paraId="4FE3080D" w14:textId="268F7BAE" w:rsidR="005E289E" w:rsidRPr="00E34E1E" w:rsidRDefault="005E289E" w:rsidP="00F23E70">
      <w:pPr>
        <w:spacing w:after="60" w:line="240" w:lineRule="auto"/>
        <w:ind w:firstLine="709"/>
        <w:jc w:val="both"/>
        <w:rPr>
          <w:rFonts w:ascii="Times New Roman" w:hAnsi="Times New Roman" w:cs="Times New Roman"/>
          <w:bCs/>
          <w:sz w:val="24"/>
          <w:szCs w:val="24"/>
        </w:rPr>
      </w:pPr>
      <w:proofErr w:type="spellStart"/>
      <w:r w:rsidRPr="00E34E1E">
        <w:rPr>
          <w:rFonts w:ascii="Times New Roman" w:hAnsi="Times New Roman" w:cs="Times New Roman"/>
          <w:bCs/>
          <w:sz w:val="24"/>
          <w:szCs w:val="24"/>
        </w:rPr>
        <w:t>Civitta</w:t>
      </w:r>
      <w:proofErr w:type="spellEnd"/>
      <w:r w:rsidRPr="00E34E1E">
        <w:rPr>
          <w:rFonts w:ascii="Times New Roman" w:hAnsi="Times New Roman" w:cs="Times New Roman"/>
          <w:bCs/>
          <w:sz w:val="24"/>
          <w:szCs w:val="24"/>
        </w:rPr>
        <w:t xml:space="preserve"> 2. pētījuma aprēķinos izmantots sadalījums pa drošības rezervju ietvaros esošajiem naftas produktu veidiem – benzīnu un dīzeļdegvielu. Nākotnes pieņēmumiem tik</w:t>
      </w:r>
      <w:r w:rsidR="004339F0" w:rsidRPr="00E34E1E">
        <w:rPr>
          <w:rFonts w:ascii="Times New Roman" w:hAnsi="Times New Roman" w:cs="Times New Roman"/>
          <w:bCs/>
          <w:sz w:val="24"/>
          <w:szCs w:val="24"/>
        </w:rPr>
        <w:t>a</w:t>
      </w:r>
      <w:r w:rsidRPr="00E34E1E">
        <w:rPr>
          <w:rFonts w:ascii="Times New Roman" w:hAnsi="Times New Roman" w:cs="Times New Roman"/>
          <w:bCs/>
          <w:sz w:val="24"/>
          <w:szCs w:val="24"/>
        </w:rPr>
        <w:t xml:space="preserve"> izmantots 2021. gadā spēkā esošais sadalījums. Tiek paredzēts, ka arī nākamajos gados benzīns sastādīs 34% no kopējām drošības rezervēm, bet dīzeļdegviela – 66%.</w:t>
      </w:r>
      <w:r w:rsidR="00E34E1E" w:rsidRPr="00E34E1E">
        <w:rPr>
          <w:rStyle w:val="CommentReference"/>
        </w:rPr>
        <w:t xml:space="preserve"> </w:t>
      </w:r>
      <w:r w:rsidR="00E34E1E" w:rsidRPr="00E34E1E">
        <w:rPr>
          <w:rFonts w:ascii="Times New Roman" w:hAnsi="Times New Roman" w:cs="Times New Roman"/>
          <w:bCs/>
          <w:sz w:val="24"/>
          <w:szCs w:val="24"/>
        </w:rPr>
        <w:t xml:space="preserve"> Lī</w:t>
      </w:r>
      <w:r w:rsidRPr="00E34E1E">
        <w:rPr>
          <w:rFonts w:ascii="Times New Roman" w:hAnsi="Times New Roman" w:cs="Times New Roman"/>
          <w:bCs/>
          <w:sz w:val="24"/>
          <w:szCs w:val="24"/>
        </w:rPr>
        <w:t xml:space="preserve">dz ar drošības rezervju iegādi valsts īpašumā, </w:t>
      </w:r>
      <w:proofErr w:type="spellStart"/>
      <w:r w:rsidRPr="00E34E1E">
        <w:rPr>
          <w:rFonts w:ascii="Times New Roman" w:hAnsi="Times New Roman" w:cs="Times New Roman"/>
          <w:bCs/>
          <w:sz w:val="24"/>
          <w:szCs w:val="24"/>
        </w:rPr>
        <w:t>jaunizveidotajai</w:t>
      </w:r>
      <w:proofErr w:type="spellEnd"/>
      <w:r w:rsidRPr="00E34E1E">
        <w:rPr>
          <w:rFonts w:ascii="Times New Roman" w:hAnsi="Times New Roman" w:cs="Times New Roman"/>
          <w:bCs/>
          <w:sz w:val="24"/>
          <w:szCs w:val="24"/>
        </w:rPr>
        <w:t xml:space="preserve"> pārvaldības institūcijai, konsultējoties ar citām iesaistītajām pusēm šīs nozares ietvaros, ir iespējams veidot optimālu sadalījumu, kas nepieciešams valsts vajadzībām enerģētiskās krīzes situācijā.</w:t>
      </w:r>
    </w:p>
    <w:p w14:paraId="41702BA0" w14:textId="4D18B2E0" w:rsidR="005E289E" w:rsidRPr="00E34E1E" w:rsidRDefault="005E289E" w:rsidP="00F23E70">
      <w:pPr>
        <w:spacing w:after="60" w:line="240" w:lineRule="auto"/>
        <w:ind w:firstLine="709"/>
        <w:jc w:val="both"/>
        <w:rPr>
          <w:rFonts w:ascii="Times New Roman" w:hAnsi="Times New Roman" w:cs="Times New Roman"/>
          <w:bCs/>
          <w:sz w:val="24"/>
          <w:szCs w:val="24"/>
        </w:rPr>
      </w:pPr>
      <w:r w:rsidRPr="00E34E1E">
        <w:rPr>
          <w:rFonts w:ascii="Times New Roman" w:hAnsi="Times New Roman" w:cs="Times New Roman"/>
          <w:bCs/>
          <w:sz w:val="24"/>
          <w:szCs w:val="24"/>
        </w:rPr>
        <w:t xml:space="preserve">Paredzētā modeļa izmaksas nākotnē lielā mērā ietekmē arī nepieciešamais drošības rezervju apjoms. Lai prognozētu šo apjomu, </w:t>
      </w:r>
      <w:proofErr w:type="spellStart"/>
      <w:r w:rsidRPr="00E34E1E">
        <w:rPr>
          <w:rFonts w:ascii="Times New Roman" w:hAnsi="Times New Roman" w:cs="Times New Roman"/>
          <w:bCs/>
          <w:sz w:val="24"/>
          <w:szCs w:val="24"/>
        </w:rPr>
        <w:t>Civitta</w:t>
      </w:r>
      <w:proofErr w:type="spellEnd"/>
      <w:r w:rsidRPr="00E34E1E">
        <w:rPr>
          <w:rFonts w:ascii="Times New Roman" w:hAnsi="Times New Roman" w:cs="Times New Roman"/>
          <w:bCs/>
          <w:sz w:val="24"/>
          <w:szCs w:val="24"/>
        </w:rPr>
        <w:t xml:space="preserve"> 2. pētījumā tiek izmantotas OPEC 2021. gada Pasaules naftas pārskata 2045. gadam ietvaros veiktās prognozes nākotnei. Šī pārskata ietvaros tiek analizēti dažādi faktori saistībā ar globālās ekonomikas izaugsmi, enerģijas un naftas produktu pieprasījumu un piedāvājumu, naftas produktu pārstrādi un tirdzniecību, kā arī citi faktori, kas var ietekmēt nozares izaugsmi nākotnē, piemēram, politikas izmaiņas, ilgtspējīgas attīstības aspektu aktualizēšanās un tehnoloģiju turpmāka attīstība. Šo faktoru </w:t>
      </w:r>
      <w:proofErr w:type="spellStart"/>
      <w:r w:rsidRPr="00E34E1E">
        <w:rPr>
          <w:rFonts w:ascii="Times New Roman" w:hAnsi="Times New Roman" w:cs="Times New Roman"/>
          <w:bCs/>
          <w:sz w:val="24"/>
          <w:szCs w:val="24"/>
        </w:rPr>
        <w:t>izvērtējums</w:t>
      </w:r>
      <w:proofErr w:type="spellEnd"/>
      <w:r w:rsidRPr="00E34E1E">
        <w:rPr>
          <w:rFonts w:ascii="Times New Roman" w:hAnsi="Times New Roman" w:cs="Times New Roman"/>
          <w:bCs/>
          <w:sz w:val="24"/>
          <w:szCs w:val="24"/>
        </w:rPr>
        <w:t xml:space="preserve"> ļauj izdarīt noteiktus pieņēmumus par nozari nākotnē (līdz 2045. gadam), tostarp saistībā ar naftas produktu pieprasījumu.</w:t>
      </w:r>
    </w:p>
    <w:p w14:paraId="6F6E1E7D" w14:textId="52E0DC93" w:rsidR="00620C35" w:rsidRDefault="00620C35" w:rsidP="00F23E70">
      <w:pPr>
        <w:spacing w:after="60" w:line="240" w:lineRule="auto"/>
        <w:ind w:firstLine="709"/>
        <w:jc w:val="both"/>
        <w:rPr>
          <w:rFonts w:ascii="Times New Roman" w:hAnsi="Times New Roman" w:cs="Times New Roman"/>
          <w:sz w:val="24"/>
          <w:szCs w:val="24"/>
        </w:rPr>
      </w:pPr>
      <w:r w:rsidRPr="00E34E1E">
        <w:rPr>
          <w:rFonts w:ascii="Times New Roman" w:hAnsi="Times New Roman" w:cs="Times New Roman"/>
          <w:sz w:val="24"/>
          <w:szCs w:val="24"/>
        </w:rPr>
        <w:t>Drošības rezervju apjoms ir mainīgs lielums. Valstij ir nepieciešams nodrošināt drošības rezervju apjomu, kas noteikts Direktīvā 2009/119/EK. Drošības rezervju apjomu iepriekšējos gados attēlots 1. attēlā.</w:t>
      </w:r>
    </w:p>
    <w:p w14:paraId="177ACE38" w14:textId="5D45F383" w:rsidR="00932A84" w:rsidRDefault="00932A84" w:rsidP="00F23E70">
      <w:pPr>
        <w:spacing w:after="60" w:line="240" w:lineRule="auto"/>
        <w:ind w:firstLine="709"/>
        <w:jc w:val="both"/>
        <w:rPr>
          <w:rFonts w:ascii="Times New Roman" w:hAnsi="Times New Roman" w:cs="Times New Roman"/>
          <w:sz w:val="24"/>
          <w:szCs w:val="24"/>
        </w:rPr>
      </w:pPr>
    </w:p>
    <w:p w14:paraId="5F9BD921" w14:textId="77777777" w:rsidR="00932A84" w:rsidRPr="00E34E1E" w:rsidRDefault="00932A84" w:rsidP="00F23E70">
      <w:pPr>
        <w:spacing w:after="60" w:line="240" w:lineRule="auto"/>
        <w:ind w:firstLine="709"/>
        <w:jc w:val="both"/>
        <w:rPr>
          <w:rFonts w:ascii="Times New Roman" w:hAnsi="Times New Roman" w:cs="Times New Roman"/>
          <w:sz w:val="24"/>
          <w:szCs w:val="24"/>
        </w:rPr>
      </w:pPr>
    </w:p>
    <w:p w14:paraId="6E948DC1" w14:textId="77777777" w:rsidR="00620C35" w:rsidRPr="00E34E1E" w:rsidRDefault="00620C35" w:rsidP="00620C35">
      <w:pPr>
        <w:spacing w:line="360" w:lineRule="auto"/>
        <w:jc w:val="both"/>
        <w:rPr>
          <w:rFonts w:ascii="Arial" w:hAnsi="Arial" w:cs="Arial"/>
          <w:sz w:val="24"/>
          <w:szCs w:val="24"/>
        </w:rPr>
      </w:pPr>
      <w:r w:rsidRPr="00E34E1E">
        <w:rPr>
          <w:rFonts w:ascii="Arial" w:hAnsi="Arial" w:cs="Arial"/>
          <w:noProof/>
          <w:sz w:val="24"/>
          <w:szCs w:val="24"/>
        </w:rPr>
        <w:lastRenderedPageBreak/>
        <w:drawing>
          <wp:inline distT="0" distB="0" distL="0" distR="0" wp14:anchorId="621D7CEF" wp14:editId="204EB996">
            <wp:extent cx="5998845" cy="3213100"/>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98845" cy="3213100"/>
                    </a:xfrm>
                    <a:prstGeom prst="rect">
                      <a:avLst/>
                    </a:prstGeom>
                    <a:noFill/>
                  </pic:spPr>
                </pic:pic>
              </a:graphicData>
            </a:graphic>
          </wp:inline>
        </w:drawing>
      </w:r>
    </w:p>
    <w:p w14:paraId="540F1821" w14:textId="1FB5CA55" w:rsidR="00620C35" w:rsidRPr="00E34E1E" w:rsidRDefault="00620C35" w:rsidP="004364F3">
      <w:pPr>
        <w:spacing w:before="120" w:after="0" w:line="240" w:lineRule="auto"/>
        <w:jc w:val="center"/>
        <w:rPr>
          <w:rFonts w:ascii="Times New Roman" w:hAnsi="Times New Roman" w:cs="Times New Roman"/>
          <w:bCs/>
          <w:sz w:val="20"/>
          <w:szCs w:val="20"/>
        </w:rPr>
      </w:pPr>
      <w:r w:rsidRPr="00E34E1E">
        <w:rPr>
          <w:rFonts w:ascii="Times New Roman" w:hAnsi="Times New Roman" w:cs="Times New Roman"/>
          <w:bCs/>
          <w:sz w:val="20"/>
          <w:szCs w:val="20"/>
        </w:rPr>
        <w:t xml:space="preserve">1. attēls. Vēsturiskais drošības rezervju apjoms Latvijā, 2011.-2022. gads, T (Avots: BVKB un </w:t>
      </w:r>
      <w:r w:rsidR="009F5880" w:rsidRPr="00E34E1E">
        <w:rPr>
          <w:rFonts w:ascii="Times New Roman" w:hAnsi="Times New Roman" w:cs="Times New Roman"/>
          <w:bCs/>
          <w:sz w:val="20"/>
          <w:szCs w:val="20"/>
        </w:rPr>
        <w:t>EM</w:t>
      </w:r>
      <w:r w:rsidRPr="00E34E1E">
        <w:rPr>
          <w:rFonts w:ascii="Times New Roman" w:hAnsi="Times New Roman" w:cs="Times New Roman"/>
          <w:bCs/>
          <w:sz w:val="20"/>
          <w:szCs w:val="20"/>
        </w:rPr>
        <w:t xml:space="preserve"> dati)</w:t>
      </w:r>
    </w:p>
    <w:p w14:paraId="47930D32" w14:textId="77777777" w:rsidR="00620C35" w:rsidRPr="00E34E1E" w:rsidRDefault="00620C35" w:rsidP="005E289E">
      <w:pPr>
        <w:spacing w:after="0" w:line="240" w:lineRule="auto"/>
        <w:ind w:firstLine="709"/>
        <w:jc w:val="both"/>
        <w:rPr>
          <w:rFonts w:ascii="Times New Roman" w:hAnsi="Times New Roman" w:cs="Times New Roman"/>
          <w:bCs/>
          <w:sz w:val="24"/>
          <w:szCs w:val="24"/>
        </w:rPr>
      </w:pPr>
    </w:p>
    <w:p w14:paraId="07467E35" w14:textId="0620214D" w:rsidR="005E289E" w:rsidRPr="00E34E1E" w:rsidRDefault="005E289E" w:rsidP="004364F3">
      <w:pPr>
        <w:spacing w:after="240" w:line="240" w:lineRule="auto"/>
        <w:ind w:firstLine="709"/>
        <w:jc w:val="both"/>
        <w:rPr>
          <w:rFonts w:ascii="Times New Roman" w:hAnsi="Times New Roman" w:cs="Times New Roman"/>
          <w:bCs/>
          <w:sz w:val="24"/>
          <w:szCs w:val="24"/>
        </w:rPr>
      </w:pPr>
      <w:r w:rsidRPr="00E34E1E">
        <w:rPr>
          <w:rFonts w:ascii="Times New Roman" w:hAnsi="Times New Roman" w:cs="Times New Roman"/>
          <w:bCs/>
          <w:sz w:val="24"/>
          <w:szCs w:val="24"/>
        </w:rPr>
        <w:t xml:space="preserve">2020. gadā naftas produktu pieprasījums strauji kritās Covid-19 pandēmijas ietekmē, taču OPEC prognozē, ka līdz ar pakāpenisku ekonomikas atveseļošanos tuvākajos gados augs arī naftas produktu pieprasījums. Tiek prognozēts, ka pieprasījums pēc naftas produktiem atšķiras dažādos pasaules reģionos. Analizējot ilgtermiņa prognozes, pasaulē pieprasījums pēc naftas produktiem līdz 2045. gadam pieaugs no 90,6 </w:t>
      </w:r>
      <w:proofErr w:type="spellStart"/>
      <w:r w:rsidRPr="00E34E1E">
        <w:rPr>
          <w:rFonts w:ascii="Times New Roman" w:hAnsi="Times New Roman" w:cs="Times New Roman"/>
          <w:bCs/>
          <w:sz w:val="24"/>
          <w:szCs w:val="24"/>
        </w:rPr>
        <w:t>mb</w:t>
      </w:r>
      <w:proofErr w:type="spellEnd"/>
      <w:r w:rsidRPr="00E34E1E">
        <w:rPr>
          <w:rFonts w:ascii="Times New Roman" w:hAnsi="Times New Roman" w:cs="Times New Roman"/>
          <w:bCs/>
          <w:sz w:val="24"/>
          <w:szCs w:val="24"/>
        </w:rPr>
        <w:t xml:space="preserve">/d 2020. gadā līdz 108,2 </w:t>
      </w:r>
      <w:proofErr w:type="spellStart"/>
      <w:r w:rsidRPr="00E34E1E">
        <w:rPr>
          <w:rFonts w:ascii="Times New Roman" w:hAnsi="Times New Roman" w:cs="Times New Roman"/>
          <w:bCs/>
          <w:sz w:val="24"/>
          <w:szCs w:val="24"/>
        </w:rPr>
        <w:t>mb</w:t>
      </w:r>
      <w:proofErr w:type="spellEnd"/>
      <w:r w:rsidRPr="00E34E1E">
        <w:rPr>
          <w:rFonts w:ascii="Times New Roman" w:hAnsi="Times New Roman" w:cs="Times New Roman"/>
          <w:bCs/>
          <w:sz w:val="24"/>
          <w:szCs w:val="24"/>
        </w:rPr>
        <w:t>/d 2045. gadā (pieaugums par 19,5%). Pieaugumu veicinās ārpus OECD esošās valstis, piemēram, Indija, Ķīna un OPEC dalībvalstis (52,5% pieaugums šajā laika periodā). Turpretī OECD dalībvalstīs šajā laika periodā tiek prognozēts šī rādītāja samazinājums par 18,8%. Arī OECD Eiropas dalībvalstīs tiek prognozēts šī rādītāja samazinājums  (skatīt 2. attēlu).</w:t>
      </w:r>
    </w:p>
    <w:p w14:paraId="36646C01" w14:textId="77777777" w:rsidR="005E289E" w:rsidRPr="00E34E1E" w:rsidRDefault="005E289E" w:rsidP="005E289E">
      <w:pPr>
        <w:spacing w:after="0" w:line="240" w:lineRule="auto"/>
        <w:jc w:val="both"/>
        <w:rPr>
          <w:rFonts w:ascii="Times New Roman" w:hAnsi="Times New Roman" w:cs="Times New Roman"/>
          <w:bCs/>
          <w:sz w:val="24"/>
          <w:szCs w:val="24"/>
        </w:rPr>
      </w:pPr>
      <w:r w:rsidRPr="00E34E1E">
        <w:rPr>
          <w:rFonts w:ascii="Times New Roman" w:eastAsia="Arial" w:hAnsi="Times New Roman" w:cs="Times New Roman"/>
          <w:noProof/>
          <w:sz w:val="24"/>
          <w:szCs w:val="24"/>
        </w:rPr>
        <w:drawing>
          <wp:inline distT="114300" distB="114300" distL="114300" distR="114300" wp14:anchorId="19A71F71" wp14:editId="3B6DEE98">
            <wp:extent cx="5943600" cy="2870149"/>
            <wp:effectExtent l="0" t="0" r="0" b="0"/>
            <wp:docPr id="82" name="image29.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82" name="image29.png" descr="Chart, bar chart&#10;&#10;Description automatically generated"/>
                    <pic:cNvPicPr preferRelativeResize="0"/>
                  </pic:nvPicPr>
                  <pic:blipFill>
                    <a:blip r:embed="rId15"/>
                    <a:srcRect/>
                    <a:stretch>
                      <a:fillRect/>
                    </a:stretch>
                  </pic:blipFill>
                  <pic:spPr>
                    <a:xfrm>
                      <a:off x="0" y="0"/>
                      <a:ext cx="5943600" cy="2870149"/>
                    </a:xfrm>
                    <a:prstGeom prst="rect">
                      <a:avLst/>
                    </a:prstGeom>
                    <a:ln/>
                  </pic:spPr>
                </pic:pic>
              </a:graphicData>
            </a:graphic>
          </wp:inline>
        </w:drawing>
      </w:r>
    </w:p>
    <w:p w14:paraId="45903768" w14:textId="77777777" w:rsidR="005E289E" w:rsidRPr="00E34E1E" w:rsidRDefault="005E289E" w:rsidP="004364F3">
      <w:pPr>
        <w:spacing w:after="240" w:line="240" w:lineRule="auto"/>
        <w:jc w:val="center"/>
        <w:rPr>
          <w:rFonts w:ascii="Times New Roman" w:hAnsi="Times New Roman" w:cs="Times New Roman"/>
          <w:sz w:val="20"/>
          <w:szCs w:val="20"/>
        </w:rPr>
      </w:pPr>
      <w:r w:rsidRPr="00E34E1E">
        <w:rPr>
          <w:rFonts w:ascii="Times New Roman" w:hAnsi="Times New Roman" w:cs="Times New Roman"/>
          <w:sz w:val="20"/>
          <w:szCs w:val="20"/>
        </w:rPr>
        <w:t xml:space="preserve">2. attēls. Prognozētais ilgtermiņa pieprasījums pēc naftas produktiem OECD Eiropas dalībvalstīs, 2020.-2045. gads, MB/D (Avots: OPEC. </w:t>
      </w:r>
      <w:proofErr w:type="spellStart"/>
      <w:r w:rsidRPr="00E34E1E">
        <w:rPr>
          <w:rFonts w:ascii="Times New Roman" w:hAnsi="Times New Roman" w:cs="Times New Roman"/>
          <w:sz w:val="20"/>
          <w:szCs w:val="20"/>
        </w:rPr>
        <w:t>World</w:t>
      </w:r>
      <w:proofErr w:type="spellEnd"/>
      <w:r w:rsidRPr="00E34E1E">
        <w:rPr>
          <w:rFonts w:ascii="Times New Roman" w:hAnsi="Times New Roman" w:cs="Times New Roman"/>
          <w:sz w:val="20"/>
          <w:szCs w:val="20"/>
        </w:rPr>
        <w:t xml:space="preserve"> Oil Outlook 2045. 2021. gads)</w:t>
      </w:r>
    </w:p>
    <w:p w14:paraId="6F5B70D6" w14:textId="77777777" w:rsidR="005E289E" w:rsidRPr="00E34E1E" w:rsidRDefault="005E289E" w:rsidP="005E289E">
      <w:pPr>
        <w:spacing w:after="0" w:line="240" w:lineRule="auto"/>
        <w:ind w:firstLine="720"/>
        <w:jc w:val="both"/>
        <w:rPr>
          <w:rFonts w:ascii="Times New Roman" w:hAnsi="Times New Roman" w:cs="Times New Roman"/>
          <w:bCs/>
          <w:sz w:val="24"/>
          <w:szCs w:val="24"/>
        </w:rPr>
      </w:pPr>
    </w:p>
    <w:p w14:paraId="48AA70D7" w14:textId="08C11003" w:rsidR="005E289E" w:rsidRPr="00E34E1E" w:rsidRDefault="005E289E" w:rsidP="00804903">
      <w:pPr>
        <w:spacing w:after="60" w:line="240" w:lineRule="auto"/>
        <w:ind w:firstLine="720"/>
        <w:jc w:val="both"/>
        <w:rPr>
          <w:rFonts w:ascii="Times New Roman" w:hAnsi="Times New Roman" w:cs="Times New Roman"/>
          <w:bCs/>
          <w:sz w:val="24"/>
          <w:szCs w:val="24"/>
        </w:rPr>
      </w:pPr>
      <w:r w:rsidRPr="00E34E1E">
        <w:rPr>
          <w:rFonts w:ascii="Times New Roman" w:hAnsi="Times New Roman" w:cs="Times New Roman"/>
          <w:bCs/>
          <w:sz w:val="24"/>
          <w:szCs w:val="24"/>
        </w:rPr>
        <w:t xml:space="preserve">Šīs prognozes paredz, ka kopumā OECD valstis, neskatoties uz plānoto naftas produktu pieprasījuma pieaugumu pāris tuvākajos gados, vairs nesasniegs līmeni, kas bija vērojams pirms Covid-19 pandēmijas. Lielā mērā to ietekmē dažādi aspekti, taču OPEC </w:t>
      </w:r>
      <w:r w:rsidRPr="00E34E1E">
        <w:rPr>
          <w:rFonts w:ascii="Times New Roman" w:hAnsi="Times New Roman" w:cs="Times New Roman"/>
          <w:bCs/>
          <w:sz w:val="24"/>
          <w:szCs w:val="24"/>
        </w:rPr>
        <w:lastRenderedPageBreak/>
        <w:t>prognozes īpaši izceļ energoefektivitātes uzlabošanu dažādās nozarēs, kā arī naftas produktu pakāpenisku aizstāšanu ar atjaunojamiem energoresursiem, dažādu nozaru elektrifikāciju, vairākos reģionos novērojamu ne tik strauju ekonomisko izaugsmi un demogrāfiskās problēmas. Naftas produktu pieprasījuma līmeni ietekmē Krievijas iebrukums Ukrainā – tiek prognozēts, ja konflikts ievilksies, tad tā rezultātā var kristies pieprasījums pēc naftas produktiem.  Tāpat jau pašlaik ir vērojam</w:t>
      </w:r>
      <w:r w:rsidR="004339F0" w:rsidRPr="00E34E1E">
        <w:rPr>
          <w:rFonts w:ascii="Times New Roman" w:hAnsi="Times New Roman" w:cs="Times New Roman"/>
          <w:bCs/>
          <w:sz w:val="24"/>
          <w:szCs w:val="24"/>
        </w:rPr>
        <w:t>a</w:t>
      </w:r>
      <w:r w:rsidRPr="00E34E1E">
        <w:rPr>
          <w:rFonts w:ascii="Times New Roman" w:hAnsi="Times New Roman" w:cs="Times New Roman"/>
          <w:bCs/>
          <w:sz w:val="24"/>
          <w:szCs w:val="24"/>
        </w:rPr>
        <w:t>s būtisk</w:t>
      </w:r>
      <w:r w:rsidR="00D438E1" w:rsidRPr="00E34E1E">
        <w:rPr>
          <w:rFonts w:ascii="Times New Roman" w:hAnsi="Times New Roman" w:cs="Times New Roman"/>
          <w:bCs/>
          <w:sz w:val="24"/>
          <w:szCs w:val="24"/>
        </w:rPr>
        <w:t>a</w:t>
      </w:r>
      <w:r w:rsidRPr="00E34E1E">
        <w:rPr>
          <w:rFonts w:ascii="Times New Roman" w:hAnsi="Times New Roman" w:cs="Times New Roman"/>
          <w:bCs/>
          <w:sz w:val="24"/>
          <w:szCs w:val="24"/>
        </w:rPr>
        <w:t xml:space="preserve">s cenu </w:t>
      </w:r>
      <w:r w:rsidR="00D438E1" w:rsidRPr="00E34E1E">
        <w:rPr>
          <w:rFonts w:ascii="Times New Roman" w:hAnsi="Times New Roman" w:cs="Times New Roman"/>
          <w:bCs/>
          <w:sz w:val="24"/>
          <w:szCs w:val="24"/>
        </w:rPr>
        <w:t>svārstības</w:t>
      </w:r>
      <w:r w:rsidRPr="00E34E1E">
        <w:rPr>
          <w:rFonts w:ascii="Times New Roman" w:hAnsi="Times New Roman" w:cs="Times New Roman"/>
          <w:bCs/>
          <w:sz w:val="24"/>
          <w:szCs w:val="24"/>
        </w:rPr>
        <w:t xml:space="preserve"> naftas produktiem. Šo notikumu ilgtermiņa ietekmi pašreizējā brīdī ir gandrīz neiespējami paredzēt, taču tas var atstāt ievērojamu ietekmi uz šajā ziņojumā aprakstītajiem pieņēmumiem.</w:t>
      </w:r>
    </w:p>
    <w:p w14:paraId="4DB7BCB3" w14:textId="77777777" w:rsidR="005E289E" w:rsidRPr="00E34E1E" w:rsidRDefault="005E289E" w:rsidP="00804903">
      <w:pPr>
        <w:spacing w:after="240" w:line="240" w:lineRule="auto"/>
        <w:ind w:firstLine="720"/>
        <w:jc w:val="both"/>
        <w:rPr>
          <w:rFonts w:ascii="Times New Roman" w:hAnsi="Times New Roman" w:cs="Times New Roman"/>
          <w:bCs/>
          <w:sz w:val="24"/>
          <w:szCs w:val="24"/>
        </w:rPr>
      </w:pPr>
      <w:r w:rsidRPr="00E34E1E">
        <w:rPr>
          <w:rFonts w:ascii="Times New Roman" w:hAnsi="Times New Roman" w:cs="Times New Roman"/>
          <w:bCs/>
          <w:sz w:val="24"/>
          <w:szCs w:val="24"/>
        </w:rPr>
        <w:t>Pielietojot prognozētos pieprasījuma izaugsmes pieauguma tempus, ir iespējams aprēķināt attiecīgās izmaiņas drošības rezervju apjomā, par kurām nākotnē būs atbildīga drošības rezervju pārvaldības institūcija (3. attēls).</w:t>
      </w:r>
    </w:p>
    <w:p w14:paraId="1CCEFBA4" w14:textId="77777777" w:rsidR="005E289E" w:rsidRPr="00E34E1E" w:rsidRDefault="005E289E" w:rsidP="005E289E">
      <w:pPr>
        <w:spacing w:after="0" w:line="240" w:lineRule="auto"/>
        <w:jc w:val="both"/>
        <w:rPr>
          <w:rFonts w:ascii="Times New Roman" w:hAnsi="Times New Roman" w:cs="Times New Roman"/>
          <w:bCs/>
          <w:sz w:val="24"/>
          <w:szCs w:val="24"/>
        </w:rPr>
      </w:pPr>
      <w:r w:rsidRPr="00E34E1E">
        <w:rPr>
          <w:rFonts w:ascii="Times New Roman" w:eastAsia="Arial" w:hAnsi="Times New Roman" w:cs="Times New Roman"/>
          <w:bCs/>
          <w:noProof/>
          <w:sz w:val="24"/>
          <w:szCs w:val="24"/>
          <w:lang w:eastAsia="ja-JP"/>
        </w:rPr>
        <w:drawing>
          <wp:inline distT="114300" distB="114300" distL="114300" distR="114300" wp14:anchorId="03670E12" wp14:editId="23937BA4">
            <wp:extent cx="5943600" cy="2945679"/>
            <wp:effectExtent l="0" t="0" r="0" b="0"/>
            <wp:docPr id="69" name="image15.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69" name="image15.png" descr="Chart&#10;&#10;Description automatically generated"/>
                    <pic:cNvPicPr preferRelativeResize="0"/>
                  </pic:nvPicPr>
                  <pic:blipFill>
                    <a:blip r:embed="rId16"/>
                    <a:srcRect/>
                    <a:stretch>
                      <a:fillRect/>
                    </a:stretch>
                  </pic:blipFill>
                  <pic:spPr>
                    <a:xfrm>
                      <a:off x="0" y="0"/>
                      <a:ext cx="5943600" cy="2945679"/>
                    </a:xfrm>
                    <a:prstGeom prst="rect">
                      <a:avLst/>
                    </a:prstGeom>
                    <a:ln/>
                  </pic:spPr>
                </pic:pic>
              </a:graphicData>
            </a:graphic>
          </wp:inline>
        </w:drawing>
      </w:r>
    </w:p>
    <w:p w14:paraId="4B988989" w14:textId="77777777" w:rsidR="005E289E" w:rsidRPr="00E34E1E" w:rsidRDefault="005E289E" w:rsidP="005E289E">
      <w:pPr>
        <w:spacing w:after="0" w:line="240" w:lineRule="auto"/>
        <w:jc w:val="center"/>
        <w:rPr>
          <w:rFonts w:ascii="Times New Roman" w:hAnsi="Times New Roman" w:cs="Times New Roman"/>
          <w:sz w:val="20"/>
          <w:szCs w:val="20"/>
        </w:rPr>
      </w:pPr>
      <w:r w:rsidRPr="00E34E1E">
        <w:rPr>
          <w:rFonts w:ascii="Times New Roman" w:hAnsi="Times New Roman" w:cs="Times New Roman"/>
          <w:sz w:val="20"/>
          <w:szCs w:val="20"/>
        </w:rPr>
        <w:t xml:space="preserve">3. attēls. Prognozētais drošības rezervju apjoms, 2023.-2029. gads, T (Avots: </w:t>
      </w:r>
      <w:proofErr w:type="spellStart"/>
      <w:r w:rsidRPr="00E34E1E">
        <w:rPr>
          <w:rFonts w:ascii="Times New Roman" w:hAnsi="Times New Roman" w:cs="Times New Roman"/>
          <w:sz w:val="20"/>
          <w:szCs w:val="20"/>
        </w:rPr>
        <w:t>Civitta</w:t>
      </w:r>
      <w:proofErr w:type="spellEnd"/>
      <w:r w:rsidRPr="00E34E1E">
        <w:rPr>
          <w:rFonts w:ascii="Times New Roman" w:hAnsi="Times New Roman" w:cs="Times New Roman"/>
          <w:sz w:val="20"/>
          <w:szCs w:val="20"/>
        </w:rPr>
        <w:t xml:space="preserve"> 2. pētījuma aprēķini)</w:t>
      </w:r>
    </w:p>
    <w:p w14:paraId="29BCA7AB" w14:textId="77777777" w:rsidR="005E289E" w:rsidRPr="00E34E1E" w:rsidRDefault="005E289E" w:rsidP="005E289E">
      <w:pPr>
        <w:spacing w:after="0" w:line="240" w:lineRule="auto"/>
        <w:jc w:val="both"/>
        <w:rPr>
          <w:rFonts w:ascii="Times New Roman" w:hAnsi="Times New Roman" w:cs="Times New Roman"/>
          <w:sz w:val="24"/>
          <w:szCs w:val="24"/>
        </w:rPr>
      </w:pPr>
    </w:p>
    <w:p w14:paraId="35E12722" w14:textId="34518B46" w:rsidR="005E289E" w:rsidRPr="00E34E1E" w:rsidRDefault="005E289E" w:rsidP="005E289E">
      <w:pPr>
        <w:spacing w:after="0" w:line="240" w:lineRule="auto"/>
        <w:ind w:firstLine="709"/>
        <w:jc w:val="both"/>
        <w:rPr>
          <w:rFonts w:ascii="Times New Roman" w:hAnsi="Times New Roman" w:cs="Times New Roman"/>
          <w:sz w:val="24"/>
          <w:szCs w:val="24"/>
        </w:rPr>
      </w:pPr>
      <w:r w:rsidRPr="00E34E1E">
        <w:rPr>
          <w:rFonts w:ascii="Times New Roman" w:hAnsi="Times New Roman" w:cs="Times New Roman"/>
          <w:sz w:val="24"/>
          <w:szCs w:val="24"/>
        </w:rPr>
        <w:t>3. attēlā pēc veiktajiem aprēķiniem redzams, ka sākotnēji tiek prognozēts drošības rezervju apjoma neliels pieaugums, kas apjoma ziņā maksimumu sasniegtu 2023. gadā (306 672 T). Pēc tam būtu gaidāms pakāpenisks kritums un 2029. gadā, kas ir pēdējais analizētais gads, tiktu sasniegts zemākais drošības rezervju apjoms – 290 641 T, kas būtu 4,5% samazinājums salīdzinājumā ar 2022. gad</w:t>
      </w:r>
      <w:r w:rsidR="004E15A6" w:rsidRPr="00E34E1E">
        <w:rPr>
          <w:rFonts w:ascii="Times New Roman" w:hAnsi="Times New Roman" w:cs="Times New Roman"/>
          <w:sz w:val="24"/>
          <w:szCs w:val="24"/>
        </w:rPr>
        <w:t>ā</w:t>
      </w:r>
      <w:r w:rsidRPr="00E34E1E">
        <w:rPr>
          <w:rFonts w:ascii="Times New Roman" w:hAnsi="Times New Roman" w:cs="Times New Roman"/>
          <w:sz w:val="24"/>
          <w:szCs w:val="24"/>
        </w:rPr>
        <w:t xml:space="preserve"> uzglabāto drošības rezervju apjomu. Ņemot vērā paredzamo naftas produktu pieprasījuma kritumu šajā reģionā nākotnē, pēc esošajiem pieņēmumiem var secināt, ka arī pēc 2029. gada drošības rezervju apjoms var piedzīvot kritumu.</w:t>
      </w:r>
    </w:p>
    <w:p w14:paraId="60477955" w14:textId="20CFD3EB" w:rsidR="00D438E1" w:rsidRPr="00E34E1E" w:rsidRDefault="00D438E1" w:rsidP="00D438E1">
      <w:pPr>
        <w:spacing w:after="0" w:line="240" w:lineRule="auto"/>
        <w:ind w:firstLine="709"/>
        <w:jc w:val="both"/>
        <w:rPr>
          <w:rFonts w:ascii="Times New Roman" w:hAnsi="Times New Roman" w:cs="Times New Roman"/>
          <w:sz w:val="24"/>
          <w:szCs w:val="24"/>
        </w:rPr>
      </w:pPr>
      <w:r w:rsidRPr="00E34E1E">
        <w:rPr>
          <w:rFonts w:ascii="Times New Roman" w:hAnsi="Times New Roman" w:cs="Times New Roman"/>
          <w:sz w:val="24"/>
          <w:szCs w:val="24"/>
        </w:rPr>
        <w:t>Lai spētu nodrošināt papildu izdevumu segšanu un nodrošinātu, ka drošības rezerves atbilst degvielas kvalitātes standartiem, drošības rezerves ir paredzēts rotēt – benzīnu paredzēts rotēt reizi gadā, bet dīzeļdegvielu paredzēts rotēt reizi divos gados. Tas nozīmē, ka benzīna pirmo rotāciju būs iespējams veikt 2025. gadā, bet dīzeļdegvielas – 2026. gadā</w:t>
      </w:r>
      <w:r w:rsidR="00BB38A9" w:rsidRPr="00E34E1E">
        <w:rPr>
          <w:rFonts w:ascii="Times New Roman" w:hAnsi="Times New Roman" w:cs="Times New Roman"/>
          <w:sz w:val="24"/>
          <w:szCs w:val="24"/>
        </w:rPr>
        <w:t xml:space="preserve"> (</w:t>
      </w:r>
      <w:proofErr w:type="spellStart"/>
      <w:r w:rsidR="00BB38A9" w:rsidRPr="00E34E1E">
        <w:rPr>
          <w:rFonts w:ascii="Times New Roman" w:hAnsi="Times New Roman" w:cs="Times New Roman"/>
          <w:sz w:val="24"/>
          <w:szCs w:val="24"/>
        </w:rPr>
        <w:t>sk.arī</w:t>
      </w:r>
      <w:proofErr w:type="spellEnd"/>
      <w:r w:rsidR="00BB38A9" w:rsidRPr="00E34E1E">
        <w:rPr>
          <w:rFonts w:ascii="Times New Roman" w:hAnsi="Times New Roman" w:cs="Times New Roman"/>
          <w:sz w:val="24"/>
          <w:szCs w:val="24"/>
        </w:rPr>
        <w:t xml:space="preserve"> 4. attēlu)</w:t>
      </w:r>
    </w:p>
    <w:p w14:paraId="3106A831" w14:textId="77777777" w:rsidR="00D438E1" w:rsidRPr="00E34E1E" w:rsidRDefault="00D438E1" w:rsidP="00D438E1">
      <w:pPr>
        <w:spacing w:after="0" w:line="240" w:lineRule="auto"/>
        <w:jc w:val="both"/>
        <w:rPr>
          <w:rFonts w:ascii="Arial" w:hAnsi="Arial" w:cs="Arial"/>
          <w:sz w:val="24"/>
          <w:szCs w:val="24"/>
        </w:rPr>
      </w:pPr>
      <w:r w:rsidRPr="00E34E1E">
        <w:rPr>
          <w:noProof/>
        </w:rPr>
        <w:lastRenderedPageBreak/>
        <w:drawing>
          <wp:inline distT="0" distB="0" distL="0" distR="0" wp14:anchorId="35E1BECC" wp14:editId="306167E9">
            <wp:extent cx="5943600" cy="2839720"/>
            <wp:effectExtent l="0" t="0" r="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5943600" cy="2839720"/>
                    </a:xfrm>
                    <a:prstGeom prst="rect">
                      <a:avLst/>
                    </a:prstGeom>
                  </pic:spPr>
                </pic:pic>
              </a:graphicData>
            </a:graphic>
          </wp:inline>
        </w:drawing>
      </w:r>
    </w:p>
    <w:p w14:paraId="676F325F" w14:textId="77777777" w:rsidR="00D438E1" w:rsidRPr="00E34E1E" w:rsidRDefault="00D438E1" w:rsidP="00D438E1">
      <w:pPr>
        <w:spacing w:after="0" w:line="240" w:lineRule="auto"/>
        <w:jc w:val="center"/>
        <w:rPr>
          <w:rFonts w:ascii="Times New Roman" w:hAnsi="Times New Roman" w:cs="Times New Roman"/>
          <w:sz w:val="20"/>
          <w:szCs w:val="20"/>
        </w:rPr>
      </w:pPr>
      <w:r w:rsidRPr="00E34E1E">
        <w:rPr>
          <w:rFonts w:ascii="Times New Roman" w:hAnsi="Times New Roman" w:cs="Times New Roman"/>
          <w:sz w:val="20"/>
          <w:szCs w:val="20"/>
        </w:rPr>
        <w:t xml:space="preserve">4. attēls. Prognozētais drošības rezervju apjoms, kas pieejams rotācijai, 2025.-2029. gads, tūkst. T (Avots: </w:t>
      </w:r>
      <w:proofErr w:type="spellStart"/>
      <w:r w:rsidRPr="00E34E1E">
        <w:rPr>
          <w:rFonts w:ascii="Times New Roman" w:hAnsi="Times New Roman" w:cs="Times New Roman"/>
          <w:sz w:val="20"/>
          <w:szCs w:val="20"/>
        </w:rPr>
        <w:t>Civitta</w:t>
      </w:r>
      <w:proofErr w:type="spellEnd"/>
      <w:r w:rsidRPr="00E34E1E">
        <w:rPr>
          <w:rFonts w:ascii="Times New Roman" w:hAnsi="Times New Roman" w:cs="Times New Roman"/>
          <w:sz w:val="20"/>
          <w:szCs w:val="20"/>
        </w:rPr>
        <w:t xml:space="preserve"> 2. pētījums)</w:t>
      </w:r>
    </w:p>
    <w:p w14:paraId="0A3A52D9" w14:textId="77777777" w:rsidR="00D438E1" w:rsidRPr="00E34E1E" w:rsidRDefault="00D438E1" w:rsidP="00D438E1">
      <w:pPr>
        <w:spacing w:after="0" w:line="240" w:lineRule="auto"/>
        <w:ind w:firstLine="720"/>
        <w:jc w:val="both"/>
        <w:rPr>
          <w:rFonts w:ascii="Arial" w:hAnsi="Arial" w:cs="Arial"/>
          <w:sz w:val="24"/>
          <w:szCs w:val="24"/>
        </w:rPr>
      </w:pPr>
    </w:p>
    <w:p w14:paraId="2FEC46CC" w14:textId="4C162FF3" w:rsidR="00D438E1" w:rsidRPr="00E34E1E" w:rsidRDefault="00D438E1" w:rsidP="00D438E1">
      <w:pPr>
        <w:spacing w:after="0" w:line="240" w:lineRule="auto"/>
        <w:ind w:firstLine="720"/>
        <w:jc w:val="both"/>
        <w:rPr>
          <w:rFonts w:ascii="Times New Roman" w:hAnsi="Times New Roman" w:cs="Times New Roman"/>
          <w:sz w:val="24"/>
          <w:szCs w:val="24"/>
        </w:rPr>
      </w:pPr>
      <w:r w:rsidRPr="00E34E1E">
        <w:rPr>
          <w:rFonts w:ascii="Times New Roman" w:hAnsi="Times New Roman" w:cs="Times New Roman"/>
          <w:sz w:val="24"/>
          <w:szCs w:val="24"/>
        </w:rPr>
        <w:t xml:space="preserve">Ņemot vērā, ka šajā laika periodā drošības rezerves vēl pakāpeniski tiek iegādātas valsts īpašumā un to, ka dīzeļdegvielu paredzēts rotēt reizi 2 gados, ir izskaidrojams, kādēļ līdz 2029. gadam, pie pieņemtā drošības rezervju sadalījuma pa naftas produktu kategorijām, rotētās dīzeļdegvielas apjomi ir mazāki nekā benzīna apjomi. </w:t>
      </w:r>
    </w:p>
    <w:p w14:paraId="1664C33F" w14:textId="3758DF1C" w:rsidR="00D438E1" w:rsidRPr="00E34E1E" w:rsidRDefault="00D438E1" w:rsidP="00D438E1">
      <w:pPr>
        <w:spacing w:after="0" w:line="240" w:lineRule="auto"/>
        <w:ind w:firstLine="709"/>
        <w:jc w:val="both"/>
        <w:rPr>
          <w:rFonts w:ascii="Times New Roman" w:hAnsi="Times New Roman" w:cs="Times New Roman"/>
          <w:sz w:val="24"/>
          <w:szCs w:val="24"/>
        </w:rPr>
      </w:pPr>
      <w:r w:rsidRPr="00E34E1E">
        <w:rPr>
          <w:rFonts w:ascii="Times New Roman" w:hAnsi="Times New Roman" w:cs="Times New Roman"/>
          <w:sz w:val="24"/>
          <w:szCs w:val="24"/>
        </w:rPr>
        <w:t>Pastāv finanšu risks, ka būs gadījumi, kur nebūs iespējams gūt ieņēmumus no rotācijas operācijām, dažkārt šīs operācijas var radīt arī zaudējumus</w:t>
      </w:r>
      <w:r w:rsidR="004339F0" w:rsidRPr="00E34E1E">
        <w:rPr>
          <w:rFonts w:ascii="Times New Roman" w:hAnsi="Times New Roman" w:cs="Times New Roman"/>
          <w:sz w:val="24"/>
          <w:szCs w:val="24"/>
        </w:rPr>
        <w:t>, j</w:t>
      </w:r>
      <w:r w:rsidRPr="00E34E1E">
        <w:rPr>
          <w:rFonts w:ascii="Times New Roman" w:hAnsi="Times New Roman" w:cs="Times New Roman"/>
          <w:sz w:val="24"/>
          <w:szCs w:val="24"/>
        </w:rPr>
        <w:t>a no rotācijas potenciālajiem ieņēmumiem sedzamo izmaksu daļu nav iespējams segt no rotācijas ieņēmumiem. Lai mazinātu šos riskus</w:t>
      </w:r>
      <w:r w:rsidR="004E15A6" w:rsidRPr="00E34E1E">
        <w:rPr>
          <w:rFonts w:ascii="Times New Roman" w:hAnsi="Times New Roman" w:cs="Times New Roman"/>
          <w:sz w:val="24"/>
          <w:szCs w:val="24"/>
        </w:rPr>
        <w:t>,</w:t>
      </w:r>
      <w:r w:rsidRPr="00E34E1E">
        <w:rPr>
          <w:rFonts w:ascii="Times New Roman" w:hAnsi="Times New Roman" w:cs="Times New Roman"/>
          <w:sz w:val="24"/>
          <w:szCs w:val="24"/>
        </w:rPr>
        <w:t xml:space="preserve"> Possessor</w:t>
      </w:r>
      <w:r w:rsidR="00BB38A9" w:rsidRPr="00E34E1E">
        <w:rPr>
          <w:rFonts w:ascii="Times New Roman" w:hAnsi="Times New Roman" w:cs="Times New Roman"/>
          <w:sz w:val="24"/>
          <w:szCs w:val="24"/>
        </w:rPr>
        <w:t xml:space="preserve">, tas ir, aģentūra </w:t>
      </w:r>
      <w:r w:rsidRPr="00E34E1E">
        <w:rPr>
          <w:rFonts w:ascii="Times New Roman" w:hAnsi="Times New Roman" w:cs="Times New Roman"/>
          <w:sz w:val="24"/>
          <w:szCs w:val="24"/>
        </w:rPr>
        <w:t>izvērtē</w:t>
      </w:r>
      <w:r w:rsidR="00BB38A9" w:rsidRPr="00E34E1E">
        <w:rPr>
          <w:rFonts w:ascii="Times New Roman" w:hAnsi="Times New Roman" w:cs="Times New Roman"/>
          <w:sz w:val="24"/>
          <w:szCs w:val="24"/>
        </w:rPr>
        <w:t xml:space="preserve">tu </w:t>
      </w:r>
      <w:r w:rsidRPr="00E34E1E">
        <w:rPr>
          <w:rFonts w:ascii="Times New Roman" w:hAnsi="Times New Roman" w:cs="Times New Roman"/>
          <w:sz w:val="24"/>
          <w:szCs w:val="24"/>
        </w:rPr>
        <w:t xml:space="preserve">iespējas izmantot </w:t>
      </w:r>
      <w:r w:rsidR="00BB38A9" w:rsidRPr="00E34E1E">
        <w:rPr>
          <w:rFonts w:ascii="Times New Roman" w:hAnsi="Times New Roman" w:cs="Times New Roman"/>
          <w:sz w:val="24"/>
          <w:szCs w:val="24"/>
        </w:rPr>
        <w:t xml:space="preserve">komercdarbībā pieejamos finanšu avotus </w:t>
      </w:r>
      <w:r w:rsidRPr="00E34E1E">
        <w:rPr>
          <w:rFonts w:ascii="Times New Roman" w:hAnsi="Times New Roman" w:cs="Times New Roman"/>
          <w:sz w:val="24"/>
          <w:szCs w:val="24"/>
        </w:rPr>
        <w:t xml:space="preserve">cenu svārstību riska pārvaldībai. </w:t>
      </w:r>
      <w:r w:rsidR="00BB38A9" w:rsidRPr="00E34E1E">
        <w:rPr>
          <w:rFonts w:ascii="Times New Roman" w:hAnsi="Times New Roman" w:cs="Times New Roman"/>
          <w:sz w:val="24"/>
          <w:szCs w:val="24"/>
        </w:rPr>
        <w:t xml:space="preserve">Piemēram, </w:t>
      </w:r>
      <w:r w:rsidRPr="00E34E1E">
        <w:rPr>
          <w:rFonts w:ascii="Times New Roman" w:hAnsi="Times New Roman" w:cs="Times New Roman"/>
          <w:sz w:val="24"/>
          <w:szCs w:val="24"/>
        </w:rPr>
        <w:t xml:space="preserve">Possessor darbinieku vidū jau šobrīd ir eksperti </w:t>
      </w:r>
      <w:r w:rsidR="00BB38A9" w:rsidRPr="00E34E1E">
        <w:rPr>
          <w:rFonts w:ascii="Times New Roman" w:hAnsi="Times New Roman" w:cs="Times New Roman"/>
          <w:sz w:val="24"/>
          <w:szCs w:val="24"/>
        </w:rPr>
        <w:t>dažādu finanšu</w:t>
      </w:r>
      <w:r w:rsidRPr="00E34E1E">
        <w:rPr>
          <w:rFonts w:ascii="Times New Roman" w:hAnsi="Times New Roman" w:cs="Times New Roman"/>
          <w:sz w:val="24"/>
          <w:szCs w:val="24"/>
        </w:rPr>
        <w:t xml:space="preserve"> instrumentu pielietošanā, kas ir būtiska pievienotā vērtība šādu risku novērtēšanai un pārvaldībai, uzņemoties jaun</w:t>
      </w:r>
      <w:r w:rsidR="00BB38A9" w:rsidRPr="00E34E1E">
        <w:rPr>
          <w:rFonts w:ascii="Times New Roman" w:hAnsi="Times New Roman" w:cs="Times New Roman"/>
          <w:sz w:val="24"/>
          <w:szCs w:val="24"/>
        </w:rPr>
        <w:t>as funkcijas</w:t>
      </w:r>
      <w:r w:rsidRPr="00E34E1E">
        <w:rPr>
          <w:rFonts w:ascii="Times New Roman" w:hAnsi="Times New Roman" w:cs="Times New Roman"/>
          <w:sz w:val="24"/>
          <w:szCs w:val="24"/>
        </w:rPr>
        <w:t>.</w:t>
      </w:r>
    </w:p>
    <w:p w14:paraId="7DEBE6CD" w14:textId="52E5FF78" w:rsidR="0000028F" w:rsidRPr="00E34E1E" w:rsidRDefault="00D438E1" w:rsidP="00D438E1">
      <w:pPr>
        <w:pStyle w:val="Style2"/>
      </w:pPr>
      <w:r w:rsidRPr="00E34E1E">
        <w:t>Situācijā, kad drošības rezerves pilnībā ir valsts īpašumā</w:t>
      </w:r>
      <w:r w:rsidR="004339F0" w:rsidRPr="00E34E1E">
        <w:t>,</w:t>
      </w:r>
      <w:r w:rsidRPr="00E34E1E">
        <w:t xml:space="preserve"> potenciālie ietaupījumi no drošības rezervju pārvaldības un rotācijas var tikt novirzīti, lai samazinātu valsts nodevas likmi</w:t>
      </w:r>
      <w:r w:rsidR="00BB38A9" w:rsidRPr="00E34E1E">
        <w:t>, kā arī pielietoti funkciju nodrošināšanai.</w:t>
      </w:r>
    </w:p>
    <w:p w14:paraId="5BB77640" w14:textId="7A8912F0" w:rsidR="00945AEB" w:rsidRPr="00E34E1E" w:rsidRDefault="00945AEB">
      <w:pPr>
        <w:pStyle w:val="Style2"/>
      </w:pPr>
    </w:p>
    <w:p w14:paraId="40DBD2BA" w14:textId="78E5C072" w:rsidR="00F16B9F" w:rsidRDefault="00F16B9F">
      <w:pPr>
        <w:pStyle w:val="Style2"/>
      </w:pPr>
    </w:p>
    <w:p w14:paraId="2114C01D" w14:textId="341AE530" w:rsidR="00932A84" w:rsidRDefault="00932A84">
      <w:pPr>
        <w:pStyle w:val="Style2"/>
      </w:pPr>
    </w:p>
    <w:p w14:paraId="06D73550" w14:textId="0924ED7F" w:rsidR="00932A84" w:rsidRDefault="00932A84">
      <w:pPr>
        <w:pStyle w:val="Style2"/>
      </w:pPr>
    </w:p>
    <w:p w14:paraId="68B7D3C9" w14:textId="6F44BE21" w:rsidR="00932A84" w:rsidRDefault="00932A84">
      <w:pPr>
        <w:pStyle w:val="Style2"/>
      </w:pPr>
    </w:p>
    <w:p w14:paraId="3B3ED859" w14:textId="74FE9895" w:rsidR="00932A84" w:rsidRDefault="00932A84">
      <w:pPr>
        <w:pStyle w:val="Style2"/>
      </w:pPr>
    </w:p>
    <w:p w14:paraId="66308C8E" w14:textId="6F8D0A4F" w:rsidR="00932A84" w:rsidRDefault="00932A84">
      <w:pPr>
        <w:pStyle w:val="Style2"/>
      </w:pPr>
    </w:p>
    <w:p w14:paraId="10D17A07" w14:textId="4F4325CD" w:rsidR="00932A84" w:rsidRDefault="00932A84">
      <w:pPr>
        <w:pStyle w:val="Style2"/>
      </w:pPr>
    </w:p>
    <w:p w14:paraId="5E0DF958" w14:textId="592396EF" w:rsidR="00932A84" w:rsidRDefault="00932A84">
      <w:pPr>
        <w:pStyle w:val="Style2"/>
      </w:pPr>
    </w:p>
    <w:p w14:paraId="4562333A" w14:textId="63542131" w:rsidR="00932A84" w:rsidRDefault="00932A84">
      <w:pPr>
        <w:pStyle w:val="Style2"/>
      </w:pPr>
    </w:p>
    <w:p w14:paraId="2D8A4EEF" w14:textId="2E030383" w:rsidR="00932A84" w:rsidRDefault="00932A84">
      <w:pPr>
        <w:pStyle w:val="Style2"/>
      </w:pPr>
    </w:p>
    <w:p w14:paraId="44AA8684" w14:textId="5CF74C32" w:rsidR="00932A84" w:rsidRDefault="00932A84">
      <w:pPr>
        <w:pStyle w:val="Style2"/>
      </w:pPr>
    </w:p>
    <w:p w14:paraId="1632F6A1" w14:textId="3C2C3782" w:rsidR="00932A84" w:rsidRDefault="00932A84">
      <w:pPr>
        <w:pStyle w:val="Style2"/>
      </w:pPr>
    </w:p>
    <w:p w14:paraId="075A58D6" w14:textId="300EBEB8" w:rsidR="00932A84" w:rsidRDefault="00932A84">
      <w:pPr>
        <w:pStyle w:val="Style2"/>
      </w:pPr>
    </w:p>
    <w:p w14:paraId="40B75C6E" w14:textId="5561BBA8" w:rsidR="00932A84" w:rsidRDefault="00932A84">
      <w:pPr>
        <w:pStyle w:val="Style2"/>
      </w:pPr>
    </w:p>
    <w:p w14:paraId="2168F1C0" w14:textId="520F24CC" w:rsidR="00932A84" w:rsidRDefault="00932A84">
      <w:pPr>
        <w:pStyle w:val="Style2"/>
      </w:pPr>
    </w:p>
    <w:p w14:paraId="2A037BFB" w14:textId="62B805CD" w:rsidR="00932A84" w:rsidRDefault="00932A84">
      <w:pPr>
        <w:pStyle w:val="Style2"/>
      </w:pPr>
    </w:p>
    <w:p w14:paraId="48C37D76" w14:textId="0EB0F89A" w:rsidR="00932A84" w:rsidRDefault="00932A84">
      <w:pPr>
        <w:pStyle w:val="Style2"/>
      </w:pPr>
    </w:p>
    <w:p w14:paraId="363DF287" w14:textId="77777777" w:rsidR="00932A84" w:rsidRPr="00E34E1E" w:rsidRDefault="00932A84">
      <w:pPr>
        <w:pStyle w:val="Style2"/>
      </w:pPr>
    </w:p>
    <w:p w14:paraId="1F4FFDE0" w14:textId="77777777" w:rsidR="00D438E1" w:rsidRPr="00E34E1E" w:rsidRDefault="00D438E1">
      <w:pPr>
        <w:pStyle w:val="Style2"/>
      </w:pPr>
    </w:p>
    <w:p w14:paraId="374F6512" w14:textId="7D811166" w:rsidR="00945AEB" w:rsidRPr="00E34E1E" w:rsidRDefault="00945AEB" w:rsidP="00945AEB">
      <w:pPr>
        <w:pStyle w:val="Style1"/>
        <w:spacing w:before="0" w:line="240" w:lineRule="auto"/>
        <w:jc w:val="center"/>
      </w:pPr>
      <w:bookmarkStart w:id="16" w:name="_Toc126061815"/>
      <w:r w:rsidRPr="00E34E1E">
        <w:lastRenderedPageBreak/>
        <w:t>4. Latvijas drošības rezervju pārvaldības modeļa maiņa</w:t>
      </w:r>
      <w:bookmarkEnd w:id="16"/>
    </w:p>
    <w:p w14:paraId="45826AFE" w14:textId="77777777" w:rsidR="00945AEB" w:rsidRPr="00E34E1E" w:rsidRDefault="00945AEB">
      <w:pPr>
        <w:pStyle w:val="Style2"/>
      </w:pPr>
    </w:p>
    <w:p w14:paraId="636F6F52" w14:textId="762CE7CF" w:rsidR="00FD3EB1" w:rsidRPr="00E34E1E" w:rsidRDefault="00945AEB" w:rsidP="00FD3EB1">
      <w:pPr>
        <w:pStyle w:val="Style3"/>
        <w:spacing w:before="0" w:line="240" w:lineRule="auto"/>
      </w:pPr>
      <w:bookmarkStart w:id="17" w:name="_Toc126061816"/>
      <w:r w:rsidRPr="00E34E1E">
        <w:t>4</w:t>
      </w:r>
      <w:r w:rsidR="00FD3EB1" w:rsidRPr="00E34E1E">
        <w:t>.</w:t>
      </w:r>
      <w:r w:rsidRPr="00E34E1E">
        <w:t>1</w:t>
      </w:r>
      <w:r w:rsidR="00FD3EB1" w:rsidRPr="00E34E1E">
        <w:t xml:space="preserve">. Konceptuālās izmaiņas </w:t>
      </w:r>
      <w:r w:rsidR="003322AF" w:rsidRPr="00E34E1E">
        <w:t>drošības rezervju pārvaldībai ar aģentūru</w:t>
      </w:r>
      <w:bookmarkEnd w:id="17"/>
    </w:p>
    <w:p w14:paraId="450E9A12" w14:textId="77777777" w:rsidR="00FD3EB1" w:rsidRPr="00E34E1E" w:rsidRDefault="00FD3EB1" w:rsidP="00FD3EB1">
      <w:pPr>
        <w:pStyle w:val="Style2"/>
      </w:pPr>
    </w:p>
    <w:p w14:paraId="2857F74D" w14:textId="6BB58925" w:rsidR="00F8459C" w:rsidRPr="00E34E1E" w:rsidRDefault="00FD3EB1" w:rsidP="00804903">
      <w:pPr>
        <w:pStyle w:val="Style2"/>
        <w:spacing w:after="80"/>
      </w:pPr>
      <w:r w:rsidRPr="00E34E1E">
        <w:t>Ievērojot to, ka pašreizējais</w:t>
      </w:r>
      <w:r w:rsidR="00C71529" w:rsidRPr="00E34E1E">
        <w:t xml:space="preserve"> Latvijas drošīb</w:t>
      </w:r>
      <w:r w:rsidR="004339F0" w:rsidRPr="00E34E1E">
        <w:t>as</w:t>
      </w:r>
      <w:r w:rsidR="00C71529" w:rsidRPr="00E34E1E">
        <w:t xml:space="preserve"> rezervju modelis </w:t>
      </w:r>
      <w:r w:rsidRPr="00E34E1E">
        <w:t xml:space="preserve">paredz izsludināt iepirkumus un pirkt </w:t>
      </w:r>
      <w:r w:rsidR="00C71529" w:rsidRPr="00E34E1E">
        <w:t>tikai uzglabāšanas pakalpojumu bez naftas produktu pirkšanas</w:t>
      </w:r>
      <w:r w:rsidRPr="00E34E1E">
        <w:t xml:space="preserve">, </w:t>
      </w:r>
      <w:r w:rsidR="00C71529" w:rsidRPr="00E34E1E">
        <w:rPr>
          <w:u w:val="single"/>
        </w:rPr>
        <w:t>pašlaik Latvijā drošības rezerves tiek uzturētas, pamatojoties uz noslēgtajiem līgumiem ar komersantiem par naftas produktu atliktajām piegādēm.</w:t>
      </w:r>
      <w:r w:rsidR="00C71529" w:rsidRPr="00E34E1E">
        <w:t xml:space="preserve"> Komersanti uzglabā sev piederošus naftas produktus kā </w:t>
      </w:r>
      <w:r w:rsidR="007C47C2" w:rsidRPr="00E34E1E">
        <w:t xml:space="preserve">nolīgtas </w:t>
      </w:r>
      <w:r w:rsidR="00C71529" w:rsidRPr="00E34E1E">
        <w:t xml:space="preserve">drošības rezerves </w:t>
      </w:r>
      <w:r w:rsidR="007C47C2" w:rsidRPr="00E34E1E">
        <w:t>atbilstīgajā</w:t>
      </w:r>
      <w:r w:rsidR="00C71529" w:rsidRPr="00E34E1E">
        <w:t xml:space="preserve"> apjomā un noteiktajā termiņā</w:t>
      </w:r>
      <w:r w:rsidRPr="00E34E1E">
        <w:t>, savukārt v</w:t>
      </w:r>
      <w:r w:rsidR="00C424DD" w:rsidRPr="00E34E1E">
        <w:t>alsts nodevas likme veidojas no iepirkuma par drošības rezervju uzglabāšanas pakalpojumu sniegšan</w:t>
      </w:r>
      <w:r w:rsidR="004339F0" w:rsidRPr="00E34E1E">
        <w:t>u</w:t>
      </w:r>
      <w:r w:rsidR="00C424DD" w:rsidRPr="00E34E1E">
        <w:t xml:space="preserve"> kopsummas. </w:t>
      </w:r>
    </w:p>
    <w:p w14:paraId="7EDCCABF" w14:textId="2E5B4AE0" w:rsidR="003322AF" w:rsidRPr="00E34E1E" w:rsidRDefault="003322AF" w:rsidP="00804903">
      <w:pPr>
        <w:pStyle w:val="Style2"/>
        <w:spacing w:after="80"/>
      </w:pPr>
      <w:r w:rsidRPr="00E34E1E">
        <w:t xml:space="preserve">Saistībā ar pēdējo gadu dinamisko pārmaiņu spektru un ārējiem ietekmes faktoriem globālajā enerģētikas tirgū (no COVID-19 politikas līdz Krievijas karadarbībai Ukrainā), </w:t>
      </w:r>
      <w:r w:rsidRPr="00E34E1E">
        <w:rPr>
          <w:u w:val="single"/>
        </w:rPr>
        <w:t xml:space="preserve">Latvijā paredzēts veidot pašpietiekamu drošības rezervju pārvaldības modeli, ciktāl jānodrošina fiziski pieejami krājumi </w:t>
      </w:r>
      <w:r w:rsidR="004E15A6" w:rsidRPr="00E34E1E">
        <w:rPr>
          <w:u w:val="single"/>
        </w:rPr>
        <w:t xml:space="preserve">krīzes un valsts apdraudējuma </w:t>
      </w:r>
      <w:r w:rsidRPr="00E34E1E">
        <w:rPr>
          <w:u w:val="single"/>
        </w:rPr>
        <w:t>gadījumiem, neskatoties uz pārrobežu situācijām u.c. ārējiem faktoriem</w:t>
      </w:r>
      <w:r w:rsidRPr="00E34E1E">
        <w:t xml:space="preserve">. </w:t>
      </w:r>
    </w:p>
    <w:p w14:paraId="775AF1ED" w14:textId="465FF525" w:rsidR="003322AF" w:rsidRPr="00E34E1E" w:rsidRDefault="003322AF" w:rsidP="00804903">
      <w:pPr>
        <w:pStyle w:val="Style2"/>
        <w:spacing w:after="60"/>
      </w:pPr>
      <w:r w:rsidRPr="00E34E1E">
        <w:t>Tas nozīmē, ka</w:t>
      </w:r>
      <w:r w:rsidR="004E15A6" w:rsidRPr="00E34E1E">
        <w:t>,</w:t>
      </w:r>
      <w:r w:rsidRPr="00E34E1E">
        <w:t xml:space="preserve"> </w:t>
      </w:r>
      <w:r w:rsidR="002A71D5" w:rsidRPr="00E34E1E">
        <w:t>uzsāk</w:t>
      </w:r>
      <w:r w:rsidR="004E15A6" w:rsidRPr="00E34E1E">
        <w:t>ot</w:t>
      </w:r>
      <w:r w:rsidR="002A71D5" w:rsidRPr="00E34E1E">
        <w:t xml:space="preserve"> īstenot</w:t>
      </w:r>
      <w:r w:rsidRPr="00E34E1E">
        <w:t xml:space="preserve"> 2021. gada ziņojumā</w:t>
      </w:r>
      <w:r w:rsidRPr="00E34E1E">
        <w:rPr>
          <w:rStyle w:val="FootnoteReference"/>
        </w:rPr>
        <w:footnoteReference w:id="6"/>
      </w:r>
      <w:r w:rsidRPr="00E34E1E">
        <w:t xml:space="preserve"> ieteikto un pārejas posmā uz nacionāl</w:t>
      </w:r>
      <w:r w:rsidR="004E15A6" w:rsidRPr="00E34E1E">
        <w:t>ās</w:t>
      </w:r>
      <w:r w:rsidRPr="00E34E1E">
        <w:t xml:space="preserve"> aģentūras modeli</w:t>
      </w:r>
      <w:r w:rsidR="004E15A6" w:rsidRPr="00E34E1E">
        <w:t>,</w:t>
      </w:r>
      <w:r w:rsidRPr="00E34E1E">
        <w:t xml:space="preserve"> pie pašreizējā pārvaldības modeļa iepirkumos pieejamās drošības rezerves fiziski arvien vairāk </w:t>
      </w:r>
      <w:r w:rsidR="002A71D5" w:rsidRPr="00E34E1E">
        <w:t>jāglabā</w:t>
      </w:r>
      <w:r w:rsidRPr="00E34E1E">
        <w:t xml:space="preserve"> Latvijas teritorijā. Proti, 2023. gadā </w:t>
      </w:r>
      <w:r w:rsidR="002A71D5" w:rsidRPr="00E34E1E">
        <w:t>–</w:t>
      </w:r>
      <w:r w:rsidRPr="00E34E1E">
        <w:t xml:space="preserve"> </w:t>
      </w:r>
      <w:r w:rsidR="002A71D5" w:rsidRPr="00E34E1E">
        <w:t xml:space="preserve">vismaz </w:t>
      </w:r>
      <w:r w:rsidRPr="00E34E1E">
        <w:t>75 %, 2024. gadā -</w:t>
      </w:r>
      <w:r w:rsidR="002A71D5" w:rsidRPr="00E34E1E">
        <w:t xml:space="preserve">vismaz </w:t>
      </w:r>
      <w:r w:rsidRPr="00E34E1E">
        <w:t xml:space="preserve"> 85 % un 2025. gadā - 100 %. </w:t>
      </w:r>
    </w:p>
    <w:p w14:paraId="77000AB4" w14:textId="77777777" w:rsidR="003322AF" w:rsidRPr="00E34E1E" w:rsidRDefault="003322AF" w:rsidP="00804903">
      <w:pPr>
        <w:pStyle w:val="Style2"/>
        <w:spacing w:after="60"/>
      </w:pPr>
      <w:r w:rsidRPr="00E34E1E">
        <w:t xml:space="preserve">Savukārt starplaikā jāīsteno pāreja uz nacionālās aģentūras modeli drošības rezervju pārvaldībai. Tātad, sākot no 2024. gada, katru gadu valsti pārstāvoša institūcija iegādātos valsts īpašumā vismaz 20% no kopējām nepieciešamajām drošības rezervēm, kamēr pakāpeniski 5 gadu laikā līdz 2029. gadam Latvijā tiktu uzglabātas visas nepieciešamās drošības rezerves kā valstij piederoši krājumi. </w:t>
      </w:r>
    </w:p>
    <w:p w14:paraId="57A79419" w14:textId="2F512C7C" w:rsidR="003322AF" w:rsidRPr="00E34E1E" w:rsidRDefault="003322AF" w:rsidP="00804903">
      <w:pPr>
        <w:pStyle w:val="Style2"/>
        <w:spacing w:after="60"/>
      </w:pPr>
      <w:r w:rsidRPr="00E34E1E">
        <w:t xml:space="preserve">Izvērtējot Latvijā esošās naftas produktu piegādes ķēdes, tirgū esošo komersantu kapacitātes un to naftas produktu iesaisti drošības rezervju veidošanā, secināts, ka, izmantojot komerciālajā apritē esošos naftas produktu resursus drošības rezervēm, tiktu samazināti valsts tiešie izdevumi. Arī tirgus dalībnieki priekšroku dod modelim, kurā valsts </w:t>
      </w:r>
      <w:r w:rsidR="004E15A6" w:rsidRPr="00E34E1E">
        <w:t xml:space="preserve">iegādājas </w:t>
      </w:r>
      <w:r w:rsidRPr="00E34E1E">
        <w:t>drošības rezerves savā īpašumā un slēdz līgumus ar komersantiem par uzglabāšanu, nevis modelim, kur par to atbild tirgus dalībnieku kontrolētas organizācijas.</w:t>
      </w:r>
      <w:r w:rsidRPr="00E34E1E">
        <w:rPr>
          <w:rStyle w:val="FootnoteReference"/>
        </w:rPr>
        <w:footnoteReference w:id="7"/>
      </w:r>
      <w:r w:rsidRPr="00E34E1E">
        <w:t xml:space="preserve"> Tas nacionālās aģentūras modelī provizoriski paredz arī, ka turpmāk CKUS institūcijai sadarbība ar komersantiem būtu nepieciešama, ciktāl drošības rezerves kā valsts īpašums jāglabā piemērotā infrastruktūrā un jānodrošina savlaicīga krājumu aprite ekspluatācijas termiņa ietvaros. Tātad Latvijas jomas komersantu pakalpojumi joprojām būtu nepieciešami, bet ar mazāk izšķirošu lomu fiziskai uzticamai drošības rezervju pieejamībai krīzēs.</w:t>
      </w:r>
    </w:p>
    <w:p w14:paraId="52E974E6" w14:textId="0484E1EA" w:rsidR="003322AF" w:rsidRPr="00E34E1E" w:rsidRDefault="003322AF" w:rsidP="00804903">
      <w:pPr>
        <w:pStyle w:val="Style2"/>
        <w:spacing w:after="60"/>
      </w:pPr>
      <w:r w:rsidRPr="00E34E1E">
        <w:t>Paredzams, ka</w:t>
      </w:r>
      <w:r w:rsidR="004E15A6" w:rsidRPr="00E34E1E">
        <w:t>,</w:t>
      </w:r>
      <w:r w:rsidRPr="00E34E1E">
        <w:t xml:space="preserve"> izveidojot jaunu drošības rezervju pārvaldības modeli</w:t>
      </w:r>
      <w:r w:rsidR="004E15A6" w:rsidRPr="00E34E1E">
        <w:t>,</w:t>
      </w:r>
      <w:r w:rsidRPr="00E34E1E">
        <w:t xml:space="preserve"> no valsts nodevas maksājumiem jāsedz gan drošības rezervju infrastruktūras uzturēšanas izmaksas, gan arī citas sistēmas izmaksas. Tomēr pie nacionālas aģentūras modeļa ar valstij piederošiem drošības rezervju krājumiem valsts nodevas statuss nav tiešā veidā saistāms ar institūcijas veiktās darbības izmaksu segšanu likuma “Par nodokļiem un nodevām”</w:t>
      </w:r>
      <w:r w:rsidRPr="00E34E1E">
        <w:rPr>
          <w:rStyle w:val="FootnoteReference"/>
        </w:rPr>
        <w:footnoteReference w:id="8"/>
      </w:r>
      <w:r w:rsidRPr="00E34E1E">
        <w:t xml:space="preserve"> izpratnē, jo valsti pārstāvošā institūcija ir ar pamatdarbības izmaksām un budžetu. Līdz ar to </w:t>
      </w:r>
      <w:r w:rsidR="004E15A6" w:rsidRPr="00E34E1E">
        <w:rPr>
          <w:u w:val="single"/>
        </w:rPr>
        <w:t xml:space="preserve">nacionālas </w:t>
      </w:r>
      <w:r w:rsidRPr="00E34E1E">
        <w:rPr>
          <w:u w:val="single"/>
        </w:rPr>
        <w:t xml:space="preserve">aģentūras patstāvīgas darbības nodrošināšanai valsts nodevas vietā paredzama </w:t>
      </w:r>
      <w:r w:rsidR="00C0478A" w:rsidRPr="00E34E1E">
        <w:rPr>
          <w:u w:val="single"/>
        </w:rPr>
        <w:t>p</w:t>
      </w:r>
      <w:r w:rsidRPr="00E34E1E">
        <w:rPr>
          <w:u w:val="single"/>
        </w:rPr>
        <w:t>akalpojuma maksa</w:t>
      </w:r>
      <w:r w:rsidRPr="00E34E1E">
        <w:t xml:space="preserve">, kuras likmes, maksāšanas kārtību un administrēšanu iespējams noteikt </w:t>
      </w:r>
      <w:r w:rsidR="00F16B9F" w:rsidRPr="00E34E1E">
        <w:t>uz likuma pamata ar</w:t>
      </w:r>
      <w:r w:rsidRPr="00E34E1E">
        <w:t xml:space="preserve"> regulējošo ietvaru</w:t>
      </w:r>
      <w:r w:rsidR="00F16B9F" w:rsidRPr="00E34E1E">
        <w:t xml:space="preserve">. Pakalpojuma maksas apmērs nosakāms, ievērojot nepieciešamo finansējumu drošības rezervju infrastruktūras izmaksām, ko ietekmē komersantu piedāvātā cena par uzglabāšanas pakalpojumu nodrošināšanu un drošības rezervju </w:t>
      </w:r>
      <w:r w:rsidRPr="00E34E1E">
        <w:t>apjoms.</w:t>
      </w:r>
    </w:p>
    <w:p w14:paraId="48C85E87" w14:textId="49DF350A" w:rsidR="003322AF" w:rsidRPr="00E34E1E" w:rsidRDefault="003322AF">
      <w:pPr>
        <w:pStyle w:val="Style2"/>
      </w:pPr>
    </w:p>
    <w:p w14:paraId="6FF7A07F" w14:textId="69151F28" w:rsidR="003322AF" w:rsidRPr="00E34E1E" w:rsidRDefault="003322AF" w:rsidP="00B75996">
      <w:pPr>
        <w:pStyle w:val="Style3"/>
        <w:spacing w:before="0" w:after="240" w:line="240" w:lineRule="auto"/>
      </w:pPr>
      <w:bookmarkStart w:id="18" w:name="_Toc126061817"/>
      <w:r w:rsidRPr="00E34E1E">
        <w:lastRenderedPageBreak/>
        <w:t>4.2. Possessor</w:t>
      </w:r>
      <w:r w:rsidR="00373388" w:rsidRPr="00E34E1E">
        <w:t xml:space="preserve"> kapacitāte drošības rezervju pārvaldītāj</w:t>
      </w:r>
      <w:bookmarkEnd w:id="18"/>
      <w:r w:rsidR="005B0DD5" w:rsidRPr="00E34E1E">
        <w:t>a funkcijas nodrošināšanai</w:t>
      </w:r>
    </w:p>
    <w:p w14:paraId="09D512B0" w14:textId="77777777" w:rsidR="003322AF" w:rsidRPr="00E34E1E" w:rsidRDefault="003322AF" w:rsidP="003322AF">
      <w:pPr>
        <w:pStyle w:val="Style2"/>
      </w:pPr>
    </w:p>
    <w:p w14:paraId="672A58C6" w14:textId="2FC9368E" w:rsidR="003322AF" w:rsidRPr="00E34E1E" w:rsidRDefault="003322AF" w:rsidP="00804903">
      <w:pPr>
        <w:pStyle w:val="Style2"/>
        <w:spacing w:after="60"/>
      </w:pPr>
      <w:r w:rsidRPr="00E34E1E">
        <w:t>Possessor</w:t>
      </w:r>
      <w:r w:rsidR="009F5880" w:rsidRPr="00E34E1E">
        <w:t xml:space="preserve"> ir </w:t>
      </w:r>
      <w:r w:rsidR="00C0478A" w:rsidRPr="00E34E1E">
        <w:t>Latvijas Republikai 100% piederoša kapitālsabiedrība, kuras</w:t>
      </w:r>
      <w:r w:rsidRPr="00E34E1E">
        <w:t xml:space="preserve"> kapitāla daļu turētājs ir </w:t>
      </w:r>
      <w:r w:rsidR="009F5880" w:rsidRPr="00E34E1E">
        <w:t>E</w:t>
      </w:r>
      <w:r w:rsidR="00C0478A" w:rsidRPr="00E34E1E">
        <w:t>konomikas ministrija</w:t>
      </w:r>
      <w:r w:rsidRPr="00E34E1E">
        <w:t xml:space="preserve">. </w:t>
      </w:r>
      <w:r w:rsidR="00C0478A" w:rsidRPr="00E34E1E">
        <w:t>Possessor pamatdarbība ir saistīta ar tai deleģēt</w:t>
      </w:r>
      <w:r w:rsidR="005B0DD5" w:rsidRPr="00E34E1E">
        <w:t>u</w:t>
      </w:r>
      <w:r w:rsidR="00C0478A" w:rsidRPr="00E34E1E">
        <w:t xml:space="preserve"> atsevišķu valsts pārvaldes uzdevumu izpildi, pakalpojumu sniegšanu publiskajām personām un </w:t>
      </w:r>
      <w:r w:rsidR="005B0DD5" w:rsidRPr="00E34E1E">
        <w:t xml:space="preserve">slikto aktīvu pārvaldīšanu </w:t>
      </w:r>
      <w:r w:rsidR="00C0478A" w:rsidRPr="00E34E1E">
        <w:t>valsts interesēs , t.i.,</w:t>
      </w:r>
      <w:r w:rsidRPr="00E34E1E">
        <w:t xml:space="preserve"> komercdarbīb</w:t>
      </w:r>
      <w:r w:rsidR="005B0DD5" w:rsidRPr="00E34E1E">
        <w:t>a</w:t>
      </w:r>
      <w:r w:rsidRPr="00E34E1E">
        <w:t xml:space="preserve">, kas pamatā saistīta ar pakalpojuma sniegšanu valstij. Possessor ir </w:t>
      </w:r>
      <w:r w:rsidR="00BD3BEA" w:rsidRPr="00E34E1E">
        <w:t xml:space="preserve">galvenokārt </w:t>
      </w:r>
      <w:r w:rsidRPr="00E34E1E">
        <w:t xml:space="preserve">šādas darbības jomas (biznesa virzieni): </w:t>
      </w:r>
    </w:p>
    <w:p w14:paraId="6194BE9C" w14:textId="77777777" w:rsidR="003322AF" w:rsidRPr="00E34E1E" w:rsidRDefault="003322AF" w:rsidP="00804903">
      <w:pPr>
        <w:pStyle w:val="Style2"/>
        <w:spacing w:after="60"/>
      </w:pPr>
      <w:r w:rsidRPr="00E34E1E">
        <w:t xml:space="preserve">• Zemesgabali un nekustamā īpašuma objekti; </w:t>
      </w:r>
    </w:p>
    <w:p w14:paraId="0C0B0431" w14:textId="77777777" w:rsidR="003322AF" w:rsidRPr="00E34E1E" w:rsidRDefault="003322AF" w:rsidP="00804903">
      <w:pPr>
        <w:pStyle w:val="Style2"/>
        <w:spacing w:after="60"/>
      </w:pPr>
      <w:r w:rsidRPr="00E34E1E">
        <w:t xml:space="preserve">• Dzīvojamās mājas un dzīvokļu īpašumi; </w:t>
      </w:r>
    </w:p>
    <w:p w14:paraId="7CF4DFF6" w14:textId="77777777" w:rsidR="003322AF" w:rsidRPr="00E34E1E" w:rsidRDefault="003322AF" w:rsidP="00804903">
      <w:pPr>
        <w:pStyle w:val="Style2"/>
        <w:spacing w:after="60"/>
      </w:pPr>
      <w:r w:rsidRPr="00E34E1E">
        <w:t xml:space="preserve">• Kapitāla daļas un problemātiskie aktīvi; </w:t>
      </w:r>
    </w:p>
    <w:p w14:paraId="2A36044E" w14:textId="77777777" w:rsidR="003322AF" w:rsidRPr="00E34E1E" w:rsidRDefault="003322AF" w:rsidP="00804903">
      <w:pPr>
        <w:pStyle w:val="Style2"/>
        <w:spacing w:after="60"/>
      </w:pPr>
      <w:r w:rsidRPr="00E34E1E">
        <w:t xml:space="preserve">• Līgumu kontrole; </w:t>
      </w:r>
    </w:p>
    <w:p w14:paraId="13E32F0E" w14:textId="553EBDC7" w:rsidR="003322AF" w:rsidRPr="00E34E1E" w:rsidRDefault="003322AF" w:rsidP="00804903">
      <w:pPr>
        <w:pStyle w:val="Style2"/>
        <w:spacing w:after="60"/>
      </w:pPr>
      <w:r w:rsidRPr="00E34E1E">
        <w:t>• Privatizācijas sertifikāti</w:t>
      </w:r>
      <w:r w:rsidR="005B0DD5" w:rsidRPr="00E34E1E">
        <w:t>.</w:t>
      </w:r>
    </w:p>
    <w:p w14:paraId="78533DFE" w14:textId="63034D1D" w:rsidR="002E3894" w:rsidRPr="00E34E1E" w:rsidRDefault="002E3894" w:rsidP="00954E33">
      <w:pPr>
        <w:pStyle w:val="Style2"/>
        <w:spacing w:after="80"/>
      </w:pPr>
      <w:r w:rsidRPr="00E34E1E">
        <w:t>Ievērojot to, ka valstij tiešās pārvaldes iestād</w:t>
      </w:r>
      <w:r w:rsidR="005B0DD5" w:rsidRPr="00E34E1E">
        <w:t>e</w:t>
      </w:r>
      <w:r w:rsidRPr="00E34E1E">
        <w:t xml:space="preserve">i būtu sarežģīti gan veidot politiku, gan iesaistīties izpildes procesā, Possessor kā aktīvu pārvaldītāja kapitālsabiedrības modelim ir ievērojamas priekšrocības, jo Possessor modeļa rīcības plāns balstās uz primāri sasniedzamo rezultātu. Proti, kompetents aktīvu pārvaldītājs slēdz līgumus ar komersantiem par drošības rezervju iegādi valsts īpašumā, krājumu uzglabāšanu un saimniecisko apriti. Pārvaldnieks organizē iepirkšanu, uzglabāšanu, transportēšanu u.c. saistītos jautājumus. </w:t>
      </w:r>
    </w:p>
    <w:p w14:paraId="6D93D8B9" w14:textId="6D4FA81D" w:rsidR="003322AF" w:rsidRPr="00E34E1E" w:rsidRDefault="003322AF" w:rsidP="00954E33">
      <w:pPr>
        <w:pStyle w:val="Style2"/>
        <w:spacing w:after="80"/>
      </w:pPr>
      <w:r w:rsidRPr="00E34E1E">
        <w:t xml:space="preserve">Kaut arī līdz šim Possessor nav bijusi sasaiste ar drošības rezervju </w:t>
      </w:r>
      <w:r w:rsidR="00C47271" w:rsidRPr="00E34E1E">
        <w:t>pārvaldīšanu</w:t>
      </w:r>
      <w:r w:rsidRPr="00E34E1E">
        <w:t xml:space="preserve">, Possessor vēsturiski ir izveidojusi būtisku pieredzi dažādu valsts aktīvu pārvaldībā. Ņemot vērā Possessor statusu, tas ļauj kapitālsabiedrības ietvaros sekmīgi plānot darbību ilgtermiņā, kā arī nodrošināt vadības autonomiju un rīcības brīvību, piesaistot nepieciešamos </w:t>
      </w:r>
      <w:r w:rsidR="00373388" w:rsidRPr="00E34E1E">
        <w:t>resursus</w:t>
      </w:r>
      <w:r w:rsidRPr="00E34E1E">
        <w:t xml:space="preserve">, tādējādi nodrošinot arī jebkādu valsts īpašumu apsaimniekošanu, </w:t>
      </w:r>
      <w:r w:rsidR="005B0DD5" w:rsidRPr="00E34E1E">
        <w:t xml:space="preserve">t.sk. </w:t>
      </w:r>
      <w:r w:rsidRPr="00E34E1E">
        <w:t>naftas produktu drošības rezervju krājumu</w:t>
      </w:r>
      <w:r w:rsidR="005B0DD5" w:rsidRPr="00E34E1E">
        <w:t xml:space="preserve"> pārvaldīšanu</w:t>
      </w:r>
      <w:r w:rsidRPr="00E34E1E">
        <w:t xml:space="preserve"> </w:t>
      </w:r>
    </w:p>
    <w:p w14:paraId="46D19CFC" w14:textId="65B80391" w:rsidR="00917C78" w:rsidRPr="00E34E1E" w:rsidRDefault="002E3894" w:rsidP="00954E33">
      <w:pPr>
        <w:pStyle w:val="Style2"/>
        <w:spacing w:after="80"/>
      </w:pPr>
      <w:r w:rsidRPr="00E34E1E">
        <w:t>Nozīmīgs ir finanšu atskaitīšanās mehānisms – atskaites periods kapitāldaļu turētājam reizi ceturksnī, atskait</w:t>
      </w:r>
      <w:r w:rsidR="00C47271" w:rsidRPr="00E34E1E">
        <w:t>ē</w:t>
      </w:r>
      <w:r w:rsidRPr="00E34E1E">
        <w:t>s iekļauj</w:t>
      </w:r>
      <w:r w:rsidR="005B0DD5" w:rsidRPr="00E34E1E">
        <w:t>ot</w:t>
      </w:r>
      <w:r w:rsidRPr="00E34E1E">
        <w:t xml:space="preserve"> nozīmīgāko risku aprakstu un novērtējumu, kā  arī </w:t>
      </w:r>
      <w:proofErr w:type="spellStart"/>
      <w:r w:rsidRPr="00E34E1E">
        <w:t>starpperioda</w:t>
      </w:r>
      <w:proofErr w:type="spellEnd"/>
      <w:r w:rsidRPr="00E34E1E">
        <w:t xml:space="preserve"> pārskatu sagatavošana reizi ceturksnī. Jāņem vērā, ka, uzsākot jaunu funkciju izpildi, varētu tikt izpildīti kritēriji, lai kapitālsabiedrībā varētu izveidot padomi. Kā secināts pētījumos, s</w:t>
      </w:r>
      <w:r w:rsidR="003322AF" w:rsidRPr="00E34E1E">
        <w:t xml:space="preserve">alīdzinot ar jaunas </w:t>
      </w:r>
      <w:r w:rsidR="00917C78" w:rsidRPr="00E34E1E">
        <w:t>kapitālsabiedrības</w:t>
      </w:r>
      <w:r w:rsidR="003322AF" w:rsidRPr="00E34E1E">
        <w:t xml:space="preserve"> dibināšanu</w:t>
      </w:r>
      <w:r w:rsidR="00C0478A" w:rsidRPr="00E34E1E">
        <w:t xml:space="preserve"> vai iestādes izveidi</w:t>
      </w:r>
      <w:r w:rsidR="003322AF" w:rsidRPr="00E34E1E">
        <w:t xml:space="preserve">, </w:t>
      </w:r>
      <w:r w:rsidR="00C32373" w:rsidRPr="00E34E1E">
        <w:t>nododot drošības rezervju pārvaldi</w:t>
      </w:r>
      <w:r w:rsidR="005B0DD5" w:rsidRPr="00E34E1E">
        <w:t xml:space="preserve"> Possessor</w:t>
      </w:r>
      <w:r w:rsidR="00C32373" w:rsidRPr="00E34E1E">
        <w:t xml:space="preserve">, </w:t>
      </w:r>
      <w:r w:rsidR="003322AF" w:rsidRPr="00E34E1E">
        <w:t xml:space="preserve">padomes izveide būtu ekonomiski izdevīgāka, jo izmaksas </w:t>
      </w:r>
      <w:r w:rsidR="00917C78" w:rsidRPr="00E34E1E">
        <w:t>dalāmas</w:t>
      </w:r>
      <w:r w:rsidR="003322AF" w:rsidRPr="00E34E1E">
        <w:t xml:space="preserve"> starp esošajām un jaunajām funkcijām. Possessor valsts naftas produktu drošības rezervju iegādei plāno</w:t>
      </w:r>
      <w:r w:rsidR="00C47271" w:rsidRPr="00E34E1E">
        <w:t>tu</w:t>
      </w:r>
      <w:r w:rsidR="003322AF" w:rsidRPr="00E34E1E">
        <w:t xml:space="preserve"> pieprasīt valsts budžeta līdzekļus, savukārt </w:t>
      </w:r>
      <w:r w:rsidR="005B0DD5" w:rsidRPr="00E34E1E">
        <w:t xml:space="preserve">izmaksas </w:t>
      </w:r>
      <w:r w:rsidR="003322AF" w:rsidRPr="00E34E1E">
        <w:t xml:space="preserve">drošības rezervju infrastruktūras uzturēšanai, produktu rotācijai, pārvaldībai un citām sistēmas izmaksām </w:t>
      </w:r>
      <w:r w:rsidR="005B0DD5" w:rsidRPr="00E34E1E">
        <w:t xml:space="preserve"> segtu </w:t>
      </w:r>
      <w:r w:rsidR="00C47271" w:rsidRPr="00E34E1E">
        <w:t xml:space="preserve"> </w:t>
      </w:r>
      <w:r w:rsidR="00C32373" w:rsidRPr="00E34E1E">
        <w:t xml:space="preserve">no </w:t>
      </w:r>
      <w:r w:rsidR="00BE101C" w:rsidRPr="00E34E1E">
        <w:t>P</w:t>
      </w:r>
      <w:r w:rsidR="003322AF" w:rsidRPr="00E34E1E">
        <w:t>akalpojum</w:t>
      </w:r>
      <w:r w:rsidR="00917C78" w:rsidRPr="00E34E1E">
        <w:t>a</w:t>
      </w:r>
      <w:r w:rsidR="003322AF" w:rsidRPr="00E34E1E">
        <w:t xml:space="preserve"> maks</w:t>
      </w:r>
      <w:r w:rsidR="00C32373" w:rsidRPr="00E34E1E">
        <w:t>as</w:t>
      </w:r>
      <w:r w:rsidR="003322AF" w:rsidRPr="00E34E1E">
        <w:t xml:space="preserve">. </w:t>
      </w:r>
    </w:p>
    <w:p w14:paraId="12152B44" w14:textId="165A541F" w:rsidR="00917C78" w:rsidRPr="00E34E1E" w:rsidRDefault="003322AF" w:rsidP="00954E33">
      <w:pPr>
        <w:pStyle w:val="Style2"/>
        <w:spacing w:after="80"/>
      </w:pPr>
      <w:r w:rsidRPr="00E34E1E">
        <w:t>Visas naftas produktu drošības rezerves piederē</w:t>
      </w:r>
      <w:r w:rsidR="00C42EB2" w:rsidRPr="00E34E1E">
        <w:t>tu</w:t>
      </w:r>
      <w:r w:rsidRPr="00E34E1E">
        <w:t xml:space="preserve"> Latvijas valstij un tik</w:t>
      </w:r>
      <w:r w:rsidR="00C42EB2" w:rsidRPr="00E34E1E">
        <w:t>tu</w:t>
      </w:r>
      <w:r w:rsidRPr="00E34E1E">
        <w:t xml:space="preserve"> glabātas Latvijā. Gadījumā, ja naftas produktu drošības rezervju iegādei netik</w:t>
      </w:r>
      <w:r w:rsidR="007367C6" w:rsidRPr="00E34E1E">
        <w:t>tu</w:t>
      </w:r>
      <w:r w:rsidRPr="00E34E1E">
        <w:t xml:space="preserve"> paredzēti budžeta līdzekļi, bū</w:t>
      </w:r>
      <w:r w:rsidR="00C47271" w:rsidRPr="00E34E1E">
        <w:t>tu</w:t>
      </w:r>
      <w:r w:rsidRPr="00E34E1E">
        <w:t xml:space="preserve"> nepieciešams </w:t>
      </w:r>
      <w:r w:rsidR="00917C78" w:rsidRPr="00E34E1E">
        <w:t>izvērtēt pieejamo</w:t>
      </w:r>
      <w:r w:rsidRPr="00E34E1E">
        <w:t xml:space="preserve"> finansējumu, kā arī pārskatīt </w:t>
      </w:r>
      <w:r w:rsidR="00917C78" w:rsidRPr="00E34E1E">
        <w:t>P</w:t>
      </w:r>
      <w:r w:rsidRPr="00E34E1E">
        <w:t>akalpojuma maksas apmēru. Lai nodrošinātu naftas produktu drošības rezervju uzturēšanu un administrēšanu, Possessor uz ārējā normatīvā akta pamata izveido</w:t>
      </w:r>
      <w:r w:rsidR="00917C78" w:rsidRPr="00E34E1E">
        <w:t>tu</w:t>
      </w:r>
      <w:r w:rsidRPr="00E34E1E">
        <w:t xml:space="preserve"> finansējuma </w:t>
      </w:r>
      <w:r w:rsidR="00E34E1E" w:rsidRPr="00E34E1E">
        <w:t>U</w:t>
      </w:r>
      <w:r w:rsidRPr="00E34E1E">
        <w:t xml:space="preserve">zkrāšanas fondu </w:t>
      </w:r>
      <w:r w:rsidR="00C47271" w:rsidRPr="00E34E1E">
        <w:t>P</w:t>
      </w:r>
      <w:r w:rsidRPr="00E34E1E">
        <w:t>akalpojuma maksas ieskaitīšanai</w:t>
      </w:r>
      <w:r w:rsidR="00F055D4" w:rsidRPr="00E34E1E">
        <w:t xml:space="preserve"> un ieņēmumiem no naftas produktu rotācijas. Uz</w:t>
      </w:r>
      <w:r w:rsidR="00BE101C" w:rsidRPr="00E34E1E">
        <w:t>krāšanas</w:t>
      </w:r>
      <w:r w:rsidR="00F055D4" w:rsidRPr="00E34E1E">
        <w:t xml:space="preserve"> fondā uzkrātie līdzekļi tik</w:t>
      </w:r>
      <w:r w:rsidR="007367C6" w:rsidRPr="00E34E1E">
        <w:t>tu</w:t>
      </w:r>
      <w:r w:rsidR="00F055D4" w:rsidRPr="00E34E1E">
        <w:t xml:space="preserve"> izlietoti naftas rezervju veidošanai</w:t>
      </w:r>
      <w:r w:rsidR="00653972">
        <w:t>, uzturēšanai</w:t>
      </w:r>
      <w:r w:rsidR="00F055D4" w:rsidRPr="00E34E1E">
        <w:t xml:space="preserve"> un administrēšanas izmaksu segšanai</w:t>
      </w:r>
      <w:r w:rsidRPr="00E34E1E">
        <w:t xml:space="preserve">. </w:t>
      </w:r>
    </w:p>
    <w:p w14:paraId="7B1124E8" w14:textId="060EE437" w:rsidR="00917C78" w:rsidRPr="00E34E1E" w:rsidRDefault="003322AF" w:rsidP="00954E33">
      <w:pPr>
        <w:pStyle w:val="Style2"/>
        <w:spacing w:after="80"/>
      </w:pPr>
      <w:r w:rsidRPr="00E34E1E">
        <w:t>Pakalpojuma maksa ietver</w:t>
      </w:r>
      <w:r w:rsidR="0014627B" w:rsidRPr="00E34E1E">
        <w:t>tu</w:t>
      </w:r>
      <w:r w:rsidRPr="00E34E1E">
        <w:t xml:space="preserve"> arī Possessor administratīvās izmaksas</w:t>
      </w:r>
      <w:r w:rsidR="00917C78" w:rsidRPr="00E34E1E">
        <w:t xml:space="preserve"> un </w:t>
      </w:r>
      <w:r w:rsidR="007367C6" w:rsidRPr="00E34E1E">
        <w:t xml:space="preserve">tiktu </w:t>
      </w:r>
      <w:r w:rsidRPr="00E34E1E">
        <w:t xml:space="preserve">periodiski pārskatīta un samērota ar </w:t>
      </w:r>
      <w:r w:rsidR="00C47271" w:rsidRPr="00E34E1E">
        <w:t xml:space="preserve">pamatdarbības rezultātiem un </w:t>
      </w:r>
      <w:r w:rsidRPr="00E34E1E">
        <w:t>naftas produktu drošības rezervju uzturēšanas</w:t>
      </w:r>
      <w:r w:rsidR="00C47271" w:rsidRPr="00E34E1E">
        <w:t>, kā</w:t>
      </w:r>
      <w:r w:rsidRPr="00E34E1E">
        <w:t xml:space="preserve"> arī citām sistēmas izmaksām, tajā skaitā līgumi</w:t>
      </w:r>
      <w:r w:rsidR="00917C78" w:rsidRPr="00E34E1E">
        <w:t>em</w:t>
      </w:r>
      <w:r w:rsidRPr="00E34E1E">
        <w:t xml:space="preserve"> par naftas produktu drošības rezervju glabāšanu, rotāciju, apdrošināšanu, u.tml. </w:t>
      </w:r>
      <w:r w:rsidR="00F055D4" w:rsidRPr="00E34E1E">
        <w:t>Paredzams</w:t>
      </w:r>
      <w:r w:rsidRPr="00E34E1E">
        <w:t xml:space="preserve">, ka ilgtermiņā šī </w:t>
      </w:r>
      <w:r w:rsidR="00917C78" w:rsidRPr="00E34E1E">
        <w:t>P</w:t>
      </w:r>
      <w:r w:rsidRPr="00E34E1E">
        <w:t xml:space="preserve">akalpojuma maksa samazināsies salīdzinājumā ar spēkā esošās valsts nodevas apmēru. Naftas produktu drošības rezervju </w:t>
      </w:r>
      <w:r w:rsidR="00BE101C" w:rsidRPr="00E34E1E">
        <w:t>Uzkrāšanas</w:t>
      </w:r>
      <w:r w:rsidRPr="00E34E1E">
        <w:t xml:space="preserve"> fonda ienākumi paredzēti no </w:t>
      </w:r>
      <w:r w:rsidR="00C47271" w:rsidRPr="00E34E1E">
        <w:t>P</w:t>
      </w:r>
      <w:r w:rsidRPr="00E34E1E">
        <w:t xml:space="preserve">akalpojuma maksas par drošības rezervju uzturēšanu, un ienākumi no naftas produktu pārdošanas tās rotācijas gaitā, vai samazinoties valsts nepieciešamībai pēc naftas drošības rezervju apjoma. </w:t>
      </w:r>
    </w:p>
    <w:p w14:paraId="32D7EA0B" w14:textId="79713934" w:rsidR="00917C78" w:rsidRPr="00E34E1E" w:rsidRDefault="003322AF" w:rsidP="00954E33">
      <w:pPr>
        <w:pStyle w:val="Style2"/>
        <w:spacing w:after="80"/>
      </w:pPr>
      <w:r w:rsidRPr="00E34E1E">
        <w:lastRenderedPageBreak/>
        <w:t xml:space="preserve">Lai ieviestu naftas produktu drošības rezervju pārvaldības modeli, Possessor nepieciešams uzsākt uzdevumu izpildi ar 2024. gadu, pārņemot </w:t>
      </w:r>
      <w:r w:rsidR="00C47271" w:rsidRPr="00E34E1E">
        <w:t xml:space="preserve">no BVKB </w:t>
      </w:r>
      <w:r w:rsidRPr="00E34E1E">
        <w:t>saistības un pienākumus, kas attiecas uz pakalpojumu līgumiem par naftas produktu glabāšanu drošības rezervei. Possessor līdz 2027. gadam (par 2028. gadu) turpin</w:t>
      </w:r>
      <w:r w:rsidR="00C47271" w:rsidRPr="00E34E1E">
        <w:t>ātu</w:t>
      </w:r>
      <w:r w:rsidRPr="00E34E1E">
        <w:t xml:space="preserve"> veikt publiskos iepirkumus par naftas produktu </w:t>
      </w:r>
      <w:r w:rsidR="007367C6" w:rsidRPr="00E34E1E">
        <w:t>drošības rezervju</w:t>
      </w:r>
      <w:r w:rsidR="007367C6" w:rsidRPr="00E34E1E" w:rsidDel="007367C6">
        <w:t xml:space="preserve"> </w:t>
      </w:r>
      <w:r w:rsidR="007367C6" w:rsidRPr="00E34E1E">
        <w:t>glabāšanas pakalpojumiem</w:t>
      </w:r>
      <w:r w:rsidRPr="00E34E1E">
        <w:t>, iepērkot pakalpojumu tādā apmērā, kas atbilst 20% samazinājumam nākamajā gadā no kopējām naftas produktu drošības rezervēm, savukārt pārējā daļa naftas produktu tik</w:t>
      </w:r>
      <w:r w:rsidR="007367C6" w:rsidRPr="00E34E1E">
        <w:t>tu</w:t>
      </w:r>
      <w:r w:rsidRPr="00E34E1E">
        <w:t xml:space="preserve"> iegādāta un nodrošināta fiziskā apjomā. </w:t>
      </w:r>
    </w:p>
    <w:p w14:paraId="4106A638" w14:textId="0455D891" w:rsidR="00D438E1" w:rsidRPr="00E34E1E" w:rsidRDefault="003322AF" w:rsidP="00954E33">
      <w:pPr>
        <w:pStyle w:val="Style2"/>
        <w:spacing w:after="80"/>
      </w:pPr>
      <w:r w:rsidRPr="00E34E1E">
        <w:t>Paredzams, ka publisko iepirkumu par 2024. gadu vēl veik</w:t>
      </w:r>
      <w:r w:rsidR="00C47271" w:rsidRPr="00E34E1E">
        <w:t>tu</w:t>
      </w:r>
      <w:r w:rsidRPr="00E34E1E">
        <w:t xml:space="preserve"> BVKB par apjomu, kas atbilst 80% no kopējās drošības rezerves. Valsts budžet</w:t>
      </w:r>
      <w:r w:rsidR="00917C78" w:rsidRPr="00E34E1E">
        <w:t>ā</w:t>
      </w:r>
      <w:r w:rsidRPr="00E34E1E">
        <w:t xml:space="preserve"> no 2024. līdz 2028. gadam piešķir</w:t>
      </w:r>
      <w:r w:rsidR="00917C78" w:rsidRPr="00E34E1E">
        <w:t>amas</w:t>
      </w:r>
      <w:r w:rsidRPr="00E34E1E">
        <w:t xml:space="preserve"> dotācij</w:t>
      </w:r>
      <w:r w:rsidR="00917C78" w:rsidRPr="00E34E1E">
        <w:t>as Possessor</w:t>
      </w:r>
      <w:r w:rsidRPr="00E34E1E">
        <w:t xml:space="preserve"> naftas produktu iegādei, kas atbilst 20% no Latvijai nepieciešamo naftas produktu drošības rezervēm. Naftas produktu drošības rezervju </w:t>
      </w:r>
      <w:r w:rsidR="00BE101C" w:rsidRPr="00E34E1E">
        <w:t>Uzkrāšanas fondā</w:t>
      </w:r>
      <w:r w:rsidRPr="00E34E1E">
        <w:t xml:space="preserve"> </w:t>
      </w:r>
      <w:r w:rsidR="00917C78" w:rsidRPr="00E34E1E">
        <w:t>P</w:t>
      </w:r>
      <w:r w:rsidRPr="00E34E1E">
        <w:t>akalpojuma maksu par drošības rezervju uzturēšanu sāk</w:t>
      </w:r>
      <w:r w:rsidR="00917C78" w:rsidRPr="00E34E1E">
        <w:t>tu</w:t>
      </w:r>
      <w:r w:rsidRPr="00E34E1E">
        <w:t xml:space="preserve"> ieskaitīt ar 2024. gadu, attiecīgi ar 2024. gadu valsts nodeva par drošības rezervju uzturēšanu </w:t>
      </w:r>
      <w:r w:rsidR="007367C6" w:rsidRPr="00E34E1E">
        <w:t xml:space="preserve">tiktu mainīta </w:t>
      </w:r>
      <w:r w:rsidRPr="00E34E1E">
        <w:t xml:space="preserve">uz </w:t>
      </w:r>
      <w:r w:rsidR="00653972">
        <w:t>p</w:t>
      </w:r>
      <w:r w:rsidRPr="00E34E1E">
        <w:t>akalpojuma maksu.</w:t>
      </w:r>
      <w:r w:rsidR="00917C78" w:rsidRPr="00E34E1E">
        <w:t xml:space="preserve"> </w:t>
      </w:r>
    </w:p>
    <w:p w14:paraId="68090CA0" w14:textId="18377AB8" w:rsidR="00917C78" w:rsidRPr="00E34E1E" w:rsidRDefault="002E3894" w:rsidP="00013EED">
      <w:pPr>
        <w:pStyle w:val="Style2"/>
        <w:spacing w:after="80"/>
      </w:pPr>
      <w:r w:rsidRPr="00E34E1E">
        <w:t xml:space="preserve">Ievērojot minēto, </w:t>
      </w:r>
      <w:proofErr w:type="spellStart"/>
      <w:r w:rsidR="007A627E" w:rsidRPr="00E34E1E">
        <w:t>Possesor</w:t>
      </w:r>
      <w:proofErr w:type="spellEnd"/>
      <w:r w:rsidR="007A627E" w:rsidRPr="00E34E1E">
        <w:t xml:space="preserve"> galvenās priekšrocības nacionālā līmeņa</w:t>
      </w:r>
      <w:r w:rsidR="00C47271" w:rsidRPr="00E34E1E">
        <w:t xml:space="preserve"> drošības rezervju</w:t>
      </w:r>
      <w:r w:rsidR="007A627E" w:rsidRPr="00E34E1E">
        <w:t xml:space="preserve"> aģentūras lomai izriet no tās institucionālās sagatavotības dažādu Latvijas valsts aktīvu pārvaldīšan</w:t>
      </w:r>
      <w:r w:rsidRPr="00E34E1E">
        <w:t xml:space="preserve">ā, kā arī </w:t>
      </w:r>
      <w:r w:rsidR="007367C6" w:rsidRPr="00E34E1E">
        <w:t xml:space="preserve">no </w:t>
      </w:r>
      <w:r w:rsidRPr="00E34E1E">
        <w:t xml:space="preserve">šādiem </w:t>
      </w:r>
      <w:r w:rsidR="007A627E" w:rsidRPr="00E34E1E">
        <w:t>saskanīgiem veicamo darbu pamatnosacījumiem:</w:t>
      </w:r>
    </w:p>
    <w:p w14:paraId="64E28290" w14:textId="177C234E" w:rsidR="007A627E" w:rsidRPr="00E34E1E" w:rsidRDefault="007A627E" w:rsidP="00013EED">
      <w:pPr>
        <w:pStyle w:val="Style2"/>
        <w:spacing w:after="80"/>
      </w:pPr>
      <w:r w:rsidRPr="00E34E1E">
        <w:t xml:space="preserve">• drošības rezerves ir valsts īpašumā, kas glabājas Latvijā, līdz ar to jāpārvalda atbilstīgi aprobētai korporatīvajai praksei; </w:t>
      </w:r>
    </w:p>
    <w:p w14:paraId="2D8193F1" w14:textId="68C52917" w:rsidR="007A627E" w:rsidRPr="00E34E1E" w:rsidRDefault="007A627E" w:rsidP="00013EED">
      <w:pPr>
        <w:pStyle w:val="Style2"/>
        <w:spacing w:after="80"/>
      </w:pPr>
      <w:r w:rsidRPr="00E34E1E">
        <w:t>• drošības rezerv</w:t>
      </w:r>
      <w:r w:rsidR="007367C6" w:rsidRPr="00E34E1E">
        <w:t>ju</w:t>
      </w:r>
      <w:r w:rsidRPr="00E34E1E">
        <w:t xml:space="preserve"> uzturēšanu un </w:t>
      </w:r>
      <w:r w:rsidR="00BE101C" w:rsidRPr="00E34E1E">
        <w:t>P</w:t>
      </w:r>
      <w:r w:rsidRPr="00E34E1E">
        <w:t>akalpojuma maks</w:t>
      </w:r>
      <w:r w:rsidR="007367C6" w:rsidRPr="00E34E1E">
        <w:t>as</w:t>
      </w:r>
      <w:r w:rsidRPr="00E34E1E">
        <w:t xml:space="preserve"> par drošības rezervju uzturēšanu administrēšanu valsts uzdod uz ārējā normatīvā akta pamata;</w:t>
      </w:r>
    </w:p>
    <w:p w14:paraId="7E421A93" w14:textId="2A0F2835" w:rsidR="007A627E" w:rsidRPr="00E34E1E" w:rsidRDefault="007A627E" w:rsidP="00013EED">
      <w:pPr>
        <w:pStyle w:val="Style2"/>
        <w:spacing w:after="80"/>
      </w:pPr>
      <w:r w:rsidRPr="00E34E1E">
        <w:t xml:space="preserve">• funkcionālo uzraudzību pār Possessor veic </w:t>
      </w:r>
      <w:r w:rsidR="009F5880" w:rsidRPr="00E34E1E">
        <w:t>E</w:t>
      </w:r>
      <w:r w:rsidR="00C32373" w:rsidRPr="00E34E1E">
        <w:t>konomikas ministrija</w:t>
      </w:r>
      <w:r w:rsidRPr="00E34E1E">
        <w:t>, tai skaitā administratīvo izmaksu pārraudzīb</w:t>
      </w:r>
      <w:r w:rsidR="00601AC5" w:rsidRPr="00E34E1E">
        <w:t>u</w:t>
      </w:r>
      <w:r w:rsidRPr="00E34E1E">
        <w:t>;</w:t>
      </w:r>
    </w:p>
    <w:p w14:paraId="6BA76B68" w14:textId="620A6951" w:rsidR="007A627E" w:rsidRPr="00E34E1E" w:rsidRDefault="007A627E" w:rsidP="00013EED">
      <w:pPr>
        <w:pStyle w:val="Style2"/>
        <w:spacing w:after="80"/>
      </w:pPr>
      <w:r w:rsidRPr="00E34E1E">
        <w:t xml:space="preserve">• komersantu samaksātā publisko pakalpojuma maksu par drošības rezervju uzturēšanu tiek pārskaitīta naftas produktu drošības rezervju </w:t>
      </w:r>
      <w:r w:rsidR="00BE101C" w:rsidRPr="00E34E1E">
        <w:t>Uzkrāšanas</w:t>
      </w:r>
      <w:r w:rsidRPr="00E34E1E">
        <w:t xml:space="preserve"> fondā, kas ir izveidots uz likuma pamata un ko valsts vārdā administrē Possessor</w:t>
      </w:r>
      <w:r w:rsidR="00C32373" w:rsidRPr="00E34E1E">
        <w:t>;</w:t>
      </w:r>
    </w:p>
    <w:p w14:paraId="1E30A66A" w14:textId="61152296" w:rsidR="007A627E" w:rsidRPr="00E34E1E" w:rsidRDefault="007A627E" w:rsidP="00013EED">
      <w:pPr>
        <w:pStyle w:val="Style2"/>
        <w:spacing w:after="80"/>
      </w:pPr>
      <w:r w:rsidRPr="00E34E1E">
        <w:t xml:space="preserve">• drošības rezervju </w:t>
      </w:r>
      <w:r w:rsidR="00136998" w:rsidRPr="00E34E1E">
        <w:t>Uz</w:t>
      </w:r>
      <w:r w:rsidR="00BE101C" w:rsidRPr="00E34E1E">
        <w:t>krāšanas</w:t>
      </w:r>
      <w:r w:rsidRPr="00E34E1E">
        <w:t xml:space="preserve"> fonda ienākumi ir Pakalpojuma maksa par drošības rezervju uzturēšanu un ienākumi no </w:t>
      </w:r>
      <w:r w:rsidR="00601AC5" w:rsidRPr="00E34E1E">
        <w:t xml:space="preserve">rezervju </w:t>
      </w:r>
      <w:r w:rsidRPr="00E34E1E">
        <w:t>pārdošanas (pārdod saistībā ar naftas produktu rotāciju vai samazinoties nepieciešama</w:t>
      </w:r>
      <w:r w:rsidR="00601AC5" w:rsidRPr="00E34E1E">
        <w:t>jam</w:t>
      </w:r>
      <w:r w:rsidRPr="00E34E1E">
        <w:t xml:space="preserve"> drošības rezerv</w:t>
      </w:r>
      <w:r w:rsidR="00601AC5" w:rsidRPr="00E34E1E">
        <w:t>ju apjomam</w:t>
      </w:r>
      <w:r w:rsidRPr="00E34E1E">
        <w:t>);</w:t>
      </w:r>
    </w:p>
    <w:p w14:paraId="7F05EFC5" w14:textId="201A81F2" w:rsidR="007A627E" w:rsidRPr="00E34E1E" w:rsidRDefault="007A627E" w:rsidP="00013EED">
      <w:pPr>
        <w:pStyle w:val="Style2"/>
        <w:spacing w:after="80"/>
      </w:pPr>
      <w:r w:rsidRPr="00E34E1E">
        <w:t xml:space="preserve">• </w:t>
      </w:r>
      <w:r w:rsidR="00373388" w:rsidRPr="00E34E1E">
        <w:t xml:space="preserve">salīdzinot ar nodevu, kas ir novirzāma arī valsts budžetā, visi maksājumi </w:t>
      </w:r>
      <w:r w:rsidR="00F055D4" w:rsidRPr="00E34E1E">
        <w:t>Uz</w:t>
      </w:r>
      <w:r w:rsidR="00BE101C" w:rsidRPr="00E34E1E">
        <w:t>krāšanas</w:t>
      </w:r>
      <w:r w:rsidR="00F055D4" w:rsidRPr="00E34E1E">
        <w:t xml:space="preserve"> fondā</w:t>
      </w:r>
      <w:r w:rsidR="00373388" w:rsidRPr="00E34E1E">
        <w:t xml:space="preserve"> izmantojami </w:t>
      </w:r>
      <w:r w:rsidRPr="00E34E1E">
        <w:t>Possessor administratīvo izmaksu segšanai; naftas produktu drošības rezervju iegādei; naftas produktu rezervuāru nomai un uzturēšanai (iespējams nākotnē arī iegādei); krājumu apritei un apdrošināšanai</w:t>
      </w:r>
      <w:r w:rsidR="002E3894" w:rsidRPr="00E34E1E">
        <w:t>;</w:t>
      </w:r>
    </w:p>
    <w:p w14:paraId="1DC914BB" w14:textId="6207FFA8" w:rsidR="002E3894" w:rsidRPr="00E34E1E" w:rsidRDefault="002E3894" w:rsidP="00013EED">
      <w:pPr>
        <w:pStyle w:val="Style2"/>
        <w:spacing w:after="80"/>
      </w:pPr>
      <w:r w:rsidRPr="00E34E1E">
        <w:t xml:space="preserve">• rotācijas jeb krājumu atjaunošanas ciklus </w:t>
      </w:r>
      <w:r w:rsidR="00136998" w:rsidRPr="00E34E1E">
        <w:t>jānosaka</w:t>
      </w:r>
      <w:r w:rsidRPr="00E34E1E">
        <w:t xml:space="preserve"> ārējos normatīvos aktos, lai drošības rezerves atbilstu standartiem (benzīnam rotācija reizi gadā, dīzeļdegvielu reizi divos gados). Tas nozīmē, ka benzīna pirmo rotāciju būs iespējams veikt 2025. gadā, bet dīzeļdegvielas – 2026. gadā. Savukārt līdz tam ir iespējams izstrādāt nepieciešamās standarta operēšanas procedūras pēc salīdzināmu aģentūru piemēriem</w:t>
      </w:r>
      <w:r w:rsidR="00BE101C" w:rsidRPr="00E34E1E">
        <w:t xml:space="preserve"> saistībā ar to, ka</w:t>
      </w:r>
      <w:r w:rsidRPr="00E34E1E">
        <w:t xml:space="preserve"> funkcij</w:t>
      </w:r>
      <w:r w:rsidR="00601AC5" w:rsidRPr="00E34E1E">
        <w:t>u</w:t>
      </w:r>
      <w:r w:rsidRPr="00E34E1E">
        <w:t xml:space="preserve"> izpilde n</w:t>
      </w:r>
      <w:r w:rsidR="00BE101C" w:rsidRPr="00E34E1E">
        <w:t>ebūtu</w:t>
      </w:r>
      <w:r w:rsidRPr="00E34E1E">
        <w:t xml:space="preserve"> ne konkurences kropļošana, ne cita veida iejaukšanās tirgū. </w:t>
      </w:r>
    </w:p>
    <w:p w14:paraId="1281DAF5" w14:textId="6C61EA32" w:rsidR="006E79D5" w:rsidRPr="00E34E1E" w:rsidRDefault="006E79D5" w:rsidP="00013EED">
      <w:pPr>
        <w:pStyle w:val="Style2"/>
        <w:spacing w:after="80"/>
      </w:pPr>
      <w:r w:rsidRPr="00E34E1E">
        <w:t xml:space="preserve">Ievērojot minēto, pie šāda modeļa </w:t>
      </w:r>
      <w:r w:rsidR="00C47271" w:rsidRPr="00E34E1E">
        <w:t xml:space="preserve">politiskā </w:t>
      </w:r>
      <w:r w:rsidRPr="00E34E1E">
        <w:t>atbalsta</w:t>
      </w:r>
      <w:r w:rsidR="00C47271" w:rsidRPr="00E34E1E">
        <w:t xml:space="preserve"> </w:t>
      </w:r>
      <w:r w:rsidR="00C32373" w:rsidRPr="00E34E1E">
        <w:t xml:space="preserve">būtu nepieciešams </w:t>
      </w:r>
      <w:r w:rsidR="00136998" w:rsidRPr="00E34E1E">
        <w:t xml:space="preserve">identificēt un </w:t>
      </w:r>
      <w:r w:rsidR="00C32373" w:rsidRPr="00E34E1E">
        <w:t>veikt atbilstīgus grozījumus</w:t>
      </w:r>
      <w:r w:rsidR="00013EED">
        <w:t xml:space="preserve"> spēkā esošajā regulējumā, tas ir</w:t>
      </w:r>
      <w:r w:rsidR="00136998" w:rsidRPr="00E34E1E">
        <w:t>,</w:t>
      </w:r>
      <w:r w:rsidR="00C47271" w:rsidRPr="00E34E1E">
        <w:t xml:space="preserve"> </w:t>
      </w:r>
      <w:r w:rsidR="00136998" w:rsidRPr="00E34E1E">
        <w:t xml:space="preserve">1) </w:t>
      </w:r>
      <w:r w:rsidRPr="00E34E1E">
        <w:t xml:space="preserve">Enerģētikas likumā, </w:t>
      </w:r>
      <w:r w:rsidR="00136998" w:rsidRPr="00E34E1E">
        <w:t xml:space="preserve">2) </w:t>
      </w:r>
      <w:r w:rsidRPr="00E34E1E">
        <w:t xml:space="preserve">Publisko personu mantas atsavināšanas likumā, </w:t>
      </w:r>
      <w:r w:rsidR="00136998" w:rsidRPr="00E34E1E">
        <w:t xml:space="preserve">3) </w:t>
      </w:r>
      <w:r w:rsidR="003A5CDA" w:rsidRPr="00E34E1E">
        <w:t>“</w:t>
      </w:r>
      <w:r w:rsidR="00B0355F" w:rsidRPr="00E34E1E">
        <w:t>L</w:t>
      </w:r>
      <w:r w:rsidRPr="00E34E1E">
        <w:t>ikumā par budžetu un finanšu vadību</w:t>
      </w:r>
      <w:r w:rsidR="003A5CDA" w:rsidRPr="00E34E1E">
        <w:t>”</w:t>
      </w:r>
      <w:r w:rsidR="00136998" w:rsidRPr="00E34E1E">
        <w:t>, kā arī saistītos Ministru kabineta noteikumos</w:t>
      </w:r>
      <w:r w:rsidRPr="00E34E1E">
        <w:t>.</w:t>
      </w:r>
    </w:p>
    <w:p w14:paraId="308A5E10" w14:textId="2A09FBE3" w:rsidR="009F5880" w:rsidRPr="00E34E1E" w:rsidRDefault="00B0355F" w:rsidP="00013EED">
      <w:pPr>
        <w:pStyle w:val="Style2"/>
        <w:spacing w:after="80"/>
      </w:pPr>
      <w:r w:rsidRPr="00E34E1E">
        <w:t>Jāpiebilst, ka p</w:t>
      </w:r>
      <w:r w:rsidR="0014627B" w:rsidRPr="00E34E1E">
        <w:t>ie efektīvas pārvaldības aģentūras modelis ļautu arī pārsniegt pašizmaksas (faktiski pelnīt) un tad to pie turpmākiem periodiem būtu iespējams izlīdzināt ar Pakalpojuma maksas pārrēķinu</w:t>
      </w:r>
      <w:r w:rsidR="00601AC5" w:rsidRPr="00E34E1E">
        <w:t xml:space="preserve"> un</w:t>
      </w:r>
      <w:r w:rsidR="0014627B" w:rsidRPr="00E34E1E">
        <w:t xml:space="preserve"> fiskālā sloga mazināšanu valsts budžet</w:t>
      </w:r>
      <w:r w:rsidR="00601AC5" w:rsidRPr="00E34E1E">
        <w:t>am</w:t>
      </w:r>
      <w:r w:rsidR="0014627B" w:rsidRPr="00E34E1E">
        <w:t xml:space="preserve">. Ievērojot to, ka pāreja uz valsts īpašumu pārvaldošās aģentūras modeli jāveic 5 gadu laikā, tad BVKB iestrādes uzskatāmas par sākumposmu, lai Possessor kā valsts aktīvu pārvaldītājs ar vairāk nekā 30 gadu pieredzi varētu pārņemt operatīvo vadību atbilstoši valdības </w:t>
      </w:r>
      <w:r w:rsidR="00601AC5" w:rsidRPr="00E34E1E">
        <w:t xml:space="preserve">noteiktajiem </w:t>
      </w:r>
      <w:r w:rsidR="0014627B" w:rsidRPr="00E34E1E">
        <w:t>mērķiem un iekļauties nospraustajos laika nogriežņos.</w:t>
      </w:r>
    </w:p>
    <w:p w14:paraId="5BAA390B" w14:textId="1AE4CDDB" w:rsidR="00C32373" w:rsidRPr="00E34E1E" w:rsidRDefault="00C32373">
      <w:pPr>
        <w:pStyle w:val="Style2"/>
      </w:pPr>
    </w:p>
    <w:p w14:paraId="017298E2" w14:textId="3D3C611E" w:rsidR="009F5880" w:rsidRPr="00E34E1E" w:rsidRDefault="009F5880" w:rsidP="00013EED">
      <w:pPr>
        <w:pStyle w:val="Style1"/>
        <w:spacing w:before="0" w:after="120" w:line="240" w:lineRule="auto"/>
        <w:jc w:val="center"/>
      </w:pPr>
      <w:bookmarkStart w:id="19" w:name="_Toc126061818"/>
      <w:r w:rsidRPr="00E34E1E">
        <w:lastRenderedPageBreak/>
        <w:t xml:space="preserve">5. </w:t>
      </w:r>
      <w:r w:rsidR="002E3894" w:rsidRPr="00E34E1E">
        <w:t>Latvijas jaunās drošības rezervju pārvaldības finansiālā ietekme</w:t>
      </w:r>
      <w:bookmarkEnd w:id="19"/>
    </w:p>
    <w:p w14:paraId="2CC73AC0" w14:textId="7225AAC5" w:rsidR="009F5880" w:rsidRPr="00E34E1E" w:rsidRDefault="009F5880">
      <w:pPr>
        <w:pStyle w:val="Style2"/>
      </w:pPr>
    </w:p>
    <w:p w14:paraId="56A70443" w14:textId="5C110523" w:rsidR="002B63AE" w:rsidRPr="00E34E1E" w:rsidRDefault="002B63AE" w:rsidP="00013EED">
      <w:pPr>
        <w:pStyle w:val="Style2"/>
        <w:spacing w:after="80"/>
      </w:pPr>
      <w:r w:rsidRPr="00E34E1E">
        <w:t>Lai salīdzinātu jaunās valsts naftas drošības rezervju pārvaldības modeļa izmaksas ar esošā modeļa izmaksām, ir veikti finansiālie aprēķini atbilstoši situācijai uz 2023. gada janvāri. Esošā modeļa izmaksas desmit gadu laikā, līdz 2033. gadam sasniegs 1 200 miljon</w:t>
      </w:r>
      <w:r w:rsidR="00601AC5" w:rsidRPr="00E34E1E">
        <w:t>us</w:t>
      </w:r>
      <w:r w:rsidRPr="00E34E1E">
        <w:t xml:space="preserve"> EUR, balstoties uz 2023. gada izmaksām. Vienlaicīgi ir jāņem vērā, ka krīzes situācijā pie esošā modeļa veidosies papildu izmaksas, kas saistītas ar iegādi, jo šīs naftas drošības rezerves nav valsts īpašumā.</w:t>
      </w:r>
    </w:p>
    <w:p w14:paraId="605B57CD" w14:textId="13FEE91B" w:rsidR="002B63AE" w:rsidRPr="00E34E1E" w:rsidRDefault="002B63AE" w:rsidP="00013EED">
      <w:pPr>
        <w:pStyle w:val="Style2"/>
        <w:spacing w:after="80"/>
      </w:pPr>
      <w:r w:rsidRPr="00E34E1E">
        <w:t>Līdz ar Krievijas agresiju Ukrainā esošā valsts naftas drošības rezervju pārvaldības modeļa izmaksas ir būtiski pieaugušas. 2021. gadā valsts naftas drošības rezervju uzturēšanas iepirkuma tarifa vidējā svērtā cena BVKB iepirkum</w:t>
      </w:r>
      <w:r w:rsidR="00601AC5" w:rsidRPr="00E34E1E">
        <w:t>ā</w:t>
      </w:r>
      <w:r w:rsidRPr="00E34E1E">
        <w:t xml:space="preserve"> bija 81,36 EUR / t gadā (6,78 EUR / t mēnesī). Šī brīža BVKB iepirkumos valsts naftas drošības rezervju uzturēšanas iepirkuma tarifa vidējā svērtā cena ir 361,80 EUR / t gadā (30,15 EUR / t mēnesī), šīs izmaksas neietver naftas produktu iegādi nepieciešamības gadījumā. Savukārt jaunajā modelī vidējā svērtā cena naftas drošības rezervju iegādei un uzturēšanai periodā no 2024. gada līdz 2028. gadam paredzēta 363,60 EUR / t gadā, no 2029. gada 49,88 EUR / t gadā.</w:t>
      </w:r>
    </w:p>
    <w:p w14:paraId="2B444F08" w14:textId="2464116A" w:rsidR="002B63AE" w:rsidRPr="00E34E1E" w:rsidRDefault="00601AC5" w:rsidP="00013EED">
      <w:pPr>
        <w:pStyle w:val="Style2"/>
        <w:spacing w:after="80"/>
      </w:pPr>
      <w:r w:rsidRPr="00E34E1E">
        <w:t xml:space="preserve">Jaunais </w:t>
      </w:r>
      <w:r w:rsidR="002B63AE" w:rsidRPr="00E34E1E">
        <w:t xml:space="preserve">valsts naftas drošības rezervju pārvaldības modelis paredz naftas produktu rezervju iegādi valsts īpašumā, to uzglabāšanu un pārvaldīšanu. Jaunā pārvaldības modeļa izmaksas desmit gadu laikā kopumā ir noteiktas </w:t>
      </w:r>
      <w:r w:rsidR="002B63AE" w:rsidRPr="00E34E1E">
        <w:rPr>
          <w:u w:val="single"/>
        </w:rPr>
        <w:t>691 miljoni EUR apmērā. Minētajās izmaksās ir iekļauta naftas drošības rezervju iegāde pilnā apmērā valsts īpašumā.</w:t>
      </w:r>
    </w:p>
    <w:p w14:paraId="109DD02D" w14:textId="77777777" w:rsidR="002B63AE" w:rsidRPr="00E34E1E" w:rsidRDefault="002B63AE" w:rsidP="00013EED">
      <w:pPr>
        <w:pStyle w:val="Style2"/>
        <w:spacing w:after="240"/>
        <w:ind w:firstLine="0"/>
      </w:pPr>
      <w:r w:rsidRPr="00E34E1E">
        <w:t xml:space="preserve">Pāreja no esošā modeļa </w:t>
      </w:r>
      <w:r w:rsidRPr="00E34E1E">
        <w:rPr>
          <w:u w:val="single"/>
        </w:rPr>
        <w:t xml:space="preserve">valsts naftas drošības rezervju uzglabāšanā uz jauno modeli nodrošinās izmaksu samazinājumu vairāk nekā 2.2 reizes. </w:t>
      </w:r>
      <w:r w:rsidRPr="00E34E1E">
        <w:t>5. attēlā redzams Pakalpojuma maksas salīdzinājums starp esošo pārvaldības modeli un jauno pārvaldības modeli.</w:t>
      </w:r>
    </w:p>
    <w:p w14:paraId="63C72EEB" w14:textId="634CB3E2" w:rsidR="002B63AE" w:rsidRPr="00E34E1E" w:rsidRDefault="002B63AE" w:rsidP="002B63AE">
      <w:pPr>
        <w:pStyle w:val="Style2"/>
        <w:ind w:firstLine="0"/>
      </w:pPr>
      <w:r w:rsidRPr="00E34E1E">
        <w:rPr>
          <w:noProof/>
        </w:rPr>
        <w:t xml:space="preserve"> </w:t>
      </w:r>
      <w:r w:rsidRPr="00E34E1E">
        <w:rPr>
          <w:noProof/>
        </w:rPr>
        <w:drawing>
          <wp:inline distT="0" distB="0" distL="0" distR="0" wp14:anchorId="6892F554" wp14:editId="68DA7A7E">
            <wp:extent cx="5803204" cy="259307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5018" cy="2602821"/>
                    </a:xfrm>
                    <a:prstGeom prst="rect">
                      <a:avLst/>
                    </a:prstGeom>
                    <a:noFill/>
                  </pic:spPr>
                </pic:pic>
              </a:graphicData>
            </a:graphic>
          </wp:inline>
        </w:drawing>
      </w:r>
    </w:p>
    <w:p w14:paraId="6B5FDE10" w14:textId="77777777" w:rsidR="002B63AE" w:rsidRPr="00E34E1E" w:rsidRDefault="002B63AE" w:rsidP="002B63AE">
      <w:pPr>
        <w:spacing w:after="0" w:line="240" w:lineRule="auto"/>
        <w:jc w:val="center"/>
        <w:rPr>
          <w:rFonts w:ascii="Times New Roman" w:hAnsi="Times New Roman" w:cs="Times New Roman"/>
          <w:sz w:val="20"/>
          <w:szCs w:val="20"/>
        </w:rPr>
      </w:pPr>
      <w:r w:rsidRPr="00E34E1E">
        <w:rPr>
          <w:rFonts w:ascii="Times New Roman" w:hAnsi="Times New Roman" w:cs="Times New Roman"/>
          <w:sz w:val="20"/>
          <w:szCs w:val="20"/>
        </w:rPr>
        <w:t>5. attēls. Salīdzinājums starp esošo modeli un jauno modeli, Pakalpojuma maksa, EUR centi / l.</w:t>
      </w:r>
    </w:p>
    <w:p w14:paraId="57D6ECD8" w14:textId="77777777" w:rsidR="002B63AE" w:rsidRPr="00E34E1E" w:rsidRDefault="002B63AE" w:rsidP="00013EED">
      <w:pPr>
        <w:spacing w:after="240" w:line="240" w:lineRule="auto"/>
        <w:jc w:val="center"/>
        <w:rPr>
          <w:rFonts w:ascii="Times New Roman" w:hAnsi="Times New Roman" w:cs="Times New Roman"/>
          <w:sz w:val="20"/>
          <w:szCs w:val="20"/>
        </w:rPr>
      </w:pPr>
      <w:r w:rsidRPr="00E34E1E">
        <w:rPr>
          <w:rFonts w:ascii="Times New Roman" w:hAnsi="Times New Roman" w:cs="Times New Roman"/>
          <w:sz w:val="20"/>
          <w:szCs w:val="20"/>
        </w:rPr>
        <w:t>(Avots: EM un Possessor prognoze)</w:t>
      </w:r>
    </w:p>
    <w:p w14:paraId="6B48FCFF" w14:textId="77777777" w:rsidR="002B63AE" w:rsidRPr="00E34E1E" w:rsidRDefault="002B63AE" w:rsidP="002B63AE">
      <w:pPr>
        <w:pStyle w:val="Style2"/>
      </w:pPr>
    </w:p>
    <w:p w14:paraId="6A1EBD5E" w14:textId="72F5FCAC" w:rsidR="002B63AE" w:rsidRPr="00E34E1E" w:rsidRDefault="002B63AE" w:rsidP="00013EED">
      <w:pPr>
        <w:pStyle w:val="Style2"/>
        <w:spacing w:after="80"/>
      </w:pPr>
      <w:r w:rsidRPr="00E34E1E">
        <w:t>Prognozējams, ka valsts naftas drošības rezervju sākotnējai iegādei ir nepieciešami kopumā 332,67 milj. EUR laika periodā no 2024. līdz 2028. gadam, katru gadu iegādājoties 20% no kopējām nepieciešamajām valsts naftas drošības rezervēm valsts īpašumā, iegādi veicot par vidējo prognozēto naftas produktu cenu.</w:t>
      </w:r>
    </w:p>
    <w:p w14:paraId="3853AD5E" w14:textId="77777777" w:rsidR="002B63AE" w:rsidRPr="00E34E1E" w:rsidRDefault="002B63AE" w:rsidP="00013EED">
      <w:pPr>
        <w:pStyle w:val="Style2"/>
        <w:spacing w:after="80"/>
      </w:pPr>
      <w:r w:rsidRPr="00E34E1E">
        <w:t xml:space="preserve">Izmaksu sadalījums laika periodā no 2024. gada līdz 2028. gadam paredz, ka </w:t>
      </w:r>
    </w:p>
    <w:p w14:paraId="7D2ED067" w14:textId="77777777" w:rsidR="002B63AE" w:rsidRPr="00E34E1E" w:rsidRDefault="002B63AE" w:rsidP="00013EED">
      <w:pPr>
        <w:pStyle w:val="Style2"/>
        <w:numPr>
          <w:ilvl w:val="0"/>
          <w:numId w:val="27"/>
        </w:numPr>
        <w:spacing w:after="80"/>
      </w:pPr>
      <w:r w:rsidRPr="00E34E1E">
        <w:t xml:space="preserve">54,28% (332,67 milj. EUR) ir valsts naftas drošības rezervju iegāde; </w:t>
      </w:r>
    </w:p>
    <w:p w14:paraId="07FDF6C8" w14:textId="1E71ECDC" w:rsidR="002B63AE" w:rsidRPr="00E34E1E" w:rsidRDefault="002B63AE" w:rsidP="00013EED">
      <w:pPr>
        <w:pStyle w:val="Style2"/>
        <w:numPr>
          <w:ilvl w:val="0"/>
          <w:numId w:val="27"/>
        </w:numPr>
        <w:spacing w:after="80"/>
      </w:pPr>
      <w:r w:rsidRPr="00E34E1E">
        <w:t>45,36% (278,1 milj. EUR) ir infrastruktūras uzturēšanas izmaksas (terminā</w:t>
      </w:r>
      <w:r w:rsidR="00854788" w:rsidRPr="00E34E1E">
        <w:t>ļu</w:t>
      </w:r>
      <w:r w:rsidRPr="00E34E1E">
        <w:t xml:space="preserve"> noma un infrastruktūra; pārvaldība);</w:t>
      </w:r>
    </w:p>
    <w:p w14:paraId="34F117C5" w14:textId="77777777" w:rsidR="002B63AE" w:rsidRPr="00E34E1E" w:rsidRDefault="002B63AE" w:rsidP="00013EED">
      <w:pPr>
        <w:pStyle w:val="Style2"/>
        <w:numPr>
          <w:ilvl w:val="0"/>
          <w:numId w:val="27"/>
        </w:numPr>
        <w:spacing w:after="80"/>
      </w:pPr>
      <w:r w:rsidRPr="00E34E1E">
        <w:lastRenderedPageBreak/>
        <w:t>0,36% (2,2 milj. EUR) ir administratīvās izmaksas.</w:t>
      </w:r>
    </w:p>
    <w:p w14:paraId="2029B47D" w14:textId="4E931C1F" w:rsidR="002B63AE" w:rsidRPr="00E34E1E" w:rsidRDefault="002B63AE" w:rsidP="00013EED">
      <w:pPr>
        <w:pStyle w:val="Style2"/>
        <w:spacing w:after="80"/>
      </w:pPr>
      <w:r w:rsidRPr="00E34E1E">
        <w:rPr>
          <w:b/>
          <w:bCs/>
        </w:rPr>
        <w:t>Ņemot vērā iespēju samazināt izmaksas valsts naftas drošības rezervju nodrošināšanai, E</w:t>
      </w:r>
      <w:r w:rsidR="00854788" w:rsidRPr="00E34E1E">
        <w:rPr>
          <w:b/>
          <w:bCs/>
        </w:rPr>
        <w:t>konomikas ministrija</w:t>
      </w:r>
      <w:r w:rsidRPr="00E34E1E">
        <w:rPr>
          <w:b/>
          <w:bCs/>
        </w:rPr>
        <w:t xml:space="preserve"> rekomendē no 2024. gada uzsākt pakāpenisku pāreju uz jauno valsts naftas drošības rezervju pārvaldības modeli</w:t>
      </w:r>
      <w:r w:rsidRPr="00E34E1E">
        <w:t xml:space="preserve">. </w:t>
      </w:r>
    </w:p>
    <w:p w14:paraId="7AFDE3AB" w14:textId="68CBE0C4" w:rsidR="002B63AE" w:rsidRPr="00E34E1E" w:rsidRDefault="002B63AE" w:rsidP="00013EED">
      <w:pPr>
        <w:pStyle w:val="Style2"/>
        <w:spacing w:after="80"/>
      </w:pPr>
      <w:r w:rsidRPr="00E34E1E">
        <w:t>Paredzams, ka 2024. gadā valsts naftas drošības rezervju nodrošināšanas izmaksas  sastādīs 158,3 milj. EUR, taču ar katru gadu tā</w:t>
      </w:r>
      <w:r w:rsidR="00601AC5" w:rsidRPr="00E34E1E">
        <w:t>s</w:t>
      </w:r>
      <w:r w:rsidRPr="00E34E1E">
        <w:t xml:space="preserve"> samazināsies, līdz 2028. gadā tā</w:t>
      </w:r>
      <w:r w:rsidR="00601AC5" w:rsidRPr="00E34E1E">
        <w:t>s</w:t>
      </w:r>
      <w:r w:rsidRPr="00E34E1E">
        <w:t xml:space="preserve"> paredzēta</w:t>
      </w:r>
      <w:r w:rsidR="00601AC5" w:rsidRPr="00E34E1E">
        <w:t>s</w:t>
      </w:r>
      <w:r w:rsidRPr="00E34E1E">
        <w:t xml:space="preserve"> 84,1 milj. EUR apmērā. Valsts nodeva, kas segtu aprēķinātās valsts naftas drošības rezervju izmaksas, pirmajā pārejas gadā būtu 11,2 EUR centi par vienu litru, savukārt piektajā gadā samazinātos līdz 6,1 EUR centi</w:t>
      </w:r>
      <w:r w:rsidR="00601AC5" w:rsidRPr="00E34E1E">
        <w:t>em</w:t>
      </w:r>
      <w:r w:rsidRPr="00E34E1E">
        <w:t xml:space="preserve"> par vienu litru. </w:t>
      </w:r>
      <w:r w:rsidRPr="00E34E1E">
        <w:rPr>
          <w:u w:val="single"/>
        </w:rPr>
        <w:t xml:space="preserve">Pakalpojuma maksas par valsts naftas drošības rezervju uzturēšanu paaugstinājums sākotnējo 5 gadu laikā ļautu uzkrāt naftas produktus 100% apmērā valsts īpašumā, veicot ikgadēju iegādi 20% no Latvijai nepieciešamo valsts naftas produktu drošības rezervēm, </w:t>
      </w:r>
      <w:r w:rsidRPr="00E34E1E">
        <w:rPr>
          <w:b/>
          <w:bCs/>
          <w:u w:val="single"/>
        </w:rPr>
        <w:t>nepieprasot papildu budžeta dotācijas</w:t>
      </w:r>
      <w:r w:rsidRPr="00E34E1E">
        <w:rPr>
          <w:u w:val="single"/>
        </w:rPr>
        <w:t>.</w:t>
      </w:r>
      <w:r w:rsidR="00295F70">
        <w:rPr>
          <w:u w:val="single"/>
        </w:rPr>
        <w:t xml:space="preserve"> </w:t>
      </w:r>
      <w:r w:rsidR="00295F70" w:rsidRPr="00295F70">
        <w:t>Vienlaicīgi, ja ir nepieciešams nodrošināt Latvijas tautsaimniecības konkurētspēju, tad valsts naftas drošības rezervju nodrošināšanas izmaksas var paredzēt daļēji segt no valsts budžeta, par to lemjot valsts budžeta izstrādes procesā.</w:t>
      </w:r>
    </w:p>
    <w:p w14:paraId="7914032A" w14:textId="59C7960E" w:rsidR="002B63AE" w:rsidRPr="00E34E1E" w:rsidRDefault="002B63AE" w:rsidP="00013EED">
      <w:pPr>
        <w:pStyle w:val="Style2"/>
        <w:spacing w:after="80"/>
      </w:pPr>
      <w:r w:rsidRPr="00E34E1E">
        <w:t>Ar 2029. gadu valsts naftas drošības rezervju nodrošināšanas izmaksas kļūs vienmērīgi zemas (16,6 milj. EUR), jo</w:t>
      </w:r>
      <w:r w:rsidR="00B215C8" w:rsidRPr="00E34E1E">
        <w:t>,</w:t>
      </w:r>
      <w:r w:rsidRPr="00E34E1E">
        <w:t xml:space="preserve"> pārejot uz jauno pārvaldības modeli</w:t>
      </w:r>
      <w:r w:rsidR="00B215C8" w:rsidRPr="00E34E1E">
        <w:t>,</w:t>
      </w:r>
      <w:r w:rsidRPr="00E34E1E">
        <w:t xml:space="preserve"> infrastruktūras uzturēšanas izmaksas kļūs būtiski zemākas nekā tās ir līdz 2028. gadam.</w:t>
      </w:r>
    </w:p>
    <w:p w14:paraId="0FCA5FC4" w14:textId="58D48468" w:rsidR="002B63AE" w:rsidRPr="00E34E1E" w:rsidRDefault="002B63AE" w:rsidP="00013EED">
      <w:pPr>
        <w:pStyle w:val="Style2"/>
        <w:spacing w:after="80"/>
      </w:pPr>
      <w:r w:rsidRPr="00E34E1E">
        <w:t>Ilgtermiņā pāreja uz modeli, kur īpašumtiesības uz naftas produktiem pieder valstij, ļautu pakalpojuma maksu par valsts naftas drošības rezervju uzturēšanu samazināt desmitkārtīgi no 11,2 uz 1,3 EUR centiem par vienu litru. Pakalpojuma maksas samazinājums rad</w:t>
      </w:r>
      <w:r w:rsidR="00B215C8" w:rsidRPr="00E34E1E">
        <w:t>īs</w:t>
      </w:r>
      <w:r w:rsidRPr="00E34E1E">
        <w:t xml:space="preserve"> konkurētspējīgu uzņēmējdarbības vidi un samazinās degvielas izmaksas mājsaimniecībām ar 2029. gadu. </w:t>
      </w:r>
    </w:p>
    <w:p w14:paraId="3024ECE3" w14:textId="61C89F45" w:rsidR="003F1938" w:rsidRPr="00E34E1E" w:rsidRDefault="003F1938" w:rsidP="002B63AE">
      <w:pPr>
        <w:pStyle w:val="Style2"/>
        <w:spacing w:after="60"/>
      </w:pPr>
    </w:p>
    <w:p w14:paraId="1AEAAB9B" w14:textId="6BB38D58" w:rsidR="002B63AE" w:rsidRDefault="002B63AE" w:rsidP="003F1938">
      <w:pPr>
        <w:pStyle w:val="Style2"/>
      </w:pPr>
    </w:p>
    <w:p w14:paraId="62424A73" w14:textId="08F5A038" w:rsidR="00932A84" w:rsidRDefault="00932A84" w:rsidP="003F1938">
      <w:pPr>
        <w:pStyle w:val="Style2"/>
      </w:pPr>
    </w:p>
    <w:p w14:paraId="52104289" w14:textId="4DD12FB2" w:rsidR="00932A84" w:rsidRDefault="00932A84" w:rsidP="003F1938">
      <w:pPr>
        <w:pStyle w:val="Style2"/>
      </w:pPr>
    </w:p>
    <w:p w14:paraId="6D1FACE8" w14:textId="0F430796" w:rsidR="00932A84" w:rsidRDefault="00932A84" w:rsidP="003F1938">
      <w:pPr>
        <w:pStyle w:val="Style2"/>
      </w:pPr>
    </w:p>
    <w:p w14:paraId="1986B66C" w14:textId="3A95F18D" w:rsidR="00932A84" w:rsidRDefault="00932A84" w:rsidP="003F1938">
      <w:pPr>
        <w:pStyle w:val="Style2"/>
      </w:pPr>
    </w:p>
    <w:p w14:paraId="25607E9F" w14:textId="40FCEA5E" w:rsidR="00932A84" w:rsidRDefault="00932A84" w:rsidP="003F1938">
      <w:pPr>
        <w:pStyle w:val="Style2"/>
      </w:pPr>
    </w:p>
    <w:p w14:paraId="41B7EA44" w14:textId="4921CE5D" w:rsidR="00932A84" w:rsidRDefault="00932A84" w:rsidP="003F1938">
      <w:pPr>
        <w:pStyle w:val="Style2"/>
      </w:pPr>
    </w:p>
    <w:p w14:paraId="30F69E6D" w14:textId="53CE567B" w:rsidR="00932A84" w:rsidRDefault="00932A84" w:rsidP="003F1938">
      <w:pPr>
        <w:pStyle w:val="Style2"/>
      </w:pPr>
    </w:p>
    <w:p w14:paraId="2DD898CE" w14:textId="31AEFDB2" w:rsidR="00932A84" w:rsidRDefault="00932A84" w:rsidP="003F1938">
      <w:pPr>
        <w:pStyle w:val="Style2"/>
      </w:pPr>
    </w:p>
    <w:p w14:paraId="21475222" w14:textId="322761A3" w:rsidR="00932A84" w:rsidRDefault="00932A84" w:rsidP="003F1938">
      <w:pPr>
        <w:pStyle w:val="Style2"/>
      </w:pPr>
    </w:p>
    <w:p w14:paraId="2BD9755F" w14:textId="19B45822" w:rsidR="00932A84" w:rsidRDefault="00932A84" w:rsidP="003F1938">
      <w:pPr>
        <w:pStyle w:val="Style2"/>
      </w:pPr>
    </w:p>
    <w:p w14:paraId="36A5DBCE" w14:textId="5F87EFA0" w:rsidR="00932A84" w:rsidRDefault="00932A84" w:rsidP="003F1938">
      <w:pPr>
        <w:pStyle w:val="Style2"/>
      </w:pPr>
    </w:p>
    <w:p w14:paraId="7D00B0DA" w14:textId="2E9590EF" w:rsidR="00932A84" w:rsidRDefault="00932A84" w:rsidP="003F1938">
      <w:pPr>
        <w:pStyle w:val="Style2"/>
      </w:pPr>
    </w:p>
    <w:p w14:paraId="3AE5DFD7" w14:textId="1DE5C855" w:rsidR="00932A84" w:rsidRDefault="00932A84" w:rsidP="003F1938">
      <w:pPr>
        <w:pStyle w:val="Style2"/>
      </w:pPr>
    </w:p>
    <w:p w14:paraId="13432B8A" w14:textId="44D50149" w:rsidR="00932A84" w:rsidRDefault="00932A84" w:rsidP="003F1938">
      <w:pPr>
        <w:pStyle w:val="Style2"/>
      </w:pPr>
    </w:p>
    <w:p w14:paraId="3A9F2C74" w14:textId="73222E2F" w:rsidR="00932A84" w:rsidRDefault="00932A84" w:rsidP="003F1938">
      <w:pPr>
        <w:pStyle w:val="Style2"/>
      </w:pPr>
    </w:p>
    <w:p w14:paraId="0152A9E7" w14:textId="0E943015" w:rsidR="00932A84" w:rsidRDefault="00932A84" w:rsidP="003F1938">
      <w:pPr>
        <w:pStyle w:val="Style2"/>
      </w:pPr>
    </w:p>
    <w:p w14:paraId="66054BF3" w14:textId="77F9A8E8" w:rsidR="00932A84" w:rsidRDefault="00932A84" w:rsidP="003F1938">
      <w:pPr>
        <w:pStyle w:val="Style2"/>
      </w:pPr>
    </w:p>
    <w:p w14:paraId="3FD1B2A2" w14:textId="41EFD7D9" w:rsidR="00932A84" w:rsidRDefault="00932A84" w:rsidP="003F1938">
      <w:pPr>
        <w:pStyle w:val="Style2"/>
      </w:pPr>
    </w:p>
    <w:p w14:paraId="29388609" w14:textId="3C49AD91" w:rsidR="00932A84" w:rsidRDefault="00932A84" w:rsidP="003F1938">
      <w:pPr>
        <w:pStyle w:val="Style2"/>
      </w:pPr>
    </w:p>
    <w:p w14:paraId="719467BE" w14:textId="797D3F6F" w:rsidR="00932A84" w:rsidRDefault="00932A84" w:rsidP="003F1938">
      <w:pPr>
        <w:pStyle w:val="Style2"/>
      </w:pPr>
    </w:p>
    <w:p w14:paraId="54F775F1" w14:textId="01DE8EF5" w:rsidR="00932A84" w:rsidRDefault="00932A84" w:rsidP="003F1938">
      <w:pPr>
        <w:pStyle w:val="Style2"/>
      </w:pPr>
    </w:p>
    <w:p w14:paraId="521EF670" w14:textId="1C09D322" w:rsidR="00932A84" w:rsidRDefault="00932A84" w:rsidP="003F1938">
      <w:pPr>
        <w:pStyle w:val="Style2"/>
      </w:pPr>
    </w:p>
    <w:p w14:paraId="3FF5711B" w14:textId="208EE514" w:rsidR="00932A84" w:rsidRDefault="00932A84" w:rsidP="003F1938">
      <w:pPr>
        <w:pStyle w:val="Style2"/>
      </w:pPr>
    </w:p>
    <w:p w14:paraId="24F7004B" w14:textId="77197B90" w:rsidR="00932A84" w:rsidRDefault="00932A84" w:rsidP="003F1938">
      <w:pPr>
        <w:pStyle w:val="Style2"/>
      </w:pPr>
    </w:p>
    <w:p w14:paraId="27A63667" w14:textId="15CCD9B2" w:rsidR="00932A84" w:rsidRDefault="00932A84" w:rsidP="003F1938">
      <w:pPr>
        <w:pStyle w:val="Style2"/>
      </w:pPr>
    </w:p>
    <w:p w14:paraId="6EC84FE3" w14:textId="7FB51D8F" w:rsidR="00932A84" w:rsidRDefault="00932A84" w:rsidP="003F1938">
      <w:pPr>
        <w:pStyle w:val="Style2"/>
      </w:pPr>
    </w:p>
    <w:p w14:paraId="623BEDB5" w14:textId="724B77B4" w:rsidR="00932A84" w:rsidRDefault="00932A84" w:rsidP="003F1938">
      <w:pPr>
        <w:pStyle w:val="Style2"/>
      </w:pPr>
    </w:p>
    <w:p w14:paraId="543C163F" w14:textId="77777777" w:rsidR="00932A84" w:rsidRPr="00E34E1E" w:rsidRDefault="00932A84" w:rsidP="003F1938">
      <w:pPr>
        <w:pStyle w:val="Style2"/>
      </w:pPr>
    </w:p>
    <w:p w14:paraId="5E762C6C" w14:textId="17A66CA1" w:rsidR="00093DF4" w:rsidRPr="00E34E1E" w:rsidRDefault="00093DF4" w:rsidP="00093DF4">
      <w:pPr>
        <w:pStyle w:val="Style1"/>
        <w:spacing w:before="0" w:line="240" w:lineRule="auto"/>
        <w:jc w:val="center"/>
      </w:pPr>
      <w:bookmarkStart w:id="20" w:name="_Toc126061819"/>
      <w:r w:rsidRPr="00E34E1E">
        <w:lastRenderedPageBreak/>
        <w:t xml:space="preserve">6. </w:t>
      </w:r>
      <w:bookmarkEnd w:id="20"/>
      <w:r w:rsidR="0023653D" w:rsidRPr="00E34E1E">
        <w:t>Turpmākā rīcība</w:t>
      </w:r>
    </w:p>
    <w:p w14:paraId="49D7D5E2" w14:textId="4D56BB87" w:rsidR="0023653D" w:rsidRPr="00E34E1E" w:rsidRDefault="0023653D" w:rsidP="000E3F08">
      <w:pPr>
        <w:pStyle w:val="NormalWeb"/>
        <w:jc w:val="both"/>
      </w:pPr>
      <w:r w:rsidRPr="00E34E1E">
        <w:t xml:space="preserve">1) </w:t>
      </w:r>
      <w:r w:rsidR="002A71D5" w:rsidRPr="00E34E1E">
        <w:t>MK</w:t>
      </w:r>
      <w:r w:rsidRPr="00E34E1E">
        <w:t xml:space="preserve"> atbalstīt konceptuālajā ziņojumā piedāvātā risinājuma ieviešanu, paredzot </w:t>
      </w:r>
      <w:r w:rsidR="00B215C8" w:rsidRPr="00E34E1E">
        <w:t xml:space="preserve">aģentūras modeli ar </w:t>
      </w:r>
      <w:r w:rsidRPr="00E34E1E">
        <w:t xml:space="preserve">Possessor kā turpmāko drošības rezervju pārvaldītāju un </w:t>
      </w:r>
      <w:r w:rsidR="0082529D" w:rsidRPr="00E34E1E">
        <w:t xml:space="preserve"> pakāpenisk</w:t>
      </w:r>
      <w:r w:rsidR="00B215C8" w:rsidRPr="00E34E1E">
        <w:t>u</w:t>
      </w:r>
      <w:r w:rsidR="0082529D" w:rsidRPr="00E34E1E">
        <w:t xml:space="preserve"> </w:t>
      </w:r>
      <w:r w:rsidRPr="00E34E1E">
        <w:t>drošības rezervju glabāšanu Latvijā un iepirkšanu valsts īpašumā.</w:t>
      </w:r>
    </w:p>
    <w:p w14:paraId="3FE0C522" w14:textId="77777777" w:rsidR="000E3F08" w:rsidRPr="00E34E1E" w:rsidRDefault="0023653D" w:rsidP="000E3F08">
      <w:pPr>
        <w:pStyle w:val="NormalWeb"/>
        <w:jc w:val="both"/>
      </w:pPr>
      <w:r w:rsidRPr="00E34E1E">
        <w:t xml:space="preserve">3) Possessor no 2024. gada </w:t>
      </w:r>
      <w:r w:rsidR="00564415" w:rsidRPr="00E34E1E">
        <w:t xml:space="preserve">pārņemt no BVKB </w:t>
      </w:r>
      <w:r w:rsidRPr="00E34E1E">
        <w:t>atlikušo iepirkumu organizēšanu par drošības rezervju rezervāciju un glabāšanu, lai rezervētās drošības rezerves 2025. gadā būtu 100% glabātas Latvijā un līdz 2029. gadam būtu arī 100% valsts īpašumā.</w:t>
      </w:r>
      <w:r w:rsidR="000E3F08" w:rsidRPr="00E34E1E">
        <w:t xml:space="preserve"> </w:t>
      </w:r>
    </w:p>
    <w:p w14:paraId="65736AC6" w14:textId="13650D07" w:rsidR="0023653D" w:rsidRPr="00E34E1E" w:rsidRDefault="000E3F08" w:rsidP="000E3F08">
      <w:pPr>
        <w:pStyle w:val="NormalWeb"/>
        <w:jc w:val="both"/>
      </w:pPr>
      <w:r w:rsidRPr="00E34E1E">
        <w:t>3) Drošības rezervju pārvaldības modeļa pāreju, krājumu iegādi un uzturēšanu plānot ārpus valsts pamatbudžeta ar drošības rezervju valsts nodevas un pakalpojuma maksu ieņēmumiem, pārrē</w:t>
      </w:r>
      <w:r w:rsidR="00720DD3" w:rsidRPr="00E34E1E">
        <w:t>ķ</w:t>
      </w:r>
      <w:r w:rsidRPr="00E34E1E">
        <w:t>inot reizi gadā komersantu maksājamos tarifus par drošības rezervēm.</w:t>
      </w:r>
    </w:p>
    <w:p w14:paraId="326736FD" w14:textId="4BCB8F5E" w:rsidR="001543A4" w:rsidRPr="00E34E1E" w:rsidRDefault="000E3F08" w:rsidP="000E3F08">
      <w:pPr>
        <w:pStyle w:val="NormalWeb"/>
        <w:jc w:val="both"/>
      </w:pPr>
      <w:r w:rsidRPr="00E34E1E">
        <w:t>4</w:t>
      </w:r>
      <w:r w:rsidR="0023653D" w:rsidRPr="00E34E1E">
        <w:t>)</w:t>
      </w:r>
      <w:r w:rsidR="001543A4" w:rsidRPr="00E34E1E">
        <w:t xml:space="preserve"> Noteikt Ekonomikas ministriju par atbildīgo institūciju </w:t>
      </w:r>
      <w:r w:rsidR="00720DD3" w:rsidRPr="00E34E1E">
        <w:t xml:space="preserve">par </w:t>
      </w:r>
      <w:r w:rsidR="001543A4" w:rsidRPr="00E34E1E">
        <w:t xml:space="preserve">1.punktā minētā risinājuma </w:t>
      </w:r>
      <w:r w:rsidR="00564415" w:rsidRPr="00E34E1E">
        <w:t>ieviešanu</w:t>
      </w:r>
      <w:r w:rsidR="001543A4" w:rsidRPr="00E34E1E">
        <w:t>.</w:t>
      </w:r>
    </w:p>
    <w:p w14:paraId="12AFBB47" w14:textId="7FD317C0" w:rsidR="0082529D" w:rsidRPr="00E34E1E" w:rsidRDefault="000E3F08" w:rsidP="000E3F08">
      <w:pPr>
        <w:pStyle w:val="NormalWeb"/>
        <w:jc w:val="both"/>
      </w:pPr>
      <w:r w:rsidRPr="00E34E1E">
        <w:t>5</w:t>
      </w:r>
      <w:r w:rsidR="0082529D" w:rsidRPr="00E34E1E">
        <w:t>)</w:t>
      </w:r>
      <w:r w:rsidR="00564415" w:rsidRPr="00E34E1E">
        <w:t xml:space="preserve"> </w:t>
      </w:r>
      <w:r w:rsidR="0082529D" w:rsidRPr="00E34E1E">
        <w:t xml:space="preserve">BVKB un Possessor sniegt nepieciešamo </w:t>
      </w:r>
      <w:r w:rsidR="00564415" w:rsidRPr="00E34E1E">
        <w:t>atbalstu Ekonomikas ministrijai 1. punktā minēt</w:t>
      </w:r>
      <w:r w:rsidR="00720DD3" w:rsidRPr="00E34E1E">
        <w:t>ā</w:t>
      </w:r>
      <w:r w:rsidR="00564415" w:rsidRPr="00E34E1E">
        <w:t xml:space="preserve"> risinājum</w:t>
      </w:r>
      <w:r w:rsidR="00720DD3" w:rsidRPr="00E34E1E">
        <w:t>a ieviešanā</w:t>
      </w:r>
      <w:r w:rsidR="00564415" w:rsidRPr="00E34E1E">
        <w:t>.</w:t>
      </w:r>
    </w:p>
    <w:p w14:paraId="0EDFDBFC" w14:textId="0BA98535" w:rsidR="00013EED" w:rsidRDefault="000E3F08" w:rsidP="00013EED">
      <w:pPr>
        <w:pStyle w:val="NormalWeb"/>
        <w:spacing w:after="80" w:afterAutospacing="0"/>
        <w:jc w:val="both"/>
      </w:pPr>
      <w:r w:rsidRPr="00E34E1E">
        <w:t>6</w:t>
      </w:r>
      <w:r w:rsidR="001543A4" w:rsidRPr="00E34E1E">
        <w:t>)</w:t>
      </w:r>
      <w:r w:rsidR="0023653D" w:rsidRPr="00E34E1E">
        <w:t xml:space="preserve"> Ekonomikas ministrijai</w:t>
      </w:r>
      <w:r w:rsidR="001543A4" w:rsidRPr="00E34E1E">
        <w:t xml:space="preserve"> līdz 2023. gada 3</w:t>
      </w:r>
      <w:r w:rsidR="00854788" w:rsidRPr="00E34E1E">
        <w:t>0</w:t>
      </w:r>
      <w:r w:rsidR="001543A4" w:rsidRPr="00E34E1E">
        <w:t>.</w:t>
      </w:r>
      <w:r w:rsidR="00854788" w:rsidRPr="00E34E1E">
        <w:t>novembrim</w:t>
      </w:r>
      <w:r w:rsidR="001543A4" w:rsidRPr="00E34E1E">
        <w:t xml:space="preserve"> sagatavot un iesniegt</w:t>
      </w:r>
      <w:r w:rsidR="0023653D" w:rsidRPr="00E34E1E">
        <w:t xml:space="preserve"> izskatīšanai Ministru kabinetā </w:t>
      </w:r>
      <w:r w:rsidR="001543A4" w:rsidRPr="00E34E1E">
        <w:t>nepieciešamo</w:t>
      </w:r>
      <w:r w:rsidR="00564415" w:rsidRPr="00E34E1E">
        <w:t xml:space="preserve"> </w:t>
      </w:r>
      <w:r w:rsidR="00013EED">
        <w:t>likum</w:t>
      </w:r>
      <w:r w:rsidR="00564415" w:rsidRPr="00E34E1E">
        <w:t>projektus</w:t>
      </w:r>
      <w:r w:rsidR="0023653D" w:rsidRPr="00E34E1E">
        <w:t xml:space="preserve"> </w:t>
      </w:r>
      <w:r w:rsidR="00013EED">
        <w:t>konceptuālajā ziņojumā piedāvātajam risinājuma</w:t>
      </w:r>
      <w:r w:rsidR="00564415" w:rsidRPr="00E34E1E">
        <w:t xml:space="preserve"> ieviešanai</w:t>
      </w:r>
      <w:r w:rsidR="00013EED">
        <w:t>, tas ir,</w:t>
      </w:r>
    </w:p>
    <w:p w14:paraId="71AA5800" w14:textId="77777777" w:rsidR="00013EED" w:rsidRDefault="00013EED" w:rsidP="00013EED">
      <w:pPr>
        <w:pStyle w:val="NormalWeb"/>
        <w:spacing w:before="0" w:beforeAutospacing="0" w:after="80" w:afterAutospacing="0"/>
        <w:jc w:val="both"/>
      </w:pPr>
      <w:r>
        <w:t>a) Enerģētikas likumā;</w:t>
      </w:r>
    </w:p>
    <w:p w14:paraId="164BF9D2" w14:textId="4BD211C1" w:rsidR="00013EED" w:rsidRDefault="00013EED" w:rsidP="00013EED">
      <w:pPr>
        <w:pStyle w:val="NormalWeb"/>
        <w:spacing w:before="0" w:beforeAutospacing="0" w:after="80" w:afterAutospacing="0"/>
        <w:jc w:val="both"/>
      </w:pPr>
      <w:r>
        <w:t xml:space="preserve">b) </w:t>
      </w:r>
      <w:r w:rsidR="003B5769" w:rsidRPr="003B5769">
        <w:t>Publiskas personas mantas atsavināšanas likum</w:t>
      </w:r>
      <w:r w:rsidR="003B5769">
        <w:t>ā</w:t>
      </w:r>
      <w:r>
        <w:t>;</w:t>
      </w:r>
    </w:p>
    <w:p w14:paraId="789F45EC" w14:textId="0167FC7A" w:rsidR="0023653D" w:rsidRPr="00E34E1E" w:rsidRDefault="00013EED" w:rsidP="00013EED">
      <w:pPr>
        <w:pStyle w:val="NormalWeb"/>
        <w:spacing w:before="0" w:beforeAutospacing="0" w:after="80" w:afterAutospacing="0"/>
        <w:jc w:val="both"/>
      </w:pPr>
      <w:r>
        <w:t>c) Likumā par budžeta un finanšu vadību.</w:t>
      </w:r>
    </w:p>
    <w:p w14:paraId="49A2B124" w14:textId="77777777" w:rsidR="009F5880" w:rsidRPr="00E34E1E" w:rsidRDefault="009F5880">
      <w:pPr>
        <w:pStyle w:val="Style2"/>
      </w:pPr>
    </w:p>
    <w:p w14:paraId="0BCF069A" w14:textId="77777777" w:rsidR="003322AF" w:rsidRPr="00E34E1E" w:rsidRDefault="003322AF">
      <w:pPr>
        <w:pStyle w:val="Style2"/>
      </w:pPr>
    </w:p>
    <w:p w14:paraId="15CEC330" w14:textId="77777777" w:rsidR="00E9751F" w:rsidRPr="00E34E1E" w:rsidRDefault="00E9751F" w:rsidP="003D7403">
      <w:pPr>
        <w:pStyle w:val="naisf"/>
        <w:tabs>
          <w:tab w:val="left" w:pos="6237"/>
          <w:tab w:val="right" w:pos="8820"/>
        </w:tabs>
        <w:spacing w:before="0" w:beforeAutospacing="0" w:after="0" w:afterAutospacing="0"/>
        <w:ind w:firstLine="709"/>
        <w:rPr>
          <w:sz w:val="28"/>
          <w:szCs w:val="28"/>
        </w:rPr>
      </w:pPr>
    </w:p>
    <w:p w14:paraId="3822CD39" w14:textId="4ED165B0" w:rsidR="00E9751F" w:rsidRPr="00194EA3" w:rsidRDefault="00E9751F" w:rsidP="00E70485">
      <w:pPr>
        <w:pStyle w:val="naisf"/>
        <w:tabs>
          <w:tab w:val="left" w:pos="6521"/>
          <w:tab w:val="right" w:pos="8820"/>
        </w:tabs>
        <w:spacing w:before="0" w:beforeAutospacing="0" w:after="0" w:afterAutospacing="0"/>
        <w:rPr>
          <w:b/>
          <w:bCs/>
          <w:sz w:val="28"/>
          <w:szCs w:val="28"/>
        </w:rPr>
      </w:pPr>
      <w:r w:rsidRPr="00194EA3">
        <w:rPr>
          <w:b/>
          <w:bCs/>
          <w:sz w:val="28"/>
          <w:szCs w:val="28"/>
        </w:rPr>
        <w:t>Ekonomikas minist</w:t>
      </w:r>
      <w:r w:rsidR="00C47271" w:rsidRPr="00194EA3">
        <w:rPr>
          <w:b/>
          <w:bCs/>
          <w:sz w:val="28"/>
          <w:szCs w:val="28"/>
        </w:rPr>
        <w:t>re</w:t>
      </w:r>
      <w:r w:rsidRPr="00194EA3">
        <w:rPr>
          <w:b/>
          <w:bCs/>
          <w:sz w:val="28"/>
          <w:szCs w:val="28"/>
        </w:rPr>
        <w:tab/>
      </w:r>
      <w:r w:rsidR="00E70485">
        <w:rPr>
          <w:b/>
          <w:bCs/>
          <w:sz w:val="28"/>
          <w:szCs w:val="28"/>
        </w:rPr>
        <w:tab/>
      </w:r>
      <w:r w:rsidR="00C47271" w:rsidRPr="00194EA3">
        <w:rPr>
          <w:b/>
          <w:bCs/>
          <w:sz w:val="28"/>
          <w:szCs w:val="28"/>
        </w:rPr>
        <w:t>I</w:t>
      </w:r>
      <w:r w:rsidRPr="00194EA3">
        <w:rPr>
          <w:b/>
          <w:bCs/>
          <w:sz w:val="28"/>
          <w:szCs w:val="28"/>
        </w:rPr>
        <w:t>. </w:t>
      </w:r>
      <w:r w:rsidR="00C47271" w:rsidRPr="00194EA3">
        <w:rPr>
          <w:b/>
          <w:bCs/>
          <w:sz w:val="28"/>
          <w:szCs w:val="28"/>
        </w:rPr>
        <w:t>Indriksone</w:t>
      </w:r>
    </w:p>
    <w:sectPr w:rsidR="00E9751F" w:rsidRPr="00194EA3" w:rsidSect="00474BDF">
      <w:headerReference w:type="default" r:id="rId19"/>
      <w:footerReference w:type="default" r:id="rId20"/>
      <w:headerReference w:type="first" r:id="rId21"/>
      <w:footerReference w:type="first" r:id="rId22"/>
      <w:pgSz w:w="11906" w:h="16838"/>
      <w:pgMar w:top="709" w:right="1416" w:bottom="709" w:left="1560" w:header="426" w:footer="4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55A99" w14:textId="77777777" w:rsidR="007F3859" w:rsidRDefault="007F3859">
      <w:pPr>
        <w:spacing w:after="0" w:line="240" w:lineRule="auto"/>
      </w:pPr>
      <w:r>
        <w:separator/>
      </w:r>
    </w:p>
  </w:endnote>
  <w:endnote w:type="continuationSeparator" w:id="0">
    <w:p w14:paraId="4E9B0DB4" w14:textId="77777777" w:rsidR="007F3859" w:rsidRDefault="007F3859">
      <w:pPr>
        <w:spacing w:after="0" w:line="240" w:lineRule="auto"/>
      </w:pPr>
      <w:r>
        <w:continuationSeparator/>
      </w:r>
    </w:p>
  </w:endnote>
  <w:endnote w:type="continuationNotice" w:id="1">
    <w:p w14:paraId="43CB63C9" w14:textId="77777777" w:rsidR="007F3859" w:rsidRDefault="007F38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01E21" w14:textId="77777777" w:rsidR="00114CF7" w:rsidRPr="00474BDF" w:rsidRDefault="00114CF7" w:rsidP="00114CF7">
    <w:pPr>
      <w:pStyle w:val="Footer"/>
      <w:rPr>
        <w:rFonts w:ascii="Times New Roman" w:hAnsi="Times New Roman" w:cs="Times New Roman"/>
        <w:sz w:val="16"/>
        <w:szCs w:val="16"/>
      </w:rPr>
    </w:pPr>
    <w:r w:rsidRPr="00114CF7">
      <w:rPr>
        <w:rFonts w:ascii="Times New Roman" w:hAnsi="Times New Roman" w:cs="Times New Roman"/>
        <w:sz w:val="16"/>
        <w:szCs w:val="16"/>
      </w:rPr>
      <w:t>(23-TA-838)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0D5D" w14:textId="588EE705" w:rsidR="00474BDF" w:rsidRPr="00474BDF" w:rsidRDefault="00474BDF" w:rsidP="00474BDF">
    <w:pPr>
      <w:pStyle w:val="Footer"/>
      <w:rPr>
        <w:rFonts w:ascii="Times New Roman" w:hAnsi="Times New Roman" w:cs="Times New Roman"/>
        <w:sz w:val="16"/>
        <w:szCs w:val="16"/>
      </w:rPr>
    </w:pPr>
    <w:r w:rsidRPr="00114CF7">
      <w:rPr>
        <w:rFonts w:ascii="Times New Roman" w:hAnsi="Times New Roman" w:cs="Times New Roman"/>
        <w:sz w:val="16"/>
        <w:szCs w:val="16"/>
      </w:rPr>
      <w:t>(</w:t>
    </w:r>
    <w:r w:rsidR="00811C5F" w:rsidRPr="00114CF7">
      <w:rPr>
        <w:rFonts w:ascii="Times New Roman" w:hAnsi="Times New Roman" w:cs="Times New Roman"/>
        <w:sz w:val="16"/>
        <w:szCs w:val="16"/>
      </w:rPr>
      <w:t>23-TA-838</w:t>
    </w:r>
    <w:r w:rsidRPr="00114CF7">
      <w:rPr>
        <w:rFonts w:ascii="Times New Roman" w:hAnsi="Times New Roman" w:cs="Times New Roman"/>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5D489" w14:textId="77777777" w:rsidR="007F3859" w:rsidRDefault="007F3859">
      <w:pPr>
        <w:spacing w:after="0" w:line="240" w:lineRule="auto"/>
      </w:pPr>
      <w:r>
        <w:separator/>
      </w:r>
    </w:p>
  </w:footnote>
  <w:footnote w:type="continuationSeparator" w:id="0">
    <w:p w14:paraId="4E388B5D" w14:textId="77777777" w:rsidR="007F3859" w:rsidRDefault="007F3859">
      <w:pPr>
        <w:spacing w:after="0" w:line="240" w:lineRule="auto"/>
      </w:pPr>
      <w:r>
        <w:continuationSeparator/>
      </w:r>
    </w:p>
  </w:footnote>
  <w:footnote w:type="continuationNotice" w:id="1">
    <w:p w14:paraId="4CD3A71F" w14:textId="77777777" w:rsidR="007F3859" w:rsidRDefault="007F3859">
      <w:pPr>
        <w:spacing w:after="0" w:line="240" w:lineRule="auto"/>
      </w:pPr>
    </w:p>
  </w:footnote>
  <w:footnote w:id="2">
    <w:p w14:paraId="4342E2A1" w14:textId="5C0C038D" w:rsidR="00082DA3" w:rsidRPr="004E49B8" w:rsidRDefault="00082DA3">
      <w:pPr>
        <w:pStyle w:val="FootnoteText"/>
        <w:rPr>
          <w:rFonts w:ascii="Times New Roman" w:hAnsi="Times New Roman" w:cs="Times New Roman"/>
        </w:rPr>
      </w:pPr>
      <w:r w:rsidRPr="00082DA3">
        <w:rPr>
          <w:rStyle w:val="FootnoteReference"/>
          <w:rFonts w:ascii="Times New Roman" w:hAnsi="Times New Roman" w:cs="Times New Roman"/>
        </w:rPr>
        <w:footnoteRef/>
      </w:r>
      <w:r w:rsidRPr="00082DA3">
        <w:rPr>
          <w:rFonts w:ascii="Times New Roman" w:hAnsi="Times New Roman" w:cs="Times New Roman"/>
        </w:rPr>
        <w:t xml:space="preserve"> Ministru kabineta 2021. gada 8. jūnija rīkojums Nr. 399 "Par konceptuālo ziņojumu "Par valsts naftas produktu drošības rezervju nodrošināšanu"". </w:t>
      </w:r>
      <w:hyperlink r:id="rId1" w:history="1">
        <w:r w:rsidRPr="00082DA3">
          <w:rPr>
            <w:rStyle w:val="Hyperlink"/>
            <w:rFonts w:ascii="Times New Roman" w:hAnsi="Times New Roman" w:cs="Times New Roman"/>
          </w:rPr>
          <w:t>https://likumi.lv/ta/id/323886</w:t>
        </w:r>
      </w:hyperlink>
      <w:r w:rsidRPr="00082DA3">
        <w:rPr>
          <w:rFonts w:ascii="Times New Roman" w:hAnsi="Times New Roman" w:cs="Times New Roman"/>
        </w:rPr>
        <w:t xml:space="preserve"> </w:t>
      </w:r>
    </w:p>
  </w:footnote>
  <w:footnote w:id="3">
    <w:p w14:paraId="401675FF" w14:textId="271DC8B9" w:rsidR="00E5535E" w:rsidRPr="005F3374" w:rsidRDefault="00E5535E" w:rsidP="00E5535E">
      <w:pPr>
        <w:pStyle w:val="FootnoteText"/>
        <w:jc w:val="both"/>
        <w:rPr>
          <w:rFonts w:ascii="Times New Roman" w:hAnsi="Times New Roman" w:cs="Times New Roman"/>
        </w:rPr>
      </w:pPr>
      <w:r w:rsidRPr="005F3374">
        <w:rPr>
          <w:rStyle w:val="FootnoteReference"/>
          <w:rFonts w:ascii="Times New Roman" w:hAnsi="Times New Roman" w:cs="Times New Roman"/>
        </w:rPr>
        <w:footnoteRef/>
      </w:r>
      <w:r w:rsidRPr="005F3374">
        <w:rPr>
          <w:rFonts w:ascii="Times New Roman" w:hAnsi="Times New Roman" w:cs="Times New Roman"/>
        </w:rPr>
        <w:t xml:space="preserve"> </w:t>
      </w:r>
      <w:r w:rsidR="00187C50" w:rsidRPr="005F3374">
        <w:rPr>
          <w:rFonts w:ascii="Times New Roman" w:hAnsi="Times New Roman" w:cs="Times New Roman"/>
        </w:rPr>
        <w:t>Direktīva 2009/119/EK</w:t>
      </w:r>
      <w:r w:rsidR="005F3374">
        <w:rPr>
          <w:rFonts w:ascii="Times New Roman" w:hAnsi="Times New Roman" w:cs="Times New Roman"/>
        </w:rPr>
        <w:t xml:space="preserve">, </w:t>
      </w:r>
      <w:hyperlink r:id="rId2" w:history="1">
        <w:r w:rsidR="005F3374" w:rsidRPr="00892149">
          <w:rPr>
            <w:rStyle w:val="Hyperlink"/>
            <w:rFonts w:ascii="Times New Roman" w:hAnsi="Times New Roman" w:cs="Times New Roman"/>
          </w:rPr>
          <w:t>https://eur-lex.europa.eu/eli/dir/2009/119/oj/?locale=LV</w:t>
        </w:r>
      </w:hyperlink>
      <w:r w:rsidR="005F3374">
        <w:rPr>
          <w:rFonts w:ascii="Times New Roman" w:hAnsi="Times New Roman" w:cs="Times New Roman"/>
        </w:rPr>
        <w:t xml:space="preserve"> </w:t>
      </w:r>
    </w:p>
  </w:footnote>
  <w:footnote w:id="4">
    <w:p w14:paraId="2F4F03F6" w14:textId="05FD4C88" w:rsidR="009B60D6" w:rsidRPr="009B60D6" w:rsidRDefault="009B60D6">
      <w:pPr>
        <w:pStyle w:val="FootnoteText"/>
      </w:pPr>
      <w:r>
        <w:rPr>
          <w:rStyle w:val="FootnoteReference"/>
        </w:rPr>
        <w:footnoteRef/>
      </w:r>
      <w:r>
        <w:t xml:space="preserve"> </w:t>
      </w:r>
      <w:r w:rsidRPr="00FD3EB1">
        <w:rPr>
          <w:rFonts w:ascii="Times New Roman" w:hAnsi="Times New Roman" w:cs="Times New Roman"/>
        </w:rPr>
        <w:t>Ministru kabineta 2011. gada 12. aprīļa noteikumi Nr. 286 "Kārtība, kādā komersanti nodrošina un sniedz drošības rezervju pakalpojumu valsts naftas produktu drošības rezervju izveidei noteiktā apjomā"</w:t>
      </w:r>
      <w:r w:rsidR="00B95F64">
        <w:rPr>
          <w:rFonts w:ascii="Times New Roman" w:hAnsi="Times New Roman" w:cs="Times New Roman"/>
        </w:rPr>
        <w:t>, 2.</w:t>
      </w:r>
      <w:r w:rsidR="00B95F64" w:rsidRPr="00B95F64">
        <w:rPr>
          <w:rFonts w:ascii="Times New Roman" w:hAnsi="Times New Roman" w:cs="Times New Roman"/>
          <w:vertAlign w:val="superscript"/>
        </w:rPr>
        <w:t>1</w:t>
      </w:r>
      <w:r w:rsidR="00B95F64">
        <w:rPr>
          <w:rFonts w:ascii="Times New Roman" w:hAnsi="Times New Roman" w:cs="Times New Roman"/>
        </w:rPr>
        <w:t xml:space="preserve"> punkts</w:t>
      </w:r>
      <w:r w:rsidRPr="00FD3EB1">
        <w:rPr>
          <w:rFonts w:ascii="Times New Roman" w:hAnsi="Times New Roman" w:cs="Times New Roman"/>
        </w:rPr>
        <w:t xml:space="preserve">, </w:t>
      </w:r>
      <w:hyperlink r:id="rId3" w:anchor="p5" w:history="1">
        <w:r w:rsidRPr="00FD3EB1">
          <w:rPr>
            <w:rStyle w:val="Hyperlink"/>
            <w:rFonts w:ascii="Times New Roman" w:hAnsi="Times New Roman" w:cs="Times New Roman"/>
          </w:rPr>
          <w:t>https://likumi.lv/ta/id/229001#p5</w:t>
        </w:r>
      </w:hyperlink>
      <w:r>
        <w:t xml:space="preserve"> </w:t>
      </w:r>
    </w:p>
  </w:footnote>
  <w:footnote w:id="5">
    <w:p w14:paraId="483D666E" w14:textId="22C2FF9C" w:rsidR="0032694B" w:rsidRPr="00FD4F90" w:rsidRDefault="0032694B" w:rsidP="000478F5">
      <w:pPr>
        <w:pStyle w:val="FootnoteText"/>
        <w:jc w:val="both"/>
        <w:rPr>
          <w:rFonts w:ascii="Times New Roman" w:hAnsi="Times New Roman" w:cs="Times New Roman"/>
        </w:rPr>
      </w:pPr>
      <w:r w:rsidRPr="00FD4F90">
        <w:rPr>
          <w:rStyle w:val="FootnoteReference"/>
          <w:rFonts w:ascii="Times New Roman" w:hAnsi="Times New Roman" w:cs="Times New Roman"/>
        </w:rPr>
        <w:footnoteRef/>
      </w:r>
      <w:r w:rsidRPr="00FD4F90">
        <w:rPr>
          <w:rFonts w:ascii="Times New Roman" w:hAnsi="Times New Roman" w:cs="Times New Roman"/>
        </w:rPr>
        <w:t xml:space="preserve"> </w:t>
      </w:r>
      <w:r w:rsidR="00FD3EB1" w:rsidRPr="00FD3EB1">
        <w:rPr>
          <w:rFonts w:ascii="Times New Roman" w:hAnsi="Times New Roman" w:cs="Times New Roman"/>
        </w:rPr>
        <w:t xml:space="preserve">Ministru kabineta 2011. gada 19. aprīļa noteikumi Nr. 312 "Enerģijas lietotāju apgādes un kurināmā pārdošanas kārtība izsludinātas enerģētiskās krīzes laikā un valsts apdraudējuma gadījumā", </w:t>
      </w:r>
      <w:hyperlink r:id="rId4" w:anchor="p2" w:history="1">
        <w:r w:rsidR="00FD3EB1" w:rsidRPr="00892149">
          <w:rPr>
            <w:rStyle w:val="Hyperlink"/>
            <w:rFonts w:ascii="Times New Roman" w:hAnsi="Times New Roman" w:cs="Times New Roman"/>
          </w:rPr>
          <w:t>https://likumi.lv/ta/id/229557#p2</w:t>
        </w:r>
      </w:hyperlink>
      <w:r w:rsidR="00FD3EB1">
        <w:rPr>
          <w:rFonts w:ascii="Times New Roman" w:hAnsi="Times New Roman" w:cs="Times New Roman"/>
        </w:rPr>
        <w:t xml:space="preserve"> </w:t>
      </w:r>
    </w:p>
  </w:footnote>
  <w:footnote w:id="6">
    <w:p w14:paraId="61367205" w14:textId="77777777" w:rsidR="003322AF" w:rsidRPr="0001389D" w:rsidRDefault="003322AF" w:rsidP="003322AF">
      <w:pPr>
        <w:pStyle w:val="FootnoteText"/>
        <w:rPr>
          <w:rFonts w:ascii="Times New Roman" w:hAnsi="Times New Roman" w:cs="Times New Roman"/>
        </w:rPr>
      </w:pPr>
      <w:r w:rsidRPr="0001389D">
        <w:rPr>
          <w:rStyle w:val="FootnoteReference"/>
          <w:rFonts w:ascii="Times New Roman" w:hAnsi="Times New Roman" w:cs="Times New Roman"/>
        </w:rPr>
        <w:footnoteRef/>
      </w:r>
      <w:r w:rsidRPr="0001389D">
        <w:rPr>
          <w:rFonts w:ascii="Times New Roman" w:hAnsi="Times New Roman" w:cs="Times New Roman"/>
        </w:rPr>
        <w:t xml:space="preserve"> Ministru kabineta 2021. gada 8. jūnija rīkojums Nr. 399 "Par konceptuālo ziņojumu "Par valsts naftas produktu drošības rezervju nodrošināšanu"", 1.punkts, </w:t>
      </w:r>
      <w:hyperlink r:id="rId5" w:history="1">
        <w:r w:rsidRPr="0001389D">
          <w:rPr>
            <w:rStyle w:val="Hyperlink"/>
            <w:rFonts w:ascii="Times New Roman" w:hAnsi="Times New Roman" w:cs="Times New Roman"/>
          </w:rPr>
          <w:t>https://likumi.lv/ta/id/323886</w:t>
        </w:r>
      </w:hyperlink>
      <w:r w:rsidRPr="0001389D">
        <w:rPr>
          <w:rFonts w:ascii="Times New Roman" w:hAnsi="Times New Roman" w:cs="Times New Roman"/>
        </w:rPr>
        <w:t xml:space="preserve"> </w:t>
      </w:r>
    </w:p>
  </w:footnote>
  <w:footnote w:id="7">
    <w:p w14:paraId="00C11B30" w14:textId="77777777" w:rsidR="003322AF" w:rsidRPr="00E9564C" w:rsidRDefault="003322AF" w:rsidP="003322AF">
      <w:pPr>
        <w:pStyle w:val="FootnoteText"/>
      </w:pPr>
      <w:r w:rsidRPr="0001389D">
        <w:rPr>
          <w:rStyle w:val="FootnoteReference"/>
          <w:rFonts w:ascii="Times New Roman" w:hAnsi="Times New Roman" w:cs="Times New Roman"/>
        </w:rPr>
        <w:footnoteRef/>
      </w:r>
      <w:r w:rsidRPr="0001389D">
        <w:rPr>
          <w:rFonts w:ascii="Times New Roman" w:hAnsi="Times New Roman" w:cs="Times New Roman"/>
        </w:rPr>
        <w:t xml:space="preserve"> Turpat, pielikums, protokols par 2021. gada 15. marta virtuālā </w:t>
      </w:r>
      <w:r w:rsidRPr="0001389D">
        <w:rPr>
          <w:rFonts w:ascii="Times New Roman" w:hAnsi="Times New Roman" w:cs="Times New Roman"/>
        </w:rPr>
        <w:t>hakatona valsts naftas produktu drošības rezervju sistēmas pilnveidošanai darba grupu rezultātiem un viedokli.</w:t>
      </w:r>
    </w:p>
  </w:footnote>
  <w:footnote w:id="8">
    <w:p w14:paraId="0B3CAD19" w14:textId="77777777" w:rsidR="003322AF" w:rsidRPr="00024B35" w:rsidRDefault="003322AF" w:rsidP="003322AF">
      <w:pPr>
        <w:pStyle w:val="FootnoteText"/>
        <w:rPr>
          <w:rFonts w:ascii="Times New Roman" w:hAnsi="Times New Roman" w:cs="Times New Roman"/>
        </w:rPr>
      </w:pPr>
      <w:r w:rsidRPr="00024B35">
        <w:rPr>
          <w:rStyle w:val="FootnoteReference"/>
          <w:rFonts w:ascii="Times New Roman" w:hAnsi="Times New Roman" w:cs="Times New Roman"/>
        </w:rPr>
        <w:footnoteRef/>
      </w:r>
      <w:r w:rsidRPr="00024B35">
        <w:rPr>
          <w:rFonts w:ascii="Times New Roman" w:hAnsi="Times New Roman" w:cs="Times New Roman"/>
        </w:rPr>
        <w:t xml:space="preserve"> Likums "Par nodokļiem un nodevām", 1. pants, 2.punkts. </w:t>
      </w:r>
      <w:hyperlink r:id="rId6" w:anchor="p1" w:history="1">
        <w:r w:rsidRPr="00024B35">
          <w:rPr>
            <w:rStyle w:val="Hyperlink"/>
            <w:rFonts w:ascii="Times New Roman" w:hAnsi="Times New Roman" w:cs="Times New Roman"/>
          </w:rPr>
          <w:t>https://likumi.lv/ta/id/33946#p1</w:t>
        </w:r>
      </w:hyperlink>
      <w:r w:rsidRPr="00024B35">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715920"/>
      <w:docPartObj>
        <w:docPartGallery w:val="Page Numbers (Top of Page)"/>
        <w:docPartUnique/>
      </w:docPartObj>
    </w:sdtPr>
    <w:sdtEndPr>
      <w:rPr>
        <w:rFonts w:ascii="Times New Roman" w:hAnsi="Times New Roman" w:cs="Times New Roman"/>
        <w:noProof/>
        <w:sz w:val="24"/>
        <w:szCs w:val="24"/>
      </w:rPr>
    </w:sdtEndPr>
    <w:sdtContent>
      <w:p w14:paraId="6D3F3ED3" w14:textId="50EED234" w:rsidR="00474BDF" w:rsidRPr="00474BDF" w:rsidRDefault="00474BDF">
        <w:pPr>
          <w:pStyle w:val="Header"/>
          <w:jc w:val="center"/>
          <w:rPr>
            <w:rFonts w:ascii="Times New Roman" w:hAnsi="Times New Roman" w:cs="Times New Roman"/>
            <w:sz w:val="24"/>
            <w:szCs w:val="24"/>
          </w:rPr>
        </w:pPr>
        <w:r w:rsidRPr="00474BDF">
          <w:rPr>
            <w:rFonts w:ascii="Times New Roman" w:hAnsi="Times New Roman" w:cs="Times New Roman"/>
            <w:sz w:val="24"/>
            <w:szCs w:val="24"/>
          </w:rPr>
          <w:fldChar w:fldCharType="begin"/>
        </w:r>
        <w:r w:rsidRPr="00474BDF">
          <w:rPr>
            <w:rFonts w:ascii="Times New Roman" w:hAnsi="Times New Roman" w:cs="Times New Roman"/>
            <w:sz w:val="24"/>
            <w:szCs w:val="24"/>
          </w:rPr>
          <w:instrText xml:space="preserve"> PAGE   \* MERGEFORMAT </w:instrText>
        </w:r>
        <w:r w:rsidRPr="00474BDF">
          <w:rPr>
            <w:rFonts w:ascii="Times New Roman" w:hAnsi="Times New Roman" w:cs="Times New Roman"/>
            <w:sz w:val="24"/>
            <w:szCs w:val="24"/>
          </w:rPr>
          <w:fldChar w:fldCharType="separate"/>
        </w:r>
        <w:r w:rsidRPr="00474BDF">
          <w:rPr>
            <w:rFonts w:ascii="Times New Roman" w:hAnsi="Times New Roman" w:cs="Times New Roman"/>
            <w:noProof/>
            <w:sz w:val="24"/>
            <w:szCs w:val="24"/>
          </w:rPr>
          <w:t>2</w:t>
        </w:r>
        <w:r w:rsidRPr="00474BDF">
          <w:rPr>
            <w:rFonts w:ascii="Times New Roman" w:hAnsi="Times New Roman" w:cs="Times New Roman"/>
            <w:noProof/>
            <w:sz w:val="24"/>
            <w:szCs w:val="24"/>
          </w:rPr>
          <w:fldChar w:fldCharType="end"/>
        </w:r>
      </w:p>
    </w:sdtContent>
  </w:sdt>
  <w:p w14:paraId="67DCD3F7" w14:textId="77777777" w:rsidR="0032694B" w:rsidRDefault="0032694B">
    <w:pPr>
      <w:pStyle w:val="Header"/>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1B84" w14:textId="77777777" w:rsidR="0032694B" w:rsidRDefault="0032694B">
    <w:pPr>
      <w:pStyle w:val="Header"/>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254D"/>
    <w:multiLevelType w:val="hybridMultilevel"/>
    <w:tmpl w:val="99A4CB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D7161CD"/>
    <w:multiLevelType w:val="hybridMultilevel"/>
    <w:tmpl w:val="762CD50E"/>
    <w:lvl w:ilvl="0" w:tplc="7140FD44">
      <w:numFmt w:val="bullet"/>
      <w:lvlText w:val="•"/>
      <w:lvlJc w:val="left"/>
      <w:pPr>
        <w:ind w:left="1429" w:hanging="360"/>
      </w:pPr>
      <w:rPr>
        <w:rFonts w:ascii="Times New Roman" w:eastAsiaTheme="minorHAnsi"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 w15:restartNumberingAfterBreak="0">
    <w:nsid w:val="12364DB1"/>
    <w:multiLevelType w:val="hybridMultilevel"/>
    <w:tmpl w:val="99C005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DC26EC"/>
    <w:multiLevelType w:val="hybridMultilevel"/>
    <w:tmpl w:val="BA3E5F2C"/>
    <w:lvl w:ilvl="0" w:tplc="6742EAFE">
      <w:start w:val="4"/>
      <w:numFmt w:val="bullet"/>
      <w:lvlText w:val="-"/>
      <w:lvlJc w:val="left"/>
      <w:pPr>
        <w:ind w:left="1069" w:hanging="360"/>
      </w:pPr>
      <w:rPr>
        <w:rFonts w:ascii="Times New Roman" w:eastAsiaTheme="minorHAnsi" w:hAnsi="Times New Roman" w:cs="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52437B4"/>
    <w:multiLevelType w:val="hybridMultilevel"/>
    <w:tmpl w:val="6DA48DF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5BF741E"/>
    <w:multiLevelType w:val="hybridMultilevel"/>
    <w:tmpl w:val="D0085C7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9BA0F52"/>
    <w:multiLevelType w:val="hybridMultilevel"/>
    <w:tmpl w:val="5F14DC9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9F8585C"/>
    <w:multiLevelType w:val="hybridMultilevel"/>
    <w:tmpl w:val="FAF428C2"/>
    <w:lvl w:ilvl="0" w:tplc="0426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2D321B02"/>
    <w:multiLevelType w:val="hybridMultilevel"/>
    <w:tmpl w:val="9EFA80C6"/>
    <w:lvl w:ilvl="0" w:tplc="6280665E">
      <w:start w:val="1"/>
      <w:numFmt w:val="lowerLetter"/>
      <w:lvlText w:val="%1)"/>
      <w:lvlJc w:val="left"/>
      <w:pPr>
        <w:ind w:left="1069" w:hanging="360"/>
      </w:pPr>
      <w:rPr>
        <w:rFonts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9" w15:restartNumberingAfterBreak="0">
    <w:nsid w:val="2D460039"/>
    <w:multiLevelType w:val="hybridMultilevel"/>
    <w:tmpl w:val="4F0295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1">
    <w:nsid w:val="32B74416"/>
    <w:multiLevelType w:val="hybridMultilevel"/>
    <w:tmpl w:val="0D3AAC7E"/>
    <w:lvl w:ilvl="0" w:tplc="1882AEBC">
      <w:start w:val="1"/>
      <w:numFmt w:val="decimal"/>
      <w:lvlText w:val="%1."/>
      <w:lvlJc w:val="left"/>
      <w:pPr>
        <w:ind w:left="1496" w:hanging="360"/>
      </w:pPr>
      <w:rPr>
        <w:rFonts w:ascii="Times New Roman" w:eastAsia="Calibri" w:hAnsi="Times New Roman" w:cs="Times New Roman"/>
      </w:rPr>
    </w:lvl>
    <w:lvl w:ilvl="1" w:tplc="0744350A" w:tentative="1">
      <w:start w:val="1"/>
      <w:numFmt w:val="lowerLetter"/>
      <w:lvlText w:val="%2."/>
      <w:lvlJc w:val="left"/>
      <w:pPr>
        <w:ind w:left="2216" w:hanging="360"/>
      </w:pPr>
    </w:lvl>
    <w:lvl w:ilvl="2" w:tplc="26BEBFA6" w:tentative="1">
      <w:start w:val="1"/>
      <w:numFmt w:val="lowerRoman"/>
      <w:lvlText w:val="%3."/>
      <w:lvlJc w:val="right"/>
      <w:pPr>
        <w:ind w:left="2936" w:hanging="180"/>
      </w:pPr>
    </w:lvl>
    <w:lvl w:ilvl="3" w:tplc="B2F294A8" w:tentative="1">
      <w:start w:val="1"/>
      <w:numFmt w:val="decimal"/>
      <w:lvlText w:val="%4."/>
      <w:lvlJc w:val="left"/>
      <w:pPr>
        <w:ind w:left="3656" w:hanging="360"/>
      </w:pPr>
    </w:lvl>
    <w:lvl w:ilvl="4" w:tplc="608C446C" w:tentative="1">
      <w:start w:val="1"/>
      <w:numFmt w:val="lowerLetter"/>
      <w:lvlText w:val="%5."/>
      <w:lvlJc w:val="left"/>
      <w:pPr>
        <w:ind w:left="4376" w:hanging="360"/>
      </w:pPr>
    </w:lvl>
    <w:lvl w:ilvl="5" w:tplc="3EF83D46" w:tentative="1">
      <w:start w:val="1"/>
      <w:numFmt w:val="lowerRoman"/>
      <w:lvlText w:val="%6."/>
      <w:lvlJc w:val="right"/>
      <w:pPr>
        <w:ind w:left="5096" w:hanging="180"/>
      </w:pPr>
    </w:lvl>
    <w:lvl w:ilvl="6" w:tplc="0F20B0A0" w:tentative="1">
      <w:start w:val="1"/>
      <w:numFmt w:val="decimal"/>
      <w:lvlText w:val="%7."/>
      <w:lvlJc w:val="left"/>
      <w:pPr>
        <w:ind w:left="5816" w:hanging="360"/>
      </w:pPr>
    </w:lvl>
    <w:lvl w:ilvl="7" w:tplc="9A90EEA2" w:tentative="1">
      <w:start w:val="1"/>
      <w:numFmt w:val="lowerLetter"/>
      <w:lvlText w:val="%8."/>
      <w:lvlJc w:val="left"/>
      <w:pPr>
        <w:ind w:left="6536" w:hanging="360"/>
      </w:pPr>
    </w:lvl>
    <w:lvl w:ilvl="8" w:tplc="7902A9A2" w:tentative="1">
      <w:start w:val="1"/>
      <w:numFmt w:val="lowerRoman"/>
      <w:lvlText w:val="%9."/>
      <w:lvlJc w:val="right"/>
      <w:pPr>
        <w:ind w:left="7256" w:hanging="180"/>
      </w:pPr>
    </w:lvl>
  </w:abstractNum>
  <w:abstractNum w:abstractNumId="11" w15:restartNumberingAfterBreak="0">
    <w:nsid w:val="36D70AAE"/>
    <w:multiLevelType w:val="hybridMultilevel"/>
    <w:tmpl w:val="F4D6689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BB830A3"/>
    <w:multiLevelType w:val="hybridMultilevel"/>
    <w:tmpl w:val="045A304C"/>
    <w:lvl w:ilvl="0" w:tplc="04244EC0">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7542D58"/>
    <w:multiLevelType w:val="multilevel"/>
    <w:tmpl w:val="87DC6C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0741CB"/>
    <w:multiLevelType w:val="hybridMultilevel"/>
    <w:tmpl w:val="BB1EDD1A"/>
    <w:lvl w:ilvl="0" w:tplc="ADF2A570">
      <w:start w:val="1"/>
      <w:numFmt w:val="lowerLetter"/>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A280253"/>
    <w:multiLevelType w:val="hybridMultilevel"/>
    <w:tmpl w:val="C39A926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5B2155C4"/>
    <w:multiLevelType w:val="hybridMultilevel"/>
    <w:tmpl w:val="01707B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04A36CB"/>
    <w:multiLevelType w:val="hybridMultilevel"/>
    <w:tmpl w:val="48AC5B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4D05053"/>
    <w:multiLevelType w:val="hybridMultilevel"/>
    <w:tmpl w:val="996EA316"/>
    <w:lvl w:ilvl="0" w:tplc="04260001">
      <w:start w:val="1"/>
      <w:numFmt w:val="bullet"/>
      <w:lvlText w:val=""/>
      <w:lvlJc w:val="left"/>
      <w:pPr>
        <w:ind w:left="1789" w:hanging="360"/>
      </w:pPr>
      <w:rPr>
        <w:rFonts w:ascii="Symbol" w:hAnsi="Symbol"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9" w15:restartNumberingAfterBreak="0">
    <w:nsid w:val="67EA395E"/>
    <w:multiLevelType w:val="hybridMultilevel"/>
    <w:tmpl w:val="3690B98E"/>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99C4801"/>
    <w:multiLevelType w:val="hybridMultilevel"/>
    <w:tmpl w:val="6A608416"/>
    <w:lvl w:ilvl="0" w:tplc="04260011">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1" w15:restartNumberingAfterBreak="0">
    <w:nsid w:val="6D2F68D6"/>
    <w:multiLevelType w:val="hybridMultilevel"/>
    <w:tmpl w:val="8042FB82"/>
    <w:lvl w:ilvl="0" w:tplc="74A0947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6D6C23AD"/>
    <w:multiLevelType w:val="hybridMultilevel"/>
    <w:tmpl w:val="590CAB6C"/>
    <w:lvl w:ilvl="0" w:tplc="589E2434">
      <w:start w:val="1"/>
      <w:numFmt w:val="decimal"/>
      <w:lvlText w:val="%1."/>
      <w:lvlJc w:val="left"/>
      <w:pPr>
        <w:ind w:left="1778"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3" w15:restartNumberingAfterBreak="0">
    <w:nsid w:val="6E712153"/>
    <w:multiLevelType w:val="hybridMultilevel"/>
    <w:tmpl w:val="D86C382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1">
    <w:nsid w:val="713A7DF6"/>
    <w:multiLevelType w:val="hybridMultilevel"/>
    <w:tmpl w:val="551C895E"/>
    <w:lvl w:ilvl="0" w:tplc="E60868B6">
      <w:start w:val="1"/>
      <w:numFmt w:val="lowerLetter"/>
      <w:lvlText w:val="%1)"/>
      <w:lvlJc w:val="left"/>
      <w:pPr>
        <w:ind w:left="1860" w:hanging="360"/>
      </w:pPr>
      <w:rPr>
        <w:rFonts w:hint="default"/>
      </w:rPr>
    </w:lvl>
    <w:lvl w:ilvl="1" w:tplc="802EC168" w:tentative="1">
      <w:start w:val="1"/>
      <w:numFmt w:val="lowerLetter"/>
      <w:lvlText w:val="%2."/>
      <w:lvlJc w:val="left"/>
      <w:pPr>
        <w:ind w:left="2580" w:hanging="360"/>
      </w:pPr>
    </w:lvl>
    <w:lvl w:ilvl="2" w:tplc="4748271E" w:tentative="1">
      <w:start w:val="1"/>
      <w:numFmt w:val="lowerRoman"/>
      <w:lvlText w:val="%3."/>
      <w:lvlJc w:val="right"/>
      <w:pPr>
        <w:ind w:left="3300" w:hanging="180"/>
      </w:pPr>
    </w:lvl>
    <w:lvl w:ilvl="3" w:tplc="0DA6DF5C" w:tentative="1">
      <w:start w:val="1"/>
      <w:numFmt w:val="decimal"/>
      <w:lvlText w:val="%4."/>
      <w:lvlJc w:val="left"/>
      <w:pPr>
        <w:ind w:left="4020" w:hanging="360"/>
      </w:pPr>
    </w:lvl>
    <w:lvl w:ilvl="4" w:tplc="637021EC" w:tentative="1">
      <w:start w:val="1"/>
      <w:numFmt w:val="lowerLetter"/>
      <w:lvlText w:val="%5."/>
      <w:lvlJc w:val="left"/>
      <w:pPr>
        <w:ind w:left="4740" w:hanging="360"/>
      </w:pPr>
    </w:lvl>
    <w:lvl w:ilvl="5" w:tplc="AF666100" w:tentative="1">
      <w:start w:val="1"/>
      <w:numFmt w:val="lowerRoman"/>
      <w:lvlText w:val="%6."/>
      <w:lvlJc w:val="right"/>
      <w:pPr>
        <w:ind w:left="5460" w:hanging="180"/>
      </w:pPr>
    </w:lvl>
    <w:lvl w:ilvl="6" w:tplc="A2B446A8" w:tentative="1">
      <w:start w:val="1"/>
      <w:numFmt w:val="decimal"/>
      <w:lvlText w:val="%7."/>
      <w:lvlJc w:val="left"/>
      <w:pPr>
        <w:ind w:left="6180" w:hanging="360"/>
      </w:pPr>
    </w:lvl>
    <w:lvl w:ilvl="7" w:tplc="EDB28DBE" w:tentative="1">
      <w:start w:val="1"/>
      <w:numFmt w:val="lowerLetter"/>
      <w:lvlText w:val="%8."/>
      <w:lvlJc w:val="left"/>
      <w:pPr>
        <w:ind w:left="6900" w:hanging="360"/>
      </w:pPr>
    </w:lvl>
    <w:lvl w:ilvl="8" w:tplc="58865E90" w:tentative="1">
      <w:start w:val="1"/>
      <w:numFmt w:val="lowerRoman"/>
      <w:lvlText w:val="%9."/>
      <w:lvlJc w:val="right"/>
      <w:pPr>
        <w:ind w:left="7620" w:hanging="180"/>
      </w:pPr>
    </w:lvl>
  </w:abstractNum>
  <w:abstractNum w:abstractNumId="25" w15:restartNumberingAfterBreak="0">
    <w:nsid w:val="7BF81CF0"/>
    <w:multiLevelType w:val="hybridMultilevel"/>
    <w:tmpl w:val="BB2E64E8"/>
    <w:lvl w:ilvl="0" w:tplc="3EC0D5A6">
      <w:start w:val="1"/>
      <w:numFmt w:val="upperLetter"/>
      <w:lvlText w:val="%1."/>
      <w:lvlJc w:val="left"/>
      <w:pPr>
        <w:ind w:left="1436" w:hanging="585"/>
      </w:pPr>
      <w:rPr>
        <w:rFonts w:hint="default"/>
        <w:i w:val="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6" w15:restartNumberingAfterBreak="0">
    <w:nsid w:val="7E537BC0"/>
    <w:multiLevelType w:val="hybridMultilevel"/>
    <w:tmpl w:val="E4868D0C"/>
    <w:lvl w:ilvl="0" w:tplc="04260015">
      <w:start w:val="1"/>
      <w:numFmt w:val="upperLetter"/>
      <w:lvlText w:val="%1."/>
      <w:lvlJc w:val="left"/>
      <w:pPr>
        <w:ind w:left="720" w:hanging="360"/>
      </w:pPr>
      <w:rPr>
        <w:rFonts w:hint="default"/>
      </w:rPr>
    </w:lvl>
    <w:lvl w:ilvl="1" w:tplc="7140FD44">
      <w:numFmt w:val="bullet"/>
      <w:lvlText w:val="•"/>
      <w:lvlJc w:val="left"/>
      <w:pPr>
        <w:ind w:left="1440" w:hanging="360"/>
      </w:pPr>
      <w:rPr>
        <w:rFonts w:ascii="Times New Roman" w:eastAsiaTheme="minorHAns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11390797">
    <w:abstractNumId w:val="8"/>
  </w:num>
  <w:num w:numId="2" w16cid:durableId="2038311167">
    <w:abstractNumId w:val="14"/>
  </w:num>
  <w:num w:numId="3" w16cid:durableId="178157093">
    <w:abstractNumId w:val="3"/>
  </w:num>
  <w:num w:numId="4" w16cid:durableId="143358818">
    <w:abstractNumId w:val="22"/>
  </w:num>
  <w:num w:numId="5" w16cid:durableId="1668510978">
    <w:abstractNumId w:val="26"/>
  </w:num>
  <w:num w:numId="6" w16cid:durableId="893928363">
    <w:abstractNumId w:val="17"/>
  </w:num>
  <w:num w:numId="7" w16cid:durableId="1291474869">
    <w:abstractNumId w:val="6"/>
  </w:num>
  <w:num w:numId="8" w16cid:durableId="1544832313">
    <w:abstractNumId w:val="18"/>
  </w:num>
  <w:num w:numId="9" w16cid:durableId="987706741">
    <w:abstractNumId w:val="11"/>
  </w:num>
  <w:num w:numId="10" w16cid:durableId="66922284">
    <w:abstractNumId w:val="0"/>
  </w:num>
  <w:num w:numId="11" w16cid:durableId="404229648">
    <w:abstractNumId w:val="9"/>
  </w:num>
  <w:num w:numId="12" w16cid:durableId="1879849943">
    <w:abstractNumId w:val="25"/>
  </w:num>
  <w:num w:numId="13" w16cid:durableId="679890559">
    <w:abstractNumId w:val="15"/>
  </w:num>
  <w:num w:numId="14" w16cid:durableId="1829518141">
    <w:abstractNumId w:val="13"/>
  </w:num>
  <w:num w:numId="15" w16cid:durableId="786854857">
    <w:abstractNumId w:val="12"/>
  </w:num>
  <w:num w:numId="16" w16cid:durableId="1668677894">
    <w:abstractNumId w:val="7"/>
  </w:num>
  <w:num w:numId="17" w16cid:durableId="1221988367">
    <w:abstractNumId w:val="19"/>
  </w:num>
  <w:num w:numId="18" w16cid:durableId="1147554199">
    <w:abstractNumId w:val="23"/>
  </w:num>
  <w:num w:numId="19" w16cid:durableId="750811533">
    <w:abstractNumId w:val="4"/>
  </w:num>
  <w:num w:numId="20" w16cid:durableId="1012340689">
    <w:abstractNumId w:val="2"/>
  </w:num>
  <w:num w:numId="21" w16cid:durableId="146896552">
    <w:abstractNumId w:val="16"/>
  </w:num>
  <w:num w:numId="22" w16cid:durableId="1237208694">
    <w:abstractNumId w:val="20"/>
  </w:num>
  <w:num w:numId="23" w16cid:durableId="254672984">
    <w:abstractNumId w:val="10"/>
  </w:num>
  <w:num w:numId="24" w16cid:durableId="854005353">
    <w:abstractNumId w:val="24"/>
  </w:num>
  <w:num w:numId="25" w16cid:durableId="2083528463">
    <w:abstractNumId w:val="21"/>
  </w:num>
  <w:num w:numId="26" w16cid:durableId="984703689">
    <w:abstractNumId w:val="1"/>
  </w:num>
  <w:num w:numId="27" w16cid:durableId="65742067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59C"/>
    <w:rsid w:val="0000028F"/>
    <w:rsid w:val="00002667"/>
    <w:rsid w:val="0000562B"/>
    <w:rsid w:val="0001389D"/>
    <w:rsid w:val="00013EED"/>
    <w:rsid w:val="00022C9D"/>
    <w:rsid w:val="00024B35"/>
    <w:rsid w:val="000331AA"/>
    <w:rsid w:val="000430EF"/>
    <w:rsid w:val="0004517F"/>
    <w:rsid w:val="000453AF"/>
    <w:rsid w:val="000478F5"/>
    <w:rsid w:val="00047E1C"/>
    <w:rsid w:val="000519CD"/>
    <w:rsid w:val="00053D65"/>
    <w:rsid w:val="00055D79"/>
    <w:rsid w:val="00082DA3"/>
    <w:rsid w:val="00085B6E"/>
    <w:rsid w:val="00087930"/>
    <w:rsid w:val="00093DF4"/>
    <w:rsid w:val="000964E5"/>
    <w:rsid w:val="000A1F81"/>
    <w:rsid w:val="000D0C24"/>
    <w:rsid w:val="000E0114"/>
    <w:rsid w:val="000E3F08"/>
    <w:rsid w:val="000F76FB"/>
    <w:rsid w:val="001017A5"/>
    <w:rsid w:val="00102369"/>
    <w:rsid w:val="0010776B"/>
    <w:rsid w:val="001105D2"/>
    <w:rsid w:val="001149E8"/>
    <w:rsid w:val="00114CF7"/>
    <w:rsid w:val="001325B2"/>
    <w:rsid w:val="00136998"/>
    <w:rsid w:val="0014627B"/>
    <w:rsid w:val="00150A8C"/>
    <w:rsid w:val="001537F4"/>
    <w:rsid w:val="001543A4"/>
    <w:rsid w:val="00155A54"/>
    <w:rsid w:val="00164E6A"/>
    <w:rsid w:val="00182668"/>
    <w:rsid w:val="001863FE"/>
    <w:rsid w:val="00186606"/>
    <w:rsid w:val="00187C50"/>
    <w:rsid w:val="00190A93"/>
    <w:rsid w:val="00194EA3"/>
    <w:rsid w:val="00195218"/>
    <w:rsid w:val="00196C90"/>
    <w:rsid w:val="001A27D7"/>
    <w:rsid w:val="001B20F7"/>
    <w:rsid w:val="001B34C2"/>
    <w:rsid w:val="001B63B6"/>
    <w:rsid w:val="001C1D1E"/>
    <w:rsid w:val="001D1364"/>
    <w:rsid w:val="001E0069"/>
    <w:rsid w:val="001E1BAE"/>
    <w:rsid w:val="001E6B1F"/>
    <w:rsid w:val="001F2B68"/>
    <w:rsid w:val="001F6B43"/>
    <w:rsid w:val="002000DE"/>
    <w:rsid w:val="00205FDC"/>
    <w:rsid w:val="0020715C"/>
    <w:rsid w:val="0021082E"/>
    <w:rsid w:val="00220916"/>
    <w:rsid w:val="002328DC"/>
    <w:rsid w:val="0023424B"/>
    <w:rsid w:val="0023653D"/>
    <w:rsid w:val="00246A9F"/>
    <w:rsid w:val="002523E9"/>
    <w:rsid w:val="00257221"/>
    <w:rsid w:val="00261B44"/>
    <w:rsid w:val="00267BC2"/>
    <w:rsid w:val="00275107"/>
    <w:rsid w:val="002865DD"/>
    <w:rsid w:val="00295F70"/>
    <w:rsid w:val="002971AE"/>
    <w:rsid w:val="002A71D5"/>
    <w:rsid w:val="002B0AC0"/>
    <w:rsid w:val="002B63AE"/>
    <w:rsid w:val="002C3A59"/>
    <w:rsid w:val="002C6F5F"/>
    <w:rsid w:val="002E1BB5"/>
    <w:rsid w:val="002E3894"/>
    <w:rsid w:val="002E3EEC"/>
    <w:rsid w:val="00301232"/>
    <w:rsid w:val="00301456"/>
    <w:rsid w:val="00302C6E"/>
    <w:rsid w:val="003032B3"/>
    <w:rsid w:val="0032694B"/>
    <w:rsid w:val="003322AF"/>
    <w:rsid w:val="003347F5"/>
    <w:rsid w:val="00342471"/>
    <w:rsid w:val="003454C0"/>
    <w:rsid w:val="003542DA"/>
    <w:rsid w:val="00373388"/>
    <w:rsid w:val="00375601"/>
    <w:rsid w:val="003951A5"/>
    <w:rsid w:val="003A5CDA"/>
    <w:rsid w:val="003A74FF"/>
    <w:rsid w:val="003A7D51"/>
    <w:rsid w:val="003B272E"/>
    <w:rsid w:val="003B3B69"/>
    <w:rsid w:val="003B462E"/>
    <w:rsid w:val="003B5769"/>
    <w:rsid w:val="003D698B"/>
    <w:rsid w:val="003F1938"/>
    <w:rsid w:val="003F3881"/>
    <w:rsid w:val="00404B56"/>
    <w:rsid w:val="0040791C"/>
    <w:rsid w:val="004119F2"/>
    <w:rsid w:val="00420406"/>
    <w:rsid w:val="00422CF9"/>
    <w:rsid w:val="004261FB"/>
    <w:rsid w:val="00432A0A"/>
    <w:rsid w:val="004339F0"/>
    <w:rsid w:val="00434B64"/>
    <w:rsid w:val="004364F3"/>
    <w:rsid w:val="00456239"/>
    <w:rsid w:val="00460DD5"/>
    <w:rsid w:val="00465516"/>
    <w:rsid w:val="00471B05"/>
    <w:rsid w:val="00474BDF"/>
    <w:rsid w:val="0047555E"/>
    <w:rsid w:val="00475B82"/>
    <w:rsid w:val="00477DC2"/>
    <w:rsid w:val="004E15A6"/>
    <w:rsid w:val="004E49B8"/>
    <w:rsid w:val="004F396D"/>
    <w:rsid w:val="004F47D9"/>
    <w:rsid w:val="004F76B8"/>
    <w:rsid w:val="005053E7"/>
    <w:rsid w:val="00517CFF"/>
    <w:rsid w:val="005336B3"/>
    <w:rsid w:val="00542D26"/>
    <w:rsid w:val="005552B1"/>
    <w:rsid w:val="00564415"/>
    <w:rsid w:val="00571A05"/>
    <w:rsid w:val="005755DA"/>
    <w:rsid w:val="00575FE7"/>
    <w:rsid w:val="005762FE"/>
    <w:rsid w:val="0057664D"/>
    <w:rsid w:val="00591300"/>
    <w:rsid w:val="005A02D0"/>
    <w:rsid w:val="005A4937"/>
    <w:rsid w:val="005B0D17"/>
    <w:rsid w:val="005B0DD5"/>
    <w:rsid w:val="005C1647"/>
    <w:rsid w:val="005C3D88"/>
    <w:rsid w:val="005C7D6A"/>
    <w:rsid w:val="005E289E"/>
    <w:rsid w:val="005F04DE"/>
    <w:rsid w:val="005F19CE"/>
    <w:rsid w:val="005F28C4"/>
    <w:rsid w:val="005F3374"/>
    <w:rsid w:val="00601AC5"/>
    <w:rsid w:val="00605CB7"/>
    <w:rsid w:val="00620C35"/>
    <w:rsid w:val="006369E3"/>
    <w:rsid w:val="00637CE1"/>
    <w:rsid w:val="00653972"/>
    <w:rsid w:val="00657986"/>
    <w:rsid w:val="006717A8"/>
    <w:rsid w:val="006754B7"/>
    <w:rsid w:val="006806CA"/>
    <w:rsid w:val="0069692A"/>
    <w:rsid w:val="006A652F"/>
    <w:rsid w:val="006A6612"/>
    <w:rsid w:val="006B167F"/>
    <w:rsid w:val="006C7D8F"/>
    <w:rsid w:val="006D66F1"/>
    <w:rsid w:val="006E0743"/>
    <w:rsid w:val="006E3DC5"/>
    <w:rsid w:val="006E79D5"/>
    <w:rsid w:val="0070546B"/>
    <w:rsid w:val="00706AC7"/>
    <w:rsid w:val="007103F8"/>
    <w:rsid w:val="00715D85"/>
    <w:rsid w:val="00720DD3"/>
    <w:rsid w:val="0072319B"/>
    <w:rsid w:val="00733E49"/>
    <w:rsid w:val="007367C6"/>
    <w:rsid w:val="0074004D"/>
    <w:rsid w:val="00743899"/>
    <w:rsid w:val="007476F2"/>
    <w:rsid w:val="0075114F"/>
    <w:rsid w:val="007570C2"/>
    <w:rsid w:val="007620E1"/>
    <w:rsid w:val="007676D8"/>
    <w:rsid w:val="007770F0"/>
    <w:rsid w:val="007A1871"/>
    <w:rsid w:val="007A27CF"/>
    <w:rsid w:val="007A627E"/>
    <w:rsid w:val="007B7CA8"/>
    <w:rsid w:val="007C47C2"/>
    <w:rsid w:val="007D6622"/>
    <w:rsid w:val="007E51BB"/>
    <w:rsid w:val="007F2896"/>
    <w:rsid w:val="007F2AB4"/>
    <w:rsid w:val="007F3859"/>
    <w:rsid w:val="0080472B"/>
    <w:rsid w:val="00804903"/>
    <w:rsid w:val="00811C5F"/>
    <w:rsid w:val="00813698"/>
    <w:rsid w:val="00814A40"/>
    <w:rsid w:val="00814C2C"/>
    <w:rsid w:val="0082529D"/>
    <w:rsid w:val="00825E85"/>
    <w:rsid w:val="00830621"/>
    <w:rsid w:val="00831E67"/>
    <w:rsid w:val="0083560B"/>
    <w:rsid w:val="008470EC"/>
    <w:rsid w:val="00854788"/>
    <w:rsid w:val="008923B3"/>
    <w:rsid w:val="00894D1A"/>
    <w:rsid w:val="008A2097"/>
    <w:rsid w:val="008A64EE"/>
    <w:rsid w:val="008B1EF3"/>
    <w:rsid w:val="008B208F"/>
    <w:rsid w:val="008C188D"/>
    <w:rsid w:val="008C3B18"/>
    <w:rsid w:val="00906783"/>
    <w:rsid w:val="00907AB1"/>
    <w:rsid w:val="0091668E"/>
    <w:rsid w:val="00917C78"/>
    <w:rsid w:val="0092067C"/>
    <w:rsid w:val="00932A84"/>
    <w:rsid w:val="00937CDB"/>
    <w:rsid w:val="00945AEB"/>
    <w:rsid w:val="00954E33"/>
    <w:rsid w:val="00963F22"/>
    <w:rsid w:val="0096616F"/>
    <w:rsid w:val="009710D7"/>
    <w:rsid w:val="009751DC"/>
    <w:rsid w:val="0098776C"/>
    <w:rsid w:val="009A4C5E"/>
    <w:rsid w:val="009B3576"/>
    <w:rsid w:val="009B60D6"/>
    <w:rsid w:val="009C0969"/>
    <w:rsid w:val="009E281C"/>
    <w:rsid w:val="009E2A6D"/>
    <w:rsid w:val="009E39C0"/>
    <w:rsid w:val="009F32CD"/>
    <w:rsid w:val="009F4026"/>
    <w:rsid w:val="009F4CF6"/>
    <w:rsid w:val="009F5880"/>
    <w:rsid w:val="00A0370B"/>
    <w:rsid w:val="00A1027C"/>
    <w:rsid w:val="00A122B5"/>
    <w:rsid w:val="00A16E9B"/>
    <w:rsid w:val="00A2253A"/>
    <w:rsid w:val="00A26B17"/>
    <w:rsid w:val="00A45FA9"/>
    <w:rsid w:val="00A47689"/>
    <w:rsid w:val="00A57929"/>
    <w:rsid w:val="00A70050"/>
    <w:rsid w:val="00A71878"/>
    <w:rsid w:val="00A71EBA"/>
    <w:rsid w:val="00A73333"/>
    <w:rsid w:val="00A75D1D"/>
    <w:rsid w:val="00A7716D"/>
    <w:rsid w:val="00A82559"/>
    <w:rsid w:val="00AA0B99"/>
    <w:rsid w:val="00AC13B4"/>
    <w:rsid w:val="00AC7D81"/>
    <w:rsid w:val="00AD1715"/>
    <w:rsid w:val="00AE62E7"/>
    <w:rsid w:val="00AF2044"/>
    <w:rsid w:val="00B0355F"/>
    <w:rsid w:val="00B215C8"/>
    <w:rsid w:val="00B31142"/>
    <w:rsid w:val="00B35E34"/>
    <w:rsid w:val="00B429BF"/>
    <w:rsid w:val="00B47F3D"/>
    <w:rsid w:val="00B5025D"/>
    <w:rsid w:val="00B5028F"/>
    <w:rsid w:val="00B51E1D"/>
    <w:rsid w:val="00B54CFC"/>
    <w:rsid w:val="00B7237A"/>
    <w:rsid w:val="00B75996"/>
    <w:rsid w:val="00B764EE"/>
    <w:rsid w:val="00B84275"/>
    <w:rsid w:val="00B91C0A"/>
    <w:rsid w:val="00B95F64"/>
    <w:rsid w:val="00BB38A9"/>
    <w:rsid w:val="00BD3BEA"/>
    <w:rsid w:val="00BD6B7C"/>
    <w:rsid w:val="00BE101C"/>
    <w:rsid w:val="00C023ED"/>
    <w:rsid w:val="00C0478A"/>
    <w:rsid w:val="00C1543B"/>
    <w:rsid w:val="00C156D2"/>
    <w:rsid w:val="00C258D8"/>
    <w:rsid w:val="00C32373"/>
    <w:rsid w:val="00C33EB3"/>
    <w:rsid w:val="00C34668"/>
    <w:rsid w:val="00C34E34"/>
    <w:rsid w:val="00C36611"/>
    <w:rsid w:val="00C424DD"/>
    <w:rsid w:val="00C42EB2"/>
    <w:rsid w:val="00C468FC"/>
    <w:rsid w:val="00C47271"/>
    <w:rsid w:val="00C500AA"/>
    <w:rsid w:val="00C62A50"/>
    <w:rsid w:val="00C71529"/>
    <w:rsid w:val="00C77EF1"/>
    <w:rsid w:val="00C917D3"/>
    <w:rsid w:val="00C95EA1"/>
    <w:rsid w:val="00CA2A8D"/>
    <w:rsid w:val="00CA4B7D"/>
    <w:rsid w:val="00CB032B"/>
    <w:rsid w:val="00CB7654"/>
    <w:rsid w:val="00CC15B8"/>
    <w:rsid w:val="00CF01D7"/>
    <w:rsid w:val="00CF42CC"/>
    <w:rsid w:val="00D00E5B"/>
    <w:rsid w:val="00D0268F"/>
    <w:rsid w:val="00D26039"/>
    <w:rsid w:val="00D2742B"/>
    <w:rsid w:val="00D438E1"/>
    <w:rsid w:val="00D52052"/>
    <w:rsid w:val="00D619A6"/>
    <w:rsid w:val="00D75D84"/>
    <w:rsid w:val="00D7748A"/>
    <w:rsid w:val="00D837E5"/>
    <w:rsid w:val="00D84DD9"/>
    <w:rsid w:val="00D85FB4"/>
    <w:rsid w:val="00DB48BA"/>
    <w:rsid w:val="00DC0D1F"/>
    <w:rsid w:val="00DD2712"/>
    <w:rsid w:val="00DD6EFF"/>
    <w:rsid w:val="00DE4056"/>
    <w:rsid w:val="00E009D7"/>
    <w:rsid w:val="00E06367"/>
    <w:rsid w:val="00E13E8F"/>
    <w:rsid w:val="00E16506"/>
    <w:rsid w:val="00E17929"/>
    <w:rsid w:val="00E260A6"/>
    <w:rsid w:val="00E34E1E"/>
    <w:rsid w:val="00E430C0"/>
    <w:rsid w:val="00E5535E"/>
    <w:rsid w:val="00E70485"/>
    <w:rsid w:val="00E84993"/>
    <w:rsid w:val="00E86EFB"/>
    <w:rsid w:val="00E9564C"/>
    <w:rsid w:val="00E9751F"/>
    <w:rsid w:val="00EB7D2A"/>
    <w:rsid w:val="00ED166B"/>
    <w:rsid w:val="00ED23C4"/>
    <w:rsid w:val="00EE5FE5"/>
    <w:rsid w:val="00EF1F80"/>
    <w:rsid w:val="00EF4160"/>
    <w:rsid w:val="00EF698D"/>
    <w:rsid w:val="00F055D4"/>
    <w:rsid w:val="00F05C48"/>
    <w:rsid w:val="00F121A5"/>
    <w:rsid w:val="00F16B9F"/>
    <w:rsid w:val="00F23E70"/>
    <w:rsid w:val="00F32BBD"/>
    <w:rsid w:val="00F4607C"/>
    <w:rsid w:val="00F4690E"/>
    <w:rsid w:val="00F477A4"/>
    <w:rsid w:val="00F51D2A"/>
    <w:rsid w:val="00F664E9"/>
    <w:rsid w:val="00F66766"/>
    <w:rsid w:val="00F67657"/>
    <w:rsid w:val="00F80BD7"/>
    <w:rsid w:val="00F8459C"/>
    <w:rsid w:val="00F86A98"/>
    <w:rsid w:val="00F9580B"/>
    <w:rsid w:val="00F95E10"/>
    <w:rsid w:val="00FA58DF"/>
    <w:rsid w:val="00FA77B3"/>
    <w:rsid w:val="00FA7872"/>
    <w:rsid w:val="00FB6BCD"/>
    <w:rsid w:val="00FC420F"/>
    <w:rsid w:val="00FC7AE6"/>
    <w:rsid w:val="00FD3EB1"/>
    <w:rsid w:val="00FD4F90"/>
    <w:rsid w:val="00FE77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89992"/>
  <w15:docId w15:val="{EBEA4A25-A377-485D-8B9C-BB7E9AC0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1B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pPr>
      <w:outlineLvl w:val="9"/>
    </w:pPr>
  </w:style>
  <w:style w:type="paragraph" w:styleId="TOC1">
    <w:name w:val="toc 1"/>
    <w:basedOn w:val="Normal"/>
    <w:next w:val="Normal"/>
    <w:autoRedefine/>
    <w:uiPriority w:val="39"/>
    <w:unhideWhenUsed/>
    <w:pPr>
      <w:tabs>
        <w:tab w:val="left" w:pos="480"/>
        <w:tab w:val="right" w:leader="dot" w:pos="9061"/>
      </w:tabs>
      <w:spacing w:after="100"/>
    </w:p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pPr>
      <w:spacing w:after="0" w:line="240" w:lineRule="auto"/>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Pr>
      <w:vertAlign w:val="superscript"/>
    </w:rPr>
  </w:style>
  <w:style w:type="paragraph" w:customStyle="1" w:styleId="tv2132">
    <w:name w:val="tv2132"/>
    <w:basedOn w:val="Normal"/>
    <w:pPr>
      <w:spacing w:after="0" w:line="360" w:lineRule="auto"/>
      <w:ind w:firstLine="300"/>
    </w:pPr>
    <w:rPr>
      <w:rFonts w:ascii="Times New Roman" w:hAnsi="Times New Roman" w:cs="Times New Roman"/>
      <w:color w:val="414142"/>
      <w:sz w:val="20"/>
      <w:szCs w:val="20"/>
      <w:lang w:eastAsia="lv-LV"/>
    </w:rPr>
  </w:style>
  <w:style w:type="paragraph" w:styleId="PlainText">
    <w:name w:val="Plain Text"/>
    <w:basedOn w:val="Normal"/>
    <w:link w:val="PlainTextChar"/>
    <w:uiPriority w:val="99"/>
    <w:semiHidden/>
    <w:unhideWhenUsed/>
    <w:pPr>
      <w:spacing w:after="0" w:line="240" w:lineRule="auto"/>
    </w:pPr>
    <w:rPr>
      <w:rFonts w:ascii="Calibri Light" w:hAnsi="Calibri Light"/>
      <w:color w:val="244061" w:themeColor="accent1" w:themeShade="80"/>
      <w:szCs w:val="21"/>
    </w:rPr>
  </w:style>
  <w:style w:type="character" w:customStyle="1" w:styleId="PlainTextChar">
    <w:name w:val="Plain Text Char"/>
    <w:basedOn w:val="DefaultParagraphFont"/>
    <w:link w:val="PlainText"/>
    <w:uiPriority w:val="99"/>
    <w:semiHidden/>
    <w:rPr>
      <w:rFonts w:ascii="Calibri Light" w:hAnsi="Calibri Light"/>
      <w:color w:val="244061" w:themeColor="accent1" w:themeShade="80"/>
      <w:szCs w:val="21"/>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3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pPr>
      <w:spacing w:after="100"/>
      <w:ind w:left="440"/>
    </w:p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tvhtml">
    <w:name w:val="tv_html"/>
    <w:basedOn w:val="Normal"/>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pPr>
      <w:spacing w:after="160" w:line="240" w:lineRule="exact"/>
      <w:jc w:val="both"/>
      <w:textAlignment w:val="baseline"/>
    </w:pPr>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Style1">
    <w:name w:val="Style1"/>
    <w:basedOn w:val="Heading1"/>
    <w:link w:val="Style1Char"/>
    <w:qFormat/>
    <w:rPr>
      <w:rFonts w:ascii="Times New Roman" w:hAnsi="Times New Roman" w:cs="Times New Roman"/>
      <w:color w:val="000000" w:themeColor="text1"/>
    </w:rPr>
  </w:style>
  <w:style w:type="paragraph" w:customStyle="1" w:styleId="Style2">
    <w:name w:val="Style2"/>
    <w:basedOn w:val="Normal"/>
    <w:link w:val="Style2Char"/>
    <w:qFormat/>
    <w:pPr>
      <w:spacing w:after="0" w:line="240" w:lineRule="auto"/>
      <w:ind w:firstLine="709"/>
      <w:jc w:val="both"/>
    </w:pPr>
    <w:rPr>
      <w:rFonts w:ascii="Times New Roman" w:hAnsi="Times New Roman" w:cs="Times New Roman"/>
      <w:sz w:val="24"/>
      <w:szCs w:val="24"/>
    </w:rPr>
  </w:style>
  <w:style w:type="character" w:customStyle="1" w:styleId="Style1Char">
    <w:name w:val="Style1 Char"/>
    <w:basedOn w:val="Heading1Char"/>
    <w:link w:val="Style1"/>
    <w:rPr>
      <w:rFonts w:ascii="Times New Roman" w:eastAsiaTheme="majorEastAsia" w:hAnsi="Times New Roman" w:cs="Times New Roman"/>
      <w:b/>
      <w:bCs/>
      <w:color w:val="000000" w:themeColor="text1"/>
      <w:sz w:val="28"/>
      <w:szCs w:val="28"/>
    </w:rPr>
  </w:style>
  <w:style w:type="paragraph" w:customStyle="1" w:styleId="Style3">
    <w:name w:val="Style3"/>
    <w:basedOn w:val="Heading2"/>
    <w:link w:val="Style3Char"/>
    <w:qFormat/>
    <w:rPr>
      <w:rFonts w:ascii="Times New Roman" w:hAnsi="Times New Roman" w:cs="Times New Roman"/>
      <w:color w:val="000000" w:themeColor="text1"/>
      <w:sz w:val="24"/>
      <w:szCs w:val="24"/>
    </w:rPr>
  </w:style>
  <w:style w:type="character" w:customStyle="1" w:styleId="Style2Char">
    <w:name w:val="Style2 Char"/>
    <w:basedOn w:val="DefaultParagraphFont"/>
    <w:link w:val="Style2"/>
    <w:rPr>
      <w:rFonts w:ascii="Times New Roman" w:hAnsi="Times New Roman" w:cs="Times New Roman"/>
      <w:sz w:val="24"/>
      <w:szCs w:val="24"/>
    </w:rPr>
  </w:style>
  <w:style w:type="character" w:customStyle="1" w:styleId="Style3Char">
    <w:name w:val="Style3 Char"/>
    <w:basedOn w:val="Heading2Char"/>
    <w:link w:val="Style3"/>
    <w:rPr>
      <w:rFonts w:ascii="Times New Roman" w:eastAsiaTheme="majorEastAsia" w:hAnsi="Times New Roman" w:cs="Times New Roman"/>
      <w:b/>
      <w:bCs/>
      <w:color w:val="000000" w:themeColor="text1"/>
      <w:sz w:val="24"/>
      <w:szCs w:val="24"/>
    </w:rPr>
  </w:style>
  <w:style w:type="paragraph" w:customStyle="1" w:styleId="Default">
    <w:name w:val="Default"/>
    <w:pPr>
      <w:autoSpaceDE w:val="0"/>
      <w:autoSpaceDN w:val="0"/>
      <w:adjustRightInd w:val="0"/>
      <w:spacing w:after="0" w:line="240" w:lineRule="auto"/>
    </w:pPr>
    <w:rPr>
      <w:rFonts w:ascii="Verdana" w:hAnsi="Verdana" w:cs="Verdana"/>
      <w:color w:val="000000"/>
      <w:sz w:val="24"/>
      <w:szCs w:val="24"/>
    </w:rPr>
  </w:style>
  <w:style w:type="table" w:customStyle="1" w:styleId="TableGrid22">
    <w:name w:val="Table Grid22"/>
    <w:basedOn w:val="TableNormal"/>
    <w:next w:val="TableGrid"/>
    <w:uiPriority w:val="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Heading4Char">
    <w:name w:val="Heading 4 Char"/>
    <w:basedOn w:val="DefaultParagraphFont"/>
    <w:link w:val="Heading4"/>
    <w:uiPriority w:val="9"/>
    <w:semiHidden/>
    <w:rsid w:val="00261B4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5C3D88"/>
    <w:rPr>
      <w:i/>
      <w:iCs/>
    </w:rPr>
  </w:style>
  <w:style w:type="character" w:customStyle="1" w:styleId="naisfChar">
    <w:name w:val="naisf Char"/>
    <w:link w:val="naisf"/>
    <w:locked/>
    <w:rsid w:val="00C62A50"/>
    <w:rPr>
      <w:rFonts w:ascii="Times New Roman" w:eastAsia="Times New Roman" w:hAnsi="Times New Roman" w:cs="Times New Roman"/>
      <w:sz w:val="24"/>
      <w:szCs w:val="24"/>
      <w:lang w:eastAsia="lv-LV"/>
    </w:rPr>
  </w:style>
  <w:style w:type="paragraph" w:customStyle="1" w:styleId="naisf">
    <w:name w:val="naisf"/>
    <w:basedOn w:val="Normal"/>
    <w:link w:val="naisfChar"/>
    <w:rsid w:val="00C62A5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TOC9">
    <w:name w:val="toc 9"/>
    <w:basedOn w:val="Normal"/>
    <w:next w:val="Normal"/>
    <w:uiPriority w:val="39"/>
    <w:unhideWhenUsed/>
    <w:rsid w:val="005552B1"/>
    <w:pPr>
      <w:spacing w:after="100" w:line="259" w:lineRule="auto"/>
      <w:ind w:left="1760"/>
    </w:pPr>
    <w:rPr>
      <w:noProof/>
    </w:rPr>
  </w:style>
  <w:style w:type="character" w:styleId="UnresolvedMention">
    <w:name w:val="Unresolved Mention"/>
    <w:basedOn w:val="DefaultParagraphFont"/>
    <w:uiPriority w:val="99"/>
    <w:semiHidden/>
    <w:unhideWhenUsed/>
    <w:rsid w:val="009B6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020">
      <w:bodyDiv w:val="1"/>
      <w:marLeft w:val="0"/>
      <w:marRight w:val="0"/>
      <w:marTop w:val="0"/>
      <w:marBottom w:val="0"/>
      <w:divBdr>
        <w:top w:val="none" w:sz="0" w:space="0" w:color="auto"/>
        <w:left w:val="none" w:sz="0" w:space="0" w:color="auto"/>
        <w:bottom w:val="none" w:sz="0" w:space="0" w:color="auto"/>
        <w:right w:val="none" w:sz="0" w:space="0" w:color="auto"/>
      </w:divBdr>
    </w:div>
    <w:div w:id="128791068">
      <w:bodyDiv w:val="1"/>
      <w:marLeft w:val="0"/>
      <w:marRight w:val="0"/>
      <w:marTop w:val="0"/>
      <w:marBottom w:val="0"/>
      <w:divBdr>
        <w:top w:val="none" w:sz="0" w:space="0" w:color="auto"/>
        <w:left w:val="none" w:sz="0" w:space="0" w:color="auto"/>
        <w:bottom w:val="none" w:sz="0" w:space="0" w:color="auto"/>
        <w:right w:val="none" w:sz="0" w:space="0" w:color="auto"/>
      </w:divBdr>
    </w:div>
    <w:div w:id="229004054">
      <w:bodyDiv w:val="1"/>
      <w:marLeft w:val="0"/>
      <w:marRight w:val="0"/>
      <w:marTop w:val="0"/>
      <w:marBottom w:val="0"/>
      <w:divBdr>
        <w:top w:val="none" w:sz="0" w:space="0" w:color="auto"/>
        <w:left w:val="none" w:sz="0" w:space="0" w:color="auto"/>
        <w:bottom w:val="none" w:sz="0" w:space="0" w:color="auto"/>
        <w:right w:val="none" w:sz="0" w:space="0" w:color="auto"/>
      </w:divBdr>
    </w:div>
    <w:div w:id="316108622">
      <w:bodyDiv w:val="1"/>
      <w:marLeft w:val="0"/>
      <w:marRight w:val="0"/>
      <w:marTop w:val="0"/>
      <w:marBottom w:val="0"/>
      <w:divBdr>
        <w:top w:val="none" w:sz="0" w:space="0" w:color="auto"/>
        <w:left w:val="none" w:sz="0" w:space="0" w:color="auto"/>
        <w:bottom w:val="none" w:sz="0" w:space="0" w:color="auto"/>
        <w:right w:val="none" w:sz="0" w:space="0" w:color="auto"/>
      </w:divBdr>
    </w:div>
    <w:div w:id="321860845">
      <w:bodyDiv w:val="1"/>
      <w:marLeft w:val="0"/>
      <w:marRight w:val="0"/>
      <w:marTop w:val="0"/>
      <w:marBottom w:val="0"/>
      <w:divBdr>
        <w:top w:val="none" w:sz="0" w:space="0" w:color="auto"/>
        <w:left w:val="none" w:sz="0" w:space="0" w:color="auto"/>
        <w:bottom w:val="none" w:sz="0" w:space="0" w:color="auto"/>
        <w:right w:val="none" w:sz="0" w:space="0" w:color="auto"/>
      </w:divBdr>
    </w:div>
    <w:div w:id="337314832">
      <w:bodyDiv w:val="1"/>
      <w:marLeft w:val="0"/>
      <w:marRight w:val="0"/>
      <w:marTop w:val="0"/>
      <w:marBottom w:val="0"/>
      <w:divBdr>
        <w:top w:val="none" w:sz="0" w:space="0" w:color="auto"/>
        <w:left w:val="none" w:sz="0" w:space="0" w:color="auto"/>
        <w:bottom w:val="none" w:sz="0" w:space="0" w:color="auto"/>
        <w:right w:val="none" w:sz="0" w:space="0" w:color="auto"/>
      </w:divBdr>
    </w:div>
    <w:div w:id="391512854">
      <w:bodyDiv w:val="1"/>
      <w:marLeft w:val="0"/>
      <w:marRight w:val="0"/>
      <w:marTop w:val="0"/>
      <w:marBottom w:val="0"/>
      <w:divBdr>
        <w:top w:val="none" w:sz="0" w:space="0" w:color="auto"/>
        <w:left w:val="none" w:sz="0" w:space="0" w:color="auto"/>
        <w:bottom w:val="none" w:sz="0" w:space="0" w:color="auto"/>
        <w:right w:val="none" w:sz="0" w:space="0" w:color="auto"/>
      </w:divBdr>
    </w:div>
    <w:div w:id="396905579">
      <w:bodyDiv w:val="1"/>
      <w:marLeft w:val="0"/>
      <w:marRight w:val="0"/>
      <w:marTop w:val="0"/>
      <w:marBottom w:val="0"/>
      <w:divBdr>
        <w:top w:val="none" w:sz="0" w:space="0" w:color="auto"/>
        <w:left w:val="none" w:sz="0" w:space="0" w:color="auto"/>
        <w:bottom w:val="none" w:sz="0" w:space="0" w:color="auto"/>
        <w:right w:val="none" w:sz="0" w:space="0" w:color="auto"/>
      </w:divBdr>
      <w:divsChild>
        <w:div w:id="2129423267">
          <w:marLeft w:val="0"/>
          <w:marRight w:val="0"/>
          <w:marTop w:val="480"/>
          <w:marBottom w:val="240"/>
          <w:divBdr>
            <w:top w:val="none" w:sz="0" w:space="0" w:color="auto"/>
            <w:left w:val="none" w:sz="0" w:space="0" w:color="auto"/>
            <w:bottom w:val="none" w:sz="0" w:space="0" w:color="auto"/>
            <w:right w:val="none" w:sz="0" w:space="0" w:color="auto"/>
          </w:divBdr>
        </w:div>
        <w:div w:id="1823345532">
          <w:marLeft w:val="0"/>
          <w:marRight w:val="0"/>
          <w:marTop w:val="0"/>
          <w:marBottom w:val="567"/>
          <w:divBdr>
            <w:top w:val="none" w:sz="0" w:space="0" w:color="auto"/>
            <w:left w:val="none" w:sz="0" w:space="0" w:color="auto"/>
            <w:bottom w:val="none" w:sz="0" w:space="0" w:color="auto"/>
            <w:right w:val="none" w:sz="0" w:space="0" w:color="auto"/>
          </w:divBdr>
        </w:div>
      </w:divsChild>
    </w:div>
    <w:div w:id="452022958">
      <w:bodyDiv w:val="1"/>
      <w:marLeft w:val="0"/>
      <w:marRight w:val="0"/>
      <w:marTop w:val="0"/>
      <w:marBottom w:val="0"/>
      <w:divBdr>
        <w:top w:val="none" w:sz="0" w:space="0" w:color="auto"/>
        <w:left w:val="none" w:sz="0" w:space="0" w:color="auto"/>
        <w:bottom w:val="none" w:sz="0" w:space="0" w:color="auto"/>
        <w:right w:val="none" w:sz="0" w:space="0" w:color="auto"/>
      </w:divBdr>
    </w:div>
    <w:div w:id="503740368">
      <w:bodyDiv w:val="1"/>
      <w:marLeft w:val="0"/>
      <w:marRight w:val="0"/>
      <w:marTop w:val="0"/>
      <w:marBottom w:val="0"/>
      <w:divBdr>
        <w:top w:val="none" w:sz="0" w:space="0" w:color="auto"/>
        <w:left w:val="none" w:sz="0" w:space="0" w:color="auto"/>
        <w:bottom w:val="none" w:sz="0" w:space="0" w:color="auto"/>
        <w:right w:val="none" w:sz="0" w:space="0" w:color="auto"/>
      </w:divBdr>
    </w:div>
    <w:div w:id="564608980">
      <w:bodyDiv w:val="1"/>
      <w:marLeft w:val="0"/>
      <w:marRight w:val="0"/>
      <w:marTop w:val="0"/>
      <w:marBottom w:val="0"/>
      <w:divBdr>
        <w:top w:val="none" w:sz="0" w:space="0" w:color="auto"/>
        <w:left w:val="none" w:sz="0" w:space="0" w:color="auto"/>
        <w:bottom w:val="none" w:sz="0" w:space="0" w:color="auto"/>
        <w:right w:val="none" w:sz="0" w:space="0" w:color="auto"/>
      </w:divBdr>
      <w:divsChild>
        <w:div w:id="1485779797">
          <w:marLeft w:val="0"/>
          <w:marRight w:val="0"/>
          <w:marTop w:val="480"/>
          <w:marBottom w:val="240"/>
          <w:divBdr>
            <w:top w:val="none" w:sz="0" w:space="0" w:color="auto"/>
            <w:left w:val="none" w:sz="0" w:space="0" w:color="auto"/>
            <w:bottom w:val="none" w:sz="0" w:space="0" w:color="auto"/>
            <w:right w:val="none" w:sz="0" w:space="0" w:color="auto"/>
          </w:divBdr>
        </w:div>
        <w:div w:id="1373313023">
          <w:marLeft w:val="0"/>
          <w:marRight w:val="0"/>
          <w:marTop w:val="0"/>
          <w:marBottom w:val="567"/>
          <w:divBdr>
            <w:top w:val="none" w:sz="0" w:space="0" w:color="auto"/>
            <w:left w:val="none" w:sz="0" w:space="0" w:color="auto"/>
            <w:bottom w:val="none" w:sz="0" w:space="0" w:color="auto"/>
            <w:right w:val="none" w:sz="0" w:space="0" w:color="auto"/>
          </w:divBdr>
        </w:div>
      </w:divsChild>
    </w:div>
    <w:div w:id="576598655">
      <w:bodyDiv w:val="1"/>
      <w:marLeft w:val="0"/>
      <w:marRight w:val="0"/>
      <w:marTop w:val="0"/>
      <w:marBottom w:val="0"/>
      <w:divBdr>
        <w:top w:val="none" w:sz="0" w:space="0" w:color="auto"/>
        <w:left w:val="none" w:sz="0" w:space="0" w:color="auto"/>
        <w:bottom w:val="none" w:sz="0" w:space="0" w:color="auto"/>
        <w:right w:val="none" w:sz="0" w:space="0" w:color="auto"/>
      </w:divBdr>
    </w:div>
    <w:div w:id="604846573">
      <w:bodyDiv w:val="1"/>
      <w:marLeft w:val="0"/>
      <w:marRight w:val="0"/>
      <w:marTop w:val="0"/>
      <w:marBottom w:val="0"/>
      <w:divBdr>
        <w:top w:val="none" w:sz="0" w:space="0" w:color="auto"/>
        <w:left w:val="none" w:sz="0" w:space="0" w:color="auto"/>
        <w:bottom w:val="none" w:sz="0" w:space="0" w:color="auto"/>
        <w:right w:val="none" w:sz="0" w:space="0" w:color="auto"/>
      </w:divBdr>
    </w:div>
    <w:div w:id="657197410">
      <w:bodyDiv w:val="1"/>
      <w:marLeft w:val="0"/>
      <w:marRight w:val="0"/>
      <w:marTop w:val="0"/>
      <w:marBottom w:val="0"/>
      <w:divBdr>
        <w:top w:val="none" w:sz="0" w:space="0" w:color="auto"/>
        <w:left w:val="none" w:sz="0" w:space="0" w:color="auto"/>
        <w:bottom w:val="none" w:sz="0" w:space="0" w:color="auto"/>
        <w:right w:val="none" w:sz="0" w:space="0" w:color="auto"/>
      </w:divBdr>
    </w:div>
    <w:div w:id="671763936">
      <w:bodyDiv w:val="1"/>
      <w:marLeft w:val="0"/>
      <w:marRight w:val="0"/>
      <w:marTop w:val="0"/>
      <w:marBottom w:val="0"/>
      <w:divBdr>
        <w:top w:val="none" w:sz="0" w:space="0" w:color="auto"/>
        <w:left w:val="none" w:sz="0" w:space="0" w:color="auto"/>
        <w:bottom w:val="none" w:sz="0" w:space="0" w:color="auto"/>
        <w:right w:val="none" w:sz="0" w:space="0" w:color="auto"/>
      </w:divBdr>
    </w:div>
    <w:div w:id="705718825">
      <w:bodyDiv w:val="1"/>
      <w:marLeft w:val="0"/>
      <w:marRight w:val="0"/>
      <w:marTop w:val="0"/>
      <w:marBottom w:val="0"/>
      <w:divBdr>
        <w:top w:val="none" w:sz="0" w:space="0" w:color="auto"/>
        <w:left w:val="none" w:sz="0" w:space="0" w:color="auto"/>
        <w:bottom w:val="none" w:sz="0" w:space="0" w:color="auto"/>
        <w:right w:val="none" w:sz="0" w:space="0" w:color="auto"/>
      </w:divBdr>
    </w:div>
    <w:div w:id="779489926">
      <w:bodyDiv w:val="1"/>
      <w:marLeft w:val="0"/>
      <w:marRight w:val="0"/>
      <w:marTop w:val="0"/>
      <w:marBottom w:val="0"/>
      <w:divBdr>
        <w:top w:val="none" w:sz="0" w:space="0" w:color="auto"/>
        <w:left w:val="none" w:sz="0" w:space="0" w:color="auto"/>
        <w:bottom w:val="none" w:sz="0" w:space="0" w:color="auto"/>
        <w:right w:val="none" w:sz="0" w:space="0" w:color="auto"/>
      </w:divBdr>
    </w:div>
    <w:div w:id="780226991">
      <w:bodyDiv w:val="1"/>
      <w:marLeft w:val="0"/>
      <w:marRight w:val="0"/>
      <w:marTop w:val="0"/>
      <w:marBottom w:val="0"/>
      <w:divBdr>
        <w:top w:val="none" w:sz="0" w:space="0" w:color="auto"/>
        <w:left w:val="none" w:sz="0" w:space="0" w:color="auto"/>
        <w:bottom w:val="none" w:sz="0" w:space="0" w:color="auto"/>
        <w:right w:val="none" w:sz="0" w:space="0" w:color="auto"/>
      </w:divBdr>
    </w:div>
    <w:div w:id="840506932">
      <w:bodyDiv w:val="1"/>
      <w:marLeft w:val="0"/>
      <w:marRight w:val="0"/>
      <w:marTop w:val="0"/>
      <w:marBottom w:val="0"/>
      <w:divBdr>
        <w:top w:val="none" w:sz="0" w:space="0" w:color="auto"/>
        <w:left w:val="none" w:sz="0" w:space="0" w:color="auto"/>
        <w:bottom w:val="none" w:sz="0" w:space="0" w:color="auto"/>
        <w:right w:val="none" w:sz="0" w:space="0" w:color="auto"/>
      </w:divBdr>
    </w:div>
    <w:div w:id="864095846">
      <w:bodyDiv w:val="1"/>
      <w:marLeft w:val="0"/>
      <w:marRight w:val="0"/>
      <w:marTop w:val="0"/>
      <w:marBottom w:val="0"/>
      <w:divBdr>
        <w:top w:val="none" w:sz="0" w:space="0" w:color="auto"/>
        <w:left w:val="none" w:sz="0" w:space="0" w:color="auto"/>
        <w:bottom w:val="none" w:sz="0" w:space="0" w:color="auto"/>
        <w:right w:val="none" w:sz="0" w:space="0" w:color="auto"/>
      </w:divBdr>
    </w:div>
    <w:div w:id="962658864">
      <w:bodyDiv w:val="1"/>
      <w:marLeft w:val="0"/>
      <w:marRight w:val="0"/>
      <w:marTop w:val="0"/>
      <w:marBottom w:val="0"/>
      <w:divBdr>
        <w:top w:val="none" w:sz="0" w:space="0" w:color="auto"/>
        <w:left w:val="none" w:sz="0" w:space="0" w:color="auto"/>
        <w:bottom w:val="none" w:sz="0" w:space="0" w:color="auto"/>
        <w:right w:val="none" w:sz="0" w:space="0" w:color="auto"/>
      </w:divBdr>
    </w:div>
    <w:div w:id="964235709">
      <w:bodyDiv w:val="1"/>
      <w:marLeft w:val="0"/>
      <w:marRight w:val="0"/>
      <w:marTop w:val="0"/>
      <w:marBottom w:val="0"/>
      <w:divBdr>
        <w:top w:val="none" w:sz="0" w:space="0" w:color="auto"/>
        <w:left w:val="none" w:sz="0" w:space="0" w:color="auto"/>
        <w:bottom w:val="none" w:sz="0" w:space="0" w:color="auto"/>
        <w:right w:val="none" w:sz="0" w:space="0" w:color="auto"/>
      </w:divBdr>
    </w:div>
    <w:div w:id="1140880217">
      <w:bodyDiv w:val="1"/>
      <w:marLeft w:val="0"/>
      <w:marRight w:val="0"/>
      <w:marTop w:val="0"/>
      <w:marBottom w:val="0"/>
      <w:divBdr>
        <w:top w:val="none" w:sz="0" w:space="0" w:color="auto"/>
        <w:left w:val="none" w:sz="0" w:space="0" w:color="auto"/>
        <w:bottom w:val="none" w:sz="0" w:space="0" w:color="auto"/>
        <w:right w:val="none" w:sz="0" w:space="0" w:color="auto"/>
      </w:divBdr>
    </w:div>
    <w:div w:id="1175418755">
      <w:bodyDiv w:val="1"/>
      <w:marLeft w:val="0"/>
      <w:marRight w:val="0"/>
      <w:marTop w:val="0"/>
      <w:marBottom w:val="0"/>
      <w:divBdr>
        <w:top w:val="none" w:sz="0" w:space="0" w:color="auto"/>
        <w:left w:val="none" w:sz="0" w:space="0" w:color="auto"/>
        <w:bottom w:val="none" w:sz="0" w:space="0" w:color="auto"/>
        <w:right w:val="none" w:sz="0" w:space="0" w:color="auto"/>
      </w:divBdr>
    </w:div>
    <w:div w:id="1179269900">
      <w:bodyDiv w:val="1"/>
      <w:marLeft w:val="0"/>
      <w:marRight w:val="0"/>
      <w:marTop w:val="0"/>
      <w:marBottom w:val="0"/>
      <w:divBdr>
        <w:top w:val="none" w:sz="0" w:space="0" w:color="auto"/>
        <w:left w:val="none" w:sz="0" w:space="0" w:color="auto"/>
        <w:bottom w:val="none" w:sz="0" w:space="0" w:color="auto"/>
        <w:right w:val="none" w:sz="0" w:space="0" w:color="auto"/>
      </w:divBdr>
    </w:div>
    <w:div w:id="1273707144">
      <w:bodyDiv w:val="1"/>
      <w:marLeft w:val="0"/>
      <w:marRight w:val="0"/>
      <w:marTop w:val="0"/>
      <w:marBottom w:val="0"/>
      <w:divBdr>
        <w:top w:val="none" w:sz="0" w:space="0" w:color="auto"/>
        <w:left w:val="none" w:sz="0" w:space="0" w:color="auto"/>
        <w:bottom w:val="none" w:sz="0" w:space="0" w:color="auto"/>
        <w:right w:val="none" w:sz="0" w:space="0" w:color="auto"/>
      </w:divBdr>
    </w:div>
    <w:div w:id="1295058226">
      <w:bodyDiv w:val="1"/>
      <w:marLeft w:val="0"/>
      <w:marRight w:val="0"/>
      <w:marTop w:val="0"/>
      <w:marBottom w:val="0"/>
      <w:divBdr>
        <w:top w:val="none" w:sz="0" w:space="0" w:color="auto"/>
        <w:left w:val="none" w:sz="0" w:space="0" w:color="auto"/>
        <w:bottom w:val="none" w:sz="0" w:space="0" w:color="auto"/>
        <w:right w:val="none" w:sz="0" w:space="0" w:color="auto"/>
      </w:divBdr>
    </w:div>
    <w:div w:id="1447001343">
      <w:bodyDiv w:val="1"/>
      <w:marLeft w:val="0"/>
      <w:marRight w:val="0"/>
      <w:marTop w:val="0"/>
      <w:marBottom w:val="0"/>
      <w:divBdr>
        <w:top w:val="none" w:sz="0" w:space="0" w:color="auto"/>
        <w:left w:val="none" w:sz="0" w:space="0" w:color="auto"/>
        <w:bottom w:val="none" w:sz="0" w:space="0" w:color="auto"/>
        <w:right w:val="none" w:sz="0" w:space="0" w:color="auto"/>
      </w:divBdr>
    </w:div>
    <w:div w:id="1568106358">
      <w:bodyDiv w:val="1"/>
      <w:marLeft w:val="0"/>
      <w:marRight w:val="0"/>
      <w:marTop w:val="0"/>
      <w:marBottom w:val="0"/>
      <w:divBdr>
        <w:top w:val="none" w:sz="0" w:space="0" w:color="auto"/>
        <w:left w:val="none" w:sz="0" w:space="0" w:color="auto"/>
        <w:bottom w:val="none" w:sz="0" w:space="0" w:color="auto"/>
        <w:right w:val="none" w:sz="0" w:space="0" w:color="auto"/>
      </w:divBdr>
    </w:div>
    <w:div w:id="1576890742">
      <w:bodyDiv w:val="1"/>
      <w:marLeft w:val="0"/>
      <w:marRight w:val="0"/>
      <w:marTop w:val="0"/>
      <w:marBottom w:val="0"/>
      <w:divBdr>
        <w:top w:val="none" w:sz="0" w:space="0" w:color="auto"/>
        <w:left w:val="none" w:sz="0" w:space="0" w:color="auto"/>
        <w:bottom w:val="none" w:sz="0" w:space="0" w:color="auto"/>
        <w:right w:val="none" w:sz="0" w:space="0" w:color="auto"/>
      </w:divBdr>
    </w:div>
    <w:div w:id="1585607381">
      <w:bodyDiv w:val="1"/>
      <w:marLeft w:val="0"/>
      <w:marRight w:val="0"/>
      <w:marTop w:val="0"/>
      <w:marBottom w:val="0"/>
      <w:divBdr>
        <w:top w:val="none" w:sz="0" w:space="0" w:color="auto"/>
        <w:left w:val="none" w:sz="0" w:space="0" w:color="auto"/>
        <w:bottom w:val="none" w:sz="0" w:space="0" w:color="auto"/>
        <w:right w:val="none" w:sz="0" w:space="0" w:color="auto"/>
      </w:divBdr>
    </w:div>
    <w:div w:id="1598296250">
      <w:bodyDiv w:val="1"/>
      <w:marLeft w:val="0"/>
      <w:marRight w:val="0"/>
      <w:marTop w:val="0"/>
      <w:marBottom w:val="0"/>
      <w:divBdr>
        <w:top w:val="none" w:sz="0" w:space="0" w:color="auto"/>
        <w:left w:val="none" w:sz="0" w:space="0" w:color="auto"/>
        <w:bottom w:val="none" w:sz="0" w:space="0" w:color="auto"/>
        <w:right w:val="none" w:sz="0" w:space="0" w:color="auto"/>
      </w:divBdr>
    </w:div>
    <w:div w:id="1668946049">
      <w:bodyDiv w:val="1"/>
      <w:marLeft w:val="0"/>
      <w:marRight w:val="0"/>
      <w:marTop w:val="0"/>
      <w:marBottom w:val="0"/>
      <w:divBdr>
        <w:top w:val="none" w:sz="0" w:space="0" w:color="auto"/>
        <w:left w:val="none" w:sz="0" w:space="0" w:color="auto"/>
        <w:bottom w:val="none" w:sz="0" w:space="0" w:color="auto"/>
        <w:right w:val="none" w:sz="0" w:space="0" w:color="auto"/>
      </w:divBdr>
    </w:div>
    <w:div w:id="1692295146">
      <w:bodyDiv w:val="1"/>
      <w:marLeft w:val="0"/>
      <w:marRight w:val="0"/>
      <w:marTop w:val="0"/>
      <w:marBottom w:val="0"/>
      <w:divBdr>
        <w:top w:val="none" w:sz="0" w:space="0" w:color="auto"/>
        <w:left w:val="none" w:sz="0" w:space="0" w:color="auto"/>
        <w:bottom w:val="none" w:sz="0" w:space="0" w:color="auto"/>
        <w:right w:val="none" w:sz="0" w:space="0" w:color="auto"/>
      </w:divBdr>
    </w:div>
    <w:div w:id="1729301177">
      <w:bodyDiv w:val="1"/>
      <w:marLeft w:val="0"/>
      <w:marRight w:val="0"/>
      <w:marTop w:val="0"/>
      <w:marBottom w:val="0"/>
      <w:divBdr>
        <w:top w:val="none" w:sz="0" w:space="0" w:color="auto"/>
        <w:left w:val="none" w:sz="0" w:space="0" w:color="auto"/>
        <w:bottom w:val="none" w:sz="0" w:space="0" w:color="auto"/>
        <w:right w:val="none" w:sz="0" w:space="0" w:color="auto"/>
      </w:divBdr>
    </w:div>
    <w:div w:id="1737970670">
      <w:bodyDiv w:val="1"/>
      <w:marLeft w:val="0"/>
      <w:marRight w:val="0"/>
      <w:marTop w:val="0"/>
      <w:marBottom w:val="0"/>
      <w:divBdr>
        <w:top w:val="none" w:sz="0" w:space="0" w:color="auto"/>
        <w:left w:val="none" w:sz="0" w:space="0" w:color="auto"/>
        <w:bottom w:val="none" w:sz="0" w:space="0" w:color="auto"/>
        <w:right w:val="none" w:sz="0" w:space="0" w:color="auto"/>
      </w:divBdr>
    </w:div>
    <w:div w:id="1805998152">
      <w:bodyDiv w:val="1"/>
      <w:marLeft w:val="0"/>
      <w:marRight w:val="0"/>
      <w:marTop w:val="0"/>
      <w:marBottom w:val="0"/>
      <w:divBdr>
        <w:top w:val="none" w:sz="0" w:space="0" w:color="auto"/>
        <w:left w:val="none" w:sz="0" w:space="0" w:color="auto"/>
        <w:bottom w:val="none" w:sz="0" w:space="0" w:color="auto"/>
        <w:right w:val="none" w:sz="0" w:space="0" w:color="auto"/>
      </w:divBdr>
      <w:divsChild>
        <w:div w:id="1254316475">
          <w:marLeft w:val="0"/>
          <w:marRight w:val="0"/>
          <w:marTop w:val="0"/>
          <w:marBottom w:val="0"/>
          <w:divBdr>
            <w:top w:val="none" w:sz="0" w:space="0" w:color="auto"/>
            <w:left w:val="none" w:sz="0" w:space="0" w:color="auto"/>
            <w:bottom w:val="none" w:sz="0" w:space="0" w:color="auto"/>
            <w:right w:val="none" w:sz="0" w:space="0" w:color="auto"/>
          </w:divBdr>
        </w:div>
      </w:divsChild>
    </w:div>
    <w:div w:id="1837988298">
      <w:bodyDiv w:val="1"/>
      <w:marLeft w:val="0"/>
      <w:marRight w:val="0"/>
      <w:marTop w:val="0"/>
      <w:marBottom w:val="0"/>
      <w:divBdr>
        <w:top w:val="none" w:sz="0" w:space="0" w:color="auto"/>
        <w:left w:val="none" w:sz="0" w:space="0" w:color="auto"/>
        <w:bottom w:val="none" w:sz="0" w:space="0" w:color="auto"/>
        <w:right w:val="none" w:sz="0" w:space="0" w:color="auto"/>
      </w:divBdr>
    </w:div>
    <w:div w:id="1839270490">
      <w:bodyDiv w:val="1"/>
      <w:marLeft w:val="0"/>
      <w:marRight w:val="0"/>
      <w:marTop w:val="0"/>
      <w:marBottom w:val="0"/>
      <w:divBdr>
        <w:top w:val="none" w:sz="0" w:space="0" w:color="auto"/>
        <w:left w:val="none" w:sz="0" w:space="0" w:color="auto"/>
        <w:bottom w:val="none" w:sz="0" w:space="0" w:color="auto"/>
        <w:right w:val="none" w:sz="0" w:space="0" w:color="auto"/>
      </w:divBdr>
    </w:div>
    <w:div w:id="1924021261">
      <w:bodyDiv w:val="1"/>
      <w:marLeft w:val="0"/>
      <w:marRight w:val="0"/>
      <w:marTop w:val="0"/>
      <w:marBottom w:val="0"/>
      <w:divBdr>
        <w:top w:val="none" w:sz="0" w:space="0" w:color="auto"/>
        <w:left w:val="none" w:sz="0" w:space="0" w:color="auto"/>
        <w:bottom w:val="none" w:sz="0" w:space="0" w:color="auto"/>
        <w:right w:val="none" w:sz="0" w:space="0" w:color="auto"/>
      </w:divBdr>
    </w:div>
    <w:div w:id="1926645187">
      <w:bodyDiv w:val="1"/>
      <w:marLeft w:val="0"/>
      <w:marRight w:val="0"/>
      <w:marTop w:val="0"/>
      <w:marBottom w:val="0"/>
      <w:divBdr>
        <w:top w:val="none" w:sz="0" w:space="0" w:color="auto"/>
        <w:left w:val="none" w:sz="0" w:space="0" w:color="auto"/>
        <w:bottom w:val="none" w:sz="0" w:space="0" w:color="auto"/>
        <w:right w:val="none" w:sz="0" w:space="0" w:color="auto"/>
      </w:divBdr>
    </w:div>
    <w:div w:id="1940676143">
      <w:bodyDiv w:val="1"/>
      <w:marLeft w:val="0"/>
      <w:marRight w:val="0"/>
      <w:marTop w:val="0"/>
      <w:marBottom w:val="0"/>
      <w:divBdr>
        <w:top w:val="none" w:sz="0" w:space="0" w:color="auto"/>
        <w:left w:val="none" w:sz="0" w:space="0" w:color="auto"/>
        <w:bottom w:val="none" w:sz="0" w:space="0" w:color="auto"/>
        <w:right w:val="none" w:sz="0" w:space="0" w:color="auto"/>
      </w:divBdr>
    </w:div>
    <w:div w:id="1971933487">
      <w:bodyDiv w:val="1"/>
      <w:marLeft w:val="0"/>
      <w:marRight w:val="0"/>
      <w:marTop w:val="0"/>
      <w:marBottom w:val="0"/>
      <w:divBdr>
        <w:top w:val="none" w:sz="0" w:space="0" w:color="auto"/>
        <w:left w:val="none" w:sz="0" w:space="0" w:color="auto"/>
        <w:bottom w:val="none" w:sz="0" w:space="0" w:color="auto"/>
        <w:right w:val="none" w:sz="0" w:space="0" w:color="auto"/>
      </w:divBdr>
      <w:divsChild>
        <w:div w:id="1905988125">
          <w:marLeft w:val="0"/>
          <w:marRight w:val="0"/>
          <w:marTop w:val="0"/>
          <w:marBottom w:val="0"/>
          <w:divBdr>
            <w:top w:val="none" w:sz="0" w:space="0" w:color="auto"/>
            <w:left w:val="none" w:sz="0" w:space="0" w:color="auto"/>
            <w:bottom w:val="none" w:sz="0" w:space="0" w:color="auto"/>
            <w:right w:val="none" w:sz="0" w:space="0" w:color="auto"/>
          </w:divBdr>
        </w:div>
      </w:divsChild>
    </w:div>
    <w:div w:id="1984576275">
      <w:bodyDiv w:val="1"/>
      <w:marLeft w:val="0"/>
      <w:marRight w:val="0"/>
      <w:marTop w:val="0"/>
      <w:marBottom w:val="0"/>
      <w:divBdr>
        <w:top w:val="none" w:sz="0" w:space="0" w:color="auto"/>
        <w:left w:val="none" w:sz="0" w:space="0" w:color="auto"/>
        <w:bottom w:val="none" w:sz="0" w:space="0" w:color="auto"/>
        <w:right w:val="none" w:sz="0" w:space="0" w:color="auto"/>
      </w:divBdr>
    </w:div>
    <w:div w:id="210541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49833-energetikas-likums"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eur-lex.europa.eu/eli/dir/2009/119/oj/?locale=LV"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ur-lex.europa.eu/eli/dir/2009/119/oj/?locale=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29001" TargetMode="External"/><Relationship Id="rId2" Type="http://schemas.openxmlformats.org/officeDocument/2006/relationships/hyperlink" Target="https://eur-lex.europa.eu/eli/dir/2009/119/oj/?locale=LV" TargetMode="External"/><Relationship Id="rId1" Type="http://schemas.openxmlformats.org/officeDocument/2006/relationships/hyperlink" Target="https://likumi.lv/ta/id/323886" TargetMode="External"/><Relationship Id="rId6" Type="http://schemas.openxmlformats.org/officeDocument/2006/relationships/hyperlink" Target="https://likumi.lv/ta/id/33946" TargetMode="External"/><Relationship Id="rId5" Type="http://schemas.openxmlformats.org/officeDocument/2006/relationships/hyperlink" Target="https://likumi.lv/ta/id/323886" TargetMode="External"/><Relationship Id="rId4" Type="http://schemas.openxmlformats.org/officeDocument/2006/relationships/hyperlink" Target="https://likumi.lv/ta/id/229557"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7" ma:contentTypeDescription="Create a new document." ma:contentTypeScope="" ma:versionID="6c1dc6452043553f4cb47bded39dc8d6">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9b0dd91c541046676e1307b2a1e274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759A3-FD64-4F2E-B2D3-94050FCFB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7C86A6-0D1C-4B42-B384-04FC51475FAA}">
  <ds:schemaRefs>
    <ds:schemaRef ds:uri="http://schemas.microsoft.com/sharepoint/v3/contenttype/forms"/>
  </ds:schemaRefs>
</ds:datastoreItem>
</file>

<file path=customXml/itemProps3.xml><?xml version="1.0" encoding="utf-8"?>
<ds:datastoreItem xmlns:ds="http://schemas.openxmlformats.org/officeDocument/2006/customXml" ds:itemID="{BDA35722-54E7-4605-ACA3-71F20D6832CE}">
  <ds:schemaRefs>
    <ds:schemaRef ds:uri="http://schemas.openxmlformats.org/officeDocument/2006/bibliography"/>
  </ds:schemaRefs>
</ds:datastoreItem>
</file>

<file path=customXml/itemProps4.xml><?xml version="1.0" encoding="utf-8"?>
<ds:datastoreItem xmlns:ds="http://schemas.openxmlformats.org/officeDocument/2006/customXml" ds:itemID="{CD9BF03C-3158-4AD5-B5B5-85DBE0D7EB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37775</Words>
  <Characters>21533</Characters>
  <Application>Microsoft Office Word</Application>
  <DocSecurity>0</DocSecurity>
  <Lines>179</Lines>
  <Paragraphs>118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Konceptuāls ziņojums „Mediju ombuda izveide, tā sastāvs, darbības vadlīnijas un lauks”</vt:lpstr>
    </vt:vector>
  </TitlesOfParts>
  <Company/>
  <LinksUpToDate>false</LinksUpToDate>
  <CharactersWithSpaces>59190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Konceptuāls ziņojums</dc:subject>
  <dc:creator>Līga Rozentāle</dc:creator>
  <cp:lastModifiedBy>Lauris Bočs</cp:lastModifiedBy>
  <cp:revision>3</cp:revision>
  <cp:lastPrinted>2021-06-08T07:20:00Z</cp:lastPrinted>
  <dcterms:created xsi:type="dcterms:W3CDTF">2023-04-02T19:59:00Z</dcterms:created>
  <dcterms:modified xsi:type="dcterms:W3CDTF">2023-04-05T12:03:00Z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ies>
</file>