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7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5D94A" w14:textId="77777777" w:rsidR="0005233C" w:rsidRDefault="0005233C" w:rsidP="0005233C">
      <w:pPr>
        <w:spacing w:after="0" w:line="240" w:lineRule="auto"/>
        <w:jc w:val="right"/>
        <w:rPr>
          <w:i/>
          <w:iCs/>
        </w:rPr>
      </w:pPr>
      <w:r w:rsidRPr="007959CB">
        <w:rPr>
          <w:i/>
          <w:iCs/>
        </w:rPr>
        <w:t xml:space="preserve">Informatīvā ziņojuma </w:t>
      </w:r>
    </w:p>
    <w:p w14:paraId="341DAF3F" w14:textId="77777777" w:rsidR="0005233C" w:rsidRDefault="0005233C" w:rsidP="0005233C">
      <w:pPr>
        <w:spacing w:after="0" w:line="240" w:lineRule="auto"/>
        <w:jc w:val="right"/>
        <w:rPr>
          <w:i/>
          <w:iCs/>
        </w:rPr>
      </w:pPr>
      <w:r w:rsidRPr="007959CB">
        <w:rPr>
          <w:i/>
          <w:iCs/>
        </w:rPr>
        <w:t xml:space="preserve">“Par samērīga nekustamā īpašuma </w:t>
      </w:r>
    </w:p>
    <w:p w14:paraId="71D8C2AD" w14:textId="77777777" w:rsidR="0005233C" w:rsidRPr="007959CB" w:rsidRDefault="0005233C" w:rsidP="0005233C">
      <w:pPr>
        <w:spacing w:after="0" w:line="240" w:lineRule="auto"/>
        <w:jc w:val="right"/>
        <w:rPr>
          <w:i/>
          <w:iCs/>
        </w:rPr>
      </w:pPr>
      <w:r w:rsidRPr="007959CB">
        <w:rPr>
          <w:i/>
          <w:iCs/>
        </w:rPr>
        <w:t>nodokļa nodrošināšanu”</w:t>
      </w:r>
    </w:p>
    <w:p w14:paraId="23B148EE" w14:textId="48E80FDA" w:rsidR="0005233C" w:rsidRPr="007959CB" w:rsidRDefault="0005233C" w:rsidP="0005233C">
      <w:pPr>
        <w:spacing w:after="0" w:line="240" w:lineRule="auto"/>
        <w:jc w:val="right"/>
        <w:rPr>
          <w:i/>
          <w:iCs/>
        </w:rPr>
      </w:pPr>
      <w:r w:rsidRPr="007959CB">
        <w:rPr>
          <w:i/>
          <w:iCs/>
        </w:rPr>
        <w:t>Pielikums Nr.</w:t>
      </w:r>
      <w:r>
        <w:rPr>
          <w:i/>
          <w:iCs/>
        </w:rPr>
        <w:t>3</w:t>
      </w:r>
    </w:p>
    <w:p w14:paraId="346BDBBA" w14:textId="77777777" w:rsidR="00EB3CD0" w:rsidRDefault="00EB3CD0"/>
    <w:p w14:paraId="76DD42E2" w14:textId="28D939CD" w:rsidR="00EB3CD0" w:rsidRPr="00EB3CD0" w:rsidRDefault="00EB3CD0" w:rsidP="00EB3CD0">
      <w:pPr>
        <w:jc w:val="center"/>
        <w:rPr>
          <w:b/>
          <w:bCs/>
        </w:rPr>
      </w:pPr>
      <w:r w:rsidRPr="00EB3CD0">
        <w:rPr>
          <w:b/>
          <w:bCs/>
        </w:rPr>
        <w:t>Nodokļu ieņēmumu struktūra un īpatsvars izvēlētajās valstīs 2019.gadā</w:t>
      </w:r>
    </w:p>
    <w:p w14:paraId="629DD510" w14:textId="77777777" w:rsidR="00B363CE" w:rsidRDefault="00B363CE" w:rsidP="00B363CE">
      <w:pPr>
        <w:rPr>
          <w:szCs w:val="28"/>
        </w:rPr>
      </w:pPr>
    </w:p>
    <w:p w14:paraId="0A395A33" w14:textId="75921A49" w:rsidR="00B363CE" w:rsidRDefault="00B363CE" w:rsidP="00B363CE">
      <w:pPr>
        <w:rPr>
          <w:i/>
          <w:iCs/>
          <w:szCs w:val="28"/>
        </w:rPr>
      </w:pPr>
      <w:r>
        <w:rPr>
          <w:szCs w:val="28"/>
        </w:rPr>
        <w:t>Nodokļu ieņēmumu struktūra</w:t>
      </w:r>
      <w:r w:rsidRPr="00257028">
        <w:rPr>
          <w:szCs w:val="28"/>
        </w:rPr>
        <w:t xml:space="preserve"> </w:t>
      </w:r>
      <w:r>
        <w:rPr>
          <w:szCs w:val="28"/>
        </w:rPr>
        <w:t xml:space="preserve">Latvijā, Spānijā, Dānijā, Igaunijā, Lietuvā un Zviedrijā 2019.gadā, </w:t>
      </w:r>
      <w:r>
        <w:rPr>
          <w:i/>
          <w:iCs/>
          <w:szCs w:val="28"/>
        </w:rPr>
        <w:t>%</w:t>
      </w:r>
    </w:p>
    <w:p w14:paraId="24CDDE8E" w14:textId="2D38E313" w:rsidR="009114D3" w:rsidRDefault="009114D3" w:rsidP="00EB3CD0">
      <w:pPr>
        <w:rPr>
          <w:noProof/>
          <w:lang w:eastAsia="lv-LV"/>
        </w:rPr>
      </w:pPr>
      <w:r w:rsidDel="009114D3">
        <w:rPr>
          <w:noProof/>
          <w:lang w:eastAsia="lv-LV"/>
        </w:rPr>
        <w:t xml:space="preserve">  </w:t>
      </w:r>
      <w:r w:rsidR="00C245F8" w:rsidRPr="00C245F8">
        <w:rPr>
          <w:noProof/>
        </w:rPr>
        <w:t xml:space="preserve"> </w:t>
      </w:r>
      <w:r w:rsidR="00B16785">
        <w:rPr>
          <w:noProof/>
        </w:rPr>
        <w:drawing>
          <wp:inline distT="0" distB="0" distL="0" distR="0" wp14:anchorId="29F85A08" wp14:editId="349190D6">
            <wp:extent cx="5878195" cy="3228340"/>
            <wp:effectExtent l="0" t="0" r="8255" b="1016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973414A8-1729-41A2-AC1B-4878FCF4D2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5819216" w14:textId="18E4B5B0" w:rsidR="00B363CE" w:rsidRPr="001E2E8E" w:rsidRDefault="00B363CE" w:rsidP="00976BBD">
      <w:pPr>
        <w:spacing w:after="0" w:line="240" w:lineRule="auto"/>
        <w:rPr>
          <w:i/>
          <w:iCs/>
          <w:sz w:val="20"/>
          <w:szCs w:val="20"/>
        </w:rPr>
      </w:pPr>
      <w:r w:rsidRPr="00521EAA">
        <w:rPr>
          <w:i/>
          <w:iCs/>
          <w:sz w:val="20"/>
          <w:szCs w:val="20"/>
        </w:rPr>
        <w:t>Datu avots: OECD</w:t>
      </w:r>
      <w:r w:rsidR="00C245F8">
        <w:rPr>
          <w:i/>
          <w:iCs/>
          <w:sz w:val="20"/>
          <w:szCs w:val="20"/>
        </w:rPr>
        <w:t xml:space="preserve"> dati 2021.gada 10.decembr</w:t>
      </w:r>
      <w:r w:rsidR="00433D92">
        <w:rPr>
          <w:i/>
          <w:iCs/>
          <w:sz w:val="20"/>
          <w:szCs w:val="20"/>
        </w:rPr>
        <w:t>ī</w:t>
      </w:r>
    </w:p>
    <w:p w14:paraId="5ABFC10C" w14:textId="16A4F9A3" w:rsidR="00B363CE" w:rsidRDefault="00B363CE" w:rsidP="00EB3CD0">
      <w:pPr>
        <w:rPr>
          <w:szCs w:val="28"/>
        </w:rPr>
      </w:pPr>
    </w:p>
    <w:p w14:paraId="33FEEEF0" w14:textId="678DB929" w:rsidR="00EB3CD0" w:rsidRDefault="00EB3CD0" w:rsidP="00EB3CD0">
      <w:pPr>
        <w:rPr>
          <w:i/>
          <w:iCs/>
          <w:szCs w:val="28"/>
        </w:rPr>
      </w:pPr>
      <w:r w:rsidRPr="00291B31">
        <w:rPr>
          <w:szCs w:val="28"/>
        </w:rPr>
        <w:t xml:space="preserve">Nodokļu ieņēmumu struktūra </w:t>
      </w:r>
      <w:r>
        <w:rPr>
          <w:szCs w:val="28"/>
        </w:rPr>
        <w:t xml:space="preserve">Zviedrijā 2019.gadā, </w:t>
      </w:r>
      <w:r>
        <w:rPr>
          <w:i/>
          <w:iCs/>
          <w:szCs w:val="28"/>
        </w:rPr>
        <w:t>%</w:t>
      </w:r>
    </w:p>
    <w:p w14:paraId="6014FDF3" w14:textId="27BA192E" w:rsidR="003528C2" w:rsidRDefault="005579FF">
      <w:r w:rsidRPr="005579FF">
        <w:rPr>
          <w:noProof/>
        </w:rPr>
        <w:t xml:space="preserve"> </w:t>
      </w:r>
      <w:r>
        <w:rPr>
          <w:noProof/>
        </w:rPr>
        <w:drawing>
          <wp:inline distT="0" distB="0" distL="0" distR="0" wp14:anchorId="55044631" wp14:editId="77E20F4A">
            <wp:extent cx="5669280" cy="2924285"/>
            <wp:effectExtent l="0" t="0" r="7620" b="9525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51AD1976-28A5-4E05-8B74-7AB3ADC55AB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805F169" w14:textId="02D7930B" w:rsidR="00516558" w:rsidRDefault="00516558" w:rsidP="00976BBD">
      <w:pPr>
        <w:spacing w:after="0" w:line="240" w:lineRule="auto"/>
        <w:rPr>
          <w:i/>
          <w:iCs/>
          <w:sz w:val="20"/>
          <w:szCs w:val="20"/>
        </w:rPr>
      </w:pPr>
      <w:r w:rsidRPr="00521EAA">
        <w:rPr>
          <w:i/>
          <w:iCs/>
          <w:sz w:val="20"/>
          <w:szCs w:val="20"/>
        </w:rPr>
        <w:t>Datu avots: OECD</w:t>
      </w:r>
      <w:r w:rsidR="00C245F8">
        <w:rPr>
          <w:i/>
          <w:iCs/>
          <w:sz w:val="20"/>
          <w:szCs w:val="20"/>
        </w:rPr>
        <w:t xml:space="preserve"> dati 2021.gada 10.decembr</w:t>
      </w:r>
      <w:r w:rsidR="00433D92">
        <w:rPr>
          <w:i/>
          <w:iCs/>
          <w:sz w:val="20"/>
          <w:szCs w:val="20"/>
        </w:rPr>
        <w:t>ī</w:t>
      </w:r>
    </w:p>
    <w:p w14:paraId="153924CA" w14:textId="77777777" w:rsidR="00976BBD" w:rsidRPr="001E2E8E" w:rsidRDefault="00976BBD" w:rsidP="00516558">
      <w:pPr>
        <w:ind w:firstLine="720"/>
        <w:rPr>
          <w:i/>
          <w:iCs/>
          <w:sz w:val="20"/>
          <w:szCs w:val="20"/>
        </w:rPr>
      </w:pPr>
    </w:p>
    <w:p w14:paraId="2BA62C7F" w14:textId="0EF3AC1D" w:rsidR="0079677B" w:rsidRDefault="00976BBD">
      <w:r w:rsidRPr="00976BBD">
        <w:t>Nodokļu ieņēmumu struktūra Spānijā 2019.gadā, %</w:t>
      </w:r>
    </w:p>
    <w:p w14:paraId="2A1A4820" w14:textId="4B179C32" w:rsidR="0079677B" w:rsidRDefault="005579FF">
      <w:r w:rsidRPr="005579FF">
        <w:rPr>
          <w:noProof/>
        </w:rPr>
        <w:t xml:space="preserve"> </w:t>
      </w:r>
      <w:r>
        <w:rPr>
          <w:noProof/>
        </w:rPr>
        <w:drawing>
          <wp:inline distT="0" distB="0" distL="0" distR="0" wp14:anchorId="371C6A79" wp14:editId="6BFA2ECB">
            <wp:extent cx="5732780" cy="3275938"/>
            <wp:effectExtent l="0" t="0" r="1270" b="127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CE2F72E9-8329-4269-B92C-4835B40B6C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FC1F2D4" w14:textId="23EBF07E" w:rsidR="00516558" w:rsidRPr="001E2E8E" w:rsidRDefault="00516558" w:rsidP="00C772CC">
      <w:pPr>
        <w:spacing w:after="0" w:line="240" w:lineRule="auto"/>
        <w:rPr>
          <w:i/>
          <w:iCs/>
          <w:sz w:val="20"/>
          <w:szCs w:val="20"/>
        </w:rPr>
      </w:pPr>
      <w:r w:rsidRPr="00521EAA">
        <w:rPr>
          <w:i/>
          <w:iCs/>
          <w:sz w:val="20"/>
          <w:szCs w:val="20"/>
        </w:rPr>
        <w:t xml:space="preserve">Datu avots: </w:t>
      </w:r>
      <w:r w:rsidR="00433D92" w:rsidRPr="00521EAA">
        <w:rPr>
          <w:i/>
          <w:iCs/>
          <w:sz w:val="20"/>
          <w:szCs w:val="20"/>
        </w:rPr>
        <w:t>OECD</w:t>
      </w:r>
      <w:r w:rsidR="00433D92">
        <w:rPr>
          <w:i/>
          <w:iCs/>
          <w:sz w:val="20"/>
          <w:szCs w:val="20"/>
        </w:rPr>
        <w:t xml:space="preserve"> dati 2021.gada 10.decembrī</w:t>
      </w:r>
      <w:r w:rsidR="00433D92" w:rsidRPr="00521EAA" w:rsidDel="00433D92">
        <w:rPr>
          <w:i/>
          <w:iCs/>
          <w:sz w:val="20"/>
          <w:szCs w:val="20"/>
        </w:rPr>
        <w:t xml:space="preserve"> </w:t>
      </w:r>
    </w:p>
    <w:p w14:paraId="1BA45D58" w14:textId="6678488D" w:rsidR="0079677B" w:rsidRDefault="0079677B"/>
    <w:p w14:paraId="346EBDF0" w14:textId="77777777" w:rsidR="00C772CC" w:rsidRDefault="00C772CC" w:rsidP="00C772CC">
      <w:pPr>
        <w:rPr>
          <w:i/>
          <w:iCs/>
          <w:szCs w:val="28"/>
        </w:rPr>
      </w:pPr>
      <w:r w:rsidRPr="00291B31">
        <w:rPr>
          <w:szCs w:val="28"/>
        </w:rPr>
        <w:t xml:space="preserve">Nodokļu ieņēmumu struktūra </w:t>
      </w:r>
      <w:r>
        <w:rPr>
          <w:szCs w:val="28"/>
        </w:rPr>
        <w:t xml:space="preserve">Dānijā 2019.gadā, </w:t>
      </w:r>
      <w:r>
        <w:rPr>
          <w:i/>
          <w:iCs/>
          <w:szCs w:val="28"/>
        </w:rPr>
        <w:t>%</w:t>
      </w:r>
    </w:p>
    <w:p w14:paraId="072CA299" w14:textId="2D75CE8B" w:rsidR="007363F2" w:rsidRDefault="005579FF">
      <w:r w:rsidRPr="005579FF">
        <w:rPr>
          <w:noProof/>
        </w:rPr>
        <w:t xml:space="preserve"> </w:t>
      </w:r>
      <w:r>
        <w:rPr>
          <w:noProof/>
        </w:rPr>
        <w:drawing>
          <wp:inline distT="0" distB="0" distL="0" distR="0" wp14:anchorId="35467024" wp14:editId="4A9C5521">
            <wp:extent cx="5748655" cy="3172571"/>
            <wp:effectExtent l="0" t="0" r="4445" b="889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612B462B-7D04-42F7-A617-84E921C50A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CA5F2EA" w14:textId="03C9209C" w:rsidR="00563DF1" w:rsidRDefault="00563DF1" w:rsidP="00C772CC">
      <w:pPr>
        <w:spacing w:after="0" w:line="240" w:lineRule="auto"/>
        <w:rPr>
          <w:i/>
          <w:iCs/>
          <w:sz w:val="20"/>
          <w:szCs w:val="20"/>
        </w:rPr>
      </w:pPr>
      <w:r w:rsidRPr="00521EAA">
        <w:rPr>
          <w:i/>
          <w:iCs/>
          <w:sz w:val="20"/>
          <w:szCs w:val="20"/>
        </w:rPr>
        <w:t xml:space="preserve">Datu avots: </w:t>
      </w:r>
      <w:r w:rsidR="00433D92" w:rsidRPr="00521EAA">
        <w:rPr>
          <w:i/>
          <w:iCs/>
          <w:sz w:val="20"/>
          <w:szCs w:val="20"/>
        </w:rPr>
        <w:t>OECD</w:t>
      </w:r>
      <w:r w:rsidR="00433D92">
        <w:rPr>
          <w:i/>
          <w:iCs/>
          <w:sz w:val="20"/>
          <w:szCs w:val="20"/>
        </w:rPr>
        <w:t xml:space="preserve"> dati 2021.gada 10.decembrī</w:t>
      </w:r>
      <w:r w:rsidR="00433D92" w:rsidRPr="00521EAA" w:rsidDel="00433D92">
        <w:rPr>
          <w:i/>
          <w:iCs/>
          <w:sz w:val="20"/>
          <w:szCs w:val="20"/>
        </w:rPr>
        <w:t xml:space="preserve"> </w:t>
      </w:r>
    </w:p>
    <w:p w14:paraId="1C235C36" w14:textId="1395329A" w:rsidR="00395042" w:rsidRDefault="00395042" w:rsidP="00C772CC">
      <w:pPr>
        <w:spacing w:after="0" w:line="240" w:lineRule="auto"/>
        <w:rPr>
          <w:i/>
          <w:iCs/>
          <w:sz w:val="20"/>
          <w:szCs w:val="20"/>
        </w:rPr>
      </w:pPr>
    </w:p>
    <w:p w14:paraId="2C886F51" w14:textId="77777777" w:rsidR="00304DD5" w:rsidRDefault="00304DD5" w:rsidP="00395042">
      <w:pPr>
        <w:rPr>
          <w:szCs w:val="28"/>
        </w:rPr>
      </w:pPr>
    </w:p>
    <w:p w14:paraId="6B7D993C" w14:textId="77777777" w:rsidR="00304DD5" w:rsidRDefault="00304DD5" w:rsidP="00395042">
      <w:pPr>
        <w:rPr>
          <w:szCs w:val="28"/>
        </w:rPr>
      </w:pPr>
    </w:p>
    <w:p w14:paraId="711190BE" w14:textId="77777777" w:rsidR="00304DD5" w:rsidRDefault="00304DD5" w:rsidP="00395042">
      <w:pPr>
        <w:rPr>
          <w:szCs w:val="28"/>
        </w:rPr>
      </w:pPr>
    </w:p>
    <w:p w14:paraId="475A05AE" w14:textId="77777777" w:rsidR="00304DD5" w:rsidRDefault="00304DD5" w:rsidP="00395042">
      <w:pPr>
        <w:rPr>
          <w:szCs w:val="28"/>
        </w:rPr>
      </w:pPr>
    </w:p>
    <w:p w14:paraId="0827DE8B" w14:textId="77777777" w:rsidR="00304DD5" w:rsidRDefault="00304DD5" w:rsidP="00395042">
      <w:pPr>
        <w:rPr>
          <w:szCs w:val="28"/>
        </w:rPr>
      </w:pPr>
    </w:p>
    <w:p w14:paraId="4F58C66A" w14:textId="128B617E" w:rsidR="00395042" w:rsidRDefault="00395042" w:rsidP="00395042">
      <w:pPr>
        <w:rPr>
          <w:i/>
          <w:iCs/>
          <w:szCs w:val="28"/>
        </w:rPr>
      </w:pPr>
      <w:r w:rsidRPr="00291B31">
        <w:rPr>
          <w:szCs w:val="28"/>
        </w:rPr>
        <w:lastRenderedPageBreak/>
        <w:t xml:space="preserve">Nodokļu ieņēmumu struktūra </w:t>
      </w:r>
      <w:r>
        <w:rPr>
          <w:szCs w:val="28"/>
        </w:rPr>
        <w:t xml:space="preserve">Igaunijā 2019.gadā, </w:t>
      </w:r>
      <w:r>
        <w:rPr>
          <w:i/>
          <w:iCs/>
          <w:szCs w:val="28"/>
        </w:rPr>
        <w:t>%</w:t>
      </w:r>
    </w:p>
    <w:p w14:paraId="12837142" w14:textId="55F4AFE0" w:rsidR="007363F2" w:rsidRDefault="005579FF">
      <w:r w:rsidRPr="005579FF">
        <w:rPr>
          <w:noProof/>
        </w:rPr>
        <w:t xml:space="preserve"> </w:t>
      </w:r>
      <w:r>
        <w:rPr>
          <w:noProof/>
        </w:rPr>
        <w:drawing>
          <wp:inline distT="0" distB="0" distL="0" distR="0" wp14:anchorId="24534133" wp14:editId="40D6A380">
            <wp:extent cx="5629275" cy="3164619"/>
            <wp:effectExtent l="0" t="0" r="9525" b="17145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30D98745-27D7-4FFC-9E6B-7A4AC0250C5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7A4BE6D" w14:textId="31BD5FBD" w:rsidR="00563DF1" w:rsidRPr="001E2E8E" w:rsidRDefault="00563DF1" w:rsidP="00395042">
      <w:pPr>
        <w:spacing w:after="0" w:line="240" w:lineRule="auto"/>
        <w:rPr>
          <w:i/>
          <w:iCs/>
          <w:sz w:val="20"/>
          <w:szCs w:val="20"/>
        </w:rPr>
      </w:pPr>
      <w:r w:rsidRPr="00521EAA">
        <w:rPr>
          <w:i/>
          <w:iCs/>
          <w:sz w:val="20"/>
          <w:szCs w:val="20"/>
        </w:rPr>
        <w:t xml:space="preserve">Datu avots: </w:t>
      </w:r>
      <w:r w:rsidR="00433D92" w:rsidRPr="00521EAA">
        <w:rPr>
          <w:i/>
          <w:iCs/>
          <w:sz w:val="20"/>
          <w:szCs w:val="20"/>
        </w:rPr>
        <w:t>OECD</w:t>
      </w:r>
      <w:r w:rsidR="00433D92">
        <w:rPr>
          <w:i/>
          <w:iCs/>
          <w:sz w:val="20"/>
          <w:szCs w:val="20"/>
        </w:rPr>
        <w:t xml:space="preserve"> dati 2021.gada 10.decembrī</w:t>
      </w:r>
      <w:r w:rsidR="00433D92" w:rsidRPr="00521EAA" w:rsidDel="00433D92">
        <w:rPr>
          <w:i/>
          <w:iCs/>
          <w:sz w:val="20"/>
          <w:szCs w:val="20"/>
        </w:rPr>
        <w:t xml:space="preserve"> </w:t>
      </w:r>
    </w:p>
    <w:p w14:paraId="16F35990" w14:textId="77777777" w:rsidR="00395042" w:rsidRDefault="00395042" w:rsidP="00395042">
      <w:pPr>
        <w:rPr>
          <w:szCs w:val="28"/>
        </w:rPr>
      </w:pPr>
    </w:p>
    <w:p w14:paraId="6D8939B0" w14:textId="079269D9" w:rsidR="00395042" w:rsidRDefault="00395042" w:rsidP="00395042">
      <w:pPr>
        <w:rPr>
          <w:i/>
          <w:iCs/>
          <w:szCs w:val="28"/>
        </w:rPr>
      </w:pPr>
      <w:r w:rsidRPr="00291B31">
        <w:rPr>
          <w:szCs w:val="28"/>
        </w:rPr>
        <w:t xml:space="preserve">Nodokļu ieņēmumu struktūra </w:t>
      </w:r>
      <w:r>
        <w:rPr>
          <w:szCs w:val="28"/>
        </w:rPr>
        <w:t xml:space="preserve">Lietuvā 2019.gadā, </w:t>
      </w:r>
      <w:r>
        <w:rPr>
          <w:i/>
          <w:iCs/>
          <w:szCs w:val="28"/>
        </w:rPr>
        <w:t>%</w:t>
      </w:r>
    </w:p>
    <w:p w14:paraId="7A54B1B0" w14:textId="490EA456" w:rsidR="007363F2" w:rsidRDefault="00A61A96" w:rsidP="00395042">
      <w:pPr>
        <w:rPr>
          <w:i/>
          <w:iCs/>
          <w:szCs w:val="28"/>
        </w:rPr>
      </w:pPr>
      <w:r w:rsidRPr="00A61A96">
        <w:rPr>
          <w:noProof/>
        </w:rPr>
        <w:t xml:space="preserve"> </w:t>
      </w:r>
      <w:r>
        <w:rPr>
          <w:noProof/>
        </w:rPr>
        <w:drawing>
          <wp:inline distT="0" distB="0" distL="0" distR="0" wp14:anchorId="07E0EA3D" wp14:editId="3EB15372">
            <wp:extent cx="5701030" cy="3188473"/>
            <wp:effectExtent l="0" t="0" r="13970" b="12065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69EF21BA-73C3-4545-9253-0D3DAAAE22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6240EC9" w14:textId="23D75C9F" w:rsidR="00563DF1" w:rsidRPr="001E2E8E" w:rsidRDefault="00563DF1" w:rsidP="00395042">
      <w:pPr>
        <w:spacing w:after="0" w:line="240" w:lineRule="auto"/>
        <w:rPr>
          <w:i/>
          <w:iCs/>
          <w:sz w:val="20"/>
          <w:szCs w:val="20"/>
        </w:rPr>
      </w:pPr>
      <w:r w:rsidRPr="00521EAA">
        <w:rPr>
          <w:i/>
          <w:iCs/>
          <w:sz w:val="20"/>
          <w:szCs w:val="20"/>
        </w:rPr>
        <w:t xml:space="preserve">Datu avots: </w:t>
      </w:r>
      <w:r w:rsidR="00433D92" w:rsidRPr="00521EAA">
        <w:rPr>
          <w:i/>
          <w:iCs/>
          <w:sz w:val="20"/>
          <w:szCs w:val="20"/>
        </w:rPr>
        <w:t>OECD</w:t>
      </w:r>
      <w:r w:rsidR="00433D92">
        <w:rPr>
          <w:i/>
          <w:iCs/>
          <w:sz w:val="20"/>
          <w:szCs w:val="20"/>
        </w:rPr>
        <w:t xml:space="preserve"> dati 2021.gada 10.decembrī</w:t>
      </w:r>
      <w:r w:rsidR="00433D92" w:rsidRPr="00521EAA" w:rsidDel="00433D92">
        <w:rPr>
          <w:i/>
          <w:iCs/>
          <w:sz w:val="20"/>
          <w:szCs w:val="20"/>
        </w:rPr>
        <w:t xml:space="preserve"> </w:t>
      </w:r>
    </w:p>
    <w:p w14:paraId="59AACF74" w14:textId="77777777" w:rsidR="00065E01" w:rsidRDefault="00065E01" w:rsidP="00A11E6A">
      <w:pPr>
        <w:rPr>
          <w:szCs w:val="28"/>
        </w:rPr>
      </w:pPr>
    </w:p>
    <w:p w14:paraId="4AA4E5F4" w14:textId="77777777" w:rsidR="00C37774" w:rsidRDefault="00C37774">
      <w:pPr>
        <w:rPr>
          <w:szCs w:val="28"/>
        </w:rPr>
      </w:pPr>
      <w:r>
        <w:rPr>
          <w:szCs w:val="28"/>
        </w:rPr>
        <w:br w:type="page"/>
      </w:r>
    </w:p>
    <w:p w14:paraId="3EA2E4D1" w14:textId="6ECD077B" w:rsidR="00A11E6A" w:rsidRDefault="00A11E6A" w:rsidP="00A11E6A">
      <w:pPr>
        <w:rPr>
          <w:i/>
          <w:iCs/>
          <w:szCs w:val="28"/>
        </w:rPr>
      </w:pPr>
      <w:r w:rsidRPr="00291B31">
        <w:rPr>
          <w:szCs w:val="28"/>
        </w:rPr>
        <w:lastRenderedPageBreak/>
        <w:t xml:space="preserve">Nodokļu ieņēmumu struktūra </w:t>
      </w:r>
      <w:r>
        <w:rPr>
          <w:szCs w:val="28"/>
        </w:rPr>
        <w:t xml:space="preserve">Latvijā 2011.gadā, </w:t>
      </w:r>
      <w:r>
        <w:rPr>
          <w:i/>
          <w:iCs/>
          <w:szCs w:val="28"/>
        </w:rPr>
        <w:t>%</w:t>
      </w:r>
    </w:p>
    <w:p w14:paraId="47DAE675" w14:textId="18091868" w:rsidR="007363F2" w:rsidRDefault="00A61A96" w:rsidP="00A11E6A">
      <w:r w:rsidRPr="00A61A96">
        <w:rPr>
          <w:noProof/>
        </w:rPr>
        <w:t xml:space="preserve"> </w:t>
      </w:r>
      <w:r>
        <w:rPr>
          <w:noProof/>
        </w:rPr>
        <w:drawing>
          <wp:inline distT="0" distB="0" distL="0" distR="0" wp14:anchorId="47411261" wp14:editId="749FD172">
            <wp:extent cx="5709036" cy="2875915"/>
            <wp:effectExtent l="0" t="0" r="6350" b="635"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id="{3DEC15E3-6FF4-463D-A3D7-49578A02F2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5FF1626" w14:textId="1CA6454B" w:rsidR="00563DF1" w:rsidRPr="001E2E8E" w:rsidRDefault="00563DF1" w:rsidP="00A11E6A">
      <w:pPr>
        <w:spacing w:after="0" w:line="240" w:lineRule="auto"/>
        <w:rPr>
          <w:i/>
          <w:iCs/>
          <w:sz w:val="20"/>
          <w:szCs w:val="20"/>
        </w:rPr>
      </w:pPr>
      <w:r w:rsidRPr="00521EAA">
        <w:rPr>
          <w:i/>
          <w:iCs/>
          <w:sz w:val="20"/>
          <w:szCs w:val="20"/>
        </w:rPr>
        <w:t xml:space="preserve">Datu avots: </w:t>
      </w:r>
      <w:r w:rsidR="00433D92" w:rsidRPr="00521EAA">
        <w:rPr>
          <w:i/>
          <w:iCs/>
          <w:sz w:val="20"/>
          <w:szCs w:val="20"/>
        </w:rPr>
        <w:t>OECD</w:t>
      </w:r>
      <w:r w:rsidR="00433D92">
        <w:rPr>
          <w:i/>
          <w:iCs/>
          <w:sz w:val="20"/>
          <w:szCs w:val="20"/>
        </w:rPr>
        <w:t xml:space="preserve"> dati 2021.gada 10.decembrī</w:t>
      </w:r>
      <w:r w:rsidR="00433D92" w:rsidRPr="00521EAA" w:rsidDel="00433D92">
        <w:rPr>
          <w:i/>
          <w:iCs/>
          <w:sz w:val="20"/>
          <w:szCs w:val="20"/>
        </w:rPr>
        <w:t xml:space="preserve"> </w:t>
      </w:r>
    </w:p>
    <w:p w14:paraId="308C5F43" w14:textId="77777777" w:rsidR="00853272" w:rsidRDefault="00853272" w:rsidP="00853272">
      <w:pPr>
        <w:rPr>
          <w:szCs w:val="28"/>
        </w:rPr>
      </w:pPr>
    </w:p>
    <w:p w14:paraId="3E0DAB41" w14:textId="2D6FAEA9" w:rsidR="00853272" w:rsidRDefault="00853272" w:rsidP="00853272">
      <w:pPr>
        <w:rPr>
          <w:i/>
          <w:iCs/>
          <w:szCs w:val="28"/>
        </w:rPr>
      </w:pPr>
      <w:r w:rsidRPr="00291B31">
        <w:rPr>
          <w:szCs w:val="28"/>
        </w:rPr>
        <w:t xml:space="preserve">Nodokļu ieņēmumu struktūra </w:t>
      </w:r>
      <w:r>
        <w:rPr>
          <w:szCs w:val="28"/>
        </w:rPr>
        <w:t xml:space="preserve">Latvijā 2019.gadā, </w:t>
      </w:r>
      <w:r>
        <w:rPr>
          <w:i/>
          <w:iCs/>
          <w:szCs w:val="28"/>
        </w:rPr>
        <w:t>%</w:t>
      </w:r>
    </w:p>
    <w:p w14:paraId="7A7F415B" w14:textId="31BD1DAC" w:rsidR="007363F2" w:rsidRDefault="00A61A96">
      <w:r w:rsidRPr="00A61A96">
        <w:rPr>
          <w:noProof/>
        </w:rPr>
        <w:t xml:space="preserve"> </w:t>
      </w:r>
      <w:r>
        <w:rPr>
          <w:noProof/>
        </w:rPr>
        <w:drawing>
          <wp:inline distT="0" distB="0" distL="0" distR="0" wp14:anchorId="379C078A" wp14:editId="02A1C9F5">
            <wp:extent cx="5878195" cy="3213735"/>
            <wp:effectExtent l="0" t="0" r="8255" b="5715"/>
            <wp:docPr id="17" name="Chart 17">
              <a:extLst xmlns:a="http://schemas.openxmlformats.org/drawingml/2006/main">
                <a:ext uri="{FF2B5EF4-FFF2-40B4-BE49-F238E27FC236}">
                  <a16:creationId xmlns:a16="http://schemas.microsoft.com/office/drawing/2014/main" id="{C8CCA5EB-D580-45B0-AEB1-70C93A825FE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C64E165" w14:textId="4568D64A" w:rsidR="00563DF1" w:rsidRDefault="00563DF1" w:rsidP="00853272">
      <w:pPr>
        <w:spacing w:after="0" w:line="240" w:lineRule="auto"/>
        <w:rPr>
          <w:i/>
          <w:iCs/>
          <w:sz w:val="20"/>
          <w:szCs w:val="20"/>
        </w:rPr>
      </w:pPr>
      <w:r w:rsidRPr="00521EAA">
        <w:rPr>
          <w:i/>
          <w:iCs/>
          <w:sz w:val="20"/>
          <w:szCs w:val="20"/>
        </w:rPr>
        <w:t xml:space="preserve">Datu avots: </w:t>
      </w:r>
      <w:r w:rsidR="00433D92" w:rsidRPr="00521EAA">
        <w:rPr>
          <w:i/>
          <w:iCs/>
          <w:sz w:val="20"/>
          <w:szCs w:val="20"/>
        </w:rPr>
        <w:t>OECD</w:t>
      </w:r>
      <w:r w:rsidR="00433D92">
        <w:rPr>
          <w:i/>
          <w:iCs/>
          <w:sz w:val="20"/>
          <w:szCs w:val="20"/>
        </w:rPr>
        <w:t xml:space="preserve"> dati 2021.gada 10.decembrī</w:t>
      </w:r>
      <w:r w:rsidR="00433D92" w:rsidRPr="00521EAA" w:rsidDel="00433D92">
        <w:rPr>
          <w:i/>
          <w:iCs/>
          <w:sz w:val="20"/>
          <w:szCs w:val="20"/>
        </w:rPr>
        <w:t xml:space="preserve"> </w:t>
      </w:r>
    </w:p>
    <w:p w14:paraId="61F1A86D" w14:textId="0ED74BBF" w:rsidR="004C6496" w:rsidRDefault="004C6496" w:rsidP="00853272">
      <w:pPr>
        <w:spacing w:after="0" w:line="240" w:lineRule="auto"/>
        <w:rPr>
          <w:i/>
          <w:iCs/>
          <w:sz w:val="20"/>
          <w:szCs w:val="20"/>
        </w:rPr>
      </w:pPr>
    </w:p>
    <w:p w14:paraId="7481924F" w14:textId="29D6DC2F" w:rsidR="004C6496" w:rsidRDefault="004C6496" w:rsidP="00853272">
      <w:pPr>
        <w:spacing w:after="0" w:line="240" w:lineRule="auto"/>
        <w:rPr>
          <w:i/>
          <w:iCs/>
          <w:sz w:val="20"/>
          <w:szCs w:val="20"/>
        </w:rPr>
      </w:pPr>
    </w:p>
    <w:p w14:paraId="32C9B7BD" w14:textId="7F9A9E21" w:rsidR="004C6496" w:rsidRDefault="004C6496" w:rsidP="00853272">
      <w:pPr>
        <w:spacing w:after="0" w:line="240" w:lineRule="auto"/>
        <w:rPr>
          <w:i/>
          <w:iCs/>
          <w:sz w:val="20"/>
          <w:szCs w:val="20"/>
        </w:rPr>
      </w:pPr>
    </w:p>
    <w:p w14:paraId="5409DC1D" w14:textId="77777777" w:rsidR="004C6496" w:rsidRDefault="004C6496" w:rsidP="004C6496">
      <w:pPr>
        <w:spacing w:after="80" w:line="240" w:lineRule="auto"/>
        <w:ind w:firstLine="567"/>
        <w:jc w:val="both"/>
      </w:pPr>
    </w:p>
    <w:p w14:paraId="194E37A1" w14:textId="77777777" w:rsidR="004C6496" w:rsidRDefault="004C6496" w:rsidP="004C6496">
      <w:pPr>
        <w:spacing w:after="80" w:line="240" w:lineRule="auto"/>
        <w:ind w:firstLine="567"/>
        <w:jc w:val="both"/>
      </w:pPr>
    </w:p>
    <w:p w14:paraId="68B8CEF6" w14:textId="7CDAA759" w:rsidR="004C6496" w:rsidRDefault="004C6496" w:rsidP="004C6496">
      <w:pPr>
        <w:ind w:firstLine="567"/>
        <w:jc w:val="both"/>
        <w:rPr>
          <w:noProof/>
          <w:szCs w:val="28"/>
        </w:rPr>
      </w:pPr>
      <w:r w:rsidRPr="00E2397F">
        <w:rPr>
          <w:noProof/>
          <w:szCs w:val="28"/>
        </w:rPr>
        <w:t>Finanšu ministr</w:t>
      </w:r>
      <w:r>
        <w:rPr>
          <w:noProof/>
          <w:szCs w:val="28"/>
        </w:rPr>
        <w:t>s</w:t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  <w:t>J.Reirs</w:t>
      </w:r>
    </w:p>
    <w:p w14:paraId="14E8AB68" w14:textId="77777777" w:rsidR="004C6496" w:rsidRDefault="004C6496" w:rsidP="004C6496">
      <w:pPr>
        <w:spacing w:after="80" w:line="240" w:lineRule="auto"/>
        <w:ind w:firstLine="567"/>
        <w:jc w:val="both"/>
      </w:pPr>
    </w:p>
    <w:p w14:paraId="69B15B56" w14:textId="77777777" w:rsidR="004C6496" w:rsidRPr="001E2E8E" w:rsidRDefault="004C6496" w:rsidP="00853272">
      <w:pPr>
        <w:spacing w:after="0" w:line="240" w:lineRule="auto"/>
        <w:rPr>
          <w:i/>
          <w:iCs/>
          <w:sz w:val="20"/>
          <w:szCs w:val="20"/>
        </w:rPr>
      </w:pPr>
    </w:p>
    <w:sectPr w:rsidR="004C6496" w:rsidRPr="001E2E8E" w:rsidSect="00976BBD">
      <w:pgSz w:w="11906" w:h="16838"/>
      <w:pgMar w:top="709" w:right="849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83D3A" w14:textId="77777777" w:rsidR="006C4F6F" w:rsidRDefault="006C4F6F" w:rsidP="0079677B">
      <w:pPr>
        <w:spacing w:after="0" w:line="240" w:lineRule="auto"/>
      </w:pPr>
      <w:r>
        <w:separator/>
      </w:r>
    </w:p>
  </w:endnote>
  <w:endnote w:type="continuationSeparator" w:id="0">
    <w:p w14:paraId="6B9578A7" w14:textId="77777777" w:rsidR="006C4F6F" w:rsidRDefault="006C4F6F" w:rsidP="00796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A5F21" w14:textId="77777777" w:rsidR="006C4F6F" w:rsidRDefault="006C4F6F" w:rsidP="0079677B">
      <w:pPr>
        <w:spacing w:after="0" w:line="240" w:lineRule="auto"/>
      </w:pPr>
      <w:r>
        <w:separator/>
      </w:r>
    </w:p>
  </w:footnote>
  <w:footnote w:type="continuationSeparator" w:id="0">
    <w:p w14:paraId="7087DAFC" w14:textId="77777777" w:rsidR="006C4F6F" w:rsidRDefault="006C4F6F" w:rsidP="007967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2E6"/>
    <w:rsid w:val="0005233C"/>
    <w:rsid w:val="00065E01"/>
    <w:rsid w:val="000A52BF"/>
    <w:rsid w:val="001407EC"/>
    <w:rsid w:val="00156A4F"/>
    <w:rsid w:val="00191B0B"/>
    <w:rsid w:val="00257028"/>
    <w:rsid w:val="00291B31"/>
    <w:rsid w:val="00304DD5"/>
    <w:rsid w:val="0034704B"/>
    <w:rsid w:val="003528C2"/>
    <w:rsid w:val="00395042"/>
    <w:rsid w:val="00433D92"/>
    <w:rsid w:val="004C4CA8"/>
    <w:rsid w:val="004C6496"/>
    <w:rsid w:val="00516558"/>
    <w:rsid w:val="0053379B"/>
    <w:rsid w:val="00545201"/>
    <w:rsid w:val="005579FF"/>
    <w:rsid w:val="00563DF1"/>
    <w:rsid w:val="005B07E4"/>
    <w:rsid w:val="00652AEB"/>
    <w:rsid w:val="006C4F6F"/>
    <w:rsid w:val="007363F2"/>
    <w:rsid w:val="0079677B"/>
    <w:rsid w:val="00853272"/>
    <w:rsid w:val="008B71AA"/>
    <w:rsid w:val="009006C3"/>
    <w:rsid w:val="00901DFF"/>
    <w:rsid w:val="009114D3"/>
    <w:rsid w:val="00976BBD"/>
    <w:rsid w:val="00984D0E"/>
    <w:rsid w:val="00A11E6A"/>
    <w:rsid w:val="00A446F0"/>
    <w:rsid w:val="00A61A96"/>
    <w:rsid w:val="00A62665"/>
    <w:rsid w:val="00B16785"/>
    <w:rsid w:val="00B363CE"/>
    <w:rsid w:val="00B63347"/>
    <w:rsid w:val="00B74AE7"/>
    <w:rsid w:val="00BC6F61"/>
    <w:rsid w:val="00C245F8"/>
    <w:rsid w:val="00C37774"/>
    <w:rsid w:val="00C772CC"/>
    <w:rsid w:val="00C948A1"/>
    <w:rsid w:val="00CB1465"/>
    <w:rsid w:val="00D2050F"/>
    <w:rsid w:val="00D91AB0"/>
    <w:rsid w:val="00DE2770"/>
    <w:rsid w:val="00E630E2"/>
    <w:rsid w:val="00E722E6"/>
    <w:rsid w:val="00EB3CD0"/>
    <w:rsid w:val="00EC7EE8"/>
    <w:rsid w:val="00F30E44"/>
    <w:rsid w:val="00F642F0"/>
    <w:rsid w:val="00F8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7BA6E"/>
  <w15:chartTrackingRefBased/>
  <w15:docId w15:val="{510BDD4A-954C-4400-81B0-508001DEB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79677B"/>
    <w:pPr>
      <w:suppressAutoHyphens/>
      <w:autoSpaceDN w:val="0"/>
      <w:spacing w:after="0" w:line="240" w:lineRule="auto"/>
      <w:textAlignment w:val="baseline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9677B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677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B3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205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05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05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5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50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245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2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3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4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5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Grafiks1!$D$5</c:f>
              <c:strCache>
                <c:ptCount val="1"/>
                <c:pt idx="0">
                  <c:v>Latvija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Grafiks1!$C$6:$C$11</c:f>
              <c:strCache>
                <c:ptCount val="6"/>
                <c:pt idx="0">
                  <c:v>Ienākuma, peļņas un kapitāla pieauguma nodokļi</c:v>
                </c:pt>
                <c:pt idx="1">
                  <c:v>Sociālās apdrošināšanas iemaksas</c:v>
                </c:pt>
                <c:pt idx="2">
                  <c:v>Preču un pakalpojumu nodokļi</c:v>
                </c:pt>
                <c:pt idx="3">
                  <c:v>Īpašuma nodokļi</c:v>
                </c:pt>
                <c:pt idx="4">
                  <c:v>Citi ar darbaspēku saistītie nodokļi</c:v>
                </c:pt>
                <c:pt idx="5">
                  <c:v>Citi nodokļi</c:v>
                </c:pt>
              </c:strCache>
            </c:strRef>
          </c:cat>
          <c:val>
            <c:numRef>
              <c:f>Grafiks1!$D$6:$D$11</c:f>
              <c:numCache>
                <c:formatCode>0.00%</c:formatCode>
                <c:ptCount val="6"/>
                <c:pt idx="0">
                  <c:v>0.21314</c:v>
                </c:pt>
                <c:pt idx="1">
                  <c:v>0.30631999999999998</c:v>
                </c:pt>
                <c:pt idx="2">
                  <c:v>0.45041999999999999</c:v>
                </c:pt>
                <c:pt idx="3">
                  <c:v>2.9780000000000001E-2</c:v>
                </c:pt>
                <c:pt idx="4">
                  <c:v>3.4000000000000002E-4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F4-47F2-9C8D-8200100F5AEE}"/>
            </c:ext>
          </c:extLst>
        </c:ser>
        <c:ser>
          <c:idx val="1"/>
          <c:order val="1"/>
          <c:tx>
            <c:strRef>
              <c:f>Grafiks1!$E$5</c:f>
              <c:strCache>
                <c:ptCount val="1"/>
                <c:pt idx="0">
                  <c:v>Zviedrija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Grafiks1!$C$6:$C$11</c:f>
              <c:strCache>
                <c:ptCount val="6"/>
                <c:pt idx="0">
                  <c:v>Ienākuma, peļņas un kapitāla pieauguma nodokļi</c:v>
                </c:pt>
                <c:pt idx="1">
                  <c:v>Sociālās apdrošināšanas iemaksas</c:v>
                </c:pt>
                <c:pt idx="2">
                  <c:v>Preču un pakalpojumu nodokļi</c:v>
                </c:pt>
                <c:pt idx="3">
                  <c:v>Īpašuma nodokļi</c:v>
                </c:pt>
                <c:pt idx="4">
                  <c:v>Citi ar darbaspēku saistītie nodokļi</c:v>
                </c:pt>
                <c:pt idx="5">
                  <c:v>Citi nodokļi</c:v>
                </c:pt>
              </c:strCache>
            </c:strRef>
          </c:cat>
          <c:val>
            <c:numRef>
              <c:f>Grafiks1!$E$6:$E$11</c:f>
              <c:numCache>
                <c:formatCode>0.00%</c:formatCode>
                <c:ptCount val="6"/>
                <c:pt idx="0">
                  <c:v>0.35698000000000002</c:v>
                </c:pt>
                <c:pt idx="1">
                  <c:v>0.214</c:v>
                </c:pt>
                <c:pt idx="2">
                  <c:v>0.28211000000000003</c:v>
                </c:pt>
                <c:pt idx="3">
                  <c:v>2.1850000000000001E-2</c:v>
                </c:pt>
                <c:pt idx="4">
                  <c:v>0.12429</c:v>
                </c:pt>
                <c:pt idx="5">
                  <c:v>7.6999999999999996E-4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F4-47F2-9C8D-8200100F5AEE}"/>
            </c:ext>
          </c:extLst>
        </c:ser>
        <c:ser>
          <c:idx val="2"/>
          <c:order val="2"/>
          <c:tx>
            <c:strRef>
              <c:f>Grafiks1!$F$5</c:f>
              <c:strCache>
                <c:ptCount val="1"/>
                <c:pt idx="0">
                  <c:v>Spānija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Grafiks1!$C$6:$C$11</c:f>
              <c:strCache>
                <c:ptCount val="6"/>
                <c:pt idx="0">
                  <c:v>Ienākuma, peļņas un kapitāla pieauguma nodokļi</c:v>
                </c:pt>
                <c:pt idx="1">
                  <c:v>Sociālās apdrošināšanas iemaksas</c:v>
                </c:pt>
                <c:pt idx="2">
                  <c:v>Preču un pakalpojumu nodokļi</c:v>
                </c:pt>
                <c:pt idx="3">
                  <c:v>Īpašuma nodokļi</c:v>
                </c:pt>
                <c:pt idx="4">
                  <c:v>Citi ar darbaspēku saistītie nodokļi</c:v>
                </c:pt>
                <c:pt idx="5">
                  <c:v>Citi nodokļi</c:v>
                </c:pt>
              </c:strCache>
            </c:strRef>
          </c:cat>
          <c:val>
            <c:numRef>
              <c:f>Grafiks1!$F$6:$F$11</c:f>
              <c:numCache>
                <c:formatCode>0.00%</c:formatCode>
                <c:ptCount val="6"/>
                <c:pt idx="0">
                  <c:v>0.28656999999999999</c:v>
                </c:pt>
                <c:pt idx="1">
                  <c:v>0.35342000000000001</c:v>
                </c:pt>
                <c:pt idx="2">
                  <c:v>0.28899000000000002</c:v>
                </c:pt>
                <c:pt idx="3">
                  <c:v>7.0660000000000001E-2</c:v>
                </c:pt>
                <c:pt idx="4">
                  <c:v>0</c:v>
                </c:pt>
                <c:pt idx="5">
                  <c:v>3.5E-4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2F4-47F2-9C8D-8200100F5AEE}"/>
            </c:ext>
          </c:extLst>
        </c:ser>
        <c:ser>
          <c:idx val="3"/>
          <c:order val="3"/>
          <c:tx>
            <c:strRef>
              <c:f>Grafiks1!$G$5</c:f>
              <c:strCache>
                <c:ptCount val="1"/>
                <c:pt idx="0">
                  <c:v>Dānija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Grafiks1!$C$6:$C$11</c:f>
              <c:strCache>
                <c:ptCount val="6"/>
                <c:pt idx="0">
                  <c:v>Ienākuma, peļņas un kapitāla pieauguma nodokļi</c:v>
                </c:pt>
                <c:pt idx="1">
                  <c:v>Sociālās apdrošināšanas iemaksas</c:v>
                </c:pt>
                <c:pt idx="2">
                  <c:v>Preču un pakalpojumu nodokļi</c:v>
                </c:pt>
                <c:pt idx="3">
                  <c:v>Īpašuma nodokļi</c:v>
                </c:pt>
                <c:pt idx="4">
                  <c:v>Citi ar darbaspēku saistītie nodokļi</c:v>
                </c:pt>
                <c:pt idx="5">
                  <c:v>Citi nodokļi</c:v>
                </c:pt>
              </c:strCache>
            </c:strRef>
          </c:cat>
          <c:val>
            <c:numRef>
              <c:f>Grafiks1!$G$6:$G$11</c:f>
              <c:numCache>
                <c:formatCode>0.00%</c:formatCode>
                <c:ptCount val="6"/>
                <c:pt idx="0">
                  <c:v>0.64686999999999995</c:v>
                </c:pt>
                <c:pt idx="1">
                  <c:v>9.2000000000000003E-4</c:v>
                </c:pt>
                <c:pt idx="2">
                  <c:v>0.30302000000000001</c:v>
                </c:pt>
                <c:pt idx="3">
                  <c:v>4.2869999999999998E-2</c:v>
                </c:pt>
                <c:pt idx="4">
                  <c:v>6.0499999999999998E-3</c:v>
                </c:pt>
                <c:pt idx="5">
                  <c:v>2.7E-4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2F4-47F2-9C8D-8200100F5AEE}"/>
            </c:ext>
          </c:extLst>
        </c:ser>
        <c:ser>
          <c:idx val="4"/>
          <c:order val="4"/>
          <c:tx>
            <c:strRef>
              <c:f>Grafiks1!$H$5</c:f>
              <c:strCache>
                <c:ptCount val="1"/>
                <c:pt idx="0">
                  <c:v>Igaunija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Grafiks1!$C$6:$C$11</c:f>
              <c:strCache>
                <c:ptCount val="6"/>
                <c:pt idx="0">
                  <c:v>Ienākuma, peļņas un kapitāla pieauguma nodokļi</c:v>
                </c:pt>
                <c:pt idx="1">
                  <c:v>Sociālās apdrošināšanas iemaksas</c:v>
                </c:pt>
                <c:pt idx="2">
                  <c:v>Preču un pakalpojumu nodokļi</c:v>
                </c:pt>
                <c:pt idx="3">
                  <c:v>Īpašuma nodokļi</c:v>
                </c:pt>
                <c:pt idx="4">
                  <c:v>Citi ar darbaspēku saistītie nodokļi</c:v>
                </c:pt>
                <c:pt idx="5">
                  <c:v>Citi nodokļi</c:v>
                </c:pt>
              </c:strCache>
            </c:strRef>
          </c:cat>
          <c:val>
            <c:numRef>
              <c:f>Grafiks1!$H$6:$H$11</c:f>
              <c:numCache>
                <c:formatCode>0.00%</c:formatCode>
                <c:ptCount val="6"/>
                <c:pt idx="0">
                  <c:v>0.21948999999999999</c:v>
                </c:pt>
                <c:pt idx="1">
                  <c:v>0.35024</c:v>
                </c:pt>
                <c:pt idx="2">
                  <c:v>0.42403000000000002</c:v>
                </c:pt>
                <c:pt idx="3">
                  <c:v>6.2399999999999999E-3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2F4-47F2-9C8D-8200100F5AEE}"/>
            </c:ext>
          </c:extLst>
        </c:ser>
        <c:ser>
          <c:idx val="5"/>
          <c:order val="5"/>
          <c:tx>
            <c:strRef>
              <c:f>Grafiks1!$I$5</c:f>
              <c:strCache>
                <c:ptCount val="1"/>
                <c:pt idx="0">
                  <c:v>Lietuva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Grafiks1!$C$6:$C$11</c:f>
              <c:strCache>
                <c:ptCount val="6"/>
                <c:pt idx="0">
                  <c:v>Ienākuma, peļņas un kapitāla pieauguma nodokļi</c:v>
                </c:pt>
                <c:pt idx="1">
                  <c:v>Sociālās apdrošināšanas iemaksas</c:v>
                </c:pt>
                <c:pt idx="2">
                  <c:v>Preču un pakalpojumu nodokļi</c:v>
                </c:pt>
                <c:pt idx="3">
                  <c:v>Īpašuma nodokļi</c:v>
                </c:pt>
                <c:pt idx="4">
                  <c:v>Citi ar darbaspēku saistītie nodokļi</c:v>
                </c:pt>
                <c:pt idx="5">
                  <c:v>Citi nodokļi</c:v>
                </c:pt>
              </c:strCache>
            </c:strRef>
          </c:cat>
          <c:val>
            <c:numRef>
              <c:f>Grafiks1!$I$6:$I$11</c:f>
              <c:numCache>
                <c:formatCode>0.00%</c:formatCode>
                <c:ptCount val="6"/>
                <c:pt idx="0">
                  <c:v>0.29017999999999999</c:v>
                </c:pt>
                <c:pt idx="1">
                  <c:v>0.31831999999999999</c:v>
                </c:pt>
                <c:pt idx="2">
                  <c:v>0.38166</c:v>
                </c:pt>
                <c:pt idx="3">
                  <c:v>9.8399999999999998E-3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2F4-47F2-9C8D-8200100F5AEE}"/>
            </c:ext>
          </c:extLst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87062735"/>
        <c:axId val="1944288511"/>
      </c:barChart>
      <c:catAx>
        <c:axId val="17870627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1944288511"/>
        <c:crosses val="autoZero"/>
        <c:auto val="1"/>
        <c:lblAlgn val="ctr"/>
        <c:lblOffset val="100"/>
        <c:noMultiLvlLbl val="0"/>
      </c:catAx>
      <c:valAx>
        <c:axId val="19442885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1787062735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804892388451444E-2"/>
          <c:y val="0.18671633090778378"/>
          <c:w val="0.83224015365426263"/>
          <c:h val="0.71848242647923899"/>
        </c:manualLayout>
      </c:layout>
      <c:ofPieChart>
        <c:ofPieType val="pie"/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713-4EAC-987A-ED6660E755F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713-4EAC-987A-ED6660E755F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713-4EAC-987A-ED6660E755F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713-4EAC-987A-ED6660E755F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713-4EAC-987A-ED6660E755F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A713-4EAC-987A-ED6660E755F4}"/>
              </c:ext>
            </c:extLst>
          </c:dPt>
          <c:dPt>
            <c:idx val="6"/>
            <c:bubble3D val="0"/>
            <c:spPr>
              <a:solidFill>
                <a:schemeClr val="accent5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A713-4EAC-987A-ED6660E755F4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A713-4EAC-987A-ED6660E755F4}"/>
              </c:ext>
            </c:extLst>
          </c:dPt>
          <c:dLbls>
            <c:dLbl>
              <c:idx val="1"/>
              <c:layout>
                <c:manualLayout>
                  <c:x val="4.8380136159126064E-2"/>
                  <c:y val="-2.976181279512516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713-4EAC-987A-ED6660E755F4}"/>
                </c:ext>
              </c:extLst>
            </c:dLbl>
            <c:dLbl>
              <c:idx val="2"/>
              <c:layout>
                <c:manualLayout>
                  <c:x val="1.4953268582715003E-3"/>
                  <c:y val="1.051337689676055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713-4EAC-987A-ED6660E755F4}"/>
                </c:ext>
              </c:extLst>
            </c:dLbl>
            <c:dLbl>
              <c:idx val="3"/>
              <c:layout>
                <c:manualLayout>
                  <c:x val="9.7611614359389642E-2"/>
                  <c:y val="5.078223444972322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713-4EAC-987A-ED6660E755F4}"/>
                </c:ext>
              </c:extLst>
            </c:dLbl>
            <c:dLbl>
              <c:idx val="4"/>
              <c:layout>
                <c:manualLayout>
                  <c:x val="-0.12347779274449223"/>
                  <c:y val="0.1584752006844788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713-4EAC-987A-ED6660E755F4}"/>
                </c:ext>
              </c:extLst>
            </c:dLbl>
            <c:dLbl>
              <c:idx val="5"/>
              <c:layout>
                <c:manualLayout>
                  <c:x val="0.14576195832663774"/>
                  <c:y val="-8.629484341570331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713-4EAC-987A-ED6660E755F4}"/>
                </c:ext>
              </c:extLst>
            </c:dLbl>
            <c:dLbl>
              <c:idx val="6"/>
              <c:layout>
                <c:manualLayout>
                  <c:x val="-1.0192603475585959E-4"/>
                  <c:y val="5.869487304623670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713-4EAC-987A-ED6660E755F4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lv-LV" baseline="0"/>
                      <a:t>Īpašuma nodokļi; </a:t>
                    </a:r>
                    <a:fld id="{50144E8E-1CB9-47CA-B941-A2272D4578FB}" type="VALUE">
                      <a:rPr lang="en-US" baseline="0"/>
                      <a:pPr/>
                      <a:t>[VALUE]</a:t>
                    </a:fld>
                    <a:endParaRPr lang="lv-LV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A713-4EAC-987A-ED6660E755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Grafiki!$C$5:$C$11</c:f>
              <c:strCache>
                <c:ptCount val="7"/>
                <c:pt idx="0">
                  <c:v>Ienākuma, peļņas un kapitāla pieauguma nodokļi</c:v>
                </c:pt>
                <c:pt idx="1">
                  <c:v>Sociālās apdrošināšanas iemaksas</c:v>
                </c:pt>
                <c:pt idx="2">
                  <c:v>Citi nodokļi</c:v>
                </c:pt>
                <c:pt idx="3">
                  <c:v>Citi ar darbaspēku saistītie nodokļi</c:v>
                </c:pt>
                <c:pt idx="4">
                  <c:v>Preču un pakalpojumu nodokļi</c:v>
                </c:pt>
                <c:pt idx="5">
                  <c:v>Kārtējie nekustamā īpašuma nodokļi</c:v>
                </c:pt>
                <c:pt idx="6">
                  <c:v>Finanšu un kapitāla darījumu nodokļi</c:v>
                </c:pt>
              </c:strCache>
            </c:strRef>
          </c:cat>
          <c:val>
            <c:numRef>
              <c:f>Grafiki!$D$5:$D$11</c:f>
              <c:numCache>
                <c:formatCode>0.00%</c:formatCode>
                <c:ptCount val="7"/>
                <c:pt idx="0">
                  <c:v>0.35698000000000002</c:v>
                </c:pt>
                <c:pt idx="1">
                  <c:v>0.214</c:v>
                </c:pt>
                <c:pt idx="2">
                  <c:v>7.6999999999999996E-4</c:v>
                </c:pt>
                <c:pt idx="3">
                  <c:v>0.12429</c:v>
                </c:pt>
                <c:pt idx="4">
                  <c:v>0.28211000000000003</c:v>
                </c:pt>
                <c:pt idx="5">
                  <c:v>1.5900000000000001E-2</c:v>
                </c:pt>
                <c:pt idx="6">
                  <c:v>5.9500000000000004E-3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A713-4EAC-987A-ED6660E755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gapWidth val="110"/>
        <c:splitType val="pos"/>
        <c:splitPos val="2"/>
        <c:secondPieSize val="50"/>
        <c:serLines>
          <c:spPr>
            <a:ln w="9525" cap="flat" cmpd="sng" algn="ctr">
              <a:solidFill>
                <a:schemeClr val="tx1">
                  <a:lumMod val="35000"/>
                  <a:lumOff val="65000"/>
                </a:schemeClr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lv-LV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ofPieChart>
        <c:ofPieType val="pie"/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FF8-46DD-9E17-729262F6D48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FF8-46DD-9E17-729262F6D48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FF8-46DD-9E17-729262F6D48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FF8-46DD-9E17-729262F6D48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FF8-46DD-9E17-729262F6D48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EFF8-46DD-9E17-729262F6D48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EFF8-46DD-9E17-729262F6D48F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EFF8-46DD-9E17-729262F6D48F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EFF8-46DD-9E17-729262F6D48F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EFF8-46DD-9E17-729262F6D48F}"/>
              </c:ext>
            </c:extLst>
          </c:dPt>
          <c:dLbls>
            <c:dLbl>
              <c:idx val="0"/>
              <c:layout>
                <c:manualLayout>
                  <c:x val="-5.1533908940115516E-2"/>
                  <c:y val="-0.1367385057671388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FF8-46DD-9E17-729262F6D48F}"/>
                </c:ext>
              </c:extLst>
            </c:dLbl>
            <c:dLbl>
              <c:idx val="5"/>
              <c:layout>
                <c:manualLayout>
                  <c:x val="2.630449011525228E-2"/>
                  <c:y val="4.744510874871494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FF8-46DD-9E17-729262F6D48F}"/>
                </c:ext>
              </c:extLst>
            </c:dLbl>
            <c:dLbl>
              <c:idx val="6"/>
              <c:layout>
                <c:manualLayout>
                  <c:x val="3.0219446576852004E-2"/>
                  <c:y val="-3.3942693705956339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FF8-46DD-9E17-729262F6D48F}"/>
                </c:ext>
              </c:extLst>
            </c:dLbl>
            <c:dLbl>
              <c:idx val="7"/>
              <c:layout>
                <c:manualLayout>
                  <c:x val="-7.617542175328432E-4"/>
                  <c:y val="1.80470603100214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EFF8-46DD-9E17-729262F6D48F}"/>
                </c:ext>
              </c:extLst>
            </c:dLbl>
            <c:dLbl>
              <c:idx val="8"/>
              <c:layout>
                <c:manualLayout>
                  <c:x val="-3.346157607538858E-4"/>
                  <c:y val="4.6046623821912186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EFF8-46DD-9E17-729262F6D48F}"/>
                </c:ext>
              </c:extLst>
            </c:dLbl>
            <c:dLbl>
              <c:idx val="9"/>
              <c:layout>
                <c:manualLayout>
                  <c:x val="-0.15180513537716342"/>
                  <c:y val="3.1183055072164121E-3"/>
                </c:manualLayout>
              </c:layout>
              <c:tx>
                <c:rich>
                  <a:bodyPr/>
                  <a:lstStyle/>
                  <a:p>
                    <a:r>
                      <a:rPr lang="lv-LV"/>
                      <a:t>Īpašuma nodokļi</a:t>
                    </a:r>
                    <a:r>
                      <a:rPr lang="lv-LV" baseline="0"/>
                      <a:t>; </a:t>
                    </a:r>
                    <a:fld id="{751E41A1-E5FF-4BD9-92C0-6964D49343D6}" type="VALUE">
                      <a:rPr lang="en-US" baseline="0"/>
                      <a:pPr/>
                      <a:t>[VALUE]</a:t>
                    </a:fld>
                    <a:endParaRPr lang="lv-LV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3-EFF8-46DD-9E17-729262F6D48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Grafiki!$C$15:$C$23</c:f>
              <c:strCache>
                <c:ptCount val="9"/>
                <c:pt idx="0">
                  <c:v>Ienākuma, peļņas un kapitāla pieauguma nodokļi</c:v>
                </c:pt>
                <c:pt idx="1">
                  <c:v>Sociālās apdrošināšanas iemaksas</c:v>
                </c:pt>
                <c:pt idx="2">
                  <c:v>Citi nodokļi</c:v>
                </c:pt>
                <c:pt idx="3">
                  <c:v>Preču un pakalpojumu nodokļi</c:v>
                </c:pt>
                <c:pt idx="4">
                  <c:v>Kārtējie nekustamā īpašuma nodokļi</c:v>
                </c:pt>
                <c:pt idx="5">
                  <c:v>Kārtējie neto bagātības nodokļi</c:v>
                </c:pt>
                <c:pt idx="6">
                  <c:v>Īpašuma, mantojuma un dāvanu nodokļi</c:v>
                </c:pt>
                <c:pt idx="7">
                  <c:v>Finanšu un kapitāla darījumu nodokļi</c:v>
                </c:pt>
                <c:pt idx="8">
                  <c:v>Citi vienreizējie īpašuma nodokļi</c:v>
                </c:pt>
              </c:strCache>
            </c:strRef>
          </c:cat>
          <c:val>
            <c:numRef>
              <c:f>Grafiki!$D$15:$D$23</c:f>
              <c:numCache>
                <c:formatCode>0.00%</c:formatCode>
                <c:ptCount val="9"/>
                <c:pt idx="0">
                  <c:v>0.28656999999999999</c:v>
                </c:pt>
                <c:pt idx="1">
                  <c:v>0.35342000000000001</c:v>
                </c:pt>
                <c:pt idx="2">
                  <c:v>3.5E-4</c:v>
                </c:pt>
                <c:pt idx="3">
                  <c:v>0.28899000000000002</c:v>
                </c:pt>
                <c:pt idx="4">
                  <c:v>3.1150000000000001E-2</c:v>
                </c:pt>
                <c:pt idx="5">
                  <c:v>5.1900000000000002E-3</c:v>
                </c:pt>
                <c:pt idx="6">
                  <c:v>5.8199999999999997E-3</c:v>
                </c:pt>
                <c:pt idx="7">
                  <c:v>2.1610000000000001E-2</c:v>
                </c:pt>
                <c:pt idx="8">
                  <c:v>6.8900000000000003E-3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EFF8-46DD-9E17-729262F6D4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gapWidth val="110"/>
        <c:splitType val="pos"/>
        <c:splitPos val="5"/>
        <c:secondPieSize val="50"/>
        <c:serLines>
          <c:spPr>
            <a:ln w="9525" cap="flat" cmpd="sng" algn="ctr">
              <a:solidFill>
                <a:schemeClr val="tx1">
                  <a:lumMod val="35000"/>
                  <a:lumOff val="65000"/>
                </a:schemeClr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265616935532509E-2"/>
          <c:y val="0.20137925067058926"/>
          <c:w val="0.83065641948276947"/>
          <c:h val="0.70923797986790116"/>
        </c:manualLayout>
      </c:layout>
      <c:ofPieChart>
        <c:ofPieType val="pie"/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952-4C18-977D-854B42B3B25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952-4C18-977D-854B42B3B25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952-4C18-977D-854B42B3B25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952-4C18-977D-854B42B3B25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952-4C18-977D-854B42B3B25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1952-4C18-977D-854B42B3B25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1952-4C18-977D-854B42B3B25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1952-4C18-977D-854B42B3B250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1952-4C18-977D-854B42B3B250}"/>
              </c:ext>
            </c:extLst>
          </c:dPt>
          <c:dLbls>
            <c:dLbl>
              <c:idx val="0"/>
              <c:layout>
                <c:manualLayout>
                  <c:x val="-3.2746641697622487E-2"/>
                  <c:y val="0.1363196055107058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952-4C18-977D-854B42B3B250}"/>
                </c:ext>
              </c:extLst>
            </c:dLbl>
            <c:dLbl>
              <c:idx val="2"/>
              <c:layout>
                <c:manualLayout>
                  <c:x val="-3.8210855531085955E-2"/>
                  <c:y val="5.624095065039946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952-4C18-977D-854B42B3B250}"/>
                </c:ext>
              </c:extLst>
            </c:dLbl>
            <c:dLbl>
              <c:idx val="3"/>
              <c:layout>
                <c:manualLayout>
                  <c:x val="6.1401909212146624E-2"/>
                  <c:y val="-7.419880249654087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952-4C18-977D-854B42B3B250}"/>
                </c:ext>
              </c:extLst>
            </c:dLbl>
            <c:dLbl>
              <c:idx val="5"/>
              <c:layout>
                <c:manualLayout>
                  <c:x val="9.6768689884503337E-2"/>
                  <c:y val="-0.229021949179429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888391737668369"/>
                      <c:h val="0.1940293040293040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1952-4C18-977D-854B42B3B250}"/>
                </c:ext>
              </c:extLst>
            </c:dLbl>
            <c:dLbl>
              <c:idx val="7"/>
              <c:layout>
                <c:manualLayout>
                  <c:x val="-4.4351595387751502E-4"/>
                  <c:y val="4.770644054108621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1952-4C18-977D-854B42B3B250}"/>
                </c:ext>
              </c:extLst>
            </c:dLbl>
            <c:dLbl>
              <c:idx val="8"/>
              <c:layout>
                <c:manualLayout>
                  <c:x val="-8.6743832676166852E-2"/>
                  <c:y val="-1.0804418678433754E-3"/>
                </c:manualLayout>
              </c:layout>
              <c:tx>
                <c:rich>
                  <a:bodyPr/>
                  <a:lstStyle/>
                  <a:p>
                    <a:r>
                      <a:rPr lang="lv-LV"/>
                      <a:t>Īpašuma nodokļi</a:t>
                    </a:r>
                    <a:r>
                      <a:rPr lang="lv-LV" baseline="0"/>
                      <a:t>; </a:t>
                    </a:r>
                    <a:fld id="{E8B157BA-214F-40AB-A9D8-31CEF2489B90}" type="VALUE">
                      <a:rPr lang="en-US" baseline="0"/>
                      <a:pPr/>
                      <a:t>[VALUE]</a:t>
                    </a:fld>
                    <a:endParaRPr lang="lv-LV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1952-4C18-977D-854B42B3B2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Grafiki!$C$27:$C$34</c:f>
              <c:strCache>
                <c:ptCount val="8"/>
                <c:pt idx="0">
                  <c:v>Sociālās apdrošināšanas iemaksas</c:v>
                </c:pt>
                <c:pt idx="1">
                  <c:v>Ienākuma, peļņas un kapitāla pieauguma nodokļi</c:v>
                </c:pt>
                <c:pt idx="2">
                  <c:v>Citi ar darbaspēku saistītie nodokļi</c:v>
                </c:pt>
                <c:pt idx="3">
                  <c:v>Citi nodokļi</c:v>
                </c:pt>
                <c:pt idx="4">
                  <c:v>Preču un pakalpojumu nodokļi</c:v>
                </c:pt>
                <c:pt idx="5">
                  <c:v>Kārtējie nekustamā īpašuma nodokļi</c:v>
                </c:pt>
                <c:pt idx="6">
                  <c:v>Īpašuma, mantojuma un dāvanu nodokļi</c:v>
                </c:pt>
                <c:pt idx="7">
                  <c:v>Finanšu un kapitāla darījumu nodokļi</c:v>
                </c:pt>
              </c:strCache>
            </c:strRef>
          </c:cat>
          <c:val>
            <c:numRef>
              <c:f>Grafiki!$D$27:$D$34</c:f>
              <c:numCache>
                <c:formatCode>0.00%</c:formatCode>
                <c:ptCount val="8"/>
                <c:pt idx="0">
                  <c:v>9.2000000000000003E-4</c:v>
                </c:pt>
                <c:pt idx="1">
                  <c:v>0.64686999999999995</c:v>
                </c:pt>
                <c:pt idx="2">
                  <c:v>6.0499999999999998E-3</c:v>
                </c:pt>
                <c:pt idx="3">
                  <c:v>2.7E-4</c:v>
                </c:pt>
                <c:pt idx="4">
                  <c:v>0.30302000000000001</c:v>
                </c:pt>
                <c:pt idx="5">
                  <c:v>2.8299999999999999E-2</c:v>
                </c:pt>
                <c:pt idx="6">
                  <c:v>7.9000000000000008E-3</c:v>
                </c:pt>
                <c:pt idx="7">
                  <c:v>6.6800000000000002E-3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1952-4C18-977D-854B42B3B2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gapWidth val="110"/>
        <c:secondPieSize val="50"/>
        <c:serLines>
          <c:spPr>
            <a:ln w="9525" cap="flat" cmpd="sng" algn="ctr">
              <a:solidFill>
                <a:schemeClr val="tx1">
                  <a:lumMod val="35000"/>
                  <a:lumOff val="65000"/>
                </a:schemeClr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ofPieChart>
        <c:ofPieType val="pie"/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8ED-4BCA-8E6D-12A8393C863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8ED-4BCA-8E6D-12A8393C863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8ED-4BCA-8E6D-12A8393C863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8ED-4BCA-8E6D-12A8393C863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8ED-4BCA-8E6D-12A8393C863B}"/>
              </c:ext>
            </c:extLst>
          </c:dPt>
          <c:dLbls>
            <c:dLbl>
              <c:idx val="0"/>
              <c:layout>
                <c:manualLayout>
                  <c:x val="-0.14231903753147612"/>
                  <c:y val="-0.1855808963072873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8ED-4BCA-8E6D-12A8393C863B}"/>
                </c:ext>
              </c:extLst>
            </c:dLbl>
            <c:dLbl>
              <c:idx val="1"/>
              <c:layout>
                <c:manualLayout>
                  <c:x val="0.12749012972363225"/>
                  <c:y val="-0.2068939907496511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8ED-4BCA-8E6D-12A8393C863B}"/>
                </c:ext>
              </c:extLst>
            </c:dLbl>
            <c:dLbl>
              <c:idx val="3"/>
              <c:layout>
                <c:manualLayout>
                  <c:x val="0.17617313064293361"/>
                  <c:y val="-6.35059991372240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8ED-4BCA-8E6D-12A8393C863B}"/>
                </c:ext>
              </c:extLst>
            </c:dLbl>
            <c:dLbl>
              <c:idx val="4"/>
              <c:layout>
                <c:manualLayout>
                  <c:x val="8.3329558424485445E-3"/>
                  <c:y val="1.8482703706980446E-2"/>
                </c:manualLayout>
              </c:layout>
              <c:tx>
                <c:rich>
                  <a:bodyPr/>
                  <a:lstStyle/>
                  <a:p>
                    <a:r>
                      <a:rPr lang="lv-LV"/>
                      <a:t>Īpašuma nodokļi</a:t>
                    </a:r>
                    <a:r>
                      <a:rPr lang="lv-LV" baseline="0"/>
                      <a:t>; </a:t>
                    </a:r>
                    <a:fld id="{7D2BDE2D-6DFD-45D3-B3A1-0CAB58E69D69}" type="VALUE">
                      <a:rPr lang="en-US" baseline="0"/>
                      <a:pPr/>
                      <a:t>[VALUE]</a:t>
                    </a:fld>
                    <a:endParaRPr lang="lv-LV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158555053714731"/>
                      <c:h val="0.1495149960187560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28ED-4BCA-8E6D-12A8393C863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Grafiki!$C$39:$C$42</c:f>
              <c:strCache>
                <c:ptCount val="4"/>
                <c:pt idx="0">
                  <c:v>Ienākuma, peļņas un kapitāla pieauguma nodokļi</c:v>
                </c:pt>
                <c:pt idx="1">
                  <c:v>Sociālās apdrošināšanas iemaksas</c:v>
                </c:pt>
                <c:pt idx="2">
                  <c:v>Preču un pakalpojumu nodokļi</c:v>
                </c:pt>
                <c:pt idx="3">
                  <c:v>Kārtējie nekustamā īpašuma nodokļi</c:v>
                </c:pt>
              </c:strCache>
            </c:strRef>
          </c:cat>
          <c:val>
            <c:numRef>
              <c:f>Grafiki!$D$39:$D$42</c:f>
              <c:numCache>
                <c:formatCode>0.00%</c:formatCode>
                <c:ptCount val="4"/>
                <c:pt idx="0">
                  <c:v>0.21948999999999999</c:v>
                </c:pt>
                <c:pt idx="1">
                  <c:v>0.35024</c:v>
                </c:pt>
                <c:pt idx="2">
                  <c:v>0.42403000000000002</c:v>
                </c:pt>
                <c:pt idx="3">
                  <c:v>6.2399999999999999E-3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28ED-4BCA-8E6D-12A8393C86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gapWidth val="100"/>
        <c:splitType val="pos"/>
        <c:splitPos val="1"/>
        <c:secondPieSize val="50"/>
        <c:serLines>
          <c:spPr>
            <a:ln w="9525" cap="flat" cmpd="sng" algn="ctr">
              <a:solidFill>
                <a:schemeClr val="tx1">
                  <a:lumMod val="35000"/>
                  <a:lumOff val="65000"/>
                </a:schemeClr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ofPieChart>
        <c:ofPieType val="pie"/>
        <c:varyColors val="1"/>
        <c:ser>
          <c:idx val="0"/>
          <c:order val="0"/>
          <c:spPr>
            <a:ln cap="flat"/>
          </c:spPr>
          <c:dPt>
            <c:idx val="0"/>
            <c:bubble3D val="0"/>
            <c:spPr>
              <a:solidFill>
                <a:schemeClr val="accent1"/>
              </a:solidFill>
              <a:ln w="19050" cap="flat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A84-41F6-9875-5C7D79F7BB1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 cap="flat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A84-41F6-9875-5C7D79F7BB1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 cap="flat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A84-41F6-9875-5C7D79F7BB1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 cap="flat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A84-41F6-9875-5C7D79F7BB1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 cap="flat">
                <a:solidFill>
                  <a:schemeClr val="lt1"/>
                </a:solidFill>
              </a:ln>
              <a:effectLst>
                <a:outerShdw blurRad="50800" dist="50800" algn="ctr" rotWithShape="0">
                  <a:srgbClr val="000000">
                    <a:alpha val="43137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1A84-41F6-9875-5C7D79F7BB1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 cap="flat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1A84-41F6-9875-5C7D79F7BB18}"/>
              </c:ext>
            </c:extLst>
          </c:dPt>
          <c:dLbls>
            <c:dLbl>
              <c:idx val="3"/>
              <c:layout>
                <c:manualLayout>
                  <c:x val="0.11627174421706993"/>
                  <c:y val="-9.3847639204758335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502274150460528"/>
                      <c:h val="0.2094207463197535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1A84-41F6-9875-5C7D79F7BB18}"/>
                </c:ext>
              </c:extLst>
            </c:dLbl>
            <c:dLbl>
              <c:idx val="4"/>
              <c:layout>
                <c:manualLayout>
                  <c:x val="-1.5368155316463304E-3"/>
                  <c:y val="7.131902446852773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A84-41F6-9875-5C7D79F7BB18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lv-LV"/>
                      <a:t>Īpašuma nodokļi</a:t>
                    </a:r>
                    <a:r>
                      <a:rPr lang="lv-LV" baseline="0"/>
                      <a:t>; </a:t>
                    </a:r>
                    <a:fld id="{2FB57A2D-1FBC-4BAB-A5BD-59204035D167}" type="VALUE">
                      <a:rPr lang="en-US" baseline="0"/>
                      <a:pPr/>
                      <a:t>[VALUE]</a:t>
                    </a:fld>
                    <a:endParaRPr lang="lv-LV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1A84-41F6-9875-5C7D79F7BB1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Grafiki!$C$47:$C$51</c:f>
              <c:strCache>
                <c:ptCount val="5"/>
                <c:pt idx="0">
                  <c:v>Ienākuma, peļņas un kapitāla pieauguma nodokļi</c:v>
                </c:pt>
                <c:pt idx="1">
                  <c:v>Sociālās apdrošināšanas iemaksas</c:v>
                </c:pt>
                <c:pt idx="2">
                  <c:v>Preču un pakalpojumu nodokļi</c:v>
                </c:pt>
                <c:pt idx="3">
                  <c:v>Kārtējie nekustamā īpašuma nodokļi</c:v>
                </c:pt>
                <c:pt idx="4">
                  <c:v>Īpašuma, mantojuma un dāvanu nodokļi</c:v>
                </c:pt>
              </c:strCache>
            </c:strRef>
          </c:cat>
          <c:val>
            <c:numRef>
              <c:f>Grafiki!$D$47:$D$51</c:f>
              <c:numCache>
                <c:formatCode>0.00%</c:formatCode>
                <c:ptCount val="5"/>
                <c:pt idx="0">
                  <c:v>0.29017999999999999</c:v>
                </c:pt>
                <c:pt idx="1">
                  <c:v>0.31831999999999999</c:v>
                </c:pt>
                <c:pt idx="2">
                  <c:v>0.38166</c:v>
                </c:pt>
                <c:pt idx="3">
                  <c:v>9.7099999999999999E-3</c:v>
                </c:pt>
                <c:pt idx="4">
                  <c:v>1.2999999999999999E-4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A84-41F6-9875-5C7D79F7BB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gapWidth val="110"/>
        <c:secondPieSize val="50"/>
        <c:serLines>
          <c:spPr>
            <a:ln w="9525" cap="flat" cmpd="sng" algn="ctr">
              <a:solidFill>
                <a:schemeClr val="tx1">
                  <a:lumMod val="35000"/>
                  <a:lumOff val="65000"/>
                </a:schemeClr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8762586494869955E-2"/>
          <c:y val="0.20964134040443638"/>
          <c:w val="0.83055563509106811"/>
          <c:h val="0.69461880353898309"/>
        </c:manualLayout>
      </c:layout>
      <c:ofPieChart>
        <c:ofPieType val="pie"/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85E-4B54-80D2-B70BAA29F52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85E-4B54-80D2-B70BAA29F52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85E-4B54-80D2-B70BAA29F52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85E-4B54-80D2-B70BAA29F52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85E-4B54-80D2-B70BAA29F52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85E-4B54-80D2-B70BAA29F52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685E-4B54-80D2-B70BAA29F52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685E-4B54-80D2-B70BAA29F529}"/>
              </c:ext>
            </c:extLst>
          </c:dPt>
          <c:dLbls>
            <c:dLbl>
              <c:idx val="0"/>
              <c:layout>
                <c:manualLayout>
                  <c:x val="-0.12458286985539492"/>
                  <c:y val="-0.1148156325899757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517241379310345"/>
                      <c:h val="0.284831088540516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685E-4B54-80D2-B70BAA29F529}"/>
                </c:ext>
              </c:extLst>
            </c:dLbl>
            <c:dLbl>
              <c:idx val="2"/>
              <c:layout>
                <c:manualLayout>
                  <c:x val="3.2592644495633817E-3"/>
                  <c:y val="-5.31629064141325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85E-4B54-80D2-B70BAA29F529}"/>
                </c:ext>
              </c:extLst>
            </c:dLbl>
            <c:dLbl>
              <c:idx val="4"/>
              <c:layout>
                <c:manualLayout>
                  <c:x val="0.19391835197463497"/>
                  <c:y val="-1.310782829116994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85E-4B54-80D2-B70BAA29F529}"/>
                </c:ext>
              </c:extLst>
            </c:dLbl>
            <c:dLbl>
              <c:idx val="5"/>
              <c:layout>
                <c:manualLayout>
                  <c:x val="-4.5074550946336417E-2"/>
                  <c:y val="-3.624828967476437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85E-4B54-80D2-B70BAA29F529}"/>
                </c:ext>
              </c:extLst>
            </c:dLbl>
            <c:dLbl>
              <c:idx val="6"/>
              <c:layout>
                <c:manualLayout>
                  <c:x val="8.6167928911662292E-3"/>
                  <c:y val="8.239911432566238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26579077420875"/>
                      <c:h val="0.246038912832959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685E-4B54-80D2-B70BAA29F529}"/>
                </c:ext>
              </c:extLst>
            </c:dLbl>
            <c:dLbl>
              <c:idx val="7"/>
              <c:layout>
                <c:manualLayout>
                  <c:x val="-3.4445709581074416E-2"/>
                  <c:y val="-1.6102701227261585E-3"/>
                </c:manualLayout>
              </c:layout>
              <c:tx>
                <c:rich>
                  <a:bodyPr/>
                  <a:lstStyle/>
                  <a:p>
                    <a:r>
                      <a:rPr lang="lv-LV"/>
                      <a:t>Īpašuma nodokļi</a:t>
                    </a:r>
                    <a:r>
                      <a:rPr lang="lv-LV" baseline="0"/>
                      <a:t>; </a:t>
                    </a:r>
                    <a:fld id="{388D591D-EF20-4316-A8BE-786C313DA782}" type="VALUE">
                      <a:rPr lang="en-US" baseline="0"/>
                      <a:pPr/>
                      <a:t>[VALUE]</a:t>
                    </a:fld>
                    <a:endParaRPr lang="lv-LV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383593318910773"/>
                      <c:h val="0.1136222732591192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685E-4B54-80D2-B70BAA29F52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Grafiki!$C$55:$C$61</c:f>
              <c:strCache>
                <c:ptCount val="7"/>
                <c:pt idx="0">
                  <c:v>Ienākuma, peļņas un kapitāla pieauguma nodokļi</c:v>
                </c:pt>
                <c:pt idx="1">
                  <c:v>Sociālās apdrošināšanas iemaksas</c:v>
                </c:pt>
                <c:pt idx="2">
                  <c:v>Citi ar darbaspēku saistītie nodokļi</c:v>
                </c:pt>
                <c:pt idx="3">
                  <c:v>Preču un pakalpojumu nodokļi</c:v>
                </c:pt>
                <c:pt idx="4">
                  <c:v>Kārtējie nekustamā īpašuma nodokļi</c:v>
                </c:pt>
                <c:pt idx="5">
                  <c:v>Īpašuma, mantojuma un dāvanu nodokļi</c:v>
                </c:pt>
                <c:pt idx="6">
                  <c:v>Finanšu un kapitāla darījumu nodokļi</c:v>
                </c:pt>
              </c:strCache>
            </c:strRef>
          </c:cat>
          <c:val>
            <c:numRef>
              <c:f>Grafiki!$D$55:$D$61</c:f>
              <c:numCache>
                <c:formatCode>0.00%</c:formatCode>
                <c:ptCount val="7"/>
                <c:pt idx="0">
                  <c:v>0.24684</c:v>
                </c:pt>
                <c:pt idx="1">
                  <c:v>0.30625000000000002</c:v>
                </c:pt>
                <c:pt idx="2">
                  <c:v>5.1999999999999995E-4</c:v>
                </c:pt>
                <c:pt idx="3">
                  <c:v>0.41210999999999998</c:v>
                </c:pt>
                <c:pt idx="4">
                  <c:v>2.7230000000000001E-2</c:v>
                </c:pt>
                <c:pt idx="5">
                  <c:v>6.4999999999999997E-4</c:v>
                </c:pt>
                <c:pt idx="6">
                  <c:v>6.4000000000000003E-3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685E-4B54-80D2-B70BAA29F5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gapWidth val="110"/>
        <c:secondPieSize val="50"/>
        <c:serLines>
          <c:spPr>
            <a:ln w="9525" cap="flat" cmpd="sng" algn="ctr">
              <a:solidFill>
                <a:schemeClr val="tx1">
                  <a:lumMod val="35000"/>
                  <a:lumOff val="65000"/>
                </a:schemeClr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ofPieChart>
        <c:ofPieType val="pie"/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D52-4339-BE67-7B92CFF1C0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D52-4339-BE67-7B92CFF1C0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D52-4339-BE67-7B92CFF1C01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D52-4339-BE67-7B92CFF1C01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8D52-4339-BE67-7B92CFF1C01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8D52-4339-BE67-7B92CFF1C01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8D52-4339-BE67-7B92CFF1C01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8D52-4339-BE67-7B92CFF1C010}"/>
              </c:ext>
            </c:extLst>
          </c:dPt>
          <c:dLbls>
            <c:dLbl>
              <c:idx val="4"/>
              <c:layout>
                <c:manualLayout>
                  <c:x val="0.12417783009920562"/>
                  <c:y val="-0.1031117998217027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436422235056849"/>
                      <c:h val="0.2040049973006486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8D52-4339-BE67-7B92CFF1C010}"/>
                </c:ext>
              </c:extLst>
            </c:dLbl>
            <c:dLbl>
              <c:idx val="5"/>
              <c:layout>
                <c:manualLayout>
                  <c:x val="-4.0212854456172342E-2"/>
                  <c:y val="-4.422299909606733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D52-4339-BE67-7B92CFF1C010}"/>
                </c:ext>
              </c:extLst>
            </c:dLbl>
            <c:dLbl>
              <c:idx val="6"/>
              <c:layout>
                <c:manualLayout>
                  <c:x val="-3.7490935326815258E-3"/>
                  <c:y val="2.69969799217816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436877306724258"/>
                      <c:h val="0.224192100468769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8D52-4339-BE67-7B92CFF1C010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lv-LV"/>
                      <a:t>Īpašuma ndokļi</a:t>
                    </a:r>
                    <a:r>
                      <a:rPr lang="lv-LV" baseline="0"/>
                      <a:t>; </a:t>
                    </a:r>
                    <a:fld id="{540F8157-CC85-4E0E-8E52-6CE7148ED147}" type="VALUE">
                      <a:rPr lang="en-US" baseline="0"/>
                      <a:pPr/>
                      <a:t>[VALUE]</a:t>
                    </a:fld>
                    <a:endParaRPr lang="lv-LV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8D52-4339-BE67-7B92CFF1C01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Grafiki!$C$66:$C$72</c:f>
              <c:strCache>
                <c:ptCount val="7"/>
                <c:pt idx="0">
                  <c:v>Ienākuma, peļņas un kapitāla pieauguma nodokļi</c:v>
                </c:pt>
                <c:pt idx="1">
                  <c:v>Sociālās apdrošināšanas iemaksas</c:v>
                </c:pt>
                <c:pt idx="2">
                  <c:v>Citi ar darbaspēku saistītie nodokļi</c:v>
                </c:pt>
                <c:pt idx="3">
                  <c:v>Preču un pakalpojumu nodokļi</c:v>
                </c:pt>
                <c:pt idx="4">
                  <c:v>Kārtējie nekustamā īpašuma nodokļi</c:v>
                </c:pt>
                <c:pt idx="5">
                  <c:v>Īpašuma, mantojuma un dāvanu nodokļi</c:v>
                </c:pt>
                <c:pt idx="6">
                  <c:v>Finanšu un kapitāla darījumu nodokļi</c:v>
                </c:pt>
              </c:strCache>
            </c:strRef>
          </c:cat>
          <c:val>
            <c:numRef>
              <c:f>Grafiki!$D$66:$D$72</c:f>
              <c:numCache>
                <c:formatCode>0.00%</c:formatCode>
                <c:ptCount val="7"/>
                <c:pt idx="0">
                  <c:v>0.21314</c:v>
                </c:pt>
                <c:pt idx="1">
                  <c:v>0.30631999999999998</c:v>
                </c:pt>
                <c:pt idx="2">
                  <c:v>3.4000000000000002E-4</c:v>
                </c:pt>
                <c:pt idx="3">
                  <c:v>0.45041999999999999</c:v>
                </c:pt>
                <c:pt idx="4">
                  <c:v>2.3820000000000001E-2</c:v>
                </c:pt>
                <c:pt idx="5">
                  <c:v>1.2099999999999999E-3</c:v>
                </c:pt>
                <c:pt idx="6">
                  <c:v>4.7499999999999999E-3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8D52-4339-BE67-7B92CFF1C0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gapWidth val="110"/>
        <c:secondPieSize val="50"/>
        <c:serLines>
          <c:spPr>
            <a:ln w="9525" cap="flat" cmpd="sng" algn="ctr">
              <a:solidFill>
                <a:schemeClr val="tx1">
                  <a:lumMod val="35000"/>
                  <a:lumOff val="65000"/>
                </a:schemeClr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AE7D0-D18C-4B53-BDA2-6B15C837D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660</Words>
  <Characters>377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samērīga nekustamā īpašuma nodokļa nodrošināšanu</vt:lpstr>
      <vt:lpstr/>
    </vt:vector>
  </TitlesOfParts>
  <Company>Finanšu ministrija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samērīga nekustamā īpašuma nodokļa nodrošināšanu</dc:title>
  <dc:subject>Pielikums Nr.3</dc:subject>
  <dc:creator>Līga Gasūne</dc:creator>
  <cp:keywords/>
  <dc:description/>
  <cp:lastModifiedBy>Līga Leite</cp:lastModifiedBy>
  <cp:revision>3</cp:revision>
  <cp:lastPrinted>2021-05-14T08:31:00Z</cp:lastPrinted>
  <dcterms:created xsi:type="dcterms:W3CDTF">2022-03-14T11:10:00Z</dcterms:created>
  <dcterms:modified xsi:type="dcterms:W3CDTF">2022-03-14T11:11:00Z</dcterms:modified>
</cp:coreProperties>
</file>