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D488B" w14:textId="38EBE2B9" w:rsidR="008D0491" w:rsidRPr="00F855DD" w:rsidRDefault="008D0491" w:rsidP="008D0491">
      <w:pPr>
        <w:spacing w:after="0" w:line="240" w:lineRule="auto"/>
        <w:ind w:firstLine="709"/>
        <w:jc w:val="center"/>
        <w:rPr>
          <w:rFonts w:ascii="Times New Roman" w:hAnsi="Times New Roman"/>
          <w:b/>
          <w:bCs/>
          <w:sz w:val="28"/>
          <w:szCs w:val="28"/>
        </w:rPr>
      </w:pPr>
      <w:r w:rsidRPr="00F855DD">
        <w:rPr>
          <w:rFonts w:ascii="Times New Roman" w:hAnsi="Times New Roman"/>
          <w:b/>
          <w:bCs/>
          <w:sz w:val="28"/>
          <w:szCs w:val="28"/>
        </w:rPr>
        <w:t>Informatīvais ziņojums ,,Par samazinātā pievienotās vērtības nodokļa piemērošanu medicīn</w:t>
      </w:r>
      <w:r w:rsidR="00DE4DCD">
        <w:rPr>
          <w:rFonts w:ascii="Times New Roman" w:hAnsi="Times New Roman"/>
          <w:b/>
          <w:bCs/>
          <w:sz w:val="28"/>
          <w:szCs w:val="28"/>
        </w:rPr>
        <w:t>iskām</w:t>
      </w:r>
      <w:r w:rsidRPr="00F855DD">
        <w:rPr>
          <w:rFonts w:ascii="Times New Roman" w:hAnsi="Times New Roman"/>
          <w:b/>
          <w:bCs/>
          <w:sz w:val="28"/>
          <w:szCs w:val="28"/>
        </w:rPr>
        <w:t xml:space="preserve"> ierīcēm un precēm”</w:t>
      </w:r>
    </w:p>
    <w:p w14:paraId="1634FE20" w14:textId="77777777" w:rsidR="008D0491" w:rsidRPr="00F855DD" w:rsidRDefault="008D0491" w:rsidP="008D0491">
      <w:pPr>
        <w:spacing w:after="0" w:line="240" w:lineRule="auto"/>
        <w:ind w:firstLine="709"/>
        <w:jc w:val="center"/>
        <w:rPr>
          <w:rFonts w:ascii="Times New Roman" w:hAnsi="Times New Roman"/>
          <w:sz w:val="28"/>
          <w:szCs w:val="28"/>
        </w:rPr>
      </w:pPr>
    </w:p>
    <w:p w14:paraId="0A05CE65" w14:textId="22B01FB0" w:rsidR="008D0491" w:rsidRPr="00F855DD" w:rsidRDefault="00597ADC" w:rsidP="00C730EC">
      <w:pPr>
        <w:autoSpaceDE w:val="0"/>
        <w:autoSpaceDN w:val="0"/>
        <w:adjustRightInd w:val="0"/>
        <w:spacing w:after="0" w:line="240" w:lineRule="auto"/>
        <w:jc w:val="both"/>
        <w:rPr>
          <w:rFonts w:ascii="Times New Roman" w:hAnsi="Times New Roman" w:cs="Times New Roman"/>
          <w:sz w:val="24"/>
          <w:szCs w:val="24"/>
        </w:rPr>
      </w:pPr>
      <w:r w:rsidRPr="00F855DD">
        <w:rPr>
          <w:rFonts w:ascii="Times New Roman" w:hAnsi="Times New Roman" w:cs="Times New Roman"/>
          <w:sz w:val="24"/>
          <w:szCs w:val="24"/>
        </w:rPr>
        <w:t xml:space="preserve">[1] </w:t>
      </w:r>
      <w:r w:rsidR="001929AC" w:rsidRPr="00F855DD">
        <w:rPr>
          <w:rFonts w:ascii="Times New Roman" w:hAnsi="Times New Roman" w:cs="Times New Roman"/>
          <w:sz w:val="24"/>
          <w:szCs w:val="24"/>
        </w:rPr>
        <w:t xml:space="preserve">Veselības ministrija ir saņēmusi </w:t>
      </w:r>
      <w:r w:rsidR="008D0491" w:rsidRPr="00F855DD">
        <w:rPr>
          <w:rFonts w:ascii="Times New Roman" w:hAnsi="Times New Roman" w:cs="Times New Roman"/>
          <w:sz w:val="24"/>
          <w:szCs w:val="24"/>
        </w:rPr>
        <w:t>Latvijas Republikas Senāt</w:t>
      </w:r>
      <w:r w:rsidR="001929AC" w:rsidRPr="00F855DD">
        <w:rPr>
          <w:rFonts w:ascii="Times New Roman" w:hAnsi="Times New Roman" w:cs="Times New Roman"/>
          <w:sz w:val="24"/>
          <w:szCs w:val="24"/>
        </w:rPr>
        <w:t>a</w:t>
      </w:r>
      <w:r w:rsidR="008D0491" w:rsidRPr="00F855DD">
        <w:rPr>
          <w:rFonts w:ascii="Times New Roman" w:hAnsi="Times New Roman" w:cs="Times New Roman"/>
          <w:sz w:val="24"/>
          <w:szCs w:val="24"/>
        </w:rPr>
        <w:t xml:space="preserve"> (turpmāk – Senāts)</w:t>
      </w:r>
      <w:r w:rsidR="001929AC" w:rsidRPr="00F855DD">
        <w:rPr>
          <w:rFonts w:ascii="Times New Roman" w:hAnsi="Times New Roman" w:cs="Times New Roman"/>
          <w:sz w:val="24"/>
          <w:szCs w:val="24"/>
        </w:rPr>
        <w:t xml:space="preserve"> 2021.gada 22.marta spriedumu </w:t>
      </w:r>
      <w:r w:rsidR="008D0491" w:rsidRPr="00F855DD">
        <w:rPr>
          <w:rFonts w:ascii="Times New Roman" w:hAnsi="Times New Roman" w:cs="Times New Roman"/>
          <w:sz w:val="24"/>
          <w:szCs w:val="24"/>
        </w:rPr>
        <w:t>administratīv</w:t>
      </w:r>
      <w:r w:rsidR="001929AC" w:rsidRPr="00F855DD">
        <w:rPr>
          <w:rFonts w:ascii="Times New Roman" w:hAnsi="Times New Roman" w:cs="Times New Roman"/>
          <w:sz w:val="24"/>
          <w:szCs w:val="24"/>
        </w:rPr>
        <w:t>ajā</w:t>
      </w:r>
      <w:r w:rsidR="008D0491" w:rsidRPr="00F855DD">
        <w:rPr>
          <w:rFonts w:ascii="Times New Roman" w:hAnsi="Times New Roman" w:cs="Times New Roman"/>
          <w:sz w:val="24"/>
          <w:szCs w:val="24"/>
        </w:rPr>
        <w:t xml:space="preserve"> liet</w:t>
      </w:r>
      <w:r w:rsidR="001929AC" w:rsidRPr="00F855DD">
        <w:rPr>
          <w:rFonts w:ascii="Times New Roman" w:hAnsi="Times New Roman" w:cs="Times New Roman"/>
          <w:sz w:val="24"/>
          <w:szCs w:val="24"/>
        </w:rPr>
        <w:t>ā</w:t>
      </w:r>
      <w:r w:rsidR="008D0491" w:rsidRPr="00F855DD">
        <w:rPr>
          <w:rFonts w:ascii="Times New Roman" w:hAnsi="Times New Roman" w:cs="Times New Roman"/>
          <w:sz w:val="24"/>
          <w:szCs w:val="24"/>
        </w:rPr>
        <w:t xml:space="preserve"> Nr.A420143317 (SKA-123/2021)</w:t>
      </w:r>
      <w:r w:rsidR="008D0491" w:rsidRPr="00F855DD">
        <w:rPr>
          <w:rFonts w:ascii="Times New Roman" w:eastAsia="Times New Roman" w:hAnsi="Times New Roman" w:cs="Times New Roman"/>
          <w:sz w:val="24"/>
          <w:szCs w:val="24"/>
          <w:lang w:eastAsia="lv-LV"/>
        </w:rPr>
        <w:t>,</w:t>
      </w:r>
      <w:r w:rsidR="001929AC" w:rsidRPr="00F855DD">
        <w:rPr>
          <w:rFonts w:ascii="Times New Roman" w:eastAsia="Times New Roman" w:hAnsi="Times New Roman" w:cs="Times New Roman"/>
          <w:sz w:val="24"/>
          <w:szCs w:val="24"/>
          <w:lang w:eastAsia="lv-LV"/>
        </w:rPr>
        <w:t xml:space="preserve"> </w:t>
      </w:r>
      <w:r w:rsidR="008D0491" w:rsidRPr="00F855DD">
        <w:rPr>
          <w:rFonts w:ascii="Times New Roman" w:hAnsi="Times New Roman" w:cs="Times New Roman"/>
          <w:sz w:val="24"/>
          <w:szCs w:val="24"/>
        </w:rPr>
        <w:t xml:space="preserve">sakarā ar </w:t>
      </w:r>
      <w:r w:rsidR="00C730EC" w:rsidRPr="00F855DD">
        <w:rPr>
          <w:rFonts w:ascii="Times New Roman" w:hAnsi="Times New Roman" w:cs="Times New Roman"/>
          <w:sz w:val="24"/>
          <w:szCs w:val="24"/>
        </w:rPr>
        <w:t xml:space="preserve">SIA „Personāla serviss” (turpmāk – pieteicēja) </w:t>
      </w:r>
      <w:r w:rsidR="008D0491" w:rsidRPr="00F855DD">
        <w:rPr>
          <w:rFonts w:ascii="Times New Roman" w:hAnsi="Times New Roman" w:cs="Times New Roman"/>
          <w:sz w:val="24"/>
          <w:szCs w:val="24"/>
        </w:rPr>
        <w:t>kasācijas sūdzību par Administratīvās apgabaltiesas 2018.gada 6.novembra spriedumu</w:t>
      </w:r>
      <w:r w:rsidR="00C730EC" w:rsidRPr="00F855DD">
        <w:rPr>
          <w:rFonts w:ascii="Times New Roman" w:hAnsi="Times New Roman" w:cs="Times New Roman"/>
          <w:sz w:val="24"/>
          <w:szCs w:val="24"/>
        </w:rPr>
        <w:t xml:space="preserve">, </w:t>
      </w:r>
      <w:r w:rsidR="00C730EC" w:rsidRPr="00F855DD">
        <w:rPr>
          <w:rFonts w:ascii="Times New Roman" w:eastAsia="Times New Roman" w:hAnsi="Times New Roman" w:cs="Times New Roman"/>
          <w:sz w:val="24"/>
          <w:szCs w:val="24"/>
          <w:lang w:eastAsia="lv-LV"/>
        </w:rPr>
        <w:t>ar kuru</w:t>
      </w:r>
      <w:r w:rsidR="00C730EC" w:rsidRPr="00F855DD">
        <w:rPr>
          <w:rFonts w:ascii="Times New Roman" w:hAnsi="Times New Roman" w:cs="Times New Roman"/>
          <w:sz w:val="24"/>
          <w:szCs w:val="24"/>
        </w:rPr>
        <w:t xml:space="preserve"> noraidīts pieteicējas pieteikums par Valsts ieņēmumu dienesta (turpmāk – VID) ģenerāldirektores 2016.gada 8.decembra lēmum</w:t>
      </w:r>
      <w:r w:rsidR="00A406DD" w:rsidRPr="00F855DD">
        <w:rPr>
          <w:rFonts w:ascii="Times New Roman" w:hAnsi="Times New Roman" w:cs="Times New Roman"/>
          <w:sz w:val="24"/>
          <w:szCs w:val="24"/>
        </w:rPr>
        <w:t>a</w:t>
      </w:r>
      <w:r w:rsidR="00C730EC" w:rsidRPr="00F855DD">
        <w:rPr>
          <w:rFonts w:ascii="Times New Roman" w:hAnsi="Times New Roman" w:cs="Times New Roman"/>
          <w:sz w:val="24"/>
          <w:szCs w:val="24"/>
        </w:rPr>
        <w:t xml:space="preserve"> Nr. 30.1-22.9/7976 atcelšanu.</w:t>
      </w:r>
    </w:p>
    <w:p w14:paraId="1BCBB815" w14:textId="67B72339" w:rsidR="008D0491" w:rsidRPr="00F855DD" w:rsidRDefault="00113096" w:rsidP="008D0491">
      <w:pPr>
        <w:autoSpaceDE w:val="0"/>
        <w:autoSpaceDN w:val="0"/>
        <w:adjustRightInd w:val="0"/>
        <w:spacing w:after="0" w:line="240" w:lineRule="auto"/>
        <w:jc w:val="both"/>
        <w:rPr>
          <w:rFonts w:ascii="Times New Roman" w:hAnsi="Times New Roman" w:cs="Times New Roman"/>
          <w:sz w:val="23"/>
          <w:szCs w:val="23"/>
        </w:rPr>
      </w:pPr>
      <w:r w:rsidRPr="00F855DD">
        <w:rPr>
          <w:rFonts w:ascii="Times New Roman" w:hAnsi="Times New Roman" w:cs="Times New Roman"/>
          <w:sz w:val="23"/>
          <w:szCs w:val="23"/>
        </w:rPr>
        <w:t>I</w:t>
      </w:r>
      <w:r w:rsidR="00C730EC" w:rsidRPr="00F855DD">
        <w:rPr>
          <w:rFonts w:ascii="Times New Roman" w:hAnsi="Times New Roman" w:cs="Times New Roman"/>
          <w:sz w:val="23"/>
          <w:szCs w:val="23"/>
        </w:rPr>
        <w:t>epazīstoties ar</w:t>
      </w:r>
      <w:r w:rsidRPr="00F855DD">
        <w:rPr>
          <w:rFonts w:ascii="Times New Roman" w:hAnsi="Times New Roman" w:cs="Times New Roman"/>
          <w:sz w:val="23"/>
          <w:szCs w:val="23"/>
        </w:rPr>
        <w:t xml:space="preserve"> izskatāmās lietas būtību, Veselības ministrija konstatēja, ka p</w:t>
      </w:r>
      <w:r w:rsidR="008D0491" w:rsidRPr="00F855DD">
        <w:rPr>
          <w:rFonts w:ascii="Times New Roman" w:hAnsi="Times New Roman" w:cs="Times New Roman"/>
          <w:sz w:val="23"/>
          <w:szCs w:val="23"/>
        </w:rPr>
        <w:t xml:space="preserve">ieteicēja vērsusies Administratīvajā rajona tiesā, lūdzot atcelt </w:t>
      </w:r>
      <w:r w:rsidR="008D0491" w:rsidRPr="00F855DD">
        <w:rPr>
          <w:rFonts w:ascii="Times New Roman" w:hAnsi="Times New Roman" w:cs="Times New Roman"/>
          <w:sz w:val="24"/>
          <w:szCs w:val="24"/>
        </w:rPr>
        <w:t xml:space="preserve">VID ģenerāldirektora 2016.gada 8.decembra lēmumu Nr. 30.1-22.9/7976, ar kuru pieteicējai papildus aprēķināts pievienotās vērtības nodoklis (turpmāk – PVN) un nokavējuma nauda saistībā ar </w:t>
      </w:r>
      <w:r w:rsidR="008D0491" w:rsidRPr="00F855DD">
        <w:rPr>
          <w:rFonts w:ascii="Times New Roman" w:hAnsi="Times New Roman" w:cs="Times New Roman"/>
          <w:sz w:val="23"/>
          <w:szCs w:val="23"/>
        </w:rPr>
        <w:t xml:space="preserve"> </w:t>
      </w:r>
      <w:r w:rsidR="008D0491" w:rsidRPr="00F855DD">
        <w:rPr>
          <w:rFonts w:ascii="Times New Roman" w:hAnsi="Times New Roman" w:cs="Times New Roman"/>
          <w:sz w:val="24"/>
          <w:szCs w:val="24"/>
        </w:rPr>
        <w:t>2015.gada 11.decembrī muitā deklarēto laišanai brīvā apgrozībā preci – evakuācijas nestuvēm (palagiem), kam VID Muitas pārvalde, veicot muitas deklarācijas datu atbilstības pārbaudi, konstatēja, ka pieteicēja deklarētajai precei nepamatoti piemēroja PVN samazināto likmi 12 %.</w:t>
      </w:r>
    </w:p>
    <w:p w14:paraId="7161CABA" w14:textId="77777777" w:rsidR="008D0491" w:rsidRPr="00F855DD" w:rsidRDefault="008D0491" w:rsidP="008D0491">
      <w:pPr>
        <w:autoSpaceDE w:val="0"/>
        <w:autoSpaceDN w:val="0"/>
        <w:adjustRightInd w:val="0"/>
        <w:spacing w:after="0" w:line="240" w:lineRule="auto"/>
        <w:jc w:val="both"/>
        <w:rPr>
          <w:rFonts w:ascii="Times New Roman" w:hAnsi="Times New Roman" w:cs="Times New Roman"/>
          <w:sz w:val="24"/>
          <w:szCs w:val="24"/>
        </w:rPr>
      </w:pPr>
      <w:r w:rsidRPr="00F855DD">
        <w:rPr>
          <w:rFonts w:ascii="Times New Roman" w:hAnsi="Times New Roman" w:cs="Times New Roman"/>
          <w:sz w:val="23"/>
          <w:szCs w:val="23"/>
        </w:rPr>
        <w:t xml:space="preserve">Senāts kasācijas kārtībā, vērtējot, vai Administratīvā apgabaltiesa, atstājot Administratīvās rajona tiesas spriedumu negrozītu, ir pareizi novērtējusi PVN likuma 42.panta otrās daļas </w:t>
      </w:r>
      <w:r w:rsidRPr="00F855DD">
        <w:rPr>
          <w:rFonts w:ascii="Times New Roman" w:hAnsi="Times New Roman" w:cs="Times New Roman"/>
          <w:sz w:val="24"/>
          <w:szCs w:val="24"/>
        </w:rPr>
        <w:t>atbilstību Padomes 2006.gada 28.novembra Direktīvas 2006/112/EK par kopējo PVN  sistēmu (turpmāk – Direktīva 2006/112/EK) noteiktajam tvērumam, secinājis turpmāk norādīto.</w:t>
      </w:r>
    </w:p>
    <w:p w14:paraId="04A6EE7A" w14:textId="2F358E0B" w:rsidR="008D0491" w:rsidRPr="00F855DD" w:rsidRDefault="008D0491" w:rsidP="00A406DD">
      <w:pPr>
        <w:autoSpaceDE w:val="0"/>
        <w:autoSpaceDN w:val="0"/>
        <w:adjustRightInd w:val="0"/>
        <w:spacing w:after="0" w:line="240" w:lineRule="auto"/>
        <w:jc w:val="both"/>
        <w:rPr>
          <w:rFonts w:ascii="Times New Roman" w:hAnsi="Times New Roman" w:cs="Times New Roman"/>
          <w:sz w:val="23"/>
          <w:szCs w:val="23"/>
        </w:rPr>
      </w:pPr>
      <w:r w:rsidRPr="00F855DD">
        <w:rPr>
          <w:rFonts w:ascii="Times New Roman" w:hAnsi="Times New Roman" w:cs="Times New Roman"/>
          <w:sz w:val="24"/>
          <w:szCs w:val="24"/>
        </w:rPr>
        <w:t>[1</w:t>
      </w:r>
      <w:r w:rsidR="00597ADC" w:rsidRPr="00F855DD">
        <w:rPr>
          <w:rFonts w:ascii="Times New Roman" w:hAnsi="Times New Roman" w:cs="Times New Roman"/>
          <w:sz w:val="24"/>
          <w:szCs w:val="24"/>
        </w:rPr>
        <w:t>.1</w:t>
      </w:r>
      <w:r w:rsidRPr="00F855DD">
        <w:rPr>
          <w:rFonts w:ascii="Times New Roman" w:hAnsi="Times New Roman" w:cs="Times New Roman"/>
          <w:sz w:val="24"/>
          <w:szCs w:val="24"/>
        </w:rPr>
        <w:t>]  Direktīvas 2006/112/EK</w:t>
      </w:r>
      <w:r w:rsidRPr="00F855DD">
        <w:rPr>
          <w:rFonts w:ascii="Times New Roman" w:hAnsi="Times New Roman" w:cs="Times New Roman"/>
          <w:sz w:val="23"/>
          <w:szCs w:val="23"/>
        </w:rPr>
        <w:t xml:space="preserve"> 98.panta 1.punkts paredz dalībvalstīm tiesības piemērot vienu vai divas samazinātas likmes, savukārt 2.punkts noteic, ka samazinātas likmes piemēro tikai tādu kategoriju preču piegādei vai tādu kategoriju pakalpojumu sniegšanai, kas minēti III pielikumā.</w:t>
      </w:r>
    </w:p>
    <w:p w14:paraId="06D9E0C0" w14:textId="7C52C2AE" w:rsidR="008D0491" w:rsidRPr="00F855DD" w:rsidRDefault="008D0491" w:rsidP="00B96B71">
      <w:pPr>
        <w:autoSpaceDE w:val="0"/>
        <w:autoSpaceDN w:val="0"/>
        <w:adjustRightInd w:val="0"/>
        <w:spacing w:after="0" w:line="240" w:lineRule="auto"/>
        <w:jc w:val="both"/>
        <w:rPr>
          <w:rFonts w:ascii="Times New Roman" w:hAnsi="Times New Roman" w:cs="Times New Roman"/>
          <w:b/>
          <w:bCs/>
          <w:sz w:val="23"/>
          <w:szCs w:val="23"/>
        </w:rPr>
      </w:pPr>
      <w:r w:rsidRPr="00F855DD">
        <w:rPr>
          <w:rFonts w:ascii="Times New Roman" w:hAnsi="Times New Roman" w:cs="Times New Roman"/>
          <w:sz w:val="23"/>
          <w:szCs w:val="23"/>
        </w:rPr>
        <w:t xml:space="preserve"> Atbilstoši Eiropas Savienības Tiesas skaidrotajam </w:t>
      </w:r>
      <w:r w:rsidRPr="00F855DD">
        <w:rPr>
          <w:rFonts w:ascii="Times New Roman" w:hAnsi="Times New Roman" w:cs="Times New Roman"/>
          <w:b/>
          <w:bCs/>
          <w:sz w:val="23"/>
          <w:szCs w:val="23"/>
        </w:rPr>
        <w:t>normas, kurām ir atkāpes no kāda principa raksturs, ir interpretējamas šauri, un tas attiecas arī uz dalībvalstīm, tām transponējot direktīvas normas, kas dod iespēju piemērot samazinātās nodokļa likmes</w:t>
      </w:r>
      <w:r w:rsidRPr="00F855DD">
        <w:rPr>
          <w:rFonts w:ascii="Times New Roman" w:hAnsi="Times New Roman" w:cs="Times New Roman"/>
          <w:sz w:val="23"/>
          <w:szCs w:val="23"/>
        </w:rPr>
        <w:t xml:space="preserve"> (</w:t>
      </w:r>
      <w:r w:rsidRPr="00F855DD">
        <w:rPr>
          <w:rFonts w:ascii="Times New Roman" w:hAnsi="Times New Roman" w:cs="Times New Roman"/>
          <w:i/>
          <w:iCs/>
          <w:sz w:val="23"/>
          <w:szCs w:val="23"/>
        </w:rPr>
        <w:t>Eiropas Savienības Tiesas 2013.gada 17.janvāra sprieduma lietā „Komisija/Spānija”, C-360/11 (ECLI:EU:C:2013:17), 18., 20.punkts</w:t>
      </w:r>
      <w:r w:rsidRPr="00F855DD">
        <w:rPr>
          <w:rFonts w:ascii="Times New Roman" w:hAnsi="Times New Roman" w:cs="Times New Roman"/>
          <w:sz w:val="23"/>
          <w:szCs w:val="23"/>
        </w:rPr>
        <w:t xml:space="preserve">). Dalībvalstīm, nosakot īpašās preču kategorijas, kurām piemēro samazināto nodokļa likmi, ir jāievēro minētajos </w:t>
      </w:r>
      <w:r w:rsidRPr="00F855DD">
        <w:rPr>
          <w:rFonts w:ascii="Times New Roman" w:hAnsi="Times New Roman" w:cs="Times New Roman"/>
          <w:sz w:val="24"/>
          <w:szCs w:val="24"/>
        </w:rPr>
        <w:t>Direktīvas 2006/112/EK</w:t>
      </w:r>
      <w:r w:rsidRPr="00F855DD">
        <w:rPr>
          <w:rFonts w:ascii="Times New Roman" w:hAnsi="Times New Roman" w:cs="Times New Roman"/>
          <w:sz w:val="23"/>
          <w:szCs w:val="23"/>
        </w:rPr>
        <w:t xml:space="preserve"> III pielikuma punktos paredzēto kategoriju ietvari, kā tos interpretējusi Eiropas Savienības Tiesa (</w:t>
      </w:r>
      <w:r w:rsidRPr="00F855DD">
        <w:rPr>
          <w:rFonts w:ascii="Times New Roman" w:hAnsi="Times New Roman" w:cs="Times New Roman"/>
          <w:i/>
          <w:iCs/>
          <w:sz w:val="23"/>
          <w:szCs w:val="23"/>
        </w:rPr>
        <w:t>turpat, 22.punkts</w:t>
      </w:r>
      <w:r w:rsidRPr="00F855DD">
        <w:rPr>
          <w:rFonts w:ascii="Times New Roman" w:hAnsi="Times New Roman" w:cs="Times New Roman"/>
          <w:sz w:val="23"/>
          <w:szCs w:val="23"/>
        </w:rPr>
        <w:t>).</w:t>
      </w:r>
      <w:r w:rsidR="00B96B71" w:rsidRPr="00F855DD">
        <w:rPr>
          <w:rFonts w:ascii="Times New Roman" w:hAnsi="Times New Roman" w:cs="Times New Roman"/>
          <w:sz w:val="23"/>
          <w:szCs w:val="23"/>
        </w:rPr>
        <w:t xml:space="preserve"> </w:t>
      </w:r>
      <w:r w:rsidRPr="00F855DD">
        <w:rPr>
          <w:rFonts w:ascii="Times New Roman" w:hAnsi="Times New Roman" w:cs="Times New Roman"/>
          <w:sz w:val="23"/>
          <w:szCs w:val="23"/>
        </w:rPr>
        <w:t xml:space="preserve">Tātad </w:t>
      </w:r>
      <w:r w:rsidRPr="00F855DD">
        <w:rPr>
          <w:rFonts w:ascii="Times New Roman" w:hAnsi="Times New Roman" w:cs="Times New Roman"/>
          <w:b/>
          <w:bCs/>
          <w:sz w:val="23"/>
          <w:szCs w:val="23"/>
        </w:rPr>
        <w:t>dalībvalstis samazinātās nodokļa likmes var noteikt, nepārsniedzot direktīvas III pielikuma tvērumu. Tas jāņem vērā, interpretējot PVN likuma 42.panta otro daļu.</w:t>
      </w:r>
    </w:p>
    <w:p w14:paraId="6F8FCC7C" w14:textId="6D2ADADD" w:rsidR="008D0491" w:rsidRPr="00F855DD" w:rsidRDefault="008D0491" w:rsidP="008D0491">
      <w:pPr>
        <w:autoSpaceDE w:val="0"/>
        <w:autoSpaceDN w:val="0"/>
        <w:adjustRightInd w:val="0"/>
        <w:spacing w:after="0" w:line="240" w:lineRule="auto"/>
        <w:jc w:val="both"/>
        <w:rPr>
          <w:rFonts w:ascii="Times New Roman" w:hAnsi="Times New Roman" w:cs="Times New Roman"/>
          <w:sz w:val="23"/>
          <w:szCs w:val="23"/>
        </w:rPr>
      </w:pPr>
      <w:r w:rsidRPr="00F855DD">
        <w:rPr>
          <w:rFonts w:ascii="Times New Roman" w:hAnsi="Times New Roman" w:cs="Times New Roman"/>
          <w:sz w:val="23"/>
          <w:szCs w:val="23"/>
        </w:rPr>
        <w:t>[</w:t>
      </w:r>
      <w:r w:rsidR="00597ADC" w:rsidRPr="00F855DD">
        <w:rPr>
          <w:rFonts w:ascii="Times New Roman" w:hAnsi="Times New Roman" w:cs="Times New Roman"/>
          <w:sz w:val="23"/>
          <w:szCs w:val="23"/>
        </w:rPr>
        <w:t>1.</w:t>
      </w:r>
      <w:r w:rsidR="00A406DD" w:rsidRPr="00F855DD">
        <w:rPr>
          <w:rFonts w:ascii="Times New Roman" w:hAnsi="Times New Roman" w:cs="Times New Roman"/>
          <w:sz w:val="23"/>
          <w:szCs w:val="23"/>
        </w:rPr>
        <w:t>2</w:t>
      </w:r>
      <w:r w:rsidRPr="00F855DD">
        <w:rPr>
          <w:rFonts w:ascii="Times New Roman" w:hAnsi="Times New Roman" w:cs="Times New Roman"/>
          <w:sz w:val="23"/>
          <w:szCs w:val="23"/>
        </w:rPr>
        <w:t xml:space="preserve">] Direktīvas </w:t>
      </w:r>
      <w:r w:rsidRPr="00F855DD">
        <w:rPr>
          <w:rFonts w:ascii="Times New Roman" w:hAnsi="Times New Roman" w:cs="Times New Roman"/>
          <w:sz w:val="24"/>
          <w:szCs w:val="24"/>
        </w:rPr>
        <w:t>2006/112/EK</w:t>
      </w:r>
      <w:r w:rsidRPr="00F855DD">
        <w:rPr>
          <w:rFonts w:ascii="Times New Roman" w:hAnsi="Times New Roman" w:cs="Times New Roman"/>
          <w:sz w:val="23"/>
          <w:szCs w:val="23"/>
        </w:rPr>
        <w:t xml:space="preserve"> III pielikuma 4.punktā norādīts, ka samazinātu likmi dalībvalsts var piemērot medicīn</w:t>
      </w:r>
      <w:r w:rsidR="009F6B88">
        <w:rPr>
          <w:rFonts w:ascii="Times New Roman" w:hAnsi="Times New Roman" w:cs="Times New Roman"/>
          <w:sz w:val="23"/>
          <w:szCs w:val="23"/>
        </w:rPr>
        <w:t>iskām</w:t>
      </w:r>
      <w:r w:rsidRPr="00F855DD">
        <w:rPr>
          <w:rFonts w:ascii="Times New Roman" w:hAnsi="Times New Roman" w:cs="Times New Roman"/>
          <w:sz w:val="23"/>
          <w:szCs w:val="23"/>
        </w:rPr>
        <w:t xml:space="preserve"> iekārtām, palīgierīcēm un citām ierīcēm, kuras parasti izmanto, lai atvieglotu vai ārstētu invaliditāti, tikai invalīdu personīgai izmantošanai, tostarp šādu preču remontam, kā arī bērnu autosēdekļu piegādei.</w:t>
      </w:r>
    </w:p>
    <w:p w14:paraId="7AA4ADB9" w14:textId="0676976C" w:rsidR="008D0491" w:rsidRPr="00F855DD" w:rsidRDefault="008D0491" w:rsidP="008D0491">
      <w:pPr>
        <w:autoSpaceDE w:val="0"/>
        <w:autoSpaceDN w:val="0"/>
        <w:adjustRightInd w:val="0"/>
        <w:spacing w:after="0" w:line="240" w:lineRule="auto"/>
        <w:jc w:val="both"/>
        <w:rPr>
          <w:rFonts w:ascii="Times New Roman" w:hAnsi="Times New Roman" w:cs="Times New Roman"/>
          <w:b/>
          <w:bCs/>
          <w:sz w:val="23"/>
          <w:szCs w:val="23"/>
        </w:rPr>
      </w:pPr>
      <w:r w:rsidRPr="00F855DD">
        <w:rPr>
          <w:rFonts w:ascii="Times New Roman" w:hAnsi="Times New Roman" w:cs="Times New Roman"/>
          <w:sz w:val="23"/>
          <w:szCs w:val="23"/>
        </w:rPr>
        <w:t>Tā</w:t>
      </w:r>
      <w:r w:rsidR="00B96B71" w:rsidRPr="00F855DD">
        <w:rPr>
          <w:rFonts w:ascii="Times New Roman" w:hAnsi="Times New Roman" w:cs="Times New Roman"/>
          <w:sz w:val="23"/>
          <w:szCs w:val="23"/>
        </w:rPr>
        <w:t>dējādi</w:t>
      </w:r>
      <w:r w:rsidRPr="00F855DD">
        <w:rPr>
          <w:rFonts w:ascii="Times New Roman" w:hAnsi="Times New Roman" w:cs="Times New Roman"/>
          <w:sz w:val="23"/>
          <w:szCs w:val="23"/>
        </w:rPr>
        <w:t xml:space="preserve"> PVN likuma 42.panta otrā daļa jāinterpretē tā, lai nepārsniegtu Direktīvas 2006/112/EK III pielikuma punktos paredzēto kategoriju ietvarus. Tas nozīmē, ka </w:t>
      </w:r>
      <w:r w:rsidRPr="00F855DD">
        <w:rPr>
          <w:rFonts w:ascii="Times New Roman" w:hAnsi="Times New Roman" w:cs="Times New Roman"/>
          <w:b/>
          <w:bCs/>
          <w:sz w:val="23"/>
          <w:szCs w:val="23"/>
        </w:rPr>
        <w:t>pazīme „tikai personu ar organisma funkcijas traucējumiem individuālai lietošanai” nedrīkst būt plašāka par pazīmi „tikai invalīda personīgai izmantošanai”.</w:t>
      </w:r>
    </w:p>
    <w:p w14:paraId="1AA99C01" w14:textId="77777777" w:rsidR="008D0491" w:rsidRPr="00F855DD" w:rsidRDefault="008D0491" w:rsidP="008D0491">
      <w:pPr>
        <w:autoSpaceDE w:val="0"/>
        <w:autoSpaceDN w:val="0"/>
        <w:adjustRightInd w:val="0"/>
        <w:spacing w:after="0" w:line="240" w:lineRule="auto"/>
        <w:jc w:val="both"/>
        <w:rPr>
          <w:rFonts w:ascii="Times New Roman" w:hAnsi="Times New Roman" w:cs="Times New Roman"/>
          <w:sz w:val="23"/>
          <w:szCs w:val="23"/>
        </w:rPr>
      </w:pPr>
      <w:r w:rsidRPr="00F855DD">
        <w:rPr>
          <w:rFonts w:ascii="Times New Roman" w:hAnsi="Times New Roman" w:cs="Times New Roman"/>
          <w:sz w:val="23"/>
          <w:szCs w:val="23"/>
        </w:rPr>
        <w:t xml:space="preserve">Interpretējot šo kritēriju, </w:t>
      </w:r>
      <w:r w:rsidRPr="00F855DD">
        <w:rPr>
          <w:rFonts w:ascii="Times New Roman" w:hAnsi="Times New Roman" w:cs="Times New Roman"/>
          <w:b/>
          <w:bCs/>
          <w:sz w:val="23"/>
          <w:szCs w:val="23"/>
        </w:rPr>
        <w:t xml:space="preserve">jāņem vērā Direktīvas </w:t>
      </w:r>
      <w:r w:rsidRPr="00F855DD">
        <w:rPr>
          <w:rFonts w:ascii="Times New Roman" w:hAnsi="Times New Roman" w:cs="Times New Roman"/>
          <w:b/>
          <w:bCs/>
          <w:sz w:val="24"/>
          <w:szCs w:val="24"/>
        </w:rPr>
        <w:t>2006/112/EK</w:t>
      </w:r>
      <w:r w:rsidRPr="00F855DD">
        <w:rPr>
          <w:rFonts w:ascii="Times New Roman" w:hAnsi="Times New Roman" w:cs="Times New Roman"/>
          <w:b/>
          <w:bCs/>
          <w:sz w:val="23"/>
          <w:szCs w:val="23"/>
        </w:rPr>
        <w:t xml:space="preserve"> III pielikuma samazināto likmju noteikšanas mērķis – padarīt atsevišķus produktus, kuri tiek uzskatīti par īpaši nepieciešamiem, lētākus un tādējādi pieejamākus galapatērētājam, kurš galu galā maksā pievienotās vērtības nodokli</w:t>
      </w:r>
      <w:r w:rsidRPr="00F855DD">
        <w:rPr>
          <w:rFonts w:ascii="Times New Roman" w:hAnsi="Times New Roman" w:cs="Times New Roman"/>
          <w:sz w:val="23"/>
          <w:szCs w:val="23"/>
        </w:rPr>
        <w:t xml:space="preserve"> (</w:t>
      </w:r>
      <w:r w:rsidRPr="00F855DD">
        <w:rPr>
          <w:rFonts w:ascii="Times New Roman" w:hAnsi="Times New Roman" w:cs="Times New Roman"/>
          <w:i/>
          <w:iCs/>
          <w:sz w:val="23"/>
          <w:szCs w:val="23"/>
        </w:rPr>
        <w:t>sprieduma lietā „Komisija/Spānija” 48.punkts</w:t>
      </w:r>
      <w:r w:rsidRPr="00F855DD">
        <w:rPr>
          <w:rFonts w:ascii="Times New Roman" w:hAnsi="Times New Roman" w:cs="Times New Roman"/>
          <w:sz w:val="23"/>
          <w:szCs w:val="23"/>
        </w:rPr>
        <w:t>). Salīdzinoši var minēt, ka Eiropas Savienības Tiesa atzina, ka atbilstoši direktīvas III pielikuma 3.punktam tiek ļauts piemērot samazinātu nodokļa likmi ārstnieciskām vielām tikai tad, ja tās var tieši izmantot galapatērētājs veselības aprūpē, slimību profilaksei vai ārstēšanai medicīniskiem un veterināriem nolūkiem (</w:t>
      </w:r>
      <w:r w:rsidRPr="00F855DD">
        <w:rPr>
          <w:rFonts w:ascii="Times New Roman" w:hAnsi="Times New Roman" w:cs="Times New Roman"/>
          <w:i/>
          <w:iCs/>
          <w:sz w:val="23"/>
          <w:szCs w:val="23"/>
        </w:rPr>
        <w:t>turpat, 50.punkts</w:t>
      </w:r>
      <w:r w:rsidRPr="00F855DD">
        <w:rPr>
          <w:rFonts w:ascii="Times New Roman" w:hAnsi="Times New Roman" w:cs="Times New Roman"/>
          <w:sz w:val="23"/>
          <w:szCs w:val="23"/>
        </w:rPr>
        <w:t xml:space="preserve">). </w:t>
      </w:r>
    </w:p>
    <w:p w14:paraId="77D28756" w14:textId="77777777" w:rsidR="008D0491" w:rsidRPr="00F855DD" w:rsidRDefault="008D0491" w:rsidP="008D0491">
      <w:pPr>
        <w:autoSpaceDE w:val="0"/>
        <w:autoSpaceDN w:val="0"/>
        <w:adjustRightInd w:val="0"/>
        <w:spacing w:after="0" w:line="240" w:lineRule="auto"/>
        <w:jc w:val="both"/>
        <w:rPr>
          <w:rFonts w:ascii="Times New Roman" w:hAnsi="Times New Roman" w:cs="Times New Roman"/>
          <w:sz w:val="23"/>
          <w:szCs w:val="23"/>
        </w:rPr>
      </w:pPr>
      <w:r w:rsidRPr="00F855DD">
        <w:rPr>
          <w:rFonts w:ascii="Times New Roman" w:hAnsi="Times New Roman" w:cs="Times New Roman"/>
          <w:sz w:val="23"/>
          <w:szCs w:val="23"/>
        </w:rPr>
        <w:lastRenderedPageBreak/>
        <w:t xml:space="preserve">No tā secināms, ka arī direktīvas III pielikuma 4.punkta mērķis ir padarīt noteiktas preces pieejamākas galapatērētājam, šai gadījumā personām ar invaliditāti, tātad samazināta likme būtu piemērojama tad, ja attiecīgus produktus var tieši izmantot galapatērētājs – persona ar invaliditāti. </w:t>
      </w:r>
    </w:p>
    <w:p w14:paraId="629ED830" w14:textId="62130C0F" w:rsidR="008D0491" w:rsidRPr="00F855DD" w:rsidRDefault="008D0491" w:rsidP="008D0491">
      <w:pPr>
        <w:autoSpaceDE w:val="0"/>
        <w:autoSpaceDN w:val="0"/>
        <w:adjustRightInd w:val="0"/>
        <w:spacing w:after="0" w:line="240" w:lineRule="auto"/>
        <w:jc w:val="both"/>
        <w:rPr>
          <w:rFonts w:ascii="Times New Roman" w:hAnsi="Times New Roman" w:cs="Times New Roman"/>
          <w:sz w:val="23"/>
          <w:szCs w:val="23"/>
        </w:rPr>
      </w:pPr>
      <w:r w:rsidRPr="00F855DD">
        <w:rPr>
          <w:rFonts w:ascii="Times New Roman" w:hAnsi="Times New Roman" w:cs="Times New Roman"/>
          <w:sz w:val="23"/>
          <w:szCs w:val="23"/>
        </w:rPr>
        <w:t>Tieši šā īpašā mērķa dēļ Eiropas Savienības Tiesa noraidīja argumentu, ka III pielikuma 3.punktā jēdzienā „farmaceitiskie produkti” varētu ietvert visas medicīniskās preces, materiālus, iekārtas un ierīces, kas paredzētas vispārējai izmantošanai, vai ka šādas preces varētu būt ietvertas III pielikuma 4.punktā. Tiesa ņēma vērā, ka medicīnisku un veterināru preču, materiālu, iekārtu un ierīču izmaksas reti tieši segs galapatērētājs, jo šos produktus galvenokārt izmanto veselības aprūpes nozares profesionāļi pakalpojumu sniegšanai. Veselības aprūpes nozares profesionāļu sniegtie pakalpojumi toties var tikt atbrīvoti no pievienotās vērtības nodokļa saskaņā ar direktīvas 132.pantu („Atbrīvojumi konkrētām darbībām sabiedrības interesēs”). Tādam atbrīvojumam ir cits mērķis, kas minēts Līguma par Eiropas Savienības darbību 168.panta 4.punkta „c” apakšpunktā – veicināt pasākumus, ar kuriem nosaka augstus kvalitātes un drošības standartus zālēm un medicīn</w:t>
      </w:r>
      <w:r w:rsidR="00DE4DCD">
        <w:rPr>
          <w:rFonts w:ascii="Times New Roman" w:hAnsi="Times New Roman" w:cs="Times New Roman"/>
          <w:sz w:val="23"/>
          <w:szCs w:val="23"/>
        </w:rPr>
        <w:t>iskām</w:t>
      </w:r>
      <w:r w:rsidRPr="00F855DD">
        <w:rPr>
          <w:rFonts w:ascii="Times New Roman" w:hAnsi="Times New Roman" w:cs="Times New Roman"/>
          <w:sz w:val="23"/>
          <w:szCs w:val="23"/>
        </w:rPr>
        <w:t xml:space="preserve"> ierīcēm (</w:t>
      </w:r>
      <w:r w:rsidRPr="00F855DD">
        <w:rPr>
          <w:rFonts w:ascii="Times New Roman" w:hAnsi="Times New Roman" w:cs="Times New Roman"/>
          <w:i/>
          <w:iCs/>
          <w:sz w:val="23"/>
          <w:szCs w:val="23"/>
        </w:rPr>
        <w:t>turpat, 62., 65.–67.punkts</w:t>
      </w:r>
      <w:r w:rsidRPr="00F855DD">
        <w:rPr>
          <w:rFonts w:ascii="Times New Roman" w:hAnsi="Times New Roman" w:cs="Times New Roman"/>
          <w:sz w:val="23"/>
          <w:szCs w:val="23"/>
        </w:rPr>
        <w:t>).</w:t>
      </w:r>
    </w:p>
    <w:p w14:paraId="4C0AD498" w14:textId="771610E8" w:rsidR="008D0491" w:rsidRPr="00F855DD" w:rsidRDefault="008D0491" w:rsidP="00B96B71">
      <w:pPr>
        <w:autoSpaceDE w:val="0"/>
        <w:autoSpaceDN w:val="0"/>
        <w:adjustRightInd w:val="0"/>
        <w:spacing w:after="0" w:line="240" w:lineRule="auto"/>
        <w:jc w:val="both"/>
        <w:rPr>
          <w:rFonts w:ascii="Times New Roman" w:hAnsi="Times New Roman" w:cs="Times New Roman"/>
          <w:sz w:val="23"/>
          <w:szCs w:val="23"/>
        </w:rPr>
      </w:pPr>
      <w:r w:rsidRPr="00F855DD">
        <w:rPr>
          <w:rFonts w:ascii="Times New Roman" w:hAnsi="Times New Roman" w:cs="Times New Roman"/>
          <w:sz w:val="23"/>
          <w:szCs w:val="23"/>
        </w:rPr>
        <w:t>[</w:t>
      </w:r>
      <w:r w:rsidR="00597ADC" w:rsidRPr="00F855DD">
        <w:rPr>
          <w:rFonts w:ascii="Times New Roman" w:hAnsi="Times New Roman" w:cs="Times New Roman"/>
          <w:sz w:val="23"/>
          <w:szCs w:val="23"/>
        </w:rPr>
        <w:t>1.</w:t>
      </w:r>
      <w:r w:rsidR="00A406DD" w:rsidRPr="00F855DD">
        <w:rPr>
          <w:rFonts w:ascii="Times New Roman" w:hAnsi="Times New Roman" w:cs="Times New Roman"/>
          <w:sz w:val="23"/>
          <w:szCs w:val="23"/>
        </w:rPr>
        <w:t>3</w:t>
      </w:r>
      <w:r w:rsidRPr="00F855DD">
        <w:rPr>
          <w:rFonts w:ascii="Times New Roman" w:hAnsi="Times New Roman" w:cs="Times New Roman"/>
          <w:sz w:val="23"/>
          <w:szCs w:val="23"/>
        </w:rPr>
        <w:t>] Senāts secinājis, ka izskatāmajā lietā nav strīda par to, ka evakuācijas nestuves (palagus) var izmantot atkārtoti attiecībā uz dažādām personām (</w:t>
      </w:r>
      <w:r w:rsidRPr="00F855DD">
        <w:rPr>
          <w:rFonts w:ascii="Times New Roman" w:hAnsi="Times New Roman" w:cs="Times New Roman"/>
          <w:i/>
          <w:iCs/>
          <w:sz w:val="23"/>
          <w:szCs w:val="23"/>
        </w:rPr>
        <w:t>apgabaltiesas sprieduma 10.punkts</w:t>
      </w:r>
      <w:r w:rsidRPr="00F855DD">
        <w:rPr>
          <w:rFonts w:ascii="Times New Roman" w:hAnsi="Times New Roman" w:cs="Times New Roman"/>
          <w:sz w:val="23"/>
          <w:szCs w:val="23"/>
        </w:rPr>
        <w:t xml:space="preserve">; </w:t>
      </w:r>
      <w:r w:rsidRPr="00F855DD">
        <w:rPr>
          <w:rFonts w:ascii="Times New Roman" w:hAnsi="Times New Roman" w:cs="Times New Roman"/>
          <w:i/>
          <w:iCs/>
          <w:sz w:val="23"/>
          <w:szCs w:val="23"/>
        </w:rPr>
        <w:t>kasācijas sūdzības 9.punkts</w:t>
      </w:r>
      <w:r w:rsidRPr="00F855DD">
        <w:rPr>
          <w:rFonts w:ascii="Times New Roman" w:hAnsi="Times New Roman" w:cs="Times New Roman"/>
          <w:sz w:val="23"/>
          <w:szCs w:val="23"/>
        </w:rPr>
        <w:t>). Šis apstāklis kopsakarā ar nolūku evakuācijas nestuves (palagus) izmantot sociālajos centros (</w:t>
      </w:r>
      <w:r w:rsidRPr="00F855DD">
        <w:rPr>
          <w:rFonts w:ascii="Times New Roman" w:hAnsi="Times New Roman" w:cs="Times New Roman"/>
          <w:i/>
          <w:iCs/>
          <w:sz w:val="23"/>
          <w:szCs w:val="23"/>
        </w:rPr>
        <w:t>rajona tiesas sprieduma 4.punkts</w:t>
      </w:r>
      <w:r w:rsidRPr="00F855DD">
        <w:rPr>
          <w:rFonts w:ascii="Times New Roman" w:hAnsi="Times New Roman" w:cs="Times New Roman"/>
          <w:sz w:val="23"/>
          <w:szCs w:val="23"/>
        </w:rPr>
        <w:t xml:space="preserve">), ļauj secināt, ka prece paredzēta vispārējai izmantošanai. Jāņem vērā, ka atbilstoši Eiropas Savienības Tiesas skaidrojumam, lai varētu piemērot samazinātu nodokļa likmi produktam, kuru var dažādi izmantot, </w:t>
      </w:r>
      <w:r w:rsidRPr="00F855DD">
        <w:rPr>
          <w:rFonts w:ascii="Times New Roman" w:hAnsi="Times New Roman" w:cs="Times New Roman"/>
          <w:b/>
          <w:bCs/>
          <w:sz w:val="23"/>
          <w:szCs w:val="23"/>
        </w:rPr>
        <w:t>katrā piegādes reizē ir jānosaka konkrēts izmantošanas mērķis, kādu attiecībā uz šo produktu paredzējis tā pircējs</w:t>
      </w:r>
      <w:r w:rsidRPr="00F855DD">
        <w:rPr>
          <w:rFonts w:ascii="Times New Roman" w:hAnsi="Times New Roman" w:cs="Times New Roman"/>
          <w:sz w:val="23"/>
          <w:szCs w:val="23"/>
        </w:rPr>
        <w:t xml:space="preserve"> (</w:t>
      </w:r>
      <w:r w:rsidRPr="00F855DD">
        <w:rPr>
          <w:rFonts w:ascii="Times New Roman" w:hAnsi="Times New Roman" w:cs="Times New Roman"/>
          <w:i/>
          <w:iCs/>
          <w:sz w:val="23"/>
          <w:szCs w:val="23"/>
        </w:rPr>
        <w:t>Eiropas Savienības Tiesas 2011.gada 3.marta sprieduma lietā „Komisija/Nīderlande”, C</w:t>
      </w:r>
      <w:r w:rsidRPr="00F855DD">
        <w:rPr>
          <w:rFonts w:ascii="Times New Roman" w:hAnsi="Times New Roman" w:cs="Times New Roman"/>
          <w:i/>
          <w:iCs/>
          <w:sz w:val="23"/>
          <w:szCs w:val="23"/>
        </w:rPr>
        <w:noBreakHyphen/>
        <w:t>41/09 (ECLI:EU:C:2011:108), 65.punkts; sprieduma lietā „Komisija/Spānija” 87.punkts</w:t>
      </w:r>
      <w:r w:rsidRPr="00F855DD">
        <w:rPr>
          <w:rFonts w:ascii="Times New Roman" w:hAnsi="Times New Roman" w:cs="Times New Roman"/>
          <w:sz w:val="23"/>
          <w:szCs w:val="23"/>
        </w:rPr>
        <w:t>).</w:t>
      </w:r>
      <w:r w:rsidR="00B96B71" w:rsidRPr="00F855DD">
        <w:rPr>
          <w:rFonts w:ascii="Times New Roman" w:hAnsi="Times New Roman" w:cs="Times New Roman"/>
          <w:sz w:val="23"/>
          <w:szCs w:val="23"/>
        </w:rPr>
        <w:t xml:space="preserve"> </w:t>
      </w:r>
      <w:r w:rsidRPr="00F855DD">
        <w:rPr>
          <w:rFonts w:ascii="Times New Roman" w:hAnsi="Times New Roman" w:cs="Times New Roman"/>
          <w:b/>
          <w:bCs/>
          <w:sz w:val="23"/>
          <w:szCs w:val="23"/>
        </w:rPr>
        <w:t>Ja paredzēts, ka ārstniecības iestādes, slimnīcas vai sociālā centra darbinieki medicīnisko ierīci lieto vairākas reizes attiecībā uz dažādām personām, tad nevar uzskatīt, ka medicīniskā ierīce paredzēta tikai personīgai izmantošanai</w:t>
      </w:r>
      <w:r w:rsidRPr="00F855DD">
        <w:rPr>
          <w:rFonts w:ascii="Times New Roman" w:hAnsi="Times New Roman" w:cs="Times New Roman"/>
          <w:sz w:val="23"/>
          <w:szCs w:val="23"/>
        </w:rPr>
        <w:t>.</w:t>
      </w:r>
    </w:p>
    <w:p w14:paraId="7726F45D" w14:textId="7291CCF1" w:rsidR="008D0491" w:rsidRPr="00F855DD" w:rsidRDefault="00B96B71" w:rsidP="008D0491">
      <w:pPr>
        <w:autoSpaceDE w:val="0"/>
        <w:autoSpaceDN w:val="0"/>
        <w:adjustRightInd w:val="0"/>
        <w:spacing w:after="0" w:line="240" w:lineRule="auto"/>
        <w:jc w:val="both"/>
        <w:rPr>
          <w:rFonts w:ascii="Times New Roman" w:hAnsi="Times New Roman" w:cs="Times New Roman"/>
          <w:sz w:val="23"/>
          <w:szCs w:val="23"/>
        </w:rPr>
      </w:pPr>
      <w:r w:rsidRPr="00F855DD">
        <w:rPr>
          <w:rFonts w:ascii="Times New Roman" w:hAnsi="Times New Roman" w:cs="Times New Roman"/>
          <w:sz w:val="23"/>
          <w:szCs w:val="23"/>
        </w:rPr>
        <w:t>[1.</w:t>
      </w:r>
      <w:r w:rsidR="00A406DD" w:rsidRPr="00F855DD">
        <w:rPr>
          <w:rFonts w:ascii="Times New Roman" w:hAnsi="Times New Roman" w:cs="Times New Roman"/>
          <w:sz w:val="23"/>
          <w:szCs w:val="23"/>
        </w:rPr>
        <w:t>4</w:t>
      </w:r>
      <w:r w:rsidRPr="00F855DD">
        <w:rPr>
          <w:rFonts w:ascii="Times New Roman" w:hAnsi="Times New Roman" w:cs="Times New Roman"/>
          <w:sz w:val="23"/>
          <w:szCs w:val="23"/>
        </w:rPr>
        <w:t xml:space="preserve">] </w:t>
      </w:r>
      <w:r w:rsidR="008D0491" w:rsidRPr="00F855DD">
        <w:rPr>
          <w:rFonts w:ascii="Times New Roman" w:hAnsi="Times New Roman" w:cs="Times New Roman"/>
          <w:sz w:val="23"/>
          <w:szCs w:val="23"/>
        </w:rPr>
        <w:t xml:space="preserve">Interpretējot tieši direktīvas III pielikuma 4.punktā ietverto kritēriju „tikai invalīdu personīgai izmantošanai”, Eiropas Savienības Tiesa atzina, ka no jēdzieniem „personīgai” un „tikai” izriet, ka 4.punktā nav paredzēti noteikumi vispārējai piemērošanai. Tādējādi </w:t>
      </w:r>
      <w:r w:rsidR="008D0491" w:rsidRPr="00F855DD">
        <w:rPr>
          <w:rFonts w:ascii="Times New Roman" w:hAnsi="Times New Roman" w:cs="Times New Roman"/>
          <w:b/>
          <w:bCs/>
          <w:sz w:val="23"/>
          <w:szCs w:val="23"/>
        </w:rPr>
        <w:t>mērķis atvieglot atsevišķu īpaši nepieciešamu produktu izmaksas galapatērētājam nevar attaisnot samazinātas nodokļa likmes piemērošanu medicīn</w:t>
      </w:r>
      <w:r w:rsidR="00DE4DCD">
        <w:rPr>
          <w:rFonts w:ascii="Times New Roman" w:hAnsi="Times New Roman" w:cs="Times New Roman"/>
          <w:b/>
          <w:bCs/>
          <w:sz w:val="23"/>
          <w:szCs w:val="23"/>
        </w:rPr>
        <w:t>iskām</w:t>
      </w:r>
      <w:r w:rsidR="008D0491" w:rsidRPr="00F855DD">
        <w:rPr>
          <w:rFonts w:ascii="Times New Roman" w:hAnsi="Times New Roman" w:cs="Times New Roman"/>
          <w:b/>
          <w:bCs/>
          <w:sz w:val="23"/>
          <w:szCs w:val="23"/>
        </w:rPr>
        <w:t xml:space="preserve"> iekārtām, kas paredzētas vispārējai izmantošanai, kuras izmanto slimnīcas un veselības nozares profesionāļi</w:t>
      </w:r>
      <w:r w:rsidR="008D0491" w:rsidRPr="00F855DD">
        <w:rPr>
          <w:rFonts w:ascii="Times New Roman" w:hAnsi="Times New Roman" w:cs="Times New Roman"/>
          <w:sz w:val="23"/>
          <w:szCs w:val="23"/>
        </w:rPr>
        <w:t xml:space="preserve"> (</w:t>
      </w:r>
      <w:r w:rsidR="008D0491" w:rsidRPr="00F855DD">
        <w:rPr>
          <w:rFonts w:ascii="Times New Roman" w:hAnsi="Times New Roman" w:cs="Times New Roman"/>
          <w:i/>
          <w:iCs/>
          <w:sz w:val="23"/>
          <w:szCs w:val="23"/>
        </w:rPr>
        <w:t>turpat, 85.–86.punkts</w:t>
      </w:r>
      <w:r w:rsidR="008D0491" w:rsidRPr="00F855DD">
        <w:rPr>
          <w:rFonts w:ascii="Times New Roman" w:hAnsi="Times New Roman" w:cs="Times New Roman"/>
          <w:sz w:val="23"/>
          <w:szCs w:val="23"/>
        </w:rPr>
        <w:t>).</w:t>
      </w:r>
    </w:p>
    <w:p w14:paraId="2C7985C1" w14:textId="32EAC900" w:rsidR="008D0491" w:rsidRPr="00F855DD" w:rsidRDefault="008D0491" w:rsidP="008D0491">
      <w:pPr>
        <w:autoSpaceDE w:val="0"/>
        <w:autoSpaceDN w:val="0"/>
        <w:adjustRightInd w:val="0"/>
        <w:spacing w:after="0" w:line="240" w:lineRule="auto"/>
        <w:jc w:val="both"/>
        <w:rPr>
          <w:rFonts w:ascii="Times New Roman" w:hAnsi="Times New Roman" w:cs="Times New Roman"/>
          <w:b/>
          <w:bCs/>
          <w:sz w:val="23"/>
          <w:szCs w:val="23"/>
        </w:rPr>
      </w:pPr>
      <w:r w:rsidRPr="00F855DD">
        <w:rPr>
          <w:rFonts w:ascii="Times New Roman" w:hAnsi="Times New Roman" w:cs="Times New Roman"/>
          <w:b/>
          <w:bCs/>
          <w:sz w:val="23"/>
          <w:szCs w:val="23"/>
        </w:rPr>
        <w:t xml:space="preserve">Tādējādi arī PVN likuma 42.panta otrā daļa nevar tikt piemērota tādā veidā, kas paplašinātu nodokļa samazinātās likmes piemērošanu uz precēm, kas paredzētas vispārējai izmantošanai – atkārtoti attiecībā uz dažādām personām. </w:t>
      </w:r>
    </w:p>
    <w:p w14:paraId="4D0CFB3A" w14:textId="77777777" w:rsidR="008D0491" w:rsidRPr="00F855DD" w:rsidRDefault="008D0491" w:rsidP="008D0491">
      <w:pPr>
        <w:autoSpaceDE w:val="0"/>
        <w:autoSpaceDN w:val="0"/>
        <w:adjustRightInd w:val="0"/>
        <w:spacing w:after="0" w:line="240" w:lineRule="auto"/>
        <w:jc w:val="both"/>
        <w:rPr>
          <w:rFonts w:ascii="Times New Roman" w:hAnsi="Times New Roman" w:cs="Times New Roman"/>
          <w:sz w:val="23"/>
          <w:szCs w:val="23"/>
        </w:rPr>
      </w:pPr>
    </w:p>
    <w:p w14:paraId="5C2B1518" w14:textId="03F76A0D" w:rsidR="00770120" w:rsidRPr="00F855DD" w:rsidRDefault="00597ADC" w:rsidP="00597ADC">
      <w:pPr>
        <w:autoSpaceDE w:val="0"/>
        <w:autoSpaceDN w:val="0"/>
        <w:adjustRightInd w:val="0"/>
        <w:spacing w:after="0" w:line="240" w:lineRule="auto"/>
        <w:jc w:val="both"/>
        <w:rPr>
          <w:rFonts w:ascii="Times New Roman" w:hAnsi="Times New Roman" w:cs="Times New Roman"/>
          <w:b/>
          <w:bCs/>
          <w:sz w:val="24"/>
          <w:szCs w:val="24"/>
          <w:bdr w:val="none" w:sz="0" w:space="0" w:color="auto" w:frame="1"/>
          <w:shd w:val="clear" w:color="auto" w:fill="FFFFFF"/>
        </w:rPr>
      </w:pPr>
      <w:r w:rsidRPr="00F855DD">
        <w:rPr>
          <w:rFonts w:ascii="Times New Roman" w:hAnsi="Times New Roman" w:cs="Times New Roman"/>
          <w:sz w:val="24"/>
          <w:szCs w:val="24"/>
        </w:rPr>
        <w:t xml:space="preserve">[2] </w:t>
      </w:r>
      <w:r w:rsidR="008D0491" w:rsidRPr="00F855DD">
        <w:rPr>
          <w:rFonts w:ascii="Times New Roman" w:hAnsi="Times New Roman" w:cs="Times New Roman"/>
          <w:sz w:val="24"/>
          <w:szCs w:val="24"/>
        </w:rPr>
        <w:t xml:space="preserve">Veselības ministrija, ņemot vērā Eiropas Savienības 2013.gada 17.janvāra sprieduma lietā „Komisija/Spānija”, C-360/11 (ECLI:EU:C:2013:17) un Senāta 2021.gada 22.marta spriedumā administratīvajā lietā Nr.A420143317 (SKA-123/2021) paustos apsvērumus, kas </w:t>
      </w:r>
      <w:r w:rsidR="008D0491" w:rsidRPr="00F855DD">
        <w:rPr>
          <w:rFonts w:ascii="Times New Roman" w:hAnsi="Times New Roman" w:cs="Times New Roman"/>
          <w:sz w:val="24"/>
          <w:szCs w:val="24"/>
          <w:shd w:val="clear" w:color="auto" w:fill="FFFFFF"/>
        </w:rPr>
        <w:t xml:space="preserve">jāņem vērā, turpmāk tulkojot likuma normu un nosakot tās tvērumu – uz kādām precēm samazinātā </w:t>
      </w:r>
      <w:r w:rsidRPr="00F855DD">
        <w:rPr>
          <w:rFonts w:ascii="Times New Roman" w:hAnsi="Times New Roman" w:cs="Times New Roman"/>
          <w:sz w:val="24"/>
          <w:szCs w:val="24"/>
        </w:rPr>
        <w:t>PVN</w:t>
      </w:r>
      <w:r w:rsidR="008D0491" w:rsidRPr="00F855DD">
        <w:rPr>
          <w:rFonts w:ascii="Times New Roman" w:hAnsi="Times New Roman" w:cs="Times New Roman"/>
          <w:sz w:val="24"/>
          <w:szCs w:val="24"/>
          <w:shd w:val="clear" w:color="auto" w:fill="FFFFFF"/>
        </w:rPr>
        <w:t xml:space="preserve"> likme ir attiecināma</w:t>
      </w:r>
      <w:r w:rsidR="00770120" w:rsidRPr="00F855DD">
        <w:rPr>
          <w:rFonts w:ascii="Times New Roman" w:hAnsi="Times New Roman" w:cs="Times New Roman"/>
          <w:sz w:val="24"/>
          <w:szCs w:val="24"/>
          <w:shd w:val="clear" w:color="auto" w:fill="FFFFFF"/>
        </w:rPr>
        <w:t xml:space="preserve">, </w:t>
      </w:r>
      <w:r w:rsidR="00770120" w:rsidRPr="00F855DD">
        <w:rPr>
          <w:rFonts w:ascii="Times New Roman" w:hAnsi="Times New Roman" w:cs="Times New Roman"/>
          <w:sz w:val="24"/>
          <w:szCs w:val="24"/>
          <w:bdr w:val="none" w:sz="0" w:space="0" w:color="auto" w:frame="1"/>
          <w:shd w:val="clear" w:color="auto" w:fill="FFFFFF"/>
        </w:rPr>
        <w:t xml:space="preserve">secinājusi, ka </w:t>
      </w:r>
      <w:r w:rsidR="00071AC0" w:rsidRPr="00F855DD">
        <w:rPr>
          <w:rFonts w:ascii="Times New Roman" w:hAnsi="Times New Roman" w:cs="Times New Roman"/>
          <w:sz w:val="24"/>
          <w:szCs w:val="24"/>
          <w:bdr w:val="none" w:sz="0" w:space="0" w:color="auto" w:frame="1"/>
          <w:shd w:val="clear" w:color="auto" w:fill="FFFFFF"/>
        </w:rPr>
        <w:t xml:space="preserve">nacionālajā līmenī noteiktās prasības </w:t>
      </w:r>
      <w:r w:rsidR="00770120" w:rsidRPr="00F855DD">
        <w:rPr>
          <w:rFonts w:ascii="Times New Roman" w:hAnsi="Times New Roman" w:cs="Times New Roman"/>
          <w:sz w:val="24"/>
          <w:szCs w:val="24"/>
          <w:bdr w:val="none" w:sz="0" w:space="0" w:color="auto" w:frame="1"/>
          <w:shd w:val="clear" w:color="auto" w:fill="FFFFFF"/>
        </w:rPr>
        <w:t xml:space="preserve">par </w:t>
      </w:r>
      <w:r w:rsidR="00071AC0" w:rsidRPr="00F855DD">
        <w:rPr>
          <w:rFonts w:ascii="Times New Roman" w:hAnsi="Times New Roman" w:cs="Times New Roman"/>
          <w:sz w:val="24"/>
          <w:szCs w:val="24"/>
          <w:bdr w:val="none" w:sz="0" w:space="0" w:color="auto" w:frame="1"/>
          <w:shd w:val="clear" w:color="auto" w:fill="FFFFFF"/>
        </w:rPr>
        <w:t>samazinātās PVN likmes piemērošan</w:t>
      </w:r>
      <w:r w:rsidR="00770120" w:rsidRPr="00F855DD">
        <w:rPr>
          <w:rFonts w:ascii="Times New Roman" w:hAnsi="Times New Roman" w:cs="Times New Roman"/>
          <w:sz w:val="24"/>
          <w:szCs w:val="24"/>
          <w:bdr w:val="none" w:sz="0" w:space="0" w:color="auto" w:frame="1"/>
          <w:shd w:val="clear" w:color="auto" w:fill="FFFFFF"/>
        </w:rPr>
        <w:t>u</w:t>
      </w:r>
      <w:r w:rsidR="00833DBB" w:rsidRPr="00F855DD">
        <w:rPr>
          <w:rFonts w:ascii="Times New Roman" w:hAnsi="Times New Roman" w:cs="Times New Roman"/>
          <w:sz w:val="24"/>
          <w:szCs w:val="24"/>
          <w:bdr w:val="none" w:sz="0" w:space="0" w:color="auto" w:frame="1"/>
          <w:shd w:val="clear" w:color="auto" w:fill="FFFFFF"/>
        </w:rPr>
        <w:t xml:space="preserve"> </w:t>
      </w:r>
      <w:r w:rsidR="00833DBB" w:rsidRPr="00F855DD">
        <w:rPr>
          <w:rFonts w:ascii="Times New Roman" w:hAnsi="Times New Roman" w:cs="Times New Roman"/>
          <w:b/>
          <w:bCs/>
          <w:sz w:val="24"/>
          <w:szCs w:val="24"/>
          <w:bdr w:val="none" w:sz="0" w:space="0" w:color="auto" w:frame="1"/>
          <w:shd w:val="clear" w:color="auto" w:fill="FFFFFF"/>
        </w:rPr>
        <w:t>tiek</w:t>
      </w:r>
      <w:r w:rsidR="00071AC0" w:rsidRPr="00F855DD">
        <w:rPr>
          <w:rFonts w:ascii="Times New Roman" w:hAnsi="Times New Roman" w:cs="Times New Roman"/>
          <w:b/>
          <w:bCs/>
          <w:sz w:val="24"/>
          <w:szCs w:val="24"/>
          <w:bdr w:val="none" w:sz="0" w:space="0" w:color="auto" w:frame="1"/>
          <w:shd w:val="clear" w:color="auto" w:fill="FFFFFF"/>
        </w:rPr>
        <w:t xml:space="preserve"> interpretētas</w:t>
      </w:r>
      <w:r w:rsidR="00770120" w:rsidRPr="00F855DD">
        <w:rPr>
          <w:rFonts w:ascii="Times New Roman" w:hAnsi="Times New Roman" w:cs="Times New Roman"/>
          <w:b/>
          <w:bCs/>
          <w:sz w:val="24"/>
          <w:szCs w:val="24"/>
          <w:bdr w:val="none" w:sz="0" w:space="0" w:color="auto" w:frame="1"/>
          <w:shd w:val="clear" w:color="auto" w:fill="FFFFFF"/>
        </w:rPr>
        <w:t xml:space="preserve"> daudz</w:t>
      </w:r>
      <w:r w:rsidR="00071AC0" w:rsidRPr="00F855DD">
        <w:rPr>
          <w:rFonts w:ascii="Times New Roman" w:hAnsi="Times New Roman" w:cs="Times New Roman"/>
          <w:b/>
          <w:bCs/>
          <w:sz w:val="24"/>
          <w:szCs w:val="24"/>
          <w:bdr w:val="none" w:sz="0" w:space="0" w:color="auto" w:frame="1"/>
          <w:shd w:val="clear" w:color="auto" w:fill="FFFFFF"/>
        </w:rPr>
        <w:t xml:space="preserve"> plašāk kā tas noteikts </w:t>
      </w:r>
      <w:r w:rsidR="00071AC0" w:rsidRPr="00F855DD">
        <w:rPr>
          <w:rFonts w:ascii="Times New Roman" w:hAnsi="Times New Roman" w:cs="Times New Roman"/>
          <w:b/>
          <w:bCs/>
          <w:sz w:val="24"/>
          <w:szCs w:val="24"/>
        </w:rPr>
        <w:t xml:space="preserve">Direktīvā 2006/112/EK – samazinātā PVN likme attiecināta arī uz </w:t>
      </w:r>
      <w:r w:rsidR="00113096" w:rsidRPr="00F855DD">
        <w:rPr>
          <w:rFonts w:ascii="Times New Roman" w:hAnsi="Times New Roman" w:cs="Times New Roman"/>
          <w:b/>
          <w:bCs/>
          <w:sz w:val="23"/>
          <w:szCs w:val="23"/>
        </w:rPr>
        <w:t xml:space="preserve">medicīniskajām ierīcēm, </w:t>
      </w:r>
      <w:r w:rsidR="00071AC0" w:rsidRPr="00F855DD">
        <w:rPr>
          <w:rFonts w:ascii="Times New Roman" w:hAnsi="Times New Roman" w:cs="Times New Roman"/>
          <w:b/>
          <w:bCs/>
          <w:sz w:val="24"/>
          <w:szCs w:val="24"/>
        </w:rPr>
        <w:t>kas paredzētas vispārējai</w:t>
      </w:r>
      <w:r w:rsidR="00071AC0" w:rsidRPr="00F855DD">
        <w:rPr>
          <w:rFonts w:ascii="Times New Roman" w:hAnsi="Times New Roman" w:cs="Times New Roman"/>
          <w:b/>
          <w:bCs/>
          <w:sz w:val="24"/>
          <w:szCs w:val="24"/>
          <w:bdr w:val="none" w:sz="0" w:space="0" w:color="auto" w:frame="1"/>
          <w:shd w:val="clear" w:color="auto" w:fill="FFFFFF"/>
        </w:rPr>
        <w:t xml:space="preserve"> izmantošanai ārstniecības iestādēs, kā arī tiek piemērota </w:t>
      </w:r>
      <w:r w:rsidR="00770120" w:rsidRPr="00F855DD">
        <w:rPr>
          <w:rFonts w:ascii="Times New Roman" w:hAnsi="Times New Roman" w:cs="Times New Roman"/>
          <w:b/>
          <w:bCs/>
          <w:sz w:val="24"/>
          <w:szCs w:val="24"/>
          <w:bdr w:val="none" w:sz="0" w:space="0" w:color="auto" w:frame="1"/>
          <w:shd w:val="clear" w:color="auto" w:fill="FFFFFF"/>
        </w:rPr>
        <w:t>vienreizlietojamām medicīn</w:t>
      </w:r>
      <w:r w:rsidR="00DE4DCD">
        <w:rPr>
          <w:rFonts w:ascii="Times New Roman" w:hAnsi="Times New Roman" w:cs="Times New Roman"/>
          <w:b/>
          <w:bCs/>
          <w:sz w:val="24"/>
          <w:szCs w:val="24"/>
          <w:bdr w:val="none" w:sz="0" w:space="0" w:color="auto" w:frame="1"/>
          <w:shd w:val="clear" w:color="auto" w:fill="FFFFFF"/>
        </w:rPr>
        <w:t>iskām</w:t>
      </w:r>
      <w:r w:rsidR="00770120" w:rsidRPr="00F855DD">
        <w:rPr>
          <w:rFonts w:ascii="Times New Roman" w:hAnsi="Times New Roman" w:cs="Times New Roman"/>
          <w:b/>
          <w:bCs/>
          <w:sz w:val="24"/>
          <w:szCs w:val="24"/>
          <w:bdr w:val="none" w:sz="0" w:space="0" w:color="auto" w:frame="1"/>
          <w:shd w:val="clear" w:color="auto" w:fill="FFFFFF"/>
        </w:rPr>
        <w:t xml:space="preserve"> ierīcēm un precēm, ko izmanto profesionāļi ārstniecības pakalpojumu sniegšanā.</w:t>
      </w:r>
    </w:p>
    <w:p w14:paraId="4F019B78" w14:textId="64BA0FB9" w:rsidR="00597ADC" w:rsidRPr="00F855DD" w:rsidRDefault="00770120" w:rsidP="00597ADC">
      <w:pPr>
        <w:autoSpaceDE w:val="0"/>
        <w:autoSpaceDN w:val="0"/>
        <w:adjustRightInd w:val="0"/>
        <w:spacing w:after="0" w:line="240" w:lineRule="auto"/>
        <w:jc w:val="both"/>
        <w:rPr>
          <w:rFonts w:ascii="Times New Roman" w:hAnsi="Times New Roman" w:cs="Times New Roman"/>
          <w:sz w:val="24"/>
          <w:szCs w:val="24"/>
          <w:bdr w:val="none" w:sz="0" w:space="0" w:color="auto" w:frame="1"/>
          <w:shd w:val="clear" w:color="auto" w:fill="FFFFFF"/>
        </w:rPr>
      </w:pPr>
      <w:r w:rsidRPr="00F855DD">
        <w:rPr>
          <w:rFonts w:ascii="Times New Roman" w:hAnsi="Times New Roman" w:cs="Times New Roman"/>
          <w:sz w:val="24"/>
          <w:szCs w:val="24"/>
          <w:shd w:val="clear" w:color="auto" w:fill="FFFFFF"/>
        </w:rPr>
        <w:t>Veselības ministrija sadarbībā ar VID pārstāvjiem, kā arī iesaistot Finanšu ministriju</w:t>
      </w:r>
      <w:r w:rsidR="00B87FAD" w:rsidRPr="00F855DD">
        <w:rPr>
          <w:rFonts w:ascii="Times New Roman" w:hAnsi="Times New Roman" w:cs="Times New Roman"/>
          <w:sz w:val="24"/>
          <w:szCs w:val="24"/>
          <w:shd w:val="clear" w:color="auto" w:fill="FFFFFF"/>
        </w:rPr>
        <w:t xml:space="preserve"> </w:t>
      </w:r>
      <w:r w:rsidRPr="00F855DD">
        <w:rPr>
          <w:rFonts w:ascii="Times New Roman" w:hAnsi="Times New Roman" w:cs="Times New Roman"/>
          <w:sz w:val="24"/>
          <w:szCs w:val="24"/>
          <w:shd w:val="clear" w:color="auto" w:fill="FFFFFF"/>
        </w:rPr>
        <w:t xml:space="preserve">vairākās tiešsaites sanāksmēs, lai </w:t>
      </w:r>
      <w:r w:rsidRPr="00F855DD">
        <w:rPr>
          <w:rFonts w:ascii="Times New Roman" w:hAnsi="Times New Roman" w:cs="Times New Roman"/>
          <w:sz w:val="24"/>
          <w:szCs w:val="24"/>
          <w:bdr w:val="none" w:sz="0" w:space="0" w:color="auto" w:frame="1"/>
          <w:shd w:val="clear" w:color="auto" w:fill="FFFFFF"/>
        </w:rPr>
        <w:t>apspriestu PVN samazinātās nodokļu likmes turpmākas piemērošanas taktiku medicīn</w:t>
      </w:r>
      <w:r w:rsidR="00DE4DCD">
        <w:rPr>
          <w:rFonts w:ascii="Times New Roman" w:hAnsi="Times New Roman" w:cs="Times New Roman"/>
          <w:sz w:val="24"/>
          <w:szCs w:val="24"/>
          <w:bdr w:val="none" w:sz="0" w:space="0" w:color="auto" w:frame="1"/>
          <w:shd w:val="clear" w:color="auto" w:fill="FFFFFF"/>
        </w:rPr>
        <w:t>iskām</w:t>
      </w:r>
      <w:r w:rsidRPr="00F855DD">
        <w:rPr>
          <w:rFonts w:ascii="Times New Roman" w:hAnsi="Times New Roman" w:cs="Times New Roman"/>
          <w:sz w:val="24"/>
          <w:szCs w:val="24"/>
          <w:bdr w:val="none" w:sz="0" w:space="0" w:color="auto" w:frame="1"/>
          <w:shd w:val="clear" w:color="auto" w:fill="FFFFFF"/>
        </w:rPr>
        <w:t xml:space="preserve"> ierīcēm</w:t>
      </w:r>
      <w:r w:rsidR="00113096" w:rsidRPr="00F855DD">
        <w:rPr>
          <w:rFonts w:ascii="Times New Roman" w:hAnsi="Times New Roman" w:cs="Times New Roman"/>
          <w:sz w:val="24"/>
          <w:szCs w:val="24"/>
          <w:bdr w:val="none" w:sz="0" w:space="0" w:color="auto" w:frame="1"/>
          <w:shd w:val="clear" w:color="auto" w:fill="FFFFFF"/>
        </w:rPr>
        <w:t xml:space="preserve"> un precēm</w:t>
      </w:r>
      <w:r w:rsidRPr="00F855DD">
        <w:rPr>
          <w:rFonts w:ascii="Times New Roman" w:hAnsi="Times New Roman" w:cs="Times New Roman"/>
          <w:sz w:val="24"/>
          <w:szCs w:val="24"/>
          <w:bdr w:val="none" w:sz="0" w:space="0" w:color="auto" w:frame="1"/>
          <w:shd w:val="clear" w:color="auto" w:fill="FFFFFF"/>
        </w:rPr>
        <w:t xml:space="preserve">, </w:t>
      </w:r>
      <w:r w:rsidR="00C730EC" w:rsidRPr="00F855DD">
        <w:rPr>
          <w:rFonts w:ascii="Times New Roman" w:hAnsi="Times New Roman" w:cs="Times New Roman"/>
          <w:sz w:val="24"/>
          <w:szCs w:val="24"/>
          <w:bdr w:val="none" w:sz="0" w:space="0" w:color="auto" w:frame="1"/>
          <w:shd w:val="clear" w:color="auto" w:fill="FFFFFF"/>
        </w:rPr>
        <w:t>secinājusi</w:t>
      </w:r>
      <w:r w:rsidRPr="00F855DD">
        <w:rPr>
          <w:rFonts w:ascii="Times New Roman" w:hAnsi="Times New Roman" w:cs="Times New Roman"/>
          <w:sz w:val="24"/>
          <w:szCs w:val="24"/>
          <w:bdr w:val="none" w:sz="0" w:space="0" w:color="auto" w:frame="1"/>
          <w:shd w:val="clear" w:color="auto" w:fill="FFFFFF"/>
        </w:rPr>
        <w:t xml:space="preserve"> turpmāk norādīto.</w:t>
      </w:r>
    </w:p>
    <w:p w14:paraId="0FF926DC" w14:textId="7561304A" w:rsidR="0077668B" w:rsidRPr="00F855DD" w:rsidRDefault="005B405B" w:rsidP="00C730EC">
      <w:pPr>
        <w:autoSpaceDE w:val="0"/>
        <w:autoSpaceDN w:val="0"/>
        <w:adjustRightInd w:val="0"/>
        <w:spacing w:after="0" w:line="240" w:lineRule="auto"/>
        <w:jc w:val="both"/>
        <w:rPr>
          <w:rFonts w:ascii="Times New Roman" w:eastAsia="Calibri" w:hAnsi="Times New Roman" w:cs="Times New Roman"/>
          <w:sz w:val="24"/>
          <w:szCs w:val="24"/>
        </w:rPr>
      </w:pPr>
      <w:r w:rsidRPr="00F855DD">
        <w:rPr>
          <w:rFonts w:ascii="Times New Roman" w:hAnsi="Times New Roman" w:cs="Times New Roman"/>
          <w:sz w:val="24"/>
          <w:szCs w:val="24"/>
          <w:bdr w:val="none" w:sz="0" w:space="0" w:color="auto" w:frame="1"/>
          <w:shd w:val="clear" w:color="auto" w:fill="FFFFFF"/>
        </w:rPr>
        <w:t xml:space="preserve">[2.1] </w:t>
      </w:r>
      <w:r w:rsidR="0077668B" w:rsidRPr="00F855DD">
        <w:rPr>
          <w:rFonts w:ascii="Times New Roman" w:eastAsia="Calibri" w:hAnsi="Times New Roman" w:cs="Times New Roman"/>
          <w:sz w:val="24"/>
          <w:szCs w:val="24"/>
        </w:rPr>
        <w:t xml:space="preserve">Lai medicīniskajai ierīcei piemērotu samazināto PVN likmi, vienlaikus ir jāizpildās </w:t>
      </w:r>
      <w:r w:rsidR="00113096" w:rsidRPr="00F855DD">
        <w:rPr>
          <w:rFonts w:ascii="Times New Roman" w:eastAsia="Calibri" w:hAnsi="Times New Roman" w:cs="Times New Roman"/>
          <w:sz w:val="24"/>
          <w:szCs w:val="24"/>
        </w:rPr>
        <w:t xml:space="preserve">PVN likuma 42.panta otrajā daļā norādītajiem </w:t>
      </w:r>
      <w:r w:rsidR="008C514C" w:rsidRPr="00F855DD">
        <w:rPr>
          <w:rFonts w:ascii="Times New Roman" w:eastAsia="Calibri" w:hAnsi="Times New Roman" w:cs="Times New Roman"/>
          <w:sz w:val="24"/>
          <w:szCs w:val="24"/>
        </w:rPr>
        <w:t xml:space="preserve">kritērijiem. </w:t>
      </w:r>
      <w:r w:rsidR="0077668B" w:rsidRPr="00F855DD">
        <w:rPr>
          <w:rFonts w:ascii="Times New Roman" w:eastAsia="Calibri" w:hAnsi="Times New Roman" w:cs="Times New Roman"/>
          <w:sz w:val="24"/>
          <w:szCs w:val="24"/>
          <w:u w:val="single"/>
        </w:rPr>
        <w:t xml:space="preserve">Ja medicīniskā ierīce </w:t>
      </w:r>
      <w:r w:rsidR="0077668B" w:rsidRPr="00F855DD">
        <w:rPr>
          <w:rFonts w:ascii="Times New Roman" w:eastAsia="Calibri" w:hAnsi="Times New Roman" w:cs="Times New Roman"/>
          <w:sz w:val="24"/>
          <w:szCs w:val="24"/>
          <w:u w:val="single"/>
        </w:rPr>
        <w:lastRenderedPageBreak/>
        <w:t>neatbilst kaut vai vienam no minētajiem trīs kritērijiem, tās piegādei piemērojama PVN standartlikme 21 procenta apmērā</w:t>
      </w:r>
      <w:r w:rsidR="0077668B" w:rsidRPr="00F855DD">
        <w:rPr>
          <w:rFonts w:ascii="Times New Roman" w:eastAsia="Calibri" w:hAnsi="Times New Roman" w:cs="Times New Roman"/>
          <w:sz w:val="24"/>
          <w:szCs w:val="24"/>
        </w:rPr>
        <w:t xml:space="preserve">. </w:t>
      </w:r>
    </w:p>
    <w:p w14:paraId="645480F7" w14:textId="6920D2C6" w:rsidR="0077668B" w:rsidRPr="00F855DD" w:rsidRDefault="0077668B" w:rsidP="00455372">
      <w:pPr>
        <w:spacing w:after="0" w:line="240" w:lineRule="auto"/>
        <w:jc w:val="both"/>
        <w:rPr>
          <w:rFonts w:ascii="Times New Roman" w:eastAsia="Times New Roman" w:hAnsi="Times New Roman" w:cs="Times New Roman"/>
          <w:sz w:val="24"/>
          <w:szCs w:val="24"/>
          <w:lang w:eastAsia="lv-LV"/>
        </w:rPr>
      </w:pPr>
      <w:r w:rsidRPr="00F855DD">
        <w:rPr>
          <w:rFonts w:ascii="Times New Roman" w:eastAsia="Calibri" w:hAnsi="Times New Roman" w:cs="Times New Roman"/>
          <w:sz w:val="24"/>
          <w:szCs w:val="24"/>
          <w:bdr w:val="none" w:sz="0" w:space="0" w:color="auto" w:frame="1"/>
          <w:shd w:val="clear" w:color="auto" w:fill="FFFFFF"/>
        </w:rPr>
        <w:t>S</w:t>
      </w:r>
      <w:r w:rsidRPr="00F855DD">
        <w:rPr>
          <w:rFonts w:ascii="Times New Roman" w:eastAsia="Calibri" w:hAnsi="Times New Roman" w:cs="Times New Roman"/>
          <w:sz w:val="24"/>
          <w:szCs w:val="24"/>
          <w:bdr w:val="none" w:sz="0" w:space="0" w:color="auto" w:frame="1"/>
        </w:rPr>
        <w:t xml:space="preserve">amazinātā PVN likme piemērojama  medicīniskajām ierīcēm tādā gadījumā, ja tās tiek </w:t>
      </w:r>
      <w:r w:rsidRPr="00F855DD">
        <w:rPr>
          <w:rFonts w:ascii="Times New Roman" w:eastAsia="Calibri" w:hAnsi="Times New Roman" w:cs="Times New Roman"/>
          <w:sz w:val="24"/>
          <w:szCs w:val="24"/>
          <w:u w:val="single"/>
          <w:bdr w:val="none" w:sz="0" w:space="0" w:color="auto" w:frame="1"/>
        </w:rPr>
        <w:t>parasti lietotas pacienta organisma funkcijas traucējumu ārstniecībā vai atvieglošanā</w:t>
      </w:r>
      <w:r w:rsidRPr="00F855DD">
        <w:rPr>
          <w:rFonts w:ascii="Times New Roman" w:eastAsia="Calibri" w:hAnsi="Times New Roman" w:cs="Times New Roman"/>
          <w:sz w:val="24"/>
          <w:szCs w:val="24"/>
          <w:bdr w:val="none" w:sz="0" w:space="0" w:color="auto" w:frame="1"/>
        </w:rPr>
        <w:t xml:space="preserve">, kā arī gadījumos, kad tās tiek izsniegtas personām </w:t>
      </w:r>
      <w:r w:rsidRPr="00F855DD">
        <w:rPr>
          <w:rFonts w:ascii="Times New Roman" w:eastAsia="Calibri" w:hAnsi="Times New Roman" w:cs="Times New Roman"/>
          <w:sz w:val="24"/>
          <w:szCs w:val="24"/>
          <w:u w:val="single"/>
          <w:bdr w:val="none" w:sz="0" w:space="0" w:color="auto" w:frame="1"/>
        </w:rPr>
        <w:t>kā tehniskie palīglīdzekļi un nav paredzētas vispārīgai lietošanai jebkurai personai</w:t>
      </w:r>
      <w:r w:rsidRPr="00F855DD">
        <w:rPr>
          <w:rFonts w:ascii="Times New Roman" w:eastAsia="Calibri" w:hAnsi="Times New Roman" w:cs="Times New Roman"/>
          <w:sz w:val="24"/>
          <w:szCs w:val="24"/>
          <w:bdr w:val="none" w:sz="0" w:space="0" w:color="auto" w:frame="1"/>
        </w:rPr>
        <w:t xml:space="preserve">. </w:t>
      </w:r>
      <w:r w:rsidRPr="00F855DD">
        <w:rPr>
          <w:rFonts w:ascii="Times New Roman" w:eastAsia="Calibri" w:hAnsi="Times New Roman" w:cs="Times New Roman"/>
          <w:sz w:val="24"/>
          <w:szCs w:val="24"/>
          <w:shd w:val="clear" w:color="auto" w:fill="FFFFFF"/>
        </w:rPr>
        <w:t xml:space="preserve">Tas būtu jāsaprot, ka ārstējamie vai atvieglojamie organisma funkciju traucējumi rada nespējas stāvokli, kas ietekmē personas spēju funkcionēt sabiedrībā un rada diskomfortu ikdienā (piemēram, personām ar invaliditāti, hroniskām slimībām, </w:t>
      </w:r>
      <w:r w:rsidRPr="00F855DD">
        <w:rPr>
          <w:rFonts w:ascii="Times New Roman" w:eastAsia="Times New Roman" w:hAnsi="Times New Roman" w:cs="Times New Roman"/>
          <w:sz w:val="24"/>
          <w:szCs w:val="24"/>
          <w:lang w:eastAsia="lv-LV"/>
        </w:rPr>
        <w:t>fiziskiem, garīgiem, intelektuāliem vai maņu traucējumiem</w:t>
      </w:r>
      <w:r w:rsidRPr="00F855DD">
        <w:rPr>
          <w:rFonts w:ascii="Times New Roman" w:eastAsia="Calibri" w:hAnsi="Times New Roman" w:cs="Times New Roman"/>
          <w:sz w:val="24"/>
          <w:szCs w:val="24"/>
          <w:shd w:val="clear" w:color="auto" w:fill="FFFFFF"/>
        </w:rPr>
        <w:t xml:space="preserve"> utml.), līdz ar ko samazinātā PVN likme piemērojama tām medicīniskajām ierīcēm, </w:t>
      </w:r>
      <w:r w:rsidRPr="00F855DD">
        <w:rPr>
          <w:rFonts w:ascii="Times New Roman" w:eastAsia="Calibri" w:hAnsi="Times New Roman" w:cs="Times New Roman"/>
          <w:sz w:val="24"/>
          <w:szCs w:val="24"/>
        </w:rPr>
        <w:t>kurām ir tikai specifisks pielietojums pie noteiktām saslimšanām vai funkcionālajiem traucējumiem</w:t>
      </w:r>
      <w:r w:rsidR="00455372" w:rsidRPr="00F855DD">
        <w:rPr>
          <w:rFonts w:ascii="Times New Roman" w:eastAsia="Calibri" w:hAnsi="Times New Roman" w:cs="Times New Roman"/>
          <w:sz w:val="24"/>
          <w:szCs w:val="24"/>
        </w:rPr>
        <w:t xml:space="preserve">, </w:t>
      </w:r>
      <w:r w:rsidR="00455372" w:rsidRPr="00F855DD">
        <w:rPr>
          <w:rFonts w:ascii="Times New Roman" w:hAnsi="Times New Roman"/>
          <w:sz w:val="24"/>
          <w:szCs w:val="24"/>
        </w:rPr>
        <w:t xml:space="preserve">lai uzturētu atsevišķu orgānu funkciju vai fizioloģisko procesu norisi vai medicīniskajām ierīcēm, kas ir </w:t>
      </w:r>
      <w:r w:rsidR="00455372" w:rsidRPr="00F855DD">
        <w:rPr>
          <w:rFonts w:ascii="Times New Roman" w:hAnsi="Times New Roman"/>
          <w:sz w:val="24"/>
          <w:szCs w:val="24"/>
          <w:shd w:val="clear" w:color="auto" w:fill="FFFFFF"/>
        </w:rPr>
        <w:t>individuāli izgatavotas/pielāgotas konkrētai personai.</w:t>
      </w:r>
    </w:p>
    <w:p w14:paraId="26DD57C7" w14:textId="785B1A73" w:rsidR="00455372" w:rsidRPr="00F855DD" w:rsidRDefault="00455372" w:rsidP="00455372">
      <w:pPr>
        <w:tabs>
          <w:tab w:val="center" w:pos="4678"/>
          <w:tab w:val="right" w:pos="9072"/>
        </w:tabs>
        <w:spacing w:after="0" w:line="240" w:lineRule="auto"/>
        <w:jc w:val="both"/>
        <w:rPr>
          <w:rFonts w:ascii="Times New Roman" w:hAnsi="Times New Roman"/>
          <w:sz w:val="24"/>
          <w:szCs w:val="24"/>
        </w:rPr>
      </w:pPr>
      <w:r w:rsidRPr="00F855DD">
        <w:rPr>
          <w:rFonts w:ascii="Times New Roman" w:hAnsi="Times New Roman"/>
          <w:sz w:val="24"/>
          <w:szCs w:val="24"/>
        </w:rPr>
        <w:t>Termins “individuālai lietošanai” nav attiecināms</w:t>
      </w:r>
      <w:r w:rsidRPr="00F855DD">
        <w:rPr>
          <w:rFonts w:ascii="Times New Roman" w:hAnsi="Times New Roman"/>
          <w:b/>
          <w:bCs/>
          <w:sz w:val="24"/>
          <w:szCs w:val="24"/>
        </w:rPr>
        <w:t xml:space="preserve"> </w:t>
      </w:r>
      <w:r w:rsidRPr="00F855DD">
        <w:rPr>
          <w:rFonts w:ascii="Times New Roman" w:hAnsi="Times New Roman"/>
          <w:sz w:val="24"/>
          <w:szCs w:val="24"/>
        </w:rPr>
        <w:t xml:space="preserve">uz medicīniskajām ierīcēm, kuras ārstniecībā ir izmantojamas tikai ar ārstniecības personas tiešu līdzdalību un uzraudzību un nav vienreiz lietojamas medicīniskas ierīces. </w:t>
      </w:r>
    </w:p>
    <w:p w14:paraId="017FF420" w14:textId="7A9C1275" w:rsidR="00455372" w:rsidRPr="00F855DD" w:rsidRDefault="00455372" w:rsidP="00455372">
      <w:pPr>
        <w:spacing w:after="0" w:line="240" w:lineRule="auto"/>
        <w:jc w:val="both"/>
        <w:rPr>
          <w:rFonts w:ascii="Times New Roman" w:eastAsia="Times New Roman" w:hAnsi="Times New Roman" w:cs="Times New Roman"/>
          <w:sz w:val="24"/>
          <w:szCs w:val="24"/>
          <w:lang w:eastAsia="lv-LV"/>
        </w:rPr>
      </w:pPr>
      <w:r w:rsidRPr="00F855DD">
        <w:rPr>
          <w:rFonts w:ascii="Times New Roman" w:eastAsia="Times New Roman" w:hAnsi="Times New Roman" w:cs="Times New Roman"/>
          <w:sz w:val="24"/>
          <w:szCs w:val="24"/>
          <w:lang w:eastAsia="lv-LV"/>
        </w:rPr>
        <w:t>[2.</w:t>
      </w:r>
      <w:r w:rsidR="00C730EC" w:rsidRPr="00F855DD">
        <w:rPr>
          <w:rFonts w:ascii="Times New Roman" w:eastAsia="Times New Roman" w:hAnsi="Times New Roman" w:cs="Times New Roman"/>
          <w:sz w:val="24"/>
          <w:szCs w:val="24"/>
          <w:lang w:eastAsia="lv-LV"/>
        </w:rPr>
        <w:t>2</w:t>
      </w:r>
      <w:r w:rsidRPr="00F855DD">
        <w:rPr>
          <w:rFonts w:ascii="Times New Roman" w:eastAsia="Times New Roman" w:hAnsi="Times New Roman" w:cs="Times New Roman"/>
          <w:sz w:val="24"/>
          <w:szCs w:val="24"/>
          <w:lang w:eastAsia="lv-LV"/>
        </w:rPr>
        <w:t>] Samazināta PVN likme netiek piemērota precēm, materiāliem, palīgierīcēm, ko izmanto profesionāļi veselības aprūpes pakalpojumu sniegšanā, kas izriet no</w:t>
      </w:r>
      <w:r w:rsidRPr="00F855DD">
        <w:rPr>
          <w:rFonts w:ascii="Times New Roman" w:hAnsi="Times New Roman" w:cs="Times New Roman"/>
          <w:sz w:val="24"/>
          <w:szCs w:val="24"/>
        </w:rPr>
        <w:t xml:space="preserve"> Direktīvas 2006/112/EK III pielikuma tvēruma un, uz </w:t>
      </w:r>
      <w:r w:rsidRPr="00F855DD">
        <w:rPr>
          <w:rFonts w:ascii="Times New Roman" w:eastAsia="Times New Roman" w:hAnsi="Times New Roman" w:cs="Times New Roman"/>
          <w:sz w:val="24"/>
          <w:szCs w:val="24"/>
          <w:lang w:eastAsia="lv-LV"/>
        </w:rPr>
        <w:t>ko arī vērsis uzmanību Senāts  2021.gada 22.marta spriedumā administratīvajā lietā Nr.</w:t>
      </w:r>
      <w:r w:rsidRPr="00F855DD">
        <w:rPr>
          <w:rFonts w:ascii="Times New Roman" w:hAnsi="Times New Roman" w:cs="Times New Roman"/>
          <w:sz w:val="24"/>
          <w:szCs w:val="24"/>
        </w:rPr>
        <w:t>A420143317 (SKA-123/2021)</w:t>
      </w:r>
      <w:r w:rsidRPr="00F855DD">
        <w:rPr>
          <w:rFonts w:ascii="Times New Roman" w:eastAsia="Times New Roman" w:hAnsi="Times New Roman" w:cs="Times New Roman"/>
          <w:sz w:val="24"/>
          <w:szCs w:val="24"/>
          <w:lang w:eastAsia="lv-LV"/>
        </w:rPr>
        <w:t xml:space="preserve">.  </w:t>
      </w:r>
    </w:p>
    <w:p w14:paraId="28CCB46E" w14:textId="714F6147" w:rsidR="00C730EC" w:rsidRPr="00F855DD" w:rsidRDefault="00C730EC" w:rsidP="00C730EC">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 xml:space="preserve">[2.3] Nav nepieciešams veikt grozījumus normatīvajos aktos par samazinātās PVN likmes piemērošanu, taču optimālākais risinājums ir saraksta izveidošana ar tām medicīnisko ierīču un preču kategorijām, kurām būtu piemērojama samazinātā PVN likme.  Medicīniskajām ierīcēm, kuras ārstniecības iestādēs paredzētas vispārējai un/vai atkārtotai lietošanai, piemērojama standarta PVN likme, savukārt ierīcēm un precēm, </w:t>
      </w:r>
      <w:r w:rsidRPr="00F855DD">
        <w:rPr>
          <w:rFonts w:ascii="Times New Roman" w:eastAsia="Times New Roman" w:hAnsi="Times New Roman" w:cs="Times New Roman"/>
          <w:sz w:val="24"/>
          <w:szCs w:val="24"/>
          <w:lang w:eastAsia="lv-LV"/>
        </w:rPr>
        <w:t>kuras uzskatāmas par ikdienas nepieciešamību galapatērētājiem ar organisma funkciju traucējumiem, kas radušies slimības, traumas vai iedzimtu defektu rezultātā</w:t>
      </w:r>
      <w:r w:rsidRPr="00F855DD">
        <w:rPr>
          <w:rFonts w:ascii="Times New Roman" w:hAnsi="Times New Roman" w:cs="Times New Roman"/>
          <w:sz w:val="24"/>
          <w:szCs w:val="24"/>
          <w:shd w:val="clear" w:color="auto" w:fill="FFFFFF"/>
        </w:rPr>
        <w:t xml:space="preserve"> un kuras var izmantot individuāli bez ārstniecības personas iesaistes, piemērojama samazinātā PVN likme.</w:t>
      </w:r>
    </w:p>
    <w:p w14:paraId="0B804E5E" w14:textId="6BD59798" w:rsidR="00766C18" w:rsidRPr="00F855DD" w:rsidRDefault="0065177F" w:rsidP="00766C1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F855DD">
        <w:rPr>
          <w:rFonts w:ascii="Times New Roman" w:eastAsia="Times New Roman" w:hAnsi="Times New Roman" w:cs="Times New Roman"/>
          <w:sz w:val="24"/>
          <w:szCs w:val="24"/>
          <w:lang w:eastAsia="lv-LV"/>
        </w:rPr>
        <w:t xml:space="preserve">[3] </w:t>
      </w:r>
      <w:r w:rsidR="00455372" w:rsidRPr="00F855DD">
        <w:rPr>
          <w:rFonts w:ascii="Times New Roman" w:eastAsia="Times New Roman" w:hAnsi="Times New Roman" w:cs="Times New Roman"/>
          <w:sz w:val="24"/>
          <w:szCs w:val="24"/>
          <w:lang w:eastAsia="lv-LV"/>
        </w:rPr>
        <w:t xml:space="preserve">Samazinātā PVN piemērošanas kārtība atstāj būtisku ietekmi </w:t>
      </w:r>
      <w:r w:rsidR="00766C18" w:rsidRPr="00F855DD">
        <w:rPr>
          <w:rFonts w:ascii="Times New Roman" w:hAnsi="Times New Roman" w:cs="Times New Roman"/>
          <w:sz w:val="24"/>
          <w:szCs w:val="24"/>
          <w:shd w:val="clear" w:color="auto" w:fill="FFFFFF"/>
        </w:rPr>
        <w:t>uz ārstniecības iestāžu (turpmāk – ĀI) budžetu un pakalpojumu izmaksām. Plānojot Veselības aprūpes pakalpojumu budžetu saskaņā ar 2018. gada 28. augusta Ministru kabineta noteikumiem Nr. 555 "Veselības aprūpes pakalpojumu organizēšanas un samaksas kārtība” (turpmāk – Noteikumi Nr.555), tiek ņemti vērā visi veselības aprūpes pakalpojumu tarifi, tai skaitā manipulāciju sarakstā iekļautie manipulāciju tarifi, kas iekļauj arī ārstniecības līdzekļus un materiālus. Nacionālais veselības dienests (turpmāk – NVD) ir veicis aprēķinus</w:t>
      </w:r>
      <w:r w:rsidR="008F1C6B">
        <w:rPr>
          <w:rFonts w:ascii="Times New Roman" w:hAnsi="Times New Roman" w:cs="Times New Roman"/>
          <w:sz w:val="24"/>
          <w:szCs w:val="24"/>
          <w:shd w:val="clear" w:color="auto" w:fill="FFFFFF"/>
        </w:rPr>
        <w:t xml:space="preserve"> no 2021.gada 1.jūlija</w:t>
      </w:r>
      <w:r w:rsidR="00766C18" w:rsidRPr="00F855DD">
        <w:rPr>
          <w:rFonts w:ascii="Times New Roman" w:hAnsi="Times New Roman" w:cs="Times New Roman"/>
          <w:sz w:val="24"/>
          <w:szCs w:val="24"/>
          <w:shd w:val="clear" w:color="auto" w:fill="FFFFFF"/>
        </w:rPr>
        <w:t>, ņemot vērā ĀI un Latvijas Slimnīcu biedrības iesūtīto informāciju</w:t>
      </w:r>
      <w:r w:rsidR="008F1C6B">
        <w:rPr>
          <w:rFonts w:ascii="Times New Roman" w:hAnsi="Times New Roman" w:cs="Times New Roman"/>
          <w:sz w:val="24"/>
          <w:szCs w:val="24"/>
          <w:shd w:val="clear" w:color="auto" w:fill="FFFFFF"/>
        </w:rPr>
        <w:t>, kā arī to, ka Valsts ieņēmumu dienests 2021.gada 16.jūnijā konsultēja nodokļu maksātāju par PVN piemērošanas kārtības maiņu</w:t>
      </w:r>
      <w:r w:rsidR="00190BBE">
        <w:rPr>
          <w:rFonts w:ascii="Times New Roman" w:hAnsi="Times New Roman" w:cs="Times New Roman"/>
          <w:sz w:val="24"/>
          <w:szCs w:val="24"/>
          <w:shd w:val="clear" w:color="auto" w:fill="FFFFFF"/>
        </w:rPr>
        <w:t xml:space="preserve"> (skatīt 1.pielikumu)</w:t>
      </w:r>
      <w:r w:rsidR="00766C18" w:rsidRPr="00F855DD">
        <w:rPr>
          <w:rFonts w:ascii="Times New Roman" w:hAnsi="Times New Roman" w:cs="Times New Roman"/>
          <w:sz w:val="24"/>
          <w:szCs w:val="24"/>
          <w:shd w:val="clear" w:color="auto" w:fill="FFFFFF"/>
        </w:rPr>
        <w:t>. Kopējā Veselības aprūpes pakalpojumu budžetā vidēji 44% ir tiešās un netiešās izmaksas, kas nav saistītas ar ārstniecības personu atalgojumu un valsts sociālās apdrošināšanas obligātajām iemaksām. Aprēķinā tika ņemts vērā stacionārajos līgumos plānotais finansējuma apjoms, kur 50% no tiešajām un netiešajām izmaksām ir par ārstniecības līdzekļiem un materiāliem.</w:t>
      </w:r>
    </w:p>
    <w:p w14:paraId="6295BCF3" w14:textId="11039AF8" w:rsidR="00766C18" w:rsidRPr="00F855DD" w:rsidRDefault="00766C18" w:rsidP="00766C1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Ņemot vērā to, ka tikai atsevišķās ĀI tiek nodrošināti visi pakalpojuma veidi, tika pieņemts lēmums, ka par pamatu tiks izmantoti dati, ko iesniedza VSIA “Paula Stradiņa klīniskā universitātes slimnīca” (turpmāk – PSKUS), jo šī iestāde nodrošina visus pakalpojuma veidus, kā rezultātā ir iegūstami ticamākie prognožu rezultāti. Saskaņā ar veikto aprēķinu PVN likmes palielinājuma rezultātā ĀI izdevumi provizoriski pieaugs par 5 %</w:t>
      </w:r>
      <w:r w:rsidR="008F1C6B">
        <w:rPr>
          <w:rFonts w:ascii="Times New Roman" w:hAnsi="Times New Roman" w:cs="Times New Roman"/>
          <w:sz w:val="24"/>
          <w:szCs w:val="24"/>
          <w:shd w:val="clear" w:color="auto" w:fill="FFFFFF"/>
        </w:rPr>
        <w:t xml:space="preserve"> (skatīt 6. un 7.pielikumu)</w:t>
      </w:r>
      <w:r w:rsidRPr="00F855DD">
        <w:rPr>
          <w:rFonts w:ascii="Times New Roman" w:hAnsi="Times New Roman" w:cs="Times New Roman"/>
          <w:sz w:val="24"/>
          <w:szCs w:val="24"/>
          <w:shd w:val="clear" w:color="auto" w:fill="FFFFFF"/>
        </w:rPr>
        <w:t>. Aprēķinam par kopējo izdevumu palielinājumu par pamatu tika ņemti dati par esošo līgumiestāžu līgumu kopsummu dalījumā pa šādiem veselības aprūpes pakalpojumu veidiem:</w:t>
      </w:r>
    </w:p>
    <w:p w14:paraId="02169940" w14:textId="021CE200" w:rsidR="00766C18" w:rsidRPr="00F855DD" w:rsidRDefault="00766C18" w:rsidP="00766C18">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Primārās ambulatorās veselības aprūpes nodrošināšana;</w:t>
      </w:r>
    </w:p>
    <w:p w14:paraId="3801CD38" w14:textId="0D352167" w:rsidR="00766C18" w:rsidRPr="00F855DD" w:rsidRDefault="00766C18" w:rsidP="00766C18">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lastRenderedPageBreak/>
        <w:t>Pārējo ambulatoro veselības aprūpes pakalpojumu nodrošināšana;</w:t>
      </w:r>
    </w:p>
    <w:p w14:paraId="382AB430" w14:textId="77777777" w:rsidR="00766C18" w:rsidRPr="00F855DD" w:rsidRDefault="00766C18" w:rsidP="00766C18">
      <w:pPr>
        <w:autoSpaceDE w:val="0"/>
        <w:autoSpaceDN w:val="0"/>
        <w:adjustRightInd w:val="0"/>
        <w:spacing w:after="0" w:line="240" w:lineRule="auto"/>
        <w:ind w:left="720" w:firstLine="0"/>
        <w:jc w:val="both"/>
        <w:rPr>
          <w:rFonts w:ascii="Times New Roman" w:hAnsi="Times New Roman" w:cs="Times New Roman"/>
          <w:sz w:val="24"/>
          <w:szCs w:val="24"/>
          <w:shd w:val="clear" w:color="auto" w:fill="FFFFFF"/>
        </w:rPr>
      </w:pPr>
    </w:p>
    <w:p w14:paraId="1599BC16" w14:textId="58AF0579" w:rsidR="0045628D" w:rsidRPr="00F855DD" w:rsidRDefault="00766C18" w:rsidP="0045628D">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Plānveida stacionāro veselības aprūpes pakalpojumu nodrošināšana;</w:t>
      </w:r>
    </w:p>
    <w:p w14:paraId="495D2679" w14:textId="26F420E7" w:rsidR="0045628D" w:rsidRPr="00F855DD" w:rsidRDefault="0045628D" w:rsidP="00766C18">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Neatliekamās medicīniskās palīdzības nodrošināšana stacionārās ārstniecības iestādēs</w:t>
      </w:r>
    </w:p>
    <w:p w14:paraId="3860FBD8" w14:textId="31C61553" w:rsidR="00766C18" w:rsidRPr="00F855DD" w:rsidRDefault="00766C18" w:rsidP="00766C18">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Laboratorisko izmeklējumu nodrošināšana ambulatorajā aprūpē.</w:t>
      </w:r>
    </w:p>
    <w:p w14:paraId="4F47E18A" w14:textId="3AB77BEE" w:rsidR="00766C18" w:rsidRPr="00F855DD" w:rsidRDefault="0080497B" w:rsidP="00766C1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 xml:space="preserve">Kopējā indikatīvā izdevumu palielinājuma summa NVD administrējamās budžeta apakšprogrammās 2021.gada 2.pusgadam veido </w:t>
      </w:r>
      <w:r w:rsidR="00F855DD">
        <w:rPr>
          <w:rFonts w:ascii="Times New Roman" w:hAnsi="Times New Roman" w:cs="Times New Roman"/>
          <w:sz w:val="24"/>
          <w:szCs w:val="24"/>
          <w:shd w:val="clear" w:color="auto" w:fill="FFFFFF"/>
        </w:rPr>
        <w:t>5 035 35</w:t>
      </w:r>
      <w:r w:rsidR="008F1C6B">
        <w:rPr>
          <w:rFonts w:ascii="Times New Roman" w:hAnsi="Times New Roman" w:cs="Times New Roman"/>
          <w:sz w:val="24"/>
          <w:szCs w:val="24"/>
          <w:shd w:val="clear" w:color="auto" w:fill="FFFFFF"/>
        </w:rPr>
        <w:t>7</w:t>
      </w:r>
      <w:r w:rsidRPr="00F855DD">
        <w:rPr>
          <w:rFonts w:ascii="Times New Roman" w:hAnsi="Times New Roman" w:cs="Times New Roman"/>
          <w:sz w:val="24"/>
          <w:szCs w:val="24"/>
          <w:shd w:val="clear" w:color="auto" w:fill="FFFFFF"/>
        </w:rPr>
        <w:t xml:space="preserve"> </w:t>
      </w:r>
      <w:r w:rsidRPr="00F855DD">
        <w:rPr>
          <w:rFonts w:ascii="Times New Roman" w:hAnsi="Times New Roman" w:cs="Times New Roman"/>
          <w:i/>
          <w:iCs/>
          <w:sz w:val="24"/>
          <w:szCs w:val="24"/>
          <w:shd w:val="clear" w:color="auto" w:fill="FFFFFF"/>
        </w:rPr>
        <w:t>euro</w:t>
      </w:r>
      <w:r w:rsidRPr="00F855DD">
        <w:rPr>
          <w:rFonts w:ascii="Times New Roman" w:hAnsi="Times New Roman" w:cs="Times New Roman"/>
          <w:sz w:val="24"/>
          <w:szCs w:val="24"/>
          <w:shd w:val="clear" w:color="auto" w:fill="FFFFFF"/>
        </w:rPr>
        <w:t xml:space="preserve"> apmērā</w:t>
      </w:r>
      <w:r w:rsidR="00766C18" w:rsidRPr="00F855DD">
        <w:rPr>
          <w:rFonts w:ascii="Times New Roman" w:hAnsi="Times New Roman" w:cs="Times New Roman"/>
          <w:sz w:val="24"/>
          <w:szCs w:val="24"/>
          <w:shd w:val="clear" w:color="auto" w:fill="FFFFFF"/>
        </w:rPr>
        <w:t xml:space="preserve">, </w:t>
      </w:r>
      <w:r w:rsidRPr="00F855DD">
        <w:rPr>
          <w:rFonts w:ascii="Times New Roman" w:hAnsi="Times New Roman" w:cs="Times New Roman"/>
          <w:sz w:val="24"/>
          <w:szCs w:val="24"/>
          <w:shd w:val="clear" w:color="auto" w:fill="FFFFFF"/>
        </w:rPr>
        <w:t>no tiem</w:t>
      </w:r>
      <w:r w:rsidR="00766C18" w:rsidRPr="00F855DD">
        <w:rPr>
          <w:rFonts w:ascii="Times New Roman" w:hAnsi="Times New Roman" w:cs="Times New Roman"/>
          <w:sz w:val="24"/>
          <w:szCs w:val="24"/>
          <w:shd w:val="clear" w:color="auto" w:fill="FFFFFF"/>
        </w:rPr>
        <w:t>:</w:t>
      </w:r>
    </w:p>
    <w:p w14:paraId="585688EB" w14:textId="28FC545A" w:rsidR="00F855DD" w:rsidRPr="00F855DD" w:rsidRDefault="00F855DD" w:rsidP="00F855DD">
      <w:pPr>
        <w:numPr>
          <w:ilvl w:val="0"/>
          <w:numId w:val="21"/>
        </w:numPr>
        <w:autoSpaceDE w:val="0"/>
        <w:autoSpaceDN w:val="0"/>
        <w:adjustRightInd w:val="0"/>
        <w:spacing w:after="0" w:line="240" w:lineRule="auto"/>
        <w:ind w:left="1843" w:hanging="425"/>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 xml:space="preserve">apakšprogrammā 33.14.00 “Primārās ambulatorās veselības aprūpes nodrošināšana” – 793 818 </w:t>
      </w:r>
      <w:r w:rsidRPr="00F855DD">
        <w:rPr>
          <w:rFonts w:ascii="Times New Roman" w:hAnsi="Times New Roman" w:cs="Times New Roman"/>
          <w:i/>
          <w:iCs/>
          <w:sz w:val="24"/>
          <w:szCs w:val="24"/>
          <w:shd w:val="clear" w:color="auto" w:fill="FFFFFF"/>
        </w:rPr>
        <w:t>euro</w:t>
      </w:r>
      <w:r w:rsidRPr="00F855DD">
        <w:rPr>
          <w:rFonts w:ascii="Times New Roman" w:hAnsi="Times New Roman" w:cs="Times New Roman"/>
          <w:sz w:val="24"/>
          <w:szCs w:val="24"/>
          <w:shd w:val="clear" w:color="auto" w:fill="FFFFFF"/>
        </w:rPr>
        <w:t xml:space="preserve"> apmērā (</w:t>
      </w:r>
      <w:bookmarkStart w:id="0" w:name="_Hlk83807457"/>
      <w:r w:rsidR="00190BBE" w:rsidRPr="00190BBE">
        <w:rPr>
          <w:rFonts w:ascii="Times New Roman" w:hAnsi="Times New Roman" w:cs="Times New Roman"/>
          <w:sz w:val="24"/>
          <w:szCs w:val="24"/>
          <w:shd w:val="clear" w:color="auto" w:fill="FFFFFF"/>
        </w:rPr>
        <w:t>dotācij</w:t>
      </w:r>
      <w:r w:rsidR="00190BBE">
        <w:rPr>
          <w:rFonts w:ascii="Times New Roman" w:hAnsi="Times New Roman" w:cs="Times New Roman"/>
          <w:sz w:val="24"/>
          <w:szCs w:val="24"/>
          <w:shd w:val="clear" w:color="auto" w:fill="FFFFFF"/>
        </w:rPr>
        <w:t>ai</w:t>
      </w:r>
      <w:r w:rsidR="00190BBE" w:rsidRPr="00190BBE">
        <w:rPr>
          <w:rFonts w:ascii="Times New Roman" w:hAnsi="Times New Roman" w:cs="Times New Roman"/>
          <w:sz w:val="24"/>
          <w:szCs w:val="24"/>
          <w:shd w:val="clear" w:color="auto" w:fill="FFFFFF"/>
        </w:rPr>
        <w:t xml:space="preserve"> no vispārējiem ieņēmumiem </w:t>
      </w:r>
      <w:r w:rsidR="00190BBE">
        <w:rPr>
          <w:rFonts w:ascii="Times New Roman" w:hAnsi="Times New Roman" w:cs="Times New Roman"/>
          <w:sz w:val="24"/>
          <w:szCs w:val="24"/>
          <w:shd w:val="clear" w:color="auto" w:fill="FFFFFF"/>
        </w:rPr>
        <w:t xml:space="preserve">un izdevumiem </w:t>
      </w:r>
      <w:r w:rsidRPr="00F855DD">
        <w:rPr>
          <w:rFonts w:ascii="Times New Roman" w:hAnsi="Times New Roman" w:cs="Times New Roman"/>
          <w:sz w:val="24"/>
          <w:szCs w:val="24"/>
          <w:shd w:val="clear" w:color="auto" w:fill="FFFFFF"/>
        </w:rPr>
        <w:t>subsīdijām un dotācijām</w:t>
      </w:r>
      <w:bookmarkEnd w:id="0"/>
      <w:r w:rsidRPr="00F855DD">
        <w:rPr>
          <w:rFonts w:ascii="Times New Roman" w:hAnsi="Times New Roman" w:cs="Times New Roman"/>
          <w:sz w:val="24"/>
          <w:szCs w:val="24"/>
          <w:shd w:val="clear" w:color="auto" w:fill="FFFFFF"/>
        </w:rPr>
        <w:t>);</w:t>
      </w:r>
    </w:p>
    <w:p w14:paraId="0ACF81AE" w14:textId="7A599DB4" w:rsidR="00F855DD" w:rsidRPr="00F855DD" w:rsidRDefault="00F855DD" w:rsidP="00F855DD">
      <w:pPr>
        <w:numPr>
          <w:ilvl w:val="0"/>
          <w:numId w:val="21"/>
        </w:numPr>
        <w:autoSpaceDE w:val="0"/>
        <w:autoSpaceDN w:val="0"/>
        <w:adjustRightInd w:val="0"/>
        <w:spacing w:after="0" w:line="240" w:lineRule="auto"/>
        <w:ind w:left="1843" w:hanging="425"/>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 xml:space="preserve">apakšprogrammā 33.16.00 “Pārējo ambulatoro veselības aprūpes pakalpojumu nodrošināšana” – 1 361 188 </w:t>
      </w:r>
      <w:r w:rsidRPr="00F855DD">
        <w:rPr>
          <w:rFonts w:ascii="Times New Roman" w:hAnsi="Times New Roman" w:cs="Times New Roman"/>
          <w:i/>
          <w:iCs/>
          <w:sz w:val="24"/>
          <w:szCs w:val="24"/>
          <w:shd w:val="clear" w:color="auto" w:fill="FFFFFF"/>
        </w:rPr>
        <w:t>euro</w:t>
      </w:r>
      <w:r w:rsidRPr="00F855DD">
        <w:rPr>
          <w:rFonts w:ascii="Times New Roman" w:hAnsi="Times New Roman" w:cs="Times New Roman"/>
          <w:sz w:val="24"/>
          <w:szCs w:val="24"/>
          <w:shd w:val="clear" w:color="auto" w:fill="FFFFFF"/>
        </w:rPr>
        <w:t xml:space="preserve"> apmērā (</w:t>
      </w:r>
      <w:r w:rsidR="00190BBE" w:rsidRPr="00190BBE">
        <w:rPr>
          <w:rFonts w:ascii="Times New Roman" w:hAnsi="Times New Roman" w:cs="Times New Roman"/>
          <w:sz w:val="24"/>
          <w:szCs w:val="24"/>
          <w:shd w:val="clear" w:color="auto" w:fill="FFFFFF"/>
        </w:rPr>
        <w:t>dotācijai no vispārējiem ieņēmumiem un izdevumiem subsīdijām un dotācijām</w:t>
      </w:r>
      <w:r w:rsidRPr="00F855DD">
        <w:rPr>
          <w:rFonts w:ascii="Times New Roman" w:hAnsi="Times New Roman" w:cs="Times New Roman"/>
          <w:sz w:val="24"/>
          <w:szCs w:val="24"/>
          <w:shd w:val="clear" w:color="auto" w:fill="FFFFFF"/>
        </w:rPr>
        <w:t>);</w:t>
      </w:r>
    </w:p>
    <w:p w14:paraId="55AEAFAD" w14:textId="0092455A" w:rsidR="00F855DD" w:rsidRPr="00F855DD" w:rsidRDefault="00F855DD" w:rsidP="00F855DD">
      <w:pPr>
        <w:numPr>
          <w:ilvl w:val="0"/>
          <w:numId w:val="21"/>
        </w:numPr>
        <w:autoSpaceDE w:val="0"/>
        <w:autoSpaceDN w:val="0"/>
        <w:adjustRightInd w:val="0"/>
        <w:spacing w:after="0" w:line="240" w:lineRule="auto"/>
        <w:ind w:left="1843" w:hanging="425"/>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 xml:space="preserve">apakšprogrammā 33.18.00 “Plānveida stacionāro veselības aprūpes pakalpojumu nodrošināšana” – 933 559 </w:t>
      </w:r>
      <w:r w:rsidRPr="00F855DD">
        <w:rPr>
          <w:rFonts w:ascii="Times New Roman" w:hAnsi="Times New Roman" w:cs="Times New Roman"/>
          <w:i/>
          <w:iCs/>
          <w:sz w:val="24"/>
          <w:szCs w:val="24"/>
          <w:shd w:val="clear" w:color="auto" w:fill="FFFFFF"/>
        </w:rPr>
        <w:t>euro</w:t>
      </w:r>
      <w:r w:rsidRPr="00F855DD">
        <w:rPr>
          <w:rFonts w:ascii="Times New Roman" w:hAnsi="Times New Roman" w:cs="Times New Roman"/>
          <w:sz w:val="24"/>
          <w:szCs w:val="24"/>
          <w:shd w:val="clear" w:color="auto" w:fill="FFFFFF"/>
        </w:rPr>
        <w:t xml:space="preserve"> apmērā (</w:t>
      </w:r>
      <w:r w:rsidR="00190BBE" w:rsidRPr="00190BBE">
        <w:rPr>
          <w:rFonts w:ascii="Times New Roman" w:hAnsi="Times New Roman" w:cs="Times New Roman"/>
          <w:sz w:val="24"/>
          <w:szCs w:val="24"/>
          <w:shd w:val="clear" w:color="auto" w:fill="FFFFFF"/>
        </w:rPr>
        <w:t>dotācijai no vispārējiem ieņēmumiem un izdevumiem subsīdijām un dotācijām</w:t>
      </w:r>
      <w:r w:rsidRPr="00F855DD">
        <w:rPr>
          <w:rFonts w:ascii="Times New Roman" w:hAnsi="Times New Roman" w:cs="Times New Roman"/>
          <w:sz w:val="24"/>
          <w:szCs w:val="24"/>
          <w:shd w:val="clear" w:color="auto" w:fill="FFFFFF"/>
        </w:rPr>
        <w:t>);</w:t>
      </w:r>
    </w:p>
    <w:p w14:paraId="299653EB" w14:textId="4BC0F3D1" w:rsidR="00F855DD" w:rsidRPr="00F855DD" w:rsidRDefault="00F855DD" w:rsidP="00F855DD">
      <w:pPr>
        <w:numPr>
          <w:ilvl w:val="0"/>
          <w:numId w:val="21"/>
        </w:numPr>
        <w:autoSpaceDE w:val="0"/>
        <w:autoSpaceDN w:val="0"/>
        <w:adjustRightInd w:val="0"/>
        <w:spacing w:after="0" w:line="240" w:lineRule="auto"/>
        <w:ind w:left="1843" w:hanging="425"/>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 xml:space="preserve">apakšprogrammā 33.17.00 “Neatliekamās medicīniskās palīdzības nodrošināšana stacionārās ārstniecības iestādēs” –     1 733 753 </w:t>
      </w:r>
      <w:r w:rsidRPr="00F855DD">
        <w:rPr>
          <w:rFonts w:ascii="Times New Roman" w:hAnsi="Times New Roman" w:cs="Times New Roman"/>
          <w:i/>
          <w:iCs/>
          <w:sz w:val="24"/>
          <w:szCs w:val="24"/>
          <w:shd w:val="clear" w:color="auto" w:fill="FFFFFF"/>
        </w:rPr>
        <w:t>euro</w:t>
      </w:r>
      <w:r w:rsidRPr="00F855DD">
        <w:rPr>
          <w:rFonts w:ascii="Times New Roman" w:hAnsi="Times New Roman" w:cs="Times New Roman"/>
          <w:sz w:val="24"/>
          <w:szCs w:val="24"/>
          <w:shd w:val="clear" w:color="auto" w:fill="FFFFFF"/>
        </w:rPr>
        <w:t xml:space="preserve"> apmērā (</w:t>
      </w:r>
      <w:r w:rsidR="00190BBE" w:rsidRPr="00190BBE">
        <w:rPr>
          <w:rFonts w:ascii="Times New Roman" w:hAnsi="Times New Roman" w:cs="Times New Roman"/>
          <w:sz w:val="24"/>
          <w:szCs w:val="24"/>
          <w:shd w:val="clear" w:color="auto" w:fill="FFFFFF"/>
        </w:rPr>
        <w:t>dotācijai no vispārējiem ieņēmumiem un izdevumiem subsīdijām un dotācijām</w:t>
      </w:r>
      <w:r w:rsidRPr="00F855DD">
        <w:rPr>
          <w:rFonts w:ascii="Times New Roman" w:hAnsi="Times New Roman" w:cs="Times New Roman"/>
          <w:sz w:val="24"/>
          <w:szCs w:val="24"/>
          <w:shd w:val="clear" w:color="auto" w:fill="FFFFFF"/>
        </w:rPr>
        <w:t>);</w:t>
      </w:r>
    </w:p>
    <w:p w14:paraId="071E3092" w14:textId="6A145A8C" w:rsidR="00F855DD" w:rsidRPr="00F855DD" w:rsidRDefault="00F855DD" w:rsidP="00F855DD">
      <w:pPr>
        <w:numPr>
          <w:ilvl w:val="0"/>
          <w:numId w:val="21"/>
        </w:numPr>
        <w:autoSpaceDE w:val="0"/>
        <w:autoSpaceDN w:val="0"/>
        <w:adjustRightInd w:val="0"/>
        <w:spacing w:after="0" w:line="240" w:lineRule="auto"/>
        <w:ind w:left="1843" w:hanging="425"/>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 xml:space="preserve">apakšprogrammā 33.15.00 “Laboratorisko izmeklējumu nodrošināšana ambulatorajā aprūpē” – 213 039 </w:t>
      </w:r>
      <w:r w:rsidRPr="00F855DD">
        <w:rPr>
          <w:rFonts w:ascii="Times New Roman" w:hAnsi="Times New Roman" w:cs="Times New Roman"/>
          <w:i/>
          <w:iCs/>
          <w:sz w:val="24"/>
          <w:szCs w:val="24"/>
          <w:shd w:val="clear" w:color="auto" w:fill="FFFFFF"/>
        </w:rPr>
        <w:t>euro</w:t>
      </w:r>
      <w:r w:rsidRPr="00F855DD">
        <w:rPr>
          <w:rFonts w:ascii="Times New Roman" w:hAnsi="Times New Roman" w:cs="Times New Roman"/>
          <w:sz w:val="24"/>
          <w:szCs w:val="24"/>
          <w:shd w:val="clear" w:color="auto" w:fill="FFFFFF"/>
        </w:rPr>
        <w:t xml:space="preserve"> apmērā (</w:t>
      </w:r>
      <w:r w:rsidR="00190BBE" w:rsidRPr="00190BBE">
        <w:rPr>
          <w:rFonts w:ascii="Times New Roman" w:hAnsi="Times New Roman" w:cs="Times New Roman"/>
          <w:sz w:val="24"/>
          <w:szCs w:val="24"/>
          <w:shd w:val="clear" w:color="auto" w:fill="FFFFFF"/>
        </w:rPr>
        <w:t>dotācijai no vispārējiem ieņēmumiem un izdevumiem subsīdijām un dotācijām</w:t>
      </w:r>
      <w:r w:rsidRPr="00F855DD">
        <w:rPr>
          <w:rFonts w:ascii="Times New Roman" w:hAnsi="Times New Roman" w:cs="Times New Roman"/>
          <w:sz w:val="24"/>
          <w:szCs w:val="24"/>
          <w:shd w:val="clear" w:color="auto" w:fill="FFFFFF"/>
        </w:rPr>
        <w:t>);</w:t>
      </w:r>
    </w:p>
    <w:p w14:paraId="20591F0E" w14:textId="34D16380" w:rsidR="00221633" w:rsidRPr="00F855DD" w:rsidRDefault="00221633" w:rsidP="00766C1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 xml:space="preserve">Tāpat samazinātā PVN piemērošanas kārtība atstāj būtisku ietekmi uz Veselības ministrijas padotības iestādēm par kopējo summu </w:t>
      </w:r>
      <w:r w:rsidR="00E72194">
        <w:rPr>
          <w:rFonts w:ascii="Times New Roman" w:hAnsi="Times New Roman" w:cs="Times New Roman"/>
          <w:sz w:val="24"/>
          <w:szCs w:val="24"/>
          <w:shd w:val="clear" w:color="auto" w:fill="FFFFFF"/>
        </w:rPr>
        <w:t>165 25</w:t>
      </w:r>
      <w:r w:rsidR="006F22AD">
        <w:rPr>
          <w:rFonts w:ascii="Times New Roman" w:hAnsi="Times New Roman" w:cs="Times New Roman"/>
          <w:sz w:val="24"/>
          <w:szCs w:val="24"/>
          <w:shd w:val="clear" w:color="auto" w:fill="FFFFFF"/>
        </w:rPr>
        <w:t>8</w:t>
      </w:r>
      <w:r w:rsidRPr="00F855DD">
        <w:rPr>
          <w:rFonts w:ascii="Times New Roman" w:hAnsi="Times New Roman" w:cs="Times New Roman"/>
          <w:sz w:val="24"/>
          <w:szCs w:val="24"/>
          <w:shd w:val="clear" w:color="auto" w:fill="FFFFFF"/>
        </w:rPr>
        <w:t xml:space="preserve"> </w:t>
      </w:r>
      <w:r w:rsidRPr="00F855DD">
        <w:rPr>
          <w:rFonts w:ascii="Times New Roman" w:hAnsi="Times New Roman" w:cs="Times New Roman"/>
          <w:i/>
          <w:iCs/>
          <w:sz w:val="24"/>
          <w:szCs w:val="24"/>
          <w:shd w:val="clear" w:color="auto" w:fill="FFFFFF"/>
        </w:rPr>
        <w:t xml:space="preserve">euro </w:t>
      </w:r>
      <w:r w:rsidRPr="00F855DD">
        <w:rPr>
          <w:rFonts w:ascii="Times New Roman" w:hAnsi="Times New Roman" w:cs="Times New Roman"/>
          <w:sz w:val="24"/>
          <w:szCs w:val="24"/>
          <w:shd w:val="clear" w:color="auto" w:fill="FFFFFF"/>
        </w:rPr>
        <w:t>apmērā</w:t>
      </w:r>
      <w:r w:rsidR="008F1C6B">
        <w:rPr>
          <w:rFonts w:ascii="Times New Roman" w:hAnsi="Times New Roman" w:cs="Times New Roman"/>
          <w:sz w:val="24"/>
          <w:szCs w:val="24"/>
          <w:shd w:val="clear" w:color="auto" w:fill="FFFFFF"/>
        </w:rPr>
        <w:t xml:space="preserve"> (skatīt no 2.-5.pielikumam)</w:t>
      </w:r>
      <w:r w:rsidRPr="00F855DD">
        <w:rPr>
          <w:rFonts w:ascii="Times New Roman" w:hAnsi="Times New Roman" w:cs="Times New Roman"/>
          <w:sz w:val="24"/>
          <w:szCs w:val="24"/>
          <w:shd w:val="clear" w:color="auto" w:fill="FFFFFF"/>
        </w:rPr>
        <w:t>, no tiem:</w:t>
      </w:r>
    </w:p>
    <w:p w14:paraId="070B9A89" w14:textId="660A15FA" w:rsidR="0080497B" w:rsidRPr="00F855DD" w:rsidRDefault="0080497B" w:rsidP="00221633">
      <w:pPr>
        <w:pStyle w:val="ListParagraph"/>
        <w:numPr>
          <w:ilvl w:val="0"/>
          <w:numId w:val="19"/>
        </w:numPr>
        <w:autoSpaceDE w:val="0"/>
        <w:autoSpaceDN w:val="0"/>
        <w:adjustRightInd w:val="0"/>
        <w:spacing w:after="0" w:line="240" w:lineRule="auto"/>
        <w:ind w:left="1843"/>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 xml:space="preserve">39.03.00 "Asins un asins komponentu nodrošināšana" – </w:t>
      </w:r>
      <w:r w:rsidR="00E72194">
        <w:rPr>
          <w:rFonts w:ascii="Times New Roman" w:hAnsi="Times New Roman" w:cs="Times New Roman"/>
          <w:sz w:val="24"/>
          <w:szCs w:val="24"/>
          <w:shd w:val="clear" w:color="auto" w:fill="FFFFFF"/>
        </w:rPr>
        <w:t>115 64</w:t>
      </w:r>
      <w:r w:rsidR="008F1C6B">
        <w:rPr>
          <w:rFonts w:ascii="Times New Roman" w:hAnsi="Times New Roman" w:cs="Times New Roman"/>
          <w:sz w:val="24"/>
          <w:szCs w:val="24"/>
          <w:shd w:val="clear" w:color="auto" w:fill="FFFFFF"/>
        </w:rPr>
        <w:t>2</w:t>
      </w:r>
      <w:r w:rsidRPr="00F855DD">
        <w:rPr>
          <w:rFonts w:ascii="Times New Roman" w:hAnsi="Times New Roman" w:cs="Times New Roman"/>
          <w:sz w:val="24"/>
          <w:szCs w:val="24"/>
          <w:shd w:val="clear" w:color="auto" w:fill="FFFFFF"/>
        </w:rPr>
        <w:t xml:space="preserve"> </w:t>
      </w:r>
      <w:r w:rsidRPr="00F855DD">
        <w:rPr>
          <w:rFonts w:ascii="Times New Roman" w:hAnsi="Times New Roman" w:cs="Times New Roman"/>
          <w:i/>
          <w:iCs/>
          <w:sz w:val="24"/>
          <w:szCs w:val="24"/>
          <w:shd w:val="clear" w:color="auto" w:fill="FFFFFF"/>
        </w:rPr>
        <w:t xml:space="preserve">euro </w:t>
      </w:r>
      <w:r w:rsidRPr="00F855DD">
        <w:rPr>
          <w:rFonts w:ascii="Times New Roman" w:hAnsi="Times New Roman" w:cs="Times New Roman"/>
          <w:sz w:val="24"/>
          <w:szCs w:val="24"/>
          <w:shd w:val="clear" w:color="auto" w:fill="FFFFFF"/>
        </w:rPr>
        <w:t>apmērā</w:t>
      </w:r>
      <w:r w:rsidR="00190BBE">
        <w:rPr>
          <w:rFonts w:ascii="Times New Roman" w:hAnsi="Times New Roman" w:cs="Times New Roman"/>
          <w:sz w:val="24"/>
          <w:szCs w:val="24"/>
          <w:shd w:val="clear" w:color="auto" w:fill="FFFFFF"/>
        </w:rPr>
        <w:t xml:space="preserve"> </w:t>
      </w:r>
      <w:r w:rsidR="00190BBE" w:rsidRPr="00190BBE">
        <w:rPr>
          <w:rFonts w:ascii="Times New Roman" w:hAnsi="Times New Roman" w:cs="Times New Roman"/>
          <w:sz w:val="24"/>
          <w:szCs w:val="24"/>
          <w:shd w:val="clear" w:color="auto" w:fill="FFFFFF"/>
        </w:rPr>
        <w:t>(dotācijai no vispārējiem ieņēmumiem un izdevumiem precēm un pakalpojumiem)</w:t>
      </w:r>
      <w:r w:rsidRPr="00F855DD">
        <w:rPr>
          <w:rFonts w:ascii="Times New Roman" w:hAnsi="Times New Roman" w:cs="Times New Roman"/>
          <w:sz w:val="24"/>
          <w:szCs w:val="24"/>
          <w:shd w:val="clear" w:color="auto" w:fill="FFFFFF"/>
        </w:rPr>
        <w:t>;</w:t>
      </w:r>
    </w:p>
    <w:p w14:paraId="300DD6BD" w14:textId="3F4AC92F" w:rsidR="00221633" w:rsidRPr="00F855DD" w:rsidRDefault="00221633" w:rsidP="00221633">
      <w:pPr>
        <w:pStyle w:val="ListParagraph"/>
        <w:numPr>
          <w:ilvl w:val="0"/>
          <w:numId w:val="19"/>
        </w:numPr>
        <w:autoSpaceDE w:val="0"/>
        <w:autoSpaceDN w:val="0"/>
        <w:adjustRightInd w:val="0"/>
        <w:spacing w:after="0" w:line="240" w:lineRule="auto"/>
        <w:ind w:left="1843"/>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 xml:space="preserve">39.04.00 "Neatliekamā medicīniskā palīdzība" – 48 426 </w:t>
      </w:r>
      <w:r w:rsidRPr="00F855DD">
        <w:rPr>
          <w:rFonts w:ascii="Times New Roman" w:hAnsi="Times New Roman" w:cs="Times New Roman"/>
          <w:i/>
          <w:iCs/>
          <w:sz w:val="24"/>
          <w:szCs w:val="24"/>
          <w:shd w:val="clear" w:color="auto" w:fill="FFFFFF"/>
        </w:rPr>
        <w:t xml:space="preserve">euro </w:t>
      </w:r>
      <w:r w:rsidRPr="00F855DD">
        <w:rPr>
          <w:rFonts w:ascii="Times New Roman" w:hAnsi="Times New Roman" w:cs="Times New Roman"/>
          <w:sz w:val="24"/>
          <w:szCs w:val="24"/>
          <w:shd w:val="clear" w:color="auto" w:fill="FFFFFF"/>
        </w:rPr>
        <w:t>apmērā</w:t>
      </w:r>
      <w:r w:rsidR="00190BBE">
        <w:rPr>
          <w:rFonts w:ascii="Times New Roman" w:hAnsi="Times New Roman" w:cs="Times New Roman"/>
          <w:sz w:val="24"/>
          <w:szCs w:val="24"/>
          <w:shd w:val="clear" w:color="auto" w:fill="FFFFFF"/>
        </w:rPr>
        <w:t xml:space="preserve"> </w:t>
      </w:r>
      <w:r w:rsidR="00190BBE" w:rsidRPr="00190BBE">
        <w:rPr>
          <w:rFonts w:ascii="Times New Roman" w:hAnsi="Times New Roman" w:cs="Times New Roman"/>
          <w:sz w:val="24"/>
          <w:szCs w:val="24"/>
          <w:shd w:val="clear" w:color="auto" w:fill="FFFFFF"/>
        </w:rPr>
        <w:t>(dotācijai no vispārējiem ieņēmumiem un izdevumiem precēm un pakalpojumiem)</w:t>
      </w:r>
      <w:r w:rsidRPr="00F855DD">
        <w:rPr>
          <w:rFonts w:ascii="Times New Roman" w:hAnsi="Times New Roman" w:cs="Times New Roman"/>
          <w:sz w:val="24"/>
          <w:szCs w:val="24"/>
          <w:shd w:val="clear" w:color="auto" w:fill="FFFFFF"/>
        </w:rPr>
        <w:t>;</w:t>
      </w:r>
    </w:p>
    <w:p w14:paraId="45B67820" w14:textId="79D737EA" w:rsidR="00221633" w:rsidRPr="00F855DD" w:rsidRDefault="00221633" w:rsidP="00221633">
      <w:pPr>
        <w:pStyle w:val="ListParagraph"/>
        <w:numPr>
          <w:ilvl w:val="0"/>
          <w:numId w:val="19"/>
        </w:numPr>
        <w:autoSpaceDE w:val="0"/>
        <w:autoSpaceDN w:val="0"/>
        <w:adjustRightInd w:val="0"/>
        <w:spacing w:after="0" w:line="240" w:lineRule="auto"/>
        <w:ind w:left="1843"/>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39.06.00 "Tiesu medicīniskā ekspertīze" – 1 15</w:t>
      </w:r>
      <w:r w:rsidR="006F22AD">
        <w:rPr>
          <w:rFonts w:ascii="Times New Roman" w:hAnsi="Times New Roman" w:cs="Times New Roman"/>
          <w:sz w:val="24"/>
          <w:szCs w:val="24"/>
          <w:shd w:val="clear" w:color="auto" w:fill="FFFFFF"/>
        </w:rPr>
        <w:t>2</w:t>
      </w:r>
      <w:r w:rsidRPr="00F855DD">
        <w:rPr>
          <w:rFonts w:ascii="Times New Roman" w:hAnsi="Times New Roman" w:cs="Times New Roman"/>
          <w:sz w:val="24"/>
          <w:szCs w:val="24"/>
          <w:shd w:val="clear" w:color="auto" w:fill="FFFFFF"/>
        </w:rPr>
        <w:t xml:space="preserve"> </w:t>
      </w:r>
      <w:r w:rsidRPr="00F855DD">
        <w:rPr>
          <w:rFonts w:ascii="Times New Roman" w:hAnsi="Times New Roman" w:cs="Times New Roman"/>
          <w:i/>
          <w:iCs/>
          <w:sz w:val="24"/>
          <w:szCs w:val="24"/>
          <w:shd w:val="clear" w:color="auto" w:fill="FFFFFF"/>
        </w:rPr>
        <w:t xml:space="preserve">euro </w:t>
      </w:r>
      <w:r w:rsidRPr="00F855DD">
        <w:rPr>
          <w:rFonts w:ascii="Times New Roman" w:hAnsi="Times New Roman" w:cs="Times New Roman"/>
          <w:sz w:val="24"/>
          <w:szCs w:val="24"/>
          <w:shd w:val="clear" w:color="auto" w:fill="FFFFFF"/>
        </w:rPr>
        <w:t>apmērā</w:t>
      </w:r>
      <w:r w:rsidR="00190BBE">
        <w:rPr>
          <w:rFonts w:ascii="Times New Roman" w:hAnsi="Times New Roman" w:cs="Times New Roman"/>
          <w:sz w:val="24"/>
          <w:szCs w:val="24"/>
          <w:shd w:val="clear" w:color="auto" w:fill="FFFFFF"/>
        </w:rPr>
        <w:t xml:space="preserve"> </w:t>
      </w:r>
      <w:r w:rsidR="00190BBE" w:rsidRPr="00190BBE">
        <w:rPr>
          <w:rFonts w:ascii="Times New Roman" w:hAnsi="Times New Roman" w:cs="Times New Roman"/>
          <w:sz w:val="24"/>
          <w:szCs w:val="24"/>
          <w:shd w:val="clear" w:color="auto" w:fill="FFFFFF"/>
        </w:rPr>
        <w:t>(dotācijai no vispārējiem ieņēmumiem un izdevumiem precēm un pakalpojumiem)</w:t>
      </w:r>
      <w:r w:rsidR="00190BBE">
        <w:rPr>
          <w:rFonts w:ascii="Times New Roman" w:hAnsi="Times New Roman" w:cs="Times New Roman"/>
          <w:sz w:val="24"/>
          <w:szCs w:val="24"/>
          <w:shd w:val="clear" w:color="auto" w:fill="FFFFFF"/>
        </w:rPr>
        <w:t>;</w:t>
      </w:r>
    </w:p>
    <w:p w14:paraId="0FEDA7F0" w14:textId="2DF37503" w:rsidR="00221633" w:rsidRPr="00F855DD" w:rsidRDefault="00221633" w:rsidP="0080497B">
      <w:pPr>
        <w:pStyle w:val="ListParagraph"/>
        <w:numPr>
          <w:ilvl w:val="0"/>
          <w:numId w:val="19"/>
        </w:numPr>
        <w:autoSpaceDE w:val="0"/>
        <w:autoSpaceDN w:val="0"/>
        <w:adjustRightInd w:val="0"/>
        <w:spacing w:after="0" w:line="240" w:lineRule="auto"/>
        <w:ind w:left="1843"/>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39.07.00 “Antidopinga politikas īstenošana”- 3</w:t>
      </w:r>
      <w:r w:rsidR="0080497B" w:rsidRPr="00F855DD">
        <w:rPr>
          <w:rFonts w:ascii="Times New Roman" w:hAnsi="Times New Roman" w:cs="Times New Roman"/>
          <w:sz w:val="24"/>
          <w:szCs w:val="24"/>
          <w:shd w:val="clear" w:color="auto" w:fill="FFFFFF"/>
        </w:rPr>
        <w:t>8</w:t>
      </w:r>
      <w:r w:rsidRPr="00F855DD">
        <w:rPr>
          <w:rFonts w:ascii="Times New Roman" w:hAnsi="Times New Roman" w:cs="Times New Roman"/>
          <w:sz w:val="24"/>
          <w:szCs w:val="24"/>
          <w:shd w:val="clear" w:color="auto" w:fill="FFFFFF"/>
        </w:rPr>
        <w:t xml:space="preserve"> </w:t>
      </w:r>
      <w:r w:rsidRPr="00F855DD">
        <w:rPr>
          <w:rFonts w:ascii="Times New Roman" w:hAnsi="Times New Roman" w:cs="Times New Roman"/>
          <w:i/>
          <w:iCs/>
          <w:sz w:val="24"/>
          <w:szCs w:val="24"/>
          <w:shd w:val="clear" w:color="auto" w:fill="FFFFFF"/>
        </w:rPr>
        <w:t xml:space="preserve">euro </w:t>
      </w:r>
      <w:r w:rsidRPr="00F855DD">
        <w:rPr>
          <w:rFonts w:ascii="Times New Roman" w:hAnsi="Times New Roman" w:cs="Times New Roman"/>
          <w:sz w:val="24"/>
          <w:szCs w:val="24"/>
          <w:shd w:val="clear" w:color="auto" w:fill="FFFFFF"/>
        </w:rPr>
        <w:t>apmērā</w:t>
      </w:r>
      <w:r w:rsidR="00190BBE">
        <w:rPr>
          <w:rFonts w:ascii="Times New Roman" w:hAnsi="Times New Roman" w:cs="Times New Roman"/>
          <w:sz w:val="24"/>
          <w:szCs w:val="24"/>
          <w:shd w:val="clear" w:color="auto" w:fill="FFFFFF"/>
        </w:rPr>
        <w:t xml:space="preserve"> </w:t>
      </w:r>
      <w:r w:rsidR="00190BBE" w:rsidRPr="00190BBE">
        <w:rPr>
          <w:rFonts w:ascii="Times New Roman" w:hAnsi="Times New Roman" w:cs="Times New Roman"/>
          <w:sz w:val="24"/>
          <w:szCs w:val="24"/>
          <w:shd w:val="clear" w:color="auto" w:fill="FFFFFF"/>
        </w:rPr>
        <w:t>(dotācijai no vispārējiem ieņēmumiem un izdevumiem precēm un pakalpojumiem)</w:t>
      </w:r>
      <w:r w:rsidR="00190BBE">
        <w:rPr>
          <w:rFonts w:ascii="Times New Roman" w:hAnsi="Times New Roman" w:cs="Times New Roman"/>
          <w:sz w:val="24"/>
          <w:szCs w:val="24"/>
          <w:shd w:val="clear" w:color="auto" w:fill="FFFFFF"/>
        </w:rPr>
        <w:t>.</w:t>
      </w:r>
    </w:p>
    <w:p w14:paraId="0D2DFDA7" w14:textId="20EC2F7B" w:rsidR="0080497B" w:rsidRPr="00F855DD" w:rsidRDefault="0080497B" w:rsidP="0080497B">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Tādējādi</w:t>
      </w:r>
      <w:r w:rsidR="003261A5" w:rsidRPr="00F855DD">
        <w:rPr>
          <w:rFonts w:ascii="Times New Roman" w:hAnsi="Times New Roman" w:cs="Times New Roman"/>
          <w:sz w:val="24"/>
          <w:szCs w:val="24"/>
          <w:shd w:val="clear" w:color="auto" w:fill="FFFFFF"/>
        </w:rPr>
        <w:t xml:space="preserve"> kopējais</w:t>
      </w:r>
      <w:r w:rsidRPr="00F855DD">
        <w:rPr>
          <w:rFonts w:ascii="Times New Roman" w:hAnsi="Times New Roman" w:cs="Times New Roman"/>
          <w:sz w:val="24"/>
          <w:szCs w:val="24"/>
          <w:shd w:val="clear" w:color="auto" w:fill="FFFFFF"/>
        </w:rPr>
        <w:t xml:space="preserve"> indikatīvais izdevumu palielinājumus PVN likmes pieauguma ietekmē 2021.gada 2.p</w:t>
      </w:r>
      <w:r w:rsidR="0045628D" w:rsidRPr="00F855DD">
        <w:rPr>
          <w:rFonts w:ascii="Times New Roman" w:hAnsi="Times New Roman" w:cs="Times New Roman"/>
          <w:sz w:val="24"/>
          <w:szCs w:val="24"/>
          <w:shd w:val="clear" w:color="auto" w:fill="FFFFFF"/>
        </w:rPr>
        <w:t>us</w:t>
      </w:r>
      <w:r w:rsidRPr="00F855DD">
        <w:rPr>
          <w:rFonts w:ascii="Times New Roman" w:hAnsi="Times New Roman" w:cs="Times New Roman"/>
          <w:sz w:val="24"/>
          <w:szCs w:val="24"/>
          <w:shd w:val="clear" w:color="auto" w:fill="FFFFFF"/>
        </w:rPr>
        <w:t xml:space="preserve">gadā veido </w:t>
      </w:r>
      <w:r w:rsidR="00E72194">
        <w:rPr>
          <w:rFonts w:ascii="Times New Roman" w:hAnsi="Times New Roman" w:cs="Times New Roman"/>
          <w:b/>
          <w:bCs/>
          <w:sz w:val="24"/>
          <w:szCs w:val="24"/>
          <w:shd w:val="clear" w:color="auto" w:fill="FFFFFF"/>
        </w:rPr>
        <w:t>5 200 61</w:t>
      </w:r>
      <w:r w:rsidR="006F22AD">
        <w:rPr>
          <w:rFonts w:ascii="Times New Roman" w:hAnsi="Times New Roman" w:cs="Times New Roman"/>
          <w:b/>
          <w:bCs/>
          <w:sz w:val="24"/>
          <w:szCs w:val="24"/>
          <w:shd w:val="clear" w:color="auto" w:fill="FFFFFF"/>
        </w:rPr>
        <w:t>5</w:t>
      </w:r>
      <w:r w:rsidRPr="00F855DD">
        <w:rPr>
          <w:rFonts w:ascii="Times New Roman" w:hAnsi="Times New Roman" w:cs="Times New Roman"/>
          <w:b/>
          <w:bCs/>
          <w:sz w:val="24"/>
          <w:szCs w:val="24"/>
          <w:shd w:val="clear" w:color="auto" w:fill="FFFFFF"/>
        </w:rPr>
        <w:t xml:space="preserve"> </w:t>
      </w:r>
      <w:r w:rsidRPr="00F855DD">
        <w:rPr>
          <w:rFonts w:ascii="Times New Roman" w:hAnsi="Times New Roman" w:cs="Times New Roman"/>
          <w:b/>
          <w:bCs/>
          <w:i/>
          <w:iCs/>
          <w:sz w:val="24"/>
          <w:szCs w:val="24"/>
          <w:shd w:val="clear" w:color="auto" w:fill="FFFFFF"/>
        </w:rPr>
        <w:t>euro</w:t>
      </w:r>
      <w:r w:rsidRPr="00F855DD">
        <w:rPr>
          <w:rFonts w:ascii="Times New Roman" w:hAnsi="Times New Roman" w:cs="Times New Roman"/>
          <w:i/>
          <w:iCs/>
          <w:sz w:val="24"/>
          <w:szCs w:val="24"/>
          <w:shd w:val="clear" w:color="auto" w:fill="FFFFFF"/>
        </w:rPr>
        <w:t xml:space="preserve"> </w:t>
      </w:r>
      <w:r w:rsidRPr="00F855DD">
        <w:rPr>
          <w:rFonts w:ascii="Times New Roman" w:hAnsi="Times New Roman" w:cs="Times New Roman"/>
          <w:sz w:val="24"/>
          <w:szCs w:val="24"/>
          <w:shd w:val="clear" w:color="auto" w:fill="FFFFFF"/>
        </w:rPr>
        <w:t>apmērā.</w:t>
      </w:r>
    </w:p>
    <w:p w14:paraId="19293557" w14:textId="2FAF7E58" w:rsidR="00766C18" w:rsidRPr="00F855DD" w:rsidRDefault="00766C18" w:rsidP="00766C1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Savukārt izmaksu pieaugums 2022.gad</w:t>
      </w:r>
      <w:r w:rsidR="003261A5" w:rsidRPr="00F855DD">
        <w:rPr>
          <w:rFonts w:ascii="Times New Roman" w:hAnsi="Times New Roman" w:cs="Times New Roman"/>
          <w:sz w:val="24"/>
          <w:szCs w:val="24"/>
          <w:shd w:val="clear" w:color="auto" w:fill="FFFFFF"/>
        </w:rPr>
        <w:t>am un turpmākiem gadiem PVN likmes pieauguma ietekmē</w:t>
      </w:r>
      <w:r w:rsidRPr="00F855DD">
        <w:rPr>
          <w:rFonts w:ascii="Times New Roman" w:hAnsi="Times New Roman" w:cs="Times New Roman"/>
          <w:sz w:val="24"/>
          <w:szCs w:val="24"/>
          <w:shd w:val="clear" w:color="auto" w:fill="FFFFFF"/>
        </w:rPr>
        <w:t xml:space="preserve">, </w:t>
      </w:r>
      <w:r w:rsidR="0080497B" w:rsidRPr="00F855DD">
        <w:rPr>
          <w:rFonts w:ascii="Times New Roman" w:hAnsi="Times New Roman" w:cs="Times New Roman"/>
          <w:sz w:val="24"/>
          <w:szCs w:val="24"/>
          <w:shd w:val="clear" w:color="auto" w:fill="FFFFFF"/>
        </w:rPr>
        <w:t xml:space="preserve">NVD administrējamās budžeta apakšprogrammās veido </w:t>
      </w:r>
      <w:r w:rsidR="00F855DD">
        <w:rPr>
          <w:rFonts w:ascii="Times New Roman" w:hAnsi="Times New Roman" w:cs="Times New Roman"/>
          <w:b/>
          <w:bCs/>
          <w:sz w:val="24"/>
          <w:szCs w:val="24"/>
          <w:shd w:val="clear" w:color="auto" w:fill="FFFFFF"/>
        </w:rPr>
        <w:t>10 070 713</w:t>
      </w:r>
      <w:r w:rsidR="003261A5" w:rsidRPr="00F855DD">
        <w:rPr>
          <w:rFonts w:ascii="Times New Roman" w:hAnsi="Times New Roman" w:cs="Times New Roman"/>
          <w:sz w:val="24"/>
          <w:szCs w:val="24"/>
          <w:shd w:val="clear" w:color="auto" w:fill="FFFFFF"/>
        </w:rPr>
        <w:t xml:space="preserve"> </w:t>
      </w:r>
      <w:r w:rsidR="003261A5" w:rsidRPr="00F855DD">
        <w:rPr>
          <w:rFonts w:ascii="Times New Roman" w:hAnsi="Times New Roman" w:cs="Times New Roman"/>
          <w:i/>
          <w:iCs/>
          <w:sz w:val="24"/>
          <w:szCs w:val="24"/>
          <w:shd w:val="clear" w:color="auto" w:fill="FFFFFF"/>
        </w:rPr>
        <w:t xml:space="preserve">euro </w:t>
      </w:r>
      <w:r w:rsidR="003261A5" w:rsidRPr="00F855DD">
        <w:rPr>
          <w:rFonts w:ascii="Times New Roman" w:hAnsi="Times New Roman" w:cs="Times New Roman"/>
          <w:sz w:val="24"/>
          <w:szCs w:val="24"/>
          <w:shd w:val="clear" w:color="auto" w:fill="FFFFFF"/>
        </w:rPr>
        <w:t>apmērā</w:t>
      </w:r>
      <w:r w:rsidRPr="00F855DD">
        <w:rPr>
          <w:rFonts w:ascii="Times New Roman" w:hAnsi="Times New Roman" w:cs="Times New Roman"/>
          <w:sz w:val="24"/>
          <w:szCs w:val="24"/>
          <w:shd w:val="clear" w:color="auto" w:fill="FFFFFF"/>
        </w:rPr>
        <w:t xml:space="preserve">, </w:t>
      </w:r>
      <w:r w:rsidR="003261A5" w:rsidRPr="00F855DD">
        <w:rPr>
          <w:rFonts w:ascii="Times New Roman" w:hAnsi="Times New Roman" w:cs="Times New Roman"/>
          <w:sz w:val="24"/>
          <w:szCs w:val="24"/>
          <w:shd w:val="clear" w:color="auto" w:fill="FFFFFF"/>
        </w:rPr>
        <w:t>no tiem</w:t>
      </w:r>
      <w:r w:rsidRPr="00F855DD">
        <w:rPr>
          <w:rFonts w:ascii="Times New Roman" w:hAnsi="Times New Roman" w:cs="Times New Roman"/>
          <w:sz w:val="24"/>
          <w:szCs w:val="24"/>
          <w:shd w:val="clear" w:color="auto" w:fill="FFFFFF"/>
        </w:rPr>
        <w:t>:</w:t>
      </w:r>
    </w:p>
    <w:p w14:paraId="565722F3" w14:textId="3C20C861" w:rsidR="00F855DD" w:rsidRPr="00F855DD" w:rsidRDefault="00F855DD" w:rsidP="00F855DD">
      <w:pPr>
        <w:numPr>
          <w:ilvl w:val="0"/>
          <w:numId w:val="22"/>
        </w:numPr>
        <w:autoSpaceDE w:val="0"/>
        <w:autoSpaceDN w:val="0"/>
        <w:adjustRightInd w:val="0"/>
        <w:spacing w:after="0" w:line="240" w:lineRule="auto"/>
        <w:ind w:left="1843" w:hanging="425"/>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 xml:space="preserve">apakšprogrammā 33.14.00 “Primārās ambulatorās veselības aprūpes nodrošināšana” – 1 587 636 </w:t>
      </w:r>
      <w:r w:rsidRPr="00F855DD">
        <w:rPr>
          <w:rFonts w:ascii="Times New Roman" w:hAnsi="Times New Roman" w:cs="Times New Roman"/>
          <w:i/>
          <w:iCs/>
          <w:sz w:val="24"/>
          <w:szCs w:val="24"/>
          <w:shd w:val="clear" w:color="auto" w:fill="FFFFFF"/>
        </w:rPr>
        <w:t>euro</w:t>
      </w:r>
      <w:r w:rsidRPr="00F855DD">
        <w:rPr>
          <w:rFonts w:ascii="Times New Roman" w:hAnsi="Times New Roman" w:cs="Times New Roman"/>
          <w:sz w:val="24"/>
          <w:szCs w:val="24"/>
          <w:shd w:val="clear" w:color="auto" w:fill="FFFFFF"/>
        </w:rPr>
        <w:t xml:space="preserve"> apmērā (</w:t>
      </w:r>
      <w:r w:rsidR="00190BBE" w:rsidRPr="00190BBE">
        <w:rPr>
          <w:rFonts w:ascii="Times New Roman" w:hAnsi="Times New Roman" w:cs="Times New Roman"/>
          <w:sz w:val="24"/>
          <w:szCs w:val="24"/>
          <w:shd w:val="clear" w:color="auto" w:fill="FFFFFF"/>
        </w:rPr>
        <w:t>dotācijai no vispārējiem ieņēmumiem un izdevumiem subsīdijām un dotācijām</w:t>
      </w:r>
      <w:r w:rsidRPr="00F855DD">
        <w:rPr>
          <w:rFonts w:ascii="Times New Roman" w:hAnsi="Times New Roman" w:cs="Times New Roman"/>
          <w:sz w:val="24"/>
          <w:szCs w:val="24"/>
          <w:shd w:val="clear" w:color="auto" w:fill="FFFFFF"/>
        </w:rPr>
        <w:t>);</w:t>
      </w:r>
    </w:p>
    <w:p w14:paraId="67E4A4B5" w14:textId="44B11D4C" w:rsidR="00F855DD" w:rsidRPr="00F855DD" w:rsidRDefault="00F855DD" w:rsidP="00F855DD">
      <w:pPr>
        <w:numPr>
          <w:ilvl w:val="0"/>
          <w:numId w:val="22"/>
        </w:numPr>
        <w:autoSpaceDE w:val="0"/>
        <w:autoSpaceDN w:val="0"/>
        <w:adjustRightInd w:val="0"/>
        <w:spacing w:after="0" w:line="240" w:lineRule="auto"/>
        <w:ind w:left="1843" w:hanging="425"/>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 xml:space="preserve">apakšprogrammā 33.16.00 “Pārējo ambulatoro veselības aprūpes pakalpojumu nodrošināšana” – 2 722 376 </w:t>
      </w:r>
      <w:r w:rsidRPr="00F855DD">
        <w:rPr>
          <w:rFonts w:ascii="Times New Roman" w:hAnsi="Times New Roman" w:cs="Times New Roman"/>
          <w:i/>
          <w:iCs/>
          <w:sz w:val="24"/>
          <w:szCs w:val="24"/>
          <w:shd w:val="clear" w:color="auto" w:fill="FFFFFF"/>
        </w:rPr>
        <w:t>euro</w:t>
      </w:r>
      <w:r w:rsidRPr="00F855DD">
        <w:rPr>
          <w:rFonts w:ascii="Times New Roman" w:hAnsi="Times New Roman" w:cs="Times New Roman"/>
          <w:sz w:val="24"/>
          <w:szCs w:val="24"/>
          <w:shd w:val="clear" w:color="auto" w:fill="FFFFFF"/>
        </w:rPr>
        <w:t xml:space="preserve"> apmērā (</w:t>
      </w:r>
      <w:r w:rsidR="00190BBE" w:rsidRPr="00190BBE">
        <w:rPr>
          <w:rFonts w:ascii="Times New Roman" w:hAnsi="Times New Roman" w:cs="Times New Roman"/>
          <w:sz w:val="24"/>
          <w:szCs w:val="24"/>
          <w:shd w:val="clear" w:color="auto" w:fill="FFFFFF"/>
        </w:rPr>
        <w:t>dotācijai no vispārējiem ieņēmumiem un izdevumiem subsīdijām un dotācijām</w:t>
      </w:r>
      <w:r w:rsidRPr="00F855DD">
        <w:rPr>
          <w:rFonts w:ascii="Times New Roman" w:hAnsi="Times New Roman" w:cs="Times New Roman"/>
          <w:sz w:val="24"/>
          <w:szCs w:val="24"/>
          <w:shd w:val="clear" w:color="auto" w:fill="FFFFFF"/>
        </w:rPr>
        <w:t>);</w:t>
      </w:r>
    </w:p>
    <w:p w14:paraId="498FAB30" w14:textId="5C106E7B" w:rsidR="00F855DD" w:rsidRPr="00F855DD" w:rsidRDefault="00F855DD" w:rsidP="00F855DD">
      <w:pPr>
        <w:numPr>
          <w:ilvl w:val="0"/>
          <w:numId w:val="22"/>
        </w:numPr>
        <w:autoSpaceDE w:val="0"/>
        <w:autoSpaceDN w:val="0"/>
        <w:adjustRightInd w:val="0"/>
        <w:spacing w:after="0" w:line="240" w:lineRule="auto"/>
        <w:ind w:left="1843" w:hanging="425"/>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lastRenderedPageBreak/>
        <w:t xml:space="preserve">apakšprogrammā 33.18.00 “Plānveida stacionāro veselības aprūpes pakalpojumu nodrošināšana” – 1 867 118 </w:t>
      </w:r>
      <w:r w:rsidRPr="00F855DD">
        <w:rPr>
          <w:rFonts w:ascii="Times New Roman" w:hAnsi="Times New Roman" w:cs="Times New Roman"/>
          <w:i/>
          <w:iCs/>
          <w:sz w:val="24"/>
          <w:szCs w:val="24"/>
          <w:shd w:val="clear" w:color="auto" w:fill="FFFFFF"/>
        </w:rPr>
        <w:t>euro</w:t>
      </w:r>
      <w:r w:rsidRPr="00F855DD">
        <w:rPr>
          <w:rFonts w:ascii="Times New Roman" w:hAnsi="Times New Roman" w:cs="Times New Roman"/>
          <w:sz w:val="24"/>
          <w:szCs w:val="24"/>
          <w:shd w:val="clear" w:color="auto" w:fill="FFFFFF"/>
        </w:rPr>
        <w:t xml:space="preserve"> apmērā (</w:t>
      </w:r>
      <w:r w:rsidR="00190BBE" w:rsidRPr="00190BBE">
        <w:rPr>
          <w:rFonts w:ascii="Times New Roman" w:hAnsi="Times New Roman" w:cs="Times New Roman"/>
          <w:sz w:val="24"/>
          <w:szCs w:val="24"/>
          <w:shd w:val="clear" w:color="auto" w:fill="FFFFFF"/>
        </w:rPr>
        <w:t>dotācijai no vispārējiem ieņēmumiem un izdevumiem subsīdijām un dotācijām</w:t>
      </w:r>
      <w:r w:rsidRPr="00F855DD">
        <w:rPr>
          <w:rFonts w:ascii="Times New Roman" w:hAnsi="Times New Roman" w:cs="Times New Roman"/>
          <w:sz w:val="24"/>
          <w:szCs w:val="24"/>
          <w:shd w:val="clear" w:color="auto" w:fill="FFFFFF"/>
        </w:rPr>
        <w:t>);</w:t>
      </w:r>
    </w:p>
    <w:p w14:paraId="27A73ECF" w14:textId="32D1A73E" w:rsidR="00F855DD" w:rsidRPr="00F855DD" w:rsidRDefault="00F855DD" w:rsidP="00F855DD">
      <w:pPr>
        <w:numPr>
          <w:ilvl w:val="0"/>
          <w:numId w:val="22"/>
        </w:numPr>
        <w:autoSpaceDE w:val="0"/>
        <w:autoSpaceDN w:val="0"/>
        <w:adjustRightInd w:val="0"/>
        <w:spacing w:after="0" w:line="240" w:lineRule="auto"/>
        <w:ind w:left="1843" w:hanging="425"/>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 xml:space="preserve">apakšprogrammā 33.17.00 “Neatliekamās medicīniskās palīdzības nodrošināšana stacionārās ārstniecības iestādēs” –     3 467 506 </w:t>
      </w:r>
      <w:r w:rsidRPr="00F855DD">
        <w:rPr>
          <w:rFonts w:ascii="Times New Roman" w:hAnsi="Times New Roman" w:cs="Times New Roman"/>
          <w:i/>
          <w:iCs/>
          <w:sz w:val="24"/>
          <w:szCs w:val="24"/>
          <w:shd w:val="clear" w:color="auto" w:fill="FFFFFF"/>
        </w:rPr>
        <w:t>euro</w:t>
      </w:r>
      <w:r w:rsidRPr="00F855DD">
        <w:rPr>
          <w:rFonts w:ascii="Times New Roman" w:hAnsi="Times New Roman" w:cs="Times New Roman"/>
          <w:sz w:val="24"/>
          <w:szCs w:val="24"/>
          <w:shd w:val="clear" w:color="auto" w:fill="FFFFFF"/>
        </w:rPr>
        <w:t xml:space="preserve"> apmērā (</w:t>
      </w:r>
      <w:r w:rsidR="00190BBE" w:rsidRPr="00190BBE">
        <w:rPr>
          <w:rFonts w:ascii="Times New Roman" w:hAnsi="Times New Roman" w:cs="Times New Roman"/>
          <w:sz w:val="24"/>
          <w:szCs w:val="24"/>
          <w:shd w:val="clear" w:color="auto" w:fill="FFFFFF"/>
        </w:rPr>
        <w:t>dotācijai no vispārējiem ieņēmumiem un izdevumiem subsīdijām un dotācijām</w:t>
      </w:r>
      <w:r w:rsidRPr="00F855DD">
        <w:rPr>
          <w:rFonts w:ascii="Times New Roman" w:hAnsi="Times New Roman" w:cs="Times New Roman"/>
          <w:sz w:val="24"/>
          <w:szCs w:val="24"/>
          <w:shd w:val="clear" w:color="auto" w:fill="FFFFFF"/>
        </w:rPr>
        <w:t>);</w:t>
      </w:r>
    </w:p>
    <w:p w14:paraId="56215407" w14:textId="5E7BC71A" w:rsidR="00F855DD" w:rsidRPr="00F855DD" w:rsidRDefault="00F855DD" w:rsidP="00F855DD">
      <w:pPr>
        <w:numPr>
          <w:ilvl w:val="0"/>
          <w:numId w:val="22"/>
        </w:numPr>
        <w:autoSpaceDE w:val="0"/>
        <w:autoSpaceDN w:val="0"/>
        <w:adjustRightInd w:val="0"/>
        <w:spacing w:after="0" w:line="240" w:lineRule="auto"/>
        <w:ind w:left="1843" w:hanging="425"/>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 xml:space="preserve">apakšprogrammā 33.15.00 “Laboratorisko izmeklējumu nodrošināšana ambulatorajā aprūpē” – 426 077 </w:t>
      </w:r>
      <w:r w:rsidRPr="00F855DD">
        <w:rPr>
          <w:rFonts w:ascii="Times New Roman" w:hAnsi="Times New Roman" w:cs="Times New Roman"/>
          <w:i/>
          <w:iCs/>
          <w:sz w:val="24"/>
          <w:szCs w:val="24"/>
          <w:shd w:val="clear" w:color="auto" w:fill="FFFFFF"/>
        </w:rPr>
        <w:t>euro</w:t>
      </w:r>
      <w:r w:rsidRPr="00F855DD">
        <w:rPr>
          <w:rFonts w:ascii="Times New Roman" w:hAnsi="Times New Roman" w:cs="Times New Roman"/>
          <w:sz w:val="24"/>
          <w:szCs w:val="24"/>
          <w:shd w:val="clear" w:color="auto" w:fill="FFFFFF"/>
        </w:rPr>
        <w:t xml:space="preserve"> apmērā (</w:t>
      </w:r>
      <w:r w:rsidR="00190BBE" w:rsidRPr="00190BBE">
        <w:rPr>
          <w:rFonts w:ascii="Times New Roman" w:hAnsi="Times New Roman" w:cs="Times New Roman"/>
          <w:sz w:val="24"/>
          <w:szCs w:val="24"/>
          <w:shd w:val="clear" w:color="auto" w:fill="FFFFFF"/>
        </w:rPr>
        <w:t>dotācijai no vispārējiem ieņēmumiem un izdevumiem subsīdijām un dotācijām</w:t>
      </w:r>
      <w:r w:rsidRPr="00F855DD">
        <w:rPr>
          <w:rFonts w:ascii="Times New Roman" w:hAnsi="Times New Roman" w:cs="Times New Roman"/>
          <w:sz w:val="24"/>
          <w:szCs w:val="24"/>
          <w:shd w:val="clear" w:color="auto" w:fill="FFFFFF"/>
        </w:rPr>
        <w:t>);</w:t>
      </w:r>
    </w:p>
    <w:p w14:paraId="4385C5C3" w14:textId="7D4C9638" w:rsidR="003261A5" w:rsidRPr="00F855DD" w:rsidRDefault="003261A5" w:rsidP="003261A5">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 xml:space="preserve">Samazinātā PVN piemērošanas kārtība atstāj būtisku ietekmi ar 2022.gadā un turpmākajos gados uz Veselības ministrijas padotības iestādēm par kopējo summu </w:t>
      </w:r>
      <w:r w:rsidR="00E72194">
        <w:rPr>
          <w:rFonts w:ascii="Times New Roman" w:hAnsi="Times New Roman" w:cs="Times New Roman"/>
          <w:sz w:val="24"/>
          <w:szCs w:val="24"/>
          <w:shd w:val="clear" w:color="auto" w:fill="FFFFFF"/>
        </w:rPr>
        <w:t>330 51</w:t>
      </w:r>
      <w:r w:rsidR="008F1C6B">
        <w:rPr>
          <w:rFonts w:ascii="Times New Roman" w:hAnsi="Times New Roman" w:cs="Times New Roman"/>
          <w:sz w:val="24"/>
          <w:szCs w:val="24"/>
          <w:shd w:val="clear" w:color="auto" w:fill="FFFFFF"/>
        </w:rPr>
        <w:t xml:space="preserve">8 </w:t>
      </w:r>
      <w:r w:rsidRPr="00F855DD">
        <w:rPr>
          <w:rFonts w:ascii="Times New Roman" w:hAnsi="Times New Roman" w:cs="Times New Roman"/>
          <w:i/>
          <w:iCs/>
          <w:sz w:val="24"/>
          <w:szCs w:val="24"/>
          <w:shd w:val="clear" w:color="auto" w:fill="FFFFFF"/>
        </w:rPr>
        <w:t xml:space="preserve">euro </w:t>
      </w:r>
      <w:r w:rsidRPr="00F855DD">
        <w:rPr>
          <w:rFonts w:ascii="Times New Roman" w:hAnsi="Times New Roman" w:cs="Times New Roman"/>
          <w:sz w:val="24"/>
          <w:szCs w:val="24"/>
          <w:shd w:val="clear" w:color="auto" w:fill="FFFFFF"/>
        </w:rPr>
        <w:t>apmērā, no tiem:</w:t>
      </w:r>
    </w:p>
    <w:p w14:paraId="7E009AE9" w14:textId="195AFBDF" w:rsidR="003261A5" w:rsidRPr="00F855DD" w:rsidRDefault="003261A5" w:rsidP="003261A5">
      <w:pPr>
        <w:pStyle w:val="ListParagraph"/>
        <w:numPr>
          <w:ilvl w:val="0"/>
          <w:numId w:val="19"/>
        </w:numPr>
        <w:autoSpaceDE w:val="0"/>
        <w:autoSpaceDN w:val="0"/>
        <w:adjustRightInd w:val="0"/>
        <w:spacing w:after="0" w:line="240" w:lineRule="auto"/>
        <w:ind w:left="1843"/>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 xml:space="preserve">39.03.00 "Asins un asins komponentu nodrošināšana" – </w:t>
      </w:r>
      <w:r w:rsidR="00E72194">
        <w:rPr>
          <w:rFonts w:ascii="Times New Roman" w:hAnsi="Times New Roman" w:cs="Times New Roman"/>
          <w:sz w:val="24"/>
          <w:szCs w:val="24"/>
          <w:shd w:val="clear" w:color="auto" w:fill="FFFFFF"/>
        </w:rPr>
        <w:t>231 284</w:t>
      </w:r>
      <w:r w:rsidRPr="00F855DD">
        <w:rPr>
          <w:rFonts w:ascii="Times New Roman" w:hAnsi="Times New Roman" w:cs="Times New Roman"/>
          <w:sz w:val="24"/>
          <w:szCs w:val="24"/>
          <w:shd w:val="clear" w:color="auto" w:fill="FFFFFF"/>
        </w:rPr>
        <w:t xml:space="preserve"> </w:t>
      </w:r>
      <w:r w:rsidRPr="00F855DD">
        <w:rPr>
          <w:rFonts w:ascii="Times New Roman" w:hAnsi="Times New Roman" w:cs="Times New Roman"/>
          <w:i/>
          <w:iCs/>
          <w:sz w:val="24"/>
          <w:szCs w:val="24"/>
          <w:shd w:val="clear" w:color="auto" w:fill="FFFFFF"/>
        </w:rPr>
        <w:t xml:space="preserve">euro </w:t>
      </w:r>
      <w:r w:rsidRPr="00F855DD">
        <w:rPr>
          <w:rFonts w:ascii="Times New Roman" w:hAnsi="Times New Roman" w:cs="Times New Roman"/>
          <w:sz w:val="24"/>
          <w:szCs w:val="24"/>
          <w:shd w:val="clear" w:color="auto" w:fill="FFFFFF"/>
        </w:rPr>
        <w:t>apmērā</w:t>
      </w:r>
      <w:r w:rsidR="00190BBE">
        <w:rPr>
          <w:rFonts w:ascii="Times New Roman" w:hAnsi="Times New Roman" w:cs="Times New Roman"/>
          <w:sz w:val="24"/>
          <w:szCs w:val="24"/>
          <w:shd w:val="clear" w:color="auto" w:fill="FFFFFF"/>
        </w:rPr>
        <w:t xml:space="preserve"> </w:t>
      </w:r>
      <w:r w:rsidR="00190BBE" w:rsidRPr="00190BBE">
        <w:rPr>
          <w:rFonts w:ascii="Times New Roman" w:hAnsi="Times New Roman" w:cs="Times New Roman"/>
          <w:sz w:val="24"/>
          <w:szCs w:val="24"/>
          <w:shd w:val="clear" w:color="auto" w:fill="FFFFFF"/>
        </w:rPr>
        <w:t>(dotācijai no vispārējiem ieņēmumiem un izdevumiem precēm un pakalpojumiem)</w:t>
      </w:r>
      <w:r w:rsidRPr="00F855DD">
        <w:rPr>
          <w:rFonts w:ascii="Times New Roman" w:hAnsi="Times New Roman" w:cs="Times New Roman"/>
          <w:sz w:val="24"/>
          <w:szCs w:val="24"/>
          <w:shd w:val="clear" w:color="auto" w:fill="FFFFFF"/>
        </w:rPr>
        <w:t>;</w:t>
      </w:r>
    </w:p>
    <w:p w14:paraId="7843CB03" w14:textId="2C0E601C" w:rsidR="003261A5" w:rsidRPr="00F855DD" w:rsidRDefault="003261A5" w:rsidP="003261A5">
      <w:pPr>
        <w:pStyle w:val="ListParagraph"/>
        <w:numPr>
          <w:ilvl w:val="0"/>
          <w:numId w:val="19"/>
        </w:numPr>
        <w:autoSpaceDE w:val="0"/>
        <w:autoSpaceDN w:val="0"/>
        <w:adjustRightInd w:val="0"/>
        <w:spacing w:after="0" w:line="240" w:lineRule="auto"/>
        <w:ind w:left="1843"/>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 xml:space="preserve">39.04.00 "Neatliekamā medicīniskā palīdzība" – 96 852 </w:t>
      </w:r>
      <w:r w:rsidRPr="00F855DD">
        <w:rPr>
          <w:rFonts w:ascii="Times New Roman" w:hAnsi="Times New Roman" w:cs="Times New Roman"/>
          <w:i/>
          <w:iCs/>
          <w:sz w:val="24"/>
          <w:szCs w:val="24"/>
          <w:shd w:val="clear" w:color="auto" w:fill="FFFFFF"/>
        </w:rPr>
        <w:t xml:space="preserve">euro </w:t>
      </w:r>
      <w:r w:rsidRPr="00F855DD">
        <w:rPr>
          <w:rFonts w:ascii="Times New Roman" w:hAnsi="Times New Roman" w:cs="Times New Roman"/>
          <w:sz w:val="24"/>
          <w:szCs w:val="24"/>
          <w:shd w:val="clear" w:color="auto" w:fill="FFFFFF"/>
        </w:rPr>
        <w:t>apmērā</w:t>
      </w:r>
      <w:r w:rsidR="00190BBE">
        <w:rPr>
          <w:rFonts w:ascii="Times New Roman" w:hAnsi="Times New Roman" w:cs="Times New Roman"/>
          <w:sz w:val="24"/>
          <w:szCs w:val="24"/>
          <w:shd w:val="clear" w:color="auto" w:fill="FFFFFF"/>
        </w:rPr>
        <w:t xml:space="preserve"> </w:t>
      </w:r>
      <w:r w:rsidR="00190BBE" w:rsidRPr="00190BBE">
        <w:rPr>
          <w:rFonts w:ascii="Times New Roman" w:hAnsi="Times New Roman" w:cs="Times New Roman"/>
          <w:sz w:val="24"/>
          <w:szCs w:val="24"/>
          <w:shd w:val="clear" w:color="auto" w:fill="FFFFFF"/>
        </w:rPr>
        <w:t>(dotācijai no vispārējiem ieņēmumiem un izdevumiem precēm un pakalpojumiem)</w:t>
      </w:r>
      <w:r w:rsidRPr="00F855DD">
        <w:rPr>
          <w:rFonts w:ascii="Times New Roman" w:hAnsi="Times New Roman" w:cs="Times New Roman"/>
          <w:sz w:val="24"/>
          <w:szCs w:val="24"/>
          <w:shd w:val="clear" w:color="auto" w:fill="FFFFFF"/>
        </w:rPr>
        <w:t>;</w:t>
      </w:r>
    </w:p>
    <w:p w14:paraId="5BD0215B" w14:textId="2BE7E05D" w:rsidR="003261A5" w:rsidRPr="00F855DD" w:rsidRDefault="003261A5" w:rsidP="003261A5">
      <w:pPr>
        <w:pStyle w:val="ListParagraph"/>
        <w:numPr>
          <w:ilvl w:val="0"/>
          <w:numId w:val="19"/>
        </w:numPr>
        <w:autoSpaceDE w:val="0"/>
        <w:autoSpaceDN w:val="0"/>
        <w:adjustRightInd w:val="0"/>
        <w:spacing w:after="0" w:line="240" w:lineRule="auto"/>
        <w:ind w:left="1843"/>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 xml:space="preserve">39.06.00 "Tiesu medicīniskā ekspertīze" – 2 306 </w:t>
      </w:r>
      <w:r w:rsidRPr="00F855DD">
        <w:rPr>
          <w:rFonts w:ascii="Times New Roman" w:hAnsi="Times New Roman" w:cs="Times New Roman"/>
          <w:i/>
          <w:iCs/>
          <w:sz w:val="24"/>
          <w:szCs w:val="24"/>
          <w:shd w:val="clear" w:color="auto" w:fill="FFFFFF"/>
        </w:rPr>
        <w:t xml:space="preserve">euro </w:t>
      </w:r>
      <w:r w:rsidRPr="00F855DD">
        <w:rPr>
          <w:rFonts w:ascii="Times New Roman" w:hAnsi="Times New Roman" w:cs="Times New Roman"/>
          <w:sz w:val="24"/>
          <w:szCs w:val="24"/>
          <w:shd w:val="clear" w:color="auto" w:fill="FFFFFF"/>
        </w:rPr>
        <w:t>apmērā</w:t>
      </w:r>
      <w:r w:rsidR="00190BBE">
        <w:rPr>
          <w:rFonts w:ascii="Times New Roman" w:hAnsi="Times New Roman" w:cs="Times New Roman"/>
          <w:sz w:val="24"/>
          <w:szCs w:val="24"/>
          <w:shd w:val="clear" w:color="auto" w:fill="FFFFFF"/>
        </w:rPr>
        <w:t xml:space="preserve"> </w:t>
      </w:r>
      <w:r w:rsidR="00190BBE" w:rsidRPr="00190BBE">
        <w:rPr>
          <w:rFonts w:ascii="Times New Roman" w:hAnsi="Times New Roman" w:cs="Times New Roman"/>
          <w:sz w:val="24"/>
          <w:szCs w:val="24"/>
          <w:shd w:val="clear" w:color="auto" w:fill="FFFFFF"/>
        </w:rPr>
        <w:t>(dotācijai no vispārējiem ieņēmumiem un izdevumiem precēm un pakalpojumiem)</w:t>
      </w:r>
      <w:r w:rsidR="00190BBE">
        <w:rPr>
          <w:rFonts w:ascii="Times New Roman" w:hAnsi="Times New Roman" w:cs="Times New Roman"/>
          <w:sz w:val="24"/>
          <w:szCs w:val="24"/>
          <w:shd w:val="clear" w:color="auto" w:fill="FFFFFF"/>
        </w:rPr>
        <w:t>;</w:t>
      </w:r>
    </w:p>
    <w:p w14:paraId="5A9C9638" w14:textId="4615FF0B" w:rsidR="003261A5" w:rsidRPr="00F855DD" w:rsidRDefault="003261A5" w:rsidP="003261A5">
      <w:pPr>
        <w:pStyle w:val="ListParagraph"/>
        <w:numPr>
          <w:ilvl w:val="0"/>
          <w:numId w:val="19"/>
        </w:numPr>
        <w:autoSpaceDE w:val="0"/>
        <w:autoSpaceDN w:val="0"/>
        <w:adjustRightInd w:val="0"/>
        <w:spacing w:after="0" w:line="240" w:lineRule="auto"/>
        <w:ind w:left="1843"/>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 xml:space="preserve">39.07.00 “Antidopinga politikas īstenošana”- 76 </w:t>
      </w:r>
      <w:r w:rsidRPr="00F855DD">
        <w:rPr>
          <w:rFonts w:ascii="Times New Roman" w:hAnsi="Times New Roman" w:cs="Times New Roman"/>
          <w:i/>
          <w:iCs/>
          <w:sz w:val="24"/>
          <w:szCs w:val="24"/>
          <w:shd w:val="clear" w:color="auto" w:fill="FFFFFF"/>
        </w:rPr>
        <w:t xml:space="preserve">euro </w:t>
      </w:r>
      <w:r w:rsidRPr="00F855DD">
        <w:rPr>
          <w:rFonts w:ascii="Times New Roman" w:hAnsi="Times New Roman" w:cs="Times New Roman"/>
          <w:sz w:val="24"/>
          <w:szCs w:val="24"/>
          <w:shd w:val="clear" w:color="auto" w:fill="FFFFFF"/>
        </w:rPr>
        <w:t>apmērā</w:t>
      </w:r>
      <w:r w:rsidR="00190BBE">
        <w:rPr>
          <w:rFonts w:ascii="Times New Roman" w:hAnsi="Times New Roman" w:cs="Times New Roman"/>
          <w:sz w:val="24"/>
          <w:szCs w:val="24"/>
          <w:shd w:val="clear" w:color="auto" w:fill="FFFFFF"/>
        </w:rPr>
        <w:t xml:space="preserve"> </w:t>
      </w:r>
      <w:r w:rsidR="00190BBE" w:rsidRPr="00190BBE">
        <w:rPr>
          <w:rFonts w:ascii="Times New Roman" w:hAnsi="Times New Roman" w:cs="Times New Roman"/>
          <w:sz w:val="24"/>
          <w:szCs w:val="24"/>
          <w:shd w:val="clear" w:color="auto" w:fill="FFFFFF"/>
        </w:rPr>
        <w:t>(dotācijai no vispārējiem ieņēmumiem un izdevumiem precēm un pakalpojumiem)</w:t>
      </w:r>
      <w:r w:rsidR="00190BBE">
        <w:rPr>
          <w:rFonts w:ascii="Times New Roman" w:hAnsi="Times New Roman" w:cs="Times New Roman"/>
          <w:sz w:val="24"/>
          <w:szCs w:val="24"/>
          <w:shd w:val="clear" w:color="auto" w:fill="FFFFFF"/>
        </w:rPr>
        <w:t>.</w:t>
      </w:r>
    </w:p>
    <w:p w14:paraId="443BCD57" w14:textId="739392B5" w:rsidR="003261A5" w:rsidRPr="00F855DD" w:rsidRDefault="003261A5" w:rsidP="003261A5">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F855DD">
        <w:rPr>
          <w:rFonts w:ascii="Times New Roman" w:hAnsi="Times New Roman" w:cs="Times New Roman"/>
          <w:sz w:val="24"/>
          <w:szCs w:val="24"/>
          <w:shd w:val="clear" w:color="auto" w:fill="FFFFFF"/>
        </w:rPr>
        <w:t xml:space="preserve">Tādējādi kopējais indikatīvais izdevumu palielinājumus PVN likmes pieauguma ietekmē 2022.gadam un turpmākiem gadiem veido </w:t>
      </w:r>
      <w:r w:rsidR="00E72194">
        <w:rPr>
          <w:rFonts w:ascii="Times New Roman" w:hAnsi="Times New Roman" w:cs="Times New Roman"/>
          <w:b/>
          <w:bCs/>
          <w:sz w:val="24"/>
          <w:szCs w:val="24"/>
          <w:shd w:val="clear" w:color="auto" w:fill="FFFFFF"/>
        </w:rPr>
        <w:t>10 401 23</w:t>
      </w:r>
      <w:r w:rsidR="008F1C6B">
        <w:rPr>
          <w:rFonts w:ascii="Times New Roman" w:hAnsi="Times New Roman" w:cs="Times New Roman"/>
          <w:b/>
          <w:bCs/>
          <w:sz w:val="24"/>
          <w:szCs w:val="24"/>
          <w:shd w:val="clear" w:color="auto" w:fill="FFFFFF"/>
        </w:rPr>
        <w:t>1</w:t>
      </w:r>
      <w:r w:rsidRPr="00F855DD">
        <w:rPr>
          <w:rFonts w:ascii="Times New Roman" w:hAnsi="Times New Roman" w:cs="Times New Roman"/>
          <w:b/>
          <w:bCs/>
          <w:sz w:val="24"/>
          <w:szCs w:val="24"/>
          <w:shd w:val="clear" w:color="auto" w:fill="FFFFFF"/>
        </w:rPr>
        <w:t xml:space="preserve"> </w:t>
      </w:r>
      <w:r w:rsidRPr="00F855DD">
        <w:rPr>
          <w:rFonts w:ascii="Times New Roman" w:hAnsi="Times New Roman" w:cs="Times New Roman"/>
          <w:b/>
          <w:bCs/>
          <w:i/>
          <w:iCs/>
          <w:sz w:val="24"/>
          <w:szCs w:val="24"/>
          <w:shd w:val="clear" w:color="auto" w:fill="FFFFFF"/>
        </w:rPr>
        <w:t>euro</w:t>
      </w:r>
      <w:r w:rsidRPr="00F855DD">
        <w:rPr>
          <w:rFonts w:ascii="Times New Roman" w:hAnsi="Times New Roman" w:cs="Times New Roman"/>
          <w:i/>
          <w:iCs/>
          <w:sz w:val="24"/>
          <w:szCs w:val="24"/>
          <w:shd w:val="clear" w:color="auto" w:fill="FFFFFF"/>
        </w:rPr>
        <w:t xml:space="preserve"> </w:t>
      </w:r>
      <w:r w:rsidRPr="00F855DD">
        <w:rPr>
          <w:rFonts w:ascii="Times New Roman" w:hAnsi="Times New Roman" w:cs="Times New Roman"/>
          <w:sz w:val="24"/>
          <w:szCs w:val="24"/>
          <w:shd w:val="clear" w:color="auto" w:fill="FFFFFF"/>
        </w:rPr>
        <w:t>apmērā.</w:t>
      </w:r>
    </w:p>
    <w:p w14:paraId="48A05636" w14:textId="39BDC208" w:rsidR="00E218B1" w:rsidRPr="00DA5160" w:rsidRDefault="00E218B1" w:rsidP="00766C18">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Līdz ar to, p</w:t>
      </w:r>
      <w:r w:rsidR="00D31A04" w:rsidRPr="00D31A04">
        <w:rPr>
          <w:rFonts w:ascii="Times New Roman" w:hAnsi="Times New Roman" w:cs="Times New Roman"/>
          <w:sz w:val="24"/>
          <w:szCs w:val="24"/>
          <w:shd w:val="clear" w:color="auto" w:fill="FFFFFF"/>
        </w:rPr>
        <w:t xml:space="preserve">lānotais izdevumu palielinājums </w:t>
      </w:r>
      <w:r w:rsidRPr="00E218B1">
        <w:rPr>
          <w:rFonts w:ascii="Times New Roman" w:hAnsi="Times New Roman" w:cs="Times New Roman"/>
          <w:sz w:val="24"/>
          <w:szCs w:val="24"/>
          <w:shd w:val="clear" w:color="auto" w:fill="FFFFFF"/>
        </w:rPr>
        <w:t xml:space="preserve">par laika periodu no 2021.gada 1.jūlija līdz 2021.gada 31.oktobrim </w:t>
      </w:r>
      <w:r>
        <w:rPr>
          <w:rFonts w:ascii="Times New Roman" w:hAnsi="Times New Roman" w:cs="Times New Roman"/>
          <w:sz w:val="24"/>
          <w:szCs w:val="24"/>
          <w:shd w:val="clear" w:color="auto" w:fill="FFFFFF"/>
        </w:rPr>
        <w:t>3 467 077</w:t>
      </w:r>
      <w:r w:rsidR="008F1C6B" w:rsidRPr="008F1C6B">
        <w:rPr>
          <w:rFonts w:ascii="Times New Roman" w:hAnsi="Times New Roman" w:cs="Times New Roman"/>
          <w:sz w:val="24"/>
          <w:szCs w:val="24"/>
          <w:shd w:val="clear" w:color="auto" w:fill="FFFFFF"/>
        </w:rPr>
        <w:t xml:space="preserve"> </w:t>
      </w:r>
      <w:r w:rsidR="00D31A04" w:rsidRPr="00D31A04">
        <w:rPr>
          <w:rFonts w:ascii="Times New Roman" w:hAnsi="Times New Roman" w:cs="Times New Roman"/>
          <w:i/>
          <w:iCs/>
          <w:sz w:val="24"/>
          <w:szCs w:val="24"/>
          <w:shd w:val="clear" w:color="auto" w:fill="FFFFFF"/>
        </w:rPr>
        <w:t>euro</w:t>
      </w:r>
      <w:r w:rsidR="00D31A04" w:rsidRPr="00D31A04">
        <w:rPr>
          <w:rFonts w:ascii="Times New Roman" w:hAnsi="Times New Roman" w:cs="Times New Roman"/>
          <w:sz w:val="24"/>
          <w:szCs w:val="24"/>
          <w:shd w:val="clear" w:color="auto" w:fill="FFFFFF"/>
        </w:rPr>
        <w:t xml:space="preserve"> apmērā</w:t>
      </w:r>
      <w:r>
        <w:rPr>
          <w:rFonts w:ascii="Times New Roman" w:hAnsi="Times New Roman" w:cs="Times New Roman"/>
          <w:sz w:val="24"/>
          <w:szCs w:val="24"/>
          <w:shd w:val="clear" w:color="auto" w:fill="FFFFFF"/>
        </w:rPr>
        <w:t xml:space="preserve"> </w:t>
      </w:r>
      <w:r w:rsidR="00D31A04" w:rsidRPr="00D31A04">
        <w:rPr>
          <w:rFonts w:ascii="Times New Roman" w:hAnsi="Times New Roman" w:cs="Times New Roman"/>
          <w:sz w:val="24"/>
          <w:szCs w:val="24"/>
          <w:shd w:val="clear" w:color="auto" w:fill="FFFFFF"/>
        </w:rPr>
        <w:t xml:space="preserve">2021.gadā tiks pieprasīts no </w:t>
      </w:r>
      <w:r w:rsidR="00D31A04">
        <w:rPr>
          <w:rFonts w:ascii="Times New Roman" w:hAnsi="Times New Roman" w:cs="Times New Roman"/>
          <w:sz w:val="24"/>
          <w:szCs w:val="24"/>
          <w:shd w:val="clear" w:color="auto" w:fill="FFFFFF"/>
        </w:rPr>
        <w:t xml:space="preserve">valsts </w:t>
      </w:r>
      <w:r w:rsidR="00D31A04" w:rsidRPr="00D31A04">
        <w:rPr>
          <w:rFonts w:ascii="Times New Roman" w:hAnsi="Times New Roman" w:cs="Times New Roman"/>
          <w:sz w:val="24"/>
          <w:szCs w:val="24"/>
          <w:shd w:val="clear" w:color="auto" w:fill="FFFFFF"/>
        </w:rPr>
        <w:t xml:space="preserve">budžeta </w:t>
      </w:r>
      <w:r w:rsidR="00D31A04">
        <w:rPr>
          <w:rFonts w:ascii="Times New Roman" w:hAnsi="Times New Roman" w:cs="Times New Roman"/>
          <w:sz w:val="24"/>
          <w:szCs w:val="24"/>
          <w:shd w:val="clear" w:color="auto" w:fill="FFFFFF"/>
        </w:rPr>
        <w:t>programmas 02.00.00</w:t>
      </w:r>
      <w:r w:rsidR="00D31A04" w:rsidRPr="00D31A04">
        <w:rPr>
          <w:rFonts w:ascii="Times New Roman" w:hAnsi="Times New Roman" w:cs="Times New Roman"/>
          <w:sz w:val="24"/>
          <w:szCs w:val="24"/>
          <w:shd w:val="clear" w:color="auto" w:fill="FFFFFF"/>
        </w:rPr>
        <w:t xml:space="preserve"> “</w:t>
      </w:r>
      <w:r w:rsidR="00D31A04">
        <w:rPr>
          <w:rFonts w:ascii="Times New Roman" w:hAnsi="Times New Roman" w:cs="Times New Roman"/>
          <w:sz w:val="24"/>
          <w:szCs w:val="24"/>
          <w:shd w:val="clear" w:color="auto" w:fill="FFFFFF"/>
        </w:rPr>
        <w:t>L</w:t>
      </w:r>
      <w:r w:rsidR="00D31A04" w:rsidRPr="00D31A04">
        <w:rPr>
          <w:rFonts w:ascii="Times New Roman" w:hAnsi="Times New Roman" w:cs="Times New Roman"/>
          <w:sz w:val="24"/>
          <w:szCs w:val="24"/>
          <w:shd w:val="clear" w:color="auto" w:fill="FFFFFF"/>
        </w:rPr>
        <w:t xml:space="preserve">īdzekļi neparedzētiem gadījumiem”, savukārt </w:t>
      </w:r>
      <w:r>
        <w:rPr>
          <w:rFonts w:ascii="Times New Roman" w:hAnsi="Times New Roman" w:cs="Times New Roman"/>
          <w:sz w:val="24"/>
          <w:szCs w:val="24"/>
          <w:shd w:val="clear" w:color="auto" w:fill="FFFFFF"/>
        </w:rPr>
        <w:t>p</w:t>
      </w:r>
      <w:r w:rsidRPr="00E218B1">
        <w:rPr>
          <w:rFonts w:ascii="Times New Roman" w:hAnsi="Times New Roman" w:cs="Times New Roman"/>
          <w:sz w:val="24"/>
          <w:szCs w:val="24"/>
          <w:shd w:val="clear" w:color="auto" w:fill="FFFFFF"/>
        </w:rPr>
        <w:t>lānotais izdevumu palielinājums par laika periodu no 2021.gada 1.</w:t>
      </w:r>
      <w:r>
        <w:rPr>
          <w:rFonts w:ascii="Times New Roman" w:hAnsi="Times New Roman" w:cs="Times New Roman"/>
          <w:sz w:val="24"/>
          <w:szCs w:val="24"/>
          <w:shd w:val="clear" w:color="auto" w:fill="FFFFFF"/>
        </w:rPr>
        <w:t>novembra</w:t>
      </w:r>
      <w:r w:rsidRPr="00E218B1">
        <w:rPr>
          <w:rFonts w:ascii="Times New Roman" w:hAnsi="Times New Roman" w:cs="Times New Roman"/>
          <w:sz w:val="24"/>
          <w:szCs w:val="24"/>
          <w:shd w:val="clear" w:color="auto" w:fill="FFFFFF"/>
        </w:rPr>
        <w:t xml:space="preserve"> līdz 2021.gada 31.</w:t>
      </w:r>
      <w:r>
        <w:rPr>
          <w:rFonts w:ascii="Times New Roman" w:hAnsi="Times New Roman" w:cs="Times New Roman"/>
          <w:sz w:val="24"/>
          <w:szCs w:val="24"/>
          <w:shd w:val="clear" w:color="auto" w:fill="FFFFFF"/>
        </w:rPr>
        <w:t>decembrim</w:t>
      </w:r>
      <w:r w:rsidRPr="00E218B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1 733 538</w:t>
      </w:r>
      <w:r w:rsidRPr="00E218B1">
        <w:rPr>
          <w:rFonts w:ascii="Times New Roman" w:hAnsi="Times New Roman" w:cs="Times New Roman"/>
          <w:sz w:val="24"/>
          <w:szCs w:val="24"/>
          <w:shd w:val="clear" w:color="auto" w:fill="FFFFFF"/>
        </w:rPr>
        <w:t xml:space="preserve"> </w:t>
      </w:r>
      <w:r w:rsidRPr="00E218B1">
        <w:rPr>
          <w:rFonts w:ascii="Times New Roman" w:hAnsi="Times New Roman" w:cs="Times New Roman"/>
          <w:i/>
          <w:iCs/>
          <w:sz w:val="24"/>
          <w:szCs w:val="24"/>
          <w:shd w:val="clear" w:color="auto" w:fill="FFFFFF"/>
        </w:rPr>
        <w:t>euro</w:t>
      </w:r>
      <w:r w:rsidRPr="00E218B1">
        <w:rPr>
          <w:rFonts w:ascii="Times New Roman" w:hAnsi="Times New Roman" w:cs="Times New Roman"/>
          <w:sz w:val="24"/>
          <w:szCs w:val="24"/>
          <w:shd w:val="clear" w:color="auto" w:fill="FFFFFF"/>
        </w:rPr>
        <w:t xml:space="preserve"> apmērā 202</w:t>
      </w:r>
      <w:r>
        <w:rPr>
          <w:rFonts w:ascii="Times New Roman" w:hAnsi="Times New Roman" w:cs="Times New Roman"/>
          <w:sz w:val="24"/>
          <w:szCs w:val="24"/>
          <w:shd w:val="clear" w:color="auto" w:fill="FFFFFF"/>
        </w:rPr>
        <w:t>2</w:t>
      </w:r>
      <w:r w:rsidRPr="00E218B1">
        <w:rPr>
          <w:rFonts w:ascii="Times New Roman" w:hAnsi="Times New Roman" w:cs="Times New Roman"/>
          <w:sz w:val="24"/>
          <w:szCs w:val="24"/>
          <w:shd w:val="clear" w:color="auto" w:fill="FFFFFF"/>
        </w:rPr>
        <w:t xml:space="preserve">.gadā tiks pieprasīts no valsts budžeta programmas 02.00.00 “Līdzekļi </w:t>
      </w:r>
      <w:r w:rsidRPr="00DA5160">
        <w:rPr>
          <w:rFonts w:ascii="Times New Roman" w:hAnsi="Times New Roman" w:cs="Times New Roman"/>
          <w:sz w:val="24"/>
          <w:szCs w:val="24"/>
          <w:shd w:val="clear" w:color="auto" w:fill="FFFFFF"/>
        </w:rPr>
        <w:t>neparedzētiem gadījumiem”.</w:t>
      </w:r>
    </w:p>
    <w:p w14:paraId="29513BC7" w14:textId="77777777" w:rsidR="004C3426" w:rsidRPr="004C3426" w:rsidRDefault="004C3426" w:rsidP="004C3426">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C3426">
        <w:rPr>
          <w:rFonts w:ascii="Times New Roman" w:hAnsi="Times New Roman" w:cs="Times New Roman"/>
          <w:sz w:val="24"/>
          <w:szCs w:val="24"/>
          <w:shd w:val="clear" w:color="auto" w:fill="FFFFFF"/>
        </w:rPr>
        <w:t>Tādējādi VM sniegs priekšlikumus Finanšu ministrijā izskatīšanai Saeimā otrajā lasījumā:</w:t>
      </w:r>
    </w:p>
    <w:p w14:paraId="2C6F1B49" w14:textId="77777777" w:rsidR="004C3426" w:rsidRPr="004C3426" w:rsidRDefault="004C3426" w:rsidP="004C3426">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4C3426">
        <w:rPr>
          <w:rFonts w:ascii="Times New Roman" w:hAnsi="Times New Roman" w:cs="Times New Roman"/>
          <w:sz w:val="24"/>
          <w:szCs w:val="24"/>
          <w:shd w:val="clear" w:color="auto" w:fill="FFFFFF"/>
        </w:rPr>
        <w:t>par finansējuma palielinājumu 2022.gadā un turpmāk ik gadu 330 518 euro apmērā VM padotības iestādēm;</w:t>
      </w:r>
    </w:p>
    <w:p w14:paraId="3D7678C4" w14:textId="77777777" w:rsidR="004C3426" w:rsidRPr="004C3426" w:rsidRDefault="004C3426" w:rsidP="004C3426">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4C3426">
        <w:rPr>
          <w:rFonts w:ascii="Times New Roman" w:hAnsi="Times New Roman" w:cs="Times New Roman"/>
          <w:sz w:val="24"/>
          <w:szCs w:val="24"/>
          <w:shd w:val="clear" w:color="auto" w:fill="FFFFFF"/>
        </w:rPr>
        <w:t>par finansējuma palielinājumu 2022. - 2024.gadā ik gadu  10 070 713 euro apmērā budžeta resora "74. Gadskārtējā valsts budžeta izpildes procesā pārdalāmais finansējums" programmā 08.00.00 "Veselības aprūpes sistēmas reformas ieviešanas finansējums" (dotācijai no vispārējiem ieņēmumiem un izdevumiem subsīdijām un dotācijām);</w:t>
      </w:r>
    </w:p>
    <w:p w14:paraId="41AFEB4F" w14:textId="1955195A" w:rsidR="00766C18" w:rsidRPr="004C3426" w:rsidRDefault="004C3426" w:rsidP="004C3426">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4C3426">
        <w:rPr>
          <w:rFonts w:ascii="Times New Roman" w:hAnsi="Times New Roman" w:cs="Times New Roman"/>
          <w:sz w:val="24"/>
          <w:szCs w:val="24"/>
          <w:shd w:val="clear" w:color="auto" w:fill="FFFFFF"/>
        </w:rPr>
        <w:t>par ieņēmumu palielināšanu no pievienotās vērtības nodokļa 2022. – 2024.gadā ik gadu par 10 401 231 euro , lai nodrošinātu Latvijas Republikas Senāta 2021.gada 22.marta sprieduma administratīvajā lietā Nr.A420143317 (SKA-123/2021) izpildei nepieciešamo finansējumu pievienotās vērtības nodokļa likmes pieaugumam."</w:t>
      </w:r>
    </w:p>
    <w:p w14:paraId="330E3E59" w14:textId="77777777" w:rsidR="00895377" w:rsidRPr="00895377" w:rsidRDefault="00895377" w:rsidP="00895377">
      <w:pPr>
        <w:autoSpaceDE w:val="0"/>
        <w:autoSpaceDN w:val="0"/>
        <w:adjustRightInd w:val="0"/>
        <w:spacing w:after="0" w:line="240" w:lineRule="auto"/>
        <w:jc w:val="both"/>
        <w:rPr>
          <w:rFonts w:ascii="Times New Roman" w:hAnsi="Times New Roman" w:cs="Times New Roman"/>
          <w:sz w:val="24"/>
          <w:szCs w:val="24"/>
        </w:rPr>
      </w:pPr>
      <w:r w:rsidRPr="00DA5160">
        <w:rPr>
          <w:rFonts w:ascii="Times New Roman" w:hAnsi="Times New Roman" w:cs="Times New Roman"/>
          <w:sz w:val="24"/>
          <w:szCs w:val="24"/>
        </w:rPr>
        <w:t xml:space="preserve">Saskaņā ar Pievienotās vērtības nodokļa likuma 42.panta astoņpadsmito daļu pievienotās vērtības nodokļa likmi 0 procentu apmērā piemēro tādu Covid-19 in vitro diagnostikas medicīnisko ierīču piegādei, kas ar atbilstošiem Eiropas Savienības tiesību aktiem ir atzītas Eiropas Savienībā, un ar šīm ierīcēm cieši saistītu pakalpojumu sniegšanai </w:t>
      </w:r>
      <w:r w:rsidRPr="00895377">
        <w:rPr>
          <w:rFonts w:ascii="Times New Roman" w:hAnsi="Times New Roman" w:cs="Times New Roman"/>
          <w:sz w:val="24"/>
          <w:szCs w:val="24"/>
        </w:rPr>
        <w:t>iekšzemē.</w:t>
      </w:r>
    </w:p>
    <w:p w14:paraId="3083A07D" w14:textId="77777777" w:rsidR="00895377" w:rsidRPr="00895377" w:rsidRDefault="00895377" w:rsidP="00895377">
      <w:pPr>
        <w:autoSpaceDE w:val="0"/>
        <w:autoSpaceDN w:val="0"/>
        <w:adjustRightInd w:val="0"/>
        <w:spacing w:after="0" w:line="240" w:lineRule="auto"/>
        <w:jc w:val="both"/>
        <w:rPr>
          <w:rFonts w:ascii="Times New Roman" w:hAnsi="Times New Roman" w:cs="Times New Roman"/>
          <w:sz w:val="24"/>
          <w:szCs w:val="24"/>
        </w:rPr>
      </w:pPr>
      <w:r w:rsidRPr="00895377">
        <w:rPr>
          <w:rFonts w:ascii="Times New Roman" w:hAnsi="Times New Roman" w:cs="Times New Roman"/>
          <w:sz w:val="24"/>
          <w:szCs w:val="24"/>
        </w:rPr>
        <w:lastRenderedPageBreak/>
        <w:t>Šā likuma pārejas noteikumu 38.punkts paredz, ka 42. panta astoņpadsmitā daļa ir spēkā līdz 2022. gada 31. decembrim.</w:t>
      </w:r>
    </w:p>
    <w:p w14:paraId="415C36BD" w14:textId="0E0235FD" w:rsidR="005B405B" w:rsidRPr="00F855DD" w:rsidRDefault="00895377" w:rsidP="00895377">
      <w:pPr>
        <w:autoSpaceDE w:val="0"/>
        <w:autoSpaceDN w:val="0"/>
        <w:adjustRightInd w:val="0"/>
        <w:spacing w:after="0" w:line="240" w:lineRule="auto"/>
        <w:jc w:val="both"/>
        <w:rPr>
          <w:rFonts w:ascii="Times New Roman" w:hAnsi="Times New Roman" w:cs="Times New Roman"/>
          <w:sz w:val="24"/>
          <w:szCs w:val="24"/>
          <w:bdr w:val="none" w:sz="0" w:space="0" w:color="auto" w:frame="1"/>
          <w:shd w:val="clear" w:color="auto" w:fill="FFFFFF"/>
        </w:rPr>
      </w:pPr>
      <w:r w:rsidRPr="00895377">
        <w:rPr>
          <w:rFonts w:ascii="Times New Roman" w:hAnsi="Times New Roman" w:cs="Times New Roman"/>
          <w:sz w:val="24"/>
          <w:szCs w:val="24"/>
        </w:rPr>
        <w:t>Savukārt ar Eiropas Komisijas 2021.gada 19.aprīļa Lēmumu (ES) 2021/660, ar kuru groza Lēmumu (ES) 2020/491 par atbrīvojumu no ievedmuitas nodokļiem un no importa PVN, ko piešķir precēm, kas nepieciešamas Covid-19 uzliesmojuma seku apkarošanai 2020.gadā līdz 2021. gada 31. decembrim piešķirts atbrīvojums tikai no ievedmuitas nodokļiem un no importa pievienotās vērtības nodokļa precēm, kas nepieciešamas Covid-19 uzliesmojuma seku apkarošanai.</w:t>
      </w:r>
    </w:p>
    <w:p w14:paraId="496F75D1" w14:textId="77777777" w:rsidR="005B405B" w:rsidRPr="00F855DD" w:rsidRDefault="005B405B" w:rsidP="005B405B">
      <w:pPr>
        <w:autoSpaceDE w:val="0"/>
        <w:autoSpaceDN w:val="0"/>
        <w:adjustRightInd w:val="0"/>
        <w:spacing w:after="0" w:line="240" w:lineRule="auto"/>
        <w:jc w:val="both"/>
        <w:rPr>
          <w:rFonts w:ascii="Times New Roman" w:hAnsi="Times New Roman" w:cs="Verdana"/>
          <w:sz w:val="24"/>
          <w:szCs w:val="24"/>
        </w:rPr>
      </w:pPr>
    </w:p>
    <w:p w14:paraId="7048F15F" w14:textId="77777777" w:rsidR="008D0491" w:rsidRPr="00F855DD" w:rsidRDefault="008D0491" w:rsidP="008D0491">
      <w:pPr>
        <w:autoSpaceDE w:val="0"/>
        <w:autoSpaceDN w:val="0"/>
        <w:adjustRightInd w:val="0"/>
        <w:spacing w:after="0" w:line="240" w:lineRule="auto"/>
        <w:jc w:val="both"/>
        <w:rPr>
          <w:rFonts w:ascii="Times New Roman" w:hAnsi="Times New Roman" w:cs="Times New Roman"/>
          <w:sz w:val="23"/>
          <w:szCs w:val="23"/>
        </w:rPr>
      </w:pPr>
    </w:p>
    <w:p w14:paraId="3960BD04" w14:textId="77777777" w:rsidR="008D0491" w:rsidRPr="00F855DD" w:rsidRDefault="008D0491" w:rsidP="008D0491">
      <w:pPr>
        <w:spacing w:after="0" w:line="240" w:lineRule="auto"/>
        <w:jc w:val="both"/>
        <w:rPr>
          <w:rFonts w:ascii="Times New Roman" w:eastAsia="Calibri" w:hAnsi="Times New Roman" w:cs="Times New Roman"/>
          <w:sz w:val="28"/>
          <w:szCs w:val="28"/>
        </w:rPr>
      </w:pPr>
      <w:r w:rsidRPr="00F855DD">
        <w:rPr>
          <w:rFonts w:ascii="Times New Roman" w:eastAsia="Calibri" w:hAnsi="Times New Roman" w:cs="Times New Roman"/>
          <w:sz w:val="28"/>
          <w:szCs w:val="28"/>
        </w:rPr>
        <w:t>Veselības ministrs</w:t>
      </w:r>
      <w:r w:rsidRPr="00F855DD">
        <w:rPr>
          <w:rFonts w:ascii="Times New Roman" w:eastAsia="Calibri" w:hAnsi="Times New Roman" w:cs="Times New Roman"/>
          <w:sz w:val="28"/>
          <w:szCs w:val="28"/>
        </w:rPr>
        <w:tab/>
      </w:r>
      <w:r w:rsidRPr="00F855DD">
        <w:rPr>
          <w:rFonts w:ascii="Times New Roman" w:eastAsia="Calibri" w:hAnsi="Times New Roman" w:cs="Times New Roman"/>
          <w:sz w:val="28"/>
          <w:szCs w:val="28"/>
        </w:rPr>
        <w:tab/>
      </w:r>
      <w:r w:rsidRPr="00F855DD">
        <w:rPr>
          <w:rFonts w:ascii="Times New Roman" w:eastAsia="Calibri" w:hAnsi="Times New Roman" w:cs="Times New Roman"/>
          <w:sz w:val="28"/>
          <w:szCs w:val="28"/>
        </w:rPr>
        <w:tab/>
      </w:r>
      <w:r w:rsidRPr="00F855DD">
        <w:rPr>
          <w:rFonts w:ascii="Times New Roman" w:eastAsia="Calibri" w:hAnsi="Times New Roman" w:cs="Times New Roman"/>
          <w:sz w:val="28"/>
          <w:szCs w:val="28"/>
        </w:rPr>
        <w:tab/>
      </w:r>
      <w:r w:rsidRPr="00F855DD">
        <w:rPr>
          <w:rFonts w:ascii="Times New Roman" w:eastAsia="Calibri" w:hAnsi="Times New Roman" w:cs="Times New Roman"/>
          <w:sz w:val="28"/>
          <w:szCs w:val="28"/>
        </w:rPr>
        <w:tab/>
      </w:r>
      <w:r w:rsidRPr="00F855DD">
        <w:rPr>
          <w:rFonts w:ascii="Times New Roman" w:eastAsia="Calibri" w:hAnsi="Times New Roman" w:cs="Times New Roman"/>
          <w:sz w:val="28"/>
          <w:szCs w:val="28"/>
        </w:rPr>
        <w:tab/>
      </w:r>
      <w:r w:rsidRPr="00F855DD">
        <w:rPr>
          <w:rFonts w:ascii="Times New Roman" w:eastAsia="Calibri" w:hAnsi="Times New Roman" w:cs="Times New Roman"/>
          <w:sz w:val="28"/>
          <w:szCs w:val="28"/>
        </w:rPr>
        <w:tab/>
        <w:t xml:space="preserve">        D. Pavļuts</w:t>
      </w:r>
    </w:p>
    <w:p w14:paraId="4F40091C" w14:textId="77777777" w:rsidR="008D0491" w:rsidRPr="00F855DD" w:rsidRDefault="008D0491" w:rsidP="008D0491">
      <w:pPr>
        <w:spacing w:after="0" w:line="240" w:lineRule="auto"/>
        <w:jc w:val="both"/>
        <w:rPr>
          <w:rFonts w:ascii="Times New Roman" w:eastAsia="Calibri" w:hAnsi="Times New Roman" w:cs="Times New Roman"/>
          <w:sz w:val="28"/>
          <w:szCs w:val="28"/>
        </w:rPr>
      </w:pPr>
    </w:p>
    <w:p w14:paraId="66AA5C06" w14:textId="77777777" w:rsidR="008D0491" w:rsidRPr="00F855DD" w:rsidRDefault="008D0491" w:rsidP="008D0491">
      <w:pPr>
        <w:spacing w:after="0" w:line="240" w:lineRule="auto"/>
        <w:jc w:val="both"/>
        <w:rPr>
          <w:rFonts w:ascii="Times New Roman" w:eastAsia="Calibri" w:hAnsi="Times New Roman" w:cs="Times New Roman"/>
          <w:sz w:val="28"/>
          <w:szCs w:val="28"/>
        </w:rPr>
      </w:pPr>
    </w:p>
    <w:p w14:paraId="30993EC1" w14:textId="77777777" w:rsidR="008D0491" w:rsidRPr="00F855DD" w:rsidRDefault="008D0491" w:rsidP="008D0491">
      <w:pPr>
        <w:spacing w:after="0" w:line="240" w:lineRule="auto"/>
        <w:jc w:val="both"/>
        <w:rPr>
          <w:rFonts w:ascii="Times New Roman" w:eastAsia="Calibri" w:hAnsi="Times New Roman" w:cs="Times New Roman"/>
          <w:sz w:val="28"/>
          <w:szCs w:val="28"/>
        </w:rPr>
      </w:pPr>
      <w:r w:rsidRPr="00F855DD">
        <w:rPr>
          <w:rFonts w:ascii="Times New Roman" w:eastAsia="Calibri" w:hAnsi="Times New Roman" w:cs="Times New Roman"/>
          <w:sz w:val="28"/>
          <w:szCs w:val="28"/>
        </w:rPr>
        <w:t>Iesniedzējs: Veselības ministrs</w:t>
      </w:r>
      <w:r w:rsidRPr="00F855DD">
        <w:rPr>
          <w:rFonts w:ascii="Times New Roman" w:eastAsia="Calibri" w:hAnsi="Times New Roman" w:cs="Times New Roman"/>
          <w:sz w:val="28"/>
          <w:szCs w:val="28"/>
        </w:rPr>
        <w:tab/>
        <w:t xml:space="preserve">  </w:t>
      </w:r>
      <w:r w:rsidRPr="00F855DD">
        <w:rPr>
          <w:rFonts w:ascii="Times New Roman" w:eastAsia="Calibri" w:hAnsi="Times New Roman" w:cs="Times New Roman"/>
          <w:sz w:val="28"/>
          <w:szCs w:val="28"/>
        </w:rPr>
        <w:tab/>
      </w:r>
      <w:r w:rsidRPr="00F855DD">
        <w:rPr>
          <w:rFonts w:ascii="Times New Roman" w:eastAsia="Calibri" w:hAnsi="Times New Roman" w:cs="Times New Roman"/>
          <w:sz w:val="28"/>
          <w:szCs w:val="28"/>
        </w:rPr>
        <w:tab/>
      </w:r>
      <w:r w:rsidRPr="00F855DD">
        <w:rPr>
          <w:rFonts w:ascii="Times New Roman" w:eastAsia="Calibri" w:hAnsi="Times New Roman" w:cs="Times New Roman"/>
          <w:sz w:val="28"/>
          <w:szCs w:val="28"/>
        </w:rPr>
        <w:tab/>
      </w:r>
      <w:r w:rsidRPr="00F855DD">
        <w:rPr>
          <w:rFonts w:ascii="Times New Roman" w:eastAsia="Calibri" w:hAnsi="Times New Roman" w:cs="Times New Roman"/>
          <w:sz w:val="28"/>
          <w:szCs w:val="28"/>
        </w:rPr>
        <w:tab/>
        <w:t xml:space="preserve">        D. Pavļuts</w:t>
      </w:r>
    </w:p>
    <w:p w14:paraId="02092D29" w14:textId="77777777" w:rsidR="008D0491" w:rsidRPr="00F855DD" w:rsidRDefault="008D0491" w:rsidP="008D0491">
      <w:pPr>
        <w:spacing w:after="0" w:line="240" w:lineRule="auto"/>
        <w:jc w:val="both"/>
        <w:rPr>
          <w:rFonts w:ascii="Times New Roman" w:eastAsia="Calibri" w:hAnsi="Times New Roman" w:cs="Times New Roman"/>
          <w:sz w:val="28"/>
          <w:szCs w:val="28"/>
        </w:rPr>
      </w:pPr>
    </w:p>
    <w:p w14:paraId="35163677" w14:textId="77777777" w:rsidR="008D0491" w:rsidRPr="00F855DD" w:rsidRDefault="008D0491" w:rsidP="008D0491">
      <w:pPr>
        <w:spacing w:after="0" w:line="240" w:lineRule="auto"/>
        <w:jc w:val="both"/>
        <w:rPr>
          <w:rFonts w:ascii="Times New Roman" w:eastAsia="Calibri" w:hAnsi="Times New Roman" w:cs="Times New Roman"/>
          <w:sz w:val="28"/>
          <w:szCs w:val="28"/>
        </w:rPr>
      </w:pPr>
    </w:p>
    <w:p w14:paraId="30345265" w14:textId="77777777" w:rsidR="008D0491" w:rsidRPr="00F855DD" w:rsidRDefault="008D0491" w:rsidP="008D0491">
      <w:pPr>
        <w:spacing w:after="0" w:line="240" w:lineRule="auto"/>
        <w:jc w:val="both"/>
        <w:rPr>
          <w:rFonts w:ascii="Times New Roman" w:eastAsia="Calibri" w:hAnsi="Times New Roman" w:cs="Times New Roman"/>
          <w:sz w:val="28"/>
          <w:szCs w:val="28"/>
        </w:rPr>
      </w:pPr>
      <w:r w:rsidRPr="00F855DD">
        <w:rPr>
          <w:rFonts w:ascii="Times New Roman" w:eastAsia="Calibri" w:hAnsi="Times New Roman" w:cs="Times New Roman"/>
          <w:sz w:val="28"/>
          <w:szCs w:val="28"/>
        </w:rPr>
        <w:t xml:space="preserve">Vīza: Valsts sekretāre </w:t>
      </w:r>
      <w:r w:rsidRPr="00F855DD">
        <w:rPr>
          <w:rFonts w:ascii="Times New Roman" w:eastAsia="Calibri" w:hAnsi="Times New Roman" w:cs="Times New Roman"/>
          <w:sz w:val="28"/>
          <w:szCs w:val="28"/>
        </w:rPr>
        <w:tab/>
      </w:r>
      <w:r w:rsidRPr="00F855DD">
        <w:rPr>
          <w:rFonts w:ascii="Times New Roman" w:eastAsia="Calibri" w:hAnsi="Times New Roman" w:cs="Times New Roman"/>
          <w:sz w:val="28"/>
          <w:szCs w:val="28"/>
        </w:rPr>
        <w:tab/>
      </w:r>
      <w:r w:rsidRPr="00F855DD">
        <w:rPr>
          <w:rFonts w:ascii="Times New Roman" w:eastAsia="Calibri" w:hAnsi="Times New Roman" w:cs="Times New Roman"/>
          <w:sz w:val="28"/>
          <w:szCs w:val="28"/>
        </w:rPr>
        <w:tab/>
      </w:r>
      <w:r w:rsidRPr="00F855DD">
        <w:rPr>
          <w:rFonts w:ascii="Times New Roman" w:eastAsia="Calibri" w:hAnsi="Times New Roman" w:cs="Times New Roman"/>
          <w:sz w:val="28"/>
          <w:szCs w:val="28"/>
        </w:rPr>
        <w:tab/>
        <w:t xml:space="preserve">                            I. Dreika</w:t>
      </w:r>
    </w:p>
    <w:p w14:paraId="2779BF91" w14:textId="77777777" w:rsidR="0038608A" w:rsidRPr="00F855DD" w:rsidRDefault="0038608A" w:rsidP="0038608A">
      <w:pPr>
        <w:spacing w:after="0" w:line="240" w:lineRule="auto"/>
        <w:jc w:val="both"/>
        <w:rPr>
          <w:rFonts w:ascii="Times New Roman" w:eastAsia="Calibri" w:hAnsi="Times New Roman" w:cs="Times New Roman"/>
          <w:sz w:val="28"/>
          <w:szCs w:val="28"/>
        </w:rPr>
      </w:pPr>
    </w:p>
    <w:p w14:paraId="04B6E396" w14:textId="77777777" w:rsidR="0038608A" w:rsidRPr="00F855DD" w:rsidRDefault="0038608A" w:rsidP="001E6608">
      <w:pPr>
        <w:spacing w:after="0" w:line="240" w:lineRule="auto"/>
        <w:ind w:hanging="90"/>
        <w:rPr>
          <w:rFonts w:ascii="Times New Roman" w:eastAsia="Calibri" w:hAnsi="Times New Roman" w:cs="Times New Roman"/>
          <w:sz w:val="28"/>
          <w:szCs w:val="28"/>
        </w:rPr>
      </w:pPr>
    </w:p>
    <w:p w14:paraId="6C98C2F1" w14:textId="77777777" w:rsidR="00454486" w:rsidRPr="00F855DD" w:rsidRDefault="00454486" w:rsidP="0038608A">
      <w:pPr>
        <w:spacing w:after="0" w:line="240" w:lineRule="auto"/>
        <w:rPr>
          <w:rFonts w:ascii="Times New Roman" w:eastAsia="Calibri" w:hAnsi="Times New Roman" w:cs="Times New Roman"/>
          <w:sz w:val="28"/>
          <w:szCs w:val="28"/>
        </w:rPr>
      </w:pPr>
    </w:p>
    <w:p w14:paraId="15F79675" w14:textId="783ABCC1" w:rsidR="00532C42" w:rsidRDefault="00532C42" w:rsidP="0038608A">
      <w:pPr>
        <w:spacing w:after="0" w:line="240" w:lineRule="auto"/>
        <w:rPr>
          <w:rFonts w:ascii="Times New Roman" w:eastAsia="Calibri" w:hAnsi="Times New Roman" w:cs="Times New Roman"/>
          <w:sz w:val="28"/>
          <w:szCs w:val="28"/>
        </w:rPr>
      </w:pPr>
    </w:p>
    <w:p w14:paraId="006826B6" w14:textId="36A1CB7D" w:rsidR="00532C42" w:rsidRDefault="00532C42" w:rsidP="0038608A">
      <w:pPr>
        <w:spacing w:after="0" w:line="240" w:lineRule="auto"/>
        <w:rPr>
          <w:rFonts w:ascii="Times New Roman" w:eastAsia="Calibri" w:hAnsi="Times New Roman" w:cs="Times New Roman"/>
          <w:sz w:val="28"/>
          <w:szCs w:val="28"/>
        </w:rPr>
      </w:pPr>
    </w:p>
    <w:p w14:paraId="73EB0BEA" w14:textId="77777777" w:rsidR="00532C42" w:rsidRDefault="00532C42" w:rsidP="00532C42">
      <w:pPr>
        <w:pStyle w:val="pamattekststabul"/>
        <w:spacing w:before="0" w:beforeAutospacing="0" w:after="0" w:afterAutospacing="0"/>
        <w:rPr>
          <w:noProof/>
          <w:lang w:val="lv-LV"/>
        </w:rPr>
      </w:pPr>
      <w:r>
        <w:rPr>
          <w:noProof/>
          <w:lang w:val="lv-LV"/>
        </w:rPr>
        <w:t xml:space="preserve">Inese Kaupere </w:t>
      </w:r>
      <w:r w:rsidRPr="00173B34">
        <w:rPr>
          <w:noProof/>
          <w:lang w:val="lv-LV"/>
        </w:rPr>
        <w:t>67876114</w:t>
      </w:r>
    </w:p>
    <w:p w14:paraId="1B35135C" w14:textId="1265E811" w:rsidR="00532C42" w:rsidRDefault="004C3426" w:rsidP="00532C42">
      <w:pPr>
        <w:tabs>
          <w:tab w:val="right" w:pos="9356"/>
        </w:tabs>
        <w:spacing w:after="0"/>
        <w:ind w:firstLine="0"/>
        <w:rPr>
          <w:rFonts w:ascii="Times New Roman" w:hAnsi="Times New Roman"/>
          <w:noProof/>
          <w:sz w:val="24"/>
          <w:szCs w:val="24"/>
        </w:rPr>
      </w:pPr>
      <w:hyperlink r:id="rId7" w:history="1">
        <w:r w:rsidR="00532C42" w:rsidRPr="002B002E">
          <w:rPr>
            <w:rStyle w:val="Hyperlink"/>
            <w:rFonts w:ascii="Times New Roman" w:hAnsi="Times New Roman"/>
            <w:noProof/>
            <w:sz w:val="24"/>
            <w:szCs w:val="24"/>
          </w:rPr>
          <w:t>inese.kaupere@vm.gov.lv</w:t>
        </w:r>
      </w:hyperlink>
    </w:p>
    <w:p w14:paraId="5E3473EE" w14:textId="77777777" w:rsidR="00532C42" w:rsidRDefault="00532C42" w:rsidP="00532C42">
      <w:pPr>
        <w:tabs>
          <w:tab w:val="right" w:pos="9356"/>
        </w:tabs>
        <w:spacing w:after="0"/>
        <w:ind w:firstLine="0"/>
        <w:rPr>
          <w:rFonts w:ascii="Times New Roman" w:hAnsi="Times New Roman"/>
          <w:noProof/>
          <w:sz w:val="24"/>
          <w:szCs w:val="24"/>
        </w:rPr>
      </w:pPr>
      <w:r>
        <w:rPr>
          <w:rFonts w:ascii="Times New Roman" w:hAnsi="Times New Roman"/>
          <w:noProof/>
          <w:sz w:val="24"/>
          <w:szCs w:val="24"/>
        </w:rPr>
        <w:t>Igors Belovs 67876005</w:t>
      </w:r>
    </w:p>
    <w:p w14:paraId="1D50648E" w14:textId="05AA35E4" w:rsidR="00532C42" w:rsidRDefault="004C3426" w:rsidP="00532C42">
      <w:pPr>
        <w:tabs>
          <w:tab w:val="right" w:pos="9356"/>
        </w:tabs>
        <w:spacing w:after="0"/>
        <w:ind w:firstLine="0"/>
        <w:rPr>
          <w:rFonts w:ascii="Times New Roman" w:hAnsi="Times New Roman"/>
          <w:noProof/>
          <w:sz w:val="24"/>
          <w:szCs w:val="24"/>
        </w:rPr>
      </w:pPr>
      <w:hyperlink r:id="rId8" w:history="1">
        <w:r w:rsidR="00C10C2E" w:rsidRPr="002B002E">
          <w:rPr>
            <w:rStyle w:val="Hyperlink"/>
            <w:rFonts w:ascii="Times New Roman" w:hAnsi="Times New Roman"/>
            <w:noProof/>
            <w:sz w:val="24"/>
            <w:szCs w:val="24"/>
          </w:rPr>
          <w:t>igors.belovs@vm.gov.lv</w:t>
        </w:r>
      </w:hyperlink>
    </w:p>
    <w:p w14:paraId="78085D2A" w14:textId="77777777" w:rsidR="00532C42" w:rsidRPr="00F855DD" w:rsidRDefault="00532C42" w:rsidP="0038608A">
      <w:pPr>
        <w:spacing w:after="0" w:line="240" w:lineRule="auto"/>
        <w:rPr>
          <w:rFonts w:ascii="Times New Roman" w:eastAsia="Calibri" w:hAnsi="Times New Roman" w:cs="Times New Roman"/>
          <w:sz w:val="28"/>
          <w:szCs w:val="28"/>
        </w:rPr>
      </w:pPr>
    </w:p>
    <w:p w14:paraId="58C8B9E6" w14:textId="32E2D591" w:rsidR="005D315A" w:rsidRPr="00F855DD" w:rsidRDefault="005D315A">
      <w:pPr>
        <w:rPr>
          <w:rFonts w:ascii="Times New Roman" w:hAnsi="Times New Roman" w:cs="Times New Roman"/>
          <w:sz w:val="28"/>
          <w:szCs w:val="28"/>
        </w:rPr>
      </w:pPr>
    </w:p>
    <w:sectPr w:rsidR="005D315A" w:rsidRPr="00F855DD" w:rsidSect="0065177F">
      <w:headerReference w:type="default" r:id="rId9"/>
      <w:footerReference w:type="default" r:id="rId10"/>
      <w:footerReference w:type="first" r:id="rId11"/>
      <w:pgSz w:w="11906" w:h="16838"/>
      <w:pgMar w:top="117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2B50" w14:textId="77777777" w:rsidR="003A278A" w:rsidRDefault="003A278A" w:rsidP="00454486">
      <w:pPr>
        <w:spacing w:after="0" w:line="240" w:lineRule="auto"/>
      </w:pPr>
      <w:r>
        <w:separator/>
      </w:r>
    </w:p>
  </w:endnote>
  <w:endnote w:type="continuationSeparator" w:id="0">
    <w:p w14:paraId="0280F3A4" w14:textId="77777777" w:rsidR="003A278A" w:rsidRDefault="003A278A" w:rsidP="0045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7C91" w14:textId="75C380AB" w:rsidR="00021E3E" w:rsidRDefault="00021E3E">
    <w:pPr>
      <w:pStyle w:val="Footer"/>
      <w:jc w:val="center"/>
    </w:pPr>
  </w:p>
  <w:p w14:paraId="37FF969F" w14:textId="25177CE4" w:rsidR="007E456C" w:rsidRPr="007E456C" w:rsidRDefault="007E456C" w:rsidP="007E456C">
    <w:pPr>
      <w:pStyle w:val="Footer"/>
      <w:ind w:firstLine="0"/>
      <w:rPr>
        <w:rFonts w:ascii="Times New Roman" w:hAnsi="Times New Roman" w:cs="Times New Roman"/>
        <w:sz w:val="20"/>
        <w:szCs w:val="20"/>
      </w:rPr>
    </w:pPr>
    <w:r w:rsidRPr="007E456C">
      <w:rPr>
        <w:rFonts w:ascii="Times New Roman" w:hAnsi="Times New Roman" w:cs="Times New Roman"/>
        <w:sz w:val="20"/>
        <w:szCs w:val="20"/>
      </w:rPr>
      <w:t>VMinf_</w:t>
    </w:r>
    <w:r w:rsidR="00C10C2E">
      <w:rPr>
        <w:rFonts w:ascii="Times New Roman" w:hAnsi="Times New Roman" w:cs="Times New Roman"/>
        <w:sz w:val="20"/>
        <w:szCs w:val="20"/>
      </w:rPr>
      <w:t>0810</w:t>
    </w:r>
    <w:r w:rsidR="008D0491">
      <w:rPr>
        <w:rFonts w:ascii="Times New Roman" w:hAnsi="Times New Roman" w:cs="Times New Roman"/>
        <w:sz w:val="20"/>
        <w:szCs w:val="20"/>
      </w:rPr>
      <w:t>21_PVN</w:t>
    </w:r>
    <w:r w:rsidR="00E120E1">
      <w:rPr>
        <w:rFonts w:ascii="Times New Roman" w:hAnsi="Times New Roman" w:cs="Times New Roman"/>
        <w:sz w:val="20"/>
        <w:szCs w:val="20"/>
      </w:rPr>
      <w:t>_precizets</w:t>
    </w:r>
  </w:p>
  <w:p w14:paraId="74CDFFE6" w14:textId="77777777" w:rsidR="00454486" w:rsidRDefault="00454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D989" w14:textId="74909697" w:rsidR="007E456C" w:rsidRPr="007E456C" w:rsidRDefault="007E456C" w:rsidP="007E456C">
    <w:pPr>
      <w:pStyle w:val="Footer"/>
      <w:ind w:firstLine="0"/>
      <w:rPr>
        <w:rFonts w:ascii="Times New Roman" w:eastAsia="Calibri" w:hAnsi="Times New Roman" w:cs="Times New Roman"/>
        <w:sz w:val="20"/>
        <w:szCs w:val="20"/>
      </w:rPr>
    </w:pPr>
    <w:r w:rsidRPr="007E456C">
      <w:rPr>
        <w:rFonts w:ascii="Times New Roman" w:eastAsia="Calibri" w:hAnsi="Times New Roman" w:cs="Times New Roman"/>
        <w:sz w:val="20"/>
        <w:szCs w:val="20"/>
      </w:rPr>
      <w:t>VMinf_</w:t>
    </w:r>
    <w:r w:rsidR="00C10C2E">
      <w:rPr>
        <w:rFonts w:ascii="Times New Roman" w:eastAsia="Calibri" w:hAnsi="Times New Roman" w:cs="Times New Roman"/>
        <w:sz w:val="20"/>
        <w:szCs w:val="20"/>
      </w:rPr>
      <w:t>0810</w:t>
    </w:r>
    <w:r w:rsidR="008D0491">
      <w:rPr>
        <w:rFonts w:ascii="Times New Roman" w:eastAsia="Calibri" w:hAnsi="Times New Roman" w:cs="Times New Roman"/>
        <w:sz w:val="20"/>
        <w:szCs w:val="20"/>
      </w:rPr>
      <w:t>21</w:t>
    </w:r>
    <w:r w:rsidRPr="007E456C">
      <w:rPr>
        <w:rFonts w:ascii="Times New Roman" w:eastAsia="Calibri" w:hAnsi="Times New Roman" w:cs="Times New Roman"/>
        <w:sz w:val="20"/>
        <w:szCs w:val="20"/>
      </w:rPr>
      <w:t>_</w:t>
    </w:r>
    <w:r w:rsidR="008D0491">
      <w:rPr>
        <w:rFonts w:ascii="Times New Roman" w:eastAsia="Calibri" w:hAnsi="Times New Roman" w:cs="Times New Roman"/>
        <w:sz w:val="20"/>
        <w:szCs w:val="20"/>
      </w:rPr>
      <w:t>PVN</w:t>
    </w:r>
    <w:r w:rsidR="00E120E1">
      <w:rPr>
        <w:rFonts w:ascii="Times New Roman" w:eastAsia="Calibri" w:hAnsi="Times New Roman" w:cs="Times New Roman"/>
        <w:sz w:val="20"/>
        <w:szCs w:val="20"/>
      </w:rPr>
      <w:t>_precizets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586A" w14:textId="77777777" w:rsidR="003A278A" w:rsidRDefault="003A278A" w:rsidP="00454486">
      <w:pPr>
        <w:spacing w:after="0" w:line="240" w:lineRule="auto"/>
      </w:pPr>
      <w:r>
        <w:separator/>
      </w:r>
    </w:p>
  </w:footnote>
  <w:footnote w:type="continuationSeparator" w:id="0">
    <w:p w14:paraId="5003095C" w14:textId="77777777" w:rsidR="003A278A" w:rsidRDefault="003A278A" w:rsidP="00454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624217"/>
      <w:docPartObj>
        <w:docPartGallery w:val="Page Numbers (Top of Page)"/>
        <w:docPartUnique/>
      </w:docPartObj>
    </w:sdtPr>
    <w:sdtEndPr>
      <w:rPr>
        <w:noProof/>
      </w:rPr>
    </w:sdtEndPr>
    <w:sdtContent>
      <w:p w14:paraId="2E1384E1" w14:textId="72ED97E1" w:rsidR="00021E3E" w:rsidRDefault="00021E3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5E9DC18" w14:textId="77777777" w:rsidR="00021E3E" w:rsidRDefault="00021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4125"/>
    <w:multiLevelType w:val="hybridMultilevel"/>
    <w:tmpl w:val="D2C8E4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C0B2AC2"/>
    <w:multiLevelType w:val="hybridMultilevel"/>
    <w:tmpl w:val="E98072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CBA66D8"/>
    <w:multiLevelType w:val="hybridMultilevel"/>
    <w:tmpl w:val="F6663D4A"/>
    <w:lvl w:ilvl="0" w:tplc="0BBC72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26675B2"/>
    <w:multiLevelType w:val="hybridMultilevel"/>
    <w:tmpl w:val="60B09FD6"/>
    <w:lvl w:ilvl="0" w:tplc="EAB0EF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DF331A2"/>
    <w:multiLevelType w:val="hybridMultilevel"/>
    <w:tmpl w:val="B42EE83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F554692"/>
    <w:multiLevelType w:val="hybridMultilevel"/>
    <w:tmpl w:val="2EE450AA"/>
    <w:lvl w:ilvl="0" w:tplc="DF1CE284">
      <w:start w:val="1"/>
      <w:numFmt w:val="decimal"/>
      <w:lvlText w:val="%1."/>
      <w:lvlJc w:val="left"/>
      <w:pPr>
        <w:tabs>
          <w:tab w:val="num" w:pos="720"/>
        </w:tabs>
        <w:ind w:left="720" w:hanging="360"/>
      </w:pPr>
    </w:lvl>
    <w:lvl w:ilvl="1" w:tplc="7DA22FB8" w:tentative="1">
      <w:start w:val="1"/>
      <w:numFmt w:val="decimal"/>
      <w:lvlText w:val="%2."/>
      <w:lvlJc w:val="left"/>
      <w:pPr>
        <w:tabs>
          <w:tab w:val="num" w:pos="1440"/>
        </w:tabs>
        <w:ind w:left="1440" w:hanging="360"/>
      </w:pPr>
    </w:lvl>
    <w:lvl w:ilvl="2" w:tplc="071C09D6" w:tentative="1">
      <w:start w:val="1"/>
      <w:numFmt w:val="decimal"/>
      <w:lvlText w:val="%3."/>
      <w:lvlJc w:val="left"/>
      <w:pPr>
        <w:tabs>
          <w:tab w:val="num" w:pos="2160"/>
        </w:tabs>
        <w:ind w:left="2160" w:hanging="360"/>
      </w:pPr>
    </w:lvl>
    <w:lvl w:ilvl="3" w:tplc="94FC0AC4" w:tentative="1">
      <w:start w:val="1"/>
      <w:numFmt w:val="decimal"/>
      <w:lvlText w:val="%4."/>
      <w:lvlJc w:val="left"/>
      <w:pPr>
        <w:tabs>
          <w:tab w:val="num" w:pos="2880"/>
        </w:tabs>
        <w:ind w:left="2880" w:hanging="360"/>
      </w:pPr>
    </w:lvl>
    <w:lvl w:ilvl="4" w:tplc="4BB4B004" w:tentative="1">
      <w:start w:val="1"/>
      <w:numFmt w:val="decimal"/>
      <w:lvlText w:val="%5."/>
      <w:lvlJc w:val="left"/>
      <w:pPr>
        <w:tabs>
          <w:tab w:val="num" w:pos="3600"/>
        </w:tabs>
        <w:ind w:left="3600" w:hanging="360"/>
      </w:pPr>
    </w:lvl>
    <w:lvl w:ilvl="5" w:tplc="1ADA70EE" w:tentative="1">
      <w:start w:val="1"/>
      <w:numFmt w:val="decimal"/>
      <w:lvlText w:val="%6."/>
      <w:lvlJc w:val="left"/>
      <w:pPr>
        <w:tabs>
          <w:tab w:val="num" w:pos="4320"/>
        </w:tabs>
        <w:ind w:left="4320" w:hanging="360"/>
      </w:pPr>
    </w:lvl>
    <w:lvl w:ilvl="6" w:tplc="F75AC234" w:tentative="1">
      <w:start w:val="1"/>
      <w:numFmt w:val="decimal"/>
      <w:lvlText w:val="%7."/>
      <w:lvlJc w:val="left"/>
      <w:pPr>
        <w:tabs>
          <w:tab w:val="num" w:pos="5040"/>
        </w:tabs>
        <w:ind w:left="5040" w:hanging="360"/>
      </w:pPr>
    </w:lvl>
    <w:lvl w:ilvl="7" w:tplc="C1767E96" w:tentative="1">
      <w:start w:val="1"/>
      <w:numFmt w:val="decimal"/>
      <w:lvlText w:val="%8."/>
      <w:lvlJc w:val="left"/>
      <w:pPr>
        <w:tabs>
          <w:tab w:val="num" w:pos="5760"/>
        </w:tabs>
        <w:ind w:left="5760" w:hanging="360"/>
      </w:pPr>
    </w:lvl>
    <w:lvl w:ilvl="8" w:tplc="C992A3EA" w:tentative="1">
      <w:start w:val="1"/>
      <w:numFmt w:val="decimal"/>
      <w:lvlText w:val="%9."/>
      <w:lvlJc w:val="left"/>
      <w:pPr>
        <w:tabs>
          <w:tab w:val="num" w:pos="6480"/>
        </w:tabs>
        <w:ind w:left="6480" w:hanging="360"/>
      </w:pPr>
    </w:lvl>
  </w:abstractNum>
  <w:abstractNum w:abstractNumId="6" w15:restartNumberingAfterBreak="0">
    <w:nsid w:val="2397001F"/>
    <w:multiLevelType w:val="hybridMultilevel"/>
    <w:tmpl w:val="3EF0089C"/>
    <w:lvl w:ilvl="0" w:tplc="AB88EA2C">
      <w:numFmt w:val="bullet"/>
      <w:lvlText w:val="•"/>
      <w:lvlJc w:val="left"/>
      <w:pPr>
        <w:ind w:left="2164" w:hanging="735"/>
      </w:pPr>
      <w:rPr>
        <w:rFonts w:ascii="Times New Roman" w:eastAsia="Times New Roman" w:hAnsi="Times New Roman" w:cs="Times New Roman"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7" w15:restartNumberingAfterBreak="0">
    <w:nsid w:val="30E73EAF"/>
    <w:multiLevelType w:val="hybridMultilevel"/>
    <w:tmpl w:val="06761ADE"/>
    <w:lvl w:ilvl="0" w:tplc="36B074BA">
      <w:start w:val="1"/>
      <w:numFmt w:val="decimal"/>
      <w:lvlText w:val="%1."/>
      <w:lvlJc w:val="left"/>
      <w:pPr>
        <w:tabs>
          <w:tab w:val="num" w:pos="720"/>
        </w:tabs>
        <w:ind w:left="720" w:hanging="360"/>
      </w:pPr>
    </w:lvl>
    <w:lvl w:ilvl="1" w:tplc="A73404CE" w:tentative="1">
      <w:start w:val="1"/>
      <w:numFmt w:val="decimal"/>
      <w:lvlText w:val="%2."/>
      <w:lvlJc w:val="left"/>
      <w:pPr>
        <w:tabs>
          <w:tab w:val="num" w:pos="1440"/>
        </w:tabs>
        <w:ind w:left="1440" w:hanging="360"/>
      </w:pPr>
    </w:lvl>
    <w:lvl w:ilvl="2" w:tplc="8BAA9D12" w:tentative="1">
      <w:start w:val="1"/>
      <w:numFmt w:val="decimal"/>
      <w:lvlText w:val="%3."/>
      <w:lvlJc w:val="left"/>
      <w:pPr>
        <w:tabs>
          <w:tab w:val="num" w:pos="2160"/>
        </w:tabs>
        <w:ind w:left="2160" w:hanging="360"/>
      </w:pPr>
    </w:lvl>
    <w:lvl w:ilvl="3" w:tplc="5BFC2AC0" w:tentative="1">
      <w:start w:val="1"/>
      <w:numFmt w:val="decimal"/>
      <w:lvlText w:val="%4."/>
      <w:lvlJc w:val="left"/>
      <w:pPr>
        <w:tabs>
          <w:tab w:val="num" w:pos="2880"/>
        </w:tabs>
        <w:ind w:left="2880" w:hanging="360"/>
      </w:pPr>
    </w:lvl>
    <w:lvl w:ilvl="4" w:tplc="6BAE873C" w:tentative="1">
      <w:start w:val="1"/>
      <w:numFmt w:val="decimal"/>
      <w:lvlText w:val="%5."/>
      <w:lvlJc w:val="left"/>
      <w:pPr>
        <w:tabs>
          <w:tab w:val="num" w:pos="3600"/>
        </w:tabs>
        <w:ind w:left="3600" w:hanging="360"/>
      </w:pPr>
    </w:lvl>
    <w:lvl w:ilvl="5" w:tplc="683EA5CE" w:tentative="1">
      <w:start w:val="1"/>
      <w:numFmt w:val="decimal"/>
      <w:lvlText w:val="%6."/>
      <w:lvlJc w:val="left"/>
      <w:pPr>
        <w:tabs>
          <w:tab w:val="num" w:pos="4320"/>
        </w:tabs>
        <w:ind w:left="4320" w:hanging="360"/>
      </w:pPr>
    </w:lvl>
    <w:lvl w:ilvl="6" w:tplc="5672D4BC" w:tentative="1">
      <w:start w:val="1"/>
      <w:numFmt w:val="decimal"/>
      <w:lvlText w:val="%7."/>
      <w:lvlJc w:val="left"/>
      <w:pPr>
        <w:tabs>
          <w:tab w:val="num" w:pos="5040"/>
        </w:tabs>
        <w:ind w:left="5040" w:hanging="360"/>
      </w:pPr>
    </w:lvl>
    <w:lvl w:ilvl="7" w:tplc="EFA2C462" w:tentative="1">
      <w:start w:val="1"/>
      <w:numFmt w:val="decimal"/>
      <w:lvlText w:val="%8."/>
      <w:lvlJc w:val="left"/>
      <w:pPr>
        <w:tabs>
          <w:tab w:val="num" w:pos="5760"/>
        </w:tabs>
        <w:ind w:left="5760" w:hanging="360"/>
      </w:pPr>
    </w:lvl>
    <w:lvl w:ilvl="8" w:tplc="72B037EC" w:tentative="1">
      <w:start w:val="1"/>
      <w:numFmt w:val="decimal"/>
      <w:lvlText w:val="%9."/>
      <w:lvlJc w:val="left"/>
      <w:pPr>
        <w:tabs>
          <w:tab w:val="num" w:pos="6480"/>
        </w:tabs>
        <w:ind w:left="6480" w:hanging="360"/>
      </w:pPr>
    </w:lvl>
  </w:abstractNum>
  <w:abstractNum w:abstractNumId="8" w15:restartNumberingAfterBreak="0">
    <w:nsid w:val="396E6F37"/>
    <w:multiLevelType w:val="hybridMultilevel"/>
    <w:tmpl w:val="34EEFBBE"/>
    <w:lvl w:ilvl="0" w:tplc="F0C6A33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43D0CBE"/>
    <w:multiLevelType w:val="hybridMultilevel"/>
    <w:tmpl w:val="075A51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46CB2C71"/>
    <w:multiLevelType w:val="hybridMultilevel"/>
    <w:tmpl w:val="49A81C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E3D451C"/>
    <w:multiLevelType w:val="hybridMultilevel"/>
    <w:tmpl w:val="FFF281E0"/>
    <w:lvl w:ilvl="0" w:tplc="04260001">
      <w:start w:val="1"/>
      <w:numFmt w:val="bullet"/>
      <w:lvlText w:val=""/>
      <w:lvlJc w:val="left"/>
      <w:pPr>
        <w:ind w:left="2164" w:hanging="735"/>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12" w15:restartNumberingAfterBreak="0">
    <w:nsid w:val="51A97D2F"/>
    <w:multiLevelType w:val="hybridMultilevel"/>
    <w:tmpl w:val="7AE4E182"/>
    <w:lvl w:ilvl="0" w:tplc="FB569968">
      <w:start w:val="1"/>
      <w:numFmt w:val="decimal"/>
      <w:lvlText w:val="%1."/>
      <w:lvlJc w:val="left"/>
      <w:pPr>
        <w:tabs>
          <w:tab w:val="num" w:pos="720"/>
        </w:tabs>
        <w:ind w:left="720" w:hanging="360"/>
      </w:pPr>
    </w:lvl>
    <w:lvl w:ilvl="1" w:tplc="A7DE9FA2" w:tentative="1">
      <w:start w:val="1"/>
      <w:numFmt w:val="decimal"/>
      <w:lvlText w:val="%2."/>
      <w:lvlJc w:val="left"/>
      <w:pPr>
        <w:tabs>
          <w:tab w:val="num" w:pos="1440"/>
        </w:tabs>
        <w:ind w:left="1440" w:hanging="360"/>
      </w:pPr>
    </w:lvl>
    <w:lvl w:ilvl="2" w:tplc="B14C54CE" w:tentative="1">
      <w:start w:val="1"/>
      <w:numFmt w:val="decimal"/>
      <w:lvlText w:val="%3."/>
      <w:lvlJc w:val="left"/>
      <w:pPr>
        <w:tabs>
          <w:tab w:val="num" w:pos="2160"/>
        </w:tabs>
        <w:ind w:left="2160" w:hanging="360"/>
      </w:pPr>
    </w:lvl>
    <w:lvl w:ilvl="3" w:tplc="F0DCC084" w:tentative="1">
      <w:start w:val="1"/>
      <w:numFmt w:val="decimal"/>
      <w:lvlText w:val="%4."/>
      <w:lvlJc w:val="left"/>
      <w:pPr>
        <w:tabs>
          <w:tab w:val="num" w:pos="2880"/>
        </w:tabs>
        <w:ind w:left="2880" w:hanging="360"/>
      </w:pPr>
    </w:lvl>
    <w:lvl w:ilvl="4" w:tplc="34A61CC0" w:tentative="1">
      <w:start w:val="1"/>
      <w:numFmt w:val="decimal"/>
      <w:lvlText w:val="%5."/>
      <w:lvlJc w:val="left"/>
      <w:pPr>
        <w:tabs>
          <w:tab w:val="num" w:pos="3600"/>
        </w:tabs>
        <w:ind w:left="3600" w:hanging="360"/>
      </w:pPr>
    </w:lvl>
    <w:lvl w:ilvl="5" w:tplc="399A1AE8" w:tentative="1">
      <w:start w:val="1"/>
      <w:numFmt w:val="decimal"/>
      <w:lvlText w:val="%6."/>
      <w:lvlJc w:val="left"/>
      <w:pPr>
        <w:tabs>
          <w:tab w:val="num" w:pos="4320"/>
        </w:tabs>
        <w:ind w:left="4320" w:hanging="360"/>
      </w:pPr>
    </w:lvl>
    <w:lvl w:ilvl="6" w:tplc="8176F118" w:tentative="1">
      <w:start w:val="1"/>
      <w:numFmt w:val="decimal"/>
      <w:lvlText w:val="%7."/>
      <w:lvlJc w:val="left"/>
      <w:pPr>
        <w:tabs>
          <w:tab w:val="num" w:pos="5040"/>
        </w:tabs>
        <w:ind w:left="5040" w:hanging="360"/>
      </w:pPr>
    </w:lvl>
    <w:lvl w:ilvl="7" w:tplc="C0E0E832" w:tentative="1">
      <w:start w:val="1"/>
      <w:numFmt w:val="decimal"/>
      <w:lvlText w:val="%8."/>
      <w:lvlJc w:val="left"/>
      <w:pPr>
        <w:tabs>
          <w:tab w:val="num" w:pos="5760"/>
        </w:tabs>
        <w:ind w:left="5760" w:hanging="360"/>
      </w:pPr>
    </w:lvl>
    <w:lvl w:ilvl="8" w:tplc="44389530" w:tentative="1">
      <w:start w:val="1"/>
      <w:numFmt w:val="decimal"/>
      <w:lvlText w:val="%9."/>
      <w:lvlJc w:val="left"/>
      <w:pPr>
        <w:tabs>
          <w:tab w:val="num" w:pos="6480"/>
        </w:tabs>
        <w:ind w:left="6480" w:hanging="360"/>
      </w:pPr>
    </w:lvl>
  </w:abstractNum>
  <w:abstractNum w:abstractNumId="13" w15:restartNumberingAfterBreak="0">
    <w:nsid w:val="52386FCA"/>
    <w:multiLevelType w:val="hybridMultilevel"/>
    <w:tmpl w:val="A1441C52"/>
    <w:lvl w:ilvl="0" w:tplc="8690ABC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7035063"/>
    <w:multiLevelType w:val="hybridMultilevel"/>
    <w:tmpl w:val="4CBE6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BBA4935"/>
    <w:multiLevelType w:val="hybridMultilevel"/>
    <w:tmpl w:val="587CEB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8CA2960"/>
    <w:multiLevelType w:val="hybridMultilevel"/>
    <w:tmpl w:val="118C90F8"/>
    <w:lvl w:ilvl="0" w:tplc="8690ABC8">
      <w:numFmt w:val="bullet"/>
      <w:lvlText w:val="·"/>
      <w:lvlJc w:val="left"/>
      <w:pPr>
        <w:ind w:left="180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78F75FEF"/>
    <w:multiLevelType w:val="hybridMultilevel"/>
    <w:tmpl w:val="5A32CC74"/>
    <w:lvl w:ilvl="0" w:tplc="8690ABC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7A7D67C0"/>
    <w:multiLevelType w:val="hybridMultilevel"/>
    <w:tmpl w:val="FF5C1B8C"/>
    <w:lvl w:ilvl="0" w:tplc="04260001">
      <w:start w:val="1"/>
      <w:numFmt w:val="bullet"/>
      <w:lvlText w:val=""/>
      <w:lvlJc w:val="left"/>
      <w:pPr>
        <w:ind w:left="2164" w:hanging="735"/>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19" w15:restartNumberingAfterBreak="0">
    <w:nsid w:val="7ACD6179"/>
    <w:multiLevelType w:val="hybridMultilevel"/>
    <w:tmpl w:val="BF081A4C"/>
    <w:lvl w:ilvl="0" w:tplc="8690ABC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7CAF0DDA"/>
    <w:multiLevelType w:val="multilevel"/>
    <w:tmpl w:val="49BC31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7D284D75"/>
    <w:multiLevelType w:val="hybridMultilevel"/>
    <w:tmpl w:val="781ADF1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2" w15:restartNumberingAfterBreak="0">
    <w:nsid w:val="7EE45383"/>
    <w:multiLevelType w:val="hybridMultilevel"/>
    <w:tmpl w:val="450C420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7"/>
  </w:num>
  <w:num w:numId="4">
    <w:abstractNumId w:val="5"/>
  </w:num>
  <w:num w:numId="5">
    <w:abstractNumId w:val="3"/>
  </w:num>
  <w:num w:numId="6">
    <w:abstractNumId w:val="20"/>
  </w:num>
  <w:num w:numId="7">
    <w:abstractNumId w:val="1"/>
  </w:num>
  <w:num w:numId="8">
    <w:abstractNumId w:val="2"/>
  </w:num>
  <w:num w:numId="9">
    <w:abstractNumId w:val="0"/>
  </w:num>
  <w:num w:numId="10">
    <w:abstractNumId w:val="19"/>
  </w:num>
  <w:num w:numId="11">
    <w:abstractNumId w:val="16"/>
  </w:num>
  <w:num w:numId="12">
    <w:abstractNumId w:val="22"/>
  </w:num>
  <w:num w:numId="13">
    <w:abstractNumId w:val="9"/>
  </w:num>
  <w:num w:numId="14">
    <w:abstractNumId w:val="17"/>
  </w:num>
  <w:num w:numId="15">
    <w:abstractNumId w:val="15"/>
  </w:num>
  <w:num w:numId="16">
    <w:abstractNumId w:val="10"/>
  </w:num>
  <w:num w:numId="17">
    <w:abstractNumId w:val="13"/>
  </w:num>
  <w:num w:numId="18">
    <w:abstractNumId w:val="14"/>
  </w:num>
  <w:num w:numId="19">
    <w:abstractNumId w:val="4"/>
  </w:num>
  <w:num w:numId="20">
    <w:abstractNumId w:val="6"/>
  </w:num>
  <w:num w:numId="21">
    <w:abstractNumId w:val="18"/>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49"/>
    <w:rsid w:val="00021E3E"/>
    <w:rsid w:val="00071AC0"/>
    <w:rsid w:val="00113096"/>
    <w:rsid w:val="00190BBE"/>
    <w:rsid w:val="001929AC"/>
    <w:rsid w:val="00196DA1"/>
    <w:rsid w:val="00197252"/>
    <w:rsid w:val="001B2429"/>
    <w:rsid w:val="001B627A"/>
    <w:rsid w:val="001E6608"/>
    <w:rsid w:val="00204615"/>
    <w:rsid w:val="00221633"/>
    <w:rsid w:val="00265D3E"/>
    <w:rsid w:val="002A141B"/>
    <w:rsid w:val="002D2F98"/>
    <w:rsid w:val="002F49EC"/>
    <w:rsid w:val="0030445B"/>
    <w:rsid w:val="00316F4D"/>
    <w:rsid w:val="003261A5"/>
    <w:rsid w:val="0038608A"/>
    <w:rsid w:val="003A278A"/>
    <w:rsid w:val="003A336D"/>
    <w:rsid w:val="004139D4"/>
    <w:rsid w:val="004140E7"/>
    <w:rsid w:val="00454486"/>
    <w:rsid w:val="00455372"/>
    <w:rsid w:val="0045628D"/>
    <w:rsid w:val="00497D79"/>
    <w:rsid w:val="004C3426"/>
    <w:rsid w:val="004E4745"/>
    <w:rsid w:val="00532C42"/>
    <w:rsid w:val="00597ADC"/>
    <w:rsid w:val="005B405B"/>
    <w:rsid w:val="005D315A"/>
    <w:rsid w:val="0065177F"/>
    <w:rsid w:val="00666365"/>
    <w:rsid w:val="006678E2"/>
    <w:rsid w:val="006A3678"/>
    <w:rsid w:val="006F22AD"/>
    <w:rsid w:val="00766C18"/>
    <w:rsid w:val="00770120"/>
    <w:rsid w:val="0077668B"/>
    <w:rsid w:val="007E456C"/>
    <w:rsid w:val="007E7A46"/>
    <w:rsid w:val="0080497B"/>
    <w:rsid w:val="00805056"/>
    <w:rsid w:val="00824BE8"/>
    <w:rsid w:val="00833DBB"/>
    <w:rsid w:val="00862652"/>
    <w:rsid w:val="00895377"/>
    <w:rsid w:val="008C514C"/>
    <w:rsid w:val="008D0491"/>
    <w:rsid w:val="008F1C6B"/>
    <w:rsid w:val="00923830"/>
    <w:rsid w:val="0094437A"/>
    <w:rsid w:val="00971C10"/>
    <w:rsid w:val="009C36E0"/>
    <w:rsid w:val="009F6B88"/>
    <w:rsid w:val="00A15A94"/>
    <w:rsid w:val="00A406DD"/>
    <w:rsid w:val="00A90786"/>
    <w:rsid w:val="00B74E30"/>
    <w:rsid w:val="00B87FAD"/>
    <w:rsid w:val="00B96B71"/>
    <w:rsid w:val="00BD04F8"/>
    <w:rsid w:val="00BE72B7"/>
    <w:rsid w:val="00C10C2E"/>
    <w:rsid w:val="00C26D01"/>
    <w:rsid w:val="00C55315"/>
    <w:rsid w:val="00C730EC"/>
    <w:rsid w:val="00D31A04"/>
    <w:rsid w:val="00DA5160"/>
    <w:rsid w:val="00DE4DCD"/>
    <w:rsid w:val="00E120E1"/>
    <w:rsid w:val="00E218B1"/>
    <w:rsid w:val="00E502F0"/>
    <w:rsid w:val="00E72194"/>
    <w:rsid w:val="00EA2E49"/>
    <w:rsid w:val="00EA5FB0"/>
    <w:rsid w:val="00EB1FC9"/>
    <w:rsid w:val="00F613DB"/>
    <w:rsid w:val="00F63757"/>
    <w:rsid w:val="00F82543"/>
    <w:rsid w:val="00F855DD"/>
    <w:rsid w:val="00F866C0"/>
    <w:rsid w:val="00FE2B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E52C"/>
  <w15:docId w15:val="{0D3BF428-8DD4-49EE-A72E-F64C22D4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49"/>
    <w:pPr>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A2E49"/>
    <w:pPr>
      <w:ind w:left="720"/>
      <w:contextualSpacing/>
    </w:pPr>
  </w:style>
  <w:style w:type="paragraph" w:styleId="BalloonText">
    <w:name w:val="Balloon Text"/>
    <w:basedOn w:val="Normal"/>
    <w:link w:val="BalloonTextChar"/>
    <w:uiPriority w:val="99"/>
    <w:semiHidden/>
    <w:unhideWhenUsed/>
    <w:rsid w:val="0082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E8"/>
    <w:rPr>
      <w:rFonts w:ascii="Tahoma" w:hAnsi="Tahoma" w:cs="Tahoma"/>
      <w:sz w:val="16"/>
      <w:szCs w:val="16"/>
    </w:rPr>
  </w:style>
  <w:style w:type="paragraph" w:styleId="Header">
    <w:name w:val="header"/>
    <w:basedOn w:val="Normal"/>
    <w:link w:val="HeaderChar"/>
    <w:uiPriority w:val="99"/>
    <w:unhideWhenUsed/>
    <w:rsid w:val="00454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486"/>
  </w:style>
  <w:style w:type="paragraph" w:styleId="Footer">
    <w:name w:val="footer"/>
    <w:basedOn w:val="Normal"/>
    <w:link w:val="FooterChar"/>
    <w:uiPriority w:val="99"/>
    <w:unhideWhenUsed/>
    <w:rsid w:val="00454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486"/>
  </w:style>
  <w:style w:type="paragraph" w:customStyle="1" w:styleId="pamattekststabul">
    <w:name w:val="pamattekststabul"/>
    <w:basedOn w:val="Normal"/>
    <w:rsid w:val="008D0491"/>
    <w:pPr>
      <w:spacing w:before="100" w:beforeAutospacing="1" w:after="100" w:afterAutospacing="1" w:line="240" w:lineRule="auto"/>
      <w:ind w:firstLine="0"/>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5B405B"/>
    <w:pPr>
      <w:spacing w:before="100" w:beforeAutospacing="1" w:after="100" w:afterAutospacing="1" w:line="240" w:lineRule="auto"/>
      <w:ind w:firstLine="0"/>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B4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05B"/>
    <w:rPr>
      <w:sz w:val="20"/>
      <w:szCs w:val="20"/>
    </w:rPr>
  </w:style>
  <w:style w:type="character" w:styleId="Hyperlink">
    <w:name w:val="Hyperlink"/>
    <w:basedOn w:val="DefaultParagraphFont"/>
    <w:uiPriority w:val="99"/>
    <w:unhideWhenUsed/>
    <w:rsid w:val="005B405B"/>
    <w:rPr>
      <w:color w:val="0000FF"/>
      <w:u w:val="single"/>
    </w:rPr>
  </w:style>
  <w:style w:type="character" w:styleId="FootnoteReference">
    <w:name w:val="footnote reference"/>
    <w:basedOn w:val="DefaultParagraphFont"/>
    <w:uiPriority w:val="99"/>
    <w:semiHidden/>
    <w:unhideWhenUsed/>
    <w:rsid w:val="005B405B"/>
    <w:rPr>
      <w:vertAlign w:val="superscript"/>
    </w:rPr>
  </w:style>
  <w:style w:type="character" w:styleId="UnresolvedMention">
    <w:name w:val="Unresolved Mention"/>
    <w:basedOn w:val="DefaultParagraphFont"/>
    <w:uiPriority w:val="99"/>
    <w:semiHidden/>
    <w:unhideWhenUsed/>
    <w:rsid w:val="00532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09391">
      <w:bodyDiv w:val="1"/>
      <w:marLeft w:val="0"/>
      <w:marRight w:val="0"/>
      <w:marTop w:val="0"/>
      <w:marBottom w:val="0"/>
      <w:divBdr>
        <w:top w:val="none" w:sz="0" w:space="0" w:color="auto"/>
        <w:left w:val="none" w:sz="0" w:space="0" w:color="auto"/>
        <w:bottom w:val="none" w:sz="0" w:space="0" w:color="auto"/>
        <w:right w:val="none" w:sz="0" w:space="0" w:color="auto"/>
      </w:divBdr>
    </w:div>
    <w:div w:id="1308900329">
      <w:bodyDiv w:val="1"/>
      <w:marLeft w:val="0"/>
      <w:marRight w:val="0"/>
      <w:marTop w:val="0"/>
      <w:marBottom w:val="0"/>
      <w:divBdr>
        <w:top w:val="none" w:sz="0" w:space="0" w:color="auto"/>
        <w:left w:val="none" w:sz="0" w:space="0" w:color="auto"/>
        <w:bottom w:val="none" w:sz="0" w:space="0" w:color="auto"/>
        <w:right w:val="none" w:sz="0" w:space="0" w:color="auto"/>
      </w:divBdr>
      <w:divsChild>
        <w:div w:id="894391170">
          <w:marLeft w:val="806"/>
          <w:marRight w:val="0"/>
          <w:marTop w:val="200"/>
          <w:marBottom w:val="0"/>
          <w:divBdr>
            <w:top w:val="none" w:sz="0" w:space="0" w:color="auto"/>
            <w:left w:val="none" w:sz="0" w:space="0" w:color="auto"/>
            <w:bottom w:val="none" w:sz="0" w:space="0" w:color="auto"/>
            <w:right w:val="none" w:sz="0" w:space="0" w:color="auto"/>
          </w:divBdr>
        </w:div>
      </w:divsChild>
    </w:div>
    <w:div w:id="1437290224">
      <w:bodyDiv w:val="1"/>
      <w:marLeft w:val="0"/>
      <w:marRight w:val="0"/>
      <w:marTop w:val="0"/>
      <w:marBottom w:val="0"/>
      <w:divBdr>
        <w:top w:val="none" w:sz="0" w:space="0" w:color="auto"/>
        <w:left w:val="none" w:sz="0" w:space="0" w:color="auto"/>
        <w:bottom w:val="none" w:sz="0" w:space="0" w:color="auto"/>
        <w:right w:val="none" w:sz="0" w:space="0" w:color="auto"/>
      </w:divBdr>
      <w:divsChild>
        <w:div w:id="1861507841">
          <w:marLeft w:val="806"/>
          <w:marRight w:val="0"/>
          <w:marTop w:val="200"/>
          <w:marBottom w:val="0"/>
          <w:divBdr>
            <w:top w:val="none" w:sz="0" w:space="0" w:color="auto"/>
            <w:left w:val="none" w:sz="0" w:space="0" w:color="auto"/>
            <w:bottom w:val="none" w:sz="0" w:space="0" w:color="auto"/>
            <w:right w:val="none" w:sz="0" w:space="0" w:color="auto"/>
          </w:divBdr>
        </w:div>
      </w:divsChild>
    </w:div>
    <w:div w:id="1808623418">
      <w:bodyDiv w:val="1"/>
      <w:marLeft w:val="0"/>
      <w:marRight w:val="0"/>
      <w:marTop w:val="0"/>
      <w:marBottom w:val="0"/>
      <w:divBdr>
        <w:top w:val="none" w:sz="0" w:space="0" w:color="auto"/>
        <w:left w:val="none" w:sz="0" w:space="0" w:color="auto"/>
        <w:bottom w:val="none" w:sz="0" w:space="0" w:color="auto"/>
        <w:right w:val="none" w:sz="0" w:space="0" w:color="auto"/>
      </w:divBdr>
    </w:div>
    <w:div w:id="2098819432">
      <w:bodyDiv w:val="1"/>
      <w:marLeft w:val="0"/>
      <w:marRight w:val="0"/>
      <w:marTop w:val="0"/>
      <w:marBottom w:val="0"/>
      <w:divBdr>
        <w:top w:val="none" w:sz="0" w:space="0" w:color="auto"/>
        <w:left w:val="none" w:sz="0" w:space="0" w:color="auto"/>
        <w:bottom w:val="none" w:sz="0" w:space="0" w:color="auto"/>
        <w:right w:val="none" w:sz="0" w:space="0" w:color="auto"/>
      </w:divBdr>
      <w:divsChild>
        <w:div w:id="5406212">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belovs@v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ese.kaupere@v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12347</Words>
  <Characters>7038</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Feldmane</dc:creator>
  <cp:lastModifiedBy>Kristīne Šica</cp:lastModifiedBy>
  <cp:revision>28</cp:revision>
  <dcterms:created xsi:type="dcterms:W3CDTF">2021-09-23T14:29:00Z</dcterms:created>
  <dcterms:modified xsi:type="dcterms:W3CDTF">2021-10-13T08:27:00Z</dcterms:modified>
</cp:coreProperties>
</file>