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69BA" w14:textId="77777777" w:rsidR="009D0418" w:rsidRPr="0060319C" w:rsidRDefault="00C165BC" w:rsidP="0060319C">
      <w:pPr>
        <w:spacing w:after="0" w:line="240" w:lineRule="auto"/>
        <w:ind w:left="5069" w:right="624" w:hanging="11"/>
        <w:jc w:val="left"/>
        <w:rPr>
          <w:sz w:val="24"/>
        </w:rPr>
      </w:pPr>
      <w:r w:rsidRPr="0060319C">
        <w:rPr>
          <w:b/>
          <w:sz w:val="24"/>
        </w:rPr>
        <w:t xml:space="preserve">Assemblée </w:t>
      </w:r>
      <w:proofErr w:type="spellStart"/>
      <w:r w:rsidRPr="0060319C">
        <w:rPr>
          <w:b/>
          <w:sz w:val="24"/>
        </w:rPr>
        <w:t>générale</w:t>
      </w:r>
      <w:proofErr w:type="spellEnd"/>
      <w:r w:rsidRPr="0060319C">
        <w:rPr>
          <w:b/>
          <w:sz w:val="24"/>
        </w:rPr>
        <w:t xml:space="preserve"> </w:t>
      </w:r>
    </w:p>
    <w:p w14:paraId="431EFA84" w14:textId="77777777" w:rsidR="0060319C" w:rsidRPr="0060319C" w:rsidRDefault="00C165BC" w:rsidP="0060319C">
      <w:pPr>
        <w:spacing w:after="0" w:line="240" w:lineRule="auto"/>
        <w:ind w:left="5069" w:right="624" w:hanging="11"/>
        <w:jc w:val="left"/>
        <w:rPr>
          <w:b/>
          <w:sz w:val="24"/>
        </w:rPr>
      </w:pPr>
      <w:proofErr w:type="spellStart"/>
      <w:r w:rsidRPr="0060319C">
        <w:rPr>
          <w:b/>
          <w:sz w:val="24"/>
        </w:rPr>
        <w:t>Generalversammlung</w:t>
      </w:r>
      <w:proofErr w:type="spellEnd"/>
      <w:r w:rsidRPr="0060319C">
        <w:rPr>
          <w:b/>
          <w:sz w:val="24"/>
        </w:rPr>
        <w:t xml:space="preserve"> </w:t>
      </w:r>
    </w:p>
    <w:p w14:paraId="7CE2EA2B" w14:textId="52C3F871" w:rsidR="009D0418" w:rsidRDefault="00C165BC" w:rsidP="0060319C">
      <w:pPr>
        <w:spacing w:after="0" w:line="240" w:lineRule="auto"/>
        <w:ind w:left="5069" w:right="624" w:hanging="11"/>
        <w:jc w:val="left"/>
        <w:rPr>
          <w:b/>
          <w:sz w:val="24"/>
        </w:rPr>
      </w:pPr>
      <w:r w:rsidRPr="0060319C">
        <w:rPr>
          <w:b/>
          <w:sz w:val="24"/>
        </w:rPr>
        <w:t>General Assembly</w:t>
      </w:r>
    </w:p>
    <w:p w14:paraId="13DF40B2" w14:textId="77777777" w:rsidR="006D5C81" w:rsidRPr="0060319C" w:rsidRDefault="006D5C81" w:rsidP="0060319C">
      <w:pPr>
        <w:spacing w:after="0" w:line="240" w:lineRule="auto"/>
        <w:ind w:left="5069" w:right="624" w:hanging="11"/>
        <w:jc w:val="left"/>
        <w:rPr>
          <w:sz w:val="24"/>
        </w:rPr>
      </w:pPr>
    </w:p>
    <w:p w14:paraId="283E7F84" w14:textId="77777777" w:rsidR="009D0418" w:rsidRPr="0060319C" w:rsidRDefault="00C165BC" w:rsidP="0060319C">
      <w:pPr>
        <w:spacing w:after="0" w:line="259" w:lineRule="auto"/>
        <w:ind w:left="5068" w:right="624" w:hanging="10"/>
        <w:jc w:val="left"/>
        <w:rPr>
          <w:sz w:val="24"/>
        </w:rPr>
      </w:pPr>
      <w:r w:rsidRPr="0060319C">
        <w:rPr>
          <w:b/>
          <w:sz w:val="24"/>
        </w:rPr>
        <w:t xml:space="preserve">AG 12/NOT/Add.1 </w:t>
      </w:r>
    </w:p>
    <w:p w14:paraId="00AEA33A" w14:textId="77777777" w:rsidR="009D0418" w:rsidRPr="0060319C" w:rsidRDefault="00C165BC" w:rsidP="0060319C">
      <w:pPr>
        <w:spacing w:after="195" w:line="259" w:lineRule="auto"/>
        <w:ind w:left="5068" w:right="624" w:hanging="10"/>
        <w:jc w:val="left"/>
        <w:rPr>
          <w:sz w:val="24"/>
        </w:rPr>
      </w:pPr>
      <w:r w:rsidRPr="0060319C">
        <w:rPr>
          <w:b/>
          <w:sz w:val="24"/>
        </w:rPr>
        <w:t>21.10.2015</w:t>
      </w:r>
    </w:p>
    <w:p w14:paraId="46B8AB5B" w14:textId="77777777" w:rsidR="009D0418" w:rsidRPr="0060319C" w:rsidRDefault="00C165BC" w:rsidP="0060319C">
      <w:pPr>
        <w:spacing w:after="2868" w:line="259" w:lineRule="auto"/>
        <w:ind w:left="5073" w:firstLine="0"/>
        <w:jc w:val="left"/>
        <w:rPr>
          <w:sz w:val="24"/>
        </w:rPr>
      </w:pPr>
      <w:r w:rsidRPr="0060319C">
        <w:rPr>
          <w:sz w:val="24"/>
        </w:rPr>
        <w:t>Original: FR</w:t>
      </w:r>
    </w:p>
    <w:p w14:paraId="3592A03F" w14:textId="77777777" w:rsidR="009D0418" w:rsidRDefault="00C165BC">
      <w:pPr>
        <w:pStyle w:val="Heading1"/>
      </w:pPr>
      <w:r>
        <w:t>12</w:t>
      </w:r>
      <w:r>
        <w:rPr>
          <w:sz w:val="25"/>
          <w:vertAlign w:val="superscript"/>
        </w:rPr>
        <w:t>TH</w:t>
      </w:r>
      <w:r>
        <w:t xml:space="preserve"> GENERAL ASSEMBLY</w:t>
      </w:r>
    </w:p>
    <w:p w14:paraId="551A5C30" w14:textId="77777777" w:rsidR="009D0418" w:rsidRDefault="00C165BC">
      <w:pPr>
        <w:spacing w:after="263" w:line="259" w:lineRule="auto"/>
        <w:ind w:left="-114" w:right="-560" w:firstLine="0"/>
        <w:jc w:val="left"/>
      </w:pPr>
      <w:r>
        <w:rPr>
          <w:noProof/>
          <w:sz w:val="22"/>
        </w:rPr>
        <mc:AlternateContent>
          <mc:Choice Requires="wpg">
            <w:drawing>
              <wp:inline distT="0" distB="0" distL="0" distR="0" wp14:anchorId="72E86B72" wp14:editId="596EE854">
                <wp:extent cx="6190615" cy="6350"/>
                <wp:effectExtent l="0" t="0" r="0" b="0"/>
                <wp:docPr id="7148" name="Group 7148"/>
                <wp:cNvGraphicFramePr/>
                <a:graphic xmlns:a="http://schemas.openxmlformats.org/drawingml/2006/main">
                  <a:graphicData uri="http://schemas.microsoft.com/office/word/2010/wordprocessingGroup">
                    <wpg:wgp>
                      <wpg:cNvGrpSpPr/>
                      <wpg:grpSpPr>
                        <a:xfrm>
                          <a:off x="0" y="0"/>
                          <a:ext cx="6190615" cy="6350"/>
                          <a:chOff x="0" y="0"/>
                          <a:chExt cx="6190615" cy="6350"/>
                        </a:xfrm>
                      </wpg:grpSpPr>
                      <wps:wsp>
                        <wps:cNvPr id="7838" name="Shape 7838"/>
                        <wps:cNvSpPr/>
                        <wps:spPr>
                          <a:xfrm>
                            <a:off x="0" y="0"/>
                            <a:ext cx="6190615" cy="9144"/>
                          </a:xfrm>
                          <a:custGeom>
                            <a:avLst/>
                            <a:gdLst/>
                            <a:ahLst/>
                            <a:cxnLst/>
                            <a:rect l="0" t="0" r="0" b="0"/>
                            <a:pathLst>
                              <a:path w="6190615" h="9144">
                                <a:moveTo>
                                  <a:pt x="0" y="0"/>
                                </a:moveTo>
                                <a:lnTo>
                                  <a:pt x="6190615" y="0"/>
                                </a:lnTo>
                                <a:lnTo>
                                  <a:pt x="61906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48" style="width:487.45pt;height:0.5pt;mso-position-horizontal-relative:char;mso-position-vertical-relative:line" coordsize="61906,63">
                <v:shape id="Shape 7839" style="position:absolute;width:61906;height:91;left:0;top:0;" coordsize="6190615,9144" path="m0,0l6190615,0l6190615,9144l0,9144l0,0">
                  <v:stroke weight="0pt" endcap="flat" joinstyle="miter" miterlimit="10" on="false" color="#000000" opacity="0"/>
                  <v:fill on="true" color="#000000"/>
                </v:shape>
              </v:group>
            </w:pict>
          </mc:Fallback>
        </mc:AlternateContent>
      </w:r>
    </w:p>
    <w:p w14:paraId="6F4F8C54" w14:textId="77777777" w:rsidR="009D0418" w:rsidRDefault="00C165BC">
      <w:pPr>
        <w:spacing w:after="3" w:line="259" w:lineRule="auto"/>
        <w:ind w:left="-5" w:hanging="10"/>
        <w:jc w:val="left"/>
      </w:pPr>
      <w:r>
        <w:rPr>
          <w:sz w:val="28"/>
        </w:rPr>
        <w:t xml:space="preserve">Modifications of the Convention </w:t>
      </w:r>
    </w:p>
    <w:p w14:paraId="59C76C1F" w14:textId="77777777" w:rsidR="009D0418" w:rsidRDefault="00C165BC">
      <w:pPr>
        <w:spacing w:after="3" w:line="259" w:lineRule="auto"/>
        <w:ind w:left="-5" w:hanging="10"/>
        <w:jc w:val="left"/>
        <w:rPr>
          <w:sz w:val="28"/>
        </w:rPr>
      </w:pPr>
      <w:r>
        <w:rPr>
          <w:sz w:val="28"/>
        </w:rPr>
        <w:t>(Text as modified)</w:t>
      </w:r>
    </w:p>
    <w:p w14:paraId="61B215A2" w14:textId="77777777" w:rsidR="0060319C" w:rsidRDefault="0060319C">
      <w:pPr>
        <w:spacing w:after="3" w:line="259" w:lineRule="auto"/>
        <w:ind w:left="-5" w:hanging="10"/>
        <w:jc w:val="left"/>
        <w:rPr>
          <w:sz w:val="28"/>
        </w:rPr>
      </w:pPr>
    </w:p>
    <w:p w14:paraId="553E6362" w14:textId="77777777" w:rsidR="0060319C" w:rsidRDefault="0060319C">
      <w:pPr>
        <w:spacing w:after="3" w:line="259" w:lineRule="auto"/>
        <w:ind w:left="-5" w:hanging="10"/>
        <w:jc w:val="left"/>
        <w:rPr>
          <w:sz w:val="28"/>
        </w:rPr>
      </w:pPr>
    </w:p>
    <w:p w14:paraId="66B4E7A2" w14:textId="77777777" w:rsidR="0060319C" w:rsidRDefault="0060319C">
      <w:pPr>
        <w:spacing w:after="3" w:line="259" w:lineRule="auto"/>
        <w:ind w:left="-5" w:hanging="10"/>
        <w:jc w:val="left"/>
        <w:rPr>
          <w:sz w:val="28"/>
        </w:rPr>
      </w:pPr>
    </w:p>
    <w:p w14:paraId="06D2CD26" w14:textId="77777777" w:rsidR="0060319C" w:rsidRDefault="0060319C">
      <w:pPr>
        <w:spacing w:after="3" w:line="259" w:lineRule="auto"/>
        <w:ind w:left="-5" w:hanging="10"/>
        <w:jc w:val="left"/>
        <w:rPr>
          <w:sz w:val="28"/>
        </w:rPr>
      </w:pPr>
    </w:p>
    <w:p w14:paraId="1A9D8D78" w14:textId="77777777" w:rsidR="0060319C" w:rsidRDefault="0060319C">
      <w:pPr>
        <w:spacing w:after="3" w:line="259" w:lineRule="auto"/>
        <w:ind w:left="-5" w:hanging="10"/>
        <w:jc w:val="left"/>
        <w:rPr>
          <w:sz w:val="28"/>
        </w:rPr>
      </w:pPr>
    </w:p>
    <w:p w14:paraId="70C1A0C1" w14:textId="77777777" w:rsidR="0060319C" w:rsidRDefault="0060319C">
      <w:pPr>
        <w:spacing w:after="3" w:line="259" w:lineRule="auto"/>
        <w:ind w:left="-5" w:hanging="10"/>
        <w:jc w:val="left"/>
        <w:rPr>
          <w:sz w:val="28"/>
        </w:rPr>
      </w:pPr>
    </w:p>
    <w:p w14:paraId="0CE71829" w14:textId="77777777" w:rsidR="0060319C" w:rsidRDefault="0060319C">
      <w:pPr>
        <w:spacing w:after="3" w:line="259" w:lineRule="auto"/>
        <w:ind w:left="-5" w:hanging="10"/>
        <w:jc w:val="left"/>
        <w:rPr>
          <w:sz w:val="28"/>
        </w:rPr>
      </w:pPr>
    </w:p>
    <w:p w14:paraId="6302401F" w14:textId="77777777" w:rsidR="0060319C" w:rsidRDefault="0060319C">
      <w:pPr>
        <w:spacing w:after="3" w:line="259" w:lineRule="auto"/>
        <w:ind w:left="-5" w:hanging="10"/>
        <w:jc w:val="left"/>
        <w:rPr>
          <w:sz w:val="28"/>
        </w:rPr>
      </w:pPr>
    </w:p>
    <w:p w14:paraId="32BC926A" w14:textId="77777777" w:rsidR="0060319C" w:rsidRDefault="0060319C">
      <w:pPr>
        <w:spacing w:after="3" w:line="259" w:lineRule="auto"/>
        <w:ind w:left="-5" w:hanging="10"/>
        <w:jc w:val="left"/>
        <w:rPr>
          <w:sz w:val="28"/>
        </w:rPr>
      </w:pPr>
    </w:p>
    <w:p w14:paraId="3459755C" w14:textId="77777777" w:rsidR="0060319C" w:rsidRDefault="0060319C">
      <w:pPr>
        <w:spacing w:after="3" w:line="259" w:lineRule="auto"/>
        <w:ind w:left="-5" w:hanging="10"/>
        <w:jc w:val="left"/>
        <w:rPr>
          <w:sz w:val="28"/>
        </w:rPr>
      </w:pPr>
    </w:p>
    <w:p w14:paraId="556C345A" w14:textId="77777777" w:rsidR="0060319C" w:rsidRDefault="0060319C">
      <w:pPr>
        <w:spacing w:after="3" w:line="259" w:lineRule="auto"/>
        <w:ind w:left="-5" w:hanging="10"/>
        <w:jc w:val="left"/>
        <w:rPr>
          <w:sz w:val="28"/>
        </w:rPr>
      </w:pPr>
    </w:p>
    <w:p w14:paraId="1DCF3FEF" w14:textId="77777777" w:rsidR="0060319C" w:rsidRDefault="0060319C">
      <w:pPr>
        <w:spacing w:after="3" w:line="259" w:lineRule="auto"/>
        <w:ind w:left="-5" w:hanging="10"/>
        <w:jc w:val="left"/>
        <w:rPr>
          <w:sz w:val="28"/>
        </w:rPr>
      </w:pPr>
    </w:p>
    <w:p w14:paraId="1C014A53" w14:textId="77777777" w:rsidR="0060319C" w:rsidRDefault="0060319C">
      <w:pPr>
        <w:spacing w:after="3" w:line="259" w:lineRule="auto"/>
        <w:ind w:left="-5" w:hanging="10"/>
        <w:jc w:val="left"/>
      </w:pPr>
    </w:p>
    <w:p w14:paraId="528BD9F8" w14:textId="77777777" w:rsidR="009D0418" w:rsidRDefault="00C165BC">
      <w:pPr>
        <w:pStyle w:val="Heading2"/>
      </w:pPr>
      <w:r>
        <w:lastRenderedPageBreak/>
        <w:t>Text modification</w:t>
      </w:r>
    </w:p>
    <w:p w14:paraId="5A35F0D5" w14:textId="77777777" w:rsidR="009D0418" w:rsidRDefault="00C165BC">
      <w:pPr>
        <w:spacing w:after="278"/>
        <w:ind w:left="-15" w:firstLine="0"/>
      </w:pPr>
      <w:r>
        <w:t>Articles 3 § 2, 12 § 5, 14 § 2 letter e), 14 § 6, 15 § 5 letter g), 20, 24 § 5, 25, 26 §§ 5 to 7 and 33 § 4, letter a) of the Convention concerning International Carriage by Rail (COTIF) of 9 May 1980 in the version of the Protocol of 3 June 1999 (Vilnius Protocol) and with amendments adopted by the Revision Committee at its 24</w:t>
      </w:r>
      <w:r>
        <w:rPr>
          <w:sz w:val="19"/>
          <w:vertAlign w:val="superscript"/>
        </w:rPr>
        <w:t>th</w:t>
      </w:r>
      <w:r>
        <w:t xml:space="preserve"> and 25</w:t>
      </w:r>
      <w:r>
        <w:rPr>
          <w:sz w:val="19"/>
          <w:vertAlign w:val="superscript"/>
        </w:rPr>
        <w:t>th</w:t>
      </w:r>
      <w:r>
        <w:t xml:space="preserve"> sessions read as follows:</w:t>
      </w:r>
    </w:p>
    <w:p w14:paraId="6265113D" w14:textId="77777777" w:rsidR="009D0418" w:rsidRDefault="00C165BC">
      <w:pPr>
        <w:pStyle w:val="Heading3"/>
        <w:spacing w:after="216"/>
      </w:pPr>
      <w:r>
        <w:rPr>
          <w:sz w:val="24"/>
        </w:rPr>
        <w:t>“</w:t>
      </w:r>
      <w:r>
        <w:t>Article 3 International cooperation</w:t>
      </w:r>
    </w:p>
    <w:p w14:paraId="5A5346A5" w14:textId="77777777" w:rsidR="009D0418" w:rsidRDefault="00C165BC">
      <w:pPr>
        <w:ind w:left="846"/>
      </w:pPr>
      <w:r>
        <w:t>§ 2 The obligations resulting from § 1 for the Member States, which are at the same time Members of the European Union or States parties to the European Economic Area Agreement, shall not prevail over their obligations as members of the European Union or States parties to the European Economic Area Agreement.</w:t>
      </w:r>
    </w:p>
    <w:p w14:paraId="47CA20F3" w14:textId="77777777" w:rsidR="009D0418" w:rsidRDefault="00C165BC">
      <w:pPr>
        <w:pStyle w:val="Heading3"/>
        <w:spacing w:after="218"/>
        <w:ind w:right="10"/>
      </w:pPr>
      <w:r>
        <w:t>Article 12 Execution of judgements. Attachment</w:t>
      </w:r>
    </w:p>
    <w:p w14:paraId="305EF188" w14:textId="77777777" w:rsidR="009D0418" w:rsidRDefault="00C165BC">
      <w:pPr>
        <w:ind w:left="846"/>
      </w:pPr>
      <w:r>
        <w:t>§ 5 Railway vehicles may only be seized on a territory other than that of the Member State in which the keeper has its registered office, under a judgement given by the judicial authority of that State. The term "keeper" means the person or entity that, being the owner of a vehicle or having the right to use it, exploits the vehicle as a means of transport.</w:t>
      </w:r>
    </w:p>
    <w:p w14:paraId="4564AD6C" w14:textId="77777777" w:rsidR="009D0418" w:rsidRDefault="00C165BC">
      <w:pPr>
        <w:pStyle w:val="Heading3"/>
        <w:ind w:right="4"/>
      </w:pPr>
      <w:r>
        <w:t>Article 14</w:t>
      </w:r>
    </w:p>
    <w:p w14:paraId="425DD8DB" w14:textId="77777777" w:rsidR="009D0418" w:rsidRDefault="00C165BC">
      <w:pPr>
        <w:spacing w:after="2" w:line="462" w:lineRule="auto"/>
        <w:ind w:left="-15" w:right="3617" w:firstLine="3716"/>
        <w:jc w:val="left"/>
      </w:pPr>
      <w:r>
        <w:rPr>
          <w:b/>
        </w:rPr>
        <w:t xml:space="preserve">General Assembly </w:t>
      </w:r>
      <w:r>
        <w:t>§ 2</w:t>
      </w:r>
    </w:p>
    <w:p w14:paraId="2555347C" w14:textId="33EDF4D3" w:rsidR="009D0418" w:rsidRDefault="00C165BC">
      <w:pPr>
        <w:ind w:left="1418" w:hanging="567"/>
      </w:pPr>
      <w:r>
        <w:t xml:space="preserve">e)  fix, for </w:t>
      </w:r>
      <w:r w:rsidR="005D2C12">
        <w:t>three-year</w:t>
      </w:r>
      <w:r>
        <w:t xml:space="preserve"> periods, the maximum amount that the expenditure of the Organisation may reach in each budgetary period (Article 25); if not, it shall issue directives relating to the limitation of that expenditure for a period no longer than three </w:t>
      </w:r>
      <w:proofErr w:type="gramStart"/>
      <w:r>
        <w:t>years;</w:t>
      </w:r>
      <w:proofErr w:type="gramEnd"/>
    </w:p>
    <w:p w14:paraId="50CB343D" w14:textId="77777777" w:rsidR="009D0418" w:rsidRDefault="00C165BC">
      <w:pPr>
        <w:ind w:left="846"/>
      </w:pPr>
      <w:r>
        <w:t xml:space="preserve">§ 6 The General Assembly shall take its decisions by </w:t>
      </w:r>
      <w:proofErr w:type="gramStart"/>
      <w:r>
        <w:t>the majority of</w:t>
      </w:r>
      <w:proofErr w:type="gramEnd"/>
      <w:r>
        <w:t xml:space="preserve"> the Member States represented at the time of the vote, save in the case of § 2, letters e), f), g), h), l) and p) as well as of Article 34 § 6, for which the majority shall be two-thirds. However, in the case of § 2, letter l) the majority shall be two-thirds only in the case of proposals aiming to modify the Convention itself, </w:t>
      </w:r>
      <w:proofErr w:type="gramStart"/>
      <w:r>
        <w:t>with the exception of</w:t>
      </w:r>
      <w:proofErr w:type="gramEnd"/>
      <w:r>
        <w:t xml:space="preserve"> Articles 9 and 27 §§ 2 to 4 and the Protocol referred to in Article 1 § 4.</w:t>
      </w:r>
    </w:p>
    <w:p w14:paraId="1E9FF509" w14:textId="77777777" w:rsidR="009D0418" w:rsidRDefault="00C165BC">
      <w:pPr>
        <w:pStyle w:val="Heading3"/>
        <w:ind w:right="48"/>
      </w:pPr>
      <w:r>
        <w:t xml:space="preserve">Article 15 </w:t>
      </w:r>
    </w:p>
    <w:p w14:paraId="79880AD2" w14:textId="77777777" w:rsidR="009D0418" w:rsidRDefault="00C165BC">
      <w:pPr>
        <w:spacing w:after="2" w:line="462" w:lineRule="auto"/>
        <w:ind w:left="-15" w:right="3295" w:firstLine="3280"/>
        <w:jc w:val="left"/>
      </w:pPr>
      <w:r>
        <w:rPr>
          <w:b/>
        </w:rPr>
        <w:t xml:space="preserve">Administrative Committee </w:t>
      </w:r>
      <w:r>
        <w:t>§ 5</w:t>
      </w:r>
    </w:p>
    <w:p w14:paraId="73140F19" w14:textId="77777777" w:rsidR="009D0418" w:rsidRDefault="00C165BC">
      <w:pPr>
        <w:ind w:left="1418" w:hanging="567"/>
      </w:pPr>
      <w:r>
        <w:t xml:space="preserve">g)  fix, on the basis of the approved accounts, the definitive contributions due from the Member States in accordance with Article 26 for the previous calendar year, as well as the amount of the treasury advance due from the Member States in accordance with Article 26 § 5 for the current </w:t>
      </w:r>
      <w:proofErr w:type="gramStart"/>
      <w:r>
        <w:t>year;</w:t>
      </w:r>
      <w:proofErr w:type="gramEnd"/>
    </w:p>
    <w:p w14:paraId="6394392D" w14:textId="77777777" w:rsidR="009D0418" w:rsidRDefault="00C165BC">
      <w:pPr>
        <w:spacing w:after="237" w:line="238" w:lineRule="auto"/>
        <w:ind w:left="3017" w:right="3032" w:firstLine="1046"/>
        <w:jc w:val="left"/>
      </w:pPr>
      <w:r>
        <w:rPr>
          <w:b/>
        </w:rPr>
        <w:lastRenderedPageBreak/>
        <w:t>Article 20 Committee of Technical Experts</w:t>
      </w:r>
    </w:p>
    <w:p w14:paraId="4862605E" w14:textId="77777777" w:rsidR="009D0418" w:rsidRDefault="00C165BC">
      <w:pPr>
        <w:tabs>
          <w:tab w:val="center" w:pos="2712"/>
        </w:tabs>
        <w:ind w:left="-15" w:firstLine="0"/>
        <w:jc w:val="left"/>
      </w:pPr>
      <w:r>
        <w:t>§ 1</w:t>
      </w:r>
      <w:r>
        <w:tab/>
        <w:t>The Committee of Technical Experts shall:</w:t>
      </w:r>
    </w:p>
    <w:p w14:paraId="0117DB02" w14:textId="77777777" w:rsidR="009D0418" w:rsidRDefault="00C165BC">
      <w:pPr>
        <w:numPr>
          <w:ilvl w:val="0"/>
          <w:numId w:val="1"/>
        </w:numPr>
        <w:ind w:hanging="567"/>
      </w:pPr>
      <w:r>
        <w:t xml:space="preserve">take decisions, in accordance with Article 5 of the APTU Uniform Rules, about the validation of a technical standard relating to railway material intended to be used in international traffic; when taking such decisions, the technical standards or certain specific parts of these standards may either be validated or rejected; they may not under any circumstances be </w:t>
      </w:r>
      <w:proofErr w:type="gramStart"/>
      <w:r>
        <w:t>modified;</w:t>
      </w:r>
      <w:proofErr w:type="gramEnd"/>
    </w:p>
    <w:p w14:paraId="0B397B93" w14:textId="77777777" w:rsidR="009D0418" w:rsidRDefault="00C165BC">
      <w:pPr>
        <w:numPr>
          <w:ilvl w:val="0"/>
          <w:numId w:val="1"/>
        </w:numPr>
        <w:ind w:hanging="567"/>
      </w:pPr>
      <w:r>
        <w:t xml:space="preserve">take decisions, in accordance with Article 6 of the APTU Uniform Rules, about the adoption or modification of a uniform technical prescription relating to the construction, operation, maintenance or relating to a procedure concerning railway material intended to be used in international </w:t>
      </w:r>
      <w:proofErr w:type="gramStart"/>
      <w:r>
        <w:t>traffic;</w:t>
      </w:r>
      <w:proofErr w:type="gramEnd"/>
    </w:p>
    <w:p w14:paraId="37467173" w14:textId="77777777" w:rsidR="009D0418" w:rsidRDefault="00C165BC">
      <w:pPr>
        <w:numPr>
          <w:ilvl w:val="0"/>
          <w:numId w:val="1"/>
        </w:numPr>
        <w:ind w:hanging="567"/>
      </w:pPr>
      <w:r>
        <w:t xml:space="preserve">keep a watch on the application of technical standards and uniform technical prescriptions relating to railway material intended to be used in international traffic and examine their development with a view to their validation or adoption in accordance with the procedures provided for in Articles 5 and 6 of the APTU Uniform </w:t>
      </w:r>
      <w:proofErr w:type="gramStart"/>
      <w:r>
        <w:t>Rules;</w:t>
      </w:r>
      <w:proofErr w:type="gramEnd"/>
    </w:p>
    <w:p w14:paraId="247B0CDA" w14:textId="77777777" w:rsidR="009D0418" w:rsidRDefault="00C165BC">
      <w:pPr>
        <w:numPr>
          <w:ilvl w:val="0"/>
          <w:numId w:val="1"/>
        </w:numPr>
        <w:ind w:hanging="567"/>
      </w:pPr>
      <w:r>
        <w:t xml:space="preserve">take decisions, in accordance with Article 33 § 6, about proposals aiming to modify the </w:t>
      </w:r>
      <w:proofErr w:type="gramStart"/>
      <w:r>
        <w:t>Convention;</w:t>
      </w:r>
      <w:proofErr w:type="gramEnd"/>
    </w:p>
    <w:p w14:paraId="1FA8CEAE" w14:textId="77777777" w:rsidR="009D0418" w:rsidRDefault="00C165BC">
      <w:pPr>
        <w:numPr>
          <w:ilvl w:val="0"/>
          <w:numId w:val="1"/>
        </w:numPr>
        <w:ind w:hanging="567"/>
      </w:pPr>
      <w:r>
        <w:t>deal with all other matters which are assigned to it in accordance with the APTU Uniform Rules and the ATMF Uniform Rules.</w:t>
      </w:r>
    </w:p>
    <w:p w14:paraId="2A0DA7A1" w14:textId="77777777" w:rsidR="009D0418" w:rsidRDefault="00C165BC">
      <w:pPr>
        <w:ind w:left="846"/>
      </w:pPr>
      <w:r>
        <w:t xml:space="preserve">§ 2 There shall be a quorum (Article 13 § 3) in the Committee of Technical Experts, when </w:t>
      </w:r>
      <w:proofErr w:type="spellStart"/>
      <w:r>
        <w:t>onehalf</w:t>
      </w:r>
      <w:proofErr w:type="spellEnd"/>
      <w:r>
        <w:t xml:space="preserve"> of the Member States, within the meaning of Article 16 § 1, are represented there. When the Committee is taking decisions about provisions of the Annexes to the APTU Uniform Rules, Member States which have made an objection, in accordance with Article 35 § 4, </w:t>
      </w:r>
      <w:proofErr w:type="gramStart"/>
      <w:r>
        <w:t>with regard to</w:t>
      </w:r>
      <w:proofErr w:type="gramEnd"/>
      <w:r>
        <w:t xml:space="preserve"> the provisions concerned or have made a declaration, in accordance with Article 9 § 1 of the APTU Uniform Rules, shall not have the right to vote.</w:t>
      </w:r>
    </w:p>
    <w:p w14:paraId="68E48ABA" w14:textId="77777777" w:rsidR="009D0418" w:rsidRDefault="00C165BC">
      <w:pPr>
        <w:pStyle w:val="Heading3"/>
        <w:spacing w:after="214"/>
        <w:ind w:right="10"/>
      </w:pPr>
      <w:r>
        <w:t>Article 24 Lists of lines or services</w:t>
      </w:r>
    </w:p>
    <w:p w14:paraId="22AAE71A" w14:textId="77777777" w:rsidR="009D0418" w:rsidRDefault="00C165BC">
      <w:pPr>
        <w:ind w:left="846"/>
      </w:pPr>
      <w:r>
        <w:t>§ 5 Carriage on the maritime and inland waterway services referred to in § 1 and carriage on the railway lines referred to in § 2 shall be subject to the provisions of the Convention on the expiration of one month running from the date of the notification of their inclusion by the Secretary General. Such a service or line shall cease to be subject to the provisions of the Convention on the expiration of one month running from the date of the notification of the deletion by the Secretary General, save in respect of carriage underway which must be finished.</w:t>
      </w:r>
    </w:p>
    <w:p w14:paraId="117088A5" w14:textId="77777777" w:rsidR="009D0418" w:rsidRDefault="00C165BC">
      <w:pPr>
        <w:pStyle w:val="Heading3"/>
        <w:spacing w:after="214"/>
        <w:ind w:right="10"/>
      </w:pPr>
      <w:r>
        <w:t>Article 25 Work Programme. Budget. Accounts. Annual Report</w:t>
      </w:r>
    </w:p>
    <w:p w14:paraId="2536DE43" w14:textId="77777777" w:rsidR="009D0418" w:rsidRDefault="00C165BC">
      <w:pPr>
        <w:ind w:left="846"/>
      </w:pPr>
      <w:r>
        <w:t>§ 1 The budget and accounts of the Organisation shall cover a period of one calendar year. The work programme shall cover a period of two calendar years.</w:t>
      </w:r>
    </w:p>
    <w:p w14:paraId="44F96C48" w14:textId="77777777" w:rsidR="009D0418" w:rsidRDefault="00C165BC">
      <w:pPr>
        <w:tabs>
          <w:tab w:val="center" w:pos="3629"/>
        </w:tabs>
        <w:ind w:left="-15" w:firstLine="0"/>
        <w:jc w:val="left"/>
      </w:pPr>
      <w:r>
        <w:lastRenderedPageBreak/>
        <w:t>§ 2</w:t>
      </w:r>
      <w:r>
        <w:tab/>
        <w:t>The Organisation shall publish a management report every year.</w:t>
      </w:r>
    </w:p>
    <w:p w14:paraId="2FBBEBFC" w14:textId="77777777" w:rsidR="009D0418" w:rsidRDefault="00C165BC">
      <w:pPr>
        <w:ind w:left="846"/>
      </w:pPr>
      <w:r>
        <w:t>§ 3 The total amount of expenditure of the Organisation shall be fixed, for each budgetary period, by the Administrative Committee on a proposal by the Secretary General.</w:t>
      </w:r>
    </w:p>
    <w:p w14:paraId="5758F69E" w14:textId="77777777" w:rsidR="009D0418" w:rsidRDefault="00C165BC">
      <w:pPr>
        <w:pStyle w:val="Heading3"/>
        <w:spacing w:after="214"/>
        <w:ind w:right="48"/>
      </w:pPr>
      <w:r>
        <w:t>Article 26 Financing the expenditure</w:t>
      </w:r>
    </w:p>
    <w:p w14:paraId="0AF9DD99" w14:textId="77777777" w:rsidR="009D0418" w:rsidRDefault="00C165BC">
      <w:pPr>
        <w:ind w:left="846"/>
      </w:pPr>
      <w:r>
        <w:t xml:space="preserve">§ 5 The contributions of the Member States to the expenditure of the Organisation shall be due in the form of a treasury advance payable at the latest by the 31 October of the year covered by the budget. The treasury advance shall be fixed </w:t>
      </w:r>
      <w:proofErr w:type="gramStart"/>
      <w:r>
        <w:t>on the basis of</w:t>
      </w:r>
      <w:proofErr w:type="gramEnd"/>
      <w:r>
        <w:t xml:space="preserve"> the definitive contributions for the preceding year.</w:t>
      </w:r>
    </w:p>
    <w:p w14:paraId="2EB6F406" w14:textId="77777777" w:rsidR="009D0418" w:rsidRDefault="00C165BC">
      <w:pPr>
        <w:ind w:left="846"/>
      </w:pPr>
      <w:r>
        <w:t>§ 6 When sending the management report and statement of accounts to the Member States, the Secretary General shall notify the definitive amount of the contribution for the previous calendar year as well as the amount of the treasury advance in respect of the calendar year to come.</w:t>
      </w:r>
    </w:p>
    <w:p w14:paraId="3BBC61EC" w14:textId="77777777" w:rsidR="009D0418" w:rsidRDefault="00C165BC">
      <w:pPr>
        <w:ind w:left="846"/>
      </w:pPr>
      <w:r>
        <w:t>§ 7 After the 31 December of the year the notification is made by the Secretary General in accordance with § 6, the amounts due for the last calendar year shall bear interest at the rate of five per cent per annum. If, two years after that date, a Member State has not paid its contribution, its right to vote shall be suspended until it has fulfilled its obligation to pay. On expiry of a further period of two years, the General Assembly shall consider whether the attitude of that State should be regarded as a tacit denunciation of the Convention and, where necessary, shall determine the effective date thereof.</w:t>
      </w:r>
    </w:p>
    <w:p w14:paraId="4505691C" w14:textId="77777777" w:rsidR="009D0418" w:rsidRDefault="00C165BC">
      <w:pPr>
        <w:pStyle w:val="Heading3"/>
        <w:ind w:right="2"/>
      </w:pPr>
      <w:r>
        <w:t>Article 33</w:t>
      </w:r>
    </w:p>
    <w:p w14:paraId="7B9E30DC" w14:textId="77777777" w:rsidR="009D0418" w:rsidRDefault="00C165BC">
      <w:pPr>
        <w:spacing w:after="2" w:line="462" w:lineRule="auto"/>
        <w:ind w:left="-15" w:right="3890" w:firstLine="3991"/>
        <w:jc w:val="left"/>
      </w:pPr>
      <w:r>
        <w:rPr>
          <w:b/>
        </w:rPr>
        <w:t xml:space="preserve">Competence </w:t>
      </w:r>
      <w:r>
        <w:t>§ 4</w:t>
      </w:r>
    </w:p>
    <w:p w14:paraId="7EC55204" w14:textId="77777777" w:rsidR="009D0418" w:rsidRDefault="00C165BC">
      <w:pPr>
        <w:tabs>
          <w:tab w:val="center" w:pos="932"/>
          <w:tab w:val="center" w:pos="2646"/>
        </w:tabs>
        <w:ind w:left="0" w:firstLine="0"/>
        <w:jc w:val="left"/>
      </w:pPr>
      <w:r>
        <w:rPr>
          <w:sz w:val="22"/>
        </w:rPr>
        <w:tab/>
      </w:r>
      <w:r>
        <w:t>a)</w:t>
      </w:r>
      <w:r>
        <w:tab/>
        <w:t>Articles 9 and 27 §§ 2 to 4;”</w:t>
      </w:r>
    </w:p>
    <w:sectPr w:rsidR="009D0418">
      <w:headerReference w:type="even" r:id="rId10"/>
      <w:headerReference w:type="default" r:id="rId11"/>
      <w:headerReference w:type="first" r:id="rId12"/>
      <w:pgSz w:w="11906" w:h="16838"/>
      <w:pgMar w:top="1450" w:right="1394" w:bottom="3115" w:left="143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ED18" w14:textId="77777777" w:rsidR="009E6E8F" w:rsidRDefault="009E6E8F">
      <w:pPr>
        <w:spacing w:after="0" w:line="240" w:lineRule="auto"/>
      </w:pPr>
      <w:r>
        <w:separator/>
      </w:r>
    </w:p>
  </w:endnote>
  <w:endnote w:type="continuationSeparator" w:id="0">
    <w:p w14:paraId="55EEFBC6" w14:textId="77777777" w:rsidR="009E6E8F" w:rsidRDefault="009E6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D1DA9" w14:textId="77777777" w:rsidR="009E6E8F" w:rsidRDefault="009E6E8F">
      <w:pPr>
        <w:spacing w:after="0" w:line="240" w:lineRule="auto"/>
      </w:pPr>
      <w:r>
        <w:separator/>
      </w:r>
    </w:p>
  </w:footnote>
  <w:footnote w:type="continuationSeparator" w:id="0">
    <w:p w14:paraId="5716E937" w14:textId="77777777" w:rsidR="009E6E8F" w:rsidRDefault="009E6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0123" w14:textId="77777777" w:rsidR="009D0418" w:rsidRDefault="00C165BC">
    <w:pPr>
      <w:spacing w:after="0" w:line="259" w:lineRule="auto"/>
      <w:ind w:left="0" w:right="3" w:firstLine="0"/>
      <w:jc w:val="center"/>
    </w:pPr>
    <w:r>
      <w:fldChar w:fldCharType="begin"/>
    </w:r>
    <w:r>
      <w:instrText xml:space="preserve"> PAGE   \* MERGEFORMAT </w:instrText>
    </w:r>
    <w:r>
      <w:fldChar w:fldCharType="separate"/>
    </w:r>
    <w:r>
      <w:rPr>
        <w:sz w:val="24"/>
      </w:rPr>
      <w:t>2</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BF81" w14:textId="77777777" w:rsidR="009D0418" w:rsidRDefault="00C165BC">
    <w:pPr>
      <w:spacing w:after="0" w:line="259" w:lineRule="auto"/>
      <w:ind w:left="0" w:right="3" w:firstLine="0"/>
      <w:jc w:val="center"/>
    </w:pPr>
    <w:r>
      <w:fldChar w:fldCharType="begin"/>
    </w:r>
    <w:r>
      <w:instrText xml:space="preserve"> PAGE   \* MERGEFORMAT </w:instrText>
    </w:r>
    <w:r>
      <w:fldChar w:fldCharType="separate"/>
    </w:r>
    <w:r>
      <w:rPr>
        <w:sz w:val="24"/>
      </w:rPr>
      <w:t>2</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3CF9" w14:textId="77777777" w:rsidR="009D0418" w:rsidRDefault="009D041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555FF"/>
    <w:multiLevelType w:val="hybridMultilevel"/>
    <w:tmpl w:val="B9AC9D6A"/>
    <w:lvl w:ilvl="0" w:tplc="73E6C712">
      <w:start w:val="1"/>
      <w:numFmt w:val="lowerLetter"/>
      <w:lvlText w:val="%1)"/>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E749082">
      <w:start w:val="1"/>
      <w:numFmt w:val="lowerLetter"/>
      <w:lvlText w:val="%2"/>
      <w:lvlJc w:val="left"/>
      <w:pPr>
        <w:ind w:left="19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F603DFC">
      <w:start w:val="1"/>
      <w:numFmt w:val="lowerRoman"/>
      <w:lvlText w:val="%3"/>
      <w:lvlJc w:val="left"/>
      <w:pPr>
        <w:ind w:left="265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ADA8830">
      <w:start w:val="1"/>
      <w:numFmt w:val="decimal"/>
      <w:lvlText w:val="%4"/>
      <w:lvlJc w:val="left"/>
      <w:pPr>
        <w:ind w:left="337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352F260">
      <w:start w:val="1"/>
      <w:numFmt w:val="lowerLetter"/>
      <w:lvlText w:val="%5"/>
      <w:lvlJc w:val="left"/>
      <w:pPr>
        <w:ind w:left="409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125A69C0">
      <w:start w:val="1"/>
      <w:numFmt w:val="lowerRoman"/>
      <w:lvlText w:val="%6"/>
      <w:lvlJc w:val="left"/>
      <w:pPr>
        <w:ind w:left="48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E60B4B4">
      <w:start w:val="1"/>
      <w:numFmt w:val="decimal"/>
      <w:lvlText w:val="%7"/>
      <w:lvlJc w:val="left"/>
      <w:pPr>
        <w:ind w:left="55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A1A4B62">
      <w:start w:val="1"/>
      <w:numFmt w:val="lowerLetter"/>
      <w:lvlText w:val="%8"/>
      <w:lvlJc w:val="left"/>
      <w:pPr>
        <w:ind w:left="625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6E8893E">
      <w:start w:val="1"/>
      <w:numFmt w:val="lowerRoman"/>
      <w:lvlText w:val="%9"/>
      <w:lvlJc w:val="left"/>
      <w:pPr>
        <w:ind w:left="697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51191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418"/>
    <w:rsid w:val="00297B28"/>
    <w:rsid w:val="004150B4"/>
    <w:rsid w:val="005D2C12"/>
    <w:rsid w:val="0060319C"/>
    <w:rsid w:val="006D5C81"/>
    <w:rsid w:val="008A0A20"/>
    <w:rsid w:val="009D0418"/>
    <w:rsid w:val="009E6E8F"/>
    <w:rsid w:val="00A621A7"/>
    <w:rsid w:val="00B07730"/>
    <w:rsid w:val="00C165BC"/>
    <w:rsid w:val="00D32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8418"/>
  <w15:docId w15:val="{4A8E7393-B44D-4059-8FBD-A1A822AA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0" w:line="248" w:lineRule="auto"/>
      <w:ind w:left="861" w:hanging="861"/>
      <w:jc w:val="both"/>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433" w:line="259" w:lineRule="auto"/>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83" w:line="259" w:lineRule="auto"/>
      <w:ind w:right="7"/>
      <w:jc w:val="center"/>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0" w:line="259" w:lineRule="auto"/>
      <w:ind w:left="10" w:right="45" w:hanging="10"/>
      <w:jc w:val="center"/>
      <w:outlineLvl w:val="2"/>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1"/>
    </w:rPr>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06484d-546d-4676-815d-28a31f897f56">
      <Terms xmlns="http://schemas.microsoft.com/office/infopath/2007/PartnerControls"/>
    </lcf76f155ced4ddcb4097134ff3c332f>
    <TaxCatchAll xmlns="65b02749-e2fd-4b1d-ba9d-81e7f2b37e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07E8496B49E0A4CBBE62DF57FFAE875" ma:contentTypeVersion="15" ma:contentTypeDescription="Izveidot jaunu dokumentu." ma:contentTypeScope="" ma:versionID="f781df68b35c1a01357d2391215027b0">
  <xsd:schema xmlns:xsd="http://www.w3.org/2001/XMLSchema" xmlns:xs="http://www.w3.org/2001/XMLSchema" xmlns:p="http://schemas.microsoft.com/office/2006/metadata/properties" xmlns:ns2="9306484d-546d-4676-815d-28a31f897f56" xmlns:ns3="65b02749-e2fd-4b1d-ba9d-81e7f2b37e61" targetNamespace="http://schemas.microsoft.com/office/2006/metadata/properties" ma:root="true" ma:fieldsID="2d51d0a1cf1949df7d27309de8e7cd73" ns2:_="" ns3:_="">
    <xsd:import namespace="9306484d-546d-4676-815d-28a31f897f56"/>
    <xsd:import namespace="65b02749-e2fd-4b1d-ba9d-81e7f2b37e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6484d-546d-4676-815d-28a31f897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02749-e2fd-4b1d-ba9d-81e7f2b37e61"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950e7da-c951-46ce-9f88-6f29dfdb7c60}" ma:internalName="TaxCatchAll" ma:showField="CatchAllData" ma:web="65b02749-e2fd-4b1d-ba9d-81e7f2b37e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AA6E7-270B-4E6C-B0E0-677644511AD7}">
  <ds:schemaRefs>
    <ds:schemaRef ds:uri="http://schemas.microsoft.com/office/2006/metadata/properties"/>
    <ds:schemaRef ds:uri="http://schemas.microsoft.com/office/infopath/2007/PartnerControls"/>
    <ds:schemaRef ds:uri="9306484d-546d-4676-815d-28a31f897f56"/>
    <ds:schemaRef ds:uri="65b02749-e2fd-4b1d-ba9d-81e7f2b37e61"/>
  </ds:schemaRefs>
</ds:datastoreItem>
</file>

<file path=customXml/itemProps2.xml><?xml version="1.0" encoding="utf-8"?>
<ds:datastoreItem xmlns:ds="http://schemas.openxmlformats.org/officeDocument/2006/customXml" ds:itemID="{AD6BE051-9C54-48BD-A041-C0B5F59DA349}">
  <ds:schemaRefs>
    <ds:schemaRef ds:uri="http://schemas.microsoft.com/sharepoint/v3/contenttype/forms"/>
  </ds:schemaRefs>
</ds:datastoreItem>
</file>

<file path=customXml/itemProps3.xml><?xml version="1.0" encoding="utf-8"?>
<ds:datastoreItem xmlns:ds="http://schemas.openxmlformats.org/officeDocument/2006/customXml" ds:itemID="{F0FF176C-C04B-4B64-94A6-2E6564EFA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6484d-546d-4676-815d-28a31f897f56"/>
    <ds:schemaRef ds:uri="65b02749-e2fd-4b1d-ba9d-81e7f2b37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Aizstrauts</dc:creator>
  <cp:keywords/>
  <cp:lastModifiedBy>Santa Balaša</cp:lastModifiedBy>
  <cp:revision>4</cp:revision>
  <dcterms:created xsi:type="dcterms:W3CDTF">2025-02-10T11:41:00Z</dcterms:created>
  <dcterms:modified xsi:type="dcterms:W3CDTF">2025-02-10T12:41:00Z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0x010100507E8496B49E0A4CBBE62DF57FFAE875</vt:lpwstr>
  </property>
</Properties>
</file>