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5BFF1" w14:textId="4D54AB22" w:rsidR="00DB348B" w:rsidRPr="009A79D3" w:rsidRDefault="00DB348B" w:rsidP="005E09A6">
      <w:pPr>
        <w:pStyle w:val="Heading2"/>
      </w:pPr>
      <w:r w:rsidRPr="009A79D3">
        <w:t xml:space="preserve">Pielikums Nr. 3: </w:t>
      </w:r>
      <w:r w:rsidR="005612C6" w:rsidRPr="009A79D3">
        <w:t>EPPO un KNAB izmeklēšanu ietekme uz esošajiem valsts I</w:t>
      </w:r>
      <w:r w:rsidR="00D06224" w:rsidRPr="009A79D3">
        <w:t>K</w:t>
      </w:r>
      <w:r w:rsidR="005612C6" w:rsidRPr="009A79D3">
        <w:t>T projektiem</w:t>
      </w:r>
    </w:p>
    <w:p w14:paraId="2AE6E1E6" w14:textId="77777777" w:rsidR="00DB348B" w:rsidRPr="0049759B" w:rsidRDefault="00DB348B" w:rsidP="00A46D47">
      <w:pPr>
        <w:pStyle w:val="Heading4"/>
        <w:rPr>
          <w:rFonts w:ascii="Times New Roman" w:hAnsi="Times New Roman" w:cs="Times New Roman"/>
        </w:rPr>
      </w:pPr>
      <w:bookmarkStart w:id="0" w:name="_Toc233265827"/>
      <w:r w:rsidRPr="0049759B">
        <w:rPr>
          <w:rFonts w:ascii="Times New Roman" w:hAnsi="Times New Roman" w:cs="Times New Roman"/>
        </w:rPr>
        <w:t>EPPO un KNAB izmeklēšanas un to tvērums</w:t>
      </w:r>
      <w:bookmarkEnd w:id="0"/>
    </w:p>
    <w:p w14:paraId="76750506" w14:textId="19E17133" w:rsidR="00DB348B" w:rsidRPr="009A79D3" w:rsidRDefault="00DB348B" w:rsidP="00140C56">
      <w:pPr>
        <w:spacing w:before="0"/>
        <w:ind w:firstLine="720"/>
        <w:contextualSpacing w:val="0"/>
        <w:rPr>
          <w:rFonts w:ascii="Times New Roman" w:hAnsi="Times New Roman" w:cs="Times New Roman"/>
        </w:rPr>
      </w:pPr>
      <w:r w:rsidRPr="009A79D3">
        <w:rPr>
          <w:rFonts w:ascii="Times New Roman" w:hAnsi="Times New Roman" w:cs="Times New Roman"/>
        </w:rPr>
        <w:t xml:space="preserve"> Eiropas Prokuratūra (EPPO) 2026. gada 18. martā publiski informēja</w:t>
      </w:r>
      <w:r w:rsidRPr="009A79D3">
        <w:rPr>
          <w:rStyle w:val="FootnoteReference"/>
          <w:rFonts w:ascii="Times New Roman" w:hAnsi="Times New Roman" w:cs="Times New Roman"/>
        </w:rPr>
        <w:footnoteReference w:id="1"/>
      </w:r>
      <w:r w:rsidRPr="009A79D3">
        <w:rPr>
          <w:rFonts w:ascii="Times New Roman" w:hAnsi="Times New Roman" w:cs="Times New Roman"/>
        </w:rPr>
        <w:t xml:space="preserve"> par organizēta noziedzīga grupējuma likvidēšanu, kurā iesaistītas valsts amatpersonas aizdomās par valsts iestāžu informācijas tehnoloģiju (turpmāk – IT) publisko iepirkumu procedūru pārkāpumiem. Skaidrojot, ka organizēta personu grupa sistemātiski ietekmējusi publisko iepirkumu rezultātus vismaz sešos </w:t>
      </w:r>
      <w:r w:rsidR="00B034DF">
        <w:rPr>
          <w:rFonts w:ascii="Times New Roman" w:hAnsi="Times New Roman" w:cs="Times New Roman"/>
        </w:rPr>
        <w:t>ES</w:t>
      </w:r>
      <w:r w:rsidRPr="009A79D3">
        <w:rPr>
          <w:rFonts w:ascii="Times New Roman" w:hAnsi="Times New Roman" w:cs="Times New Roman"/>
        </w:rPr>
        <w:t xml:space="preserve"> Eiropas Reģionālās attīstības fonda (turpmāk – ERAF) finansētos projektos līdz 1,5 miljonu eiro apmērā, iepriekš vienojoties par uzvarētājiem un nelikumīgi sadalot peļņu starp līdzdalībniekiem, turklāt norādot, ka daži no skartajiem projektiem varētu radīt valsts drošības riskus, ietekmējot vēlēšanu procesus un demokrātiskās procedūras. Valsts policija īstenojot procesuālās darbības EPPO uzsāktā kriminālprocesa ietvaros aizdomās par pārkāpumiem valsts iepirkumu procedūrās saistībā ar IT sistēmu iegādi valsts iestādēm aizturējusi 21 personu, tostarp arī valsts amatpersonas, 3 personām piemērojot apcietinājumu kā drošības līdzekli</w:t>
      </w:r>
      <w:r w:rsidRPr="009A79D3">
        <w:rPr>
          <w:rStyle w:val="FootnoteReference"/>
          <w:rFonts w:ascii="Times New Roman" w:hAnsi="Times New Roman" w:cs="Times New Roman"/>
        </w:rPr>
        <w:footnoteReference w:id="2"/>
      </w:r>
      <w:r w:rsidRPr="009A79D3">
        <w:rPr>
          <w:rFonts w:ascii="Times New Roman" w:hAnsi="Times New Roman" w:cs="Times New Roman"/>
        </w:rPr>
        <w:t>. Paralēli Korupcijas novēršanas un apkarošanas birojs (turpmāk – KNAB) 2026.gada 11.martā uzsāka atsevišķu kriminālprocesu par ierobežotas pieejamības informācijas iespējamu izpaušanu saistībā ar IT iepirkumiem</w:t>
      </w:r>
      <w:r w:rsidRPr="009A79D3">
        <w:rPr>
          <w:rStyle w:val="FootnoteReference"/>
          <w:rFonts w:ascii="Times New Roman" w:hAnsi="Times New Roman" w:cs="Times New Roman"/>
        </w:rPr>
        <w:footnoteReference w:id="3"/>
      </w:r>
      <w:r w:rsidRPr="009A79D3">
        <w:rPr>
          <w:rFonts w:ascii="Times New Roman" w:hAnsi="Times New Roman" w:cs="Times New Roman"/>
        </w:rPr>
        <w:t xml:space="preserve">. </w:t>
      </w:r>
    </w:p>
    <w:p w14:paraId="024EBA88" w14:textId="1D6F92EC" w:rsidR="00DB348B" w:rsidRPr="009A79D3" w:rsidRDefault="00DB348B" w:rsidP="00140C56">
      <w:pPr>
        <w:spacing w:before="0"/>
        <w:ind w:firstLine="720"/>
        <w:contextualSpacing w:val="0"/>
        <w:rPr>
          <w:rFonts w:ascii="Times New Roman" w:hAnsi="Times New Roman" w:cs="Times New Roman"/>
        </w:rPr>
      </w:pPr>
      <w:r w:rsidRPr="009A79D3">
        <w:rPr>
          <w:rFonts w:ascii="Times New Roman" w:hAnsi="Times New Roman" w:cs="Times New Roman"/>
        </w:rPr>
        <w:t xml:space="preserve">Šie procesi radīja tūlītēju un plašu ietekmi uz IKT projektu īstenošanu un valsts iestāžu uzņemtajām saistībām. Turklāt iespējamais noziedzīgās shēmas pilns tvērums joprojām nav zināms. Minētās norises iedragāja sabiedrības uzticību ne tikai konkrētajiem IKT risinājumiem un iesaistītajām iestādēm, bet valsts pārvaldei kopumā, un sarežģītajā ģeopolitiskajā situācijā radīja augsni spekulācijām par valsts kritiski svarīgajiem IKT risinājumiem, to integritāti. </w:t>
      </w:r>
    </w:p>
    <w:p w14:paraId="26BE8876" w14:textId="5DFF52BC" w:rsidR="00DB348B" w:rsidRPr="009A79D3" w:rsidRDefault="00DB348B" w:rsidP="00140C56">
      <w:pPr>
        <w:spacing w:before="0"/>
        <w:ind w:firstLine="720"/>
        <w:contextualSpacing w:val="0"/>
        <w:rPr>
          <w:rFonts w:ascii="Times New Roman" w:hAnsi="Times New Roman" w:cs="Times New Roman"/>
        </w:rPr>
      </w:pPr>
      <w:r w:rsidRPr="009A79D3">
        <w:rPr>
          <w:rFonts w:ascii="Times New Roman" w:hAnsi="Times New Roman" w:cs="Times New Roman"/>
        </w:rPr>
        <w:t xml:space="preserve">Izmeklēšanas ietekme skāra arī ANM </w:t>
      </w:r>
      <w:r w:rsidR="00F11E62">
        <w:rPr>
          <w:rFonts w:ascii="Times New Roman" w:hAnsi="Times New Roman" w:cs="Times New Roman"/>
        </w:rPr>
        <w:t>plāna</w:t>
      </w:r>
      <w:r w:rsidRPr="009A79D3">
        <w:rPr>
          <w:rFonts w:ascii="Times New Roman" w:hAnsi="Times New Roman" w:cs="Times New Roman"/>
        </w:rPr>
        <w:t xml:space="preserve"> projektu ietvaros obligāti veicamos projekta rezultātu un drošības auditus, vairākos gadījumos noslēgtie līgumi ar iesaistītajiem komersantiem bija jāpārtrauc un jāiepērk no jauna, radot būtiskus riskus projektu noslēgšanai noteiktajos termiņos un nepieciešamību pārplānot paredzētās aktivitātes.</w:t>
      </w:r>
    </w:p>
    <w:p w14:paraId="7685DBB9" w14:textId="07D63DED" w:rsidR="00DB348B" w:rsidRPr="009A79D3" w:rsidRDefault="00DB348B" w:rsidP="00DB348B">
      <w:pPr>
        <w:spacing w:before="0" w:after="240"/>
        <w:rPr>
          <w:rFonts w:ascii="Times New Roman" w:hAnsi="Times New Roman" w:cs="Times New Roman"/>
        </w:rPr>
      </w:pPr>
    </w:p>
    <w:p w14:paraId="10955E1B" w14:textId="68E6D161" w:rsidR="00DB348B" w:rsidRPr="009A79D3" w:rsidRDefault="3F7ADDF4" w:rsidP="00140C56">
      <w:pPr>
        <w:spacing w:before="0"/>
        <w:ind w:firstLine="720"/>
        <w:rPr>
          <w:rFonts w:ascii="Times New Roman" w:hAnsi="Times New Roman" w:cs="Times New Roman"/>
        </w:rPr>
      </w:pPr>
      <w:r w:rsidRPr="3F7ADDF4">
        <w:rPr>
          <w:rFonts w:ascii="Times New Roman" w:hAnsi="Times New Roman" w:cs="Times New Roman"/>
          <w:b/>
          <w:bCs/>
        </w:rPr>
        <w:t xml:space="preserve">Centrālās </w:t>
      </w:r>
      <w:r w:rsidR="74F833FA" w:rsidRPr="74F833FA">
        <w:rPr>
          <w:rFonts w:ascii="Times New Roman" w:hAnsi="Times New Roman" w:cs="Times New Roman"/>
          <w:b/>
          <w:bCs/>
        </w:rPr>
        <w:t>finanšu un līgumu aģentūras</w:t>
      </w:r>
      <w:r w:rsidR="00DB348B" w:rsidRPr="009A79D3">
        <w:rPr>
          <w:rFonts w:ascii="Times New Roman" w:hAnsi="Times New Roman" w:cs="Times New Roman"/>
          <w:b/>
          <w:bCs/>
        </w:rPr>
        <w:t xml:space="preserve"> </w:t>
      </w:r>
      <w:r w:rsidR="390B16DE" w:rsidRPr="390B16DE">
        <w:rPr>
          <w:rFonts w:ascii="Times New Roman" w:hAnsi="Times New Roman" w:cs="Times New Roman"/>
          <w:b/>
          <w:bCs/>
        </w:rPr>
        <w:t xml:space="preserve">(turpmāk </w:t>
      </w:r>
      <w:r w:rsidR="390B16DE" w:rsidRPr="390B16DE">
        <w:rPr>
          <w:rFonts w:ascii="Times New Roman" w:hAnsi="Times New Roman" w:cs="Times New Roman"/>
        </w:rPr>
        <w:t>–</w:t>
      </w:r>
      <w:r w:rsidR="390B16DE" w:rsidRPr="390B16DE">
        <w:rPr>
          <w:rFonts w:ascii="Times New Roman" w:hAnsi="Times New Roman" w:cs="Times New Roman"/>
          <w:b/>
          <w:bCs/>
        </w:rPr>
        <w:t xml:space="preserve"> CFLA)</w:t>
      </w:r>
      <w:r w:rsidR="065FFB57" w:rsidRPr="065FFB57">
        <w:rPr>
          <w:rFonts w:ascii="Times New Roman" w:hAnsi="Times New Roman" w:cs="Times New Roman"/>
          <w:b/>
          <w:bCs/>
        </w:rPr>
        <w:t xml:space="preserve"> </w:t>
      </w:r>
      <w:r w:rsidR="00DB348B" w:rsidRPr="009A79D3">
        <w:rPr>
          <w:rFonts w:ascii="Times New Roman" w:hAnsi="Times New Roman" w:cs="Times New Roman"/>
          <w:b/>
          <w:bCs/>
        </w:rPr>
        <w:t>ieteikumi projektu īstenotājiem</w:t>
      </w:r>
      <w:r w:rsidR="00DB348B" w:rsidRPr="009A79D3">
        <w:rPr>
          <w:rFonts w:ascii="Times New Roman" w:hAnsi="Times New Roman" w:cs="Times New Roman"/>
        </w:rPr>
        <w:t xml:space="preserve"> nosaka projektu īstenotājiem veikt riskos balstītu projektu aktivitāšu ieviešanas uzraudzību, pārliecinoties, ka izpilde notiek atbilstoši līgumam, ka darba rezultāti ir faktiski sasniegti un ir pieejami pietiekami pierādījumi par kvalitatīvu izpildi.</w:t>
      </w:r>
    </w:p>
    <w:p w14:paraId="4D47E9EE" w14:textId="77777777" w:rsidR="00DB348B" w:rsidRPr="009A79D3" w:rsidRDefault="00DB348B" w:rsidP="00DB348B">
      <w:pPr>
        <w:spacing w:before="0"/>
        <w:ind w:firstLine="720"/>
        <w:rPr>
          <w:rFonts w:ascii="Times New Roman" w:hAnsi="Times New Roman" w:cs="Times New Roman"/>
        </w:rPr>
      </w:pPr>
    </w:p>
    <w:p w14:paraId="5AE62B2C" w14:textId="77777777" w:rsidR="00DB348B" w:rsidRPr="009A79D3" w:rsidRDefault="00DB348B" w:rsidP="00DB348B">
      <w:pPr>
        <w:pBdr>
          <w:top w:val="single" w:sz="4" w:space="1" w:color="auto"/>
          <w:left w:val="single" w:sz="4" w:space="4" w:color="auto"/>
          <w:bottom w:val="single" w:sz="4" w:space="1" w:color="auto"/>
          <w:right w:val="single" w:sz="4" w:space="4" w:color="auto"/>
        </w:pBdr>
        <w:shd w:val="clear" w:color="auto" w:fill="DAE9F7" w:themeFill="text2" w:themeFillTint="1A"/>
        <w:spacing w:before="0"/>
        <w:rPr>
          <w:rFonts w:ascii="Times New Roman" w:hAnsi="Times New Roman" w:cs="Times New Roman"/>
          <w:i/>
          <w:iCs/>
        </w:rPr>
      </w:pPr>
      <w:r w:rsidRPr="009A79D3">
        <w:rPr>
          <w:rFonts w:ascii="Times New Roman" w:hAnsi="Times New Roman" w:cs="Times New Roman"/>
          <w:i/>
          <w:iCs/>
        </w:rPr>
        <w:t>Publiski izskanējusi informācija pati par sevi nerada pamatu atteikt darbu pieņemšanu vai neveikt norēķinus, ja nav konstatēti konkrēti tiesiskie vai faktiskie apstākļi, kas ietekmē izpildes kvalitāti vai samaksas pamatotību. [..]</w:t>
      </w:r>
    </w:p>
    <w:p w14:paraId="4B131D69" w14:textId="31745D68" w:rsidR="00DB348B" w:rsidRPr="009A79D3" w:rsidRDefault="00DB348B" w:rsidP="00DB348B">
      <w:pPr>
        <w:pBdr>
          <w:top w:val="single" w:sz="4" w:space="1" w:color="auto"/>
          <w:left w:val="single" w:sz="4" w:space="4" w:color="auto"/>
          <w:bottom w:val="single" w:sz="4" w:space="1" w:color="auto"/>
          <w:right w:val="single" w:sz="4" w:space="4" w:color="auto"/>
        </w:pBdr>
        <w:shd w:val="clear" w:color="auto" w:fill="DAE9F7" w:themeFill="text2" w:themeFillTint="1A"/>
        <w:spacing w:before="0"/>
        <w:rPr>
          <w:rFonts w:ascii="Times New Roman" w:hAnsi="Times New Roman" w:cs="Times New Roman"/>
          <w:i/>
          <w:iCs/>
        </w:rPr>
      </w:pPr>
      <w:r w:rsidRPr="009A79D3">
        <w:rPr>
          <w:rFonts w:ascii="Times New Roman" w:hAnsi="Times New Roman" w:cs="Times New Roman"/>
          <w:i/>
          <w:iCs/>
        </w:rPr>
        <w:t>[..] Jaunos iepirkumos finansējuma saņēmējam jāizmanto tikai tādi risinājumi un kontroles mehānismi, kas balstīti normatīvajā regulējumā. Pretendentu izslēgšana ir iespējama tikai normatīvajos aktos paredzētajos gadījumos, un finansējuma saņēmēja rīcība nevar balstīties vienīgi uz publiskajā telpā izskanējušu informāciju.</w:t>
      </w:r>
    </w:p>
    <w:p w14:paraId="26D270D4" w14:textId="0F0EC23E" w:rsidR="00ED5CB3" w:rsidRDefault="00ED5CB3" w:rsidP="00140C56">
      <w:pPr>
        <w:spacing w:before="0"/>
        <w:ind w:firstLine="720"/>
        <w:rPr>
          <w:rFonts w:ascii="Times New Roman" w:hAnsi="Times New Roman" w:cs="Times New Roman"/>
        </w:rPr>
      </w:pPr>
    </w:p>
    <w:p w14:paraId="375C2A99" w14:textId="73C76E93" w:rsidR="00DB348B" w:rsidRPr="009A79D3" w:rsidRDefault="00DB348B" w:rsidP="00140C56">
      <w:pPr>
        <w:spacing w:before="0"/>
        <w:ind w:firstLine="720"/>
        <w:rPr>
          <w:rFonts w:ascii="Times New Roman" w:hAnsi="Times New Roman" w:cs="Times New Roman"/>
        </w:rPr>
      </w:pPr>
      <w:r w:rsidRPr="009A79D3">
        <w:rPr>
          <w:rFonts w:ascii="Times New Roman" w:hAnsi="Times New Roman" w:cs="Times New Roman"/>
        </w:rPr>
        <w:lastRenderedPageBreak/>
        <w:t>Vienlaikus, jāņem vērā, ka pastāvot papildu informācijai, finansējuma saņēmējs var īstenot atbilstošus risku vadības pasākumus.</w:t>
      </w:r>
    </w:p>
    <w:p w14:paraId="46ACC494" w14:textId="74F63000" w:rsidR="00ED5CB3" w:rsidRDefault="00ED5CB3" w:rsidP="00140C56">
      <w:pPr>
        <w:spacing w:before="0"/>
        <w:ind w:firstLine="720"/>
        <w:rPr>
          <w:rFonts w:ascii="Times New Roman" w:hAnsi="Times New Roman" w:cs="Times New Roman"/>
        </w:rPr>
      </w:pPr>
    </w:p>
    <w:p w14:paraId="49D3CFF1" w14:textId="77777777" w:rsidR="009108F6" w:rsidRPr="009A79D3" w:rsidRDefault="009108F6" w:rsidP="009108F6">
      <w:pPr>
        <w:spacing w:before="0"/>
        <w:rPr>
          <w:rFonts w:ascii="Times New Roman" w:hAnsi="Times New Roman" w:cs="Times New Roman"/>
        </w:rPr>
      </w:pPr>
      <w:r w:rsidRPr="009A79D3">
        <w:rPr>
          <w:rFonts w:ascii="Times New Roman" w:hAnsi="Times New Roman" w:cs="Times New Roman"/>
          <w:noProof/>
        </w:rPr>
        <w:drawing>
          <wp:inline distT="0" distB="0" distL="0" distR="0" wp14:anchorId="09D822AF" wp14:editId="43B74421">
            <wp:extent cx="5920504" cy="1617980"/>
            <wp:effectExtent l="0" t="0" r="0" b="39370"/>
            <wp:docPr id="474184172"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DDD321B" w14:textId="26CA9089" w:rsidR="009108F6" w:rsidRPr="009A79D3" w:rsidRDefault="009108F6" w:rsidP="009108F6">
      <w:pPr>
        <w:pStyle w:val="Caption"/>
      </w:pPr>
      <w:r>
        <w:fldChar w:fldCharType="begin"/>
      </w:r>
      <w:r>
        <w:instrText xml:space="preserve"> SEQ attēls \* ARABIC </w:instrText>
      </w:r>
      <w:r>
        <w:fldChar w:fldCharType="separate"/>
      </w:r>
      <w:r w:rsidR="00372621">
        <w:rPr>
          <w:noProof/>
        </w:rPr>
        <w:t>1</w:t>
      </w:r>
      <w:r>
        <w:fldChar w:fldCharType="end"/>
      </w:r>
      <w:r>
        <w:t>. attēls.</w:t>
      </w:r>
      <w:r w:rsidRPr="009A79D3">
        <w:t xml:space="preserve"> Veicamās darbības projektos, kur iesaistīti minētie komersanti</w:t>
      </w:r>
    </w:p>
    <w:p w14:paraId="60737EC9" w14:textId="77777777" w:rsidR="009108F6" w:rsidRDefault="009108F6" w:rsidP="00140C56">
      <w:pPr>
        <w:spacing w:before="0"/>
        <w:ind w:firstLine="720"/>
        <w:rPr>
          <w:rFonts w:ascii="Times New Roman" w:hAnsi="Times New Roman" w:cs="Times New Roman"/>
        </w:rPr>
      </w:pPr>
    </w:p>
    <w:p w14:paraId="65DB072C" w14:textId="77777777" w:rsidR="00DB348B" w:rsidRDefault="00DB348B" w:rsidP="00140C56">
      <w:pPr>
        <w:spacing w:before="0"/>
        <w:ind w:firstLine="720"/>
        <w:rPr>
          <w:rFonts w:ascii="Times New Roman" w:hAnsi="Times New Roman" w:cs="Times New Roman"/>
        </w:rPr>
      </w:pPr>
      <w:r w:rsidRPr="009A79D3">
        <w:rPr>
          <w:rFonts w:ascii="Times New Roman" w:hAnsi="Times New Roman" w:cs="Times New Roman"/>
        </w:rPr>
        <w:t>Pilnībā izslēdzot no tirgus komersantus, kas tiek piesaukti augstāk norādītajās procesuālajās darbībās, pastāv būtisks risks, ka atlikušie piegādātāji nespēj nodrošināt valstij nepieciešamo programmētāju resursu apjomu projektu īstenošanas laikā, apdraudot Latvijas uzņemtās saistības par projektu rādītāju sasniegšanu konkrētā termiņā. Latvijas IKT tirgus ir salīdzinoši neliels, un augsti kvalificētu speciālistu pieejamība ir ierobežota, tāpēc strauja tirgus dalībnieku loka sašaurināšanās var radīt kritiskus piegādes pārtraukumus esošajos un plānotajos projektos.</w:t>
      </w:r>
    </w:p>
    <w:p w14:paraId="4B57C903" w14:textId="77777777" w:rsidR="009108F6" w:rsidRPr="009A79D3" w:rsidRDefault="009108F6" w:rsidP="00140C56">
      <w:pPr>
        <w:spacing w:before="0"/>
        <w:ind w:firstLine="720"/>
        <w:rPr>
          <w:rFonts w:ascii="Times New Roman" w:hAnsi="Times New Roman" w:cs="Times New Roman"/>
        </w:rPr>
      </w:pPr>
    </w:p>
    <w:p w14:paraId="259836CD" w14:textId="38C5094D" w:rsidR="00DB348B" w:rsidRPr="006A03F5" w:rsidRDefault="00DB348B" w:rsidP="00A46D47">
      <w:pPr>
        <w:pStyle w:val="Heading4"/>
        <w:rPr>
          <w:rFonts w:ascii="Times New Roman" w:hAnsi="Times New Roman" w:cs="Times New Roman"/>
        </w:rPr>
      </w:pPr>
      <w:bookmarkStart w:id="1" w:name="_Toc233265830"/>
      <w:r w:rsidRPr="006A03F5">
        <w:rPr>
          <w:rFonts w:ascii="Times New Roman" w:hAnsi="Times New Roman" w:cs="Times New Roman"/>
        </w:rPr>
        <w:t>Uzsāktie papildu pasākumi sistēmisko risku izvērtēšanai un vadībai</w:t>
      </w:r>
      <w:bookmarkEnd w:id="1"/>
      <w:r w:rsidR="006A03F5">
        <w:rPr>
          <w:rFonts w:ascii="Times New Roman" w:hAnsi="Times New Roman" w:cs="Times New Roman"/>
        </w:rPr>
        <w:t>, kas vērtējami kopā ar šajā ziņojumā ietvert</w:t>
      </w:r>
      <w:r w:rsidR="004B3F5E">
        <w:rPr>
          <w:rFonts w:ascii="Times New Roman" w:hAnsi="Times New Roman" w:cs="Times New Roman"/>
        </w:rPr>
        <w:t>ajiem konstatējumiem un priekšlikumiem</w:t>
      </w:r>
    </w:p>
    <w:p w14:paraId="5B7B26CB" w14:textId="76CA3460" w:rsidR="00DB348B" w:rsidRPr="00B034DF" w:rsidRDefault="00DB348B" w:rsidP="00BD23A0">
      <w:pPr>
        <w:pStyle w:val="ListParagraph"/>
      </w:pPr>
      <w:r w:rsidRPr="00B034DF">
        <w:t>Pēc VDAA lūguma, kā arī Ministru prezidenta rezolūcijas, FM ES fondu revīzijas departaments, kas pilda Krāpšanas apkarošanas koordinācijas dienesta (AFCOS)</w:t>
      </w:r>
      <w:r w:rsidRPr="00B034DF">
        <w:rPr>
          <w:rStyle w:val="FootnoteReference"/>
          <w:b/>
        </w:rPr>
        <w:footnoteReference w:id="4"/>
      </w:r>
      <w:r w:rsidRPr="00B034DF">
        <w:t xml:space="preserve"> funkcijas uzsāka neatkarīgu, </w:t>
      </w:r>
      <w:r w:rsidR="00B034DF" w:rsidRPr="00D8748B">
        <w:rPr>
          <w:bCs/>
        </w:rPr>
        <w:t>ES</w:t>
      </w:r>
      <w:r w:rsidRPr="00D8748B">
        <w:rPr>
          <w:bCs/>
        </w:rPr>
        <w:t xml:space="preserve"> fin</w:t>
      </w:r>
      <w:r w:rsidRPr="00B034DF">
        <w:t xml:space="preserve">anšu kontroles prasībām atbilstošu auditu un atbilstoši Ministru prezidenta 2024. gada 16.aprīļa rezolūcijā Nr.2026-1.1.1./21-21 noteiktajam līdz 2026.gada 1.jūnijam iesniedz MK informatīvo ziņojumu par informācijas sistēmu iepirkumu </w:t>
      </w:r>
      <w:proofErr w:type="spellStart"/>
      <w:r w:rsidRPr="00B034DF">
        <w:t>izvērtējuma</w:t>
      </w:r>
      <w:proofErr w:type="spellEnd"/>
      <w:r w:rsidRPr="00B034DF">
        <w:t xml:space="preserve"> rezultātiem (statuss : iesniegts MK 2026.gada 1.jūnijā, ID 26-TA-1136) </w:t>
      </w:r>
      <w:r w:rsidR="009108F6">
        <w:br/>
      </w:r>
    </w:p>
    <w:p w14:paraId="1E8C2F29" w14:textId="2DE2A502" w:rsidR="00DB348B" w:rsidRPr="00B034DF" w:rsidRDefault="00DB348B" w:rsidP="00BD23A0">
      <w:pPr>
        <w:pStyle w:val="ListParagraph"/>
      </w:pPr>
      <w:r w:rsidRPr="00B034DF">
        <w:t>Ministru prezidenta 2026</w:t>
      </w:r>
      <w:r w:rsidR="46FDDD28">
        <w:t>.gada 16.aprīļa</w:t>
      </w:r>
      <w:r w:rsidRPr="00B034DF">
        <w:t xml:space="preserve"> rezolūcijā Nr. 2026-1.1.1./21-21 noteikts uzdevums, ar kuru visām ministrijām un to resoriem uzdots veikt ārkārtas iekšējo auditu informācijas sistēmu un IT projektu ieviešanas, vadības un kontroles sistēmu efektivitātes izvērtēšanai, kas tiks veikts atbilstoši Finanšu ministrijas Iekšējā audita departamenta ieteiktajiem audita veikšanas principiem un audita programmai. Auditi īstenojami līdz 2026.gada 16. jūlijam.</w:t>
      </w:r>
      <w:r w:rsidR="009108F6">
        <w:br/>
      </w:r>
    </w:p>
    <w:p w14:paraId="02FA0393" w14:textId="77777777" w:rsidR="00DB348B" w:rsidRPr="00B034DF" w:rsidRDefault="00DB348B" w:rsidP="00BD23A0">
      <w:pPr>
        <w:pStyle w:val="ListParagraph"/>
      </w:pPr>
      <w:r w:rsidRPr="00B034DF">
        <w:t>VARAM Audita departaments analizēja VDAA iepirkumus 82,6 milj. EUR apmērā par 2024.–2025. gadu. Audita ziņojumā tika konstatēts risks, ka VDAA ir nepietiekami efektīvi iekšējie kontroles pasākumi interešu konflikta un korupcijas riska mazināšanai. Sniegti 25 audita ieteikumi risku mazināšanai, kas jāievieš 1 – 6 mēnešu laikā.</w:t>
      </w:r>
    </w:p>
    <w:p w14:paraId="5F4875F0" w14:textId="77777777" w:rsidR="00A213D2" w:rsidRPr="009A79D3" w:rsidRDefault="00A213D2">
      <w:pPr>
        <w:spacing w:before="0" w:after="160" w:line="279" w:lineRule="auto"/>
        <w:contextualSpacing w:val="0"/>
        <w:rPr>
          <w:rFonts w:ascii="Times New Roman" w:hAnsi="Times New Roman" w:cs="Times New Roman"/>
        </w:rPr>
      </w:pPr>
      <w:r w:rsidRPr="009A79D3">
        <w:rPr>
          <w:rFonts w:ascii="Times New Roman" w:hAnsi="Times New Roman" w:cs="Times New Roman"/>
        </w:rPr>
        <w:br w:type="page"/>
      </w:r>
    </w:p>
    <w:sectPr w:rsidR="00A213D2" w:rsidRPr="009A79D3" w:rsidSect="008E0B87">
      <w:headerReference w:type="default" r:id="rId16"/>
      <w:footerReference w:type="default" r:id="rId17"/>
      <w:headerReference w:type="first" r:id="rId18"/>
      <w:footerReference w:type="first" r:id="rId19"/>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2A6A9" w14:textId="77777777" w:rsidR="00C76C11" w:rsidRDefault="00C76C11" w:rsidP="00C92E89">
      <w:r>
        <w:separator/>
      </w:r>
    </w:p>
  </w:endnote>
  <w:endnote w:type="continuationSeparator" w:id="0">
    <w:p w14:paraId="1CDC2994" w14:textId="77777777" w:rsidR="00C76C11" w:rsidRDefault="00C76C11"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6466" w14:textId="77777777" w:rsidR="00C76C11" w:rsidRDefault="00C76C11" w:rsidP="00C92E89">
      <w:r>
        <w:separator/>
      </w:r>
    </w:p>
  </w:footnote>
  <w:footnote w:type="continuationSeparator" w:id="0">
    <w:p w14:paraId="7A23338E" w14:textId="77777777" w:rsidR="00C76C11" w:rsidRDefault="00C76C11" w:rsidP="00C92E89">
      <w:r>
        <w:continuationSeparator/>
      </w:r>
    </w:p>
  </w:footnote>
  <w:footnote w:id="1">
    <w:p w14:paraId="235D914A" w14:textId="77777777" w:rsidR="00DB348B" w:rsidRPr="00E65078"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Skat: </w:t>
      </w:r>
      <w:hyperlink r:id="rId1" w:history="1">
        <w:r w:rsidRPr="00E65078">
          <w:rPr>
            <w:rStyle w:val="Hyperlink"/>
            <w:rFonts w:ascii="Times New Roman" w:hAnsi="Times New Roman" w:cs="Times New Roman"/>
            <w:sz w:val="16"/>
            <w:szCs w:val="16"/>
          </w:rPr>
          <w:t>https://www.eppo.europa.eu/en/media/news/latvia-20-suspects-detained-over-eu15-million-it-procurement-fraud</w:t>
        </w:r>
      </w:hyperlink>
    </w:p>
  </w:footnote>
  <w:footnote w:id="2">
    <w:p w14:paraId="579B99D3" w14:textId="77777777" w:rsidR="00DB348B" w:rsidRPr="00E65078"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sidRPr="00E65078">
        <w:rPr>
          <w:rFonts w:ascii="Times New Roman" w:hAnsi="Times New Roman" w:cs="Times New Roman"/>
          <w:sz w:val="16"/>
          <w:szCs w:val="16"/>
        </w:rPr>
        <w:t xml:space="preserve">Skat: </w:t>
      </w:r>
      <w:hyperlink r:id="rId2" w:history="1">
        <w:r w:rsidRPr="00E65078">
          <w:rPr>
            <w:rStyle w:val="Hyperlink"/>
            <w:rFonts w:ascii="Times New Roman" w:hAnsi="Times New Roman" w:cs="Times New Roman"/>
            <w:sz w:val="16"/>
            <w:szCs w:val="16"/>
          </w:rPr>
          <w:t>https://www.vp.gov.lv/lv/jaunums/aizdomas-par-15-miljonu-eiro-vertu-it-iepirkumu-krapsanas-lietu-vakar-aiztureta-21-persona</w:t>
        </w:r>
      </w:hyperlink>
    </w:p>
  </w:footnote>
  <w:footnote w:id="3">
    <w:p w14:paraId="07691A9C" w14:textId="77777777" w:rsidR="00DB348B" w:rsidRPr="00E65078"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sidRPr="00E65078">
        <w:rPr>
          <w:rFonts w:ascii="Times New Roman" w:hAnsi="Times New Roman" w:cs="Times New Roman"/>
          <w:sz w:val="16"/>
          <w:szCs w:val="16"/>
        </w:rPr>
        <w:t>Skat: Kriminālprocess Nr. 68700000726, 15.04.20026. KNAB vēstule Nr. 1/1967</w:t>
      </w:r>
    </w:p>
  </w:footnote>
  <w:footnote w:id="4">
    <w:p w14:paraId="0711B749" w14:textId="77777777" w:rsidR="00DB348B" w:rsidRPr="00982DAC" w:rsidRDefault="00DB348B" w:rsidP="00DB348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sidRPr="00E65078">
        <w:rPr>
          <w:rFonts w:ascii="Times New Roman" w:hAnsi="Times New Roman" w:cs="Times New Roman"/>
          <w:sz w:val="16"/>
          <w:szCs w:val="16"/>
        </w:rPr>
        <w:t>Skat: AFCOS — Anti-</w:t>
      </w:r>
      <w:proofErr w:type="spellStart"/>
      <w:r w:rsidRPr="00E65078">
        <w:rPr>
          <w:rFonts w:ascii="Times New Roman" w:hAnsi="Times New Roman" w:cs="Times New Roman"/>
          <w:sz w:val="16"/>
          <w:szCs w:val="16"/>
        </w:rPr>
        <w:t>Fraud</w:t>
      </w:r>
      <w:proofErr w:type="spellEnd"/>
      <w:r w:rsidRPr="00E65078">
        <w:rPr>
          <w:rFonts w:ascii="Times New Roman" w:hAnsi="Times New Roman" w:cs="Times New Roman"/>
          <w:sz w:val="16"/>
          <w:szCs w:val="16"/>
        </w:rPr>
        <w:t xml:space="preserve"> </w:t>
      </w:r>
      <w:proofErr w:type="spellStart"/>
      <w:r w:rsidRPr="00E65078">
        <w:rPr>
          <w:rFonts w:ascii="Times New Roman" w:hAnsi="Times New Roman" w:cs="Times New Roman"/>
          <w:sz w:val="16"/>
          <w:szCs w:val="16"/>
        </w:rPr>
        <w:t>Coordination</w:t>
      </w:r>
      <w:proofErr w:type="spellEnd"/>
      <w:r w:rsidRPr="00E65078">
        <w:rPr>
          <w:rFonts w:ascii="Times New Roman" w:hAnsi="Times New Roman" w:cs="Times New Roman"/>
          <w:sz w:val="16"/>
          <w:szCs w:val="16"/>
        </w:rPr>
        <w:t xml:space="preserve"> </w:t>
      </w:r>
      <w:proofErr w:type="spellStart"/>
      <w:r w:rsidRPr="00E65078">
        <w:rPr>
          <w:rFonts w:ascii="Times New Roman" w:hAnsi="Times New Roman" w:cs="Times New Roman"/>
          <w:sz w:val="16"/>
          <w:szCs w:val="16"/>
        </w:rPr>
        <w:t>Service</w:t>
      </w:r>
      <w:proofErr w:type="spellEnd"/>
      <w:r w:rsidRPr="00E65078">
        <w:rPr>
          <w:rFonts w:ascii="Times New Roman" w:hAnsi="Times New Roman" w:cs="Times New Roman"/>
          <w:sz w:val="16"/>
          <w:szCs w:val="16"/>
        </w:rPr>
        <w:t xml:space="preserve"> — ES dalībvalstu kontaktpunkts sadarbībai ar Eiropas Krāpšanas apkarošanas biroju OLAF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4E4"/>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A4B"/>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67D"/>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0EA4"/>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5F3"/>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2F43"/>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B3C"/>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C39"/>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10B"/>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BE0"/>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DA9"/>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69D"/>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E5F"/>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291"/>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9B2"/>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6B"/>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621"/>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302"/>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6A"/>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BA"/>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853"/>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A9"/>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B66"/>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3E56"/>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72"/>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59"/>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534"/>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E5F"/>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01"/>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33"/>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08"/>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79"/>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4F"/>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99C"/>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888"/>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6E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196"/>
    <w:rsid w:val="00690853"/>
    <w:rsid w:val="006908E5"/>
    <w:rsid w:val="00690922"/>
    <w:rsid w:val="00690B3D"/>
    <w:rsid w:val="00690B7B"/>
    <w:rsid w:val="00690C59"/>
    <w:rsid w:val="00690DB7"/>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CA8"/>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D9"/>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5F82"/>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EEE"/>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8FD"/>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79"/>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1A"/>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D4F"/>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3DA"/>
    <w:rsid w:val="008344CF"/>
    <w:rsid w:val="0083470E"/>
    <w:rsid w:val="0083474A"/>
    <w:rsid w:val="0083474B"/>
    <w:rsid w:val="00834B5B"/>
    <w:rsid w:val="00834D5D"/>
    <w:rsid w:val="00834D8D"/>
    <w:rsid w:val="00834F20"/>
    <w:rsid w:val="00834F38"/>
    <w:rsid w:val="00835104"/>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59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98A"/>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49"/>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5F43"/>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2CB"/>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B55"/>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6FE"/>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0F98"/>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0C6"/>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03"/>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49"/>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5F"/>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94"/>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08E"/>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9AE"/>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9F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4B"/>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11"/>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7E3"/>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8A0"/>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00"/>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08"/>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ABD"/>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BAC"/>
    <w:rsid w:val="00D16C2A"/>
    <w:rsid w:val="00D16C59"/>
    <w:rsid w:val="00D16E0B"/>
    <w:rsid w:val="00D16ED9"/>
    <w:rsid w:val="00D16EE3"/>
    <w:rsid w:val="00D16FB9"/>
    <w:rsid w:val="00D17123"/>
    <w:rsid w:val="00D1713D"/>
    <w:rsid w:val="00D1719F"/>
    <w:rsid w:val="00D17316"/>
    <w:rsid w:val="00D17336"/>
    <w:rsid w:val="00D17346"/>
    <w:rsid w:val="00D174F3"/>
    <w:rsid w:val="00D1755A"/>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E49"/>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2E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CB4"/>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3F"/>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62"/>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C92"/>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9D"/>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E5F"/>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7FC"/>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9CE"/>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A12"/>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1FA"/>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A33"/>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50"/>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BFA"/>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182"/>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C2B"/>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A4"/>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1D"/>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B713A183-9162-4DB5-B527-FC1AB7E8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2" Type="http://schemas.openxmlformats.org/officeDocument/2006/relationships/hyperlink" Target="https://www.vp.gov.lv/lv/jaunums/aizdomas-par-15-miljonu-eiro-vertu-it-iepirkumu-krapsanas-lietu-vakar-aiztureta-21-persona" TargetMode="External"/><Relationship Id="rId1" Type="http://schemas.openxmlformats.org/officeDocument/2006/relationships/hyperlink" Target="https://www.eppo.europa.eu/en/media/news/latvia-20-suspects-detained-over-eu15-million-it-procurement-fraud"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CCBF2C-A93F-4E81-86FF-0BA3E9517AD4}"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lv-LV"/>
        </a:p>
      </dgm:t>
    </dgm:pt>
    <dgm:pt modelId="{DB332056-2F59-4177-A6FF-03F58B61C686}">
      <dgm:prSet phldrT="[Text]"/>
      <dgm:spPr/>
      <dgm:t>
        <a:bodyPr/>
        <a:lstStyle/>
        <a:p>
          <a:pPr>
            <a:buFont typeface="Symbol" panose="05050102010706020507" pitchFamily="18" charset="2"/>
            <a:buChar char=""/>
          </a:pPr>
          <a:r>
            <a:rPr lang="lv-LV"/>
            <a:t>Jāvadās pēc </a:t>
          </a:r>
          <a:r>
            <a:rPr lang="lv-LV" b="1"/>
            <a:t>atbildīgo un kompetento iestāžu sniegtajiem norādījumiem</a:t>
          </a:r>
          <a:r>
            <a:rPr lang="lv-LV"/>
            <a:t>, saskaņojot risku vadības pasākumus un tālākās rīcības.</a:t>
          </a:r>
        </a:p>
      </dgm:t>
    </dgm:pt>
    <dgm:pt modelId="{2568BBC8-8FD9-455C-965F-9777DA001020}" type="parTrans" cxnId="{522DDEFF-2763-4E81-BE08-C99ED826A3D9}">
      <dgm:prSet/>
      <dgm:spPr/>
      <dgm:t>
        <a:bodyPr/>
        <a:lstStyle/>
        <a:p>
          <a:endParaRPr lang="lv-LV"/>
        </a:p>
      </dgm:t>
    </dgm:pt>
    <dgm:pt modelId="{2AE6FCAB-441C-4EDC-9BE5-B4FA18A57B2E}" type="sibTrans" cxnId="{522DDEFF-2763-4E81-BE08-C99ED826A3D9}">
      <dgm:prSet/>
      <dgm:spPr/>
      <dgm:t>
        <a:bodyPr/>
        <a:lstStyle/>
        <a:p>
          <a:endParaRPr lang="lv-LV"/>
        </a:p>
      </dgm:t>
    </dgm:pt>
    <dgm:pt modelId="{027DEE63-D407-4C5E-BAAA-2AD3529ECC22}">
      <dgm:prSet/>
      <dgm:spPr/>
      <dgm:t>
        <a:bodyPr/>
        <a:lstStyle/>
        <a:p>
          <a:pPr>
            <a:buFont typeface="Symbol" panose="05050102010706020507" pitchFamily="18" charset="2"/>
            <a:buChar char=""/>
          </a:pPr>
          <a:r>
            <a:rPr lang="lv-LV" b="1"/>
            <a:t>Jāņem vērā CFLA, sadarbībā ar IUB un VARAM ieteikumi ar IKT saistītu līgumu izpildē.</a:t>
          </a:r>
          <a:endParaRPr lang="lv-LV"/>
        </a:p>
      </dgm:t>
    </dgm:pt>
    <dgm:pt modelId="{47FF4F88-5749-4E8E-9C32-2438A34BF6A9}" type="parTrans" cxnId="{1F9B6ABB-0B24-4357-955B-0DC87203C8B6}">
      <dgm:prSet/>
      <dgm:spPr/>
      <dgm:t>
        <a:bodyPr/>
        <a:lstStyle/>
        <a:p>
          <a:endParaRPr lang="lv-LV"/>
        </a:p>
      </dgm:t>
    </dgm:pt>
    <dgm:pt modelId="{2BEDD466-C7EB-4170-BCDD-6B3FB2D59C41}" type="sibTrans" cxnId="{1F9B6ABB-0B24-4357-955B-0DC87203C8B6}">
      <dgm:prSet/>
      <dgm:spPr/>
      <dgm:t>
        <a:bodyPr/>
        <a:lstStyle/>
        <a:p>
          <a:endParaRPr lang="lv-LV"/>
        </a:p>
      </dgm:t>
    </dgm:pt>
    <dgm:pt modelId="{95FEF457-153D-4825-868B-4F9ACED50924}" type="pres">
      <dgm:prSet presAssocID="{25CCBF2C-A93F-4E81-86FF-0BA3E9517AD4}" presName="linearFlow" presStyleCnt="0">
        <dgm:presLayoutVars>
          <dgm:dir/>
          <dgm:resizeHandles val="exact"/>
        </dgm:presLayoutVars>
      </dgm:prSet>
      <dgm:spPr/>
    </dgm:pt>
    <dgm:pt modelId="{B545BBEE-B1A5-4737-A133-6C7833432238}" type="pres">
      <dgm:prSet presAssocID="{DB332056-2F59-4177-A6FF-03F58B61C686}" presName="composite" presStyleCnt="0"/>
      <dgm:spPr/>
    </dgm:pt>
    <dgm:pt modelId="{37ADF90F-2869-4684-BFF9-D82243185970}" type="pres">
      <dgm:prSet presAssocID="{DB332056-2F59-4177-A6FF-03F58B61C686}" presName="imgShp" presStyleLbl="fgImgPlace1" presStyleIdx="0" presStyleCnt="2"/>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Tick with solid fill"/>
        </a:ext>
      </dgm:extLst>
    </dgm:pt>
    <dgm:pt modelId="{E53D5551-F14A-4D25-9F95-EC2538B5F021}" type="pres">
      <dgm:prSet presAssocID="{DB332056-2F59-4177-A6FF-03F58B61C686}" presName="txShp" presStyleLbl="node1" presStyleIdx="0" presStyleCnt="2">
        <dgm:presLayoutVars>
          <dgm:bulletEnabled val="1"/>
        </dgm:presLayoutVars>
      </dgm:prSet>
      <dgm:spPr/>
    </dgm:pt>
    <dgm:pt modelId="{F06C6943-E41C-4DD0-A19F-CA4B39DA87E0}" type="pres">
      <dgm:prSet presAssocID="{2AE6FCAB-441C-4EDC-9BE5-B4FA18A57B2E}" presName="spacing" presStyleCnt="0"/>
      <dgm:spPr/>
    </dgm:pt>
    <dgm:pt modelId="{277AE7E8-A8FB-471E-8E32-0F552EB05DB3}" type="pres">
      <dgm:prSet presAssocID="{027DEE63-D407-4C5E-BAAA-2AD3529ECC22}" presName="composite" presStyleCnt="0"/>
      <dgm:spPr/>
    </dgm:pt>
    <dgm:pt modelId="{C1036962-8BD9-4666-8AE8-B4265228F26B}" type="pres">
      <dgm:prSet presAssocID="{027DEE63-D407-4C5E-BAAA-2AD3529ECC22}" presName="imgShp" presStyleLbl="fgImgPlace1" presStyleIdx="1" presStyleCnt="2"/>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r graph with upward trend with solid fill"/>
        </a:ext>
      </dgm:extLst>
    </dgm:pt>
    <dgm:pt modelId="{84649363-7622-48AF-AF98-72729F9800AB}" type="pres">
      <dgm:prSet presAssocID="{027DEE63-D407-4C5E-BAAA-2AD3529ECC22}" presName="txShp" presStyleLbl="node1" presStyleIdx="1" presStyleCnt="2">
        <dgm:presLayoutVars>
          <dgm:bulletEnabled val="1"/>
        </dgm:presLayoutVars>
      </dgm:prSet>
      <dgm:spPr/>
    </dgm:pt>
  </dgm:ptLst>
  <dgm:cxnLst>
    <dgm:cxn modelId="{1F9B6ABB-0B24-4357-955B-0DC87203C8B6}" srcId="{25CCBF2C-A93F-4E81-86FF-0BA3E9517AD4}" destId="{027DEE63-D407-4C5E-BAAA-2AD3529ECC22}" srcOrd="1" destOrd="0" parTransId="{47FF4F88-5749-4E8E-9C32-2438A34BF6A9}" sibTransId="{2BEDD466-C7EB-4170-BCDD-6B3FB2D59C41}"/>
    <dgm:cxn modelId="{DC7AFCC0-E131-4C59-915B-8AE631AD5830}" type="presOf" srcId="{027DEE63-D407-4C5E-BAAA-2AD3529ECC22}" destId="{84649363-7622-48AF-AF98-72729F9800AB}" srcOrd="0" destOrd="0" presId="urn:microsoft.com/office/officeart/2005/8/layout/vList3"/>
    <dgm:cxn modelId="{61A122C5-04E4-475D-BB61-EBC39F25F7E2}" type="presOf" srcId="{25CCBF2C-A93F-4E81-86FF-0BA3E9517AD4}" destId="{95FEF457-153D-4825-868B-4F9ACED50924}" srcOrd="0" destOrd="0" presId="urn:microsoft.com/office/officeart/2005/8/layout/vList3"/>
    <dgm:cxn modelId="{79DD3EEA-5665-430F-B28D-97F0FC146B33}" type="presOf" srcId="{DB332056-2F59-4177-A6FF-03F58B61C686}" destId="{E53D5551-F14A-4D25-9F95-EC2538B5F021}" srcOrd="0" destOrd="0" presId="urn:microsoft.com/office/officeart/2005/8/layout/vList3"/>
    <dgm:cxn modelId="{522DDEFF-2763-4E81-BE08-C99ED826A3D9}" srcId="{25CCBF2C-A93F-4E81-86FF-0BA3E9517AD4}" destId="{DB332056-2F59-4177-A6FF-03F58B61C686}" srcOrd="0" destOrd="0" parTransId="{2568BBC8-8FD9-455C-965F-9777DA001020}" sibTransId="{2AE6FCAB-441C-4EDC-9BE5-B4FA18A57B2E}"/>
    <dgm:cxn modelId="{791AA9B6-2670-4EF6-A7FF-8B1B777911AD}" type="presParOf" srcId="{95FEF457-153D-4825-868B-4F9ACED50924}" destId="{B545BBEE-B1A5-4737-A133-6C7833432238}" srcOrd="0" destOrd="0" presId="urn:microsoft.com/office/officeart/2005/8/layout/vList3"/>
    <dgm:cxn modelId="{F39F8067-F553-42AE-AC19-C1662EE542D4}" type="presParOf" srcId="{B545BBEE-B1A5-4737-A133-6C7833432238}" destId="{37ADF90F-2869-4684-BFF9-D82243185970}" srcOrd="0" destOrd="0" presId="urn:microsoft.com/office/officeart/2005/8/layout/vList3"/>
    <dgm:cxn modelId="{CFC3FD02-57FB-4A66-8AF2-FFC1E07DBAE8}" type="presParOf" srcId="{B545BBEE-B1A5-4737-A133-6C7833432238}" destId="{E53D5551-F14A-4D25-9F95-EC2538B5F021}" srcOrd="1" destOrd="0" presId="urn:microsoft.com/office/officeart/2005/8/layout/vList3"/>
    <dgm:cxn modelId="{5AAA6383-7240-4F13-AB59-2A5530E47E9C}" type="presParOf" srcId="{95FEF457-153D-4825-868B-4F9ACED50924}" destId="{F06C6943-E41C-4DD0-A19F-CA4B39DA87E0}" srcOrd="1" destOrd="0" presId="urn:microsoft.com/office/officeart/2005/8/layout/vList3"/>
    <dgm:cxn modelId="{5C0BD992-B773-46D1-B6B2-0BFA73BB7BD5}" type="presParOf" srcId="{95FEF457-153D-4825-868B-4F9ACED50924}" destId="{277AE7E8-A8FB-471E-8E32-0F552EB05DB3}" srcOrd="2" destOrd="0" presId="urn:microsoft.com/office/officeart/2005/8/layout/vList3"/>
    <dgm:cxn modelId="{AD0C510C-4439-4AE6-8616-D084C9A90F21}" type="presParOf" srcId="{277AE7E8-A8FB-471E-8E32-0F552EB05DB3}" destId="{C1036962-8BD9-4666-8AE8-B4265228F26B}" srcOrd="0" destOrd="0" presId="urn:microsoft.com/office/officeart/2005/8/layout/vList3"/>
    <dgm:cxn modelId="{608899ED-D0C2-46A8-8FBF-625194235A02}" type="presParOf" srcId="{277AE7E8-A8FB-471E-8E32-0F552EB05DB3}" destId="{84649363-7622-48AF-AF98-72729F9800AB}" srcOrd="1" destOrd="0" presId="urn:microsoft.com/office/officeart/2005/8/layout/vList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3D5551-F14A-4D25-9F95-EC2538B5F021}">
      <dsp:nvSpPr>
        <dsp:cNvPr id="0" name=""/>
        <dsp:cNvSpPr/>
      </dsp:nvSpPr>
      <dsp:spPr>
        <a:xfrm rot="10800000">
          <a:off x="1171416" y="197"/>
          <a:ext cx="3937135" cy="718926"/>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027" tIns="49530" rIns="92456"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lv-LV" sz="1300" kern="1200"/>
            <a:t>Jāvadās pēc </a:t>
          </a:r>
          <a:r>
            <a:rPr lang="lv-LV" sz="1300" b="1" kern="1200"/>
            <a:t>atbildīgo un kompetento iestāžu sniegtajiem norādījumiem</a:t>
          </a:r>
          <a:r>
            <a:rPr lang="lv-LV" sz="1300" kern="1200"/>
            <a:t>, saskaņojot risku vadības pasākumus un tālākās rīcības.</a:t>
          </a:r>
        </a:p>
      </dsp:txBody>
      <dsp:txXfrm rot="10800000">
        <a:off x="1351147" y="197"/>
        <a:ext cx="3757404" cy="718926"/>
      </dsp:txXfrm>
    </dsp:sp>
    <dsp:sp modelId="{37ADF90F-2869-4684-BFF9-D82243185970}">
      <dsp:nvSpPr>
        <dsp:cNvPr id="0" name=""/>
        <dsp:cNvSpPr/>
      </dsp:nvSpPr>
      <dsp:spPr>
        <a:xfrm>
          <a:off x="811952" y="197"/>
          <a:ext cx="718926" cy="718926"/>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4649363-7622-48AF-AF98-72729F9800AB}">
      <dsp:nvSpPr>
        <dsp:cNvPr id="0" name=""/>
        <dsp:cNvSpPr/>
      </dsp:nvSpPr>
      <dsp:spPr>
        <a:xfrm rot="10800000">
          <a:off x="1171416" y="898855"/>
          <a:ext cx="3937135" cy="718926"/>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027" tIns="49530" rIns="92456"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lv-LV" sz="1300" b="1" kern="1200"/>
            <a:t>Jāņem vērā CFLA, sadarbībā ar IUB un VARAM ieteikumi ar IKT saistītu līgumu izpildē.</a:t>
          </a:r>
          <a:endParaRPr lang="lv-LV" sz="1300" kern="1200"/>
        </a:p>
      </dsp:txBody>
      <dsp:txXfrm rot="10800000">
        <a:off x="1351147" y="898855"/>
        <a:ext cx="3757404" cy="718926"/>
      </dsp:txXfrm>
    </dsp:sp>
    <dsp:sp modelId="{C1036962-8BD9-4666-8AE8-B4265228F26B}">
      <dsp:nvSpPr>
        <dsp:cNvPr id="0" name=""/>
        <dsp:cNvSpPr/>
      </dsp:nvSpPr>
      <dsp:spPr>
        <a:xfrm>
          <a:off x="811952" y="898855"/>
          <a:ext cx="718926" cy="718926"/>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2.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FCA669EA-7EEB-4519-8DC0-442C0EB5FE1F}">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6892</TotalTime>
  <Pages>2</Pages>
  <Words>3377</Words>
  <Characters>1925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5292</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7509</cp:revision>
  <cp:lastPrinted>2026-07-15T13:37:00Z</cp:lastPrinted>
  <dcterms:created xsi:type="dcterms:W3CDTF">2026-05-16T21:14:00Z</dcterms:created>
  <dcterms:modified xsi:type="dcterms:W3CDTF">2026-07-29T10:42:00Z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