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C0994" w:rsidRPr="00BF7B9C" w:rsidRDefault="00862039" w:rsidP="00862039">
      <w:pPr>
        <w:jc w:val="center"/>
        <w:rPr>
          <w:b/>
          <w:sz w:val="24"/>
          <w:szCs w:val="24"/>
        </w:rPr>
      </w:pPr>
      <w:r w:rsidRPr="00BF7B9C">
        <w:rPr>
          <w:b/>
          <w:sz w:val="24"/>
          <w:szCs w:val="24"/>
        </w:rPr>
        <w:t>Informatīvais ziņojums “</w:t>
      </w:r>
      <w:r w:rsidR="00F16EA2" w:rsidRPr="00BF7B9C">
        <w:rPr>
          <w:b/>
          <w:sz w:val="24"/>
          <w:szCs w:val="24"/>
        </w:rPr>
        <w:t>Par papildu nepieciešamo finansējumu</w:t>
      </w:r>
      <w:r w:rsidR="00A008EA">
        <w:rPr>
          <w:b/>
          <w:sz w:val="24"/>
          <w:szCs w:val="24"/>
        </w:rPr>
        <w:t xml:space="preserve"> Finanšu izlūkošanas dienestam nomas maksas </w:t>
      </w:r>
      <w:r w:rsidR="00D17D0D">
        <w:rPr>
          <w:b/>
          <w:sz w:val="24"/>
          <w:szCs w:val="24"/>
        </w:rPr>
        <w:t xml:space="preserve">izdevumu </w:t>
      </w:r>
      <w:r w:rsidR="00A008EA">
        <w:rPr>
          <w:b/>
          <w:sz w:val="24"/>
          <w:szCs w:val="24"/>
        </w:rPr>
        <w:t>segšanai</w:t>
      </w:r>
      <w:r w:rsidRPr="00BF7B9C">
        <w:rPr>
          <w:b/>
          <w:sz w:val="24"/>
          <w:szCs w:val="24"/>
        </w:rPr>
        <w:t>”</w:t>
      </w:r>
    </w:p>
    <w:p w:rsidR="00862039" w:rsidRPr="00826CB5" w:rsidRDefault="00862039" w:rsidP="00862039">
      <w:pPr>
        <w:jc w:val="center"/>
        <w:rPr>
          <w:sz w:val="24"/>
          <w:szCs w:val="24"/>
        </w:rPr>
      </w:pPr>
    </w:p>
    <w:p w:rsidR="00862039" w:rsidRPr="00826CB5" w:rsidRDefault="00862039" w:rsidP="00E225C7">
      <w:pPr>
        <w:rPr>
          <w:sz w:val="24"/>
          <w:szCs w:val="24"/>
        </w:rPr>
      </w:pPr>
    </w:p>
    <w:p w:rsidR="00E04520" w:rsidRDefault="00862039" w:rsidP="00862039">
      <w:pPr>
        <w:ind w:firstLine="851"/>
        <w:rPr>
          <w:sz w:val="24"/>
          <w:szCs w:val="24"/>
        </w:rPr>
      </w:pPr>
      <w:r w:rsidRPr="00826CB5">
        <w:rPr>
          <w:sz w:val="24"/>
          <w:szCs w:val="24"/>
        </w:rPr>
        <w:t>Iekšlietu ministrija ir sagatavojusi informatīv</w:t>
      </w:r>
      <w:r w:rsidR="00473CD0">
        <w:rPr>
          <w:sz w:val="24"/>
          <w:szCs w:val="24"/>
        </w:rPr>
        <w:t>o</w:t>
      </w:r>
      <w:r w:rsidRPr="00826CB5">
        <w:rPr>
          <w:sz w:val="24"/>
          <w:szCs w:val="24"/>
        </w:rPr>
        <w:t xml:space="preserve"> ziņojum</w:t>
      </w:r>
      <w:r w:rsidR="00473CD0">
        <w:rPr>
          <w:sz w:val="24"/>
          <w:szCs w:val="24"/>
        </w:rPr>
        <w:t>u</w:t>
      </w:r>
      <w:r w:rsidRPr="00826CB5">
        <w:rPr>
          <w:sz w:val="24"/>
          <w:szCs w:val="24"/>
        </w:rPr>
        <w:t xml:space="preserve"> “Par papildu nepieciešamo finansējumu</w:t>
      </w:r>
      <w:r w:rsidR="00A008EA" w:rsidRPr="00A008EA">
        <w:rPr>
          <w:sz w:val="24"/>
          <w:szCs w:val="24"/>
        </w:rPr>
        <w:t xml:space="preserve"> </w:t>
      </w:r>
      <w:r w:rsidR="00A008EA">
        <w:rPr>
          <w:sz w:val="24"/>
          <w:szCs w:val="24"/>
        </w:rPr>
        <w:t xml:space="preserve">Finanšu izlūkošanas dienestam nomas maksas </w:t>
      </w:r>
      <w:r w:rsidR="00D17D0D">
        <w:rPr>
          <w:sz w:val="24"/>
          <w:szCs w:val="24"/>
        </w:rPr>
        <w:t xml:space="preserve">izdevumu </w:t>
      </w:r>
      <w:r w:rsidR="00A008EA">
        <w:rPr>
          <w:sz w:val="24"/>
          <w:szCs w:val="24"/>
        </w:rPr>
        <w:t>segšanai</w:t>
      </w:r>
      <w:r w:rsidRPr="00826CB5">
        <w:rPr>
          <w:sz w:val="24"/>
          <w:szCs w:val="24"/>
        </w:rPr>
        <w:t xml:space="preserve">” (turpmāk – informatīvais ziņojums), lai </w:t>
      </w:r>
      <w:r w:rsidR="00E04520">
        <w:rPr>
          <w:sz w:val="24"/>
          <w:szCs w:val="24"/>
        </w:rPr>
        <w:t>Finanšu izlūkošanas dienestam</w:t>
      </w:r>
      <w:r w:rsidR="00E04520" w:rsidRPr="00E04520">
        <w:rPr>
          <w:sz w:val="24"/>
          <w:szCs w:val="24"/>
        </w:rPr>
        <w:t xml:space="preserve"> </w:t>
      </w:r>
      <w:r w:rsidR="00E04520" w:rsidRPr="00826CB5">
        <w:rPr>
          <w:sz w:val="24"/>
          <w:szCs w:val="24"/>
        </w:rPr>
        <w:t>nodrošinātu</w:t>
      </w:r>
      <w:r w:rsidR="00E04520">
        <w:rPr>
          <w:sz w:val="24"/>
          <w:szCs w:val="24"/>
        </w:rPr>
        <w:t xml:space="preserve"> papildu nepieciešamo finansējumu</w:t>
      </w:r>
      <w:r w:rsidR="00E04520" w:rsidRPr="0036574C">
        <w:rPr>
          <w:sz w:val="24"/>
          <w:szCs w:val="24"/>
        </w:rPr>
        <w:t xml:space="preserve"> telpu Vaļņu ielā 28, Rīgā</w:t>
      </w:r>
      <w:r w:rsidR="00E04520">
        <w:rPr>
          <w:sz w:val="24"/>
          <w:szCs w:val="24"/>
        </w:rPr>
        <w:t xml:space="preserve">, </w:t>
      </w:r>
      <w:r w:rsidR="00E04520" w:rsidRPr="0036574C">
        <w:rPr>
          <w:sz w:val="24"/>
          <w:szCs w:val="24"/>
        </w:rPr>
        <w:t>nomas</w:t>
      </w:r>
      <w:r w:rsidR="00E04520">
        <w:rPr>
          <w:sz w:val="24"/>
          <w:szCs w:val="24"/>
        </w:rPr>
        <w:t xml:space="preserve"> maksas izdevumu segšanai</w:t>
      </w:r>
      <w:r w:rsidR="00CB37CD">
        <w:rPr>
          <w:sz w:val="24"/>
          <w:szCs w:val="24"/>
        </w:rPr>
        <w:t xml:space="preserve">. </w:t>
      </w:r>
    </w:p>
    <w:p w:rsidR="00E04520" w:rsidRDefault="00E04520" w:rsidP="00862039">
      <w:pPr>
        <w:ind w:firstLine="851"/>
        <w:rPr>
          <w:sz w:val="24"/>
          <w:szCs w:val="24"/>
        </w:rPr>
      </w:pPr>
    </w:p>
    <w:p w:rsidR="000021F5" w:rsidRPr="00826CB5" w:rsidRDefault="00826CB5">
      <w:pPr>
        <w:ind w:firstLine="851"/>
        <w:rPr>
          <w:sz w:val="24"/>
          <w:szCs w:val="24"/>
        </w:rPr>
      </w:pPr>
      <w:r>
        <w:rPr>
          <w:sz w:val="24"/>
          <w:szCs w:val="24"/>
        </w:rPr>
        <w:t>I</w:t>
      </w:r>
      <w:r w:rsidRPr="00826CB5">
        <w:rPr>
          <w:sz w:val="24"/>
          <w:szCs w:val="24"/>
        </w:rPr>
        <w:t>nstitūcijām noziedzīgi iegūtu līdzekļu legalizācijas, terorisma un proliferācijas finansēšanas novēršan</w:t>
      </w:r>
      <w:r w:rsidR="00BA532D">
        <w:rPr>
          <w:sz w:val="24"/>
          <w:szCs w:val="24"/>
        </w:rPr>
        <w:t>ai</w:t>
      </w:r>
      <w:r w:rsidRPr="00826CB5">
        <w:rPr>
          <w:sz w:val="24"/>
          <w:szCs w:val="24"/>
        </w:rPr>
        <w:t xml:space="preserve"> plānots finansējums  2023. gadā 9 712 496 </w:t>
      </w:r>
      <w:r w:rsidRPr="00826CB5">
        <w:rPr>
          <w:i/>
          <w:sz w:val="24"/>
          <w:szCs w:val="24"/>
        </w:rPr>
        <w:t>euro</w:t>
      </w:r>
      <w:r w:rsidRPr="00826CB5">
        <w:rPr>
          <w:sz w:val="24"/>
          <w:szCs w:val="24"/>
        </w:rPr>
        <w:t xml:space="preserve"> apmērā, 2024. gadā 8</w:t>
      </w:r>
      <w:r>
        <w:rPr>
          <w:sz w:val="24"/>
          <w:szCs w:val="24"/>
        </w:rPr>
        <w:t> </w:t>
      </w:r>
      <w:r w:rsidRPr="00826CB5">
        <w:rPr>
          <w:sz w:val="24"/>
          <w:szCs w:val="24"/>
        </w:rPr>
        <w:t xml:space="preserve">332 201 </w:t>
      </w:r>
      <w:r w:rsidRPr="00826CB5">
        <w:rPr>
          <w:i/>
          <w:sz w:val="24"/>
          <w:szCs w:val="24"/>
        </w:rPr>
        <w:t>euro</w:t>
      </w:r>
      <w:r w:rsidRPr="00826CB5">
        <w:rPr>
          <w:sz w:val="24"/>
          <w:szCs w:val="24"/>
        </w:rPr>
        <w:t xml:space="preserve"> apmērā, 2025. gadā 8 313 361 </w:t>
      </w:r>
      <w:r w:rsidRPr="00826CB5">
        <w:rPr>
          <w:i/>
          <w:sz w:val="24"/>
          <w:szCs w:val="24"/>
        </w:rPr>
        <w:t>euro</w:t>
      </w:r>
      <w:r w:rsidRPr="00826CB5">
        <w:rPr>
          <w:sz w:val="24"/>
          <w:szCs w:val="24"/>
        </w:rPr>
        <w:t xml:space="preserve"> apmērā, turpmāk ik gadu  (ja pasākuma izpilde nav terminēta) 8 313 361 </w:t>
      </w:r>
      <w:r w:rsidRPr="00826CB5">
        <w:rPr>
          <w:i/>
          <w:sz w:val="24"/>
          <w:szCs w:val="24"/>
        </w:rPr>
        <w:t>euro</w:t>
      </w:r>
      <w:r w:rsidRPr="00826CB5">
        <w:rPr>
          <w:sz w:val="24"/>
          <w:szCs w:val="24"/>
        </w:rPr>
        <w:t xml:space="preserve"> apmērā</w:t>
      </w:r>
      <w:r>
        <w:rPr>
          <w:sz w:val="24"/>
          <w:szCs w:val="24"/>
        </w:rPr>
        <w:t xml:space="preserve"> s</w:t>
      </w:r>
      <w:r w:rsidR="00590A75" w:rsidRPr="00826CB5">
        <w:rPr>
          <w:sz w:val="24"/>
          <w:szCs w:val="24"/>
        </w:rPr>
        <w:t xml:space="preserve">askaņā ar </w:t>
      </w:r>
      <w:r w:rsidR="00BA532D">
        <w:rPr>
          <w:sz w:val="24"/>
          <w:szCs w:val="24"/>
        </w:rPr>
        <w:t xml:space="preserve">šādiem </w:t>
      </w:r>
      <w:r w:rsidR="00590A75" w:rsidRPr="00826CB5">
        <w:rPr>
          <w:sz w:val="24"/>
          <w:szCs w:val="24"/>
        </w:rPr>
        <w:t>Ministru kabinetā pieņemtajiem lēmumiem</w:t>
      </w:r>
      <w:r w:rsidR="000021F5" w:rsidRPr="00826CB5">
        <w:rPr>
          <w:sz w:val="24"/>
          <w:szCs w:val="24"/>
        </w:rPr>
        <w:t>:</w:t>
      </w:r>
    </w:p>
    <w:p w:rsidR="000021F5" w:rsidRPr="00826CB5" w:rsidRDefault="000021F5">
      <w:pPr>
        <w:ind w:firstLine="851"/>
        <w:rPr>
          <w:color w:val="auto"/>
          <w:sz w:val="24"/>
          <w:szCs w:val="24"/>
        </w:rPr>
      </w:pPr>
      <w:r w:rsidRPr="00826CB5">
        <w:rPr>
          <w:sz w:val="24"/>
          <w:szCs w:val="24"/>
        </w:rPr>
        <w:t>-</w:t>
      </w:r>
      <w:r w:rsidRPr="00826CB5">
        <w:rPr>
          <w:color w:val="auto"/>
          <w:sz w:val="24"/>
          <w:szCs w:val="24"/>
        </w:rPr>
        <w:t xml:space="preserve"> </w:t>
      </w:r>
      <w:r w:rsidRPr="00584461">
        <w:rPr>
          <w:color w:val="auto"/>
          <w:sz w:val="24"/>
          <w:szCs w:val="24"/>
        </w:rPr>
        <w:t>M</w:t>
      </w:r>
      <w:r w:rsidRPr="00826CB5">
        <w:rPr>
          <w:color w:val="auto"/>
          <w:sz w:val="24"/>
          <w:szCs w:val="24"/>
        </w:rPr>
        <w:t>inistru kabineta 2022. gada 22. februāra</w:t>
      </w:r>
      <w:r w:rsidRPr="00584461">
        <w:rPr>
          <w:color w:val="auto"/>
          <w:sz w:val="24"/>
          <w:szCs w:val="24"/>
        </w:rPr>
        <w:t xml:space="preserve"> sēdē nolemt</w:t>
      </w:r>
      <w:r w:rsidRPr="00826CB5">
        <w:rPr>
          <w:color w:val="auto"/>
          <w:sz w:val="24"/>
          <w:szCs w:val="24"/>
        </w:rPr>
        <w:t>ais</w:t>
      </w:r>
      <w:r w:rsidRPr="00584461">
        <w:rPr>
          <w:color w:val="auto"/>
          <w:sz w:val="24"/>
          <w:szCs w:val="24"/>
        </w:rPr>
        <w:t xml:space="preserve"> (prot. Nr.9 23.§)</w:t>
      </w:r>
      <w:r w:rsidRPr="00584461">
        <w:rPr>
          <w:color w:val="auto"/>
          <w:sz w:val="24"/>
          <w:szCs w:val="24"/>
        </w:rPr>
        <w:br/>
      </w:r>
      <w:r w:rsidRPr="00826CB5">
        <w:rPr>
          <w:color w:val="auto"/>
          <w:sz w:val="24"/>
          <w:szCs w:val="24"/>
        </w:rPr>
        <w:t>(</w:t>
      </w:r>
      <w:r w:rsidRPr="00584461">
        <w:rPr>
          <w:color w:val="auto"/>
          <w:sz w:val="24"/>
          <w:szCs w:val="24"/>
        </w:rPr>
        <w:t>M</w:t>
      </w:r>
      <w:r w:rsidRPr="00826CB5">
        <w:rPr>
          <w:color w:val="auto"/>
          <w:sz w:val="24"/>
          <w:szCs w:val="24"/>
        </w:rPr>
        <w:t>inistru kabineta 2022. gada 22. februāra</w:t>
      </w:r>
      <w:r w:rsidRPr="00584461">
        <w:rPr>
          <w:color w:val="auto"/>
          <w:sz w:val="24"/>
          <w:szCs w:val="24"/>
        </w:rPr>
        <w:t xml:space="preserve"> rīkojums Nr.122</w:t>
      </w:r>
      <w:r w:rsidRPr="00826CB5">
        <w:rPr>
          <w:color w:val="auto"/>
          <w:sz w:val="24"/>
          <w:szCs w:val="24"/>
        </w:rPr>
        <w:t xml:space="preserve"> “</w:t>
      </w:r>
      <w:r w:rsidR="00180FF0">
        <w:rPr>
          <w:color w:val="auto"/>
          <w:sz w:val="24"/>
          <w:szCs w:val="24"/>
        </w:rPr>
        <w:t>Par p</w:t>
      </w:r>
      <w:r w:rsidRPr="00584461">
        <w:rPr>
          <w:color w:val="auto"/>
          <w:sz w:val="24"/>
          <w:szCs w:val="24"/>
        </w:rPr>
        <w:t>asākumu plān</w:t>
      </w:r>
      <w:r w:rsidR="00180FF0">
        <w:rPr>
          <w:color w:val="auto"/>
          <w:sz w:val="24"/>
          <w:szCs w:val="24"/>
        </w:rPr>
        <w:t>u</w:t>
      </w:r>
      <w:r w:rsidRPr="00584461">
        <w:rPr>
          <w:color w:val="auto"/>
          <w:sz w:val="24"/>
          <w:szCs w:val="24"/>
        </w:rPr>
        <w:t xml:space="preserve"> noziedzīgi iegūtu līdzekļu legalizācijas, terorisma un proliferācijas finansēšanas novēršanai 2022. gada</w:t>
      </w:r>
      <w:r w:rsidRPr="00826CB5">
        <w:rPr>
          <w:color w:val="auto"/>
          <w:sz w:val="24"/>
          <w:szCs w:val="24"/>
        </w:rPr>
        <w:t>m”</w:t>
      </w:r>
      <w:r w:rsidR="00826CB5">
        <w:rPr>
          <w:color w:val="auto"/>
          <w:sz w:val="24"/>
          <w:szCs w:val="24"/>
        </w:rPr>
        <w:t xml:space="preserve"> (turpmāk – rīkojums Nr.122</w:t>
      </w:r>
      <w:r w:rsidR="009A3D4A" w:rsidRPr="00826CB5">
        <w:rPr>
          <w:color w:val="auto"/>
          <w:sz w:val="24"/>
          <w:szCs w:val="24"/>
        </w:rPr>
        <w:t>)</w:t>
      </w:r>
      <w:r w:rsidR="00826CB5">
        <w:rPr>
          <w:color w:val="auto"/>
          <w:sz w:val="24"/>
          <w:szCs w:val="24"/>
        </w:rPr>
        <w:t>)</w:t>
      </w:r>
      <w:r w:rsidRPr="00826CB5">
        <w:rPr>
          <w:color w:val="auto"/>
          <w:sz w:val="24"/>
          <w:szCs w:val="24"/>
        </w:rPr>
        <w:t>;</w:t>
      </w:r>
    </w:p>
    <w:p w:rsidR="000021F5" w:rsidRPr="00826CB5" w:rsidRDefault="000021F5">
      <w:pPr>
        <w:ind w:firstLine="851"/>
        <w:rPr>
          <w:sz w:val="24"/>
          <w:szCs w:val="24"/>
        </w:rPr>
      </w:pPr>
      <w:r w:rsidRPr="00826CB5">
        <w:rPr>
          <w:color w:val="auto"/>
          <w:sz w:val="24"/>
          <w:szCs w:val="24"/>
        </w:rPr>
        <w:t>- Ministru kabineta 2022. gada 13. decembra</w:t>
      </w:r>
      <w:r w:rsidRPr="00584461">
        <w:rPr>
          <w:color w:val="auto"/>
          <w:sz w:val="24"/>
          <w:szCs w:val="24"/>
        </w:rPr>
        <w:t xml:space="preserve">  sēdē nolemt</w:t>
      </w:r>
      <w:r w:rsidRPr="00826CB5">
        <w:rPr>
          <w:color w:val="auto"/>
          <w:sz w:val="24"/>
          <w:szCs w:val="24"/>
        </w:rPr>
        <w:t>ais</w:t>
      </w:r>
      <w:r w:rsidRPr="00584461">
        <w:rPr>
          <w:color w:val="auto"/>
          <w:sz w:val="24"/>
          <w:szCs w:val="24"/>
        </w:rPr>
        <w:t xml:space="preserve"> (prot. Nr.64 72.§) </w:t>
      </w:r>
      <w:r w:rsidRPr="00584461">
        <w:rPr>
          <w:color w:val="auto"/>
          <w:sz w:val="24"/>
          <w:szCs w:val="24"/>
        </w:rPr>
        <w:br/>
      </w:r>
      <w:r w:rsidRPr="00826CB5">
        <w:rPr>
          <w:color w:val="auto"/>
          <w:sz w:val="24"/>
          <w:szCs w:val="24"/>
        </w:rPr>
        <w:t xml:space="preserve">(Ministru kabineta </w:t>
      </w:r>
      <w:r w:rsidR="00826CB5">
        <w:rPr>
          <w:color w:val="auto"/>
          <w:sz w:val="24"/>
          <w:szCs w:val="24"/>
        </w:rPr>
        <w:t>2022. gada 13. decembra rīkojums Nr. 940 “</w:t>
      </w:r>
      <w:r w:rsidRPr="00584461">
        <w:rPr>
          <w:color w:val="auto"/>
          <w:sz w:val="24"/>
          <w:szCs w:val="24"/>
        </w:rPr>
        <w:t>P</w:t>
      </w:r>
      <w:r w:rsidR="0075147C">
        <w:rPr>
          <w:color w:val="auto"/>
          <w:sz w:val="24"/>
          <w:szCs w:val="24"/>
        </w:rPr>
        <w:t>ar p</w:t>
      </w:r>
      <w:r w:rsidRPr="00584461">
        <w:rPr>
          <w:color w:val="auto"/>
          <w:sz w:val="24"/>
          <w:szCs w:val="24"/>
        </w:rPr>
        <w:t>asākumu plān</w:t>
      </w:r>
      <w:r w:rsidR="0075147C">
        <w:rPr>
          <w:color w:val="auto"/>
          <w:sz w:val="24"/>
          <w:szCs w:val="24"/>
        </w:rPr>
        <w:t>u</w:t>
      </w:r>
      <w:r w:rsidRPr="00584461">
        <w:rPr>
          <w:color w:val="auto"/>
          <w:sz w:val="24"/>
          <w:szCs w:val="24"/>
        </w:rPr>
        <w:t xml:space="preserve"> noziedzīgi iegūtu līdzekļu legalizācijas, terorisma un proliferācijas finansēšanas novēršanai 2023. </w:t>
      </w:r>
      <w:r w:rsidR="0075147C">
        <w:rPr>
          <w:color w:val="auto"/>
          <w:sz w:val="24"/>
          <w:szCs w:val="24"/>
        </w:rPr>
        <w:t>-</w:t>
      </w:r>
      <w:r w:rsidRPr="00584461">
        <w:rPr>
          <w:color w:val="auto"/>
          <w:sz w:val="24"/>
          <w:szCs w:val="24"/>
        </w:rPr>
        <w:t xml:space="preserve"> 2025.</w:t>
      </w:r>
      <w:r w:rsidR="0075147C">
        <w:rPr>
          <w:color w:val="auto"/>
          <w:sz w:val="24"/>
          <w:szCs w:val="24"/>
        </w:rPr>
        <w:t> </w:t>
      </w:r>
      <w:r w:rsidRPr="00584461">
        <w:rPr>
          <w:color w:val="auto"/>
          <w:sz w:val="24"/>
          <w:szCs w:val="24"/>
        </w:rPr>
        <w:t>gadam</w:t>
      </w:r>
      <w:r w:rsidR="00826CB5">
        <w:rPr>
          <w:color w:val="auto"/>
          <w:sz w:val="24"/>
          <w:szCs w:val="24"/>
        </w:rPr>
        <w:t>” (turpmāk – rīkojums Nr.940)).</w:t>
      </w:r>
    </w:p>
    <w:p w:rsidR="000021F5" w:rsidRDefault="00BA532D">
      <w:pPr>
        <w:ind w:firstLine="851"/>
        <w:rPr>
          <w:sz w:val="24"/>
          <w:szCs w:val="24"/>
        </w:rPr>
      </w:pPr>
      <w:r>
        <w:rPr>
          <w:sz w:val="24"/>
          <w:szCs w:val="24"/>
        </w:rPr>
        <w:t xml:space="preserve">Rīkojums Nr.122 </w:t>
      </w:r>
      <w:r w:rsidR="00180FF0">
        <w:rPr>
          <w:sz w:val="24"/>
          <w:szCs w:val="24"/>
        </w:rPr>
        <w:t>ir zaudējis spēku, bet atsevišķi pasākumi, kuriem finansējums ir piešķirts institūciju bāzes izdevumos, nav terminēti un tiek īstenoti arī pēc 2022. gada</w:t>
      </w:r>
      <w:r w:rsidR="00232506">
        <w:rPr>
          <w:sz w:val="24"/>
          <w:szCs w:val="24"/>
        </w:rPr>
        <w:t xml:space="preserve">, tajā skaitā </w:t>
      </w:r>
      <w:r w:rsidR="00232506" w:rsidRPr="0036574C">
        <w:rPr>
          <w:sz w:val="24"/>
          <w:szCs w:val="24"/>
        </w:rPr>
        <w:t>pasākums 6.2.(4)</w:t>
      </w:r>
      <w:r w:rsidR="00232506" w:rsidRPr="0036574C">
        <w:rPr>
          <w:i/>
          <w:sz w:val="24"/>
          <w:szCs w:val="24"/>
        </w:rPr>
        <w:t xml:space="preserve"> </w:t>
      </w:r>
      <w:r w:rsidR="00EC75A3">
        <w:rPr>
          <w:sz w:val="24"/>
          <w:szCs w:val="24"/>
        </w:rPr>
        <w:t xml:space="preserve">– </w:t>
      </w:r>
      <w:r w:rsidR="00232506">
        <w:rPr>
          <w:i/>
          <w:sz w:val="24"/>
          <w:szCs w:val="24"/>
        </w:rPr>
        <w:t xml:space="preserve"> </w:t>
      </w:r>
      <w:r w:rsidR="00D17ACC" w:rsidRPr="00984F05">
        <w:rPr>
          <w:i/>
          <w:sz w:val="24"/>
          <w:szCs w:val="24"/>
        </w:rPr>
        <w:t>Finanšu izlūkošanas dienesta</w:t>
      </w:r>
      <w:r w:rsidR="00232506" w:rsidRPr="0036574C">
        <w:rPr>
          <w:i/>
          <w:sz w:val="24"/>
          <w:szCs w:val="24"/>
        </w:rPr>
        <w:t xml:space="preserve"> darbinieki uzsākuši darbu telpās, kas atbilst MK 2004. gada 6. janvāra noteikumos Nr. 21 “Valsts noslēpuma, Ziemeļatlantijas līguma organizācijas, Eiropas Savienības un ārvalstu institūciju klasificētās informācijas aizsardzības noteikumi” un MK 2016. gada 12. jūlija ieteikumos Nr. 2 “Vienotās prasības valsts pārvaldes iestāžu biroju ēkām un biroja telpu grupām” noteiktajām prasībām</w:t>
      </w:r>
      <w:r w:rsidR="00232506" w:rsidRPr="0036574C">
        <w:rPr>
          <w:sz w:val="24"/>
          <w:szCs w:val="24"/>
        </w:rPr>
        <w:t>”</w:t>
      </w:r>
      <w:r w:rsidR="00232506">
        <w:rPr>
          <w:sz w:val="24"/>
          <w:szCs w:val="24"/>
        </w:rPr>
        <w:t xml:space="preserve"> – tiek turpināts. </w:t>
      </w:r>
    </w:p>
    <w:p w:rsidR="00CE003D" w:rsidRPr="00F1049F" w:rsidRDefault="00F1049F" w:rsidP="00F1049F">
      <w:pPr>
        <w:ind w:firstLine="851"/>
        <w:rPr>
          <w:sz w:val="24"/>
          <w:szCs w:val="24"/>
        </w:rPr>
      </w:pPr>
      <w:r w:rsidRPr="00F1049F">
        <w:rPr>
          <w:sz w:val="24"/>
          <w:szCs w:val="24"/>
        </w:rPr>
        <w:t xml:space="preserve">Ministru kabineta 2023. gada 17. janvāra noteikumu Nr.15 “Maksimāli pieļaujamā valsts budžeta izdevumu kopapjoma un  katrai ministrijai un citai centrālajai valsts iestādei paredzētā izdevumu kopējā apjoma noteikšanas kārtība vidējam termiņam” (turpmāk – noteikumi Nr.15) 12.3. apakšpunkts nosaka, ka Finanšu ministrija aprēķina valsts pamatbudžeta bāzi (izdevumus, resursus izdevumu segšanai un finansēšanas daļu) ministrijai n+1, n+2 un n+3 gadam, ņemot vērā </w:t>
      </w:r>
      <w:r w:rsidR="00CE003D" w:rsidRPr="00F1049F">
        <w:rPr>
          <w:sz w:val="24"/>
          <w:szCs w:val="24"/>
        </w:rPr>
        <w:t>Ministru kabineta pieņemtos lēmumus par valsts pamatbudžeta bāzi.</w:t>
      </w:r>
    </w:p>
    <w:p w:rsidR="00584461" w:rsidRDefault="009F5476" w:rsidP="00E70601">
      <w:pPr>
        <w:pStyle w:val="Heading1"/>
      </w:pPr>
      <w:r w:rsidRPr="00826CB5">
        <w:t xml:space="preserve">Papildu </w:t>
      </w:r>
      <w:r w:rsidRPr="009F5476">
        <w:t>nepieciešam</w:t>
      </w:r>
      <w:r w:rsidR="004802E8">
        <w:t>ais</w:t>
      </w:r>
      <w:r w:rsidRPr="00826CB5">
        <w:t xml:space="preserve"> finansējum</w:t>
      </w:r>
      <w:r w:rsidR="004802E8">
        <w:t>s</w:t>
      </w:r>
      <w:r>
        <w:t xml:space="preserve"> Iekšlietu ministrijai (Finanšu izlūkošanas dienestam)</w:t>
      </w:r>
    </w:p>
    <w:p w:rsidR="0036574C" w:rsidRPr="009E1691" w:rsidRDefault="0036574C" w:rsidP="0036574C">
      <w:pPr>
        <w:ind w:firstLine="720"/>
        <w:rPr>
          <w:i/>
          <w:sz w:val="24"/>
          <w:szCs w:val="24"/>
        </w:rPr>
      </w:pPr>
      <w:r w:rsidRPr="0036574C">
        <w:rPr>
          <w:sz w:val="24"/>
          <w:szCs w:val="24"/>
        </w:rPr>
        <w:t>Saskaņā rīkojumu Nr. 122 tika atbalstīts pasākums 6.2.(4)</w:t>
      </w:r>
      <w:r w:rsidRPr="0036574C">
        <w:rPr>
          <w:i/>
          <w:sz w:val="24"/>
          <w:szCs w:val="24"/>
        </w:rPr>
        <w:t xml:space="preserve"> </w:t>
      </w:r>
      <w:r>
        <w:rPr>
          <w:i/>
          <w:sz w:val="24"/>
          <w:szCs w:val="24"/>
        </w:rPr>
        <w:t xml:space="preserve">- </w:t>
      </w:r>
      <w:r w:rsidRPr="0036574C">
        <w:rPr>
          <w:i/>
          <w:sz w:val="24"/>
          <w:szCs w:val="24"/>
        </w:rPr>
        <w:t>FID darbinieki uzsākuši darbu telpās, kas atbilst MK 2004. gada 6. janvāra noteikumos Nr. 21 “Valsts noslēpuma, Ziemeļatlantijas līguma organizācijas, Eiropas Savienības un ārvalstu institūciju klasificētās informācijas aizsardzības noteikumi” un MK 2016. gada 12. jūlija ieteikumos Nr. 2 “Vienotās prasības valsts pārvaldes iestāžu biroju ēkām un biroja telpu grupām” noteiktajām prasībām</w:t>
      </w:r>
      <w:r w:rsidRPr="0036574C">
        <w:rPr>
          <w:sz w:val="24"/>
          <w:szCs w:val="24"/>
        </w:rPr>
        <w:t>”</w:t>
      </w:r>
      <w:r w:rsidR="00B03C2A">
        <w:rPr>
          <w:sz w:val="24"/>
          <w:szCs w:val="24"/>
        </w:rPr>
        <w:t xml:space="preserve"> -</w:t>
      </w:r>
      <w:r w:rsidRPr="0036574C">
        <w:rPr>
          <w:sz w:val="24"/>
          <w:szCs w:val="24"/>
        </w:rPr>
        <w:t xml:space="preserve"> un piešķirts finansējums 2022. gadā un turpmākajiem gadiem 248 982 </w:t>
      </w:r>
      <w:r w:rsidRPr="0036574C">
        <w:rPr>
          <w:i/>
          <w:sz w:val="24"/>
          <w:szCs w:val="24"/>
        </w:rPr>
        <w:t>euro</w:t>
      </w:r>
      <w:r>
        <w:rPr>
          <w:sz w:val="24"/>
          <w:szCs w:val="24"/>
        </w:rPr>
        <w:t>. Vienlaikus</w:t>
      </w:r>
      <w:r w:rsidRPr="0036574C">
        <w:rPr>
          <w:sz w:val="24"/>
          <w:szCs w:val="24"/>
        </w:rPr>
        <w:t xml:space="preserve"> rīkojuma Nr.122 1. pielikumā norādīts</w:t>
      </w:r>
      <w:r w:rsidR="009E1691">
        <w:rPr>
          <w:sz w:val="24"/>
          <w:szCs w:val="24"/>
        </w:rPr>
        <w:t xml:space="preserve"> - </w:t>
      </w:r>
      <w:r w:rsidRPr="0036574C">
        <w:rPr>
          <w:sz w:val="24"/>
          <w:szCs w:val="24"/>
        </w:rPr>
        <w:t xml:space="preserve">visām iestādēm </w:t>
      </w:r>
      <w:r w:rsidRPr="0036574C">
        <w:rPr>
          <w:iCs/>
          <w:sz w:val="24"/>
          <w:szCs w:val="24"/>
        </w:rPr>
        <w:t xml:space="preserve">aprēķinos norādītas indikatīvās izmaksas. Izdevumi pa izdevumu ekonomiskās klasifikācijas kodiem un apakšpasākumiem var tikt precizēti atbilstoši faktiskajai situācijai un iepirkumam, </w:t>
      </w:r>
      <w:r w:rsidRPr="0036574C">
        <w:rPr>
          <w:sz w:val="24"/>
          <w:szCs w:val="24"/>
        </w:rPr>
        <w:t xml:space="preserve">kā arī atbilstoši izmaiņām pasākumu ieviešanas procesos. Atbilstoši faktiskajai situācijai Finanšu izlūkošanas dienestam biroja telpu uzturēšanas izdevumi bija mazāki kā sākotnēji tika plānots, savukārt telpu nomai bija nepieciešams papildu finansējums, līdz ar to  2023. gadā Finanšu izlūkošanas dienestam </w:t>
      </w:r>
      <w:bookmarkStart w:id="0" w:name="_Hlk139455071"/>
      <w:r w:rsidR="009E1691" w:rsidRPr="0036574C">
        <w:rPr>
          <w:sz w:val="24"/>
          <w:szCs w:val="24"/>
        </w:rPr>
        <w:t>telpu Vaļņu ielā 28, Rīgā</w:t>
      </w:r>
      <w:r w:rsidR="009E1691">
        <w:rPr>
          <w:sz w:val="24"/>
          <w:szCs w:val="24"/>
        </w:rPr>
        <w:t>,</w:t>
      </w:r>
      <w:r w:rsidR="009E1691" w:rsidRPr="0036574C">
        <w:rPr>
          <w:sz w:val="24"/>
          <w:szCs w:val="24"/>
        </w:rPr>
        <w:t xml:space="preserve"> nomai</w:t>
      </w:r>
      <w:bookmarkEnd w:id="0"/>
      <w:r w:rsidR="009E1691" w:rsidRPr="0036574C">
        <w:rPr>
          <w:sz w:val="24"/>
          <w:szCs w:val="24"/>
        </w:rPr>
        <w:t xml:space="preserve"> </w:t>
      </w:r>
      <w:r w:rsidRPr="0036574C">
        <w:rPr>
          <w:sz w:val="24"/>
          <w:szCs w:val="24"/>
        </w:rPr>
        <w:t>plānoti izdevumi 264 186 </w:t>
      </w:r>
      <w:r w:rsidRPr="0036574C">
        <w:rPr>
          <w:i/>
          <w:sz w:val="24"/>
          <w:szCs w:val="24"/>
        </w:rPr>
        <w:t>euro</w:t>
      </w:r>
      <w:r w:rsidR="009E1691">
        <w:rPr>
          <w:sz w:val="24"/>
          <w:szCs w:val="24"/>
        </w:rPr>
        <w:t xml:space="preserve"> </w:t>
      </w:r>
      <w:r w:rsidR="009E1691" w:rsidRPr="009E1691">
        <w:rPr>
          <w:sz w:val="24"/>
          <w:szCs w:val="24"/>
        </w:rPr>
        <w:t>apmērā.</w:t>
      </w:r>
      <w:r w:rsidR="009E1691">
        <w:rPr>
          <w:i/>
          <w:sz w:val="24"/>
          <w:szCs w:val="24"/>
        </w:rPr>
        <w:t xml:space="preserve"> </w:t>
      </w:r>
    </w:p>
    <w:p w:rsidR="0036574C" w:rsidRDefault="0036574C" w:rsidP="0036574C">
      <w:pPr>
        <w:ind w:firstLine="720"/>
        <w:rPr>
          <w:sz w:val="24"/>
          <w:szCs w:val="24"/>
        </w:rPr>
      </w:pPr>
      <w:r w:rsidRPr="0036574C">
        <w:rPr>
          <w:sz w:val="24"/>
          <w:szCs w:val="24"/>
        </w:rPr>
        <w:lastRenderedPageBreak/>
        <w:t xml:space="preserve">Atbilstoši Ministru kabineta 2018. gada 20. februāra noteikumu Nr.97 “Publiskas personas mantas iznomāšanas noteikumi” 70. punktam </w:t>
      </w:r>
      <w:r w:rsidR="00DB364D">
        <w:rPr>
          <w:sz w:val="24"/>
          <w:szCs w:val="24"/>
        </w:rPr>
        <w:t>v</w:t>
      </w:r>
      <w:r w:rsidRPr="0036574C">
        <w:rPr>
          <w:sz w:val="24"/>
          <w:szCs w:val="24"/>
        </w:rPr>
        <w:t xml:space="preserve">alsts akciju sabiedrība </w:t>
      </w:r>
      <w:r w:rsidR="00E7790C">
        <w:rPr>
          <w:sz w:val="24"/>
          <w:szCs w:val="24"/>
        </w:rPr>
        <w:t>“</w:t>
      </w:r>
      <w:r w:rsidRPr="0036574C">
        <w:rPr>
          <w:sz w:val="24"/>
          <w:szCs w:val="24"/>
        </w:rPr>
        <w:t>Valsts nekustamie īpašumi</w:t>
      </w:r>
      <w:r w:rsidR="00E7790C">
        <w:rPr>
          <w:sz w:val="24"/>
          <w:szCs w:val="24"/>
        </w:rPr>
        <w:t xml:space="preserve">” </w:t>
      </w:r>
      <w:r w:rsidRPr="0036574C">
        <w:rPr>
          <w:sz w:val="24"/>
          <w:szCs w:val="24"/>
        </w:rPr>
        <w:t>ir apzinājusi nomas objekta pārvaldīšanas izdevumus 2024. gadam</w:t>
      </w:r>
      <w:r w:rsidR="00DB364D">
        <w:rPr>
          <w:sz w:val="24"/>
          <w:szCs w:val="24"/>
        </w:rPr>
        <w:t xml:space="preserve">. </w:t>
      </w:r>
      <w:r w:rsidRPr="0036574C">
        <w:rPr>
          <w:sz w:val="24"/>
          <w:szCs w:val="24"/>
        </w:rPr>
        <w:t xml:space="preserve"> </w:t>
      </w:r>
      <w:r w:rsidR="00FB0845">
        <w:rPr>
          <w:sz w:val="24"/>
          <w:szCs w:val="24"/>
        </w:rPr>
        <w:t>V</w:t>
      </w:r>
      <w:r w:rsidR="00CC02D6" w:rsidRPr="00CC02D6">
        <w:rPr>
          <w:sz w:val="24"/>
          <w:szCs w:val="24"/>
        </w:rPr>
        <w:t xml:space="preserve">alsts akciju sabiedrība </w:t>
      </w:r>
      <w:r w:rsidR="00CC02D6">
        <w:rPr>
          <w:sz w:val="24"/>
          <w:szCs w:val="24"/>
        </w:rPr>
        <w:t>“</w:t>
      </w:r>
      <w:r w:rsidR="00CC02D6" w:rsidRPr="00CC02D6">
        <w:rPr>
          <w:sz w:val="24"/>
          <w:szCs w:val="24"/>
        </w:rPr>
        <w:t>Valsts nekustamie īpašumi</w:t>
      </w:r>
      <w:r w:rsidR="00CC02D6">
        <w:rPr>
          <w:sz w:val="24"/>
          <w:szCs w:val="24"/>
        </w:rPr>
        <w:t>”</w:t>
      </w:r>
      <w:r w:rsidR="00CC02D6" w:rsidRPr="00CC02D6">
        <w:rPr>
          <w:sz w:val="24"/>
          <w:szCs w:val="24"/>
        </w:rPr>
        <w:t xml:space="preserve"> </w:t>
      </w:r>
      <w:r w:rsidR="00FB0845" w:rsidRPr="00CC02D6">
        <w:rPr>
          <w:sz w:val="24"/>
          <w:szCs w:val="24"/>
        </w:rPr>
        <w:t>2023.</w:t>
      </w:r>
      <w:r w:rsidR="00FB0845">
        <w:rPr>
          <w:sz w:val="24"/>
          <w:szCs w:val="24"/>
        </w:rPr>
        <w:t> </w:t>
      </w:r>
      <w:r w:rsidR="00FB0845" w:rsidRPr="00CC02D6">
        <w:rPr>
          <w:sz w:val="24"/>
          <w:szCs w:val="24"/>
        </w:rPr>
        <w:t>gada 4.</w:t>
      </w:r>
      <w:r w:rsidR="00FB0845">
        <w:rPr>
          <w:sz w:val="24"/>
          <w:szCs w:val="24"/>
        </w:rPr>
        <w:t> </w:t>
      </w:r>
      <w:r w:rsidR="00FB0845" w:rsidRPr="00CC02D6">
        <w:rPr>
          <w:sz w:val="24"/>
          <w:szCs w:val="24"/>
        </w:rPr>
        <w:t>aprīlī</w:t>
      </w:r>
      <w:r w:rsidR="00FB0845">
        <w:rPr>
          <w:sz w:val="24"/>
          <w:szCs w:val="24"/>
        </w:rPr>
        <w:t>,</w:t>
      </w:r>
      <w:r w:rsidR="00FB0845" w:rsidRPr="00CC02D6">
        <w:rPr>
          <w:sz w:val="24"/>
          <w:szCs w:val="24"/>
        </w:rPr>
        <w:t xml:space="preserve"> </w:t>
      </w:r>
      <w:r w:rsidR="00CC02D6" w:rsidRPr="00CC02D6">
        <w:rPr>
          <w:sz w:val="24"/>
          <w:szCs w:val="24"/>
        </w:rPr>
        <w:t>pamatojoties uz nomas līgumu 3.2. apakšpunktu, kas paredz</w:t>
      </w:r>
      <w:r w:rsidR="00B03C2A">
        <w:rPr>
          <w:sz w:val="24"/>
          <w:szCs w:val="24"/>
        </w:rPr>
        <w:t>,</w:t>
      </w:r>
      <w:r w:rsidR="00CC02D6" w:rsidRPr="00CC02D6">
        <w:rPr>
          <w:sz w:val="24"/>
          <w:szCs w:val="24"/>
        </w:rPr>
        <w:t xml:space="preserve"> ka nomas maksas un papildu maksājumu apmērs tiks precizēts pēc telpu pielāgošanas darbu pabeigšanas atbilstoši faktiskajiem būvniecības un telpu pārvaldīšanas izdevumiem</w:t>
      </w:r>
      <w:r w:rsidR="00B03C2A">
        <w:rPr>
          <w:sz w:val="24"/>
          <w:szCs w:val="24"/>
        </w:rPr>
        <w:t>,</w:t>
      </w:r>
      <w:r w:rsidR="00CC02D6" w:rsidRPr="00CC02D6">
        <w:rPr>
          <w:sz w:val="24"/>
          <w:szCs w:val="24"/>
        </w:rPr>
        <w:t xml:space="preserve"> aktualizēja aprēķinus </w:t>
      </w:r>
      <w:r w:rsidR="00CC02D6">
        <w:rPr>
          <w:sz w:val="24"/>
          <w:szCs w:val="24"/>
        </w:rPr>
        <w:t>atbilstoši</w:t>
      </w:r>
      <w:r w:rsidR="00CC02D6" w:rsidRPr="00CC02D6">
        <w:rPr>
          <w:sz w:val="24"/>
          <w:szCs w:val="24"/>
        </w:rPr>
        <w:t xml:space="preserve"> faktiskajām izmaksām  un sniedza  informāciju par telpu nomas un saistīto maksājumu būtisko pieaugumu</w:t>
      </w:r>
      <w:r w:rsidR="00A008EA">
        <w:rPr>
          <w:sz w:val="24"/>
          <w:szCs w:val="24"/>
        </w:rPr>
        <w:t>,</w:t>
      </w:r>
      <w:r w:rsidR="00CC02D6" w:rsidRPr="00CC02D6">
        <w:rPr>
          <w:sz w:val="24"/>
          <w:szCs w:val="24"/>
        </w:rPr>
        <w:t xml:space="preserve"> sākot ar 2024.</w:t>
      </w:r>
      <w:r w:rsidR="00FB0845">
        <w:rPr>
          <w:sz w:val="24"/>
          <w:szCs w:val="24"/>
        </w:rPr>
        <w:t> </w:t>
      </w:r>
      <w:r w:rsidR="00CC02D6" w:rsidRPr="00CC02D6">
        <w:rPr>
          <w:sz w:val="24"/>
          <w:szCs w:val="24"/>
        </w:rPr>
        <w:t>gada 1.</w:t>
      </w:r>
      <w:r w:rsidR="00CC02D6">
        <w:rPr>
          <w:sz w:val="24"/>
          <w:szCs w:val="24"/>
        </w:rPr>
        <w:t> </w:t>
      </w:r>
      <w:r w:rsidR="00CC02D6" w:rsidRPr="00CC02D6">
        <w:rPr>
          <w:sz w:val="24"/>
          <w:szCs w:val="24"/>
        </w:rPr>
        <w:t>janvāri</w:t>
      </w:r>
      <w:r w:rsidR="00CC02D6">
        <w:rPr>
          <w:sz w:val="24"/>
          <w:szCs w:val="24"/>
        </w:rPr>
        <w:t xml:space="preserve">. </w:t>
      </w:r>
      <w:r>
        <w:rPr>
          <w:sz w:val="24"/>
          <w:szCs w:val="24"/>
        </w:rPr>
        <w:t xml:space="preserve">Finanšu izlūkošanas </w:t>
      </w:r>
      <w:r w:rsidR="008F67E9">
        <w:rPr>
          <w:sz w:val="24"/>
          <w:szCs w:val="24"/>
        </w:rPr>
        <w:t>dienestam</w:t>
      </w:r>
      <w:r w:rsidRPr="0036574C">
        <w:rPr>
          <w:sz w:val="24"/>
          <w:szCs w:val="24"/>
        </w:rPr>
        <w:t xml:space="preserve"> telpu Vaļņu ielā 28, Rīgā</w:t>
      </w:r>
      <w:r w:rsidR="00232506">
        <w:rPr>
          <w:sz w:val="24"/>
          <w:szCs w:val="24"/>
        </w:rPr>
        <w:t xml:space="preserve">, </w:t>
      </w:r>
      <w:r w:rsidR="00232506" w:rsidRPr="0036574C">
        <w:rPr>
          <w:sz w:val="24"/>
          <w:szCs w:val="24"/>
        </w:rPr>
        <w:t xml:space="preserve">nomas </w:t>
      </w:r>
      <w:r w:rsidRPr="0036574C">
        <w:rPr>
          <w:sz w:val="24"/>
          <w:szCs w:val="24"/>
        </w:rPr>
        <w:t>izdevumi ir būtiski pieauguši un sastāda 437</w:t>
      </w:r>
      <w:r w:rsidR="00223281">
        <w:rPr>
          <w:sz w:val="24"/>
          <w:szCs w:val="24"/>
        </w:rPr>
        <w:t> </w:t>
      </w:r>
      <w:r w:rsidRPr="0036574C">
        <w:rPr>
          <w:sz w:val="24"/>
          <w:szCs w:val="24"/>
        </w:rPr>
        <w:t>733</w:t>
      </w:r>
      <w:r w:rsidR="00223281">
        <w:rPr>
          <w:sz w:val="24"/>
          <w:szCs w:val="24"/>
        </w:rPr>
        <w:t>,19</w:t>
      </w:r>
      <w:r w:rsidRPr="0036574C">
        <w:rPr>
          <w:sz w:val="24"/>
          <w:szCs w:val="24"/>
        </w:rPr>
        <w:t xml:space="preserve"> </w:t>
      </w:r>
      <w:r w:rsidRPr="0036574C">
        <w:rPr>
          <w:i/>
          <w:sz w:val="24"/>
          <w:szCs w:val="24"/>
        </w:rPr>
        <w:t>euro</w:t>
      </w:r>
      <w:r w:rsidR="00FB0845">
        <w:rPr>
          <w:i/>
          <w:sz w:val="24"/>
          <w:szCs w:val="24"/>
        </w:rPr>
        <w:t xml:space="preserve">. </w:t>
      </w:r>
      <w:r w:rsidR="00FB0845" w:rsidRPr="00FB0845">
        <w:rPr>
          <w:sz w:val="24"/>
          <w:szCs w:val="24"/>
        </w:rPr>
        <w:t>Tādējādi</w:t>
      </w:r>
      <w:r w:rsidR="00FB0845">
        <w:rPr>
          <w:sz w:val="24"/>
          <w:szCs w:val="24"/>
        </w:rPr>
        <w:t xml:space="preserve"> </w:t>
      </w:r>
      <w:r w:rsidRPr="0036574C">
        <w:rPr>
          <w:sz w:val="24"/>
          <w:szCs w:val="24"/>
        </w:rPr>
        <w:t xml:space="preserve">Finanšu izlūkošanas dienestam papildu nepieciešams finansējums </w:t>
      </w:r>
      <w:r w:rsidRPr="0036574C">
        <w:rPr>
          <w:b/>
          <w:sz w:val="24"/>
          <w:szCs w:val="24"/>
        </w:rPr>
        <w:t>173 547 </w:t>
      </w:r>
      <w:r w:rsidRPr="0036574C">
        <w:rPr>
          <w:b/>
          <w:i/>
          <w:sz w:val="24"/>
          <w:szCs w:val="24"/>
        </w:rPr>
        <w:t>euro</w:t>
      </w:r>
      <w:r>
        <w:rPr>
          <w:sz w:val="24"/>
          <w:szCs w:val="24"/>
        </w:rPr>
        <w:t xml:space="preserve"> apmērā.</w:t>
      </w:r>
      <w:r w:rsidR="0091122D">
        <w:rPr>
          <w:sz w:val="24"/>
          <w:szCs w:val="24"/>
        </w:rPr>
        <w:t xml:space="preserve"> N</w:t>
      </w:r>
      <w:r w:rsidR="0091122D" w:rsidRPr="0091122D">
        <w:rPr>
          <w:sz w:val="24"/>
          <w:szCs w:val="24"/>
        </w:rPr>
        <w:t>omas maksa par nekustamo īpašumu Vaļņu ielā 28, Rīgā, tiks segta pilnā apmērā</w:t>
      </w:r>
      <w:r w:rsidR="0091122D">
        <w:rPr>
          <w:sz w:val="24"/>
          <w:szCs w:val="24"/>
        </w:rPr>
        <w:t>.</w:t>
      </w:r>
      <w:bookmarkStart w:id="1" w:name="_GoBack"/>
      <w:bookmarkEnd w:id="1"/>
      <w:r w:rsidR="0091122D" w:rsidRPr="0091122D">
        <w:rPr>
          <w:sz w:val="24"/>
          <w:szCs w:val="24"/>
        </w:rPr>
        <w:t> </w:t>
      </w:r>
    </w:p>
    <w:p w:rsidR="00CC02D6" w:rsidRDefault="00CC02D6" w:rsidP="00643539">
      <w:pPr>
        <w:ind w:firstLine="720"/>
        <w:jc w:val="right"/>
        <w:rPr>
          <w:sz w:val="24"/>
          <w:szCs w:val="24"/>
        </w:rPr>
      </w:pPr>
      <w:r>
        <w:rPr>
          <w:sz w:val="24"/>
          <w:szCs w:val="24"/>
        </w:rPr>
        <w:t>1.tabula</w:t>
      </w:r>
    </w:p>
    <w:p w:rsidR="00643539" w:rsidRPr="00643539" w:rsidRDefault="00643539" w:rsidP="00643539">
      <w:pPr>
        <w:ind w:firstLine="720"/>
        <w:jc w:val="center"/>
        <w:rPr>
          <w:sz w:val="24"/>
          <w:szCs w:val="24"/>
        </w:rPr>
      </w:pPr>
      <w:r w:rsidRPr="00643539">
        <w:rPr>
          <w:sz w:val="24"/>
          <w:szCs w:val="24"/>
        </w:rPr>
        <w:t>Iekšlietu ministrija</w:t>
      </w:r>
    </w:p>
    <w:p w:rsidR="00643539" w:rsidRPr="00643539" w:rsidRDefault="00643539" w:rsidP="00643539">
      <w:pPr>
        <w:ind w:firstLine="720"/>
        <w:jc w:val="center"/>
        <w:rPr>
          <w:sz w:val="24"/>
          <w:szCs w:val="24"/>
        </w:rPr>
      </w:pPr>
      <w:r w:rsidRPr="00643539">
        <w:rPr>
          <w:sz w:val="24"/>
          <w:szCs w:val="24"/>
        </w:rPr>
        <w:t>Finanšu izlūkošanas dienests</w:t>
      </w:r>
    </w:p>
    <w:p w:rsidR="00643539" w:rsidRDefault="00643539" w:rsidP="00643539">
      <w:pPr>
        <w:ind w:firstLine="720"/>
        <w:jc w:val="center"/>
        <w:rPr>
          <w:sz w:val="24"/>
          <w:szCs w:val="24"/>
        </w:rPr>
      </w:pPr>
      <w:r w:rsidRPr="00643539">
        <w:rPr>
          <w:sz w:val="24"/>
          <w:szCs w:val="24"/>
        </w:rPr>
        <w:t>budžeta programma 43.00.00 "Finanšu izlūkošanas dienesta darbība"</w:t>
      </w:r>
    </w:p>
    <w:p w:rsidR="00CC02D6" w:rsidRDefault="00643539" w:rsidP="00643539">
      <w:pPr>
        <w:ind w:firstLine="720"/>
        <w:jc w:val="center"/>
        <w:rPr>
          <w:sz w:val="24"/>
          <w:szCs w:val="24"/>
        </w:rPr>
      </w:pPr>
      <w:r w:rsidRPr="00643539">
        <w:rPr>
          <w:sz w:val="24"/>
          <w:szCs w:val="24"/>
        </w:rPr>
        <w:t>papildu nepieciešamo izdevumu aprēķins</w:t>
      </w:r>
    </w:p>
    <w:p w:rsidR="00643539" w:rsidRDefault="00643539" w:rsidP="00643539">
      <w:pPr>
        <w:ind w:firstLine="720"/>
        <w:jc w:val="center"/>
        <w:rPr>
          <w:sz w:val="24"/>
          <w:szCs w:val="24"/>
        </w:rPr>
      </w:pPr>
    </w:p>
    <w:tbl>
      <w:tblPr>
        <w:tblW w:w="9644" w:type="dxa"/>
        <w:tblInd w:w="-147" w:type="dxa"/>
        <w:tblLook w:val="04A0" w:firstRow="1" w:lastRow="0" w:firstColumn="1" w:lastColumn="0" w:noHBand="0" w:noVBand="1"/>
      </w:tblPr>
      <w:tblGrid>
        <w:gridCol w:w="900"/>
        <w:gridCol w:w="1363"/>
        <w:gridCol w:w="3402"/>
        <w:gridCol w:w="960"/>
        <w:gridCol w:w="960"/>
        <w:gridCol w:w="1057"/>
        <w:gridCol w:w="995"/>
        <w:gridCol w:w="7"/>
      </w:tblGrid>
      <w:tr w:rsidR="004E1AE6" w:rsidRPr="004E1AE6" w:rsidTr="002138E3">
        <w:trPr>
          <w:gridAfter w:val="1"/>
          <w:wAfter w:w="7" w:type="dxa"/>
          <w:trHeight w:val="507"/>
        </w:trPr>
        <w:tc>
          <w:tcPr>
            <w:tcW w:w="900" w:type="dxa"/>
            <w:vMerge w:val="restart"/>
            <w:tcBorders>
              <w:top w:val="single" w:sz="4" w:space="0" w:color="A6A6A6"/>
              <w:left w:val="single" w:sz="4" w:space="0" w:color="A6A6A6"/>
              <w:bottom w:val="single" w:sz="4" w:space="0" w:color="A6A6A6"/>
              <w:right w:val="single" w:sz="4" w:space="0" w:color="A6A6A6"/>
            </w:tcBorders>
            <w:shd w:val="clear" w:color="auto" w:fill="auto"/>
            <w:noWrap/>
            <w:vAlign w:val="center"/>
            <w:hideMark/>
          </w:tcPr>
          <w:p w:rsidR="004E1AE6" w:rsidRPr="004E1AE6" w:rsidRDefault="004E1AE6" w:rsidP="004E1AE6">
            <w:pPr>
              <w:jc w:val="center"/>
              <w:rPr>
                <w:b/>
                <w:bCs/>
                <w:color w:val="000000"/>
                <w:sz w:val="16"/>
                <w:szCs w:val="16"/>
              </w:rPr>
            </w:pPr>
            <w:r w:rsidRPr="004E1AE6">
              <w:rPr>
                <w:b/>
                <w:bCs/>
                <w:color w:val="000000"/>
                <w:sz w:val="16"/>
                <w:szCs w:val="16"/>
              </w:rPr>
              <w:t>EKK</w:t>
            </w:r>
          </w:p>
        </w:tc>
        <w:tc>
          <w:tcPr>
            <w:tcW w:w="1363" w:type="dxa"/>
            <w:vMerge w:val="restart"/>
            <w:tcBorders>
              <w:top w:val="single" w:sz="4" w:space="0" w:color="A6A6A6"/>
              <w:left w:val="single" w:sz="4" w:space="0" w:color="A6A6A6"/>
              <w:bottom w:val="single" w:sz="4" w:space="0" w:color="A6A6A6"/>
              <w:right w:val="single" w:sz="4" w:space="0" w:color="A6A6A6"/>
            </w:tcBorders>
            <w:shd w:val="clear" w:color="auto" w:fill="auto"/>
            <w:vAlign w:val="center"/>
            <w:hideMark/>
          </w:tcPr>
          <w:p w:rsidR="004E1AE6" w:rsidRPr="004E1AE6" w:rsidRDefault="004E1AE6" w:rsidP="004E1AE6">
            <w:pPr>
              <w:jc w:val="center"/>
              <w:rPr>
                <w:b/>
                <w:bCs/>
                <w:color w:val="000000"/>
                <w:sz w:val="16"/>
                <w:szCs w:val="16"/>
              </w:rPr>
            </w:pPr>
            <w:r w:rsidRPr="004E1AE6">
              <w:rPr>
                <w:b/>
                <w:bCs/>
                <w:color w:val="000000"/>
                <w:sz w:val="16"/>
                <w:szCs w:val="16"/>
              </w:rPr>
              <w:t>Apraksts</w:t>
            </w:r>
          </w:p>
        </w:tc>
        <w:tc>
          <w:tcPr>
            <w:tcW w:w="3402" w:type="dxa"/>
            <w:vMerge w:val="restart"/>
            <w:tcBorders>
              <w:top w:val="single" w:sz="4" w:space="0" w:color="A6A6A6"/>
              <w:left w:val="single" w:sz="4" w:space="0" w:color="A6A6A6"/>
              <w:bottom w:val="single" w:sz="4" w:space="0" w:color="A6A6A6"/>
              <w:right w:val="single" w:sz="4" w:space="0" w:color="A6A6A6"/>
            </w:tcBorders>
            <w:shd w:val="clear" w:color="auto" w:fill="auto"/>
            <w:vAlign w:val="center"/>
            <w:hideMark/>
          </w:tcPr>
          <w:p w:rsidR="004E1AE6" w:rsidRPr="004E1AE6" w:rsidRDefault="004E1AE6" w:rsidP="004E1AE6">
            <w:pPr>
              <w:jc w:val="center"/>
              <w:rPr>
                <w:b/>
                <w:bCs/>
                <w:color w:val="000000"/>
                <w:sz w:val="16"/>
                <w:szCs w:val="16"/>
              </w:rPr>
            </w:pPr>
            <w:r w:rsidRPr="004E1AE6">
              <w:rPr>
                <w:b/>
                <w:bCs/>
                <w:color w:val="000000"/>
                <w:sz w:val="16"/>
                <w:szCs w:val="16"/>
              </w:rPr>
              <w:t>Aprēķins</w:t>
            </w:r>
          </w:p>
        </w:tc>
        <w:tc>
          <w:tcPr>
            <w:tcW w:w="960" w:type="dxa"/>
            <w:vMerge w:val="restart"/>
            <w:tcBorders>
              <w:top w:val="single" w:sz="4" w:space="0" w:color="A6A6A6"/>
              <w:left w:val="single" w:sz="4" w:space="0" w:color="A6A6A6"/>
              <w:bottom w:val="single" w:sz="4" w:space="0" w:color="A6A6A6"/>
              <w:right w:val="single" w:sz="4" w:space="0" w:color="A6A6A6"/>
            </w:tcBorders>
            <w:shd w:val="clear" w:color="auto" w:fill="auto"/>
            <w:noWrap/>
            <w:vAlign w:val="center"/>
            <w:hideMark/>
          </w:tcPr>
          <w:p w:rsidR="004E1AE6" w:rsidRPr="004E1AE6" w:rsidRDefault="004E1AE6" w:rsidP="004E1AE6">
            <w:pPr>
              <w:jc w:val="center"/>
              <w:rPr>
                <w:b/>
                <w:bCs/>
                <w:color w:val="000000"/>
                <w:sz w:val="16"/>
                <w:szCs w:val="16"/>
              </w:rPr>
            </w:pPr>
            <w:r w:rsidRPr="004E1AE6">
              <w:rPr>
                <w:b/>
                <w:bCs/>
                <w:color w:val="000000"/>
                <w:sz w:val="16"/>
                <w:szCs w:val="16"/>
              </w:rPr>
              <w:t>2024. gadā</w:t>
            </w:r>
          </w:p>
        </w:tc>
        <w:tc>
          <w:tcPr>
            <w:tcW w:w="960" w:type="dxa"/>
            <w:vMerge w:val="restart"/>
            <w:tcBorders>
              <w:top w:val="single" w:sz="4" w:space="0" w:color="A6A6A6"/>
              <w:left w:val="single" w:sz="4" w:space="0" w:color="A6A6A6"/>
              <w:bottom w:val="single" w:sz="4" w:space="0" w:color="A6A6A6"/>
              <w:right w:val="single" w:sz="4" w:space="0" w:color="A6A6A6"/>
            </w:tcBorders>
            <w:shd w:val="clear" w:color="auto" w:fill="auto"/>
            <w:noWrap/>
            <w:vAlign w:val="center"/>
            <w:hideMark/>
          </w:tcPr>
          <w:p w:rsidR="004E1AE6" w:rsidRPr="004E1AE6" w:rsidRDefault="004E1AE6" w:rsidP="004E1AE6">
            <w:pPr>
              <w:jc w:val="center"/>
              <w:rPr>
                <w:b/>
                <w:bCs/>
                <w:color w:val="000000"/>
                <w:sz w:val="16"/>
                <w:szCs w:val="16"/>
              </w:rPr>
            </w:pPr>
            <w:r w:rsidRPr="004E1AE6">
              <w:rPr>
                <w:b/>
                <w:bCs/>
                <w:color w:val="000000"/>
                <w:sz w:val="16"/>
                <w:szCs w:val="16"/>
              </w:rPr>
              <w:t xml:space="preserve">2025. gadā </w:t>
            </w:r>
          </w:p>
        </w:tc>
        <w:tc>
          <w:tcPr>
            <w:tcW w:w="1057" w:type="dxa"/>
            <w:vMerge w:val="restart"/>
            <w:tcBorders>
              <w:top w:val="single" w:sz="4" w:space="0" w:color="A6A6A6"/>
              <w:left w:val="single" w:sz="4" w:space="0" w:color="A6A6A6"/>
              <w:bottom w:val="single" w:sz="4" w:space="0" w:color="A6A6A6"/>
              <w:right w:val="single" w:sz="4" w:space="0" w:color="A6A6A6"/>
            </w:tcBorders>
            <w:shd w:val="clear" w:color="auto" w:fill="auto"/>
            <w:vAlign w:val="center"/>
            <w:hideMark/>
          </w:tcPr>
          <w:p w:rsidR="004E1AE6" w:rsidRPr="004E1AE6" w:rsidRDefault="004E1AE6" w:rsidP="004E1AE6">
            <w:pPr>
              <w:jc w:val="center"/>
              <w:rPr>
                <w:b/>
                <w:bCs/>
                <w:color w:val="000000"/>
                <w:sz w:val="16"/>
                <w:szCs w:val="16"/>
              </w:rPr>
            </w:pPr>
            <w:r w:rsidRPr="004E1AE6">
              <w:rPr>
                <w:b/>
                <w:bCs/>
                <w:color w:val="000000"/>
                <w:sz w:val="16"/>
                <w:szCs w:val="16"/>
              </w:rPr>
              <w:t xml:space="preserve">2026. gads </w:t>
            </w:r>
          </w:p>
        </w:tc>
        <w:tc>
          <w:tcPr>
            <w:tcW w:w="995" w:type="dxa"/>
            <w:vMerge w:val="restart"/>
            <w:tcBorders>
              <w:top w:val="single" w:sz="4" w:space="0" w:color="A6A6A6"/>
              <w:left w:val="single" w:sz="4" w:space="0" w:color="A6A6A6"/>
              <w:bottom w:val="single" w:sz="4" w:space="0" w:color="A6A6A6"/>
              <w:right w:val="single" w:sz="4" w:space="0" w:color="A6A6A6"/>
            </w:tcBorders>
            <w:shd w:val="clear" w:color="auto" w:fill="auto"/>
            <w:vAlign w:val="center"/>
            <w:hideMark/>
          </w:tcPr>
          <w:p w:rsidR="004E1AE6" w:rsidRPr="004E1AE6" w:rsidRDefault="004E1AE6" w:rsidP="004E1AE6">
            <w:pPr>
              <w:jc w:val="center"/>
              <w:rPr>
                <w:b/>
                <w:bCs/>
                <w:color w:val="000000"/>
                <w:sz w:val="16"/>
                <w:szCs w:val="16"/>
              </w:rPr>
            </w:pPr>
            <w:r w:rsidRPr="004E1AE6">
              <w:rPr>
                <w:b/>
                <w:bCs/>
                <w:color w:val="000000"/>
                <w:sz w:val="16"/>
                <w:szCs w:val="16"/>
              </w:rPr>
              <w:t xml:space="preserve"> 2027. gads un turpmāk katru gadu</w:t>
            </w:r>
          </w:p>
        </w:tc>
      </w:tr>
      <w:tr w:rsidR="004E1AE6" w:rsidRPr="004E1AE6" w:rsidTr="002138E3">
        <w:trPr>
          <w:gridAfter w:val="1"/>
          <w:wAfter w:w="7" w:type="dxa"/>
          <w:trHeight w:val="507"/>
        </w:trPr>
        <w:tc>
          <w:tcPr>
            <w:tcW w:w="900" w:type="dxa"/>
            <w:vMerge/>
            <w:tcBorders>
              <w:top w:val="single" w:sz="4" w:space="0" w:color="A6A6A6"/>
              <w:left w:val="single" w:sz="4" w:space="0" w:color="A6A6A6"/>
              <w:bottom w:val="single" w:sz="4" w:space="0" w:color="A6A6A6"/>
              <w:right w:val="single" w:sz="4" w:space="0" w:color="A6A6A6"/>
            </w:tcBorders>
            <w:vAlign w:val="center"/>
            <w:hideMark/>
          </w:tcPr>
          <w:p w:rsidR="004E1AE6" w:rsidRPr="004E1AE6" w:rsidRDefault="004E1AE6" w:rsidP="004E1AE6">
            <w:pPr>
              <w:jc w:val="left"/>
              <w:rPr>
                <w:b/>
                <w:bCs/>
                <w:color w:val="000000"/>
                <w:sz w:val="16"/>
                <w:szCs w:val="16"/>
              </w:rPr>
            </w:pPr>
          </w:p>
        </w:tc>
        <w:tc>
          <w:tcPr>
            <w:tcW w:w="1363" w:type="dxa"/>
            <w:vMerge/>
            <w:tcBorders>
              <w:top w:val="single" w:sz="4" w:space="0" w:color="A6A6A6"/>
              <w:left w:val="single" w:sz="4" w:space="0" w:color="A6A6A6"/>
              <w:bottom w:val="single" w:sz="4" w:space="0" w:color="A6A6A6"/>
              <w:right w:val="single" w:sz="4" w:space="0" w:color="A6A6A6"/>
            </w:tcBorders>
            <w:vAlign w:val="center"/>
            <w:hideMark/>
          </w:tcPr>
          <w:p w:rsidR="004E1AE6" w:rsidRPr="004E1AE6" w:rsidRDefault="004E1AE6" w:rsidP="004E1AE6">
            <w:pPr>
              <w:jc w:val="left"/>
              <w:rPr>
                <w:b/>
                <w:bCs/>
                <w:color w:val="000000"/>
                <w:sz w:val="16"/>
                <w:szCs w:val="16"/>
              </w:rPr>
            </w:pPr>
          </w:p>
        </w:tc>
        <w:tc>
          <w:tcPr>
            <w:tcW w:w="3402" w:type="dxa"/>
            <w:vMerge/>
            <w:tcBorders>
              <w:top w:val="single" w:sz="4" w:space="0" w:color="A6A6A6"/>
              <w:left w:val="single" w:sz="4" w:space="0" w:color="A6A6A6"/>
              <w:bottom w:val="single" w:sz="4" w:space="0" w:color="A6A6A6"/>
              <w:right w:val="single" w:sz="4" w:space="0" w:color="A6A6A6"/>
            </w:tcBorders>
            <w:vAlign w:val="center"/>
            <w:hideMark/>
          </w:tcPr>
          <w:p w:rsidR="004E1AE6" w:rsidRPr="004E1AE6" w:rsidRDefault="004E1AE6" w:rsidP="004E1AE6">
            <w:pPr>
              <w:jc w:val="left"/>
              <w:rPr>
                <w:b/>
                <w:bCs/>
                <w:color w:val="000000"/>
                <w:sz w:val="16"/>
                <w:szCs w:val="16"/>
              </w:rPr>
            </w:pPr>
          </w:p>
        </w:tc>
        <w:tc>
          <w:tcPr>
            <w:tcW w:w="960" w:type="dxa"/>
            <w:vMerge/>
            <w:tcBorders>
              <w:top w:val="single" w:sz="4" w:space="0" w:color="A6A6A6"/>
              <w:left w:val="single" w:sz="4" w:space="0" w:color="A6A6A6"/>
              <w:bottom w:val="single" w:sz="4" w:space="0" w:color="A6A6A6"/>
              <w:right w:val="single" w:sz="4" w:space="0" w:color="A6A6A6"/>
            </w:tcBorders>
            <w:vAlign w:val="center"/>
            <w:hideMark/>
          </w:tcPr>
          <w:p w:rsidR="004E1AE6" w:rsidRPr="004E1AE6" w:rsidRDefault="004E1AE6" w:rsidP="004E1AE6">
            <w:pPr>
              <w:jc w:val="left"/>
              <w:rPr>
                <w:b/>
                <w:bCs/>
                <w:color w:val="000000"/>
                <w:sz w:val="16"/>
                <w:szCs w:val="16"/>
              </w:rPr>
            </w:pPr>
          </w:p>
        </w:tc>
        <w:tc>
          <w:tcPr>
            <w:tcW w:w="960" w:type="dxa"/>
            <w:vMerge/>
            <w:tcBorders>
              <w:top w:val="single" w:sz="4" w:space="0" w:color="A6A6A6"/>
              <w:left w:val="single" w:sz="4" w:space="0" w:color="A6A6A6"/>
              <w:bottom w:val="single" w:sz="4" w:space="0" w:color="A6A6A6"/>
              <w:right w:val="single" w:sz="4" w:space="0" w:color="A6A6A6"/>
            </w:tcBorders>
            <w:vAlign w:val="center"/>
            <w:hideMark/>
          </w:tcPr>
          <w:p w:rsidR="004E1AE6" w:rsidRPr="004E1AE6" w:rsidRDefault="004E1AE6" w:rsidP="004E1AE6">
            <w:pPr>
              <w:jc w:val="left"/>
              <w:rPr>
                <w:b/>
                <w:bCs/>
                <w:color w:val="000000"/>
                <w:sz w:val="16"/>
                <w:szCs w:val="16"/>
              </w:rPr>
            </w:pPr>
          </w:p>
        </w:tc>
        <w:tc>
          <w:tcPr>
            <w:tcW w:w="1057" w:type="dxa"/>
            <w:vMerge/>
            <w:tcBorders>
              <w:top w:val="single" w:sz="4" w:space="0" w:color="A6A6A6"/>
              <w:left w:val="single" w:sz="4" w:space="0" w:color="A6A6A6"/>
              <w:bottom w:val="single" w:sz="4" w:space="0" w:color="A6A6A6"/>
              <w:right w:val="single" w:sz="4" w:space="0" w:color="A6A6A6"/>
            </w:tcBorders>
            <w:vAlign w:val="center"/>
            <w:hideMark/>
          </w:tcPr>
          <w:p w:rsidR="004E1AE6" w:rsidRPr="004E1AE6" w:rsidRDefault="004E1AE6" w:rsidP="004E1AE6">
            <w:pPr>
              <w:jc w:val="left"/>
              <w:rPr>
                <w:b/>
                <w:bCs/>
                <w:color w:val="000000"/>
                <w:sz w:val="16"/>
                <w:szCs w:val="16"/>
              </w:rPr>
            </w:pPr>
          </w:p>
        </w:tc>
        <w:tc>
          <w:tcPr>
            <w:tcW w:w="995" w:type="dxa"/>
            <w:vMerge/>
            <w:tcBorders>
              <w:top w:val="single" w:sz="4" w:space="0" w:color="A6A6A6"/>
              <w:left w:val="single" w:sz="4" w:space="0" w:color="A6A6A6"/>
              <w:bottom w:val="single" w:sz="4" w:space="0" w:color="A6A6A6"/>
              <w:right w:val="single" w:sz="4" w:space="0" w:color="A6A6A6"/>
            </w:tcBorders>
            <w:vAlign w:val="center"/>
            <w:hideMark/>
          </w:tcPr>
          <w:p w:rsidR="004E1AE6" w:rsidRPr="004E1AE6" w:rsidRDefault="004E1AE6" w:rsidP="004E1AE6">
            <w:pPr>
              <w:jc w:val="left"/>
              <w:rPr>
                <w:b/>
                <w:bCs/>
                <w:color w:val="000000"/>
                <w:sz w:val="16"/>
                <w:szCs w:val="16"/>
              </w:rPr>
            </w:pPr>
          </w:p>
        </w:tc>
      </w:tr>
      <w:tr w:rsidR="00BF7B9C" w:rsidRPr="004E1AE6" w:rsidTr="002138E3">
        <w:trPr>
          <w:gridAfter w:val="1"/>
          <w:wAfter w:w="7" w:type="dxa"/>
          <w:trHeight w:val="280"/>
        </w:trPr>
        <w:tc>
          <w:tcPr>
            <w:tcW w:w="900" w:type="dxa"/>
            <w:tcBorders>
              <w:top w:val="nil"/>
              <w:left w:val="single" w:sz="4" w:space="0" w:color="A6A6A6"/>
              <w:bottom w:val="single" w:sz="4" w:space="0" w:color="A6A6A6"/>
              <w:right w:val="single" w:sz="4" w:space="0" w:color="A6A6A6"/>
            </w:tcBorders>
            <w:shd w:val="clear" w:color="000000" w:fill="FDE9D9"/>
            <w:vAlign w:val="center"/>
            <w:hideMark/>
          </w:tcPr>
          <w:p w:rsidR="004E1AE6" w:rsidRPr="004E1AE6" w:rsidRDefault="004E1AE6" w:rsidP="004E1AE6">
            <w:pPr>
              <w:jc w:val="left"/>
              <w:rPr>
                <w:b/>
                <w:bCs/>
                <w:color w:val="000000"/>
                <w:sz w:val="16"/>
                <w:szCs w:val="16"/>
              </w:rPr>
            </w:pPr>
            <w:r w:rsidRPr="004E1AE6">
              <w:rPr>
                <w:b/>
                <w:bCs/>
                <w:color w:val="000000"/>
                <w:sz w:val="16"/>
                <w:szCs w:val="16"/>
              </w:rPr>
              <w:t> </w:t>
            </w:r>
          </w:p>
        </w:tc>
        <w:tc>
          <w:tcPr>
            <w:tcW w:w="1363" w:type="dxa"/>
            <w:tcBorders>
              <w:top w:val="nil"/>
              <w:left w:val="nil"/>
              <w:bottom w:val="single" w:sz="4" w:space="0" w:color="A6A6A6"/>
              <w:right w:val="single" w:sz="4" w:space="0" w:color="A6A6A6"/>
            </w:tcBorders>
            <w:shd w:val="clear" w:color="000000" w:fill="FDE9D9"/>
            <w:vAlign w:val="center"/>
            <w:hideMark/>
          </w:tcPr>
          <w:p w:rsidR="004E1AE6" w:rsidRPr="004E1AE6" w:rsidRDefault="004E1AE6" w:rsidP="004E1AE6">
            <w:pPr>
              <w:jc w:val="center"/>
              <w:rPr>
                <w:b/>
                <w:bCs/>
                <w:color w:val="000000"/>
                <w:sz w:val="16"/>
                <w:szCs w:val="16"/>
              </w:rPr>
            </w:pPr>
            <w:r w:rsidRPr="004E1AE6">
              <w:rPr>
                <w:b/>
                <w:bCs/>
                <w:color w:val="000000"/>
                <w:sz w:val="16"/>
                <w:szCs w:val="16"/>
              </w:rPr>
              <w:t>PAVISAM:</w:t>
            </w:r>
          </w:p>
        </w:tc>
        <w:tc>
          <w:tcPr>
            <w:tcW w:w="3402" w:type="dxa"/>
            <w:tcBorders>
              <w:top w:val="nil"/>
              <w:left w:val="nil"/>
              <w:bottom w:val="single" w:sz="4" w:space="0" w:color="A6A6A6"/>
              <w:right w:val="single" w:sz="4" w:space="0" w:color="A6A6A6"/>
            </w:tcBorders>
            <w:shd w:val="clear" w:color="000000" w:fill="FDE9D9"/>
            <w:vAlign w:val="center"/>
            <w:hideMark/>
          </w:tcPr>
          <w:p w:rsidR="004E1AE6" w:rsidRPr="004E1AE6" w:rsidRDefault="004E1AE6" w:rsidP="004E1AE6">
            <w:pPr>
              <w:jc w:val="left"/>
              <w:rPr>
                <w:color w:val="000000"/>
                <w:sz w:val="16"/>
                <w:szCs w:val="16"/>
              </w:rPr>
            </w:pPr>
            <w:r w:rsidRPr="004E1AE6">
              <w:rPr>
                <w:color w:val="000000"/>
                <w:sz w:val="16"/>
                <w:szCs w:val="16"/>
              </w:rPr>
              <w:t> </w:t>
            </w:r>
          </w:p>
        </w:tc>
        <w:tc>
          <w:tcPr>
            <w:tcW w:w="960" w:type="dxa"/>
            <w:tcBorders>
              <w:top w:val="nil"/>
              <w:left w:val="nil"/>
              <w:bottom w:val="single" w:sz="4" w:space="0" w:color="A6A6A6"/>
              <w:right w:val="single" w:sz="4" w:space="0" w:color="A6A6A6"/>
            </w:tcBorders>
            <w:shd w:val="clear" w:color="000000" w:fill="FDE9D9"/>
            <w:noWrap/>
            <w:vAlign w:val="center"/>
            <w:hideMark/>
          </w:tcPr>
          <w:p w:rsidR="004E1AE6" w:rsidRPr="004E1AE6" w:rsidRDefault="004E1AE6" w:rsidP="004E1AE6">
            <w:pPr>
              <w:jc w:val="center"/>
              <w:rPr>
                <w:b/>
                <w:bCs/>
                <w:color w:val="000000"/>
                <w:sz w:val="16"/>
                <w:szCs w:val="16"/>
              </w:rPr>
            </w:pPr>
            <w:r w:rsidRPr="004E1AE6">
              <w:rPr>
                <w:b/>
                <w:bCs/>
                <w:color w:val="000000"/>
                <w:sz w:val="16"/>
                <w:szCs w:val="16"/>
              </w:rPr>
              <w:t>173 547</w:t>
            </w:r>
          </w:p>
        </w:tc>
        <w:tc>
          <w:tcPr>
            <w:tcW w:w="960" w:type="dxa"/>
            <w:tcBorders>
              <w:top w:val="nil"/>
              <w:left w:val="nil"/>
              <w:bottom w:val="single" w:sz="4" w:space="0" w:color="A6A6A6"/>
              <w:right w:val="single" w:sz="4" w:space="0" w:color="A6A6A6"/>
            </w:tcBorders>
            <w:shd w:val="clear" w:color="000000" w:fill="FDE9D9"/>
            <w:noWrap/>
            <w:vAlign w:val="center"/>
            <w:hideMark/>
          </w:tcPr>
          <w:p w:rsidR="004E1AE6" w:rsidRPr="004E1AE6" w:rsidRDefault="004E1AE6" w:rsidP="004E1AE6">
            <w:pPr>
              <w:jc w:val="center"/>
              <w:rPr>
                <w:b/>
                <w:bCs/>
                <w:color w:val="000000"/>
                <w:sz w:val="16"/>
                <w:szCs w:val="16"/>
              </w:rPr>
            </w:pPr>
            <w:r w:rsidRPr="004E1AE6">
              <w:rPr>
                <w:b/>
                <w:bCs/>
                <w:color w:val="000000"/>
                <w:sz w:val="16"/>
                <w:szCs w:val="16"/>
              </w:rPr>
              <w:t>173 547</w:t>
            </w:r>
          </w:p>
        </w:tc>
        <w:tc>
          <w:tcPr>
            <w:tcW w:w="1057" w:type="dxa"/>
            <w:tcBorders>
              <w:top w:val="nil"/>
              <w:left w:val="nil"/>
              <w:bottom w:val="single" w:sz="4" w:space="0" w:color="A6A6A6"/>
              <w:right w:val="single" w:sz="4" w:space="0" w:color="A6A6A6"/>
            </w:tcBorders>
            <w:shd w:val="clear" w:color="000000" w:fill="FDE9D9"/>
            <w:noWrap/>
            <w:vAlign w:val="center"/>
            <w:hideMark/>
          </w:tcPr>
          <w:p w:rsidR="004E1AE6" w:rsidRPr="004E1AE6" w:rsidRDefault="004E1AE6" w:rsidP="004E1AE6">
            <w:pPr>
              <w:jc w:val="center"/>
              <w:rPr>
                <w:b/>
                <w:bCs/>
                <w:color w:val="000000"/>
                <w:sz w:val="16"/>
                <w:szCs w:val="16"/>
              </w:rPr>
            </w:pPr>
            <w:r w:rsidRPr="004E1AE6">
              <w:rPr>
                <w:b/>
                <w:bCs/>
                <w:color w:val="000000"/>
                <w:sz w:val="16"/>
                <w:szCs w:val="16"/>
              </w:rPr>
              <w:t>173 547</w:t>
            </w:r>
          </w:p>
        </w:tc>
        <w:tc>
          <w:tcPr>
            <w:tcW w:w="995" w:type="dxa"/>
            <w:tcBorders>
              <w:top w:val="nil"/>
              <w:left w:val="nil"/>
              <w:bottom w:val="single" w:sz="4" w:space="0" w:color="A6A6A6"/>
              <w:right w:val="single" w:sz="4" w:space="0" w:color="A6A6A6"/>
            </w:tcBorders>
            <w:shd w:val="clear" w:color="000000" w:fill="FDE9D9"/>
            <w:noWrap/>
            <w:vAlign w:val="center"/>
            <w:hideMark/>
          </w:tcPr>
          <w:p w:rsidR="004E1AE6" w:rsidRPr="004E1AE6" w:rsidRDefault="004E1AE6" w:rsidP="004E1AE6">
            <w:pPr>
              <w:jc w:val="center"/>
              <w:rPr>
                <w:b/>
                <w:bCs/>
                <w:color w:val="000000"/>
                <w:sz w:val="16"/>
                <w:szCs w:val="16"/>
              </w:rPr>
            </w:pPr>
            <w:r w:rsidRPr="004E1AE6">
              <w:rPr>
                <w:b/>
                <w:bCs/>
                <w:color w:val="000000"/>
                <w:sz w:val="16"/>
                <w:szCs w:val="16"/>
              </w:rPr>
              <w:t>173 547</w:t>
            </w:r>
          </w:p>
        </w:tc>
      </w:tr>
      <w:tr w:rsidR="00BF7B9C" w:rsidRPr="004E1AE6" w:rsidTr="002138E3">
        <w:trPr>
          <w:gridAfter w:val="1"/>
          <w:wAfter w:w="7" w:type="dxa"/>
          <w:trHeight w:val="454"/>
        </w:trPr>
        <w:tc>
          <w:tcPr>
            <w:tcW w:w="900" w:type="dxa"/>
            <w:tcBorders>
              <w:top w:val="nil"/>
              <w:left w:val="single" w:sz="4" w:space="0" w:color="A6A6A6"/>
              <w:bottom w:val="single" w:sz="4" w:space="0" w:color="A6A6A6"/>
              <w:right w:val="single" w:sz="4" w:space="0" w:color="A6A6A6"/>
            </w:tcBorders>
            <w:shd w:val="clear" w:color="000000" w:fill="FDE9D9"/>
            <w:vAlign w:val="center"/>
            <w:hideMark/>
          </w:tcPr>
          <w:p w:rsidR="004E1AE6" w:rsidRPr="004E1AE6" w:rsidRDefault="004E1AE6" w:rsidP="004E1AE6">
            <w:pPr>
              <w:jc w:val="left"/>
              <w:rPr>
                <w:b/>
                <w:bCs/>
                <w:color w:val="000000"/>
                <w:sz w:val="16"/>
                <w:szCs w:val="16"/>
              </w:rPr>
            </w:pPr>
            <w:r w:rsidRPr="004E1AE6">
              <w:rPr>
                <w:b/>
                <w:bCs/>
                <w:color w:val="000000"/>
                <w:sz w:val="16"/>
                <w:szCs w:val="16"/>
              </w:rPr>
              <w:t>EKK 2000</w:t>
            </w:r>
          </w:p>
        </w:tc>
        <w:tc>
          <w:tcPr>
            <w:tcW w:w="1363" w:type="dxa"/>
            <w:tcBorders>
              <w:top w:val="nil"/>
              <w:left w:val="nil"/>
              <w:bottom w:val="single" w:sz="4" w:space="0" w:color="A6A6A6"/>
              <w:right w:val="single" w:sz="4" w:space="0" w:color="A6A6A6"/>
            </w:tcBorders>
            <w:shd w:val="clear" w:color="000000" w:fill="FDE9D9"/>
            <w:vAlign w:val="center"/>
            <w:hideMark/>
          </w:tcPr>
          <w:p w:rsidR="004E1AE6" w:rsidRPr="004E1AE6" w:rsidRDefault="004E1AE6" w:rsidP="004E1AE6">
            <w:pPr>
              <w:jc w:val="center"/>
              <w:rPr>
                <w:b/>
                <w:bCs/>
                <w:color w:val="000000"/>
                <w:sz w:val="16"/>
                <w:szCs w:val="16"/>
              </w:rPr>
            </w:pPr>
            <w:r w:rsidRPr="004E1AE6">
              <w:rPr>
                <w:b/>
                <w:bCs/>
                <w:color w:val="000000"/>
                <w:sz w:val="16"/>
                <w:szCs w:val="16"/>
              </w:rPr>
              <w:t xml:space="preserve">Preces un pakalpojumi </w:t>
            </w:r>
          </w:p>
        </w:tc>
        <w:tc>
          <w:tcPr>
            <w:tcW w:w="3402" w:type="dxa"/>
            <w:tcBorders>
              <w:top w:val="nil"/>
              <w:left w:val="nil"/>
              <w:bottom w:val="single" w:sz="4" w:space="0" w:color="A6A6A6"/>
              <w:right w:val="single" w:sz="4" w:space="0" w:color="A6A6A6"/>
            </w:tcBorders>
            <w:shd w:val="clear" w:color="000000" w:fill="FDE9D9"/>
            <w:vAlign w:val="center"/>
            <w:hideMark/>
          </w:tcPr>
          <w:p w:rsidR="004E1AE6" w:rsidRPr="004E1AE6" w:rsidRDefault="004E1AE6" w:rsidP="004E1AE6">
            <w:pPr>
              <w:jc w:val="left"/>
              <w:rPr>
                <w:color w:val="000000"/>
                <w:sz w:val="16"/>
                <w:szCs w:val="16"/>
              </w:rPr>
            </w:pPr>
            <w:r w:rsidRPr="004E1AE6">
              <w:rPr>
                <w:color w:val="000000"/>
                <w:sz w:val="16"/>
                <w:szCs w:val="16"/>
              </w:rPr>
              <w:t> </w:t>
            </w:r>
          </w:p>
        </w:tc>
        <w:tc>
          <w:tcPr>
            <w:tcW w:w="960" w:type="dxa"/>
            <w:tcBorders>
              <w:top w:val="nil"/>
              <w:left w:val="nil"/>
              <w:bottom w:val="single" w:sz="4" w:space="0" w:color="A6A6A6"/>
              <w:right w:val="single" w:sz="4" w:space="0" w:color="A6A6A6"/>
            </w:tcBorders>
            <w:shd w:val="clear" w:color="000000" w:fill="FDE9D9"/>
            <w:noWrap/>
            <w:vAlign w:val="center"/>
            <w:hideMark/>
          </w:tcPr>
          <w:p w:rsidR="004E1AE6" w:rsidRPr="004E1AE6" w:rsidRDefault="004E1AE6" w:rsidP="004E1AE6">
            <w:pPr>
              <w:jc w:val="center"/>
              <w:rPr>
                <w:b/>
                <w:bCs/>
                <w:color w:val="000000"/>
                <w:sz w:val="16"/>
                <w:szCs w:val="16"/>
              </w:rPr>
            </w:pPr>
            <w:r w:rsidRPr="004E1AE6">
              <w:rPr>
                <w:b/>
                <w:bCs/>
                <w:color w:val="000000"/>
                <w:sz w:val="16"/>
                <w:szCs w:val="16"/>
              </w:rPr>
              <w:t>173 547</w:t>
            </w:r>
          </w:p>
        </w:tc>
        <w:tc>
          <w:tcPr>
            <w:tcW w:w="960" w:type="dxa"/>
            <w:tcBorders>
              <w:top w:val="nil"/>
              <w:left w:val="nil"/>
              <w:bottom w:val="single" w:sz="4" w:space="0" w:color="A6A6A6"/>
              <w:right w:val="single" w:sz="4" w:space="0" w:color="A6A6A6"/>
            </w:tcBorders>
            <w:shd w:val="clear" w:color="000000" w:fill="FDE9D9"/>
            <w:noWrap/>
            <w:vAlign w:val="center"/>
            <w:hideMark/>
          </w:tcPr>
          <w:p w:rsidR="004E1AE6" w:rsidRPr="004E1AE6" w:rsidRDefault="004E1AE6" w:rsidP="004E1AE6">
            <w:pPr>
              <w:jc w:val="center"/>
              <w:rPr>
                <w:b/>
                <w:bCs/>
                <w:color w:val="000000"/>
                <w:sz w:val="16"/>
                <w:szCs w:val="16"/>
              </w:rPr>
            </w:pPr>
            <w:r w:rsidRPr="004E1AE6">
              <w:rPr>
                <w:b/>
                <w:bCs/>
                <w:color w:val="000000"/>
                <w:sz w:val="16"/>
                <w:szCs w:val="16"/>
              </w:rPr>
              <w:t>173 547</w:t>
            </w:r>
          </w:p>
        </w:tc>
        <w:tc>
          <w:tcPr>
            <w:tcW w:w="1057" w:type="dxa"/>
            <w:tcBorders>
              <w:top w:val="nil"/>
              <w:left w:val="nil"/>
              <w:bottom w:val="single" w:sz="4" w:space="0" w:color="A6A6A6"/>
              <w:right w:val="single" w:sz="4" w:space="0" w:color="A6A6A6"/>
            </w:tcBorders>
            <w:shd w:val="clear" w:color="000000" w:fill="FDE9D9"/>
            <w:noWrap/>
            <w:vAlign w:val="center"/>
            <w:hideMark/>
          </w:tcPr>
          <w:p w:rsidR="004E1AE6" w:rsidRPr="004E1AE6" w:rsidRDefault="004E1AE6" w:rsidP="004E1AE6">
            <w:pPr>
              <w:jc w:val="center"/>
              <w:rPr>
                <w:b/>
                <w:bCs/>
                <w:color w:val="000000"/>
                <w:sz w:val="16"/>
                <w:szCs w:val="16"/>
              </w:rPr>
            </w:pPr>
            <w:r w:rsidRPr="004E1AE6">
              <w:rPr>
                <w:b/>
                <w:bCs/>
                <w:color w:val="000000"/>
                <w:sz w:val="16"/>
                <w:szCs w:val="16"/>
              </w:rPr>
              <w:t>173 547</w:t>
            </w:r>
          </w:p>
        </w:tc>
        <w:tc>
          <w:tcPr>
            <w:tcW w:w="995" w:type="dxa"/>
            <w:tcBorders>
              <w:top w:val="nil"/>
              <w:left w:val="nil"/>
              <w:bottom w:val="single" w:sz="4" w:space="0" w:color="A6A6A6"/>
              <w:right w:val="single" w:sz="4" w:space="0" w:color="A6A6A6"/>
            </w:tcBorders>
            <w:shd w:val="clear" w:color="000000" w:fill="FDE9D9"/>
            <w:noWrap/>
            <w:vAlign w:val="center"/>
            <w:hideMark/>
          </w:tcPr>
          <w:p w:rsidR="004E1AE6" w:rsidRPr="004E1AE6" w:rsidRDefault="004E1AE6" w:rsidP="004E1AE6">
            <w:pPr>
              <w:jc w:val="center"/>
              <w:rPr>
                <w:b/>
                <w:bCs/>
                <w:color w:val="000000"/>
                <w:sz w:val="16"/>
                <w:szCs w:val="16"/>
              </w:rPr>
            </w:pPr>
            <w:r w:rsidRPr="004E1AE6">
              <w:rPr>
                <w:b/>
                <w:bCs/>
                <w:color w:val="000000"/>
                <w:sz w:val="16"/>
                <w:szCs w:val="16"/>
              </w:rPr>
              <w:t>173 547</w:t>
            </w:r>
          </w:p>
        </w:tc>
      </w:tr>
      <w:tr w:rsidR="004E1AE6" w:rsidRPr="004E1AE6" w:rsidTr="002138E3">
        <w:trPr>
          <w:trHeight w:val="1361"/>
        </w:trPr>
        <w:tc>
          <w:tcPr>
            <w:tcW w:w="9644" w:type="dxa"/>
            <w:gridSpan w:val="8"/>
            <w:tcBorders>
              <w:top w:val="single" w:sz="4" w:space="0" w:color="A6A6A6"/>
              <w:left w:val="single" w:sz="4" w:space="0" w:color="A6A6A6"/>
              <w:bottom w:val="single" w:sz="4" w:space="0" w:color="A6A6A6"/>
              <w:right w:val="single" w:sz="4" w:space="0" w:color="A6A6A6"/>
            </w:tcBorders>
            <w:shd w:val="clear" w:color="000000" w:fill="FFFFFF"/>
            <w:vAlign w:val="center"/>
            <w:hideMark/>
          </w:tcPr>
          <w:p w:rsidR="004E1AE6" w:rsidRPr="004E1AE6" w:rsidRDefault="004E1AE6" w:rsidP="004E1AE6">
            <w:pPr>
              <w:jc w:val="left"/>
              <w:rPr>
                <w:color w:val="000000"/>
                <w:sz w:val="16"/>
                <w:szCs w:val="16"/>
              </w:rPr>
            </w:pPr>
            <w:r w:rsidRPr="004E1AE6">
              <w:rPr>
                <w:color w:val="000000"/>
                <w:sz w:val="16"/>
                <w:szCs w:val="16"/>
              </w:rPr>
              <w:t xml:space="preserve">Izdevumi par telpu Vaļņu ielā 28, Rīga, </w:t>
            </w:r>
            <w:r w:rsidR="00844B06" w:rsidRPr="004E1AE6">
              <w:rPr>
                <w:color w:val="000000"/>
                <w:sz w:val="16"/>
                <w:szCs w:val="16"/>
              </w:rPr>
              <w:t>nomu</w:t>
            </w:r>
            <w:r w:rsidRPr="004E1AE6">
              <w:rPr>
                <w:color w:val="000000"/>
                <w:sz w:val="16"/>
                <w:szCs w:val="16"/>
              </w:rPr>
              <w:br/>
              <w:t>Finansējums attiecas uz pasākumu Nr.6.2. (4),  kura ieviešana uzsākta atbilstoši Pasākumu plānam noziedzīgi iegūtu līdzekļu legalizācijas, terorisma un proliferācijas finansēšanas novēršanai 2022. gadam (apstiprināts ar Ministru kabineta 2022. gada 22. februāra rīkojumu Nr.122). Pasākums Nr.6.2. (4) nav terminēts.</w:t>
            </w:r>
            <w:r w:rsidRPr="004E1AE6">
              <w:rPr>
                <w:color w:val="000000"/>
                <w:sz w:val="16"/>
                <w:szCs w:val="16"/>
              </w:rPr>
              <w:br/>
              <w:t xml:space="preserve">Pasākums Nr. 6.2.(4):  FID darbinieki uzsākuši darbu telpās, kas atbilst MK 2004. gada 6. janvāra noteikumos Nr. 21 “Valsts noslēpuma, Ziemeļatlantijas līguma organizācijas, Eiropas Savienības un ārvalstu institūciju klasificētās informācijas aizsardzības noteikumi” un MK 2016. gada 12. jūlija ieteikumos Nr. 2 “Vienotās prasības valsts pārvaldes iestāžu biroju ēkām un biroja telpu grupām” noteiktajām prasībām. </w:t>
            </w:r>
          </w:p>
        </w:tc>
      </w:tr>
      <w:tr w:rsidR="00BF7B9C" w:rsidRPr="004E1AE6" w:rsidTr="002138E3">
        <w:trPr>
          <w:gridAfter w:val="1"/>
          <w:wAfter w:w="7" w:type="dxa"/>
          <w:trHeight w:val="280"/>
        </w:trPr>
        <w:tc>
          <w:tcPr>
            <w:tcW w:w="900" w:type="dxa"/>
            <w:tcBorders>
              <w:top w:val="nil"/>
              <w:left w:val="single" w:sz="4" w:space="0" w:color="A6A6A6"/>
              <w:bottom w:val="single" w:sz="4" w:space="0" w:color="A6A6A6"/>
              <w:right w:val="single" w:sz="4" w:space="0" w:color="A6A6A6"/>
            </w:tcBorders>
            <w:shd w:val="clear" w:color="000000" w:fill="FDE9D9"/>
            <w:vAlign w:val="center"/>
            <w:hideMark/>
          </w:tcPr>
          <w:p w:rsidR="004E1AE6" w:rsidRPr="004E1AE6" w:rsidRDefault="004E1AE6" w:rsidP="004E1AE6">
            <w:pPr>
              <w:jc w:val="center"/>
              <w:rPr>
                <w:b/>
                <w:bCs/>
                <w:color w:val="FF0000"/>
                <w:sz w:val="16"/>
                <w:szCs w:val="16"/>
              </w:rPr>
            </w:pPr>
            <w:r w:rsidRPr="004E1AE6">
              <w:rPr>
                <w:b/>
                <w:bCs/>
                <w:color w:val="FF0000"/>
                <w:sz w:val="16"/>
                <w:szCs w:val="16"/>
              </w:rPr>
              <w:t> </w:t>
            </w:r>
          </w:p>
        </w:tc>
        <w:tc>
          <w:tcPr>
            <w:tcW w:w="1363" w:type="dxa"/>
            <w:tcBorders>
              <w:top w:val="nil"/>
              <w:left w:val="nil"/>
              <w:bottom w:val="single" w:sz="4" w:space="0" w:color="A6A6A6"/>
              <w:right w:val="single" w:sz="4" w:space="0" w:color="A6A6A6"/>
            </w:tcBorders>
            <w:shd w:val="clear" w:color="000000" w:fill="FDE9D9"/>
            <w:vAlign w:val="center"/>
            <w:hideMark/>
          </w:tcPr>
          <w:p w:rsidR="004E1AE6" w:rsidRPr="004E1AE6" w:rsidRDefault="004E1AE6" w:rsidP="004E1AE6">
            <w:pPr>
              <w:jc w:val="center"/>
              <w:rPr>
                <w:b/>
                <w:bCs/>
                <w:color w:val="000000"/>
                <w:sz w:val="16"/>
                <w:szCs w:val="16"/>
              </w:rPr>
            </w:pPr>
            <w:r w:rsidRPr="004E1AE6">
              <w:rPr>
                <w:b/>
                <w:bCs/>
                <w:color w:val="000000"/>
                <w:sz w:val="16"/>
                <w:szCs w:val="16"/>
              </w:rPr>
              <w:t> </w:t>
            </w:r>
          </w:p>
        </w:tc>
        <w:tc>
          <w:tcPr>
            <w:tcW w:w="3402" w:type="dxa"/>
            <w:tcBorders>
              <w:top w:val="nil"/>
              <w:left w:val="nil"/>
              <w:bottom w:val="single" w:sz="4" w:space="0" w:color="A6A6A6"/>
              <w:right w:val="single" w:sz="4" w:space="0" w:color="A6A6A6"/>
            </w:tcBorders>
            <w:shd w:val="clear" w:color="000000" w:fill="FDE9D9"/>
            <w:vAlign w:val="center"/>
            <w:hideMark/>
          </w:tcPr>
          <w:p w:rsidR="004E1AE6" w:rsidRPr="004E1AE6" w:rsidRDefault="004E1AE6" w:rsidP="004E1AE6">
            <w:pPr>
              <w:jc w:val="center"/>
              <w:rPr>
                <w:b/>
                <w:bCs/>
                <w:color w:val="000000"/>
                <w:sz w:val="16"/>
                <w:szCs w:val="16"/>
              </w:rPr>
            </w:pPr>
            <w:r w:rsidRPr="004E1AE6">
              <w:rPr>
                <w:b/>
                <w:bCs/>
                <w:color w:val="000000"/>
                <w:sz w:val="16"/>
                <w:szCs w:val="16"/>
              </w:rPr>
              <w:t xml:space="preserve"> KOPĀ:</w:t>
            </w:r>
          </w:p>
        </w:tc>
        <w:tc>
          <w:tcPr>
            <w:tcW w:w="960" w:type="dxa"/>
            <w:tcBorders>
              <w:top w:val="nil"/>
              <w:left w:val="nil"/>
              <w:bottom w:val="single" w:sz="4" w:space="0" w:color="A6A6A6"/>
              <w:right w:val="single" w:sz="4" w:space="0" w:color="A6A6A6"/>
            </w:tcBorders>
            <w:shd w:val="clear" w:color="000000" w:fill="FDE9D9"/>
            <w:vAlign w:val="bottom"/>
            <w:hideMark/>
          </w:tcPr>
          <w:p w:rsidR="004E1AE6" w:rsidRPr="004E1AE6" w:rsidRDefault="004E1AE6" w:rsidP="004E1AE6">
            <w:pPr>
              <w:jc w:val="right"/>
              <w:rPr>
                <w:b/>
                <w:bCs/>
                <w:color w:val="000000"/>
                <w:sz w:val="16"/>
                <w:szCs w:val="16"/>
              </w:rPr>
            </w:pPr>
            <w:r w:rsidRPr="004E1AE6">
              <w:rPr>
                <w:b/>
                <w:bCs/>
                <w:color w:val="000000"/>
                <w:sz w:val="16"/>
                <w:szCs w:val="16"/>
              </w:rPr>
              <w:t>173 547</w:t>
            </w:r>
          </w:p>
        </w:tc>
        <w:tc>
          <w:tcPr>
            <w:tcW w:w="960" w:type="dxa"/>
            <w:tcBorders>
              <w:top w:val="nil"/>
              <w:left w:val="nil"/>
              <w:bottom w:val="single" w:sz="4" w:space="0" w:color="A6A6A6"/>
              <w:right w:val="single" w:sz="4" w:space="0" w:color="A6A6A6"/>
            </w:tcBorders>
            <w:shd w:val="clear" w:color="000000" w:fill="FDE9D9"/>
            <w:vAlign w:val="bottom"/>
            <w:hideMark/>
          </w:tcPr>
          <w:p w:rsidR="004E1AE6" w:rsidRPr="004E1AE6" w:rsidRDefault="004E1AE6" w:rsidP="004E1AE6">
            <w:pPr>
              <w:jc w:val="right"/>
              <w:rPr>
                <w:b/>
                <w:bCs/>
                <w:color w:val="000000"/>
                <w:sz w:val="16"/>
                <w:szCs w:val="16"/>
              </w:rPr>
            </w:pPr>
            <w:r w:rsidRPr="004E1AE6">
              <w:rPr>
                <w:b/>
                <w:bCs/>
                <w:color w:val="000000"/>
                <w:sz w:val="16"/>
                <w:szCs w:val="16"/>
              </w:rPr>
              <w:t>173 547</w:t>
            </w:r>
          </w:p>
        </w:tc>
        <w:tc>
          <w:tcPr>
            <w:tcW w:w="1057" w:type="dxa"/>
            <w:tcBorders>
              <w:top w:val="nil"/>
              <w:left w:val="nil"/>
              <w:bottom w:val="single" w:sz="4" w:space="0" w:color="A6A6A6"/>
              <w:right w:val="single" w:sz="4" w:space="0" w:color="A6A6A6"/>
            </w:tcBorders>
            <w:shd w:val="clear" w:color="000000" w:fill="FDE9D9"/>
            <w:vAlign w:val="bottom"/>
            <w:hideMark/>
          </w:tcPr>
          <w:p w:rsidR="004E1AE6" w:rsidRPr="004E1AE6" w:rsidRDefault="004E1AE6" w:rsidP="004E1AE6">
            <w:pPr>
              <w:jc w:val="right"/>
              <w:rPr>
                <w:b/>
                <w:bCs/>
                <w:color w:val="000000"/>
                <w:sz w:val="16"/>
                <w:szCs w:val="16"/>
              </w:rPr>
            </w:pPr>
            <w:r w:rsidRPr="004E1AE6">
              <w:rPr>
                <w:b/>
                <w:bCs/>
                <w:color w:val="000000"/>
                <w:sz w:val="16"/>
                <w:szCs w:val="16"/>
              </w:rPr>
              <w:t>173 547</w:t>
            </w:r>
          </w:p>
        </w:tc>
        <w:tc>
          <w:tcPr>
            <w:tcW w:w="995" w:type="dxa"/>
            <w:tcBorders>
              <w:top w:val="nil"/>
              <w:left w:val="nil"/>
              <w:bottom w:val="single" w:sz="4" w:space="0" w:color="A6A6A6"/>
              <w:right w:val="single" w:sz="4" w:space="0" w:color="A6A6A6"/>
            </w:tcBorders>
            <w:shd w:val="clear" w:color="000000" w:fill="FDE9D9"/>
            <w:vAlign w:val="bottom"/>
            <w:hideMark/>
          </w:tcPr>
          <w:p w:rsidR="004E1AE6" w:rsidRPr="004E1AE6" w:rsidRDefault="004E1AE6" w:rsidP="004E1AE6">
            <w:pPr>
              <w:jc w:val="right"/>
              <w:rPr>
                <w:b/>
                <w:bCs/>
                <w:color w:val="000000"/>
                <w:sz w:val="16"/>
                <w:szCs w:val="16"/>
              </w:rPr>
            </w:pPr>
            <w:r w:rsidRPr="004E1AE6">
              <w:rPr>
                <w:b/>
                <w:bCs/>
                <w:color w:val="000000"/>
                <w:sz w:val="16"/>
                <w:szCs w:val="16"/>
              </w:rPr>
              <w:t>173 547</w:t>
            </w:r>
          </w:p>
        </w:tc>
      </w:tr>
      <w:tr w:rsidR="00BF7B9C" w:rsidRPr="004E1AE6" w:rsidTr="002138E3">
        <w:trPr>
          <w:gridAfter w:val="1"/>
          <w:wAfter w:w="7" w:type="dxa"/>
          <w:trHeight w:val="397"/>
        </w:trPr>
        <w:tc>
          <w:tcPr>
            <w:tcW w:w="900" w:type="dxa"/>
            <w:tcBorders>
              <w:top w:val="nil"/>
              <w:left w:val="single" w:sz="4" w:space="0" w:color="A6A6A6"/>
              <w:bottom w:val="single" w:sz="4" w:space="0" w:color="A6A6A6"/>
              <w:right w:val="single" w:sz="4" w:space="0" w:color="A6A6A6"/>
            </w:tcBorders>
            <w:shd w:val="clear" w:color="000000" w:fill="E7E6E6"/>
            <w:vAlign w:val="center"/>
            <w:hideMark/>
          </w:tcPr>
          <w:p w:rsidR="004E1AE6" w:rsidRPr="004E1AE6" w:rsidRDefault="004E1AE6" w:rsidP="004E1AE6">
            <w:pPr>
              <w:jc w:val="left"/>
              <w:rPr>
                <w:b/>
                <w:bCs/>
                <w:color w:val="000000"/>
                <w:sz w:val="16"/>
                <w:szCs w:val="16"/>
              </w:rPr>
            </w:pPr>
            <w:r w:rsidRPr="004E1AE6">
              <w:rPr>
                <w:b/>
                <w:bCs/>
                <w:color w:val="000000"/>
                <w:sz w:val="16"/>
                <w:szCs w:val="16"/>
              </w:rPr>
              <w:t>EKK 2000</w:t>
            </w:r>
          </w:p>
        </w:tc>
        <w:tc>
          <w:tcPr>
            <w:tcW w:w="1363" w:type="dxa"/>
            <w:tcBorders>
              <w:top w:val="nil"/>
              <w:left w:val="nil"/>
              <w:bottom w:val="single" w:sz="4" w:space="0" w:color="A6A6A6"/>
              <w:right w:val="single" w:sz="4" w:space="0" w:color="A6A6A6"/>
            </w:tcBorders>
            <w:shd w:val="clear" w:color="000000" w:fill="E7E6E6"/>
            <w:vAlign w:val="center"/>
            <w:hideMark/>
          </w:tcPr>
          <w:p w:rsidR="004E1AE6" w:rsidRPr="004E1AE6" w:rsidRDefault="004E1AE6" w:rsidP="004E1AE6">
            <w:pPr>
              <w:jc w:val="center"/>
              <w:rPr>
                <w:b/>
                <w:bCs/>
                <w:color w:val="000000"/>
                <w:sz w:val="16"/>
                <w:szCs w:val="16"/>
              </w:rPr>
            </w:pPr>
            <w:r w:rsidRPr="004E1AE6">
              <w:rPr>
                <w:b/>
                <w:bCs/>
                <w:color w:val="000000"/>
                <w:sz w:val="16"/>
                <w:szCs w:val="16"/>
              </w:rPr>
              <w:t>Preces un pakalpojumi</w:t>
            </w:r>
          </w:p>
        </w:tc>
        <w:tc>
          <w:tcPr>
            <w:tcW w:w="3402" w:type="dxa"/>
            <w:tcBorders>
              <w:top w:val="nil"/>
              <w:left w:val="nil"/>
              <w:bottom w:val="single" w:sz="4" w:space="0" w:color="A6A6A6"/>
              <w:right w:val="single" w:sz="4" w:space="0" w:color="A6A6A6"/>
            </w:tcBorders>
            <w:shd w:val="clear" w:color="000000" w:fill="E7E6E6"/>
            <w:vAlign w:val="center"/>
            <w:hideMark/>
          </w:tcPr>
          <w:p w:rsidR="004E1AE6" w:rsidRPr="004E1AE6" w:rsidRDefault="004E1AE6" w:rsidP="004E1AE6">
            <w:pPr>
              <w:jc w:val="left"/>
              <w:rPr>
                <w:b/>
                <w:bCs/>
                <w:color w:val="000000"/>
                <w:sz w:val="16"/>
                <w:szCs w:val="16"/>
              </w:rPr>
            </w:pPr>
            <w:r w:rsidRPr="004E1AE6">
              <w:rPr>
                <w:b/>
                <w:bCs/>
                <w:color w:val="000000"/>
                <w:sz w:val="16"/>
                <w:szCs w:val="16"/>
              </w:rPr>
              <w:t> </w:t>
            </w:r>
          </w:p>
        </w:tc>
        <w:tc>
          <w:tcPr>
            <w:tcW w:w="960" w:type="dxa"/>
            <w:tcBorders>
              <w:top w:val="nil"/>
              <w:left w:val="nil"/>
              <w:bottom w:val="single" w:sz="4" w:space="0" w:color="A6A6A6"/>
              <w:right w:val="single" w:sz="4" w:space="0" w:color="A6A6A6"/>
            </w:tcBorders>
            <w:shd w:val="clear" w:color="000000" w:fill="E7E6E6"/>
            <w:noWrap/>
            <w:vAlign w:val="center"/>
            <w:hideMark/>
          </w:tcPr>
          <w:p w:rsidR="004E1AE6" w:rsidRPr="004E1AE6" w:rsidRDefault="004E1AE6" w:rsidP="004E1AE6">
            <w:pPr>
              <w:jc w:val="right"/>
              <w:rPr>
                <w:b/>
                <w:bCs/>
                <w:color w:val="000000"/>
                <w:sz w:val="16"/>
                <w:szCs w:val="16"/>
              </w:rPr>
            </w:pPr>
            <w:r w:rsidRPr="004E1AE6">
              <w:rPr>
                <w:b/>
                <w:bCs/>
                <w:color w:val="000000"/>
                <w:sz w:val="16"/>
                <w:szCs w:val="16"/>
              </w:rPr>
              <w:t>173 547</w:t>
            </w:r>
          </w:p>
        </w:tc>
        <w:tc>
          <w:tcPr>
            <w:tcW w:w="960" w:type="dxa"/>
            <w:tcBorders>
              <w:top w:val="nil"/>
              <w:left w:val="nil"/>
              <w:bottom w:val="single" w:sz="4" w:space="0" w:color="A6A6A6"/>
              <w:right w:val="single" w:sz="4" w:space="0" w:color="A6A6A6"/>
            </w:tcBorders>
            <w:shd w:val="clear" w:color="000000" w:fill="E7E6E6"/>
            <w:noWrap/>
            <w:vAlign w:val="center"/>
            <w:hideMark/>
          </w:tcPr>
          <w:p w:rsidR="004E1AE6" w:rsidRPr="004E1AE6" w:rsidRDefault="004E1AE6" w:rsidP="004E1AE6">
            <w:pPr>
              <w:jc w:val="right"/>
              <w:rPr>
                <w:b/>
                <w:bCs/>
                <w:color w:val="000000"/>
                <w:sz w:val="16"/>
                <w:szCs w:val="16"/>
              </w:rPr>
            </w:pPr>
            <w:r w:rsidRPr="004E1AE6">
              <w:rPr>
                <w:b/>
                <w:bCs/>
                <w:color w:val="000000"/>
                <w:sz w:val="16"/>
                <w:szCs w:val="16"/>
              </w:rPr>
              <w:t>173 547</w:t>
            </w:r>
          </w:p>
        </w:tc>
        <w:tc>
          <w:tcPr>
            <w:tcW w:w="1057" w:type="dxa"/>
            <w:tcBorders>
              <w:top w:val="nil"/>
              <w:left w:val="nil"/>
              <w:bottom w:val="single" w:sz="4" w:space="0" w:color="A6A6A6"/>
              <w:right w:val="single" w:sz="4" w:space="0" w:color="A6A6A6"/>
            </w:tcBorders>
            <w:shd w:val="clear" w:color="000000" w:fill="E7E6E6"/>
            <w:noWrap/>
            <w:vAlign w:val="center"/>
            <w:hideMark/>
          </w:tcPr>
          <w:p w:rsidR="004E1AE6" w:rsidRPr="004E1AE6" w:rsidRDefault="004E1AE6" w:rsidP="004E1AE6">
            <w:pPr>
              <w:jc w:val="right"/>
              <w:rPr>
                <w:b/>
                <w:bCs/>
                <w:color w:val="000000"/>
                <w:sz w:val="16"/>
                <w:szCs w:val="16"/>
              </w:rPr>
            </w:pPr>
            <w:r w:rsidRPr="004E1AE6">
              <w:rPr>
                <w:b/>
                <w:bCs/>
                <w:color w:val="000000"/>
                <w:sz w:val="16"/>
                <w:szCs w:val="16"/>
              </w:rPr>
              <w:t>173 547</w:t>
            </w:r>
          </w:p>
        </w:tc>
        <w:tc>
          <w:tcPr>
            <w:tcW w:w="995" w:type="dxa"/>
            <w:tcBorders>
              <w:top w:val="nil"/>
              <w:left w:val="nil"/>
              <w:bottom w:val="single" w:sz="4" w:space="0" w:color="A6A6A6"/>
              <w:right w:val="single" w:sz="4" w:space="0" w:color="A6A6A6"/>
            </w:tcBorders>
            <w:shd w:val="clear" w:color="000000" w:fill="E7E6E6"/>
            <w:noWrap/>
            <w:vAlign w:val="center"/>
            <w:hideMark/>
          </w:tcPr>
          <w:p w:rsidR="004E1AE6" w:rsidRPr="004E1AE6" w:rsidRDefault="004E1AE6" w:rsidP="004E1AE6">
            <w:pPr>
              <w:jc w:val="right"/>
              <w:rPr>
                <w:b/>
                <w:bCs/>
                <w:color w:val="000000"/>
                <w:sz w:val="16"/>
                <w:szCs w:val="16"/>
              </w:rPr>
            </w:pPr>
            <w:r w:rsidRPr="004E1AE6">
              <w:rPr>
                <w:b/>
                <w:bCs/>
                <w:color w:val="000000"/>
                <w:sz w:val="16"/>
                <w:szCs w:val="16"/>
              </w:rPr>
              <w:t>173 547</w:t>
            </w:r>
          </w:p>
        </w:tc>
      </w:tr>
      <w:tr w:rsidR="00BF7B9C" w:rsidRPr="004E1AE6" w:rsidTr="002138E3">
        <w:trPr>
          <w:gridAfter w:val="1"/>
          <w:wAfter w:w="7" w:type="dxa"/>
          <w:trHeight w:val="1890"/>
        </w:trPr>
        <w:tc>
          <w:tcPr>
            <w:tcW w:w="900" w:type="dxa"/>
            <w:tcBorders>
              <w:top w:val="nil"/>
              <w:left w:val="single" w:sz="4" w:space="0" w:color="A6A6A6"/>
              <w:bottom w:val="single" w:sz="4" w:space="0" w:color="A6A6A6"/>
              <w:right w:val="single" w:sz="4" w:space="0" w:color="A6A6A6"/>
            </w:tcBorders>
            <w:shd w:val="clear" w:color="000000" w:fill="FFFFFF"/>
            <w:vAlign w:val="center"/>
            <w:hideMark/>
          </w:tcPr>
          <w:p w:rsidR="004E1AE6" w:rsidRPr="004E1AE6" w:rsidRDefault="004E1AE6" w:rsidP="004E1AE6">
            <w:pPr>
              <w:jc w:val="right"/>
              <w:rPr>
                <w:color w:val="000000"/>
                <w:sz w:val="16"/>
                <w:szCs w:val="16"/>
              </w:rPr>
            </w:pPr>
            <w:r w:rsidRPr="004E1AE6">
              <w:rPr>
                <w:color w:val="000000"/>
                <w:sz w:val="16"/>
                <w:szCs w:val="16"/>
              </w:rPr>
              <w:t>2261</w:t>
            </w:r>
          </w:p>
        </w:tc>
        <w:tc>
          <w:tcPr>
            <w:tcW w:w="1363" w:type="dxa"/>
            <w:tcBorders>
              <w:top w:val="nil"/>
              <w:left w:val="nil"/>
              <w:bottom w:val="single" w:sz="4" w:space="0" w:color="A6A6A6"/>
              <w:right w:val="single" w:sz="4" w:space="0" w:color="A6A6A6"/>
            </w:tcBorders>
            <w:shd w:val="clear" w:color="000000" w:fill="FFFFFF"/>
            <w:vAlign w:val="center"/>
            <w:hideMark/>
          </w:tcPr>
          <w:p w:rsidR="004E1AE6" w:rsidRPr="004E1AE6" w:rsidRDefault="004E1AE6" w:rsidP="004E1AE6">
            <w:pPr>
              <w:jc w:val="left"/>
              <w:rPr>
                <w:color w:val="000000"/>
                <w:sz w:val="16"/>
                <w:szCs w:val="16"/>
              </w:rPr>
            </w:pPr>
            <w:r w:rsidRPr="004E1AE6">
              <w:rPr>
                <w:color w:val="000000"/>
                <w:sz w:val="16"/>
                <w:szCs w:val="16"/>
              </w:rPr>
              <w:t>Ēku telpu īre un noma</w:t>
            </w:r>
          </w:p>
        </w:tc>
        <w:tc>
          <w:tcPr>
            <w:tcW w:w="3402" w:type="dxa"/>
            <w:tcBorders>
              <w:top w:val="nil"/>
              <w:left w:val="nil"/>
              <w:bottom w:val="single" w:sz="4" w:space="0" w:color="A6A6A6"/>
              <w:right w:val="single" w:sz="4" w:space="0" w:color="A6A6A6"/>
            </w:tcBorders>
            <w:shd w:val="clear" w:color="000000" w:fill="FFFFFF"/>
            <w:vAlign w:val="center"/>
            <w:hideMark/>
          </w:tcPr>
          <w:p w:rsidR="004E1AE6" w:rsidRPr="004E1AE6" w:rsidRDefault="004E1AE6" w:rsidP="004E1AE6">
            <w:pPr>
              <w:jc w:val="left"/>
              <w:rPr>
                <w:color w:val="000000"/>
                <w:sz w:val="16"/>
                <w:szCs w:val="16"/>
              </w:rPr>
            </w:pPr>
            <w:r w:rsidRPr="004E1AE6">
              <w:rPr>
                <w:color w:val="000000"/>
                <w:sz w:val="16"/>
                <w:szCs w:val="16"/>
              </w:rPr>
              <w:t xml:space="preserve">No 2024. gada </w:t>
            </w:r>
            <w:r w:rsidRPr="004E1AE6">
              <w:rPr>
                <w:color w:val="000000"/>
                <w:sz w:val="16"/>
                <w:szCs w:val="16"/>
              </w:rPr>
              <w:br/>
              <w:t>Telpu noma Vaļņu ielā 28, Rīga</w:t>
            </w:r>
            <w:r w:rsidRPr="004E1AE6">
              <w:rPr>
                <w:color w:val="000000"/>
                <w:sz w:val="16"/>
                <w:szCs w:val="16"/>
              </w:rPr>
              <w:br/>
              <w:t xml:space="preserve">Telpu noma: 437 733 (36 477,77 euro x 12 </w:t>
            </w:r>
            <w:proofErr w:type="spellStart"/>
            <w:r w:rsidRPr="004E1AE6">
              <w:rPr>
                <w:color w:val="000000"/>
                <w:sz w:val="16"/>
                <w:szCs w:val="16"/>
              </w:rPr>
              <w:t>mēn</w:t>
            </w:r>
            <w:proofErr w:type="spellEnd"/>
            <w:r w:rsidRPr="004E1AE6">
              <w:rPr>
                <w:color w:val="000000"/>
                <w:sz w:val="16"/>
                <w:szCs w:val="16"/>
              </w:rPr>
              <w:t>.)</w:t>
            </w:r>
            <w:r w:rsidRPr="004E1AE6">
              <w:rPr>
                <w:color w:val="000000"/>
                <w:sz w:val="16"/>
                <w:szCs w:val="16"/>
              </w:rPr>
              <w:br/>
              <w:t xml:space="preserve">Papildu nepieciešams: 437 733 euro - 264 186 euro  (finansējums plānots bāzes izdevumos, ievērojot piešķirto finansējumu saskaņā ar  pasākumu plānu un izdevumu pārdali starp izdevumu ekonomiskās klasifikācijas kodiem ) = 173 547 euro                                                              </w:t>
            </w:r>
          </w:p>
        </w:tc>
        <w:tc>
          <w:tcPr>
            <w:tcW w:w="960" w:type="dxa"/>
            <w:tcBorders>
              <w:top w:val="nil"/>
              <w:left w:val="nil"/>
              <w:bottom w:val="single" w:sz="4" w:space="0" w:color="A6A6A6"/>
              <w:right w:val="single" w:sz="4" w:space="0" w:color="A6A6A6"/>
            </w:tcBorders>
            <w:shd w:val="clear" w:color="000000" w:fill="FFFFFF"/>
            <w:noWrap/>
            <w:vAlign w:val="center"/>
            <w:hideMark/>
          </w:tcPr>
          <w:p w:rsidR="004E1AE6" w:rsidRPr="004E1AE6" w:rsidRDefault="004E1AE6" w:rsidP="004E1AE6">
            <w:pPr>
              <w:jc w:val="right"/>
              <w:rPr>
                <w:color w:val="000000"/>
                <w:sz w:val="16"/>
                <w:szCs w:val="16"/>
              </w:rPr>
            </w:pPr>
            <w:r w:rsidRPr="004E1AE6">
              <w:rPr>
                <w:color w:val="000000"/>
                <w:sz w:val="16"/>
                <w:szCs w:val="16"/>
              </w:rPr>
              <w:t>173 547</w:t>
            </w:r>
          </w:p>
        </w:tc>
        <w:tc>
          <w:tcPr>
            <w:tcW w:w="960" w:type="dxa"/>
            <w:tcBorders>
              <w:top w:val="nil"/>
              <w:left w:val="nil"/>
              <w:bottom w:val="single" w:sz="4" w:space="0" w:color="A6A6A6"/>
              <w:right w:val="single" w:sz="4" w:space="0" w:color="A6A6A6"/>
            </w:tcBorders>
            <w:shd w:val="clear" w:color="000000" w:fill="FFFFFF"/>
            <w:noWrap/>
            <w:vAlign w:val="center"/>
            <w:hideMark/>
          </w:tcPr>
          <w:p w:rsidR="004E1AE6" w:rsidRPr="004E1AE6" w:rsidRDefault="004E1AE6" w:rsidP="004E1AE6">
            <w:pPr>
              <w:jc w:val="right"/>
              <w:rPr>
                <w:color w:val="000000"/>
                <w:sz w:val="16"/>
                <w:szCs w:val="16"/>
              </w:rPr>
            </w:pPr>
            <w:r w:rsidRPr="004E1AE6">
              <w:rPr>
                <w:color w:val="000000"/>
                <w:sz w:val="16"/>
                <w:szCs w:val="16"/>
              </w:rPr>
              <w:t>173 547</w:t>
            </w:r>
          </w:p>
        </w:tc>
        <w:tc>
          <w:tcPr>
            <w:tcW w:w="1057" w:type="dxa"/>
            <w:tcBorders>
              <w:top w:val="nil"/>
              <w:left w:val="nil"/>
              <w:bottom w:val="single" w:sz="4" w:space="0" w:color="A6A6A6"/>
              <w:right w:val="single" w:sz="4" w:space="0" w:color="A6A6A6"/>
            </w:tcBorders>
            <w:shd w:val="clear" w:color="000000" w:fill="FFFFFF"/>
            <w:noWrap/>
            <w:vAlign w:val="center"/>
            <w:hideMark/>
          </w:tcPr>
          <w:p w:rsidR="004E1AE6" w:rsidRPr="004E1AE6" w:rsidRDefault="004E1AE6" w:rsidP="004E1AE6">
            <w:pPr>
              <w:jc w:val="right"/>
              <w:rPr>
                <w:color w:val="000000"/>
                <w:sz w:val="16"/>
                <w:szCs w:val="16"/>
              </w:rPr>
            </w:pPr>
            <w:r w:rsidRPr="004E1AE6">
              <w:rPr>
                <w:color w:val="000000"/>
                <w:sz w:val="16"/>
                <w:szCs w:val="16"/>
              </w:rPr>
              <w:t>173 547</w:t>
            </w:r>
          </w:p>
        </w:tc>
        <w:tc>
          <w:tcPr>
            <w:tcW w:w="995" w:type="dxa"/>
            <w:tcBorders>
              <w:top w:val="nil"/>
              <w:left w:val="nil"/>
              <w:bottom w:val="single" w:sz="4" w:space="0" w:color="A6A6A6"/>
              <w:right w:val="single" w:sz="4" w:space="0" w:color="A6A6A6"/>
            </w:tcBorders>
            <w:shd w:val="clear" w:color="000000" w:fill="FFFFFF"/>
            <w:noWrap/>
            <w:vAlign w:val="center"/>
            <w:hideMark/>
          </w:tcPr>
          <w:p w:rsidR="004E1AE6" w:rsidRPr="004E1AE6" w:rsidRDefault="004E1AE6" w:rsidP="004E1AE6">
            <w:pPr>
              <w:jc w:val="right"/>
              <w:rPr>
                <w:color w:val="000000"/>
                <w:sz w:val="16"/>
                <w:szCs w:val="16"/>
              </w:rPr>
            </w:pPr>
            <w:r w:rsidRPr="004E1AE6">
              <w:rPr>
                <w:color w:val="000000"/>
                <w:sz w:val="16"/>
                <w:szCs w:val="16"/>
              </w:rPr>
              <w:t>173 547</w:t>
            </w:r>
          </w:p>
        </w:tc>
      </w:tr>
    </w:tbl>
    <w:p w:rsidR="00643539" w:rsidRDefault="00643539" w:rsidP="00643539">
      <w:pPr>
        <w:ind w:firstLine="720"/>
        <w:jc w:val="center"/>
        <w:rPr>
          <w:sz w:val="24"/>
          <w:szCs w:val="24"/>
        </w:rPr>
      </w:pPr>
    </w:p>
    <w:p w:rsidR="0036574C" w:rsidRPr="0036574C" w:rsidRDefault="0036574C" w:rsidP="0036574C">
      <w:pPr>
        <w:ind w:firstLine="720"/>
        <w:rPr>
          <w:sz w:val="24"/>
          <w:szCs w:val="24"/>
        </w:rPr>
      </w:pPr>
      <w:r w:rsidRPr="0036574C">
        <w:rPr>
          <w:sz w:val="24"/>
          <w:szCs w:val="24"/>
        </w:rPr>
        <w:t>Lai nodrošinātu papildu finansējumu telpu Vaļņu ielā 28, Rīgā</w:t>
      </w:r>
      <w:r w:rsidR="00232506">
        <w:rPr>
          <w:sz w:val="24"/>
          <w:szCs w:val="24"/>
        </w:rPr>
        <w:t>,</w:t>
      </w:r>
      <w:r w:rsidRPr="0036574C">
        <w:rPr>
          <w:sz w:val="24"/>
          <w:szCs w:val="24"/>
        </w:rPr>
        <w:t xml:space="preserve"> nomas maksas </w:t>
      </w:r>
      <w:r w:rsidR="00D17D0D">
        <w:rPr>
          <w:sz w:val="24"/>
          <w:szCs w:val="24"/>
        </w:rPr>
        <w:t xml:space="preserve">palielinājuma </w:t>
      </w:r>
      <w:r w:rsidRPr="0036574C">
        <w:rPr>
          <w:sz w:val="24"/>
          <w:szCs w:val="24"/>
        </w:rPr>
        <w:t xml:space="preserve">segšanai, </w:t>
      </w:r>
      <w:r>
        <w:rPr>
          <w:sz w:val="24"/>
          <w:szCs w:val="24"/>
        </w:rPr>
        <w:t>nepieciešams</w:t>
      </w:r>
      <w:r w:rsidRPr="0036574C">
        <w:rPr>
          <w:sz w:val="24"/>
          <w:szCs w:val="24"/>
        </w:rPr>
        <w:t xml:space="preserve"> veikt finansējuma pārdali no budžeta resora “74.</w:t>
      </w:r>
      <w:r w:rsidR="00DF01D4">
        <w:rPr>
          <w:sz w:val="24"/>
          <w:szCs w:val="24"/>
        </w:rPr>
        <w:t> </w:t>
      </w:r>
      <w:r w:rsidRPr="0036574C">
        <w:rPr>
          <w:sz w:val="24"/>
          <w:szCs w:val="24"/>
        </w:rPr>
        <w:t>Gadskārtējā valsts budžeta izpildes procesā pārdalāmais finansējums” 10.00.00 programm</w:t>
      </w:r>
      <w:r w:rsidR="00D17D0D">
        <w:rPr>
          <w:sz w:val="24"/>
          <w:szCs w:val="24"/>
        </w:rPr>
        <w:t>ā</w:t>
      </w:r>
      <w:r w:rsidRPr="0036574C">
        <w:rPr>
          <w:sz w:val="24"/>
          <w:szCs w:val="24"/>
        </w:rPr>
        <w:t xml:space="preserve"> “Noziedzīgi iegūtu līdzekļu legalizācijas un terorisma finansēšanas novēršana” </w:t>
      </w:r>
      <w:r w:rsidR="00D17D0D">
        <w:rPr>
          <w:sz w:val="24"/>
          <w:szCs w:val="24"/>
        </w:rPr>
        <w:t xml:space="preserve">paredzētā nesadalītā finansējuma </w:t>
      </w:r>
      <w:r w:rsidRPr="0036574C">
        <w:rPr>
          <w:sz w:val="24"/>
          <w:szCs w:val="24"/>
        </w:rPr>
        <w:t>2024. gadā un turpmāk ik gadu 173 547 </w:t>
      </w:r>
      <w:r w:rsidRPr="0036574C">
        <w:rPr>
          <w:i/>
          <w:sz w:val="24"/>
          <w:szCs w:val="24"/>
        </w:rPr>
        <w:t xml:space="preserve">euro </w:t>
      </w:r>
      <w:r w:rsidRPr="0036574C">
        <w:rPr>
          <w:sz w:val="24"/>
          <w:szCs w:val="24"/>
        </w:rPr>
        <w:t>apmērā uz budžeta programmu 43.00.00 “Finanšu izlūkošanas dienesta darbība” (izdevumi precēm un pakalpojumiem).</w:t>
      </w:r>
    </w:p>
    <w:p w:rsidR="00B34F5D" w:rsidRDefault="00B34F5D" w:rsidP="00B34F5D">
      <w:pPr>
        <w:ind w:firstLine="720"/>
        <w:jc w:val="center"/>
        <w:rPr>
          <w:sz w:val="24"/>
          <w:szCs w:val="24"/>
        </w:rPr>
      </w:pPr>
    </w:p>
    <w:p w:rsidR="004D7AA8" w:rsidRPr="00F5776A" w:rsidRDefault="004D7AA8" w:rsidP="00E70601">
      <w:pPr>
        <w:pStyle w:val="Heading1"/>
      </w:pPr>
      <w:r w:rsidRPr="00F5776A">
        <w:t>Kopsavilkums un priekšlikumi turpmākai rīcībai</w:t>
      </w:r>
    </w:p>
    <w:p w:rsidR="007E1DF5" w:rsidRPr="00844B06" w:rsidRDefault="00844B06" w:rsidP="00844B06">
      <w:pPr>
        <w:ind w:firstLine="720"/>
        <w:jc w:val="right"/>
        <w:rPr>
          <w:sz w:val="24"/>
          <w:szCs w:val="24"/>
        </w:rPr>
      </w:pPr>
      <w:r w:rsidRPr="00844B06">
        <w:rPr>
          <w:sz w:val="24"/>
          <w:szCs w:val="24"/>
        </w:rPr>
        <w:t>2.tabula</w:t>
      </w:r>
    </w:p>
    <w:p w:rsidR="007E1DF5" w:rsidRDefault="006439F7" w:rsidP="00117602">
      <w:pPr>
        <w:ind w:firstLine="720"/>
        <w:jc w:val="center"/>
        <w:rPr>
          <w:sz w:val="24"/>
          <w:szCs w:val="24"/>
        </w:rPr>
      </w:pPr>
      <w:r w:rsidRPr="00844B06">
        <w:rPr>
          <w:sz w:val="24"/>
          <w:szCs w:val="24"/>
        </w:rPr>
        <w:lastRenderedPageBreak/>
        <w:t xml:space="preserve">Kopsavilkums par  finansējumu budžeta resora </w:t>
      </w:r>
      <w:r w:rsidR="00844B06">
        <w:rPr>
          <w:sz w:val="24"/>
          <w:szCs w:val="24"/>
        </w:rPr>
        <w:t>“</w:t>
      </w:r>
      <w:r w:rsidRPr="00844B06">
        <w:rPr>
          <w:sz w:val="24"/>
          <w:szCs w:val="24"/>
        </w:rPr>
        <w:t>74. Gadskārtējā valsts budžeta izpildes procesā pārdalāmais finansējums</w:t>
      </w:r>
      <w:r w:rsidR="00117602">
        <w:rPr>
          <w:sz w:val="24"/>
          <w:szCs w:val="24"/>
        </w:rPr>
        <w:t>”</w:t>
      </w:r>
      <w:r w:rsidRPr="00844B06">
        <w:rPr>
          <w:sz w:val="24"/>
          <w:szCs w:val="24"/>
        </w:rPr>
        <w:t xml:space="preserve"> programmā 10.00.00 </w:t>
      </w:r>
      <w:r w:rsidR="00117602">
        <w:rPr>
          <w:sz w:val="24"/>
          <w:szCs w:val="24"/>
        </w:rPr>
        <w:t>“</w:t>
      </w:r>
      <w:r w:rsidRPr="00844B06">
        <w:rPr>
          <w:sz w:val="24"/>
          <w:szCs w:val="24"/>
        </w:rPr>
        <w:t>Noziedzīgi iegūtu līdzekļu legalizācijas un terorisma finansēšanas novēršana</w:t>
      </w:r>
      <w:r w:rsidR="00117602">
        <w:rPr>
          <w:sz w:val="24"/>
          <w:szCs w:val="24"/>
        </w:rPr>
        <w:t>”</w:t>
      </w:r>
    </w:p>
    <w:p w:rsidR="00117602" w:rsidRDefault="00117602" w:rsidP="00117602">
      <w:pPr>
        <w:rPr>
          <w:sz w:val="24"/>
          <w:szCs w:val="24"/>
        </w:rPr>
      </w:pPr>
    </w:p>
    <w:tbl>
      <w:tblPr>
        <w:tblW w:w="10774" w:type="dxa"/>
        <w:tblInd w:w="-856" w:type="dxa"/>
        <w:tblLook w:val="04A0" w:firstRow="1" w:lastRow="0" w:firstColumn="1" w:lastColumn="0" w:noHBand="0" w:noVBand="1"/>
      </w:tblPr>
      <w:tblGrid>
        <w:gridCol w:w="709"/>
        <w:gridCol w:w="5671"/>
        <w:gridCol w:w="1276"/>
        <w:gridCol w:w="992"/>
        <w:gridCol w:w="1016"/>
        <w:gridCol w:w="1110"/>
      </w:tblGrid>
      <w:tr w:rsidR="00117602" w:rsidRPr="00117602" w:rsidTr="00DC7337">
        <w:trPr>
          <w:trHeight w:val="1077"/>
        </w:trPr>
        <w:tc>
          <w:tcPr>
            <w:tcW w:w="709" w:type="dxa"/>
            <w:tcBorders>
              <w:top w:val="single" w:sz="4" w:space="0" w:color="A6A6A6"/>
              <w:left w:val="single" w:sz="4" w:space="0" w:color="A6A6A6"/>
              <w:bottom w:val="single" w:sz="4" w:space="0" w:color="A6A6A6"/>
              <w:right w:val="single" w:sz="4" w:space="0" w:color="A6A6A6"/>
            </w:tcBorders>
            <w:shd w:val="clear" w:color="auto" w:fill="auto"/>
            <w:noWrap/>
            <w:vAlign w:val="center"/>
            <w:hideMark/>
          </w:tcPr>
          <w:p w:rsidR="00117602" w:rsidRPr="00117602" w:rsidRDefault="00117602" w:rsidP="00117602">
            <w:pPr>
              <w:jc w:val="center"/>
              <w:rPr>
                <w:color w:val="auto"/>
                <w:sz w:val="16"/>
                <w:szCs w:val="16"/>
              </w:rPr>
            </w:pPr>
            <w:r w:rsidRPr="00117602">
              <w:rPr>
                <w:color w:val="auto"/>
                <w:sz w:val="16"/>
                <w:szCs w:val="16"/>
              </w:rPr>
              <w:t>Nr.</w:t>
            </w:r>
            <w:r w:rsidR="00635FAF">
              <w:rPr>
                <w:color w:val="auto"/>
                <w:sz w:val="16"/>
                <w:szCs w:val="16"/>
              </w:rPr>
              <w:t xml:space="preserve"> </w:t>
            </w:r>
            <w:r w:rsidRPr="00117602">
              <w:rPr>
                <w:color w:val="auto"/>
                <w:sz w:val="16"/>
                <w:szCs w:val="16"/>
              </w:rPr>
              <w:t>p. k.</w:t>
            </w:r>
          </w:p>
        </w:tc>
        <w:tc>
          <w:tcPr>
            <w:tcW w:w="5671" w:type="dxa"/>
            <w:tcBorders>
              <w:top w:val="single" w:sz="4" w:space="0" w:color="A6A6A6"/>
              <w:left w:val="nil"/>
              <w:bottom w:val="single" w:sz="4" w:space="0" w:color="A6A6A6"/>
              <w:right w:val="single" w:sz="4" w:space="0" w:color="A6A6A6"/>
            </w:tcBorders>
            <w:shd w:val="clear" w:color="auto" w:fill="auto"/>
            <w:noWrap/>
            <w:vAlign w:val="center"/>
            <w:hideMark/>
          </w:tcPr>
          <w:p w:rsidR="00117602" w:rsidRPr="00117602" w:rsidRDefault="00117602" w:rsidP="00117602">
            <w:pPr>
              <w:jc w:val="center"/>
              <w:rPr>
                <w:color w:val="auto"/>
                <w:sz w:val="16"/>
                <w:szCs w:val="16"/>
              </w:rPr>
            </w:pPr>
            <w:r w:rsidRPr="00117602">
              <w:rPr>
                <w:color w:val="auto"/>
                <w:sz w:val="16"/>
                <w:szCs w:val="16"/>
              </w:rPr>
              <w:t>Rādītājs</w:t>
            </w:r>
          </w:p>
        </w:tc>
        <w:tc>
          <w:tcPr>
            <w:tcW w:w="1276" w:type="dxa"/>
            <w:tcBorders>
              <w:top w:val="single" w:sz="4" w:space="0" w:color="A6A6A6"/>
              <w:left w:val="nil"/>
              <w:bottom w:val="single" w:sz="4" w:space="0" w:color="A6A6A6"/>
              <w:right w:val="single" w:sz="4" w:space="0" w:color="A6A6A6"/>
            </w:tcBorders>
            <w:shd w:val="clear" w:color="auto" w:fill="auto"/>
            <w:vAlign w:val="center"/>
            <w:hideMark/>
          </w:tcPr>
          <w:p w:rsidR="00117602" w:rsidRPr="00117602" w:rsidRDefault="00117602" w:rsidP="00117602">
            <w:pPr>
              <w:jc w:val="center"/>
              <w:rPr>
                <w:b/>
                <w:bCs/>
                <w:color w:val="auto"/>
                <w:sz w:val="16"/>
                <w:szCs w:val="16"/>
              </w:rPr>
            </w:pPr>
            <w:r w:rsidRPr="00117602">
              <w:rPr>
                <w:b/>
                <w:bCs/>
                <w:color w:val="auto"/>
                <w:sz w:val="16"/>
                <w:szCs w:val="16"/>
              </w:rPr>
              <w:t>2023</w:t>
            </w:r>
          </w:p>
        </w:tc>
        <w:tc>
          <w:tcPr>
            <w:tcW w:w="992" w:type="dxa"/>
            <w:tcBorders>
              <w:top w:val="single" w:sz="4" w:space="0" w:color="A6A6A6"/>
              <w:left w:val="nil"/>
              <w:bottom w:val="single" w:sz="4" w:space="0" w:color="A6A6A6"/>
              <w:right w:val="single" w:sz="4" w:space="0" w:color="A6A6A6"/>
            </w:tcBorders>
            <w:shd w:val="clear" w:color="auto" w:fill="auto"/>
            <w:vAlign w:val="center"/>
            <w:hideMark/>
          </w:tcPr>
          <w:p w:rsidR="00117602" w:rsidRPr="00117602" w:rsidRDefault="00117602" w:rsidP="00117602">
            <w:pPr>
              <w:jc w:val="center"/>
              <w:rPr>
                <w:b/>
                <w:bCs/>
                <w:color w:val="auto"/>
                <w:sz w:val="16"/>
                <w:szCs w:val="16"/>
              </w:rPr>
            </w:pPr>
            <w:r w:rsidRPr="00117602">
              <w:rPr>
                <w:b/>
                <w:bCs/>
                <w:color w:val="auto"/>
                <w:sz w:val="16"/>
                <w:szCs w:val="16"/>
              </w:rPr>
              <w:t>2024</w:t>
            </w:r>
          </w:p>
        </w:tc>
        <w:tc>
          <w:tcPr>
            <w:tcW w:w="1016" w:type="dxa"/>
            <w:tcBorders>
              <w:top w:val="single" w:sz="4" w:space="0" w:color="A6A6A6"/>
              <w:left w:val="nil"/>
              <w:bottom w:val="single" w:sz="4" w:space="0" w:color="A6A6A6"/>
              <w:right w:val="single" w:sz="4" w:space="0" w:color="A6A6A6"/>
            </w:tcBorders>
            <w:shd w:val="clear" w:color="auto" w:fill="auto"/>
            <w:vAlign w:val="center"/>
            <w:hideMark/>
          </w:tcPr>
          <w:p w:rsidR="00117602" w:rsidRPr="00117602" w:rsidRDefault="00117602" w:rsidP="00117602">
            <w:pPr>
              <w:jc w:val="center"/>
              <w:rPr>
                <w:b/>
                <w:bCs/>
                <w:color w:val="auto"/>
                <w:sz w:val="16"/>
                <w:szCs w:val="16"/>
              </w:rPr>
            </w:pPr>
            <w:r w:rsidRPr="00117602">
              <w:rPr>
                <w:b/>
                <w:bCs/>
                <w:color w:val="auto"/>
                <w:sz w:val="16"/>
                <w:szCs w:val="16"/>
              </w:rPr>
              <w:t>2025</w:t>
            </w:r>
          </w:p>
        </w:tc>
        <w:tc>
          <w:tcPr>
            <w:tcW w:w="1110" w:type="dxa"/>
            <w:tcBorders>
              <w:top w:val="single" w:sz="4" w:space="0" w:color="A6A6A6"/>
              <w:left w:val="nil"/>
              <w:bottom w:val="single" w:sz="4" w:space="0" w:color="A6A6A6"/>
              <w:right w:val="single" w:sz="4" w:space="0" w:color="A6A6A6"/>
            </w:tcBorders>
            <w:shd w:val="clear" w:color="auto" w:fill="auto"/>
            <w:vAlign w:val="center"/>
            <w:hideMark/>
          </w:tcPr>
          <w:p w:rsidR="00117602" w:rsidRPr="00117602" w:rsidRDefault="00117602" w:rsidP="00635FAF">
            <w:pPr>
              <w:spacing w:after="240"/>
              <w:jc w:val="center"/>
              <w:rPr>
                <w:color w:val="auto"/>
                <w:sz w:val="16"/>
                <w:szCs w:val="16"/>
              </w:rPr>
            </w:pPr>
            <w:r w:rsidRPr="00117602">
              <w:rPr>
                <w:color w:val="auto"/>
                <w:sz w:val="16"/>
                <w:szCs w:val="16"/>
              </w:rPr>
              <w:t>Turpmāk ik gadu  (ja pasākuma izpilde nav terminēta)</w:t>
            </w:r>
          </w:p>
        </w:tc>
      </w:tr>
      <w:tr w:rsidR="00117602" w:rsidRPr="00117602" w:rsidTr="00DC7337">
        <w:trPr>
          <w:trHeight w:val="624"/>
        </w:trPr>
        <w:tc>
          <w:tcPr>
            <w:tcW w:w="709" w:type="dxa"/>
            <w:tcBorders>
              <w:top w:val="nil"/>
              <w:left w:val="single" w:sz="4" w:space="0" w:color="A6A6A6"/>
              <w:bottom w:val="single" w:sz="4" w:space="0" w:color="A6A6A6"/>
              <w:right w:val="single" w:sz="4" w:space="0" w:color="A6A6A6"/>
            </w:tcBorders>
            <w:shd w:val="clear" w:color="auto" w:fill="auto"/>
            <w:noWrap/>
            <w:vAlign w:val="center"/>
            <w:hideMark/>
          </w:tcPr>
          <w:p w:rsidR="00117602" w:rsidRPr="00117602" w:rsidRDefault="00117602" w:rsidP="00117602">
            <w:pPr>
              <w:jc w:val="center"/>
              <w:rPr>
                <w:color w:val="auto"/>
                <w:sz w:val="16"/>
                <w:szCs w:val="16"/>
              </w:rPr>
            </w:pPr>
            <w:r w:rsidRPr="00117602">
              <w:rPr>
                <w:color w:val="auto"/>
                <w:sz w:val="16"/>
                <w:szCs w:val="16"/>
              </w:rPr>
              <w:t>1.</w:t>
            </w:r>
          </w:p>
        </w:tc>
        <w:tc>
          <w:tcPr>
            <w:tcW w:w="5671" w:type="dxa"/>
            <w:tcBorders>
              <w:top w:val="single" w:sz="4" w:space="0" w:color="A6A6A6"/>
              <w:left w:val="nil"/>
              <w:bottom w:val="single" w:sz="4" w:space="0" w:color="A6A6A6"/>
              <w:right w:val="single" w:sz="4" w:space="0" w:color="A6A6A6"/>
            </w:tcBorders>
            <w:shd w:val="clear" w:color="auto" w:fill="auto"/>
            <w:vAlign w:val="center"/>
            <w:hideMark/>
          </w:tcPr>
          <w:p w:rsidR="00117602" w:rsidRPr="00117602" w:rsidRDefault="00117602" w:rsidP="00117602">
            <w:pPr>
              <w:jc w:val="center"/>
              <w:rPr>
                <w:color w:val="auto"/>
                <w:sz w:val="16"/>
                <w:szCs w:val="16"/>
              </w:rPr>
            </w:pPr>
            <w:r w:rsidRPr="00117602">
              <w:rPr>
                <w:color w:val="auto"/>
                <w:sz w:val="16"/>
                <w:szCs w:val="16"/>
              </w:rPr>
              <w:t xml:space="preserve">Plānotais finansējums budžeta resora "74. Gadskārtējā valsts budžeta izpildes procesā pārdalāmais finansējums" programmā 10.00.00 "Noziedzīgi iegūtu līdzekļu legalizācijas un terorisma finansēšanas novēršana" </w:t>
            </w:r>
          </w:p>
        </w:tc>
        <w:tc>
          <w:tcPr>
            <w:tcW w:w="1276" w:type="dxa"/>
            <w:tcBorders>
              <w:top w:val="nil"/>
              <w:left w:val="nil"/>
              <w:bottom w:val="single" w:sz="4" w:space="0" w:color="A6A6A6"/>
              <w:right w:val="single" w:sz="4" w:space="0" w:color="A6A6A6"/>
            </w:tcBorders>
            <w:shd w:val="clear" w:color="auto" w:fill="auto"/>
            <w:vAlign w:val="center"/>
            <w:hideMark/>
          </w:tcPr>
          <w:p w:rsidR="00117602" w:rsidRPr="00117602" w:rsidRDefault="00117602" w:rsidP="00117602">
            <w:pPr>
              <w:jc w:val="center"/>
              <w:rPr>
                <w:color w:val="auto"/>
                <w:sz w:val="16"/>
                <w:szCs w:val="16"/>
              </w:rPr>
            </w:pPr>
            <w:r w:rsidRPr="00117602">
              <w:rPr>
                <w:color w:val="auto"/>
                <w:sz w:val="16"/>
                <w:szCs w:val="16"/>
              </w:rPr>
              <w:t>10 000 000</w:t>
            </w:r>
          </w:p>
        </w:tc>
        <w:tc>
          <w:tcPr>
            <w:tcW w:w="992" w:type="dxa"/>
            <w:tcBorders>
              <w:top w:val="nil"/>
              <w:left w:val="nil"/>
              <w:bottom w:val="single" w:sz="4" w:space="0" w:color="A6A6A6"/>
              <w:right w:val="single" w:sz="4" w:space="0" w:color="A6A6A6"/>
            </w:tcBorders>
            <w:shd w:val="clear" w:color="auto" w:fill="auto"/>
            <w:vAlign w:val="center"/>
            <w:hideMark/>
          </w:tcPr>
          <w:p w:rsidR="00117602" w:rsidRPr="00117602" w:rsidRDefault="00117602" w:rsidP="00117602">
            <w:pPr>
              <w:jc w:val="center"/>
              <w:rPr>
                <w:color w:val="auto"/>
                <w:sz w:val="16"/>
                <w:szCs w:val="16"/>
              </w:rPr>
            </w:pPr>
            <w:r w:rsidRPr="00117602">
              <w:rPr>
                <w:color w:val="auto"/>
                <w:sz w:val="16"/>
                <w:szCs w:val="16"/>
              </w:rPr>
              <w:t>10 000 000</w:t>
            </w:r>
          </w:p>
        </w:tc>
        <w:tc>
          <w:tcPr>
            <w:tcW w:w="1016" w:type="dxa"/>
            <w:tcBorders>
              <w:top w:val="nil"/>
              <w:left w:val="nil"/>
              <w:bottom w:val="single" w:sz="4" w:space="0" w:color="A6A6A6"/>
              <w:right w:val="single" w:sz="4" w:space="0" w:color="A6A6A6"/>
            </w:tcBorders>
            <w:shd w:val="clear" w:color="auto" w:fill="auto"/>
            <w:vAlign w:val="center"/>
            <w:hideMark/>
          </w:tcPr>
          <w:p w:rsidR="00117602" w:rsidRPr="00117602" w:rsidRDefault="00117602" w:rsidP="00117602">
            <w:pPr>
              <w:jc w:val="center"/>
              <w:rPr>
                <w:color w:val="auto"/>
                <w:sz w:val="16"/>
                <w:szCs w:val="16"/>
              </w:rPr>
            </w:pPr>
            <w:r w:rsidRPr="00117602">
              <w:rPr>
                <w:color w:val="auto"/>
                <w:sz w:val="16"/>
                <w:szCs w:val="16"/>
              </w:rPr>
              <w:t>10 000 000</w:t>
            </w:r>
          </w:p>
        </w:tc>
        <w:tc>
          <w:tcPr>
            <w:tcW w:w="1110" w:type="dxa"/>
            <w:tcBorders>
              <w:top w:val="nil"/>
              <w:left w:val="nil"/>
              <w:bottom w:val="single" w:sz="4" w:space="0" w:color="A6A6A6"/>
              <w:right w:val="single" w:sz="4" w:space="0" w:color="A6A6A6"/>
            </w:tcBorders>
            <w:shd w:val="clear" w:color="auto" w:fill="auto"/>
            <w:vAlign w:val="center"/>
            <w:hideMark/>
          </w:tcPr>
          <w:p w:rsidR="00117602" w:rsidRPr="00117602" w:rsidRDefault="00117602" w:rsidP="00117602">
            <w:pPr>
              <w:jc w:val="center"/>
              <w:rPr>
                <w:color w:val="auto"/>
                <w:sz w:val="16"/>
                <w:szCs w:val="16"/>
              </w:rPr>
            </w:pPr>
            <w:r w:rsidRPr="00117602">
              <w:rPr>
                <w:color w:val="auto"/>
                <w:sz w:val="16"/>
                <w:szCs w:val="16"/>
              </w:rPr>
              <w:t>10 000 000</w:t>
            </w:r>
          </w:p>
        </w:tc>
      </w:tr>
      <w:tr w:rsidR="00117602" w:rsidRPr="00117602" w:rsidTr="00DC7337">
        <w:trPr>
          <w:trHeight w:val="680"/>
        </w:trPr>
        <w:tc>
          <w:tcPr>
            <w:tcW w:w="709" w:type="dxa"/>
            <w:tcBorders>
              <w:top w:val="nil"/>
              <w:left w:val="single" w:sz="4" w:space="0" w:color="A6A6A6"/>
              <w:bottom w:val="single" w:sz="4" w:space="0" w:color="A6A6A6"/>
              <w:right w:val="single" w:sz="4" w:space="0" w:color="A6A6A6"/>
            </w:tcBorders>
            <w:shd w:val="clear" w:color="auto" w:fill="auto"/>
            <w:noWrap/>
            <w:vAlign w:val="center"/>
            <w:hideMark/>
          </w:tcPr>
          <w:p w:rsidR="00117602" w:rsidRPr="00117602" w:rsidRDefault="00117602" w:rsidP="00117602">
            <w:pPr>
              <w:jc w:val="center"/>
              <w:rPr>
                <w:color w:val="auto"/>
                <w:sz w:val="16"/>
                <w:szCs w:val="16"/>
              </w:rPr>
            </w:pPr>
            <w:r w:rsidRPr="00117602">
              <w:rPr>
                <w:color w:val="auto"/>
                <w:sz w:val="16"/>
                <w:szCs w:val="16"/>
              </w:rPr>
              <w:t>2.</w:t>
            </w:r>
          </w:p>
        </w:tc>
        <w:tc>
          <w:tcPr>
            <w:tcW w:w="5671" w:type="dxa"/>
            <w:tcBorders>
              <w:top w:val="single" w:sz="4" w:space="0" w:color="A6A6A6"/>
              <w:left w:val="nil"/>
              <w:bottom w:val="single" w:sz="4" w:space="0" w:color="A6A6A6"/>
              <w:right w:val="single" w:sz="4" w:space="0" w:color="A6A6A6"/>
            </w:tcBorders>
            <w:shd w:val="clear" w:color="auto" w:fill="auto"/>
            <w:vAlign w:val="center"/>
            <w:hideMark/>
          </w:tcPr>
          <w:p w:rsidR="00117602" w:rsidRPr="00117602" w:rsidRDefault="00117602" w:rsidP="00117602">
            <w:pPr>
              <w:jc w:val="center"/>
              <w:rPr>
                <w:color w:val="auto"/>
                <w:sz w:val="16"/>
                <w:szCs w:val="16"/>
              </w:rPr>
            </w:pPr>
            <w:r w:rsidRPr="00117602">
              <w:rPr>
                <w:color w:val="auto"/>
                <w:sz w:val="16"/>
                <w:szCs w:val="16"/>
              </w:rPr>
              <w:t>Saskaņā ar MK 22.02.2022. sēdē nolemto (prot. Nr.9 23.§)</w:t>
            </w:r>
            <w:r w:rsidRPr="00117602">
              <w:rPr>
                <w:color w:val="auto"/>
                <w:sz w:val="16"/>
                <w:szCs w:val="16"/>
              </w:rPr>
              <w:br/>
              <w:t>Pasākumu plāns noziedzīgi iegūtu līdzekļu legalizācijas, terorisma un proliferācijas finansēšanas novēršanai 2022. gadam (MK 22.02.2022 rīkojums Nr.122)</w:t>
            </w:r>
          </w:p>
        </w:tc>
        <w:tc>
          <w:tcPr>
            <w:tcW w:w="1276" w:type="dxa"/>
            <w:tcBorders>
              <w:top w:val="nil"/>
              <w:left w:val="nil"/>
              <w:bottom w:val="single" w:sz="4" w:space="0" w:color="A6A6A6"/>
              <w:right w:val="single" w:sz="4" w:space="0" w:color="A6A6A6"/>
            </w:tcBorders>
            <w:shd w:val="clear" w:color="auto" w:fill="auto"/>
            <w:noWrap/>
            <w:vAlign w:val="center"/>
            <w:hideMark/>
          </w:tcPr>
          <w:p w:rsidR="00117602" w:rsidRPr="00117602" w:rsidRDefault="00117602" w:rsidP="00117602">
            <w:pPr>
              <w:jc w:val="center"/>
              <w:rPr>
                <w:color w:val="auto"/>
                <w:sz w:val="16"/>
                <w:szCs w:val="16"/>
              </w:rPr>
            </w:pPr>
            <w:r w:rsidRPr="00117602">
              <w:rPr>
                <w:color w:val="auto"/>
                <w:sz w:val="16"/>
                <w:szCs w:val="16"/>
              </w:rPr>
              <w:t>7 288 437</w:t>
            </w:r>
          </w:p>
        </w:tc>
        <w:tc>
          <w:tcPr>
            <w:tcW w:w="992" w:type="dxa"/>
            <w:tcBorders>
              <w:top w:val="nil"/>
              <w:left w:val="nil"/>
              <w:bottom w:val="single" w:sz="4" w:space="0" w:color="A6A6A6"/>
              <w:right w:val="single" w:sz="4" w:space="0" w:color="A6A6A6"/>
            </w:tcBorders>
            <w:shd w:val="clear" w:color="auto" w:fill="auto"/>
            <w:noWrap/>
            <w:vAlign w:val="center"/>
            <w:hideMark/>
          </w:tcPr>
          <w:p w:rsidR="00117602" w:rsidRPr="00117602" w:rsidRDefault="00117602" w:rsidP="00117602">
            <w:pPr>
              <w:jc w:val="center"/>
              <w:rPr>
                <w:color w:val="auto"/>
                <w:sz w:val="16"/>
                <w:szCs w:val="16"/>
              </w:rPr>
            </w:pPr>
            <w:r w:rsidRPr="00117602">
              <w:rPr>
                <w:color w:val="auto"/>
                <w:sz w:val="16"/>
                <w:szCs w:val="16"/>
              </w:rPr>
              <w:t>6 412 795</w:t>
            </w:r>
          </w:p>
        </w:tc>
        <w:tc>
          <w:tcPr>
            <w:tcW w:w="1016" w:type="dxa"/>
            <w:tcBorders>
              <w:top w:val="nil"/>
              <w:left w:val="nil"/>
              <w:bottom w:val="single" w:sz="4" w:space="0" w:color="A6A6A6"/>
              <w:right w:val="single" w:sz="4" w:space="0" w:color="A6A6A6"/>
            </w:tcBorders>
            <w:shd w:val="clear" w:color="auto" w:fill="auto"/>
            <w:noWrap/>
            <w:vAlign w:val="center"/>
            <w:hideMark/>
          </w:tcPr>
          <w:p w:rsidR="00117602" w:rsidRPr="00117602" w:rsidRDefault="00117602" w:rsidP="00117602">
            <w:pPr>
              <w:jc w:val="center"/>
              <w:rPr>
                <w:color w:val="auto"/>
                <w:sz w:val="16"/>
                <w:szCs w:val="16"/>
              </w:rPr>
            </w:pPr>
            <w:r w:rsidRPr="00117602">
              <w:rPr>
                <w:color w:val="auto"/>
                <w:sz w:val="16"/>
                <w:szCs w:val="16"/>
              </w:rPr>
              <w:t>6 412 795</w:t>
            </w:r>
          </w:p>
        </w:tc>
        <w:tc>
          <w:tcPr>
            <w:tcW w:w="1110" w:type="dxa"/>
            <w:tcBorders>
              <w:top w:val="nil"/>
              <w:left w:val="nil"/>
              <w:bottom w:val="single" w:sz="4" w:space="0" w:color="A6A6A6"/>
              <w:right w:val="single" w:sz="4" w:space="0" w:color="A6A6A6"/>
            </w:tcBorders>
            <w:shd w:val="clear" w:color="auto" w:fill="auto"/>
            <w:noWrap/>
            <w:vAlign w:val="center"/>
            <w:hideMark/>
          </w:tcPr>
          <w:p w:rsidR="00117602" w:rsidRPr="00117602" w:rsidRDefault="00117602" w:rsidP="00117602">
            <w:pPr>
              <w:jc w:val="center"/>
              <w:rPr>
                <w:color w:val="auto"/>
                <w:sz w:val="16"/>
                <w:szCs w:val="16"/>
              </w:rPr>
            </w:pPr>
            <w:r w:rsidRPr="00117602">
              <w:rPr>
                <w:color w:val="auto"/>
                <w:sz w:val="16"/>
                <w:szCs w:val="16"/>
              </w:rPr>
              <w:t>6 412 795</w:t>
            </w:r>
          </w:p>
        </w:tc>
      </w:tr>
      <w:tr w:rsidR="00117602" w:rsidRPr="00117602" w:rsidTr="00DC7337">
        <w:trPr>
          <w:trHeight w:val="680"/>
        </w:trPr>
        <w:tc>
          <w:tcPr>
            <w:tcW w:w="709" w:type="dxa"/>
            <w:tcBorders>
              <w:top w:val="nil"/>
              <w:left w:val="single" w:sz="4" w:space="0" w:color="A6A6A6"/>
              <w:bottom w:val="single" w:sz="4" w:space="0" w:color="A6A6A6"/>
              <w:right w:val="single" w:sz="4" w:space="0" w:color="A6A6A6"/>
            </w:tcBorders>
            <w:shd w:val="clear" w:color="auto" w:fill="auto"/>
            <w:noWrap/>
            <w:vAlign w:val="center"/>
            <w:hideMark/>
          </w:tcPr>
          <w:p w:rsidR="00117602" w:rsidRPr="00117602" w:rsidRDefault="00117602" w:rsidP="00117602">
            <w:pPr>
              <w:jc w:val="center"/>
              <w:rPr>
                <w:color w:val="auto"/>
                <w:sz w:val="16"/>
                <w:szCs w:val="16"/>
              </w:rPr>
            </w:pPr>
            <w:r w:rsidRPr="00117602">
              <w:rPr>
                <w:color w:val="auto"/>
                <w:sz w:val="16"/>
                <w:szCs w:val="16"/>
              </w:rPr>
              <w:t>3.</w:t>
            </w:r>
          </w:p>
        </w:tc>
        <w:tc>
          <w:tcPr>
            <w:tcW w:w="5671" w:type="dxa"/>
            <w:tcBorders>
              <w:top w:val="single" w:sz="4" w:space="0" w:color="A6A6A6"/>
              <w:left w:val="nil"/>
              <w:bottom w:val="single" w:sz="4" w:space="0" w:color="A6A6A6"/>
              <w:right w:val="single" w:sz="4" w:space="0" w:color="A6A6A6"/>
            </w:tcBorders>
            <w:shd w:val="clear" w:color="auto" w:fill="auto"/>
            <w:vAlign w:val="center"/>
            <w:hideMark/>
          </w:tcPr>
          <w:p w:rsidR="00117602" w:rsidRPr="00117602" w:rsidRDefault="00117602" w:rsidP="00117602">
            <w:pPr>
              <w:jc w:val="center"/>
              <w:rPr>
                <w:color w:val="auto"/>
                <w:sz w:val="16"/>
                <w:szCs w:val="16"/>
              </w:rPr>
            </w:pPr>
            <w:r w:rsidRPr="00117602">
              <w:rPr>
                <w:color w:val="auto"/>
                <w:sz w:val="16"/>
                <w:szCs w:val="16"/>
              </w:rPr>
              <w:t xml:space="preserve">Saskaņā ar MK 13.12.2022. sēdē nolemto (prot. Nr.64 72.§) </w:t>
            </w:r>
            <w:r w:rsidRPr="00117602">
              <w:rPr>
                <w:color w:val="auto"/>
                <w:sz w:val="16"/>
                <w:szCs w:val="16"/>
              </w:rPr>
              <w:br/>
              <w:t>Pasākumu plāns noziedzīgi iegūtu līdzekļu legalizācijas, terorisma un proliferācijas finansēšanas novēršanai  2023. - 2025. gadam (MK 13.12.2022. rīkojums Nr.940)</w:t>
            </w:r>
          </w:p>
        </w:tc>
        <w:tc>
          <w:tcPr>
            <w:tcW w:w="1276" w:type="dxa"/>
            <w:tcBorders>
              <w:top w:val="nil"/>
              <w:left w:val="nil"/>
              <w:bottom w:val="single" w:sz="4" w:space="0" w:color="A6A6A6"/>
              <w:right w:val="single" w:sz="4" w:space="0" w:color="A6A6A6"/>
            </w:tcBorders>
            <w:shd w:val="clear" w:color="auto" w:fill="auto"/>
            <w:noWrap/>
            <w:vAlign w:val="center"/>
            <w:hideMark/>
          </w:tcPr>
          <w:p w:rsidR="00117602" w:rsidRPr="00117602" w:rsidRDefault="00117602" w:rsidP="00117602">
            <w:pPr>
              <w:jc w:val="center"/>
              <w:rPr>
                <w:color w:val="auto"/>
                <w:sz w:val="16"/>
                <w:szCs w:val="16"/>
              </w:rPr>
            </w:pPr>
            <w:r w:rsidRPr="00117602">
              <w:rPr>
                <w:color w:val="auto"/>
                <w:sz w:val="16"/>
                <w:szCs w:val="16"/>
              </w:rPr>
              <w:t>2 424 059</w:t>
            </w:r>
          </w:p>
        </w:tc>
        <w:tc>
          <w:tcPr>
            <w:tcW w:w="992" w:type="dxa"/>
            <w:tcBorders>
              <w:top w:val="nil"/>
              <w:left w:val="nil"/>
              <w:bottom w:val="single" w:sz="4" w:space="0" w:color="A6A6A6"/>
              <w:right w:val="single" w:sz="4" w:space="0" w:color="A6A6A6"/>
            </w:tcBorders>
            <w:shd w:val="clear" w:color="auto" w:fill="auto"/>
            <w:noWrap/>
            <w:vAlign w:val="center"/>
            <w:hideMark/>
          </w:tcPr>
          <w:p w:rsidR="00117602" w:rsidRPr="00117602" w:rsidRDefault="00117602" w:rsidP="00117602">
            <w:pPr>
              <w:jc w:val="center"/>
              <w:rPr>
                <w:color w:val="auto"/>
                <w:sz w:val="16"/>
                <w:szCs w:val="16"/>
              </w:rPr>
            </w:pPr>
            <w:r w:rsidRPr="00117602">
              <w:rPr>
                <w:color w:val="auto"/>
                <w:sz w:val="16"/>
                <w:szCs w:val="16"/>
              </w:rPr>
              <w:t>1 919 406</w:t>
            </w:r>
          </w:p>
        </w:tc>
        <w:tc>
          <w:tcPr>
            <w:tcW w:w="1016" w:type="dxa"/>
            <w:tcBorders>
              <w:top w:val="nil"/>
              <w:left w:val="nil"/>
              <w:bottom w:val="single" w:sz="4" w:space="0" w:color="A6A6A6"/>
              <w:right w:val="single" w:sz="4" w:space="0" w:color="A6A6A6"/>
            </w:tcBorders>
            <w:shd w:val="clear" w:color="auto" w:fill="auto"/>
            <w:noWrap/>
            <w:vAlign w:val="center"/>
            <w:hideMark/>
          </w:tcPr>
          <w:p w:rsidR="00117602" w:rsidRPr="00117602" w:rsidRDefault="00117602" w:rsidP="00117602">
            <w:pPr>
              <w:jc w:val="center"/>
              <w:rPr>
                <w:color w:val="auto"/>
                <w:sz w:val="16"/>
                <w:szCs w:val="16"/>
              </w:rPr>
            </w:pPr>
            <w:r w:rsidRPr="00117602">
              <w:rPr>
                <w:color w:val="auto"/>
                <w:sz w:val="16"/>
                <w:szCs w:val="16"/>
              </w:rPr>
              <w:t>1 900 566</w:t>
            </w:r>
          </w:p>
        </w:tc>
        <w:tc>
          <w:tcPr>
            <w:tcW w:w="1110" w:type="dxa"/>
            <w:tcBorders>
              <w:top w:val="nil"/>
              <w:left w:val="nil"/>
              <w:bottom w:val="single" w:sz="4" w:space="0" w:color="A6A6A6"/>
              <w:right w:val="single" w:sz="4" w:space="0" w:color="A6A6A6"/>
            </w:tcBorders>
            <w:shd w:val="clear" w:color="auto" w:fill="auto"/>
            <w:noWrap/>
            <w:vAlign w:val="center"/>
            <w:hideMark/>
          </w:tcPr>
          <w:p w:rsidR="00117602" w:rsidRPr="00117602" w:rsidRDefault="00117602" w:rsidP="00117602">
            <w:pPr>
              <w:jc w:val="center"/>
              <w:rPr>
                <w:color w:val="auto"/>
                <w:sz w:val="16"/>
                <w:szCs w:val="16"/>
              </w:rPr>
            </w:pPr>
            <w:r w:rsidRPr="00117602">
              <w:rPr>
                <w:color w:val="auto"/>
                <w:sz w:val="16"/>
                <w:szCs w:val="16"/>
              </w:rPr>
              <w:t>1 900 566</w:t>
            </w:r>
          </w:p>
        </w:tc>
      </w:tr>
      <w:tr w:rsidR="00D17D0D" w:rsidRPr="00117602" w:rsidTr="00DC7337">
        <w:trPr>
          <w:trHeight w:val="680"/>
        </w:trPr>
        <w:tc>
          <w:tcPr>
            <w:tcW w:w="709" w:type="dxa"/>
            <w:tcBorders>
              <w:top w:val="nil"/>
              <w:left w:val="single" w:sz="4" w:space="0" w:color="A6A6A6"/>
              <w:bottom w:val="single" w:sz="4" w:space="0" w:color="A6A6A6"/>
              <w:right w:val="single" w:sz="4" w:space="0" w:color="A6A6A6"/>
            </w:tcBorders>
            <w:shd w:val="clear" w:color="auto" w:fill="auto"/>
            <w:noWrap/>
            <w:vAlign w:val="center"/>
          </w:tcPr>
          <w:p w:rsidR="00D17D0D" w:rsidRPr="00782774" w:rsidRDefault="00DC7337" w:rsidP="00782774">
            <w:pPr>
              <w:jc w:val="center"/>
              <w:rPr>
                <w:color w:val="auto"/>
                <w:sz w:val="16"/>
                <w:szCs w:val="16"/>
              </w:rPr>
            </w:pPr>
            <w:r w:rsidRPr="00782774">
              <w:rPr>
                <w:color w:val="auto"/>
                <w:sz w:val="16"/>
                <w:szCs w:val="16"/>
              </w:rPr>
              <w:t>4.</w:t>
            </w:r>
          </w:p>
        </w:tc>
        <w:tc>
          <w:tcPr>
            <w:tcW w:w="5671" w:type="dxa"/>
            <w:tcBorders>
              <w:top w:val="single" w:sz="4" w:space="0" w:color="A6A6A6"/>
              <w:left w:val="nil"/>
              <w:bottom w:val="single" w:sz="4" w:space="0" w:color="A6A6A6"/>
              <w:right w:val="single" w:sz="4" w:space="0" w:color="A6A6A6"/>
            </w:tcBorders>
            <w:shd w:val="clear" w:color="auto" w:fill="auto"/>
            <w:vAlign w:val="center"/>
          </w:tcPr>
          <w:p w:rsidR="00D17D0D" w:rsidRPr="00117602" w:rsidRDefault="00D17D0D" w:rsidP="00117602">
            <w:pPr>
              <w:jc w:val="center"/>
              <w:rPr>
                <w:color w:val="auto"/>
                <w:sz w:val="16"/>
                <w:szCs w:val="16"/>
              </w:rPr>
            </w:pPr>
            <w:r>
              <w:rPr>
                <w:color w:val="auto"/>
                <w:sz w:val="16"/>
                <w:szCs w:val="16"/>
              </w:rPr>
              <w:t>Nesadalītais finansējums</w:t>
            </w:r>
          </w:p>
        </w:tc>
        <w:tc>
          <w:tcPr>
            <w:tcW w:w="1276" w:type="dxa"/>
            <w:tcBorders>
              <w:top w:val="nil"/>
              <w:left w:val="nil"/>
              <w:bottom w:val="single" w:sz="4" w:space="0" w:color="A6A6A6"/>
              <w:right w:val="single" w:sz="4" w:space="0" w:color="A6A6A6"/>
            </w:tcBorders>
            <w:shd w:val="clear" w:color="auto" w:fill="auto"/>
            <w:noWrap/>
            <w:vAlign w:val="center"/>
          </w:tcPr>
          <w:p w:rsidR="00D17D0D" w:rsidRPr="00117602" w:rsidRDefault="00D17D0D" w:rsidP="00117602">
            <w:pPr>
              <w:jc w:val="center"/>
              <w:rPr>
                <w:color w:val="auto"/>
                <w:sz w:val="16"/>
                <w:szCs w:val="16"/>
              </w:rPr>
            </w:pPr>
            <w:r>
              <w:rPr>
                <w:color w:val="auto"/>
                <w:sz w:val="16"/>
                <w:szCs w:val="16"/>
              </w:rPr>
              <w:t>287 504</w:t>
            </w:r>
          </w:p>
        </w:tc>
        <w:tc>
          <w:tcPr>
            <w:tcW w:w="992" w:type="dxa"/>
            <w:tcBorders>
              <w:top w:val="nil"/>
              <w:left w:val="nil"/>
              <w:bottom w:val="single" w:sz="4" w:space="0" w:color="A6A6A6"/>
              <w:right w:val="single" w:sz="4" w:space="0" w:color="A6A6A6"/>
            </w:tcBorders>
            <w:shd w:val="clear" w:color="auto" w:fill="auto"/>
            <w:noWrap/>
            <w:vAlign w:val="center"/>
          </w:tcPr>
          <w:p w:rsidR="00D17D0D" w:rsidRPr="00117602" w:rsidRDefault="00D17D0D" w:rsidP="00117602">
            <w:pPr>
              <w:jc w:val="center"/>
              <w:rPr>
                <w:color w:val="auto"/>
                <w:sz w:val="16"/>
                <w:szCs w:val="16"/>
              </w:rPr>
            </w:pPr>
            <w:r>
              <w:rPr>
                <w:color w:val="auto"/>
                <w:sz w:val="16"/>
                <w:szCs w:val="16"/>
              </w:rPr>
              <w:t>1 667 799</w:t>
            </w:r>
          </w:p>
        </w:tc>
        <w:tc>
          <w:tcPr>
            <w:tcW w:w="1016" w:type="dxa"/>
            <w:tcBorders>
              <w:top w:val="nil"/>
              <w:left w:val="nil"/>
              <w:bottom w:val="single" w:sz="4" w:space="0" w:color="A6A6A6"/>
              <w:right w:val="single" w:sz="4" w:space="0" w:color="A6A6A6"/>
            </w:tcBorders>
            <w:shd w:val="clear" w:color="auto" w:fill="auto"/>
            <w:noWrap/>
            <w:vAlign w:val="center"/>
          </w:tcPr>
          <w:p w:rsidR="00D17D0D" w:rsidRPr="00117602" w:rsidRDefault="00D17D0D" w:rsidP="00117602">
            <w:pPr>
              <w:jc w:val="center"/>
              <w:rPr>
                <w:color w:val="auto"/>
                <w:sz w:val="16"/>
                <w:szCs w:val="16"/>
              </w:rPr>
            </w:pPr>
            <w:r>
              <w:rPr>
                <w:color w:val="auto"/>
                <w:sz w:val="16"/>
                <w:szCs w:val="16"/>
              </w:rPr>
              <w:t>1 686 639</w:t>
            </w:r>
          </w:p>
        </w:tc>
        <w:tc>
          <w:tcPr>
            <w:tcW w:w="1110" w:type="dxa"/>
            <w:tcBorders>
              <w:top w:val="nil"/>
              <w:left w:val="nil"/>
              <w:bottom w:val="single" w:sz="4" w:space="0" w:color="A6A6A6"/>
              <w:right w:val="single" w:sz="4" w:space="0" w:color="A6A6A6"/>
            </w:tcBorders>
            <w:shd w:val="clear" w:color="auto" w:fill="auto"/>
            <w:noWrap/>
            <w:vAlign w:val="center"/>
          </w:tcPr>
          <w:p w:rsidR="00D17D0D" w:rsidRPr="00117602" w:rsidRDefault="00D17D0D" w:rsidP="00117602">
            <w:pPr>
              <w:jc w:val="center"/>
              <w:rPr>
                <w:color w:val="auto"/>
                <w:sz w:val="16"/>
                <w:szCs w:val="16"/>
              </w:rPr>
            </w:pPr>
            <w:r>
              <w:rPr>
                <w:color w:val="auto"/>
                <w:sz w:val="16"/>
                <w:szCs w:val="16"/>
              </w:rPr>
              <w:t>1 686 639</w:t>
            </w:r>
          </w:p>
        </w:tc>
      </w:tr>
      <w:tr w:rsidR="00117602" w:rsidRPr="00117602" w:rsidTr="00DC7337">
        <w:trPr>
          <w:trHeight w:val="510"/>
        </w:trPr>
        <w:tc>
          <w:tcPr>
            <w:tcW w:w="709" w:type="dxa"/>
            <w:tcBorders>
              <w:top w:val="nil"/>
              <w:left w:val="single" w:sz="4" w:space="0" w:color="A6A6A6"/>
              <w:bottom w:val="single" w:sz="4" w:space="0" w:color="A6A6A6"/>
              <w:right w:val="single" w:sz="4" w:space="0" w:color="A6A6A6"/>
            </w:tcBorders>
            <w:shd w:val="clear" w:color="auto" w:fill="auto"/>
            <w:noWrap/>
            <w:vAlign w:val="center"/>
            <w:hideMark/>
          </w:tcPr>
          <w:p w:rsidR="00117602" w:rsidRPr="00117602" w:rsidRDefault="00D17D0D" w:rsidP="00117602">
            <w:pPr>
              <w:jc w:val="center"/>
              <w:rPr>
                <w:color w:val="auto"/>
                <w:sz w:val="16"/>
                <w:szCs w:val="16"/>
              </w:rPr>
            </w:pPr>
            <w:r>
              <w:rPr>
                <w:color w:val="auto"/>
                <w:sz w:val="16"/>
                <w:szCs w:val="16"/>
              </w:rPr>
              <w:t>5</w:t>
            </w:r>
            <w:r w:rsidR="003E6534">
              <w:rPr>
                <w:color w:val="auto"/>
                <w:sz w:val="16"/>
                <w:szCs w:val="16"/>
              </w:rPr>
              <w:t>.</w:t>
            </w:r>
          </w:p>
        </w:tc>
        <w:tc>
          <w:tcPr>
            <w:tcW w:w="5671" w:type="dxa"/>
            <w:tcBorders>
              <w:top w:val="single" w:sz="4" w:space="0" w:color="A6A6A6"/>
              <w:left w:val="nil"/>
              <w:bottom w:val="single" w:sz="4" w:space="0" w:color="A6A6A6"/>
              <w:right w:val="single" w:sz="4" w:space="0" w:color="A6A6A6"/>
            </w:tcBorders>
            <w:shd w:val="clear" w:color="auto" w:fill="auto"/>
            <w:vAlign w:val="center"/>
            <w:hideMark/>
          </w:tcPr>
          <w:p w:rsidR="00117602" w:rsidRPr="00117602" w:rsidRDefault="00117602" w:rsidP="00117602">
            <w:pPr>
              <w:jc w:val="center"/>
              <w:rPr>
                <w:color w:val="auto"/>
                <w:sz w:val="16"/>
                <w:szCs w:val="16"/>
              </w:rPr>
            </w:pPr>
            <w:r w:rsidRPr="00117602">
              <w:rPr>
                <w:color w:val="auto"/>
                <w:sz w:val="16"/>
                <w:szCs w:val="16"/>
              </w:rPr>
              <w:t>Papildu nepieciešamais finansējums Iekšlietu ministrijai (Finanšu izlūkošanas dienestam)</w:t>
            </w:r>
            <w:r w:rsidR="00635FAF" w:rsidRPr="00DD6426">
              <w:rPr>
                <w:color w:val="auto"/>
                <w:sz w:val="16"/>
                <w:szCs w:val="16"/>
              </w:rPr>
              <w:t xml:space="preserve">; </w:t>
            </w:r>
            <w:r w:rsidRPr="00117602">
              <w:rPr>
                <w:color w:val="auto"/>
                <w:sz w:val="16"/>
                <w:szCs w:val="16"/>
              </w:rPr>
              <w:t>budžeta programma 43.00.00 "Finanšu izlūkošanas dienesta darbība"</w:t>
            </w:r>
          </w:p>
        </w:tc>
        <w:tc>
          <w:tcPr>
            <w:tcW w:w="1276" w:type="dxa"/>
            <w:tcBorders>
              <w:top w:val="nil"/>
              <w:left w:val="nil"/>
              <w:bottom w:val="single" w:sz="4" w:space="0" w:color="A6A6A6"/>
              <w:right w:val="single" w:sz="4" w:space="0" w:color="A6A6A6"/>
            </w:tcBorders>
            <w:shd w:val="clear" w:color="000000" w:fill="FFFFFF"/>
            <w:noWrap/>
            <w:vAlign w:val="center"/>
            <w:hideMark/>
          </w:tcPr>
          <w:p w:rsidR="00117602" w:rsidRPr="00117602" w:rsidRDefault="00117602" w:rsidP="00117602">
            <w:pPr>
              <w:jc w:val="center"/>
              <w:rPr>
                <w:b/>
                <w:bCs/>
                <w:color w:val="auto"/>
                <w:sz w:val="16"/>
                <w:szCs w:val="16"/>
              </w:rPr>
            </w:pPr>
            <w:r w:rsidRPr="00117602">
              <w:rPr>
                <w:b/>
                <w:bCs/>
                <w:color w:val="auto"/>
                <w:sz w:val="16"/>
                <w:szCs w:val="16"/>
              </w:rPr>
              <w:t> </w:t>
            </w:r>
            <w:r>
              <w:rPr>
                <w:b/>
                <w:bCs/>
                <w:color w:val="auto"/>
                <w:sz w:val="16"/>
                <w:szCs w:val="16"/>
              </w:rPr>
              <w:t>x</w:t>
            </w:r>
          </w:p>
        </w:tc>
        <w:tc>
          <w:tcPr>
            <w:tcW w:w="992" w:type="dxa"/>
            <w:tcBorders>
              <w:top w:val="nil"/>
              <w:left w:val="nil"/>
              <w:bottom w:val="single" w:sz="4" w:space="0" w:color="A6A6A6"/>
              <w:right w:val="single" w:sz="4" w:space="0" w:color="A6A6A6"/>
            </w:tcBorders>
            <w:shd w:val="clear" w:color="000000" w:fill="FFFFFF"/>
            <w:noWrap/>
            <w:vAlign w:val="center"/>
            <w:hideMark/>
          </w:tcPr>
          <w:p w:rsidR="00117602" w:rsidRPr="00117602" w:rsidRDefault="00117602" w:rsidP="00117602">
            <w:pPr>
              <w:jc w:val="center"/>
              <w:rPr>
                <w:b/>
                <w:bCs/>
                <w:color w:val="auto"/>
                <w:sz w:val="16"/>
                <w:szCs w:val="16"/>
              </w:rPr>
            </w:pPr>
            <w:r w:rsidRPr="00117602">
              <w:rPr>
                <w:b/>
                <w:bCs/>
                <w:color w:val="auto"/>
                <w:sz w:val="16"/>
                <w:szCs w:val="16"/>
              </w:rPr>
              <w:t>173 547</w:t>
            </w:r>
          </w:p>
        </w:tc>
        <w:tc>
          <w:tcPr>
            <w:tcW w:w="1016" w:type="dxa"/>
            <w:tcBorders>
              <w:top w:val="nil"/>
              <w:left w:val="nil"/>
              <w:bottom w:val="single" w:sz="4" w:space="0" w:color="A6A6A6"/>
              <w:right w:val="single" w:sz="4" w:space="0" w:color="A6A6A6"/>
            </w:tcBorders>
            <w:shd w:val="clear" w:color="000000" w:fill="FFFFFF"/>
            <w:noWrap/>
            <w:vAlign w:val="center"/>
            <w:hideMark/>
          </w:tcPr>
          <w:p w:rsidR="00117602" w:rsidRPr="00117602" w:rsidRDefault="00117602" w:rsidP="00117602">
            <w:pPr>
              <w:jc w:val="center"/>
              <w:rPr>
                <w:b/>
                <w:bCs/>
                <w:color w:val="auto"/>
                <w:sz w:val="16"/>
                <w:szCs w:val="16"/>
              </w:rPr>
            </w:pPr>
            <w:r w:rsidRPr="00117602">
              <w:rPr>
                <w:b/>
                <w:bCs/>
                <w:color w:val="auto"/>
                <w:sz w:val="16"/>
                <w:szCs w:val="16"/>
              </w:rPr>
              <w:t>173 547</w:t>
            </w:r>
          </w:p>
        </w:tc>
        <w:tc>
          <w:tcPr>
            <w:tcW w:w="1110" w:type="dxa"/>
            <w:tcBorders>
              <w:top w:val="nil"/>
              <w:left w:val="nil"/>
              <w:bottom w:val="single" w:sz="4" w:space="0" w:color="A6A6A6"/>
              <w:right w:val="single" w:sz="4" w:space="0" w:color="A6A6A6"/>
            </w:tcBorders>
            <w:shd w:val="clear" w:color="000000" w:fill="FFFFFF"/>
            <w:noWrap/>
            <w:vAlign w:val="center"/>
            <w:hideMark/>
          </w:tcPr>
          <w:p w:rsidR="00117602" w:rsidRPr="00117602" w:rsidRDefault="00117602" w:rsidP="00117602">
            <w:pPr>
              <w:jc w:val="center"/>
              <w:rPr>
                <w:b/>
                <w:bCs/>
                <w:color w:val="auto"/>
                <w:sz w:val="16"/>
                <w:szCs w:val="16"/>
              </w:rPr>
            </w:pPr>
            <w:r w:rsidRPr="00117602">
              <w:rPr>
                <w:b/>
                <w:bCs/>
                <w:color w:val="auto"/>
                <w:sz w:val="16"/>
                <w:szCs w:val="16"/>
              </w:rPr>
              <w:t>173 547</w:t>
            </w:r>
          </w:p>
        </w:tc>
      </w:tr>
      <w:tr w:rsidR="00117602" w:rsidRPr="00117602" w:rsidTr="00DC7337">
        <w:trPr>
          <w:trHeight w:val="340"/>
        </w:trPr>
        <w:tc>
          <w:tcPr>
            <w:tcW w:w="709" w:type="dxa"/>
            <w:tcBorders>
              <w:top w:val="nil"/>
              <w:left w:val="single" w:sz="4" w:space="0" w:color="A6A6A6"/>
              <w:bottom w:val="single" w:sz="4" w:space="0" w:color="A6A6A6"/>
              <w:right w:val="single" w:sz="4" w:space="0" w:color="A6A6A6"/>
            </w:tcBorders>
            <w:shd w:val="clear" w:color="auto" w:fill="auto"/>
            <w:noWrap/>
            <w:vAlign w:val="center"/>
            <w:hideMark/>
          </w:tcPr>
          <w:p w:rsidR="00117602" w:rsidRPr="00117602" w:rsidRDefault="00D17D0D" w:rsidP="00117602">
            <w:pPr>
              <w:jc w:val="center"/>
              <w:rPr>
                <w:color w:val="auto"/>
                <w:sz w:val="16"/>
                <w:szCs w:val="16"/>
              </w:rPr>
            </w:pPr>
            <w:r>
              <w:rPr>
                <w:color w:val="auto"/>
                <w:sz w:val="16"/>
                <w:szCs w:val="16"/>
              </w:rPr>
              <w:t>6</w:t>
            </w:r>
            <w:r w:rsidR="00117602" w:rsidRPr="00117602">
              <w:rPr>
                <w:color w:val="auto"/>
                <w:sz w:val="16"/>
                <w:szCs w:val="16"/>
              </w:rPr>
              <w:t>.</w:t>
            </w:r>
          </w:p>
        </w:tc>
        <w:tc>
          <w:tcPr>
            <w:tcW w:w="5671" w:type="dxa"/>
            <w:tcBorders>
              <w:top w:val="single" w:sz="4" w:space="0" w:color="A6A6A6"/>
              <w:left w:val="nil"/>
              <w:bottom w:val="single" w:sz="4" w:space="0" w:color="A6A6A6"/>
              <w:right w:val="single" w:sz="4" w:space="0" w:color="A6A6A6"/>
            </w:tcBorders>
            <w:shd w:val="clear" w:color="auto" w:fill="auto"/>
            <w:noWrap/>
            <w:vAlign w:val="center"/>
            <w:hideMark/>
          </w:tcPr>
          <w:p w:rsidR="00117602" w:rsidRPr="00117602" w:rsidRDefault="00117602" w:rsidP="00117602">
            <w:pPr>
              <w:jc w:val="center"/>
              <w:rPr>
                <w:color w:val="auto"/>
                <w:sz w:val="16"/>
                <w:szCs w:val="16"/>
              </w:rPr>
            </w:pPr>
            <w:r w:rsidRPr="00117602">
              <w:rPr>
                <w:color w:val="auto"/>
                <w:sz w:val="16"/>
                <w:szCs w:val="16"/>
              </w:rPr>
              <w:t xml:space="preserve">Kopā </w:t>
            </w:r>
            <w:r w:rsidR="00DC7337">
              <w:rPr>
                <w:color w:val="auto"/>
                <w:sz w:val="16"/>
                <w:szCs w:val="16"/>
              </w:rPr>
              <w:t xml:space="preserve"> (2.+3.+5.)</w:t>
            </w:r>
          </w:p>
        </w:tc>
        <w:tc>
          <w:tcPr>
            <w:tcW w:w="1276" w:type="dxa"/>
            <w:tcBorders>
              <w:top w:val="nil"/>
              <w:left w:val="nil"/>
              <w:bottom w:val="single" w:sz="4" w:space="0" w:color="A6A6A6"/>
              <w:right w:val="single" w:sz="4" w:space="0" w:color="A6A6A6"/>
            </w:tcBorders>
            <w:shd w:val="clear" w:color="auto" w:fill="auto"/>
            <w:noWrap/>
            <w:vAlign w:val="center"/>
            <w:hideMark/>
          </w:tcPr>
          <w:p w:rsidR="00117602" w:rsidRPr="00117602" w:rsidRDefault="00117602" w:rsidP="00117602">
            <w:pPr>
              <w:jc w:val="center"/>
              <w:rPr>
                <w:color w:val="auto"/>
                <w:sz w:val="16"/>
                <w:szCs w:val="16"/>
              </w:rPr>
            </w:pPr>
            <w:r w:rsidRPr="00117602">
              <w:rPr>
                <w:color w:val="auto"/>
                <w:sz w:val="16"/>
                <w:szCs w:val="16"/>
              </w:rPr>
              <w:t>9 712 496</w:t>
            </w:r>
          </w:p>
        </w:tc>
        <w:tc>
          <w:tcPr>
            <w:tcW w:w="992" w:type="dxa"/>
            <w:tcBorders>
              <w:top w:val="nil"/>
              <w:left w:val="nil"/>
              <w:bottom w:val="single" w:sz="4" w:space="0" w:color="A6A6A6"/>
              <w:right w:val="single" w:sz="4" w:space="0" w:color="A6A6A6"/>
            </w:tcBorders>
            <w:shd w:val="clear" w:color="auto" w:fill="auto"/>
            <w:noWrap/>
            <w:vAlign w:val="center"/>
            <w:hideMark/>
          </w:tcPr>
          <w:p w:rsidR="00117602" w:rsidRPr="00117602" w:rsidRDefault="00117602" w:rsidP="00117602">
            <w:pPr>
              <w:jc w:val="center"/>
              <w:rPr>
                <w:color w:val="auto"/>
                <w:sz w:val="16"/>
                <w:szCs w:val="16"/>
              </w:rPr>
            </w:pPr>
            <w:r w:rsidRPr="00117602">
              <w:rPr>
                <w:color w:val="auto"/>
                <w:sz w:val="16"/>
                <w:szCs w:val="16"/>
              </w:rPr>
              <w:t>8 505 748</w:t>
            </w:r>
          </w:p>
        </w:tc>
        <w:tc>
          <w:tcPr>
            <w:tcW w:w="1016" w:type="dxa"/>
            <w:tcBorders>
              <w:top w:val="nil"/>
              <w:left w:val="nil"/>
              <w:bottom w:val="single" w:sz="4" w:space="0" w:color="A6A6A6"/>
              <w:right w:val="single" w:sz="4" w:space="0" w:color="A6A6A6"/>
            </w:tcBorders>
            <w:shd w:val="clear" w:color="auto" w:fill="auto"/>
            <w:noWrap/>
            <w:vAlign w:val="center"/>
            <w:hideMark/>
          </w:tcPr>
          <w:p w:rsidR="00117602" w:rsidRPr="00117602" w:rsidRDefault="00117602" w:rsidP="00117602">
            <w:pPr>
              <w:jc w:val="center"/>
              <w:rPr>
                <w:color w:val="auto"/>
                <w:sz w:val="16"/>
                <w:szCs w:val="16"/>
              </w:rPr>
            </w:pPr>
            <w:r w:rsidRPr="00117602">
              <w:rPr>
                <w:color w:val="auto"/>
                <w:sz w:val="16"/>
                <w:szCs w:val="16"/>
              </w:rPr>
              <w:t>8 486 908</w:t>
            </w:r>
          </w:p>
        </w:tc>
        <w:tc>
          <w:tcPr>
            <w:tcW w:w="1110" w:type="dxa"/>
            <w:tcBorders>
              <w:top w:val="nil"/>
              <w:left w:val="nil"/>
              <w:bottom w:val="single" w:sz="4" w:space="0" w:color="A6A6A6"/>
              <w:right w:val="single" w:sz="4" w:space="0" w:color="A6A6A6"/>
            </w:tcBorders>
            <w:shd w:val="clear" w:color="auto" w:fill="auto"/>
            <w:noWrap/>
            <w:vAlign w:val="center"/>
            <w:hideMark/>
          </w:tcPr>
          <w:p w:rsidR="00117602" w:rsidRPr="00117602" w:rsidRDefault="00117602" w:rsidP="00117602">
            <w:pPr>
              <w:jc w:val="center"/>
              <w:rPr>
                <w:color w:val="auto"/>
                <w:sz w:val="16"/>
                <w:szCs w:val="16"/>
              </w:rPr>
            </w:pPr>
            <w:r w:rsidRPr="00117602">
              <w:rPr>
                <w:color w:val="auto"/>
                <w:sz w:val="16"/>
                <w:szCs w:val="16"/>
              </w:rPr>
              <w:t>8 486 908</w:t>
            </w:r>
          </w:p>
        </w:tc>
      </w:tr>
      <w:tr w:rsidR="00117602" w:rsidRPr="00117602" w:rsidTr="00DC7337">
        <w:trPr>
          <w:trHeight w:val="737"/>
        </w:trPr>
        <w:tc>
          <w:tcPr>
            <w:tcW w:w="709" w:type="dxa"/>
            <w:tcBorders>
              <w:top w:val="nil"/>
              <w:left w:val="single" w:sz="4" w:space="0" w:color="A6A6A6"/>
              <w:bottom w:val="single" w:sz="4" w:space="0" w:color="A6A6A6"/>
              <w:right w:val="single" w:sz="4" w:space="0" w:color="A6A6A6"/>
            </w:tcBorders>
            <w:shd w:val="clear" w:color="auto" w:fill="F2F2F2" w:themeFill="background1" w:themeFillShade="F2"/>
            <w:noWrap/>
            <w:vAlign w:val="center"/>
            <w:hideMark/>
          </w:tcPr>
          <w:p w:rsidR="00117602" w:rsidRPr="00117602" w:rsidRDefault="00D17D0D" w:rsidP="00117602">
            <w:pPr>
              <w:jc w:val="center"/>
              <w:rPr>
                <w:color w:val="auto"/>
                <w:sz w:val="16"/>
                <w:szCs w:val="16"/>
              </w:rPr>
            </w:pPr>
            <w:r>
              <w:rPr>
                <w:color w:val="auto"/>
                <w:sz w:val="16"/>
                <w:szCs w:val="16"/>
              </w:rPr>
              <w:t>7</w:t>
            </w:r>
            <w:r w:rsidR="00117602" w:rsidRPr="00117602">
              <w:rPr>
                <w:color w:val="auto"/>
                <w:sz w:val="16"/>
                <w:szCs w:val="16"/>
              </w:rPr>
              <w:t>.</w:t>
            </w:r>
          </w:p>
        </w:tc>
        <w:tc>
          <w:tcPr>
            <w:tcW w:w="5671" w:type="dxa"/>
            <w:tcBorders>
              <w:top w:val="single" w:sz="4" w:space="0" w:color="A6A6A6"/>
              <w:left w:val="nil"/>
              <w:bottom w:val="single" w:sz="4" w:space="0" w:color="A6A6A6"/>
              <w:right w:val="single" w:sz="4" w:space="0" w:color="A6A6A6"/>
            </w:tcBorders>
            <w:shd w:val="clear" w:color="auto" w:fill="F2F2F2" w:themeFill="background1" w:themeFillShade="F2"/>
            <w:vAlign w:val="center"/>
            <w:hideMark/>
          </w:tcPr>
          <w:p w:rsidR="00117602" w:rsidRPr="00117602" w:rsidRDefault="00D17D0D" w:rsidP="00117602">
            <w:pPr>
              <w:jc w:val="center"/>
              <w:rPr>
                <w:color w:val="auto"/>
                <w:sz w:val="16"/>
                <w:szCs w:val="16"/>
              </w:rPr>
            </w:pPr>
            <w:r>
              <w:rPr>
                <w:color w:val="auto"/>
                <w:sz w:val="16"/>
                <w:szCs w:val="16"/>
              </w:rPr>
              <w:t>Nesadalītā finansējuma</w:t>
            </w:r>
            <w:r w:rsidR="00117602" w:rsidRPr="00117602">
              <w:rPr>
                <w:color w:val="auto"/>
                <w:sz w:val="16"/>
                <w:szCs w:val="16"/>
              </w:rPr>
              <w:t xml:space="preserve"> ATLIKUMS budžeta resora "74. Gadskārtējā valsts budžeta izpildes procesā pārdalāmais finansējums" programmā 10.00.00 "Noziedzīgi iegūtu līdzekļu legalizācijas un terorisma finansēšanas novēršana"  (1.-</w:t>
            </w:r>
            <w:r>
              <w:rPr>
                <w:color w:val="auto"/>
                <w:sz w:val="16"/>
                <w:szCs w:val="16"/>
              </w:rPr>
              <w:t>6</w:t>
            </w:r>
            <w:r w:rsidR="00117602" w:rsidRPr="00117602">
              <w:rPr>
                <w:color w:val="auto"/>
                <w:sz w:val="16"/>
                <w:szCs w:val="16"/>
              </w:rPr>
              <w:t>.)</w:t>
            </w:r>
          </w:p>
        </w:tc>
        <w:tc>
          <w:tcPr>
            <w:tcW w:w="1276" w:type="dxa"/>
            <w:tcBorders>
              <w:top w:val="nil"/>
              <w:left w:val="nil"/>
              <w:bottom w:val="single" w:sz="4" w:space="0" w:color="A6A6A6"/>
              <w:right w:val="single" w:sz="4" w:space="0" w:color="A6A6A6"/>
            </w:tcBorders>
            <w:shd w:val="clear" w:color="auto" w:fill="F2F2F2" w:themeFill="background1" w:themeFillShade="F2"/>
            <w:noWrap/>
            <w:vAlign w:val="center"/>
            <w:hideMark/>
          </w:tcPr>
          <w:p w:rsidR="00117602" w:rsidRPr="00117602" w:rsidRDefault="00117602" w:rsidP="00117602">
            <w:pPr>
              <w:jc w:val="center"/>
              <w:rPr>
                <w:color w:val="auto"/>
                <w:sz w:val="16"/>
                <w:szCs w:val="16"/>
              </w:rPr>
            </w:pPr>
            <w:r w:rsidRPr="00117602">
              <w:rPr>
                <w:color w:val="auto"/>
                <w:sz w:val="16"/>
                <w:szCs w:val="16"/>
              </w:rPr>
              <w:t>287 504</w:t>
            </w:r>
          </w:p>
        </w:tc>
        <w:tc>
          <w:tcPr>
            <w:tcW w:w="992" w:type="dxa"/>
            <w:tcBorders>
              <w:top w:val="nil"/>
              <w:left w:val="nil"/>
              <w:bottom w:val="single" w:sz="4" w:space="0" w:color="A6A6A6"/>
              <w:right w:val="single" w:sz="4" w:space="0" w:color="A6A6A6"/>
            </w:tcBorders>
            <w:shd w:val="clear" w:color="auto" w:fill="F2F2F2" w:themeFill="background1" w:themeFillShade="F2"/>
            <w:noWrap/>
            <w:vAlign w:val="center"/>
            <w:hideMark/>
          </w:tcPr>
          <w:p w:rsidR="00117602" w:rsidRPr="00117602" w:rsidRDefault="00117602" w:rsidP="00117602">
            <w:pPr>
              <w:jc w:val="center"/>
              <w:rPr>
                <w:color w:val="auto"/>
                <w:sz w:val="16"/>
                <w:szCs w:val="16"/>
              </w:rPr>
            </w:pPr>
            <w:r w:rsidRPr="00117602">
              <w:rPr>
                <w:color w:val="auto"/>
                <w:sz w:val="16"/>
                <w:szCs w:val="16"/>
              </w:rPr>
              <w:t>1 494 252</w:t>
            </w:r>
          </w:p>
        </w:tc>
        <w:tc>
          <w:tcPr>
            <w:tcW w:w="1016" w:type="dxa"/>
            <w:tcBorders>
              <w:top w:val="nil"/>
              <w:left w:val="nil"/>
              <w:bottom w:val="single" w:sz="4" w:space="0" w:color="A6A6A6"/>
              <w:right w:val="single" w:sz="4" w:space="0" w:color="A6A6A6"/>
            </w:tcBorders>
            <w:shd w:val="clear" w:color="auto" w:fill="F2F2F2" w:themeFill="background1" w:themeFillShade="F2"/>
            <w:noWrap/>
            <w:vAlign w:val="center"/>
            <w:hideMark/>
          </w:tcPr>
          <w:p w:rsidR="00117602" w:rsidRPr="00117602" w:rsidRDefault="00117602" w:rsidP="00117602">
            <w:pPr>
              <w:jc w:val="center"/>
              <w:rPr>
                <w:color w:val="auto"/>
                <w:sz w:val="16"/>
                <w:szCs w:val="16"/>
              </w:rPr>
            </w:pPr>
            <w:r w:rsidRPr="00117602">
              <w:rPr>
                <w:color w:val="auto"/>
                <w:sz w:val="16"/>
                <w:szCs w:val="16"/>
              </w:rPr>
              <w:t>1 513 092</w:t>
            </w:r>
          </w:p>
        </w:tc>
        <w:tc>
          <w:tcPr>
            <w:tcW w:w="1110" w:type="dxa"/>
            <w:tcBorders>
              <w:top w:val="nil"/>
              <w:left w:val="nil"/>
              <w:bottom w:val="single" w:sz="4" w:space="0" w:color="A6A6A6"/>
              <w:right w:val="single" w:sz="4" w:space="0" w:color="A6A6A6"/>
            </w:tcBorders>
            <w:shd w:val="clear" w:color="auto" w:fill="F2F2F2" w:themeFill="background1" w:themeFillShade="F2"/>
            <w:noWrap/>
            <w:vAlign w:val="center"/>
            <w:hideMark/>
          </w:tcPr>
          <w:p w:rsidR="00117602" w:rsidRPr="00117602" w:rsidRDefault="00117602" w:rsidP="00117602">
            <w:pPr>
              <w:jc w:val="center"/>
              <w:rPr>
                <w:color w:val="auto"/>
                <w:sz w:val="16"/>
                <w:szCs w:val="16"/>
              </w:rPr>
            </w:pPr>
            <w:r w:rsidRPr="00117602">
              <w:rPr>
                <w:color w:val="auto"/>
                <w:sz w:val="16"/>
                <w:szCs w:val="16"/>
              </w:rPr>
              <w:t>1 513 092</w:t>
            </w:r>
          </w:p>
        </w:tc>
      </w:tr>
    </w:tbl>
    <w:p w:rsidR="00117602" w:rsidRDefault="00117602" w:rsidP="00117602">
      <w:pPr>
        <w:rPr>
          <w:sz w:val="24"/>
          <w:szCs w:val="24"/>
        </w:rPr>
      </w:pPr>
    </w:p>
    <w:p w:rsidR="00844B06" w:rsidRPr="00844B06" w:rsidRDefault="00844B06" w:rsidP="00844B06">
      <w:pPr>
        <w:ind w:firstLine="720"/>
        <w:rPr>
          <w:sz w:val="24"/>
          <w:szCs w:val="24"/>
        </w:rPr>
      </w:pPr>
    </w:p>
    <w:p w:rsidR="009F5476" w:rsidRPr="008A179F" w:rsidRDefault="00FE09F8" w:rsidP="000053CE">
      <w:pPr>
        <w:spacing w:after="120"/>
        <w:rPr>
          <w:sz w:val="24"/>
          <w:szCs w:val="24"/>
        </w:rPr>
      </w:pPr>
      <w:r w:rsidRPr="008A179F">
        <w:rPr>
          <w:sz w:val="24"/>
          <w:szCs w:val="24"/>
        </w:rPr>
        <w:t>Pievienotais Ministru kabineta sēdes protokollēmuma projekts paredz:</w:t>
      </w:r>
    </w:p>
    <w:p w:rsidR="00FE09F8" w:rsidRPr="00C3251D" w:rsidRDefault="00632C4F" w:rsidP="000053CE">
      <w:pPr>
        <w:spacing w:after="120"/>
        <w:rPr>
          <w:sz w:val="24"/>
          <w:szCs w:val="24"/>
        </w:rPr>
      </w:pPr>
      <w:r>
        <w:rPr>
          <w:sz w:val="24"/>
          <w:szCs w:val="24"/>
        </w:rPr>
        <w:t xml:space="preserve">1. </w:t>
      </w:r>
      <w:r w:rsidR="00FE09F8" w:rsidRPr="00C3251D">
        <w:rPr>
          <w:sz w:val="24"/>
          <w:szCs w:val="24"/>
        </w:rPr>
        <w:t>Pieņemt zināšanai iesniegto informatīvo ziņojumu.</w:t>
      </w:r>
    </w:p>
    <w:p w:rsidR="00632C4F" w:rsidRPr="000C36CE" w:rsidRDefault="00632C4F" w:rsidP="000053CE">
      <w:pPr>
        <w:spacing w:after="120"/>
        <w:rPr>
          <w:sz w:val="24"/>
          <w:szCs w:val="24"/>
        </w:rPr>
      </w:pPr>
      <w:r>
        <w:rPr>
          <w:sz w:val="24"/>
          <w:szCs w:val="24"/>
        </w:rPr>
        <w:t xml:space="preserve">2. </w:t>
      </w:r>
      <w:r w:rsidR="00D756A7" w:rsidRPr="003B1AA8">
        <w:rPr>
          <w:sz w:val="24"/>
          <w:szCs w:val="24"/>
        </w:rPr>
        <w:t xml:space="preserve">Lai </w:t>
      </w:r>
      <w:r w:rsidRPr="003B1AA8">
        <w:rPr>
          <w:sz w:val="24"/>
          <w:szCs w:val="24"/>
        </w:rPr>
        <w:t xml:space="preserve">nodrošinātu finansējumu Finanšu izlūkošanas dienesta telpu nomas maksas </w:t>
      </w:r>
      <w:r>
        <w:rPr>
          <w:sz w:val="24"/>
          <w:szCs w:val="24"/>
        </w:rPr>
        <w:t xml:space="preserve">izdevumu palielinājuma </w:t>
      </w:r>
      <w:r w:rsidRPr="003B1AA8">
        <w:rPr>
          <w:sz w:val="24"/>
          <w:szCs w:val="24"/>
        </w:rPr>
        <w:t xml:space="preserve">segšanai </w:t>
      </w:r>
      <w:r>
        <w:rPr>
          <w:sz w:val="24"/>
          <w:szCs w:val="24"/>
        </w:rPr>
        <w:t>2024. gadā un turpmāk katru gadu,</w:t>
      </w:r>
      <w:r w:rsidRPr="000C36CE">
        <w:rPr>
          <w:sz w:val="24"/>
          <w:szCs w:val="24"/>
        </w:rPr>
        <w:t xml:space="preserve"> atbalstīt Iekšlietu ministrijas priekšlikumu samazināt budžeta resora </w:t>
      </w:r>
      <w:r w:rsidR="009B2AF4">
        <w:rPr>
          <w:sz w:val="24"/>
          <w:szCs w:val="24"/>
        </w:rPr>
        <w:t>“</w:t>
      </w:r>
      <w:r w:rsidRPr="000C36CE">
        <w:rPr>
          <w:sz w:val="24"/>
          <w:szCs w:val="24"/>
        </w:rPr>
        <w:t>74. Gadskārtējā valsts budžeta izpildes procesā pārdalāmais finansējums</w:t>
      </w:r>
      <w:r w:rsidR="009B2AF4">
        <w:rPr>
          <w:sz w:val="24"/>
          <w:szCs w:val="24"/>
        </w:rPr>
        <w:t>”</w:t>
      </w:r>
      <w:r w:rsidRPr="000C36CE">
        <w:rPr>
          <w:sz w:val="24"/>
          <w:szCs w:val="24"/>
        </w:rPr>
        <w:t xml:space="preserve"> programmā 10.00.00 </w:t>
      </w:r>
      <w:r w:rsidR="009B2AF4">
        <w:rPr>
          <w:sz w:val="24"/>
          <w:szCs w:val="24"/>
        </w:rPr>
        <w:t>“</w:t>
      </w:r>
      <w:r w:rsidRPr="000C36CE">
        <w:rPr>
          <w:sz w:val="24"/>
          <w:szCs w:val="24"/>
        </w:rPr>
        <w:t>Noziedzīgi iegūtu līdzekļu legalizācijas un terorisma finansēšanas novēršana</w:t>
      </w:r>
      <w:r w:rsidR="009B2AF4">
        <w:rPr>
          <w:sz w:val="24"/>
          <w:szCs w:val="24"/>
        </w:rPr>
        <w:t>”</w:t>
      </w:r>
      <w:r w:rsidRPr="000C36CE">
        <w:rPr>
          <w:sz w:val="24"/>
          <w:szCs w:val="24"/>
        </w:rPr>
        <w:t xml:space="preserve"> 2024. gadam un turpmāk ik gadu plānoto finansējumu par 173 547 </w:t>
      </w:r>
      <w:r w:rsidRPr="000C36CE">
        <w:rPr>
          <w:i/>
          <w:sz w:val="24"/>
          <w:szCs w:val="24"/>
        </w:rPr>
        <w:t>euro</w:t>
      </w:r>
      <w:r w:rsidRPr="000C36CE">
        <w:rPr>
          <w:sz w:val="24"/>
          <w:szCs w:val="24"/>
        </w:rPr>
        <w:t xml:space="preserve">  un palielināt finansējumu Iekšlietu ministrijas budžeta programmā 43.00.00 </w:t>
      </w:r>
      <w:r w:rsidR="009B2AF4">
        <w:rPr>
          <w:sz w:val="24"/>
          <w:szCs w:val="24"/>
        </w:rPr>
        <w:t>“</w:t>
      </w:r>
      <w:r w:rsidRPr="000C36CE">
        <w:rPr>
          <w:sz w:val="24"/>
          <w:szCs w:val="24"/>
        </w:rPr>
        <w:t>Finanšu izlūkošanas dienesta darbība</w:t>
      </w:r>
      <w:r w:rsidR="009B2AF4">
        <w:rPr>
          <w:sz w:val="24"/>
          <w:szCs w:val="24"/>
        </w:rPr>
        <w:t>”</w:t>
      </w:r>
      <w:r w:rsidRPr="000C36CE">
        <w:rPr>
          <w:sz w:val="24"/>
          <w:szCs w:val="24"/>
        </w:rPr>
        <w:t xml:space="preserve">  par 173 547 </w:t>
      </w:r>
      <w:r w:rsidRPr="000C36CE">
        <w:rPr>
          <w:i/>
          <w:sz w:val="24"/>
          <w:szCs w:val="24"/>
        </w:rPr>
        <w:t>euro</w:t>
      </w:r>
      <w:r w:rsidRPr="000C36CE">
        <w:rPr>
          <w:sz w:val="24"/>
          <w:szCs w:val="24"/>
        </w:rPr>
        <w:t>.</w:t>
      </w:r>
    </w:p>
    <w:p w:rsidR="00632C4F" w:rsidRPr="000C36CE" w:rsidRDefault="00632C4F" w:rsidP="000053CE">
      <w:pPr>
        <w:spacing w:after="120"/>
        <w:rPr>
          <w:sz w:val="24"/>
          <w:szCs w:val="24"/>
        </w:rPr>
      </w:pPr>
      <w:r>
        <w:rPr>
          <w:sz w:val="24"/>
          <w:szCs w:val="24"/>
        </w:rPr>
        <w:t xml:space="preserve">3. </w:t>
      </w:r>
      <w:r w:rsidRPr="000C36CE">
        <w:rPr>
          <w:sz w:val="24"/>
          <w:szCs w:val="24"/>
        </w:rPr>
        <w:t xml:space="preserve">Iekšlietu ministrijai likumprojekta </w:t>
      </w:r>
      <w:r w:rsidR="00BD42BE">
        <w:rPr>
          <w:sz w:val="24"/>
          <w:szCs w:val="24"/>
        </w:rPr>
        <w:t>“</w:t>
      </w:r>
      <w:r w:rsidRPr="000C36CE">
        <w:rPr>
          <w:sz w:val="24"/>
          <w:szCs w:val="24"/>
        </w:rPr>
        <w:t>Par valsts budžetu 2024. gadam un budžeta ietvaru 2024., 2025. un 2026. gadam</w:t>
      </w:r>
      <w:r w:rsidR="00BD42BE">
        <w:rPr>
          <w:sz w:val="24"/>
          <w:szCs w:val="24"/>
        </w:rPr>
        <w:t>”</w:t>
      </w:r>
      <w:r w:rsidRPr="000C36CE">
        <w:rPr>
          <w:sz w:val="24"/>
          <w:szCs w:val="24"/>
        </w:rPr>
        <w:t xml:space="preserve"> sagatavošanas procesā iesniegt Finanšu ministrijā priekšlikumu atbilstoši šī protokollēmuma 2. punktā noteiktajam.</w:t>
      </w:r>
    </w:p>
    <w:p w:rsidR="00D756A7" w:rsidRPr="000C36CE" w:rsidRDefault="00D756A7" w:rsidP="009F5476">
      <w:pPr>
        <w:rPr>
          <w:sz w:val="24"/>
          <w:szCs w:val="24"/>
        </w:rPr>
      </w:pPr>
    </w:p>
    <w:sectPr w:rsidR="00D756A7" w:rsidRPr="000C36CE" w:rsidSect="00862039">
      <w:pgSz w:w="11906" w:h="16838"/>
      <w:pgMar w:top="1134" w:right="1134"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 w:name="Courier New">
    <w:panose1 w:val="02070309020205020404"/>
    <w:charset w:val="BA"/>
    <w:family w:val="modern"/>
    <w:pitch w:val="fixed"/>
    <w:sig w:usb0="E0002EFF" w:usb1="C0007843" w:usb2="00000009" w:usb3="00000000" w:csb0="000001FF" w:csb1="00000000"/>
  </w:font>
  <w:font w:name="Segoe UI">
    <w:panose1 w:val="020B0502040204020203"/>
    <w:charset w:val="BA"/>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09565CE"/>
    <w:multiLevelType w:val="hybridMultilevel"/>
    <w:tmpl w:val="DB8C1910"/>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 w15:restartNumberingAfterBreak="0">
    <w:nsid w:val="19422C20"/>
    <w:multiLevelType w:val="hybridMultilevel"/>
    <w:tmpl w:val="04DCC040"/>
    <w:lvl w:ilvl="0" w:tplc="F260D68A">
      <w:start w:val="1"/>
      <w:numFmt w:val="bullet"/>
      <w:lvlText w:val=""/>
      <w:lvlJc w:val="left"/>
      <w:pPr>
        <w:ind w:left="0" w:firstLine="705"/>
      </w:pPr>
      <w:rPr>
        <w:strike w:val="0"/>
        <w:dstrike w:val="0"/>
        <w:u w:val="none"/>
        <w:effect w:val="none"/>
      </w:rPr>
    </w:lvl>
    <w:lvl w:ilvl="1" w:tplc="26C23432">
      <w:numFmt w:val="decimal"/>
      <w:lvlText w:val=""/>
      <w:lvlJc w:val="left"/>
      <w:pPr>
        <w:ind w:left="0" w:firstLine="0"/>
      </w:pPr>
    </w:lvl>
    <w:lvl w:ilvl="2" w:tplc="B60CA276">
      <w:numFmt w:val="decimal"/>
      <w:lvlText w:val=""/>
      <w:lvlJc w:val="left"/>
      <w:pPr>
        <w:ind w:left="0" w:firstLine="0"/>
      </w:pPr>
    </w:lvl>
    <w:lvl w:ilvl="3" w:tplc="FDD0B510">
      <w:numFmt w:val="decimal"/>
      <w:lvlText w:val=""/>
      <w:lvlJc w:val="left"/>
      <w:pPr>
        <w:ind w:left="0" w:firstLine="0"/>
      </w:pPr>
    </w:lvl>
    <w:lvl w:ilvl="4" w:tplc="DE68B49E">
      <w:numFmt w:val="decimal"/>
      <w:lvlText w:val=""/>
      <w:lvlJc w:val="left"/>
      <w:pPr>
        <w:ind w:left="0" w:firstLine="0"/>
      </w:pPr>
    </w:lvl>
    <w:lvl w:ilvl="5" w:tplc="8036F4E4">
      <w:numFmt w:val="decimal"/>
      <w:lvlText w:val=""/>
      <w:lvlJc w:val="left"/>
      <w:pPr>
        <w:ind w:left="0" w:firstLine="0"/>
      </w:pPr>
    </w:lvl>
    <w:lvl w:ilvl="6" w:tplc="636A33CE">
      <w:numFmt w:val="decimal"/>
      <w:lvlText w:val=""/>
      <w:lvlJc w:val="left"/>
      <w:pPr>
        <w:ind w:left="0" w:firstLine="0"/>
      </w:pPr>
    </w:lvl>
    <w:lvl w:ilvl="7" w:tplc="DE062912">
      <w:numFmt w:val="decimal"/>
      <w:lvlText w:val=""/>
      <w:lvlJc w:val="left"/>
      <w:pPr>
        <w:ind w:left="0" w:firstLine="0"/>
      </w:pPr>
    </w:lvl>
    <w:lvl w:ilvl="8" w:tplc="F28C837C">
      <w:numFmt w:val="decimal"/>
      <w:lvlText w:val=""/>
      <w:lvlJc w:val="left"/>
      <w:pPr>
        <w:ind w:left="0" w:firstLine="0"/>
      </w:pPr>
    </w:lvl>
  </w:abstractNum>
  <w:abstractNum w:abstractNumId="2" w15:restartNumberingAfterBreak="0">
    <w:nsid w:val="1E1E2CED"/>
    <w:multiLevelType w:val="hybridMultilevel"/>
    <w:tmpl w:val="7076CA3A"/>
    <w:lvl w:ilvl="0" w:tplc="BC98A206">
      <w:start w:val="1"/>
      <w:numFmt w:val="bullet"/>
      <w:lvlRestart w:val="0"/>
      <w:lvlText w:val=""/>
      <w:lvlJc w:val="left"/>
      <w:pPr>
        <w:ind w:left="0" w:firstLine="705"/>
      </w:pPr>
      <w:rPr>
        <w:u w:val="none"/>
      </w:rPr>
    </w:lvl>
    <w:lvl w:ilvl="1" w:tplc="27320A5A">
      <w:numFmt w:val="decimal"/>
      <w:lvlText w:val=""/>
      <w:lvlJc w:val="left"/>
    </w:lvl>
    <w:lvl w:ilvl="2" w:tplc="9314F090">
      <w:numFmt w:val="decimal"/>
      <w:lvlText w:val=""/>
      <w:lvlJc w:val="left"/>
    </w:lvl>
    <w:lvl w:ilvl="3" w:tplc="6A5A5E78">
      <w:numFmt w:val="decimal"/>
      <w:lvlText w:val=""/>
      <w:lvlJc w:val="left"/>
    </w:lvl>
    <w:lvl w:ilvl="4" w:tplc="9078C4F2">
      <w:numFmt w:val="decimal"/>
      <w:lvlText w:val=""/>
      <w:lvlJc w:val="left"/>
    </w:lvl>
    <w:lvl w:ilvl="5" w:tplc="F45C0FE6">
      <w:numFmt w:val="decimal"/>
      <w:lvlText w:val=""/>
      <w:lvlJc w:val="left"/>
    </w:lvl>
    <w:lvl w:ilvl="6" w:tplc="55702646">
      <w:numFmt w:val="decimal"/>
      <w:lvlText w:val=""/>
      <w:lvlJc w:val="left"/>
    </w:lvl>
    <w:lvl w:ilvl="7" w:tplc="9118C54E">
      <w:numFmt w:val="decimal"/>
      <w:lvlText w:val=""/>
      <w:lvlJc w:val="left"/>
    </w:lvl>
    <w:lvl w:ilvl="8" w:tplc="EC949DBC">
      <w:numFmt w:val="decimal"/>
      <w:lvlText w:val=""/>
      <w:lvlJc w:val="left"/>
    </w:lvl>
  </w:abstractNum>
  <w:abstractNum w:abstractNumId="3" w15:restartNumberingAfterBreak="0">
    <w:nsid w:val="28737135"/>
    <w:multiLevelType w:val="hybridMultilevel"/>
    <w:tmpl w:val="D27C5CE8"/>
    <w:lvl w:ilvl="0" w:tplc="93A6CE4C">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 w15:restartNumberingAfterBreak="0">
    <w:nsid w:val="32663812"/>
    <w:multiLevelType w:val="hybridMultilevel"/>
    <w:tmpl w:val="AFF27CA6"/>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 w15:restartNumberingAfterBreak="0">
    <w:nsid w:val="3D9B32A1"/>
    <w:multiLevelType w:val="hybridMultilevel"/>
    <w:tmpl w:val="C5B06E1E"/>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 w15:restartNumberingAfterBreak="0">
    <w:nsid w:val="3F50178F"/>
    <w:multiLevelType w:val="hybridMultilevel"/>
    <w:tmpl w:val="A6D00D8E"/>
    <w:lvl w:ilvl="0" w:tplc="C716359A">
      <w:start w:val="1"/>
      <w:numFmt w:val="decimal"/>
      <w:lvlText w:val="%1."/>
      <w:lvlJc w:val="left"/>
      <w:pPr>
        <w:ind w:left="420" w:hanging="360"/>
      </w:pPr>
      <w:rPr>
        <w:rFonts w:hint="default"/>
      </w:rPr>
    </w:lvl>
    <w:lvl w:ilvl="1" w:tplc="04260019">
      <w:start w:val="1"/>
      <w:numFmt w:val="lowerLetter"/>
      <w:lvlText w:val="%2."/>
      <w:lvlJc w:val="left"/>
      <w:pPr>
        <w:ind w:left="1140" w:hanging="360"/>
      </w:pPr>
    </w:lvl>
    <w:lvl w:ilvl="2" w:tplc="0426001B" w:tentative="1">
      <w:start w:val="1"/>
      <w:numFmt w:val="lowerRoman"/>
      <w:lvlText w:val="%3."/>
      <w:lvlJc w:val="right"/>
      <w:pPr>
        <w:ind w:left="1860" w:hanging="180"/>
      </w:pPr>
    </w:lvl>
    <w:lvl w:ilvl="3" w:tplc="0426000F" w:tentative="1">
      <w:start w:val="1"/>
      <w:numFmt w:val="decimal"/>
      <w:lvlText w:val="%4."/>
      <w:lvlJc w:val="left"/>
      <w:pPr>
        <w:ind w:left="2580" w:hanging="360"/>
      </w:pPr>
    </w:lvl>
    <w:lvl w:ilvl="4" w:tplc="04260019" w:tentative="1">
      <w:start w:val="1"/>
      <w:numFmt w:val="lowerLetter"/>
      <w:lvlText w:val="%5."/>
      <w:lvlJc w:val="left"/>
      <w:pPr>
        <w:ind w:left="3300" w:hanging="360"/>
      </w:pPr>
    </w:lvl>
    <w:lvl w:ilvl="5" w:tplc="0426001B" w:tentative="1">
      <w:start w:val="1"/>
      <w:numFmt w:val="lowerRoman"/>
      <w:lvlText w:val="%6."/>
      <w:lvlJc w:val="right"/>
      <w:pPr>
        <w:ind w:left="4020" w:hanging="180"/>
      </w:pPr>
    </w:lvl>
    <w:lvl w:ilvl="6" w:tplc="0426000F" w:tentative="1">
      <w:start w:val="1"/>
      <w:numFmt w:val="decimal"/>
      <w:lvlText w:val="%7."/>
      <w:lvlJc w:val="left"/>
      <w:pPr>
        <w:ind w:left="4740" w:hanging="360"/>
      </w:pPr>
    </w:lvl>
    <w:lvl w:ilvl="7" w:tplc="04260019" w:tentative="1">
      <w:start w:val="1"/>
      <w:numFmt w:val="lowerLetter"/>
      <w:lvlText w:val="%8."/>
      <w:lvlJc w:val="left"/>
      <w:pPr>
        <w:ind w:left="5460" w:hanging="360"/>
      </w:pPr>
    </w:lvl>
    <w:lvl w:ilvl="8" w:tplc="0426001B" w:tentative="1">
      <w:start w:val="1"/>
      <w:numFmt w:val="lowerRoman"/>
      <w:lvlText w:val="%9."/>
      <w:lvlJc w:val="right"/>
      <w:pPr>
        <w:ind w:left="6180" w:hanging="180"/>
      </w:pPr>
    </w:lvl>
  </w:abstractNum>
  <w:abstractNum w:abstractNumId="7" w15:restartNumberingAfterBreak="0">
    <w:nsid w:val="4A2B26BB"/>
    <w:multiLevelType w:val="hybridMultilevel"/>
    <w:tmpl w:val="36D4C788"/>
    <w:lvl w:ilvl="0" w:tplc="5382F984">
      <w:start w:val="1"/>
      <w:numFmt w:val="bullet"/>
      <w:lvlRestart w:val="0"/>
      <w:lvlText w:val=""/>
      <w:lvlJc w:val="left"/>
      <w:pPr>
        <w:ind w:left="0" w:firstLine="705"/>
      </w:pPr>
      <w:rPr>
        <w:u w:val="none"/>
      </w:rPr>
    </w:lvl>
    <w:lvl w:ilvl="1" w:tplc="CEB826F0">
      <w:numFmt w:val="decimal"/>
      <w:lvlText w:val=""/>
      <w:lvlJc w:val="left"/>
    </w:lvl>
    <w:lvl w:ilvl="2" w:tplc="1444DCB4">
      <w:numFmt w:val="decimal"/>
      <w:lvlText w:val=""/>
      <w:lvlJc w:val="left"/>
    </w:lvl>
    <w:lvl w:ilvl="3" w:tplc="7084D5CC">
      <w:numFmt w:val="decimal"/>
      <w:lvlText w:val=""/>
      <w:lvlJc w:val="left"/>
    </w:lvl>
    <w:lvl w:ilvl="4" w:tplc="7C94C430">
      <w:numFmt w:val="decimal"/>
      <w:lvlText w:val=""/>
      <w:lvlJc w:val="left"/>
    </w:lvl>
    <w:lvl w:ilvl="5" w:tplc="21729018">
      <w:numFmt w:val="decimal"/>
      <w:lvlText w:val=""/>
      <w:lvlJc w:val="left"/>
    </w:lvl>
    <w:lvl w:ilvl="6" w:tplc="70BEA810">
      <w:numFmt w:val="decimal"/>
      <w:lvlText w:val=""/>
      <w:lvlJc w:val="left"/>
    </w:lvl>
    <w:lvl w:ilvl="7" w:tplc="1B9A4190">
      <w:numFmt w:val="decimal"/>
      <w:lvlText w:val=""/>
      <w:lvlJc w:val="left"/>
    </w:lvl>
    <w:lvl w:ilvl="8" w:tplc="93C43DC6">
      <w:numFmt w:val="decimal"/>
      <w:lvlText w:val=""/>
      <w:lvlJc w:val="left"/>
    </w:lvl>
  </w:abstractNum>
  <w:abstractNum w:abstractNumId="8" w15:restartNumberingAfterBreak="0">
    <w:nsid w:val="4C871414"/>
    <w:multiLevelType w:val="hybridMultilevel"/>
    <w:tmpl w:val="66646468"/>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9" w15:restartNumberingAfterBreak="0">
    <w:nsid w:val="59E86A5D"/>
    <w:multiLevelType w:val="hybridMultilevel"/>
    <w:tmpl w:val="256AC9D0"/>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0" w15:restartNumberingAfterBreak="0">
    <w:nsid w:val="60BA0E85"/>
    <w:multiLevelType w:val="hybridMultilevel"/>
    <w:tmpl w:val="8974957C"/>
    <w:lvl w:ilvl="0" w:tplc="D624AF5A">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1" w15:restartNumberingAfterBreak="0">
    <w:nsid w:val="61BF2CD4"/>
    <w:multiLevelType w:val="hybridMultilevel"/>
    <w:tmpl w:val="D3724B48"/>
    <w:lvl w:ilvl="0" w:tplc="5ED0DF70">
      <w:start w:val="1"/>
      <w:numFmt w:val="bullet"/>
      <w:lvlText w:val=""/>
      <w:lvlJc w:val="left"/>
      <w:pPr>
        <w:ind w:left="0" w:firstLine="705"/>
      </w:pPr>
      <w:rPr>
        <w:strike w:val="0"/>
        <w:dstrike w:val="0"/>
        <w:u w:val="none"/>
        <w:effect w:val="none"/>
      </w:rPr>
    </w:lvl>
    <w:lvl w:ilvl="1" w:tplc="4C108EF4">
      <w:numFmt w:val="decimal"/>
      <w:lvlText w:val=""/>
      <w:lvlJc w:val="left"/>
      <w:pPr>
        <w:ind w:left="0" w:firstLine="0"/>
      </w:pPr>
    </w:lvl>
    <w:lvl w:ilvl="2" w:tplc="A8DED618">
      <w:numFmt w:val="decimal"/>
      <w:lvlText w:val=""/>
      <w:lvlJc w:val="left"/>
      <w:pPr>
        <w:ind w:left="0" w:firstLine="0"/>
      </w:pPr>
    </w:lvl>
    <w:lvl w:ilvl="3" w:tplc="1430F08C">
      <w:numFmt w:val="decimal"/>
      <w:lvlText w:val=""/>
      <w:lvlJc w:val="left"/>
      <w:pPr>
        <w:ind w:left="0" w:firstLine="0"/>
      </w:pPr>
    </w:lvl>
    <w:lvl w:ilvl="4" w:tplc="DCD2EF88">
      <w:numFmt w:val="decimal"/>
      <w:lvlText w:val=""/>
      <w:lvlJc w:val="left"/>
      <w:pPr>
        <w:ind w:left="0" w:firstLine="0"/>
      </w:pPr>
    </w:lvl>
    <w:lvl w:ilvl="5" w:tplc="D5641E6C">
      <w:numFmt w:val="decimal"/>
      <w:lvlText w:val=""/>
      <w:lvlJc w:val="left"/>
      <w:pPr>
        <w:ind w:left="0" w:firstLine="0"/>
      </w:pPr>
    </w:lvl>
    <w:lvl w:ilvl="6" w:tplc="566CD78E">
      <w:numFmt w:val="decimal"/>
      <w:lvlText w:val=""/>
      <w:lvlJc w:val="left"/>
      <w:pPr>
        <w:ind w:left="0" w:firstLine="0"/>
      </w:pPr>
    </w:lvl>
    <w:lvl w:ilvl="7" w:tplc="023AE8F8">
      <w:numFmt w:val="decimal"/>
      <w:lvlText w:val=""/>
      <w:lvlJc w:val="left"/>
      <w:pPr>
        <w:ind w:left="0" w:firstLine="0"/>
      </w:pPr>
    </w:lvl>
    <w:lvl w:ilvl="8" w:tplc="13C0F996">
      <w:numFmt w:val="decimal"/>
      <w:lvlText w:val=""/>
      <w:lvlJc w:val="left"/>
      <w:pPr>
        <w:ind w:left="0" w:firstLine="0"/>
      </w:pPr>
    </w:lvl>
  </w:abstractNum>
  <w:abstractNum w:abstractNumId="12" w15:restartNumberingAfterBreak="0">
    <w:nsid w:val="624F4E27"/>
    <w:multiLevelType w:val="hybridMultilevel"/>
    <w:tmpl w:val="6590C2A0"/>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3" w15:restartNumberingAfterBreak="0">
    <w:nsid w:val="637266A3"/>
    <w:multiLevelType w:val="hybridMultilevel"/>
    <w:tmpl w:val="D49E736C"/>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4" w15:restartNumberingAfterBreak="0">
    <w:nsid w:val="72BA2556"/>
    <w:multiLevelType w:val="multilevel"/>
    <w:tmpl w:val="F78A1AF2"/>
    <w:lvl w:ilvl="0">
      <w:start w:val="2"/>
      <w:numFmt w:val="decimal"/>
      <w:lvlText w:val="%1."/>
      <w:lvlJc w:val="left"/>
      <w:pPr>
        <w:ind w:left="360" w:hanging="360"/>
      </w:pPr>
      <w:rPr>
        <w:rFonts w:hint="default"/>
      </w:rPr>
    </w:lvl>
    <w:lvl w:ilvl="1">
      <w:start w:val="1"/>
      <w:numFmt w:val="decimal"/>
      <w:lvlText w:val="%1.%2."/>
      <w:lvlJc w:val="left"/>
      <w:pPr>
        <w:ind w:left="1500" w:hanging="360"/>
      </w:pPr>
      <w:rPr>
        <w:rFonts w:hint="default"/>
      </w:rPr>
    </w:lvl>
    <w:lvl w:ilvl="2">
      <w:start w:val="1"/>
      <w:numFmt w:val="decimal"/>
      <w:lvlText w:val="%1.%2.%3."/>
      <w:lvlJc w:val="left"/>
      <w:pPr>
        <w:ind w:left="3000" w:hanging="720"/>
      </w:pPr>
      <w:rPr>
        <w:rFonts w:hint="default"/>
      </w:rPr>
    </w:lvl>
    <w:lvl w:ilvl="3">
      <w:start w:val="1"/>
      <w:numFmt w:val="decimal"/>
      <w:lvlText w:val="%1.%2.%3.%4."/>
      <w:lvlJc w:val="left"/>
      <w:pPr>
        <w:ind w:left="4140" w:hanging="720"/>
      </w:pPr>
      <w:rPr>
        <w:rFonts w:hint="default"/>
      </w:rPr>
    </w:lvl>
    <w:lvl w:ilvl="4">
      <w:start w:val="1"/>
      <w:numFmt w:val="decimal"/>
      <w:lvlText w:val="%1.%2.%3.%4.%5."/>
      <w:lvlJc w:val="left"/>
      <w:pPr>
        <w:ind w:left="5640" w:hanging="1080"/>
      </w:pPr>
      <w:rPr>
        <w:rFonts w:hint="default"/>
      </w:rPr>
    </w:lvl>
    <w:lvl w:ilvl="5">
      <w:start w:val="1"/>
      <w:numFmt w:val="decimal"/>
      <w:lvlText w:val="%1.%2.%3.%4.%5.%6."/>
      <w:lvlJc w:val="left"/>
      <w:pPr>
        <w:ind w:left="6780" w:hanging="1080"/>
      </w:pPr>
      <w:rPr>
        <w:rFonts w:hint="default"/>
      </w:rPr>
    </w:lvl>
    <w:lvl w:ilvl="6">
      <w:start w:val="1"/>
      <w:numFmt w:val="decimal"/>
      <w:lvlText w:val="%1.%2.%3.%4.%5.%6.%7."/>
      <w:lvlJc w:val="left"/>
      <w:pPr>
        <w:ind w:left="8280" w:hanging="1440"/>
      </w:pPr>
      <w:rPr>
        <w:rFonts w:hint="default"/>
      </w:rPr>
    </w:lvl>
    <w:lvl w:ilvl="7">
      <w:start w:val="1"/>
      <w:numFmt w:val="decimal"/>
      <w:lvlText w:val="%1.%2.%3.%4.%5.%6.%7.%8."/>
      <w:lvlJc w:val="left"/>
      <w:pPr>
        <w:ind w:left="9420" w:hanging="1440"/>
      </w:pPr>
      <w:rPr>
        <w:rFonts w:hint="default"/>
      </w:rPr>
    </w:lvl>
    <w:lvl w:ilvl="8">
      <w:start w:val="1"/>
      <w:numFmt w:val="decimal"/>
      <w:lvlText w:val="%1.%2.%3.%4.%5.%6.%7.%8.%9."/>
      <w:lvlJc w:val="left"/>
      <w:pPr>
        <w:ind w:left="10920" w:hanging="1800"/>
      </w:pPr>
      <w:rPr>
        <w:rFonts w:hint="default"/>
      </w:rPr>
    </w:lvl>
  </w:abstractNum>
  <w:abstractNum w:abstractNumId="15" w15:restartNumberingAfterBreak="0">
    <w:nsid w:val="76D068E3"/>
    <w:multiLevelType w:val="hybridMultilevel"/>
    <w:tmpl w:val="C5B06E1E"/>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abstractNumId w:val="9"/>
  </w:num>
  <w:num w:numId="2">
    <w:abstractNumId w:val="5"/>
  </w:num>
  <w:num w:numId="3">
    <w:abstractNumId w:val="15"/>
  </w:num>
  <w:num w:numId="4">
    <w:abstractNumId w:val="6"/>
  </w:num>
  <w:num w:numId="5">
    <w:abstractNumId w:val="14"/>
  </w:num>
  <w:num w:numId="6">
    <w:abstractNumId w:val="12"/>
  </w:num>
  <w:num w:numId="7">
    <w:abstractNumId w:val="4"/>
  </w:num>
  <w:num w:numId="8">
    <w:abstractNumId w:val="13"/>
  </w:num>
  <w:num w:numId="9">
    <w:abstractNumId w:val="7"/>
  </w:num>
  <w:num w:numId="10">
    <w:abstractNumId w:val="1"/>
  </w:num>
  <w:num w:numId="11">
    <w:abstractNumId w:val="11"/>
  </w:num>
  <w:num w:numId="12">
    <w:abstractNumId w:val="8"/>
  </w:num>
  <w:num w:numId="13">
    <w:abstractNumId w:val="0"/>
  </w:num>
  <w:num w:numId="14">
    <w:abstractNumId w:val="10"/>
  </w:num>
  <w:num w:numId="15">
    <w:abstractNumId w:val="3"/>
  </w:num>
  <w:num w:numId="1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914C5"/>
    <w:rsid w:val="00000EA3"/>
    <w:rsid w:val="000021F5"/>
    <w:rsid w:val="000053CE"/>
    <w:rsid w:val="00013A14"/>
    <w:rsid w:val="000235FE"/>
    <w:rsid w:val="000253D2"/>
    <w:rsid w:val="000332DF"/>
    <w:rsid w:val="000801BD"/>
    <w:rsid w:val="00094918"/>
    <w:rsid w:val="000B4D6F"/>
    <w:rsid w:val="000C36CE"/>
    <w:rsid w:val="000F0010"/>
    <w:rsid w:val="000F0120"/>
    <w:rsid w:val="000F2C75"/>
    <w:rsid w:val="00104BE5"/>
    <w:rsid w:val="001166BE"/>
    <w:rsid w:val="00117602"/>
    <w:rsid w:val="00131F41"/>
    <w:rsid w:val="00141FA4"/>
    <w:rsid w:val="001738CB"/>
    <w:rsid w:val="00180FF0"/>
    <w:rsid w:val="001A60DF"/>
    <w:rsid w:val="001A6B36"/>
    <w:rsid w:val="001C2FDA"/>
    <w:rsid w:val="001C68FF"/>
    <w:rsid w:val="002138E3"/>
    <w:rsid w:val="00217226"/>
    <w:rsid w:val="00223281"/>
    <w:rsid w:val="00232506"/>
    <w:rsid w:val="002432BB"/>
    <w:rsid w:val="00255942"/>
    <w:rsid w:val="002953E9"/>
    <w:rsid w:val="002C2A48"/>
    <w:rsid w:val="002E6A77"/>
    <w:rsid w:val="002F55C4"/>
    <w:rsid w:val="002F6AB7"/>
    <w:rsid w:val="00301D78"/>
    <w:rsid w:val="00322557"/>
    <w:rsid w:val="0034173C"/>
    <w:rsid w:val="00343F68"/>
    <w:rsid w:val="00364EFD"/>
    <w:rsid w:val="0036574C"/>
    <w:rsid w:val="00375FFB"/>
    <w:rsid w:val="00376407"/>
    <w:rsid w:val="0038407F"/>
    <w:rsid w:val="00392C98"/>
    <w:rsid w:val="003B1AA8"/>
    <w:rsid w:val="003B33DE"/>
    <w:rsid w:val="003E4EC1"/>
    <w:rsid w:val="003E6534"/>
    <w:rsid w:val="00400CDC"/>
    <w:rsid w:val="004053D1"/>
    <w:rsid w:val="004249D3"/>
    <w:rsid w:val="00434EC4"/>
    <w:rsid w:val="00435F6B"/>
    <w:rsid w:val="004708DB"/>
    <w:rsid w:val="00473CD0"/>
    <w:rsid w:val="004802E8"/>
    <w:rsid w:val="00482C03"/>
    <w:rsid w:val="0049135D"/>
    <w:rsid w:val="004947F8"/>
    <w:rsid w:val="004D3D99"/>
    <w:rsid w:val="004D7AA8"/>
    <w:rsid w:val="004E1AE6"/>
    <w:rsid w:val="004E27D6"/>
    <w:rsid w:val="004E54F4"/>
    <w:rsid w:val="005019D6"/>
    <w:rsid w:val="00511A57"/>
    <w:rsid w:val="005150FD"/>
    <w:rsid w:val="00535812"/>
    <w:rsid w:val="005369D5"/>
    <w:rsid w:val="00574BDB"/>
    <w:rsid w:val="0057645A"/>
    <w:rsid w:val="00584461"/>
    <w:rsid w:val="00590A75"/>
    <w:rsid w:val="005A502E"/>
    <w:rsid w:val="005A50C0"/>
    <w:rsid w:val="005A7B0B"/>
    <w:rsid w:val="005B2C64"/>
    <w:rsid w:val="005B7344"/>
    <w:rsid w:val="005C0994"/>
    <w:rsid w:val="005C1221"/>
    <w:rsid w:val="005E6A13"/>
    <w:rsid w:val="005F0D36"/>
    <w:rsid w:val="005F15C6"/>
    <w:rsid w:val="00603905"/>
    <w:rsid w:val="00612120"/>
    <w:rsid w:val="0061221A"/>
    <w:rsid w:val="00620CA2"/>
    <w:rsid w:val="00632C4F"/>
    <w:rsid w:val="00635FAF"/>
    <w:rsid w:val="00637A08"/>
    <w:rsid w:val="00640B4F"/>
    <w:rsid w:val="00641DD4"/>
    <w:rsid w:val="00643539"/>
    <w:rsid w:val="006439F7"/>
    <w:rsid w:val="00646486"/>
    <w:rsid w:val="00661E81"/>
    <w:rsid w:val="006759E3"/>
    <w:rsid w:val="006A36A9"/>
    <w:rsid w:val="006D0907"/>
    <w:rsid w:val="006E7AD4"/>
    <w:rsid w:val="006F1B8A"/>
    <w:rsid w:val="006F5801"/>
    <w:rsid w:val="0072556F"/>
    <w:rsid w:val="0075147C"/>
    <w:rsid w:val="00782774"/>
    <w:rsid w:val="007A3257"/>
    <w:rsid w:val="007A5907"/>
    <w:rsid w:val="007C3111"/>
    <w:rsid w:val="007D68B4"/>
    <w:rsid w:val="007D7D38"/>
    <w:rsid w:val="007E1DF5"/>
    <w:rsid w:val="007F6B7A"/>
    <w:rsid w:val="007F7E04"/>
    <w:rsid w:val="0080396C"/>
    <w:rsid w:val="00826CB5"/>
    <w:rsid w:val="00844B06"/>
    <w:rsid w:val="00850D1E"/>
    <w:rsid w:val="00852250"/>
    <w:rsid w:val="0085387F"/>
    <w:rsid w:val="00862039"/>
    <w:rsid w:val="00867EE4"/>
    <w:rsid w:val="008957C8"/>
    <w:rsid w:val="00895869"/>
    <w:rsid w:val="008A179F"/>
    <w:rsid w:val="008A7042"/>
    <w:rsid w:val="008B12B6"/>
    <w:rsid w:val="008C271C"/>
    <w:rsid w:val="008C3273"/>
    <w:rsid w:val="008C3C97"/>
    <w:rsid w:val="008D13E1"/>
    <w:rsid w:val="008D1E31"/>
    <w:rsid w:val="008F376B"/>
    <w:rsid w:val="008F67E9"/>
    <w:rsid w:val="008F6F41"/>
    <w:rsid w:val="0091122D"/>
    <w:rsid w:val="00916578"/>
    <w:rsid w:val="009173DC"/>
    <w:rsid w:val="00950F9B"/>
    <w:rsid w:val="009541EC"/>
    <w:rsid w:val="00960B9D"/>
    <w:rsid w:val="009729EF"/>
    <w:rsid w:val="00984F05"/>
    <w:rsid w:val="009858BE"/>
    <w:rsid w:val="009914C5"/>
    <w:rsid w:val="009A3D4A"/>
    <w:rsid w:val="009B2AF4"/>
    <w:rsid w:val="009B4199"/>
    <w:rsid w:val="009C4CA1"/>
    <w:rsid w:val="009E1691"/>
    <w:rsid w:val="009F546A"/>
    <w:rsid w:val="009F5476"/>
    <w:rsid w:val="00A008EA"/>
    <w:rsid w:val="00A0440F"/>
    <w:rsid w:val="00A17483"/>
    <w:rsid w:val="00A248B1"/>
    <w:rsid w:val="00A323B6"/>
    <w:rsid w:val="00A3629A"/>
    <w:rsid w:val="00A5463F"/>
    <w:rsid w:val="00A663ED"/>
    <w:rsid w:val="00A82AC7"/>
    <w:rsid w:val="00A950F7"/>
    <w:rsid w:val="00AA503B"/>
    <w:rsid w:val="00AA53F4"/>
    <w:rsid w:val="00AA7429"/>
    <w:rsid w:val="00AC1BD0"/>
    <w:rsid w:val="00AC3BB6"/>
    <w:rsid w:val="00AC6614"/>
    <w:rsid w:val="00AE5384"/>
    <w:rsid w:val="00AF5184"/>
    <w:rsid w:val="00AF79A9"/>
    <w:rsid w:val="00B02A78"/>
    <w:rsid w:val="00B03C2A"/>
    <w:rsid w:val="00B06DB5"/>
    <w:rsid w:val="00B1338E"/>
    <w:rsid w:val="00B175D3"/>
    <w:rsid w:val="00B34F5D"/>
    <w:rsid w:val="00B422C6"/>
    <w:rsid w:val="00B67B7A"/>
    <w:rsid w:val="00B72DEC"/>
    <w:rsid w:val="00B735FA"/>
    <w:rsid w:val="00B8247A"/>
    <w:rsid w:val="00BA2389"/>
    <w:rsid w:val="00BA532D"/>
    <w:rsid w:val="00BD136A"/>
    <w:rsid w:val="00BD42BE"/>
    <w:rsid w:val="00BD6A7B"/>
    <w:rsid w:val="00BF5CA4"/>
    <w:rsid w:val="00BF7B9C"/>
    <w:rsid w:val="00C2678A"/>
    <w:rsid w:val="00C275DC"/>
    <w:rsid w:val="00C3251D"/>
    <w:rsid w:val="00C367EE"/>
    <w:rsid w:val="00C65B2B"/>
    <w:rsid w:val="00C709FC"/>
    <w:rsid w:val="00C74438"/>
    <w:rsid w:val="00C74738"/>
    <w:rsid w:val="00C9030C"/>
    <w:rsid w:val="00C926B2"/>
    <w:rsid w:val="00CB0260"/>
    <w:rsid w:val="00CB37CD"/>
    <w:rsid w:val="00CC02D6"/>
    <w:rsid w:val="00CC441A"/>
    <w:rsid w:val="00CE003D"/>
    <w:rsid w:val="00CE533B"/>
    <w:rsid w:val="00D04CA7"/>
    <w:rsid w:val="00D17ACC"/>
    <w:rsid w:val="00D17D0D"/>
    <w:rsid w:val="00D40B65"/>
    <w:rsid w:val="00D7222D"/>
    <w:rsid w:val="00D756A7"/>
    <w:rsid w:val="00D81A85"/>
    <w:rsid w:val="00D87937"/>
    <w:rsid w:val="00D95C94"/>
    <w:rsid w:val="00DA63DF"/>
    <w:rsid w:val="00DB364D"/>
    <w:rsid w:val="00DB44DF"/>
    <w:rsid w:val="00DC7337"/>
    <w:rsid w:val="00DD6426"/>
    <w:rsid w:val="00DD73E7"/>
    <w:rsid w:val="00DE4E7F"/>
    <w:rsid w:val="00DF01D4"/>
    <w:rsid w:val="00E04520"/>
    <w:rsid w:val="00E17EE8"/>
    <w:rsid w:val="00E225C7"/>
    <w:rsid w:val="00E56CA4"/>
    <w:rsid w:val="00E70601"/>
    <w:rsid w:val="00E7790C"/>
    <w:rsid w:val="00EA1B78"/>
    <w:rsid w:val="00EA253E"/>
    <w:rsid w:val="00EC75A3"/>
    <w:rsid w:val="00F02F4D"/>
    <w:rsid w:val="00F1049F"/>
    <w:rsid w:val="00F16EA2"/>
    <w:rsid w:val="00F37FE8"/>
    <w:rsid w:val="00F41F0C"/>
    <w:rsid w:val="00F5776A"/>
    <w:rsid w:val="00F82980"/>
    <w:rsid w:val="00FB0845"/>
    <w:rsid w:val="00FB614C"/>
    <w:rsid w:val="00FE09F8"/>
    <w:rsid w:val="00FE15F6"/>
    <w:rsid w:val="00FE423D"/>
    <w:rsid w:val="00FF1934"/>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B4EABD"/>
  <w15:chartTrackingRefBased/>
  <w15:docId w15:val="{3B5497CD-0E0A-4F2B-9843-1D7CDD0F2B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rsid w:val="004E27D6"/>
    <w:pPr>
      <w:spacing w:after="0" w:line="240" w:lineRule="auto"/>
      <w:jc w:val="both"/>
    </w:pPr>
    <w:rPr>
      <w:rFonts w:ascii="Times New Roman" w:eastAsia="Times New Roman" w:hAnsi="Times New Roman" w:cs="Times New Roman"/>
      <w:color w:val="333333"/>
      <w:sz w:val="28"/>
      <w:szCs w:val="20"/>
      <w:lang w:eastAsia="lv-LV"/>
    </w:rPr>
  </w:style>
  <w:style w:type="paragraph" w:styleId="Heading1">
    <w:name w:val="heading 1"/>
    <w:basedOn w:val="Normal"/>
    <w:next w:val="Normal"/>
    <w:link w:val="Heading1Char"/>
    <w:autoRedefine/>
    <w:uiPriority w:val="9"/>
    <w:qFormat/>
    <w:rsid w:val="00DD73E7"/>
    <w:pPr>
      <w:keepNext/>
      <w:keepLines/>
      <w:spacing w:before="120" w:after="120"/>
      <w:jc w:val="center"/>
      <w:outlineLvl w:val="0"/>
    </w:pPr>
    <w:rPr>
      <w:rFonts w:eastAsiaTheme="majorEastAsia" w:cstheme="majorBidi"/>
      <w:b/>
      <w:color w:val="auto"/>
      <w:sz w:val="24"/>
      <w:szCs w:val="16"/>
    </w:rPr>
  </w:style>
  <w:style w:type="paragraph" w:styleId="Heading2">
    <w:name w:val="heading 2"/>
    <w:basedOn w:val="Normal"/>
    <w:link w:val="Heading2Char"/>
    <w:uiPriority w:val="9"/>
    <w:qFormat/>
    <w:rsid w:val="001166BE"/>
    <w:pPr>
      <w:spacing w:before="100" w:beforeAutospacing="1" w:after="100" w:afterAutospacing="1"/>
      <w:outlineLvl w:val="1"/>
    </w:pPr>
    <w:rPr>
      <w:b/>
      <w:bCs/>
      <w:sz w:val="36"/>
      <w:szCs w:val="36"/>
    </w:rPr>
  </w:style>
  <w:style w:type="paragraph" w:styleId="Heading3">
    <w:name w:val="heading 3"/>
    <w:basedOn w:val="Normal"/>
    <w:next w:val="Normal"/>
    <w:link w:val="Heading3Char"/>
    <w:uiPriority w:val="9"/>
    <w:semiHidden/>
    <w:unhideWhenUsed/>
    <w:qFormat/>
    <w:rsid w:val="0034173C"/>
    <w:pPr>
      <w:keepNext/>
      <w:keepLines/>
      <w:spacing w:before="4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61221A"/>
    <w:rPr>
      <w:color w:val="0000FF"/>
      <w:u w:val="single"/>
    </w:rPr>
  </w:style>
  <w:style w:type="paragraph" w:styleId="HTMLPreformatted">
    <w:name w:val="HTML Preformatted"/>
    <w:basedOn w:val="Normal"/>
    <w:link w:val="HTMLPreformattedChar"/>
    <w:uiPriority w:val="99"/>
    <w:semiHidden/>
    <w:unhideWhenUsed/>
    <w:rsid w:val="007D68B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rPr>
  </w:style>
  <w:style w:type="character" w:customStyle="1" w:styleId="HTMLPreformattedChar">
    <w:name w:val="HTML Preformatted Char"/>
    <w:basedOn w:val="DefaultParagraphFont"/>
    <w:link w:val="HTMLPreformatted"/>
    <w:uiPriority w:val="99"/>
    <w:semiHidden/>
    <w:rsid w:val="007D68B4"/>
    <w:rPr>
      <w:rFonts w:ascii="Courier New" w:eastAsia="Times New Roman" w:hAnsi="Courier New" w:cs="Courier New"/>
      <w:sz w:val="20"/>
      <w:szCs w:val="20"/>
      <w:lang w:eastAsia="lv-LV"/>
    </w:rPr>
  </w:style>
  <w:style w:type="character" w:customStyle="1" w:styleId="msoins0">
    <w:name w:val="msoins"/>
    <w:basedOn w:val="DefaultParagraphFont"/>
    <w:rsid w:val="00BD136A"/>
  </w:style>
  <w:style w:type="paragraph" w:styleId="NormalWeb">
    <w:name w:val="Normal (Web)"/>
    <w:basedOn w:val="Normal"/>
    <w:uiPriority w:val="99"/>
    <w:rsid w:val="00DA63DF"/>
    <w:pPr>
      <w:spacing w:before="100" w:beforeAutospacing="1" w:after="100" w:afterAutospacing="1"/>
    </w:pPr>
    <w:rPr>
      <w:sz w:val="24"/>
      <w:szCs w:val="24"/>
    </w:rPr>
  </w:style>
  <w:style w:type="paragraph" w:styleId="ListParagraph">
    <w:name w:val="List Paragraph"/>
    <w:basedOn w:val="Normal"/>
    <w:uiPriority w:val="34"/>
    <w:qFormat/>
    <w:rsid w:val="00A0440F"/>
    <w:pPr>
      <w:ind w:left="720"/>
      <w:contextualSpacing/>
    </w:pPr>
  </w:style>
  <w:style w:type="paragraph" w:customStyle="1" w:styleId="naisnod">
    <w:name w:val="naisnod"/>
    <w:basedOn w:val="Normal"/>
    <w:uiPriority w:val="99"/>
    <w:rsid w:val="008F6F41"/>
    <w:pPr>
      <w:spacing w:before="150" w:after="150"/>
      <w:jc w:val="center"/>
    </w:pPr>
    <w:rPr>
      <w:b/>
      <w:bCs/>
      <w:sz w:val="24"/>
      <w:szCs w:val="24"/>
    </w:rPr>
  </w:style>
  <w:style w:type="paragraph" w:customStyle="1" w:styleId="labojumupamats">
    <w:name w:val="labojumu_pamats"/>
    <w:basedOn w:val="Normal"/>
    <w:rsid w:val="004249D3"/>
    <w:pPr>
      <w:spacing w:before="100" w:beforeAutospacing="1" w:after="100" w:afterAutospacing="1"/>
    </w:pPr>
    <w:rPr>
      <w:sz w:val="24"/>
      <w:szCs w:val="24"/>
    </w:rPr>
  </w:style>
  <w:style w:type="paragraph" w:customStyle="1" w:styleId="tvhtml">
    <w:name w:val="tv_html"/>
    <w:basedOn w:val="Normal"/>
    <w:rsid w:val="004249D3"/>
    <w:pPr>
      <w:spacing w:before="100" w:beforeAutospacing="1" w:after="100" w:afterAutospacing="1"/>
    </w:pPr>
    <w:rPr>
      <w:sz w:val="24"/>
      <w:szCs w:val="24"/>
    </w:rPr>
  </w:style>
  <w:style w:type="paragraph" w:customStyle="1" w:styleId="tv213">
    <w:name w:val="tv213"/>
    <w:basedOn w:val="Normal"/>
    <w:rsid w:val="007A5907"/>
    <w:pPr>
      <w:spacing w:before="100" w:beforeAutospacing="1" w:after="100" w:afterAutospacing="1"/>
    </w:pPr>
    <w:rPr>
      <w:sz w:val="24"/>
      <w:szCs w:val="24"/>
    </w:rPr>
  </w:style>
  <w:style w:type="character" w:customStyle="1" w:styleId="Heading2Char">
    <w:name w:val="Heading 2 Char"/>
    <w:basedOn w:val="DefaultParagraphFont"/>
    <w:link w:val="Heading2"/>
    <w:uiPriority w:val="9"/>
    <w:rsid w:val="001166BE"/>
    <w:rPr>
      <w:rFonts w:ascii="Times New Roman" w:eastAsia="Times New Roman" w:hAnsi="Times New Roman" w:cs="Times New Roman"/>
      <w:b/>
      <w:bCs/>
      <w:sz w:val="36"/>
      <w:szCs w:val="36"/>
      <w:lang w:eastAsia="lv-LV"/>
    </w:rPr>
  </w:style>
  <w:style w:type="character" w:styleId="Strong">
    <w:name w:val="Strong"/>
    <w:basedOn w:val="DefaultParagraphFont"/>
    <w:uiPriority w:val="22"/>
    <w:qFormat/>
    <w:rsid w:val="001166BE"/>
    <w:rPr>
      <w:b/>
      <w:bCs/>
    </w:rPr>
  </w:style>
  <w:style w:type="paragraph" w:styleId="PlainText">
    <w:name w:val="Plain Text"/>
    <w:basedOn w:val="Normal"/>
    <w:link w:val="PlainTextChar"/>
    <w:uiPriority w:val="99"/>
    <w:unhideWhenUsed/>
    <w:rsid w:val="00637A08"/>
    <w:pPr>
      <w:spacing w:before="100" w:beforeAutospacing="1" w:after="100" w:afterAutospacing="1"/>
    </w:pPr>
    <w:rPr>
      <w:sz w:val="24"/>
      <w:szCs w:val="24"/>
    </w:rPr>
  </w:style>
  <w:style w:type="character" w:customStyle="1" w:styleId="PlainTextChar">
    <w:name w:val="Plain Text Char"/>
    <w:basedOn w:val="DefaultParagraphFont"/>
    <w:link w:val="PlainText"/>
    <w:uiPriority w:val="99"/>
    <w:rsid w:val="00637A08"/>
    <w:rPr>
      <w:rFonts w:ascii="Times New Roman" w:eastAsia="Times New Roman" w:hAnsi="Times New Roman" w:cs="Times New Roman"/>
      <w:sz w:val="24"/>
      <w:szCs w:val="24"/>
      <w:lang w:eastAsia="lv-LV"/>
    </w:rPr>
  </w:style>
  <w:style w:type="character" w:styleId="FollowedHyperlink">
    <w:name w:val="FollowedHyperlink"/>
    <w:basedOn w:val="DefaultParagraphFont"/>
    <w:uiPriority w:val="99"/>
    <w:semiHidden/>
    <w:unhideWhenUsed/>
    <w:rsid w:val="005019D6"/>
    <w:rPr>
      <w:color w:val="954F72" w:themeColor="followedHyperlink"/>
      <w:u w:val="single"/>
    </w:rPr>
  </w:style>
  <w:style w:type="paragraph" w:styleId="BalloonText">
    <w:name w:val="Balloon Text"/>
    <w:basedOn w:val="Normal"/>
    <w:link w:val="BalloonTextChar"/>
    <w:uiPriority w:val="99"/>
    <w:semiHidden/>
    <w:unhideWhenUsed/>
    <w:rsid w:val="004E27D6"/>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E27D6"/>
    <w:rPr>
      <w:rFonts w:ascii="Segoe UI" w:eastAsia="Times New Roman" w:hAnsi="Segoe UI" w:cs="Segoe UI"/>
      <w:color w:val="333333"/>
      <w:sz w:val="18"/>
      <w:szCs w:val="18"/>
      <w:lang w:eastAsia="lv-LV"/>
    </w:rPr>
  </w:style>
  <w:style w:type="character" w:customStyle="1" w:styleId="numbered-fieldnumber-numeral">
    <w:name w:val="numbered-field__number-numeral"/>
    <w:basedOn w:val="DefaultParagraphFont"/>
    <w:rsid w:val="00AC1BD0"/>
  </w:style>
  <w:style w:type="character" w:styleId="Emphasis">
    <w:name w:val="Emphasis"/>
    <w:basedOn w:val="DefaultParagraphFont"/>
    <w:uiPriority w:val="20"/>
    <w:qFormat/>
    <w:rsid w:val="00AC1BD0"/>
    <w:rPr>
      <w:i/>
      <w:iCs/>
    </w:rPr>
  </w:style>
  <w:style w:type="character" w:customStyle="1" w:styleId="Heading3Char">
    <w:name w:val="Heading 3 Char"/>
    <w:basedOn w:val="DefaultParagraphFont"/>
    <w:link w:val="Heading3"/>
    <w:uiPriority w:val="9"/>
    <w:semiHidden/>
    <w:rsid w:val="0034173C"/>
    <w:rPr>
      <w:rFonts w:asciiTheme="majorHAnsi" w:eastAsiaTheme="majorEastAsia" w:hAnsiTheme="majorHAnsi" w:cstheme="majorBidi"/>
      <w:color w:val="1F4D78" w:themeColor="accent1" w:themeShade="7F"/>
      <w:sz w:val="24"/>
      <w:szCs w:val="24"/>
      <w:lang w:eastAsia="lv-LV"/>
    </w:rPr>
  </w:style>
  <w:style w:type="character" w:customStyle="1" w:styleId="Heading1Char">
    <w:name w:val="Heading 1 Char"/>
    <w:basedOn w:val="DefaultParagraphFont"/>
    <w:link w:val="Heading1"/>
    <w:uiPriority w:val="9"/>
    <w:rsid w:val="00DD73E7"/>
    <w:rPr>
      <w:rFonts w:ascii="Times New Roman" w:eastAsiaTheme="majorEastAsia" w:hAnsi="Times New Roman" w:cstheme="majorBidi"/>
      <w:b/>
      <w:sz w:val="24"/>
      <w:szCs w:val="16"/>
      <w:lang w:eastAsia="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43306">
      <w:bodyDiv w:val="1"/>
      <w:marLeft w:val="0"/>
      <w:marRight w:val="0"/>
      <w:marTop w:val="0"/>
      <w:marBottom w:val="0"/>
      <w:divBdr>
        <w:top w:val="none" w:sz="0" w:space="0" w:color="auto"/>
        <w:left w:val="none" w:sz="0" w:space="0" w:color="auto"/>
        <w:bottom w:val="none" w:sz="0" w:space="0" w:color="auto"/>
        <w:right w:val="none" w:sz="0" w:space="0" w:color="auto"/>
      </w:divBdr>
    </w:div>
    <w:div w:id="21789095">
      <w:bodyDiv w:val="1"/>
      <w:marLeft w:val="0"/>
      <w:marRight w:val="0"/>
      <w:marTop w:val="0"/>
      <w:marBottom w:val="0"/>
      <w:divBdr>
        <w:top w:val="none" w:sz="0" w:space="0" w:color="auto"/>
        <w:left w:val="none" w:sz="0" w:space="0" w:color="auto"/>
        <w:bottom w:val="none" w:sz="0" w:space="0" w:color="auto"/>
        <w:right w:val="none" w:sz="0" w:space="0" w:color="auto"/>
      </w:divBdr>
      <w:divsChild>
        <w:div w:id="1720278428">
          <w:marLeft w:val="0"/>
          <w:marRight w:val="0"/>
          <w:marTop w:val="0"/>
          <w:marBottom w:val="0"/>
          <w:divBdr>
            <w:top w:val="none" w:sz="0" w:space="0" w:color="auto"/>
            <w:left w:val="none" w:sz="0" w:space="0" w:color="auto"/>
            <w:bottom w:val="none" w:sz="0" w:space="0" w:color="auto"/>
            <w:right w:val="none" w:sz="0" w:space="0" w:color="auto"/>
          </w:divBdr>
        </w:div>
        <w:div w:id="1140339836">
          <w:marLeft w:val="0"/>
          <w:marRight w:val="0"/>
          <w:marTop w:val="0"/>
          <w:marBottom w:val="0"/>
          <w:divBdr>
            <w:top w:val="none" w:sz="0" w:space="0" w:color="auto"/>
            <w:left w:val="none" w:sz="0" w:space="0" w:color="auto"/>
            <w:bottom w:val="none" w:sz="0" w:space="0" w:color="auto"/>
            <w:right w:val="none" w:sz="0" w:space="0" w:color="auto"/>
          </w:divBdr>
        </w:div>
      </w:divsChild>
    </w:div>
    <w:div w:id="47460883">
      <w:bodyDiv w:val="1"/>
      <w:marLeft w:val="0"/>
      <w:marRight w:val="0"/>
      <w:marTop w:val="0"/>
      <w:marBottom w:val="0"/>
      <w:divBdr>
        <w:top w:val="none" w:sz="0" w:space="0" w:color="auto"/>
        <w:left w:val="none" w:sz="0" w:space="0" w:color="auto"/>
        <w:bottom w:val="none" w:sz="0" w:space="0" w:color="auto"/>
        <w:right w:val="none" w:sz="0" w:space="0" w:color="auto"/>
      </w:divBdr>
    </w:div>
    <w:div w:id="77092945">
      <w:bodyDiv w:val="1"/>
      <w:marLeft w:val="0"/>
      <w:marRight w:val="0"/>
      <w:marTop w:val="0"/>
      <w:marBottom w:val="0"/>
      <w:divBdr>
        <w:top w:val="none" w:sz="0" w:space="0" w:color="auto"/>
        <w:left w:val="none" w:sz="0" w:space="0" w:color="auto"/>
        <w:bottom w:val="none" w:sz="0" w:space="0" w:color="auto"/>
        <w:right w:val="none" w:sz="0" w:space="0" w:color="auto"/>
      </w:divBdr>
    </w:div>
    <w:div w:id="89545478">
      <w:bodyDiv w:val="1"/>
      <w:marLeft w:val="0"/>
      <w:marRight w:val="0"/>
      <w:marTop w:val="0"/>
      <w:marBottom w:val="0"/>
      <w:divBdr>
        <w:top w:val="none" w:sz="0" w:space="0" w:color="auto"/>
        <w:left w:val="none" w:sz="0" w:space="0" w:color="auto"/>
        <w:bottom w:val="none" w:sz="0" w:space="0" w:color="auto"/>
        <w:right w:val="none" w:sz="0" w:space="0" w:color="auto"/>
      </w:divBdr>
    </w:div>
    <w:div w:id="89550964">
      <w:bodyDiv w:val="1"/>
      <w:marLeft w:val="0"/>
      <w:marRight w:val="0"/>
      <w:marTop w:val="0"/>
      <w:marBottom w:val="0"/>
      <w:divBdr>
        <w:top w:val="none" w:sz="0" w:space="0" w:color="auto"/>
        <w:left w:val="none" w:sz="0" w:space="0" w:color="auto"/>
        <w:bottom w:val="none" w:sz="0" w:space="0" w:color="auto"/>
        <w:right w:val="none" w:sz="0" w:space="0" w:color="auto"/>
      </w:divBdr>
    </w:div>
    <w:div w:id="93868727">
      <w:bodyDiv w:val="1"/>
      <w:marLeft w:val="0"/>
      <w:marRight w:val="0"/>
      <w:marTop w:val="0"/>
      <w:marBottom w:val="0"/>
      <w:divBdr>
        <w:top w:val="none" w:sz="0" w:space="0" w:color="auto"/>
        <w:left w:val="none" w:sz="0" w:space="0" w:color="auto"/>
        <w:bottom w:val="none" w:sz="0" w:space="0" w:color="auto"/>
        <w:right w:val="none" w:sz="0" w:space="0" w:color="auto"/>
      </w:divBdr>
    </w:div>
    <w:div w:id="138960030">
      <w:bodyDiv w:val="1"/>
      <w:marLeft w:val="0"/>
      <w:marRight w:val="0"/>
      <w:marTop w:val="0"/>
      <w:marBottom w:val="0"/>
      <w:divBdr>
        <w:top w:val="none" w:sz="0" w:space="0" w:color="auto"/>
        <w:left w:val="none" w:sz="0" w:space="0" w:color="auto"/>
        <w:bottom w:val="none" w:sz="0" w:space="0" w:color="auto"/>
        <w:right w:val="none" w:sz="0" w:space="0" w:color="auto"/>
      </w:divBdr>
    </w:div>
    <w:div w:id="208733912">
      <w:bodyDiv w:val="1"/>
      <w:marLeft w:val="0"/>
      <w:marRight w:val="0"/>
      <w:marTop w:val="0"/>
      <w:marBottom w:val="0"/>
      <w:divBdr>
        <w:top w:val="none" w:sz="0" w:space="0" w:color="auto"/>
        <w:left w:val="none" w:sz="0" w:space="0" w:color="auto"/>
        <w:bottom w:val="none" w:sz="0" w:space="0" w:color="auto"/>
        <w:right w:val="none" w:sz="0" w:space="0" w:color="auto"/>
      </w:divBdr>
    </w:div>
    <w:div w:id="239288843">
      <w:bodyDiv w:val="1"/>
      <w:marLeft w:val="0"/>
      <w:marRight w:val="0"/>
      <w:marTop w:val="0"/>
      <w:marBottom w:val="0"/>
      <w:divBdr>
        <w:top w:val="none" w:sz="0" w:space="0" w:color="auto"/>
        <w:left w:val="none" w:sz="0" w:space="0" w:color="auto"/>
        <w:bottom w:val="none" w:sz="0" w:space="0" w:color="auto"/>
        <w:right w:val="none" w:sz="0" w:space="0" w:color="auto"/>
      </w:divBdr>
    </w:div>
    <w:div w:id="244338078">
      <w:bodyDiv w:val="1"/>
      <w:marLeft w:val="0"/>
      <w:marRight w:val="0"/>
      <w:marTop w:val="0"/>
      <w:marBottom w:val="0"/>
      <w:divBdr>
        <w:top w:val="none" w:sz="0" w:space="0" w:color="auto"/>
        <w:left w:val="none" w:sz="0" w:space="0" w:color="auto"/>
        <w:bottom w:val="none" w:sz="0" w:space="0" w:color="auto"/>
        <w:right w:val="none" w:sz="0" w:space="0" w:color="auto"/>
      </w:divBdr>
    </w:div>
    <w:div w:id="250243433">
      <w:bodyDiv w:val="1"/>
      <w:marLeft w:val="0"/>
      <w:marRight w:val="0"/>
      <w:marTop w:val="0"/>
      <w:marBottom w:val="0"/>
      <w:divBdr>
        <w:top w:val="none" w:sz="0" w:space="0" w:color="auto"/>
        <w:left w:val="none" w:sz="0" w:space="0" w:color="auto"/>
        <w:bottom w:val="none" w:sz="0" w:space="0" w:color="auto"/>
        <w:right w:val="none" w:sz="0" w:space="0" w:color="auto"/>
      </w:divBdr>
    </w:div>
    <w:div w:id="309791703">
      <w:bodyDiv w:val="1"/>
      <w:marLeft w:val="0"/>
      <w:marRight w:val="0"/>
      <w:marTop w:val="0"/>
      <w:marBottom w:val="0"/>
      <w:divBdr>
        <w:top w:val="none" w:sz="0" w:space="0" w:color="auto"/>
        <w:left w:val="none" w:sz="0" w:space="0" w:color="auto"/>
        <w:bottom w:val="none" w:sz="0" w:space="0" w:color="auto"/>
        <w:right w:val="none" w:sz="0" w:space="0" w:color="auto"/>
      </w:divBdr>
    </w:div>
    <w:div w:id="327027773">
      <w:bodyDiv w:val="1"/>
      <w:marLeft w:val="0"/>
      <w:marRight w:val="0"/>
      <w:marTop w:val="0"/>
      <w:marBottom w:val="0"/>
      <w:divBdr>
        <w:top w:val="none" w:sz="0" w:space="0" w:color="auto"/>
        <w:left w:val="none" w:sz="0" w:space="0" w:color="auto"/>
        <w:bottom w:val="none" w:sz="0" w:space="0" w:color="auto"/>
        <w:right w:val="none" w:sz="0" w:space="0" w:color="auto"/>
      </w:divBdr>
    </w:div>
    <w:div w:id="392505311">
      <w:bodyDiv w:val="1"/>
      <w:marLeft w:val="0"/>
      <w:marRight w:val="0"/>
      <w:marTop w:val="0"/>
      <w:marBottom w:val="0"/>
      <w:divBdr>
        <w:top w:val="none" w:sz="0" w:space="0" w:color="auto"/>
        <w:left w:val="none" w:sz="0" w:space="0" w:color="auto"/>
        <w:bottom w:val="none" w:sz="0" w:space="0" w:color="auto"/>
        <w:right w:val="none" w:sz="0" w:space="0" w:color="auto"/>
      </w:divBdr>
    </w:div>
    <w:div w:id="446169708">
      <w:bodyDiv w:val="1"/>
      <w:marLeft w:val="0"/>
      <w:marRight w:val="0"/>
      <w:marTop w:val="0"/>
      <w:marBottom w:val="0"/>
      <w:divBdr>
        <w:top w:val="none" w:sz="0" w:space="0" w:color="auto"/>
        <w:left w:val="none" w:sz="0" w:space="0" w:color="auto"/>
        <w:bottom w:val="none" w:sz="0" w:space="0" w:color="auto"/>
        <w:right w:val="none" w:sz="0" w:space="0" w:color="auto"/>
      </w:divBdr>
      <w:divsChild>
        <w:div w:id="2073581274">
          <w:marLeft w:val="0"/>
          <w:marRight w:val="0"/>
          <w:marTop w:val="0"/>
          <w:marBottom w:val="0"/>
          <w:divBdr>
            <w:top w:val="none" w:sz="0" w:space="0" w:color="auto"/>
            <w:left w:val="none" w:sz="0" w:space="0" w:color="auto"/>
            <w:bottom w:val="none" w:sz="0" w:space="0" w:color="auto"/>
            <w:right w:val="none" w:sz="0" w:space="0" w:color="auto"/>
          </w:divBdr>
        </w:div>
      </w:divsChild>
    </w:div>
    <w:div w:id="499464525">
      <w:bodyDiv w:val="1"/>
      <w:marLeft w:val="0"/>
      <w:marRight w:val="0"/>
      <w:marTop w:val="0"/>
      <w:marBottom w:val="0"/>
      <w:divBdr>
        <w:top w:val="none" w:sz="0" w:space="0" w:color="auto"/>
        <w:left w:val="none" w:sz="0" w:space="0" w:color="auto"/>
        <w:bottom w:val="none" w:sz="0" w:space="0" w:color="auto"/>
        <w:right w:val="none" w:sz="0" w:space="0" w:color="auto"/>
      </w:divBdr>
      <w:divsChild>
        <w:div w:id="1386177763">
          <w:marLeft w:val="0"/>
          <w:marRight w:val="0"/>
          <w:marTop w:val="0"/>
          <w:marBottom w:val="0"/>
          <w:divBdr>
            <w:top w:val="none" w:sz="0" w:space="0" w:color="auto"/>
            <w:left w:val="none" w:sz="0" w:space="0" w:color="auto"/>
            <w:bottom w:val="none" w:sz="0" w:space="0" w:color="auto"/>
            <w:right w:val="none" w:sz="0" w:space="0" w:color="auto"/>
          </w:divBdr>
        </w:div>
        <w:div w:id="1149131022">
          <w:marLeft w:val="0"/>
          <w:marRight w:val="0"/>
          <w:marTop w:val="0"/>
          <w:marBottom w:val="0"/>
          <w:divBdr>
            <w:top w:val="none" w:sz="0" w:space="0" w:color="auto"/>
            <w:left w:val="none" w:sz="0" w:space="0" w:color="auto"/>
            <w:bottom w:val="none" w:sz="0" w:space="0" w:color="auto"/>
            <w:right w:val="none" w:sz="0" w:space="0" w:color="auto"/>
          </w:divBdr>
          <w:divsChild>
            <w:div w:id="402995803">
              <w:marLeft w:val="0"/>
              <w:marRight w:val="0"/>
              <w:marTop w:val="0"/>
              <w:marBottom w:val="150"/>
              <w:divBdr>
                <w:top w:val="none" w:sz="0" w:space="0" w:color="auto"/>
                <w:left w:val="none" w:sz="0" w:space="0" w:color="auto"/>
                <w:bottom w:val="none" w:sz="0" w:space="0" w:color="auto"/>
                <w:right w:val="none" w:sz="0" w:space="0" w:color="auto"/>
              </w:divBdr>
              <w:divsChild>
                <w:div w:id="5490771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77712229">
      <w:bodyDiv w:val="1"/>
      <w:marLeft w:val="0"/>
      <w:marRight w:val="0"/>
      <w:marTop w:val="0"/>
      <w:marBottom w:val="0"/>
      <w:divBdr>
        <w:top w:val="none" w:sz="0" w:space="0" w:color="auto"/>
        <w:left w:val="none" w:sz="0" w:space="0" w:color="auto"/>
        <w:bottom w:val="none" w:sz="0" w:space="0" w:color="auto"/>
        <w:right w:val="none" w:sz="0" w:space="0" w:color="auto"/>
      </w:divBdr>
    </w:div>
    <w:div w:id="605623813">
      <w:bodyDiv w:val="1"/>
      <w:marLeft w:val="0"/>
      <w:marRight w:val="0"/>
      <w:marTop w:val="0"/>
      <w:marBottom w:val="0"/>
      <w:divBdr>
        <w:top w:val="none" w:sz="0" w:space="0" w:color="auto"/>
        <w:left w:val="none" w:sz="0" w:space="0" w:color="auto"/>
        <w:bottom w:val="none" w:sz="0" w:space="0" w:color="auto"/>
        <w:right w:val="none" w:sz="0" w:space="0" w:color="auto"/>
      </w:divBdr>
    </w:div>
    <w:div w:id="609508812">
      <w:bodyDiv w:val="1"/>
      <w:marLeft w:val="0"/>
      <w:marRight w:val="0"/>
      <w:marTop w:val="0"/>
      <w:marBottom w:val="0"/>
      <w:divBdr>
        <w:top w:val="none" w:sz="0" w:space="0" w:color="auto"/>
        <w:left w:val="none" w:sz="0" w:space="0" w:color="auto"/>
        <w:bottom w:val="none" w:sz="0" w:space="0" w:color="auto"/>
        <w:right w:val="none" w:sz="0" w:space="0" w:color="auto"/>
      </w:divBdr>
    </w:div>
    <w:div w:id="620765616">
      <w:bodyDiv w:val="1"/>
      <w:marLeft w:val="0"/>
      <w:marRight w:val="0"/>
      <w:marTop w:val="0"/>
      <w:marBottom w:val="0"/>
      <w:divBdr>
        <w:top w:val="none" w:sz="0" w:space="0" w:color="auto"/>
        <w:left w:val="none" w:sz="0" w:space="0" w:color="auto"/>
        <w:bottom w:val="none" w:sz="0" w:space="0" w:color="auto"/>
        <w:right w:val="none" w:sz="0" w:space="0" w:color="auto"/>
      </w:divBdr>
    </w:div>
    <w:div w:id="628048205">
      <w:bodyDiv w:val="1"/>
      <w:marLeft w:val="0"/>
      <w:marRight w:val="0"/>
      <w:marTop w:val="0"/>
      <w:marBottom w:val="0"/>
      <w:divBdr>
        <w:top w:val="none" w:sz="0" w:space="0" w:color="auto"/>
        <w:left w:val="none" w:sz="0" w:space="0" w:color="auto"/>
        <w:bottom w:val="none" w:sz="0" w:space="0" w:color="auto"/>
        <w:right w:val="none" w:sz="0" w:space="0" w:color="auto"/>
      </w:divBdr>
    </w:div>
    <w:div w:id="649407986">
      <w:bodyDiv w:val="1"/>
      <w:marLeft w:val="0"/>
      <w:marRight w:val="0"/>
      <w:marTop w:val="0"/>
      <w:marBottom w:val="0"/>
      <w:divBdr>
        <w:top w:val="none" w:sz="0" w:space="0" w:color="auto"/>
        <w:left w:val="none" w:sz="0" w:space="0" w:color="auto"/>
        <w:bottom w:val="none" w:sz="0" w:space="0" w:color="auto"/>
        <w:right w:val="none" w:sz="0" w:space="0" w:color="auto"/>
      </w:divBdr>
    </w:div>
    <w:div w:id="719591713">
      <w:bodyDiv w:val="1"/>
      <w:marLeft w:val="0"/>
      <w:marRight w:val="0"/>
      <w:marTop w:val="0"/>
      <w:marBottom w:val="0"/>
      <w:divBdr>
        <w:top w:val="none" w:sz="0" w:space="0" w:color="auto"/>
        <w:left w:val="none" w:sz="0" w:space="0" w:color="auto"/>
        <w:bottom w:val="none" w:sz="0" w:space="0" w:color="auto"/>
        <w:right w:val="none" w:sz="0" w:space="0" w:color="auto"/>
      </w:divBdr>
    </w:div>
    <w:div w:id="758209336">
      <w:bodyDiv w:val="1"/>
      <w:marLeft w:val="0"/>
      <w:marRight w:val="0"/>
      <w:marTop w:val="0"/>
      <w:marBottom w:val="0"/>
      <w:divBdr>
        <w:top w:val="none" w:sz="0" w:space="0" w:color="auto"/>
        <w:left w:val="none" w:sz="0" w:space="0" w:color="auto"/>
        <w:bottom w:val="none" w:sz="0" w:space="0" w:color="auto"/>
        <w:right w:val="none" w:sz="0" w:space="0" w:color="auto"/>
      </w:divBdr>
    </w:div>
    <w:div w:id="773863816">
      <w:bodyDiv w:val="1"/>
      <w:marLeft w:val="0"/>
      <w:marRight w:val="0"/>
      <w:marTop w:val="0"/>
      <w:marBottom w:val="0"/>
      <w:divBdr>
        <w:top w:val="none" w:sz="0" w:space="0" w:color="auto"/>
        <w:left w:val="none" w:sz="0" w:space="0" w:color="auto"/>
        <w:bottom w:val="none" w:sz="0" w:space="0" w:color="auto"/>
        <w:right w:val="none" w:sz="0" w:space="0" w:color="auto"/>
      </w:divBdr>
      <w:divsChild>
        <w:div w:id="2025159393">
          <w:marLeft w:val="0"/>
          <w:marRight w:val="0"/>
          <w:marTop w:val="0"/>
          <w:marBottom w:val="0"/>
          <w:divBdr>
            <w:top w:val="none" w:sz="0" w:space="0" w:color="auto"/>
            <w:left w:val="none" w:sz="0" w:space="0" w:color="auto"/>
            <w:bottom w:val="none" w:sz="0" w:space="0" w:color="auto"/>
            <w:right w:val="none" w:sz="0" w:space="0" w:color="auto"/>
          </w:divBdr>
          <w:divsChild>
            <w:div w:id="1229455657">
              <w:marLeft w:val="0"/>
              <w:marRight w:val="0"/>
              <w:marTop w:val="0"/>
              <w:marBottom w:val="0"/>
              <w:divBdr>
                <w:top w:val="none" w:sz="0" w:space="0" w:color="auto"/>
                <w:left w:val="none" w:sz="0" w:space="0" w:color="auto"/>
                <w:bottom w:val="none" w:sz="0" w:space="0" w:color="auto"/>
                <w:right w:val="none" w:sz="0" w:space="0" w:color="auto"/>
              </w:divBdr>
              <w:divsChild>
                <w:div w:id="182600530">
                  <w:marLeft w:val="0"/>
                  <w:marRight w:val="0"/>
                  <w:marTop w:val="0"/>
                  <w:marBottom w:val="0"/>
                  <w:divBdr>
                    <w:top w:val="none" w:sz="0" w:space="0" w:color="auto"/>
                    <w:left w:val="none" w:sz="0" w:space="0" w:color="auto"/>
                    <w:bottom w:val="none" w:sz="0" w:space="0" w:color="auto"/>
                    <w:right w:val="none" w:sz="0" w:space="0" w:color="auto"/>
                  </w:divBdr>
                  <w:divsChild>
                    <w:div w:id="436873506">
                      <w:marLeft w:val="0"/>
                      <w:marRight w:val="0"/>
                      <w:marTop w:val="0"/>
                      <w:marBottom w:val="0"/>
                      <w:divBdr>
                        <w:top w:val="none" w:sz="0" w:space="0" w:color="auto"/>
                        <w:left w:val="none" w:sz="0" w:space="0" w:color="auto"/>
                        <w:bottom w:val="none" w:sz="0" w:space="0" w:color="auto"/>
                        <w:right w:val="none" w:sz="0" w:space="0" w:color="auto"/>
                      </w:divBdr>
                      <w:divsChild>
                        <w:div w:id="326326135">
                          <w:marLeft w:val="0"/>
                          <w:marRight w:val="0"/>
                          <w:marTop w:val="0"/>
                          <w:marBottom w:val="0"/>
                          <w:divBdr>
                            <w:top w:val="none" w:sz="0" w:space="0" w:color="auto"/>
                            <w:left w:val="none" w:sz="0" w:space="0" w:color="auto"/>
                            <w:bottom w:val="none" w:sz="0" w:space="0" w:color="auto"/>
                            <w:right w:val="none" w:sz="0" w:space="0" w:color="auto"/>
                          </w:divBdr>
                          <w:divsChild>
                            <w:div w:id="15067505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33029407">
      <w:bodyDiv w:val="1"/>
      <w:marLeft w:val="0"/>
      <w:marRight w:val="0"/>
      <w:marTop w:val="0"/>
      <w:marBottom w:val="0"/>
      <w:divBdr>
        <w:top w:val="none" w:sz="0" w:space="0" w:color="auto"/>
        <w:left w:val="none" w:sz="0" w:space="0" w:color="auto"/>
        <w:bottom w:val="none" w:sz="0" w:space="0" w:color="auto"/>
        <w:right w:val="none" w:sz="0" w:space="0" w:color="auto"/>
      </w:divBdr>
    </w:div>
    <w:div w:id="838468961">
      <w:bodyDiv w:val="1"/>
      <w:marLeft w:val="0"/>
      <w:marRight w:val="0"/>
      <w:marTop w:val="0"/>
      <w:marBottom w:val="0"/>
      <w:divBdr>
        <w:top w:val="none" w:sz="0" w:space="0" w:color="auto"/>
        <w:left w:val="none" w:sz="0" w:space="0" w:color="auto"/>
        <w:bottom w:val="none" w:sz="0" w:space="0" w:color="auto"/>
        <w:right w:val="none" w:sz="0" w:space="0" w:color="auto"/>
      </w:divBdr>
    </w:div>
    <w:div w:id="847329230">
      <w:bodyDiv w:val="1"/>
      <w:marLeft w:val="0"/>
      <w:marRight w:val="0"/>
      <w:marTop w:val="0"/>
      <w:marBottom w:val="0"/>
      <w:divBdr>
        <w:top w:val="none" w:sz="0" w:space="0" w:color="auto"/>
        <w:left w:val="none" w:sz="0" w:space="0" w:color="auto"/>
        <w:bottom w:val="none" w:sz="0" w:space="0" w:color="auto"/>
        <w:right w:val="none" w:sz="0" w:space="0" w:color="auto"/>
      </w:divBdr>
      <w:divsChild>
        <w:div w:id="1949697853">
          <w:marLeft w:val="0"/>
          <w:marRight w:val="0"/>
          <w:marTop w:val="0"/>
          <w:marBottom w:val="0"/>
          <w:divBdr>
            <w:top w:val="none" w:sz="0" w:space="0" w:color="auto"/>
            <w:left w:val="none" w:sz="0" w:space="0" w:color="auto"/>
            <w:bottom w:val="none" w:sz="0" w:space="0" w:color="auto"/>
            <w:right w:val="none" w:sz="0" w:space="0" w:color="auto"/>
          </w:divBdr>
        </w:div>
      </w:divsChild>
    </w:div>
    <w:div w:id="896666334">
      <w:bodyDiv w:val="1"/>
      <w:marLeft w:val="0"/>
      <w:marRight w:val="0"/>
      <w:marTop w:val="0"/>
      <w:marBottom w:val="0"/>
      <w:divBdr>
        <w:top w:val="none" w:sz="0" w:space="0" w:color="auto"/>
        <w:left w:val="none" w:sz="0" w:space="0" w:color="auto"/>
        <w:bottom w:val="none" w:sz="0" w:space="0" w:color="auto"/>
        <w:right w:val="none" w:sz="0" w:space="0" w:color="auto"/>
      </w:divBdr>
    </w:div>
    <w:div w:id="901714206">
      <w:bodyDiv w:val="1"/>
      <w:marLeft w:val="0"/>
      <w:marRight w:val="0"/>
      <w:marTop w:val="0"/>
      <w:marBottom w:val="0"/>
      <w:divBdr>
        <w:top w:val="none" w:sz="0" w:space="0" w:color="auto"/>
        <w:left w:val="none" w:sz="0" w:space="0" w:color="auto"/>
        <w:bottom w:val="none" w:sz="0" w:space="0" w:color="auto"/>
        <w:right w:val="none" w:sz="0" w:space="0" w:color="auto"/>
      </w:divBdr>
    </w:div>
    <w:div w:id="917832597">
      <w:bodyDiv w:val="1"/>
      <w:marLeft w:val="0"/>
      <w:marRight w:val="0"/>
      <w:marTop w:val="0"/>
      <w:marBottom w:val="0"/>
      <w:divBdr>
        <w:top w:val="none" w:sz="0" w:space="0" w:color="auto"/>
        <w:left w:val="none" w:sz="0" w:space="0" w:color="auto"/>
        <w:bottom w:val="none" w:sz="0" w:space="0" w:color="auto"/>
        <w:right w:val="none" w:sz="0" w:space="0" w:color="auto"/>
      </w:divBdr>
    </w:div>
    <w:div w:id="941844606">
      <w:bodyDiv w:val="1"/>
      <w:marLeft w:val="0"/>
      <w:marRight w:val="0"/>
      <w:marTop w:val="0"/>
      <w:marBottom w:val="0"/>
      <w:divBdr>
        <w:top w:val="none" w:sz="0" w:space="0" w:color="auto"/>
        <w:left w:val="none" w:sz="0" w:space="0" w:color="auto"/>
        <w:bottom w:val="none" w:sz="0" w:space="0" w:color="auto"/>
        <w:right w:val="none" w:sz="0" w:space="0" w:color="auto"/>
      </w:divBdr>
      <w:divsChild>
        <w:div w:id="1262687612">
          <w:marLeft w:val="0"/>
          <w:marRight w:val="0"/>
          <w:marTop w:val="0"/>
          <w:marBottom w:val="0"/>
          <w:divBdr>
            <w:top w:val="none" w:sz="0" w:space="0" w:color="auto"/>
            <w:left w:val="none" w:sz="0" w:space="0" w:color="auto"/>
            <w:bottom w:val="none" w:sz="0" w:space="0" w:color="auto"/>
            <w:right w:val="none" w:sz="0" w:space="0" w:color="auto"/>
          </w:divBdr>
          <w:divsChild>
            <w:div w:id="611741862">
              <w:marLeft w:val="0"/>
              <w:marRight w:val="0"/>
              <w:marTop w:val="0"/>
              <w:marBottom w:val="0"/>
              <w:divBdr>
                <w:top w:val="none" w:sz="0" w:space="0" w:color="auto"/>
                <w:left w:val="none" w:sz="0" w:space="0" w:color="auto"/>
                <w:bottom w:val="none" w:sz="0" w:space="0" w:color="auto"/>
                <w:right w:val="none" w:sz="0" w:space="0" w:color="auto"/>
              </w:divBdr>
              <w:divsChild>
                <w:div w:id="1102919761">
                  <w:marLeft w:val="0"/>
                  <w:marRight w:val="0"/>
                  <w:marTop w:val="0"/>
                  <w:marBottom w:val="0"/>
                  <w:divBdr>
                    <w:top w:val="none" w:sz="0" w:space="0" w:color="auto"/>
                    <w:left w:val="none" w:sz="0" w:space="0" w:color="auto"/>
                    <w:bottom w:val="none" w:sz="0" w:space="0" w:color="auto"/>
                    <w:right w:val="none" w:sz="0" w:space="0" w:color="auto"/>
                  </w:divBdr>
                  <w:divsChild>
                    <w:div w:id="6382208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76048253">
      <w:bodyDiv w:val="1"/>
      <w:marLeft w:val="0"/>
      <w:marRight w:val="0"/>
      <w:marTop w:val="0"/>
      <w:marBottom w:val="0"/>
      <w:divBdr>
        <w:top w:val="none" w:sz="0" w:space="0" w:color="auto"/>
        <w:left w:val="none" w:sz="0" w:space="0" w:color="auto"/>
        <w:bottom w:val="none" w:sz="0" w:space="0" w:color="auto"/>
        <w:right w:val="none" w:sz="0" w:space="0" w:color="auto"/>
      </w:divBdr>
    </w:div>
    <w:div w:id="1124422317">
      <w:bodyDiv w:val="1"/>
      <w:marLeft w:val="0"/>
      <w:marRight w:val="0"/>
      <w:marTop w:val="0"/>
      <w:marBottom w:val="0"/>
      <w:divBdr>
        <w:top w:val="none" w:sz="0" w:space="0" w:color="auto"/>
        <w:left w:val="none" w:sz="0" w:space="0" w:color="auto"/>
        <w:bottom w:val="none" w:sz="0" w:space="0" w:color="auto"/>
        <w:right w:val="none" w:sz="0" w:space="0" w:color="auto"/>
      </w:divBdr>
    </w:div>
    <w:div w:id="1132483214">
      <w:bodyDiv w:val="1"/>
      <w:marLeft w:val="0"/>
      <w:marRight w:val="0"/>
      <w:marTop w:val="0"/>
      <w:marBottom w:val="0"/>
      <w:divBdr>
        <w:top w:val="none" w:sz="0" w:space="0" w:color="auto"/>
        <w:left w:val="none" w:sz="0" w:space="0" w:color="auto"/>
        <w:bottom w:val="none" w:sz="0" w:space="0" w:color="auto"/>
        <w:right w:val="none" w:sz="0" w:space="0" w:color="auto"/>
      </w:divBdr>
    </w:div>
    <w:div w:id="1178157421">
      <w:bodyDiv w:val="1"/>
      <w:marLeft w:val="0"/>
      <w:marRight w:val="0"/>
      <w:marTop w:val="0"/>
      <w:marBottom w:val="0"/>
      <w:divBdr>
        <w:top w:val="none" w:sz="0" w:space="0" w:color="auto"/>
        <w:left w:val="none" w:sz="0" w:space="0" w:color="auto"/>
        <w:bottom w:val="none" w:sz="0" w:space="0" w:color="auto"/>
        <w:right w:val="none" w:sz="0" w:space="0" w:color="auto"/>
      </w:divBdr>
    </w:div>
    <w:div w:id="1188174165">
      <w:bodyDiv w:val="1"/>
      <w:marLeft w:val="0"/>
      <w:marRight w:val="0"/>
      <w:marTop w:val="0"/>
      <w:marBottom w:val="0"/>
      <w:divBdr>
        <w:top w:val="none" w:sz="0" w:space="0" w:color="auto"/>
        <w:left w:val="none" w:sz="0" w:space="0" w:color="auto"/>
        <w:bottom w:val="none" w:sz="0" w:space="0" w:color="auto"/>
        <w:right w:val="none" w:sz="0" w:space="0" w:color="auto"/>
      </w:divBdr>
    </w:div>
    <w:div w:id="1192183505">
      <w:bodyDiv w:val="1"/>
      <w:marLeft w:val="0"/>
      <w:marRight w:val="0"/>
      <w:marTop w:val="0"/>
      <w:marBottom w:val="0"/>
      <w:divBdr>
        <w:top w:val="none" w:sz="0" w:space="0" w:color="auto"/>
        <w:left w:val="none" w:sz="0" w:space="0" w:color="auto"/>
        <w:bottom w:val="none" w:sz="0" w:space="0" w:color="auto"/>
        <w:right w:val="none" w:sz="0" w:space="0" w:color="auto"/>
      </w:divBdr>
      <w:divsChild>
        <w:div w:id="527065577">
          <w:marLeft w:val="0"/>
          <w:marRight w:val="0"/>
          <w:marTop w:val="0"/>
          <w:marBottom w:val="0"/>
          <w:divBdr>
            <w:top w:val="none" w:sz="0" w:space="0" w:color="auto"/>
            <w:left w:val="none" w:sz="0" w:space="0" w:color="auto"/>
            <w:bottom w:val="none" w:sz="0" w:space="0" w:color="auto"/>
            <w:right w:val="none" w:sz="0" w:space="0" w:color="auto"/>
          </w:divBdr>
        </w:div>
      </w:divsChild>
    </w:div>
    <w:div w:id="1200899205">
      <w:bodyDiv w:val="1"/>
      <w:marLeft w:val="0"/>
      <w:marRight w:val="0"/>
      <w:marTop w:val="0"/>
      <w:marBottom w:val="0"/>
      <w:divBdr>
        <w:top w:val="none" w:sz="0" w:space="0" w:color="auto"/>
        <w:left w:val="none" w:sz="0" w:space="0" w:color="auto"/>
        <w:bottom w:val="none" w:sz="0" w:space="0" w:color="auto"/>
        <w:right w:val="none" w:sz="0" w:space="0" w:color="auto"/>
      </w:divBdr>
    </w:div>
    <w:div w:id="1309868196">
      <w:bodyDiv w:val="1"/>
      <w:marLeft w:val="0"/>
      <w:marRight w:val="0"/>
      <w:marTop w:val="0"/>
      <w:marBottom w:val="0"/>
      <w:divBdr>
        <w:top w:val="none" w:sz="0" w:space="0" w:color="auto"/>
        <w:left w:val="none" w:sz="0" w:space="0" w:color="auto"/>
        <w:bottom w:val="none" w:sz="0" w:space="0" w:color="auto"/>
        <w:right w:val="none" w:sz="0" w:space="0" w:color="auto"/>
      </w:divBdr>
    </w:div>
    <w:div w:id="1339234177">
      <w:bodyDiv w:val="1"/>
      <w:marLeft w:val="0"/>
      <w:marRight w:val="0"/>
      <w:marTop w:val="0"/>
      <w:marBottom w:val="0"/>
      <w:divBdr>
        <w:top w:val="none" w:sz="0" w:space="0" w:color="auto"/>
        <w:left w:val="none" w:sz="0" w:space="0" w:color="auto"/>
        <w:bottom w:val="none" w:sz="0" w:space="0" w:color="auto"/>
        <w:right w:val="none" w:sz="0" w:space="0" w:color="auto"/>
      </w:divBdr>
      <w:divsChild>
        <w:div w:id="309791894">
          <w:marLeft w:val="0"/>
          <w:marRight w:val="0"/>
          <w:marTop w:val="0"/>
          <w:marBottom w:val="0"/>
          <w:divBdr>
            <w:top w:val="none" w:sz="0" w:space="0" w:color="auto"/>
            <w:left w:val="none" w:sz="0" w:space="0" w:color="auto"/>
            <w:bottom w:val="none" w:sz="0" w:space="0" w:color="auto"/>
            <w:right w:val="none" w:sz="0" w:space="0" w:color="auto"/>
          </w:divBdr>
        </w:div>
      </w:divsChild>
    </w:div>
    <w:div w:id="1356423333">
      <w:bodyDiv w:val="1"/>
      <w:marLeft w:val="0"/>
      <w:marRight w:val="0"/>
      <w:marTop w:val="0"/>
      <w:marBottom w:val="0"/>
      <w:divBdr>
        <w:top w:val="none" w:sz="0" w:space="0" w:color="auto"/>
        <w:left w:val="none" w:sz="0" w:space="0" w:color="auto"/>
        <w:bottom w:val="none" w:sz="0" w:space="0" w:color="auto"/>
        <w:right w:val="none" w:sz="0" w:space="0" w:color="auto"/>
      </w:divBdr>
    </w:div>
    <w:div w:id="1443921066">
      <w:bodyDiv w:val="1"/>
      <w:marLeft w:val="0"/>
      <w:marRight w:val="0"/>
      <w:marTop w:val="0"/>
      <w:marBottom w:val="0"/>
      <w:divBdr>
        <w:top w:val="none" w:sz="0" w:space="0" w:color="auto"/>
        <w:left w:val="none" w:sz="0" w:space="0" w:color="auto"/>
        <w:bottom w:val="none" w:sz="0" w:space="0" w:color="auto"/>
        <w:right w:val="none" w:sz="0" w:space="0" w:color="auto"/>
      </w:divBdr>
    </w:div>
    <w:div w:id="1461269840">
      <w:bodyDiv w:val="1"/>
      <w:marLeft w:val="0"/>
      <w:marRight w:val="0"/>
      <w:marTop w:val="0"/>
      <w:marBottom w:val="0"/>
      <w:divBdr>
        <w:top w:val="none" w:sz="0" w:space="0" w:color="auto"/>
        <w:left w:val="none" w:sz="0" w:space="0" w:color="auto"/>
        <w:bottom w:val="none" w:sz="0" w:space="0" w:color="auto"/>
        <w:right w:val="none" w:sz="0" w:space="0" w:color="auto"/>
      </w:divBdr>
    </w:div>
    <w:div w:id="1496648295">
      <w:bodyDiv w:val="1"/>
      <w:marLeft w:val="0"/>
      <w:marRight w:val="0"/>
      <w:marTop w:val="0"/>
      <w:marBottom w:val="0"/>
      <w:divBdr>
        <w:top w:val="none" w:sz="0" w:space="0" w:color="auto"/>
        <w:left w:val="none" w:sz="0" w:space="0" w:color="auto"/>
        <w:bottom w:val="none" w:sz="0" w:space="0" w:color="auto"/>
        <w:right w:val="none" w:sz="0" w:space="0" w:color="auto"/>
      </w:divBdr>
      <w:divsChild>
        <w:div w:id="1325470725">
          <w:marLeft w:val="0"/>
          <w:marRight w:val="0"/>
          <w:marTop w:val="480"/>
          <w:marBottom w:val="240"/>
          <w:divBdr>
            <w:top w:val="none" w:sz="0" w:space="0" w:color="auto"/>
            <w:left w:val="none" w:sz="0" w:space="0" w:color="auto"/>
            <w:bottom w:val="none" w:sz="0" w:space="0" w:color="auto"/>
            <w:right w:val="none" w:sz="0" w:space="0" w:color="auto"/>
          </w:divBdr>
        </w:div>
        <w:div w:id="582300414">
          <w:marLeft w:val="0"/>
          <w:marRight w:val="0"/>
          <w:marTop w:val="0"/>
          <w:marBottom w:val="567"/>
          <w:divBdr>
            <w:top w:val="none" w:sz="0" w:space="0" w:color="auto"/>
            <w:left w:val="none" w:sz="0" w:space="0" w:color="auto"/>
            <w:bottom w:val="none" w:sz="0" w:space="0" w:color="auto"/>
            <w:right w:val="none" w:sz="0" w:space="0" w:color="auto"/>
          </w:divBdr>
        </w:div>
      </w:divsChild>
    </w:div>
    <w:div w:id="1498304327">
      <w:bodyDiv w:val="1"/>
      <w:marLeft w:val="0"/>
      <w:marRight w:val="0"/>
      <w:marTop w:val="0"/>
      <w:marBottom w:val="0"/>
      <w:divBdr>
        <w:top w:val="none" w:sz="0" w:space="0" w:color="auto"/>
        <w:left w:val="none" w:sz="0" w:space="0" w:color="auto"/>
        <w:bottom w:val="none" w:sz="0" w:space="0" w:color="auto"/>
        <w:right w:val="none" w:sz="0" w:space="0" w:color="auto"/>
      </w:divBdr>
    </w:div>
    <w:div w:id="1550604778">
      <w:bodyDiv w:val="1"/>
      <w:marLeft w:val="0"/>
      <w:marRight w:val="0"/>
      <w:marTop w:val="0"/>
      <w:marBottom w:val="0"/>
      <w:divBdr>
        <w:top w:val="none" w:sz="0" w:space="0" w:color="auto"/>
        <w:left w:val="none" w:sz="0" w:space="0" w:color="auto"/>
        <w:bottom w:val="none" w:sz="0" w:space="0" w:color="auto"/>
        <w:right w:val="none" w:sz="0" w:space="0" w:color="auto"/>
      </w:divBdr>
      <w:divsChild>
        <w:div w:id="1800956714">
          <w:marLeft w:val="0"/>
          <w:marRight w:val="0"/>
          <w:marTop w:val="0"/>
          <w:marBottom w:val="0"/>
          <w:divBdr>
            <w:top w:val="none" w:sz="0" w:space="0" w:color="auto"/>
            <w:left w:val="none" w:sz="0" w:space="0" w:color="auto"/>
            <w:bottom w:val="none" w:sz="0" w:space="0" w:color="auto"/>
            <w:right w:val="none" w:sz="0" w:space="0" w:color="auto"/>
          </w:divBdr>
          <w:divsChild>
            <w:div w:id="1907841239">
              <w:marLeft w:val="0"/>
              <w:marRight w:val="0"/>
              <w:marTop w:val="0"/>
              <w:marBottom w:val="0"/>
              <w:divBdr>
                <w:top w:val="none" w:sz="0" w:space="0" w:color="auto"/>
                <w:left w:val="none" w:sz="0" w:space="0" w:color="auto"/>
                <w:bottom w:val="none" w:sz="0" w:space="0" w:color="auto"/>
                <w:right w:val="none" w:sz="0" w:space="0" w:color="auto"/>
              </w:divBdr>
            </w:div>
            <w:div w:id="1975061965">
              <w:marLeft w:val="0"/>
              <w:marRight w:val="0"/>
              <w:marTop w:val="0"/>
              <w:marBottom w:val="0"/>
              <w:divBdr>
                <w:top w:val="none" w:sz="0" w:space="0" w:color="auto"/>
                <w:left w:val="none" w:sz="0" w:space="0" w:color="auto"/>
                <w:bottom w:val="none" w:sz="0" w:space="0" w:color="auto"/>
                <w:right w:val="none" w:sz="0" w:space="0" w:color="auto"/>
              </w:divBdr>
              <w:divsChild>
                <w:div w:id="718355697">
                  <w:marLeft w:val="0"/>
                  <w:marRight w:val="0"/>
                  <w:marTop w:val="0"/>
                  <w:marBottom w:val="0"/>
                  <w:divBdr>
                    <w:top w:val="none" w:sz="0" w:space="0" w:color="auto"/>
                    <w:left w:val="none" w:sz="0" w:space="0" w:color="auto"/>
                    <w:bottom w:val="none" w:sz="0" w:space="0" w:color="auto"/>
                    <w:right w:val="none" w:sz="0" w:space="0" w:color="auto"/>
                  </w:divBdr>
                  <w:divsChild>
                    <w:div w:id="10698898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39613445">
          <w:marLeft w:val="0"/>
          <w:marRight w:val="0"/>
          <w:marTop w:val="0"/>
          <w:marBottom w:val="0"/>
          <w:divBdr>
            <w:top w:val="none" w:sz="0" w:space="0" w:color="auto"/>
            <w:left w:val="none" w:sz="0" w:space="0" w:color="auto"/>
            <w:bottom w:val="none" w:sz="0" w:space="0" w:color="auto"/>
            <w:right w:val="none" w:sz="0" w:space="0" w:color="auto"/>
          </w:divBdr>
          <w:divsChild>
            <w:div w:id="1276518775">
              <w:marLeft w:val="0"/>
              <w:marRight w:val="0"/>
              <w:marTop w:val="0"/>
              <w:marBottom w:val="0"/>
              <w:divBdr>
                <w:top w:val="none" w:sz="0" w:space="0" w:color="auto"/>
                <w:left w:val="none" w:sz="0" w:space="0" w:color="auto"/>
                <w:bottom w:val="none" w:sz="0" w:space="0" w:color="auto"/>
                <w:right w:val="none" w:sz="0" w:space="0" w:color="auto"/>
              </w:divBdr>
              <w:divsChild>
                <w:div w:id="1047292313">
                  <w:marLeft w:val="0"/>
                  <w:marRight w:val="0"/>
                  <w:marTop w:val="0"/>
                  <w:marBottom w:val="0"/>
                  <w:divBdr>
                    <w:top w:val="none" w:sz="0" w:space="0" w:color="auto"/>
                    <w:left w:val="none" w:sz="0" w:space="0" w:color="auto"/>
                    <w:bottom w:val="single" w:sz="6" w:space="0" w:color="D8D8D8"/>
                    <w:right w:val="none" w:sz="0" w:space="0" w:color="auto"/>
                  </w:divBdr>
                  <w:divsChild>
                    <w:div w:id="1172523589">
                      <w:marLeft w:val="0"/>
                      <w:marRight w:val="0"/>
                      <w:marTop w:val="0"/>
                      <w:marBottom w:val="0"/>
                      <w:divBdr>
                        <w:top w:val="none" w:sz="0" w:space="0" w:color="auto"/>
                        <w:left w:val="none" w:sz="0" w:space="0" w:color="auto"/>
                        <w:bottom w:val="none" w:sz="0" w:space="0" w:color="auto"/>
                        <w:right w:val="none" w:sz="0" w:space="0" w:color="auto"/>
                      </w:divBdr>
                      <w:divsChild>
                        <w:div w:id="1668703658">
                          <w:marLeft w:val="0"/>
                          <w:marRight w:val="0"/>
                          <w:marTop w:val="0"/>
                          <w:marBottom w:val="0"/>
                          <w:divBdr>
                            <w:top w:val="none" w:sz="0" w:space="0" w:color="auto"/>
                            <w:left w:val="none" w:sz="0" w:space="0" w:color="auto"/>
                            <w:bottom w:val="none" w:sz="0" w:space="0" w:color="auto"/>
                            <w:right w:val="none" w:sz="0" w:space="0" w:color="auto"/>
                          </w:divBdr>
                        </w:div>
                      </w:divsChild>
                    </w:div>
                    <w:div w:id="807166761">
                      <w:marLeft w:val="0"/>
                      <w:marRight w:val="0"/>
                      <w:marTop w:val="0"/>
                      <w:marBottom w:val="0"/>
                      <w:divBdr>
                        <w:top w:val="none" w:sz="0" w:space="0" w:color="auto"/>
                        <w:left w:val="none" w:sz="0" w:space="0" w:color="auto"/>
                        <w:bottom w:val="none" w:sz="0" w:space="0" w:color="auto"/>
                        <w:right w:val="none" w:sz="0" w:space="0" w:color="auto"/>
                      </w:divBdr>
                      <w:divsChild>
                        <w:div w:id="795684111">
                          <w:marLeft w:val="0"/>
                          <w:marRight w:val="0"/>
                          <w:marTop w:val="0"/>
                          <w:marBottom w:val="0"/>
                          <w:divBdr>
                            <w:top w:val="none" w:sz="0" w:space="0" w:color="auto"/>
                            <w:left w:val="none" w:sz="0" w:space="0" w:color="auto"/>
                            <w:bottom w:val="none" w:sz="0" w:space="0" w:color="auto"/>
                            <w:right w:val="none" w:sz="0" w:space="0" w:color="auto"/>
                          </w:divBdr>
                          <w:divsChild>
                            <w:div w:id="968170600">
                              <w:marLeft w:val="0"/>
                              <w:marRight w:val="0"/>
                              <w:marTop w:val="0"/>
                              <w:marBottom w:val="0"/>
                              <w:divBdr>
                                <w:top w:val="none" w:sz="0" w:space="0" w:color="auto"/>
                                <w:left w:val="none" w:sz="0" w:space="0" w:color="auto"/>
                                <w:bottom w:val="none" w:sz="0" w:space="0" w:color="auto"/>
                                <w:right w:val="none" w:sz="0" w:space="0" w:color="auto"/>
                              </w:divBdr>
                              <w:divsChild>
                                <w:div w:id="1969046641">
                                  <w:marLeft w:val="0"/>
                                  <w:marRight w:val="0"/>
                                  <w:marTop w:val="0"/>
                                  <w:marBottom w:val="0"/>
                                  <w:divBdr>
                                    <w:top w:val="single" w:sz="6" w:space="0" w:color="C7C7C7"/>
                                    <w:left w:val="none" w:sz="0" w:space="0" w:color="auto"/>
                                    <w:bottom w:val="none" w:sz="0" w:space="0" w:color="auto"/>
                                    <w:right w:val="none" w:sz="0" w:space="0" w:color="auto"/>
                                  </w:divBdr>
                                  <w:divsChild>
                                    <w:div w:id="14493531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9444375">
                              <w:marLeft w:val="0"/>
                              <w:marRight w:val="0"/>
                              <w:marTop w:val="0"/>
                              <w:marBottom w:val="0"/>
                              <w:divBdr>
                                <w:top w:val="none" w:sz="0" w:space="0" w:color="auto"/>
                                <w:left w:val="none" w:sz="0" w:space="0" w:color="auto"/>
                                <w:bottom w:val="none" w:sz="0" w:space="0" w:color="auto"/>
                                <w:right w:val="none" w:sz="0" w:space="0" w:color="auto"/>
                              </w:divBdr>
                              <w:divsChild>
                                <w:div w:id="1716657645">
                                  <w:marLeft w:val="0"/>
                                  <w:marRight w:val="0"/>
                                  <w:marTop w:val="0"/>
                                  <w:marBottom w:val="0"/>
                                  <w:divBdr>
                                    <w:top w:val="none" w:sz="0" w:space="0" w:color="auto"/>
                                    <w:left w:val="none" w:sz="0" w:space="0" w:color="auto"/>
                                    <w:bottom w:val="none" w:sz="0" w:space="0" w:color="auto"/>
                                    <w:right w:val="none" w:sz="0" w:space="0" w:color="auto"/>
                                  </w:divBdr>
                                  <w:divsChild>
                                    <w:div w:id="462622737">
                                      <w:marLeft w:val="0"/>
                                      <w:marRight w:val="0"/>
                                      <w:marTop w:val="0"/>
                                      <w:marBottom w:val="0"/>
                                      <w:divBdr>
                                        <w:top w:val="none" w:sz="0" w:space="0" w:color="auto"/>
                                        <w:left w:val="none" w:sz="0" w:space="0" w:color="auto"/>
                                        <w:bottom w:val="none" w:sz="0" w:space="0" w:color="auto"/>
                                        <w:right w:val="none" w:sz="0" w:space="0" w:color="auto"/>
                                      </w:divBdr>
                                      <w:divsChild>
                                        <w:div w:id="13006453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8367485">
                                  <w:marLeft w:val="0"/>
                                  <w:marRight w:val="0"/>
                                  <w:marTop w:val="0"/>
                                  <w:marBottom w:val="0"/>
                                  <w:divBdr>
                                    <w:top w:val="none" w:sz="0" w:space="0" w:color="auto"/>
                                    <w:left w:val="none" w:sz="0" w:space="0" w:color="auto"/>
                                    <w:bottom w:val="none" w:sz="0" w:space="0" w:color="auto"/>
                                    <w:right w:val="none" w:sz="0" w:space="0" w:color="auto"/>
                                  </w:divBdr>
                                  <w:divsChild>
                                    <w:div w:id="740445995">
                                      <w:marLeft w:val="0"/>
                                      <w:marRight w:val="0"/>
                                      <w:marTop w:val="0"/>
                                      <w:marBottom w:val="0"/>
                                      <w:divBdr>
                                        <w:top w:val="none" w:sz="0" w:space="0" w:color="auto"/>
                                        <w:left w:val="none" w:sz="0" w:space="0" w:color="auto"/>
                                        <w:bottom w:val="none" w:sz="0" w:space="0" w:color="auto"/>
                                        <w:right w:val="none" w:sz="0" w:space="0" w:color="auto"/>
                                      </w:divBdr>
                                      <w:divsChild>
                                        <w:div w:id="2116176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9713747">
                                  <w:marLeft w:val="0"/>
                                  <w:marRight w:val="0"/>
                                  <w:marTop w:val="0"/>
                                  <w:marBottom w:val="0"/>
                                  <w:divBdr>
                                    <w:top w:val="none" w:sz="0" w:space="0" w:color="auto"/>
                                    <w:left w:val="none" w:sz="0" w:space="0" w:color="auto"/>
                                    <w:bottom w:val="none" w:sz="0" w:space="0" w:color="auto"/>
                                    <w:right w:val="none" w:sz="0" w:space="0" w:color="auto"/>
                                  </w:divBdr>
                                  <w:divsChild>
                                    <w:div w:id="1979913089">
                                      <w:marLeft w:val="0"/>
                                      <w:marRight w:val="0"/>
                                      <w:marTop w:val="0"/>
                                      <w:marBottom w:val="0"/>
                                      <w:divBdr>
                                        <w:top w:val="none" w:sz="0" w:space="0" w:color="auto"/>
                                        <w:left w:val="none" w:sz="0" w:space="0" w:color="auto"/>
                                        <w:bottom w:val="none" w:sz="0" w:space="0" w:color="auto"/>
                                        <w:right w:val="none" w:sz="0" w:space="0" w:color="auto"/>
                                      </w:divBdr>
                                      <w:divsChild>
                                        <w:div w:id="13179582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0021147">
                                  <w:marLeft w:val="0"/>
                                  <w:marRight w:val="0"/>
                                  <w:marTop w:val="0"/>
                                  <w:marBottom w:val="0"/>
                                  <w:divBdr>
                                    <w:top w:val="none" w:sz="0" w:space="0" w:color="auto"/>
                                    <w:left w:val="none" w:sz="0" w:space="0" w:color="auto"/>
                                    <w:bottom w:val="none" w:sz="0" w:space="0" w:color="auto"/>
                                    <w:right w:val="none" w:sz="0" w:space="0" w:color="auto"/>
                                  </w:divBdr>
                                  <w:divsChild>
                                    <w:div w:id="1679232925">
                                      <w:marLeft w:val="0"/>
                                      <w:marRight w:val="0"/>
                                      <w:marTop w:val="0"/>
                                      <w:marBottom w:val="0"/>
                                      <w:divBdr>
                                        <w:top w:val="none" w:sz="0" w:space="0" w:color="auto"/>
                                        <w:left w:val="none" w:sz="0" w:space="0" w:color="auto"/>
                                        <w:bottom w:val="none" w:sz="0" w:space="0" w:color="auto"/>
                                        <w:right w:val="none" w:sz="0" w:space="0" w:color="auto"/>
                                      </w:divBdr>
                                      <w:divsChild>
                                        <w:div w:id="7586710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574388138">
      <w:bodyDiv w:val="1"/>
      <w:marLeft w:val="0"/>
      <w:marRight w:val="0"/>
      <w:marTop w:val="0"/>
      <w:marBottom w:val="0"/>
      <w:divBdr>
        <w:top w:val="none" w:sz="0" w:space="0" w:color="auto"/>
        <w:left w:val="none" w:sz="0" w:space="0" w:color="auto"/>
        <w:bottom w:val="none" w:sz="0" w:space="0" w:color="auto"/>
        <w:right w:val="none" w:sz="0" w:space="0" w:color="auto"/>
      </w:divBdr>
    </w:div>
    <w:div w:id="1630359645">
      <w:bodyDiv w:val="1"/>
      <w:marLeft w:val="0"/>
      <w:marRight w:val="0"/>
      <w:marTop w:val="0"/>
      <w:marBottom w:val="0"/>
      <w:divBdr>
        <w:top w:val="none" w:sz="0" w:space="0" w:color="auto"/>
        <w:left w:val="none" w:sz="0" w:space="0" w:color="auto"/>
        <w:bottom w:val="none" w:sz="0" w:space="0" w:color="auto"/>
        <w:right w:val="none" w:sz="0" w:space="0" w:color="auto"/>
      </w:divBdr>
      <w:divsChild>
        <w:div w:id="1898779288">
          <w:marLeft w:val="150"/>
          <w:marRight w:val="150"/>
          <w:marTop w:val="480"/>
          <w:marBottom w:val="0"/>
          <w:divBdr>
            <w:top w:val="none" w:sz="0" w:space="0" w:color="auto"/>
            <w:left w:val="none" w:sz="0" w:space="0" w:color="auto"/>
            <w:bottom w:val="none" w:sz="0" w:space="0" w:color="auto"/>
            <w:right w:val="none" w:sz="0" w:space="0" w:color="auto"/>
          </w:divBdr>
        </w:div>
        <w:div w:id="334573333">
          <w:marLeft w:val="0"/>
          <w:marRight w:val="0"/>
          <w:marTop w:val="240"/>
          <w:marBottom w:val="0"/>
          <w:divBdr>
            <w:top w:val="none" w:sz="0" w:space="0" w:color="auto"/>
            <w:left w:val="none" w:sz="0" w:space="0" w:color="auto"/>
            <w:bottom w:val="none" w:sz="0" w:space="0" w:color="auto"/>
            <w:right w:val="none" w:sz="0" w:space="0" w:color="auto"/>
          </w:divBdr>
        </w:div>
      </w:divsChild>
    </w:div>
    <w:div w:id="1655791452">
      <w:bodyDiv w:val="1"/>
      <w:marLeft w:val="0"/>
      <w:marRight w:val="0"/>
      <w:marTop w:val="0"/>
      <w:marBottom w:val="0"/>
      <w:divBdr>
        <w:top w:val="none" w:sz="0" w:space="0" w:color="auto"/>
        <w:left w:val="none" w:sz="0" w:space="0" w:color="auto"/>
        <w:bottom w:val="none" w:sz="0" w:space="0" w:color="auto"/>
        <w:right w:val="none" w:sz="0" w:space="0" w:color="auto"/>
      </w:divBdr>
    </w:div>
    <w:div w:id="1755591921">
      <w:bodyDiv w:val="1"/>
      <w:marLeft w:val="0"/>
      <w:marRight w:val="0"/>
      <w:marTop w:val="0"/>
      <w:marBottom w:val="0"/>
      <w:divBdr>
        <w:top w:val="none" w:sz="0" w:space="0" w:color="auto"/>
        <w:left w:val="none" w:sz="0" w:space="0" w:color="auto"/>
        <w:bottom w:val="none" w:sz="0" w:space="0" w:color="auto"/>
        <w:right w:val="none" w:sz="0" w:space="0" w:color="auto"/>
      </w:divBdr>
    </w:div>
    <w:div w:id="1839539529">
      <w:bodyDiv w:val="1"/>
      <w:marLeft w:val="0"/>
      <w:marRight w:val="0"/>
      <w:marTop w:val="0"/>
      <w:marBottom w:val="0"/>
      <w:divBdr>
        <w:top w:val="none" w:sz="0" w:space="0" w:color="auto"/>
        <w:left w:val="none" w:sz="0" w:space="0" w:color="auto"/>
        <w:bottom w:val="none" w:sz="0" w:space="0" w:color="auto"/>
        <w:right w:val="none" w:sz="0" w:space="0" w:color="auto"/>
      </w:divBdr>
    </w:div>
    <w:div w:id="1873494163">
      <w:bodyDiv w:val="1"/>
      <w:marLeft w:val="0"/>
      <w:marRight w:val="0"/>
      <w:marTop w:val="0"/>
      <w:marBottom w:val="0"/>
      <w:divBdr>
        <w:top w:val="none" w:sz="0" w:space="0" w:color="auto"/>
        <w:left w:val="none" w:sz="0" w:space="0" w:color="auto"/>
        <w:bottom w:val="none" w:sz="0" w:space="0" w:color="auto"/>
        <w:right w:val="none" w:sz="0" w:space="0" w:color="auto"/>
      </w:divBdr>
    </w:div>
    <w:div w:id="1874732922">
      <w:bodyDiv w:val="1"/>
      <w:marLeft w:val="0"/>
      <w:marRight w:val="0"/>
      <w:marTop w:val="0"/>
      <w:marBottom w:val="0"/>
      <w:divBdr>
        <w:top w:val="none" w:sz="0" w:space="0" w:color="auto"/>
        <w:left w:val="none" w:sz="0" w:space="0" w:color="auto"/>
        <w:bottom w:val="none" w:sz="0" w:space="0" w:color="auto"/>
        <w:right w:val="none" w:sz="0" w:space="0" w:color="auto"/>
      </w:divBdr>
    </w:div>
    <w:div w:id="1886137717">
      <w:bodyDiv w:val="1"/>
      <w:marLeft w:val="0"/>
      <w:marRight w:val="0"/>
      <w:marTop w:val="0"/>
      <w:marBottom w:val="0"/>
      <w:divBdr>
        <w:top w:val="none" w:sz="0" w:space="0" w:color="auto"/>
        <w:left w:val="none" w:sz="0" w:space="0" w:color="auto"/>
        <w:bottom w:val="none" w:sz="0" w:space="0" w:color="auto"/>
        <w:right w:val="none" w:sz="0" w:space="0" w:color="auto"/>
      </w:divBdr>
    </w:div>
    <w:div w:id="1910655094">
      <w:bodyDiv w:val="1"/>
      <w:marLeft w:val="0"/>
      <w:marRight w:val="0"/>
      <w:marTop w:val="0"/>
      <w:marBottom w:val="0"/>
      <w:divBdr>
        <w:top w:val="none" w:sz="0" w:space="0" w:color="auto"/>
        <w:left w:val="none" w:sz="0" w:space="0" w:color="auto"/>
        <w:bottom w:val="none" w:sz="0" w:space="0" w:color="auto"/>
        <w:right w:val="none" w:sz="0" w:space="0" w:color="auto"/>
      </w:divBdr>
    </w:div>
    <w:div w:id="1916816267">
      <w:bodyDiv w:val="1"/>
      <w:marLeft w:val="0"/>
      <w:marRight w:val="0"/>
      <w:marTop w:val="0"/>
      <w:marBottom w:val="0"/>
      <w:divBdr>
        <w:top w:val="none" w:sz="0" w:space="0" w:color="auto"/>
        <w:left w:val="none" w:sz="0" w:space="0" w:color="auto"/>
        <w:bottom w:val="none" w:sz="0" w:space="0" w:color="auto"/>
        <w:right w:val="none" w:sz="0" w:space="0" w:color="auto"/>
      </w:divBdr>
      <w:divsChild>
        <w:div w:id="375666303">
          <w:marLeft w:val="0"/>
          <w:marRight w:val="0"/>
          <w:marTop w:val="0"/>
          <w:marBottom w:val="0"/>
          <w:divBdr>
            <w:top w:val="none" w:sz="0" w:space="0" w:color="auto"/>
            <w:left w:val="none" w:sz="0" w:space="0" w:color="auto"/>
            <w:bottom w:val="none" w:sz="0" w:space="0" w:color="auto"/>
            <w:right w:val="none" w:sz="0" w:space="0" w:color="auto"/>
          </w:divBdr>
          <w:divsChild>
            <w:div w:id="495538416">
              <w:marLeft w:val="0"/>
              <w:marRight w:val="0"/>
              <w:marTop w:val="0"/>
              <w:marBottom w:val="0"/>
              <w:divBdr>
                <w:top w:val="none" w:sz="0" w:space="0" w:color="auto"/>
                <w:left w:val="none" w:sz="0" w:space="0" w:color="auto"/>
                <w:bottom w:val="none" w:sz="0" w:space="0" w:color="auto"/>
                <w:right w:val="none" w:sz="0" w:space="0" w:color="auto"/>
              </w:divBdr>
            </w:div>
          </w:divsChild>
        </w:div>
        <w:div w:id="2013408555">
          <w:marLeft w:val="0"/>
          <w:marRight w:val="0"/>
          <w:marTop w:val="0"/>
          <w:marBottom w:val="0"/>
          <w:divBdr>
            <w:top w:val="none" w:sz="0" w:space="0" w:color="auto"/>
            <w:left w:val="none" w:sz="0" w:space="0" w:color="auto"/>
            <w:bottom w:val="none" w:sz="0" w:space="0" w:color="auto"/>
            <w:right w:val="none" w:sz="0" w:space="0" w:color="auto"/>
          </w:divBdr>
          <w:divsChild>
            <w:div w:id="12974462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6378599">
      <w:bodyDiv w:val="1"/>
      <w:marLeft w:val="0"/>
      <w:marRight w:val="0"/>
      <w:marTop w:val="0"/>
      <w:marBottom w:val="0"/>
      <w:divBdr>
        <w:top w:val="none" w:sz="0" w:space="0" w:color="auto"/>
        <w:left w:val="none" w:sz="0" w:space="0" w:color="auto"/>
        <w:bottom w:val="none" w:sz="0" w:space="0" w:color="auto"/>
        <w:right w:val="none" w:sz="0" w:space="0" w:color="auto"/>
      </w:divBdr>
      <w:divsChild>
        <w:div w:id="668748440">
          <w:marLeft w:val="0"/>
          <w:marRight w:val="0"/>
          <w:marTop w:val="0"/>
          <w:marBottom w:val="0"/>
          <w:divBdr>
            <w:top w:val="none" w:sz="0" w:space="0" w:color="auto"/>
            <w:left w:val="none" w:sz="0" w:space="0" w:color="auto"/>
            <w:bottom w:val="none" w:sz="0" w:space="0" w:color="auto"/>
            <w:right w:val="none" w:sz="0" w:space="0" w:color="auto"/>
          </w:divBdr>
        </w:div>
        <w:div w:id="1243417507">
          <w:marLeft w:val="0"/>
          <w:marRight w:val="0"/>
          <w:marTop w:val="0"/>
          <w:marBottom w:val="0"/>
          <w:divBdr>
            <w:top w:val="none" w:sz="0" w:space="0" w:color="auto"/>
            <w:left w:val="none" w:sz="0" w:space="0" w:color="auto"/>
            <w:bottom w:val="none" w:sz="0" w:space="0" w:color="auto"/>
            <w:right w:val="none" w:sz="0" w:space="0" w:color="auto"/>
          </w:divBdr>
        </w:div>
      </w:divsChild>
    </w:div>
    <w:div w:id="1986010974">
      <w:bodyDiv w:val="1"/>
      <w:marLeft w:val="0"/>
      <w:marRight w:val="0"/>
      <w:marTop w:val="0"/>
      <w:marBottom w:val="0"/>
      <w:divBdr>
        <w:top w:val="none" w:sz="0" w:space="0" w:color="auto"/>
        <w:left w:val="none" w:sz="0" w:space="0" w:color="auto"/>
        <w:bottom w:val="none" w:sz="0" w:space="0" w:color="auto"/>
        <w:right w:val="none" w:sz="0" w:space="0" w:color="auto"/>
      </w:divBdr>
    </w:div>
    <w:div w:id="2014990051">
      <w:bodyDiv w:val="1"/>
      <w:marLeft w:val="0"/>
      <w:marRight w:val="0"/>
      <w:marTop w:val="0"/>
      <w:marBottom w:val="0"/>
      <w:divBdr>
        <w:top w:val="none" w:sz="0" w:space="0" w:color="auto"/>
        <w:left w:val="none" w:sz="0" w:space="0" w:color="auto"/>
        <w:bottom w:val="none" w:sz="0" w:space="0" w:color="auto"/>
        <w:right w:val="none" w:sz="0" w:space="0" w:color="auto"/>
      </w:divBdr>
    </w:div>
    <w:div w:id="2031833979">
      <w:bodyDiv w:val="1"/>
      <w:marLeft w:val="0"/>
      <w:marRight w:val="0"/>
      <w:marTop w:val="0"/>
      <w:marBottom w:val="0"/>
      <w:divBdr>
        <w:top w:val="none" w:sz="0" w:space="0" w:color="auto"/>
        <w:left w:val="none" w:sz="0" w:space="0" w:color="auto"/>
        <w:bottom w:val="none" w:sz="0" w:space="0" w:color="auto"/>
        <w:right w:val="none" w:sz="0" w:space="0" w:color="auto"/>
      </w:divBdr>
    </w:div>
    <w:div w:id="2070881583">
      <w:bodyDiv w:val="1"/>
      <w:marLeft w:val="0"/>
      <w:marRight w:val="0"/>
      <w:marTop w:val="0"/>
      <w:marBottom w:val="0"/>
      <w:divBdr>
        <w:top w:val="none" w:sz="0" w:space="0" w:color="auto"/>
        <w:left w:val="none" w:sz="0" w:space="0" w:color="auto"/>
        <w:bottom w:val="none" w:sz="0" w:space="0" w:color="auto"/>
        <w:right w:val="none" w:sz="0" w:space="0" w:color="auto"/>
      </w:divBdr>
    </w:div>
    <w:div w:id="20789418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3</Pages>
  <Words>6212</Words>
  <Characters>3542</Characters>
  <Application>Microsoft Office Word</Application>
  <DocSecurity>0</DocSecurity>
  <Lines>29</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9735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Ieva Potjomkina</dc:creator>
  <cp:keywords/>
  <dc:description/>
  <cp:lastModifiedBy>Ieva Potjomkina</cp:lastModifiedBy>
  <cp:revision>5</cp:revision>
  <cp:lastPrinted>2022-01-12T09:56:00Z</cp:lastPrinted>
  <dcterms:created xsi:type="dcterms:W3CDTF">2023-08-16T13:02:00Z</dcterms:created>
  <dcterms:modified xsi:type="dcterms:W3CDTF">2023-08-16T13:05:00Z</dcterms:modified>
</cp:coreProperties>
</file>