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37E1AD43">
      <w:pPr>
        <w:jc w:val="center"/>
        <w:rPr>
          <w:b/>
          <w:bCs/>
        </w:rPr>
      </w:pPr>
      <w:bookmarkStart w:name="_Hlk46742949" w:id="0"/>
      <w:r w:rsidRPr="2B3E1191">
        <w:rPr>
          <w:b/>
          <w:bCs/>
        </w:rPr>
        <w:t>Latvijas Republikas nacionālā pozīcija Nr. 1 “</w:t>
      </w:r>
      <w:r w:rsidRPr="00B1006C" w:rsidR="00B1006C">
        <w:rPr>
          <w:b/>
          <w:bCs/>
        </w:rPr>
        <w:t>Priekšlikums Eiropas Parlamenta un Padomes Direktīvai, ar ko groza Direktīvu 2009/16/EK par ostas valsts kontroli</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18E8DC5D">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B1006C" w:rsidR="00B1006C">
        <w:rPr>
          <w:b/>
          <w:bCs/>
        </w:rPr>
        <w:t>Priekšlikums Eiropas Parlamenta un Padomes Direktīvai, ar ko groza Direktīvu 2009/16/EK par ostas valsts kontroli</w:t>
      </w:r>
      <w:r w:rsidRPr="00AD53ED" w:rsidR="00AD53ED">
        <w:rPr>
          <w:b/>
          <w:bCs/>
        </w:rPr>
        <w:t>”</w:t>
      </w:r>
      <w:r w:rsidRPr="2B3E1191" w:rsidR="003B7F13">
        <w:rPr>
          <w:b/>
          <w:bCs/>
        </w:rPr>
        <w:t>.</w:t>
      </w:r>
    </w:p>
    <w:p w:rsidR="00C37347" w:rsidP="2B3E1191" w:rsidRDefault="0035318A" w14:paraId="1EE9BE53" w14:textId="1B6C5346">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w:t>
      </w:r>
      <w:r w:rsidR="004638C5">
        <w:rPr>
          <w:color w:val="000000" w:themeColor="text1"/>
        </w:rPr>
        <w:t xml:space="preserve"> </w:t>
      </w:r>
      <w:r w:rsidRPr="336A7F23" w:rsidR="003B7F13">
        <w:rPr>
          <w:color w:val="000000" w:themeColor="text1"/>
        </w:rPr>
        <w:t>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B1006C" w:rsidR="00B1006C">
        <w:rPr>
          <w:color w:val="000000" w:themeColor="text1"/>
        </w:rPr>
        <w:t>Ārlietu ministriju, Aizsardzības ministriju, Vides aizsardzības un reģionālās attīstības ministriju, Zemkopības ministriju, Finanšu ministriju</w:t>
      </w:r>
      <w:r w:rsidRPr="00485606" w:rsidR="00485606">
        <w:rPr>
          <w:color w:val="000000" w:themeColor="text1"/>
        </w:rPr>
        <w:t>.</w:t>
      </w:r>
    </w:p>
    <w:p w:rsidR="00B1006C" w:rsidP="2B3E1191" w:rsidRDefault="00494B92" w14:paraId="517CEB16" w14:textId="2002FFA8">
      <w:pPr>
        <w:ind w:firstLine="720"/>
        <w:jc w:val="both"/>
        <w:rPr>
          <w:color w:val="000000" w:themeColor="text1"/>
        </w:rPr>
      </w:pPr>
      <w:r w:rsidRPr="00494B92">
        <w:rPr>
          <w:color w:val="000000" w:themeColor="text1"/>
        </w:rPr>
        <w:t>Šis priekšlikums attiecas uz grozījumiem Eiropas Parlamenta un Padomes 2009. gada 23. aprīļa Direktīvā 2009/16/EK par ostas valsts kontroli (turpmāk tekstā – Direktīva)</w:t>
      </w:r>
      <w:r>
        <w:rPr>
          <w:color w:val="000000" w:themeColor="text1"/>
        </w:rPr>
        <w:t>, k</w:t>
      </w:r>
      <w:r w:rsidRPr="00494B92">
        <w:rPr>
          <w:color w:val="000000" w:themeColor="text1"/>
        </w:rPr>
        <w:t>a</w:t>
      </w:r>
      <w:r>
        <w:rPr>
          <w:color w:val="000000" w:themeColor="text1"/>
        </w:rPr>
        <w:t>s</w:t>
      </w:r>
      <w:r w:rsidRPr="00494B92">
        <w:rPr>
          <w:color w:val="000000" w:themeColor="text1"/>
        </w:rPr>
        <w:t xml:space="preserve"> reglamentē ostas valsts kontroles</w:t>
      </w:r>
      <w:r>
        <w:rPr>
          <w:color w:val="000000" w:themeColor="text1"/>
        </w:rPr>
        <w:t xml:space="preserve"> (</w:t>
      </w:r>
      <w:r w:rsidRPr="00494B92">
        <w:rPr>
          <w:color w:val="000000" w:themeColor="text1"/>
        </w:rPr>
        <w:t>turpmāk tekstā – OVK</w:t>
      </w:r>
      <w:r>
        <w:rPr>
          <w:color w:val="000000" w:themeColor="text1"/>
        </w:rPr>
        <w:t>)</w:t>
      </w:r>
      <w:r w:rsidRPr="00494B92">
        <w:rPr>
          <w:color w:val="000000" w:themeColor="text1"/>
        </w:rPr>
        <w:t xml:space="preserve"> inspekcijas Eiropas Savienības (turpmāk tekstā – ES) līmenī. </w:t>
      </w:r>
      <w:r>
        <w:rPr>
          <w:color w:val="000000" w:themeColor="text1"/>
        </w:rPr>
        <w:t>OVK</w:t>
      </w:r>
      <w:r w:rsidRPr="00494B92">
        <w:rPr>
          <w:color w:val="000000" w:themeColor="text1"/>
        </w:rPr>
        <w:t xml:space="preserve"> ir sistēma, kurā OVK amatpersonas pārbauda ārvalstu karoga kuģus savas valsts ostās, lai pārliecinātos, ka kuģa kapteiņa, virsnieku un apkalpes locekļu kompetence, kuģa stāvoklis un aprīkojums atbilst starptautisko konvenciju prasībām un piemērojamiem ES tiesību aktiem. Tādējādi OVK ir svarīga kuģošanas drošības un jūras vides aizsardzības nodrošināšanā. Ņemot vērā jūras transporta vēsturi un starptautisko raksturu, jūras transportam ir izveidojusies īpaša regulatīvā struktūra.</w:t>
      </w:r>
      <w:r>
        <w:rPr>
          <w:color w:val="000000" w:themeColor="text1"/>
        </w:rPr>
        <w:t xml:space="preserve"> </w:t>
      </w:r>
      <w:r w:rsidRPr="00494B92">
        <w:rPr>
          <w:color w:val="000000" w:themeColor="text1"/>
        </w:rPr>
        <w:t>Globālā līmenī starptautiskais tiesiskais regulējums ti</w:t>
      </w:r>
      <w:r w:rsidR="004638C5">
        <w:rPr>
          <w:color w:val="000000" w:themeColor="text1"/>
        </w:rPr>
        <w:t>ek</w:t>
      </w:r>
      <w:r w:rsidRPr="00494B92">
        <w:rPr>
          <w:color w:val="000000" w:themeColor="text1"/>
        </w:rPr>
        <w:t xml:space="preserve"> pieņemts Starptautiskās Jūrniecības organizācijas (IMO) ietvaros, un noteikumus, kas reglamentē darba un dzīves apstākļus uz kuģiem, ir pieņēmusi cita ANO specializētā aģentūra - Starptautiskā Darba organizācija (ILO).</w:t>
      </w:r>
    </w:p>
    <w:p w:rsidR="00B1006C" w:rsidP="2B3E1191" w:rsidRDefault="00494B92" w14:paraId="6251CC10" w14:textId="422BED02">
      <w:pPr>
        <w:ind w:firstLine="720"/>
        <w:jc w:val="both"/>
        <w:rPr>
          <w:color w:val="000000" w:themeColor="text1"/>
        </w:rPr>
      </w:pPr>
      <w:r w:rsidRPr="00494B92">
        <w:rPr>
          <w:color w:val="000000" w:themeColor="text1"/>
        </w:rPr>
        <w:t xml:space="preserve">Priekšlikums </w:t>
      </w:r>
      <w:r>
        <w:rPr>
          <w:color w:val="000000" w:themeColor="text1"/>
        </w:rPr>
        <w:t xml:space="preserve">paredz saskaņot Direktīvu ar Parīzes </w:t>
      </w:r>
      <w:r w:rsidRPr="00494B92">
        <w:rPr>
          <w:color w:val="000000" w:themeColor="text1"/>
        </w:rPr>
        <w:t>Saprašanās memorand</w:t>
      </w:r>
      <w:r>
        <w:rPr>
          <w:color w:val="000000" w:themeColor="text1"/>
        </w:rPr>
        <w:t>u</w:t>
      </w:r>
      <w:r w:rsidRPr="00494B92">
        <w:rPr>
          <w:color w:val="000000" w:themeColor="text1"/>
        </w:rPr>
        <w:t xml:space="preserve"> par ostas valsts kontroli (turpmāk tekstā – Parīzes MoU),</w:t>
      </w:r>
      <w:r>
        <w:rPr>
          <w:color w:val="000000" w:themeColor="text1"/>
        </w:rPr>
        <w:t xml:space="preserve"> kas ir izstrādāts 1982. gadā un ko ir p</w:t>
      </w:r>
      <w:r w:rsidRPr="00494B92">
        <w:rPr>
          <w:color w:val="000000" w:themeColor="text1"/>
        </w:rPr>
        <w:t>arakstījušas visas 24 Eiropas Ekonomikas zonas (EEZ) dalībvalstis, kurās ir jūras ostas, kā arī Kanāda, Krievijas Federācija (šobrīd Krievijas Federācijas dalība ir apturēta) un Apvienotā Karaliste. ES nav nolīguma dalībniece.</w:t>
      </w:r>
      <w:r>
        <w:rPr>
          <w:color w:val="000000" w:themeColor="text1"/>
        </w:rPr>
        <w:t xml:space="preserve"> Priekšlikums </w:t>
      </w:r>
      <w:r w:rsidRPr="00494B92">
        <w:rPr>
          <w:color w:val="000000" w:themeColor="text1"/>
        </w:rPr>
        <w:t xml:space="preserve">paredz grozījumus </w:t>
      </w:r>
      <w:r>
        <w:rPr>
          <w:color w:val="000000" w:themeColor="text1"/>
        </w:rPr>
        <w:t>vairākos</w:t>
      </w:r>
      <w:r w:rsidRPr="00494B92">
        <w:rPr>
          <w:color w:val="000000" w:themeColor="text1"/>
        </w:rPr>
        <w:t xml:space="preserve"> Direktīvas jautājumos</w:t>
      </w:r>
      <w:r>
        <w:rPr>
          <w:color w:val="000000" w:themeColor="text1"/>
        </w:rPr>
        <w:t xml:space="preserve">, t.i., tiek paplašināts Direktīvas tvērums, </w:t>
      </w:r>
      <w:r w:rsidRPr="00494B92">
        <w:rPr>
          <w:color w:val="000000" w:themeColor="text1"/>
        </w:rPr>
        <w:t>lai iekļautu tajā Starptautisko konvenciju par kuģu balasta ūdeņu un nosēdumu kontroli un pārvaldību (BWM konvencija) un Starptautiskā konvencija par vraku aizvākšanu (Nairobi konvencija).</w:t>
      </w:r>
      <w:r>
        <w:rPr>
          <w:color w:val="000000" w:themeColor="text1"/>
        </w:rPr>
        <w:t xml:space="preserve"> </w:t>
      </w:r>
      <w:r w:rsidRPr="00494B92">
        <w:rPr>
          <w:color w:val="000000" w:themeColor="text1"/>
        </w:rPr>
        <w:t>Tvērums arī tiek grozīts, lai dalībvalstis, kuras to vēlas, OVK ietvaros varētu veikt zvejas kuģu, kas garāki par 24 metriem, inspekcijas.</w:t>
      </w:r>
    </w:p>
    <w:p w:rsidR="00B1006C" w:rsidP="2B3E1191" w:rsidRDefault="00494B92" w14:paraId="7E65D5BF" w14:textId="28CF755B">
      <w:pPr>
        <w:ind w:firstLine="720"/>
        <w:jc w:val="both"/>
        <w:rPr>
          <w:color w:val="000000" w:themeColor="text1"/>
        </w:rPr>
      </w:pPr>
      <w:r w:rsidRPr="00494B92">
        <w:rPr>
          <w:color w:val="000000" w:themeColor="text1"/>
        </w:rPr>
        <w:t xml:space="preserve">Latvija </w:t>
      </w:r>
      <w:r w:rsidRPr="00494B92">
        <w:rPr>
          <w:b/>
          <w:bCs/>
          <w:color w:val="000000" w:themeColor="text1"/>
        </w:rPr>
        <w:t>kopumā pozitīvi vērtē Direktīvas priekšlikumu</w:t>
      </w:r>
      <w:r w:rsidRPr="00494B92">
        <w:rPr>
          <w:color w:val="000000" w:themeColor="text1"/>
        </w:rPr>
        <w:t>, jo tas saskaņos attiecīgo ES tiesību aktu ar jaunajām procedūrām, par kurām panākta vienošanās Parīzes MoU ietvaros, tomēr atsevišķi Direktīvas priekšlikuma elementi Latvijas ieskatā ir problemātiski</w:t>
      </w:r>
      <w:r>
        <w:rPr>
          <w:color w:val="000000" w:themeColor="text1"/>
        </w:rPr>
        <w:t>, piemēram, transponēšanas termiņš.</w:t>
      </w:r>
    </w:p>
    <w:p w:rsidRPr="0082737B" w:rsidR="009640D3" w:rsidP="009640D3" w:rsidRDefault="009640D3" w14:paraId="491E1944" w14:textId="77777777">
      <w:pPr>
        <w:pStyle w:val="ListParagraph"/>
        <w:ind w:left="1080"/>
        <w:jc w:val="both"/>
        <w:rPr>
          <w:color w:val="000000" w:themeColor="text1"/>
        </w:rPr>
      </w:pPr>
    </w:p>
    <w:p w:rsidR="00001CDE" w:rsidP="009640D3" w:rsidRDefault="00001CDE" w14:paraId="52F790C7" w14:textId="2973CFE0">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C502FE">
        <w:t>Kuģniecības</w:t>
      </w:r>
      <w:r w:rsidR="00D74CED">
        <w:t xml:space="preserve"> </w:t>
      </w:r>
      <w:r w:rsidR="00B43442">
        <w:t>jautājumu</w:t>
      </w:r>
      <w:r w:rsidR="005906C5">
        <w:t xml:space="preserve"> </w:t>
      </w:r>
      <w:r>
        <w:t>darba grupā.</w:t>
      </w:r>
    </w:p>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r w:rsidR="00B43442">
        <w:t>J.Vitenbergs</w:t>
      </w:r>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2B3E1191" w:rsidRDefault="00000F43" w14:paraId="4ADA16C7" w14:textId="1CE8320C">
      <w:pPr>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p>
    <w:sectPr w:rsidRPr="00B81753" w:rsidR="00000F43" w:rsidSect="00E935DA">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01250" w14:textId="77777777" w:rsidR="001C1BBA" w:rsidRDefault="001C1BBA" w:rsidP="002A27D9">
      <w:r>
        <w:separator/>
      </w:r>
    </w:p>
  </w:endnote>
  <w:endnote w:type="continuationSeparator" w:id="0">
    <w:p w14:paraId="328DA8A0" w14:textId="77777777" w:rsidR="001C1BBA" w:rsidRDefault="001C1BBA"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616801"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4423" w14:textId="010BE795" w:rsidR="007F593C" w:rsidRDefault="00000000">
    <w:pPr>
      <w:pStyle w:val="Footer"/>
      <w:jc w:val="right"/>
    </w:pPr>
    <w:sdt>
      <w:sdtPr>
        <w:id w:val="128598144"/>
        <w:docPartObj>
          <w:docPartGallery w:val="Page Numbers (Bottom of Page)"/>
          <w:docPartUnique/>
        </w:docPartObj>
      </w:sdtPr>
      <w:sdtEndPr>
        <w:rPr>
          <w:noProof/>
        </w:rPr>
      </w:sdtEndPr>
      <w:sdtContent>
        <w:r w:rsidR="007F593C">
          <w:fldChar w:fldCharType="begin"/>
        </w:r>
        <w:r w:rsidR="007F593C">
          <w:instrText xml:space="preserve"> PAGE   \* MERGEFORMAT </w:instrText>
        </w:r>
        <w:r w:rsidR="007F593C">
          <w:fldChar w:fldCharType="separate"/>
        </w:r>
        <w:r w:rsidR="007F593C">
          <w:rPr>
            <w:noProof/>
          </w:rPr>
          <w:t>2</w:t>
        </w:r>
        <w:r w:rsidR="007F593C">
          <w:rPr>
            <w:noProof/>
          </w:rPr>
          <w:fldChar w:fldCharType="end"/>
        </w:r>
      </w:sdtContent>
    </w:sdt>
    <w:r w:rsidR="007F593C">
      <w:rPr>
        <w:noProof/>
      </w:rPr>
      <w:t>-</w:t>
    </w:r>
    <w:r w:rsidR="00494B92">
      <w:rPr>
        <w:noProof/>
      </w:rPr>
      <w:t>1</w:t>
    </w:r>
  </w:p>
  <w:p w14:paraId="527BD6FC" w14:textId="5CB28C7A" w:rsidR="007F593C" w:rsidRDefault="007F593C">
    <w:pPr>
      <w:pStyle w:val="Footer"/>
    </w:pPr>
    <w:r w:rsidRPr="00E40025">
      <w:t>SAMzino_</w:t>
    </w:r>
    <w:r>
      <w:t>2</w:t>
    </w:r>
    <w:r w:rsidR="004638C5">
      <w:t>8</w:t>
    </w:r>
    <w:r>
      <w:t>08</w:t>
    </w:r>
    <w:r w:rsidRPr="00E40025">
      <w:t>23_</w:t>
    </w:r>
    <w:r w:rsidR="00494B92">
      <w:t>OVK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066A0A1" w:rsidR="00B00CBB" w:rsidRDefault="00E40025" w:rsidP="00E40025">
    <w:pPr>
      <w:pStyle w:val="Footer"/>
    </w:pPr>
    <w:r w:rsidRPr="00E40025">
      <w:t>SAMzino_</w:t>
    </w:r>
    <w:r w:rsidR="00C502FE">
      <w:t>2108</w:t>
    </w:r>
    <w:r w:rsidRPr="00E40025">
      <w:t>23_</w:t>
    </w:r>
    <w:r w:rsidR="00E935DA">
      <w:t>negadijumu_izmeklesana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7574" w14:textId="77777777" w:rsidR="001C1BBA" w:rsidRDefault="001C1BBA" w:rsidP="002A27D9">
      <w:r>
        <w:separator/>
      </w:r>
    </w:p>
  </w:footnote>
  <w:footnote w:type="continuationSeparator" w:id="0">
    <w:p w14:paraId="6DED47D8" w14:textId="77777777" w:rsidR="001C1BBA" w:rsidRDefault="001C1BBA"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E7447"/>
    <w:multiLevelType w:val="hybridMultilevel"/>
    <w:tmpl w:val="C4C2EE58"/>
    <w:lvl w:ilvl="0" w:tplc="6FE2CE3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1AE7C0A"/>
    <w:multiLevelType w:val="hybridMultilevel"/>
    <w:tmpl w:val="B39609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FAD597A"/>
    <w:multiLevelType w:val="hybridMultilevel"/>
    <w:tmpl w:val="70A00876"/>
    <w:lvl w:ilvl="0" w:tplc="276CAE62">
      <w:start w:val="1"/>
      <w:numFmt w:val="lowerRoman"/>
      <w:lvlText w:val="%1)"/>
      <w:lvlJc w:val="left"/>
      <w:pPr>
        <w:ind w:left="780" w:hanging="72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56B93A04"/>
    <w:multiLevelType w:val="hybridMultilevel"/>
    <w:tmpl w:val="F73A05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6"/>
  </w:num>
  <w:num w:numId="2" w16cid:durableId="121196698">
    <w:abstractNumId w:val="1"/>
  </w:num>
  <w:num w:numId="3" w16cid:durableId="785853288">
    <w:abstractNumId w:val="0"/>
  </w:num>
  <w:num w:numId="4" w16cid:durableId="259606394">
    <w:abstractNumId w:val="4"/>
  </w:num>
  <w:num w:numId="5" w16cid:durableId="563029993">
    <w:abstractNumId w:val="5"/>
  </w:num>
  <w:num w:numId="6" w16cid:durableId="447437290">
    <w:abstractNumId w:val="2"/>
  </w:num>
  <w:num w:numId="7" w16cid:durableId="1812819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1BBA"/>
    <w:rsid w:val="001C78AC"/>
    <w:rsid w:val="001D5A72"/>
    <w:rsid w:val="001D613F"/>
    <w:rsid w:val="001E736D"/>
    <w:rsid w:val="001F1FAD"/>
    <w:rsid w:val="001F7AEF"/>
    <w:rsid w:val="002020A8"/>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638C5"/>
    <w:rsid w:val="00471D2E"/>
    <w:rsid w:val="00477D65"/>
    <w:rsid w:val="0048165C"/>
    <w:rsid w:val="004833C9"/>
    <w:rsid w:val="00485606"/>
    <w:rsid w:val="00494B92"/>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1F71"/>
    <w:rsid w:val="00592D43"/>
    <w:rsid w:val="00594F7C"/>
    <w:rsid w:val="005A490E"/>
    <w:rsid w:val="005B1E12"/>
    <w:rsid w:val="005B3CA6"/>
    <w:rsid w:val="005B5E6D"/>
    <w:rsid w:val="005D5BF5"/>
    <w:rsid w:val="005D6A24"/>
    <w:rsid w:val="005E302F"/>
    <w:rsid w:val="005E3B41"/>
    <w:rsid w:val="005F6D94"/>
    <w:rsid w:val="00601879"/>
    <w:rsid w:val="00620577"/>
    <w:rsid w:val="006205FE"/>
    <w:rsid w:val="006374FD"/>
    <w:rsid w:val="00641B46"/>
    <w:rsid w:val="0065611A"/>
    <w:rsid w:val="006773A2"/>
    <w:rsid w:val="006A60A1"/>
    <w:rsid w:val="006B4C17"/>
    <w:rsid w:val="006D1B0A"/>
    <w:rsid w:val="006D36BA"/>
    <w:rsid w:val="006D3A84"/>
    <w:rsid w:val="006E447B"/>
    <w:rsid w:val="006E7628"/>
    <w:rsid w:val="006F462C"/>
    <w:rsid w:val="006F4F72"/>
    <w:rsid w:val="006F7DBA"/>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7F593C"/>
    <w:rsid w:val="00804EC5"/>
    <w:rsid w:val="00826B84"/>
    <w:rsid w:val="0082737B"/>
    <w:rsid w:val="00835E29"/>
    <w:rsid w:val="0084049C"/>
    <w:rsid w:val="008463AD"/>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40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1006C"/>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CEB"/>
    <w:rsid w:val="00C83490"/>
    <w:rsid w:val="00C8378E"/>
    <w:rsid w:val="00CA3170"/>
    <w:rsid w:val="00CA4732"/>
    <w:rsid w:val="00CB0A65"/>
    <w:rsid w:val="00CB68B4"/>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935DA"/>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99"/>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2247</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ko groza Direktīvu 2009/16/EK par ostas valsts kontroli”"</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ko groza Direktīvu 2009/16/EK par ostas valsts kontroli”"</dc:title>
  <dc:subject>Informatīvais ziņojums</dc:subject>
  <dc:creator>Satiksmes ministrija</dc:creator>
  <cp:keywords>Satiksmes ministrija</cp:keywords>
  <dc:description>Evita Nagle _x000d_
67028190_x000d_
evita.nagle@sam.gov.lv</dc:description>
  <cp:lastModifiedBy>Evita Nagle</cp:lastModifiedBy>
  <cp:revision>49</cp:revision>
  <cp:lastPrinted>2017-05-18T08:16:00Z</cp:lastPrinted>
  <dcterms:created xsi:type="dcterms:W3CDTF">2022-03-16T13:19:00Z</dcterms:created>
  <dcterms:modified xsi:type="dcterms:W3CDTF">2023-08-02T05:40:00Z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L414315</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https://lim.esvis.gov.lv/cs/idcplg?ClientControlled=DocMan&amp;coreContentOnly=1&amp;WebdavRequest=1&amp;IdcService=DOC_INFO&amp;dID=497189</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Direktīvu 2009/16/EK par ostas valsts kontroli”"
</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497189</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Aizsardzības ministrija, Vides aizsardzības un reģionālās attīstības ministrija, Zemkopības ministrija, Finanšu ministrija</vt:lpwstr>
  </property>
</Properties>
</file>