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Pr="0029576E" w:rsidR="00452C14" w:rsidP="00CD2839" w:rsidRDefault="00452C14" w14:paraId="4980BAD3" w14:textId="77777777">
      <w:pPr>
        <w:widowControl w:val="false"/>
        <w:suppressAutoHyphens/>
        <w:spacing w:before="120" w:after="120"/>
        <w:ind w:left="357"/>
        <w:jc w:val="center"/>
        <w15:collapsed w:val="false"/>
        <w:rPr>
          <w:b/>
          <w:kern w:val="1"/>
          <w:lang w:eastAsia="ar-SA"/>
        </w:rPr>
      </w:pPr>
      <w:r w:rsidRPr="0029576E">
        <w:rPr>
          <w:b/>
          <w:kern w:val="1"/>
          <w:lang w:eastAsia="ar-SA"/>
        </w:rPr>
        <w:t>Informatīvais ziņojums</w:t>
      </w:r>
    </w:p>
    <w:p w:rsidRPr="0029576E" w:rsidR="00A947D5" w:rsidP="00CD2839" w:rsidRDefault="00A947D5" w14:paraId="59CAE8AC" w14:textId="2113C321">
      <w:pPr>
        <w:snapToGrid w:val="false"/>
        <w:spacing w:before="120" w:after="120"/>
        <w:jc w:val="center"/>
        <w:rPr>
          <w:b/>
          <w:bCs/>
          <w:lang w:eastAsia="lv-LV"/>
        </w:rPr>
      </w:pPr>
      <w:r w:rsidRPr="0029576E">
        <w:rPr>
          <w:b/>
          <w:bCs/>
          <w:lang w:eastAsia="lv-LV"/>
        </w:rPr>
        <w:t>“</w:t>
      </w:r>
      <w:r w:rsidRPr="006A663C" w:rsidR="006A663C">
        <w:rPr>
          <w:b/>
          <w:bCs/>
          <w:lang w:eastAsia="lv-LV"/>
        </w:rPr>
        <w:t>Par 2022. gada 6.-7. oktobra</w:t>
      </w:r>
      <w:r w:rsidR="00B678B6">
        <w:rPr>
          <w:b/>
          <w:bCs/>
          <w:lang w:eastAsia="lv-LV"/>
        </w:rPr>
        <w:t xml:space="preserve"> </w:t>
      </w:r>
      <w:bookmarkStart w:name="_Hlk114212679" w:id="0"/>
      <w:r w:rsidRPr="00B678B6" w:rsidR="00B678B6">
        <w:rPr>
          <w:b/>
          <w:bCs/>
          <w:lang w:eastAsia="lv-LV"/>
        </w:rPr>
        <w:t>Eiropas politiskās kopienas līderu sanāksm</w:t>
      </w:r>
      <w:r w:rsidR="00B678B6">
        <w:rPr>
          <w:b/>
          <w:bCs/>
          <w:lang w:eastAsia="lv-LV"/>
        </w:rPr>
        <w:t>ē un</w:t>
      </w:r>
      <w:r w:rsidRPr="006A663C" w:rsidR="006A663C">
        <w:rPr>
          <w:b/>
          <w:bCs/>
          <w:lang w:eastAsia="lv-LV"/>
        </w:rPr>
        <w:t xml:space="preserve"> neformālajā Eiropadomē</w:t>
      </w:r>
      <w:bookmarkEnd w:id="0"/>
      <w:r w:rsidRPr="006A663C" w:rsidR="006A663C">
        <w:rPr>
          <w:b/>
          <w:bCs/>
          <w:lang w:eastAsia="lv-LV"/>
        </w:rPr>
        <w:t xml:space="preserve"> izskatāmajiem jautājumiem</w:t>
      </w:r>
      <w:r w:rsidRPr="0029576E">
        <w:rPr>
          <w:b/>
          <w:bCs/>
          <w:lang w:eastAsia="lv-LV"/>
        </w:rPr>
        <w:t>”</w:t>
      </w:r>
    </w:p>
    <w:p w:rsidRPr="0029576E" w:rsidR="00A947D5" w:rsidP="00CD2839" w:rsidRDefault="00A947D5" w14:paraId="584CF1B0" w14:textId="77777777">
      <w:pPr>
        <w:snapToGrid w:val="false"/>
        <w:spacing w:before="120" w:after="120"/>
        <w:jc w:val="both"/>
      </w:pPr>
    </w:p>
    <w:p w:rsidRPr="003B0AF5" w:rsidR="00E629C1" w:rsidP="00E629C1" w:rsidRDefault="006A2A4F" w14:paraId="0D8443B7" w14:textId="61F86BDF">
      <w:pPr>
        <w:spacing w:before="120"/>
        <w:jc w:val="both"/>
      </w:pPr>
      <w:bookmarkStart w:name="_Hlk80775139" w:id="1"/>
      <w:r w:rsidRPr="0029576E">
        <w:t>Š</w:t>
      </w:r>
      <w:r w:rsidR="00217174">
        <w:t>.</w:t>
      </w:r>
      <w:r w:rsidR="000420C6">
        <w:t> </w:t>
      </w:r>
      <w:r w:rsidR="00217174">
        <w:t>g</w:t>
      </w:r>
      <w:r w:rsidRPr="00B678B6" w:rsidR="00217174">
        <w:t>. 6.-7</w:t>
      </w:r>
      <w:r w:rsidRPr="00B678B6">
        <w:t>.</w:t>
      </w:r>
      <w:r w:rsidRPr="00B678B6" w:rsidR="00217174">
        <w:t xml:space="preserve"> oktobrī</w:t>
      </w:r>
      <w:r w:rsidRPr="00B678B6" w:rsidR="00107B85">
        <w:t xml:space="preserve"> Prāgā</w:t>
      </w:r>
      <w:r w:rsidR="00107B85">
        <w:t>,</w:t>
      </w:r>
      <w:r w:rsidR="00217174">
        <w:t xml:space="preserve"> </w:t>
      </w:r>
      <w:r w:rsidR="00107B85">
        <w:t>Čehijā</w:t>
      </w:r>
      <w:r w:rsidR="00217174">
        <w:t xml:space="preserve"> </w:t>
      </w:r>
      <w:r w:rsidRPr="0029576E">
        <w:t>notiks</w:t>
      </w:r>
      <w:r w:rsidR="00B678B6">
        <w:t xml:space="preserve"> </w:t>
      </w:r>
      <w:r w:rsidRPr="00E629C1" w:rsidR="00B678B6">
        <w:t>Eiropas politiskās kopienas līderu sanāksme</w:t>
      </w:r>
      <w:r w:rsidR="00B678B6">
        <w:t xml:space="preserve"> un</w:t>
      </w:r>
      <w:r w:rsidRPr="0029576E">
        <w:t xml:space="preserve"> neformālā E</w:t>
      </w:r>
      <w:r>
        <w:t>iropas Savienības</w:t>
      </w:r>
      <w:r w:rsidRPr="0029576E">
        <w:t xml:space="preserve"> </w:t>
      </w:r>
      <w:r>
        <w:t xml:space="preserve">(turpmāk – ES) </w:t>
      </w:r>
      <w:r w:rsidRPr="0029576E">
        <w:t xml:space="preserve">valstu </w:t>
      </w:r>
      <w:r w:rsidR="0005696A">
        <w:t>vai to</w:t>
      </w:r>
      <w:r w:rsidRPr="0029576E">
        <w:t xml:space="preserve"> valdību vadītāju sanāksme (Eiropadome)</w:t>
      </w:r>
      <w:r>
        <w:t>.</w:t>
      </w:r>
      <w:r w:rsidRPr="0029576E">
        <w:t xml:space="preserve"> </w:t>
      </w:r>
      <w:r w:rsidR="00E461D5">
        <w:t>Sanāksmēs ir paredzēts pārrunāt</w:t>
      </w:r>
      <w:r w:rsidR="00654DBE">
        <w:t xml:space="preserve"> šādas</w:t>
      </w:r>
      <w:r w:rsidR="00E461D5">
        <w:t xml:space="preserve"> </w:t>
      </w:r>
      <w:r w:rsidRPr="003B0AF5" w:rsidR="00E629C1">
        <w:t>tēmas:</w:t>
      </w:r>
    </w:p>
    <w:p w:rsidRPr="003B0AF5" w:rsidR="00E629C1" w:rsidP="00E629C1" w:rsidRDefault="00E629C1" w14:paraId="26267203" w14:textId="43EB5D34">
      <w:pPr>
        <w:pStyle w:val="ListParagraph"/>
        <w:numPr>
          <w:ilvl w:val="0"/>
          <w:numId w:val="38"/>
        </w:numPr>
        <w:spacing w:before="120" w:after="0" w:line="240" w:lineRule="auto"/>
        <w:jc w:val="both"/>
        <w:rPr>
          <w:rFonts w:ascii="Times New Roman" w:hAnsi="Times New Roman" w:eastAsia="Times New Roman" w:cs="Times New Roman"/>
          <w:sz w:val="24"/>
          <w:szCs w:val="24"/>
        </w:rPr>
      </w:pPr>
      <w:bookmarkStart w:name="_Hlk114212754" w:id="2"/>
      <w:r w:rsidRPr="003B0AF5">
        <w:rPr>
          <w:rFonts w:ascii="Times New Roman" w:hAnsi="Times New Roman" w:eastAsia="Times New Roman" w:cs="Times New Roman"/>
          <w:sz w:val="24"/>
          <w:szCs w:val="24"/>
        </w:rPr>
        <w:t>Krievijas karš Ukrainā;</w:t>
      </w:r>
    </w:p>
    <w:p w:rsidRPr="003B0AF5" w:rsidR="00E629C1" w:rsidP="00E629C1" w:rsidRDefault="00E629C1" w14:paraId="2BF0AF36" w14:textId="77777777">
      <w:pPr>
        <w:pStyle w:val="ListParagraph"/>
        <w:numPr>
          <w:ilvl w:val="0"/>
          <w:numId w:val="38"/>
        </w:numPr>
        <w:spacing w:before="120" w:after="0" w:line="240" w:lineRule="auto"/>
        <w:jc w:val="both"/>
        <w:rPr>
          <w:rFonts w:ascii="Times New Roman" w:hAnsi="Times New Roman" w:eastAsia="Times New Roman" w:cs="Times New Roman"/>
          <w:sz w:val="24"/>
          <w:szCs w:val="24"/>
        </w:rPr>
      </w:pPr>
      <w:r w:rsidRPr="003B0AF5">
        <w:rPr>
          <w:rFonts w:ascii="Times New Roman" w:hAnsi="Times New Roman" w:eastAsia="Times New Roman" w:cs="Times New Roman"/>
          <w:sz w:val="24"/>
          <w:szCs w:val="24"/>
        </w:rPr>
        <w:t>enerģētika;</w:t>
      </w:r>
    </w:p>
    <w:p w:rsidR="00E461D5" w:rsidP="00B175D3" w:rsidRDefault="00E629C1" w14:paraId="74CD244A" w14:textId="433528B2">
      <w:pPr>
        <w:pStyle w:val="ListParagraph"/>
        <w:numPr>
          <w:ilvl w:val="0"/>
          <w:numId w:val="38"/>
        </w:numPr>
        <w:spacing w:before="120" w:after="0" w:line="240" w:lineRule="auto"/>
        <w:jc w:val="both"/>
        <w:rPr>
          <w:rFonts w:ascii="Times New Roman" w:hAnsi="Times New Roman" w:eastAsia="Times New Roman" w:cs="Times New Roman"/>
          <w:sz w:val="24"/>
          <w:szCs w:val="24"/>
        </w:rPr>
      </w:pPr>
      <w:r w:rsidRPr="003B0AF5">
        <w:rPr>
          <w:rFonts w:ascii="Times New Roman" w:hAnsi="Times New Roman" w:eastAsia="Times New Roman" w:cs="Times New Roman"/>
          <w:sz w:val="24"/>
          <w:szCs w:val="24"/>
        </w:rPr>
        <w:t>ekonomiskā situācija</w:t>
      </w:r>
      <w:r w:rsidR="00E461D5">
        <w:rPr>
          <w:rFonts w:ascii="Times New Roman" w:hAnsi="Times New Roman" w:eastAsia="Times New Roman" w:cs="Times New Roman"/>
          <w:sz w:val="24"/>
          <w:szCs w:val="24"/>
        </w:rPr>
        <w:t>;</w:t>
      </w:r>
    </w:p>
    <w:p w:rsidRPr="0072530E" w:rsidR="00E461D5" w:rsidP="0072530E" w:rsidRDefault="00E461D5" w14:paraId="69671219" w14:textId="5D548C2E">
      <w:pPr>
        <w:pStyle w:val="ListParagraph"/>
        <w:numPr>
          <w:ilvl w:val="0"/>
          <w:numId w:val="38"/>
        </w:numPr>
        <w:spacing w:before="120" w:after="0" w:line="240" w:lineRule="auto"/>
        <w:jc w:val="both"/>
      </w:pPr>
      <w:r>
        <w:rPr>
          <w:rFonts w:ascii="Times New Roman" w:hAnsi="Times New Roman" w:eastAsia="Times New Roman" w:cs="Times New Roman"/>
          <w:sz w:val="24"/>
          <w:szCs w:val="24"/>
        </w:rPr>
        <w:t>drošības politika</w:t>
      </w:r>
      <w:r w:rsidRPr="0072530E">
        <w:t>.</w:t>
      </w:r>
    </w:p>
    <w:bookmarkEnd w:id="2"/>
    <w:p w:rsidRPr="00A1339D" w:rsidR="00A1339D" w:rsidP="00A1339D" w:rsidRDefault="00A1339D" w14:paraId="09802A4E" w14:textId="77777777">
      <w:pPr>
        <w:spacing w:before="120" w:after="120"/>
        <w:jc w:val="both"/>
        <w:rPr>
          <w:rFonts w:eastAsia="Calibri"/>
          <w:highlight w:val="yellow"/>
        </w:rPr>
      </w:pPr>
    </w:p>
    <w:p w:rsidR="00A1339D" w:rsidP="007C42E6" w:rsidRDefault="00A1339D" w14:paraId="76EA8405" w14:textId="0502B572">
      <w:pPr>
        <w:spacing w:before="120" w:after="120"/>
        <w:jc w:val="both"/>
        <w:rPr>
          <w:rFonts w:eastAsia="Calibri"/>
          <w:b/>
          <w:bCs/>
        </w:rPr>
      </w:pPr>
      <w:r w:rsidRPr="00A1339D">
        <w:rPr>
          <w:rFonts w:eastAsia="Calibri"/>
          <w:b/>
          <w:bCs/>
        </w:rPr>
        <w:t>Krievijas karš Ukrainā</w:t>
      </w:r>
    </w:p>
    <w:p w:rsidR="00C42C0A" w:rsidP="00C42C0A" w:rsidRDefault="00C42C0A" w14:paraId="3089C2EE" w14:textId="77777777">
      <w:pPr>
        <w:spacing w:after="120"/>
        <w:jc w:val="both"/>
      </w:pPr>
      <w:r>
        <w:t xml:space="preserve">Sākot ar augustu, ir iezīmējušās pārmaiņas Krievijas uzsāktajā karā pret Ukrainu. Krievija ir zaudējusi iniciatīvu, kas ir pārgājusi Ukrainas pusē. Kopš augusta sākuma ir apsīkusi Krievijas tālākā virzība Ukrainas teritorijā. </w:t>
      </w:r>
    </w:p>
    <w:p w:rsidR="00C42C0A" w:rsidP="00C42C0A" w:rsidRDefault="00C42C0A" w14:paraId="30080139" w14:textId="6625C8BF">
      <w:pPr>
        <w:spacing w:after="120"/>
        <w:jc w:val="both"/>
      </w:pPr>
      <w:r>
        <w:t xml:space="preserve">Savukārt Ukraina intensīvi apšauda Krievijas noliktavas un svarīgākos Krievijas militāros objektus okupētajās Ukrainas teritorijās. Kopš 16. augusta notiek intensīvi uzbrukumi militāriem objektiem Krimā, paplašinot militārās darbības lauku. Šīs darbības ir veicinājušas Ukrainas pretuzbrukumu, kas ir bijis īpaši veiksmīgs </w:t>
      </w:r>
      <w:proofErr w:type="spellStart"/>
      <w:r>
        <w:t>Harkivas</w:t>
      </w:r>
      <w:proofErr w:type="spellEnd"/>
      <w:r>
        <w:t xml:space="preserve"> apgabalā. Turpinās arī Ukrainas 29. augustā uzsāktais pretuzbrukums Hersonas apgabalā. Tiek arī ziņots par pretuzbrukuma paplašināšanos arī uz Doņeckas un Luhanskas apgabaliem.</w:t>
      </w:r>
    </w:p>
    <w:p w:rsidR="00C42C0A" w:rsidP="00C42C0A" w:rsidRDefault="00C42C0A" w14:paraId="3E23BC9A" w14:textId="0F929921">
      <w:pPr>
        <w:spacing w:after="120"/>
        <w:jc w:val="both"/>
      </w:pPr>
      <w:r>
        <w:t xml:space="preserve">20. septembrī Krievijas iecelto okupēto reģionu pārstāvji paziņoja, ka laikā no 23.-27. septembrim 4 pagaidu okupētajos reģionos tiks rīkoti “referendumi” par šo reģionu pievienošanu Krievijai. “Referendumi” notika Luhanskas, Doņeckas, Hersonas un </w:t>
      </w:r>
      <w:proofErr w:type="spellStart"/>
      <w:r>
        <w:t>Zaporižjes</w:t>
      </w:r>
      <w:proofErr w:type="spellEnd"/>
      <w:r>
        <w:t xml:space="preserve"> apgabalu teritorijās, kuras ir okupējusi Krievija. </w:t>
      </w:r>
      <w:r w:rsidR="00910849">
        <w:t xml:space="preserve">Pēc tam tika paziņots, ka ir nobalsots </w:t>
      </w:r>
      <w:r>
        <w:t xml:space="preserve">par pievienošanos Krievijai. </w:t>
      </w:r>
    </w:p>
    <w:p w:rsidR="00C42C0A" w:rsidP="002B4437" w:rsidRDefault="00C42C0A" w14:paraId="3B189303" w14:textId="6E873B9B">
      <w:pPr>
        <w:spacing w:after="120"/>
        <w:jc w:val="both"/>
      </w:pPr>
      <w:r>
        <w:t xml:space="preserve">21. septembrī Krievijas prezidents </w:t>
      </w:r>
      <w:r w:rsidRPr="00C42C0A">
        <w:t xml:space="preserve">Vladimirs </w:t>
      </w:r>
      <w:r>
        <w:t xml:space="preserve">Putins izsludināja daļēju mobilizāciju. Saskaņā ar publiski pieejamo informāciju tiks mobilizēti Krievijas pilsoņi, kuri ir bruņoto spēku rezervē. Plānots iesaukt apmēram 300 000 rezervistu. </w:t>
      </w:r>
      <w:r w:rsidR="002B4437">
        <w:t>M</w:t>
      </w:r>
      <w:r>
        <w:t xml:space="preserve">obilizācija un Krievijas okupācijas varas nelikumīgi iecelto pārstāvju tā saucamie referendumi par okupēto Ukrainas reģionu pievienošanu Krievijai liecina par </w:t>
      </w:r>
      <w:r w:rsidR="00910849">
        <w:t xml:space="preserve">eskalāciju un </w:t>
      </w:r>
      <w:r>
        <w:t xml:space="preserve">Krievijas vēlmi turpināt militāro agresiju pret Ukrainu. Vienlaicīgi tā ir vājuma izpausme, jo apliecina, ka Krievija nevar uzvarēt karā ar esošajiem līdzekļiem. </w:t>
      </w:r>
    </w:p>
    <w:p w:rsidR="00C42C0A" w:rsidP="00C42C0A" w:rsidRDefault="00C42C0A" w14:paraId="38CCB607" w14:textId="0609475B">
      <w:pPr>
        <w:spacing w:after="120"/>
        <w:jc w:val="both"/>
      </w:pPr>
      <w:r>
        <w:t xml:space="preserve">Reaģējot uz Krievijas agresijas turpināšanos pret Ukrainu, ES </w:t>
      </w:r>
      <w:r w:rsidR="00910849">
        <w:t xml:space="preserve">uzsāka </w:t>
      </w:r>
      <w:r>
        <w:t>darbu pie 8.</w:t>
      </w:r>
      <w:r w:rsidR="002B4437">
        <w:t xml:space="preserve"> </w:t>
      </w:r>
      <w:r>
        <w:t xml:space="preserve">sankciju kārtas pret Krieviju sagatavošanas. </w:t>
      </w:r>
    </w:p>
    <w:p w:rsidR="00C42C0A" w:rsidP="00174234" w:rsidRDefault="00C42C0A" w14:paraId="5A2F8455" w14:textId="4736A9BE">
      <w:pPr>
        <w:spacing w:before="120" w:after="120"/>
        <w:jc w:val="both"/>
      </w:pPr>
      <w:r>
        <w:t>ES uzskata, ka nepieciešams pastiprināt kontaktus ar</w:t>
      </w:r>
      <w:r w:rsidR="00174234">
        <w:t xml:space="preserve"> </w:t>
      </w:r>
      <w:r>
        <w:t xml:space="preserve">trešajām valstīm, lai neitralizētu Krievijas izplatīto dezinformāciju par ES politikas vainu tajā, ka pasaulē trūkst pārtikas. Ir </w:t>
      </w:r>
      <w:r>
        <w:lastRenderedPageBreak/>
        <w:t xml:space="preserve">vienprātība, ka jāturpina visa veida, īpaši politiskais, militārais un finansiālais ES atbalsts Ukrainai. </w:t>
      </w:r>
    </w:p>
    <w:p w:rsidR="00C42C0A" w:rsidP="00174234" w:rsidRDefault="00C42C0A" w14:paraId="22ECFED1" w14:textId="7B94EAD3">
      <w:pPr>
        <w:spacing w:before="120" w:after="120"/>
        <w:jc w:val="both"/>
      </w:pPr>
      <w:r>
        <w:t>Turpinoties karam, Ukrainā kavējas smagāko reformu jomu izpilde, piemēram, drošības, tieslietu</w:t>
      </w:r>
      <w:r w:rsidR="008E7CDA">
        <w:t xml:space="preserve"> un</w:t>
      </w:r>
      <w:r>
        <w:t xml:space="preserve"> pret-korupcijas sektoros. Tomēr 5. septembra ES – Ukrainas 8. Asociācijas līguma ieviešanas padomes sanāksmē, tika atzinīgi vērtēts Ukrainas veiktais progress, gan Ukrainas </w:t>
      </w:r>
      <w:r w:rsidR="0018545E">
        <w:t xml:space="preserve">integrācijai </w:t>
      </w:r>
      <w:r>
        <w:t>Eiropas Vienotā tirgū, gan Ukrainas pievienošanai kopīgā ES elektrības tīklā</w:t>
      </w:r>
      <w:r w:rsidR="00BC1BE7">
        <w:t>.</w:t>
      </w:r>
      <w:r>
        <w:t xml:space="preserve"> </w:t>
      </w:r>
      <w:r w:rsidR="00BC1BE7">
        <w:t>T</w:t>
      </w:r>
      <w:r>
        <w:t xml:space="preserve">āpat atviegloti importa ierobežojumi produktiem no Ukrainas uz ES tirgu. Vienlaikus apsveicami, ka 5. septembrī Ukraina un ES parakstīja piecas sadarbības vienošanās – 1) par Ukrainas dalību ES programmā “Digitālā Eiropa”, 2) par sadarbību muitas un 3) nodokļu jomās. 4) Panākta vienošanās par 500 miljonu EUR piešķiršanu Ukrainas iekšienē pārvietoto cilvēku un mazo lauksaimnieku atbalstam, kā arī 5) dotāciju palielināšanu Ukrainai par 122 miljoniem EUR. </w:t>
      </w:r>
    </w:p>
    <w:p w:rsidR="00C42C0A" w:rsidP="00174234" w:rsidRDefault="00C42C0A" w14:paraId="78F84BD9" w14:textId="6712DF06">
      <w:pPr>
        <w:spacing w:before="120" w:after="120"/>
        <w:jc w:val="both"/>
      </w:pPr>
      <w:r>
        <w:t>Rekonstrukcijas vajadzībām ES valstu vadītāji 23.-24.</w:t>
      </w:r>
      <w:r w:rsidR="0018545E">
        <w:t xml:space="preserve"> marta</w:t>
      </w:r>
      <w:r>
        <w:t xml:space="preserve"> Eiropadomē nolēma veidot Solidaritātes fondu Ukrainai. </w:t>
      </w:r>
      <w:r w:rsidR="004B30F7">
        <w:t>Eiropas Komisija</w:t>
      </w:r>
      <w:r w:rsidR="00385C14">
        <w:t xml:space="preserve"> (turpmāk – EK)</w:t>
      </w:r>
      <w:r w:rsidR="004B30F7">
        <w:t xml:space="preserve"> </w:t>
      </w:r>
      <w:r>
        <w:t>18.</w:t>
      </w:r>
      <w:r w:rsidR="004B30F7">
        <w:t xml:space="preserve"> maijā</w:t>
      </w:r>
      <w:r>
        <w:t xml:space="preserve"> publicēja atbilstošu </w:t>
      </w:r>
      <w:r w:rsidR="004B30F7">
        <w:t>paziņojumu, kas</w:t>
      </w:r>
      <w:r>
        <w:t xml:space="preserve"> ietver arī jaunu ES finanšu atbalsta mehānismu Ukrainas atjaunošanai grantu un aizdevumu veidā. Ņemot vērā, ka ES esošie resursi ir gandrīz izsmelti, kā arī ES iekšējo viedokļu dažādību par nākamajiem soļiem līdzekļu mobilizācijai, diskusijas notiek lēni.  </w:t>
      </w:r>
    </w:p>
    <w:p w:rsidR="00C42C0A" w:rsidP="00174234" w:rsidRDefault="00C42C0A" w14:paraId="6882BF50" w14:textId="03FC5803">
      <w:pPr>
        <w:spacing w:before="120" w:after="120"/>
        <w:jc w:val="both"/>
      </w:pPr>
      <w:r>
        <w:t>2022. gada 4.-5.</w:t>
      </w:r>
      <w:r w:rsidR="004B30F7">
        <w:t xml:space="preserve"> </w:t>
      </w:r>
      <w:r>
        <w:t xml:space="preserve">jūlijā </w:t>
      </w:r>
      <w:proofErr w:type="spellStart"/>
      <w:r>
        <w:t>Lugano</w:t>
      </w:r>
      <w:proofErr w:type="spellEnd"/>
      <w:r>
        <w:t xml:space="preserve"> konferences Ukrainas rekonstrukcijai ietvaros </w:t>
      </w:r>
      <w:r>
        <w:rPr>
          <w:rFonts w:eastAsia="Calibri"/>
          <w:color w:val="000000" w:themeColor="text1"/>
        </w:rPr>
        <w:t xml:space="preserve">Ukrainas premjerministrs prezentēja Ukrainas nacionālo rekonstrukcijas plānu, par ko donorvalstis t.sk. Latvija, koordinējoties </w:t>
      </w:r>
      <w:proofErr w:type="spellStart"/>
      <w:r>
        <w:rPr>
          <w:rFonts w:eastAsia="Calibri"/>
          <w:color w:val="000000" w:themeColor="text1"/>
        </w:rPr>
        <w:t>Kijivā</w:t>
      </w:r>
      <w:proofErr w:type="spellEnd"/>
      <w:r>
        <w:rPr>
          <w:rFonts w:eastAsia="Calibri"/>
          <w:color w:val="000000" w:themeColor="text1"/>
        </w:rPr>
        <w:t xml:space="preserve">, ir sniegušas pirmo reakciju. </w:t>
      </w:r>
      <w:r>
        <w:t>Donoriem ir svarīgi, lai Ukrainas valdība līdz ar šo plānu ir gatava īstenot arī reformas, tiktu nodrošināta caurskatāmība un uzraudzība, kā arī cieša koordinācija starp visiem spēlētājiem. Svarīgi, ka, plānojot kritiskās infrastruktūras objektu atjaunošanu, Ukrainai jāizvērtē vai jāveic optimizācija un restrukturizācija, piemēram, skolu</w:t>
      </w:r>
      <w:r w:rsidR="004B30F7">
        <w:t xml:space="preserve"> un </w:t>
      </w:r>
      <w:r>
        <w:t>slimnīcu tīklos. Tāpat Ukrainas valdībai būtu jāizdala plānā skaidrākas prioritātes</w:t>
      </w:r>
      <w:r w:rsidR="004B30F7">
        <w:t>,</w:t>
      </w:r>
      <w:r>
        <w:t xml:space="preserve"> ar kuriem sektoriem Ukraina vēlas sākt atjaunošanu īstermiņā, vidējā un ilgtermiņā. Kā turpinājums </w:t>
      </w:r>
      <w:proofErr w:type="spellStart"/>
      <w:r>
        <w:t>Lugano</w:t>
      </w:r>
      <w:proofErr w:type="spellEnd"/>
      <w:r>
        <w:t xml:space="preserve"> konferencei 25. oktobrī Berlīnē plānota starptautiska ekspertu konference par Ukrainas rekonstrukciju.</w:t>
      </w:r>
    </w:p>
    <w:p w:rsidR="00C42C0A" w:rsidP="00174234" w:rsidRDefault="00C42C0A" w14:paraId="7AF24716" w14:textId="5B9CB6D2">
      <w:pPr>
        <w:spacing w:before="120" w:after="120"/>
        <w:jc w:val="both"/>
      </w:pPr>
      <w:r>
        <w:t>Iebrūkot Ukrainā</w:t>
      </w:r>
      <w:r w:rsidR="004B30F7">
        <w:t>,</w:t>
      </w:r>
      <w:r>
        <w:t xml:space="preserve"> Krievija ir klaji pārkāpusi visas starptautiskās normas un tiesības, īstenojusi kara noziegumus un brutālākos cilvēktiesību pārkāpumus. Pastāv vienota vairāku līdzīgi domājošo valstu un organizāciju izpratne par to, ka Krievija ir jāsauc pie atbildības par noziegumiem pret Ukrainu, kā arī pret tās civiliedzīvotājiem, īpaši pēc masu kapu konstatēšanas Bučā un </w:t>
      </w:r>
      <w:proofErr w:type="spellStart"/>
      <w:r>
        <w:t>Izjum</w:t>
      </w:r>
      <w:r w:rsidR="00285F50">
        <w:t>ā</w:t>
      </w:r>
      <w:proofErr w:type="spellEnd"/>
      <w:r>
        <w:t xml:space="preserve">. ANO ĢA laikā Latvijas amatpersonas aicināja ANO uzņemties </w:t>
      </w:r>
      <w:r w:rsidR="00285F50">
        <w:t xml:space="preserve">vadošu </w:t>
      </w:r>
      <w:r>
        <w:t>lomu šajā procesā. Vēl nepieciešams virknes globālo dienvidu un globālo spēlētāju atbalsts tribunāla izveidei.</w:t>
      </w:r>
    </w:p>
    <w:p w:rsidRPr="00C42C0A" w:rsidR="00C42C0A" w:rsidP="00174234" w:rsidRDefault="00C42C0A" w14:paraId="4C06B88A" w14:textId="1CDADA7C">
      <w:pPr>
        <w:spacing w:before="120" w:after="120"/>
        <w:jc w:val="both"/>
      </w:pPr>
      <w:r>
        <w:t xml:space="preserve">Šobrīd vēl nav izstrādāts vienots ES mehānisms Krievijas iesaldēto līdzekļu konfiskācijai un pēc tam to novirzīšanai Ukrainas rekonstrukcijai. Arī ASV un Kanādā tiek strādāts pie tiesiskiem mehānismiem kā Krievijas iesaldētos un konfiscētos līdzekļus izmantot Ukrainas rekonstrukcijai. </w:t>
      </w:r>
      <w:r w:rsidR="006F32A0">
        <w:t>Tāpat turpinās arī diskusijas par nepieciešamību Krieviju ne tikai saukt pie juridiskas atbildības par pastrādātajiem kara noziegumiem, bet arī saukt pie atbildības par kara postījumiem.</w:t>
      </w:r>
    </w:p>
    <w:p w:rsidR="00C42C0A" w:rsidP="00C42C0A" w:rsidRDefault="00C42C0A" w14:paraId="38E26A03" w14:textId="14F361D8">
      <w:pPr>
        <w:spacing w:before="120" w:after="120"/>
        <w:jc w:val="both"/>
        <w:rPr>
          <w:u w:val="single"/>
        </w:rPr>
      </w:pPr>
      <w:r>
        <w:rPr>
          <w:u w:val="single"/>
        </w:rPr>
        <w:lastRenderedPageBreak/>
        <w:t>Latvijas nostāja</w:t>
      </w:r>
      <w:r w:rsidR="00450CC6">
        <w:rPr>
          <w:rStyle w:val="FootnoteReference"/>
          <w:u w:val="single"/>
        </w:rPr>
        <w:footnoteReference w:id="2"/>
      </w:r>
    </w:p>
    <w:p w:rsidR="00C42C0A" w:rsidP="00C42C0A" w:rsidRDefault="00C42C0A" w14:paraId="4DC09EA2" w14:textId="7A832A45">
      <w:pPr>
        <w:pStyle w:val="ListParagraph"/>
        <w:numPr>
          <w:ilvl w:val="0"/>
          <w:numId w:val="47"/>
        </w:numPr>
        <w:spacing w:before="120" w:after="120" w:line="240" w:lineRule="auto"/>
        <w:ind w:left="714" w:hanging="357"/>
        <w:contextualSpacing w:val="false"/>
        <w:jc w:val="both"/>
        <w:rPr>
          <w:rFonts w:ascii="Times New Roman" w:hAnsi="Times New Roman" w:cs="Times New Roman"/>
          <w:sz w:val="24"/>
          <w:szCs w:val="24"/>
        </w:rPr>
      </w:pPr>
      <w:r>
        <w:rPr>
          <w:rFonts w:ascii="Times New Roman" w:hAnsi="Times New Roman" w:cs="Times New Roman"/>
          <w:sz w:val="24"/>
          <w:szCs w:val="24"/>
        </w:rPr>
        <w:t xml:space="preserve">Nepieciešams turpināt spiedienu pret Krieviju. </w:t>
      </w:r>
    </w:p>
    <w:p w:rsidR="00C42C0A" w:rsidP="00C42C0A" w:rsidRDefault="00C42C0A" w14:paraId="7192936D" w14:textId="7D76D57E">
      <w:pPr>
        <w:pStyle w:val="ListParagraph"/>
        <w:numPr>
          <w:ilvl w:val="0"/>
          <w:numId w:val="47"/>
        </w:numPr>
        <w:spacing w:before="120" w:after="120" w:line="240" w:lineRule="auto"/>
        <w:ind w:left="714" w:hanging="357"/>
        <w:contextualSpacing w:val="false"/>
        <w:jc w:val="both"/>
        <w:rPr>
          <w:rFonts w:ascii="Times New Roman" w:hAnsi="Times New Roman" w:cs="Times New Roman"/>
          <w:iCs/>
          <w:sz w:val="24"/>
          <w:szCs w:val="24"/>
        </w:rPr>
      </w:pPr>
      <w:r>
        <w:rPr>
          <w:rFonts w:ascii="Times New Roman" w:hAnsi="Times New Roman" w:cs="Times New Roman"/>
          <w:iCs/>
          <w:sz w:val="24"/>
          <w:szCs w:val="24"/>
        </w:rPr>
        <w:t xml:space="preserve">Sniedzam un turpināsim sniegt visu iespējamo politisko, militāro, humāno un finansiālo atbalstu Ukrainai. Atbalstām Ukrainu Eiropas integrācijas un reformu procesos, </w:t>
      </w:r>
      <w:r w:rsidR="00174234">
        <w:rPr>
          <w:rFonts w:ascii="Times New Roman" w:hAnsi="Times New Roman" w:cs="Times New Roman"/>
          <w:iCs/>
          <w:sz w:val="24"/>
          <w:szCs w:val="24"/>
        </w:rPr>
        <w:t>t.sk.</w:t>
      </w:r>
      <w:r>
        <w:rPr>
          <w:rFonts w:ascii="Times New Roman" w:hAnsi="Times New Roman" w:cs="Times New Roman"/>
          <w:iCs/>
          <w:sz w:val="24"/>
          <w:szCs w:val="24"/>
        </w:rPr>
        <w:t xml:space="preserve"> daloties savā pieredzē. </w:t>
      </w:r>
    </w:p>
    <w:p w:rsidR="00C42C0A" w:rsidP="00C42C0A" w:rsidRDefault="00C42C0A" w14:paraId="1F2EAFFD" w14:textId="77777777">
      <w:pPr>
        <w:pStyle w:val="ListParagraph"/>
        <w:numPr>
          <w:ilvl w:val="0"/>
          <w:numId w:val="47"/>
        </w:numPr>
        <w:spacing w:before="120" w:after="120" w:line="240" w:lineRule="auto"/>
        <w:ind w:left="714" w:hanging="357"/>
        <w:contextualSpacing w:val="false"/>
        <w:jc w:val="both"/>
        <w:rPr>
          <w:rFonts w:ascii="Times New Roman" w:hAnsi="Times New Roman" w:cs="Times New Roman"/>
          <w:iCs/>
          <w:sz w:val="24"/>
          <w:szCs w:val="24"/>
        </w:rPr>
      </w:pPr>
      <w:r>
        <w:rPr>
          <w:rFonts w:ascii="Times New Roman" w:hAnsi="Times New Roman" w:cs="Times New Roman"/>
          <w:iCs/>
          <w:sz w:val="24"/>
          <w:szCs w:val="24"/>
        </w:rPr>
        <w:t xml:space="preserve">Atbalstām Ukrainas rekonstrukciju, t.sk. ziemas periodā, mērķtiecīgi sadarbojoties </w:t>
      </w:r>
      <w:proofErr w:type="spellStart"/>
      <w:r>
        <w:rPr>
          <w:rFonts w:ascii="Times New Roman" w:hAnsi="Times New Roman" w:cs="Times New Roman"/>
          <w:iCs/>
          <w:sz w:val="24"/>
          <w:szCs w:val="24"/>
        </w:rPr>
        <w:t>Čerņihivas</w:t>
      </w:r>
      <w:proofErr w:type="spellEnd"/>
      <w:r>
        <w:rPr>
          <w:rFonts w:ascii="Times New Roman" w:hAnsi="Times New Roman" w:cs="Times New Roman"/>
          <w:iCs/>
          <w:sz w:val="24"/>
          <w:szCs w:val="24"/>
        </w:rPr>
        <w:t xml:space="preserve"> apgabalā.</w:t>
      </w:r>
    </w:p>
    <w:p w:rsidR="00C42C0A" w:rsidP="00C42C0A" w:rsidRDefault="00C42C0A" w14:paraId="5D224C42" w14:textId="536D6D14">
      <w:pPr>
        <w:pStyle w:val="ListParagraph"/>
        <w:numPr>
          <w:ilvl w:val="0"/>
          <w:numId w:val="47"/>
        </w:numPr>
        <w:spacing w:before="120" w:after="120" w:line="240" w:lineRule="auto"/>
        <w:ind w:left="714" w:hanging="357"/>
        <w:contextualSpacing w:val="false"/>
        <w:jc w:val="both"/>
        <w:rPr>
          <w:rFonts w:ascii="Times New Roman" w:hAnsi="Times New Roman" w:cs="Times New Roman"/>
          <w:iCs/>
          <w:sz w:val="24"/>
          <w:szCs w:val="24"/>
        </w:rPr>
      </w:pPr>
      <w:r>
        <w:rPr>
          <w:rFonts w:ascii="Times New Roman" w:hAnsi="Times New Roman" w:cs="Times New Roman"/>
          <w:sz w:val="24"/>
          <w:szCs w:val="24"/>
        </w:rPr>
        <w:t xml:space="preserve">Krievija jāsauc pie atbildības par pastrādātajiem kara noziegumiem. </w:t>
      </w:r>
    </w:p>
    <w:p w:rsidRPr="00A1339D" w:rsidR="00A1339D" w:rsidP="00A1339D" w:rsidRDefault="00A1339D" w14:paraId="57474608" w14:textId="77777777">
      <w:pPr>
        <w:spacing w:before="120" w:after="120"/>
        <w:jc w:val="both"/>
        <w:rPr>
          <w:rFonts w:eastAsia="Calibri"/>
          <w:highlight w:val="yellow"/>
        </w:rPr>
      </w:pPr>
    </w:p>
    <w:p w:rsidR="00A1339D" w:rsidP="007C42E6" w:rsidRDefault="00A1339D" w14:paraId="11EC3291" w14:textId="776AC1AD">
      <w:pPr>
        <w:spacing w:before="120" w:after="120"/>
        <w:jc w:val="both"/>
        <w:rPr>
          <w:rFonts w:eastAsia="Calibri"/>
          <w:b/>
          <w:bCs/>
        </w:rPr>
      </w:pPr>
      <w:r>
        <w:rPr>
          <w:rFonts w:eastAsia="Calibri"/>
          <w:b/>
          <w:bCs/>
        </w:rPr>
        <w:t>Enerģētika</w:t>
      </w:r>
    </w:p>
    <w:p w:rsidR="00531E24" w:rsidP="00531E24" w:rsidRDefault="00186A3D" w14:paraId="5EC7CCB0" w14:textId="74FCBA08">
      <w:pPr>
        <w:spacing w:after="120"/>
        <w:jc w:val="both"/>
        <w:rPr>
          <w:bCs/>
          <w:noProof/>
        </w:rPr>
      </w:pPr>
      <w:r>
        <w:rPr>
          <w:bCs/>
          <w:noProof/>
        </w:rPr>
        <w:t>Ņemot vērā</w:t>
      </w:r>
      <w:r w:rsidR="00531E24">
        <w:rPr>
          <w:bCs/>
          <w:noProof/>
        </w:rPr>
        <w:t xml:space="preserve"> strauj</w:t>
      </w:r>
      <w:r>
        <w:rPr>
          <w:bCs/>
          <w:noProof/>
        </w:rPr>
        <w:t>o</w:t>
      </w:r>
      <w:r w:rsidR="00531E24">
        <w:rPr>
          <w:bCs/>
          <w:noProof/>
        </w:rPr>
        <w:t xml:space="preserve"> un </w:t>
      </w:r>
      <w:r>
        <w:rPr>
          <w:bCs/>
          <w:noProof/>
        </w:rPr>
        <w:t xml:space="preserve">neprognozējamo </w:t>
      </w:r>
      <w:r w:rsidR="00531E24">
        <w:rPr>
          <w:bCs/>
          <w:noProof/>
        </w:rPr>
        <w:t>enerģijas cenu kāpum</w:t>
      </w:r>
      <w:r>
        <w:rPr>
          <w:bCs/>
          <w:noProof/>
        </w:rPr>
        <w:t>u</w:t>
      </w:r>
      <w:r w:rsidR="00531E24">
        <w:rPr>
          <w:bCs/>
          <w:noProof/>
        </w:rPr>
        <w:t xml:space="preserve"> visā ES kopš 2021.</w:t>
      </w:r>
      <w:r>
        <w:rPr>
          <w:bCs/>
          <w:noProof/>
        </w:rPr>
        <w:t xml:space="preserve"> </w:t>
      </w:r>
      <w:r w:rsidR="00531E24">
        <w:rPr>
          <w:bCs/>
          <w:noProof/>
        </w:rPr>
        <w:t xml:space="preserve">gada, turpinās </w:t>
      </w:r>
      <w:r>
        <w:rPr>
          <w:bCs/>
          <w:noProof/>
        </w:rPr>
        <w:t>centieni identificēt labākos risinājumus</w:t>
      </w:r>
      <w:r w:rsidR="00531E24">
        <w:rPr>
          <w:bCs/>
          <w:noProof/>
        </w:rPr>
        <w:t>, lai mazināt</w:t>
      </w:r>
      <w:r>
        <w:rPr>
          <w:bCs/>
          <w:noProof/>
        </w:rPr>
        <w:t>u</w:t>
      </w:r>
      <w:r w:rsidR="00531E24">
        <w:rPr>
          <w:bCs/>
          <w:noProof/>
        </w:rPr>
        <w:t xml:space="preserve"> šo cenu ietekmi. Krievijas militārais iebrukums Ukrainā </w:t>
      </w:r>
      <w:r w:rsidR="00637AED">
        <w:rPr>
          <w:bCs/>
          <w:noProof/>
        </w:rPr>
        <w:t>š. g.</w:t>
      </w:r>
      <w:r w:rsidR="00531E24">
        <w:rPr>
          <w:bCs/>
          <w:noProof/>
        </w:rPr>
        <w:t xml:space="preserve"> februārī ir vēl vairāk ietekmējis enerģijas tirgus, izraisot jaunu enerģijas cenu kāpumu un bažas par ES spēju pilnvērtīgi nodrošināt savu energoapgādi. Gāzes un elektroenerģijas cenas šogad ir sasniegušas rekordaugstu līmeni un paredzams, ka </w:t>
      </w:r>
      <w:r w:rsidR="00092DFC">
        <w:rPr>
          <w:bCs/>
          <w:noProof/>
        </w:rPr>
        <w:t xml:space="preserve">tās saglabāsies </w:t>
      </w:r>
      <w:r w:rsidR="00531E24">
        <w:rPr>
          <w:bCs/>
          <w:noProof/>
        </w:rPr>
        <w:t>augstas</w:t>
      </w:r>
      <w:r w:rsidR="00395992">
        <w:rPr>
          <w:bCs/>
          <w:noProof/>
        </w:rPr>
        <w:t>,</w:t>
      </w:r>
      <w:r w:rsidR="00531E24">
        <w:rPr>
          <w:bCs/>
          <w:noProof/>
        </w:rPr>
        <w:t xml:space="preserve"> pastāvot nenoteiktībai enerģijas tirgos, kā arī ņemot vērā šīs apkures sezonas tuvošanos.</w:t>
      </w:r>
    </w:p>
    <w:p w:rsidR="00531E24" w:rsidP="00531E24" w:rsidRDefault="00531E24" w14:paraId="32046D61" w14:textId="21A86340">
      <w:pPr>
        <w:spacing w:after="120"/>
        <w:jc w:val="both"/>
        <w:rPr>
          <w:bCs/>
          <w:noProof/>
        </w:rPr>
      </w:pPr>
      <w:r>
        <w:rPr>
          <w:bCs/>
          <w:noProof/>
        </w:rPr>
        <w:t>Līdz pagājušajam gadam ES valstis paļāvās uz gāzes piegādēm no Krievijas, kas sastādīja vairāk nekā 40% no kopējā piegādātā gāzes apjoma</w:t>
      </w:r>
      <w:r w:rsidR="00E01F31">
        <w:rPr>
          <w:bCs/>
          <w:noProof/>
        </w:rPr>
        <w:t>.</w:t>
      </w:r>
      <w:r>
        <w:rPr>
          <w:bCs/>
          <w:noProof/>
        </w:rPr>
        <w:t xml:space="preserve"> </w:t>
      </w:r>
      <w:r w:rsidR="00E01F31">
        <w:rPr>
          <w:bCs/>
          <w:noProof/>
        </w:rPr>
        <w:t xml:space="preserve">Tomēr </w:t>
      </w:r>
      <w:r>
        <w:rPr>
          <w:bCs/>
          <w:noProof/>
        </w:rPr>
        <w:t>kopš 2021. gada, un jo īpaši kopš kara sākuma, Krievija ir</w:t>
      </w:r>
      <w:r w:rsidR="00AF10D6">
        <w:rPr>
          <w:bCs/>
          <w:noProof/>
        </w:rPr>
        <w:t xml:space="preserve"> </w:t>
      </w:r>
      <w:r w:rsidR="00AF10D6">
        <w:t>izmantojusi energoresursu piegādi kā ieroci – tā ir</w:t>
      </w:r>
      <w:r>
        <w:rPr>
          <w:bCs/>
          <w:noProof/>
        </w:rPr>
        <w:t xml:space="preserve"> manipulējusi un pārtraukusi gāzes piegādes Eiropai. Tas ir novedis pie nopietniem sarežģījumiem piegādes drošības situācijā</w:t>
      </w:r>
      <w:r w:rsidR="00E01F31">
        <w:rPr>
          <w:bCs/>
          <w:noProof/>
        </w:rPr>
        <w:t xml:space="preserve"> gan šobrīd, gan nākotnē</w:t>
      </w:r>
      <w:r>
        <w:rPr>
          <w:bCs/>
          <w:noProof/>
        </w:rPr>
        <w:t>.</w:t>
      </w:r>
    </w:p>
    <w:p w:rsidR="00531E24" w:rsidP="00531E24" w:rsidRDefault="00C849B2" w14:paraId="6EE4FC3A" w14:textId="65A05B0E">
      <w:pPr>
        <w:spacing w:after="120"/>
        <w:jc w:val="both"/>
        <w:rPr>
          <w:bCs/>
          <w:noProof/>
        </w:rPr>
      </w:pPr>
      <w:r>
        <w:rPr>
          <w:bCs/>
          <w:noProof/>
        </w:rPr>
        <w:t>EK</w:t>
      </w:r>
      <w:r w:rsidR="00531E24">
        <w:rPr>
          <w:bCs/>
          <w:noProof/>
        </w:rPr>
        <w:t xml:space="preserve"> ieskatā enerģijas cenu mazināšana būtu jārisina, izmantojot divu soļu pieeju, īstermiņā ieviešot ārkārtas pasākumus, kas paredz iejaukšanos tirgus darbībā (</w:t>
      </w:r>
      <w:r w:rsidR="00531E24">
        <w:rPr>
          <w:bCs/>
          <w:i/>
          <w:noProof/>
        </w:rPr>
        <w:t>emergency market intervention</w:t>
      </w:r>
      <w:r w:rsidR="00531E24">
        <w:rPr>
          <w:bCs/>
          <w:noProof/>
        </w:rPr>
        <w:t>), un veicot plašu elektroenerģijas tirgus dizaina reformu 2023. gada sākumā, taču tikai pēc plašāka ietekmes izvērtējuma un konsultācijām ar nozari.</w:t>
      </w:r>
    </w:p>
    <w:p w:rsidR="00531E24" w:rsidP="00531E24" w:rsidRDefault="009557A3" w14:paraId="61AD1CAD" w14:textId="3E4C249A">
      <w:pPr>
        <w:spacing w:after="120"/>
        <w:jc w:val="both"/>
        <w:rPr>
          <w:bCs/>
          <w:noProof/>
        </w:rPr>
      </w:pPr>
      <w:r>
        <w:rPr>
          <w:bCs/>
          <w:noProof/>
        </w:rPr>
        <w:t>Š</w:t>
      </w:r>
      <w:r>
        <w:t xml:space="preserve">. g. </w:t>
      </w:r>
      <w:r>
        <w:rPr>
          <w:color w:val="000000" w:themeColor="text1"/>
        </w:rPr>
        <w:t>14. septembr</w:t>
      </w:r>
      <w:r w:rsidR="00910849">
        <w:rPr>
          <w:color w:val="000000" w:themeColor="text1"/>
        </w:rPr>
        <w:t xml:space="preserve">ī </w:t>
      </w:r>
      <w:r w:rsidR="00C849B2">
        <w:rPr>
          <w:color w:val="000000" w:themeColor="text1"/>
        </w:rPr>
        <w:t>EK</w:t>
      </w:r>
      <w:r>
        <w:rPr>
          <w:color w:val="000000" w:themeColor="text1"/>
        </w:rPr>
        <w:t xml:space="preserve"> </w:t>
      </w:r>
      <w:r w:rsidR="00531E24">
        <w:rPr>
          <w:bCs/>
          <w:noProof/>
        </w:rPr>
        <w:t xml:space="preserve">nāca klajā ar </w:t>
      </w:r>
      <w:r w:rsidR="00910849">
        <w:rPr>
          <w:bCs/>
          <w:noProof/>
        </w:rPr>
        <w:t xml:space="preserve">priekšlikumiem </w:t>
      </w:r>
      <w:r>
        <w:rPr>
          <w:bCs/>
          <w:noProof/>
        </w:rPr>
        <w:t xml:space="preserve">pasākumiem </w:t>
      </w:r>
      <w:r w:rsidR="00531E24">
        <w:rPr>
          <w:bCs/>
          <w:noProof/>
        </w:rPr>
        <w:t>energoresursu cen</w:t>
      </w:r>
      <w:r>
        <w:rPr>
          <w:bCs/>
          <w:noProof/>
        </w:rPr>
        <w:t>u mazināšanai</w:t>
      </w:r>
      <w:r w:rsidR="00531E24">
        <w:rPr>
          <w:bCs/>
          <w:noProof/>
        </w:rPr>
        <w:t>, vienlaikus saglabājot enerģētiskās apgādes drošību</w:t>
      </w:r>
      <w:r w:rsidR="00910849">
        <w:rPr>
          <w:bCs/>
          <w:noProof/>
        </w:rPr>
        <w:t xml:space="preserve">: </w:t>
      </w:r>
    </w:p>
    <w:p w:rsidR="00531E24" w:rsidP="005E45FD" w:rsidRDefault="00531E24" w14:paraId="4932105C" w14:textId="77777777">
      <w:pPr>
        <w:pStyle w:val="ListParagraph"/>
        <w:numPr>
          <w:ilvl w:val="0"/>
          <w:numId w:val="45"/>
        </w:numPr>
        <w:spacing w:after="120" w:line="240" w:lineRule="auto"/>
        <w:ind w:left="714" w:hanging="357"/>
        <w:contextualSpacing w:val="false"/>
        <w:jc w:val="both"/>
        <w:rPr>
          <w:rFonts w:ascii="Times New Roman" w:hAnsi="Times New Roman" w:cs="Times New Roman"/>
          <w:bCs/>
          <w:noProof/>
          <w:sz w:val="24"/>
          <w:szCs w:val="24"/>
        </w:rPr>
      </w:pPr>
      <w:r>
        <w:rPr>
          <w:rFonts w:ascii="Times New Roman" w:hAnsi="Times New Roman" w:cs="Times New Roman"/>
          <w:bCs/>
          <w:noProof/>
          <w:sz w:val="24"/>
          <w:szCs w:val="24"/>
        </w:rPr>
        <w:t>kolektīvi samazināt ES dalībvalstu elektroenerģijas patēriņu, jo īpaši pīķa stundās;</w:t>
      </w:r>
    </w:p>
    <w:p w:rsidR="00531E24" w:rsidP="005E45FD" w:rsidRDefault="00531E24" w14:paraId="20AA6866" w14:textId="22FCB9DB">
      <w:pPr>
        <w:pStyle w:val="ListParagraph"/>
        <w:numPr>
          <w:ilvl w:val="0"/>
          <w:numId w:val="45"/>
        </w:numPr>
        <w:spacing w:after="120" w:line="240" w:lineRule="auto"/>
        <w:ind w:left="714" w:hanging="357"/>
        <w:contextualSpacing w:val="false"/>
        <w:jc w:val="both"/>
        <w:rPr>
          <w:rFonts w:ascii="Times New Roman" w:hAnsi="Times New Roman" w:cs="Times New Roman"/>
          <w:bCs/>
          <w:noProof/>
          <w:sz w:val="24"/>
          <w:szCs w:val="24"/>
        </w:rPr>
      </w:pPr>
      <w:r>
        <w:rPr>
          <w:rFonts w:ascii="Times New Roman" w:hAnsi="Times New Roman" w:cs="Times New Roman"/>
          <w:bCs/>
          <w:noProof/>
          <w:sz w:val="24"/>
          <w:szCs w:val="24"/>
        </w:rPr>
        <w:t>ierobežot ieņēmumus elektroenerģijas ražotājiem ar zemām ražošanas izmaksām, kas gūst rekordpeļņu, un pārvirzīt to mērķēta atbalsta sniegšanai;</w:t>
      </w:r>
    </w:p>
    <w:p w:rsidRPr="000F5B2B" w:rsidR="00531E24" w:rsidP="005E45FD" w:rsidRDefault="00531E24" w14:paraId="4473D5C4" w14:textId="77777777">
      <w:pPr>
        <w:pStyle w:val="ListParagraph"/>
        <w:numPr>
          <w:ilvl w:val="0"/>
          <w:numId w:val="45"/>
        </w:numPr>
        <w:spacing w:after="120" w:line="240" w:lineRule="auto"/>
        <w:ind w:left="714" w:hanging="357"/>
        <w:contextualSpacing w:val="false"/>
        <w:jc w:val="both"/>
        <w:rPr>
          <w:rFonts w:ascii="Times New Roman" w:hAnsi="Times New Roman" w:cs="Times New Roman"/>
          <w:bCs/>
          <w:noProof/>
          <w:sz w:val="24"/>
          <w:szCs w:val="24"/>
        </w:rPr>
      </w:pPr>
      <w:r w:rsidRPr="000F5B2B">
        <w:rPr>
          <w:rFonts w:ascii="Times New Roman" w:hAnsi="Times New Roman" w:cs="Times New Roman"/>
          <w:bCs/>
          <w:noProof/>
          <w:sz w:val="24"/>
          <w:szCs w:val="24"/>
        </w:rPr>
        <w:t>kopā ar ES dalībvalstīm izstrādāt pasākumu kopumu, kas noteiktu diferencētu pieeju atkarībā no resursu piegādātājvalsts uzticamības līmeņa;</w:t>
      </w:r>
    </w:p>
    <w:p w:rsidR="00531E24" w:rsidP="005E45FD" w:rsidRDefault="00C849B2" w14:paraId="2ADC8956" w14:textId="370AE9E9">
      <w:pPr>
        <w:pStyle w:val="ListParagraph"/>
        <w:numPr>
          <w:ilvl w:val="0"/>
          <w:numId w:val="45"/>
        </w:numPr>
        <w:spacing w:after="120" w:line="240" w:lineRule="auto"/>
        <w:ind w:left="714" w:hanging="357"/>
        <w:contextualSpacing w:val="false"/>
        <w:jc w:val="both"/>
        <w:rPr>
          <w:rFonts w:ascii="Times New Roman" w:hAnsi="Times New Roman" w:cs="Times New Roman"/>
          <w:bCs/>
          <w:noProof/>
          <w:sz w:val="24"/>
          <w:szCs w:val="24"/>
        </w:rPr>
      </w:pPr>
      <w:r>
        <w:rPr>
          <w:rFonts w:ascii="Times New Roman" w:hAnsi="Times New Roman" w:cs="Times New Roman"/>
          <w:bCs/>
          <w:noProof/>
          <w:sz w:val="24"/>
          <w:szCs w:val="24"/>
        </w:rPr>
        <w:lastRenderedPageBreak/>
        <w:t>EK</w:t>
      </w:r>
      <w:r w:rsidR="00092DFC">
        <w:rPr>
          <w:rFonts w:ascii="Times New Roman" w:hAnsi="Times New Roman" w:cs="Times New Roman"/>
          <w:bCs/>
          <w:noProof/>
          <w:sz w:val="24"/>
          <w:szCs w:val="24"/>
        </w:rPr>
        <w:t xml:space="preserve"> </w:t>
      </w:r>
      <w:r w:rsidR="00531E24">
        <w:rPr>
          <w:rFonts w:ascii="Times New Roman" w:hAnsi="Times New Roman" w:cs="Times New Roman"/>
          <w:bCs/>
          <w:noProof/>
          <w:sz w:val="24"/>
          <w:szCs w:val="24"/>
        </w:rPr>
        <w:t xml:space="preserve">strādās pie </w:t>
      </w:r>
      <w:r w:rsidRPr="000F5B2B" w:rsidR="00531E24">
        <w:rPr>
          <w:rFonts w:ascii="Times New Roman" w:hAnsi="Times New Roman" w:cs="Times New Roman"/>
          <w:bCs/>
          <w:noProof/>
          <w:sz w:val="24"/>
          <w:szCs w:val="24"/>
        </w:rPr>
        <w:t>reprezentablāka</w:t>
      </w:r>
      <w:r w:rsidR="00531E24">
        <w:rPr>
          <w:rFonts w:ascii="Times New Roman" w:hAnsi="Times New Roman" w:cs="Times New Roman"/>
          <w:bCs/>
          <w:noProof/>
          <w:sz w:val="24"/>
          <w:szCs w:val="24"/>
        </w:rPr>
        <w:t xml:space="preserve"> dabasgāzes tirgus etalona (</w:t>
      </w:r>
      <w:r w:rsidRPr="005E45FD" w:rsidR="00531E24">
        <w:rPr>
          <w:rFonts w:ascii="Times New Roman" w:hAnsi="Times New Roman" w:cs="Times New Roman"/>
          <w:bCs/>
          <w:i/>
          <w:noProof/>
          <w:sz w:val="24"/>
          <w:szCs w:val="24"/>
        </w:rPr>
        <w:t>benchmark</w:t>
      </w:r>
      <w:r w:rsidR="00531E24">
        <w:rPr>
          <w:rFonts w:ascii="Times New Roman" w:hAnsi="Times New Roman" w:cs="Times New Roman"/>
          <w:bCs/>
          <w:noProof/>
          <w:sz w:val="24"/>
          <w:szCs w:val="24"/>
        </w:rPr>
        <w:t xml:space="preserve">) izveides, jo esošais biržas TTF </w:t>
      </w:r>
      <w:r w:rsidR="004F601B">
        <w:rPr>
          <w:rFonts w:ascii="Times New Roman" w:hAnsi="Times New Roman" w:cs="Times New Roman"/>
          <w:bCs/>
          <w:noProof/>
          <w:sz w:val="24"/>
          <w:szCs w:val="24"/>
        </w:rPr>
        <w:t>(</w:t>
      </w:r>
      <w:r w:rsidRPr="004F601B" w:rsidR="004F601B">
        <w:rPr>
          <w:rFonts w:ascii="Times New Roman" w:hAnsi="Times New Roman" w:cs="Times New Roman"/>
          <w:bCs/>
          <w:i/>
          <w:noProof/>
          <w:sz w:val="24"/>
          <w:szCs w:val="24"/>
        </w:rPr>
        <w:t>Title Transfer Facility</w:t>
      </w:r>
      <w:r w:rsidR="004F601B">
        <w:rPr>
          <w:rFonts w:ascii="Times New Roman" w:hAnsi="Times New Roman" w:cs="Times New Roman"/>
          <w:bCs/>
          <w:noProof/>
          <w:sz w:val="24"/>
          <w:szCs w:val="24"/>
        </w:rPr>
        <w:t xml:space="preserve">) </w:t>
      </w:r>
      <w:r w:rsidR="00531E24">
        <w:rPr>
          <w:rFonts w:ascii="Times New Roman" w:hAnsi="Times New Roman" w:cs="Times New Roman"/>
          <w:bCs/>
          <w:noProof/>
          <w:sz w:val="24"/>
          <w:szCs w:val="24"/>
        </w:rPr>
        <w:t>gāzes cenas indekss nav pienācīgi spējis adaptēties notikušajām izmaiņām tirgos;</w:t>
      </w:r>
    </w:p>
    <w:p w:rsidRPr="00F23417" w:rsidR="00637AED" w:rsidP="00F23417" w:rsidRDefault="00531E24" w14:paraId="2CB6845D" w14:textId="5472C6B2">
      <w:pPr>
        <w:pStyle w:val="ListParagraph"/>
        <w:numPr>
          <w:ilvl w:val="0"/>
          <w:numId w:val="45"/>
        </w:numPr>
        <w:spacing w:after="120" w:line="240" w:lineRule="auto"/>
        <w:ind w:left="714" w:hanging="357"/>
        <w:contextualSpacing w:val="false"/>
        <w:jc w:val="both"/>
        <w:rPr>
          <w:rFonts w:ascii="Times New Roman" w:hAnsi="Times New Roman" w:cs="Times New Roman"/>
          <w:bCs/>
          <w:noProof/>
          <w:sz w:val="24"/>
          <w:szCs w:val="24"/>
        </w:rPr>
      </w:pPr>
      <w:r>
        <w:rPr>
          <w:rFonts w:ascii="Times New Roman" w:hAnsi="Times New Roman" w:cs="Times New Roman"/>
          <w:bCs/>
          <w:noProof/>
          <w:sz w:val="24"/>
          <w:szCs w:val="24"/>
        </w:rPr>
        <w:t>meklēt risinājumus, kas ļautu jau oktobrī risināt samazinātas likviditātes problēmu energouzņēmumiem, piedāvājot izmaiņas līdzšinējā valsts atbalsta regulējumā</w:t>
      </w:r>
      <w:r w:rsidR="00F23417">
        <w:rPr>
          <w:rFonts w:ascii="Times New Roman" w:hAnsi="Times New Roman" w:cs="Times New Roman"/>
          <w:bCs/>
          <w:noProof/>
          <w:sz w:val="24"/>
          <w:szCs w:val="24"/>
        </w:rPr>
        <w:t>.</w:t>
      </w:r>
    </w:p>
    <w:p w:rsidRPr="0072530E" w:rsidR="0072530E" w:rsidP="0072530E" w:rsidRDefault="00531E24" w14:paraId="5B7960D4" w14:textId="309E0FEB">
      <w:pPr>
        <w:spacing w:after="120"/>
        <w:jc w:val="both"/>
        <w:rPr>
          <w:bCs/>
        </w:rPr>
      </w:pPr>
      <w:r w:rsidRPr="00CC4458">
        <w:rPr>
          <w:bCs/>
        </w:rPr>
        <w:t>Š.</w:t>
      </w:r>
      <w:r w:rsidRPr="005B54E0">
        <w:rPr>
          <w:bCs/>
        </w:rPr>
        <w:t xml:space="preserve">g. 14. septembrī tika publicēts arī priekšlikums </w:t>
      </w:r>
      <w:r w:rsidRPr="000F5B2B">
        <w:rPr>
          <w:bCs/>
        </w:rPr>
        <w:t xml:space="preserve">Regulai par ārkārtas intervenci augsto enerģijas cenu jautājuma risināšanai, kurā iekļauti daudzi no </w:t>
      </w:r>
      <w:r w:rsidR="00910849">
        <w:rPr>
          <w:bCs/>
        </w:rPr>
        <w:t xml:space="preserve">iepriekš </w:t>
      </w:r>
      <w:r w:rsidRPr="000F5B2B">
        <w:rPr>
          <w:bCs/>
        </w:rPr>
        <w:t>minētajiem risinājumiem</w:t>
      </w:r>
      <w:r w:rsidR="00910849">
        <w:rPr>
          <w:bCs/>
        </w:rPr>
        <w:t>:</w:t>
      </w:r>
    </w:p>
    <w:p w:rsidRPr="0072530E" w:rsidR="0072530E" w:rsidP="0072530E" w:rsidRDefault="0072530E" w14:paraId="12552AA5" w14:textId="77777777">
      <w:pPr>
        <w:pStyle w:val="ListParagraph"/>
        <w:numPr>
          <w:ilvl w:val="0"/>
          <w:numId w:val="48"/>
        </w:numPr>
        <w:spacing w:after="120"/>
        <w:rPr>
          <w:rFonts w:ascii="Times New Roman" w:hAnsi="Times New Roman" w:cs="Times New Roman"/>
          <w:bCs/>
          <w:sz w:val="24"/>
          <w:szCs w:val="24"/>
        </w:rPr>
      </w:pPr>
      <w:r w:rsidRPr="0072530E">
        <w:rPr>
          <w:rFonts w:ascii="Times New Roman" w:hAnsi="Times New Roman" w:cs="Times New Roman"/>
          <w:bCs/>
          <w:sz w:val="24"/>
          <w:szCs w:val="24"/>
        </w:rPr>
        <w:t>samazināt elektroenerģijas patēriņu, tajā skaitā arī pīķa stundās;</w:t>
      </w:r>
    </w:p>
    <w:p w:rsidRPr="0072530E" w:rsidR="0072530E" w:rsidP="0072530E" w:rsidRDefault="0072530E" w14:paraId="597FFEE2" w14:textId="77777777">
      <w:pPr>
        <w:pStyle w:val="ListParagraph"/>
        <w:numPr>
          <w:ilvl w:val="0"/>
          <w:numId w:val="48"/>
        </w:numPr>
        <w:spacing w:after="120"/>
        <w:rPr>
          <w:rFonts w:ascii="Times New Roman" w:hAnsi="Times New Roman" w:cs="Times New Roman"/>
          <w:bCs/>
          <w:sz w:val="24"/>
          <w:szCs w:val="24"/>
        </w:rPr>
      </w:pPr>
      <w:r w:rsidRPr="0072530E">
        <w:rPr>
          <w:rFonts w:ascii="Times New Roman" w:hAnsi="Times New Roman" w:cs="Times New Roman"/>
          <w:bCs/>
          <w:sz w:val="24"/>
          <w:szCs w:val="24"/>
        </w:rPr>
        <w:t>ieviest ieņēmumu griestus zemo izmaksu elektroenerģijas ražošanai;</w:t>
      </w:r>
    </w:p>
    <w:p w:rsidRPr="0072530E" w:rsidR="0072530E" w:rsidP="0072530E" w:rsidRDefault="0072530E" w14:paraId="4CF3C780" w14:textId="77777777">
      <w:pPr>
        <w:pStyle w:val="ListParagraph"/>
        <w:numPr>
          <w:ilvl w:val="0"/>
          <w:numId w:val="48"/>
        </w:numPr>
        <w:spacing w:after="120"/>
        <w:rPr>
          <w:rFonts w:ascii="Times New Roman" w:hAnsi="Times New Roman" w:cs="Times New Roman"/>
          <w:bCs/>
          <w:sz w:val="24"/>
          <w:szCs w:val="24"/>
        </w:rPr>
      </w:pPr>
      <w:r w:rsidRPr="0072530E">
        <w:rPr>
          <w:rFonts w:ascii="Times New Roman" w:hAnsi="Times New Roman" w:cs="Times New Roman"/>
          <w:bCs/>
          <w:sz w:val="24"/>
          <w:szCs w:val="24"/>
        </w:rPr>
        <w:t>ieviest fosilā kurināmā uzņēmumu solidaritātes ieguldījumu;</w:t>
      </w:r>
    </w:p>
    <w:p w:rsidRPr="0072530E" w:rsidR="0072530E" w:rsidP="0072530E" w:rsidRDefault="001F719A" w14:paraId="2B14E3F1" w14:textId="2B85E591">
      <w:pPr>
        <w:pStyle w:val="ListParagraph"/>
        <w:numPr>
          <w:ilvl w:val="0"/>
          <w:numId w:val="48"/>
        </w:numPr>
        <w:spacing w:after="120"/>
        <w:rPr>
          <w:rFonts w:ascii="Times New Roman" w:hAnsi="Times New Roman" w:cs="Times New Roman"/>
          <w:bCs/>
          <w:sz w:val="24"/>
          <w:szCs w:val="24"/>
        </w:rPr>
      </w:pPr>
      <w:r>
        <w:rPr>
          <w:rFonts w:ascii="Times New Roman" w:hAnsi="Times New Roman" w:cs="Times New Roman"/>
          <w:bCs/>
          <w:sz w:val="24"/>
          <w:szCs w:val="24"/>
        </w:rPr>
        <w:t xml:space="preserve">noteikt </w:t>
      </w:r>
      <w:r w:rsidRPr="0072530E" w:rsidR="0072530E">
        <w:rPr>
          <w:rFonts w:ascii="Times New Roman" w:hAnsi="Times New Roman" w:cs="Times New Roman"/>
          <w:bCs/>
          <w:sz w:val="24"/>
          <w:szCs w:val="24"/>
        </w:rPr>
        <w:t>brīvprātīg</w:t>
      </w:r>
      <w:r>
        <w:rPr>
          <w:rFonts w:ascii="Times New Roman" w:hAnsi="Times New Roman" w:cs="Times New Roman"/>
          <w:bCs/>
          <w:sz w:val="24"/>
          <w:szCs w:val="24"/>
        </w:rPr>
        <w:t>os</w:t>
      </w:r>
      <w:r w:rsidRPr="0072530E" w:rsidR="0072530E">
        <w:rPr>
          <w:rFonts w:ascii="Times New Roman" w:hAnsi="Times New Roman" w:cs="Times New Roman"/>
          <w:bCs/>
          <w:sz w:val="24"/>
          <w:szCs w:val="24"/>
        </w:rPr>
        <w:t xml:space="preserve"> pasākum</w:t>
      </w:r>
      <w:r>
        <w:rPr>
          <w:rFonts w:ascii="Times New Roman" w:hAnsi="Times New Roman" w:cs="Times New Roman"/>
          <w:bCs/>
          <w:sz w:val="24"/>
          <w:szCs w:val="24"/>
        </w:rPr>
        <w:t>us</w:t>
      </w:r>
      <w:r w:rsidRPr="0072530E" w:rsidR="0072530E">
        <w:rPr>
          <w:rFonts w:ascii="Times New Roman" w:hAnsi="Times New Roman" w:cs="Times New Roman"/>
          <w:bCs/>
          <w:sz w:val="24"/>
          <w:szCs w:val="24"/>
        </w:rPr>
        <w:t xml:space="preserve"> mazumtirdzniecības līmenī.</w:t>
      </w:r>
    </w:p>
    <w:p w:rsidR="001B1B70" w:rsidP="00531E24" w:rsidRDefault="00531E24" w14:paraId="59F10B23" w14:textId="1B424910">
      <w:pPr>
        <w:spacing w:after="120"/>
        <w:jc w:val="both"/>
        <w:rPr>
          <w:rFonts w:eastAsia="Calibri"/>
          <w:bCs/>
        </w:rPr>
      </w:pPr>
      <w:r w:rsidRPr="000F5B2B">
        <w:rPr>
          <w:bCs/>
        </w:rPr>
        <w:t xml:space="preserve">Priekšlikumā ir noteikti divi elektroenerģijas </w:t>
      </w:r>
      <w:r w:rsidR="0072530E">
        <w:rPr>
          <w:bCs/>
        </w:rPr>
        <w:t>patēriņa</w:t>
      </w:r>
      <w:r w:rsidRPr="000F5B2B" w:rsidR="0072530E">
        <w:rPr>
          <w:bCs/>
        </w:rPr>
        <w:t xml:space="preserve"> </w:t>
      </w:r>
      <w:r w:rsidRPr="000F5B2B">
        <w:rPr>
          <w:bCs/>
        </w:rPr>
        <w:t>samazināšanas mērķi.</w:t>
      </w:r>
      <w:r w:rsidR="00637AED">
        <w:rPr>
          <w:rFonts w:eastAsia="Calibri"/>
          <w:bCs/>
        </w:rPr>
        <w:t xml:space="preserve"> </w:t>
      </w:r>
      <w:r w:rsidR="00B561F3">
        <w:rPr>
          <w:rFonts w:eastAsia="Calibri"/>
          <w:bCs/>
        </w:rPr>
        <w:t xml:space="preserve">Pirmkārt, </w:t>
      </w:r>
      <w:r w:rsidR="00C849B2">
        <w:rPr>
          <w:rFonts w:eastAsia="Calibri"/>
          <w:szCs w:val="20"/>
        </w:rPr>
        <w:t>EK</w:t>
      </w:r>
      <w:r w:rsidR="00637AED">
        <w:rPr>
          <w:rFonts w:eastAsia="Calibri"/>
          <w:bCs/>
        </w:rPr>
        <w:t xml:space="preserve"> </w:t>
      </w:r>
      <w:r>
        <w:rPr>
          <w:rFonts w:eastAsia="Calibri"/>
          <w:bCs/>
        </w:rPr>
        <w:t>ierosina obligātu mērķi samazināt bruto elektroenerģijas patēriņu par vismaz 5% noteiktās maksimum</w:t>
      </w:r>
      <w:r w:rsidR="00910849">
        <w:rPr>
          <w:rFonts w:eastAsia="Calibri"/>
          <w:bCs/>
        </w:rPr>
        <w:t xml:space="preserve">a </w:t>
      </w:r>
      <w:r>
        <w:rPr>
          <w:rFonts w:eastAsia="Calibri"/>
          <w:bCs/>
        </w:rPr>
        <w:t>cenas</w:t>
      </w:r>
      <w:r w:rsidR="00B561F3">
        <w:rPr>
          <w:rFonts w:eastAsia="Calibri"/>
          <w:bCs/>
        </w:rPr>
        <w:t xml:space="preserve"> (pīķa)</w:t>
      </w:r>
      <w:r>
        <w:rPr>
          <w:rFonts w:eastAsia="Calibri"/>
          <w:bCs/>
        </w:rPr>
        <w:t xml:space="preserve"> stundās, aptverot vismaz 10% no tām katra mēneša stundām, kurās paredzamas visaugstākās cenas. </w:t>
      </w:r>
      <w:r w:rsidR="00B561F3">
        <w:rPr>
          <w:rFonts w:eastAsia="Calibri"/>
          <w:bCs/>
        </w:rPr>
        <w:t>Otrkārt, n</w:t>
      </w:r>
      <w:r>
        <w:rPr>
          <w:rFonts w:eastAsia="Calibri"/>
          <w:bCs/>
        </w:rPr>
        <w:t xml:space="preserve">oteikts arī nesaistošs mērķis dalībvalstīm īstenot pasākumus, ar kuriem mēneša kopējais elektroenerģijas bruto patēriņš tiktu samazināts par 10% salīdzinājumā ar vidējo elektroenerģijas bruto patēriņu attiecīgajos atsauces perioda mēnešos </w:t>
      </w:r>
      <w:r w:rsidR="006A21F9">
        <w:rPr>
          <w:rFonts w:eastAsia="Calibri"/>
          <w:bCs/>
        </w:rPr>
        <w:t>pēdējos piecos gados.</w:t>
      </w:r>
      <w:r w:rsidR="00B561F3">
        <w:rPr>
          <w:rFonts w:eastAsia="Calibri"/>
          <w:bCs/>
        </w:rPr>
        <w:t xml:space="preserve"> </w:t>
      </w:r>
    </w:p>
    <w:p w:rsidR="00531E24" w:rsidP="00531E24" w:rsidRDefault="00531E24" w14:paraId="692CE377" w14:textId="118BFB5E">
      <w:pPr>
        <w:spacing w:after="120"/>
        <w:jc w:val="both"/>
        <w:rPr>
          <w:rFonts w:eastAsia="Calibri"/>
          <w:bCs/>
        </w:rPr>
      </w:pPr>
      <w:r>
        <w:rPr>
          <w:rFonts w:eastAsia="Calibri"/>
          <w:bCs/>
        </w:rPr>
        <w:t>Priekšlikumā izklāstīta</w:t>
      </w:r>
      <w:r w:rsidR="00B561F3">
        <w:rPr>
          <w:rFonts w:eastAsia="Calibri"/>
          <w:bCs/>
        </w:rPr>
        <w:t xml:space="preserve"> arī</w:t>
      </w:r>
      <w:r>
        <w:rPr>
          <w:rFonts w:eastAsia="Calibri"/>
          <w:bCs/>
        </w:rPr>
        <w:t xml:space="preserve"> pieeja virsieņēmumu atgūšanai no ražotājiem, kuriem ir zemākas robežizmaksas, piemēram, ražojot elektroenerģiju no atjaunīgajiem energoresursiem, kodolenerģijas un lignīta (tā sauktās “</w:t>
      </w:r>
      <w:proofErr w:type="spellStart"/>
      <w:r>
        <w:rPr>
          <w:rFonts w:eastAsia="Calibri"/>
          <w:bCs/>
        </w:rPr>
        <w:t>inframarginālās</w:t>
      </w:r>
      <w:proofErr w:type="spellEnd"/>
      <w:r>
        <w:rPr>
          <w:rFonts w:eastAsia="Calibri"/>
          <w:bCs/>
        </w:rPr>
        <w:t xml:space="preserve"> tehnoloģijas”). </w:t>
      </w:r>
      <w:r w:rsidR="00C849B2">
        <w:rPr>
          <w:rFonts w:eastAsia="Calibri"/>
          <w:bCs/>
        </w:rPr>
        <w:t>EK</w:t>
      </w:r>
      <w:r w:rsidR="00B561F3">
        <w:rPr>
          <w:rFonts w:eastAsia="Calibri"/>
          <w:bCs/>
        </w:rPr>
        <w:t xml:space="preserve"> </w:t>
      </w:r>
      <w:r>
        <w:rPr>
          <w:rFonts w:eastAsia="Calibri"/>
          <w:bCs/>
        </w:rPr>
        <w:t>ierosinā</w:t>
      </w:r>
      <w:r w:rsidR="00B561F3">
        <w:rPr>
          <w:rFonts w:eastAsia="Calibri"/>
          <w:bCs/>
        </w:rPr>
        <w:t>jusi</w:t>
      </w:r>
      <w:r>
        <w:rPr>
          <w:rFonts w:eastAsia="Calibri"/>
          <w:bCs/>
        </w:rPr>
        <w:t xml:space="preserve"> pagaidu solidaritātes iemaksu, </w:t>
      </w:r>
      <w:r w:rsidR="00B561F3">
        <w:rPr>
          <w:rFonts w:eastAsia="Calibri"/>
          <w:bCs/>
        </w:rPr>
        <w:t xml:space="preserve">kuru piemēro </w:t>
      </w:r>
      <w:r>
        <w:rPr>
          <w:rFonts w:eastAsia="Calibri"/>
          <w:bCs/>
        </w:rPr>
        <w:t>naftas, gāzes, ogļu un rafinēšanas nozar</w:t>
      </w:r>
      <w:r w:rsidR="00B561F3">
        <w:rPr>
          <w:rFonts w:eastAsia="Calibri"/>
          <w:bCs/>
        </w:rPr>
        <w:t>es uzņēmumu peļņai</w:t>
      </w:r>
      <w:r>
        <w:rPr>
          <w:rFonts w:eastAsia="Calibri"/>
          <w:bCs/>
        </w:rPr>
        <w:t xml:space="preserve">, </w:t>
      </w:r>
      <w:r w:rsidR="00B561F3">
        <w:rPr>
          <w:rFonts w:eastAsia="Calibri"/>
          <w:bCs/>
        </w:rPr>
        <w:t>ja tā</w:t>
      </w:r>
      <w:r>
        <w:rPr>
          <w:rFonts w:eastAsia="Calibri"/>
          <w:bCs/>
        </w:rPr>
        <w:t xml:space="preserve"> ir ievērojami palielinājies salīdzinājumā ar iepriekšējiem gadiem.</w:t>
      </w:r>
      <w:r w:rsidR="00B561F3">
        <w:rPr>
          <w:rFonts w:eastAsia="Calibri"/>
          <w:bCs/>
        </w:rPr>
        <w:t xml:space="preserve"> Iemaksas varēs izmantot mājsaimniecību un uzņēmumu atbalstam.</w:t>
      </w:r>
    </w:p>
    <w:p w:rsidRPr="005E45FD" w:rsidR="00531E24" w:rsidP="00531E24" w:rsidRDefault="00531E24" w14:paraId="7A1F3CEB" w14:textId="34A28F9C">
      <w:pPr>
        <w:spacing w:after="120"/>
        <w:jc w:val="both"/>
        <w:rPr>
          <w:bCs/>
          <w:noProof/>
          <w:u w:val="single"/>
        </w:rPr>
      </w:pPr>
      <w:r w:rsidRPr="005E45FD">
        <w:rPr>
          <w:bCs/>
          <w:noProof/>
          <w:u w:val="single"/>
        </w:rPr>
        <w:t xml:space="preserve">Latvijas </w:t>
      </w:r>
      <w:r w:rsidR="00C849B2">
        <w:rPr>
          <w:bCs/>
          <w:noProof/>
          <w:u w:val="single"/>
        </w:rPr>
        <w:t xml:space="preserve">līdz šim </w:t>
      </w:r>
      <w:r w:rsidRPr="005E45FD">
        <w:rPr>
          <w:bCs/>
          <w:noProof/>
          <w:u w:val="single"/>
        </w:rPr>
        <w:t>veiktie pasākumi</w:t>
      </w:r>
    </w:p>
    <w:p w:rsidR="0001793B" w:rsidP="00531E24" w:rsidRDefault="00531E24" w14:paraId="57B4E73E" w14:textId="77777777">
      <w:pPr>
        <w:spacing w:after="120"/>
        <w:jc w:val="both"/>
        <w:rPr>
          <w:bCs/>
          <w:noProof/>
        </w:rPr>
      </w:pPr>
      <w:r>
        <w:rPr>
          <w:bCs/>
          <w:noProof/>
        </w:rPr>
        <w:t xml:space="preserve">Līdzīgi kā citas ES dalībvalstīs, arī Latvija </w:t>
      </w:r>
      <w:r w:rsidR="00E67AF9">
        <w:rPr>
          <w:bCs/>
          <w:noProof/>
        </w:rPr>
        <w:t>laika period</w:t>
      </w:r>
      <w:r w:rsidR="003328FF">
        <w:rPr>
          <w:bCs/>
          <w:noProof/>
        </w:rPr>
        <w:t>am</w:t>
      </w:r>
      <w:r w:rsidR="00E67AF9">
        <w:rPr>
          <w:bCs/>
          <w:noProof/>
        </w:rPr>
        <w:t xml:space="preserve"> no 2022. gada 1. oktobra līdz 2023. gada 30. aprīlim </w:t>
      </w:r>
      <w:r>
        <w:rPr>
          <w:bCs/>
          <w:noProof/>
        </w:rPr>
        <w:t>apstiprinājusi valsts atbalsta instrumentus energoresursu cenu pieauguma kompensēšanai mājsaimniecībām, kas apkurē izmanto elektroenerģiju, dabasgāzi, koksnes briketes, koksnes granulas un malku, kā arī centralizētās siltumapgādes pakalpojumu. </w:t>
      </w:r>
      <w:r w:rsidR="00464323">
        <w:rPr>
          <w:bCs/>
          <w:noProof/>
        </w:rPr>
        <w:t>Tādā pašā periodā ir paredzēts arī v</w:t>
      </w:r>
      <w:r>
        <w:rPr>
          <w:bCs/>
          <w:noProof/>
        </w:rPr>
        <w:t>alsts atbalsts juridiskām personām, kompensējot elektroenerģijas sistēmas pakalpojuma maksu.</w:t>
      </w:r>
      <w:r w:rsidR="00464323">
        <w:rPr>
          <w:bCs/>
          <w:noProof/>
        </w:rPr>
        <w:t xml:space="preserve"> </w:t>
      </w:r>
    </w:p>
    <w:p w:rsidR="00531E24" w:rsidP="00531E24" w:rsidRDefault="00531E24" w14:paraId="1B710AC5" w14:textId="58F9A781">
      <w:pPr>
        <w:spacing w:after="120"/>
        <w:jc w:val="both"/>
        <w:rPr>
          <w:bCs/>
          <w:noProof/>
        </w:rPr>
      </w:pPr>
      <w:r>
        <w:rPr>
          <w:bCs/>
          <w:noProof/>
        </w:rPr>
        <w:t>Vienlaikus pieņemts lēmums, ka energoietilpīgiem apstrādes rūpniecības komersantiem tiks kompensēts cenu pieaugums granta veidā par periodu no 2022. gada 1.</w:t>
      </w:r>
      <w:r w:rsidR="00C849B2">
        <w:rPr>
          <w:bCs/>
          <w:noProof/>
        </w:rPr>
        <w:t> </w:t>
      </w:r>
      <w:r>
        <w:rPr>
          <w:bCs/>
          <w:noProof/>
        </w:rPr>
        <w:t xml:space="preserve">februāra līdz 2022. gada 31. decembrim. Atbalsts komersantiem būs pieejams pēc atbalsta saņemšanas nosacījumu saskaņošanas ar </w:t>
      </w:r>
      <w:r w:rsidR="00385C14">
        <w:rPr>
          <w:bCs/>
          <w:noProof/>
        </w:rPr>
        <w:t>EK</w:t>
      </w:r>
      <w:r>
        <w:rPr>
          <w:bCs/>
          <w:noProof/>
        </w:rPr>
        <w:t>.</w:t>
      </w:r>
    </w:p>
    <w:p w:rsidR="00531E24" w:rsidP="00531E24" w:rsidRDefault="00531E24" w14:paraId="5AB6E3BC" w14:textId="7C9BDEA5">
      <w:pPr>
        <w:spacing w:after="120"/>
        <w:jc w:val="both"/>
      </w:pPr>
      <w:r>
        <w:rPr>
          <w:bCs/>
          <w:noProof/>
        </w:rPr>
        <w:t xml:space="preserve">Gatavojoties nākamai apkures sezonai, ES dalībvalstis turpina piepildīt savas dabasgāzes – to piepildījuma līmenis septembra sākumā bija 80,8%, </w:t>
      </w:r>
      <w:r>
        <w:t xml:space="preserve">savukārt Inčukalna dabasgāzes krātuves piepildījums atbilda </w:t>
      </w:r>
      <w:r w:rsidR="0072530E">
        <w:t>53</w:t>
      </w:r>
      <w:r>
        <w:t xml:space="preserve">% no krātuves kopējā piepildījuma. </w:t>
      </w:r>
    </w:p>
    <w:p w:rsidR="00531E24" w:rsidP="005E45FD" w:rsidRDefault="00531E24" w14:paraId="354B77AB" w14:textId="1213D8B9">
      <w:pPr>
        <w:spacing w:before="120" w:after="120"/>
        <w:jc w:val="both"/>
        <w:rPr>
          <w:bCs/>
          <w:noProof/>
        </w:rPr>
      </w:pPr>
      <w:r>
        <w:lastRenderedPageBreak/>
        <w:t xml:space="preserve">Lai pārtrauktu atkarību no Krievijas gāzes, Latvija ir pieņēmusi lēmumu par </w:t>
      </w:r>
      <w:r w:rsidR="006A21F9">
        <w:t xml:space="preserve">Krievijas dabasgāzes </w:t>
      </w:r>
      <w:r>
        <w:t xml:space="preserve">importa aizliegumu no 2023. gada 1. janvāra. Kā alternatīvus piegādes ceļus uzskatām Klaipēdas sašķidrinātās dabasgāzes (turpmāk – SDG) termināli un </w:t>
      </w:r>
      <w:proofErr w:type="spellStart"/>
      <w:r>
        <w:t>Paldisku</w:t>
      </w:r>
      <w:proofErr w:type="spellEnd"/>
      <w:r>
        <w:t xml:space="preserve"> SDG termināli, kura darbības uzsākšana plānota šī gada decembrī. Kā ilgtermiņa risinājumu Latvija atbalsta sava SDG termināļa būvniecību, lai palielinātu reģiona spēju saņemt SDG piegādes. Latvijas valdība ir lēmusi piešķirt nacionālo interešu objekta statusu Skultes LNG termināļa projektam, ko plānots īstenot </w:t>
      </w:r>
      <w:r w:rsidR="006A21F9">
        <w:t xml:space="preserve">tuvāko </w:t>
      </w:r>
      <w:r>
        <w:t xml:space="preserve">2 gadu laikā. </w:t>
      </w:r>
    </w:p>
    <w:p w:rsidRPr="005E45FD" w:rsidR="00531E24" w:rsidP="005E45FD" w:rsidRDefault="00531E24" w14:paraId="2B3AA2D4" w14:textId="77777777">
      <w:pPr>
        <w:pStyle w:val="ListParagraph"/>
        <w:spacing w:before="120" w:after="120" w:line="240" w:lineRule="auto"/>
        <w:ind w:left="0"/>
        <w:contextualSpacing w:val="false"/>
        <w:jc w:val="both"/>
        <w:rPr>
          <w:rFonts w:ascii="Times New Roman" w:hAnsi="Times New Roman" w:cs="Times New Roman"/>
          <w:bCs/>
          <w:noProof/>
          <w:sz w:val="24"/>
          <w:szCs w:val="24"/>
          <w:u w:val="single"/>
        </w:rPr>
      </w:pPr>
      <w:r w:rsidRPr="005E45FD">
        <w:rPr>
          <w:rFonts w:ascii="Times New Roman" w:hAnsi="Times New Roman" w:cs="Times New Roman"/>
          <w:bCs/>
          <w:noProof/>
          <w:sz w:val="24"/>
          <w:szCs w:val="24"/>
          <w:u w:val="single"/>
        </w:rPr>
        <w:t>Turpmākie soļi ES līmenī</w:t>
      </w:r>
    </w:p>
    <w:p w:rsidR="006A21F9" w:rsidP="000F5B2B" w:rsidRDefault="00531E24" w14:paraId="17920F25" w14:textId="0A54801A">
      <w:pPr>
        <w:pStyle w:val="ListParagraph"/>
        <w:spacing w:before="120" w:after="120" w:line="240" w:lineRule="auto"/>
        <w:ind w:left="0"/>
        <w:contextualSpacing w:val="false"/>
        <w:jc w:val="both"/>
        <w:rPr>
          <w:rFonts w:ascii="Times New Roman" w:hAnsi="Times New Roman" w:cs="Times New Roman"/>
          <w:bCs/>
          <w:noProof/>
          <w:sz w:val="24"/>
          <w:szCs w:val="24"/>
          <w:highlight w:val="yellow"/>
        </w:rPr>
      </w:pPr>
      <w:r>
        <w:rPr>
          <w:rFonts w:ascii="Times New Roman" w:hAnsi="Times New Roman" w:cs="Times New Roman"/>
          <w:bCs/>
          <w:noProof/>
          <w:sz w:val="24"/>
          <w:szCs w:val="24"/>
        </w:rPr>
        <w:t>Š.</w:t>
      </w:r>
      <w:r w:rsidR="003757BB">
        <w:rPr>
          <w:rFonts w:ascii="Times New Roman" w:hAnsi="Times New Roman" w:cs="Times New Roman"/>
          <w:bCs/>
          <w:noProof/>
          <w:sz w:val="24"/>
          <w:szCs w:val="24"/>
        </w:rPr>
        <w:t xml:space="preserve"> </w:t>
      </w:r>
      <w:r>
        <w:rPr>
          <w:rFonts w:ascii="Times New Roman" w:hAnsi="Times New Roman" w:cs="Times New Roman"/>
          <w:bCs/>
          <w:noProof/>
          <w:sz w:val="24"/>
          <w:szCs w:val="24"/>
        </w:rPr>
        <w:t>g.</w:t>
      </w:r>
      <w:r w:rsidR="0001793B">
        <w:rPr>
          <w:rFonts w:ascii="Times New Roman" w:hAnsi="Times New Roman" w:cs="Times New Roman"/>
          <w:bCs/>
          <w:noProof/>
          <w:sz w:val="24"/>
          <w:szCs w:val="24"/>
        </w:rPr>
        <w:t> </w:t>
      </w:r>
      <w:r>
        <w:rPr>
          <w:rFonts w:ascii="Times New Roman" w:hAnsi="Times New Roman" w:cs="Times New Roman"/>
          <w:bCs/>
          <w:noProof/>
          <w:sz w:val="24"/>
          <w:szCs w:val="24"/>
        </w:rPr>
        <w:t>30.</w:t>
      </w:r>
      <w:r w:rsidR="0001793B">
        <w:rPr>
          <w:rFonts w:ascii="Times New Roman" w:hAnsi="Times New Roman" w:cs="Times New Roman"/>
          <w:bCs/>
          <w:noProof/>
          <w:sz w:val="24"/>
          <w:szCs w:val="24"/>
        </w:rPr>
        <w:t> </w:t>
      </w:r>
      <w:r>
        <w:rPr>
          <w:rFonts w:ascii="Times New Roman" w:hAnsi="Times New Roman" w:cs="Times New Roman"/>
          <w:bCs/>
          <w:noProof/>
          <w:sz w:val="24"/>
          <w:szCs w:val="24"/>
        </w:rPr>
        <w:t>septembr</w:t>
      </w:r>
      <w:r w:rsidR="00464323">
        <w:rPr>
          <w:rFonts w:ascii="Times New Roman" w:hAnsi="Times New Roman" w:cs="Times New Roman"/>
          <w:bCs/>
          <w:noProof/>
          <w:sz w:val="24"/>
          <w:szCs w:val="24"/>
        </w:rPr>
        <w:t>a</w:t>
      </w:r>
      <w:r>
        <w:rPr>
          <w:rFonts w:ascii="Times New Roman" w:hAnsi="Times New Roman" w:cs="Times New Roman"/>
          <w:bCs/>
          <w:noProof/>
          <w:sz w:val="24"/>
          <w:szCs w:val="24"/>
        </w:rPr>
        <w:t xml:space="preserve"> ārkārtas enerģētikas ministru padomē panākt</w:t>
      </w:r>
      <w:r w:rsidR="006A21F9">
        <w:rPr>
          <w:rFonts w:ascii="Times New Roman" w:hAnsi="Times New Roman" w:cs="Times New Roman"/>
          <w:bCs/>
          <w:noProof/>
          <w:sz w:val="24"/>
          <w:szCs w:val="24"/>
        </w:rPr>
        <w:t>a</w:t>
      </w:r>
      <w:r>
        <w:rPr>
          <w:rFonts w:ascii="Times New Roman" w:hAnsi="Times New Roman" w:cs="Times New Roman"/>
          <w:bCs/>
          <w:noProof/>
          <w:sz w:val="24"/>
          <w:szCs w:val="24"/>
        </w:rPr>
        <w:t xml:space="preserve"> politisk</w:t>
      </w:r>
      <w:r w:rsidR="006A21F9">
        <w:rPr>
          <w:rFonts w:ascii="Times New Roman" w:hAnsi="Times New Roman" w:cs="Times New Roman"/>
          <w:bCs/>
          <w:noProof/>
          <w:sz w:val="24"/>
          <w:szCs w:val="24"/>
        </w:rPr>
        <w:t>a</w:t>
      </w:r>
      <w:r>
        <w:rPr>
          <w:rFonts w:ascii="Times New Roman" w:hAnsi="Times New Roman" w:cs="Times New Roman"/>
          <w:bCs/>
          <w:noProof/>
          <w:sz w:val="24"/>
          <w:szCs w:val="24"/>
        </w:rPr>
        <w:t xml:space="preserve"> vienošan</w:t>
      </w:r>
      <w:r w:rsidR="006A21F9">
        <w:rPr>
          <w:rFonts w:ascii="Times New Roman" w:hAnsi="Times New Roman" w:cs="Times New Roman"/>
          <w:bCs/>
          <w:noProof/>
          <w:sz w:val="24"/>
          <w:szCs w:val="24"/>
        </w:rPr>
        <w:t>ā</w:t>
      </w:r>
      <w:r>
        <w:rPr>
          <w:rFonts w:ascii="Times New Roman" w:hAnsi="Times New Roman" w:cs="Times New Roman"/>
          <w:bCs/>
          <w:noProof/>
          <w:sz w:val="24"/>
          <w:szCs w:val="24"/>
        </w:rPr>
        <w:t>s par regulas priekšlikumu un tajā izklāstītajiem intervences pasākumiem.</w:t>
      </w:r>
      <w:r w:rsidR="006A21F9">
        <w:rPr>
          <w:rFonts w:ascii="Times New Roman" w:hAnsi="Times New Roman" w:cs="Times New Roman"/>
          <w:bCs/>
          <w:noProof/>
          <w:sz w:val="24"/>
          <w:szCs w:val="24"/>
        </w:rPr>
        <w:t xml:space="preserve"> </w:t>
      </w:r>
      <w:bookmarkStart w:name="_Hlk115346714" w:id="3"/>
      <w:r w:rsidRPr="001A16D0" w:rsidR="0001793B">
        <w:rPr>
          <w:rFonts w:ascii="Times New Roman" w:hAnsi="Times New Roman" w:cs="Times New Roman"/>
          <w:bCs/>
          <w:noProof/>
          <w:sz w:val="24"/>
          <w:szCs w:val="24"/>
        </w:rPr>
        <w:t xml:space="preserve">Papildus tam, </w:t>
      </w:r>
      <w:r w:rsidRPr="001A16D0" w:rsidR="00905630">
        <w:rPr>
          <w:rFonts w:ascii="Times New Roman" w:hAnsi="Times New Roman" w:cs="Times New Roman"/>
          <w:bCs/>
          <w:noProof/>
          <w:sz w:val="24"/>
          <w:szCs w:val="24"/>
        </w:rPr>
        <w:t>EK</w:t>
      </w:r>
      <w:r w:rsidRPr="00484EA8" w:rsidR="0001793B">
        <w:rPr>
          <w:rFonts w:ascii="Times New Roman" w:hAnsi="Times New Roman" w:cs="Times New Roman"/>
          <w:bCs/>
          <w:noProof/>
          <w:sz w:val="24"/>
          <w:szCs w:val="24"/>
        </w:rPr>
        <w:t xml:space="preserve"> 28. septembrī publicēja nepapīru par turpmākiem pasākumiem gāzes cenu </w:t>
      </w:r>
      <w:r w:rsidRPr="001A16D0" w:rsidR="0001793B">
        <w:rPr>
          <w:rFonts w:ascii="Times New Roman" w:hAnsi="Times New Roman" w:cs="Times New Roman"/>
          <w:bCs/>
          <w:noProof/>
          <w:sz w:val="24"/>
          <w:szCs w:val="24"/>
        </w:rPr>
        <w:t>mazināšanai, t.i. pasākumu kopumu, kas būtu skatāmi kā viens otru papildinoši</w:t>
      </w:r>
      <w:r w:rsidRPr="001A16D0" w:rsidR="008A008A">
        <w:rPr>
          <w:rFonts w:ascii="Times New Roman" w:hAnsi="Times New Roman" w:cs="Times New Roman"/>
          <w:bCs/>
          <w:noProof/>
          <w:sz w:val="24"/>
          <w:szCs w:val="24"/>
        </w:rPr>
        <w:t xml:space="preserve"> atbalsta elementi</w:t>
      </w:r>
      <w:r w:rsidRPr="001A16D0" w:rsidR="0001793B">
        <w:rPr>
          <w:rFonts w:ascii="Times New Roman" w:hAnsi="Times New Roman" w:cs="Times New Roman"/>
          <w:bCs/>
          <w:noProof/>
          <w:sz w:val="24"/>
          <w:szCs w:val="24"/>
        </w:rPr>
        <w:t xml:space="preserve">. </w:t>
      </w:r>
      <w:r w:rsidRPr="00F541EE" w:rsidR="0001793B">
        <w:rPr>
          <w:rFonts w:ascii="Times New Roman" w:hAnsi="Times New Roman" w:cs="Times New Roman"/>
          <w:bCs/>
          <w:noProof/>
          <w:sz w:val="24"/>
          <w:szCs w:val="24"/>
        </w:rPr>
        <w:t xml:space="preserve">Attiecībā uz dabasgāzes cenu </w:t>
      </w:r>
      <w:r w:rsidRPr="00F541EE" w:rsidR="00D03B7E">
        <w:rPr>
          <w:rFonts w:ascii="Times New Roman" w:hAnsi="Times New Roman" w:cs="Times New Roman"/>
          <w:bCs/>
          <w:noProof/>
          <w:sz w:val="24"/>
          <w:szCs w:val="24"/>
        </w:rPr>
        <w:t>mazināšanu</w:t>
      </w:r>
      <w:r w:rsidRPr="00F541EE" w:rsidR="0001793B">
        <w:rPr>
          <w:rFonts w:ascii="Times New Roman" w:hAnsi="Times New Roman" w:cs="Times New Roman"/>
          <w:bCs/>
          <w:noProof/>
          <w:sz w:val="24"/>
          <w:szCs w:val="24"/>
        </w:rPr>
        <w:t xml:space="preserve"> plānot</w:t>
      </w:r>
      <w:r w:rsidRPr="00F541EE" w:rsidR="00D03B7E">
        <w:rPr>
          <w:rFonts w:ascii="Times New Roman" w:hAnsi="Times New Roman" w:cs="Times New Roman"/>
          <w:bCs/>
          <w:noProof/>
          <w:sz w:val="24"/>
          <w:szCs w:val="24"/>
        </w:rPr>
        <w:t>a pielāgot</w:t>
      </w:r>
      <w:r w:rsidRPr="00F541EE" w:rsidR="008A008A">
        <w:rPr>
          <w:rFonts w:ascii="Times New Roman" w:hAnsi="Times New Roman" w:cs="Times New Roman"/>
          <w:bCs/>
          <w:noProof/>
          <w:sz w:val="24"/>
          <w:szCs w:val="24"/>
        </w:rPr>
        <w:t>a</w:t>
      </w:r>
      <w:r w:rsidRPr="00F541EE" w:rsidR="00D03B7E">
        <w:rPr>
          <w:rFonts w:ascii="Times New Roman" w:hAnsi="Times New Roman" w:cs="Times New Roman"/>
          <w:bCs/>
          <w:noProof/>
          <w:sz w:val="24"/>
          <w:szCs w:val="24"/>
        </w:rPr>
        <w:t xml:space="preserve"> pieeja, kas fokusējas uz sadarbību ar uzticamiem piegādātājiem (</w:t>
      </w:r>
      <w:r w:rsidRPr="00F541EE" w:rsidR="00D03B7E">
        <w:rPr>
          <w:rFonts w:ascii="Times New Roman" w:hAnsi="Times New Roman" w:cs="Times New Roman"/>
          <w:bCs/>
          <w:i/>
          <w:noProof/>
          <w:sz w:val="24"/>
          <w:szCs w:val="24"/>
        </w:rPr>
        <w:t>reliable partners</w:t>
      </w:r>
      <w:r w:rsidRPr="00F541EE" w:rsidR="00D03B7E">
        <w:rPr>
          <w:rFonts w:ascii="Times New Roman" w:hAnsi="Times New Roman" w:cs="Times New Roman"/>
          <w:bCs/>
          <w:noProof/>
          <w:sz w:val="24"/>
          <w:szCs w:val="24"/>
        </w:rPr>
        <w:t>). Tāpat arī vērtējamas iespējas piemērot cenu griestus tieši Krievijas dabasgāzei, kā arī jāstrādā pie sašķidrinātā dabasgāzes tirgus attīstīšanas, t.sk. TTF biržas bechmark mode</w:t>
      </w:r>
      <w:r w:rsidRPr="00F541EE" w:rsidR="008A008A">
        <w:rPr>
          <w:rFonts w:ascii="Times New Roman" w:hAnsi="Times New Roman" w:cs="Times New Roman"/>
          <w:bCs/>
          <w:noProof/>
          <w:sz w:val="24"/>
          <w:szCs w:val="24"/>
        </w:rPr>
        <w:t xml:space="preserve">ļa </w:t>
      </w:r>
      <w:r w:rsidRPr="00F541EE" w:rsidR="00D03B7E">
        <w:rPr>
          <w:rFonts w:ascii="Times New Roman" w:hAnsi="Times New Roman" w:cs="Times New Roman"/>
          <w:bCs/>
          <w:noProof/>
          <w:sz w:val="24"/>
          <w:szCs w:val="24"/>
        </w:rPr>
        <w:t>un iespēj</w:t>
      </w:r>
      <w:r w:rsidRPr="00F541EE" w:rsidR="008A008A">
        <w:rPr>
          <w:rFonts w:ascii="Times New Roman" w:hAnsi="Times New Roman" w:cs="Times New Roman"/>
          <w:bCs/>
          <w:noProof/>
          <w:sz w:val="24"/>
          <w:szCs w:val="24"/>
        </w:rPr>
        <w:t>ām</w:t>
      </w:r>
      <w:r w:rsidRPr="00F541EE" w:rsidR="00D03B7E">
        <w:rPr>
          <w:rFonts w:ascii="Times New Roman" w:hAnsi="Times New Roman" w:cs="Times New Roman"/>
          <w:bCs/>
          <w:noProof/>
          <w:sz w:val="24"/>
          <w:szCs w:val="24"/>
        </w:rPr>
        <w:t xml:space="preserve"> to uzlabot. </w:t>
      </w:r>
    </w:p>
    <w:p w:rsidR="00531E24" w:rsidP="000F5B2B" w:rsidRDefault="00D03B7E" w14:paraId="3180267C" w14:textId="329177DB">
      <w:pPr>
        <w:pStyle w:val="ListParagraph"/>
        <w:spacing w:before="120" w:after="120" w:line="240" w:lineRule="auto"/>
        <w:ind w:left="0"/>
        <w:contextualSpacing w:val="false"/>
        <w:jc w:val="both"/>
        <w:rPr>
          <w:rFonts w:ascii="Times New Roman" w:hAnsi="Times New Roman" w:cs="Times New Roman"/>
          <w:bCs/>
          <w:noProof/>
          <w:sz w:val="24"/>
          <w:szCs w:val="24"/>
        </w:rPr>
      </w:pPr>
      <w:r w:rsidRPr="00F541EE">
        <w:rPr>
          <w:rFonts w:ascii="Times New Roman" w:hAnsi="Times New Roman" w:cs="Times New Roman"/>
          <w:bCs/>
          <w:noProof/>
          <w:sz w:val="24"/>
          <w:szCs w:val="24"/>
        </w:rPr>
        <w:t xml:space="preserve">Vienlaikus svarīga ir </w:t>
      </w:r>
      <w:r w:rsidRPr="00F541EE" w:rsidR="008A008A">
        <w:rPr>
          <w:rFonts w:ascii="Times New Roman" w:hAnsi="Times New Roman" w:cs="Times New Roman"/>
          <w:bCs/>
          <w:noProof/>
          <w:sz w:val="24"/>
          <w:szCs w:val="24"/>
        </w:rPr>
        <w:t xml:space="preserve">sistemātiska </w:t>
      </w:r>
      <w:r w:rsidRPr="00F541EE">
        <w:rPr>
          <w:rFonts w:ascii="Times New Roman" w:hAnsi="Times New Roman" w:cs="Times New Roman"/>
          <w:bCs/>
          <w:noProof/>
          <w:sz w:val="24"/>
          <w:szCs w:val="24"/>
        </w:rPr>
        <w:t>patēriņa mazināšana, kā arī plānota esošā dabasgāzes apgādes drošuma (</w:t>
      </w:r>
      <w:r w:rsidRPr="00F541EE">
        <w:rPr>
          <w:rFonts w:ascii="Times New Roman" w:hAnsi="Times New Roman" w:cs="Times New Roman"/>
          <w:bCs/>
          <w:i/>
          <w:noProof/>
          <w:sz w:val="24"/>
          <w:szCs w:val="24"/>
        </w:rPr>
        <w:t>security of supply</w:t>
      </w:r>
      <w:r w:rsidRPr="00F541EE">
        <w:rPr>
          <w:rFonts w:ascii="Times New Roman" w:hAnsi="Times New Roman" w:cs="Times New Roman"/>
          <w:bCs/>
          <w:noProof/>
          <w:sz w:val="24"/>
          <w:szCs w:val="24"/>
        </w:rPr>
        <w:t>)</w:t>
      </w:r>
      <w:r w:rsidRPr="00F541EE" w:rsidR="008A008A">
        <w:rPr>
          <w:rFonts w:ascii="Times New Roman" w:hAnsi="Times New Roman" w:cs="Times New Roman"/>
          <w:bCs/>
          <w:noProof/>
          <w:sz w:val="24"/>
          <w:szCs w:val="24"/>
        </w:rPr>
        <w:t xml:space="preserve"> arhitektūras </w:t>
      </w:r>
      <w:r w:rsidRPr="00F541EE">
        <w:rPr>
          <w:rFonts w:ascii="Times New Roman" w:hAnsi="Times New Roman" w:cs="Times New Roman"/>
          <w:bCs/>
          <w:noProof/>
          <w:sz w:val="24"/>
          <w:szCs w:val="24"/>
        </w:rPr>
        <w:t xml:space="preserve">izvērtēšana. Pirms tiek uzsākts darbs pie likumdošanas priekšlikumiem </w:t>
      </w:r>
      <w:r w:rsidRPr="00F541EE" w:rsidR="00905630">
        <w:rPr>
          <w:rFonts w:ascii="Times New Roman" w:hAnsi="Times New Roman" w:cs="Times New Roman"/>
          <w:bCs/>
          <w:noProof/>
          <w:sz w:val="24"/>
          <w:szCs w:val="24"/>
        </w:rPr>
        <w:t>EK</w:t>
      </w:r>
      <w:r w:rsidRPr="00F541EE">
        <w:rPr>
          <w:rFonts w:ascii="Times New Roman" w:hAnsi="Times New Roman" w:cs="Times New Roman"/>
          <w:bCs/>
          <w:noProof/>
          <w:sz w:val="24"/>
          <w:szCs w:val="24"/>
        </w:rPr>
        <w:t xml:space="preserve"> </w:t>
      </w:r>
      <w:r w:rsidRPr="00F541EE" w:rsidR="0001793B">
        <w:rPr>
          <w:rFonts w:ascii="Times New Roman" w:hAnsi="Times New Roman" w:cs="Times New Roman"/>
          <w:bCs/>
          <w:noProof/>
          <w:sz w:val="24"/>
          <w:szCs w:val="24"/>
        </w:rPr>
        <w:t>paredz sagatavot</w:t>
      </w:r>
      <w:r w:rsidRPr="00F541EE">
        <w:rPr>
          <w:rFonts w:ascii="Times New Roman" w:hAnsi="Times New Roman" w:cs="Times New Roman"/>
          <w:bCs/>
          <w:noProof/>
          <w:sz w:val="24"/>
          <w:szCs w:val="24"/>
        </w:rPr>
        <w:t xml:space="preserve"> un publicēt</w:t>
      </w:r>
      <w:r w:rsidRPr="00F541EE" w:rsidR="008A008A">
        <w:rPr>
          <w:rFonts w:ascii="Times New Roman" w:hAnsi="Times New Roman" w:cs="Times New Roman"/>
          <w:bCs/>
          <w:noProof/>
          <w:sz w:val="24"/>
          <w:szCs w:val="24"/>
        </w:rPr>
        <w:t xml:space="preserve"> īpašu</w:t>
      </w:r>
      <w:r w:rsidRPr="00F541EE">
        <w:rPr>
          <w:rFonts w:ascii="Times New Roman" w:hAnsi="Times New Roman" w:cs="Times New Roman"/>
          <w:bCs/>
          <w:noProof/>
          <w:sz w:val="24"/>
          <w:szCs w:val="24"/>
        </w:rPr>
        <w:t xml:space="preserve"> </w:t>
      </w:r>
      <w:r w:rsidRPr="00F541EE" w:rsidR="0001793B">
        <w:rPr>
          <w:rFonts w:ascii="Times New Roman" w:hAnsi="Times New Roman" w:cs="Times New Roman"/>
          <w:bCs/>
          <w:noProof/>
          <w:sz w:val="24"/>
          <w:szCs w:val="24"/>
        </w:rPr>
        <w:t>stratēģiju</w:t>
      </w:r>
      <w:r w:rsidRPr="00F541EE">
        <w:rPr>
          <w:rFonts w:ascii="Times New Roman" w:hAnsi="Times New Roman" w:cs="Times New Roman"/>
          <w:bCs/>
          <w:noProof/>
          <w:sz w:val="24"/>
          <w:szCs w:val="24"/>
        </w:rPr>
        <w:t>, bet pirms tam</w:t>
      </w:r>
      <w:r w:rsidRPr="00F541EE" w:rsidR="0001793B">
        <w:rPr>
          <w:rFonts w:ascii="Times New Roman" w:hAnsi="Times New Roman" w:cs="Times New Roman"/>
          <w:bCs/>
          <w:noProof/>
          <w:sz w:val="24"/>
          <w:szCs w:val="24"/>
        </w:rPr>
        <w:t xml:space="preserve"> būtu nepieciešama </w:t>
      </w:r>
      <w:bookmarkEnd w:id="3"/>
      <w:r w:rsidRPr="00F541EE" w:rsidR="0001793B">
        <w:rPr>
          <w:rFonts w:ascii="Times New Roman" w:hAnsi="Times New Roman" w:cs="Times New Roman"/>
          <w:bCs/>
          <w:noProof/>
          <w:sz w:val="24"/>
          <w:szCs w:val="24"/>
        </w:rPr>
        <w:t xml:space="preserve">politiskā diskusija </w:t>
      </w:r>
      <w:r w:rsidRPr="00F541EE">
        <w:rPr>
          <w:rFonts w:ascii="Times New Roman" w:hAnsi="Times New Roman" w:cs="Times New Roman"/>
          <w:bCs/>
          <w:noProof/>
          <w:sz w:val="24"/>
          <w:szCs w:val="24"/>
        </w:rPr>
        <w:t xml:space="preserve">gan enerģētikas </w:t>
      </w:r>
      <w:r w:rsidRPr="00F541EE" w:rsidR="0001793B">
        <w:rPr>
          <w:rFonts w:ascii="Times New Roman" w:hAnsi="Times New Roman" w:cs="Times New Roman"/>
          <w:bCs/>
          <w:noProof/>
          <w:sz w:val="24"/>
          <w:szCs w:val="24"/>
        </w:rPr>
        <w:t xml:space="preserve">ministru līmenī, </w:t>
      </w:r>
      <w:r w:rsidRPr="00F541EE">
        <w:rPr>
          <w:rFonts w:ascii="Times New Roman" w:hAnsi="Times New Roman" w:cs="Times New Roman"/>
          <w:bCs/>
          <w:noProof/>
          <w:sz w:val="24"/>
          <w:szCs w:val="24"/>
        </w:rPr>
        <w:t xml:space="preserve">gan </w:t>
      </w:r>
      <w:r w:rsidRPr="00F541EE" w:rsidR="0001793B">
        <w:rPr>
          <w:rFonts w:ascii="Times New Roman" w:hAnsi="Times New Roman" w:cs="Times New Roman"/>
          <w:bCs/>
          <w:noProof/>
          <w:sz w:val="24"/>
          <w:szCs w:val="24"/>
        </w:rPr>
        <w:t>Eiropadomē.</w:t>
      </w:r>
    </w:p>
    <w:p w:rsidR="00531E24" w:rsidP="000F5B2B" w:rsidRDefault="00905630" w14:paraId="1C512356" w14:textId="220FEBC4">
      <w:pPr>
        <w:pStyle w:val="ListParagraph"/>
        <w:spacing w:before="120" w:after="120" w:line="240" w:lineRule="auto"/>
        <w:ind w:left="0"/>
        <w:contextualSpacing w:val="false"/>
        <w:jc w:val="both"/>
        <w:rPr>
          <w:rFonts w:ascii="Times New Roman" w:hAnsi="Times New Roman" w:eastAsia="Times New Roman" w:cs="Times New Roman"/>
          <w:bCs/>
          <w:noProof/>
          <w:sz w:val="24"/>
          <w:szCs w:val="24"/>
        </w:rPr>
      </w:pPr>
      <w:r>
        <w:rPr>
          <w:rFonts w:ascii="Times New Roman" w:hAnsi="Times New Roman" w:eastAsia="Times New Roman" w:cs="Times New Roman"/>
          <w:bCs/>
          <w:noProof/>
          <w:sz w:val="24"/>
          <w:szCs w:val="24"/>
        </w:rPr>
        <w:t>EK</w:t>
      </w:r>
      <w:r w:rsidR="00CC4458">
        <w:rPr>
          <w:rFonts w:ascii="Times New Roman" w:hAnsi="Times New Roman" w:eastAsia="Times New Roman" w:cs="Times New Roman"/>
          <w:bCs/>
          <w:noProof/>
          <w:sz w:val="24"/>
          <w:szCs w:val="24"/>
        </w:rPr>
        <w:t xml:space="preserve"> </w:t>
      </w:r>
      <w:r w:rsidR="00531E24">
        <w:rPr>
          <w:rFonts w:ascii="Times New Roman" w:hAnsi="Times New Roman" w:eastAsia="Times New Roman" w:cs="Times New Roman"/>
          <w:bCs/>
          <w:noProof/>
          <w:sz w:val="24"/>
          <w:szCs w:val="24"/>
        </w:rPr>
        <w:t>ieskatā esošais</w:t>
      </w:r>
      <w:r w:rsidR="00CC4458">
        <w:rPr>
          <w:rFonts w:ascii="Times New Roman" w:hAnsi="Times New Roman" w:eastAsia="Times New Roman" w:cs="Times New Roman"/>
          <w:bCs/>
          <w:noProof/>
          <w:sz w:val="24"/>
          <w:szCs w:val="24"/>
        </w:rPr>
        <w:t xml:space="preserve"> elektroenerģijas</w:t>
      </w:r>
      <w:r w:rsidR="00531E24">
        <w:rPr>
          <w:rFonts w:ascii="Times New Roman" w:hAnsi="Times New Roman" w:eastAsia="Times New Roman" w:cs="Times New Roman"/>
          <w:bCs/>
          <w:noProof/>
          <w:sz w:val="24"/>
          <w:szCs w:val="24"/>
        </w:rPr>
        <w:t xml:space="preserve"> tirgus modelis vairs nefunkcionē patērētāju interesēs un nesniedz ieguvumus no zemās atjaunojamo energoresursu cenas, tāpēc plānota elektroenerģijas tirgus reforma, t.sk. lai atsaistītu elektroenerģijas cenas no šobrīd dārgās un videi ne tik draudzīgās dabasgāzes.</w:t>
      </w:r>
    </w:p>
    <w:p w:rsidRPr="00F03E9D" w:rsidR="00531E24" w:rsidP="005E45FD" w:rsidRDefault="00531E24" w14:paraId="6FC56E3C" w14:textId="3001B187">
      <w:pPr>
        <w:pStyle w:val="ListParagraph"/>
        <w:spacing w:before="120" w:after="120" w:line="240" w:lineRule="auto"/>
        <w:ind w:left="0"/>
        <w:contextualSpacing w:val="false"/>
        <w:jc w:val="both"/>
        <w:rPr>
          <w:rFonts w:ascii="Times New Roman" w:hAnsi="Times New Roman" w:cs="Times New Roman"/>
          <w:bCs/>
          <w:noProof/>
          <w:sz w:val="24"/>
          <w:szCs w:val="24"/>
          <w:u w:val="single"/>
        </w:rPr>
      </w:pPr>
      <w:r w:rsidRPr="00F03E9D">
        <w:rPr>
          <w:rFonts w:ascii="Times New Roman" w:hAnsi="Times New Roman" w:cs="Times New Roman"/>
          <w:bCs/>
          <w:noProof/>
          <w:sz w:val="24"/>
          <w:szCs w:val="24"/>
          <w:u w:val="single"/>
        </w:rPr>
        <w:t>Enerģijas cenas un finanšu tirgi</w:t>
      </w:r>
    </w:p>
    <w:p w:rsidRPr="00484EA8" w:rsidR="00DC76A5" w:rsidP="0042282C" w:rsidRDefault="00BF2571" w14:paraId="336D3D29" w14:textId="77777777">
      <w:pPr>
        <w:spacing w:before="120" w:after="120"/>
        <w:jc w:val="both"/>
        <w:rPr>
          <w:bCs/>
        </w:rPr>
      </w:pPr>
      <w:r w:rsidRPr="00F03E9D">
        <w:rPr>
          <w:bCs/>
        </w:rPr>
        <w:t>Problēmas būtība ir saistīta ar ievērojamām cenu svārstībām pasaules energoresursu tirgos, kur darījumi parasti tiek papildināti ar atvasinātajiem finanšu instrumentiem, lai samazinātu cenu izmaiņu riskus. Atvasinātos instrumentus iegādājas enerģētikas uzņēmumi, un pārdevēji ir finanšu nozare. Atvasināto instrumentu cenu izmaiņas un sākotnējās maržas rada likviditātes spriedzi tirgū.</w:t>
      </w:r>
      <w:r w:rsidRPr="00484EA8">
        <w:rPr>
          <w:bCs/>
        </w:rPr>
        <w:t xml:space="preserve"> </w:t>
      </w:r>
    </w:p>
    <w:p w:rsidRPr="00F541EE" w:rsidR="00BF2571" w:rsidP="0042282C" w:rsidRDefault="00C849B2" w14:paraId="03C1E207" w14:textId="071F355D">
      <w:pPr>
        <w:spacing w:before="120" w:after="120"/>
        <w:jc w:val="both"/>
        <w:rPr>
          <w:b/>
        </w:rPr>
      </w:pPr>
      <w:r w:rsidRPr="00F541EE">
        <w:rPr>
          <w:bCs/>
        </w:rPr>
        <w:t>EK</w:t>
      </w:r>
      <w:r w:rsidRPr="00F541EE" w:rsidR="00BF2571">
        <w:rPr>
          <w:bCs/>
        </w:rPr>
        <w:t xml:space="preserve"> piedāvā apspriest finanšu tirgus regulējumu. Kā piemēram, </w:t>
      </w:r>
      <w:r w:rsidRPr="00F541EE">
        <w:rPr>
          <w:bCs/>
        </w:rPr>
        <w:t>EK</w:t>
      </w:r>
      <w:r w:rsidRPr="00F541EE" w:rsidR="00BF2571">
        <w:rPr>
          <w:bCs/>
        </w:rPr>
        <w:t xml:space="preserve"> piedāvā vairākus problēmas risinājuma variantus: </w:t>
      </w:r>
      <w:r w:rsidRPr="00F541EE" w:rsidR="00DC76A5">
        <w:rPr>
          <w:bCs/>
        </w:rPr>
        <w:t>(</w:t>
      </w:r>
      <w:r w:rsidRPr="00F541EE" w:rsidR="00BF2571">
        <w:rPr>
          <w:bCs/>
        </w:rPr>
        <w:t>1) samazināt augstās cenas un pārmērīgu nepastāvību – regulētajā tirgū un uzlabot ārpus-biržas (</w:t>
      </w:r>
      <w:proofErr w:type="spellStart"/>
      <w:r w:rsidRPr="00F541EE" w:rsidR="00BF2571">
        <w:rPr>
          <w:bCs/>
          <w:i/>
          <w:iCs/>
        </w:rPr>
        <w:t>Over-the-Counter</w:t>
      </w:r>
      <w:proofErr w:type="spellEnd"/>
      <w:r w:rsidRPr="00F541EE" w:rsidR="00BF2571">
        <w:rPr>
          <w:bCs/>
        </w:rPr>
        <w:t xml:space="preserve"> (OTC)) tirdzniecības caurskatāmību</w:t>
      </w:r>
      <w:r w:rsidRPr="00F541EE" w:rsidR="00DC76A5">
        <w:rPr>
          <w:bCs/>
        </w:rPr>
        <w:t>,</w:t>
      </w:r>
      <w:r w:rsidRPr="00F541EE" w:rsidR="00BF2571">
        <w:rPr>
          <w:bCs/>
        </w:rPr>
        <w:t xml:space="preserve"> </w:t>
      </w:r>
      <w:r w:rsidRPr="00F541EE" w:rsidR="00DC76A5">
        <w:rPr>
          <w:bCs/>
        </w:rPr>
        <w:t>(</w:t>
      </w:r>
      <w:r w:rsidRPr="00F541EE" w:rsidR="00BF2571">
        <w:rPr>
          <w:bCs/>
        </w:rPr>
        <w:t>2) samazināt centrālo darījumu partneru (CCP) prasības attiecībā uz papildu nodrošinājuma līmeni  un  piemērot nodrošinājuma klāsta paplašināšanu</w:t>
      </w:r>
      <w:r w:rsidRPr="00F541EE" w:rsidR="00DC76A5">
        <w:rPr>
          <w:bCs/>
        </w:rPr>
        <w:t>,</w:t>
      </w:r>
      <w:r w:rsidRPr="00F541EE" w:rsidR="00BF2571">
        <w:rPr>
          <w:bCs/>
        </w:rPr>
        <w:t xml:space="preserve"> </w:t>
      </w:r>
      <w:r w:rsidRPr="00F541EE" w:rsidR="00DC76A5">
        <w:rPr>
          <w:bCs/>
        </w:rPr>
        <w:t>(</w:t>
      </w:r>
      <w:r w:rsidRPr="00F541EE" w:rsidR="00BF2571">
        <w:rPr>
          <w:bCs/>
        </w:rPr>
        <w:t xml:space="preserve">3) likviditātes atbalsts </w:t>
      </w:r>
      <w:proofErr w:type="spellStart"/>
      <w:r w:rsidRPr="00F541EE" w:rsidR="00BF2571">
        <w:rPr>
          <w:bCs/>
        </w:rPr>
        <w:t>tīrvērtes</w:t>
      </w:r>
      <w:proofErr w:type="spellEnd"/>
      <w:r w:rsidRPr="00F541EE" w:rsidR="00BF2571">
        <w:rPr>
          <w:bCs/>
        </w:rPr>
        <w:t xml:space="preserve"> dalībniekiem/klientiem.</w:t>
      </w:r>
    </w:p>
    <w:p w:rsidR="00BF2571" w:rsidP="0042282C" w:rsidRDefault="00BF2571" w14:paraId="4008D2D3" w14:textId="15931260">
      <w:pPr>
        <w:spacing w:before="120" w:after="120"/>
        <w:jc w:val="both"/>
        <w:rPr>
          <w:bCs/>
        </w:rPr>
      </w:pPr>
      <w:r w:rsidRPr="00F541EE">
        <w:rPr>
          <w:bCs/>
        </w:rPr>
        <w:t>Nepieciešams</w:t>
      </w:r>
      <w:r w:rsidRPr="00F541EE" w:rsidR="00DC76A5">
        <w:rPr>
          <w:bCs/>
        </w:rPr>
        <w:t xml:space="preserve"> arī</w:t>
      </w:r>
      <w:r w:rsidRPr="00F541EE">
        <w:rPr>
          <w:bCs/>
        </w:rPr>
        <w:t xml:space="preserve"> analizēt saistību starp enerģijas cenām un finanšu instrumentu tirgu. Vienlaikus </w:t>
      </w:r>
      <w:r w:rsidRPr="00F541EE" w:rsidR="00DC76A5">
        <w:rPr>
          <w:bCs/>
        </w:rPr>
        <w:t xml:space="preserve">uzsverams, ka </w:t>
      </w:r>
      <w:r w:rsidRPr="00F541EE">
        <w:rPr>
          <w:bCs/>
        </w:rPr>
        <w:t>izmaiņām finanšu tirgus regulējumā nevajadzētu radīt jaunus riskus finanšu tirgus jomā.</w:t>
      </w:r>
    </w:p>
    <w:p w:rsidR="00531E24" w:rsidP="00531E24" w:rsidRDefault="00531E24" w14:paraId="0422E564" w14:textId="2133AC89">
      <w:pPr>
        <w:spacing w:before="120" w:after="120"/>
        <w:jc w:val="both"/>
        <w:rPr>
          <w:u w:val="single"/>
        </w:rPr>
      </w:pPr>
      <w:r>
        <w:rPr>
          <w:u w:val="single"/>
        </w:rPr>
        <w:lastRenderedPageBreak/>
        <w:t>Latvijas nostāja</w:t>
      </w:r>
      <w:r w:rsidR="005258B2">
        <w:rPr>
          <w:rStyle w:val="FootnoteReference"/>
          <w:u w:val="single"/>
        </w:rPr>
        <w:footnoteReference w:id="3"/>
      </w:r>
    </w:p>
    <w:p w:rsidR="00531E24" w:rsidP="00531E24" w:rsidRDefault="00531E24" w14:paraId="49C6EEE4" w14:textId="0A7E1299">
      <w:pPr>
        <w:pStyle w:val="ListParagraph"/>
        <w:numPr>
          <w:ilvl w:val="0"/>
          <w:numId w:val="42"/>
        </w:numPr>
        <w:spacing w:before="120" w:after="120" w:line="240" w:lineRule="auto"/>
        <w:ind w:left="714" w:hanging="357"/>
        <w:contextualSpacing w:val="false"/>
        <w:jc w:val="both"/>
        <w:rPr>
          <w:rFonts w:ascii="Times New Roman" w:hAnsi="Times New Roman" w:cs="Times New Roman"/>
          <w:sz w:val="24"/>
          <w:szCs w:val="24"/>
        </w:rPr>
      </w:pPr>
      <w:r>
        <w:rPr>
          <w:rFonts w:ascii="Times New Roman" w:hAnsi="Times New Roman" w:cs="Times New Roman"/>
          <w:sz w:val="24"/>
          <w:szCs w:val="24"/>
        </w:rPr>
        <w:t xml:space="preserve">Atbalstām </w:t>
      </w:r>
      <w:r w:rsidR="00C849B2">
        <w:rPr>
          <w:rFonts w:ascii="Times New Roman" w:hAnsi="Times New Roman" w:cs="Times New Roman"/>
          <w:sz w:val="24"/>
          <w:szCs w:val="24"/>
        </w:rPr>
        <w:t>EK</w:t>
      </w:r>
      <w:r w:rsidR="00CC4458">
        <w:rPr>
          <w:rFonts w:ascii="Times New Roman" w:hAnsi="Times New Roman" w:cs="Times New Roman"/>
          <w:sz w:val="24"/>
          <w:szCs w:val="24"/>
        </w:rPr>
        <w:t xml:space="preserve"> </w:t>
      </w:r>
      <w:r>
        <w:rPr>
          <w:rFonts w:ascii="Times New Roman" w:hAnsi="Times New Roman" w:cs="Times New Roman"/>
          <w:sz w:val="24"/>
          <w:szCs w:val="24"/>
        </w:rPr>
        <w:t>piedāvāto divu soļu modeli enerģijas cenu mazināšanai, kas paredz ārkārtas risinājumu ieviešanu īstermiņā un plašāku diskusiju par nepieciešamību optimizēt elektroenerģijas tirgus darbību ilgtermiņā.</w:t>
      </w:r>
    </w:p>
    <w:p w:rsidR="00531E24" w:rsidP="00531E24" w:rsidRDefault="00531E24" w14:paraId="6FC77831" w14:textId="77777777">
      <w:pPr>
        <w:pStyle w:val="ListParagraph"/>
        <w:numPr>
          <w:ilvl w:val="0"/>
          <w:numId w:val="42"/>
        </w:numPr>
        <w:spacing w:before="120" w:after="120" w:line="240" w:lineRule="auto"/>
        <w:ind w:left="714" w:hanging="357"/>
        <w:contextualSpacing w:val="false"/>
        <w:jc w:val="both"/>
        <w:rPr>
          <w:rFonts w:ascii="Times New Roman" w:hAnsi="Times New Roman" w:cs="Times New Roman"/>
          <w:sz w:val="24"/>
          <w:szCs w:val="24"/>
        </w:rPr>
      </w:pPr>
      <w:r>
        <w:rPr>
          <w:rFonts w:ascii="Times New Roman" w:hAnsi="Times New Roman" w:cs="Times New Roman"/>
          <w:sz w:val="24"/>
          <w:szCs w:val="24"/>
        </w:rPr>
        <w:t>Enerģētiskā patstāvība ilgtermiņā sasniedzama veicinot plašāku atjaunojamo energoresursu izmantošanu un sekmējot energoefektivitātes pasākumus, kas vienlaikus nodrošinātu arī ES ilgtermiņa klimata mērķu sasniegšanu.</w:t>
      </w:r>
    </w:p>
    <w:p w:rsidR="00531E24" w:rsidP="00531E24" w:rsidRDefault="00531E24" w14:paraId="525AE80F" w14:textId="77777777">
      <w:pPr>
        <w:pStyle w:val="ListParagraph"/>
        <w:numPr>
          <w:ilvl w:val="0"/>
          <w:numId w:val="42"/>
        </w:numPr>
        <w:spacing w:before="120" w:after="120" w:line="240" w:lineRule="auto"/>
        <w:ind w:left="714" w:hanging="357"/>
        <w:contextualSpacing w:val="false"/>
        <w:jc w:val="both"/>
        <w:rPr>
          <w:rFonts w:ascii="Times New Roman" w:hAnsi="Times New Roman" w:cs="Times New Roman"/>
          <w:sz w:val="24"/>
          <w:szCs w:val="24"/>
        </w:rPr>
      </w:pPr>
      <w:r>
        <w:rPr>
          <w:rFonts w:ascii="Times New Roman" w:hAnsi="Times New Roman" w:cs="Times New Roman"/>
          <w:sz w:val="24"/>
          <w:szCs w:val="24"/>
        </w:rPr>
        <w:t>Latvijas ieskatā regulas priekšlikums ļaus minimāli novērst augsto enerģijas cenu radītās sekas, taču pietiekamā pakāpē nerisina to cēloņus.</w:t>
      </w:r>
    </w:p>
    <w:p w:rsidR="00531E24" w:rsidP="00531E24" w:rsidRDefault="00531E24" w14:paraId="048575D3" w14:textId="77777777">
      <w:pPr>
        <w:pStyle w:val="ListParagraph"/>
        <w:numPr>
          <w:ilvl w:val="0"/>
          <w:numId w:val="42"/>
        </w:numPr>
        <w:spacing w:before="120" w:after="120" w:line="240" w:lineRule="auto"/>
        <w:ind w:left="714" w:hanging="357"/>
        <w:contextualSpacing w:val="false"/>
        <w:jc w:val="both"/>
        <w:rPr>
          <w:rFonts w:ascii="Times New Roman" w:hAnsi="Times New Roman" w:cs="Times New Roman"/>
          <w:sz w:val="24"/>
          <w:szCs w:val="24"/>
        </w:rPr>
      </w:pPr>
      <w:r>
        <w:rPr>
          <w:rFonts w:ascii="Times New Roman" w:hAnsi="Times New Roman" w:cs="Times New Roman"/>
          <w:sz w:val="24"/>
          <w:szCs w:val="24"/>
        </w:rPr>
        <w:t xml:space="preserve">Būtiski ir censties atsaistīt dabasgāzes cenu no elektroenerģijas cenas, lai tādējādi mazinātu elektroenerģijas cenu patērētājiem. </w:t>
      </w:r>
    </w:p>
    <w:p w:rsidR="00531E24" w:rsidP="00531E24" w:rsidRDefault="00531E24" w14:paraId="0F05C21F" w14:textId="77777777">
      <w:pPr>
        <w:pStyle w:val="ListParagraph"/>
        <w:numPr>
          <w:ilvl w:val="0"/>
          <w:numId w:val="42"/>
        </w:numPr>
        <w:spacing w:before="120" w:after="120" w:line="240" w:lineRule="auto"/>
        <w:ind w:left="714" w:hanging="357"/>
        <w:contextualSpacing w:val="false"/>
        <w:jc w:val="both"/>
        <w:rPr>
          <w:rFonts w:ascii="Times New Roman" w:hAnsi="Times New Roman" w:cs="Times New Roman"/>
          <w:sz w:val="24"/>
          <w:szCs w:val="24"/>
        </w:rPr>
      </w:pPr>
      <w:r>
        <w:rPr>
          <w:rFonts w:ascii="Times New Roman" w:hAnsi="Times New Roman" w:cs="Times New Roman"/>
          <w:sz w:val="24"/>
          <w:szCs w:val="24"/>
        </w:rPr>
        <w:t>Esam atvērti diskusijām par iespējamu cenu griestu ieviešanu dabasgāzei, kas ļautu mazināt enerģijas cenu neprognozējamību.</w:t>
      </w:r>
    </w:p>
    <w:p w:rsidR="00531E24" w:rsidP="00531E24" w:rsidRDefault="00531E24" w14:paraId="6AF4E804" w14:textId="1F2D7F15">
      <w:pPr>
        <w:pStyle w:val="ListParagraph"/>
        <w:numPr>
          <w:ilvl w:val="0"/>
          <w:numId w:val="42"/>
        </w:numPr>
        <w:spacing w:before="120" w:after="120" w:line="240" w:lineRule="auto"/>
        <w:ind w:left="714" w:hanging="357"/>
        <w:contextualSpacing w:val="false"/>
        <w:jc w:val="both"/>
        <w:rPr>
          <w:rFonts w:ascii="Times New Roman" w:hAnsi="Times New Roman" w:cs="Times New Roman"/>
          <w:sz w:val="24"/>
          <w:szCs w:val="24"/>
        </w:rPr>
      </w:pPr>
      <w:r>
        <w:rPr>
          <w:rFonts w:ascii="Times New Roman" w:hAnsi="Times New Roman" w:cs="Times New Roman"/>
          <w:sz w:val="24"/>
          <w:szCs w:val="24"/>
        </w:rPr>
        <w:t>Atbalstām</w:t>
      </w:r>
      <w:r w:rsidR="00215974">
        <w:rPr>
          <w:rFonts w:ascii="Times New Roman" w:hAnsi="Times New Roman" w:cs="Times New Roman"/>
          <w:sz w:val="24"/>
          <w:szCs w:val="24"/>
        </w:rPr>
        <w:t xml:space="preserve"> ilgtspējīgas</w:t>
      </w:r>
      <w:r>
        <w:rPr>
          <w:rFonts w:ascii="Times New Roman" w:hAnsi="Times New Roman" w:cs="Times New Roman"/>
          <w:sz w:val="24"/>
          <w:szCs w:val="24"/>
        </w:rPr>
        <w:t xml:space="preserve"> biomasas</w:t>
      </w:r>
      <w:r w:rsidR="00215974">
        <w:rPr>
          <w:rFonts w:ascii="Times New Roman" w:hAnsi="Times New Roman" w:cs="Times New Roman"/>
          <w:sz w:val="24"/>
          <w:szCs w:val="24"/>
        </w:rPr>
        <w:t xml:space="preserve"> </w:t>
      </w:r>
      <w:r w:rsidRPr="00215974" w:rsidR="00215974">
        <w:rPr>
          <w:rFonts w:ascii="Times New Roman" w:hAnsi="Times New Roman" w:cs="Times New Roman"/>
          <w:sz w:val="24"/>
          <w:szCs w:val="24"/>
        </w:rPr>
        <w:t>un citu atjaunojamo energoresursu (īpaši vēja, saules un ģeotermāl</w:t>
      </w:r>
      <w:r w:rsidR="00215974">
        <w:rPr>
          <w:rFonts w:ascii="Times New Roman" w:hAnsi="Times New Roman" w:cs="Times New Roman"/>
          <w:sz w:val="24"/>
          <w:szCs w:val="24"/>
        </w:rPr>
        <w:t>ās</w:t>
      </w:r>
      <w:r w:rsidRPr="00215974" w:rsidR="00215974">
        <w:rPr>
          <w:rFonts w:ascii="Times New Roman" w:hAnsi="Times New Roman" w:cs="Times New Roman"/>
          <w:sz w:val="24"/>
          <w:szCs w:val="24"/>
        </w:rPr>
        <w:t xml:space="preserve">  enerģij</w:t>
      </w:r>
      <w:r w:rsidR="00215974">
        <w:rPr>
          <w:rFonts w:ascii="Times New Roman" w:hAnsi="Times New Roman" w:cs="Times New Roman"/>
          <w:sz w:val="24"/>
          <w:szCs w:val="24"/>
        </w:rPr>
        <w:t>as)</w:t>
      </w:r>
      <w:r>
        <w:rPr>
          <w:rFonts w:ascii="Times New Roman" w:hAnsi="Times New Roman" w:cs="Times New Roman"/>
          <w:sz w:val="24"/>
          <w:szCs w:val="24"/>
        </w:rPr>
        <w:t xml:space="preserve"> nozīmīguma palielināšanu enerģētiskās apgādes drošības stiprināšanai, vienlaikus mazinot enerģētiskās nabadzības risku.</w:t>
      </w:r>
    </w:p>
    <w:p w:rsidR="004F601B" w:rsidP="007C42E6" w:rsidRDefault="004F601B" w14:paraId="5A6083FF" w14:textId="77777777">
      <w:pPr>
        <w:spacing w:before="120" w:after="120"/>
        <w:jc w:val="both"/>
        <w:rPr>
          <w:rFonts w:eastAsia="Calibri"/>
          <w:b/>
          <w:bCs/>
        </w:rPr>
      </w:pPr>
    </w:p>
    <w:p w:rsidR="00A1339D" w:rsidP="007C42E6" w:rsidRDefault="00A1339D" w14:paraId="31ED1553" w14:textId="4C0441E3">
      <w:pPr>
        <w:spacing w:before="120" w:after="120"/>
        <w:jc w:val="both"/>
        <w:rPr>
          <w:rFonts w:eastAsia="Calibri"/>
          <w:b/>
          <w:bCs/>
        </w:rPr>
      </w:pPr>
      <w:r>
        <w:rPr>
          <w:rFonts w:eastAsia="Calibri"/>
          <w:b/>
          <w:bCs/>
        </w:rPr>
        <w:t>Ekonomiskā situācija</w:t>
      </w:r>
    </w:p>
    <w:bookmarkEnd w:id="1"/>
    <w:p w:rsidR="00531E24" w:rsidP="00531E24" w:rsidRDefault="000B20FF" w14:paraId="1E9F2281" w14:textId="6AB2CB6F">
      <w:pPr>
        <w:spacing w:before="120" w:after="120"/>
        <w:jc w:val="both"/>
        <w:rPr>
          <w:rFonts w:eastAsia="Calibri"/>
          <w:bCs/>
        </w:rPr>
      </w:pPr>
      <w:r>
        <w:rPr>
          <w:rFonts w:eastAsia="Calibri"/>
          <w:bCs/>
        </w:rPr>
        <w:t>Krievijas k</w:t>
      </w:r>
      <w:r w:rsidR="00531E24">
        <w:rPr>
          <w:rFonts w:eastAsia="Calibri"/>
          <w:bCs/>
        </w:rPr>
        <w:t>aram Ukrainā ir bijusi sevišķi negatīv</w:t>
      </w:r>
      <w:r>
        <w:rPr>
          <w:rFonts w:eastAsia="Calibri"/>
          <w:bCs/>
        </w:rPr>
        <w:t>a</w:t>
      </w:r>
      <w:r w:rsidR="00531E24">
        <w:rPr>
          <w:rFonts w:eastAsia="Calibri"/>
          <w:bCs/>
        </w:rPr>
        <w:t xml:space="preserve"> ietekme uz ekonomisko situāciju Eiropā. Arvien pieaugošās energoresursu un izejvielu cenas veicina inflācijas pieaugumu, samazina mājsaimniecību pirktspēju un mudina finanšu institūcijas pieņemt monetārās politikas pasākumus. </w:t>
      </w:r>
    </w:p>
    <w:p w:rsidR="00531E24" w:rsidP="00531E24" w:rsidRDefault="00531E24" w14:paraId="59FB8075" w14:textId="26586390">
      <w:pPr>
        <w:spacing w:before="120" w:after="120"/>
        <w:jc w:val="both"/>
        <w:rPr>
          <w:rFonts w:eastAsia="Calibri"/>
          <w:bCs/>
        </w:rPr>
      </w:pPr>
      <w:r>
        <w:rPr>
          <w:rFonts w:eastAsia="Calibri"/>
          <w:bCs/>
        </w:rPr>
        <w:t>Saskaņā ar Eiropas Centrālās bankas (ECB) prognozēm, 2022. gadā vidējā inflācija sasniegs 8</w:t>
      </w:r>
      <w:r w:rsidR="000B20FF">
        <w:rPr>
          <w:rFonts w:eastAsia="Calibri"/>
          <w:bCs/>
        </w:rPr>
        <w:t>,</w:t>
      </w:r>
      <w:r>
        <w:rPr>
          <w:rFonts w:eastAsia="Calibri"/>
          <w:bCs/>
        </w:rPr>
        <w:t>1%, bet 2023. gadā 5</w:t>
      </w:r>
      <w:r w:rsidR="000B20FF">
        <w:rPr>
          <w:rFonts w:eastAsia="Calibri"/>
          <w:bCs/>
        </w:rPr>
        <w:t>,</w:t>
      </w:r>
      <w:r>
        <w:rPr>
          <w:rFonts w:eastAsia="Calibri"/>
          <w:bCs/>
        </w:rPr>
        <w:t>5%</w:t>
      </w:r>
      <w:r>
        <w:rPr>
          <w:rStyle w:val="FootnoteReference"/>
          <w:rFonts w:eastAsia="Calibri"/>
          <w:bCs/>
        </w:rPr>
        <w:footnoteReference w:id="4"/>
      </w:r>
      <w:r>
        <w:rPr>
          <w:rFonts w:eastAsia="Calibri"/>
          <w:bCs/>
        </w:rPr>
        <w:t>. Tāpat š.</w:t>
      </w:r>
      <w:r w:rsidR="000B20FF">
        <w:rPr>
          <w:rFonts w:eastAsia="Calibri"/>
          <w:bCs/>
        </w:rPr>
        <w:t xml:space="preserve"> </w:t>
      </w:r>
      <w:r>
        <w:rPr>
          <w:rFonts w:eastAsia="Calibri"/>
          <w:bCs/>
        </w:rPr>
        <w:t xml:space="preserve">g. septembrī ECB ir samazinājusi ekonomikas izaugsmes prognozes un paredz IKP pieaugumu 3.1% apmērā 2022. gadā un tikai 0.9% pieaugumu 2023. gadā. </w:t>
      </w:r>
    </w:p>
    <w:p w:rsidRPr="00083EE6" w:rsidR="00531E24" w:rsidP="00531E24" w:rsidRDefault="00531E24" w14:paraId="207C014A" w14:textId="66C32CB3">
      <w:pPr>
        <w:pStyle w:val="NoSpacing"/>
        <w:jc w:val="both"/>
        <w:rPr>
          <w:rStyle w:val="tld-sibling-0-0-40"/>
          <w:rFonts w:ascii="Times New Roman" w:hAnsi="Times New Roman"/>
          <w:sz w:val="24"/>
          <w:szCs w:val="24"/>
          <w:u w:val="single"/>
        </w:rPr>
      </w:pPr>
      <w:r w:rsidRPr="00083EE6">
        <w:rPr>
          <w:rStyle w:val="tld-sibling-0-0-40"/>
          <w:rFonts w:ascii="Times New Roman" w:hAnsi="Times New Roman"/>
          <w:sz w:val="24"/>
          <w:szCs w:val="24"/>
          <w:u w:val="single"/>
        </w:rPr>
        <w:t>Eirozonas recesijas draudi, ECB procentu likmju paaugstināšana</w:t>
      </w:r>
    </w:p>
    <w:p w:rsidR="00D0009F" w:rsidP="0042282C" w:rsidRDefault="00D0009F" w14:paraId="312B0C90" w14:textId="6896C543">
      <w:pPr>
        <w:spacing w:before="120" w:after="120"/>
        <w:jc w:val="both"/>
        <w:rPr>
          <w:rStyle w:val="tld-sibling-0-0-40"/>
          <w:rFonts w:ascii="Calibri" w:hAnsi="Calibri" w:eastAsiaTheme="minorHAnsi"/>
          <w:iCs/>
          <w:sz w:val="22"/>
          <w:szCs w:val="22"/>
        </w:rPr>
      </w:pPr>
      <w:r>
        <w:rPr>
          <w:rStyle w:val="tld-sibling-0-0-40"/>
          <w:iCs/>
        </w:rPr>
        <w:t>Karš Ukrainā un augošās resursu cenas ir uzrādījušas eirozonas problemātisko</w:t>
      </w:r>
      <w:r w:rsidR="00652DAE">
        <w:rPr>
          <w:rStyle w:val="tld-sibling-0-0-40"/>
          <w:iCs/>
        </w:rPr>
        <w:t>s</w:t>
      </w:r>
      <w:r>
        <w:rPr>
          <w:rStyle w:val="tld-sibling-0-0-40"/>
          <w:iCs/>
        </w:rPr>
        <w:t xml:space="preserve"> jautājumus, tostarp pārmērīgu atkarību no viena tirgus, šoreiz Krievijas gāzes, radot izaicinājumus ekonomikai attīstībai un arī politikas efektivitātei. </w:t>
      </w:r>
      <w:r w:rsidR="009407F9">
        <w:rPr>
          <w:rStyle w:val="tld-sibling-0-0-40"/>
          <w:iCs/>
        </w:rPr>
        <w:t>EK</w:t>
      </w:r>
      <w:r>
        <w:rPr>
          <w:rStyle w:val="tld-sibling-0-0-40"/>
          <w:iCs/>
        </w:rPr>
        <w:t xml:space="preserve"> jūlijā samazināja eirozonas ekonomikas izaugsmes prognozi 2022.</w:t>
      </w:r>
      <w:r w:rsidR="00C90C30">
        <w:t xml:space="preserve"> </w:t>
      </w:r>
      <w:r>
        <w:rPr>
          <w:rStyle w:val="tld-sibling-0-0-40"/>
          <w:iCs/>
        </w:rPr>
        <w:t xml:space="preserve">gadam līdz 2,6%, salīdzinot ar februārī, pirms Krievijas iebrukuma Ukrainā, prognozētajiem 4,0%. </w:t>
      </w:r>
    </w:p>
    <w:p w:rsidR="00D0009F" w:rsidP="0042282C" w:rsidRDefault="00D0009F" w14:paraId="5B8DBFF6" w14:textId="77777777">
      <w:pPr>
        <w:spacing w:before="120" w:after="120"/>
        <w:jc w:val="both"/>
      </w:pPr>
      <w:r>
        <w:t xml:space="preserve">Šā gada otrā ceturkšņa dati parādīja nedaudz pozitīvāku eirozonas izaugsmi otrajā ceturksnī, nekā EK bija prognozējusi jūlijā. Salīdzinot ar iepriekšējo ceturksni, eirozonas ekonomikas </w:t>
      </w:r>
      <w:r>
        <w:lastRenderedPageBreak/>
        <w:t xml:space="preserve">izaugsme veidojusi 0,8%, kamēr EK bija prognozējusi, ka IKP saglabāsies iepriekšējā ceturkšņa līmenī. </w:t>
      </w:r>
    </w:p>
    <w:p w:rsidR="00D0009F" w:rsidP="0042282C" w:rsidRDefault="00D0009F" w14:paraId="680A1D6D" w14:textId="77777777">
      <w:pPr>
        <w:spacing w:before="120" w:after="120"/>
        <w:jc w:val="both"/>
      </w:pPr>
      <w:r>
        <w:t>Neskatoties uz pozitīvāku nekā gaidīts, otro ceturksni, nākamajos ceturkšņos gaidāma eirozonas izaugsmes palēnināšanās un atsevišķos ceturkšņos nav izslēgts kritums, par ko signalizē apsteidzošie indikatori, tajā skaitā EK veidotais ekonomikas sentimenta indekss (ESI indekss) un iepirkumu menedžeru indekss (PMI). Eirozonas PMI indekss septembrī noslīdējis līdz 48,2, salīdzinot ar 48,9 augustā, un ir zemākais pēdējo 20 mēnešu laikā. Indeksa vērtība zem 50 nozīmē ekonomiskās aktivitātes samazināšanos. Arī ESI indekss kopš februāra ir pastāvīgi krities un augustā bijis zemākajā līmenī kopš 2021. gada februāra.</w:t>
      </w:r>
    </w:p>
    <w:p w:rsidR="00D0009F" w:rsidP="0042282C" w:rsidRDefault="00D0009F" w14:paraId="6717CF5D" w14:textId="77777777">
      <w:pPr>
        <w:pStyle w:val="NoSpacing"/>
        <w:spacing w:before="120" w:after="120"/>
        <w:jc w:val="both"/>
        <w:rPr>
          <w:rStyle w:val="tld-sibling-0-0-40"/>
          <w:rFonts w:ascii="Times New Roman" w:hAnsi="Times New Roman"/>
          <w:iCs/>
          <w:sz w:val="24"/>
          <w:szCs w:val="24"/>
        </w:rPr>
      </w:pPr>
      <w:r>
        <w:rPr>
          <w:rStyle w:val="tld-sibling-0-0-40"/>
          <w:rFonts w:ascii="Times New Roman" w:hAnsi="Times New Roman"/>
          <w:iCs/>
          <w:sz w:val="24"/>
          <w:szCs w:val="24"/>
        </w:rPr>
        <w:t xml:space="preserve">Jau </w:t>
      </w:r>
      <w:proofErr w:type="spellStart"/>
      <w:r>
        <w:rPr>
          <w:rStyle w:val="tld-sibling-0-0-40"/>
          <w:rFonts w:ascii="Times New Roman" w:hAnsi="Times New Roman"/>
          <w:iCs/>
          <w:sz w:val="24"/>
          <w:szCs w:val="24"/>
        </w:rPr>
        <w:t>Covid-19</w:t>
      </w:r>
      <w:proofErr w:type="spellEnd"/>
      <w:r>
        <w:rPr>
          <w:rStyle w:val="tld-sibling-0-0-40"/>
          <w:rFonts w:ascii="Times New Roman" w:hAnsi="Times New Roman"/>
          <w:iCs/>
          <w:sz w:val="24"/>
          <w:szCs w:val="24"/>
        </w:rPr>
        <w:t xml:space="preserve"> pandēmija pēdējo divu gadu laikā bija izraisījusi būtiskas cenu svārstības, ko šogad vēl tikai pastiprinājis Krievijas iebrukums Ukrainā un sekojošais straujais energoresursu cenu kāpums. Pēc cenu pieauguma tikai par 0,3% 2020. gadā, 2021. gadā inflācija eirozonā paaugstinājās līdz 2,6%, bet šā gada augustā sasniedza jau 9,1%, jau no gada sākuma saglabājoties vēsturiski augstākajā līmenī kopš eirovalūtas ieviešanas 1999. gadā.</w:t>
      </w:r>
    </w:p>
    <w:p w:rsidR="00D0009F" w:rsidP="0042282C" w:rsidRDefault="00D0009F" w14:paraId="177B0ACA" w14:textId="77777777">
      <w:pPr>
        <w:spacing w:before="120" w:after="120"/>
        <w:jc w:val="both"/>
      </w:pPr>
      <w:r>
        <w:t>Lai ierobežotu inflāciju, pasaules vadošās centrālās bankas ir sākušas procentu likmju paaugstināšanas ciklu. ASV Federālā rezervju sistēma (FRS) 16. martā pirmo reizi kopš 2018. gada decembra paaugstināja bāzes procentu likmi par 0,25 procentpunktiem līdz 0,25% – 0,5%. Pēc vairākiem sekojošiem procentu likmju paaugstinājumiem 21.septembrī likmes sasniedza 3,0% – 3,25% un turpmākajos mēnešos ir gaidāms tālāks likmju paaugstinājums. ECB 21. jūlijā pirmo reizi pēdējos 11 gados veica procentu likmju paaugstinājumu, galveno bāzes procentlikmi palielinot par 0,5 procentpunktiem līdz 0,5%, bet 8. septembrī veica vēsturiski lielāko likmes paaugstinājumu par 0,75 procentpunktiem, paceļot likmi līdz 1,25%.</w:t>
      </w:r>
    </w:p>
    <w:p w:rsidRPr="0042282C" w:rsidR="00531E24" w:rsidP="0042282C" w:rsidRDefault="00D0009F" w14:paraId="504A463A" w14:textId="174333D6">
      <w:pPr>
        <w:spacing w:before="120" w:after="120"/>
        <w:jc w:val="both"/>
        <w:rPr>
          <w:rStyle w:val="tld-sibling-0-0-40"/>
        </w:rPr>
      </w:pPr>
      <w:r>
        <w:t>Procentu likmju paaugstināšana un aizņēmumu sadārdzināšanās vienlaikus ar inflācijas mazināšanu var samazināt arī ekonomikas izaugsmi, īpaši negatīvu ietekmi atstājot uz pasaules attīstības valstīm ar augstiem parādu līmeņiem, ievērojami sadārdzinot to aizņemšanās izmaksas.  Straujāka likmju celšana ASV nekā eirozonā arī ir veicinājusi dolāra kursa kāpumu pret eiro un Eiropas vienotās valūtas vērtība septembra beigās noslīdējusi līdz zemākajam līmenim pēdējo 20 gadu laikā, vienam eiro maksājot mazāk par vienu ASV dolāru, - 0,9644 dolārus 27. septembrī.</w:t>
      </w:r>
    </w:p>
    <w:p w:rsidRPr="0042282C" w:rsidR="00531E24" w:rsidP="00531E24" w:rsidRDefault="00531E24" w14:paraId="4C7510D0" w14:textId="7B1A8D4D">
      <w:pPr>
        <w:pStyle w:val="NoSpacing"/>
        <w:jc w:val="both"/>
        <w:rPr>
          <w:u w:val="single"/>
        </w:rPr>
      </w:pPr>
      <w:r w:rsidRPr="0042282C">
        <w:rPr>
          <w:rStyle w:val="tld-sibling-0-0-40"/>
          <w:rFonts w:ascii="Times New Roman" w:hAnsi="Times New Roman"/>
          <w:sz w:val="24"/>
          <w:szCs w:val="24"/>
          <w:u w:val="single"/>
        </w:rPr>
        <w:t xml:space="preserve">Valsts atbalsts mājsaimniecībām un uzņēmumiem </w:t>
      </w:r>
    </w:p>
    <w:p w:rsidR="00531E24" w:rsidP="00531E24" w:rsidRDefault="00531E24" w14:paraId="4212CB10" w14:textId="66D2B841">
      <w:pPr>
        <w:spacing w:before="120" w:after="120"/>
        <w:jc w:val="both"/>
        <w:rPr>
          <w:rFonts w:eastAsia="Calibri"/>
          <w:bCs/>
        </w:rPr>
      </w:pPr>
      <w:r>
        <w:rPr>
          <w:rFonts w:eastAsia="Calibri"/>
          <w:bCs/>
        </w:rPr>
        <w:t>Joprojām ir aktuālas pandēmijas izgaismotās Eiropas ekonomikas ilgtermiņa ievainojamības un atkarības. Pieredzētie izejvielu un starpproduktu piegāžu pārtrūkumi ietekmē ražošanas procesus, piegāžu termiņus un izmaksas. Lai mazinātu Eiropas atkarības mikroshēmu un pusvadītāju jomā, turpinās darbs pie ES Mikroshēmu akta ar mērķi attīstīt mikroshēmu ražošanu Eiropā.</w:t>
      </w:r>
    </w:p>
    <w:p w:rsidR="00531E24" w:rsidP="00531E24" w:rsidRDefault="00531E24" w14:paraId="6604F3EF" w14:textId="29226012">
      <w:pPr>
        <w:spacing w:before="120" w:after="120"/>
        <w:jc w:val="both"/>
        <w:rPr>
          <w:rFonts w:eastAsia="Calibri"/>
          <w:bCs/>
        </w:rPr>
      </w:pPr>
      <w:r>
        <w:rPr>
          <w:rFonts w:eastAsia="Calibri"/>
          <w:bCs/>
        </w:rPr>
        <w:t>2022. gada 14. septembrī,</w:t>
      </w:r>
      <w:r>
        <w:t xml:space="preserve"> </w:t>
      </w:r>
      <w:r w:rsidR="00385C14">
        <w:rPr>
          <w:rFonts w:eastAsia="Calibri"/>
          <w:bCs/>
        </w:rPr>
        <w:t>EK</w:t>
      </w:r>
      <w:r w:rsidR="00D907DC">
        <w:rPr>
          <w:rFonts w:eastAsia="Calibri"/>
          <w:bCs/>
        </w:rPr>
        <w:t xml:space="preserve"> </w:t>
      </w:r>
      <w:r>
        <w:rPr>
          <w:rFonts w:eastAsia="Calibri"/>
          <w:bCs/>
        </w:rPr>
        <w:t>izziņoja, ka tiek gatavots jauns likumdošanas priekšlikums – Eiropas Kritisko izejvielu akts (</w:t>
      </w:r>
      <w:proofErr w:type="spellStart"/>
      <w:r>
        <w:rPr>
          <w:rFonts w:eastAsia="Calibri"/>
          <w:bCs/>
          <w:i/>
        </w:rPr>
        <w:t>European</w:t>
      </w:r>
      <w:proofErr w:type="spellEnd"/>
      <w:r>
        <w:rPr>
          <w:rFonts w:eastAsia="Calibri"/>
          <w:bCs/>
          <w:i/>
        </w:rPr>
        <w:t xml:space="preserve"> </w:t>
      </w:r>
      <w:proofErr w:type="spellStart"/>
      <w:r>
        <w:rPr>
          <w:rFonts w:eastAsia="Calibri"/>
          <w:bCs/>
          <w:i/>
        </w:rPr>
        <w:t>Critical</w:t>
      </w:r>
      <w:proofErr w:type="spellEnd"/>
      <w:r>
        <w:rPr>
          <w:rFonts w:eastAsia="Calibri"/>
          <w:bCs/>
          <w:i/>
        </w:rPr>
        <w:t xml:space="preserve"> </w:t>
      </w:r>
      <w:proofErr w:type="spellStart"/>
      <w:r>
        <w:rPr>
          <w:rFonts w:eastAsia="Calibri"/>
          <w:bCs/>
          <w:i/>
        </w:rPr>
        <w:t>Raw</w:t>
      </w:r>
      <w:proofErr w:type="spellEnd"/>
      <w:r>
        <w:rPr>
          <w:rFonts w:eastAsia="Calibri"/>
          <w:bCs/>
          <w:i/>
        </w:rPr>
        <w:t xml:space="preserve"> </w:t>
      </w:r>
      <w:proofErr w:type="spellStart"/>
      <w:r>
        <w:rPr>
          <w:rFonts w:eastAsia="Calibri"/>
          <w:bCs/>
          <w:i/>
        </w:rPr>
        <w:t>Materials</w:t>
      </w:r>
      <w:proofErr w:type="spellEnd"/>
      <w:r>
        <w:rPr>
          <w:rFonts w:eastAsia="Calibri"/>
          <w:bCs/>
          <w:i/>
        </w:rPr>
        <w:t xml:space="preserve"> </w:t>
      </w:r>
      <w:proofErr w:type="spellStart"/>
      <w:r>
        <w:rPr>
          <w:rFonts w:eastAsia="Calibri"/>
          <w:bCs/>
          <w:i/>
        </w:rPr>
        <w:t>Act</w:t>
      </w:r>
      <w:proofErr w:type="spellEnd"/>
      <w:r>
        <w:rPr>
          <w:rFonts w:eastAsia="Calibri"/>
          <w:bCs/>
        </w:rPr>
        <w:t xml:space="preserve">), lai apzinātu iespējamos stratēģiskos projektus visos piegādes ķēdes posmos un izveidotu rezerves tur, kur izejvielu piegādes ir apdraudētas. Tas </w:t>
      </w:r>
      <w:r w:rsidR="00D907DC">
        <w:rPr>
          <w:rFonts w:eastAsia="Calibri"/>
          <w:bCs/>
        </w:rPr>
        <w:t>palīdzēs</w:t>
      </w:r>
      <w:r>
        <w:rPr>
          <w:rFonts w:eastAsia="Calibri"/>
          <w:bCs/>
        </w:rPr>
        <w:t xml:space="preserve"> izvairīt</w:t>
      </w:r>
      <w:r w:rsidR="00D907DC">
        <w:rPr>
          <w:rFonts w:eastAsia="Calibri"/>
          <w:bCs/>
        </w:rPr>
        <w:t>ies</w:t>
      </w:r>
      <w:r>
        <w:rPr>
          <w:rFonts w:eastAsia="Calibri"/>
          <w:bCs/>
        </w:rPr>
        <w:t xml:space="preserve"> no situācijas, kādā Eirop</w:t>
      </w:r>
      <w:r w:rsidR="00D907DC">
        <w:rPr>
          <w:rFonts w:eastAsia="Calibri"/>
          <w:bCs/>
        </w:rPr>
        <w:t>a</w:t>
      </w:r>
      <w:r>
        <w:rPr>
          <w:rFonts w:eastAsia="Calibri"/>
          <w:bCs/>
        </w:rPr>
        <w:t xml:space="preserve"> ir nokļuvusi neuzticam</w:t>
      </w:r>
      <w:r w:rsidR="00D907DC">
        <w:rPr>
          <w:rFonts w:eastAsia="Calibri"/>
          <w:bCs/>
        </w:rPr>
        <w:t>u</w:t>
      </w:r>
      <w:r>
        <w:rPr>
          <w:rFonts w:eastAsia="Calibri"/>
          <w:bCs/>
        </w:rPr>
        <w:t xml:space="preserve"> gāzes un naftas piegādātāj</w:t>
      </w:r>
      <w:r w:rsidR="00D907DC">
        <w:rPr>
          <w:rFonts w:eastAsia="Calibri"/>
          <w:bCs/>
        </w:rPr>
        <w:t>u dēļ</w:t>
      </w:r>
      <w:r>
        <w:rPr>
          <w:rFonts w:eastAsia="Calibri"/>
          <w:bCs/>
        </w:rPr>
        <w:t xml:space="preserve">. Ar šo iniciatīvu plānots vienoties par </w:t>
      </w:r>
      <w:r>
        <w:rPr>
          <w:rFonts w:eastAsia="Calibri"/>
          <w:bCs/>
        </w:rPr>
        <w:lastRenderedPageBreak/>
        <w:t>kopīgu kritisko izejvielu definīciju, attīstīt ieguves standartus</w:t>
      </w:r>
      <w:r w:rsidR="00F07656">
        <w:rPr>
          <w:rFonts w:eastAsia="Calibri"/>
          <w:bCs/>
        </w:rPr>
        <w:t xml:space="preserve"> un</w:t>
      </w:r>
      <w:r>
        <w:rPr>
          <w:rFonts w:eastAsia="Calibri"/>
          <w:bCs/>
        </w:rPr>
        <w:t xml:space="preserve"> identificēt stratēģiskos investīciju virzienus, lai </w:t>
      </w:r>
      <w:r w:rsidR="00F07656">
        <w:rPr>
          <w:rFonts w:eastAsia="Calibri"/>
          <w:bCs/>
        </w:rPr>
        <w:t xml:space="preserve">ES </w:t>
      </w:r>
      <w:r>
        <w:rPr>
          <w:rFonts w:eastAsia="Calibri"/>
          <w:bCs/>
        </w:rPr>
        <w:t xml:space="preserve">pārkārtotos uz ilgtspējīgu un digitālu ekonomiku. Tāpat </w:t>
      </w:r>
      <w:r w:rsidR="00385C14">
        <w:rPr>
          <w:rFonts w:eastAsia="Calibri"/>
          <w:bCs/>
        </w:rPr>
        <w:t>EK</w:t>
      </w:r>
      <w:r w:rsidR="00F07656">
        <w:rPr>
          <w:rFonts w:eastAsia="Calibri"/>
          <w:bCs/>
        </w:rPr>
        <w:t xml:space="preserve"> </w:t>
      </w:r>
      <w:r>
        <w:rPr>
          <w:rFonts w:eastAsia="Calibri"/>
          <w:bCs/>
        </w:rPr>
        <w:t>plāno palielināt ES finansiālo līdzdalību Svarīgos projektos visas Eiropas interesēs (</w:t>
      </w:r>
      <w:proofErr w:type="spellStart"/>
      <w:r>
        <w:rPr>
          <w:rFonts w:eastAsia="Calibri"/>
          <w:bCs/>
          <w:i/>
        </w:rPr>
        <w:t>Important</w:t>
      </w:r>
      <w:proofErr w:type="spellEnd"/>
      <w:r>
        <w:rPr>
          <w:rFonts w:eastAsia="Calibri"/>
          <w:bCs/>
          <w:i/>
        </w:rPr>
        <w:t xml:space="preserve"> </w:t>
      </w:r>
      <w:proofErr w:type="spellStart"/>
      <w:r>
        <w:rPr>
          <w:rFonts w:eastAsia="Calibri"/>
          <w:bCs/>
          <w:i/>
        </w:rPr>
        <w:t>Projects</w:t>
      </w:r>
      <w:proofErr w:type="spellEnd"/>
      <w:r>
        <w:rPr>
          <w:rFonts w:eastAsia="Calibri"/>
          <w:bCs/>
          <w:i/>
        </w:rPr>
        <w:t xml:space="preserve"> </w:t>
      </w:r>
      <w:proofErr w:type="spellStart"/>
      <w:r>
        <w:rPr>
          <w:rFonts w:eastAsia="Calibri"/>
          <w:bCs/>
          <w:i/>
        </w:rPr>
        <w:t>of</w:t>
      </w:r>
      <w:proofErr w:type="spellEnd"/>
      <w:r>
        <w:rPr>
          <w:rFonts w:eastAsia="Calibri"/>
          <w:bCs/>
          <w:i/>
        </w:rPr>
        <w:t xml:space="preserve"> </w:t>
      </w:r>
      <w:proofErr w:type="spellStart"/>
      <w:r>
        <w:rPr>
          <w:rFonts w:eastAsia="Calibri"/>
          <w:bCs/>
          <w:i/>
        </w:rPr>
        <w:t>Common</w:t>
      </w:r>
      <w:proofErr w:type="spellEnd"/>
      <w:r>
        <w:rPr>
          <w:rFonts w:eastAsia="Calibri"/>
          <w:bCs/>
          <w:i/>
        </w:rPr>
        <w:t xml:space="preserve"> </w:t>
      </w:r>
      <w:proofErr w:type="spellStart"/>
      <w:r>
        <w:rPr>
          <w:rFonts w:eastAsia="Calibri"/>
          <w:bCs/>
          <w:i/>
        </w:rPr>
        <w:t>European</w:t>
      </w:r>
      <w:proofErr w:type="spellEnd"/>
      <w:r>
        <w:rPr>
          <w:rFonts w:eastAsia="Calibri"/>
          <w:bCs/>
          <w:i/>
        </w:rPr>
        <w:t xml:space="preserve"> </w:t>
      </w:r>
      <w:proofErr w:type="spellStart"/>
      <w:r>
        <w:rPr>
          <w:rFonts w:eastAsia="Calibri"/>
          <w:bCs/>
          <w:i/>
        </w:rPr>
        <w:t>Interest</w:t>
      </w:r>
      <w:proofErr w:type="spellEnd"/>
      <w:r>
        <w:rPr>
          <w:rFonts w:eastAsia="Calibri"/>
          <w:bCs/>
          <w:i/>
        </w:rPr>
        <w:t>, IPCEI)</w:t>
      </w:r>
      <w:r>
        <w:rPr>
          <w:rFonts w:eastAsia="Calibri"/>
          <w:bCs/>
        </w:rPr>
        <w:t xml:space="preserve"> un </w:t>
      </w:r>
      <w:r w:rsidR="00F07656">
        <w:rPr>
          <w:rFonts w:eastAsia="Calibri"/>
          <w:bCs/>
        </w:rPr>
        <w:t xml:space="preserve">strādāt </w:t>
      </w:r>
      <w:r>
        <w:rPr>
          <w:rFonts w:eastAsia="Calibri"/>
          <w:bCs/>
        </w:rPr>
        <w:t xml:space="preserve">pie jauna fonda izveides - </w:t>
      </w:r>
      <w:proofErr w:type="spellStart"/>
      <w:r>
        <w:rPr>
          <w:rFonts w:eastAsia="Calibri"/>
          <w:bCs/>
          <w:i/>
        </w:rPr>
        <w:t>European</w:t>
      </w:r>
      <w:proofErr w:type="spellEnd"/>
      <w:r>
        <w:rPr>
          <w:rFonts w:eastAsia="Calibri"/>
          <w:bCs/>
          <w:i/>
        </w:rPr>
        <w:t xml:space="preserve"> </w:t>
      </w:r>
      <w:proofErr w:type="spellStart"/>
      <w:r>
        <w:rPr>
          <w:rFonts w:eastAsia="Calibri"/>
          <w:bCs/>
          <w:i/>
        </w:rPr>
        <w:t>Sovereignty</w:t>
      </w:r>
      <w:proofErr w:type="spellEnd"/>
      <w:r>
        <w:rPr>
          <w:rFonts w:eastAsia="Calibri"/>
          <w:bCs/>
          <w:i/>
        </w:rPr>
        <w:t xml:space="preserve"> </w:t>
      </w:r>
      <w:proofErr w:type="spellStart"/>
      <w:r>
        <w:rPr>
          <w:rFonts w:eastAsia="Calibri"/>
          <w:bCs/>
          <w:i/>
        </w:rPr>
        <w:t>Fund</w:t>
      </w:r>
      <w:proofErr w:type="spellEnd"/>
      <w:r>
        <w:rPr>
          <w:rFonts w:eastAsia="Calibri"/>
          <w:bCs/>
        </w:rPr>
        <w:t xml:space="preserve">, tādējādi mēģinot piesaistīt finansējumu kritisko izejvielu pieejamības nodrošināšanai. </w:t>
      </w:r>
    </w:p>
    <w:p w:rsidR="00531E24" w:rsidP="00531E24" w:rsidRDefault="00531E24" w14:paraId="4805A2A1" w14:textId="3FC5BCC1">
      <w:pPr>
        <w:spacing w:before="120" w:after="120"/>
        <w:jc w:val="both"/>
        <w:rPr>
          <w:rFonts w:eastAsia="Calibri"/>
          <w:bCs/>
        </w:rPr>
      </w:pPr>
      <w:r>
        <w:rPr>
          <w:rFonts w:eastAsia="Calibri"/>
          <w:bCs/>
        </w:rPr>
        <w:t>Š.</w:t>
      </w:r>
      <w:r w:rsidR="00D907DC">
        <w:rPr>
          <w:rFonts w:eastAsia="Calibri"/>
          <w:bCs/>
        </w:rPr>
        <w:t xml:space="preserve"> </w:t>
      </w:r>
      <w:r>
        <w:rPr>
          <w:rFonts w:eastAsia="Calibri"/>
          <w:bCs/>
        </w:rPr>
        <w:t xml:space="preserve">g. 19. septembrī </w:t>
      </w:r>
      <w:r w:rsidR="00385C14">
        <w:rPr>
          <w:rFonts w:eastAsia="Calibri"/>
          <w:bCs/>
        </w:rPr>
        <w:t>EK</w:t>
      </w:r>
      <w:r w:rsidR="00D907DC">
        <w:rPr>
          <w:rFonts w:eastAsia="Calibri"/>
          <w:bCs/>
        </w:rPr>
        <w:t xml:space="preserve"> </w:t>
      </w:r>
      <w:r>
        <w:rPr>
          <w:rFonts w:eastAsia="Calibri"/>
          <w:bCs/>
        </w:rPr>
        <w:t>nāca klajā ar priekšlikumu par Vienotā tirgus ārkārtas instrumenta izveidi, lai risinātu krīzes laikā izgaismotās problēmas Vienotajā tirgū un tādējādi visā Eiropas ekonomikā kopumā. Tiek piedāvāts, ka regulējums pievērsīsies ierobežojumu noteikšanas praksei preču, pakalpojumu un personu brīvai kustībai, un preču un pakalpojumu trūkumam krīzes situācijās, t.sk. krājumu veidošanai.</w:t>
      </w:r>
    </w:p>
    <w:p w:rsidR="00B0692D" w:rsidP="0072530E" w:rsidRDefault="0072530E" w14:paraId="3B5119BD" w14:textId="438E0D4B">
      <w:pPr>
        <w:spacing w:before="120" w:after="120"/>
        <w:jc w:val="both"/>
        <w:rPr>
          <w:rFonts w:eastAsia="Calibri"/>
          <w:bCs/>
        </w:rPr>
      </w:pPr>
      <w:r>
        <w:rPr>
          <w:rFonts w:eastAsia="Calibri"/>
          <w:bCs/>
        </w:rPr>
        <w:t xml:space="preserve">Savukārt nacionālajā līmenī ir ieviesti </w:t>
      </w:r>
      <w:r w:rsidR="00B0692D">
        <w:rPr>
          <w:rFonts w:eastAsia="Calibri"/>
          <w:bCs/>
        </w:rPr>
        <w:t>dažādi</w:t>
      </w:r>
      <w:r>
        <w:rPr>
          <w:rFonts w:eastAsia="Calibri"/>
          <w:bCs/>
        </w:rPr>
        <w:t xml:space="preserve"> pasākumi mājsaimniecību un uzņēmumu atbalstam</w:t>
      </w:r>
      <w:r w:rsidR="00617642">
        <w:rPr>
          <w:rFonts w:eastAsia="Calibri"/>
          <w:bCs/>
        </w:rPr>
        <w:t xml:space="preserve"> augsto enerģijas cenu mazināšanai un </w:t>
      </w:r>
      <w:r w:rsidR="00B0692D">
        <w:rPr>
          <w:rFonts w:eastAsia="Calibri"/>
          <w:bCs/>
        </w:rPr>
        <w:t>stabilizēšanai.</w:t>
      </w:r>
      <w:r w:rsidR="00F541EE">
        <w:rPr>
          <w:rFonts w:eastAsia="Calibri"/>
          <w:bCs/>
        </w:rPr>
        <w:t xml:space="preserve"> </w:t>
      </w:r>
      <w:r w:rsidRPr="00151F1D">
        <w:rPr>
          <w:rFonts w:eastAsia="Calibri"/>
          <w:bCs/>
        </w:rPr>
        <w:t xml:space="preserve">No šā gada 1. septembra līdz 2025. gada 31. decembrim elektroenerģijas obligātā iepirkuma komponentes vidējā likme ir paredzēta 0 </w:t>
      </w:r>
      <w:r w:rsidR="0042282C">
        <w:rPr>
          <w:rFonts w:eastAsia="Calibri"/>
          <w:bCs/>
        </w:rPr>
        <w:t>EUR</w:t>
      </w:r>
      <w:r w:rsidRPr="00151F1D">
        <w:rPr>
          <w:rFonts w:eastAsia="Calibri"/>
          <w:bCs/>
        </w:rPr>
        <w:t xml:space="preserve">/MWh apmērā. Līdz ar to, visi elektroenerģijas galalietotāji būs atbrīvoti no obligātā iepirkuma komponentes maksājuma. </w:t>
      </w:r>
    </w:p>
    <w:p w:rsidR="0072530E" w:rsidP="0072530E" w:rsidRDefault="0072530E" w14:paraId="2F559ECF" w14:textId="3BA0D88D">
      <w:pPr>
        <w:spacing w:before="120" w:after="120"/>
        <w:jc w:val="both"/>
        <w:rPr>
          <w:rFonts w:eastAsia="Calibri"/>
          <w:bCs/>
        </w:rPr>
      </w:pPr>
      <w:r w:rsidRPr="00151F1D">
        <w:rPr>
          <w:rFonts w:eastAsia="Calibri"/>
          <w:bCs/>
        </w:rPr>
        <w:t xml:space="preserve">Tāpat, </w:t>
      </w:r>
      <w:r w:rsidRPr="001804FA">
        <w:rPr>
          <w:rFonts w:eastAsia="Calibri"/>
          <w:bCs/>
        </w:rPr>
        <w:t>visām mājsaimniecībām pirm</w:t>
      </w:r>
      <w:r w:rsidR="005324FB">
        <w:rPr>
          <w:rFonts w:eastAsia="Calibri"/>
          <w:bCs/>
        </w:rPr>
        <w:t>ajām patērētajām</w:t>
      </w:r>
      <w:r w:rsidRPr="001804FA">
        <w:rPr>
          <w:rFonts w:eastAsia="Calibri"/>
          <w:bCs/>
        </w:rPr>
        <w:t xml:space="preserve"> 100 kWh ik mēnesi tiks piemērota fiksēta maksa 160 </w:t>
      </w:r>
      <w:r w:rsidR="0042282C">
        <w:rPr>
          <w:rFonts w:eastAsia="Calibri"/>
          <w:bCs/>
        </w:rPr>
        <w:t>EUR</w:t>
      </w:r>
      <w:r w:rsidRPr="001804FA">
        <w:rPr>
          <w:rFonts w:eastAsia="Calibri"/>
          <w:bCs/>
        </w:rPr>
        <w:t xml:space="preserve">/MWh un valsts kompensēs atlikušo starpību līdz tirgus cenai. Savukārt par elektroenerģijas patēriņu virs 100 kWh mājsaimniecība maksās atbilstoši elektroenerģijas tirdzniecības līgumā noteiktajai cenai. Ja mājsaimniecības lietotāja elektroenerģijas patēriņš pārsniegs 500 kWh/mēnesī, tad papildus mājsaimniecības lietotājs saņems arī to atbalstu, kas pienākas, izmantojot elektroenerģiju apkurē. Atbalsts mājsaimniecībām tiks piešķirts automātiski, kompensāciju pārskaitot elektroenerģijas tirgotājiem. Atbalsta periods - no š.g. 1. oktobra līdz 2023. gada 30. aprīlim. Atbalsta sniegšanai nepieciešamais kopējais finansējums - 67 milj. </w:t>
      </w:r>
      <w:r w:rsidR="0042282C">
        <w:rPr>
          <w:rFonts w:eastAsia="Calibri"/>
          <w:bCs/>
        </w:rPr>
        <w:t>EUR</w:t>
      </w:r>
      <w:r w:rsidRPr="001804FA">
        <w:rPr>
          <w:rFonts w:eastAsia="Calibri"/>
          <w:bCs/>
        </w:rPr>
        <w:t>.</w:t>
      </w:r>
    </w:p>
    <w:p w:rsidR="0072530E" w:rsidP="0072530E" w:rsidRDefault="0072530E" w14:paraId="02BA3BC0" w14:textId="3F5425D6">
      <w:pPr>
        <w:spacing w:before="120" w:after="120"/>
        <w:jc w:val="both"/>
        <w:rPr>
          <w:rFonts w:eastAsia="Calibri"/>
          <w:bCs/>
        </w:rPr>
      </w:pPr>
      <w:r>
        <w:rPr>
          <w:rFonts w:eastAsia="Calibri"/>
          <w:bCs/>
        </w:rPr>
        <w:t xml:space="preserve">Vienlaikus, </w:t>
      </w:r>
      <w:r w:rsidRPr="005D484D">
        <w:rPr>
          <w:rFonts w:eastAsia="Calibri"/>
          <w:bCs/>
        </w:rPr>
        <w:t xml:space="preserve">mājsaimniecībām </w:t>
      </w:r>
      <w:r>
        <w:rPr>
          <w:rFonts w:eastAsia="Calibri"/>
          <w:bCs/>
        </w:rPr>
        <w:t>tiek ieviesta</w:t>
      </w:r>
      <w:r w:rsidRPr="005D484D">
        <w:rPr>
          <w:rFonts w:eastAsia="Calibri"/>
          <w:bCs/>
        </w:rPr>
        <w:t xml:space="preserve"> vienota dabasgāzes cenas sliekšņa noteikšana - mājsaimniecībām dabasgāzes tirgus cena tiek noteikta identiska regulētās dabasgāzes cenai - 108,7 </w:t>
      </w:r>
      <w:r w:rsidR="0042282C">
        <w:rPr>
          <w:rFonts w:eastAsia="Calibri"/>
          <w:bCs/>
        </w:rPr>
        <w:t>EUR</w:t>
      </w:r>
      <w:r w:rsidRPr="005D484D">
        <w:rPr>
          <w:rFonts w:eastAsia="Calibri"/>
          <w:bCs/>
        </w:rPr>
        <w:t xml:space="preserve">/MWh. Starpību starp tirgus cenu un 108,7 </w:t>
      </w:r>
      <w:r w:rsidR="0042282C">
        <w:rPr>
          <w:rFonts w:eastAsia="Calibri"/>
          <w:bCs/>
        </w:rPr>
        <w:t>EUR</w:t>
      </w:r>
      <w:r w:rsidRPr="005D484D">
        <w:rPr>
          <w:rFonts w:eastAsia="Calibri"/>
          <w:bCs/>
        </w:rPr>
        <w:t xml:space="preserve">/MWh segs valsts kompensācija. Atbalsts mājsaimniecībām tiks piešķirts automātiski, kompensāciju pārskaitot dabasgāzes tirgotājiem. Atbalsta periods - no š.g. 1. oktobra līdz 2023. gada 30. aprīlim.  Atbalsta sniegšanai nepieciešamais kopējais finansējums – 10,89 milj. </w:t>
      </w:r>
      <w:r w:rsidR="0042282C">
        <w:rPr>
          <w:rFonts w:eastAsia="Calibri"/>
          <w:bCs/>
        </w:rPr>
        <w:t>EUR</w:t>
      </w:r>
      <w:r w:rsidRPr="005D484D">
        <w:rPr>
          <w:rFonts w:eastAsia="Calibri"/>
          <w:bCs/>
        </w:rPr>
        <w:t>.</w:t>
      </w:r>
    </w:p>
    <w:p w:rsidR="0072530E" w:rsidP="0072530E" w:rsidRDefault="0072530E" w14:paraId="3D92F257" w14:textId="6FFE146A">
      <w:pPr>
        <w:spacing w:before="120" w:after="120"/>
        <w:jc w:val="both"/>
        <w:rPr>
          <w:rFonts w:eastAsia="Calibri"/>
          <w:bCs/>
        </w:rPr>
      </w:pPr>
      <w:r w:rsidRPr="003009BD">
        <w:rPr>
          <w:rFonts w:eastAsia="Calibri"/>
          <w:bCs/>
        </w:rPr>
        <w:t>Tāpat, no šā gada 1. oktobra līdz 2023. gada 30. aprīlim tiks kompensētas sistēmas pakalpojuma izmaksas visām juridiskām personām, izņemot valsts un pašvaldību iestādēm un tām juridiskajām personām, kurām tiek piemērots mājsaimniecību tarifs.</w:t>
      </w:r>
    </w:p>
    <w:p w:rsidR="0072530E" w:rsidRDefault="0072530E" w14:paraId="2916D45C" w14:textId="3D6BA92D">
      <w:pPr>
        <w:spacing w:before="120" w:after="120"/>
        <w:jc w:val="both"/>
        <w:rPr>
          <w:rFonts w:eastAsia="Calibri"/>
          <w:bCs/>
        </w:rPr>
      </w:pPr>
      <w:r w:rsidRPr="00EE5E4A">
        <w:rPr>
          <w:rFonts w:eastAsia="Calibri"/>
          <w:bCs/>
        </w:rPr>
        <w:t xml:space="preserve">Savukārt </w:t>
      </w:r>
      <w:r w:rsidR="005324FB">
        <w:rPr>
          <w:rFonts w:eastAsia="Calibri"/>
          <w:bCs/>
        </w:rPr>
        <w:t>attiecībā uz</w:t>
      </w:r>
      <w:r w:rsidRPr="00EE5E4A">
        <w:rPr>
          <w:rFonts w:eastAsia="Calibri"/>
          <w:bCs/>
        </w:rPr>
        <w:t xml:space="preserve"> uzņēmumiem, </w:t>
      </w:r>
      <w:r w:rsidR="00D552AE">
        <w:rPr>
          <w:rFonts w:eastAsia="Calibri"/>
          <w:bCs/>
        </w:rPr>
        <w:t>ir izstrādāta</w:t>
      </w:r>
      <w:r w:rsidRPr="00EE5E4A">
        <w:rPr>
          <w:rFonts w:eastAsia="Calibri"/>
          <w:bCs/>
        </w:rPr>
        <w:t xml:space="preserve"> atbalsta programmu, kas paredz sniegt atbalstu apstrādes rūpniecības energoietilpīgiem komersantiem, paredzot atbalstu to darbības noturēšanai un turpināšanai.</w:t>
      </w:r>
      <w:r w:rsidR="005324FB">
        <w:rPr>
          <w:rFonts w:eastAsia="Calibri"/>
          <w:bCs/>
        </w:rPr>
        <w:t xml:space="preserve"> </w:t>
      </w:r>
      <w:r w:rsidRPr="00EE5E4A">
        <w:rPr>
          <w:rFonts w:eastAsia="Calibri"/>
          <w:bCs/>
        </w:rPr>
        <w:t>Kopējā atbalsta intensitāte vienam komersantam nevienā brīdī nepārsniedz 30% no dabasgāzes un elektroenerģijas attiecināmajām izmaksām un kopējais atbalsts nepārsniedz 2 miljonus EUR vienam komersantam. Atbalstu sniegs Būvniecības valsts kontroles birojs</w:t>
      </w:r>
      <w:r w:rsidR="00D552AE">
        <w:rPr>
          <w:rFonts w:eastAsia="Calibri"/>
          <w:bCs/>
        </w:rPr>
        <w:t>.</w:t>
      </w:r>
    </w:p>
    <w:p w:rsidRPr="0042282C" w:rsidR="000B20FF" w:rsidP="000B20FF" w:rsidRDefault="000B20FF" w14:paraId="2D222346" w14:textId="77777777">
      <w:pPr>
        <w:spacing w:before="120" w:after="120"/>
        <w:jc w:val="both"/>
        <w:rPr>
          <w:rFonts w:eastAsia="Calibri"/>
          <w:bCs/>
          <w:u w:val="single"/>
        </w:rPr>
      </w:pPr>
      <w:r w:rsidRPr="0042282C">
        <w:rPr>
          <w:rFonts w:eastAsia="Calibri"/>
          <w:bCs/>
          <w:u w:val="single"/>
        </w:rPr>
        <w:t>Makrofinansiālā palīdzība Ukrainai</w:t>
      </w:r>
    </w:p>
    <w:p w:rsidR="000B20FF" w:rsidP="00A7379B" w:rsidRDefault="000B20FF" w14:paraId="7E1956C1" w14:textId="29683E14">
      <w:pPr>
        <w:spacing w:before="120" w:after="120"/>
        <w:jc w:val="both"/>
      </w:pPr>
      <w:r w:rsidRPr="00C259C8">
        <w:rPr>
          <w:rFonts w:eastAsia="Calibri"/>
          <w:bCs/>
        </w:rPr>
        <w:lastRenderedPageBreak/>
        <w:t>Ņe</w:t>
      </w:r>
      <w:r w:rsidRPr="00C259C8">
        <w:t xml:space="preserve">mot vērā Ukrainas steidzamās īstermiņa finansējuma vajadzības, </w:t>
      </w:r>
      <w:r w:rsidR="00385C14">
        <w:t>EK</w:t>
      </w:r>
      <w:r w:rsidR="00C90C30">
        <w:t xml:space="preserve"> 7.</w:t>
      </w:r>
      <w:r w:rsidR="005324FB">
        <w:t> </w:t>
      </w:r>
      <w:r w:rsidR="00C90C30">
        <w:t>septembrī izplatīja un ES dalībvalstis 20. septembrī apstiprināja lēmuma priekšlikumu</w:t>
      </w:r>
      <w:r>
        <w:rPr>
          <w:rStyle w:val="FootnoteReference"/>
        </w:rPr>
        <w:footnoteReference w:id="5"/>
      </w:r>
      <w:r w:rsidRPr="00C259C8">
        <w:t xml:space="preserve"> par ārkārtas makrofinansiālās palīdzības sniegšanu Ukrainai </w:t>
      </w:r>
      <w:r>
        <w:t>5</w:t>
      </w:r>
      <w:r w:rsidRPr="00C259C8">
        <w:t xml:space="preserve"> </w:t>
      </w:r>
      <w:r w:rsidRPr="001A2C88" w:rsidR="001A2C88">
        <w:t>mljrd.</w:t>
      </w:r>
      <w:r w:rsidR="001A2C88">
        <w:t xml:space="preserve"> </w:t>
      </w:r>
      <w:r w:rsidRPr="00C259C8">
        <w:t xml:space="preserve"> EUR apmēr</w:t>
      </w:r>
      <w:r>
        <w:t>ā, kopā ar 1. un 2. augustā izmaksāto MFP daļu veidojot 6</w:t>
      </w:r>
      <w:r w:rsidR="008C045A">
        <w:t xml:space="preserve"> </w:t>
      </w:r>
      <w:r w:rsidRPr="001A2C88" w:rsidR="001A2C88">
        <w:t>mljrd.</w:t>
      </w:r>
      <w:r>
        <w:t xml:space="preserve"> EUR</w:t>
      </w:r>
      <w:r w:rsidRPr="00C259C8">
        <w:t>.</w:t>
      </w:r>
      <w:r>
        <w:t xml:space="preserve"> Aizdevuma mērķis ir segt ārkārtas vajadzības</w:t>
      </w:r>
      <w:r w:rsidRPr="00C90C30" w:rsidR="00C90C30">
        <w:t xml:space="preserve"> </w:t>
      </w:r>
      <w:r w:rsidR="00C90C30">
        <w:t>un iztrūkumu Ukrainas budžetā. Aizdevuma nodrošinājumam ir nepieciešama garantija, un, ņemot vērā resursu pieejamību ES budžetā, daļu no MFP garantē ES vispārējais budžets (9%), savukārt atlikušo garantiju (61%) bilaterāli apņemas garantēt dalībvalstis.</w:t>
      </w:r>
      <w:r w:rsidR="00C90C30">
        <w:rPr>
          <w:rStyle w:val="FootnoteReference"/>
        </w:rPr>
        <w:footnoteReference w:id="6"/>
      </w:r>
      <w:r w:rsidR="00A7379B">
        <w:rPr>
          <w:rFonts w:eastAsiaTheme="minorHAnsi"/>
          <w:lang w:eastAsia="lv-LV"/>
        </w:rPr>
        <w:t xml:space="preserve"> </w:t>
      </w:r>
    </w:p>
    <w:p w:rsidRPr="000B20FF" w:rsidR="00BC1BE7" w:rsidP="00531E24" w:rsidRDefault="00BC1BE7" w14:paraId="4879DB3E" w14:textId="1F225F7B">
      <w:pPr>
        <w:spacing w:before="120" w:after="120"/>
        <w:jc w:val="both"/>
      </w:pPr>
      <w:r>
        <w:t xml:space="preserve">Atbilstoši </w:t>
      </w:r>
      <w:r w:rsidR="00385C14">
        <w:t xml:space="preserve">EK </w:t>
      </w:r>
      <w:r>
        <w:t xml:space="preserve">aprēķiniem, kopš kara sākuma “Eiropas komandas” – ES institūciju un ES dalībvalstu, sniegtais atbalsts Ukrainai, neskaitot militāro atbalstu, sasniedz 19 </w:t>
      </w:r>
      <w:r w:rsidRPr="001A2C88" w:rsidR="00F23417">
        <w:t>mljrd.</w:t>
      </w:r>
      <w:r w:rsidR="00F23417">
        <w:t xml:space="preserve"> </w:t>
      </w:r>
      <w:r w:rsidRPr="00C259C8" w:rsidR="00F23417">
        <w:t xml:space="preserve"> </w:t>
      </w:r>
      <w:r>
        <w:t xml:space="preserve"> EUR.</w:t>
      </w:r>
    </w:p>
    <w:p w:rsidRPr="00E633A0" w:rsidR="00531E24" w:rsidP="00531E24" w:rsidRDefault="00531E24" w14:paraId="1B3CDFDE" w14:textId="31BEC4C7">
      <w:pPr>
        <w:spacing w:before="120" w:after="120"/>
        <w:jc w:val="both"/>
        <w:rPr>
          <w:u w:val="single"/>
          <w:vertAlign w:val="superscript"/>
        </w:rPr>
      </w:pPr>
      <w:r>
        <w:rPr>
          <w:u w:val="single"/>
        </w:rPr>
        <w:t>Latvijas nostāja</w:t>
      </w:r>
      <w:r w:rsidR="0008423D">
        <w:rPr>
          <w:rStyle w:val="FootnoteReference"/>
          <w:u w:val="single"/>
        </w:rPr>
        <w:footnoteReference w:id="7"/>
      </w:r>
      <w:r w:rsidR="00E633A0">
        <w:rPr>
          <w:u w:val="single"/>
          <w:vertAlign w:val="superscript"/>
        </w:rPr>
        <w:t>,</w:t>
      </w:r>
      <w:r w:rsidR="00E633A0">
        <w:rPr>
          <w:rStyle w:val="FootnoteReference"/>
          <w:u w:val="single"/>
        </w:rPr>
        <w:footnoteReference w:id="8"/>
      </w:r>
    </w:p>
    <w:p w:rsidR="00531E24" w:rsidP="00531E24" w:rsidRDefault="00531E24" w14:paraId="09651846" w14:textId="03CD6842">
      <w:pPr>
        <w:pStyle w:val="ListParagraph"/>
        <w:numPr>
          <w:ilvl w:val="0"/>
          <w:numId w:val="43"/>
        </w:numPr>
        <w:spacing w:before="120" w:after="120" w:line="240" w:lineRule="auto"/>
        <w:ind w:left="850" w:hanging="425"/>
        <w:contextualSpacing w:val="false"/>
        <w:jc w:val="both"/>
        <w:rPr>
          <w:rFonts w:ascii="Times New Roman" w:hAnsi="Times New Roman" w:cs="Times New Roman"/>
          <w:sz w:val="24"/>
          <w:u w:val="single"/>
        </w:rPr>
      </w:pPr>
      <w:r>
        <w:rPr>
          <w:rFonts w:ascii="Times New Roman" w:hAnsi="Times New Roman" w:cs="Times New Roman"/>
          <w:sz w:val="24"/>
        </w:rPr>
        <w:t xml:space="preserve">Aktuālo </w:t>
      </w:r>
      <w:r w:rsidR="001E3FC9">
        <w:rPr>
          <w:rFonts w:ascii="Times New Roman" w:hAnsi="Times New Roman" w:cs="Times New Roman"/>
          <w:sz w:val="24"/>
        </w:rPr>
        <w:t xml:space="preserve">ekonomisko </w:t>
      </w:r>
      <w:r>
        <w:rPr>
          <w:rFonts w:ascii="Times New Roman" w:hAnsi="Times New Roman" w:cs="Times New Roman"/>
          <w:sz w:val="24"/>
        </w:rPr>
        <w:t xml:space="preserve">izaicinājumu risināšanai nepieciešama koordinēta un vienota ES reakcija. </w:t>
      </w:r>
    </w:p>
    <w:p w:rsidR="00531E24" w:rsidP="00531E24" w:rsidRDefault="00531E24" w14:paraId="0660F9FE" w14:textId="1CF75B2F">
      <w:pPr>
        <w:pStyle w:val="ListParagraph"/>
        <w:numPr>
          <w:ilvl w:val="0"/>
          <w:numId w:val="43"/>
        </w:numPr>
        <w:spacing w:before="120" w:after="120" w:line="240" w:lineRule="auto"/>
        <w:ind w:left="850" w:hanging="425"/>
        <w:contextualSpacing w:val="false"/>
        <w:jc w:val="both"/>
        <w:rPr>
          <w:rFonts w:ascii="Times New Roman" w:hAnsi="Times New Roman" w:cs="Times New Roman"/>
          <w:sz w:val="24"/>
          <w:u w:val="single"/>
        </w:rPr>
      </w:pPr>
      <w:r>
        <w:rPr>
          <w:rFonts w:ascii="Times New Roman" w:hAnsi="Times New Roman" w:cs="Times New Roman"/>
          <w:sz w:val="24"/>
        </w:rPr>
        <w:t xml:space="preserve">Pieņemtajiem pasākumiem jābūt </w:t>
      </w:r>
      <w:r w:rsidR="001A2C88">
        <w:rPr>
          <w:rFonts w:ascii="Times New Roman" w:hAnsi="Times New Roman" w:cs="Times New Roman"/>
          <w:sz w:val="24"/>
        </w:rPr>
        <w:t>vērstiem</w:t>
      </w:r>
      <w:r>
        <w:rPr>
          <w:rFonts w:ascii="Times New Roman" w:hAnsi="Times New Roman" w:cs="Times New Roman"/>
          <w:sz w:val="24"/>
        </w:rPr>
        <w:t xml:space="preserve"> uz visneizsargātākajiem uzņēmumiem un mājsaimniecībām, kurus visvairāk skar augstais inflācijas līmenis.</w:t>
      </w:r>
    </w:p>
    <w:p w:rsidRPr="000B20FF" w:rsidR="00531E24" w:rsidP="00531E24" w:rsidRDefault="00531E24" w14:paraId="51634077" w14:textId="691B5C4A">
      <w:pPr>
        <w:pStyle w:val="ListParagraph"/>
        <w:numPr>
          <w:ilvl w:val="0"/>
          <w:numId w:val="43"/>
        </w:numPr>
        <w:spacing w:before="120" w:after="120" w:line="240" w:lineRule="auto"/>
        <w:ind w:left="850" w:hanging="425"/>
        <w:contextualSpacing w:val="false"/>
        <w:jc w:val="both"/>
        <w:rPr>
          <w:rFonts w:ascii="Times New Roman" w:hAnsi="Times New Roman" w:cs="Times New Roman"/>
          <w:sz w:val="24"/>
          <w:u w:val="single"/>
        </w:rPr>
      </w:pPr>
      <w:r>
        <w:rPr>
          <w:rFonts w:ascii="Times New Roman" w:hAnsi="Times New Roman" w:cs="Times New Roman"/>
          <w:sz w:val="24"/>
        </w:rPr>
        <w:t>Atbalstām ES ilgtermiņa centienus mazināt Eiropas ekonomiku ievainojamību un veicināt noturību, vienlaikus</w:t>
      </w:r>
      <w:r w:rsidR="00083EE6">
        <w:rPr>
          <w:rFonts w:ascii="Times New Roman" w:hAnsi="Times New Roman" w:cs="Times New Roman"/>
          <w:sz w:val="24"/>
        </w:rPr>
        <w:t xml:space="preserve"> nodrošinot</w:t>
      </w:r>
      <w:r>
        <w:rPr>
          <w:rFonts w:ascii="Times New Roman" w:hAnsi="Times New Roman" w:cs="Times New Roman"/>
          <w:sz w:val="24"/>
        </w:rPr>
        <w:t xml:space="preserve"> brīvās tirdzniecības noteikumu ievērošanu un ES vienotā tirgus pilnīgu funkcionēšanu.</w:t>
      </w:r>
    </w:p>
    <w:p w:rsidR="000B20FF" w:rsidP="00531E24" w:rsidRDefault="000B20FF" w14:paraId="0A2D1679" w14:textId="1EF145DC">
      <w:pPr>
        <w:pStyle w:val="ListParagraph"/>
        <w:numPr>
          <w:ilvl w:val="0"/>
          <w:numId w:val="43"/>
        </w:numPr>
        <w:spacing w:before="120" w:after="120" w:line="240" w:lineRule="auto"/>
        <w:ind w:left="850" w:hanging="425"/>
        <w:contextualSpacing w:val="false"/>
        <w:jc w:val="both"/>
        <w:rPr>
          <w:rFonts w:ascii="Times New Roman" w:hAnsi="Times New Roman" w:cs="Times New Roman"/>
          <w:sz w:val="24"/>
        </w:rPr>
      </w:pPr>
      <w:r w:rsidRPr="000B20FF">
        <w:rPr>
          <w:rFonts w:ascii="Times New Roman" w:hAnsi="Times New Roman" w:cs="Times New Roman"/>
          <w:sz w:val="24"/>
        </w:rPr>
        <w:t xml:space="preserve">Latvija ir pilnībā atbalstījusi </w:t>
      </w:r>
      <w:r w:rsidR="00385C14">
        <w:rPr>
          <w:rFonts w:ascii="Times New Roman" w:hAnsi="Times New Roman" w:cs="Times New Roman"/>
          <w:sz w:val="24"/>
        </w:rPr>
        <w:t>EK</w:t>
      </w:r>
      <w:r w:rsidRPr="000B20FF" w:rsidR="00083EE6">
        <w:rPr>
          <w:rFonts w:ascii="Times New Roman" w:hAnsi="Times New Roman" w:cs="Times New Roman"/>
          <w:sz w:val="24"/>
        </w:rPr>
        <w:t xml:space="preserve"> </w:t>
      </w:r>
      <w:r w:rsidRPr="000B20FF">
        <w:rPr>
          <w:rFonts w:ascii="Times New Roman" w:hAnsi="Times New Roman" w:cs="Times New Roman"/>
          <w:sz w:val="24"/>
        </w:rPr>
        <w:t xml:space="preserve">lēmuma priekšlikumu par makrofinansiālās palīdzības sniegšanu Ukrainai, t.sk. papildus 5 </w:t>
      </w:r>
      <w:r w:rsidRPr="00083EE6" w:rsidR="00083EE6">
        <w:rPr>
          <w:rFonts w:ascii="Times New Roman" w:hAnsi="Times New Roman" w:cs="Times New Roman"/>
          <w:sz w:val="24"/>
        </w:rPr>
        <w:t xml:space="preserve">mljrd. </w:t>
      </w:r>
      <w:r w:rsidRPr="000B20FF">
        <w:rPr>
          <w:rFonts w:ascii="Times New Roman" w:hAnsi="Times New Roman" w:cs="Times New Roman"/>
          <w:sz w:val="24"/>
        </w:rPr>
        <w:t>EUR piešķiršan</w:t>
      </w:r>
      <w:r w:rsidR="00C90C30">
        <w:rPr>
          <w:rFonts w:ascii="Times New Roman" w:hAnsi="Times New Roman" w:cs="Times New Roman"/>
          <w:sz w:val="24"/>
        </w:rPr>
        <w:t>u</w:t>
      </w:r>
      <w:r w:rsidRPr="000B20FF">
        <w:rPr>
          <w:rFonts w:ascii="Times New Roman" w:hAnsi="Times New Roman" w:cs="Times New Roman"/>
          <w:sz w:val="24"/>
        </w:rPr>
        <w:t>.</w:t>
      </w:r>
    </w:p>
    <w:p w:rsidR="000B20FF" w:rsidP="00531E24" w:rsidRDefault="000B20FF" w14:paraId="09CF8915" w14:textId="74D3B1A2">
      <w:pPr>
        <w:pStyle w:val="ListParagraph"/>
        <w:numPr>
          <w:ilvl w:val="0"/>
          <w:numId w:val="43"/>
        </w:numPr>
        <w:spacing w:before="120" w:after="120" w:line="240" w:lineRule="auto"/>
        <w:ind w:left="850" w:hanging="425"/>
        <w:contextualSpacing w:val="false"/>
        <w:jc w:val="both"/>
        <w:rPr>
          <w:rFonts w:ascii="Times New Roman" w:hAnsi="Times New Roman" w:cs="Times New Roman"/>
          <w:sz w:val="24"/>
        </w:rPr>
      </w:pPr>
      <w:r>
        <w:rPr>
          <w:rFonts w:ascii="Times New Roman" w:hAnsi="Times New Roman" w:cs="Times New Roman"/>
          <w:sz w:val="24"/>
        </w:rPr>
        <w:t>U</w:t>
      </w:r>
      <w:r w:rsidRPr="000B20FF">
        <w:rPr>
          <w:rFonts w:ascii="Times New Roman" w:hAnsi="Times New Roman" w:cs="Times New Roman"/>
          <w:sz w:val="24"/>
        </w:rPr>
        <w:t xml:space="preserve">kraina ir Latvijas prioritārā attīstības sadarbības valsts, tādēļ vienlaikus arī turpmāk sniegsim </w:t>
      </w:r>
      <w:r w:rsidRPr="000B20FF" w:rsidR="00083EE6">
        <w:rPr>
          <w:rFonts w:ascii="Times New Roman" w:hAnsi="Times New Roman" w:cs="Times New Roman"/>
          <w:sz w:val="24"/>
        </w:rPr>
        <w:t>daudzpus</w:t>
      </w:r>
      <w:r w:rsidR="00083EE6">
        <w:rPr>
          <w:rFonts w:ascii="Times New Roman" w:hAnsi="Times New Roman" w:cs="Times New Roman"/>
          <w:sz w:val="24"/>
        </w:rPr>
        <w:t>īgu</w:t>
      </w:r>
      <w:r w:rsidRPr="000B20FF" w:rsidR="00083EE6">
        <w:rPr>
          <w:rFonts w:ascii="Times New Roman" w:hAnsi="Times New Roman" w:cs="Times New Roman"/>
          <w:sz w:val="24"/>
        </w:rPr>
        <w:t xml:space="preserve"> </w:t>
      </w:r>
      <w:r w:rsidRPr="000B20FF">
        <w:rPr>
          <w:rFonts w:ascii="Times New Roman" w:hAnsi="Times New Roman" w:cs="Times New Roman"/>
          <w:sz w:val="24"/>
        </w:rPr>
        <w:t>atbalstu – sākot ar politisko un militāro, beidzot ar humāno un makrofinansiālo.</w:t>
      </w:r>
    </w:p>
    <w:p w:rsidRPr="00E71559" w:rsidR="00E629C1" w:rsidP="00E71559" w:rsidRDefault="000B20FF" w14:paraId="1E160E58" w14:textId="4458FBD8">
      <w:pPr>
        <w:pStyle w:val="ListParagraph"/>
        <w:numPr>
          <w:ilvl w:val="0"/>
          <w:numId w:val="46"/>
        </w:numPr>
        <w:spacing w:before="120" w:after="120" w:line="240" w:lineRule="auto"/>
        <w:ind w:left="851" w:hanging="425"/>
        <w:jc w:val="both"/>
        <w:rPr>
          <w:u w:val="single"/>
        </w:rPr>
      </w:pPr>
      <w:r>
        <w:rPr>
          <w:rFonts w:ascii="Times New Roman" w:hAnsi="Times New Roman" w:cs="Times New Roman"/>
          <w:sz w:val="24"/>
        </w:rPr>
        <w:t>Ukrainas rūpnīcu un eksporta atjaunošanai jābūt vienai no starptautisko partneru globāla mēroga prioritātēm, ņemot vērā Ukrainas būtisko nozīmi pasaules pārtikas eksporta tirgos.</w:t>
      </w:r>
    </w:p>
    <w:p w:rsidR="004F601B" w:rsidP="00E461D5" w:rsidRDefault="004F601B" w14:paraId="03B7EE70" w14:textId="77777777">
      <w:pPr>
        <w:spacing w:before="120" w:after="120"/>
        <w:jc w:val="both"/>
        <w:rPr>
          <w:rFonts w:eastAsia="Calibri"/>
          <w:b/>
          <w:bCs/>
        </w:rPr>
      </w:pPr>
    </w:p>
    <w:p w:rsidR="00E461D5" w:rsidP="00E461D5" w:rsidRDefault="00E461D5" w14:paraId="1FC26F31" w14:textId="43B4A202">
      <w:pPr>
        <w:spacing w:before="120" w:after="120"/>
        <w:jc w:val="both"/>
        <w:rPr>
          <w:rFonts w:eastAsia="Calibri"/>
          <w:b/>
          <w:bCs/>
        </w:rPr>
      </w:pPr>
      <w:r>
        <w:rPr>
          <w:rFonts w:eastAsia="Calibri"/>
          <w:b/>
          <w:bCs/>
        </w:rPr>
        <w:t>Drošības politika</w:t>
      </w:r>
    </w:p>
    <w:p w:rsidR="001E3FC9" w:rsidP="00E461D5" w:rsidRDefault="00EE03F3" w14:paraId="76024D06" w14:textId="77777777">
      <w:pPr>
        <w:spacing w:before="120" w:after="120"/>
        <w:jc w:val="both"/>
        <w:rPr>
          <w:rFonts w:eastAsia="Calibri"/>
          <w:bCs/>
        </w:rPr>
      </w:pPr>
      <w:r>
        <w:rPr>
          <w:rFonts w:eastAsia="Calibri"/>
          <w:bCs/>
        </w:rPr>
        <w:t>Ņemot vērā mūsdienu drošības apdraudējumu pieaugumu un diskusijas par Eiropas nākotni, šobrīd notiek īpaši strauja un mērķtiecīga virzība uz cieš</w:t>
      </w:r>
      <w:bookmarkStart w:name="_GoBack" w:id="4"/>
      <w:bookmarkEnd w:id="4"/>
      <w:r>
        <w:rPr>
          <w:rFonts w:eastAsia="Calibri"/>
          <w:bCs/>
        </w:rPr>
        <w:t xml:space="preserve">āku ES sadarbību drošībā un </w:t>
      </w:r>
      <w:r>
        <w:rPr>
          <w:rFonts w:eastAsia="Calibri"/>
          <w:bCs/>
        </w:rPr>
        <w:lastRenderedPageBreak/>
        <w:t xml:space="preserve">aizsardzībā. Īpašu aktualitāti šis jautājums ieguvis kopš Krievijas uzsāktā kara Ukrainā. Šajā kontekstā īpaši svarīgi stiprināt ES aizsardzības spējas savas noturības stiprināšanai, kā arī lai varētu sniegt atbalstu Ukrainai. </w:t>
      </w:r>
    </w:p>
    <w:p w:rsidR="001E3FC9" w:rsidP="00E461D5" w:rsidRDefault="00EE03F3" w14:paraId="402601BA" w14:textId="77777777">
      <w:pPr>
        <w:spacing w:before="120" w:after="120"/>
        <w:jc w:val="both"/>
        <w:rPr>
          <w:rFonts w:eastAsia="Calibri"/>
          <w:bCs/>
        </w:rPr>
      </w:pPr>
      <w:r>
        <w:rPr>
          <w:rFonts w:eastAsia="Calibri"/>
          <w:bCs/>
        </w:rPr>
        <w:t>Š.</w:t>
      </w:r>
      <w:r w:rsidR="00B77258">
        <w:rPr>
          <w:rFonts w:eastAsia="Calibri"/>
          <w:bCs/>
        </w:rPr>
        <w:t xml:space="preserve"> </w:t>
      </w:r>
      <w:r>
        <w:rPr>
          <w:rFonts w:eastAsia="Calibri"/>
          <w:bCs/>
        </w:rPr>
        <w:t>g. martā tika apstiprināts ES Stratēģiskais kompass drošībai un aizsardzībai. Tā ir dalībvalstu izstrādāta un apstiprināta stratēģija, kas nosaka politisko ietvaru un konkrētus uzdevumus ES kopējās drošības un aizsardzības politikā nākamajiem 10 gadiem, iekļaujot mērķus, kas attiecas uz krīžu vadību, noturības stiprināšanu,</w:t>
      </w:r>
      <w:r w:rsidR="00491100">
        <w:rPr>
          <w:rFonts w:eastAsia="Calibri"/>
          <w:bCs/>
        </w:rPr>
        <w:t xml:space="preserve"> kā arī</w:t>
      </w:r>
      <w:r>
        <w:rPr>
          <w:rFonts w:eastAsia="Calibri"/>
          <w:bCs/>
        </w:rPr>
        <w:t xml:space="preserve"> spēju attīstīšanu</w:t>
      </w:r>
      <w:r w:rsidR="00491100">
        <w:rPr>
          <w:rFonts w:eastAsia="Calibri"/>
          <w:bCs/>
        </w:rPr>
        <w:t>, veicot</w:t>
      </w:r>
      <w:r>
        <w:rPr>
          <w:rFonts w:eastAsia="Calibri"/>
          <w:bCs/>
        </w:rPr>
        <w:t xml:space="preserve"> investīcij</w:t>
      </w:r>
      <w:r w:rsidR="00491100">
        <w:rPr>
          <w:rFonts w:eastAsia="Calibri"/>
          <w:bCs/>
        </w:rPr>
        <w:t>as</w:t>
      </w:r>
      <w:r>
        <w:rPr>
          <w:rFonts w:eastAsia="Calibri"/>
          <w:bCs/>
        </w:rPr>
        <w:t xml:space="preserve"> un</w:t>
      </w:r>
      <w:r w:rsidR="00491100">
        <w:rPr>
          <w:rFonts w:eastAsia="Calibri"/>
          <w:bCs/>
        </w:rPr>
        <w:t xml:space="preserve"> attīstot</w:t>
      </w:r>
      <w:r>
        <w:rPr>
          <w:rFonts w:eastAsia="Calibri"/>
          <w:bCs/>
        </w:rPr>
        <w:t xml:space="preserve"> </w:t>
      </w:r>
      <w:r w:rsidR="00491100">
        <w:rPr>
          <w:rFonts w:eastAsia="Calibri"/>
          <w:bCs/>
        </w:rPr>
        <w:t>partnerības</w:t>
      </w:r>
      <w:r>
        <w:rPr>
          <w:rFonts w:eastAsia="Calibri"/>
          <w:bCs/>
        </w:rPr>
        <w:t>. Š.</w:t>
      </w:r>
      <w:r w:rsidR="00491100">
        <w:rPr>
          <w:rFonts w:eastAsia="Calibri"/>
          <w:bCs/>
        </w:rPr>
        <w:t xml:space="preserve"> </w:t>
      </w:r>
      <w:r>
        <w:rPr>
          <w:rFonts w:eastAsia="Calibri"/>
          <w:bCs/>
        </w:rPr>
        <w:t xml:space="preserve">g. </w:t>
      </w:r>
      <w:r w:rsidR="007F671D">
        <w:rPr>
          <w:rFonts w:eastAsia="Calibri"/>
          <w:bCs/>
        </w:rPr>
        <w:t>11</w:t>
      </w:r>
      <w:r>
        <w:rPr>
          <w:rFonts w:eastAsia="Calibri"/>
          <w:bCs/>
        </w:rPr>
        <w:t>.</w:t>
      </w:r>
      <w:r w:rsidR="007F671D">
        <w:rPr>
          <w:rFonts w:eastAsia="Calibri"/>
          <w:bCs/>
        </w:rPr>
        <w:t xml:space="preserve"> martā </w:t>
      </w:r>
      <w:r>
        <w:rPr>
          <w:rFonts w:eastAsia="Calibri"/>
          <w:bCs/>
        </w:rPr>
        <w:t>ES līderi Versaļas deklarācijā iekļāva aicinājumu vairāk un labāk investēt aizsardzības spējās un inovatīvās tehnoloģijās.</w:t>
      </w:r>
    </w:p>
    <w:p w:rsidRPr="00EE03F3" w:rsidR="00E461D5" w:rsidP="00E461D5" w:rsidRDefault="00EE03F3" w14:paraId="01306A6B" w14:textId="04B5BFD6">
      <w:pPr>
        <w:spacing w:before="120" w:after="120"/>
        <w:jc w:val="both"/>
        <w:rPr>
          <w:rFonts w:eastAsia="Calibri"/>
          <w:bCs/>
        </w:rPr>
      </w:pPr>
      <w:r>
        <w:rPr>
          <w:rFonts w:eastAsia="Calibri"/>
          <w:bCs/>
        </w:rPr>
        <w:t>Reaģējot uz šo uzdevumu,</w:t>
      </w:r>
      <w:r w:rsidR="007F671D">
        <w:rPr>
          <w:rFonts w:eastAsia="Calibri"/>
          <w:bCs/>
        </w:rPr>
        <w:t xml:space="preserve"> 18. maijā</w:t>
      </w:r>
      <w:r>
        <w:rPr>
          <w:rFonts w:eastAsia="Calibri"/>
          <w:bCs/>
        </w:rPr>
        <w:t xml:space="preserve"> tika publicēts ES Augstā pārstāvja un </w:t>
      </w:r>
      <w:r w:rsidR="00385C14">
        <w:rPr>
          <w:rFonts w:eastAsia="Calibri"/>
          <w:bCs/>
        </w:rPr>
        <w:t>EK</w:t>
      </w:r>
      <w:r>
        <w:rPr>
          <w:rFonts w:eastAsia="Calibri"/>
          <w:bCs/>
        </w:rPr>
        <w:t xml:space="preserve"> kopīgs paziņojums “Aizsardzības investīciju nepietiekamības analīze un turpmākā virzība”. Tajā tika identificēti trīs galvenie nepietiekamību veidi: izdevumi aizsardzībai; aizsardzības rūpniecības nepietiekamība; spēju nepietiekamība, īpaši ar skatu uz krājumu papildināšanu, no padomju laika mantoto sistēmu aizstāšanu un pretgaisa un pretraķešu aizsardzības sistēmu stiprināšanu. Papildus, </w:t>
      </w:r>
      <w:r w:rsidR="00385C14">
        <w:rPr>
          <w:rFonts w:eastAsia="Calibri"/>
          <w:bCs/>
        </w:rPr>
        <w:t>EK</w:t>
      </w:r>
      <w:r>
        <w:rPr>
          <w:rFonts w:eastAsia="Calibri"/>
          <w:bCs/>
        </w:rPr>
        <w:t xml:space="preserve"> izstrādājusi priekšlikumu regulai, kuras mērķis ir stiprināt Eiropas aizsardzības industriju. Regulas priekšlikums paredz piedāvāt finansiālu atbalstu kopīgiem dalībvalstu iepirkumiem aizsardzības nozarē. </w:t>
      </w:r>
    </w:p>
    <w:p w:rsidRPr="00E629C1" w:rsidR="00E461D5" w:rsidP="00E461D5" w:rsidRDefault="00E461D5" w14:paraId="396F4684" w14:textId="04096D21">
      <w:pPr>
        <w:spacing w:before="120" w:after="120"/>
        <w:jc w:val="both"/>
        <w:rPr>
          <w:u w:val="single"/>
        </w:rPr>
      </w:pPr>
      <w:r w:rsidRPr="00E629C1">
        <w:rPr>
          <w:u w:val="single"/>
        </w:rPr>
        <w:t>Latvijas nostāja</w:t>
      </w:r>
      <w:r w:rsidR="00227913">
        <w:rPr>
          <w:rStyle w:val="FootnoteReference"/>
          <w:u w:val="single"/>
        </w:rPr>
        <w:footnoteReference w:id="9"/>
      </w:r>
    </w:p>
    <w:p w:rsidR="00EE03F3" w:rsidP="00EE03F3" w:rsidRDefault="00EE03F3" w14:paraId="7FD018D5" w14:textId="392D861F">
      <w:pPr>
        <w:pStyle w:val="ListParagraph"/>
        <w:numPr>
          <w:ilvl w:val="0"/>
          <w:numId w:val="40"/>
        </w:numPr>
        <w:spacing w:before="120" w:after="120" w:line="240" w:lineRule="auto"/>
        <w:ind w:left="714" w:hanging="357"/>
        <w:contextualSpacing w:val="false"/>
        <w:jc w:val="both"/>
        <w:rPr>
          <w:rFonts w:ascii="Times New Roman" w:hAnsi="Times New Roman"/>
          <w:bCs/>
          <w:sz w:val="24"/>
          <w:szCs w:val="24"/>
        </w:rPr>
      </w:pPr>
      <w:bookmarkStart w:name="_Hlk112935232" w:id="5"/>
      <w:r>
        <w:rPr>
          <w:rFonts w:ascii="Times New Roman" w:hAnsi="Times New Roman"/>
          <w:bCs/>
          <w:sz w:val="24"/>
          <w:szCs w:val="24"/>
        </w:rPr>
        <w:t>ES svarīgi turpināt atbalstīt Ukrainu, stiprināt savu noturību, mazināt atkarību no Krievijas</w:t>
      </w:r>
      <w:r w:rsidR="00B77258">
        <w:rPr>
          <w:rFonts w:ascii="Times New Roman" w:hAnsi="Times New Roman"/>
          <w:bCs/>
          <w:sz w:val="24"/>
          <w:szCs w:val="24"/>
        </w:rPr>
        <w:t xml:space="preserve"> resursiem</w:t>
      </w:r>
      <w:r>
        <w:rPr>
          <w:rFonts w:ascii="Times New Roman" w:hAnsi="Times New Roman"/>
          <w:bCs/>
          <w:sz w:val="24"/>
          <w:szCs w:val="24"/>
        </w:rPr>
        <w:t xml:space="preserve"> un </w:t>
      </w:r>
      <w:r w:rsidRPr="006C6D77">
        <w:rPr>
          <w:rFonts w:ascii="Times New Roman" w:hAnsi="Times New Roman"/>
          <w:bCs/>
          <w:sz w:val="24"/>
          <w:szCs w:val="24"/>
        </w:rPr>
        <w:t>sadarboties ar līdzīgi domājošajiem partneriem</w:t>
      </w:r>
      <w:r>
        <w:rPr>
          <w:rFonts w:ascii="Times New Roman" w:hAnsi="Times New Roman"/>
          <w:bCs/>
          <w:sz w:val="24"/>
          <w:szCs w:val="24"/>
        </w:rPr>
        <w:t>.</w:t>
      </w:r>
      <w:bookmarkEnd w:id="5"/>
    </w:p>
    <w:p w:rsidR="00EE03F3" w:rsidP="00EE03F3" w:rsidRDefault="00EE03F3" w14:paraId="6D55AE12" w14:textId="77777777">
      <w:pPr>
        <w:pStyle w:val="ListParagraph"/>
        <w:numPr>
          <w:ilvl w:val="0"/>
          <w:numId w:val="40"/>
        </w:numPr>
        <w:spacing w:before="120" w:after="120" w:line="240" w:lineRule="auto"/>
        <w:ind w:left="714" w:hanging="357"/>
        <w:contextualSpacing w:val="false"/>
        <w:jc w:val="both"/>
        <w:rPr>
          <w:rFonts w:ascii="Times New Roman" w:hAnsi="Times New Roman" w:cs="Times New Roman"/>
          <w:sz w:val="24"/>
          <w:szCs w:val="24"/>
        </w:rPr>
      </w:pPr>
      <w:r>
        <w:rPr>
          <w:rFonts w:ascii="Times New Roman" w:hAnsi="Times New Roman" w:cs="Times New Roman"/>
          <w:sz w:val="24"/>
          <w:szCs w:val="24"/>
        </w:rPr>
        <w:t xml:space="preserve">Novērtējam, ka Stratēģiskajā kompasā iekļauts Krievijas karadarbības Ukrainā un tās radīto draudu atspoguļojums, uzsvars uz stratēģisko partnerību ar NATO un </w:t>
      </w:r>
      <w:r w:rsidRPr="006C6D77">
        <w:rPr>
          <w:rFonts w:ascii="Times New Roman" w:hAnsi="Times New Roman" w:cs="Times New Roman"/>
          <w:sz w:val="24"/>
          <w:szCs w:val="24"/>
        </w:rPr>
        <w:t>paplašināts atbalsts Austrumu partneriem ar mērķi stiprināt to spējas un noturību</w:t>
      </w:r>
      <w:r>
        <w:rPr>
          <w:rFonts w:ascii="Times New Roman" w:hAnsi="Times New Roman" w:cs="Times New Roman"/>
          <w:sz w:val="24"/>
          <w:szCs w:val="24"/>
        </w:rPr>
        <w:t>.</w:t>
      </w:r>
    </w:p>
    <w:p w:rsidR="00EE03F3" w:rsidP="00EE03F3" w:rsidRDefault="006C6D77" w14:paraId="0B03CAC6" w14:textId="623DD56D">
      <w:pPr>
        <w:pStyle w:val="ListParagraph"/>
        <w:numPr>
          <w:ilvl w:val="0"/>
          <w:numId w:val="40"/>
        </w:numPr>
        <w:spacing w:before="120" w:after="120" w:line="240" w:lineRule="auto"/>
        <w:ind w:left="714" w:hanging="357"/>
        <w:contextualSpacing w:val="false"/>
        <w:jc w:val="both"/>
        <w:rPr>
          <w:rFonts w:ascii="Times New Roman" w:hAnsi="Times New Roman" w:cs="Times New Roman"/>
          <w:sz w:val="24"/>
          <w:szCs w:val="24"/>
        </w:rPr>
      </w:pPr>
      <w:r>
        <w:rPr>
          <w:rFonts w:ascii="Times New Roman" w:hAnsi="Times New Roman" w:cs="Times New Roman"/>
          <w:sz w:val="24"/>
          <w:szCs w:val="24"/>
        </w:rPr>
        <w:t>J</w:t>
      </w:r>
      <w:r w:rsidR="00EE03F3">
        <w:rPr>
          <w:rFonts w:ascii="Times New Roman" w:hAnsi="Times New Roman" w:cs="Times New Roman"/>
          <w:sz w:val="24"/>
          <w:szCs w:val="24"/>
        </w:rPr>
        <w:t>āņem vērā, ka Kompasa izstrādāšana notika pirms Krievijas iebrukuma Ukrainā, tāpēc būtu svarīgi veikt regulāru ES draudu analīzi, lai veidotu vienotu un reālistisku draudu uztveri un noteiktu draudiem atbilstošas ES drošības politikas prioritātes.</w:t>
      </w:r>
    </w:p>
    <w:p w:rsidR="00D42354" w:rsidP="00215974" w:rsidRDefault="00EE03F3" w14:paraId="01AEBAE0" w14:textId="2911DAE5">
      <w:pPr>
        <w:pStyle w:val="ListParagraph"/>
        <w:numPr>
          <w:ilvl w:val="0"/>
          <w:numId w:val="40"/>
        </w:numPr>
        <w:spacing w:line="240" w:lineRule="auto"/>
        <w:jc w:val="both"/>
        <w:rPr>
          <w:rFonts w:ascii="Times New Roman" w:hAnsi="Times New Roman" w:cs="Times New Roman"/>
          <w:sz w:val="24"/>
          <w:szCs w:val="24"/>
        </w:rPr>
      </w:pPr>
      <w:r>
        <w:rPr>
          <w:rFonts w:ascii="Times New Roman" w:hAnsi="Times New Roman" w:cs="Times New Roman"/>
          <w:sz w:val="24"/>
          <w:szCs w:val="24"/>
        </w:rPr>
        <w:t>Svarīgi stiprināt ES</w:t>
      </w:r>
      <w:r w:rsidR="008B639F">
        <w:rPr>
          <w:rFonts w:ascii="Times New Roman" w:hAnsi="Times New Roman" w:cs="Times New Roman"/>
          <w:sz w:val="24"/>
          <w:szCs w:val="24"/>
        </w:rPr>
        <w:t xml:space="preserve"> sadarbību aizsardzības nozarē un</w:t>
      </w:r>
      <w:r>
        <w:rPr>
          <w:rFonts w:ascii="Times New Roman" w:hAnsi="Times New Roman" w:cs="Times New Roman"/>
          <w:sz w:val="24"/>
          <w:szCs w:val="24"/>
        </w:rPr>
        <w:t xml:space="preserve"> militārās industrijas spējas, lai stiprinātu ES noturību. Šajā kontekstā īpaši svarīgi strādāt ar kritisko spēju </w:t>
      </w:r>
      <w:r w:rsidRPr="00EB3464">
        <w:rPr>
          <w:rFonts w:ascii="Times New Roman" w:hAnsi="Times New Roman" w:cs="Times New Roman"/>
          <w:sz w:val="24"/>
          <w:szCs w:val="24"/>
        </w:rPr>
        <w:t>iztrūkumiem dalībvalstīs, kas ir pakļautas tiešam Krievijas apdraudējumam</w:t>
      </w:r>
      <w:r w:rsidR="00215974">
        <w:rPr>
          <w:rFonts w:ascii="Times New Roman" w:hAnsi="Times New Roman" w:cs="Times New Roman"/>
          <w:sz w:val="24"/>
          <w:szCs w:val="24"/>
        </w:rPr>
        <w:t>.</w:t>
      </w:r>
      <w:r w:rsidR="0072530E">
        <w:rPr>
          <w:rFonts w:ascii="Times New Roman" w:hAnsi="Times New Roman" w:cs="Times New Roman"/>
          <w:sz w:val="24"/>
          <w:szCs w:val="24"/>
        </w:rPr>
        <w:t xml:space="preserve"> </w:t>
      </w:r>
      <w:r w:rsidRPr="0042282C" w:rsidR="0072530E">
        <w:rPr>
          <w:rFonts w:ascii="Times New Roman" w:hAnsi="Times New Roman" w:cs="Times New Roman"/>
          <w:sz w:val="24"/>
          <w:szCs w:val="24"/>
        </w:rPr>
        <w:t>Militārās industrijas jomā ir nozīmīga sadarbība arī ar partnervalstīm ārpus ES.</w:t>
      </w:r>
    </w:p>
    <w:p w:rsidR="00E461D5" w:rsidP="00A71B25" w:rsidRDefault="00EE03F3" w14:paraId="30E399CB" w14:textId="54887735">
      <w:r w:rsidRPr="00EB3464">
        <w:t xml:space="preserve"> </w:t>
      </w:r>
    </w:p>
    <w:p w:rsidRPr="00CC7A32" w:rsidR="00DA2DFB" w:rsidP="008E6093" w:rsidRDefault="00D85435" w14:paraId="28B359F1" w14:textId="0D8ABA34">
      <w:pPr>
        <w:spacing w:before="120" w:after="120"/>
        <w:jc w:val="both"/>
        <w:rPr>
          <w:bCs/>
          <w:kern w:val="1"/>
          <w:lang w:eastAsia="ar-SA"/>
        </w:rPr>
      </w:pPr>
      <w:r w:rsidRPr="00CC7A32">
        <w:t>Ārlietu ministrs</w:t>
      </w:r>
      <w:r w:rsidRPr="00CC7A32" w:rsidR="000911CE">
        <w:rPr>
          <w:bCs/>
          <w:kern w:val="1"/>
          <w:lang w:eastAsia="ar-SA"/>
        </w:rPr>
        <w:tab/>
      </w:r>
      <w:r w:rsidRPr="00CC7A32" w:rsidR="000911CE">
        <w:rPr>
          <w:bCs/>
          <w:kern w:val="1"/>
          <w:lang w:eastAsia="ar-SA"/>
        </w:rPr>
        <w:tab/>
      </w:r>
      <w:r w:rsidRPr="00CC7A32" w:rsidR="000911CE">
        <w:rPr>
          <w:bCs/>
          <w:kern w:val="1"/>
          <w:lang w:eastAsia="ar-SA"/>
        </w:rPr>
        <w:tab/>
      </w:r>
      <w:r w:rsidRPr="00CC7A32" w:rsidR="000911CE">
        <w:rPr>
          <w:bCs/>
          <w:kern w:val="1"/>
          <w:lang w:eastAsia="ar-SA"/>
        </w:rPr>
        <w:tab/>
      </w:r>
      <w:r w:rsidRPr="00CC7A32" w:rsidR="000911CE">
        <w:rPr>
          <w:bCs/>
          <w:kern w:val="1"/>
          <w:lang w:eastAsia="ar-SA"/>
        </w:rPr>
        <w:tab/>
      </w:r>
      <w:r w:rsidRPr="00CC7A32" w:rsidR="000911CE">
        <w:rPr>
          <w:bCs/>
          <w:kern w:val="1"/>
          <w:lang w:eastAsia="ar-SA"/>
        </w:rPr>
        <w:tab/>
      </w:r>
      <w:r w:rsidRPr="00CC7A32" w:rsidR="000911CE">
        <w:rPr>
          <w:bCs/>
          <w:kern w:val="1"/>
          <w:lang w:eastAsia="ar-SA"/>
        </w:rPr>
        <w:tab/>
      </w:r>
      <w:r w:rsidRPr="00CC7A32" w:rsidR="000911CE">
        <w:rPr>
          <w:bCs/>
          <w:kern w:val="1"/>
          <w:lang w:eastAsia="ar-SA"/>
        </w:rPr>
        <w:tab/>
        <w:t xml:space="preserve">    </w:t>
      </w:r>
      <w:r w:rsidRPr="00CC7A32">
        <w:t>E.</w:t>
      </w:r>
      <w:r w:rsidRPr="00CC7A32" w:rsidR="006A663C">
        <w:t> </w:t>
      </w:r>
      <w:r w:rsidRPr="00CC7A32">
        <w:t>Rinkēvičs</w:t>
      </w:r>
    </w:p>
    <w:p w:rsidRPr="001A16D0" w:rsidR="00256A39" w:rsidP="00CD2839" w:rsidRDefault="00256A39" w14:paraId="614F2455" w14:textId="77777777">
      <w:pPr>
        <w:spacing w:before="120" w:after="120"/>
        <w:jc w:val="both"/>
        <w:rPr>
          <w:bCs/>
          <w:kern w:val="1"/>
          <w:lang w:eastAsia="ar-SA"/>
        </w:rPr>
      </w:pPr>
    </w:p>
    <w:p w:rsidRPr="0029576E" w:rsidR="007C23CA" w:rsidP="00CD2839" w:rsidRDefault="007B299A" w14:paraId="70CD96CF" w14:textId="2C84817B">
      <w:pPr>
        <w:spacing w:before="120" w:after="120"/>
        <w:ind w:right="-113"/>
        <w:jc w:val="both"/>
        <w:rPr>
          <w:bCs/>
          <w:kern w:val="1"/>
          <w:lang w:eastAsia="ar-SA"/>
        </w:rPr>
      </w:pPr>
      <w:r w:rsidRPr="00CC7A32">
        <w:rPr>
          <w:bCs/>
          <w:kern w:val="1"/>
          <w:lang w:eastAsia="ar-SA"/>
        </w:rPr>
        <w:t>Vīza: valsts sekretārs</w:t>
      </w:r>
      <w:r w:rsidRPr="00CC7A32" w:rsidR="00B00DC6">
        <w:rPr>
          <w:bCs/>
          <w:kern w:val="1"/>
          <w:lang w:eastAsia="ar-SA"/>
        </w:rPr>
        <w:tab/>
      </w:r>
      <w:r w:rsidRPr="00CC7A32" w:rsidR="00B00DC6">
        <w:rPr>
          <w:bCs/>
          <w:kern w:val="1"/>
          <w:lang w:eastAsia="ar-SA"/>
        </w:rPr>
        <w:tab/>
      </w:r>
      <w:r w:rsidRPr="00CC7A32" w:rsidR="00B00DC6">
        <w:rPr>
          <w:bCs/>
          <w:kern w:val="1"/>
          <w:lang w:eastAsia="ar-SA"/>
        </w:rPr>
        <w:tab/>
      </w:r>
      <w:r w:rsidRPr="00CC7A32" w:rsidR="00B00DC6">
        <w:rPr>
          <w:bCs/>
          <w:kern w:val="1"/>
          <w:lang w:eastAsia="ar-SA"/>
        </w:rPr>
        <w:tab/>
      </w:r>
      <w:r w:rsidRPr="00CC7A32" w:rsidR="00B00DC6">
        <w:rPr>
          <w:bCs/>
          <w:kern w:val="1"/>
          <w:lang w:eastAsia="ar-SA"/>
        </w:rPr>
        <w:tab/>
      </w:r>
      <w:r w:rsidRPr="00CC7A32" w:rsidR="00B00DC6">
        <w:rPr>
          <w:bCs/>
          <w:kern w:val="1"/>
          <w:lang w:eastAsia="ar-SA"/>
        </w:rPr>
        <w:tab/>
      </w:r>
      <w:r w:rsidRPr="00CC7A32" w:rsidR="00B00DC6">
        <w:rPr>
          <w:bCs/>
          <w:kern w:val="1"/>
          <w:lang w:eastAsia="ar-SA"/>
        </w:rPr>
        <w:tab/>
        <w:t xml:space="preserve">     </w:t>
      </w:r>
      <w:r w:rsidRPr="00CC7A32">
        <w:rPr>
          <w:bCs/>
          <w:kern w:val="1"/>
          <w:lang w:eastAsia="ar-SA"/>
        </w:rPr>
        <w:tab/>
        <w:t xml:space="preserve">     A.</w:t>
      </w:r>
      <w:r w:rsidRPr="00CC7A32" w:rsidR="006A663C">
        <w:rPr>
          <w:bCs/>
          <w:kern w:val="1"/>
          <w:lang w:eastAsia="ar-SA"/>
        </w:rPr>
        <w:t> </w:t>
      </w:r>
      <w:r w:rsidRPr="00CC7A32">
        <w:rPr>
          <w:bCs/>
          <w:kern w:val="1"/>
          <w:lang w:eastAsia="ar-SA"/>
        </w:rPr>
        <w:t>Pelšs</w:t>
      </w:r>
    </w:p>
    <w:p w:rsidRPr="0029576E" w:rsidR="00256A39" w:rsidP="00CD2839" w:rsidRDefault="00256A39" w14:paraId="2EBD0D57" w14:textId="77777777">
      <w:pPr>
        <w:spacing w:before="120" w:after="120"/>
      </w:pPr>
    </w:p>
    <w:p w:rsidR="00647467" w:rsidP="00647467" w:rsidRDefault="00647467" w14:paraId="3DA69106" w14:textId="77777777">
      <w:pPr>
        <w:rPr>
          <w:sz w:val="20"/>
          <w:szCs w:val="20"/>
        </w:rPr>
      </w:pPr>
      <w:r w:rsidRPr="000C5234">
        <w:rPr>
          <w:sz w:val="20"/>
          <w:szCs w:val="20"/>
        </w:rPr>
        <w:t>G. Bērziņš, 67015929</w:t>
      </w:r>
      <w:r>
        <w:rPr>
          <w:sz w:val="20"/>
          <w:szCs w:val="20"/>
        </w:rPr>
        <w:t xml:space="preserve"> </w:t>
      </w:r>
    </w:p>
    <w:p w:rsidRPr="00647467" w:rsidR="006B0600" w:rsidP="00647467" w:rsidRDefault="00647467" w14:paraId="7F8EDF67" w14:textId="0A022340">
      <w:pPr>
        <w:rPr>
          <w:sz w:val="20"/>
          <w:szCs w:val="20"/>
        </w:rPr>
      </w:pPr>
      <w:r w:rsidRPr="000C5234">
        <w:rPr>
          <w:sz w:val="20"/>
          <w:szCs w:val="20"/>
        </w:rPr>
        <w:t>gatis.berzins@mfa.gov.lv</w:t>
      </w:r>
    </w:p>
    <w:sectPr w:rsidRPr="00647467" w:rsidR="006B0600" w:rsidSect="001C21D0">
      <w:footerReference w:type="default" r:id="rId8"/>
      <w:pgSz w:w="12240" w:h="15840"/>
      <w:pgMar w:top="964" w:right="1758" w:bottom="2269" w:left="175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6A1458" w14:textId="77777777" w:rsidR="0005658F" w:rsidRDefault="0005658F" w:rsidP="00160121">
      <w:r>
        <w:separator/>
      </w:r>
    </w:p>
  </w:endnote>
  <w:endnote w:type="continuationSeparator" w:id="0">
    <w:p w14:paraId="0BC84715" w14:textId="77777777" w:rsidR="0005658F" w:rsidRDefault="0005658F" w:rsidP="00160121">
      <w:r>
        <w:continuationSeparator/>
      </w:r>
    </w:p>
  </w:endnote>
  <w:endnote w:type="continuationNotice" w:id="1">
    <w:p w14:paraId="5DE1C66E" w14:textId="77777777" w:rsidR="0005658F" w:rsidRDefault="000565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02599851"/>
      <w:docPartObj>
        <w:docPartGallery w:val="Page Numbers (Bottom of Page)"/>
        <w:docPartUnique/>
      </w:docPartObj>
    </w:sdtPr>
    <w:sdtEndPr>
      <w:rPr>
        <w:noProof/>
      </w:rPr>
    </w:sdtEndPr>
    <w:sdtContent>
      <w:p w14:paraId="49BA3E8E" w14:textId="5361E3F6" w:rsidR="00DF23F1" w:rsidRPr="00DF23F1" w:rsidRDefault="00A00ADC" w:rsidP="00DF23F1">
        <w:pPr>
          <w:keepNext/>
          <w:keepLines/>
          <w:suppressAutoHyphens/>
          <w:spacing w:before="200"/>
          <w:jc w:val="both"/>
          <w:outlineLvl w:val="2"/>
          <w:rPr>
            <w:bCs/>
            <w:sz w:val="20"/>
            <w:szCs w:val="20"/>
          </w:rPr>
        </w:pPr>
        <w:r w:rsidRPr="00C43550">
          <w:rPr>
            <w:sz w:val="20"/>
            <w:szCs w:val="20"/>
          </w:rPr>
          <w:t>AMzino_</w:t>
        </w:r>
        <w:r w:rsidR="00647467">
          <w:rPr>
            <w:sz w:val="20"/>
            <w:szCs w:val="20"/>
          </w:rPr>
          <w:t>30</w:t>
        </w:r>
        <w:r w:rsidR="006A663C" w:rsidRPr="00C43550">
          <w:rPr>
            <w:sz w:val="20"/>
            <w:szCs w:val="20"/>
          </w:rPr>
          <w:t>0</w:t>
        </w:r>
        <w:r w:rsidR="00647467">
          <w:rPr>
            <w:sz w:val="20"/>
            <w:szCs w:val="20"/>
          </w:rPr>
          <w:t>9</w:t>
        </w:r>
        <w:r w:rsidR="003002D8" w:rsidRPr="00C43550">
          <w:rPr>
            <w:sz w:val="20"/>
            <w:szCs w:val="20"/>
          </w:rPr>
          <w:t>22</w:t>
        </w:r>
        <w:r w:rsidRPr="00C43550">
          <w:rPr>
            <w:sz w:val="20"/>
            <w:szCs w:val="20"/>
          </w:rPr>
          <w:t>;</w:t>
        </w:r>
        <w:r w:rsidR="00B534FB" w:rsidRPr="001024AC">
          <w:rPr>
            <w:bCs/>
            <w:sz w:val="20"/>
            <w:szCs w:val="20"/>
          </w:rPr>
          <w:t xml:space="preserve"> </w:t>
        </w:r>
        <w:r w:rsidR="00CB1F3C">
          <w:rPr>
            <w:bCs/>
            <w:sz w:val="20"/>
            <w:szCs w:val="20"/>
          </w:rPr>
          <w:t>I</w:t>
        </w:r>
        <w:r w:rsidR="00A238E9" w:rsidRPr="00DF23F1">
          <w:rPr>
            <w:bCs/>
            <w:sz w:val="20"/>
            <w:szCs w:val="20"/>
          </w:rPr>
          <w:t>nformatīvais ziņojums</w:t>
        </w:r>
        <w:r w:rsidR="00B534FB" w:rsidRPr="00DF23F1">
          <w:rPr>
            <w:bCs/>
            <w:sz w:val="20"/>
            <w:szCs w:val="20"/>
          </w:rPr>
          <w:t xml:space="preserve"> </w:t>
        </w:r>
        <w:r w:rsidR="00DF23F1" w:rsidRPr="00DF23F1">
          <w:rPr>
            <w:bCs/>
            <w:sz w:val="20"/>
            <w:szCs w:val="20"/>
          </w:rPr>
          <w:t>“</w:t>
        </w:r>
        <w:r w:rsidR="003D28D8" w:rsidRPr="003D28D8">
          <w:rPr>
            <w:bCs/>
            <w:sz w:val="20"/>
            <w:szCs w:val="20"/>
          </w:rPr>
          <w:t>Par 2022. gada 6.-7. oktobra Eiropas politiskās kopienas līderu sanāksmē un neformālajā Eiropadomē izskatāmajiem jautājumiem</w:t>
        </w:r>
        <w:r w:rsidR="00DF23F1" w:rsidRPr="00DF23F1">
          <w:rPr>
            <w:bCs/>
            <w:sz w:val="20"/>
            <w:szCs w:val="20"/>
          </w:rPr>
          <w:t>”</w:t>
        </w:r>
      </w:p>
      <w:p w14:paraId="08FEAED9" w14:textId="647E3DC9" w:rsidR="00160121" w:rsidRDefault="00A3363C" w:rsidP="00DF23F1">
        <w:pPr>
          <w:keepNext/>
          <w:keepLines/>
          <w:suppressAutoHyphens/>
          <w:spacing w:before="200"/>
          <w:jc w:val="center"/>
          <w:outlineLvl w:val="2"/>
        </w:pPr>
        <w:r>
          <w:fldChar w:fldCharType="begin"/>
        </w:r>
        <w:r>
          <w:instrText xml:space="preserve"> PAGE   \* MERGEFORMAT </w:instrText>
        </w:r>
        <w:r>
          <w:fldChar w:fldCharType="separate"/>
        </w:r>
        <w:r w:rsidR="000F7CD2">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00F8B9" w14:textId="77777777" w:rsidR="0005658F" w:rsidRDefault="0005658F" w:rsidP="00160121">
      <w:r>
        <w:separator/>
      </w:r>
    </w:p>
  </w:footnote>
  <w:footnote w:type="continuationSeparator" w:id="0">
    <w:p w14:paraId="32A32D34" w14:textId="77777777" w:rsidR="0005658F" w:rsidRDefault="0005658F" w:rsidP="00160121">
      <w:r>
        <w:continuationSeparator/>
      </w:r>
    </w:p>
  </w:footnote>
  <w:footnote w:type="continuationNotice" w:id="1">
    <w:p w14:paraId="4C77E1B6" w14:textId="77777777" w:rsidR="0005658F" w:rsidRDefault="0005658F"/>
  </w:footnote>
  <w:footnote w:id="2">
    <w:p w14:paraId="57FD6379" w14:textId="7821906B" w:rsidR="00450CC6" w:rsidRDefault="00450CC6" w:rsidP="005258B2">
      <w:pPr>
        <w:pStyle w:val="FootnoteText"/>
        <w:jc w:val="both"/>
      </w:pPr>
      <w:r>
        <w:rPr>
          <w:rStyle w:val="FootnoteReference"/>
        </w:rPr>
        <w:footnoteRef/>
      </w:r>
      <w:r>
        <w:t xml:space="preserve"> </w:t>
      </w:r>
      <w:r w:rsidR="005258B2">
        <w:t>N</w:t>
      </w:r>
      <w:r w:rsidR="005258B2" w:rsidRPr="005258B2">
        <w:t xml:space="preserve">acionālā pozīcija Nr. 1 </w:t>
      </w:r>
      <w:r w:rsidR="005258B2">
        <w:t>“</w:t>
      </w:r>
      <w:r w:rsidR="005258B2" w:rsidRPr="005258B2">
        <w:t>Par 2022. gada 23.-24. jūnija Eiropadomē izskatāmajiem jautājumiem</w:t>
      </w:r>
      <w:r w:rsidR="005258B2">
        <w:t xml:space="preserve">” apstiprināta Ministru kabinetā 2022. gada 21. jūnijā un </w:t>
      </w:r>
      <w:r w:rsidR="005258B2" w:rsidRPr="00E633A0">
        <w:t>Saeimas Eiropas lietu komisij</w:t>
      </w:r>
      <w:r w:rsidR="005258B2">
        <w:t>ā 2022. gada 22. jūnijā.</w:t>
      </w:r>
    </w:p>
  </w:footnote>
  <w:footnote w:id="3">
    <w:p w14:paraId="4A0FA884" w14:textId="033C2636" w:rsidR="005258B2" w:rsidRDefault="005258B2">
      <w:pPr>
        <w:pStyle w:val="FootnoteText"/>
      </w:pPr>
      <w:r>
        <w:rPr>
          <w:rStyle w:val="FootnoteReference"/>
        </w:rPr>
        <w:footnoteRef/>
      </w:r>
      <w:r>
        <w:t xml:space="preserve"> </w:t>
      </w:r>
      <w:r>
        <w:rPr>
          <w:bCs/>
        </w:rPr>
        <w:t>N</w:t>
      </w:r>
      <w:r w:rsidRPr="00DB612A">
        <w:rPr>
          <w:bCs/>
        </w:rPr>
        <w:t>acionāl</w:t>
      </w:r>
      <w:r>
        <w:rPr>
          <w:bCs/>
        </w:rPr>
        <w:t>ā</w:t>
      </w:r>
      <w:r w:rsidRPr="00DB612A">
        <w:rPr>
          <w:bCs/>
        </w:rPr>
        <w:t xml:space="preserve"> pozīcij</w:t>
      </w:r>
      <w:r>
        <w:rPr>
          <w:bCs/>
        </w:rPr>
        <w:t>a</w:t>
      </w:r>
      <w:r w:rsidRPr="00DB612A">
        <w:rPr>
          <w:bCs/>
        </w:rPr>
        <w:t xml:space="preserve">  Nr.  1 “Par ārkārtas pasākumiem enerģijas cenu pieauguma mazināšanai”</w:t>
      </w:r>
      <w:r>
        <w:rPr>
          <w:bCs/>
        </w:rPr>
        <w:t xml:space="preserve"> </w:t>
      </w:r>
      <w:r>
        <w:t xml:space="preserve">apstiprināta Ministru kabinetā 2022. gada 6. septembrī un </w:t>
      </w:r>
      <w:r w:rsidRPr="00E633A0">
        <w:t>Saeimas Eiropas lietu komisij</w:t>
      </w:r>
      <w:r>
        <w:t>ā 2022. gada 7. septembrī.</w:t>
      </w:r>
    </w:p>
  </w:footnote>
  <w:footnote w:id="4">
    <w:p w14:paraId="0B679C3D" w14:textId="77777777" w:rsidR="00531E24" w:rsidRDefault="00531E24" w:rsidP="00531E24">
      <w:pPr>
        <w:pStyle w:val="FootnoteText"/>
      </w:pPr>
      <w:r>
        <w:rPr>
          <w:rStyle w:val="FootnoteReference"/>
        </w:rPr>
        <w:footnoteRef/>
      </w:r>
      <w:r>
        <w:t xml:space="preserve"> </w:t>
      </w:r>
      <w:hyperlink r:id="rId1" w:history="1">
        <w:r>
          <w:rPr>
            <w:rStyle w:val="Hyperlink"/>
            <w:rFonts w:eastAsia="Calibri"/>
          </w:rPr>
          <w:t>https://www.ecb.europa.eu/press/pr/date/2022/html/ecb.mp220908~c1b6839378.en.html</w:t>
        </w:r>
      </w:hyperlink>
      <w:r>
        <w:t xml:space="preserve"> </w:t>
      </w:r>
    </w:p>
  </w:footnote>
  <w:footnote w:id="5">
    <w:p w14:paraId="4DEB4E03" w14:textId="77777777" w:rsidR="000B20FF" w:rsidRDefault="000B20FF" w:rsidP="000B20FF">
      <w:pPr>
        <w:pStyle w:val="FootnoteText"/>
      </w:pPr>
      <w:r>
        <w:rPr>
          <w:rStyle w:val="FootnoteReference"/>
        </w:rPr>
        <w:footnoteRef/>
      </w:r>
      <w:r>
        <w:t xml:space="preserve"> </w:t>
      </w:r>
      <w:hyperlink r:id="rId2" w:history="1">
        <w:r>
          <w:rPr>
            <w:rStyle w:val="Hyperlink"/>
          </w:rPr>
          <w:t>EUR-</w:t>
        </w:r>
        <w:proofErr w:type="spellStart"/>
        <w:r>
          <w:rPr>
            <w:rStyle w:val="Hyperlink"/>
          </w:rPr>
          <w:t>Lex</w:t>
        </w:r>
        <w:proofErr w:type="spellEnd"/>
        <w:r>
          <w:rPr>
            <w:rStyle w:val="Hyperlink"/>
          </w:rPr>
          <w:t xml:space="preserve"> - 52022PC0557 - EN - EUR-</w:t>
        </w:r>
        <w:proofErr w:type="spellStart"/>
        <w:r>
          <w:rPr>
            <w:rStyle w:val="Hyperlink"/>
          </w:rPr>
          <w:t>Lex</w:t>
        </w:r>
        <w:proofErr w:type="spellEnd"/>
        <w:r>
          <w:rPr>
            <w:rStyle w:val="Hyperlink"/>
          </w:rPr>
          <w:t xml:space="preserve"> (</w:t>
        </w:r>
        <w:proofErr w:type="spellStart"/>
        <w:r>
          <w:rPr>
            <w:rStyle w:val="Hyperlink"/>
          </w:rPr>
          <w:t>europa.eu</w:t>
        </w:r>
        <w:proofErr w:type="spellEnd"/>
        <w:r>
          <w:rPr>
            <w:rStyle w:val="Hyperlink"/>
          </w:rPr>
          <w:t>)</w:t>
        </w:r>
      </w:hyperlink>
    </w:p>
  </w:footnote>
  <w:footnote w:id="6">
    <w:p w14:paraId="354BBB35" w14:textId="77777777" w:rsidR="00C90C30" w:rsidRDefault="00C90C30" w:rsidP="00C90C30">
      <w:pPr>
        <w:pStyle w:val="FootnoteText"/>
        <w:jc w:val="both"/>
      </w:pPr>
      <w:r>
        <w:rPr>
          <w:rStyle w:val="FootnoteReference"/>
        </w:rPr>
        <w:footnoteRef/>
      </w:r>
      <w:r>
        <w:t xml:space="preserve"> Saskaņā ar ārkārtas MFP lēmumiem, ņemot vērā kara situāciju Ukrainā, konkrētajam aizdevumam ir augsts neatmaksāšanas risks, kas paredz nepieciešamību nodrošināt garantiju lielākā apmērā, lai EK spētu aizņemties finanšu tirgos – līdz ar to lēmumā iestrādātais garantijas apmērs ir 70% ierasto 9% vietā.</w:t>
      </w:r>
    </w:p>
  </w:footnote>
  <w:footnote w:id="7">
    <w:p w14:paraId="498466CF" w14:textId="561AE649" w:rsidR="0008423D" w:rsidRDefault="0008423D" w:rsidP="00E633A0">
      <w:pPr>
        <w:pStyle w:val="FootnoteText"/>
        <w:jc w:val="both"/>
      </w:pPr>
      <w:r>
        <w:rPr>
          <w:rStyle w:val="FootnoteReference"/>
        </w:rPr>
        <w:footnoteRef/>
      </w:r>
      <w:r>
        <w:t xml:space="preserve"> </w:t>
      </w:r>
      <w:r w:rsidR="00E633A0">
        <w:t>N</w:t>
      </w:r>
      <w:r w:rsidR="004B000F" w:rsidRPr="004B000F">
        <w:t xml:space="preserve">acionālā pozīcija Nr. 1 </w:t>
      </w:r>
      <w:r w:rsidR="004B000F">
        <w:t>“</w:t>
      </w:r>
      <w:r w:rsidR="004B000F" w:rsidRPr="004B000F">
        <w:t>Par 2022. gada 24.-25. marta Eiropadomē izskatāmajiem jautājumiem</w:t>
      </w:r>
      <w:r w:rsidR="004B000F">
        <w:t xml:space="preserve">” apstiprināta </w:t>
      </w:r>
      <w:r w:rsidR="00E633A0">
        <w:t>Ministru kabinetā</w:t>
      </w:r>
      <w:r w:rsidR="004B000F">
        <w:t xml:space="preserve"> 2022. gada 22. martā un </w:t>
      </w:r>
      <w:r w:rsidR="00E633A0" w:rsidRPr="00E633A0">
        <w:t>Saeimas Eiropas lietu komisij</w:t>
      </w:r>
      <w:r w:rsidR="00E633A0">
        <w:t>ā 2022. gada 23. martā</w:t>
      </w:r>
      <w:r w:rsidR="004B000F">
        <w:t>.</w:t>
      </w:r>
    </w:p>
  </w:footnote>
  <w:footnote w:id="8">
    <w:p w14:paraId="7E8FDD48" w14:textId="4B11E9C5" w:rsidR="00E633A0" w:rsidRDefault="00E633A0" w:rsidP="00E633A0">
      <w:pPr>
        <w:pStyle w:val="FootnoteText"/>
        <w:jc w:val="both"/>
      </w:pPr>
      <w:r>
        <w:rPr>
          <w:rStyle w:val="FootnoteReference"/>
        </w:rPr>
        <w:footnoteRef/>
      </w:r>
      <w:r>
        <w:t xml:space="preserve"> N</w:t>
      </w:r>
      <w:r w:rsidRPr="00E633A0">
        <w:t xml:space="preserve">acionālā pozīcija Nr. 1 </w:t>
      </w:r>
      <w:r>
        <w:t>“</w:t>
      </w:r>
      <w:r w:rsidRPr="00E633A0">
        <w:t>Par Priekšlikumu Eiropas Parlamenta un Padomes lēmumam, ar ko sniedz ārkārtas makrofinansiālo palīdzību Ukrainai, pastiprina kopējo uzkrājumu fondu ar dalībvalstu garantijām un ar īpašiem uzkrājumiem dažām finanšu saistībām, kuras saistītas ar Ukrainu un kuras garantētas saskaņā ar Lēmumu Nr. 466/2014/ES, un ar ko groza Lēmumu (ES) 2022/1201</w:t>
      </w:r>
      <w:r>
        <w:t xml:space="preserve">” apstiprināta </w:t>
      </w:r>
      <w:r w:rsidRPr="00E633A0">
        <w:t>Saeimas Eiropas lietu komisij</w:t>
      </w:r>
      <w:r>
        <w:t>ā 2022. gada 16. septembrī un Ministru kabinetā 2022. gada 20. septembrī.</w:t>
      </w:r>
    </w:p>
  </w:footnote>
  <w:footnote w:id="9">
    <w:p w14:paraId="7383BA82" w14:textId="48044A9B" w:rsidR="00227913" w:rsidRDefault="00227913">
      <w:pPr>
        <w:pStyle w:val="FootnoteText"/>
      </w:pPr>
      <w:r>
        <w:rPr>
          <w:rStyle w:val="FootnoteReference"/>
        </w:rPr>
        <w:footnoteRef/>
      </w:r>
      <w:r>
        <w:t xml:space="preserve"> N</w:t>
      </w:r>
      <w:r w:rsidRPr="00227913">
        <w:t xml:space="preserve">acionālā pozīcija Nr. 1 </w:t>
      </w:r>
      <w:r>
        <w:t>“</w:t>
      </w:r>
      <w:r w:rsidRPr="00227913">
        <w:t>Par 2022. gada 30.- 31. maija ārkārtas Eiropadomē izskatāmajiem jautājumiem</w:t>
      </w:r>
      <w:r>
        <w:t xml:space="preserve">” apstiprināta Ministru kabinetā 2022. gada 24. maijā un </w:t>
      </w:r>
      <w:r w:rsidRPr="00E633A0">
        <w:t>Saeimas Eiropas lietu komisij</w:t>
      </w:r>
      <w:r>
        <w:t>ā 2022. gada 25. maijā.</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11D6C"/>
    <w:multiLevelType w:val="hybridMultilevel"/>
    <w:tmpl w:val="FBFC863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766148F"/>
    <w:multiLevelType w:val="hybridMultilevel"/>
    <w:tmpl w:val="E7125CA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8C51176"/>
    <w:multiLevelType w:val="hybridMultilevel"/>
    <w:tmpl w:val="228CC64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CE02586"/>
    <w:multiLevelType w:val="hybridMultilevel"/>
    <w:tmpl w:val="999EECAE"/>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4" w15:restartNumberingAfterBreak="0">
    <w:nsid w:val="0E1C0827"/>
    <w:multiLevelType w:val="hybridMultilevel"/>
    <w:tmpl w:val="4AF640C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14B46B4B"/>
    <w:multiLevelType w:val="hybridMultilevel"/>
    <w:tmpl w:val="27100B5E"/>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6" w15:restartNumberingAfterBreak="0">
    <w:nsid w:val="1C9E7D80"/>
    <w:multiLevelType w:val="hybridMultilevel"/>
    <w:tmpl w:val="CE02C3F0"/>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7" w15:restartNumberingAfterBreak="0">
    <w:nsid w:val="1CEE1E93"/>
    <w:multiLevelType w:val="hybridMultilevel"/>
    <w:tmpl w:val="4B4ACC9C"/>
    <w:lvl w:ilvl="0" w:tplc="04260001">
      <w:start w:val="1"/>
      <w:numFmt w:val="bullet"/>
      <w:lvlText w:val=""/>
      <w:lvlJc w:val="left"/>
      <w:pPr>
        <w:ind w:left="450" w:hanging="360"/>
      </w:pPr>
      <w:rPr>
        <w:rFonts w:ascii="Symbol" w:hAnsi="Symbol" w:hint="default"/>
      </w:rPr>
    </w:lvl>
    <w:lvl w:ilvl="1" w:tplc="04260003" w:tentative="1">
      <w:start w:val="1"/>
      <w:numFmt w:val="bullet"/>
      <w:lvlText w:val="o"/>
      <w:lvlJc w:val="left"/>
      <w:pPr>
        <w:ind w:left="1170" w:hanging="360"/>
      </w:pPr>
      <w:rPr>
        <w:rFonts w:ascii="Courier New" w:hAnsi="Courier New" w:cs="Courier New" w:hint="default"/>
      </w:rPr>
    </w:lvl>
    <w:lvl w:ilvl="2" w:tplc="04260005" w:tentative="1">
      <w:start w:val="1"/>
      <w:numFmt w:val="bullet"/>
      <w:lvlText w:val=""/>
      <w:lvlJc w:val="left"/>
      <w:pPr>
        <w:ind w:left="1890" w:hanging="360"/>
      </w:pPr>
      <w:rPr>
        <w:rFonts w:ascii="Wingdings" w:hAnsi="Wingdings" w:hint="default"/>
      </w:rPr>
    </w:lvl>
    <w:lvl w:ilvl="3" w:tplc="04260001" w:tentative="1">
      <w:start w:val="1"/>
      <w:numFmt w:val="bullet"/>
      <w:lvlText w:val=""/>
      <w:lvlJc w:val="left"/>
      <w:pPr>
        <w:ind w:left="2610" w:hanging="360"/>
      </w:pPr>
      <w:rPr>
        <w:rFonts w:ascii="Symbol" w:hAnsi="Symbol" w:hint="default"/>
      </w:rPr>
    </w:lvl>
    <w:lvl w:ilvl="4" w:tplc="04260003" w:tentative="1">
      <w:start w:val="1"/>
      <w:numFmt w:val="bullet"/>
      <w:lvlText w:val="o"/>
      <w:lvlJc w:val="left"/>
      <w:pPr>
        <w:ind w:left="3330" w:hanging="360"/>
      </w:pPr>
      <w:rPr>
        <w:rFonts w:ascii="Courier New" w:hAnsi="Courier New" w:cs="Courier New" w:hint="default"/>
      </w:rPr>
    </w:lvl>
    <w:lvl w:ilvl="5" w:tplc="04260005" w:tentative="1">
      <w:start w:val="1"/>
      <w:numFmt w:val="bullet"/>
      <w:lvlText w:val=""/>
      <w:lvlJc w:val="left"/>
      <w:pPr>
        <w:ind w:left="4050" w:hanging="360"/>
      </w:pPr>
      <w:rPr>
        <w:rFonts w:ascii="Wingdings" w:hAnsi="Wingdings" w:hint="default"/>
      </w:rPr>
    </w:lvl>
    <w:lvl w:ilvl="6" w:tplc="04260001" w:tentative="1">
      <w:start w:val="1"/>
      <w:numFmt w:val="bullet"/>
      <w:lvlText w:val=""/>
      <w:lvlJc w:val="left"/>
      <w:pPr>
        <w:ind w:left="4770" w:hanging="360"/>
      </w:pPr>
      <w:rPr>
        <w:rFonts w:ascii="Symbol" w:hAnsi="Symbol" w:hint="default"/>
      </w:rPr>
    </w:lvl>
    <w:lvl w:ilvl="7" w:tplc="04260003" w:tentative="1">
      <w:start w:val="1"/>
      <w:numFmt w:val="bullet"/>
      <w:lvlText w:val="o"/>
      <w:lvlJc w:val="left"/>
      <w:pPr>
        <w:ind w:left="5490" w:hanging="360"/>
      </w:pPr>
      <w:rPr>
        <w:rFonts w:ascii="Courier New" w:hAnsi="Courier New" w:cs="Courier New" w:hint="default"/>
      </w:rPr>
    </w:lvl>
    <w:lvl w:ilvl="8" w:tplc="04260005" w:tentative="1">
      <w:start w:val="1"/>
      <w:numFmt w:val="bullet"/>
      <w:lvlText w:val=""/>
      <w:lvlJc w:val="left"/>
      <w:pPr>
        <w:ind w:left="6210" w:hanging="360"/>
      </w:pPr>
      <w:rPr>
        <w:rFonts w:ascii="Wingdings" w:hAnsi="Wingdings" w:hint="default"/>
      </w:rPr>
    </w:lvl>
  </w:abstractNum>
  <w:abstractNum w:abstractNumId="8" w15:restartNumberingAfterBreak="0">
    <w:nsid w:val="1CFB7159"/>
    <w:multiLevelType w:val="hybridMultilevel"/>
    <w:tmpl w:val="64F2FC4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1E1B3BB3"/>
    <w:multiLevelType w:val="hybridMultilevel"/>
    <w:tmpl w:val="EFC6018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24B20233"/>
    <w:multiLevelType w:val="hybridMultilevel"/>
    <w:tmpl w:val="0E4E18EC"/>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1" w15:restartNumberingAfterBreak="0">
    <w:nsid w:val="275F107A"/>
    <w:multiLevelType w:val="hybridMultilevel"/>
    <w:tmpl w:val="A09C122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27646735"/>
    <w:multiLevelType w:val="hybridMultilevel"/>
    <w:tmpl w:val="117C1D3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284C1438"/>
    <w:multiLevelType w:val="hybridMultilevel"/>
    <w:tmpl w:val="E650197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28A50A92"/>
    <w:multiLevelType w:val="hybridMultilevel"/>
    <w:tmpl w:val="8EA61D20"/>
    <w:lvl w:ilvl="0" w:tplc="04260001">
      <w:start w:val="1"/>
      <w:numFmt w:val="bullet"/>
      <w:lvlText w:val=""/>
      <w:lvlJc w:val="left"/>
      <w:pPr>
        <w:ind w:left="1080" w:hanging="360"/>
      </w:pPr>
      <w:rPr>
        <w:rFonts w:ascii="Symbol" w:hAnsi="Symbol" w:hint="default"/>
      </w:rPr>
    </w:lvl>
    <w:lvl w:ilvl="1" w:tplc="04260003">
      <w:start w:val="1"/>
      <w:numFmt w:val="bullet"/>
      <w:lvlText w:val="o"/>
      <w:lvlJc w:val="left"/>
      <w:pPr>
        <w:ind w:left="1800" w:hanging="360"/>
      </w:pPr>
      <w:rPr>
        <w:rFonts w:ascii="Courier New" w:hAnsi="Courier New" w:cs="Courier New" w:hint="default"/>
      </w:rPr>
    </w:lvl>
    <w:lvl w:ilvl="2" w:tplc="04260005">
      <w:start w:val="1"/>
      <w:numFmt w:val="bullet"/>
      <w:lvlText w:val=""/>
      <w:lvlJc w:val="left"/>
      <w:pPr>
        <w:ind w:left="2520" w:hanging="360"/>
      </w:pPr>
      <w:rPr>
        <w:rFonts w:ascii="Wingdings" w:hAnsi="Wingdings" w:hint="default"/>
      </w:rPr>
    </w:lvl>
    <w:lvl w:ilvl="3" w:tplc="04260001">
      <w:start w:val="1"/>
      <w:numFmt w:val="bullet"/>
      <w:lvlText w:val=""/>
      <w:lvlJc w:val="left"/>
      <w:pPr>
        <w:ind w:left="3240" w:hanging="360"/>
      </w:pPr>
      <w:rPr>
        <w:rFonts w:ascii="Symbol" w:hAnsi="Symbol" w:hint="default"/>
      </w:rPr>
    </w:lvl>
    <w:lvl w:ilvl="4" w:tplc="04260003">
      <w:start w:val="1"/>
      <w:numFmt w:val="bullet"/>
      <w:lvlText w:val="o"/>
      <w:lvlJc w:val="left"/>
      <w:pPr>
        <w:ind w:left="3960" w:hanging="360"/>
      </w:pPr>
      <w:rPr>
        <w:rFonts w:ascii="Courier New" w:hAnsi="Courier New" w:cs="Courier New" w:hint="default"/>
      </w:rPr>
    </w:lvl>
    <w:lvl w:ilvl="5" w:tplc="04260005">
      <w:start w:val="1"/>
      <w:numFmt w:val="bullet"/>
      <w:lvlText w:val=""/>
      <w:lvlJc w:val="left"/>
      <w:pPr>
        <w:ind w:left="4680" w:hanging="360"/>
      </w:pPr>
      <w:rPr>
        <w:rFonts w:ascii="Wingdings" w:hAnsi="Wingdings" w:hint="default"/>
      </w:rPr>
    </w:lvl>
    <w:lvl w:ilvl="6" w:tplc="04260001">
      <w:start w:val="1"/>
      <w:numFmt w:val="bullet"/>
      <w:lvlText w:val=""/>
      <w:lvlJc w:val="left"/>
      <w:pPr>
        <w:ind w:left="5400" w:hanging="360"/>
      </w:pPr>
      <w:rPr>
        <w:rFonts w:ascii="Symbol" w:hAnsi="Symbol" w:hint="default"/>
      </w:rPr>
    </w:lvl>
    <w:lvl w:ilvl="7" w:tplc="04260003">
      <w:start w:val="1"/>
      <w:numFmt w:val="bullet"/>
      <w:lvlText w:val="o"/>
      <w:lvlJc w:val="left"/>
      <w:pPr>
        <w:ind w:left="6120" w:hanging="360"/>
      </w:pPr>
      <w:rPr>
        <w:rFonts w:ascii="Courier New" w:hAnsi="Courier New" w:cs="Courier New" w:hint="default"/>
      </w:rPr>
    </w:lvl>
    <w:lvl w:ilvl="8" w:tplc="04260005">
      <w:start w:val="1"/>
      <w:numFmt w:val="bullet"/>
      <w:lvlText w:val=""/>
      <w:lvlJc w:val="left"/>
      <w:pPr>
        <w:ind w:left="6840" w:hanging="360"/>
      </w:pPr>
      <w:rPr>
        <w:rFonts w:ascii="Wingdings" w:hAnsi="Wingdings" w:hint="default"/>
      </w:rPr>
    </w:lvl>
  </w:abstractNum>
  <w:abstractNum w:abstractNumId="15" w15:restartNumberingAfterBreak="0">
    <w:nsid w:val="2A5408E7"/>
    <w:multiLevelType w:val="hybridMultilevel"/>
    <w:tmpl w:val="60F408D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2D276B21"/>
    <w:multiLevelType w:val="hybridMultilevel"/>
    <w:tmpl w:val="18E420E6"/>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7" w15:restartNumberingAfterBreak="0">
    <w:nsid w:val="3602215B"/>
    <w:multiLevelType w:val="hybridMultilevel"/>
    <w:tmpl w:val="FC1ECC6E"/>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8" w15:restartNumberingAfterBreak="0">
    <w:nsid w:val="36104287"/>
    <w:multiLevelType w:val="hybridMultilevel"/>
    <w:tmpl w:val="CE90FEF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37422B64"/>
    <w:multiLevelType w:val="hybridMultilevel"/>
    <w:tmpl w:val="0F047034"/>
    <w:lvl w:ilvl="0" w:tplc="A29E27CC">
      <w:numFmt w:val="bullet"/>
      <w:lvlText w:val="-"/>
      <w:lvlJc w:val="left"/>
      <w:pPr>
        <w:ind w:left="720" w:hanging="360"/>
      </w:pPr>
      <w:rPr>
        <w:rFonts w:ascii="Calibri" w:eastAsia="Calibri" w:hAnsi="Calibri" w:cs="Calibri"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0" w15:restartNumberingAfterBreak="0">
    <w:nsid w:val="39552AAB"/>
    <w:multiLevelType w:val="hybridMultilevel"/>
    <w:tmpl w:val="49768CEC"/>
    <w:lvl w:ilvl="0" w:tplc="04260003">
      <w:start w:val="1"/>
      <w:numFmt w:val="bullet"/>
      <w:lvlText w:val="o"/>
      <w:lvlJc w:val="left"/>
      <w:pPr>
        <w:ind w:left="1080" w:hanging="360"/>
      </w:pPr>
      <w:rPr>
        <w:rFonts w:ascii="Courier New" w:hAnsi="Courier New" w:cs="Courier New"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1" w15:restartNumberingAfterBreak="0">
    <w:nsid w:val="47332757"/>
    <w:multiLevelType w:val="hybridMultilevel"/>
    <w:tmpl w:val="B77A3800"/>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47875698"/>
    <w:multiLevelType w:val="hybridMultilevel"/>
    <w:tmpl w:val="875EA6DA"/>
    <w:lvl w:ilvl="0" w:tplc="04260001">
      <w:start w:val="1"/>
      <w:numFmt w:val="bullet"/>
      <w:lvlText w:val=""/>
      <w:lvlJc w:val="left"/>
      <w:pPr>
        <w:ind w:left="360" w:hanging="360"/>
      </w:pPr>
      <w:rPr>
        <w:rFonts w:ascii="Symbol" w:hAnsi="Symbol" w:hint="default"/>
      </w:rPr>
    </w:lvl>
    <w:lvl w:ilvl="1" w:tplc="04260003">
      <w:start w:val="1"/>
      <w:numFmt w:val="bullet"/>
      <w:lvlText w:val="o"/>
      <w:lvlJc w:val="left"/>
      <w:pPr>
        <w:ind w:left="1080" w:hanging="360"/>
      </w:pPr>
      <w:rPr>
        <w:rFonts w:ascii="Courier New" w:hAnsi="Courier New" w:cs="Courier New" w:hint="default"/>
      </w:rPr>
    </w:lvl>
    <w:lvl w:ilvl="2" w:tplc="04260005">
      <w:start w:val="1"/>
      <w:numFmt w:val="bullet"/>
      <w:lvlText w:val=""/>
      <w:lvlJc w:val="left"/>
      <w:pPr>
        <w:ind w:left="1800" w:hanging="360"/>
      </w:pPr>
      <w:rPr>
        <w:rFonts w:ascii="Wingdings" w:hAnsi="Wingdings" w:hint="default"/>
      </w:rPr>
    </w:lvl>
    <w:lvl w:ilvl="3" w:tplc="04260001">
      <w:start w:val="1"/>
      <w:numFmt w:val="bullet"/>
      <w:lvlText w:val=""/>
      <w:lvlJc w:val="left"/>
      <w:pPr>
        <w:ind w:left="2520" w:hanging="360"/>
      </w:pPr>
      <w:rPr>
        <w:rFonts w:ascii="Symbol" w:hAnsi="Symbol" w:hint="default"/>
      </w:rPr>
    </w:lvl>
    <w:lvl w:ilvl="4" w:tplc="04260003">
      <w:start w:val="1"/>
      <w:numFmt w:val="bullet"/>
      <w:lvlText w:val="o"/>
      <w:lvlJc w:val="left"/>
      <w:pPr>
        <w:ind w:left="3240" w:hanging="360"/>
      </w:pPr>
      <w:rPr>
        <w:rFonts w:ascii="Courier New" w:hAnsi="Courier New" w:cs="Courier New" w:hint="default"/>
      </w:rPr>
    </w:lvl>
    <w:lvl w:ilvl="5" w:tplc="04260005">
      <w:start w:val="1"/>
      <w:numFmt w:val="bullet"/>
      <w:lvlText w:val=""/>
      <w:lvlJc w:val="left"/>
      <w:pPr>
        <w:ind w:left="3960" w:hanging="360"/>
      </w:pPr>
      <w:rPr>
        <w:rFonts w:ascii="Wingdings" w:hAnsi="Wingdings" w:hint="default"/>
      </w:rPr>
    </w:lvl>
    <w:lvl w:ilvl="6" w:tplc="04260001">
      <w:start w:val="1"/>
      <w:numFmt w:val="bullet"/>
      <w:lvlText w:val=""/>
      <w:lvlJc w:val="left"/>
      <w:pPr>
        <w:ind w:left="4680" w:hanging="360"/>
      </w:pPr>
      <w:rPr>
        <w:rFonts w:ascii="Symbol" w:hAnsi="Symbol" w:hint="default"/>
      </w:rPr>
    </w:lvl>
    <w:lvl w:ilvl="7" w:tplc="04260003">
      <w:start w:val="1"/>
      <w:numFmt w:val="bullet"/>
      <w:lvlText w:val="o"/>
      <w:lvlJc w:val="left"/>
      <w:pPr>
        <w:ind w:left="5400" w:hanging="360"/>
      </w:pPr>
      <w:rPr>
        <w:rFonts w:ascii="Courier New" w:hAnsi="Courier New" w:cs="Courier New" w:hint="default"/>
      </w:rPr>
    </w:lvl>
    <w:lvl w:ilvl="8" w:tplc="04260005">
      <w:start w:val="1"/>
      <w:numFmt w:val="bullet"/>
      <w:lvlText w:val=""/>
      <w:lvlJc w:val="left"/>
      <w:pPr>
        <w:ind w:left="6120" w:hanging="360"/>
      </w:pPr>
      <w:rPr>
        <w:rFonts w:ascii="Wingdings" w:hAnsi="Wingdings" w:hint="default"/>
      </w:rPr>
    </w:lvl>
  </w:abstractNum>
  <w:abstractNum w:abstractNumId="23" w15:restartNumberingAfterBreak="0">
    <w:nsid w:val="49046199"/>
    <w:multiLevelType w:val="hybridMultilevel"/>
    <w:tmpl w:val="1010AFC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49B866B4"/>
    <w:multiLevelType w:val="hybridMultilevel"/>
    <w:tmpl w:val="2968D2DA"/>
    <w:lvl w:ilvl="0" w:tplc="04260001">
      <w:start w:val="1"/>
      <w:numFmt w:val="bullet"/>
      <w:lvlText w:val=""/>
      <w:lvlJc w:val="left"/>
      <w:pPr>
        <w:ind w:left="450" w:hanging="360"/>
      </w:pPr>
      <w:rPr>
        <w:rFonts w:ascii="Symbol" w:hAnsi="Symbol" w:hint="default"/>
      </w:rPr>
    </w:lvl>
    <w:lvl w:ilvl="1" w:tplc="04260003" w:tentative="1">
      <w:start w:val="1"/>
      <w:numFmt w:val="bullet"/>
      <w:lvlText w:val="o"/>
      <w:lvlJc w:val="left"/>
      <w:pPr>
        <w:ind w:left="1170" w:hanging="360"/>
      </w:pPr>
      <w:rPr>
        <w:rFonts w:ascii="Courier New" w:hAnsi="Courier New" w:cs="Courier New" w:hint="default"/>
      </w:rPr>
    </w:lvl>
    <w:lvl w:ilvl="2" w:tplc="04260005" w:tentative="1">
      <w:start w:val="1"/>
      <w:numFmt w:val="bullet"/>
      <w:lvlText w:val=""/>
      <w:lvlJc w:val="left"/>
      <w:pPr>
        <w:ind w:left="1890" w:hanging="360"/>
      </w:pPr>
      <w:rPr>
        <w:rFonts w:ascii="Wingdings" w:hAnsi="Wingdings" w:hint="default"/>
      </w:rPr>
    </w:lvl>
    <w:lvl w:ilvl="3" w:tplc="04260001" w:tentative="1">
      <w:start w:val="1"/>
      <w:numFmt w:val="bullet"/>
      <w:lvlText w:val=""/>
      <w:lvlJc w:val="left"/>
      <w:pPr>
        <w:ind w:left="2610" w:hanging="360"/>
      </w:pPr>
      <w:rPr>
        <w:rFonts w:ascii="Symbol" w:hAnsi="Symbol" w:hint="default"/>
      </w:rPr>
    </w:lvl>
    <w:lvl w:ilvl="4" w:tplc="04260003" w:tentative="1">
      <w:start w:val="1"/>
      <w:numFmt w:val="bullet"/>
      <w:lvlText w:val="o"/>
      <w:lvlJc w:val="left"/>
      <w:pPr>
        <w:ind w:left="3330" w:hanging="360"/>
      </w:pPr>
      <w:rPr>
        <w:rFonts w:ascii="Courier New" w:hAnsi="Courier New" w:cs="Courier New" w:hint="default"/>
      </w:rPr>
    </w:lvl>
    <w:lvl w:ilvl="5" w:tplc="04260005" w:tentative="1">
      <w:start w:val="1"/>
      <w:numFmt w:val="bullet"/>
      <w:lvlText w:val=""/>
      <w:lvlJc w:val="left"/>
      <w:pPr>
        <w:ind w:left="4050" w:hanging="360"/>
      </w:pPr>
      <w:rPr>
        <w:rFonts w:ascii="Wingdings" w:hAnsi="Wingdings" w:hint="default"/>
      </w:rPr>
    </w:lvl>
    <w:lvl w:ilvl="6" w:tplc="04260001" w:tentative="1">
      <w:start w:val="1"/>
      <w:numFmt w:val="bullet"/>
      <w:lvlText w:val=""/>
      <w:lvlJc w:val="left"/>
      <w:pPr>
        <w:ind w:left="4770" w:hanging="360"/>
      </w:pPr>
      <w:rPr>
        <w:rFonts w:ascii="Symbol" w:hAnsi="Symbol" w:hint="default"/>
      </w:rPr>
    </w:lvl>
    <w:lvl w:ilvl="7" w:tplc="04260003" w:tentative="1">
      <w:start w:val="1"/>
      <w:numFmt w:val="bullet"/>
      <w:lvlText w:val="o"/>
      <w:lvlJc w:val="left"/>
      <w:pPr>
        <w:ind w:left="5490" w:hanging="360"/>
      </w:pPr>
      <w:rPr>
        <w:rFonts w:ascii="Courier New" w:hAnsi="Courier New" w:cs="Courier New" w:hint="default"/>
      </w:rPr>
    </w:lvl>
    <w:lvl w:ilvl="8" w:tplc="04260005" w:tentative="1">
      <w:start w:val="1"/>
      <w:numFmt w:val="bullet"/>
      <w:lvlText w:val=""/>
      <w:lvlJc w:val="left"/>
      <w:pPr>
        <w:ind w:left="6210" w:hanging="360"/>
      </w:pPr>
      <w:rPr>
        <w:rFonts w:ascii="Wingdings" w:hAnsi="Wingdings" w:hint="default"/>
      </w:rPr>
    </w:lvl>
  </w:abstractNum>
  <w:abstractNum w:abstractNumId="25" w15:restartNumberingAfterBreak="0">
    <w:nsid w:val="49E40278"/>
    <w:multiLevelType w:val="hybridMultilevel"/>
    <w:tmpl w:val="6944DCB4"/>
    <w:lvl w:ilvl="0" w:tplc="272AD366">
      <w:start w:val="2"/>
      <w:numFmt w:val="bullet"/>
      <w:lvlText w:val="-"/>
      <w:lvlJc w:val="left"/>
      <w:pPr>
        <w:ind w:left="1080" w:hanging="360"/>
      </w:pPr>
      <w:rPr>
        <w:rFonts w:ascii="Times New Roman" w:eastAsia="Calibr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6" w15:restartNumberingAfterBreak="0">
    <w:nsid w:val="4DDE0AA1"/>
    <w:multiLevelType w:val="hybridMultilevel"/>
    <w:tmpl w:val="7B969A82"/>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7" w15:restartNumberingAfterBreak="0">
    <w:nsid w:val="539C52BD"/>
    <w:multiLevelType w:val="hybridMultilevel"/>
    <w:tmpl w:val="E3F2554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8" w15:restartNumberingAfterBreak="0">
    <w:nsid w:val="56C34B5C"/>
    <w:multiLevelType w:val="hybridMultilevel"/>
    <w:tmpl w:val="2FB46E4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9" w15:restartNumberingAfterBreak="0">
    <w:nsid w:val="57CD2074"/>
    <w:multiLevelType w:val="hybridMultilevel"/>
    <w:tmpl w:val="7F4C0106"/>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0" w15:restartNumberingAfterBreak="0">
    <w:nsid w:val="58981695"/>
    <w:multiLevelType w:val="hybridMultilevel"/>
    <w:tmpl w:val="F9A48E9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1" w15:restartNumberingAfterBreak="0">
    <w:nsid w:val="593E7787"/>
    <w:multiLevelType w:val="hybridMultilevel"/>
    <w:tmpl w:val="6C6CDC3E"/>
    <w:lvl w:ilvl="0" w:tplc="D9C25FFA">
      <w:numFmt w:val="bullet"/>
      <w:lvlText w:val="-"/>
      <w:lvlJc w:val="left"/>
      <w:pPr>
        <w:ind w:left="720" w:hanging="360"/>
      </w:pPr>
      <w:rPr>
        <w:rFonts w:ascii="Times New Roman" w:eastAsiaTheme="minorHAnsi"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32" w15:restartNumberingAfterBreak="0">
    <w:nsid w:val="62AA5953"/>
    <w:multiLevelType w:val="hybridMultilevel"/>
    <w:tmpl w:val="30BE4D5E"/>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3" w15:restartNumberingAfterBreak="0">
    <w:nsid w:val="63F15CAB"/>
    <w:multiLevelType w:val="hybridMultilevel"/>
    <w:tmpl w:val="C0C496F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4" w15:restartNumberingAfterBreak="0">
    <w:nsid w:val="64A85ED6"/>
    <w:multiLevelType w:val="hybridMultilevel"/>
    <w:tmpl w:val="0838BAD4"/>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5" w15:restartNumberingAfterBreak="0">
    <w:nsid w:val="64E43C8C"/>
    <w:multiLevelType w:val="hybridMultilevel"/>
    <w:tmpl w:val="2DE4FE7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6A0B65F0"/>
    <w:multiLevelType w:val="hybridMultilevel"/>
    <w:tmpl w:val="F51E3540"/>
    <w:lvl w:ilvl="0" w:tplc="C14AC634">
      <w:start w:val="1"/>
      <w:numFmt w:val="bullet"/>
      <w:lvlText w:val=""/>
      <w:lvlJc w:val="left"/>
      <w:pPr>
        <w:ind w:left="360" w:hanging="360"/>
      </w:pPr>
      <w:rPr>
        <w:rFonts w:ascii="Symbol" w:hAnsi="Symbol" w:hint="default"/>
        <w:sz w:val="22"/>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7" w15:restartNumberingAfterBreak="0">
    <w:nsid w:val="6A406186"/>
    <w:multiLevelType w:val="hybridMultilevel"/>
    <w:tmpl w:val="18B4281E"/>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38" w15:restartNumberingAfterBreak="0">
    <w:nsid w:val="6C2C1244"/>
    <w:multiLevelType w:val="hybridMultilevel"/>
    <w:tmpl w:val="014614EE"/>
    <w:lvl w:ilvl="0" w:tplc="37C4BFA8">
      <w:start w:val="1"/>
      <w:numFmt w:val="bullet"/>
      <w:lvlText w:val=""/>
      <w:lvlJc w:val="left"/>
      <w:pPr>
        <w:ind w:left="360" w:hanging="360"/>
      </w:pPr>
      <w:rPr>
        <w:rFonts w:ascii="Symbol" w:hAnsi="Symbol" w:hint="default"/>
        <w:sz w:val="22"/>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9" w15:restartNumberingAfterBreak="0">
    <w:nsid w:val="71627BFB"/>
    <w:multiLevelType w:val="hybridMultilevel"/>
    <w:tmpl w:val="DFF8A97A"/>
    <w:lvl w:ilvl="0" w:tplc="04260001">
      <w:start w:val="1"/>
      <w:numFmt w:val="bullet"/>
      <w:lvlText w:val=""/>
      <w:lvlJc w:val="left"/>
      <w:pPr>
        <w:ind w:left="360" w:hanging="360"/>
      </w:pPr>
      <w:rPr>
        <w:rFonts w:ascii="Symbol" w:hAnsi="Symbol" w:hint="default"/>
      </w:rPr>
    </w:lvl>
    <w:lvl w:ilvl="1" w:tplc="04260001">
      <w:start w:val="1"/>
      <w:numFmt w:val="bullet"/>
      <w:lvlText w:val=""/>
      <w:lvlJc w:val="left"/>
      <w:pPr>
        <w:ind w:left="1080" w:hanging="360"/>
      </w:pPr>
      <w:rPr>
        <w:rFonts w:ascii="Symbol" w:hAnsi="Symbol" w:hint="default"/>
      </w:r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40" w15:restartNumberingAfterBreak="0">
    <w:nsid w:val="7BD020BF"/>
    <w:multiLevelType w:val="multilevel"/>
    <w:tmpl w:val="D7C2A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EFF5957"/>
    <w:multiLevelType w:val="hybridMultilevel"/>
    <w:tmpl w:val="5022B290"/>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num w:numId="1">
    <w:abstractNumId w:val="22"/>
  </w:num>
  <w:num w:numId="2">
    <w:abstractNumId w:val="5"/>
  </w:num>
  <w:num w:numId="3">
    <w:abstractNumId w:val="16"/>
  </w:num>
  <w:num w:numId="4">
    <w:abstractNumId w:val="1"/>
  </w:num>
  <w:num w:numId="5">
    <w:abstractNumId w:val="34"/>
  </w:num>
  <w:num w:numId="6">
    <w:abstractNumId w:val="29"/>
  </w:num>
  <w:num w:numId="7">
    <w:abstractNumId w:val="17"/>
  </w:num>
  <w:num w:numId="8">
    <w:abstractNumId w:val="32"/>
  </w:num>
  <w:num w:numId="9">
    <w:abstractNumId w:val="39"/>
  </w:num>
  <w:num w:numId="10">
    <w:abstractNumId w:val="26"/>
  </w:num>
  <w:num w:numId="11">
    <w:abstractNumId w:val="21"/>
  </w:num>
  <w:num w:numId="12">
    <w:abstractNumId w:val="10"/>
  </w:num>
  <w:num w:numId="13">
    <w:abstractNumId w:val="6"/>
  </w:num>
  <w:num w:numId="14">
    <w:abstractNumId w:val="38"/>
  </w:num>
  <w:num w:numId="15">
    <w:abstractNumId w:val="20"/>
  </w:num>
  <w:num w:numId="16">
    <w:abstractNumId w:val="41"/>
  </w:num>
  <w:num w:numId="17">
    <w:abstractNumId w:val="36"/>
  </w:num>
  <w:num w:numId="18">
    <w:abstractNumId w:val="7"/>
  </w:num>
  <w:num w:numId="19">
    <w:abstractNumId w:val="24"/>
  </w:num>
  <w:num w:numId="20">
    <w:abstractNumId w:val="33"/>
  </w:num>
  <w:num w:numId="21">
    <w:abstractNumId w:val="0"/>
  </w:num>
  <w:num w:numId="22">
    <w:abstractNumId w:val="9"/>
  </w:num>
  <w:num w:numId="23">
    <w:abstractNumId w:val="27"/>
  </w:num>
  <w:num w:numId="24">
    <w:abstractNumId w:val="4"/>
  </w:num>
  <w:num w:numId="25">
    <w:abstractNumId w:val="28"/>
  </w:num>
  <w:num w:numId="26">
    <w:abstractNumId w:val="15"/>
  </w:num>
  <w:num w:numId="27">
    <w:abstractNumId w:val="2"/>
  </w:num>
  <w:num w:numId="28">
    <w:abstractNumId w:val="11"/>
  </w:num>
  <w:num w:numId="29">
    <w:abstractNumId w:val="3"/>
  </w:num>
  <w:num w:numId="30">
    <w:abstractNumId w:val="40"/>
  </w:num>
  <w:num w:numId="31">
    <w:abstractNumId w:val="4"/>
  </w:num>
  <w:num w:numId="32">
    <w:abstractNumId w:val="8"/>
  </w:num>
  <w:num w:numId="33">
    <w:abstractNumId w:val="12"/>
  </w:num>
  <w:num w:numId="34">
    <w:abstractNumId w:val="23"/>
  </w:num>
  <w:num w:numId="35">
    <w:abstractNumId w:val="30"/>
  </w:num>
  <w:num w:numId="36">
    <w:abstractNumId w:val="19"/>
  </w:num>
  <w:num w:numId="37">
    <w:abstractNumId w:val="25"/>
  </w:num>
  <w:num w:numId="38">
    <w:abstractNumId w:val="18"/>
  </w:num>
  <w:num w:numId="39">
    <w:abstractNumId w:val="13"/>
  </w:num>
  <w:num w:numId="40">
    <w:abstractNumId w:val="13"/>
  </w:num>
  <w:num w:numId="41">
    <w:abstractNumId w:val="31"/>
  </w:num>
  <w:num w:numId="42">
    <w:abstractNumId w:val="13"/>
  </w:num>
  <w:num w:numId="43">
    <w:abstractNumId w:val="14"/>
  </w:num>
  <w:num w:numId="44">
    <w:abstractNumId w:val="31"/>
  </w:num>
  <w:num w:numId="45">
    <w:abstractNumId w:val="37"/>
  </w:num>
  <w:num w:numId="46">
    <w:abstractNumId w:val="14"/>
  </w:num>
  <w:num w:numId="47">
    <w:abstractNumId w:val="13"/>
  </w:num>
  <w:num w:numId="48">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removePersonalInformation/>
  <w:removeDateAndTime/>
  <w:activeWritingStyle w:appName="MSWord" w:lang="fr-FR" w:vendorID="64" w:dllVersion="6" w:nlCheck="1" w:checkStyle="0"/>
  <w:proofState w:spelling="clean" w:grammar="clean"/>
  <w:trackRevisions/>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46D4"/>
    <w:rsid w:val="0001793B"/>
    <w:rsid w:val="00033096"/>
    <w:rsid w:val="000420C6"/>
    <w:rsid w:val="000508D3"/>
    <w:rsid w:val="0005658F"/>
    <w:rsid w:val="0005696A"/>
    <w:rsid w:val="00057222"/>
    <w:rsid w:val="00072670"/>
    <w:rsid w:val="00074FEA"/>
    <w:rsid w:val="0007661E"/>
    <w:rsid w:val="00083EE6"/>
    <w:rsid w:val="0008423D"/>
    <w:rsid w:val="000908B4"/>
    <w:rsid w:val="000911CE"/>
    <w:rsid w:val="00092DFC"/>
    <w:rsid w:val="00097E67"/>
    <w:rsid w:val="000B20FF"/>
    <w:rsid w:val="000C23AD"/>
    <w:rsid w:val="000C2AE9"/>
    <w:rsid w:val="000C5B11"/>
    <w:rsid w:val="000D4ABF"/>
    <w:rsid w:val="000F5B2B"/>
    <w:rsid w:val="000F7CD2"/>
    <w:rsid w:val="00100DAA"/>
    <w:rsid w:val="001018C8"/>
    <w:rsid w:val="00102B94"/>
    <w:rsid w:val="001042A6"/>
    <w:rsid w:val="00107B85"/>
    <w:rsid w:val="001176DA"/>
    <w:rsid w:val="00122846"/>
    <w:rsid w:val="00125A63"/>
    <w:rsid w:val="00127C04"/>
    <w:rsid w:val="001316E3"/>
    <w:rsid w:val="00131B3A"/>
    <w:rsid w:val="00134DAD"/>
    <w:rsid w:val="00146122"/>
    <w:rsid w:val="00146309"/>
    <w:rsid w:val="00154F58"/>
    <w:rsid w:val="00155012"/>
    <w:rsid w:val="00160121"/>
    <w:rsid w:val="0016227D"/>
    <w:rsid w:val="00165774"/>
    <w:rsid w:val="00165E36"/>
    <w:rsid w:val="00170014"/>
    <w:rsid w:val="00173E94"/>
    <w:rsid w:val="00174234"/>
    <w:rsid w:val="001746D4"/>
    <w:rsid w:val="00177B0C"/>
    <w:rsid w:val="00185323"/>
    <w:rsid w:val="0018545E"/>
    <w:rsid w:val="00186A3D"/>
    <w:rsid w:val="001A16D0"/>
    <w:rsid w:val="001A1E01"/>
    <w:rsid w:val="001A2535"/>
    <w:rsid w:val="001A2C88"/>
    <w:rsid w:val="001A4C0A"/>
    <w:rsid w:val="001B1B70"/>
    <w:rsid w:val="001B30FD"/>
    <w:rsid w:val="001B59DE"/>
    <w:rsid w:val="001C120A"/>
    <w:rsid w:val="001C21D0"/>
    <w:rsid w:val="001C5685"/>
    <w:rsid w:val="001D28FE"/>
    <w:rsid w:val="001D4C95"/>
    <w:rsid w:val="001D4E73"/>
    <w:rsid w:val="001D5A89"/>
    <w:rsid w:val="001D5C71"/>
    <w:rsid w:val="001D6925"/>
    <w:rsid w:val="001E3FC9"/>
    <w:rsid w:val="001E6EE3"/>
    <w:rsid w:val="001F085D"/>
    <w:rsid w:val="001F3C2F"/>
    <w:rsid w:val="001F719A"/>
    <w:rsid w:val="00204A0D"/>
    <w:rsid w:val="00205626"/>
    <w:rsid w:val="0020698D"/>
    <w:rsid w:val="00215974"/>
    <w:rsid w:val="00217174"/>
    <w:rsid w:val="0021721B"/>
    <w:rsid w:val="00221DD5"/>
    <w:rsid w:val="002265E4"/>
    <w:rsid w:val="00227913"/>
    <w:rsid w:val="00246D55"/>
    <w:rsid w:val="0025561F"/>
    <w:rsid w:val="00256A39"/>
    <w:rsid w:val="002576EF"/>
    <w:rsid w:val="00262523"/>
    <w:rsid w:val="00262972"/>
    <w:rsid w:val="0026480C"/>
    <w:rsid w:val="002858AD"/>
    <w:rsid w:val="00285F50"/>
    <w:rsid w:val="00286D17"/>
    <w:rsid w:val="002920FA"/>
    <w:rsid w:val="0029576E"/>
    <w:rsid w:val="002A02C9"/>
    <w:rsid w:val="002A4346"/>
    <w:rsid w:val="002A46DE"/>
    <w:rsid w:val="002B4437"/>
    <w:rsid w:val="002D1FCF"/>
    <w:rsid w:val="002F2372"/>
    <w:rsid w:val="002F5AC0"/>
    <w:rsid w:val="002F7834"/>
    <w:rsid w:val="003002D8"/>
    <w:rsid w:val="00300E99"/>
    <w:rsid w:val="0030287B"/>
    <w:rsid w:val="003120E2"/>
    <w:rsid w:val="00316867"/>
    <w:rsid w:val="003171F2"/>
    <w:rsid w:val="003328FF"/>
    <w:rsid w:val="0033404F"/>
    <w:rsid w:val="00337445"/>
    <w:rsid w:val="00350076"/>
    <w:rsid w:val="00351975"/>
    <w:rsid w:val="00353BC4"/>
    <w:rsid w:val="003560EF"/>
    <w:rsid w:val="00367C4E"/>
    <w:rsid w:val="00371ECE"/>
    <w:rsid w:val="003748EA"/>
    <w:rsid w:val="003757BB"/>
    <w:rsid w:val="00375CC3"/>
    <w:rsid w:val="00385C14"/>
    <w:rsid w:val="00385DE2"/>
    <w:rsid w:val="00386571"/>
    <w:rsid w:val="00386B13"/>
    <w:rsid w:val="00395992"/>
    <w:rsid w:val="00397ACC"/>
    <w:rsid w:val="003A090C"/>
    <w:rsid w:val="003A6EA2"/>
    <w:rsid w:val="003B753D"/>
    <w:rsid w:val="003B77CB"/>
    <w:rsid w:val="003D28D8"/>
    <w:rsid w:val="003D3B89"/>
    <w:rsid w:val="003D5463"/>
    <w:rsid w:val="003D5987"/>
    <w:rsid w:val="003E222F"/>
    <w:rsid w:val="003F6BF6"/>
    <w:rsid w:val="004032C1"/>
    <w:rsid w:val="00415D4B"/>
    <w:rsid w:val="0042282C"/>
    <w:rsid w:val="00423BAC"/>
    <w:rsid w:val="0042697B"/>
    <w:rsid w:val="00436DB6"/>
    <w:rsid w:val="00441BF4"/>
    <w:rsid w:val="00445EE9"/>
    <w:rsid w:val="00450CC6"/>
    <w:rsid w:val="00451C07"/>
    <w:rsid w:val="00452C14"/>
    <w:rsid w:val="00453C4A"/>
    <w:rsid w:val="00454DA5"/>
    <w:rsid w:val="0045658F"/>
    <w:rsid w:val="00464323"/>
    <w:rsid w:val="0046660F"/>
    <w:rsid w:val="004721FD"/>
    <w:rsid w:val="00484EA8"/>
    <w:rsid w:val="00485C7B"/>
    <w:rsid w:val="00491100"/>
    <w:rsid w:val="00493A17"/>
    <w:rsid w:val="00493C20"/>
    <w:rsid w:val="004B000F"/>
    <w:rsid w:val="004B2036"/>
    <w:rsid w:val="004B30CA"/>
    <w:rsid w:val="004B30F7"/>
    <w:rsid w:val="004B52F1"/>
    <w:rsid w:val="004E4A44"/>
    <w:rsid w:val="004F2F1D"/>
    <w:rsid w:val="004F601B"/>
    <w:rsid w:val="004F74AC"/>
    <w:rsid w:val="005008BF"/>
    <w:rsid w:val="005155A4"/>
    <w:rsid w:val="005178D2"/>
    <w:rsid w:val="00522E99"/>
    <w:rsid w:val="005258B2"/>
    <w:rsid w:val="005306A5"/>
    <w:rsid w:val="00531E24"/>
    <w:rsid w:val="005324FB"/>
    <w:rsid w:val="00540FAD"/>
    <w:rsid w:val="00581374"/>
    <w:rsid w:val="005A0C50"/>
    <w:rsid w:val="005A2AE7"/>
    <w:rsid w:val="005A5D53"/>
    <w:rsid w:val="005A6F26"/>
    <w:rsid w:val="005B53A2"/>
    <w:rsid w:val="005B54E0"/>
    <w:rsid w:val="005C7DE3"/>
    <w:rsid w:val="005D59E6"/>
    <w:rsid w:val="005D6E33"/>
    <w:rsid w:val="005E1701"/>
    <w:rsid w:val="005E1E32"/>
    <w:rsid w:val="005E4420"/>
    <w:rsid w:val="005E45FD"/>
    <w:rsid w:val="005F48A6"/>
    <w:rsid w:val="006005CC"/>
    <w:rsid w:val="00603FA7"/>
    <w:rsid w:val="00611C4A"/>
    <w:rsid w:val="0061209C"/>
    <w:rsid w:val="00616DB3"/>
    <w:rsid w:val="00617642"/>
    <w:rsid w:val="00621C17"/>
    <w:rsid w:val="006231F1"/>
    <w:rsid w:val="0062790D"/>
    <w:rsid w:val="00632C40"/>
    <w:rsid w:val="006333F6"/>
    <w:rsid w:val="00636F99"/>
    <w:rsid w:val="00637AED"/>
    <w:rsid w:val="00637C08"/>
    <w:rsid w:val="00643701"/>
    <w:rsid w:val="00647467"/>
    <w:rsid w:val="0065245A"/>
    <w:rsid w:val="00652DAE"/>
    <w:rsid w:val="00654DBE"/>
    <w:rsid w:val="00654E85"/>
    <w:rsid w:val="006655D6"/>
    <w:rsid w:val="00670CCE"/>
    <w:rsid w:val="00685AD9"/>
    <w:rsid w:val="00692AF4"/>
    <w:rsid w:val="0069753C"/>
    <w:rsid w:val="006A21F9"/>
    <w:rsid w:val="006A2358"/>
    <w:rsid w:val="006A2A4F"/>
    <w:rsid w:val="006A522E"/>
    <w:rsid w:val="006A663C"/>
    <w:rsid w:val="006B02D3"/>
    <w:rsid w:val="006B0600"/>
    <w:rsid w:val="006B65A1"/>
    <w:rsid w:val="006B7B7C"/>
    <w:rsid w:val="006C6D77"/>
    <w:rsid w:val="006D2F13"/>
    <w:rsid w:val="006D580B"/>
    <w:rsid w:val="006E6767"/>
    <w:rsid w:val="006F32A0"/>
    <w:rsid w:val="006F5791"/>
    <w:rsid w:val="006F6CAD"/>
    <w:rsid w:val="006F71E8"/>
    <w:rsid w:val="00704A4A"/>
    <w:rsid w:val="00705E81"/>
    <w:rsid w:val="0070607A"/>
    <w:rsid w:val="0072530E"/>
    <w:rsid w:val="007260D3"/>
    <w:rsid w:val="0073008C"/>
    <w:rsid w:val="0073057F"/>
    <w:rsid w:val="00730977"/>
    <w:rsid w:val="00734A67"/>
    <w:rsid w:val="00737B00"/>
    <w:rsid w:val="00740147"/>
    <w:rsid w:val="007461EE"/>
    <w:rsid w:val="00746B30"/>
    <w:rsid w:val="00753FE9"/>
    <w:rsid w:val="00754741"/>
    <w:rsid w:val="00755817"/>
    <w:rsid w:val="00756B72"/>
    <w:rsid w:val="00761964"/>
    <w:rsid w:val="00766197"/>
    <w:rsid w:val="00773D30"/>
    <w:rsid w:val="00774DFC"/>
    <w:rsid w:val="00780476"/>
    <w:rsid w:val="007827C2"/>
    <w:rsid w:val="00794C92"/>
    <w:rsid w:val="007A28E1"/>
    <w:rsid w:val="007B299A"/>
    <w:rsid w:val="007B7FBB"/>
    <w:rsid w:val="007C0973"/>
    <w:rsid w:val="007C23CA"/>
    <w:rsid w:val="007C42E6"/>
    <w:rsid w:val="007C4E66"/>
    <w:rsid w:val="007D260B"/>
    <w:rsid w:val="007E3A26"/>
    <w:rsid w:val="007E5AC5"/>
    <w:rsid w:val="007F499D"/>
    <w:rsid w:val="007F671D"/>
    <w:rsid w:val="007F68F2"/>
    <w:rsid w:val="0080173A"/>
    <w:rsid w:val="008032E9"/>
    <w:rsid w:val="008034FE"/>
    <w:rsid w:val="008062ED"/>
    <w:rsid w:val="008141D3"/>
    <w:rsid w:val="00815867"/>
    <w:rsid w:val="008214AB"/>
    <w:rsid w:val="00833FEC"/>
    <w:rsid w:val="008415CB"/>
    <w:rsid w:val="00850C44"/>
    <w:rsid w:val="008516B3"/>
    <w:rsid w:val="0085509A"/>
    <w:rsid w:val="00855AEC"/>
    <w:rsid w:val="00860D95"/>
    <w:rsid w:val="00860FD5"/>
    <w:rsid w:val="00870796"/>
    <w:rsid w:val="008711C3"/>
    <w:rsid w:val="0087374D"/>
    <w:rsid w:val="008769B9"/>
    <w:rsid w:val="0088152D"/>
    <w:rsid w:val="00883DC3"/>
    <w:rsid w:val="00887932"/>
    <w:rsid w:val="00892AB6"/>
    <w:rsid w:val="00894D13"/>
    <w:rsid w:val="008A008A"/>
    <w:rsid w:val="008A6F84"/>
    <w:rsid w:val="008B639F"/>
    <w:rsid w:val="008C045A"/>
    <w:rsid w:val="008C0B97"/>
    <w:rsid w:val="008E6093"/>
    <w:rsid w:val="008E7500"/>
    <w:rsid w:val="008E7CDA"/>
    <w:rsid w:val="00900DCC"/>
    <w:rsid w:val="00901246"/>
    <w:rsid w:val="00903C15"/>
    <w:rsid w:val="00905630"/>
    <w:rsid w:val="00910849"/>
    <w:rsid w:val="00910FB6"/>
    <w:rsid w:val="0091349E"/>
    <w:rsid w:val="00915D51"/>
    <w:rsid w:val="009237DB"/>
    <w:rsid w:val="00927121"/>
    <w:rsid w:val="00931CC3"/>
    <w:rsid w:val="009407F9"/>
    <w:rsid w:val="00943098"/>
    <w:rsid w:val="0094320F"/>
    <w:rsid w:val="009557A3"/>
    <w:rsid w:val="00957914"/>
    <w:rsid w:val="0096154C"/>
    <w:rsid w:val="0098080A"/>
    <w:rsid w:val="009870A9"/>
    <w:rsid w:val="00987AE3"/>
    <w:rsid w:val="00997485"/>
    <w:rsid w:val="009A4B84"/>
    <w:rsid w:val="009A4F5E"/>
    <w:rsid w:val="009B66D5"/>
    <w:rsid w:val="009C4040"/>
    <w:rsid w:val="009C48BA"/>
    <w:rsid w:val="009D2A78"/>
    <w:rsid w:val="009E0852"/>
    <w:rsid w:val="009E1DDE"/>
    <w:rsid w:val="009E5CBD"/>
    <w:rsid w:val="009E7DCC"/>
    <w:rsid w:val="009F7445"/>
    <w:rsid w:val="00A00ADC"/>
    <w:rsid w:val="00A1339D"/>
    <w:rsid w:val="00A14252"/>
    <w:rsid w:val="00A238E9"/>
    <w:rsid w:val="00A24211"/>
    <w:rsid w:val="00A24E6C"/>
    <w:rsid w:val="00A3363C"/>
    <w:rsid w:val="00A35934"/>
    <w:rsid w:val="00A37171"/>
    <w:rsid w:val="00A40EA8"/>
    <w:rsid w:val="00A41068"/>
    <w:rsid w:val="00A41426"/>
    <w:rsid w:val="00A455CF"/>
    <w:rsid w:val="00A51295"/>
    <w:rsid w:val="00A518A9"/>
    <w:rsid w:val="00A52093"/>
    <w:rsid w:val="00A654B0"/>
    <w:rsid w:val="00A71B25"/>
    <w:rsid w:val="00A7379B"/>
    <w:rsid w:val="00A76A1D"/>
    <w:rsid w:val="00A7760B"/>
    <w:rsid w:val="00A947D5"/>
    <w:rsid w:val="00A95202"/>
    <w:rsid w:val="00AA1F38"/>
    <w:rsid w:val="00AA3F7B"/>
    <w:rsid w:val="00AB3512"/>
    <w:rsid w:val="00AB7725"/>
    <w:rsid w:val="00AE32B2"/>
    <w:rsid w:val="00AF10D6"/>
    <w:rsid w:val="00AF3791"/>
    <w:rsid w:val="00B00DC6"/>
    <w:rsid w:val="00B01518"/>
    <w:rsid w:val="00B025EB"/>
    <w:rsid w:val="00B02949"/>
    <w:rsid w:val="00B02C52"/>
    <w:rsid w:val="00B039E0"/>
    <w:rsid w:val="00B0692D"/>
    <w:rsid w:val="00B1496A"/>
    <w:rsid w:val="00B175D3"/>
    <w:rsid w:val="00B17BE6"/>
    <w:rsid w:val="00B2626C"/>
    <w:rsid w:val="00B365AC"/>
    <w:rsid w:val="00B405DB"/>
    <w:rsid w:val="00B46552"/>
    <w:rsid w:val="00B534FB"/>
    <w:rsid w:val="00B53CB1"/>
    <w:rsid w:val="00B556FC"/>
    <w:rsid w:val="00B561F3"/>
    <w:rsid w:val="00B678B6"/>
    <w:rsid w:val="00B7406E"/>
    <w:rsid w:val="00B75DBF"/>
    <w:rsid w:val="00B77258"/>
    <w:rsid w:val="00B83578"/>
    <w:rsid w:val="00B87C9E"/>
    <w:rsid w:val="00B93D55"/>
    <w:rsid w:val="00B96CC1"/>
    <w:rsid w:val="00BA5EFB"/>
    <w:rsid w:val="00BA6ED6"/>
    <w:rsid w:val="00BB3CD0"/>
    <w:rsid w:val="00BB3CE5"/>
    <w:rsid w:val="00BB44D5"/>
    <w:rsid w:val="00BC0FFF"/>
    <w:rsid w:val="00BC1BE7"/>
    <w:rsid w:val="00BC5761"/>
    <w:rsid w:val="00BC58B1"/>
    <w:rsid w:val="00BD0320"/>
    <w:rsid w:val="00BD2958"/>
    <w:rsid w:val="00BE1009"/>
    <w:rsid w:val="00BE17F1"/>
    <w:rsid w:val="00BE207A"/>
    <w:rsid w:val="00BF2571"/>
    <w:rsid w:val="00BF77A7"/>
    <w:rsid w:val="00C24442"/>
    <w:rsid w:val="00C30778"/>
    <w:rsid w:val="00C420F5"/>
    <w:rsid w:val="00C42C0A"/>
    <w:rsid w:val="00C43550"/>
    <w:rsid w:val="00C463D9"/>
    <w:rsid w:val="00C4724E"/>
    <w:rsid w:val="00C62BA3"/>
    <w:rsid w:val="00C62C40"/>
    <w:rsid w:val="00C650F9"/>
    <w:rsid w:val="00C764D8"/>
    <w:rsid w:val="00C77744"/>
    <w:rsid w:val="00C849B2"/>
    <w:rsid w:val="00C877BB"/>
    <w:rsid w:val="00C9090B"/>
    <w:rsid w:val="00C90A76"/>
    <w:rsid w:val="00C90C30"/>
    <w:rsid w:val="00C954CF"/>
    <w:rsid w:val="00C97B08"/>
    <w:rsid w:val="00CA2436"/>
    <w:rsid w:val="00CA265B"/>
    <w:rsid w:val="00CA5748"/>
    <w:rsid w:val="00CA5BCA"/>
    <w:rsid w:val="00CA6296"/>
    <w:rsid w:val="00CB1876"/>
    <w:rsid w:val="00CB1F3C"/>
    <w:rsid w:val="00CC4458"/>
    <w:rsid w:val="00CC46D1"/>
    <w:rsid w:val="00CC7182"/>
    <w:rsid w:val="00CC7A32"/>
    <w:rsid w:val="00CD1F1C"/>
    <w:rsid w:val="00CD2839"/>
    <w:rsid w:val="00CE437A"/>
    <w:rsid w:val="00D0009F"/>
    <w:rsid w:val="00D03B7E"/>
    <w:rsid w:val="00D06D2A"/>
    <w:rsid w:val="00D32743"/>
    <w:rsid w:val="00D32D3B"/>
    <w:rsid w:val="00D40DB1"/>
    <w:rsid w:val="00D42354"/>
    <w:rsid w:val="00D43C32"/>
    <w:rsid w:val="00D552AE"/>
    <w:rsid w:val="00D703D3"/>
    <w:rsid w:val="00D70C8D"/>
    <w:rsid w:val="00D74F7D"/>
    <w:rsid w:val="00D82E49"/>
    <w:rsid w:val="00D85435"/>
    <w:rsid w:val="00D874E8"/>
    <w:rsid w:val="00D907DC"/>
    <w:rsid w:val="00D97FC8"/>
    <w:rsid w:val="00DA2DFB"/>
    <w:rsid w:val="00DA4F02"/>
    <w:rsid w:val="00DB2929"/>
    <w:rsid w:val="00DB7BF5"/>
    <w:rsid w:val="00DC76A5"/>
    <w:rsid w:val="00DD55A0"/>
    <w:rsid w:val="00DD5812"/>
    <w:rsid w:val="00DF0969"/>
    <w:rsid w:val="00DF23F1"/>
    <w:rsid w:val="00DF4BBC"/>
    <w:rsid w:val="00E01F31"/>
    <w:rsid w:val="00E03B23"/>
    <w:rsid w:val="00E07D31"/>
    <w:rsid w:val="00E14B2D"/>
    <w:rsid w:val="00E256E4"/>
    <w:rsid w:val="00E3550D"/>
    <w:rsid w:val="00E35BB0"/>
    <w:rsid w:val="00E4350B"/>
    <w:rsid w:val="00E44A95"/>
    <w:rsid w:val="00E461D5"/>
    <w:rsid w:val="00E56F62"/>
    <w:rsid w:val="00E600DA"/>
    <w:rsid w:val="00E629C1"/>
    <w:rsid w:val="00E633A0"/>
    <w:rsid w:val="00E67AF9"/>
    <w:rsid w:val="00E71559"/>
    <w:rsid w:val="00E927E6"/>
    <w:rsid w:val="00E936F7"/>
    <w:rsid w:val="00EA0F85"/>
    <w:rsid w:val="00EB0619"/>
    <w:rsid w:val="00EB3464"/>
    <w:rsid w:val="00EB527D"/>
    <w:rsid w:val="00EC180A"/>
    <w:rsid w:val="00EC1F7D"/>
    <w:rsid w:val="00EC6A78"/>
    <w:rsid w:val="00ED48C0"/>
    <w:rsid w:val="00ED637E"/>
    <w:rsid w:val="00EE03F3"/>
    <w:rsid w:val="00EF0AF1"/>
    <w:rsid w:val="00EF1BFF"/>
    <w:rsid w:val="00EF673A"/>
    <w:rsid w:val="00F03B71"/>
    <w:rsid w:val="00F03E9D"/>
    <w:rsid w:val="00F07656"/>
    <w:rsid w:val="00F1708E"/>
    <w:rsid w:val="00F17FE1"/>
    <w:rsid w:val="00F20510"/>
    <w:rsid w:val="00F20BE7"/>
    <w:rsid w:val="00F23417"/>
    <w:rsid w:val="00F23BD2"/>
    <w:rsid w:val="00F24011"/>
    <w:rsid w:val="00F27FC1"/>
    <w:rsid w:val="00F309F4"/>
    <w:rsid w:val="00F313F3"/>
    <w:rsid w:val="00F3333A"/>
    <w:rsid w:val="00F34A70"/>
    <w:rsid w:val="00F35E1D"/>
    <w:rsid w:val="00F37763"/>
    <w:rsid w:val="00F44C91"/>
    <w:rsid w:val="00F44FFF"/>
    <w:rsid w:val="00F4637D"/>
    <w:rsid w:val="00F50090"/>
    <w:rsid w:val="00F541EE"/>
    <w:rsid w:val="00F632A6"/>
    <w:rsid w:val="00F71362"/>
    <w:rsid w:val="00F75675"/>
    <w:rsid w:val="00F76A3E"/>
    <w:rsid w:val="00F81E8C"/>
    <w:rsid w:val="00F8289F"/>
    <w:rsid w:val="00F84129"/>
    <w:rsid w:val="00F85D4C"/>
    <w:rsid w:val="00F92C0A"/>
    <w:rsid w:val="00F9588E"/>
    <w:rsid w:val="00F97ED1"/>
    <w:rsid w:val="00FA04BC"/>
    <w:rsid w:val="00FB0463"/>
    <w:rsid w:val="00FB5D99"/>
    <w:rsid w:val="00FB6670"/>
    <w:rsid w:val="00FC5471"/>
    <w:rsid w:val="00FE4BB1"/>
    <w:rsid w:val="00FF0C4C"/>
    <w:rsid w:val="00FF32F3"/>
    <w:rsid w:val="00FF3BF8"/>
    <w:rsid w:val="00FF4916"/>
    <w:rsid w:val="00FF647C"/>
    <w:rsid w:val="00FF7DF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26"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5245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
    <w:name w:val="List Paragraph Char"/>
    <w:aliases w:val="Numbered Para 1 Char,Dot pt Char,No Spacing1 Char,List Paragraph Char Char Char Char,Indicator Text Char,List Paragraph1 Char,Bullet 1 Char,Bullet Points Char,MAIN CONTENT Char,IFCL - List Paragraph Char,List Paragraph12 Char,2 Char"/>
    <w:link w:val="ListParagraph"/>
    <w:uiPriority w:val="26"/>
    <w:qFormat/>
    <w:locked/>
    <w:rsid w:val="00074FEA"/>
    <w:rPr>
      <w:rFonts w:ascii="Calibri" w:eastAsia="Calibri" w:hAnsi="Calibri" w:cs="Calibri"/>
    </w:rPr>
  </w:style>
  <w:style w:type="paragraph" w:styleId="ListParagraph">
    <w:name w:val="List Paragraph"/>
    <w:aliases w:val="Numbered Para 1,Dot pt,No Spacing1,List Paragraph Char Char Char,Indicator Text,List Paragraph1,Bullet 1,Bullet Points,MAIN CONTENT,IFCL - List Paragraph,List Paragraph12,OBC Bullet,F5 List Paragraph,Colorful List - Accent 11,Bullet Sty,2"/>
    <w:basedOn w:val="Normal"/>
    <w:link w:val="ListParagraphChar"/>
    <w:uiPriority w:val="26"/>
    <w:qFormat/>
    <w:rsid w:val="00074FEA"/>
    <w:pPr>
      <w:spacing w:after="200" w:line="276" w:lineRule="auto"/>
      <w:ind w:left="720"/>
      <w:contextualSpacing/>
    </w:pPr>
    <w:rPr>
      <w:rFonts w:ascii="Calibri" w:eastAsia="Calibri" w:hAnsi="Calibri" w:cs="Calibri"/>
      <w:sz w:val="22"/>
      <w:szCs w:val="22"/>
    </w:rPr>
  </w:style>
  <w:style w:type="character" w:styleId="Hyperlink">
    <w:name w:val="Hyperlink"/>
    <w:basedOn w:val="DefaultParagraphFont"/>
    <w:uiPriority w:val="99"/>
    <w:unhideWhenUsed/>
    <w:rsid w:val="006B0600"/>
    <w:rPr>
      <w:color w:val="0563C1" w:themeColor="hyperlink"/>
      <w:u w:val="single"/>
    </w:rPr>
  </w:style>
  <w:style w:type="paragraph" w:styleId="Header">
    <w:name w:val="header"/>
    <w:basedOn w:val="Normal"/>
    <w:link w:val="HeaderChar"/>
    <w:uiPriority w:val="99"/>
    <w:unhideWhenUsed/>
    <w:rsid w:val="00160121"/>
    <w:pPr>
      <w:tabs>
        <w:tab w:val="center" w:pos="4153"/>
        <w:tab w:val="right" w:pos="8306"/>
      </w:tabs>
    </w:pPr>
  </w:style>
  <w:style w:type="character" w:customStyle="1" w:styleId="HeaderChar">
    <w:name w:val="Header Char"/>
    <w:basedOn w:val="DefaultParagraphFont"/>
    <w:link w:val="Header"/>
    <w:uiPriority w:val="99"/>
    <w:rsid w:val="00160121"/>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60121"/>
    <w:pPr>
      <w:tabs>
        <w:tab w:val="center" w:pos="4153"/>
        <w:tab w:val="right" w:pos="8306"/>
      </w:tabs>
    </w:pPr>
  </w:style>
  <w:style w:type="character" w:customStyle="1" w:styleId="FooterChar">
    <w:name w:val="Footer Char"/>
    <w:basedOn w:val="DefaultParagraphFont"/>
    <w:link w:val="Footer"/>
    <w:uiPriority w:val="99"/>
    <w:rsid w:val="00160121"/>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A4C0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4C0A"/>
    <w:rPr>
      <w:rFonts w:ascii="Segoe UI" w:eastAsia="Times New Roman" w:hAnsi="Segoe UI" w:cs="Segoe UI"/>
      <w:sz w:val="18"/>
      <w:szCs w:val="18"/>
    </w:rPr>
  </w:style>
  <w:style w:type="paragraph" w:styleId="FootnoteText">
    <w:name w:val="footnote text"/>
    <w:aliases w:val="Char1,Footnote Text Char2 Char,Footnote Text Char1 Char Char,Footnote Text Char2 Char Char Char,Footnote Text Char1 Char Char Char Char,Footnote Text Char2 Char Char Char Char Char,Footnote Text Char1 Char,Cha,ft, Char1,Ch,Fußnote,Fußnot,o"/>
    <w:basedOn w:val="Normal"/>
    <w:link w:val="FootnoteTextChar"/>
    <w:uiPriority w:val="99"/>
    <w:unhideWhenUsed/>
    <w:qFormat/>
    <w:rsid w:val="00F92C0A"/>
    <w:rPr>
      <w:sz w:val="20"/>
      <w:szCs w:val="20"/>
    </w:rPr>
  </w:style>
  <w:style w:type="character" w:customStyle="1" w:styleId="FootnoteTextChar">
    <w:name w:val="Footnote Text Char"/>
    <w:aliases w:val="Char1 Char,Footnote Text Char2 Char Char,Footnote Text Char1 Char Char Char,Footnote Text Char2 Char Char Char Char,Footnote Text Char1 Char Char Char Char Char,Footnote Text Char2 Char Char Char Char Char Char,Cha Char,ft Char,o Char"/>
    <w:basedOn w:val="DefaultParagraphFont"/>
    <w:link w:val="FootnoteText"/>
    <w:uiPriority w:val="99"/>
    <w:qFormat/>
    <w:rsid w:val="00F92C0A"/>
    <w:rPr>
      <w:rFonts w:ascii="Times New Roman" w:eastAsia="Times New Roman" w:hAnsi="Times New Roman" w:cs="Times New Roman"/>
      <w:sz w:val="20"/>
      <w:szCs w:val="20"/>
    </w:rPr>
  </w:style>
  <w:style w:type="character" w:styleId="FootnoteReference">
    <w:name w:val="footnote reference"/>
    <w:aliases w:val="Footnote Reference Number,Footnote symbol,stylish,Footnote Reference Superscript,BVI fnr,Footnote symboFußnotenzeichen,Footnote sign,E FNZ,-E Fußnotenzeichen,Footnote#,Footnote,Times 10 Point,Exposant 3 Point,Ref,de nota al pie,SUPERS"/>
    <w:basedOn w:val="DefaultParagraphFont"/>
    <w:link w:val="BVIfnrChar1CharCharChar"/>
    <w:uiPriority w:val="99"/>
    <w:unhideWhenUsed/>
    <w:qFormat/>
    <w:rsid w:val="00F92C0A"/>
    <w:rPr>
      <w:vertAlign w:val="superscript"/>
    </w:rPr>
  </w:style>
  <w:style w:type="character" w:styleId="Emphasis">
    <w:name w:val="Emphasis"/>
    <w:basedOn w:val="DefaultParagraphFont"/>
    <w:uiPriority w:val="20"/>
    <w:qFormat/>
    <w:rsid w:val="00177B0C"/>
    <w:rPr>
      <w:i/>
      <w:iCs/>
    </w:rPr>
  </w:style>
  <w:style w:type="character" w:styleId="Strong">
    <w:name w:val="Strong"/>
    <w:basedOn w:val="DefaultParagraphFont"/>
    <w:uiPriority w:val="22"/>
    <w:qFormat/>
    <w:rsid w:val="00177B0C"/>
    <w:rPr>
      <w:b/>
      <w:bCs/>
    </w:rPr>
  </w:style>
  <w:style w:type="paragraph" w:customStyle="1" w:styleId="normalweb">
    <w:name w:val="normalweb"/>
    <w:basedOn w:val="Normal"/>
    <w:rsid w:val="00177B0C"/>
    <w:pPr>
      <w:spacing w:before="100" w:beforeAutospacing="1" w:after="100" w:afterAutospacing="1"/>
    </w:pPr>
    <w:rPr>
      <w:lang w:eastAsia="lv-LV"/>
    </w:rPr>
  </w:style>
  <w:style w:type="character" w:styleId="CommentReference">
    <w:name w:val="annotation reference"/>
    <w:basedOn w:val="DefaultParagraphFont"/>
    <w:uiPriority w:val="99"/>
    <w:semiHidden/>
    <w:unhideWhenUsed/>
    <w:rsid w:val="00B93D55"/>
    <w:rPr>
      <w:sz w:val="16"/>
      <w:szCs w:val="16"/>
    </w:rPr>
  </w:style>
  <w:style w:type="paragraph" w:styleId="CommentText">
    <w:name w:val="annotation text"/>
    <w:basedOn w:val="Normal"/>
    <w:link w:val="CommentTextChar"/>
    <w:uiPriority w:val="99"/>
    <w:semiHidden/>
    <w:unhideWhenUsed/>
    <w:rsid w:val="00B93D55"/>
    <w:rPr>
      <w:sz w:val="20"/>
      <w:szCs w:val="20"/>
    </w:rPr>
  </w:style>
  <w:style w:type="character" w:customStyle="1" w:styleId="CommentTextChar">
    <w:name w:val="Comment Text Char"/>
    <w:basedOn w:val="DefaultParagraphFont"/>
    <w:link w:val="CommentText"/>
    <w:uiPriority w:val="99"/>
    <w:semiHidden/>
    <w:rsid w:val="00B93D5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93D55"/>
    <w:rPr>
      <w:b/>
      <w:bCs/>
    </w:rPr>
  </w:style>
  <w:style w:type="character" w:customStyle="1" w:styleId="CommentSubjectChar">
    <w:name w:val="Comment Subject Char"/>
    <w:basedOn w:val="CommentTextChar"/>
    <w:link w:val="CommentSubject"/>
    <w:uiPriority w:val="99"/>
    <w:semiHidden/>
    <w:rsid w:val="00B93D55"/>
    <w:rPr>
      <w:rFonts w:ascii="Times New Roman" w:eastAsia="Times New Roman" w:hAnsi="Times New Roman" w:cs="Times New Roman"/>
      <w:b/>
      <w:bCs/>
      <w:sz w:val="20"/>
      <w:szCs w:val="20"/>
    </w:rPr>
  </w:style>
  <w:style w:type="paragraph" w:customStyle="1" w:styleId="BVIfnrChar1CharCharChar">
    <w:name w:val="BVI fnr Char1 Char Char Char"/>
    <w:aliases w:val="BVI fnr Car Car Char1 Char Char Char,BVI fnr Car Char1 Char Char Char,BVI fnr Car Car Car Car Char Char1 Char Char"/>
    <w:basedOn w:val="Normal"/>
    <w:link w:val="FootnoteReference"/>
    <w:uiPriority w:val="99"/>
    <w:rsid w:val="00A947D5"/>
    <w:pPr>
      <w:spacing w:after="160" w:line="240" w:lineRule="exact"/>
    </w:pPr>
    <w:rPr>
      <w:rFonts w:asciiTheme="minorHAnsi" w:eastAsiaTheme="minorHAnsi" w:hAnsiTheme="minorHAnsi" w:cstheme="minorBidi"/>
      <w:sz w:val="22"/>
      <w:szCs w:val="22"/>
      <w:vertAlign w:val="superscript"/>
    </w:rPr>
  </w:style>
  <w:style w:type="paragraph" w:styleId="NoSpacing">
    <w:name w:val="No Spacing"/>
    <w:aliases w:val="My style,TĒZES"/>
    <w:basedOn w:val="Normal"/>
    <w:link w:val="NoSpacingChar"/>
    <w:uiPriority w:val="1"/>
    <w:qFormat/>
    <w:rsid w:val="00A947D5"/>
    <w:rPr>
      <w:rFonts w:ascii="Calibri" w:eastAsiaTheme="minorHAnsi" w:hAnsi="Calibri"/>
      <w:sz w:val="22"/>
      <w:szCs w:val="22"/>
    </w:rPr>
  </w:style>
  <w:style w:type="character" w:customStyle="1" w:styleId="NoSpacingChar">
    <w:name w:val="No Spacing Char"/>
    <w:aliases w:val="My style Char,TĒZES Char"/>
    <w:link w:val="NoSpacing"/>
    <w:uiPriority w:val="1"/>
    <w:locked/>
    <w:rsid w:val="00A947D5"/>
    <w:rPr>
      <w:rFonts w:ascii="Calibri" w:hAnsi="Calibri" w:cs="Times New Roman"/>
    </w:rPr>
  </w:style>
  <w:style w:type="paragraph" w:styleId="Revision">
    <w:name w:val="Revision"/>
    <w:hidden/>
    <w:uiPriority w:val="99"/>
    <w:semiHidden/>
    <w:rsid w:val="00E44A95"/>
    <w:pPr>
      <w:spacing w:after="0" w:line="240" w:lineRule="auto"/>
    </w:pPr>
    <w:rPr>
      <w:rFonts w:ascii="Times New Roman" w:eastAsia="Times New Roman" w:hAnsi="Times New Roman" w:cs="Times New Roman"/>
      <w:sz w:val="24"/>
      <w:szCs w:val="24"/>
    </w:rPr>
  </w:style>
  <w:style w:type="character" w:customStyle="1" w:styleId="tld-sibling-0-0-40">
    <w:name w:val="tld-sibling-0-0-40"/>
    <w:basedOn w:val="DefaultParagraphFont"/>
    <w:rsid w:val="00531E24"/>
  </w:style>
  <w:style w:type="character" w:customStyle="1" w:styleId="UnresolvedMention1">
    <w:name w:val="Unresolved Mention1"/>
    <w:basedOn w:val="DefaultParagraphFont"/>
    <w:uiPriority w:val="99"/>
    <w:semiHidden/>
    <w:unhideWhenUsed/>
    <w:rsid w:val="002B44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2817587">
      <w:bodyDiv w:val="1"/>
      <w:marLeft w:val="0"/>
      <w:marRight w:val="0"/>
      <w:marTop w:val="0"/>
      <w:marBottom w:val="0"/>
      <w:divBdr>
        <w:top w:val="none" w:sz="0" w:space="0" w:color="auto"/>
        <w:left w:val="none" w:sz="0" w:space="0" w:color="auto"/>
        <w:bottom w:val="none" w:sz="0" w:space="0" w:color="auto"/>
        <w:right w:val="none" w:sz="0" w:space="0" w:color="auto"/>
      </w:divBdr>
    </w:div>
    <w:div w:id="207572990">
      <w:bodyDiv w:val="1"/>
      <w:marLeft w:val="0"/>
      <w:marRight w:val="0"/>
      <w:marTop w:val="0"/>
      <w:marBottom w:val="0"/>
      <w:divBdr>
        <w:top w:val="none" w:sz="0" w:space="0" w:color="auto"/>
        <w:left w:val="none" w:sz="0" w:space="0" w:color="auto"/>
        <w:bottom w:val="none" w:sz="0" w:space="0" w:color="auto"/>
        <w:right w:val="none" w:sz="0" w:space="0" w:color="auto"/>
      </w:divBdr>
    </w:div>
    <w:div w:id="244657381">
      <w:bodyDiv w:val="1"/>
      <w:marLeft w:val="0"/>
      <w:marRight w:val="0"/>
      <w:marTop w:val="0"/>
      <w:marBottom w:val="0"/>
      <w:divBdr>
        <w:top w:val="none" w:sz="0" w:space="0" w:color="auto"/>
        <w:left w:val="none" w:sz="0" w:space="0" w:color="auto"/>
        <w:bottom w:val="none" w:sz="0" w:space="0" w:color="auto"/>
        <w:right w:val="none" w:sz="0" w:space="0" w:color="auto"/>
      </w:divBdr>
    </w:div>
    <w:div w:id="369689527">
      <w:bodyDiv w:val="1"/>
      <w:marLeft w:val="0"/>
      <w:marRight w:val="0"/>
      <w:marTop w:val="0"/>
      <w:marBottom w:val="0"/>
      <w:divBdr>
        <w:top w:val="none" w:sz="0" w:space="0" w:color="auto"/>
        <w:left w:val="none" w:sz="0" w:space="0" w:color="auto"/>
        <w:bottom w:val="none" w:sz="0" w:space="0" w:color="auto"/>
        <w:right w:val="none" w:sz="0" w:space="0" w:color="auto"/>
      </w:divBdr>
    </w:div>
    <w:div w:id="421413925">
      <w:bodyDiv w:val="1"/>
      <w:marLeft w:val="0"/>
      <w:marRight w:val="0"/>
      <w:marTop w:val="0"/>
      <w:marBottom w:val="0"/>
      <w:divBdr>
        <w:top w:val="none" w:sz="0" w:space="0" w:color="auto"/>
        <w:left w:val="none" w:sz="0" w:space="0" w:color="auto"/>
        <w:bottom w:val="none" w:sz="0" w:space="0" w:color="auto"/>
        <w:right w:val="none" w:sz="0" w:space="0" w:color="auto"/>
      </w:divBdr>
    </w:div>
    <w:div w:id="429742995">
      <w:bodyDiv w:val="1"/>
      <w:marLeft w:val="0"/>
      <w:marRight w:val="0"/>
      <w:marTop w:val="0"/>
      <w:marBottom w:val="0"/>
      <w:divBdr>
        <w:top w:val="none" w:sz="0" w:space="0" w:color="auto"/>
        <w:left w:val="none" w:sz="0" w:space="0" w:color="auto"/>
        <w:bottom w:val="none" w:sz="0" w:space="0" w:color="auto"/>
        <w:right w:val="none" w:sz="0" w:space="0" w:color="auto"/>
      </w:divBdr>
    </w:div>
    <w:div w:id="431900368">
      <w:bodyDiv w:val="1"/>
      <w:marLeft w:val="0"/>
      <w:marRight w:val="0"/>
      <w:marTop w:val="0"/>
      <w:marBottom w:val="0"/>
      <w:divBdr>
        <w:top w:val="none" w:sz="0" w:space="0" w:color="auto"/>
        <w:left w:val="none" w:sz="0" w:space="0" w:color="auto"/>
        <w:bottom w:val="none" w:sz="0" w:space="0" w:color="auto"/>
        <w:right w:val="none" w:sz="0" w:space="0" w:color="auto"/>
      </w:divBdr>
    </w:div>
    <w:div w:id="432945395">
      <w:bodyDiv w:val="1"/>
      <w:marLeft w:val="0"/>
      <w:marRight w:val="0"/>
      <w:marTop w:val="0"/>
      <w:marBottom w:val="0"/>
      <w:divBdr>
        <w:top w:val="none" w:sz="0" w:space="0" w:color="auto"/>
        <w:left w:val="none" w:sz="0" w:space="0" w:color="auto"/>
        <w:bottom w:val="none" w:sz="0" w:space="0" w:color="auto"/>
        <w:right w:val="none" w:sz="0" w:space="0" w:color="auto"/>
      </w:divBdr>
    </w:div>
    <w:div w:id="490946133">
      <w:bodyDiv w:val="1"/>
      <w:marLeft w:val="0"/>
      <w:marRight w:val="0"/>
      <w:marTop w:val="0"/>
      <w:marBottom w:val="0"/>
      <w:divBdr>
        <w:top w:val="none" w:sz="0" w:space="0" w:color="auto"/>
        <w:left w:val="none" w:sz="0" w:space="0" w:color="auto"/>
        <w:bottom w:val="none" w:sz="0" w:space="0" w:color="auto"/>
        <w:right w:val="none" w:sz="0" w:space="0" w:color="auto"/>
      </w:divBdr>
    </w:div>
    <w:div w:id="535653536">
      <w:bodyDiv w:val="1"/>
      <w:marLeft w:val="0"/>
      <w:marRight w:val="0"/>
      <w:marTop w:val="0"/>
      <w:marBottom w:val="0"/>
      <w:divBdr>
        <w:top w:val="none" w:sz="0" w:space="0" w:color="auto"/>
        <w:left w:val="none" w:sz="0" w:space="0" w:color="auto"/>
        <w:bottom w:val="none" w:sz="0" w:space="0" w:color="auto"/>
        <w:right w:val="none" w:sz="0" w:space="0" w:color="auto"/>
      </w:divBdr>
    </w:div>
    <w:div w:id="540747416">
      <w:bodyDiv w:val="1"/>
      <w:marLeft w:val="0"/>
      <w:marRight w:val="0"/>
      <w:marTop w:val="0"/>
      <w:marBottom w:val="0"/>
      <w:divBdr>
        <w:top w:val="none" w:sz="0" w:space="0" w:color="auto"/>
        <w:left w:val="none" w:sz="0" w:space="0" w:color="auto"/>
        <w:bottom w:val="none" w:sz="0" w:space="0" w:color="auto"/>
        <w:right w:val="none" w:sz="0" w:space="0" w:color="auto"/>
      </w:divBdr>
    </w:div>
    <w:div w:id="610743883">
      <w:bodyDiv w:val="1"/>
      <w:marLeft w:val="0"/>
      <w:marRight w:val="0"/>
      <w:marTop w:val="0"/>
      <w:marBottom w:val="0"/>
      <w:divBdr>
        <w:top w:val="none" w:sz="0" w:space="0" w:color="auto"/>
        <w:left w:val="none" w:sz="0" w:space="0" w:color="auto"/>
        <w:bottom w:val="none" w:sz="0" w:space="0" w:color="auto"/>
        <w:right w:val="none" w:sz="0" w:space="0" w:color="auto"/>
      </w:divBdr>
    </w:div>
    <w:div w:id="623199345">
      <w:bodyDiv w:val="1"/>
      <w:marLeft w:val="0"/>
      <w:marRight w:val="0"/>
      <w:marTop w:val="0"/>
      <w:marBottom w:val="0"/>
      <w:divBdr>
        <w:top w:val="none" w:sz="0" w:space="0" w:color="auto"/>
        <w:left w:val="none" w:sz="0" w:space="0" w:color="auto"/>
        <w:bottom w:val="none" w:sz="0" w:space="0" w:color="auto"/>
        <w:right w:val="none" w:sz="0" w:space="0" w:color="auto"/>
      </w:divBdr>
    </w:div>
    <w:div w:id="646200652">
      <w:bodyDiv w:val="1"/>
      <w:marLeft w:val="0"/>
      <w:marRight w:val="0"/>
      <w:marTop w:val="0"/>
      <w:marBottom w:val="0"/>
      <w:divBdr>
        <w:top w:val="none" w:sz="0" w:space="0" w:color="auto"/>
        <w:left w:val="none" w:sz="0" w:space="0" w:color="auto"/>
        <w:bottom w:val="none" w:sz="0" w:space="0" w:color="auto"/>
        <w:right w:val="none" w:sz="0" w:space="0" w:color="auto"/>
      </w:divBdr>
    </w:div>
    <w:div w:id="657850922">
      <w:bodyDiv w:val="1"/>
      <w:marLeft w:val="0"/>
      <w:marRight w:val="0"/>
      <w:marTop w:val="0"/>
      <w:marBottom w:val="0"/>
      <w:divBdr>
        <w:top w:val="none" w:sz="0" w:space="0" w:color="auto"/>
        <w:left w:val="none" w:sz="0" w:space="0" w:color="auto"/>
        <w:bottom w:val="none" w:sz="0" w:space="0" w:color="auto"/>
        <w:right w:val="none" w:sz="0" w:space="0" w:color="auto"/>
      </w:divBdr>
    </w:div>
    <w:div w:id="695278445">
      <w:bodyDiv w:val="1"/>
      <w:marLeft w:val="0"/>
      <w:marRight w:val="0"/>
      <w:marTop w:val="0"/>
      <w:marBottom w:val="0"/>
      <w:divBdr>
        <w:top w:val="none" w:sz="0" w:space="0" w:color="auto"/>
        <w:left w:val="none" w:sz="0" w:space="0" w:color="auto"/>
        <w:bottom w:val="none" w:sz="0" w:space="0" w:color="auto"/>
        <w:right w:val="none" w:sz="0" w:space="0" w:color="auto"/>
      </w:divBdr>
    </w:div>
    <w:div w:id="731152258">
      <w:bodyDiv w:val="1"/>
      <w:marLeft w:val="0"/>
      <w:marRight w:val="0"/>
      <w:marTop w:val="0"/>
      <w:marBottom w:val="0"/>
      <w:divBdr>
        <w:top w:val="none" w:sz="0" w:space="0" w:color="auto"/>
        <w:left w:val="none" w:sz="0" w:space="0" w:color="auto"/>
        <w:bottom w:val="none" w:sz="0" w:space="0" w:color="auto"/>
        <w:right w:val="none" w:sz="0" w:space="0" w:color="auto"/>
      </w:divBdr>
    </w:div>
    <w:div w:id="901528620">
      <w:bodyDiv w:val="1"/>
      <w:marLeft w:val="0"/>
      <w:marRight w:val="0"/>
      <w:marTop w:val="0"/>
      <w:marBottom w:val="0"/>
      <w:divBdr>
        <w:top w:val="none" w:sz="0" w:space="0" w:color="auto"/>
        <w:left w:val="none" w:sz="0" w:space="0" w:color="auto"/>
        <w:bottom w:val="none" w:sz="0" w:space="0" w:color="auto"/>
        <w:right w:val="none" w:sz="0" w:space="0" w:color="auto"/>
      </w:divBdr>
    </w:div>
    <w:div w:id="996498277">
      <w:bodyDiv w:val="1"/>
      <w:marLeft w:val="0"/>
      <w:marRight w:val="0"/>
      <w:marTop w:val="0"/>
      <w:marBottom w:val="0"/>
      <w:divBdr>
        <w:top w:val="none" w:sz="0" w:space="0" w:color="auto"/>
        <w:left w:val="none" w:sz="0" w:space="0" w:color="auto"/>
        <w:bottom w:val="none" w:sz="0" w:space="0" w:color="auto"/>
        <w:right w:val="none" w:sz="0" w:space="0" w:color="auto"/>
      </w:divBdr>
    </w:div>
    <w:div w:id="1036928620">
      <w:bodyDiv w:val="1"/>
      <w:marLeft w:val="0"/>
      <w:marRight w:val="0"/>
      <w:marTop w:val="0"/>
      <w:marBottom w:val="0"/>
      <w:divBdr>
        <w:top w:val="none" w:sz="0" w:space="0" w:color="auto"/>
        <w:left w:val="none" w:sz="0" w:space="0" w:color="auto"/>
        <w:bottom w:val="none" w:sz="0" w:space="0" w:color="auto"/>
        <w:right w:val="none" w:sz="0" w:space="0" w:color="auto"/>
      </w:divBdr>
    </w:div>
    <w:div w:id="1045984403">
      <w:bodyDiv w:val="1"/>
      <w:marLeft w:val="0"/>
      <w:marRight w:val="0"/>
      <w:marTop w:val="0"/>
      <w:marBottom w:val="0"/>
      <w:divBdr>
        <w:top w:val="none" w:sz="0" w:space="0" w:color="auto"/>
        <w:left w:val="none" w:sz="0" w:space="0" w:color="auto"/>
        <w:bottom w:val="none" w:sz="0" w:space="0" w:color="auto"/>
        <w:right w:val="none" w:sz="0" w:space="0" w:color="auto"/>
      </w:divBdr>
    </w:div>
    <w:div w:id="1135953537">
      <w:bodyDiv w:val="1"/>
      <w:marLeft w:val="0"/>
      <w:marRight w:val="0"/>
      <w:marTop w:val="0"/>
      <w:marBottom w:val="0"/>
      <w:divBdr>
        <w:top w:val="none" w:sz="0" w:space="0" w:color="auto"/>
        <w:left w:val="none" w:sz="0" w:space="0" w:color="auto"/>
        <w:bottom w:val="none" w:sz="0" w:space="0" w:color="auto"/>
        <w:right w:val="none" w:sz="0" w:space="0" w:color="auto"/>
      </w:divBdr>
    </w:div>
    <w:div w:id="1138180607">
      <w:bodyDiv w:val="1"/>
      <w:marLeft w:val="0"/>
      <w:marRight w:val="0"/>
      <w:marTop w:val="0"/>
      <w:marBottom w:val="0"/>
      <w:divBdr>
        <w:top w:val="none" w:sz="0" w:space="0" w:color="auto"/>
        <w:left w:val="none" w:sz="0" w:space="0" w:color="auto"/>
        <w:bottom w:val="none" w:sz="0" w:space="0" w:color="auto"/>
        <w:right w:val="none" w:sz="0" w:space="0" w:color="auto"/>
      </w:divBdr>
    </w:div>
    <w:div w:id="1145271155">
      <w:bodyDiv w:val="1"/>
      <w:marLeft w:val="0"/>
      <w:marRight w:val="0"/>
      <w:marTop w:val="0"/>
      <w:marBottom w:val="0"/>
      <w:divBdr>
        <w:top w:val="none" w:sz="0" w:space="0" w:color="auto"/>
        <w:left w:val="none" w:sz="0" w:space="0" w:color="auto"/>
        <w:bottom w:val="none" w:sz="0" w:space="0" w:color="auto"/>
        <w:right w:val="none" w:sz="0" w:space="0" w:color="auto"/>
      </w:divBdr>
    </w:div>
    <w:div w:id="1211726494">
      <w:bodyDiv w:val="1"/>
      <w:marLeft w:val="0"/>
      <w:marRight w:val="0"/>
      <w:marTop w:val="0"/>
      <w:marBottom w:val="0"/>
      <w:divBdr>
        <w:top w:val="none" w:sz="0" w:space="0" w:color="auto"/>
        <w:left w:val="none" w:sz="0" w:space="0" w:color="auto"/>
        <w:bottom w:val="none" w:sz="0" w:space="0" w:color="auto"/>
        <w:right w:val="none" w:sz="0" w:space="0" w:color="auto"/>
      </w:divBdr>
    </w:div>
    <w:div w:id="1543132355">
      <w:bodyDiv w:val="1"/>
      <w:marLeft w:val="0"/>
      <w:marRight w:val="0"/>
      <w:marTop w:val="0"/>
      <w:marBottom w:val="0"/>
      <w:divBdr>
        <w:top w:val="none" w:sz="0" w:space="0" w:color="auto"/>
        <w:left w:val="none" w:sz="0" w:space="0" w:color="auto"/>
        <w:bottom w:val="none" w:sz="0" w:space="0" w:color="auto"/>
        <w:right w:val="none" w:sz="0" w:space="0" w:color="auto"/>
      </w:divBdr>
    </w:div>
    <w:div w:id="1578632758">
      <w:bodyDiv w:val="1"/>
      <w:marLeft w:val="0"/>
      <w:marRight w:val="0"/>
      <w:marTop w:val="0"/>
      <w:marBottom w:val="0"/>
      <w:divBdr>
        <w:top w:val="none" w:sz="0" w:space="0" w:color="auto"/>
        <w:left w:val="none" w:sz="0" w:space="0" w:color="auto"/>
        <w:bottom w:val="none" w:sz="0" w:space="0" w:color="auto"/>
        <w:right w:val="none" w:sz="0" w:space="0" w:color="auto"/>
      </w:divBdr>
    </w:div>
    <w:div w:id="1594584779">
      <w:bodyDiv w:val="1"/>
      <w:marLeft w:val="0"/>
      <w:marRight w:val="0"/>
      <w:marTop w:val="0"/>
      <w:marBottom w:val="0"/>
      <w:divBdr>
        <w:top w:val="none" w:sz="0" w:space="0" w:color="auto"/>
        <w:left w:val="none" w:sz="0" w:space="0" w:color="auto"/>
        <w:bottom w:val="none" w:sz="0" w:space="0" w:color="auto"/>
        <w:right w:val="none" w:sz="0" w:space="0" w:color="auto"/>
      </w:divBdr>
    </w:div>
    <w:div w:id="1640261258">
      <w:bodyDiv w:val="1"/>
      <w:marLeft w:val="0"/>
      <w:marRight w:val="0"/>
      <w:marTop w:val="0"/>
      <w:marBottom w:val="0"/>
      <w:divBdr>
        <w:top w:val="none" w:sz="0" w:space="0" w:color="auto"/>
        <w:left w:val="none" w:sz="0" w:space="0" w:color="auto"/>
        <w:bottom w:val="none" w:sz="0" w:space="0" w:color="auto"/>
        <w:right w:val="none" w:sz="0" w:space="0" w:color="auto"/>
      </w:divBdr>
    </w:div>
    <w:div w:id="1684436297">
      <w:bodyDiv w:val="1"/>
      <w:marLeft w:val="0"/>
      <w:marRight w:val="0"/>
      <w:marTop w:val="0"/>
      <w:marBottom w:val="0"/>
      <w:divBdr>
        <w:top w:val="none" w:sz="0" w:space="0" w:color="auto"/>
        <w:left w:val="none" w:sz="0" w:space="0" w:color="auto"/>
        <w:bottom w:val="none" w:sz="0" w:space="0" w:color="auto"/>
        <w:right w:val="none" w:sz="0" w:space="0" w:color="auto"/>
      </w:divBdr>
      <w:divsChild>
        <w:div w:id="206988640">
          <w:marLeft w:val="0"/>
          <w:marRight w:val="0"/>
          <w:marTop w:val="0"/>
          <w:marBottom w:val="0"/>
          <w:divBdr>
            <w:top w:val="none" w:sz="0" w:space="0" w:color="auto"/>
            <w:left w:val="none" w:sz="0" w:space="0" w:color="auto"/>
            <w:bottom w:val="none" w:sz="0" w:space="0" w:color="auto"/>
            <w:right w:val="none" w:sz="0" w:space="0" w:color="auto"/>
          </w:divBdr>
        </w:div>
      </w:divsChild>
    </w:div>
    <w:div w:id="1816029001">
      <w:bodyDiv w:val="1"/>
      <w:marLeft w:val="0"/>
      <w:marRight w:val="0"/>
      <w:marTop w:val="0"/>
      <w:marBottom w:val="0"/>
      <w:divBdr>
        <w:top w:val="none" w:sz="0" w:space="0" w:color="auto"/>
        <w:left w:val="none" w:sz="0" w:space="0" w:color="auto"/>
        <w:bottom w:val="none" w:sz="0" w:space="0" w:color="auto"/>
        <w:right w:val="none" w:sz="0" w:space="0" w:color="auto"/>
      </w:divBdr>
    </w:div>
    <w:div w:id="2053186222">
      <w:bodyDiv w:val="1"/>
      <w:marLeft w:val="0"/>
      <w:marRight w:val="0"/>
      <w:marTop w:val="0"/>
      <w:marBottom w:val="0"/>
      <w:divBdr>
        <w:top w:val="none" w:sz="0" w:space="0" w:color="auto"/>
        <w:left w:val="none" w:sz="0" w:space="0" w:color="auto"/>
        <w:bottom w:val="none" w:sz="0" w:space="0" w:color="auto"/>
        <w:right w:val="none" w:sz="0" w:space="0" w:color="auto"/>
      </w:divBdr>
    </w:div>
    <w:div w:id="2085830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
    <Relationship Target="footer1.xml" Type="http://schemas.openxmlformats.org/officeDocument/2006/relationships/footer" Id="rId8"/>
    <Relationship Target="styles.xml" Type="http://schemas.openxmlformats.org/officeDocument/2006/relationships/styles" Id="rId3"/>
    <Relationship Target="endnotes.xml" Type="http://schemas.openxmlformats.org/officeDocument/2006/relationships/endnotes" Id="rId7"/>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webSettings.xml" Type="http://schemas.openxmlformats.org/officeDocument/2006/relationships/webSettings" Id="rId5"/>
    <Relationship Target="theme/theme1.xml" Type="http://schemas.openxmlformats.org/officeDocument/2006/relationships/theme" Id="rId10"/>
    <Relationship Target="settings.xml" Type="http://schemas.openxmlformats.org/officeDocument/2006/relationships/settings" Id="rId4"/>
    <Relationship Target="fontTable.xml" Type="http://schemas.openxmlformats.org/officeDocument/2006/relationships/fontTable" Id="rId9"/>
</Relationships>

</file>

<file path=word/_rels/footnotes.xml.rels><?xml version="1.0" encoding="UTF-8" standalone="yes"?>
<Relationships xmlns="http://schemas.openxmlformats.org/package/2006/relationships">
    <Relationship TargetMode="External" Target="https://eur-lex.europa.eu/legal-content/LV/TXT/?uri=CELEX:52022PC0557&amp;qid=1663845552169" Type="http://schemas.openxmlformats.org/officeDocument/2006/relationships/hyperlink" Id="rId2"/>
    <Relationship TargetMode="External" Target="https://www.ecb.europa.eu/press/pr/date/2022/html/ecb.mp220908~c1b6839378.en.html" Type="http://schemas.openxmlformats.org/officeDocument/2006/relationships/hyperlink"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item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SixthEditionOfficeOnline.xsl" StyleName="APA"/>
</file>

<file path=customXml/itemProps1.xml><?xml version="1.0" encoding="utf-8"?>
<ds:datastoreItem xmlns:ds="http://schemas.openxmlformats.org/officeDocument/2006/customXml" ds:itemID="{BC03235D-45BD-4A9C-90E4-14914278A518}">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17477</Words>
  <Characters>9962</Characters>
  <Application>Microsoft Office Word</Application>
  <DocSecurity>0</DocSecurity>
  <Lines>83</Lines>
  <Paragraphs>54</Paragraphs>
  <ScaleCrop>false</ScaleCrop>
  <Company/>
  <LinksUpToDate>false</LinksUpToDate>
  <CharactersWithSpaces>27385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2022-09-29T19:31:00Z</dcterms:created>
  <dcterms:modified xsi:type="dcterms:W3CDTF">2022-09-29T19:31:00Z</dcterms:modified>
</cp:coreProperties>
</file>

<file path=docProps/custom.xml><?xml version="1.0" encoding="utf-8"?>
<Properties xmlns:cup="http://schemas.openxmlformats.org/officeDocument/2006/custom-properties" xmlns:vt="http://schemas.openxmlformats.org/officeDocument/2006/docPropsVTypes" xmlns="http://schemas.openxmlformats.org/officeDocument/2006/custom-properties">
  <property fmtid="{D5CDD505-2E9C-101B-9397-08002B2CF9AE}" pid="2" name="DISCesvisAdditionalMakers">
    <vt:lpwstr>Vecākais referents Gatis Bērziņš</vt:lpwstr>
  </property>
  <property fmtid="{D5CDD505-2E9C-101B-9397-08002B2CF9AE}" pid="3" name="DIScgiUrl">
    <vt:lpwstr>https://lim.esvis.gov.lv/cs/idcplg</vt:lpwstr>
  </property>
  <property fmtid="{D5CDD505-2E9C-101B-9397-08002B2CF9AE}" pid="4" name="DISdDocName">
    <vt:lpwstr>L334660</vt:lpwstr>
  </property>
  <property fmtid="{D5CDD505-2E9C-101B-9397-08002B2CF9AE}" pid="5" name="DISCesvisAdditionalTutors">
    <vt:lpwstr>Vecākā referente Aija Vēja</vt:lpwstr>
  </property>
  <property fmtid="{D5CDD505-2E9C-101B-9397-08002B2CF9AE}" pid="6" name="DISCesvisSigner">
    <vt:lpwstr>Ministrs Edgars Rinkēvičs</vt:lpwstr>
  </property>
  <property fmtid="{D5CDD505-2E9C-101B-9397-08002B2CF9AE}" pid="7" name="DISCesvisSafetyLevel">
    <vt:lpwstr>Vispārpieejams</vt:lpwstr>
  </property>
  <property fmtid="{D5CDD505-2E9C-101B-9397-08002B2CF9AE}" pid="8" name="DISTaskPaneUrl">
    <vt:lpwstr>https://lim.esvis.gov.lv/cs/idcplg?ClientControlled=DocMan&amp;coreContentOnly=1&amp;WebdavRequest=1&amp;IdcService=DOC_INFO&amp;dID=424987</vt:lpwstr>
  </property>
  <property fmtid="{D5CDD505-2E9C-101B-9397-08002B2CF9AE}" pid="9" name="DISCesvisTitle">
    <vt:lpwstr>Informatīvais ziņojums “Par 2022. gada 6.-7. oktobra Eiropas politiskās kopienas līderu sanāksmē un neformālajā Eiropadomē izskatāmajiem jautājumiem”</vt:lpwstr>
  </property>
  <property fmtid="{D5CDD505-2E9C-101B-9397-08002B2CF9AE}" pid="10" name="DISCesvisMinistryOfMinister">
    <vt:lpwstr>wwTemplateNP_MinistryOfMinister(Ārlietu,)</vt:lpwstr>
  </property>
  <property fmtid="{D5CDD505-2E9C-101B-9397-08002B2CF9AE}" pid="11" name="DISCesvisAuthor">
    <vt:lpwstr>Ārlietu ministrija</vt:lpwstr>
  </property>
  <property fmtid="{D5CDD505-2E9C-101B-9397-08002B2CF9AE}" pid="12" name="DISCesvisMainMaker">
    <vt:lpwstr>Vecākais referents Gatis Bērziņš</vt:lpwstr>
  </property>
  <property fmtid="{D5CDD505-2E9C-101B-9397-08002B2CF9AE}" pid="13" name="DISCesvisAdditionalTutorsMail">
    <vt:lpwstr>aija.veja@mfa.gov.lv</vt:lpwstr>
  </property>
  <property fmtid="{D5CDD505-2E9C-101B-9397-08002B2CF9AE}" pid="14" name="DISCesvisAdditionalTutorsPhone">
    <vt:lpwstr>67016487</vt:lpwstr>
  </property>
  <property fmtid="{D5CDD505-2E9C-101B-9397-08002B2CF9AE}" pid="15" name="DISidcName">
    <vt:lpwstr>1020404016200</vt:lpwstr>
  </property>
  <property fmtid="{D5CDD505-2E9C-101B-9397-08002B2CF9AE}" pid="16" name="DISProperties">
    <vt:lpwstr>DISCesvisMeetingDate,DISCesvisAdditionalMakers,DIScgiUrl,DISdDocName,DISCesvisAdditionalTutors,DISCesvisAdditionalMakersPhone,DISCesvisSigner,DISCesvisSafetyLevel,DISTaskPaneUrl,DISCesvisTitle,DISCesvisMinistryOfMinister,DISCesvisAuthor,DISCesvisMainMaker,DISCesvisAdditionalTutorsMail,DISCesvisAdditionalTutorsPhone,DISidcName,DISCesvisDescription,DISCesvisAdditionalMakersMail,DISdUser,DISCesvisOrgApprovers,DISdID,DISCesvisMainMakerOrgUnitTitle</vt:lpwstr>
  </property>
  <property fmtid="{D5CDD505-2E9C-101B-9397-08002B2CF9AE}" pid="17" name="DISCesvisDescription">
    <vt:lpwstr>
</vt:lpwstr>
  </property>
  <property fmtid="{D5CDD505-2E9C-101B-9397-08002B2CF9AE}" pid="18" name="DISCesvisAdditionalMakersMail">
    <vt:lpwstr>gatis.berzins@mfa.gov.lv</vt:lpwstr>
  </property>
  <property fmtid="{D5CDD505-2E9C-101B-9397-08002B2CF9AE}" pid="19" name="DISdUser">
    <vt:lpwstr>weblogic</vt:lpwstr>
  </property>
  <property fmtid="{D5CDD505-2E9C-101B-9397-08002B2CF9AE}" pid="20" name="DISCesvisOrgApprovers">
    <vt:lpwstr>Aizsardzības ministrija, Ekonomikas ministrija, Finanšu ministrija, Iekšlietu ministrija, Izglītības un zinātnes ministrija, Kultūras ministrija, Labklājības ministrija, Satiksmes ministrija, Tieslietu ministrija, Veselības ministrija, Zemkopības ministrija, Vides aizsardzības un reģionālās attīstības ministrija, Latvijas Banka</vt:lpwstr>
  </property>
  <property fmtid="{D5CDD505-2E9C-101B-9397-08002B2CF9AE}" pid="21" name="DISdID">
    <vt:lpwstr>424987</vt:lpwstr>
  </property>
  <property fmtid="{D5CDD505-2E9C-101B-9397-08002B2CF9AE}" pid="22" name="DISCesvisMeetingDate">
    <vt:lpwstr>2022-10-06</vt:lpwstr>
  </property>
  <property fmtid="{D5CDD505-2E9C-101B-9397-08002B2CF9AE}" pid="23" name="DISCesvisMainMakerOrgUnitTitle">
    <vt:lpwstr>Pastāvīgo pārstāvju komitejas II daļas sagatavošanas nodaļa </vt:lpwstr>
  </property>
  <property fmtid="{D5CDD505-2E9C-101B-9397-08002B2CF9AE}" pid="24" name="DISCesvisAdditionalMakersPhone">
    <vt:lpwstr>67015929</vt:lpwstr>
  </property>
</Properties>
</file>