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C99D" w14:textId="77777777" w:rsidR="0091491E" w:rsidRDefault="0091491E" w:rsidP="0091491E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 xml:space="preserve">Informatīvā ziņojuma </w:t>
      </w:r>
    </w:p>
    <w:p w14:paraId="0ADA83B3" w14:textId="77777777" w:rsidR="0091491E" w:rsidRDefault="0091491E" w:rsidP="0091491E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 xml:space="preserve">“Par samērīga nekustamā īpašuma </w:t>
      </w:r>
    </w:p>
    <w:p w14:paraId="7BFB20A6" w14:textId="77777777" w:rsidR="0091491E" w:rsidRPr="007959CB" w:rsidRDefault="0091491E" w:rsidP="0091491E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>nodokļa nodrošināšanu”</w:t>
      </w:r>
    </w:p>
    <w:p w14:paraId="6C206A1A" w14:textId="45884FDE" w:rsidR="0091491E" w:rsidRPr="007959CB" w:rsidRDefault="0091491E" w:rsidP="0091491E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>Pielikums Nr.</w:t>
      </w:r>
      <w:r>
        <w:rPr>
          <w:i/>
          <w:iCs/>
        </w:rPr>
        <w:t>6</w:t>
      </w:r>
    </w:p>
    <w:p w14:paraId="266BA24F" w14:textId="088822F9" w:rsidR="00972467" w:rsidRDefault="00972467" w:rsidP="00972467">
      <w:pPr>
        <w:tabs>
          <w:tab w:val="left" w:pos="993"/>
        </w:tabs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eastAsia="Calibri"/>
          <w:i/>
          <w:iCs/>
        </w:rPr>
      </w:pPr>
    </w:p>
    <w:p w14:paraId="69B268DF" w14:textId="7C6E189C" w:rsidR="0091491E" w:rsidRDefault="0091491E" w:rsidP="00972467">
      <w:pPr>
        <w:tabs>
          <w:tab w:val="left" w:pos="993"/>
        </w:tabs>
        <w:suppressAutoHyphens/>
        <w:autoSpaceDN w:val="0"/>
        <w:spacing w:after="0" w:line="240" w:lineRule="auto"/>
        <w:ind w:firstLine="720"/>
        <w:jc w:val="right"/>
        <w:textAlignment w:val="baseline"/>
        <w:rPr>
          <w:rFonts w:eastAsia="Calibri"/>
          <w:i/>
          <w:iCs/>
        </w:rPr>
      </w:pPr>
    </w:p>
    <w:p w14:paraId="26B32491" w14:textId="2C35E9A5" w:rsidR="0091491E" w:rsidRPr="0091491E" w:rsidRDefault="0091491E" w:rsidP="0091491E">
      <w:pPr>
        <w:tabs>
          <w:tab w:val="left" w:pos="993"/>
        </w:tabs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b/>
          <w:bCs/>
          <w:sz w:val="28"/>
          <w:szCs w:val="28"/>
        </w:rPr>
      </w:pPr>
      <w:r w:rsidRPr="0091491E">
        <w:rPr>
          <w:rFonts w:eastAsia="Calibri"/>
          <w:b/>
          <w:bCs/>
          <w:sz w:val="28"/>
          <w:szCs w:val="28"/>
        </w:rPr>
        <w:t>Darba grupas locekļu viedokļu apkopojums</w:t>
      </w:r>
      <w:r w:rsidR="002D49C0">
        <w:rPr>
          <w:rFonts w:eastAsia="Calibri"/>
          <w:b/>
          <w:bCs/>
          <w:sz w:val="28"/>
          <w:szCs w:val="28"/>
        </w:rPr>
        <w:t xml:space="preserve"> informatīvā ziņojuma izstrādes laikā</w:t>
      </w:r>
    </w:p>
    <w:p w14:paraId="52924BDD" w14:textId="77777777" w:rsidR="0091491E" w:rsidRPr="0091491E" w:rsidRDefault="0091491E" w:rsidP="0091491E">
      <w:pPr>
        <w:tabs>
          <w:tab w:val="left" w:pos="993"/>
        </w:tabs>
        <w:suppressAutoHyphens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03"/>
        <w:gridCol w:w="7948"/>
      </w:tblGrid>
      <w:tr w:rsidR="00972467" w:rsidRPr="0091491E" w14:paraId="65F35A94" w14:textId="77777777" w:rsidTr="00D82986">
        <w:tc>
          <w:tcPr>
            <w:tcW w:w="1403" w:type="dxa"/>
            <w:shd w:val="clear" w:color="auto" w:fill="D9D9D9"/>
          </w:tcPr>
          <w:p w14:paraId="0A3E65FA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91491E">
              <w:rPr>
                <w:b/>
                <w:bCs/>
                <w:sz w:val="24"/>
                <w:szCs w:val="24"/>
              </w:rPr>
              <w:t>Institūcija</w:t>
            </w:r>
          </w:p>
        </w:tc>
        <w:tc>
          <w:tcPr>
            <w:tcW w:w="7948" w:type="dxa"/>
            <w:shd w:val="clear" w:color="auto" w:fill="D9D9D9"/>
          </w:tcPr>
          <w:p w14:paraId="16DAE0EB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91491E">
              <w:rPr>
                <w:b/>
                <w:bCs/>
                <w:sz w:val="24"/>
                <w:szCs w:val="24"/>
              </w:rPr>
              <w:t>Viedokļu apkopojums</w:t>
            </w:r>
          </w:p>
        </w:tc>
      </w:tr>
      <w:tr w:rsidR="00972467" w:rsidRPr="0091491E" w14:paraId="065C4BFE" w14:textId="77777777" w:rsidTr="00D82986">
        <w:tc>
          <w:tcPr>
            <w:tcW w:w="1403" w:type="dxa"/>
          </w:tcPr>
          <w:p w14:paraId="43E6DD58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TM</w:t>
            </w:r>
          </w:p>
        </w:tc>
        <w:tc>
          <w:tcPr>
            <w:tcW w:w="7948" w:type="dxa"/>
          </w:tcPr>
          <w:p w14:paraId="0AC6634C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Noteikt samērīgu nodokļa likmi, t.i., ieviest neapliekamo minimumu primārajam mājoklim,</w:t>
            </w:r>
          </w:p>
          <w:p w14:paraId="77DC046B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KV ierobežojums kā nodokļu bāze būtu saglabājams (piem., lauksaimniecības zemēm – speciālā vērtība).</w:t>
            </w:r>
          </w:p>
          <w:p w14:paraId="4EA26459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Stiprināt ikviena iedzīvotāja tiesības uz mājokli.</w:t>
            </w:r>
          </w:p>
          <w:p w14:paraId="46F07E54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Samazināt likmes komersantiem.</w:t>
            </w:r>
          </w:p>
          <w:p w14:paraId="132B27BF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 energoefektivitātes principu piemērošanu NĪN likmju noteikšanā.</w:t>
            </w:r>
          </w:p>
          <w:p w14:paraId="79A08BF2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Renovētām ēkām pieaug KV, tās kļūst vērtīgākas, NĪN samazinājums ir jārisina caur NĪN likmēm.</w:t>
            </w:r>
          </w:p>
          <w:p w14:paraId="1F25C0A5" w14:textId="77777777" w:rsidR="00972467" w:rsidRPr="0091491E" w:rsidRDefault="00972467" w:rsidP="00D82986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46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Atbalsta 7.varianatu, taču neizslēdz iespējas samazināt likmes </w:t>
            </w:r>
            <w:proofErr w:type="spellStart"/>
            <w:r w:rsidRPr="0091491E">
              <w:rPr>
                <w:sz w:val="24"/>
                <w:szCs w:val="24"/>
              </w:rPr>
              <w:t>komerc</w:t>
            </w:r>
            <w:proofErr w:type="spellEnd"/>
            <w:r w:rsidRPr="0091491E">
              <w:rPr>
                <w:sz w:val="24"/>
                <w:szCs w:val="24"/>
              </w:rPr>
              <w:t xml:space="preserve"> un ražošanas ēkām.</w:t>
            </w:r>
          </w:p>
        </w:tc>
      </w:tr>
      <w:tr w:rsidR="00972467" w:rsidRPr="0091491E" w14:paraId="4AFF84CF" w14:textId="77777777" w:rsidTr="00D82986">
        <w:tc>
          <w:tcPr>
            <w:tcW w:w="1403" w:type="dxa"/>
          </w:tcPr>
          <w:p w14:paraId="1DDBFEC8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ZM</w:t>
            </w:r>
          </w:p>
        </w:tc>
        <w:tc>
          <w:tcPr>
            <w:tcW w:w="7948" w:type="dxa"/>
          </w:tcPr>
          <w:p w14:paraId="1BC9F847" w14:textId="77777777" w:rsidR="00972467" w:rsidRPr="0091491E" w:rsidRDefault="00972467" w:rsidP="00C4496A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0"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 principus, ka NĪN ir samērīgs, taisnīgs un prognozējams ilgtermiņā.</w:t>
            </w:r>
          </w:p>
          <w:p w14:paraId="2E46896C" w14:textId="77777777" w:rsidR="00972467" w:rsidRPr="0091491E" w:rsidRDefault="00972467" w:rsidP="00972467">
            <w:pPr>
              <w:tabs>
                <w:tab w:val="left" w:pos="176"/>
              </w:tabs>
              <w:suppressAutoHyphens/>
              <w:ind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Ir jāsaglabā princips, ka lauku zemēm NĪN aprēķina no speciālās vērtības, </w:t>
            </w:r>
          </w:p>
          <w:p w14:paraId="6312AE9A" w14:textId="77777777" w:rsidR="00972467" w:rsidRPr="0091491E" w:rsidRDefault="00972467" w:rsidP="00972467">
            <w:pPr>
              <w:tabs>
                <w:tab w:val="left" w:pos="176"/>
              </w:tabs>
              <w:suppressAutoHyphens/>
              <w:ind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speciālā vērtība ir jāpiemēro arī lauku zemes vienībām, kuras ir līdz 3 ha,</w:t>
            </w:r>
          </w:p>
          <w:p w14:paraId="5EC136E4" w14:textId="77777777" w:rsidR="00972467" w:rsidRPr="0091491E" w:rsidRDefault="00972467" w:rsidP="00972467">
            <w:pPr>
              <w:tabs>
                <w:tab w:val="left" w:pos="176"/>
              </w:tabs>
              <w:suppressAutoHyphens/>
              <w:ind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Jāpārskata NĪN likme par zemi, NĪN likme lauksaimniecības zemei jānosaka 0,2% apmērā.</w:t>
            </w:r>
          </w:p>
          <w:p w14:paraId="3563A6B7" w14:textId="77777777" w:rsidR="00972467" w:rsidRPr="0091491E" w:rsidRDefault="00972467" w:rsidP="00972467">
            <w:pPr>
              <w:tabs>
                <w:tab w:val="left" w:pos="176"/>
              </w:tabs>
              <w:suppressAutoHyphens/>
              <w:ind w:hanging="42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Neapstrādātai lauksaimniecībā izmantojamai zemei ir jāsaglabā NĪN </w:t>
            </w:r>
            <w:proofErr w:type="spellStart"/>
            <w:r w:rsidRPr="0091491E">
              <w:rPr>
                <w:sz w:val="24"/>
                <w:szCs w:val="24"/>
              </w:rPr>
              <w:t>papildlikme</w:t>
            </w:r>
            <w:proofErr w:type="spellEnd"/>
            <w:r w:rsidRPr="0091491E">
              <w:rPr>
                <w:sz w:val="24"/>
                <w:szCs w:val="24"/>
              </w:rPr>
              <w:t>.</w:t>
            </w:r>
          </w:p>
        </w:tc>
      </w:tr>
      <w:tr w:rsidR="00972467" w:rsidRPr="0091491E" w14:paraId="01EC5ADF" w14:textId="77777777" w:rsidTr="00D82986">
        <w:tc>
          <w:tcPr>
            <w:tcW w:w="1403" w:type="dxa"/>
          </w:tcPr>
          <w:p w14:paraId="4796DA3B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VARAM</w:t>
            </w:r>
          </w:p>
        </w:tc>
        <w:tc>
          <w:tcPr>
            <w:tcW w:w="7948" w:type="dxa"/>
          </w:tcPr>
          <w:p w14:paraId="013EEBE5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Atbalsta piedāvāto 5.variantu.</w:t>
            </w:r>
          </w:p>
          <w:p w14:paraId="65EC573A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līdz šim ir bijis neliels un nav nozīmīgs pašvaldību budžetos.</w:t>
            </w:r>
          </w:p>
          <w:p w14:paraId="36DB3E43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Ir jānosaka efektīvākas NĪN likmes.</w:t>
            </w:r>
          </w:p>
          <w:p w14:paraId="13F06EC1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Pašvaldībām nedrīkst būt ieņēmumu samazinājums.</w:t>
            </w:r>
          </w:p>
          <w:p w14:paraId="09D5907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jābūt kā pašvaldību budžeta instrumentam – jo augstāks NĪN, jo lielāka ietekme uz NĪN atlaidēm un atvieglojumiem, lielāka iespēja pašvaldību atbalsta programmu izveidei.</w:t>
            </w:r>
          </w:p>
          <w:p w14:paraId="61151C52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Neatbalsta NĪN sloga pieaugumu uz īpašumiem, kas nav ražošanas līdzeklis (piem., vienīgajam mājoklim).</w:t>
            </w:r>
          </w:p>
        </w:tc>
      </w:tr>
      <w:tr w:rsidR="00972467" w:rsidRPr="0091491E" w14:paraId="089BC1DD" w14:textId="77777777" w:rsidTr="00D82986">
        <w:tc>
          <w:tcPr>
            <w:tcW w:w="1403" w:type="dxa"/>
          </w:tcPr>
          <w:p w14:paraId="6366D1C2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EM</w:t>
            </w:r>
          </w:p>
        </w:tc>
        <w:tc>
          <w:tcPr>
            <w:tcW w:w="7948" w:type="dxa"/>
          </w:tcPr>
          <w:p w14:paraId="7A89FAE2" w14:textId="77777777" w:rsidR="00972467" w:rsidRPr="0091491E" w:rsidRDefault="00972467" w:rsidP="002802BF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0" w:firstLine="34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 apkopotos NĪN mērķus, uzskata, ka tajos ir ietvertas būtiskākās lietas, kas ir svarīgas arī EM.</w:t>
            </w:r>
          </w:p>
          <w:p w14:paraId="1A6AA72A" w14:textId="77777777" w:rsidR="00972467" w:rsidRPr="0091491E" w:rsidRDefault="00972467" w:rsidP="002802BF">
            <w:pPr>
              <w:numPr>
                <w:ilvl w:val="0"/>
                <w:numId w:val="1"/>
              </w:numPr>
              <w:tabs>
                <w:tab w:val="left" w:pos="176"/>
              </w:tabs>
              <w:suppressAutoHyphens/>
              <w:ind w:left="0" w:firstLine="34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Mērķus var papildināt ar konkurētspējas aspektu.</w:t>
            </w:r>
          </w:p>
        </w:tc>
      </w:tr>
      <w:tr w:rsidR="00972467" w:rsidRPr="0091491E" w14:paraId="5715A19E" w14:textId="77777777" w:rsidTr="00D82986">
        <w:tc>
          <w:tcPr>
            <w:tcW w:w="1403" w:type="dxa"/>
          </w:tcPr>
          <w:p w14:paraId="5A68F953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LPS</w:t>
            </w:r>
          </w:p>
        </w:tc>
        <w:tc>
          <w:tcPr>
            <w:tcW w:w="7948" w:type="dxa"/>
          </w:tcPr>
          <w:p w14:paraId="0831CE48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Ir jānodrošina taisnīgums nodokļa bāzē, saprātīgas KV starp blakus esošiem līdzīgiem īpašumiem.</w:t>
            </w:r>
          </w:p>
          <w:p w14:paraId="79C34D8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Ir jānosaka KV mērķi un principi.</w:t>
            </w:r>
          </w:p>
          <w:p w14:paraId="548369F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KV nevajadzētu atbilst 100% tirgus vērtībai.</w:t>
            </w:r>
          </w:p>
          <w:p w14:paraId="50865000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Pieredze ar NĪN pieauguma ierobežojumu pagātnē ir bijusi neveiksmīga,</w:t>
            </w:r>
          </w:p>
          <w:p w14:paraId="4BB7ED36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Iespējama KV bāzes līmeņa pieauguma ierobežošana.</w:t>
            </w:r>
          </w:p>
          <w:p w14:paraId="6A1408F5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Nodrošināt prognozējamību nodokļu maksātājiem, pašvaldībām,</w:t>
            </w:r>
          </w:p>
          <w:p w14:paraId="1DA87EC4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Iespējams vienkārši administrēt,</w:t>
            </w:r>
          </w:p>
          <w:p w14:paraId="6413DDEC" w14:textId="77777777" w:rsidR="00972467" w:rsidRPr="0091491E" w:rsidRDefault="00972467" w:rsidP="00972467">
            <w:pPr>
              <w:tabs>
                <w:tab w:val="left" w:pos="318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Pašvaldību tiesību noteikt NIN politiku saglabāšana un paplašināšana.</w:t>
            </w:r>
          </w:p>
          <w:p w14:paraId="693593D4" w14:textId="77777777" w:rsidR="00972467" w:rsidRPr="0091491E" w:rsidRDefault="00972467" w:rsidP="00972467">
            <w:pPr>
              <w:tabs>
                <w:tab w:val="left" w:pos="318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Renovētajām ēkām būtu jāpieaug KV, taču VZD nevar identificēt renovētas māja.</w:t>
            </w:r>
          </w:p>
          <w:p w14:paraId="477517D6" w14:textId="77777777" w:rsidR="00972467" w:rsidRPr="0091491E" w:rsidRDefault="00972467" w:rsidP="00972467">
            <w:pPr>
              <w:tabs>
                <w:tab w:val="left" w:pos="318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Attiecībā uz zemi būtu piemērojama vienota likme. Lielākā problēma ir apbūvētu privātmāju zeme, kurām ir nesamērīgi noteikta KV proporcija starp ēku un zemi.</w:t>
            </w:r>
          </w:p>
          <w:p w14:paraId="72205531" w14:textId="77777777" w:rsidR="00972467" w:rsidRPr="0091491E" w:rsidRDefault="00972467" w:rsidP="00972467">
            <w:pPr>
              <w:tabs>
                <w:tab w:val="left" w:pos="318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lastRenderedPageBreak/>
              <w:t>- Atbalsta arī neapliekamās daļas ieviešanu (apsvērt ne tikai KV, bet arī platību, apdzīvotību).</w:t>
            </w:r>
          </w:p>
          <w:p w14:paraId="5D711A95" w14:textId="77777777" w:rsidR="00972467" w:rsidRPr="0091491E" w:rsidRDefault="00972467" w:rsidP="00972467">
            <w:pPr>
              <w:tabs>
                <w:tab w:val="left" w:pos="318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Likmju dažādība ir pieļaujama, ja ir iespējams pareizi identificēt objektus.</w:t>
            </w:r>
          </w:p>
        </w:tc>
      </w:tr>
      <w:tr w:rsidR="00972467" w:rsidRPr="0091491E" w14:paraId="24905B44" w14:textId="77777777" w:rsidTr="00D82986">
        <w:tc>
          <w:tcPr>
            <w:tcW w:w="1403" w:type="dxa"/>
          </w:tcPr>
          <w:p w14:paraId="73E5FBEB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lastRenderedPageBreak/>
              <w:t>LLPA</w:t>
            </w:r>
          </w:p>
        </w:tc>
        <w:tc>
          <w:tcPr>
            <w:tcW w:w="7948" w:type="dxa"/>
          </w:tcPr>
          <w:p w14:paraId="58FE5830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LLPA ir veikusi piedāvāto variantu ietekmi uz lielajām pilsētām, no kura ir secināms, ka lielai daļai pilsētu tiek prognozēti ieņēmumu samazinājumu.</w:t>
            </w:r>
          </w:p>
          <w:p w14:paraId="3089FFFB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Ar vienu risinājuma modeli nav iespējams atrisināt visas problēmas.</w:t>
            </w:r>
          </w:p>
          <w:p w14:paraId="392E1228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ir samērīgs ar NĪ KV.</w:t>
            </w:r>
          </w:p>
          <w:p w14:paraId="377B576E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Vienkāršs un saprotams NĪN aprēķins,</w:t>
            </w:r>
          </w:p>
          <w:p w14:paraId="11D5FB11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Atbalsta NĪN likmes noteikšanu katram objekta veidam,</w:t>
            </w:r>
          </w:p>
          <w:p w14:paraId="590D886D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Jāsaglabā pašvaldību iesaiste, tiesības noteikt likmes (koridorā) un atvieglojumus, kā arī tiesības noteikt neapliekamo mājokļa platību.</w:t>
            </w:r>
          </w:p>
          <w:p w14:paraId="7737A1D9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Nepieciešams atrast variantu, kas varētu derēt pašvaldību izlīdzināšanai. </w:t>
            </w:r>
          </w:p>
          <w:p w14:paraId="2C490362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Piedāvā savu alternatīvo variantu: </w:t>
            </w:r>
          </w:p>
          <w:p w14:paraId="0813A2B1" w14:textId="77777777" w:rsidR="00972467" w:rsidRPr="0091491E" w:rsidRDefault="00972467" w:rsidP="00972467">
            <w:pPr>
              <w:numPr>
                <w:ilvl w:val="0"/>
                <w:numId w:val="2"/>
              </w:numPr>
              <w:suppressAutoHyphens/>
              <w:ind w:left="601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Mājokļi:</w:t>
            </w:r>
          </w:p>
          <w:p w14:paraId="74551CD7" w14:textId="77777777" w:rsidR="00972467" w:rsidRPr="0091491E" w:rsidRDefault="00972467" w:rsidP="00972467">
            <w:pPr>
              <w:suppressAutoHyphens/>
              <w:jc w:val="both"/>
              <w:rPr>
                <w:i/>
                <w:iCs/>
                <w:sz w:val="24"/>
                <w:szCs w:val="24"/>
              </w:rPr>
            </w:pPr>
            <w:r w:rsidRPr="0091491E">
              <w:rPr>
                <w:i/>
                <w:iCs/>
                <w:sz w:val="24"/>
                <w:szCs w:val="24"/>
              </w:rPr>
              <w:t>KV no 0 – 50 000 – likme 0%,</w:t>
            </w:r>
          </w:p>
          <w:p w14:paraId="00405B52" w14:textId="77777777" w:rsidR="00972467" w:rsidRPr="0091491E" w:rsidRDefault="00972467" w:rsidP="00972467">
            <w:pPr>
              <w:suppressAutoHyphens/>
              <w:jc w:val="both"/>
              <w:rPr>
                <w:i/>
                <w:iCs/>
                <w:sz w:val="24"/>
                <w:szCs w:val="24"/>
              </w:rPr>
            </w:pPr>
            <w:r w:rsidRPr="0091491E">
              <w:rPr>
                <w:i/>
                <w:iCs/>
                <w:sz w:val="24"/>
                <w:szCs w:val="24"/>
              </w:rPr>
              <w:t>KV no 50 000 līdz 100 000 – likme 0,2%,</w:t>
            </w:r>
          </w:p>
          <w:p w14:paraId="3FFC0BF7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i/>
                <w:iCs/>
                <w:sz w:val="24"/>
                <w:szCs w:val="24"/>
              </w:rPr>
              <w:t>KV virs 100 000 – likme 0,4%</w:t>
            </w:r>
            <w:r w:rsidRPr="0091491E">
              <w:rPr>
                <w:sz w:val="24"/>
                <w:szCs w:val="24"/>
              </w:rPr>
              <w:tab/>
            </w:r>
            <w:r w:rsidRPr="0091491E">
              <w:rPr>
                <w:sz w:val="24"/>
                <w:szCs w:val="24"/>
              </w:rPr>
              <w:tab/>
            </w:r>
          </w:p>
          <w:p w14:paraId="4363DEE5" w14:textId="77777777" w:rsidR="00972467" w:rsidRPr="0091491E" w:rsidRDefault="00972467" w:rsidP="00972467">
            <w:pPr>
              <w:numPr>
                <w:ilvl w:val="0"/>
                <w:numId w:val="2"/>
              </w:numPr>
              <w:suppressAutoHyphens/>
              <w:ind w:left="601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Ražošanas un </w:t>
            </w:r>
            <w:proofErr w:type="spellStart"/>
            <w:r w:rsidRPr="0091491E">
              <w:rPr>
                <w:sz w:val="24"/>
                <w:szCs w:val="24"/>
              </w:rPr>
              <w:t>komercēkas</w:t>
            </w:r>
            <w:proofErr w:type="spellEnd"/>
            <w:r w:rsidRPr="0091491E">
              <w:rPr>
                <w:sz w:val="24"/>
                <w:szCs w:val="24"/>
              </w:rPr>
              <w:t xml:space="preserve"> – likme 0,9%,</w:t>
            </w:r>
          </w:p>
          <w:p w14:paraId="696AC916" w14:textId="77777777" w:rsidR="00972467" w:rsidRPr="0091491E" w:rsidRDefault="00972467" w:rsidP="00972467">
            <w:pPr>
              <w:numPr>
                <w:ilvl w:val="0"/>
                <w:numId w:val="2"/>
              </w:numPr>
              <w:suppressAutoHyphens/>
              <w:ind w:left="601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Individuālo un daudzdzīvokļu māju zeme – likme 0,9%,</w:t>
            </w:r>
          </w:p>
          <w:p w14:paraId="40B13F49" w14:textId="77777777" w:rsidR="00972467" w:rsidRPr="0091491E" w:rsidRDefault="00972467" w:rsidP="00972467">
            <w:pPr>
              <w:numPr>
                <w:ilvl w:val="0"/>
                <w:numId w:val="2"/>
              </w:numPr>
              <w:suppressAutoHyphens/>
              <w:ind w:left="601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Pārējā zeme – likme 0,9%,</w:t>
            </w:r>
          </w:p>
          <w:p w14:paraId="6AD5BBBE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norādot, ka šī varianta kopējā fiskālā ietekme ir +4,1 milj. </w:t>
            </w:r>
            <w:proofErr w:type="spellStart"/>
            <w:r w:rsidRPr="0091491E">
              <w:rPr>
                <w:sz w:val="24"/>
                <w:szCs w:val="24"/>
              </w:rPr>
              <w:t>euro</w:t>
            </w:r>
            <w:proofErr w:type="spellEnd"/>
            <w:r w:rsidRPr="0091491E">
              <w:rPr>
                <w:sz w:val="24"/>
                <w:szCs w:val="24"/>
              </w:rPr>
              <w:t>.</w:t>
            </w:r>
          </w:p>
        </w:tc>
      </w:tr>
      <w:tr w:rsidR="00972467" w:rsidRPr="0091491E" w14:paraId="54850100" w14:textId="77777777" w:rsidTr="00D82986">
        <w:tc>
          <w:tcPr>
            <w:tcW w:w="1403" w:type="dxa"/>
          </w:tcPr>
          <w:p w14:paraId="510A0144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LTRK</w:t>
            </w:r>
          </w:p>
        </w:tc>
        <w:tc>
          <w:tcPr>
            <w:tcW w:w="7948" w:type="dxa"/>
          </w:tcPr>
          <w:p w14:paraId="07DF6513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Nodokļa maksājumam ir jābūt konkurētspējīgam Baltijas valstīs.</w:t>
            </w:r>
          </w:p>
          <w:p w14:paraId="20353570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Jānosaka samērīgs NĪN pieauguma ierobežojums.</w:t>
            </w:r>
          </w:p>
          <w:p w14:paraId="344FD19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Pilnībā neatbalsta 1. un 3.variantu, izslēdz arī 4.variantu.</w:t>
            </w:r>
          </w:p>
          <w:p w14:paraId="7529829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Varētu veikt izvēli starp 6. un 7.variantu, kombinējot tos ar samazinātu likmi arī </w:t>
            </w:r>
            <w:proofErr w:type="spellStart"/>
            <w:r w:rsidRPr="0091491E">
              <w:rPr>
                <w:sz w:val="24"/>
                <w:szCs w:val="24"/>
              </w:rPr>
              <w:t>komercēkām</w:t>
            </w:r>
            <w:proofErr w:type="spellEnd"/>
            <w:r w:rsidRPr="0091491E">
              <w:rPr>
                <w:sz w:val="24"/>
                <w:szCs w:val="24"/>
              </w:rPr>
              <w:t>.</w:t>
            </w:r>
          </w:p>
        </w:tc>
      </w:tr>
      <w:tr w:rsidR="00972467" w:rsidRPr="0091491E" w14:paraId="6FDB08F4" w14:textId="77777777" w:rsidTr="00D82986">
        <w:tc>
          <w:tcPr>
            <w:tcW w:w="1403" w:type="dxa"/>
          </w:tcPr>
          <w:p w14:paraId="0D8444EE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LDDK</w:t>
            </w:r>
          </w:p>
        </w:tc>
        <w:tc>
          <w:tcPr>
            <w:tcW w:w="7948" w:type="dxa"/>
          </w:tcPr>
          <w:p w14:paraId="26550F77" w14:textId="41EFDFCC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NĪN aprēķināšanā nevar balstīties uz KV</w:t>
            </w:r>
            <w:r w:rsidR="007103AA">
              <w:rPr>
                <w:sz w:val="24"/>
                <w:szCs w:val="24"/>
              </w:rPr>
              <w:t>, jo nav iespējams modelēt ar iedzīvotāju ienākumiem samērīgu NĪN</w:t>
            </w:r>
            <w:r w:rsidRPr="0091491E">
              <w:rPr>
                <w:sz w:val="24"/>
                <w:szCs w:val="24"/>
              </w:rPr>
              <w:t>.</w:t>
            </w:r>
          </w:p>
          <w:p w14:paraId="283F1A21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Neviens no piedāvātajiem variantiem nerisina problēmas, neatbilst uzstādītajiem principiem.</w:t>
            </w:r>
          </w:p>
          <w:p w14:paraId="17DA2BEC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Rosina KV noteikšanā ņemt vērā arī īres tirgus faktoru.</w:t>
            </w:r>
          </w:p>
          <w:p w14:paraId="27D3BE99" w14:textId="2AD0CFD4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Atbalsta, ka NĪN aprēķināšan</w:t>
            </w:r>
            <w:r w:rsidR="007103AA">
              <w:rPr>
                <w:sz w:val="24"/>
                <w:szCs w:val="24"/>
              </w:rPr>
              <w:t>ā</w:t>
            </w:r>
            <w:r w:rsidRPr="0091491E">
              <w:rPr>
                <w:sz w:val="24"/>
                <w:szCs w:val="24"/>
              </w:rPr>
              <w:t xml:space="preserve"> KV nenosaka kā </w:t>
            </w:r>
            <w:r w:rsidR="007103AA">
              <w:rPr>
                <w:sz w:val="24"/>
                <w:szCs w:val="24"/>
              </w:rPr>
              <w:t xml:space="preserve">vienīgo </w:t>
            </w:r>
            <w:r w:rsidRPr="0091491E">
              <w:rPr>
                <w:sz w:val="24"/>
                <w:szCs w:val="24"/>
              </w:rPr>
              <w:t>NĪN bāzi.</w:t>
            </w:r>
          </w:p>
          <w:p w14:paraId="0143C076" w14:textId="4E2F30D8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Atbalsta, ka dzīvojamajām ēkām </w:t>
            </w:r>
            <w:r w:rsidR="00062384">
              <w:rPr>
                <w:sz w:val="24"/>
                <w:szCs w:val="24"/>
              </w:rPr>
              <w:t xml:space="preserve">un tām piekritīgajai zemei </w:t>
            </w:r>
            <w:r w:rsidRPr="0091491E">
              <w:rPr>
                <w:sz w:val="24"/>
                <w:szCs w:val="24"/>
              </w:rPr>
              <w:t>jānosaka NĪN likme 0,2% apmērā.</w:t>
            </w:r>
          </w:p>
          <w:p w14:paraId="1F3B3048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NĪN apmēram ir jābūt samērīgam pret iedzīvotāju ienākumiem.</w:t>
            </w:r>
          </w:p>
          <w:p w14:paraId="3CB80396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Atbalsta, ka biznesam ir jābūt konkurētspējīgam un, ka visu NĪN slogu nevar pārnest no mājokļiem uz biznesa objektiem.</w:t>
            </w:r>
          </w:p>
          <w:p w14:paraId="7A6E7721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7.variants balstās uz neapliekamajām KV, nevis uz neapliekamajām platībām, līdz ar to nevaram panākt samērīgumu attiecībā uz iedzīvotājiem.</w:t>
            </w:r>
          </w:p>
          <w:p w14:paraId="7ADD2937" w14:textId="27C1CA97" w:rsidR="00972467" w:rsidRPr="0091491E" w:rsidRDefault="00062384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Kopumā neatbalsta neapliekamā minimuma noteikšanu, bet ja tāds tiek ieviests k</w:t>
            </w:r>
            <w:r w:rsidR="00972467" w:rsidRPr="0091491E">
              <w:rPr>
                <w:sz w:val="24"/>
                <w:szCs w:val="24"/>
              </w:rPr>
              <w:t>ā neapliekams objekts būtu nosakāma NĪ platība</w:t>
            </w:r>
            <w:r>
              <w:rPr>
                <w:sz w:val="24"/>
                <w:szCs w:val="24"/>
              </w:rPr>
              <w:t xml:space="preserve"> </w:t>
            </w:r>
            <w:r w:rsidRPr="00062384">
              <w:rPr>
                <w:sz w:val="24"/>
                <w:szCs w:val="24"/>
              </w:rPr>
              <w:t>uz deklarēto personu un šai platībai piekritīgā zemes platība</w:t>
            </w:r>
            <w:r w:rsidR="00972467" w:rsidRPr="0091491E">
              <w:rPr>
                <w:sz w:val="24"/>
                <w:szCs w:val="24"/>
              </w:rPr>
              <w:t>, nevis KV apmērs.</w:t>
            </w:r>
          </w:p>
          <w:p w14:paraId="1183297B" w14:textId="77777777" w:rsidR="00972467" w:rsidRPr="0091491E" w:rsidRDefault="00972467" w:rsidP="00972467">
            <w:pPr>
              <w:numPr>
                <w:ilvl w:val="0"/>
                <w:numId w:val="1"/>
              </w:numPr>
              <w:suppressAutoHyphens/>
              <w:ind w:left="176" w:hanging="218"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Atbalsta likmes pārskatīšanu ražošanas objektiem.</w:t>
            </w:r>
          </w:p>
        </w:tc>
      </w:tr>
      <w:tr w:rsidR="00972467" w:rsidRPr="0091491E" w14:paraId="5DE226BC" w14:textId="77777777" w:rsidTr="00D82986">
        <w:tc>
          <w:tcPr>
            <w:tcW w:w="1403" w:type="dxa"/>
          </w:tcPr>
          <w:p w14:paraId="40F37E76" w14:textId="77777777" w:rsidR="00972467" w:rsidRPr="0091491E" w:rsidRDefault="00972467" w:rsidP="00972467">
            <w:pPr>
              <w:tabs>
                <w:tab w:val="left" w:pos="993"/>
              </w:tabs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Biedrība “Nekustamā īpašuma attīstītāju alianse”</w:t>
            </w:r>
          </w:p>
        </w:tc>
        <w:tc>
          <w:tcPr>
            <w:tcW w:w="7948" w:type="dxa"/>
          </w:tcPr>
          <w:p w14:paraId="58475E97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Atbalsta, ka ir jānodrošina NĪN maksājuma prognozējamība,</w:t>
            </w:r>
          </w:p>
          <w:p w14:paraId="4504AC02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maksājumam ir jābūt konkurētspējīgam Baltijas valstīs (industriālajos objektos, īres objektos).</w:t>
            </w:r>
          </w:p>
          <w:p w14:paraId="5F47AACE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Novērst maksājamā NĪN lēcienu (īres objektos, tirdzniecības objektos) – jānosaka NĪN maksājuma pieauguma ierobežojums, piem., 3% apmērā,</w:t>
            </w:r>
          </w:p>
          <w:p w14:paraId="5B70981F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 xml:space="preserve">- </w:t>
            </w:r>
            <w:proofErr w:type="spellStart"/>
            <w:r w:rsidRPr="0091491E">
              <w:rPr>
                <w:sz w:val="24"/>
                <w:szCs w:val="24"/>
              </w:rPr>
              <w:t>Komercobjektiem</w:t>
            </w:r>
            <w:proofErr w:type="spellEnd"/>
            <w:r w:rsidRPr="0091491E">
              <w:rPr>
                <w:sz w:val="24"/>
                <w:szCs w:val="24"/>
              </w:rPr>
              <w:t xml:space="preserve"> noteikt NĪN likmi 0,4% apmērā.</w:t>
            </w:r>
          </w:p>
          <w:p w14:paraId="0988BDB3" w14:textId="77777777" w:rsidR="00972467" w:rsidRPr="0091491E" w:rsidRDefault="00972467" w:rsidP="00972467">
            <w:pPr>
              <w:suppressAutoHyphens/>
              <w:jc w:val="both"/>
              <w:rPr>
                <w:sz w:val="24"/>
                <w:szCs w:val="24"/>
              </w:rPr>
            </w:pPr>
            <w:r w:rsidRPr="0091491E">
              <w:rPr>
                <w:sz w:val="24"/>
                <w:szCs w:val="24"/>
              </w:rPr>
              <w:t>- NĪN aprēķinā ņem vērā energoefektivitātes rādītājus, KV pieaug, bet objektam vajadzētu piešķirt NĪN bonusus, stimulus (samazinājumu).</w:t>
            </w:r>
          </w:p>
        </w:tc>
      </w:tr>
    </w:tbl>
    <w:p w14:paraId="7F872FFA" w14:textId="013ABE0B" w:rsidR="00D5790E" w:rsidRDefault="00D5790E"/>
    <w:p w14:paraId="459963F8" w14:textId="7C47D16E" w:rsidR="008535A7" w:rsidRPr="008535A7" w:rsidRDefault="008535A7" w:rsidP="008535A7">
      <w:pPr>
        <w:ind w:firstLine="567"/>
        <w:jc w:val="both"/>
        <w:rPr>
          <w:noProof/>
          <w:szCs w:val="28"/>
        </w:rPr>
      </w:pPr>
      <w:r w:rsidRPr="00E2397F">
        <w:rPr>
          <w:noProof/>
          <w:szCs w:val="28"/>
        </w:rPr>
        <w:t>Finanšu ministr</w:t>
      </w:r>
      <w:r>
        <w:rPr>
          <w:noProof/>
          <w:szCs w:val="28"/>
        </w:rPr>
        <w:t>s</w:t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J.Reirs</w:t>
      </w:r>
    </w:p>
    <w:sectPr w:rsidR="008535A7" w:rsidRPr="008535A7" w:rsidSect="003D5ABB">
      <w:pgSz w:w="11906" w:h="16838"/>
      <w:pgMar w:top="851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406B1"/>
    <w:multiLevelType w:val="hybridMultilevel"/>
    <w:tmpl w:val="42DC824E"/>
    <w:lvl w:ilvl="0" w:tplc="1DC21B0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59E7"/>
    <w:multiLevelType w:val="hybridMultilevel"/>
    <w:tmpl w:val="804E9ECE"/>
    <w:lvl w:ilvl="0" w:tplc="042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67"/>
    <w:rsid w:val="00062384"/>
    <w:rsid w:val="002802BF"/>
    <w:rsid w:val="002D49C0"/>
    <w:rsid w:val="003D5ABB"/>
    <w:rsid w:val="00522636"/>
    <w:rsid w:val="00596CF7"/>
    <w:rsid w:val="005B7F52"/>
    <w:rsid w:val="007103AA"/>
    <w:rsid w:val="00787EC3"/>
    <w:rsid w:val="008535A7"/>
    <w:rsid w:val="0090586C"/>
    <w:rsid w:val="0091491E"/>
    <w:rsid w:val="00972467"/>
    <w:rsid w:val="00B702BE"/>
    <w:rsid w:val="00BB2005"/>
    <w:rsid w:val="00C05475"/>
    <w:rsid w:val="00C4496A"/>
    <w:rsid w:val="00D24E7D"/>
    <w:rsid w:val="00D5790E"/>
    <w:rsid w:val="00D82986"/>
    <w:rsid w:val="00DC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31FA"/>
  <w15:chartTrackingRefBased/>
  <w15:docId w15:val="{88A905D0-5F64-4DD6-B3C2-22A40A68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2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467"/>
    <w:pPr>
      <w:suppressAutoHyphens/>
      <w:autoSpaceDN w:val="0"/>
      <w:spacing w:after="0" w:line="240" w:lineRule="auto"/>
      <w:textAlignment w:val="baseline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467"/>
    <w:rPr>
      <w:rFonts w:eastAsia="Calibri"/>
      <w:sz w:val="20"/>
      <w:szCs w:val="20"/>
    </w:rPr>
  </w:style>
  <w:style w:type="table" w:styleId="TableGrid">
    <w:name w:val="Table Grid"/>
    <w:basedOn w:val="TableNormal"/>
    <w:uiPriority w:val="59"/>
    <w:rsid w:val="00972467"/>
    <w:pPr>
      <w:autoSpaceDN w:val="0"/>
      <w:spacing w:after="0" w:line="240" w:lineRule="auto"/>
      <w:textAlignment w:val="baseline"/>
    </w:pPr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6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05"/>
    <w:pPr>
      <w:suppressAutoHyphens w:val="0"/>
      <w:autoSpaceDN/>
      <w:spacing w:after="160"/>
      <w:textAlignment w:val="auto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005"/>
    <w:rPr>
      <w:rFonts w:eastAsia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0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3446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samērīga nekustamā īpašuma nodokļa nodrošināšanu</vt:lpstr>
      <vt:lpstr/>
    </vt:vector>
  </TitlesOfParts>
  <Company>Finanšu ministrija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samērīga nekustamā īpašuma nodokļa nodrošināšanu</dc:title>
  <dc:subject>Pielikums Nr.6</dc:subject>
  <dc:creator>Līga Leite</dc:creator>
  <cp:keywords/>
  <dc:description/>
  <cp:lastModifiedBy>Līga Leite</cp:lastModifiedBy>
  <cp:revision>3</cp:revision>
  <dcterms:created xsi:type="dcterms:W3CDTF">2022-03-14T11:07:00Z</dcterms:created>
  <dcterms:modified xsi:type="dcterms:W3CDTF">2022-03-14T11:08:00Z</dcterms:modified>
</cp:coreProperties>
</file>