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29576E" w:rsidR="00452C14" w:rsidP="00CD2839" w:rsidRDefault="00452C14" w14:paraId="4980BAD3" w14:textId="77777777">
      <w:pPr>
        <w:widowControl w:val="false"/>
        <w:suppressAutoHyphens/>
        <w:spacing w:before="120" w:after="120"/>
        <w:ind w:left="357"/>
        <w:jc w:val="center"/>
        <w15:collapsed w:val="false"/>
        <w:rPr>
          <w:b/>
          <w:kern w:val="1"/>
          <w:lang w:eastAsia="ar-SA"/>
        </w:rPr>
      </w:pPr>
      <w:r w:rsidRPr="0029576E">
        <w:rPr>
          <w:b/>
          <w:kern w:val="1"/>
          <w:lang w:eastAsia="ar-SA"/>
        </w:rPr>
        <w:t>Informatīvais ziņojums</w:t>
      </w:r>
    </w:p>
    <w:p w:rsidRPr="0029576E" w:rsidR="00A947D5" w:rsidP="00CD2839" w:rsidRDefault="00A947D5" w14:paraId="59CAE8AC" w14:textId="748C6D7B">
      <w:pPr>
        <w:snapToGrid w:val="false"/>
        <w:spacing w:before="120" w:after="120"/>
        <w:jc w:val="center"/>
        <w:rPr>
          <w:b/>
          <w:bCs/>
          <w:lang w:eastAsia="lv-LV"/>
        </w:rPr>
      </w:pPr>
      <w:r w:rsidRPr="0029576E">
        <w:rPr>
          <w:b/>
          <w:bCs/>
          <w:lang w:eastAsia="lv-LV"/>
        </w:rPr>
        <w:t>“Par 202</w:t>
      </w:r>
      <w:r w:rsidR="003002D8">
        <w:rPr>
          <w:b/>
          <w:bCs/>
          <w:lang w:eastAsia="lv-LV"/>
        </w:rPr>
        <w:t>2</w:t>
      </w:r>
      <w:r w:rsidRPr="0029576E">
        <w:rPr>
          <w:b/>
          <w:bCs/>
          <w:lang w:eastAsia="lv-LV"/>
        </w:rPr>
        <w:t xml:space="preserve">. gada </w:t>
      </w:r>
      <w:r w:rsidR="003002D8">
        <w:rPr>
          <w:b/>
          <w:bCs/>
          <w:lang w:eastAsia="lv-LV"/>
        </w:rPr>
        <w:t>10</w:t>
      </w:r>
      <w:r w:rsidRPr="0029576E">
        <w:rPr>
          <w:b/>
          <w:bCs/>
          <w:lang w:eastAsia="lv-LV"/>
        </w:rPr>
        <w:t>.</w:t>
      </w:r>
      <w:r w:rsidR="003002D8">
        <w:rPr>
          <w:b/>
          <w:bCs/>
          <w:lang w:eastAsia="lv-LV"/>
        </w:rPr>
        <w:t xml:space="preserve"> un 11. mart</w:t>
      </w:r>
      <w:r w:rsidRPr="0029576E">
        <w:rPr>
          <w:b/>
          <w:bCs/>
          <w:lang w:eastAsia="lv-LV"/>
        </w:rPr>
        <w:t>a neformālajā Eiropadomē izskatāmajiem jautājumiem”</w:t>
      </w:r>
    </w:p>
    <w:p w:rsidRPr="0029576E" w:rsidR="00A947D5" w:rsidP="00CD2839" w:rsidRDefault="00A947D5" w14:paraId="584CF1B0" w14:textId="77777777">
      <w:pPr>
        <w:snapToGrid w:val="false"/>
        <w:spacing w:before="120" w:after="120"/>
        <w:jc w:val="both"/>
      </w:pPr>
    </w:p>
    <w:p w:rsidRPr="00C650F9" w:rsidR="006A2A4F" w:rsidP="006A2A4F" w:rsidRDefault="006A2A4F" w14:paraId="072045FA" w14:textId="6325B154">
      <w:pPr>
        <w:autoSpaceDE w:val="false"/>
        <w:autoSpaceDN w:val="false"/>
        <w:spacing w:before="120" w:after="120"/>
        <w:jc w:val="both"/>
        <w:rPr>
          <w:color w:val="000000"/>
        </w:rPr>
      </w:pPr>
      <w:bookmarkStart w:name="_Hlk80775139" w:id="0"/>
      <w:r w:rsidRPr="0029576E">
        <w:t xml:space="preserve">Šī gada </w:t>
      </w:r>
      <w:r>
        <w:t>10. un 11. martā</w:t>
      </w:r>
      <w:r w:rsidRPr="0029576E">
        <w:t xml:space="preserve"> </w:t>
      </w:r>
      <w:r>
        <w:t>Francijā</w:t>
      </w:r>
      <w:r w:rsidRPr="0029576E">
        <w:t xml:space="preserve"> notiks neformālā E</w:t>
      </w:r>
      <w:r>
        <w:t>iropas Savienības</w:t>
      </w:r>
      <w:r w:rsidRPr="0029576E">
        <w:t xml:space="preserve"> </w:t>
      </w:r>
      <w:r>
        <w:t xml:space="preserve">(turpmāk – ES) </w:t>
      </w:r>
      <w:r w:rsidRPr="0029576E">
        <w:t>valstu un valdību vadītāju sanāksme (Eiropadome)</w:t>
      </w:r>
      <w:r>
        <w:t>.</w:t>
      </w:r>
      <w:r w:rsidRPr="0029576E">
        <w:t xml:space="preserve"> </w:t>
      </w:r>
      <w:r>
        <w:rPr>
          <w:color w:val="000000"/>
        </w:rPr>
        <w:t xml:space="preserve">Neformālās Eiropadomes diskusijās iecerēts meklēt sākotnējās atbildes uz jautājumu, kā uzlabot investīciju vidi un finansēt to publisko daļu, ņemot vērā ES ambīcijas klimata un digitālajā jomā, un kā nodrošināt ilgtspējīgu ekonomiskās pārvaldības un attīstības modeli. Attiecībā uz finansējuma aspektu tiks diskutēts par Stabilitātes un izaugsmes pakta pārskatīšanu un finansēšanas principiem ES budžetā. Ekonomikas pārvaldības jautājumos būtiskākie aspekti ir ES ekonomikas stratēģiskā autonomija un vienotā tirgus darbība, mērķi klimatam, digitalizācijai, sociālai aizsardzībai un nodarbinātībai.  </w:t>
      </w:r>
    </w:p>
    <w:p w:rsidR="006A2A4F" w:rsidP="006A2A4F" w:rsidRDefault="006A2A4F" w14:paraId="7C293CB7" w14:textId="77777777">
      <w:pPr>
        <w:rPr>
          <w:b/>
          <w:sz w:val="22"/>
          <w:szCs w:val="22"/>
        </w:rPr>
      </w:pPr>
      <w:r w:rsidRPr="009A4B84">
        <w:rPr>
          <w:b/>
        </w:rPr>
        <w:t>ES izaugsmes veicināšana un investīciju piesaiste. Galvenie virzieni.</w:t>
      </w:r>
    </w:p>
    <w:p w:rsidR="006A2A4F" w:rsidP="006A2A4F" w:rsidRDefault="006A2A4F" w14:paraId="550B41D3" w14:textId="62FD875B">
      <w:pPr>
        <w:spacing w:before="120" w:after="120"/>
        <w:jc w:val="both"/>
        <w:rPr>
          <w:noProof/>
        </w:rPr>
      </w:pPr>
      <w:r w:rsidRPr="00E95882">
        <w:t xml:space="preserve">2022. gada </w:t>
      </w:r>
      <w:r>
        <w:t xml:space="preserve"> 4.</w:t>
      </w:r>
      <w:r w:rsidR="006D580B">
        <w:t> </w:t>
      </w:r>
      <w:r>
        <w:t>martā</w:t>
      </w:r>
      <w:r w:rsidRPr="00E95882">
        <w:t xml:space="preserve">  gaidāmas Eiropas Komisijas</w:t>
      </w:r>
      <w:r>
        <w:t xml:space="preserve"> (turpmāk – EK)</w:t>
      </w:r>
      <w:r w:rsidRPr="00E95882">
        <w:t xml:space="preserve"> vadlīnijas </w:t>
      </w:r>
      <w:r w:rsidRPr="00E95882">
        <w:rPr>
          <w:noProof/>
        </w:rPr>
        <w:t xml:space="preserve"> fiskālās politikas koordinācijai </w:t>
      </w:r>
      <w:r>
        <w:rPr>
          <w:noProof/>
        </w:rPr>
        <w:t xml:space="preserve"> 2023.</w:t>
      </w:r>
      <w:r w:rsidR="006D580B">
        <w:rPr>
          <w:noProof/>
        </w:rPr>
        <w:t> </w:t>
      </w:r>
      <w:r>
        <w:rPr>
          <w:noProof/>
        </w:rPr>
        <w:t>gadā</w:t>
      </w:r>
      <w:r w:rsidRPr="00E95882">
        <w:rPr>
          <w:noProof/>
        </w:rPr>
        <w:t xml:space="preserve">. </w:t>
      </w:r>
      <w:r>
        <w:rPr>
          <w:noProof/>
        </w:rPr>
        <w:t>EK</w:t>
      </w:r>
      <w:r w:rsidRPr="00E95882">
        <w:rPr>
          <w:noProof/>
        </w:rPr>
        <w:t xml:space="preserve"> vadlīnijās ņems vērā, ka 2023. gad</w:t>
      </w:r>
      <w:r>
        <w:rPr>
          <w:noProof/>
        </w:rPr>
        <w:t>ā</w:t>
      </w:r>
      <w:r w:rsidRPr="00E95882">
        <w:rPr>
          <w:noProof/>
        </w:rPr>
        <w:t xml:space="preserve"> plānots atcelt Covid-19 kontekstā iedarbināto ES ekonomikas un fiskālās politikas pārvaldības (Stabilitātes un izaugsmes pakta</w:t>
      </w:r>
      <w:r>
        <w:rPr>
          <w:noProof/>
        </w:rPr>
        <w:t>; turpmāk –</w:t>
      </w:r>
      <w:r w:rsidRPr="00E95882">
        <w:rPr>
          <w:noProof/>
        </w:rPr>
        <w:t xml:space="preserve"> SIP</w:t>
      </w:r>
      <w:r>
        <w:rPr>
          <w:noProof/>
        </w:rPr>
        <w:t>)</w:t>
      </w:r>
      <w:r w:rsidRPr="00E95882">
        <w:rPr>
          <w:noProof/>
        </w:rPr>
        <w:t xml:space="preserve"> vispārējo izņēmuma klauzulu. </w:t>
      </w:r>
    </w:p>
    <w:p w:rsidRPr="00E95882" w:rsidR="006A2A4F" w:rsidP="006A2A4F" w:rsidRDefault="006A2A4F" w14:paraId="2BE9138B" w14:textId="7FA7A6DB">
      <w:pPr>
        <w:spacing w:before="120" w:after="120"/>
        <w:jc w:val="both"/>
        <w:rPr>
          <w:noProof/>
        </w:rPr>
      </w:pPr>
      <w:r w:rsidRPr="0007544C">
        <w:rPr>
          <w:noProof/>
        </w:rPr>
        <w:t>2020.</w:t>
      </w:r>
      <w:r w:rsidR="006D580B">
        <w:rPr>
          <w:noProof/>
        </w:rPr>
        <w:t> </w:t>
      </w:r>
      <w:r w:rsidRPr="0007544C">
        <w:rPr>
          <w:noProof/>
        </w:rPr>
        <w:t xml:space="preserve">gada februārī EK prezentēja komunikāciju </w:t>
      </w:r>
      <w:r>
        <w:rPr>
          <w:noProof/>
        </w:rPr>
        <w:t>SIP</w:t>
      </w:r>
      <w:r w:rsidRPr="0007544C">
        <w:rPr>
          <w:noProof/>
        </w:rPr>
        <w:t xml:space="preserve"> pārskat</w:t>
      </w:r>
      <w:r>
        <w:rPr>
          <w:noProof/>
        </w:rPr>
        <w:t>īšanu</w:t>
      </w:r>
      <w:r w:rsidRPr="0007544C">
        <w:rPr>
          <w:noProof/>
        </w:rPr>
        <w:t xml:space="preserve">, </w:t>
      </w:r>
      <w:r w:rsidR="006D580B">
        <w:rPr>
          <w:noProof/>
        </w:rPr>
        <w:t xml:space="preserve">par kuru </w:t>
      </w:r>
      <w:r w:rsidRPr="0007544C">
        <w:rPr>
          <w:noProof/>
        </w:rPr>
        <w:t>publiskā apspriešana</w:t>
      </w:r>
      <w:r w:rsidR="006D580B">
        <w:rPr>
          <w:noProof/>
        </w:rPr>
        <w:t xml:space="preserve"> pēc tās atlikšanas Covid-19 pandēmijas ietekmē, tika</w:t>
      </w:r>
      <w:r w:rsidR="006E6767">
        <w:rPr>
          <w:noProof/>
        </w:rPr>
        <w:t xml:space="preserve"> </w:t>
      </w:r>
      <w:r>
        <w:rPr>
          <w:noProof/>
        </w:rPr>
        <w:t>atsākta 2021.gada oktobrī. SIP pārskatīšanas</w:t>
      </w:r>
      <w:r w:rsidRPr="00E95882">
        <w:rPr>
          <w:noProof/>
        </w:rPr>
        <w:t xml:space="preserve"> mērķis ir vērtēt iespējas </w:t>
      </w:r>
      <w:r>
        <w:rPr>
          <w:noProof/>
        </w:rPr>
        <w:t>uzlabojumiem</w:t>
      </w:r>
      <w:r w:rsidRPr="00E95882">
        <w:rPr>
          <w:noProof/>
        </w:rPr>
        <w:t xml:space="preserve"> esošājā dalībvalstu fiskāl</w:t>
      </w:r>
      <w:r>
        <w:rPr>
          <w:noProof/>
        </w:rPr>
        <w:t>o</w:t>
      </w:r>
      <w:r w:rsidRPr="00E95882">
        <w:rPr>
          <w:noProof/>
        </w:rPr>
        <w:t xml:space="preserve"> noteikumu kopumā, lai stiprinātu</w:t>
      </w:r>
      <w:r w:rsidRPr="00E95882">
        <w:t xml:space="preserve"> noturīgu uz ilgtspēj</w:t>
      </w:r>
      <w:r>
        <w:t>u</w:t>
      </w:r>
      <w:r w:rsidRPr="00E95882">
        <w:t xml:space="preserve"> un iekļaujošu izaugsmi vērstu </w:t>
      </w:r>
      <w:r>
        <w:t>dalīb</w:t>
      </w:r>
      <w:r w:rsidRPr="00E95882">
        <w:t>valst</w:t>
      </w:r>
      <w:r>
        <w:t>u</w:t>
      </w:r>
      <w:r w:rsidRPr="00E95882">
        <w:t xml:space="preserve"> </w:t>
      </w:r>
      <w:r>
        <w:t>fiskālo</w:t>
      </w:r>
      <w:r w:rsidRPr="00E95882">
        <w:t xml:space="preserve"> politiku</w:t>
      </w:r>
      <w:r w:rsidRPr="00E95882">
        <w:rPr>
          <w:noProof/>
        </w:rPr>
        <w:t>.</w:t>
      </w:r>
      <w:r>
        <w:rPr>
          <w:noProof/>
        </w:rPr>
        <w:t xml:space="preserve"> EK šobrīd ir “aktīva klausītāja” lomā un plāno iesniegt priekšlikumus par SIP grozījumiem 2022.gada vidū ar nodomu līdz 2022.gada beigām pabeigt apstiprināšanas procesu, nodrošinot vienprātību ES dalībvalstu vidū. </w:t>
      </w:r>
    </w:p>
    <w:p w:rsidR="00730977" w:rsidP="006A2A4F" w:rsidRDefault="006A2A4F" w14:paraId="2FBFCDF7" w14:textId="7AAB5CF6">
      <w:pPr>
        <w:spacing w:before="120" w:after="120"/>
        <w:jc w:val="both"/>
      </w:pPr>
      <w:r w:rsidRPr="00E95882">
        <w:t>SIP pārskatīšanas proces</w:t>
      </w:r>
      <w:r>
        <w:t xml:space="preserve">ā tehniskā līmenī notiek diskusijas galvenokārt </w:t>
      </w:r>
      <w:r w:rsidRPr="00E95882">
        <w:t xml:space="preserve">par esošo nosacījumu vienkāršošanas nepieciešamību, lai stiprinātu noteikumu </w:t>
      </w:r>
      <w:r>
        <w:t>ieviešanas paredzamību</w:t>
      </w:r>
      <w:r w:rsidRPr="00E95882">
        <w:t xml:space="preserve"> un </w:t>
      </w:r>
      <w:r>
        <w:t xml:space="preserve">nodrošinātu </w:t>
      </w:r>
      <w:r w:rsidRPr="00E95882">
        <w:t>SIP publisko izdevumu ierobežojumu elastības iespējas publiskām investīcijām</w:t>
      </w:r>
      <w:r>
        <w:t xml:space="preserve"> (t.s. “</w:t>
      </w:r>
      <w:proofErr w:type="spellStart"/>
      <w:r w:rsidRPr="005E1E32">
        <w:rPr>
          <w:i/>
        </w:rPr>
        <w:t>golden</w:t>
      </w:r>
      <w:proofErr w:type="spellEnd"/>
      <w:r w:rsidRPr="005E1E32">
        <w:rPr>
          <w:i/>
        </w:rPr>
        <w:t xml:space="preserve"> </w:t>
      </w:r>
      <w:proofErr w:type="spellStart"/>
      <w:r w:rsidRPr="005E1E32">
        <w:rPr>
          <w:i/>
        </w:rPr>
        <w:t>rule</w:t>
      </w:r>
      <w:proofErr w:type="spellEnd"/>
      <w:r>
        <w:t>”)</w:t>
      </w:r>
      <w:r w:rsidRPr="00E95882">
        <w:t xml:space="preserve">. </w:t>
      </w:r>
      <w:r>
        <w:t>Attiecībā uz paredzamības veicināšanu diskusijas galvenokārt notiek par</w:t>
      </w:r>
      <w:r w:rsidR="00997485">
        <w:t xml:space="preserve"> iespējām</w:t>
      </w:r>
      <w:r w:rsidR="00E927E6">
        <w:t xml:space="preserve"> </w:t>
      </w:r>
      <w:r w:rsidR="0069753C">
        <w:t>uzlabot</w:t>
      </w:r>
      <w:r w:rsidR="00E927E6">
        <w:t xml:space="preserve"> noteiktību aprēķina metodēm, lai mērītu </w:t>
      </w:r>
      <w:r w:rsidR="00730977">
        <w:t>konkrētas valsts publisko izdevumu atbilstību</w:t>
      </w:r>
      <w:r w:rsidR="00E927E6">
        <w:t xml:space="preserve"> ES fiskālās disciplīnas </w:t>
      </w:r>
      <w:r w:rsidR="00730977">
        <w:t>regulējumam</w:t>
      </w:r>
      <w:r w:rsidR="00E927E6">
        <w:t>.</w:t>
      </w:r>
      <w:r>
        <w:t xml:space="preserve"> </w:t>
      </w:r>
      <w:r w:rsidR="00E927E6">
        <w:t>Piemēram, d</w:t>
      </w:r>
      <w:r>
        <w:t xml:space="preserve">alībvalstu diskusijās tiek uzsvērta nepieciešamība pēc viegli uztveramiem un piemērojamiem noteikumiem, kas veicinātu fiskālās politikas </w:t>
      </w:r>
      <w:r w:rsidR="00E927E6">
        <w:t>pieeju</w:t>
      </w:r>
      <w:r>
        <w:t xml:space="preserve">  “labajos laikos” </w:t>
      </w:r>
      <w:r w:rsidR="00730977">
        <w:t xml:space="preserve">vairāk </w:t>
      </w:r>
      <w:r>
        <w:t>uzkrāt</w:t>
      </w:r>
      <w:r w:rsidR="00E927E6">
        <w:t xml:space="preserve"> valsts līdzekļu</w:t>
      </w:r>
      <w:r>
        <w:t xml:space="preserve"> rezerves,</w:t>
      </w:r>
      <w:r w:rsidR="00E927E6">
        <w:t xml:space="preserve"> kurus</w:t>
      </w:r>
      <w:r>
        <w:t xml:space="preserve"> izmantot tautsaimniecības</w:t>
      </w:r>
      <w:r w:rsidR="00E927E6">
        <w:t xml:space="preserve"> darbības stimulēšanai</w:t>
      </w:r>
      <w:r>
        <w:t xml:space="preserve"> lejupslīdes laikā. </w:t>
      </w:r>
    </w:p>
    <w:p w:rsidR="00DF0969" w:rsidP="006A2A4F" w:rsidRDefault="006A2A4F" w14:paraId="4741B022" w14:textId="47B617E7">
      <w:pPr>
        <w:spacing w:before="120" w:after="120"/>
        <w:jc w:val="both"/>
      </w:pPr>
      <w:r>
        <w:t xml:space="preserve">Vienlaicīgi </w:t>
      </w:r>
      <w:r w:rsidRPr="00E95882">
        <w:t>SIP pārskatīšanas</w:t>
      </w:r>
      <w:r>
        <w:t xml:space="preserve"> ietvaros </w:t>
      </w:r>
      <w:r w:rsidRPr="00E95882">
        <w:t>iezīmējas dažādas dalībvalstu konceptuālas idejas iespējamiem virzieniem</w:t>
      </w:r>
      <w:r>
        <w:t xml:space="preserve"> </w:t>
      </w:r>
      <w:r w:rsidRPr="00E95882">
        <w:t>publisko investīciju veicināšanai, lai sekmētu ES ilgtermiņa prioritāšu īstenošanu Zaļā kursa un digitalizācijas kontekstā</w:t>
      </w:r>
      <w:r>
        <w:t>, piemēram, ī</w:t>
      </w:r>
      <w:r w:rsidRPr="00E95882">
        <w:t xml:space="preserve">pašas elastības iespējas SIP attiecībā uz </w:t>
      </w:r>
      <w:r>
        <w:t xml:space="preserve">šādu prioritāšu finansēšanu no </w:t>
      </w:r>
      <w:r w:rsidRPr="00E95882">
        <w:t>publisk</w:t>
      </w:r>
      <w:r>
        <w:t>ajiem resursiem.</w:t>
      </w:r>
      <w:r w:rsidRPr="00E95882">
        <w:t xml:space="preserve"> </w:t>
      </w:r>
      <w:r>
        <w:t>Tiek uzsvērta arī privāto investīciju nozīme, ņem</w:t>
      </w:r>
      <w:r w:rsidR="006D580B">
        <w:t>ot</w:t>
      </w:r>
      <w:r>
        <w:t xml:space="preserve"> vērā ievērojamus resursu apjomus, kas būtu jāiegulda, lai nodrošinātu ES zaļo un digitālo transformāciju. </w:t>
      </w:r>
    </w:p>
    <w:p w:rsidRPr="00FE220A" w:rsidR="006A2A4F" w:rsidP="006A2A4F" w:rsidRDefault="006A2A4F" w14:paraId="279F97CF" w14:textId="10174733">
      <w:pPr>
        <w:spacing w:before="120" w:after="120"/>
        <w:jc w:val="both"/>
      </w:pPr>
      <w:r w:rsidRPr="00E95882">
        <w:rPr>
          <w:color w:val="000000"/>
        </w:rPr>
        <w:lastRenderedPageBreak/>
        <w:t xml:space="preserve">Vērtējot SIP nosacījumu darbību Covid-19 gūtās pieredzes kontekstā, </w:t>
      </w:r>
      <w:r>
        <w:rPr>
          <w:color w:val="000000"/>
        </w:rPr>
        <w:t>jāņem</w:t>
      </w:r>
      <w:r w:rsidRPr="00E95882">
        <w:rPr>
          <w:color w:val="000000"/>
        </w:rPr>
        <w:t xml:space="preserve"> vērā </w:t>
      </w:r>
      <w:r>
        <w:rPr>
          <w:color w:val="000000"/>
        </w:rPr>
        <w:t>vērienīgais</w:t>
      </w:r>
      <w:r w:rsidRPr="00E95882">
        <w:rPr>
          <w:color w:val="000000"/>
        </w:rPr>
        <w:t xml:space="preserve"> krīzes </w:t>
      </w:r>
      <w:r>
        <w:rPr>
          <w:color w:val="000000"/>
        </w:rPr>
        <w:t xml:space="preserve">ietvaros īstenotais </w:t>
      </w:r>
      <w:r w:rsidRPr="00E95882">
        <w:rPr>
          <w:color w:val="000000"/>
        </w:rPr>
        <w:t>publisk</w:t>
      </w:r>
      <w:r>
        <w:rPr>
          <w:color w:val="000000"/>
        </w:rPr>
        <w:t>ais</w:t>
      </w:r>
      <w:r w:rsidRPr="00E95882">
        <w:rPr>
          <w:color w:val="000000"/>
        </w:rPr>
        <w:t xml:space="preserve"> finanšu atbalst</w:t>
      </w:r>
      <w:r>
        <w:rPr>
          <w:color w:val="000000"/>
        </w:rPr>
        <w:t>s</w:t>
      </w:r>
      <w:r w:rsidRPr="00E95882">
        <w:rPr>
          <w:color w:val="000000"/>
        </w:rPr>
        <w:t>.</w:t>
      </w:r>
      <w:r>
        <w:rPr>
          <w:color w:val="000000"/>
        </w:rPr>
        <w:t xml:space="preserve"> </w:t>
      </w:r>
      <w:r w:rsidRPr="00E95882">
        <w:rPr>
          <w:color w:val="000000"/>
        </w:rPr>
        <w:t xml:space="preserve">Tostarp, </w:t>
      </w:r>
      <w:r>
        <w:rPr>
          <w:color w:val="000000"/>
        </w:rPr>
        <w:t xml:space="preserve">Atveseļošanas un noturības mehānisma (turpmāk – </w:t>
      </w:r>
      <w:r w:rsidRPr="00E95882">
        <w:rPr>
          <w:color w:val="000000"/>
        </w:rPr>
        <w:t>ANM</w:t>
      </w:r>
      <w:r>
        <w:rPr>
          <w:color w:val="000000"/>
        </w:rPr>
        <w:t>) ieguldījums</w:t>
      </w:r>
      <w:r w:rsidRPr="00E95882">
        <w:rPr>
          <w:color w:val="000000"/>
        </w:rPr>
        <w:t xml:space="preserve"> pandēmijas radīto sociālekonomisko satricinājumu pārvarēšanā, ekonomikas darbības atjaunošanā un ES ilgtermiņa klimata un digitalizācijas mērķu īstenošanā.</w:t>
      </w:r>
      <w:r>
        <w:rPr>
          <w:color w:val="000000"/>
        </w:rPr>
        <w:t xml:space="preserve">  </w:t>
      </w:r>
    </w:p>
    <w:p w:rsidRPr="00E95882" w:rsidR="006A2A4F" w:rsidP="006A2A4F" w:rsidRDefault="006A2A4F" w14:paraId="308FB1A6" w14:textId="6C90182A">
      <w:pPr>
        <w:autoSpaceDE w:val="false"/>
        <w:autoSpaceDN w:val="false"/>
        <w:spacing w:before="120" w:after="120"/>
        <w:jc w:val="both"/>
        <w:rPr>
          <w:color w:val="000000"/>
        </w:rPr>
      </w:pPr>
      <w:r w:rsidRPr="00E95882">
        <w:rPr>
          <w:rFonts w:eastAsia="Calibri"/>
        </w:rPr>
        <w:t>2020. gada jūlijā tika panākta vienošanās par ES daudzgadu budžetu 2021.-2027. gadam un Eiropas Atveseļošanas instrumentu (</w:t>
      </w:r>
      <w:proofErr w:type="spellStart"/>
      <w:r w:rsidRPr="00E95882">
        <w:rPr>
          <w:rFonts w:eastAsia="Calibri"/>
          <w:i/>
        </w:rPr>
        <w:t>Next</w:t>
      </w:r>
      <w:proofErr w:type="spellEnd"/>
      <w:r w:rsidRPr="00E95882">
        <w:rPr>
          <w:rFonts w:eastAsia="Calibri"/>
          <w:i/>
        </w:rPr>
        <w:t xml:space="preserve"> </w:t>
      </w:r>
      <w:proofErr w:type="spellStart"/>
      <w:r w:rsidRPr="00E95882">
        <w:rPr>
          <w:rFonts w:eastAsia="Calibri"/>
          <w:i/>
        </w:rPr>
        <w:t>Generation</w:t>
      </w:r>
      <w:proofErr w:type="spellEnd"/>
      <w:r w:rsidRPr="00E95882">
        <w:rPr>
          <w:rFonts w:eastAsia="Calibri"/>
          <w:i/>
        </w:rPr>
        <w:t xml:space="preserve"> EU, </w:t>
      </w:r>
      <w:proofErr w:type="spellStart"/>
      <w:r w:rsidRPr="00E95882">
        <w:rPr>
          <w:rFonts w:eastAsia="Calibri"/>
          <w:i/>
        </w:rPr>
        <w:t>NextGen</w:t>
      </w:r>
      <w:proofErr w:type="spellEnd"/>
      <w:r w:rsidRPr="00E95882">
        <w:rPr>
          <w:rFonts w:eastAsia="Calibri"/>
        </w:rPr>
        <w:t xml:space="preserve">). Viena no </w:t>
      </w:r>
      <w:proofErr w:type="spellStart"/>
      <w:r w:rsidRPr="0013194E">
        <w:rPr>
          <w:rFonts w:eastAsia="Calibri"/>
          <w:i/>
        </w:rPr>
        <w:t>NextGen</w:t>
      </w:r>
      <w:proofErr w:type="spellEnd"/>
      <w:r w:rsidRPr="00E95882">
        <w:rPr>
          <w:rFonts w:eastAsia="Calibri"/>
        </w:rPr>
        <w:t xml:space="preserve"> komponentēm ir ANM. </w:t>
      </w:r>
      <w:r>
        <w:rPr>
          <w:rFonts w:eastAsia="Calibri"/>
        </w:rPr>
        <w:t>Tas</w:t>
      </w:r>
      <w:r w:rsidRPr="00E95882">
        <w:rPr>
          <w:rFonts w:eastAsia="Calibri"/>
        </w:rPr>
        <w:t xml:space="preserve"> paredz </w:t>
      </w:r>
      <w:r>
        <w:rPr>
          <w:rFonts w:eastAsia="Calibri"/>
        </w:rPr>
        <w:t xml:space="preserve">nodrošināt ES budžeta finansējumu </w:t>
      </w:r>
      <w:r w:rsidRPr="00E95882">
        <w:rPr>
          <w:rFonts w:eastAsia="Calibri"/>
        </w:rPr>
        <w:t>dalībvalstī</w:t>
      </w:r>
      <w:r>
        <w:rPr>
          <w:rFonts w:eastAsia="Calibri"/>
        </w:rPr>
        <w:t>m</w:t>
      </w:r>
      <w:r w:rsidRPr="00E95882">
        <w:rPr>
          <w:rFonts w:eastAsia="Calibri"/>
        </w:rPr>
        <w:t xml:space="preserve"> grantu un aizdevumu veidā</w:t>
      </w:r>
      <w:r>
        <w:rPr>
          <w:rFonts w:eastAsia="Calibri"/>
        </w:rPr>
        <w:t xml:space="preserve"> ANM plānu realizēšanai</w:t>
      </w:r>
      <w:r w:rsidRPr="00E95882">
        <w:rPr>
          <w:rFonts w:eastAsia="Calibri"/>
        </w:rPr>
        <w:t>, lai pārvarētu COVID-19 uzliesmojuma izraisīto ekonomisko krīzi</w:t>
      </w:r>
      <w:r>
        <w:rPr>
          <w:rFonts w:eastAsia="Calibri"/>
        </w:rPr>
        <w:t>,</w:t>
      </w:r>
      <w:r w:rsidRPr="00E95882">
        <w:rPr>
          <w:rFonts w:eastAsia="Calibri"/>
        </w:rPr>
        <w:t xml:space="preserve"> vienlaikus veicinot ES izaugsmi un ilgtermiņa mērķu sasniegšanu</w:t>
      </w:r>
      <w:r>
        <w:rPr>
          <w:rFonts w:eastAsia="Calibri"/>
        </w:rPr>
        <w:t>.</w:t>
      </w:r>
      <w:r w:rsidRPr="00E95882">
        <w:rPr>
          <w:rFonts w:eastAsia="Calibri"/>
        </w:rPr>
        <w:t xml:space="preserve"> </w:t>
      </w:r>
      <w:r>
        <w:rPr>
          <w:rFonts w:eastAsia="Calibri"/>
        </w:rPr>
        <w:t>Zaļās un digitālās transformācijas</w:t>
      </w:r>
      <w:r w:rsidRPr="00E95882">
        <w:rPr>
          <w:rFonts w:eastAsia="Calibri"/>
        </w:rPr>
        <w:t xml:space="preserve"> mērķu īstenošanai, katra dalībvalsts atvēlējusi attiecīgi vismaz 37% un 20% no kopējā ANM </w:t>
      </w:r>
      <w:r>
        <w:rPr>
          <w:rFonts w:eastAsia="Calibri"/>
        </w:rPr>
        <w:t xml:space="preserve">plāna finansējuma </w:t>
      </w:r>
      <w:r w:rsidRPr="00E95882">
        <w:rPr>
          <w:rFonts w:eastAsia="Calibri"/>
        </w:rPr>
        <w:t>. ANM atbalsta mehānism</w:t>
      </w:r>
      <w:r>
        <w:rPr>
          <w:rFonts w:eastAsia="Calibri"/>
        </w:rPr>
        <w:t xml:space="preserve">a </w:t>
      </w:r>
      <w:r w:rsidRPr="00E95882">
        <w:rPr>
          <w:rFonts w:eastAsia="Calibri"/>
        </w:rPr>
        <w:t xml:space="preserve">finansēšanai </w:t>
      </w:r>
      <w:r>
        <w:rPr>
          <w:rFonts w:eastAsia="Calibri"/>
        </w:rPr>
        <w:t>EK</w:t>
      </w:r>
      <w:r w:rsidRPr="00E95882">
        <w:rPr>
          <w:rFonts w:eastAsia="Calibri"/>
        </w:rPr>
        <w:t xml:space="preserve"> </w:t>
      </w:r>
      <w:r>
        <w:rPr>
          <w:rFonts w:eastAsia="Calibri"/>
        </w:rPr>
        <w:t>ES</w:t>
      </w:r>
      <w:r w:rsidRPr="00E95882">
        <w:rPr>
          <w:rFonts w:eastAsia="Calibri"/>
        </w:rPr>
        <w:t xml:space="preserve"> vārdā aizņemas </w:t>
      </w:r>
      <w:r>
        <w:rPr>
          <w:rFonts w:eastAsia="Calibri"/>
        </w:rPr>
        <w:t xml:space="preserve">iepriekš nebijušu </w:t>
      </w:r>
      <w:r w:rsidRPr="00E95882">
        <w:rPr>
          <w:rFonts w:eastAsia="Calibri"/>
        </w:rPr>
        <w:t>līdzekļu</w:t>
      </w:r>
      <w:r>
        <w:rPr>
          <w:rFonts w:eastAsia="Calibri"/>
        </w:rPr>
        <w:t xml:space="preserve"> apmēru</w:t>
      </w:r>
      <w:r w:rsidRPr="00E95882">
        <w:rPr>
          <w:rFonts w:eastAsia="Calibri"/>
        </w:rPr>
        <w:t xml:space="preserve"> starptautiskajos finanšu tirgos. </w:t>
      </w:r>
    </w:p>
    <w:p w:rsidR="006A2A4F" w:rsidP="006A2A4F" w:rsidRDefault="006A2A4F" w14:paraId="139EF1CB" w14:textId="2A4D7E03">
      <w:pPr>
        <w:autoSpaceDE w:val="false"/>
        <w:autoSpaceDN w:val="false"/>
        <w:spacing w:before="120" w:after="120"/>
        <w:jc w:val="both"/>
        <w:rPr>
          <w:rFonts w:eastAsia="Calibri"/>
        </w:rPr>
      </w:pPr>
      <w:r w:rsidRPr="00E95882">
        <w:rPr>
          <w:rFonts w:eastAsia="Calibri"/>
        </w:rPr>
        <w:t>Lai saņemtu ANM finansējumu</w:t>
      </w:r>
      <w:r>
        <w:rPr>
          <w:rFonts w:eastAsia="Calibri"/>
        </w:rPr>
        <w:t>,</w:t>
      </w:r>
      <w:r w:rsidRPr="00E95882">
        <w:rPr>
          <w:rFonts w:eastAsia="Calibri"/>
        </w:rPr>
        <w:t xml:space="preserve"> dalībvalstīm </w:t>
      </w:r>
      <w:r>
        <w:rPr>
          <w:rFonts w:eastAsia="Calibri"/>
        </w:rPr>
        <w:t>EK</w:t>
      </w:r>
      <w:r w:rsidRPr="00E95882">
        <w:rPr>
          <w:rFonts w:eastAsia="Calibri"/>
        </w:rPr>
        <w:t xml:space="preserve"> </w:t>
      </w:r>
      <w:r>
        <w:rPr>
          <w:rFonts w:eastAsia="Calibri"/>
        </w:rPr>
        <w:t xml:space="preserve">bija </w:t>
      </w:r>
      <w:r w:rsidRPr="00E95882">
        <w:rPr>
          <w:rFonts w:eastAsia="Calibri"/>
        </w:rPr>
        <w:t xml:space="preserve">jāiesniedz </w:t>
      </w:r>
      <w:r>
        <w:rPr>
          <w:rFonts w:eastAsia="Calibri"/>
        </w:rPr>
        <w:t>ANM plāni</w:t>
      </w:r>
      <w:r w:rsidRPr="00E95882">
        <w:rPr>
          <w:rFonts w:eastAsia="Calibri"/>
        </w:rPr>
        <w:t xml:space="preserve">. Šobrīd ES Padomē </w:t>
      </w:r>
      <w:r>
        <w:rPr>
          <w:rFonts w:eastAsia="Calibri"/>
        </w:rPr>
        <w:t xml:space="preserve">iesniegti 26 un </w:t>
      </w:r>
      <w:r w:rsidRPr="00E95882">
        <w:rPr>
          <w:rFonts w:eastAsia="Calibri"/>
        </w:rPr>
        <w:t xml:space="preserve">apstiprināti 22 dalībvalstu </w:t>
      </w:r>
      <w:r>
        <w:rPr>
          <w:rFonts w:eastAsia="Calibri"/>
        </w:rPr>
        <w:t xml:space="preserve">ANM </w:t>
      </w:r>
      <w:r w:rsidRPr="00E95882">
        <w:rPr>
          <w:rFonts w:eastAsia="Calibri"/>
        </w:rPr>
        <w:t xml:space="preserve">plāni. </w:t>
      </w:r>
      <w:r w:rsidR="002A4346">
        <w:rPr>
          <w:rFonts w:eastAsia="Calibri"/>
        </w:rPr>
        <w:t>18</w:t>
      </w:r>
      <w:r>
        <w:rPr>
          <w:rFonts w:eastAsia="Calibri"/>
        </w:rPr>
        <w:t xml:space="preserve"> valsts saņēma</w:t>
      </w:r>
      <w:r w:rsidRPr="00E95882">
        <w:rPr>
          <w:rFonts w:eastAsia="Calibri"/>
        </w:rPr>
        <w:t xml:space="preserve"> priekšfinansējumu 13% apmērā no kopējā nacionālajā plānā paredzētā finansējuma. </w:t>
      </w:r>
      <w:r>
        <w:rPr>
          <w:rFonts w:eastAsia="Calibri"/>
        </w:rPr>
        <w:t xml:space="preserve"> </w:t>
      </w:r>
      <w:r w:rsidRPr="00E95882">
        <w:rPr>
          <w:rFonts w:eastAsia="Calibri"/>
        </w:rPr>
        <w:t xml:space="preserve"> </w:t>
      </w:r>
    </w:p>
    <w:p w:rsidRPr="00C650F9" w:rsidR="006A2A4F" w:rsidP="006A2A4F" w:rsidRDefault="006A2A4F" w14:paraId="53AEACF8" w14:textId="1AE0ACE4">
      <w:pPr>
        <w:autoSpaceDE w:val="false"/>
        <w:autoSpaceDN w:val="false"/>
        <w:spacing w:before="120" w:after="120"/>
        <w:jc w:val="both"/>
      </w:pPr>
      <w:r w:rsidRPr="00E95882">
        <w:t>Š</w:t>
      </w:r>
      <w:r>
        <w:t xml:space="preserve">ī </w:t>
      </w:r>
      <w:r w:rsidRPr="00E95882">
        <w:t>g</w:t>
      </w:r>
      <w:r>
        <w:t>ada</w:t>
      </w:r>
      <w:r w:rsidRPr="00E95882">
        <w:t xml:space="preserve"> 10.</w:t>
      </w:r>
      <w:r>
        <w:t xml:space="preserve"> februārī</w:t>
      </w:r>
      <w:r w:rsidRPr="00E95882">
        <w:t xml:space="preserve"> </w:t>
      </w:r>
      <w:r>
        <w:t>EK</w:t>
      </w:r>
      <w:r w:rsidRPr="00E95882">
        <w:t xml:space="preserve"> publicēja makroekonomikas attīstības prognozes ES līdz 2023.</w:t>
      </w:r>
      <w:r>
        <w:t> </w:t>
      </w:r>
      <w:r w:rsidRPr="00E95882">
        <w:t xml:space="preserve">gadam. </w:t>
      </w:r>
      <w:r>
        <w:t>Balstoties uz</w:t>
      </w:r>
      <w:r w:rsidRPr="00E95882">
        <w:t xml:space="preserve"> šīm prognozēm</w:t>
      </w:r>
      <w:r>
        <w:t>,</w:t>
      </w:r>
      <w:r w:rsidRPr="00E95882">
        <w:t xml:space="preserve"> 25.-26.</w:t>
      </w:r>
      <w:r>
        <w:t xml:space="preserve"> februāra</w:t>
      </w:r>
      <w:r w:rsidRPr="00E95882">
        <w:t xml:space="preserve"> neformāl</w:t>
      </w:r>
      <w:r>
        <w:t>ajā</w:t>
      </w:r>
      <w:r w:rsidRPr="00E95882">
        <w:t xml:space="preserve"> ECOFIN Padomē notik</w:t>
      </w:r>
      <w:r>
        <w:t>a</w:t>
      </w:r>
      <w:r w:rsidRPr="00E95882">
        <w:t xml:space="preserve"> dalībvalstu konceptuāla viedokļu apmaiņa</w:t>
      </w:r>
      <w:r>
        <w:t xml:space="preserve">, kā stiprināt </w:t>
      </w:r>
      <w:r w:rsidRPr="00E95882">
        <w:t>privāto un publisko investīciju mijiedarbīb</w:t>
      </w:r>
      <w:r>
        <w:t xml:space="preserve">u, lai </w:t>
      </w:r>
      <w:r w:rsidRPr="00E95882">
        <w:t>veicināt</w:t>
      </w:r>
      <w:r>
        <w:t>u</w:t>
      </w:r>
      <w:r w:rsidRPr="00E95882">
        <w:t xml:space="preserve"> taisnīgu, iekļaujošu un noturīgu konkurētspējīgas izaugsmes ilgtspēju ES. </w:t>
      </w:r>
      <w:r>
        <w:t xml:space="preserve">Sagaidāms, ka atsevišķi elementi no neformālās ECOFIN </w:t>
      </w:r>
      <w:r w:rsidRPr="00E95882">
        <w:t xml:space="preserve">Padomes </w:t>
      </w:r>
      <w:r>
        <w:t xml:space="preserve">varētu sniegt ieguldījumu šīs </w:t>
      </w:r>
      <w:r w:rsidRPr="00E95882">
        <w:t>neformāl</w:t>
      </w:r>
      <w:r>
        <w:t>ās</w:t>
      </w:r>
      <w:r w:rsidRPr="00E95882">
        <w:t xml:space="preserve"> Eiropadom</w:t>
      </w:r>
      <w:r>
        <w:t>es diskusijām.</w:t>
      </w:r>
    </w:p>
    <w:p w:rsidRPr="009A4B84" w:rsidR="009A4B84" w:rsidP="00C650F9" w:rsidRDefault="009A4B84" w14:paraId="69C793D4" w14:textId="21D0D3E8">
      <w:pPr>
        <w:spacing w:before="120" w:after="120"/>
        <w:rPr>
          <w:b/>
        </w:rPr>
      </w:pPr>
      <w:r w:rsidRPr="009A4B84">
        <w:rPr>
          <w:b/>
        </w:rPr>
        <w:t xml:space="preserve">ES </w:t>
      </w:r>
      <w:r w:rsidR="009237DB">
        <w:rPr>
          <w:b/>
        </w:rPr>
        <w:t xml:space="preserve">ekonomikas </w:t>
      </w:r>
      <w:r w:rsidRPr="009A4B84">
        <w:rPr>
          <w:b/>
        </w:rPr>
        <w:t xml:space="preserve">stratēģiskā autonomija </w:t>
      </w:r>
      <w:r w:rsidR="009237DB">
        <w:rPr>
          <w:b/>
        </w:rPr>
        <w:t xml:space="preserve">un piegāžu </w:t>
      </w:r>
      <w:r w:rsidR="0046660F">
        <w:rPr>
          <w:b/>
        </w:rPr>
        <w:t>noturība</w:t>
      </w:r>
    </w:p>
    <w:p w:rsidR="007C42E6" w:rsidP="007C42E6" w:rsidRDefault="0046660F" w14:paraId="2B2AA3F9" w14:textId="6CA20364">
      <w:pPr>
        <w:spacing w:before="120" w:after="120"/>
        <w:jc w:val="both"/>
      </w:pPr>
      <w:r>
        <w:rPr>
          <w:rFonts w:eastAsia="Calibri"/>
          <w:bCs/>
        </w:rPr>
        <w:t xml:space="preserve">Diskusijas par </w:t>
      </w:r>
      <w:r w:rsidR="007C42E6">
        <w:rPr>
          <w:rFonts w:eastAsia="Calibri"/>
          <w:bCs/>
        </w:rPr>
        <w:t>ES</w:t>
      </w:r>
      <w:r w:rsidR="009237DB">
        <w:rPr>
          <w:rFonts w:eastAsia="Calibri"/>
          <w:bCs/>
        </w:rPr>
        <w:t xml:space="preserve"> ekonomikas</w:t>
      </w:r>
      <w:r w:rsidR="007C42E6">
        <w:rPr>
          <w:rFonts w:eastAsia="Calibri"/>
          <w:bCs/>
        </w:rPr>
        <w:t xml:space="preserve"> stratēģisko autonomiju </w:t>
      </w:r>
      <w:r>
        <w:rPr>
          <w:rFonts w:eastAsia="Calibri"/>
          <w:bCs/>
        </w:rPr>
        <w:t>aptver tādu jautājumu loku kā</w:t>
      </w:r>
      <w:r w:rsidRPr="009F3173" w:rsidR="007C42E6">
        <w:rPr>
          <w:rFonts w:eastAsia="Calibri"/>
          <w:bCs/>
        </w:rPr>
        <w:t xml:space="preserve"> rūpniecības politiku,</w:t>
      </w:r>
      <w:r w:rsidR="00FA04BC">
        <w:rPr>
          <w:rFonts w:eastAsia="Calibri"/>
          <w:bCs/>
        </w:rPr>
        <w:t xml:space="preserve"> arī aizsardzības industrijas attīstību,</w:t>
      </w:r>
      <w:r w:rsidRPr="009F3173" w:rsidR="007C42E6">
        <w:rPr>
          <w:rFonts w:eastAsia="Calibri"/>
          <w:bCs/>
        </w:rPr>
        <w:t xml:space="preserve"> ārējo tirdzniecību, finanšu sektoru, digitālo un </w:t>
      </w:r>
      <w:r>
        <w:rPr>
          <w:rFonts w:eastAsia="Calibri"/>
          <w:bCs/>
        </w:rPr>
        <w:t xml:space="preserve">informācijas </w:t>
      </w:r>
      <w:r w:rsidRPr="009F3173" w:rsidR="007C42E6">
        <w:rPr>
          <w:rFonts w:eastAsia="Calibri"/>
          <w:bCs/>
        </w:rPr>
        <w:t>tehnoloģiju nozari</w:t>
      </w:r>
      <w:r w:rsidR="007C42E6">
        <w:rPr>
          <w:rFonts w:eastAsia="Calibri"/>
          <w:bCs/>
        </w:rPr>
        <w:t xml:space="preserve">. </w:t>
      </w:r>
    </w:p>
    <w:p w:rsidR="007C42E6" w:rsidP="007C42E6" w:rsidRDefault="007C42E6" w14:paraId="1DE16412" w14:textId="3245E345">
      <w:pPr>
        <w:spacing w:before="120" w:after="120"/>
        <w:jc w:val="both"/>
        <w:rPr>
          <w:rFonts w:eastAsia="Calibri"/>
        </w:rPr>
      </w:pPr>
      <w:r>
        <w:t xml:space="preserve">Pandēmija ir atklājusi nepilnības Eiropas </w:t>
      </w:r>
      <w:r w:rsidRPr="00B016C6">
        <w:t>rūpniecības</w:t>
      </w:r>
      <w:r>
        <w:t xml:space="preserve"> noturībā. </w:t>
      </w:r>
      <w:r w:rsidR="0046660F">
        <w:t>Izejvielu un starpproduktu p</w:t>
      </w:r>
      <w:r>
        <w:t>iegā</w:t>
      </w:r>
      <w:r w:rsidR="0046660F">
        <w:t>des</w:t>
      </w:r>
      <w:r>
        <w:t xml:space="preserve"> </w:t>
      </w:r>
      <w:r w:rsidR="0046660F">
        <w:t xml:space="preserve">pārtrūkumi </w:t>
      </w:r>
      <w:r>
        <w:t xml:space="preserve">ir ietekmējušas ražošanas </w:t>
      </w:r>
      <w:r w:rsidRPr="00B016C6">
        <w:t>procesus</w:t>
      </w:r>
      <w:r>
        <w:t>, termiņus un izmaksas</w:t>
      </w:r>
      <w:r w:rsidRPr="00B016C6">
        <w:t>.</w:t>
      </w:r>
      <w:r>
        <w:t xml:space="preserve"> </w:t>
      </w:r>
      <w:r w:rsidRPr="00B016C6">
        <w:t xml:space="preserve">Ilgtermiņā tas apdraud ES </w:t>
      </w:r>
      <w:r w:rsidR="0046660F">
        <w:t xml:space="preserve">ekonomikas potenciālu, </w:t>
      </w:r>
      <w:r w:rsidRPr="00B016C6">
        <w:t>digitalizāciju, zaļo pāreju un nākotnes ražošanas ekosistēmu izveidi.</w:t>
      </w:r>
      <w:r>
        <w:rPr>
          <w:rFonts w:eastAsia="Calibri"/>
        </w:rPr>
        <w:t xml:space="preserve"> </w:t>
      </w:r>
    </w:p>
    <w:p w:rsidR="007C42E6" w:rsidP="00766197" w:rsidRDefault="0046660F" w14:paraId="6AC8CD7E" w14:textId="378E5BE0">
      <w:pPr>
        <w:spacing w:before="120" w:after="120"/>
        <w:jc w:val="both"/>
      </w:pPr>
      <w:r>
        <w:t xml:space="preserve">Tādēļ šobrīd norit aktīvs darbs </w:t>
      </w:r>
      <w:r w:rsidR="007C42E6">
        <w:t xml:space="preserve">pie galveno stratēģisko atkarību </w:t>
      </w:r>
      <w:r w:rsidRPr="00B016C6" w:rsidR="007C42E6">
        <w:t>identificēšanas.</w:t>
      </w:r>
      <w:r w:rsidR="007C42E6">
        <w:t xml:space="preserve"> Atjaunotā ES Rūpniecības stratēģija, kas publicēta 2021.gada maijā, </w:t>
      </w:r>
      <w:r w:rsidRPr="00B016C6" w:rsidR="007C42E6">
        <w:t>sniedz</w:t>
      </w:r>
      <w:r w:rsidR="007C42E6">
        <w:t xml:space="preserve"> detalizētu </w:t>
      </w:r>
      <w:r w:rsidRPr="00B016C6" w:rsidR="007C42E6">
        <w:t>ES</w:t>
      </w:r>
      <w:r w:rsidR="007C42E6">
        <w:t xml:space="preserve"> stratēģisko atkarību analīzi</w:t>
      </w:r>
      <w:r w:rsidRPr="00B016C6" w:rsidR="007C42E6">
        <w:t>. Tās ietvaros tika identificēti</w:t>
      </w:r>
      <w:r w:rsidR="007C42E6">
        <w:t xml:space="preserve"> 137 produkti</w:t>
      </w:r>
      <w:r w:rsidRPr="00B016C6" w:rsidR="007C42E6">
        <w:t>, kuriem ir augsta atkarība no ārējiem piegādes avotiem</w:t>
      </w:r>
      <w:r w:rsidR="007C42E6">
        <w:t xml:space="preserve">, un </w:t>
      </w:r>
      <w:r w:rsidRPr="00B016C6" w:rsidR="007C42E6">
        <w:t>34 produkti kā īpaši kritiski, kuriem nav aizstājējproduktu vai nav iespējas dažādot piegādes avotus.</w:t>
      </w:r>
      <w:r w:rsidR="007C42E6">
        <w:t xml:space="preserve"> Lielākoties tie ir saistīti ar veselības aprūpes un farmācijas sektoru, </w:t>
      </w:r>
      <w:r w:rsidRPr="00B016C6" w:rsidR="007C42E6">
        <w:t>energoietilpīgām</w:t>
      </w:r>
      <w:r w:rsidR="007C42E6">
        <w:t xml:space="preserve"> ražošanas </w:t>
      </w:r>
      <w:r w:rsidRPr="00B016C6" w:rsidR="007C42E6">
        <w:t>nozarēm</w:t>
      </w:r>
      <w:r w:rsidR="007C42E6">
        <w:t xml:space="preserve">, tehnoloģiskiem izstrādājumiem un </w:t>
      </w:r>
      <w:r w:rsidRPr="00B016C6" w:rsidR="007C42E6">
        <w:t>kritiskajām izejvielām. Padziļināta analīze ir veikta sešos prioritārajos sektoros: kritiskās izejvielas, baterijas, aktīvās farmaceitiskās vielas, ūdeņradis, pusvadītāji un mākoņdatošana.</w:t>
      </w:r>
    </w:p>
    <w:p w:rsidR="007C42E6" w:rsidP="007C42E6" w:rsidRDefault="0046660F" w14:paraId="3B4319BD" w14:textId="1C4287A8">
      <w:pPr>
        <w:spacing w:before="120" w:after="120"/>
        <w:jc w:val="both"/>
      </w:pPr>
      <w:r>
        <w:t>Tiek veikti arī pirmie soļi uz šo deficītu novēršanu. Piemēram, ņ</w:t>
      </w:r>
      <w:r w:rsidRPr="00142A9C" w:rsidR="007C42E6">
        <w:t>emot vērā pusvadītāju deficītu pasaulē,</w:t>
      </w:r>
      <w:r w:rsidR="007C42E6">
        <w:rPr>
          <w:b/>
          <w:i/>
        </w:rPr>
        <w:t xml:space="preserve"> </w:t>
      </w:r>
      <w:r w:rsidR="00611C4A">
        <w:t xml:space="preserve">EK </w:t>
      </w:r>
      <w:r w:rsidRPr="4100ABE8" w:rsidR="007C42E6">
        <w:t>2022.</w:t>
      </w:r>
      <w:r w:rsidR="00C650F9">
        <w:t> </w:t>
      </w:r>
      <w:r w:rsidRPr="4100ABE8" w:rsidR="007C42E6">
        <w:t>gada 8.</w:t>
      </w:r>
      <w:r w:rsidR="00C650F9">
        <w:t> </w:t>
      </w:r>
      <w:r w:rsidRPr="4100ABE8" w:rsidR="007C42E6">
        <w:t>februārī nāca klajā ar visaptverošu pasākumu kopumu</w:t>
      </w:r>
      <w:r>
        <w:t xml:space="preserve"> </w:t>
      </w:r>
      <w:r>
        <w:lastRenderedPageBreak/>
        <w:t>piedāvājumu</w:t>
      </w:r>
      <w:r w:rsidR="002858AD">
        <w:t xml:space="preserve"> – Mikroshēmu aktu</w:t>
      </w:r>
      <w:r>
        <w:t>, lai</w:t>
      </w:r>
      <w:r w:rsidRPr="4100ABE8" w:rsidR="007C42E6">
        <w:t xml:space="preserve"> nodrošināt</w:t>
      </w:r>
      <w:r>
        <w:t>u</w:t>
      </w:r>
      <w:r w:rsidRPr="4100ABE8" w:rsidR="007C42E6">
        <w:t xml:space="preserve"> ES piegādes drošību, noturību un tehnoloģisko līderpozīciju pusvadītāju tehnoloģiju un lietojumu jomā. </w:t>
      </w:r>
    </w:p>
    <w:p w:rsidR="007C42E6" w:rsidP="002858AD" w:rsidRDefault="007C42E6" w14:paraId="036AE463" w14:textId="31FA3E1F">
      <w:pPr>
        <w:jc w:val="both"/>
        <w:rPr>
          <w:b/>
        </w:rPr>
      </w:pPr>
      <w:r w:rsidRPr="4100ABE8">
        <w:t>ES mikroshēmu akts balstīsies uz Eiropas potenciālu – pasaulē vadošajām pētniecības un tehnoloģiju organizācijām un tīkliem, kā arī atbalstīs ES inovācijas ražošanā, radot noturīgu piegādes ķēdi. Mikroshēmu akt</w:t>
      </w:r>
      <w:r w:rsidR="0046660F">
        <w:t>a projekt</w:t>
      </w:r>
      <w:r w:rsidRPr="4100ABE8">
        <w:t xml:space="preserve">s paredz piesaistīt publiskās un privātās investīcijas vairāk nekā 43 miljardu eiro apmērā un kopā ar dalībvalstīm un starptautiskajiem partneriem </w:t>
      </w:r>
      <w:r w:rsidR="0046660F">
        <w:t xml:space="preserve">ar to paredzēts </w:t>
      </w:r>
      <w:r w:rsidRPr="4100ABE8">
        <w:t>noteik</w:t>
      </w:r>
      <w:r w:rsidR="0046660F">
        <w:t>t</w:t>
      </w:r>
      <w:r w:rsidRPr="4100ABE8">
        <w:t xml:space="preserve"> pasākumus, kas vajadzīgi, lai prognozētu un novērstu jebkādus turpmākus piegādes ķēžu traucējumus un tiem sagatavotos. </w:t>
      </w:r>
      <w:r w:rsidRPr="002858AD" w:rsidR="002858AD">
        <w:t>Tas ļaus sasniegt ES mērķi divkāršot pašreizējo tirgus daļu (līdz 20%) līdz 2030. gadam.</w:t>
      </w:r>
    </w:p>
    <w:p w:rsidRPr="00353BC4" w:rsidR="00A51295" w:rsidP="00FA04BC" w:rsidRDefault="00FA04BC" w14:paraId="47D8E56F" w14:textId="7B36AAD6">
      <w:pPr>
        <w:spacing w:before="120" w:after="120"/>
        <w:jc w:val="both"/>
      </w:pPr>
      <w:r w:rsidRPr="00353BC4">
        <w:t xml:space="preserve">ES </w:t>
      </w:r>
      <w:r w:rsidR="001D28FE">
        <w:t>S</w:t>
      </w:r>
      <w:r w:rsidRPr="00353BC4">
        <w:t xml:space="preserve">tratēģiskā kompasa izstrādes gaitā drošības un aizsardzības jomā ir identificēta nepieciešamība panākt </w:t>
      </w:r>
      <w:r w:rsidRPr="00353BC4" w:rsidR="001D28FE">
        <w:t>sekmīg</w:t>
      </w:r>
      <w:r w:rsidR="001D28FE">
        <w:t>u</w:t>
      </w:r>
      <w:r w:rsidRPr="00353BC4" w:rsidR="001D28FE">
        <w:t xml:space="preserve"> investīcij</w:t>
      </w:r>
      <w:r w:rsidR="001D28FE">
        <w:t>u</w:t>
      </w:r>
      <w:r w:rsidRPr="00353BC4" w:rsidR="001D28FE">
        <w:t xml:space="preserve"> </w:t>
      </w:r>
      <w:r w:rsidRPr="00353BC4">
        <w:t xml:space="preserve">piesaisti </w:t>
      </w:r>
      <w:r w:rsidRPr="00353BC4" w:rsidR="00351975">
        <w:t xml:space="preserve">ES dalībvalstu </w:t>
      </w:r>
      <w:r w:rsidRPr="00353BC4">
        <w:t xml:space="preserve">militāro spēju modernizēšanā, kā arī </w:t>
      </w:r>
      <w:r w:rsidRPr="00353BC4" w:rsidR="00351975">
        <w:t xml:space="preserve">nepieciešamība pilnveidot </w:t>
      </w:r>
      <w:r w:rsidRPr="00353BC4">
        <w:t>industriāl</w:t>
      </w:r>
      <w:r w:rsidRPr="00353BC4" w:rsidR="00351975">
        <w:t>o</w:t>
      </w:r>
      <w:r w:rsidRPr="00353BC4">
        <w:t xml:space="preserve"> sadarbīb</w:t>
      </w:r>
      <w:r w:rsidRPr="00353BC4" w:rsidR="00351975">
        <w:t>u aizsardzības jomā</w:t>
      </w:r>
      <w:r w:rsidRPr="00353BC4">
        <w:t xml:space="preserve"> jaunu spēju  izstrādei,  īpaši  jaunu revolucionāro tehnoloģiju apguvei. </w:t>
      </w:r>
      <w:r w:rsidRPr="00353BC4" w:rsidR="00A51295">
        <w:t>Ir jāstiprina arī</w:t>
      </w:r>
      <w:r w:rsidRPr="00353BC4">
        <w:t xml:space="preserve"> ES tehnoloģisk</w:t>
      </w:r>
      <w:r w:rsidRPr="00353BC4" w:rsidR="00A51295">
        <w:t>ā</w:t>
      </w:r>
      <w:r w:rsidRPr="00353BC4">
        <w:t xml:space="preserve"> neatkarīb</w:t>
      </w:r>
      <w:r w:rsidRPr="00353BC4" w:rsidR="00A51295">
        <w:t>a</w:t>
      </w:r>
      <w:r w:rsidRPr="00353BC4">
        <w:t xml:space="preserve"> kritisko tehnoloģiju un piegāžu jomā. </w:t>
      </w:r>
    </w:p>
    <w:p w:rsidRPr="005155A4" w:rsidR="005155A4" w:rsidP="003D5463" w:rsidRDefault="00FA04BC" w14:paraId="685F2F0D" w14:textId="77777777">
      <w:pPr>
        <w:spacing w:before="120" w:after="120"/>
        <w:jc w:val="both"/>
      </w:pPr>
      <w:r w:rsidRPr="00353BC4">
        <w:t xml:space="preserve">Lai sekmētu šī nodoma izpildi, tiek paredzētas Eiropas Aizsardzības fonda investīcijas un virkne citu inovāciju un tehnoloģiju iedzīvināšanas atbalsta pasākumu </w:t>
      </w:r>
      <w:r w:rsidRPr="00353BC4" w:rsidR="00A51295">
        <w:t>izveidošana</w:t>
      </w:r>
      <w:r w:rsidRPr="00353BC4">
        <w:t xml:space="preserve"> (piemēram, Aizsardzības inovāciju struktūras, Kritisko tehnoloģiju Observatorijas un Rīcības plāns, kuru aprises vēl tiks precizētas). EK ir ierosinājusi papildus stimulu ieviešanu ES dalībvalstu kopējiem investīciju projektiem jaunu tehnoloģisko risinājumu izstrādei un iegādēm ar aizsardzības industriju dalību (piemēram, ieviešot augstāku EK līdzfinansējuma intensitāti šādiem projektiem EDF ietvarā, atbrīvojot šos projektus no PVN piemērošanas, </w:t>
      </w:r>
      <w:r w:rsidRPr="005155A4">
        <w:t xml:space="preserve">eksporta kontroles procedūru harmonizāciju). </w:t>
      </w:r>
    </w:p>
    <w:p w:rsidRPr="00353BC4" w:rsidR="00FA04BC" w:rsidP="003D5463" w:rsidRDefault="001D28FE" w14:paraId="1AA8D68E" w14:textId="0D11365C">
      <w:pPr>
        <w:spacing w:before="120" w:after="120"/>
        <w:jc w:val="both"/>
      </w:pPr>
      <w:r w:rsidRPr="005155A4">
        <w:t xml:space="preserve">Lai Eiropas Aizsardzības fonda ieviešana būtu sekmīga, ir būtiski panākt ģeogrāfiski sabalansētu visu dalībvalstu industrijas dalībnieku iesaistīšanos spēju attīstības projektos, t.sk. lielo projektu kategorijā. Eiropas Savienība nozīmīga loma ir mazajiem un vidējiem uzņēmumiem, </w:t>
      </w:r>
      <w:proofErr w:type="spellStart"/>
      <w:r w:rsidRPr="005155A4">
        <w:t>jaunuzņēmumiem</w:t>
      </w:r>
      <w:proofErr w:type="spellEnd"/>
      <w:r w:rsidRPr="005155A4">
        <w:t>, tādēļ notiek diskusijas par to iekļaušanas nozīmīgākajās piegāžu ķēdēs veicināšanu. Ilgstoši notiek diskusijas arī par nosacījumiem, kas ļautu nodrošināt lielāku atvērtību ES un tās stratēģisko partneru (piemēram, ASV, Kanādas u.c.) iesaistīšanā ES virzītajos projektos.</w:t>
      </w:r>
      <w:r>
        <w:t xml:space="preserve"> </w:t>
      </w:r>
    </w:p>
    <w:p w:rsidR="001F3C2F" w:rsidP="00C650F9" w:rsidRDefault="009A4B84" w14:paraId="3A99043E" w14:textId="031012AB">
      <w:pPr>
        <w:spacing w:before="120" w:after="120"/>
        <w:rPr>
          <w:b/>
        </w:rPr>
      </w:pPr>
      <w:r w:rsidRPr="009A4B84">
        <w:rPr>
          <w:b/>
        </w:rPr>
        <w:t>Vienotā tirgus turpmākā attīstība</w:t>
      </w:r>
    </w:p>
    <w:p w:rsidR="007C42E6" w:rsidP="007C42E6" w:rsidRDefault="007C42E6" w14:paraId="2E463826" w14:textId="107D2EEE">
      <w:pPr>
        <w:spacing w:before="120" w:after="120"/>
        <w:jc w:val="both"/>
      </w:pPr>
      <w:r>
        <w:t>Veiksmīgi</w:t>
      </w:r>
      <w:r w:rsidRPr="00077FD6">
        <w:t xml:space="preserve"> funkcionējošs Vienotais tirgus ir pamats Eiropas </w:t>
      </w:r>
      <w:r w:rsidR="0046660F">
        <w:t>ilgtspējīgai</w:t>
      </w:r>
      <w:r w:rsidRPr="00077FD6" w:rsidR="0046660F">
        <w:t xml:space="preserve"> </w:t>
      </w:r>
      <w:r w:rsidRPr="00077FD6">
        <w:t xml:space="preserve">izaugsmei. </w:t>
      </w:r>
      <w:r w:rsidR="00F632A6">
        <w:t>Covid</w:t>
      </w:r>
      <w:r w:rsidR="00654E85">
        <w:noBreakHyphen/>
      </w:r>
      <w:r w:rsidR="00F632A6">
        <w:t xml:space="preserve">19 pandēmija </w:t>
      </w:r>
      <w:r w:rsidRPr="00077FD6">
        <w:t xml:space="preserve"> atkārtoti pierādīj</w:t>
      </w:r>
      <w:r w:rsidR="00F632A6">
        <w:t>a</w:t>
      </w:r>
      <w:r w:rsidRPr="00077FD6">
        <w:t xml:space="preserve">, cik svarīgi ir mazināt nevajadzīgas barjeras </w:t>
      </w:r>
      <w:r>
        <w:t>tajā</w:t>
      </w:r>
      <w:r w:rsidRPr="00077FD6">
        <w:t>.</w:t>
      </w:r>
      <w:r>
        <w:t xml:space="preserve"> </w:t>
      </w:r>
    </w:p>
    <w:p w:rsidR="002A4346" w:rsidP="003A090C" w:rsidRDefault="002858AD" w14:paraId="2D2EA02E" w14:textId="77777777">
      <w:pPr>
        <w:spacing w:before="120" w:after="120"/>
        <w:jc w:val="both"/>
      </w:pPr>
      <w:r w:rsidRPr="00077FD6">
        <w:t>Sagaidāms, ka marta neformālajā Eiropadomē tiks diskutēts par nepieciešamību turpināt Vienotā tirgu</w:t>
      </w:r>
      <w:r>
        <w:t>s</w:t>
      </w:r>
      <w:r w:rsidRPr="00077FD6">
        <w:t xml:space="preserve"> stiprināšanu un padziļināšanu</w:t>
      </w:r>
      <w:r>
        <w:t xml:space="preserve">, kā arī risināt izaicinājumus, kas uzsvērti </w:t>
      </w:r>
      <w:r w:rsidR="0088152D">
        <w:t xml:space="preserve">2022.gada 22. februāra </w:t>
      </w:r>
      <w:r>
        <w:t>publicētajā Vienotā tirgus ziņojumā 2022. gadam</w:t>
      </w:r>
      <w:r w:rsidRPr="00077FD6">
        <w:t xml:space="preserve">. </w:t>
      </w:r>
      <w:r w:rsidR="0088152D">
        <w:t>Tajā</w:t>
      </w:r>
      <w:r>
        <w:t xml:space="preserve"> iekļauts izvērtējums par aktuālajām ekonomiskajām tendencēm, rūpniecības ekosistēmu atveseļošanos no Covid-19 pandēmijas radītās krīzes, piegādes ķēžu izaicinājumiem un noturības veicināšanu, krīzes ietekmi uz mazajiem un vidējiem uzņēmumiem (MVU), nepieciešamajām investīcijām zaļajai un digitālajai pārejai, kā arī Vienotā tirgus noturības veicināšanai. Papildus tam</w:t>
      </w:r>
      <w:r w:rsidR="0088152D">
        <w:t>,</w:t>
      </w:r>
      <w:r>
        <w:t xml:space="preserve"> ES Vienotā tirgus ziņojums 2022. gadam ietver noteiktu sektoru (retzemju izejvielu un magnija, </w:t>
      </w:r>
      <w:proofErr w:type="spellStart"/>
      <w:r>
        <w:t>fotovoltāžas</w:t>
      </w:r>
      <w:proofErr w:type="spellEnd"/>
      <w:r>
        <w:t xml:space="preserve"> un kiberdrošības tehnoloģiju, mākoņdatošanas) </w:t>
      </w:r>
      <w:r>
        <w:lastRenderedPageBreak/>
        <w:t xml:space="preserve">padziļinātu izvērtējumu par ES stratēģiskajām atkarībām un ražošanas kapacitātēm, kas pieejamas un kā tās palielināt. </w:t>
      </w:r>
    </w:p>
    <w:p w:rsidRPr="002A4346" w:rsidR="003A090C" w:rsidP="003A090C" w:rsidRDefault="002858AD" w14:paraId="41612298" w14:textId="4AA4BE8A">
      <w:pPr>
        <w:spacing w:before="120" w:after="120"/>
        <w:jc w:val="both"/>
      </w:pPr>
      <w:r>
        <w:t xml:space="preserve">Efektīvai atvērta ekonomikas modeļa darbībai būtiska ir šķēršļu un </w:t>
      </w:r>
      <w:r w:rsidR="00415D4B">
        <w:t xml:space="preserve">administratīvo barjeru novēršana. </w:t>
      </w:r>
      <w:r w:rsidRPr="003A090C" w:rsidR="003A090C">
        <w:rPr>
          <w:bCs/>
        </w:rPr>
        <w:t xml:space="preserve">Lielākie šķēršļi, ar ko saskaras Latvijas uzņēmumi pārrobežu pakalpojumu sniegšanā ir saistīti ar sarežģītām administratīvajām procedūrām, valodas barjerām, digitālo pakalpojumu un informācijas trūkumu, kā arī neskaidrām procedūrām darbinieku nosūtīšanā. Lai stiprinātu ES pakalpojumu sektoru, kam ir liels izaugsmes potenciāls, EK ir uzsākusi standartizācijas izvērtējumu noteiktām pakalpojumu jomām. Kā potenciālās pakalpojumu jomas, kurās sākotnēji varētu tikt piemēroti kopēji ES standarti, šobrīd tiek vērtētas tādas jomas kā viedā rūpniecība (piegādes roboti, uzlabota ražošana – tīklu savienošana), mobilitāte (automašīnu </w:t>
      </w:r>
      <w:proofErr w:type="spellStart"/>
      <w:r w:rsidRPr="003A090C" w:rsidR="003A090C">
        <w:rPr>
          <w:bCs/>
        </w:rPr>
        <w:t>elektrouzlādes</w:t>
      </w:r>
      <w:proofErr w:type="spellEnd"/>
      <w:r w:rsidRPr="003A090C" w:rsidR="003A090C">
        <w:rPr>
          <w:bCs/>
        </w:rPr>
        <w:t xml:space="preserve"> pakalpojumi), būvniecība (ēku energoaudits, būvinženieru pakalpojumi) u.c.</w:t>
      </w:r>
    </w:p>
    <w:p w:rsidR="003A090C" w:rsidP="003A090C" w:rsidRDefault="003A090C" w14:paraId="60A66F94" w14:textId="77777777">
      <w:pPr>
        <w:spacing w:before="120" w:after="120"/>
        <w:jc w:val="both"/>
        <w:rPr>
          <w:bCs/>
        </w:rPr>
      </w:pPr>
      <w:r w:rsidRPr="003A090C">
        <w:rPr>
          <w:bCs/>
        </w:rPr>
        <w:t>Ar mērķi stiprināt vienotā tirgus noturību EK strādā pie priekšlikuma ES Vienotā tirgus ārkārtas instrumenta (SMEI) izveidei, kas būtu strukturāls risinājums nākotnes krīžu gadījumā, nodrošinot personu brīvu pārvietošanos, preču un pakalpojumu brīvu apriti, paātrinot produktu pieejamību un novēršot kritiski svarīgu produktu trūkumu. Priekšlikuma publicēšana plānota 2022. gada II ceturksnī.</w:t>
      </w:r>
    </w:p>
    <w:p w:rsidRPr="00654E85" w:rsidR="001F3C2F" w:rsidP="003A090C" w:rsidRDefault="009A4B84" w14:paraId="0E97DC8A" w14:textId="27B4DD9C">
      <w:pPr>
        <w:spacing w:before="120" w:after="120"/>
        <w:jc w:val="both"/>
        <w:rPr>
          <w:b/>
        </w:rPr>
      </w:pPr>
      <w:r w:rsidRPr="009A4B84">
        <w:rPr>
          <w:b/>
        </w:rPr>
        <w:t>Klimata un digitālās pārejas loma ES izaugsmes veicināšanā</w:t>
      </w:r>
    </w:p>
    <w:p w:rsidR="006A2A4F" w:rsidP="006A2A4F" w:rsidRDefault="006A2A4F" w14:paraId="512A5D8D" w14:textId="77777777">
      <w:pPr>
        <w:spacing w:before="120" w:after="120"/>
        <w:jc w:val="both"/>
      </w:pPr>
      <w:r>
        <w:t xml:space="preserve">ES ir uzņēmusies līderību cīņā pret klimata pārmaiņām, vienlaikus kļūstot digitālāka un prasmīgāka. </w:t>
      </w:r>
    </w:p>
    <w:p w:rsidRPr="001827AC" w:rsidR="00B556FC" w:rsidP="00B556FC" w:rsidRDefault="00B556FC" w14:paraId="224B845C" w14:textId="51B1D353">
      <w:pPr>
        <w:spacing w:before="120" w:after="120"/>
        <w:jc w:val="both"/>
      </w:pPr>
      <w:r w:rsidRPr="001827AC">
        <w:t>2020. gada decembra Eiropadomē tika atbalstīta esošā ES siltumnīcefekta gāzu (SEG) emisiju mērķa paaugstināšana uz “vismaz 55%” SEG emisiju samazinājumu līdz 2030.</w:t>
      </w:r>
      <w:r w:rsidR="00654E85">
        <w:t> </w:t>
      </w:r>
      <w:r w:rsidRPr="001827AC">
        <w:t xml:space="preserve">gadam, attiecībā pret 1990. gadu. </w:t>
      </w:r>
      <w:r>
        <w:t>Lai to īstenotu, 2021.</w:t>
      </w:r>
      <w:r w:rsidR="00146122">
        <w:t> </w:t>
      </w:r>
      <w:r>
        <w:t xml:space="preserve">gada 14. jūlijā tika publicēta klimata tiesību aktu projektu pakotne “Gatavi </w:t>
      </w:r>
      <w:proofErr w:type="spellStart"/>
      <w:r>
        <w:t>Mērķrādītājam</w:t>
      </w:r>
      <w:proofErr w:type="spellEnd"/>
      <w:r>
        <w:t xml:space="preserve"> 55%”. Iespējams, ka marta neformālajā</w:t>
      </w:r>
      <w:r w:rsidRPr="001827AC">
        <w:t xml:space="preserve"> Eiropadom</w:t>
      </w:r>
      <w:r>
        <w:t>ē</w:t>
      </w:r>
      <w:r w:rsidRPr="001827AC">
        <w:t xml:space="preserve"> </w:t>
      </w:r>
      <w:r>
        <w:t>valstu vadītāji īsi diskutēs par jau paveikto progresu pakotnes analīzē un par vēl neskaidrajiem jautājumiem tās īstenošanā, lai nodrošinātu  visu nozaru ieguldījumu</w:t>
      </w:r>
      <w:r w:rsidRPr="001827AC">
        <w:t xml:space="preserve"> ES 2030. gada klimata mērķu </w:t>
      </w:r>
      <w:r>
        <w:t>sasniegšanā.</w:t>
      </w:r>
      <w:r w:rsidRPr="001827AC">
        <w:t xml:space="preserve"> </w:t>
      </w:r>
    </w:p>
    <w:p w:rsidR="00B556FC" w:rsidP="00B556FC" w:rsidRDefault="00B556FC" w14:paraId="462192FD" w14:textId="77777777">
      <w:pPr>
        <w:spacing w:before="120" w:after="120"/>
        <w:jc w:val="both"/>
        <w:rPr>
          <w:rFonts w:eastAsiaTheme="minorEastAsia"/>
          <w:color w:val="000000" w:themeColor="text1"/>
          <w:kern w:val="24"/>
          <w:lang w:eastAsia="lv-LV"/>
        </w:rPr>
      </w:pPr>
      <w:r>
        <w:rPr>
          <w:rFonts w:eastAsiaTheme="minorEastAsia"/>
          <w:color w:val="000000" w:themeColor="text1"/>
          <w:kern w:val="24"/>
          <w:lang w:eastAsia="lv-LV"/>
        </w:rPr>
        <w:t xml:space="preserve">Digitālās tehnoloģijas un inovācijas veicina pakalpojumu pieejamību lietotājiem Vienotajā tirgū, jaunu pakalpojumu attīstību, ražošanas produktivitāti un ES globālo konkurētspēju, it īpaši laikā, kad Covid-19 pandēmijas radītie ierobežojumi vēl vairāk veicinājuši šo tehnoloģiju nozīmi ikdienā. </w:t>
      </w:r>
    </w:p>
    <w:p w:rsidR="00B556FC" w:rsidP="00B556FC" w:rsidRDefault="00B556FC" w14:paraId="1110DE63" w14:textId="1D8EE2E3">
      <w:pPr>
        <w:spacing w:before="120" w:after="120"/>
        <w:jc w:val="both"/>
        <w:rPr>
          <w:sz w:val="22"/>
          <w:szCs w:val="22"/>
        </w:rPr>
      </w:pPr>
      <w:r>
        <w:rPr>
          <w:rFonts w:eastAsiaTheme="minorEastAsia"/>
          <w:color w:val="000000" w:themeColor="text1"/>
          <w:kern w:val="24"/>
          <w:lang w:eastAsia="lv-LV"/>
        </w:rPr>
        <w:t>Lai veicinātu digitalizāciju, kopš 2020.</w:t>
      </w:r>
      <w:r w:rsidR="00654E85">
        <w:rPr>
          <w:rFonts w:eastAsiaTheme="minorEastAsia"/>
          <w:color w:val="000000" w:themeColor="text1"/>
          <w:kern w:val="24"/>
          <w:lang w:eastAsia="lv-LV"/>
        </w:rPr>
        <w:t> </w:t>
      </w:r>
      <w:r>
        <w:rPr>
          <w:rFonts w:eastAsiaTheme="minorEastAsia"/>
          <w:color w:val="000000" w:themeColor="text1"/>
          <w:kern w:val="24"/>
          <w:lang w:eastAsia="lv-LV"/>
        </w:rPr>
        <w:t xml:space="preserve">gada </w:t>
      </w:r>
      <w:r w:rsidR="00C954CF">
        <w:rPr>
          <w:rFonts w:eastAsiaTheme="minorEastAsia"/>
          <w:color w:val="000000" w:themeColor="text1"/>
          <w:kern w:val="24"/>
          <w:lang w:eastAsia="lv-LV"/>
        </w:rPr>
        <w:t>19.</w:t>
      </w:r>
      <w:r w:rsidR="00654E85">
        <w:rPr>
          <w:rFonts w:eastAsiaTheme="minorEastAsia"/>
          <w:color w:val="000000" w:themeColor="text1"/>
          <w:kern w:val="24"/>
          <w:lang w:eastAsia="lv-LV"/>
        </w:rPr>
        <w:t> </w:t>
      </w:r>
      <w:r w:rsidR="00C954CF">
        <w:rPr>
          <w:rFonts w:eastAsiaTheme="minorEastAsia"/>
          <w:color w:val="000000" w:themeColor="text1"/>
          <w:kern w:val="24"/>
          <w:lang w:eastAsia="lv-LV"/>
        </w:rPr>
        <w:t xml:space="preserve">februāra </w:t>
      </w:r>
      <w:r>
        <w:rPr>
          <w:rFonts w:eastAsiaTheme="minorEastAsia"/>
          <w:color w:val="000000" w:themeColor="text1"/>
          <w:kern w:val="24"/>
          <w:lang w:eastAsia="lv-LV"/>
        </w:rPr>
        <w:t>ES digitālās stratēģijas publicēšanas ES aktīvi strādā pie digitālās kapacitātes celšanas un digitālās jomas regulējuma pilnveidošanas. 2021.gadā tika pieņemts paziņojums par Digitālo kompasu, kas paredz vairākus saistošus ES digitalizācijas mērķus, kas dalībvalstīm jāsasniedz līdz 2030.</w:t>
      </w:r>
      <w:r w:rsidR="0088152D">
        <w:rPr>
          <w:rFonts w:eastAsiaTheme="minorEastAsia"/>
          <w:color w:val="000000" w:themeColor="text1"/>
          <w:kern w:val="24"/>
          <w:lang w:eastAsia="lv-LV"/>
        </w:rPr>
        <w:t> </w:t>
      </w:r>
      <w:r>
        <w:rPr>
          <w:rFonts w:eastAsiaTheme="minorEastAsia"/>
          <w:color w:val="000000" w:themeColor="text1"/>
          <w:kern w:val="24"/>
          <w:lang w:eastAsia="lv-LV"/>
        </w:rPr>
        <w:t xml:space="preserve">gadam. ES Padome turpina </w:t>
      </w:r>
      <w:r w:rsidR="00204A0D">
        <w:rPr>
          <w:rFonts w:eastAsiaTheme="minorEastAsia"/>
          <w:color w:val="000000" w:themeColor="text1"/>
          <w:kern w:val="24"/>
          <w:lang w:eastAsia="lv-LV"/>
        </w:rPr>
        <w:t xml:space="preserve">trialogu </w:t>
      </w:r>
      <w:r>
        <w:rPr>
          <w:rFonts w:eastAsiaTheme="minorEastAsia"/>
          <w:color w:val="000000" w:themeColor="text1"/>
          <w:kern w:val="24"/>
          <w:lang w:eastAsia="lv-LV"/>
        </w:rPr>
        <w:t>ar Eiropas Parlamentu par Digitālo pakalpojumu akta  un Digitālo tirgu akt</w:t>
      </w:r>
      <w:r w:rsidR="00204A0D">
        <w:rPr>
          <w:rFonts w:eastAsiaTheme="minorEastAsia"/>
          <w:color w:val="000000" w:themeColor="text1"/>
          <w:kern w:val="24"/>
          <w:lang w:eastAsia="lv-LV"/>
        </w:rPr>
        <w:t>a</w:t>
      </w:r>
      <w:r>
        <w:rPr>
          <w:rFonts w:eastAsiaTheme="minorEastAsia"/>
          <w:color w:val="000000" w:themeColor="text1"/>
          <w:kern w:val="24"/>
          <w:lang w:eastAsia="lv-LV"/>
        </w:rPr>
        <w:t xml:space="preserve"> pieņemšanu, kas veicinās </w:t>
      </w:r>
      <w:r w:rsidR="00A40EA8">
        <w:rPr>
          <w:rFonts w:eastAsiaTheme="minorEastAsia"/>
          <w:color w:val="000000" w:themeColor="text1"/>
          <w:kern w:val="24"/>
          <w:lang w:eastAsia="lv-LV"/>
        </w:rPr>
        <w:t xml:space="preserve">mazu pakalpojumu sniedzēju piekļuvi lielo uzņēmumu digitālajām tirdzniecības vietnēm, kā arī </w:t>
      </w:r>
      <w:r>
        <w:rPr>
          <w:rFonts w:eastAsiaTheme="minorEastAsia"/>
          <w:color w:val="000000" w:themeColor="text1"/>
          <w:kern w:val="24"/>
          <w:lang w:eastAsia="lv-LV"/>
        </w:rPr>
        <w:t xml:space="preserve">lielo digitālo platformu atbildību par saturu </w:t>
      </w:r>
      <w:r w:rsidR="00A40EA8">
        <w:rPr>
          <w:rFonts w:eastAsiaTheme="minorEastAsia"/>
          <w:color w:val="000000" w:themeColor="text1"/>
          <w:kern w:val="24"/>
          <w:lang w:eastAsia="lv-LV"/>
        </w:rPr>
        <w:t>saziņas platformās</w:t>
      </w:r>
      <w:r>
        <w:rPr>
          <w:rFonts w:eastAsiaTheme="minorEastAsia"/>
          <w:color w:val="000000" w:themeColor="text1"/>
          <w:kern w:val="24"/>
          <w:lang w:eastAsia="lv-LV"/>
        </w:rPr>
        <w:t xml:space="preserve">. </w:t>
      </w:r>
    </w:p>
    <w:p w:rsidR="005155A4" w:rsidP="005155A4" w:rsidRDefault="005155A4" w14:paraId="16ECBB16" w14:textId="77777777">
      <w:pPr>
        <w:spacing w:before="120" w:after="120"/>
        <w:rPr>
          <w:b/>
        </w:rPr>
      </w:pPr>
    </w:p>
    <w:p w:rsidR="005155A4" w:rsidP="005155A4" w:rsidRDefault="005155A4" w14:paraId="1B517C49" w14:textId="77777777">
      <w:pPr>
        <w:spacing w:before="120" w:after="120"/>
        <w:rPr>
          <w:b/>
        </w:rPr>
      </w:pPr>
    </w:p>
    <w:p w:rsidR="005155A4" w:rsidP="005155A4" w:rsidRDefault="009A4B84" w14:paraId="589E31C0" w14:textId="12D1F284">
      <w:pPr>
        <w:spacing w:before="120" w:after="120"/>
        <w:rPr>
          <w:b/>
        </w:rPr>
      </w:pPr>
      <w:r w:rsidRPr="009A4B84">
        <w:rPr>
          <w:b/>
        </w:rPr>
        <w:lastRenderedPageBreak/>
        <w:t>Nodarbinātība un sociālā labklājība</w:t>
      </w:r>
    </w:p>
    <w:p w:rsidRPr="005155A4" w:rsidR="008415CB" w:rsidP="00740147" w:rsidRDefault="008415CB" w14:paraId="12C8E8A3" w14:textId="00C9CBDB">
      <w:pPr>
        <w:spacing w:before="120" w:after="120"/>
        <w:jc w:val="both"/>
        <w:rPr>
          <w:b/>
        </w:rPr>
      </w:pPr>
      <w:bookmarkStart w:name="_GoBack" w:id="1"/>
      <w:r>
        <w:t xml:space="preserve">EK 2021. gada martā publicētajā </w:t>
      </w:r>
      <w:r>
        <w:rPr>
          <w:rFonts w:eastAsia="Calibri"/>
        </w:rPr>
        <w:t xml:space="preserve">Eiropas Sociālo tiesību pīlāra Rīcības plānā ir </w:t>
      </w:r>
      <w:r>
        <w:t xml:space="preserve">definēti trīs līdz 2030. gadam ES līmenī sasniedzami pamatmērķi – </w:t>
      </w:r>
      <w:r w:rsidRPr="00907413">
        <w:t xml:space="preserve">vismaz 78% no pieaugušajiem </w:t>
      </w:r>
      <w:r>
        <w:t xml:space="preserve">ir jābūt nodarbinātiem, </w:t>
      </w:r>
      <w:r w:rsidRPr="00907413">
        <w:t>vismaz 60% no pieaugušajiem katru gadu piedalās mācībās</w:t>
      </w:r>
      <w:r>
        <w:t xml:space="preserve"> un </w:t>
      </w:r>
      <w:r w:rsidRPr="00907413">
        <w:t>par 15 milj</w:t>
      </w:r>
      <w:r>
        <w:t>.</w:t>
      </w:r>
      <w:r w:rsidRPr="00907413">
        <w:t xml:space="preserve"> samazināts personu skaits, kas ir pakļauti nabadzības vai sociālās atstumtības riskam</w:t>
      </w:r>
      <w:r>
        <w:t xml:space="preserve">. EK ir aicinājusi dalībvalstīm definēt arī nacionālos mērķus attiecīgajās jomās un ir uzsākusi diskusijas ar dalībvalstīm par mērķu vērtību noteikšanu. Latvijas sākotnējie priekšlikumi nacionālajiem mērķiem, par kuriem EK tika informēta pirmajā sarunu ciklā 2022.gada janvārī, līdz 2030.gadam ir, ka vismaz 80% no pieaugušajiem ir jābūt nodarbinātiem, vismaz 50% no pieaugušajiem katru gadu piedalās mācības un par 95 tūkst. vai 5% tiktu </w:t>
      </w:r>
      <w:r w:rsidRPr="00907413">
        <w:t>samazināts personu skaits, kas ir pakļauti nabadzības vai sociālās atstumtības riskam</w:t>
      </w:r>
      <w:r>
        <w:t>.</w:t>
      </w:r>
      <w:r w:rsidRPr="00791CCA">
        <w:t xml:space="preserve"> </w:t>
      </w:r>
      <w:r>
        <w:t>Latvija turpina diskusijas ar EK par nacionālo mērķu vērtībām un lielāku ambīciju iespējamību to definēšanā.</w:t>
      </w:r>
    </w:p>
    <w:bookmarkEnd w:id="1"/>
    <w:p w:rsidRPr="00654E85" w:rsidR="008415CB" w:rsidP="008415CB" w:rsidRDefault="008415CB" w14:paraId="40917D12" w14:textId="77777777">
      <w:pPr>
        <w:spacing w:before="120" w:after="120"/>
        <w:jc w:val="both"/>
      </w:pPr>
      <w:r>
        <w:t>Lai sniegtu papildu instrumentus pieaugušajiem iesaistei prasmju pilnveidē un pārkvalifikācijā, 2021. gada decembrī EK publicēja priekšlikumu Padomes ieteikumam par individuālajiem mācību kontiem. Priekšlikums paredz, ka dalībvalstīm būtu jānodrošina pieaugušajiem individualizēts mācību tiesību piešķīrums (budžets mācībām), kā arī ar atbalstu karjeras konsultācijām, prasmju atzīšanai u.c. jānodrošina</w:t>
      </w:r>
      <w:r w:rsidDel="00CA2341">
        <w:t xml:space="preserve"> </w:t>
      </w:r>
      <w:r>
        <w:t xml:space="preserve">papildu mācību tiesības personām, kurām visvairāk ir nepieciešama pārkvalifikācija vai kvalifikācijas paaugstināšana. Tāpat arī 2021. gada decembrī EK publicēja Padomes ieteikumu par Eiropas pieeju </w:t>
      </w:r>
      <w:proofErr w:type="spellStart"/>
      <w:r>
        <w:t>mikroapliecinājumiem</w:t>
      </w:r>
      <w:proofErr w:type="spellEnd"/>
      <w:r>
        <w:t xml:space="preserve">, lai nodrošinātu iespēju apliecināt neliela apjoma mācību rezultātus, kā arī vienotu ES pieeju </w:t>
      </w:r>
      <w:proofErr w:type="spellStart"/>
      <w:r>
        <w:t>mikroapliecinājumu</w:t>
      </w:r>
      <w:proofErr w:type="spellEnd"/>
      <w:r>
        <w:t xml:space="preserve"> sagatavošanā un izsniegšanā. </w:t>
      </w:r>
    </w:p>
    <w:p w:rsidRPr="00654E85" w:rsidR="00A947D5" w:rsidP="00654E85" w:rsidRDefault="00BB3CE5" w14:paraId="34446B8A" w14:textId="1695FAF3">
      <w:pPr>
        <w:spacing w:before="120" w:after="120"/>
        <w:jc w:val="both"/>
      </w:pPr>
      <w:r>
        <w:t xml:space="preserve"> </w:t>
      </w:r>
      <w:bookmarkEnd w:id="0"/>
    </w:p>
    <w:tbl>
      <w:tblPr>
        <w:tblpPr w:leftFromText="180" w:rightFromText="180" w:vertAnchor="text" w:horzAnchor="margin" w:tblpY="122"/>
        <w:tblW w:w="8775" w:type="dxa"/>
        <w:tblLook w:firstRow="1" w:lastRow="0" w:firstColumn="1" w:lastColumn="0" w:noHBand="0" w:noVBand="1" w:val="04A0"/>
      </w:tblPr>
      <w:tblGrid>
        <w:gridCol w:w="4321"/>
        <w:gridCol w:w="4454"/>
      </w:tblGrid>
      <w:tr w:rsidRPr="0029576E" w:rsidR="00B00DC6" w:rsidTr="006655D6" w14:paraId="7ECDEA49" w14:textId="77777777">
        <w:trPr>
          <w:trHeight w:val="284"/>
        </w:trPr>
        <w:tc>
          <w:tcPr>
            <w:tcW w:w="4321" w:type="dxa"/>
          </w:tcPr>
          <w:p w:rsidRPr="0029576E" w:rsidR="00EF0AF1" w:rsidP="00CD2839" w:rsidRDefault="00EF0AF1" w14:paraId="5A2B2443" w14:textId="77777777">
            <w:pPr>
              <w:tabs>
                <w:tab w:val="left" w:pos="6840"/>
              </w:tabs>
              <w:suppressAutoHyphens/>
              <w:spacing w:before="120" w:after="120"/>
              <w:jc w:val="both"/>
              <w:rPr>
                <w:highlight w:val="yellow"/>
              </w:rPr>
            </w:pPr>
          </w:p>
          <w:p w:rsidRPr="0029576E" w:rsidR="00B00DC6" w:rsidP="00FB6670" w:rsidRDefault="00B00DC6" w14:paraId="6C3FFD33" w14:textId="6AEAA9A6">
            <w:pPr>
              <w:tabs>
                <w:tab w:val="center" w:pos="4153"/>
                <w:tab w:val="right" w:pos="8306"/>
              </w:tabs>
              <w:spacing w:before="60"/>
              <w:ind w:right="-6"/>
              <w:jc w:val="both"/>
              <w:rPr>
                <w:highlight w:val="yellow"/>
              </w:rPr>
            </w:pPr>
          </w:p>
        </w:tc>
        <w:tc>
          <w:tcPr>
            <w:tcW w:w="4454" w:type="dxa"/>
            <w:vAlign w:val="bottom"/>
          </w:tcPr>
          <w:p w:rsidRPr="00A14252" w:rsidR="00B00DC6" w:rsidP="00CD2839" w:rsidRDefault="00B00DC6" w14:paraId="6DE17EE4" w14:textId="007E467A">
            <w:pPr>
              <w:tabs>
                <w:tab w:val="left" w:pos="6840"/>
              </w:tabs>
              <w:suppressAutoHyphens/>
              <w:spacing w:before="120" w:after="120"/>
              <w:jc w:val="right"/>
            </w:pPr>
          </w:p>
        </w:tc>
      </w:tr>
    </w:tbl>
    <w:p w:rsidRPr="0029576E" w:rsidR="00DA2DFB" w:rsidP="008E6093" w:rsidRDefault="00D85435" w14:paraId="28B359F1" w14:textId="3F98FB3A">
      <w:pPr>
        <w:spacing w:before="120" w:after="120"/>
        <w:jc w:val="both"/>
        <w:rPr>
          <w:bCs/>
          <w:kern w:val="1"/>
          <w:lang w:eastAsia="ar-SA"/>
        </w:rPr>
      </w:pPr>
      <w:r>
        <w:t>Ārlietu ministrs</w:t>
      </w:r>
      <w:r w:rsidR="000911CE">
        <w:rPr>
          <w:bCs/>
          <w:kern w:val="1"/>
          <w:lang w:eastAsia="ar-SA"/>
        </w:rPr>
        <w:tab/>
      </w:r>
      <w:r w:rsidR="000911CE">
        <w:rPr>
          <w:bCs/>
          <w:kern w:val="1"/>
          <w:lang w:eastAsia="ar-SA"/>
        </w:rPr>
        <w:tab/>
      </w:r>
      <w:r w:rsidR="000911CE">
        <w:rPr>
          <w:bCs/>
          <w:kern w:val="1"/>
          <w:lang w:eastAsia="ar-SA"/>
        </w:rPr>
        <w:tab/>
      </w:r>
      <w:r w:rsidR="000911CE">
        <w:rPr>
          <w:bCs/>
          <w:kern w:val="1"/>
          <w:lang w:eastAsia="ar-SA"/>
        </w:rPr>
        <w:tab/>
      </w:r>
      <w:r w:rsidR="000911CE">
        <w:rPr>
          <w:bCs/>
          <w:kern w:val="1"/>
          <w:lang w:eastAsia="ar-SA"/>
        </w:rPr>
        <w:tab/>
      </w:r>
      <w:r w:rsidR="000911CE">
        <w:rPr>
          <w:bCs/>
          <w:kern w:val="1"/>
          <w:lang w:eastAsia="ar-SA"/>
        </w:rPr>
        <w:tab/>
      </w:r>
      <w:r w:rsidR="000911CE">
        <w:rPr>
          <w:bCs/>
          <w:kern w:val="1"/>
          <w:lang w:eastAsia="ar-SA"/>
        </w:rPr>
        <w:tab/>
      </w:r>
      <w:r w:rsidR="000911CE">
        <w:rPr>
          <w:bCs/>
          <w:kern w:val="1"/>
          <w:lang w:eastAsia="ar-SA"/>
        </w:rPr>
        <w:tab/>
        <w:t xml:space="preserve">    </w:t>
      </w:r>
      <w:r>
        <w:t>E.Rinkēvičs</w:t>
      </w:r>
    </w:p>
    <w:p w:rsidRPr="0029576E" w:rsidR="00256A39" w:rsidP="00CD2839" w:rsidRDefault="00256A39" w14:paraId="420EE0CB" w14:textId="4FD2B3F9">
      <w:pPr>
        <w:spacing w:before="120" w:after="120"/>
        <w:jc w:val="both"/>
        <w:rPr>
          <w:bCs/>
          <w:kern w:val="1"/>
          <w:lang w:eastAsia="ar-SA"/>
        </w:rPr>
      </w:pPr>
    </w:p>
    <w:p w:rsidRPr="0029576E" w:rsidR="00256A39" w:rsidP="00CD2839" w:rsidRDefault="00256A39" w14:paraId="614F2455" w14:textId="77777777">
      <w:pPr>
        <w:spacing w:before="120" w:after="120"/>
        <w:jc w:val="both"/>
        <w:rPr>
          <w:bCs/>
          <w:kern w:val="1"/>
          <w:lang w:eastAsia="ar-SA"/>
        </w:rPr>
      </w:pPr>
    </w:p>
    <w:p w:rsidRPr="0029576E" w:rsidR="007C23CA" w:rsidP="00CD2839" w:rsidRDefault="007B299A" w14:paraId="70CD96CF" w14:textId="0BA81997">
      <w:pPr>
        <w:spacing w:before="120" w:after="120"/>
        <w:ind w:right="-113"/>
        <w:jc w:val="both"/>
        <w:rPr>
          <w:bCs/>
          <w:kern w:val="1"/>
          <w:lang w:eastAsia="ar-SA"/>
        </w:rPr>
      </w:pPr>
      <w:r w:rsidRPr="0029576E">
        <w:rPr>
          <w:bCs/>
          <w:kern w:val="1"/>
          <w:lang w:eastAsia="ar-SA"/>
        </w:rPr>
        <w:t>Vīza: valsts sekretārs</w:t>
      </w:r>
      <w:r w:rsidRPr="0029576E" w:rsidR="00B00DC6">
        <w:rPr>
          <w:bCs/>
          <w:kern w:val="1"/>
          <w:lang w:eastAsia="ar-SA"/>
        </w:rPr>
        <w:tab/>
      </w:r>
      <w:r w:rsidRPr="0029576E" w:rsidR="00B00DC6">
        <w:rPr>
          <w:bCs/>
          <w:kern w:val="1"/>
          <w:lang w:eastAsia="ar-SA"/>
        </w:rPr>
        <w:tab/>
      </w:r>
      <w:r w:rsidRPr="0029576E" w:rsidR="00B00DC6">
        <w:rPr>
          <w:bCs/>
          <w:kern w:val="1"/>
          <w:lang w:eastAsia="ar-SA"/>
        </w:rPr>
        <w:tab/>
      </w:r>
      <w:r w:rsidRPr="0029576E" w:rsidR="00B00DC6">
        <w:rPr>
          <w:bCs/>
          <w:kern w:val="1"/>
          <w:lang w:eastAsia="ar-SA"/>
        </w:rPr>
        <w:tab/>
      </w:r>
      <w:r w:rsidRPr="0029576E" w:rsidR="00B00DC6">
        <w:rPr>
          <w:bCs/>
          <w:kern w:val="1"/>
          <w:lang w:eastAsia="ar-SA"/>
        </w:rPr>
        <w:tab/>
      </w:r>
      <w:r w:rsidRPr="0029576E" w:rsidR="00B00DC6">
        <w:rPr>
          <w:bCs/>
          <w:kern w:val="1"/>
          <w:lang w:eastAsia="ar-SA"/>
        </w:rPr>
        <w:tab/>
      </w:r>
      <w:r w:rsidRPr="0029576E" w:rsidR="00B00DC6">
        <w:rPr>
          <w:bCs/>
          <w:kern w:val="1"/>
          <w:lang w:eastAsia="ar-SA"/>
        </w:rPr>
        <w:tab/>
        <w:t xml:space="preserve">     </w:t>
      </w:r>
      <w:r w:rsidRPr="0029576E">
        <w:rPr>
          <w:bCs/>
          <w:kern w:val="1"/>
          <w:lang w:eastAsia="ar-SA"/>
        </w:rPr>
        <w:tab/>
        <w:t xml:space="preserve">     A. Pelšs</w:t>
      </w:r>
    </w:p>
    <w:p w:rsidRPr="0029576E" w:rsidR="00256A39" w:rsidP="00CD2839" w:rsidRDefault="00256A39" w14:paraId="028FBFA1" w14:textId="744AE21E">
      <w:pPr>
        <w:spacing w:before="120" w:after="120"/>
      </w:pPr>
    </w:p>
    <w:p w:rsidRPr="0029576E" w:rsidR="00E600DA" w:rsidP="00CD2839" w:rsidRDefault="00E600DA" w14:paraId="77D186E4" w14:textId="77777777">
      <w:pPr>
        <w:spacing w:before="120" w:after="120"/>
      </w:pPr>
    </w:p>
    <w:p w:rsidRPr="0029576E" w:rsidR="00256A39" w:rsidP="00CD2839" w:rsidRDefault="00256A39" w14:paraId="2EBD0D57" w14:textId="77777777">
      <w:pPr>
        <w:spacing w:before="120" w:after="120"/>
      </w:pPr>
    </w:p>
    <w:p w:rsidRPr="0029576E" w:rsidR="00F23BD2" w:rsidP="00CD2839" w:rsidRDefault="00A947D5" w14:paraId="6A349D99" w14:textId="43170EF8">
      <w:pPr>
        <w:spacing w:before="120" w:after="120"/>
      </w:pPr>
      <w:r w:rsidRPr="0029576E">
        <w:t>I.Spiridonova</w:t>
      </w:r>
      <w:r w:rsidRPr="0029576E" w:rsidR="00F23BD2">
        <w:t>, 67015929</w:t>
      </w:r>
    </w:p>
    <w:p w:rsidRPr="0029576E" w:rsidR="006B0600" w:rsidP="00CD2839" w:rsidRDefault="00740147" w14:paraId="7F8EDF67" w14:textId="708F74E2">
      <w:pPr>
        <w:spacing w:before="120" w:after="120"/>
      </w:pPr>
      <w:hyperlink w:history="true" r:id="rId8">
        <w:r w:rsidRPr="0029576E" w:rsidR="00A947D5">
          <w:rPr>
            <w:rStyle w:val="Hyperlink"/>
          </w:rPr>
          <w:t>ilze.spiridonova@mfa.gov.lv</w:t>
        </w:r>
      </w:hyperlink>
    </w:p>
    <w:sectPr w:rsidRPr="0029576E" w:rsidR="006B0600" w:rsidSect="001C21D0">
      <w:footerReference w:type="default" r:id="rId9"/>
      <w:pgSz w:w="12240" w:h="15840"/>
      <w:pgMar w:top="964" w:right="1758" w:bottom="2269" w:left="175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77677A" w14:textId="77777777" w:rsidR="00FB0463" w:rsidRDefault="00FB0463" w:rsidP="00160121">
      <w:r>
        <w:separator/>
      </w:r>
    </w:p>
  </w:endnote>
  <w:endnote w:type="continuationSeparator" w:id="0">
    <w:p w14:paraId="40C634BD" w14:textId="77777777" w:rsidR="00FB0463" w:rsidRDefault="00FB0463" w:rsidP="00160121">
      <w:r>
        <w:continuationSeparator/>
      </w:r>
    </w:p>
  </w:endnote>
  <w:endnote w:type="continuationNotice" w:id="1">
    <w:p w14:paraId="13437D4B" w14:textId="77777777" w:rsidR="00FB0463" w:rsidRDefault="00FB04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2599851"/>
      <w:docPartObj>
        <w:docPartGallery w:val="Page Numbers (Bottom of Page)"/>
        <w:docPartUnique/>
      </w:docPartObj>
    </w:sdtPr>
    <w:sdtEndPr>
      <w:rPr>
        <w:noProof/>
      </w:rPr>
    </w:sdtEndPr>
    <w:sdtContent>
      <w:p w14:paraId="49BA3E8E" w14:textId="7B0E20BE" w:rsidR="00DF23F1" w:rsidRPr="00DF23F1" w:rsidRDefault="00A00ADC" w:rsidP="00DF23F1">
        <w:pPr>
          <w:keepNext/>
          <w:keepLines/>
          <w:suppressAutoHyphens/>
          <w:spacing w:before="200"/>
          <w:jc w:val="both"/>
          <w:outlineLvl w:val="2"/>
          <w:rPr>
            <w:bCs/>
            <w:sz w:val="20"/>
            <w:szCs w:val="20"/>
          </w:rPr>
        </w:pPr>
        <w:r>
          <w:rPr>
            <w:sz w:val="20"/>
            <w:szCs w:val="20"/>
          </w:rPr>
          <w:t>AMzino_</w:t>
        </w:r>
        <w:r w:rsidR="003002D8">
          <w:rPr>
            <w:sz w:val="20"/>
            <w:szCs w:val="20"/>
          </w:rPr>
          <w:t>10-110322</w:t>
        </w:r>
        <w:r>
          <w:rPr>
            <w:sz w:val="20"/>
            <w:szCs w:val="20"/>
          </w:rPr>
          <w:t>;</w:t>
        </w:r>
        <w:r w:rsidR="00B534FB" w:rsidRPr="001024AC">
          <w:rPr>
            <w:bCs/>
            <w:sz w:val="20"/>
            <w:szCs w:val="20"/>
          </w:rPr>
          <w:t xml:space="preserve"> </w:t>
        </w:r>
        <w:r w:rsidR="00CB1F3C">
          <w:rPr>
            <w:bCs/>
            <w:sz w:val="20"/>
            <w:szCs w:val="20"/>
          </w:rPr>
          <w:t>I</w:t>
        </w:r>
        <w:r w:rsidR="00A238E9" w:rsidRPr="00DF23F1">
          <w:rPr>
            <w:bCs/>
            <w:sz w:val="20"/>
            <w:szCs w:val="20"/>
          </w:rPr>
          <w:t>nformatīvais ziņojums</w:t>
        </w:r>
        <w:r w:rsidR="00B534FB" w:rsidRPr="00DF23F1">
          <w:rPr>
            <w:bCs/>
            <w:sz w:val="20"/>
            <w:szCs w:val="20"/>
          </w:rPr>
          <w:t xml:space="preserve"> </w:t>
        </w:r>
        <w:r w:rsidR="00DF23F1" w:rsidRPr="00DF23F1">
          <w:rPr>
            <w:bCs/>
            <w:sz w:val="20"/>
            <w:szCs w:val="20"/>
          </w:rPr>
          <w:t>“Par 202</w:t>
        </w:r>
        <w:r w:rsidR="003002D8">
          <w:rPr>
            <w:bCs/>
            <w:sz w:val="20"/>
            <w:szCs w:val="20"/>
          </w:rPr>
          <w:t>2</w:t>
        </w:r>
        <w:r w:rsidR="00DF23F1" w:rsidRPr="00DF23F1">
          <w:rPr>
            <w:bCs/>
            <w:sz w:val="20"/>
            <w:szCs w:val="20"/>
          </w:rPr>
          <w:t>.</w:t>
        </w:r>
        <w:r w:rsidR="00A947D5">
          <w:rPr>
            <w:bCs/>
            <w:sz w:val="20"/>
            <w:szCs w:val="20"/>
          </w:rPr>
          <w:t>gada</w:t>
        </w:r>
        <w:r w:rsidR="00DF23F1" w:rsidRPr="00DF23F1">
          <w:rPr>
            <w:bCs/>
            <w:sz w:val="20"/>
            <w:szCs w:val="20"/>
          </w:rPr>
          <w:t xml:space="preserve"> </w:t>
        </w:r>
        <w:r w:rsidR="003002D8">
          <w:rPr>
            <w:bCs/>
            <w:sz w:val="20"/>
            <w:szCs w:val="20"/>
          </w:rPr>
          <w:t>10. un 11.marta</w:t>
        </w:r>
        <w:r w:rsidR="00A947D5" w:rsidRPr="00A947D5">
          <w:rPr>
            <w:bCs/>
            <w:sz w:val="20"/>
            <w:szCs w:val="20"/>
          </w:rPr>
          <w:t xml:space="preserve"> neformālajā Eiropadomē izskatāmajiem jautājumiem</w:t>
        </w:r>
        <w:r w:rsidR="00DF23F1" w:rsidRPr="00DF23F1">
          <w:rPr>
            <w:bCs/>
            <w:sz w:val="20"/>
            <w:szCs w:val="20"/>
          </w:rPr>
          <w:t>”</w:t>
        </w:r>
      </w:p>
      <w:p w14:paraId="08FEAED9" w14:textId="608A5760" w:rsidR="00160121" w:rsidRDefault="00A3363C" w:rsidP="00DF23F1">
        <w:pPr>
          <w:keepNext/>
          <w:keepLines/>
          <w:suppressAutoHyphens/>
          <w:spacing w:before="200"/>
          <w:jc w:val="center"/>
          <w:outlineLvl w:val="2"/>
        </w:pPr>
        <w:r>
          <w:fldChar w:fldCharType="begin"/>
        </w:r>
        <w:r>
          <w:instrText xml:space="preserve"> PAGE   \* MERGEFORMAT </w:instrText>
        </w:r>
        <w:r>
          <w:fldChar w:fldCharType="separate"/>
        </w:r>
        <w:r w:rsidR="00C24442">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6077BA" w14:textId="77777777" w:rsidR="00FB0463" w:rsidRDefault="00FB0463" w:rsidP="00160121">
      <w:r>
        <w:separator/>
      </w:r>
    </w:p>
  </w:footnote>
  <w:footnote w:type="continuationSeparator" w:id="0">
    <w:p w14:paraId="422CA3ED" w14:textId="77777777" w:rsidR="00FB0463" w:rsidRDefault="00FB0463" w:rsidP="00160121">
      <w:r>
        <w:continuationSeparator/>
      </w:r>
    </w:p>
  </w:footnote>
  <w:footnote w:type="continuationNotice" w:id="1">
    <w:p w14:paraId="2D784971" w14:textId="77777777" w:rsidR="00FB0463" w:rsidRDefault="00FB046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11D6C"/>
    <w:multiLevelType w:val="hybridMultilevel"/>
    <w:tmpl w:val="FBFC863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766148F"/>
    <w:multiLevelType w:val="hybridMultilevel"/>
    <w:tmpl w:val="E7125C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8C51176"/>
    <w:multiLevelType w:val="hybridMultilevel"/>
    <w:tmpl w:val="228CC64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CE02586"/>
    <w:multiLevelType w:val="hybridMultilevel"/>
    <w:tmpl w:val="999EECA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 w15:restartNumberingAfterBreak="0">
    <w:nsid w:val="0E1C0827"/>
    <w:multiLevelType w:val="hybridMultilevel"/>
    <w:tmpl w:val="4AF640C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4B46B4B"/>
    <w:multiLevelType w:val="hybridMultilevel"/>
    <w:tmpl w:val="27100B5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6" w15:restartNumberingAfterBreak="0">
    <w:nsid w:val="1C9E7D80"/>
    <w:multiLevelType w:val="hybridMultilevel"/>
    <w:tmpl w:val="CE02C3F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7" w15:restartNumberingAfterBreak="0">
    <w:nsid w:val="1CEE1E93"/>
    <w:multiLevelType w:val="hybridMultilevel"/>
    <w:tmpl w:val="4B4ACC9C"/>
    <w:lvl w:ilvl="0" w:tplc="04260001">
      <w:start w:val="1"/>
      <w:numFmt w:val="bullet"/>
      <w:lvlText w:val=""/>
      <w:lvlJc w:val="left"/>
      <w:pPr>
        <w:ind w:left="450" w:hanging="360"/>
      </w:pPr>
      <w:rPr>
        <w:rFonts w:ascii="Symbol" w:hAnsi="Symbol" w:hint="default"/>
      </w:rPr>
    </w:lvl>
    <w:lvl w:ilvl="1" w:tplc="04260003" w:tentative="1">
      <w:start w:val="1"/>
      <w:numFmt w:val="bullet"/>
      <w:lvlText w:val="o"/>
      <w:lvlJc w:val="left"/>
      <w:pPr>
        <w:ind w:left="1170" w:hanging="360"/>
      </w:pPr>
      <w:rPr>
        <w:rFonts w:ascii="Courier New" w:hAnsi="Courier New" w:cs="Courier New" w:hint="default"/>
      </w:rPr>
    </w:lvl>
    <w:lvl w:ilvl="2" w:tplc="04260005" w:tentative="1">
      <w:start w:val="1"/>
      <w:numFmt w:val="bullet"/>
      <w:lvlText w:val=""/>
      <w:lvlJc w:val="left"/>
      <w:pPr>
        <w:ind w:left="1890" w:hanging="360"/>
      </w:pPr>
      <w:rPr>
        <w:rFonts w:ascii="Wingdings" w:hAnsi="Wingdings" w:hint="default"/>
      </w:rPr>
    </w:lvl>
    <w:lvl w:ilvl="3" w:tplc="04260001" w:tentative="1">
      <w:start w:val="1"/>
      <w:numFmt w:val="bullet"/>
      <w:lvlText w:val=""/>
      <w:lvlJc w:val="left"/>
      <w:pPr>
        <w:ind w:left="2610" w:hanging="360"/>
      </w:pPr>
      <w:rPr>
        <w:rFonts w:ascii="Symbol" w:hAnsi="Symbol" w:hint="default"/>
      </w:rPr>
    </w:lvl>
    <w:lvl w:ilvl="4" w:tplc="04260003" w:tentative="1">
      <w:start w:val="1"/>
      <w:numFmt w:val="bullet"/>
      <w:lvlText w:val="o"/>
      <w:lvlJc w:val="left"/>
      <w:pPr>
        <w:ind w:left="3330" w:hanging="360"/>
      </w:pPr>
      <w:rPr>
        <w:rFonts w:ascii="Courier New" w:hAnsi="Courier New" w:cs="Courier New" w:hint="default"/>
      </w:rPr>
    </w:lvl>
    <w:lvl w:ilvl="5" w:tplc="04260005" w:tentative="1">
      <w:start w:val="1"/>
      <w:numFmt w:val="bullet"/>
      <w:lvlText w:val=""/>
      <w:lvlJc w:val="left"/>
      <w:pPr>
        <w:ind w:left="4050" w:hanging="360"/>
      </w:pPr>
      <w:rPr>
        <w:rFonts w:ascii="Wingdings" w:hAnsi="Wingdings" w:hint="default"/>
      </w:rPr>
    </w:lvl>
    <w:lvl w:ilvl="6" w:tplc="04260001" w:tentative="1">
      <w:start w:val="1"/>
      <w:numFmt w:val="bullet"/>
      <w:lvlText w:val=""/>
      <w:lvlJc w:val="left"/>
      <w:pPr>
        <w:ind w:left="4770" w:hanging="360"/>
      </w:pPr>
      <w:rPr>
        <w:rFonts w:ascii="Symbol" w:hAnsi="Symbol" w:hint="default"/>
      </w:rPr>
    </w:lvl>
    <w:lvl w:ilvl="7" w:tplc="04260003" w:tentative="1">
      <w:start w:val="1"/>
      <w:numFmt w:val="bullet"/>
      <w:lvlText w:val="o"/>
      <w:lvlJc w:val="left"/>
      <w:pPr>
        <w:ind w:left="5490" w:hanging="360"/>
      </w:pPr>
      <w:rPr>
        <w:rFonts w:ascii="Courier New" w:hAnsi="Courier New" w:cs="Courier New" w:hint="default"/>
      </w:rPr>
    </w:lvl>
    <w:lvl w:ilvl="8" w:tplc="04260005" w:tentative="1">
      <w:start w:val="1"/>
      <w:numFmt w:val="bullet"/>
      <w:lvlText w:val=""/>
      <w:lvlJc w:val="left"/>
      <w:pPr>
        <w:ind w:left="6210" w:hanging="360"/>
      </w:pPr>
      <w:rPr>
        <w:rFonts w:ascii="Wingdings" w:hAnsi="Wingdings" w:hint="default"/>
      </w:rPr>
    </w:lvl>
  </w:abstractNum>
  <w:abstractNum w:abstractNumId="8" w15:restartNumberingAfterBreak="0">
    <w:nsid w:val="1CFB7159"/>
    <w:multiLevelType w:val="hybridMultilevel"/>
    <w:tmpl w:val="64F2FC4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E1B3BB3"/>
    <w:multiLevelType w:val="hybridMultilevel"/>
    <w:tmpl w:val="EFC6018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4B20233"/>
    <w:multiLevelType w:val="hybridMultilevel"/>
    <w:tmpl w:val="0E4E18EC"/>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1" w15:restartNumberingAfterBreak="0">
    <w:nsid w:val="275F107A"/>
    <w:multiLevelType w:val="hybridMultilevel"/>
    <w:tmpl w:val="A09C122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7646735"/>
    <w:multiLevelType w:val="hybridMultilevel"/>
    <w:tmpl w:val="117C1D3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A5408E7"/>
    <w:multiLevelType w:val="hybridMultilevel"/>
    <w:tmpl w:val="60F408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D276B21"/>
    <w:multiLevelType w:val="hybridMultilevel"/>
    <w:tmpl w:val="18E420E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5" w15:restartNumberingAfterBreak="0">
    <w:nsid w:val="3602215B"/>
    <w:multiLevelType w:val="hybridMultilevel"/>
    <w:tmpl w:val="FC1ECC6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6" w15:restartNumberingAfterBreak="0">
    <w:nsid w:val="37422B64"/>
    <w:multiLevelType w:val="hybridMultilevel"/>
    <w:tmpl w:val="0F047034"/>
    <w:lvl w:ilvl="0" w:tplc="A29E27CC">
      <w:numFmt w:val="bullet"/>
      <w:lvlText w:val="-"/>
      <w:lvlJc w:val="left"/>
      <w:pPr>
        <w:ind w:left="720" w:hanging="360"/>
      </w:pPr>
      <w:rPr>
        <w:rFonts w:ascii="Calibri" w:eastAsia="Calibr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7" w15:restartNumberingAfterBreak="0">
    <w:nsid w:val="39552AAB"/>
    <w:multiLevelType w:val="hybridMultilevel"/>
    <w:tmpl w:val="49768CEC"/>
    <w:lvl w:ilvl="0" w:tplc="04260003">
      <w:start w:val="1"/>
      <w:numFmt w:val="bullet"/>
      <w:lvlText w:val="o"/>
      <w:lvlJc w:val="left"/>
      <w:pPr>
        <w:ind w:left="1080" w:hanging="360"/>
      </w:pPr>
      <w:rPr>
        <w:rFonts w:ascii="Courier New" w:hAnsi="Courier New" w:cs="Courier New"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8" w15:restartNumberingAfterBreak="0">
    <w:nsid w:val="47332757"/>
    <w:multiLevelType w:val="hybridMultilevel"/>
    <w:tmpl w:val="B77A3800"/>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7875698"/>
    <w:multiLevelType w:val="hybridMultilevel"/>
    <w:tmpl w:val="875EA6DA"/>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20" w15:restartNumberingAfterBreak="0">
    <w:nsid w:val="49046199"/>
    <w:multiLevelType w:val="hybridMultilevel"/>
    <w:tmpl w:val="1010AFC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9B866B4"/>
    <w:multiLevelType w:val="hybridMultilevel"/>
    <w:tmpl w:val="2968D2DA"/>
    <w:lvl w:ilvl="0" w:tplc="04260001">
      <w:start w:val="1"/>
      <w:numFmt w:val="bullet"/>
      <w:lvlText w:val=""/>
      <w:lvlJc w:val="left"/>
      <w:pPr>
        <w:ind w:left="450" w:hanging="360"/>
      </w:pPr>
      <w:rPr>
        <w:rFonts w:ascii="Symbol" w:hAnsi="Symbol" w:hint="default"/>
      </w:rPr>
    </w:lvl>
    <w:lvl w:ilvl="1" w:tplc="04260003" w:tentative="1">
      <w:start w:val="1"/>
      <w:numFmt w:val="bullet"/>
      <w:lvlText w:val="o"/>
      <w:lvlJc w:val="left"/>
      <w:pPr>
        <w:ind w:left="1170" w:hanging="360"/>
      </w:pPr>
      <w:rPr>
        <w:rFonts w:ascii="Courier New" w:hAnsi="Courier New" w:cs="Courier New" w:hint="default"/>
      </w:rPr>
    </w:lvl>
    <w:lvl w:ilvl="2" w:tplc="04260005" w:tentative="1">
      <w:start w:val="1"/>
      <w:numFmt w:val="bullet"/>
      <w:lvlText w:val=""/>
      <w:lvlJc w:val="left"/>
      <w:pPr>
        <w:ind w:left="1890" w:hanging="360"/>
      </w:pPr>
      <w:rPr>
        <w:rFonts w:ascii="Wingdings" w:hAnsi="Wingdings" w:hint="default"/>
      </w:rPr>
    </w:lvl>
    <w:lvl w:ilvl="3" w:tplc="04260001" w:tentative="1">
      <w:start w:val="1"/>
      <w:numFmt w:val="bullet"/>
      <w:lvlText w:val=""/>
      <w:lvlJc w:val="left"/>
      <w:pPr>
        <w:ind w:left="2610" w:hanging="360"/>
      </w:pPr>
      <w:rPr>
        <w:rFonts w:ascii="Symbol" w:hAnsi="Symbol" w:hint="default"/>
      </w:rPr>
    </w:lvl>
    <w:lvl w:ilvl="4" w:tplc="04260003" w:tentative="1">
      <w:start w:val="1"/>
      <w:numFmt w:val="bullet"/>
      <w:lvlText w:val="o"/>
      <w:lvlJc w:val="left"/>
      <w:pPr>
        <w:ind w:left="3330" w:hanging="360"/>
      </w:pPr>
      <w:rPr>
        <w:rFonts w:ascii="Courier New" w:hAnsi="Courier New" w:cs="Courier New" w:hint="default"/>
      </w:rPr>
    </w:lvl>
    <w:lvl w:ilvl="5" w:tplc="04260005" w:tentative="1">
      <w:start w:val="1"/>
      <w:numFmt w:val="bullet"/>
      <w:lvlText w:val=""/>
      <w:lvlJc w:val="left"/>
      <w:pPr>
        <w:ind w:left="4050" w:hanging="360"/>
      </w:pPr>
      <w:rPr>
        <w:rFonts w:ascii="Wingdings" w:hAnsi="Wingdings" w:hint="default"/>
      </w:rPr>
    </w:lvl>
    <w:lvl w:ilvl="6" w:tplc="04260001" w:tentative="1">
      <w:start w:val="1"/>
      <w:numFmt w:val="bullet"/>
      <w:lvlText w:val=""/>
      <w:lvlJc w:val="left"/>
      <w:pPr>
        <w:ind w:left="4770" w:hanging="360"/>
      </w:pPr>
      <w:rPr>
        <w:rFonts w:ascii="Symbol" w:hAnsi="Symbol" w:hint="default"/>
      </w:rPr>
    </w:lvl>
    <w:lvl w:ilvl="7" w:tplc="04260003" w:tentative="1">
      <w:start w:val="1"/>
      <w:numFmt w:val="bullet"/>
      <w:lvlText w:val="o"/>
      <w:lvlJc w:val="left"/>
      <w:pPr>
        <w:ind w:left="5490" w:hanging="360"/>
      </w:pPr>
      <w:rPr>
        <w:rFonts w:ascii="Courier New" w:hAnsi="Courier New" w:cs="Courier New" w:hint="default"/>
      </w:rPr>
    </w:lvl>
    <w:lvl w:ilvl="8" w:tplc="04260005" w:tentative="1">
      <w:start w:val="1"/>
      <w:numFmt w:val="bullet"/>
      <w:lvlText w:val=""/>
      <w:lvlJc w:val="left"/>
      <w:pPr>
        <w:ind w:left="6210" w:hanging="360"/>
      </w:pPr>
      <w:rPr>
        <w:rFonts w:ascii="Wingdings" w:hAnsi="Wingdings" w:hint="default"/>
      </w:rPr>
    </w:lvl>
  </w:abstractNum>
  <w:abstractNum w:abstractNumId="22" w15:restartNumberingAfterBreak="0">
    <w:nsid w:val="49E40278"/>
    <w:multiLevelType w:val="hybridMultilevel"/>
    <w:tmpl w:val="6944DCB4"/>
    <w:lvl w:ilvl="0" w:tplc="272AD366">
      <w:start w:val="2"/>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3" w15:restartNumberingAfterBreak="0">
    <w:nsid w:val="4DDE0AA1"/>
    <w:multiLevelType w:val="hybridMultilevel"/>
    <w:tmpl w:val="7B969A8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4" w15:restartNumberingAfterBreak="0">
    <w:nsid w:val="539C52BD"/>
    <w:multiLevelType w:val="hybridMultilevel"/>
    <w:tmpl w:val="E3F255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56C34B5C"/>
    <w:multiLevelType w:val="hybridMultilevel"/>
    <w:tmpl w:val="2FB46E4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57CD2074"/>
    <w:multiLevelType w:val="hybridMultilevel"/>
    <w:tmpl w:val="7F4C010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7" w15:restartNumberingAfterBreak="0">
    <w:nsid w:val="58981695"/>
    <w:multiLevelType w:val="hybridMultilevel"/>
    <w:tmpl w:val="F9A48E9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62AA5953"/>
    <w:multiLevelType w:val="hybridMultilevel"/>
    <w:tmpl w:val="30BE4D5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9" w15:restartNumberingAfterBreak="0">
    <w:nsid w:val="63F15CAB"/>
    <w:multiLevelType w:val="hybridMultilevel"/>
    <w:tmpl w:val="C0C496F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64A85ED6"/>
    <w:multiLevelType w:val="hybridMultilevel"/>
    <w:tmpl w:val="0838BAD4"/>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1" w15:restartNumberingAfterBreak="0">
    <w:nsid w:val="6A0B65F0"/>
    <w:multiLevelType w:val="hybridMultilevel"/>
    <w:tmpl w:val="F51E3540"/>
    <w:lvl w:ilvl="0" w:tplc="C14AC634">
      <w:start w:val="1"/>
      <w:numFmt w:val="bullet"/>
      <w:lvlText w:val=""/>
      <w:lvlJc w:val="left"/>
      <w:pPr>
        <w:ind w:left="360" w:hanging="360"/>
      </w:pPr>
      <w:rPr>
        <w:rFonts w:ascii="Symbol" w:hAnsi="Symbol" w:hint="default"/>
        <w:sz w:val="22"/>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2" w15:restartNumberingAfterBreak="0">
    <w:nsid w:val="6C2C1244"/>
    <w:multiLevelType w:val="hybridMultilevel"/>
    <w:tmpl w:val="014614EE"/>
    <w:lvl w:ilvl="0" w:tplc="37C4BFA8">
      <w:start w:val="1"/>
      <w:numFmt w:val="bullet"/>
      <w:lvlText w:val=""/>
      <w:lvlJc w:val="left"/>
      <w:pPr>
        <w:ind w:left="360" w:hanging="360"/>
      </w:pPr>
      <w:rPr>
        <w:rFonts w:ascii="Symbol" w:hAnsi="Symbol" w:hint="default"/>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71627BFB"/>
    <w:multiLevelType w:val="hybridMultilevel"/>
    <w:tmpl w:val="DFF8A97A"/>
    <w:lvl w:ilvl="0" w:tplc="04260001">
      <w:start w:val="1"/>
      <w:numFmt w:val="bullet"/>
      <w:lvlText w:val=""/>
      <w:lvlJc w:val="left"/>
      <w:pPr>
        <w:ind w:left="360" w:hanging="360"/>
      </w:pPr>
      <w:rPr>
        <w:rFonts w:ascii="Symbol" w:hAnsi="Symbol" w:hint="default"/>
      </w:rPr>
    </w:lvl>
    <w:lvl w:ilvl="1" w:tplc="04260001">
      <w:start w:val="1"/>
      <w:numFmt w:val="bullet"/>
      <w:lvlText w:val=""/>
      <w:lvlJc w:val="left"/>
      <w:pPr>
        <w:ind w:left="1080" w:hanging="360"/>
      </w:pPr>
      <w:rPr>
        <w:rFonts w:ascii="Symbol" w:hAnsi="Symbol" w:hint="default"/>
      </w:r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4" w15:restartNumberingAfterBreak="0">
    <w:nsid w:val="7BD020BF"/>
    <w:multiLevelType w:val="multilevel"/>
    <w:tmpl w:val="D7C2A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EFF5957"/>
    <w:multiLevelType w:val="hybridMultilevel"/>
    <w:tmpl w:val="5022B290"/>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num w:numId="1">
    <w:abstractNumId w:val="19"/>
  </w:num>
  <w:num w:numId="2">
    <w:abstractNumId w:val="5"/>
  </w:num>
  <w:num w:numId="3">
    <w:abstractNumId w:val="14"/>
  </w:num>
  <w:num w:numId="4">
    <w:abstractNumId w:val="1"/>
  </w:num>
  <w:num w:numId="5">
    <w:abstractNumId w:val="30"/>
  </w:num>
  <w:num w:numId="6">
    <w:abstractNumId w:val="26"/>
  </w:num>
  <w:num w:numId="7">
    <w:abstractNumId w:val="15"/>
  </w:num>
  <w:num w:numId="8">
    <w:abstractNumId w:val="28"/>
  </w:num>
  <w:num w:numId="9">
    <w:abstractNumId w:val="33"/>
  </w:num>
  <w:num w:numId="10">
    <w:abstractNumId w:val="23"/>
  </w:num>
  <w:num w:numId="11">
    <w:abstractNumId w:val="18"/>
  </w:num>
  <w:num w:numId="12">
    <w:abstractNumId w:val="10"/>
  </w:num>
  <w:num w:numId="13">
    <w:abstractNumId w:val="6"/>
  </w:num>
  <w:num w:numId="14">
    <w:abstractNumId w:val="32"/>
  </w:num>
  <w:num w:numId="15">
    <w:abstractNumId w:val="17"/>
  </w:num>
  <w:num w:numId="16">
    <w:abstractNumId w:val="35"/>
  </w:num>
  <w:num w:numId="17">
    <w:abstractNumId w:val="31"/>
  </w:num>
  <w:num w:numId="18">
    <w:abstractNumId w:val="7"/>
  </w:num>
  <w:num w:numId="19">
    <w:abstractNumId w:val="21"/>
  </w:num>
  <w:num w:numId="20">
    <w:abstractNumId w:val="29"/>
  </w:num>
  <w:num w:numId="21">
    <w:abstractNumId w:val="0"/>
  </w:num>
  <w:num w:numId="22">
    <w:abstractNumId w:val="9"/>
  </w:num>
  <w:num w:numId="23">
    <w:abstractNumId w:val="24"/>
  </w:num>
  <w:num w:numId="24">
    <w:abstractNumId w:val="4"/>
  </w:num>
  <w:num w:numId="25">
    <w:abstractNumId w:val="25"/>
  </w:num>
  <w:num w:numId="26">
    <w:abstractNumId w:val="13"/>
  </w:num>
  <w:num w:numId="27">
    <w:abstractNumId w:val="2"/>
  </w:num>
  <w:num w:numId="28">
    <w:abstractNumId w:val="11"/>
  </w:num>
  <w:num w:numId="29">
    <w:abstractNumId w:val="3"/>
  </w:num>
  <w:num w:numId="30">
    <w:abstractNumId w:val="34"/>
  </w:num>
  <w:num w:numId="31">
    <w:abstractNumId w:val="4"/>
  </w:num>
  <w:num w:numId="32">
    <w:abstractNumId w:val="8"/>
  </w:num>
  <w:num w:numId="33">
    <w:abstractNumId w:val="12"/>
  </w:num>
  <w:num w:numId="34">
    <w:abstractNumId w:val="20"/>
  </w:num>
  <w:num w:numId="35">
    <w:abstractNumId w:val="27"/>
  </w:num>
  <w:num w:numId="36">
    <w:abstractNumId w:val="16"/>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ctiveWritingStyle w:appName="MSWord" w:lang="fr-FR" w:vendorID="64" w:dllVersion="6" w:nlCheck="1" w:checkStyle="0"/>
  <w:proofState w:spelling="clean" w:grammar="clean"/>
  <w:defaultTabStop w:val="720"/>
  <w:characterSpacingControl w:val="doNotCompress"/>
  <w:hdrShapeDefaults>
    <o:shapedefaults v:ext="edit" spidmax="4505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6D4"/>
    <w:rsid w:val="00033096"/>
    <w:rsid w:val="00057222"/>
    <w:rsid w:val="00072670"/>
    <w:rsid w:val="00074FEA"/>
    <w:rsid w:val="000908B4"/>
    <w:rsid w:val="000911CE"/>
    <w:rsid w:val="00097E67"/>
    <w:rsid w:val="000C23AD"/>
    <w:rsid w:val="000C2AE9"/>
    <w:rsid w:val="000C5B11"/>
    <w:rsid w:val="000D4ABF"/>
    <w:rsid w:val="001018C8"/>
    <w:rsid w:val="00102B94"/>
    <w:rsid w:val="001042A6"/>
    <w:rsid w:val="00122846"/>
    <w:rsid w:val="00125A63"/>
    <w:rsid w:val="001316E3"/>
    <w:rsid w:val="00131B3A"/>
    <w:rsid w:val="00134DAD"/>
    <w:rsid w:val="00146122"/>
    <w:rsid w:val="00146309"/>
    <w:rsid w:val="00154F58"/>
    <w:rsid w:val="00155012"/>
    <w:rsid w:val="00160121"/>
    <w:rsid w:val="0016227D"/>
    <w:rsid w:val="00165774"/>
    <w:rsid w:val="00165E36"/>
    <w:rsid w:val="00170014"/>
    <w:rsid w:val="00173E94"/>
    <w:rsid w:val="001746D4"/>
    <w:rsid w:val="00177B0C"/>
    <w:rsid w:val="00185323"/>
    <w:rsid w:val="001A2535"/>
    <w:rsid w:val="001A4C0A"/>
    <w:rsid w:val="001B30FD"/>
    <w:rsid w:val="001B59DE"/>
    <w:rsid w:val="001C120A"/>
    <w:rsid w:val="001C21D0"/>
    <w:rsid w:val="001D28FE"/>
    <w:rsid w:val="001D4C95"/>
    <w:rsid w:val="001D4E73"/>
    <w:rsid w:val="001D5A89"/>
    <w:rsid w:val="001D5C71"/>
    <w:rsid w:val="001E6EE3"/>
    <w:rsid w:val="001F085D"/>
    <w:rsid w:val="001F3C2F"/>
    <w:rsid w:val="00204A0D"/>
    <w:rsid w:val="00205626"/>
    <w:rsid w:val="0020698D"/>
    <w:rsid w:val="0021721B"/>
    <w:rsid w:val="00221DD5"/>
    <w:rsid w:val="002265E4"/>
    <w:rsid w:val="00246D55"/>
    <w:rsid w:val="0025561F"/>
    <w:rsid w:val="00256A39"/>
    <w:rsid w:val="002576EF"/>
    <w:rsid w:val="00262523"/>
    <w:rsid w:val="00262972"/>
    <w:rsid w:val="0026480C"/>
    <w:rsid w:val="002858AD"/>
    <w:rsid w:val="00286D17"/>
    <w:rsid w:val="002920FA"/>
    <w:rsid w:val="0029576E"/>
    <w:rsid w:val="002A4346"/>
    <w:rsid w:val="002A46DE"/>
    <w:rsid w:val="002D1FCF"/>
    <w:rsid w:val="002F2372"/>
    <w:rsid w:val="002F5AC0"/>
    <w:rsid w:val="003002D8"/>
    <w:rsid w:val="0030287B"/>
    <w:rsid w:val="003120E2"/>
    <w:rsid w:val="00316867"/>
    <w:rsid w:val="003171F2"/>
    <w:rsid w:val="0033404F"/>
    <w:rsid w:val="00337445"/>
    <w:rsid w:val="00350076"/>
    <w:rsid w:val="00351975"/>
    <w:rsid w:val="00353BC4"/>
    <w:rsid w:val="003560EF"/>
    <w:rsid w:val="00367C4E"/>
    <w:rsid w:val="00371ECE"/>
    <w:rsid w:val="00375CC3"/>
    <w:rsid w:val="00385DE2"/>
    <w:rsid w:val="00386571"/>
    <w:rsid w:val="00386B13"/>
    <w:rsid w:val="00397ACC"/>
    <w:rsid w:val="003A090C"/>
    <w:rsid w:val="003A6EA2"/>
    <w:rsid w:val="003B77CB"/>
    <w:rsid w:val="003D3B89"/>
    <w:rsid w:val="003D5463"/>
    <w:rsid w:val="003D5987"/>
    <w:rsid w:val="003E222F"/>
    <w:rsid w:val="004032C1"/>
    <w:rsid w:val="00415D4B"/>
    <w:rsid w:val="00423BAC"/>
    <w:rsid w:val="00436DB6"/>
    <w:rsid w:val="00445EE9"/>
    <w:rsid w:val="00451C07"/>
    <w:rsid w:val="00452C14"/>
    <w:rsid w:val="00453C4A"/>
    <w:rsid w:val="00454DA5"/>
    <w:rsid w:val="0045658F"/>
    <w:rsid w:val="0046660F"/>
    <w:rsid w:val="004721FD"/>
    <w:rsid w:val="00485C7B"/>
    <w:rsid w:val="00493A17"/>
    <w:rsid w:val="00493C20"/>
    <w:rsid w:val="004B2036"/>
    <w:rsid w:val="004B30CA"/>
    <w:rsid w:val="004E4A44"/>
    <w:rsid w:val="004F2F1D"/>
    <w:rsid w:val="004F74AC"/>
    <w:rsid w:val="005008BF"/>
    <w:rsid w:val="005155A4"/>
    <w:rsid w:val="005178D2"/>
    <w:rsid w:val="00522E99"/>
    <w:rsid w:val="005306A5"/>
    <w:rsid w:val="00540FAD"/>
    <w:rsid w:val="00581374"/>
    <w:rsid w:val="005A0C50"/>
    <w:rsid w:val="005A5D53"/>
    <w:rsid w:val="005A6F26"/>
    <w:rsid w:val="005B53A2"/>
    <w:rsid w:val="005C7DE3"/>
    <w:rsid w:val="005D59E6"/>
    <w:rsid w:val="005D6E33"/>
    <w:rsid w:val="005E1701"/>
    <w:rsid w:val="005E1E32"/>
    <w:rsid w:val="005E4420"/>
    <w:rsid w:val="005F48A6"/>
    <w:rsid w:val="006005CC"/>
    <w:rsid w:val="00603FA7"/>
    <w:rsid w:val="00611C4A"/>
    <w:rsid w:val="0061209C"/>
    <w:rsid w:val="00616DB3"/>
    <w:rsid w:val="00621C17"/>
    <w:rsid w:val="006231F1"/>
    <w:rsid w:val="0062790D"/>
    <w:rsid w:val="00632C40"/>
    <w:rsid w:val="006333F6"/>
    <w:rsid w:val="00636F99"/>
    <w:rsid w:val="00637C08"/>
    <w:rsid w:val="00643701"/>
    <w:rsid w:val="0065245A"/>
    <w:rsid w:val="00654E85"/>
    <w:rsid w:val="006655D6"/>
    <w:rsid w:val="00670CCE"/>
    <w:rsid w:val="00685AD9"/>
    <w:rsid w:val="00692AF4"/>
    <w:rsid w:val="0069753C"/>
    <w:rsid w:val="006A2358"/>
    <w:rsid w:val="006A2A4F"/>
    <w:rsid w:val="006A522E"/>
    <w:rsid w:val="006B02D3"/>
    <w:rsid w:val="006B0600"/>
    <w:rsid w:val="006B65A1"/>
    <w:rsid w:val="006B7B7C"/>
    <w:rsid w:val="006D580B"/>
    <w:rsid w:val="006E6767"/>
    <w:rsid w:val="006F5791"/>
    <w:rsid w:val="006F6CAD"/>
    <w:rsid w:val="006F71E8"/>
    <w:rsid w:val="00704A4A"/>
    <w:rsid w:val="00705E81"/>
    <w:rsid w:val="0070607A"/>
    <w:rsid w:val="007260D3"/>
    <w:rsid w:val="0073008C"/>
    <w:rsid w:val="0073057F"/>
    <w:rsid w:val="00730977"/>
    <w:rsid w:val="00734A67"/>
    <w:rsid w:val="00737B00"/>
    <w:rsid w:val="00740147"/>
    <w:rsid w:val="007461EE"/>
    <w:rsid w:val="00754741"/>
    <w:rsid w:val="00755817"/>
    <w:rsid w:val="00756B72"/>
    <w:rsid w:val="00761964"/>
    <w:rsid w:val="00766197"/>
    <w:rsid w:val="00773D30"/>
    <w:rsid w:val="00780476"/>
    <w:rsid w:val="007827C2"/>
    <w:rsid w:val="00794C92"/>
    <w:rsid w:val="007A28E1"/>
    <w:rsid w:val="007B299A"/>
    <w:rsid w:val="007B7FBB"/>
    <w:rsid w:val="007C0973"/>
    <w:rsid w:val="007C23CA"/>
    <w:rsid w:val="007C42E6"/>
    <w:rsid w:val="007D260B"/>
    <w:rsid w:val="007E3A26"/>
    <w:rsid w:val="007E5AC5"/>
    <w:rsid w:val="007F499D"/>
    <w:rsid w:val="007F68F2"/>
    <w:rsid w:val="0080173A"/>
    <w:rsid w:val="008032E9"/>
    <w:rsid w:val="008034FE"/>
    <w:rsid w:val="008062ED"/>
    <w:rsid w:val="008141D3"/>
    <w:rsid w:val="00815867"/>
    <w:rsid w:val="008214AB"/>
    <w:rsid w:val="00833FEC"/>
    <w:rsid w:val="008415CB"/>
    <w:rsid w:val="00850C44"/>
    <w:rsid w:val="008516B3"/>
    <w:rsid w:val="0085509A"/>
    <w:rsid w:val="00860D95"/>
    <w:rsid w:val="00860FD5"/>
    <w:rsid w:val="00870796"/>
    <w:rsid w:val="008711C3"/>
    <w:rsid w:val="0087374D"/>
    <w:rsid w:val="008769B9"/>
    <w:rsid w:val="0088152D"/>
    <w:rsid w:val="00883DC3"/>
    <w:rsid w:val="00887932"/>
    <w:rsid w:val="00894D13"/>
    <w:rsid w:val="008C0B97"/>
    <w:rsid w:val="008E6093"/>
    <w:rsid w:val="008E7500"/>
    <w:rsid w:val="00900DCC"/>
    <w:rsid w:val="00901246"/>
    <w:rsid w:val="00903C15"/>
    <w:rsid w:val="0091349E"/>
    <w:rsid w:val="009237DB"/>
    <w:rsid w:val="00927121"/>
    <w:rsid w:val="00943098"/>
    <w:rsid w:val="0094320F"/>
    <w:rsid w:val="00957914"/>
    <w:rsid w:val="0098080A"/>
    <w:rsid w:val="009870A9"/>
    <w:rsid w:val="00987AE3"/>
    <w:rsid w:val="00997485"/>
    <w:rsid w:val="009A4B84"/>
    <w:rsid w:val="009A4F5E"/>
    <w:rsid w:val="009B66D5"/>
    <w:rsid w:val="009C4040"/>
    <w:rsid w:val="009C48BA"/>
    <w:rsid w:val="009D2A78"/>
    <w:rsid w:val="009E0852"/>
    <w:rsid w:val="009E1DDE"/>
    <w:rsid w:val="009E5CBD"/>
    <w:rsid w:val="009E7DCC"/>
    <w:rsid w:val="009F7445"/>
    <w:rsid w:val="00A00ADC"/>
    <w:rsid w:val="00A14252"/>
    <w:rsid w:val="00A238E9"/>
    <w:rsid w:val="00A24211"/>
    <w:rsid w:val="00A24E6C"/>
    <w:rsid w:val="00A3363C"/>
    <w:rsid w:val="00A35934"/>
    <w:rsid w:val="00A37171"/>
    <w:rsid w:val="00A40EA8"/>
    <w:rsid w:val="00A41068"/>
    <w:rsid w:val="00A455CF"/>
    <w:rsid w:val="00A51295"/>
    <w:rsid w:val="00A518A9"/>
    <w:rsid w:val="00A52093"/>
    <w:rsid w:val="00A654B0"/>
    <w:rsid w:val="00A76A1D"/>
    <w:rsid w:val="00A7760B"/>
    <w:rsid w:val="00A947D5"/>
    <w:rsid w:val="00A95202"/>
    <w:rsid w:val="00AA1F38"/>
    <w:rsid w:val="00AA3F7B"/>
    <w:rsid w:val="00AB7725"/>
    <w:rsid w:val="00AE32B2"/>
    <w:rsid w:val="00B00DC6"/>
    <w:rsid w:val="00B01518"/>
    <w:rsid w:val="00B025EB"/>
    <w:rsid w:val="00B02949"/>
    <w:rsid w:val="00B02C52"/>
    <w:rsid w:val="00B039E0"/>
    <w:rsid w:val="00B1496A"/>
    <w:rsid w:val="00B17BE6"/>
    <w:rsid w:val="00B2626C"/>
    <w:rsid w:val="00B405DB"/>
    <w:rsid w:val="00B46552"/>
    <w:rsid w:val="00B534FB"/>
    <w:rsid w:val="00B53CB1"/>
    <w:rsid w:val="00B556FC"/>
    <w:rsid w:val="00B7406E"/>
    <w:rsid w:val="00B75DBF"/>
    <w:rsid w:val="00B83578"/>
    <w:rsid w:val="00B87C9E"/>
    <w:rsid w:val="00B93D55"/>
    <w:rsid w:val="00B96CC1"/>
    <w:rsid w:val="00BA5EFB"/>
    <w:rsid w:val="00BB3CD0"/>
    <w:rsid w:val="00BB3CE5"/>
    <w:rsid w:val="00BB44D5"/>
    <w:rsid w:val="00BC0FFF"/>
    <w:rsid w:val="00BC5761"/>
    <w:rsid w:val="00BC58B1"/>
    <w:rsid w:val="00BD0320"/>
    <w:rsid w:val="00BD2958"/>
    <w:rsid w:val="00BE1009"/>
    <w:rsid w:val="00BE17F1"/>
    <w:rsid w:val="00BE207A"/>
    <w:rsid w:val="00BF77A7"/>
    <w:rsid w:val="00C24442"/>
    <w:rsid w:val="00C30778"/>
    <w:rsid w:val="00C420F5"/>
    <w:rsid w:val="00C463D9"/>
    <w:rsid w:val="00C4724E"/>
    <w:rsid w:val="00C650F9"/>
    <w:rsid w:val="00C764D8"/>
    <w:rsid w:val="00C77744"/>
    <w:rsid w:val="00C877BB"/>
    <w:rsid w:val="00C954CF"/>
    <w:rsid w:val="00C97B08"/>
    <w:rsid w:val="00CA2436"/>
    <w:rsid w:val="00CA265B"/>
    <w:rsid w:val="00CA5BCA"/>
    <w:rsid w:val="00CA6296"/>
    <w:rsid w:val="00CB1876"/>
    <w:rsid w:val="00CB1F3C"/>
    <w:rsid w:val="00CC46D1"/>
    <w:rsid w:val="00CC7182"/>
    <w:rsid w:val="00CD1F1C"/>
    <w:rsid w:val="00CD2839"/>
    <w:rsid w:val="00CE437A"/>
    <w:rsid w:val="00D06D2A"/>
    <w:rsid w:val="00D32743"/>
    <w:rsid w:val="00D40DB1"/>
    <w:rsid w:val="00D43C32"/>
    <w:rsid w:val="00D70C8D"/>
    <w:rsid w:val="00D74F7D"/>
    <w:rsid w:val="00D82E49"/>
    <w:rsid w:val="00D85435"/>
    <w:rsid w:val="00D874E8"/>
    <w:rsid w:val="00D97FC8"/>
    <w:rsid w:val="00DA2DFB"/>
    <w:rsid w:val="00DA4F02"/>
    <w:rsid w:val="00DB2929"/>
    <w:rsid w:val="00DB7BF5"/>
    <w:rsid w:val="00DD55A0"/>
    <w:rsid w:val="00DD5812"/>
    <w:rsid w:val="00DF0969"/>
    <w:rsid w:val="00DF23F1"/>
    <w:rsid w:val="00DF4BBC"/>
    <w:rsid w:val="00E03B23"/>
    <w:rsid w:val="00E07D31"/>
    <w:rsid w:val="00E14B2D"/>
    <w:rsid w:val="00E256E4"/>
    <w:rsid w:val="00E3550D"/>
    <w:rsid w:val="00E35BB0"/>
    <w:rsid w:val="00E56F62"/>
    <w:rsid w:val="00E600DA"/>
    <w:rsid w:val="00E927E6"/>
    <w:rsid w:val="00E936F7"/>
    <w:rsid w:val="00EA0F85"/>
    <w:rsid w:val="00EB527D"/>
    <w:rsid w:val="00EC180A"/>
    <w:rsid w:val="00EC1F7D"/>
    <w:rsid w:val="00EC6A78"/>
    <w:rsid w:val="00ED48C0"/>
    <w:rsid w:val="00ED637E"/>
    <w:rsid w:val="00EF0AF1"/>
    <w:rsid w:val="00EF1BFF"/>
    <w:rsid w:val="00EF673A"/>
    <w:rsid w:val="00F03B71"/>
    <w:rsid w:val="00F1708E"/>
    <w:rsid w:val="00F17FE1"/>
    <w:rsid w:val="00F20510"/>
    <w:rsid w:val="00F20BE7"/>
    <w:rsid w:val="00F23BD2"/>
    <w:rsid w:val="00F24011"/>
    <w:rsid w:val="00F309F4"/>
    <w:rsid w:val="00F3333A"/>
    <w:rsid w:val="00F34A70"/>
    <w:rsid w:val="00F35E1D"/>
    <w:rsid w:val="00F37763"/>
    <w:rsid w:val="00F44C91"/>
    <w:rsid w:val="00F44FFF"/>
    <w:rsid w:val="00F4637D"/>
    <w:rsid w:val="00F50090"/>
    <w:rsid w:val="00F632A6"/>
    <w:rsid w:val="00F71362"/>
    <w:rsid w:val="00F75675"/>
    <w:rsid w:val="00F76A3E"/>
    <w:rsid w:val="00F81E8C"/>
    <w:rsid w:val="00F8289F"/>
    <w:rsid w:val="00F84129"/>
    <w:rsid w:val="00F85D4C"/>
    <w:rsid w:val="00F92C0A"/>
    <w:rsid w:val="00F9588E"/>
    <w:rsid w:val="00F97ED1"/>
    <w:rsid w:val="00FA04BC"/>
    <w:rsid w:val="00FB0463"/>
    <w:rsid w:val="00FB5D99"/>
    <w:rsid w:val="00FB6670"/>
    <w:rsid w:val="00FC5471"/>
    <w:rsid w:val="00FF0C4C"/>
    <w:rsid w:val="00FF32F3"/>
    <w:rsid w:val="00FF3BF8"/>
    <w:rsid w:val="00FF4916"/>
    <w:rsid w:val="00FF647C"/>
    <w:rsid w:val="00FF7DF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5245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Numbered Para 1 Char,Dot pt Char,No Spacing1 Char,List Paragraph Char Char Char Char,Indicator Text Char,List Paragraph1 Char,Bullet 1 Char,Bullet Points Char,MAIN CONTENT Char,IFCL - List Paragraph Char,List Paragraph12 Char,2 Char"/>
    <w:link w:val="ListParagraph"/>
    <w:uiPriority w:val="34"/>
    <w:qFormat/>
    <w:locked/>
    <w:rsid w:val="00074FEA"/>
    <w:rPr>
      <w:rFonts w:ascii="Calibri" w:eastAsia="Calibri" w:hAnsi="Calibri" w:cs="Calibri"/>
    </w:rPr>
  </w:style>
  <w:style w:type="paragraph" w:styleId="ListParagraph">
    <w:name w:val="List Paragraph"/>
    <w:aliases w:val="Numbered Para 1,Dot pt,No Spacing1,List Paragraph Char Char Char,Indicator Text,List Paragraph1,Bullet 1,Bullet Points,MAIN CONTENT,IFCL - List Paragraph,List Paragraph12,OBC Bullet,F5 List Paragraph,Colorful List - Accent 11,Bullet Sty,2"/>
    <w:basedOn w:val="Normal"/>
    <w:link w:val="ListParagraphChar"/>
    <w:uiPriority w:val="34"/>
    <w:qFormat/>
    <w:rsid w:val="00074FEA"/>
    <w:pPr>
      <w:spacing w:after="200" w:line="276" w:lineRule="auto"/>
      <w:ind w:left="720"/>
      <w:contextualSpacing/>
    </w:pPr>
    <w:rPr>
      <w:rFonts w:ascii="Calibri" w:eastAsia="Calibri" w:hAnsi="Calibri" w:cs="Calibri"/>
      <w:sz w:val="22"/>
      <w:szCs w:val="22"/>
    </w:rPr>
  </w:style>
  <w:style w:type="character" w:styleId="Hyperlink">
    <w:name w:val="Hyperlink"/>
    <w:basedOn w:val="DefaultParagraphFont"/>
    <w:uiPriority w:val="99"/>
    <w:unhideWhenUsed/>
    <w:rsid w:val="006B0600"/>
    <w:rPr>
      <w:color w:val="0563C1" w:themeColor="hyperlink"/>
      <w:u w:val="single"/>
    </w:rPr>
  </w:style>
  <w:style w:type="paragraph" w:styleId="Header">
    <w:name w:val="header"/>
    <w:basedOn w:val="Normal"/>
    <w:link w:val="HeaderChar"/>
    <w:uiPriority w:val="99"/>
    <w:unhideWhenUsed/>
    <w:rsid w:val="00160121"/>
    <w:pPr>
      <w:tabs>
        <w:tab w:val="center" w:pos="4153"/>
        <w:tab w:val="right" w:pos="8306"/>
      </w:tabs>
    </w:pPr>
  </w:style>
  <w:style w:type="character" w:customStyle="1" w:styleId="HeaderChar">
    <w:name w:val="Header Char"/>
    <w:basedOn w:val="DefaultParagraphFont"/>
    <w:link w:val="Header"/>
    <w:uiPriority w:val="99"/>
    <w:rsid w:val="0016012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60121"/>
    <w:pPr>
      <w:tabs>
        <w:tab w:val="center" w:pos="4153"/>
        <w:tab w:val="right" w:pos="8306"/>
      </w:tabs>
    </w:pPr>
  </w:style>
  <w:style w:type="character" w:customStyle="1" w:styleId="FooterChar">
    <w:name w:val="Footer Char"/>
    <w:basedOn w:val="DefaultParagraphFont"/>
    <w:link w:val="Footer"/>
    <w:uiPriority w:val="99"/>
    <w:rsid w:val="00160121"/>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A4C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4C0A"/>
    <w:rPr>
      <w:rFonts w:ascii="Segoe UI" w:eastAsia="Times New Roman" w:hAnsi="Segoe UI" w:cs="Segoe UI"/>
      <w:sz w:val="18"/>
      <w:szCs w:val="18"/>
    </w:rPr>
  </w:style>
  <w:style w:type="paragraph" w:styleId="FootnoteText">
    <w:name w:val="footnote text"/>
    <w:aliases w:val="Char1,Footnote Text Char2 Char,Footnote Text Char1 Char Char,Footnote Text Char2 Char Char Char,Footnote Text Char1 Char Char Char Char,Footnote Text Char2 Char Char Char Char Char,Footnote Text Char1 Char,Cha,ft, Char1,Ch,Fußnote,Fußnot,o"/>
    <w:basedOn w:val="Normal"/>
    <w:link w:val="FootnoteTextChar"/>
    <w:uiPriority w:val="99"/>
    <w:unhideWhenUsed/>
    <w:qFormat/>
    <w:rsid w:val="00F92C0A"/>
    <w:rPr>
      <w:sz w:val="20"/>
      <w:szCs w:val="20"/>
    </w:rPr>
  </w:style>
  <w:style w:type="character" w:customStyle="1" w:styleId="FootnoteTextChar">
    <w:name w:val="Footnote Text Char"/>
    <w:aliases w:val="Char1 Char,Footnote Text Char2 Char Char,Footnote Text Char1 Char Char Char,Footnote Text Char2 Char Char Char Char,Footnote Text Char1 Char Char Char Char Char,Footnote Text Char2 Char Char Char Char Char Char,Cha Char,ft Char,o Char"/>
    <w:basedOn w:val="DefaultParagraphFont"/>
    <w:link w:val="FootnoteText"/>
    <w:uiPriority w:val="99"/>
    <w:qFormat/>
    <w:rsid w:val="00F92C0A"/>
    <w:rPr>
      <w:rFonts w:ascii="Times New Roman" w:eastAsia="Times New Roman" w:hAnsi="Times New Roman" w:cs="Times New Roman"/>
      <w:sz w:val="20"/>
      <w:szCs w:val="20"/>
    </w:rPr>
  </w:style>
  <w:style w:type="character" w:styleId="FootnoteReference">
    <w:name w:val="footnote reference"/>
    <w:aliases w:val="Footnote Reference Number,Footnote symbol,stylish,Footnote Reference Superscript,BVI fnr,Footnote symboFußnotenzeichen,Footnote sign,E FNZ,-E Fußnotenzeichen,Footnote#,Footnote,Times 10 Point,Exposant 3 Point,Ref,de nota al pie,SUPERS"/>
    <w:basedOn w:val="DefaultParagraphFont"/>
    <w:link w:val="BVIfnrChar1CharCharChar"/>
    <w:uiPriority w:val="99"/>
    <w:unhideWhenUsed/>
    <w:qFormat/>
    <w:rsid w:val="00F92C0A"/>
    <w:rPr>
      <w:vertAlign w:val="superscript"/>
    </w:rPr>
  </w:style>
  <w:style w:type="character" w:styleId="Emphasis">
    <w:name w:val="Emphasis"/>
    <w:basedOn w:val="DefaultParagraphFont"/>
    <w:uiPriority w:val="20"/>
    <w:qFormat/>
    <w:rsid w:val="00177B0C"/>
    <w:rPr>
      <w:i/>
      <w:iCs/>
    </w:rPr>
  </w:style>
  <w:style w:type="character" w:styleId="Strong">
    <w:name w:val="Strong"/>
    <w:basedOn w:val="DefaultParagraphFont"/>
    <w:uiPriority w:val="22"/>
    <w:qFormat/>
    <w:rsid w:val="00177B0C"/>
    <w:rPr>
      <w:b/>
      <w:bCs/>
    </w:rPr>
  </w:style>
  <w:style w:type="paragraph" w:customStyle="1" w:styleId="normalweb">
    <w:name w:val="normalweb"/>
    <w:basedOn w:val="Normal"/>
    <w:rsid w:val="00177B0C"/>
    <w:pPr>
      <w:spacing w:before="100" w:beforeAutospacing="1" w:after="100" w:afterAutospacing="1"/>
    </w:pPr>
    <w:rPr>
      <w:lang w:eastAsia="lv-LV"/>
    </w:rPr>
  </w:style>
  <w:style w:type="character" w:styleId="CommentReference">
    <w:name w:val="annotation reference"/>
    <w:basedOn w:val="DefaultParagraphFont"/>
    <w:uiPriority w:val="99"/>
    <w:semiHidden/>
    <w:unhideWhenUsed/>
    <w:rsid w:val="00B93D55"/>
    <w:rPr>
      <w:sz w:val="16"/>
      <w:szCs w:val="16"/>
    </w:rPr>
  </w:style>
  <w:style w:type="paragraph" w:styleId="CommentText">
    <w:name w:val="annotation text"/>
    <w:basedOn w:val="Normal"/>
    <w:link w:val="CommentTextChar"/>
    <w:uiPriority w:val="99"/>
    <w:semiHidden/>
    <w:unhideWhenUsed/>
    <w:rsid w:val="00B93D55"/>
    <w:rPr>
      <w:sz w:val="20"/>
      <w:szCs w:val="20"/>
    </w:rPr>
  </w:style>
  <w:style w:type="character" w:customStyle="1" w:styleId="CommentTextChar">
    <w:name w:val="Comment Text Char"/>
    <w:basedOn w:val="DefaultParagraphFont"/>
    <w:link w:val="CommentText"/>
    <w:uiPriority w:val="99"/>
    <w:semiHidden/>
    <w:rsid w:val="00B93D5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93D55"/>
    <w:rPr>
      <w:b/>
      <w:bCs/>
    </w:rPr>
  </w:style>
  <w:style w:type="character" w:customStyle="1" w:styleId="CommentSubjectChar">
    <w:name w:val="Comment Subject Char"/>
    <w:basedOn w:val="CommentTextChar"/>
    <w:link w:val="CommentSubject"/>
    <w:uiPriority w:val="99"/>
    <w:semiHidden/>
    <w:rsid w:val="00B93D55"/>
    <w:rPr>
      <w:rFonts w:ascii="Times New Roman" w:eastAsia="Times New Roman" w:hAnsi="Times New Roman" w:cs="Times New Roman"/>
      <w:b/>
      <w:bCs/>
      <w:sz w:val="20"/>
      <w:szCs w:val="20"/>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A947D5"/>
    <w:pPr>
      <w:spacing w:after="160" w:line="240" w:lineRule="exact"/>
    </w:pPr>
    <w:rPr>
      <w:rFonts w:asciiTheme="minorHAnsi" w:eastAsiaTheme="minorHAnsi" w:hAnsiTheme="minorHAnsi" w:cstheme="minorBidi"/>
      <w:sz w:val="22"/>
      <w:szCs w:val="22"/>
      <w:vertAlign w:val="superscript"/>
    </w:rPr>
  </w:style>
  <w:style w:type="paragraph" w:styleId="NoSpacing">
    <w:name w:val="No Spacing"/>
    <w:aliases w:val="My style,TĒZES"/>
    <w:basedOn w:val="Normal"/>
    <w:link w:val="NoSpacingChar"/>
    <w:uiPriority w:val="1"/>
    <w:qFormat/>
    <w:rsid w:val="00A947D5"/>
    <w:rPr>
      <w:rFonts w:ascii="Calibri" w:eastAsiaTheme="minorHAnsi" w:hAnsi="Calibri"/>
      <w:sz w:val="22"/>
      <w:szCs w:val="22"/>
    </w:rPr>
  </w:style>
  <w:style w:type="character" w:customStyle="1" w:styleId="NoSpacingChar">
    <w:name w:val="No Spacing Char"/>
    <w:aliases w:val="My style Char,TĒZES Char"/>
    <w:link w:val="NoSpacing"/>
    <w:uiPriority w:val="1"/>
    <w:locked/>
    <w:rsid w:val="00A947D5"/>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817587">
      <w:bodyDiv w:val="1"/>
      <w:marLeft w:val="0"/>
      <w:marRight w:val="0"/>
      <w:marTop w:val="0"/>
      <w:marBottom w:val="0"/>
      <w:divBdr>
        <w:top w:val="none" w:sz="0" w:space="0" w:color="auto"/>
        <w:left w:val="none" w:sz="0" w:space="0" w:color="auto"/>
        <w:bottom w:val="none" w:sz="0" w:space="0" w:color="auto"/>
        <w:right w:val="none" w:sz="0" w:space="0" w:color="auto"/>
      </w:divBdr>
    </w:div>
    <w:div w:id="207572990">
      <w:bodyDiv w:val="1"/>
      <w:marLeft w:val="0"/>
      <w:marRight w:val="0"/>
      <w:marTop w:val="0"/>
      <w:marBottom w:val="0"/>
      <w:divBdr>
        <w:top w:val="none" w:sz="0" w:space="0" w:color="auto"/>
        <w:left w:val="none" w:sz="0" w:space="0" w:color="auto"/>
        <w:bottom w:val="none" w:sz="0" w:space="0" w:color="auto"/>
        <w:right w:val="none" w:sz="0" w:space="0" w:color="auto"/>
      </w:divBdr>
    </w:div>
    <w:div w:id="244657381">
      <w:bodyDiv w:val="1"/>
      <w:marLeft w:val="0"/>
      <w:marRight w:val="0"/>
      <w:marTop w:val="0"/>
      <w:marBottom w:val="0"/>
      <w:divBdr>
        <w:top w:val="none" w:sz="0" w:space="0" w:color="auto"/>
        <w:left w:val="none" w:sz="0" w:space="0" w:color="auto"/>
        <w:bottom w:val="none" w:sz="0" w:space="0" w:color="auto"/>
        <w:right w:val="none" w:sz="0" w:space="0" w:color="auto"/>
      </w:divBdr>
    </w:div>
    <w:div w:id="369689527">
      <w:bodyDiv w:val="1"/>
      <w:marLeft w:val="0"/>
      <w:marRight w:val="0"/>
      <w:marTop w:val="0"/>
      <w:marBottom w:val="0"/>
      <w:divBdr>
        <w:top w:val="none" w:sz="0" w:space="0" w:color="auto"/>
        <w:left w:val="none" w:sz="0" w:space="0" w:color="auto"/>
        <w:bottom w:val="none" w:sz="0" w:space="0" w:color="auto"/>
        <w:right w:val="none" w:sz="0" w:space="0" w:color="auto"/>
      </w:divBdr>
    </w:div>
    <w:div w:id="421413925">
      <w:bodyDiv w:val="1"/>
      <w:marLeft w:val="0"/>
      <w:marRight w:val="0"/>
      <w:marTop w:val="0"/>
      <w:marBottom w:val="0"/>
      <w:divBdr>
        <w:top w:val="none" w:sz="0" w:space="0" w:color="auto"/>
        <w:left w:val="none" w:sz="0" w:space="0" w:color="auto"/>
        <w:bottom w:val="none" w:sz="0" w:space="0" w:color="auto"/>
        <w:right w:val="none" w:sz="0" w:space="0" w:color="auto"/>
      </w:divBdr>
    </w:div>
    <w:div w:id="429742995">
      <w:bodyDiv w:val="1"/>
      <w:marLeft w:val="0"/>
      <w:marRight w:val="0"/>
      <w:marTop w:val="0"/>
      <w:marBottom w:val="0"/>
      <w:divBdr>
        <w:top w:val="none" w:sz="0" w:space="0" w:color="auto"/>
        <w:left w:val="none" w:sz="0" w:space="0" w:color="auto"/>
        <w:bottom w:val="none" w:sz="0" w:space="0" w:color="auto"/>
        <w:right w:val="none" w:sz="0" w:space="0" w:color="auto"/>
      </w:divBdr>
    </w:div>
    <w:div w:id="432945395">
      <w:bodyDiv w:val="1"/>
      <w:marLeft w:val="0"/>
      <w:marRight w:val="0"/>
      <w:marTop w:val="0"/>
      <w:marBottom w:val="0"/>
      <w:divBdr>
        <w:top w:val="none" w:sz="0" w:space="0" w:color="auto"/>
        <w:left w:val="none" w:sz="0" w:space="0" w:color="auto"/>
        <w:bottom w:val="none" w:sz="0" w:space="0" w:color="auto"/>
        <w:right w:val="none" w:sz="0" w:space="0" w:color="auto"/>
      </w:divBdr>
    </w:div>
    <w:div w:id="535653536">
      <w:bodyDiv w:val="1"/>
      <w:marLeft w:val="0"/>
      <w:marRight w:val="0"/>
      <w:marTop w:val="0"/>
      <w:marBottom w:val="0"/>
      <w:divBdr>
        <w:top w:val="none" w:sz="0" w:space="0" w:color="auto"/>
        <w:left w:val="none" w:sz="0" w:space="0" w:color="auto"/>
        <w:bottom w:val="none" w:sz="0" w:space="0" w:color="auto"/>
        <w:right w:val="none" w:sz="0" w:space="0" w:color="auto"/>
      </w:divBdr>
    </w:div>
    <w:div w:id="610743883">
      <w:bodyDiv w:val="1"/>
      <w:marLeft w:val="0"/>
      <w:marRight w:val="0"/>
      <w:marTop w:val="0"/>
      <w:marBottom w:val="0"/>
      <w:divBdr>
        <w:top w:val="none" w:sz="0" w:space="0" w:color="auto"/>
        <w:left w:val="none" w:sz="0" w:space="0" w:color="auto"/>
        <w:bottom w:val="none" w:sz="0" w:space="0" w:color="auto"/>
        <w:right w:val="none" w:sz="0" w:space="0" w:color="auto"/>
      </w:divBdr>
    </w:div>
    <w:div w:id="657850922">
      <w:bodyDiv w:val="1"/>
      <w:marLeft w:val="0"/>
      <w:marRight w:val="0"/>
      <w:marTop w:val="0"/>
      <w:marBottom w:val="0"/>
      <w:divBdr>
        <w:top w:val="none" w:sz="0" w:space="0" w:color="auto"/>
        <w:left w:val="none" w:sz="0" w:space="0" w:color="auto"/>
        <w:bottom w:val="none" w:sz="0" w:space="0" w:color="auto"/>
        <w:right w:val="none" w:sz="0" w:space="0" w:color="auto"/>
      </w:divBdr>
    </w:div>
    <w:div w:id="996498277">
      <w:bodyDiv w:val="1"/>
      <w:marLeft w:val="0"/>
      <w:marRight w:val="0"/>
      <w:marTop w:val="0"/>
      <w:marBottom w:val="0"/>
      <w:divBdr>
        <w:top w:val="none" w:sz="0" w:space="0" w:color="auto"/>
        <w:left w:val="none" w:sz="0" w:space="0" w:color="auto"/>
        <w:bottom w:val="none" w:sz="0" w:space="0" w:color="auto"/>
        <w:right w:val="none" w:sz="0" w:space="0" w:color="auto"/>
      </w:divBdr>
    </w:div>
    <w:div w:id="1036928620">
      <w:bodyDiv w:val="1"/>
      <w:marLeft w:val="0"/>
      <w:marRight w:val="0"/>
      <w:marTop w:val="0"/>
      <w:marBottom w:val="0"/>
      <w:divBdr>
        <w:top w:val="none" w:sz="0" w:space="0" w:color="auto"/>
        <w:left w:val="none" w:sz="0" w:space="0" w:color="auto"/>
        <w:bottom w:val="none" w:sz="0" w:space="0" w:color="auto"/>
        <w:right w:val="none" w:sz="0" w:space="0" w:color="auto"/>
      </w:divBdr>
    </w:div>
    <w:div w:id="1135953537">
      <w:bodyDiv w:val="1"/>
      <w:marLeft w:val="0"/>
      <w:marRight w:val="0"/>
      <w:marTop w:val="0"/>
      <w:marBottom w:val="0"/>
      <w:divBdr>
        <w:top w:val="none" w:sz="0" w:space="0" w:color="auto"/>
        <w:left w:val="none" w:sz="0" w:space="0" w:color="auto"/>
        <w:bottom w:val="none" w:sz="0" w:space="0" w:color="auto"/>
        <w:right w:val="none" w:sz="0" w:space="0" w:color="auto"/>
      </w:divBdr>
    </w:div>
    <w:div w:id="1145271155">
      <w:bodyDiv w:val="1"/>
      <w:marLeft w:val="0"/>
      <w:marRight w:val="0"/>
      <w:marTop w:val="0"/>
      <w:marBottom w:val="0"/>
      <w:divBdr>
        <w:top w:val="none" w:sz="0" w:space="0" w:color="auto"/>
        <w:left w:val="none" w:sz="0" w:space="0" w:color="auto"/>
        <w:bottom w:val="none" w:sz="0" w:space="0" w:color="auto"/>
        <w:right w:val="none" w:sz="0" w:space="0" w:color="auto"/>
      </w:divBdr>
    </w:div>
    <w:div w:id="1543132355">
      <w:bodyDiv w:val="1"/>
      <w:marLeft w:val="0"/>
      <w:marRight w:val="0"/>
      <w:marTop w:val="0"/>
      <w:marBottom w:val="0"/>
      <w:divBdr>
        <w:top w:val="none" w:sz="0" w:space="0" w:color="auto"/>
        <w:left w:val="none" w:sz="0" w:space="0" w:color="auto"/>
        <w:bottom w:val="none" w:sz="0" w:space="0" w:color="auto"/>
        <w:right w:val="none" w:sz="0" w:space="0" w:color="auto"/>
      </w:divBdr>
    </w:div>
    <w:div w:id="1578632758">
      <w:bodyDiv w:val="1"/>
      <w:marLeft w:val="0"/>
      <w:marRight w:val="0"/>
      <w:marTop w:val="0"/>
      <w:marBottom w:val="0"/>
      <w:divBdr>
        <w:top w:val="none" w:sz="0" w:space="0" w:color="auto"/>
        <w:left w:val="none" w:sz="0" w:space="0" w:color="auto"/>
        <w:bottom w:val="none" w:sz="0" w:space="0" w:color="auto"/>
        <w:right w:val="none" w:sz="0" w:space="0" w:color="auto"/>
      </w:divBdr>
    </w:div>
    <w:div w:id="1640261258">
      <w:bodyDiv w:val="1"/>
      <w:marLeft w:val="0"/>
      <w:marRight w:val="0"/>
      <w:marTop w:val="0"/>
      <w:marBottom w:val="0"/>
      <w:divBdr>
        <w:top w:val="none" w:sz="0" w:space="0" w:color="auto"/>
        <w:left w:val="none" w:sz="0" w:space="0" w:color="auto"/>
        <w:bottom w:val="none" w:sz="0" w:space="0" w:color="auto"/>
        <w:right w:val="none" w:sz="0" w:space="0" w:color="auto"/>
      </w:divBdr>
    </w:div>
    <w:div w:id="1816029001">
      <w:bodyDiv w:val="1"/>
      <w:marLeft w:val="0"/>
      <w:marRight w:val="0"/>
      <w:marTop w:val="0"/>
      <w:marBottom w:val="0"/>
      <w:divBdr>
        <w:top w:val="none" w:sz="0" w:space="0" w:color="auto"/>
        <w:left w:val="none" w:sz="0" w:space="0" w:color="auto"/>
        <w:bottom w:val="none" w:sz="0" w:space="0" w:color="auto"/>
        <w:right w:val="none" w:sz="0" w:space="0" w:color="auto"/>
      </w:divBdr>
    </w:div>
    <w:div w:id="2053186222">
      <w:bodyDiv w:val="1"/>
      <w:marLeft w:val="0"/>
      <w:marRight w:val="0"/>
      <w:marTop w:val="0"/>
      <w:marBottom w:val="0"/>
      <w:divBdr>
        <w:top w:val="none" w:sz="0" w:space="0" w:color="auto"/>
        <w:left w:val="none" w:sz="0" w:space="0" w:color="auto"/>
        <w:bottom w:val="none" w:sz="0" w:space="0" w:color="auto"/>
        <w:right w:val="none" w:sz="0" w:space="0" w:color="auto"/>
      </w:divBdr>
    </w:div>
    <w:div w:id="2085830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Mode="External" Target="mailto:ilze.spiridonova@mfa.gov.lv" Type="http://schemas.openxmlformats.org/officeDocument/2006/relationships/hyperlink" Id="rId8"/>
    <Relationship Target="styles.xml" Type="http://schemas.openxmlformats.org/officeDocument/2006/relationships/styles" Id="rId3"/>
    <Relationship Target="endnotes.xml" Type="http://schemas.openxmlformats.org/officeDocument/2006/relationships/endnotes" Id="rId7"/>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theme/theme1.xml" Type="http://schemas.openxmlformats.org/officeDocument/2006/relationships/theme" Id="rId11"/>
    <Relationship Target="webSettings.xml" Type="http://schemas.openxmlformats.org/officeDocument/2006/relationships/webSettings" Id="rId5"/>
    <Relationship Target="fontTable.xml" Type="http://schemas.openxmlformats.org/officeDocument/2006/relationships/fontTable" Id="rId10"/>
    <Relationship Target="settings.xml" Type="http://schemas.openxmlformats.org/officeDocument/2006/relationships/settings" Id="rId4"/>
    <Relationship Target="footer1.xml" Type="http://schemas.openxmlformats.org/officeDocument/2006/relationships/foot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C2BEEE3B-0CE9-486F-ABB6-0AED812A3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9424</Words>
  <Characters>5372</Characters>
  <Application>Microsoft Office Word</Application>
  <DocSecurity>0</DocSecurity>
  <Lines>44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2022-02-24T15:18:00Z</dcterms:created>
  <dcterms:modified xsi:type="dcterms:W3CDTF">2022-02-25T15:12:00Z</dcterms:modified>
</cp:coreProperties>
</file>

<file path=docProps/custom.xml><?xml version="1.0" encoding="utf-8"?>
<Properties xmlns:cup="http://schemas.openxmlformats.org/officeDocument/2006/custom-properties" xmlns:vt="http://schemas.openxmlformats.org/officeDocument/2006/docPropsVTypes" xmlns="http://schemas.openxmlformats.org/officeDocument/2006/custom-properties">
  <property fmtid="{D5CDD505-2E9C-101B-9397-08002B2CF9AE}" pid="2" name="DISCesvisMeetingDate">
    <vt:lpwstr>2022-02-10</vt:lpwstr>
  </property>
  <property fmtid="{D5CDD505-2E9C-101B-9397-08002B2CF9AE}" pid="3" name="DISCesvisAdditionalMakers">
    <vt:lpwstr>Padomniece Ilze Spiridonova </vt:lpwstr>
  </property>
  <property fmtid="{D5CDD505-2E9C-101B-9397-08002B2CF9AE}" pid="4" name="DIScgiUrl">
    <vt:lpwstr>https://lim.esvis.gov.lv/cs/idcplg</vt:lpwstr>
  </property>
  <property fmtid="{D5CDD505-2E9C-101B-9397-08002B2CF9AE}" pid="5" name="DISdDocName">
    <vt:lpwstr>L299975</vt:lpwstr>
  </property>
  <property fmtid="{D5CDD505-2E9C-101B-9397-08002B2CF9AE}" pid="6" name="DISCesvisAdditionalMakersPhone">
    <vt:lpwstr>67015929</vt:lpwstr>
  </property>
  <property fmtid="{D5CDD505-2E9C-101B-9397-08002B2CF9AE}" pid="7" name="DISCesvisSigner">
    <vt:lpwstr>Ministrs Edgars Rinkēvičs</vt:lpwstr>
  </property>
  <property fmtid="{D5CDD505-2E9C-101B-9397-08002B2CF9AE}" pid="8" name="DISTaskPaneUrl">
    <vt:lpwstr>https://lim.esvis.gov.lv/cs/idcplg?ClientControlled=DocMan&amp;coreContentOnly=1&amp;WebdavRequest=1&amp;IdcService=DOC_INFO&amp;dID=388591</vt:lpwstr>
  </property>
  <property fmtid="{D5CDD505-2E9C-101B-9397-08002B2CF9AE}" pid="9" name="DISCesvisSafetyLevel">
    <vt:lpwstr>Vispārpieejams</vt:lpwstr>
  </property>
  <property fmtid="{D5CDD505-2E9C-101B-9397-08002B2CF9AE}" pid="10" name="DISCesvisTitle">
    <vt:lpwstr>Par 2022. gada 10. un 11. marta neformālajā Eiropadomē izskatāmajiem jautājumiem</vt:lpwstr>
  </property>
  <property fmtid="{D5CDD505-2E9C-101B-9397-08002B2CF9AE}" pid="11" name="DISCesvisMinistryOfMinister">
    <vt:lpwstr>wwTemplateNP_MinistryOfMinister(Ārlietu,)</vt:lpwstr>
  </property>
  <property fmtid="{D5CDD505-2E9C-101B-9397-08002B2CF9AE}" pid="12" name="DISCesvisAuthor">
    <vt:lpwstr>Ārlietu ministrija</vt:lpwstr>
  </property>
  <property fmtid="{D5CDD505-2E9C-101B-9397-08002B2CF9AE}" pid="13" name="DISCesvisMainMaker">
    <vt:lpwstr>Padomniece Ilze Spiridonova </vt:lpwstr>
  </property>
  <property fmtid="{D5CDD505-2E9C-101B-9397-08002B2CF9AE}" pid="14" name="DISidcName">
    <vt:lpwstr>1020404016200</vt:lpwstr>
  </property>
  <property fmtid="{D5CDD505-2E9C-101B-9397-08002B2CF9AE}" pid="15" name="DISProperties">
    <vt:lpwstr>DISCesvisMeetingDate,DISCesvisAdditionalMakers,DIScgiUrl,DISdDocName,DISCesvisAnnotation,DISCesvisAdditionalTutors,DISCesvisAdditionalMakersPhone,DISCesvisSigner,DISCesvisSafetyLevel,DISTaskPaneUrl,DISCesvisTitle,DISCesvisMinistryOfMinister,DISCesvisAuthor,DISCesvisMainMaker,DISCesvisAdditionalTutorsMail,DISCesvisAdditionalTutorsPhone,DISidcName,DISCesvisDescription,DISCesvisAdditionalMakersMail,DISdUser,DISCesvisOrgApprovers,DISdID,DISCesvisMainMakerOrgUnitTitle</vt:lpwstr>
  </property>
  <property fmtid="{D5CDD505-2E9C-101B-9397-08002B2CF9AE}" pid="16" name="DISCesvisDescription">
    <vt:lpwstr>
</vt:lpwstr>
  </property>
  <property fmtid="{D5CDD505-2E9C-101B-9397-08002B2CF9AE}" pid="17" name="DISCesvisAdditionalMakersMail">
    <vt:lpwstr>ilze.spiridonova@mfa.gov.lv</vt:lpwstr>
  </property>
  <property fmtid="{D5CDD505-2E9C-101B-9397-08002B2CF9AE}" pid="18" name="DISdUser">
    <vt:lpwstr>weblogic</vt:lpwstr>
  </property>
  <property fmtid="{D5CDD505-2E9C-101B-9397-08002B2CF9AE}" pid="19" name="DISdID">
    <vt:lpwstr>388591</vt:lpwstr>
  </property>
  <property fmtid="{D5CDD505-2E9C-101B-9397-08002B2CF9AE}" pid="20" name="DISCesvisMainMakerOrgUnitTitle">
    <vt:lpwstr>Pastāvīgo pārstāvju komitejas II daļas sagatavošanas nodaļa (COREPER II)</vt:lpwstr>
  </property>
  <property fmtid="{D5CDD505-2E9C-101B-9397-08002B2CF9AE}" pid="21" name="DISCesvisAnnotation">
    <vt:lpwstr>Šī gada 10. un 11. martā Francijā notiks neformālā Eiropas Savienības (turpmāk – ES) valstu un valdību vadītāju sanāksme (Eiropadome). Neformālās Eiropadomes diskusijās iecerēts meklēt sākotnējās atbildes uz jautājumu, kā uzlabot investīciju vidi un finansēt to publisko daļu, ņemot vērā ES ambīcijas klimata un digitālajā jomā, un kā nodrošināt ilgtspējīgu ekonomiskās pārvaldības un attīstības modeli.</vt:lpwstr>
  </property>
  <property fmtid="{D5CDD505-2E9C-101B-9397-08002B2CF9AE}" pid="22" name="DISCesvisAdditionalTutors">
    <vt:lpwstr>Vecākā referente Aija Vēja, Trešais  sekretārs Pauls Gailītis</vt:lpwstr>
  </property>
  <property fmtid="{D5CDD505-2E9C-101B-9397-08002B2CF9AE}" pid="23" name="DISCesvisAdditionalTutorsMail">
    <vt:lpwstr>aija.veja@mfa.gov.lv, pauls.gailitis@mfa.gov.lv</vt:lpwstr>
  </property>
  <property fmtid="{D5CDD505-2E9C-101B-9397-08002B2CF9AE}" pid="24" name="DISCesvisAdditionalTutorsPhone">
    <vt:lpwstr>67016487, 67016209</vt:lpwstr>
  </property>
  <property fmtid="{D5CDD505-2E9C-101B-9397-08002B2CF9AE}" pid="25" name="DISCesvisOrgApprovers">
    <vt:lpwstr>Aizsardzības ministrija, Ekonomikas ministrija, Finanšu ministrija, Iekšlietu ministrija, Izglītības un zinātnes ministrija, Kultūras ministrija, Labklājības ministrija, Satiksmes ministrija, Tieslietu ministrija, Veselības ministrija, Zemkopības ministrija, Vides aizsardzības un reģionālās attīstības ministrija, Latvijas Banka</vt:lpwstr>
  </property>
</Properties>
</file>