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63D1" w14:textId="7A393726" w:rsidR="00856079" w:rsidRPr="009B5620" w:rsidRDefault="00856079" w:rsidP="00A00254">
      <w:pPr>
        <w:keepNext/>
        <w:jc w:val="center"/>
        <w:outlineLvl w:val="1"/>
        <w:rPr>
          <w:b/>
          <w:bCs/>
          <w:iCs/>
          <w:sz w:val="28"/>
        </w:rPr>
      </w:pPr>
      <w:bookmarkStart w:id="0" w:name="OLE_LINK6"/>
      <w:bookmarkStart w:id="1" w:name="OLE_LINK7"/>
      <w:r w:rsidRPr="009B5620">
        <w:rPr>
          <w:b/>
          <w:bCs/>
          <w:iCs/>
          <w:sz w:val="28"/>
        </w:rPr>
        <w:t xml:space="preserve">Ministru kabineta noteikumu </w:t>
      </w:r>
      <w:r w:rsidR="00033CC8">
        <w:rPr>
          <w:b/>
          <w:bCs/>
          <w:iCs/>
          <w:sz w:val="28"/>
        </w:rPr>
        <w:t>projekta</w:t>
      </w:r>
    </w:p>
    <w:p w14:paraId="36E7E720" w14:textId="0005946F" w:rsidR="00856079" w:rsidRPr="009B5620" w:rsidRDefault="00ED62D1" w:rsidP="00A00254">
      <w:pPr>
        <w:jc w:val="center"/>
        <w:rPr>
          <w:b/>
          <w:sz w:val="28"/>
          <w:lang w:eastAsia="en-US"/>
        </w:rPr>
      </w:pPr>
      <w:r w:rsidRPr="009B5620">
        <w:rPr>
          <w:b/>
          <w:sz w:val="28"/>
          <w:szCs w:val="28"/>
        </w:rPr>
        <w:t>„</w:t>
      </w:r>
      <w:r w:rsidRPr="009B5620">
        <w:rPr>
          <w:b/>
          <w:bCs/>
          <w:sz w:val="28"/>
          <w:szCs w:val="28"/>
          <w:shd w:val="clear" w:color="auto" w:fill="FFFFFF"/>
        </w:rPr>
        <w:t>Emisijas kvotu izsolīšanas instrumenta finansēto projektu atklāta konkursa "</w:t>
      </w:r>
      <w:r w:rsidR="00033CC8" w:rsidRPr="009F4645">
        <w:rPr>
          <w:b/>
          <w:bCs/>
          <w:sz w:val="28"/>
          <w:szCs w:val="28"/>
          <w:shd w:val="clear" w:color="auto" w:fill="FFFFFF"/>
        </w:rPr>
        <w:t>Siltumnīcefekta gāzu emisijas samazināšana transporta sektorā – atbalsts bezemisiju un mazemisiju transportlīdzekļu iegādei</w:t>
      </w:r>
      <w:r w:rsidRPr="009B5620">
        <w:rPr>
          <w:b/>
          <w:bCs/>
          <w:sz w:val="28"/>
          <w:szCs w:val="28"/>
          <w:shd w:val="clear" w:color="auto" w:fill="FFFFFF"/>
        </w:rPr>
        <w:t>" nolikums</w:t>
      </w:r>
      <w:r w:rsidR="00B81995" w:rsidRPr="009B5620">
        <w:rPr>
          <w:b/>
          <w:bCs/>
          <w:sz w:val="28"/>
        </w:rPr>
        <w:t>”</w:t>
      </w:r>
      <w:r w:rsidR="00F5342E" w:rsidRPr="009B5620">
        <w:rPr>
          <w:b/>
          <w:bCs/>
          <w:sz w:val="28"/>
        </w:rPr>
        <w:t xml:space="preserve"> </w:t>
      </w:r>
      <w:r w:rsidR="00273973" w:rsidRPr="009B5620">
        <w:rPr>
          <w:b/>
          <w:bCs/>
          <w:iCs/>
          <w:sz w:val="28"/>
        </w:rPr>
        <w:t>projekta</w:t>
      </w:r>
      <w:r w:rsidR="00273973" w:rsidRPr="009B5620">
        <w:rPr>
          <w:b/>
          <w:sz w:val="28"/>
          <w:lang w:eastAsia="en-US"/>
        </w:rPr>
        <w:t xml:space="preserve"> </w:t>
      </w:r>
      <w:r w:rsidR="00856079" w:rsidRPr="009B5620">
        <w:rPr>
          <w:b/>
          <w:sz w:val="28"/>
          <w:lang w:eastAsia="en-US"/>
        </w:rPr>
        <w:t>sākotnējās ietekmes novērtējuma ziņojums (anotācija</w:t>
      </w:r>
      <w:bookmarkEnd w:id="0"/>
      <w:bookmarkEnd w:id="1"/>
      <w:r w:rsidR="00856079" w:rsidRPr="009B5620">
        <w:rPr>
          <w:b/>
          <w:sz w:val="28"/>
          <w:lang w:eastAsia="en-US"/>
        </w:rPr>
        <w:t>)</w:t>
      </w:r>
    </w:p>
    <w:p w14:paraId="799A8B97" w14:textId="77777777" w:rsidR="00882958" w:rsidRPr="009B5620"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9B5620"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9B5620" w:rsidRDefault="00882958">
            <w:pPr>
              <w:jc w:val="center"/>
              <w:rPr>
                <w:b/>
                <w:bCs/>
              </w:rPr>
            </w:pPr>
            <w:r w:rsidRPr="009B5620">
              <w:rPr>
                <w:b/>
                <w:bCs/>
              </w:rPr>
              <w:t>Tiesību akta projekta anotācijas kopsavilkums</w:t>
            </w:r>
          </w:p>
        </w:tc>
      </w:tr>
      <w:tr w:rsidR="00882958" w:rsidRPr="009B5620"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9B5620" w:rsidRDefault="00882958">
            <w:pPr>
              <w:rPr>
                <w:iCs/>
              </w:rPr>
            </w:pPr>
            <w:r w:rsidRPr="009B5620">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973DBC1" w14:textId="175DF9F2" w:rsidR="00F21932" w:rsidRPr="009B5620" w:rsidRDefault="00F21932" w:rsidP="00B61B9E">
            <w:pPr>
              <w:ind w:right="142"/>
              <w:jc w:val="both"/>
              <w:rPr>
                <w:iCs/>
              </w:rPr>
            </w:pPr>
            <w:r w:rsidRPr="0044709F">
              <w:rPr>
                <w:iCs/>
              </w:rPr>
              <w:t>M</w:t>
            </w:r>
            <w:r w:rsidR="007A09F0">
              <w:rPr>
                <w:iCs/>
              </w:rPr>
              <w:t xml:space="preserve">inistru kabineta </w:t>
            </w:r>
            <w:r w:rsidRPr="00033CC8">
              <w:rPr>
                <w:iCs/>
              </w:rPr>
              <w:t xml:space="preserve">noteikumu </w:t>
            </w:r>
            <w:r w:rsidRPr="00033CC8">
              <w:t>„</w:t>
            </w:r>
            <w:r w:rsidR="00033CC8" w:rsidRPr="00033CC8">
              <w:rPr>
                <w:shd w:val="clear" w:color="auto" w:fill="FFFFFF"/>
              </w:rPr>
              <w:t>Emisijas kvotu izsolīšanas instrumenta finansēto projektu atklāta konkursa "Siltumnīcefekta gāzu emisijas samazināšana transporta sektorā – atbalsts bezemisiju un mazemisiju transportlīdzekļu iegādei" nolikums</w:t>
            </w:r>
            <w:r w:rsidRPr="00033CC8">
              <w:t>”</w:t>
            </w:r>
            <w:r w:rsidR="007A09F0">
              <w:t xml:space="preserve"> </w:t>
            </w:r>
            <w:r w:rsidR="00273973" w:rsidRPr="0044709F">
              <w:rPr>
                <w:iCs/>
              </w:rPr>
              <w:t>projekts</w:t>
            </w:r>
            <w:r w:rsidR="00273973">
              <w:t xml:space="preserve"> </w:t>
            </w:r>
            <w:r w:rsidR="007A09F0">
              <w:t>(turpmāk </w:t>
            </w:r>
            <w:r>
              <w:t>–</w:t>
            </w:r>
            <w:r w:rsidR="007A09F0">
              <w:t> </w:t>
            </w:r>
            <w:r w:rsidR="00273973">
              <w:t>n</w:t>
            </w:r>
            <w:r>
              <w:t>oteikumu projekts)</w:t>
            </w:r>
            <w:r w:rsidRPr="009B5620">
              <w:t xml:space="preserve"> </w:t>
            </w:r>
            <w:r w:rsidRPr="0044709F">
              <w:rPr>
                <w:iCs/>
              </w:rPr>
              <w:t xml:space="preserve">paredz </w:t>
            </w:r>
            <w:r w:rsidR="002F1205">
              <w:rPr>
                <w:iCs/>
              </w:rPr>
              <w:t xml:space="preserve">nosacījumus </w:t>
            </w:r>
            <w:r w:rsidR="00DC4FA9" w:rsidRPr="009B5620">
              <w:rPr>
                <w:bCs/>
                <w:shd w:val="clear" w:color="auto" w:fill="FFFFFF"/>
              </w:rPr>
              <w:t>konkursa "</w:t>
            </w:r>
            <w:r w:rsidR="00033CC8">
              <w:rPr>
                <w:bCs/>
                <w:shd w:val="clear" w:color="auto" w:fill="FFFFFF"/>
              </w:rPr>
              <w:t>S</w:t>
            </w:r>
            <w:r w:rsidR="00033CC8" w:rsidRPr="00033CC8">
              <w:rPr>
                <w:shd w:val="clear" w:color="auto" w:fill="FFFFFF"/>
              </w:rPr>
              <w:t>iltumnīcefekta gāzu emisijas samazināšana transporta sektorā – atbalsts bezemisiju un mazemisiju transportlīdzekļu iegādei</w:t>
            </w:r>
            <w:r w:rsidR="00DC4FA9">
              <w:rPr>
                <w:bCs/>
                <w:shd w:val="clear" w:color="auto" w:fill="FFFFFF"/>
              </w:rPr>
              <w:t>”</w:t>
            </w:r>
            <w:r w:rsidR="002F1205">
              <w:rPr>
                <w:iCs/>
              </w:rPr>
              <w:t xml:space="preserve"> </w:t>
            </w:r>
            <w:r w:rsidR="000F4F69">
              <w:rPr>
                <w:iCs/>
              </w:rPr>
              <w:t xml:space="preserve">(turpmāk – konkurss) </w:t>
            </w:r>
            <w:r w:rsidR="002F1205">
              <w:rPr>
                <w:iCs/>
              </w:rPr>
              <w:t>organizēšanai</w:t>
            </w:r>
            <w:r w:rsidR="004E0B6B">
              <w:t>.</w:t>
            </w:r>
          </w:p>
        </w:tc>
      </w:tr>
    </w:tbl>
    <w:p w14:paraId="497AE132" w14:textId="77777777" w:rsidR="00A627CD" w:rsidRPr="009B5620"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9B5620"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9B5620" w:rsidRDefault="0030341E" w:rsidP="0030341E">
            <w:pPr>
              <w:jc w:val="center"/>
              <w:rPr>
                <w:b/>
                <w:bCs/>
              </w:rPr>
            </w:pPr>
            <w:r w:rsidRPr="009B5620">
              <w:rPr>
                <w:b/>
                <w:bCs/>
              </w:rPr>
              <w:t>I. Tiesību akta projekta izstrādes nepieciešamība</w:t>
            </w:r>
          </w:p>
        </w:tc>
      </w:tr>
      <w:tr w:rsidR="004B0FC9" w:rsidRPr="009B5620"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9B5620" w:rsidRDefault="004B0FC9" w:rsidP="004B0FC9">
            <w:r w:rsidRPr="009B5620">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9B5620" w:rsidRDefault="004B0FC9" w:rsidP="004B0FC9">
            <w:r w:rsidRPr="009B5620">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575B4618" w:rsidR="00033CC8" w:rsidRPr="009B5620" w:rsidRDefault="00DB1CFD" w:rsidP="00273973">
            <w:pPr>
              <w:pStyle w:val="naiskr"/>
              <w:tabs>
                <w:tab w:val="left" w:pos="6491"/>
              </w:tabs>
              <w:spacing w:before="0" w:after="0"/>
              <w:ind w:left="131" w:right="236"/>
              <w:jc w:val="both"/>
            </w:pPr>
            <w:r>
              <w:t>N</w:t>
            </w:r>
            <w:r w:rsidR="00033CC8" w:rsidRPr="005E1928">
              <w:t>oteikumu projekts izstrādāts</w:t>
            </w:r>
            <w:r w:rsidR="00033CC8" w:rsidRPr="005E1928">
              <w:rPr>
                <w:shd w:val="clear" w:color="auto" w:fill="FFFFFF"/>
              </w:rPr>
              <w:t xml:space="preserve"> pamatojoties uz </w:t>
            </w:r>
            <w:r w:rsidR="00033CC8" w:rsidRPr="005E1928">
              <w:t>likuma “Par piesārņojumu” 32.</w:t>
            </w:r>
            <w:r w:rsidR="00033CC8" w:rsidRPr="005E1928">
              <w:rPr>
                <w:vertAlign w:val="superscript"/>
              </w:rPr>
              <w:t>2</w:t>
            </w:r>
            <w:r w:rsidR="00033CC8" w:rsidRPr="005E1928">
              <w:t>. panta 4.</w:t>
            </w:r>
            <w:r w:rsidR="00033CC8" w:rsidRPr="005E1928">
              <w:rPr>
                <w:vertAlign w:val="superscript"/>
              </w:rPr>
              <w:t>6</w:t>
            </w:r>
            <w:r w:rsidR="00033CC8" w:rsidRPr="005E1928">
              <w:t xml:space="preserve"> daļu, vides aizsardzības un reģionālās attīstības ministra 2021. gada 7. jūnija rīkojuma Nr. 1-2/84 „Par Emisijas kvotu izsolīšanas instrumenta darbības stratēģijas apstiprināšanu” 5.nodaļu un </w:t>
            </w:r>
            <w:r>
              <w:t>V</w:t>
            </w:r>
            <w:r w:rsidRPr="005E1928">
              <w:t>ides aizsardzības un reģionālās attīstības ministr</w:t>
            </w:r>
            <w:r>
              <w:t>ijas</w:t>
            </w:r>
            <w:r w:rsidR="00E16C1A">
              <w:t xml:space="preserve"> sagatavoto</w:t>
            </w:r>
            <w:r w:rsidRPr="005E1928">
              <w:t xml:space="preserve"> </w:t>
            </w:r>
            <w:r w:rsidR="00033CC8" w:rsidRPr="005E1928">
              <w:t>informatīvo ziņojumu “</w:t>
            </w:r>
            <w:r w:rsidR="00033CC8" w:rsidRPr="005E1928">
              <w:rPr>
                <w:shd w:val="clear" w:color="auto" w:fill="FFFFFF"/>
              </w:rPr>
              <w:t>Par atbalstu bezemisiju un mazemisiju transportlīdzekļu iegādei</w:t>
            </w:r>
            <w:r w:rsidR="00033CC8" w:rsidRPr="005E1928">
              <w:t>”.</w:t>
            </w:r>
          </w:p>
        </w:tc>
      </w:tr>
      <w:tr w:rsidR="001C1205" w:rsidRPr="009B5620"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9B5620" w:rsidRDefault="004B0FC9" w:rsidP="004B0FC9">
            <w:r w:rsidRPr="009B5620">
              <w:t>2.</w:t>
            </w:r>
          </w:p>
        </w:tc>
        <w:tc>
          <w:tcPr>
            <w:tcW w:w="1017" w:type="pct"/>
            <w:tcBorders>
              <w:top w:val="outset" w:sz="6" w:space="0" w:color="000000"/>
              <w:left w:val="outset" w:sz="6" w:space="0" w:color="000000"/>
              <w:bottom w:val="outset" w:sz="6" w:space="0" w:color="000000"/>
              <w:right w:val="outset" w:sz="6" w:space="0" w:color="000000"/>
            </w:tcBorders>
          </w:tcPr>
          <w:p w14:paraId="5D22EFDB" w14:textId="4616166B" w:rsidR="004B0FC9" w:rsidRPr="00CC02CD" w:rsidRDefault="004B0FC9" w:rsidP="004E0A18">
            <w:r w:rsidRPr="009B5620">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51AC6504" w14:textId="1CE6051E" w:rsidR="00473CB7" w:rsidRPr="00B15EEE" w:rsidRDefault="00473CB7" w:rsidP="00E16C1A">
            <w:pPr>
              <w:spacing w:before="120" w:after="120"/>
              <w:ind w:left="142" w:right="96"/>
              <w:jc w:val="both"/>
              <w:outlineLvl w:val="0"/>
            </w:pPr>
            <w:r w:rsidRPr="00B15EEE">
              <w:t>Transporta sektors ir otrs lielākais siltumnīcefekta gāzu (turpmāk – SEG) emisiju avots un rada gandrīz trešo daļu (29 %) no kopējām Latvijas SEG emisijām. Autotransports ir lielākais SEG emisiju avots transporta sektorā. 2019. gadā autotransports veidoja 95,0 %, savukārt dzelzceļa transports tikai 4,6% no kopējām SEG emisijām transporta sektorā.</w:t>
            </w:r>
          </w:p>
          <w:p w14:paraId="1254EBE0" w14:textId="0B4A6ABF" w:rsidR="00473CB7" w:rsidRPr="00B15EEE" w:rsidRDefault="00473CB7">
            <w:pPr>
              <w:spacing w:before="120" w:after="120"/>
              <w:ind w:left="142" w:right="96"/>
              <w:jc w:val="both"/>
            </w:pPr>
            <w:r w:rsidRPr="00B15EEE">
              <w:t xml:space="preserve">Vēsturiski SEG emisijas transporta sektorā ir saistītas ar ekonomiskajiem procesiem Latvijā: straujā ekonomikas attīstība un iedzīvotāju ienākumu pieaugums ir veicinājis strauju automobiļu skaita pieaugumu, savukārt valsts ekonomikas lejupslīdē – samazinājās pasažieru satiksme autotransportā (mērīta pasažierkilometros) un arī kravu pārvadājumi (mērīti tonnkilometros), kas attiecīgi noteica SEG emisiju samazināšanos. Sākot ar 2013. gadu, vērojams stabils transporta sektora SEG emisiju pieaugums, līdz ar to nepieciešami vispusīgi risinājumi transporta sektorā, lai veicinātu oglekļa mazietilpīgu attīstību Latvijā, atsaistot </w:t>
            </w:r>
            <w:r w:rsidR="00DB1CFD">
              <w:t xml:space="preserve">valsts </w:t>
            </w:r>
            <w:r w:rsidRPr="00B15EEE">
              <w:t xml:space="preserve">ekonomisko izaugsmi no SEG emisiju </w:t>
            </w:r>
            <w:r w:rsidR="00DB1CFD">
              <w:t>palielinā</w:t>
            </w:r>
            <w:r w:rsidR="00E16C1A">
              <w:t>ša</w:t>
            </w:r>
            <w:r w:rsidR="00DB1CFD">
              <w:t>nās</w:t>
            </w:r>
            <w:r w:rsidRPr="00B15EEE">
              <w:t>.</w:t>
            </w:r>
          </w:p>
          <w:p w14:paraId="5EE9B7B5" w14:textId="4171ACFA" w:rsidR="00473CB7" w:rsidRPr="00B15EEE" w:rsidRDefault="00473CB7">
            <w:pPr>
              <w:spacing w:before="120" w:after="120"/>
              <w:ind w:left="142" w:right="96"/>
              <w:jc w:val="both"/>
            </w:pPr>
            <w:r w:rsidRPr="00B15EEE">
              <w:t xml:space="preserve">Aplūkojot tieši autotransporta SEG emisiju dinamiku, tad 2019. gadā salīdzinot ar 2018. gadu, SEG emisiju daudzums ir palielinājies par 0,9 %, no tā 2019. gadā pasažieru automašīnas </w:t>
            </w:r>
            <w:r w:rsidRPr="00B15EEE">
              <w:lastRenderedPageBreak/>
              <w:t>radīja aptuveni 58 %, bet kravas automašīnas un autobusi 32,4 % no kopējām autotransporta sektora SEG emisijām.</w:t>
            </w:r>
          </w:p>
          <w:p w14:paraId="39E9D4BF" w14:textId="14CD3173" w:rsidR="00473CB7" w:rsidRPr="00B15EEE" w:rsidRDefault="00473CB7">
            <w:pPr>
              <w:spacing w:before="120" w:after="120"/>
              <w:ind w:left="142" w:right="96"/>
              <w:jc w:val="both"/>
            </w:pPr>
            <w:r w:rsidRPr="00B15EEE">
              <w:t>Analizējot</w:t>
            </w:r>
            <w:r w:rsidR="00403E7E">
              <w:t xml:space="preserve"> VAS “Ceļu satiksmes drošības direkcija”</w:t>
            </w:r>
            <w:r w:rsidRPr="00B15EEE">
              <w:t xml:space="preserve"> </w:t>
            </w:r>
            <w:r w:rsidR="00403E7E">
              <w:t xml:space="preserve">pieejamo informāciju par </w:t>
            </w:r>
            <w:r w:rsidRPr="00B15EEE">
              <w:t xml:space="preserve">transportlīdzekļu struktūru pēc degvielas </w:t>
            </w:r>
            <w:r w:rsidR="00DB1CFD">
              <w:t>veida</w:t>
            </w:r>
            <w:r w:rsidR="00DB1CFD" w:rsidRPr="00B15EEE">
              <w:t xml:space="preserve"> </w:t>
            </w:r>
            <w:r w:rsidRPr="00B15EEE">
              <w:t xml:space="preserve">redzams, ka kopumā elektrotransportlīdzekļi veido tikai 0,2 % no Latvijā reģistrētajiem transportlīdzekļiem, kamēr nepilnus 70 % veido dīzeļdegvielas transportlīdzekļi un 27 % transportlīdzekļi, kas aprīkoti ar benzīndzinējiem. </w:t>
            </w:r>
          </w:p>
          <w:p w14:paraId="139C3DD7" w14:textId="40EDCCD8" w:rsidR="00473CB7" w:rsidRPr="00B15EEE" w:rsidRDefault="00473CB7">
            <w:pPr>
              <w:spacing w:before="120" w:after="120"/>
              <w:ind w:left="142" w:right="96"/>
              <w:jc w:val="both"/>
            </w:pPr>
            <w:r w:rsidRPr="00B15EEE">
              <w:t>Latvijā transporta sektoram nav noteikts atsevišķs SEG emisiju</w:t>
            </w:r>
            <w:r w:rsidR="00E82379" w:rsidRPr="00B15EEE">
              <w:t xml:space="preserve"> samazināšanas</w:t>
            </w:r>
            <w:r w:rsidRPr="00B15EEE">
              <w:t xml:space="preserve"> mērķis. Latvijai ir noteikts mērķis samazināt SEG emisijas </w:t>
            </w:r>
            <w:r w:rsidR="00403E7E">
              <w:t>emisijas tirdzniecības sistēmas neietverto darbību (turpmāk - </w:t>
            </w:r>
            <w:r w:rsidRPr="00B15EEE">
              <w:t>ne-ETS</w:t>
            </w:r>
            <w:r w:rsidR="00403E7E">
              <w:t>)</w:t>
            </w:r>
            <w:r w:rsidRPr="00B15EEE">
              <w:t xml:space="preserve"> sektorā, ieskaitot </w:t>
            </w:r>
            <w:r w:rsidRPr="008F4B93">
              <w:t xml:space="preserve">transporta sektoru, par 6% līdz 2030. gadam salīdzinājumā ar 2005. gadu. Visām ES valstīm </w:t>
            </w:r>
            <w:r w:rsidR="008F4B93" w:rsidRPr="008F4B93">
              <w:t xml:space="preserve">ar ES tiesību aktu </w:t>
            </w:r>
            <w:r w:rsidRPr="008F4B93">
              <w:t xml:space="preserve">ir noteikti individuāli ikgadēji sasniedzamie SEG emisijas samazinājumi. </w:t>
            </w:r>
            <w:r w:rsidRPr="008F4B93">
              <w:rPr>
                <w:lang w:eastAsia="en-US"/>
              </w:rPr>
              <w:t xml:space="preserve">Lai ES trajektorija uz klimatneitralitāti 2050. gadā būtu līdzsvarota, reālistiska un apdomīgi izraudzīta, </w:t>
            </w:r>
            <w:r w:rsidR="008F4B93" w:rsidRPr="008F4B93">
              <w:rPr>
                <w:lang w:eastAsia="en-US"/>
              </w:rPr>
              <w:t xml:space="preserve">Eiropadomē 2019.gada decembrī </w:t>
            </w:r>
            <w:r w:rsidRPr="008F4B93">
              <w:rPr>
                <w:lang w:eastAsia="en-US"/>
              </w:rPr>
              <w:t>tika panākta vienošanās paaugstināt ES 2030. gada klimata politikas mērķ</w:t>
            </w:r>
            <w:r w:rsidR="00E82379" w:rsidRPr="008F4B93">
              <w:rPr>
                <w:lang w:eastAsia="en-US"/>
              </w:rPr>
              <w:t>i</w:t>
            </w:r>
            <w:r w:rsidR="008F4B93" w:rsidRPr="008F4B93">
              <w:rPr>
                <w:lang w:eastAsia="en-US"/>
              </w:rPr>
              <w:t xml:space="preserve"> (siltumnīcefekta gāzu emisiju samazināšanu)</w:t>
            </w:r>
            <w:r w:rsidRPr="008F4B93">
              <w:rPr>
                <w:lang w:eastAsia="en-US"/>
              </w:rPr>
              <w:t xml:space="preserve"> no -40 % uz -55 % (2030. gadā salīdzinot ar 2005. gadu). Līdz ar to gaidāma ES</w:t>
            </w:r>
            <w:r w:rsidRPr="00B15EEE">
              <w:rPr>
                <w:lang w:eastAsia="en-US"/>
              </w:rPr>
              <w:t xml:space="preserve"> dalībvalstu nacionālo SEG emisiju mērķu pārskatīšana.</w:t>
            </w:r>
          </w:p>
          <w:p w14:paraId="6BFD11A8" w14:textId="5EDBDEC2" w:rsidR="00473CB7" w:rsidRPr="00B15EEE" w:rsidRDefault="00473CB7">
            <w:pPr>
              <w:spacing w:before="120" w:after="120"/>
              <w:ind w:left="142" w:right="96"/>
              <w:jc w:val="both"/>
            </w:pPr>
            <w:r w:rsidRPr="00B15EEE">
              <w:t>Pastāv iespēja, ka ar esošajiem politikas pasākumiem, noteiktais</w:t>
            </w:r>
            <w:r w:rsidR="00616B70">
              <w:rPr>
                <w:rStyle w:val="FootnoteReference"/>
              </w:rPr>
              <w:footnoteReference w:id="2"/>
            </w:r>
            <w:r w:rsidRPr="00B15EEE">
              <w:t xml:space="preserve"> ne-ETS mērķis uz 2030. gadu varētu netikt sasniegts. Tādēļ </w:t>
            </w:r>
            <w:r w:rsidR="00E20FBB">
              <w:t xml:space="preserve">valstij </w:t>
            </w:r>
            <w:r w:rsidRPr="00B15EEE">
              <w:t>ir</w:t>
            </w:r>
            <w:r w:rsidR="00E20FBB">
              <w:t xml:space="preserve"> jānodrošina</w:t>
            </w:r>
            <w:r w:rsidRPr="00B15EEE">
              <w:t xml:space="preserve"> papildu pasākum</w:t>
            </w:r>
            <w:r w:rsidR="00E20FBB">
              <w:t xml:space="preserve">u </w:t>
            </w:r>
            <w:r w:rsidR="00E20FBB" w:rsidRPr="00B15EEE">
              <w:t>plāno</w:t>
            </w:r>
            <w:r w:rsidR="00E20FBB">
              <w:t>šana</w:t>
            </w:r>
            <w:r w:rsidR="00E20FBB" w:rsidRPr="00B15EEE">
              <w:t xml:space="preserve"> un </w:t>
            </w:r>
            <w:r w:rsidR="00E20FBB">
              <w:t>ieviešana</w:t>
            </w:r>
            <w:r w:rsidRPr="00B15EEE">
              <w:t>, t.sk. transporta sektorā, lai mazinātu šo risku. Kaut arī transporta sektora dekarbonizācija nav sasniedzama ar vienu risinājumu, kopumā nākotnē transporta sektora dekarbonizācija lielā mērā būs saistīta tieši ar tā elektrifikāciju.</w:t>
            </w:r>
          </w:p>
          <w:p w14:paraId="7A26172B" w14:textId="2825BA4E" w:rsidR="00473CB7" w:rsidRPr="00B15EEE" w:rsidRDefault="00473CB7">
            <w:pPr>
              <w:spacing w:before="120" w:after="120"/>
              <w:ind w:left="142" w:right="96"/>
              <w:jc w:val="both"/>
            </w:pPr>
            <w:r w:rsidRPr="00B15EEE">
              <w:t xml:space="preserve">Saskaņā ar Ceļu satiksmes drošības direkcijas (turpmāk – CSDD) datiem uz 2021. gada 1. aprīli vieglie </w:t>
            </w:r>
            <w:r w:rsidR="00E82379" w:rsidRPr="00B15EEE">
              <w:t>elektromobiļi</w:t>
            </w:r>
            <w:r w:rsidRPr="00B15EEE">
              <w:t xml:space="preserve"> sasniedza tikai 0,2% no visa Latvijas vieglo transportlīdzekļu parka jeb 1 349 transportlīdzekļus. </w:t>
            </w:r>
            <w:r w:rsidR="000920FE" w:rsidRPr="00B15EEE">
              <w:t>T</w:t>
            </w:r>
            <w:r w:rsidRPr="00B15EEE">
              <w:rPr>
                <w:shd w:val="clear" w:color="auto" w:fill="FFFFFF"/>
              </w:rPr>
              <w:t>ransportlīdzekļi ar hibrīda motoru, kam nepieciešamo elektroenerģiju var iegūt, pieslēdzoties ārējam elektroenerģijas avotam (</w:t>
            </w:r>
            <w:r w:rsidRPr="00B15EEE">
              <w:rPr>
                <w:i/>
                <w:iCs/>
              </w:rPr>
              <w:t>plug-in</w:t>
            </w:r>
            <w:r w:rsidRPr="00B15EEE">
              <w:t xml:space="preserve"> hibrī</w:t>
            </w:r>
            <w:r w:rsidR="00EE00E8" w:rsidRPr="00B15EEE">
              <w:t>dauto</w:t>
            </w:r>
            <w:r w:rsidRPr="00B15EEE">
              <w:t>;</w:t>
            </w:r>
            <w:r w:rsidR="0071516C">
              <w:t xml:space="preserve"> ārēji lādējams hibrīdauto,</w:t>
            </w:r>
            <w:r w:rsidR="00E82379" w:rsidRPr="00B15EEE">
              <w:t xml:space="preserve"> spraudņa hibrīdauto</w:t>
            </w:r>
            <w:r w:rsidR="00E16C1A">
              <w:t>,</w:t>
            </w:r>
            <w:r w:rsidRPr="00B15EEE">
              <w:t xml:space="preserve"> PHEV) nav populāri Latvijā. Pirmais būtiskais </w:t>
            </w:r>
            <w:r w:rsidR="00E82379" w:rsidRPr="00B15EEE">
              <w:t>elektr</w:t>
            </w:r>
            <w:r w:rsidR="00E16C1A">
              <w:t>o</w:t>
            </w:r>
            <w:r w:rsidR="00E82379" w:rsidRPr="00B15EEE">
              <w:t>mobiļu</w:t>
            </w:r>
            <w:r w:rsidR="00EE00E8" w:rsidRPr="00B15EEE">
              <w:t xml:space="preserve"> </w:t>
            </w:r>
            <w:r w:rsidRPr="00B15EEE">
              <w:t xml:space="preserve">skaita pieaugums bija novērojams 2014. gadā, kad Klimata pārmaiņu finanšu instrumenta (turpmāk – KPFI) ietvaros tika organizēts atklātais projektu iesniegumu konkurss “Siltumnīcefekta gāzu emisijas samazināšana transporta sektorā – atbalsts elektromobiļu un to uzlādes infrastruktūras ieviešanai”, kura ietvaros 93 projektos tika iegādāti 178 </w:t>
            </w:r>
            <w:r w:rsidR="00E82379" w:rsidRPr="00B15EEE">
              <w:t>elektromobiļi</w:t>
            </w:r>
            <w:r w:rsidR="00EE00E8" w:rsidRPr="00B15EEE">
              <w:t xml:space="preserve"> </w:t>
            </w:r>
            <w:r w:rsidRPr="00B15EEE">
              <w:t xml:space="preserve">ar kopējo KPFI līdzfinansējumu ~2,79 miljoni </w:t>
            </w:r>
            <w:r w:rsidRPr="00B15EEE">
              <w:rPr>
                <w:i/>
              </w:rPr>
              <w:t>euro</w:t>
            </w:r>
            <w:r w:rsidRPr="00B15EEE">
              <w:t>.</w:t>
            </w:r>
          </w:p>
          <w:p w14:paraId="2D0EBE39" w14:textId="4A690266" w:rsidR="00E82379" w:rsidRPr="00B15EEE" w:rsidRDefault="00E82379">
            <w:pPr>
              <w:spacing w:before="120" w:after="120"/>
              <w:ind w:left="142" w:right="96"/>
              <w:jc w:val="both"/>
            </w:pPr>
            <w:r w:rsidRPr="00B15EEE">
              <w:lastRenderedPageBreak/>
              <w:t>Noteikumu projektā transportlīdz</w:t>
            </w:r>
            <w:r w:rsidR="00E16C1A">
              <w:t>e</w:t>
            </w:r>
            <w:r w:rsidRPr="00B15EEE">
              <w:t>kļa kategorija (N1 un M1) noteikta atbilstoši Eiropas Parlamenta un Padomes 2018. gada 30. maija Regulai (ES) 2018/858 par mehānisko transportlīdzekļu un to piekabju, kā arī tādiem transportlīdzekļiem paredzētu sistēmu, sastāvdaļu un atsevišķu tehnisku vienību apstiprināšanu un tirgus uzraudzību un ar ko groza Regulas (EK) Nr. 715/2007 un (EK) Nr. 595/2009 un atceļ Direktīvu 2007/46/EK.</w:t>
            </w:r>
          </w:p>
          <w:p w14:paraId="56FF3802" w14:textId="141D9AD2" w:rsidR="00473CB7" w:rsidRPr="00B15EEE" w:rsidRDefault="00473CB7">
            <w:pPr>
              <w:spacing w:before="120" w:after="120"/>
              <w:ind w:left="142" w:right="96"/>
              <w:jc w:val="both"/>
            </w:pPr>
            <w:r w:rsidRPr="00B15EEE">
              <w:t>Analizējot dažādu valstu publiski pieejamās iniciatīvas un datus, kā arī Eiropas Auto ražotāju asociācijas 2020. gada ziņojumu “Elektriskie transportlīdzekļi: nodokļu ieguvumi un iegādes stimuli”</w:t>
            </w:r>
            <w:r w:rsidRPr="00B15EEE">
              <w:rPr>
                <w:rStyle w:val="FootnoteReference"/>
              </w:rPr>
              <w:footnoteReference w:id="3"/>
            </w:r>
            <w:r w:rsidRPr="00B15EEE">
              <w:t xml:space="preserve"> ir jāsecina, ka 20ES dalībvalstīs un Apvienotajā Karalistē pastāv (vai pēdējos gados pastāvēja) dažādas atbalsta sistēmas bezemisiju un mazemisiju transportlīdzekļu iegādei. Atbalsta apjomi atkarīgi no dažādiem kritērijiem, piemēram, transportlīdzekļa veida, finansējuma saņēmēja</w:t>
            </w:r>
            <w:r w:rsidR="00E82379" w:rsidRPr="00B15EEE">
              <w:t xml:space="preserve"> loka</w:t>
            </w:r>
            <w:r w:rsidRPr="00B15EEE">
              <w:t>, kā arī transportlīdzekļa cenas.</w:t>
            </w:r>
          </w:p>
          <w:p w14:paraId="18148F34" w14:textId="5535FD57" w:rsidR="00473CB7" w:rsidRPr="00B15EEE" w:rsidRDefault="00473CB7">
            <w:pPr>
              <w:spacing w:before="120" w:after="120"/>
              <w:ind w:left="142" w:right="96"/>
              <w:jc w:val="both"/>
            </w:pPr>
            <w:r w:rsidRPr="00B15EEE">
              <w:t xml:space="preserve">ES jauniem </w:t>
            </w:r>
            <w:r w:rsidR="00E82379" w:rsidRPr="00B15EEE">
              <w:t xml:space="preserve">elektromobiļiem </w:t>
            </w:r>
            <w:r w:rsidRPr="00B15EEE">
              <w:t xml:space="preserve">atbalsts ir vidēji ~6000 </w:t>
            </w:r>
            <w:r w:rsidRPr="00B15EEE">
              <w:rPr>
                <w:i/>
                <w:iCs/>
              </w:rPr>
              <w:t>euro</w:t>
            </w:r>
            <w:r w:rsidRPr="00B15EEE">
              <w:t xml:space="preserve"> (atbalsta lielums svārstās no 2000 </w:t>
            </w:r>
            <w:r w:rsidRPr="00B15EEE">
              <w:rPr>
                <w:i/>
                <w:iCs/>
              </w:rPr>
              <w:t>euro</w:t>
            </w:r>
            <w:r w:rsidRPr="00B15EEE">
              <w:t xml:space="preserve"> Somijā līdz pat 10 000</w:t>
            </w:r>
            <w:r w:rsidRPr="00B15EEE">
              <w:rPr>
                <w:i/>
                <w:iCs/>
              </w:rPr>
              <w:t xml:space="preserve"> euro </w:t>
            </w:r>
            <w:r w:rsidRPr="00B15EEE">
              <w:t xml:space="preserve">Rumānijā). Atbalsts tiek sniegts arī </w:t>
            </w:r>
            <w:r w:rsidR="003F0366" w:rsidRPr="00B15EEE">
              <w:t>ārēji lādējam</w:t>
            </w:r>
            <w:r w:rsidR="00E82379" w:rsidRPr="00B15EEE">
              <w:t>iem</w:t>
            </w:r>
            <w:r w:rsidR="00EE00E8" w:rsidRPr="00B15EEE">
              <w:t xml:space="preserve"> hibrīdauto</w:t>
            </w:r>
            <w:r w:rsidRPr="00B15EEE">
              <w:t xml:space="preserve">. 2020. gadā aptuveni pusei no ES dalībvalstīm bija pieejams atbalsts </w:t>
            </w:r>
            <w:r w:rsidR="003F0366" w:rsidRPr="00B15EEE">
              <w:t>ārēji lādējam</w:t>
            </w:r>
            <w:r w:rsidR="00E82379" w:rsidRPr="00B15EEE">
              <w:t>u</w:t>
            </w:r>
            <w:r w:rsidR="00EE00E8" w:rsidRPr="00B15EEE">
              <w:t xml:space="preserve"> hibrīdauto </w:t>
            </w:r>
            <w:r w:rsidRPr="00B15EEE">
              <w:t xml:space="preserve">iegādei ar ievērojami zemāku atbalsta apjomu – aptuveni 50 % no </w:t>
            </w:r>
            <w:r w:rsidR="00EE00E8" w:rsidRPr="00B15EEE">
              <w:t xml:space="preserve">elektromobiļa </w:t>
            </w:r>
            <w:r w:rsidRPr="00B15EEE">
              <w:t>atbalsta apjoma.</w:t>
            </w:r>
          </w:p>
          <w:p w14:paraId="3F5F0DCA" w14:textId="3FD3E2DE" w:rsidR="00473CB7" w:rsidRPr="00B15EEE" w:rsidRDefault="00473CB7">
            <w:pPr>
              <w:spacing w:before="120" w:after="120"/>
              <w:ind w:left="142" w:right="96"/>
              <w:jc w:val="both"/>
              <w:outlineLvl w:val="0"/>
            </w:pPr>
            <w:r w:rsidRPr="00B15EEE">
              <w:t xml:space="preserve">Papildus transportlīdzekļa iegādes atbalstam </w:t>
            </w:r>
            <w:r w:rsidR="00DB1CFD">
              <w:t>ES dalīb</w:t>
            </w:r>
            <w:r w:rsidRPr="00B15EEE">
              <w:t>valstīs pastāv arī dažādi nodokļu atbrīvojumi vai transportlīdzekļa norakstīšanas bonuss (</w:t>
            </w:r>
            <w:r w:rsidR="00E82379" w:rsidRPr="00B15EEE">
              <w:t xml:space="preserve">piemēram, </w:t>
            </w:r>
            <w:r w:rsidRPr="00B15EEE">
              <w:t>Lietuva, Rumānija, Francija, Grieķija, Spānija).</w:t>
            </w:r>
          </w:p>
          <w:p w14:paraId="1CD4E1ED" w14:textId="4EC92ABA" w:rsidR="008A620D" w:rsidRPr="00B15EEE" w:rsidRDefault="008A620D">
            <w:pPr>
              <w:spacing w:before="120" w:after="120"/>
              <w:ind w:left="142" w:right="96"/>
              <w:jc w:val="both"/>
              <w:outlineLvl w:val="0"/>
            </w:pPr>
            <w:r w:rsidRPr="00B15EEE">
              <w:t>Latvijā atbalsts elektrotransportlīdzekļu lietotājiem tiek nodrošināts un ir virkne priekšrocību: bez maksas ir pirmreizējā elektromobiļa reģistrācija un pirmreizējo numurzīmju izsniegšana, auto novietošana Liepājā un Rīgā Rīgas pašvaldības sabiedrības ar ierobežotu atbildību “</w:t>
            </w:r>
            <w:bookmarkStart w:id="2" w:name="_Hlk83308156"/>
            <w:r w:rsidRPr="00B15EEE">
              <w:t>Rīgas satiksmes</w:t>
            </w:r>
            <w:bookmarkEnd w:id="2"/>
            <w:r w:rsidRPr="00B15EEE">
              <w:t>” stāvvietās, iebraukšana Jūrmalā, kā arī nav jāmaksā ikgadējais transportlīdzekļa ekspluatācijas nodoklis. Tāpat ir atļauts braukt pa sabiedriskajam transportam paredzēto joslu, braukšana ir lētāka, jo izmaksā vidēji 2,5-3,5 eiro uz 100/km, jo valsts nodrošina subsīdijas transportlīdzekļu uzlādei vairāk nekā 100 uzlādes vietās Latvijā.</w:t>
            </w:r>
          </w:p>
          <w:p w14:paraId="714F0DE5" w14:textId="3B882EDA" w:rsidR="00D530C6" w:rsidRPr="00B15EEE" w:rsidRDefault="00E82379">
            <w:pPr>
              <w:spacing w:before="120" w:after="120"/>
              <w:ind w:left="142" w:right="96"/>
              <w:jc w:val="both"/>
            </w:pPr>
            <w:r w:rsidRPr="00B15EEE">
              <w:rPr>
                <w:bCs/>
                <w:color w:val="000000" w:themeColor="text1"/>
              </w:rPr>
              <w:t>Noteikumu projektā ir paredzēts</w:t>
            </w:r>
            <w:r w:rsidR="00126709">
              <w:rPr>
                <w:bCs/>
                <w:color w:val="000000" w:themeColor="text1"/>
              </w:rPr>
              <w:t>,</w:t>
            </w:r>
            <w:r w:rsidRPr="00B15EEE">
              <w:rPr>
                <w:bCs/>
                <w:color w:val="000000" w:themeColor="text1"/>
              </w:rPr>
              <w:t xml:space="preserve"> ka</w:t>
            </w:r>
            <w:r w:rsidR="00816FBF" w:rsidRPr="00B15EEE">
              <w:rPr>
                <w:bCs/>
                <w:color w:val="000000" w:themeColor="text1"/>
              </w:rPr>
              <w:t xml:space="preserve"> projekta iesniedzējs</w:t>
            </w:r>
            <w:r w:rsidR="00126709">
              <w:rPr>
                <w:bCs/>
                <w:color w:val="000000" w:themeColor="text1"/>
              </w:rPr>
              <w:t xml:space="preserve"> – projekta īstenotājs</w:t>
            </w:r>
            <w:r w:rsidR="00816FBF" w:rsidRPr="00B15EEE">
              <w:rPr>
                <w:bCs/>
                <w:color w:val="000000" w:themeColor="text1"/>
              </w:rPr>
              <w:t xml:space="preserve"> bū</w:t>
            </w:r>
            <w:r w:rsidR="00103B16" w:rsidRPr="00B15EEE">
              <w:rPr>
                <w:bCs/>
                <w:color w:val="000000" w:themeColor="text1"/>
              </w:rPr>
              <w:t>s</w:t>
            </w:r>
            <w:r w:rsidR="00816FBF" w:rsidRPr="00B15EEE">
              <w:rPr>
                <w:bCs/>
                <w:color w:val="000000" w:themeColor="text1"/>
              </w:rPr>
              <w:t xml:space="preserve"> </w:t>
            </w:r>
            <w:r w:rsidR="00103B16" w:rsidRPr="00B15EEE">
              <w:t>komersants, bet atbalsta saņēmējs – fiziska persona</w:t>
            </w:r>
            <w:r w:rsidR="002C345E" w:rsidRPr="00B15EEE">
              <w:t xml:space="preserve">, kura </w:t>
            </w:r>
            <w:r w:rsidR="00A62AF7">
              <w:t>proj</w:t>
            </w:r>
            <w:r w:rsidR="005B3C2F">
              <w:t>e</w:t>
            </w:r>
            <w:r w:rsidR="00A62AF7">
              <w:t xml:space="preserve">kta ietvaros </w:t>
            </w:r>
            <w:r w:rsidR="002C345E" w:rsidRPr="00B15EEE">
              <w:t xml:space="preserve">varēs iegādāties ne vairāk kā </w:t>
            </w:r>
            <w:r w:rsidRPr="00B15EEE">
              <w:t xml:space="preserve">vienu automobili </w:t>
            </w:r>
            <w:r w:rsidR="00126709">
              <w:t>mājsaimniecības locekļu</w:t>
            </w:r>
            <w:r w:rsidR="00126709" w:rsidRPr="00B15EEE">
              <w:t xml:space="preserve"> </w:t>
            </w:r>
            <w:r w:rsidR="002C345E" w:rsidRPr="00B15EEE">
              <w:t>mobilitātes nodrošināšanai</w:t>
            </w:r>
            <w:r w:rsidR="00816FBF" w:rsidRPr="00B15EEE">
              <w:t>.</w:t>
            </w:r>
            <w:r w:rsidR="00567C05" w:rsidRPr="00B15EEE">
              <w:t xml:space="preserve"> Visi projektu iesniedzēji, kas noslēgs līgumus</w:t>
            </w:r>
            <w:r w:rsidRPr="00B15EEE">
              <w:t xml:space="preserve"> par projektu īstenošanu</w:t>
            </w:r>
            <w:r w:rsidR="00567C05" w:rsidRPr="00B15EEE">
              <w:t xml:space="preserve"> ar </w:t>
            </w:r>
            <w:r w:rsidR="00E52C5A" w:rsidRPr="00B15EEE">
              <w:t>sabiedrību ar ierobežotu atbildību “Vides investīciju fonds” (turpmāk – </w:t>
            </w:r>
            <w:r w:rsidR="00567C05" w:rsidRPr="00B15EEE">
              <w:t>Vides investīciju fond</w:t>
            </w:r>
            <w:r w:rsidR="00E52C5A" w:rsidRPr="00B15EEE">
              <w:t>s)</w:t>
            </w:r>
            <w:r w:rsidR="00567C05" w:rsidRPr="00B15EEE">
              <w:t xml:space="preserve"> par projekta īstenošanu būs tiesīgi </w:t>
            </w:r>
            <w:r w:rsidRPr="00B15EEE">
              <w:t>saņemt</w:t>
            </w:r>
            <w:r w:rsidR="00567C05" w:rsidRPr="00B15EEE">
              <w:t xml:space="preserve"> atbalstu par šo noteikumu ietvaros atbilstošo </w:t>
            </w:r>
            <w:r w:rsidRPr="00B15EEE">
              <w:t xml:space="preserve">mazemisijas un bezemisijas </w:t>
            </w:r>
            <w:r w:rsidR="00567C05" w:rsidRPr="00B15EEE">
              <w:t xml:space="preserve">transportlīdzekļu pārdošanu brīvas konkurences ietvaros, t.i., nevienam projekta iesniedzējam netiks </w:t>
            </w:r>
            <w:r w:rsidR="00567C05" w:rsidRPr="00B15EEE">
              <w:lastRenderedPageBreak/>
              <w:t xml:space="preserve">noteikts konkrēts pieejamā finansējuma </w:t>
            </w:r>
            <w:r w:rsidR="00A62AF7">
              <w:t>vai</w:t>
            </w:r>
            <w:r w:rsidR="00A62AF7" w:rsidRPr="00B15EEE">
              <w:t xml:space="preserve"> </w:t>
            </w:r>
            <w:r w:rsidRPr="00B15EEE">
              <w:t xml:space="preserve">pārdodamo transportlīdzekļu </w:t>
            </w:r>
            <w:r w:rsidR="00567C05" w:rsidRPr="00B15EEE">
              <w:t>apjoms.</w:t>
            </w:r>
          </w:p>
          <w:p w14:paraId="57A72E33" w14:textId="727A2381" w:rsidR="00227095" w:rsidRDefault="00A62AF7">
            <w:pPr>
              <w:spacing w:before="120" w:after="120"/>
              <w:ind w:left="142" w:right="96"/>
              <w:jc w:val="both"/>
              <w:rPr>
                <w:shd w:val="clear" w:color="auto" w:fill="FFFFFF"/>
              </w:rPr>
            </w:pPr>
            <w:r>
              <w:rPr>
                <w:shd w:val="clear" w:color="auto" w:fill="FFFFFF"/>
              </w:rPr>
              <w:t>A</w:t>
            </w:r>
            <w:r w:rsidR="00227095" w:rsidRPr="008F0E58">
              <w:rPr>
                <w:shd w:val="clear" w:color="auto" w:fill="FFFFFF"/>
              </w:rPr>
              <w:t>tbalst</w:t>
            </w:r>
            <w:r>
              <w:rPr>
                <w:shd w:val="clear" w:color="auto" w:fill="FFFFFF"/>
              </w:rPr>
              <w:t>a pieejamība</w:t>
            </w:r>
            <w:r w:rsidR="00227095" w:rsidRPr="008F0E58">
              <w:rPr>
                <w:shd w:val="clear" w:color="auto" w:fill="FFFFFF"/>
              </w:rPr>
              <w:t xml:space="preserve"> elektromobiļu iegādei </w:t>
            </w:r>
            <w:r w:rsidR="0026525C" w:rsidRPr="008F0E58">
              <w:rPr>
                <w:shd w:val="clear" w:color="auto" w:fill="FFFFFF"/>
              </w:rPr>
              <w:t xml:space="preserve">pašvaldībām, to iestādēm, pašvaldību kapitālsabiedrībām un </w:t>
            </w:r>
            <w:r w:rsidR="00227095" w:rsidRPr="008F0E58">
              <w:rPr>
                <w:shd w:val="clear" w:color="auto" w:fill="FFFFFF"/>
              </w:rPr>
              <w:t>komersantiem</w:t>
            </w:r>
            <w:r w:rsidR="0026525C" w:rsidRPr="008F0E58">
              <w:rPr>
                <w:shd w:val="clear" w:color="auto" w:fill="FFFFFF"/>
              </w:rPr>
              <w:t xml:space="preserve"> iespēju robežās </w:t>
            </w:r>
            <w:r w:rsidR="008F0E58" w:rsidRPr="008B5C29">
              <w:rPr>
                <w:shd w:val="clear" w:color="auto" w:fill="FFFFFF"/>
              </w:rPr>
              <w:t xml:space="preserve">tuvākajos gados </w:t>
            </w:r>
            <w:r w:rsidR="0026525C" w:rsidRPr="008F0E58">
              <w:rPr>
                <w:shd w:val="clear" w:color="auto" w:fill="FFFFFF"/>
              </w:rPr>
              <w:t xml:space="preserve">tiks </w:t>
            </w:r>
            <w:r>
              <w:rPr>
                <w:shd w:val="clear" w:color="auto" w:fill="FFFFFF"/>
              </w:rPr>
              <w:t>vērtēta</w:t>
            </w:r>
            <w:r w:rsidR="0026525C" w:rsidRPr="008F0E58">
              <w:rPr>
                <w:shd w:val="clear" w:color="auto" w:fill="FFFFFF"/>
              </w:rPr>
              <w:t xml:space="preserve"> citu finanšu instrumentu ietvaros, kā piemēru var minēt Modernizācijas fondu un</w:t>
            </w:r>
            <w:r w:rsidR="00227095" w:rsidRPr="008F0E58">
              <w:rPr>
                <w:shd w:val="clear" w:color="auto" w:fill="FFFFFF"/>
              </w:rPr>
              <w:t xml:space="preserve"> Atjaunošanas un noturības mehānisma plānu</w:t>
            </w:r>
            <w:r w:rsidR="00227095" w:rsidRPr="008F0E58">
              <w:rPr>
                <w:rStyle w:val="FootnoteReference"/>
                <w:shd w:val="clear" w:color="auto" w:fill="FFFFFF"/>
              </w:rPr>
              <w:footnoteReference w:id="4"/>
            </w:r>
            <w:r w:rsidR="00227095" w:rsidRPr="008F0E58">
              <w:rPr>
                <w:shd w:val="clear" w:color="auto" w:fill="FFFFFF"/>
              </w:rPr>
              <w:t xml:space="preserve"> </w:t>
            </w:r>
            <w:r w:rsidR="00227095" w:rsidRPr="008F0E58">
              <w:rPr>
                <w:i/>
                <w:iCs/>
                <w:shd w:val="clear" w:color="auto" w:fill="FFFFFF"/>
              </w:rPr>
              <w:t>(Investīcijas 1.2.1.2.i. Energoefektivitātes paaugstināšana uzņēmējdarbībā ietvaros)</w:t>
            </w:r>
            <w:r w:rsidR="00227095" w:rsidRPr="008F0E58">
              <w:rPr>
                <w:shd w:val="clear" w:color="auto" w:fill="FFFFFF"/>
              </w:rPr>
              <w:t>, kura ietvaros plānots atbalsts ilgtspējīga jauna transporta iegādei uzņēmuma saimnieciskās darbības nodrošināšanai, kā alternatīvu transportlīdzekļiem, kuri izmanto degvielu no fosilajiem resursiem, arī uzņēmumiem, kuri sniedz auto nomas pakalpojumus.</w:t>
            </w:r>
          </w:p>
          <w:p w14:paraId="1C01A053" w14:textId="236496B3" w:rsidR="00D42047" w:rsidRPr="00B15EEE" w:rsidRDefault="00D42047">
            <w:pPr>
              <w:tabs>
                <w:tab w:val="left" w:pos="1290"/>
              </w:tabs>
              <w:spacing w:before="120" w:after="120"/>
              <w:ind w:left="110" w:right="99"/>
              <w:jc w:val="both"/>
            </w:pPr>
            <w:r w:rsidRPr="00B15EEE">
              <w:rPr>
                <w:shd w:val="clear" w:color="auto" w:fill="FFFFFF"/>
              </w:rPr>
              <w:t>Attiecībā uz transportlīdzekļa maksimālās cenas noteikšanu, ir ņemta vērā</w:t>
            </w:r>
            <w:r w:rsidRPr="00B15EEE">
              <w:t xml:space="preserve"> </w:t>
            </w:r>
            <w:r w:rsidR="00E52C5A" w:rsidRPr="00B15EEE">
              <w:t xml:space="preserve">biedrības “Auto Asociācija” </w:t>
            </w:r>
            <w:r w:rsidR="004072CD">
              <w:t xml:space="preserve">sanāksmēs un divpusējās sarunās </w:t>
            </w:r>
            <w:r w:rsidR="00E52C5A" w:rsidRPr="00B15EEE">
              <w:t xml:space="preserve">sniegtā informācija un </w:t>
            </w:r>
            <w:r w:rsidR="004072CD">
              <w:t>Vides aizsardzības un reģionālās attīstības ministrija (turpmāk – </w:t>
            </w:r>
            <w:r w:rsidRPr="00B15EEE">
              <w:t>VARAM</w:t>
            </w:r>
            <w:r w:rsidR="004072CD">
              <w:t>)</w:t>
            </w:r>
            <w:r w:rsidRPr="00B15EEE">
              <w:t xml:space="preserve"> rīcībā esošā informācij</w:t>
            </w:r>
            <w:r w:rsidR="00A62AF7">
              <w:t>a</w:t>
            </w:r>
            <w:r w:rsidRPr="00B15EEE">
              <w:t xml:space="preserve"> par pārdošanā esošo jaunu elektromobiļu cenu kategorijām</w:t>
            </w:r>
            <w:r w:rsidR="00A62AF7">
              <w:t>.</w:t>
            </w:r>
            <w:r w:rsidRPr="00B15EEE">
              <w:t xml:space="preserve"> </w:t>
            </w:r>
            <w:r w:rsidR="00A62AF7">
              <w:t>M</w:t>
            </w:r>
            <w:r w:rsidR="00E52C5A" w:rsidRPr="00B15EEE">
              <w:t xml:space="preserve">azemisiju un bezemisiju </w:t>
            </w:r>
            <w:r w:rsidRPr="00B15EEE">
              <w:t xml:space="preserve">transportlīdzekļa iegādes cenas ierobežojums </w:t>
            </w:r>
            <w:r w:rsidR="00E52C5A" w:rsidRPr="00B15EEE">
              <w:t>6</w:t>
            </w:r>
            <w:r w:rsidRPr="00B15EEE">
              <w:t xml:space="preserve">0 000 </w:t>
            </w:r>
            <w:r w:rsidRPr="008F4B93">
              <w:rPr>
                <w:i/>
                <w:iCs/>
              </w:rPr>
              <w:t>euro</w:t>
            </w:r>
            <w:r w:rsidRPr="00B15EEE">
              <w:t xml:space="preserve"> (bez PVN) bāzes komplektācijā tiek noteikts, lai no atbalsta tvēruma izslēgtu </w:t>
            </w:r>
            <w:r w:rsidRPr="00B15EEE">
              <w:rPr>
                <w:i/>
                <w:iCs/>
              </w:rPr>
              <w:t>premium</w:t>
            </w:r>
            <w:r w:rsidR="00E52C5A" w:rsidRPr="00B15EEE">
              <w:rPr>
                <w:i/>
                <w:iCs/>
              </w:rPr>
              <w:t xml:space="preserve"> (luksus)</w:t>
            </w:r>
            <w:r w:rsidRPr="00B15EEE">
              <w:rPr>
                <w:i/>
                <w:iCs/>
              </w:rPr>
              <w:t xml:space="preserve"> </w:t>
            </w:r>
            <w:r w:rsidRPr="00B15EEE">
              <w:t xml:space="preserve">segmenta </w:t>
            </w:r>
            <w:r w:rsidR="001524E5" w:rsidRPr="00B15EEE">
              <w:t xml:space="preserve">elektromobiļus (piemēram, </w:t>
            </w:r>
            <w:r w:rsidR="00D55E31" w:rsidRPr="00B15EEE">
              <w:t xml:space="preserve">Porsche Taycan, Jaguar I-PACE, Audi e-tron, Mercedes Benz </w:t>
            </w:r>
            <w:r w:rsidR="00D55E31" w:rsidRPr="00B15EEE">
              <w:rPr>
                <w:color w:val="000000"/>
                <w:lang w:eastAsia="en-US"/>
              </w:rPr>
              <w:t>EQC 400 4MATIC</w:t>
            </w:r>
            <w:r w:rsidR="001524E5" w:rsidRPr="00B15EEE">
              <w:t>)</w:t>
            </w:r>
            <w:r w:rsidRPr="00B15EEE">
              <w:t xml:space="preserve">, </w:t>
            </w:r>
            <w:r w:rsidRPr="00B15EEE">
              <w:rPr>
                <w:shd w:val="clear" w:color="auto" w:fill="FFFFFF"/>
              </w:rPr>
              <w:t>kuru iegādi visticamāk izvēlas maksātspējīgākā sabiedrības daļa</w:t>
            </w:r>
            <w:r w:rsidRPr="00B15EEE">
              <w:t>, kas principā šāda veida transportlīdzekļus varētu iegādāties arī bez valsts atbalsta.</w:t>
            </w:r>
          </w:p>
          <w:p w14:paraId="431D4FC3" w14:textId="35756EE2" w:rsidR="00107AE1" w:rsidRPr="00B15EEE" w:rsidRDefault="00107AE1">
            <w:pPr>
              <w:tabs>
                <w:tab w:val="left" w:pos="1290"/>
              </w:tabs>
              <w:spacing w:before="120" w:after="120"/>
              <w:ind w:left="110" w:right="99"/>
              <w:jc w:val="both"/>
            </w:pPr>
            <w:r w:rsidRPr="00B15EEE">
              <w:t>Latvijā ir iegādājami vairāk kā 40 elektromobiļu modeļi no</w:t>
            </w:r>
            <w:r w:rsidR="00C872DD" w:rsidRPr="00B15EEE">
              <w:t xml:space="preserve"> vismaz</w:t>
            </w:r>
            <w:r w:rsidRPr="00B15EEE">
              <w:t xml:space="preserve"> 1</w:t>
            </w:r>
            <w:r w:rsidR="00C872DD" w:rsidRPr="00B15EEE">
              <w:t>5</w:t>
            </w:r>
            <w:r w:rsidRPr="00B15EEE">
              <w:t xml:space="preserve"> automobiļu markām.</w:t>
            </w:r>
            <w:r w:rsidR="00E52C5A" w:rsidRPr="00B15EEE">
              <w:t xml:space="preserve"> Līdz ar to transportlīdzekļa izvēles iespējas atbilstoši tehniskajiem parametriem un cenai ir pietiekami plašas.</w:t>
            </w:r>
          </w:p>
          <w:p w14:paraId="1F9829C8" w14:textId="3794E775" w:rsidR="00D83057" w:rsidRPr="00B15EEE" w:rsidRDefault="00126709">
            <w:pPr>
              <w:tabs>
                <w:tab w:val="left" w:pos="1290"/>
              </w:tabs>
              <w:spacing w:before="120" w:after="120"/>
              <w:ind w:left="110" w:right="99"/>
              <w:jc w:val="both"/>
              <w:rPr>
                <w:rStyle w:val="Hyperlink"/>
              </w:rPr>
            </w:pPr>
            <w:r>
              <w:t>Informācija par t</w:t>
            </w:r>
            <w:r w:rsidR="00D83057" w:rsidRPr="00B15EEE">
              <w:t>ransportlīdzekļu tirdzniecības vietu reģistrā reģistrētie</w:t>
            </w:r>
            <w:r>
              <w:t>m</w:t>
            </w:r>
            <w:r w:rsidR="00D83057" w:rsidRPr="00B15EEE">
              <w:t xml:space="preserve"> komersanti</w:t>
            </w:r>
            <w:r>
              <w:t>em</w:t>
            </w:r>
            <w:r w:rsidR="00D83057" w:rsidRPr="00B15EEE">
              <w:t xml:space="preserve"> pieejam</w:t>
            </w:r>
            <w:r>
              <w:t>a</w:t>
            </w:r>
            <w:r w:rsidR="00D83057" w:rsidRPr="00B15EEE">
              <w:t xml:space="preserve"> A/S “Ceļu satiksmes drošības direkcija” tīmekļa vietnē </w:t>
            </w:r>
            <w:hyperlink r:id="rId8" w:history="1">
              <w:r w:rsidR="00D83057" w:rsidRPr="00B15EEE">
                <w:rPr>
                  <w:rStyle w:val="Hyperlink"/>
                </w:rPr>
                <w:t>https://e.csdd.lv/autoveikali/</w:t>
              </w:r>
            </w:hyperlink>
            <w:r w:rsidR="00D83057" w:rsidRPr="00B15EEE">
              <w:rPr>
                <w:rStyle w:val="Hyperlink"/>
              </w:rPr>
              <w:t>.</w:t>
            </w:r>
            <w:r w:rsidR="00E52C5A" w:rsidRPr="00B15EEE">
              <w:rPr>
                <w:rStyle w:val="Hyperlink"/>
              </w:rPr>
              <w:t xml:space="preserve"> </w:t>
            </w:r>
            <w:r w:rsidR="00E52C5A" w:rsidRPr="00B15EEE">
              <w:rPr>
                <w:color w:val="000000" w:themeColor="text1"/>
              </w:rPr>
              <w:t>Lai sabiedrība ērti varētu iegūt informāciju par tiem projekta iesnieguma iesniedzējiem, kas ir noslēguši līgumu par projekta īstenošanu ar Vides investīciju fond</w:t>
            </w:r>
            <w:r w:rsidR="00A62AF7">
              <w:rPr>
                <w:color w:val="000000" w:themeColor="text1"/>
              </w:rPr>
              <w:t>u</w:t>
            </w:r>
            <w:r w:rsidR="00E52C5A" w:rsidRPr="00B15EEE">
              <w:rPr>
                <w:color w:val="000000" w:themeColor="text1"/>
              </w:rPr>
              <w:t xml:space="preserve"> un pie kuriem var iegādāties mazemisijju un bezemisiju transportlīdzekļus ar noteikto valsts atbalstu, Vides investīciju fonds </w:t>
            </w:r>
            <w:r w:rsidR="00E52C5A" w:rsidRPr="00B15EEE">
              <w:rPr>
                <w:iCs/>
              </w:rPr>
              <w:t>savā tīmekļa vietnē publicēs uzņēmumu sarakstu.</w:t>
            </w:r>
          </w:p>
          <w:p w14:paraId="2C859714" w14:textId="345560E9" w:rsidR="00D42047" w:rsidRPr="00B15EEE" w:rsidRDefault="00E52C5A">
            <w:pPr>
              <w:spacing w:before="120" w:after="120"/>
              <w:ind w:left="110" w:right="99"/>
              <w:jc w:val="both"/>
            </w:pPr>
            <w:r w:rsidRPr="00B15EEE">
              <w:t>A</w:t>
            </w:r>
            <w:r w:rsidR="00D42047" w:rsidRPr="00B15EEE">
              <w:t xml:space="preserve">ttiecībā uz ikgadējo nobraukumu ar </w:t>
            </w:r>
            <w:r w:rsidR="00C14D3F" w:rsidRPr="00B15EEE">
              <w:t>elektromobili</w:t>
            </w:r>
            <w:r w:rsidR="00D42047" w:rsidRPr="00B15EEE">
              <w:t>, noteikumu projekt</w:t>
            </w:r>
            <w:r w:rsidR="00C14D3F" w:rsidRPr="00B15EEE">
              <w:t xml:space="preserve">ā </w:t>
            </w:r>
            <w:r w:rsidR="00D42047" w:rsidRPr="00B15EEE">
              <w:t>minētais rādītājs ir noteikts kā 1</w:t>
            </w:r>
            <w:r w:rsidR="008A7130">
              <w:t>0</w:t>
            </w:r>
            <w:r w:rsidR="00D42047" w:rsidRPr="00B15EEE">
              <w:t> </w:t>
            </w:r>
            <w:r w:rsidR="008A7130">
              <w:t>4</w:t>
            </w:r>
            <w:r w:rsidR="00D42047" w:rsidRPr="00B15EEE">
              <w:t xml:space="preserve">00 km. Saskaņā ar </w:t>
            </w:r>
            <w:r w:rsidR="00126709">
              <w:t>CSDD</w:t>
            </w:r>
            <w:r w:rsidR="00D42047" w:rsidRPr="00B15EEE">
              <w:t xml:space="preserve"> datiem</w:t>
            </w:r>
            <w:r w:rsidR="00D42047" w:rsidRPr="00B15EEE">
              <w:rPr>
                <w:rStyle w:val="FootnoteReference"/>
              </w:rPr>
              <w:footnoteReference w:id="5"/>
            </w:r>
            <w:r w:rsidR="00D42047" w:rsidRPr="00B15EEE">
              <w:t xml:space="preserve"> 2016. gadā vidējais automašīnu nobraukums bija 13 000 km gadā, kas ir ievērojami mazāk, kā 2018. gada veiktajā Centrālās statistikas pārvaldes un SIA “</w:t>
            </w:r>
            <w:r w:rsidR="00D42047" w:rsidRPr="00B15EEE">
              <w:rPr>
                <w:i/>
                <w:iCs/>
              </w:rPr>
              <w:t>PriceWaterhouseCoopers</w:t>
            </w:r>
            <w:r w:rsidR="00D42047" w:rsidRPr="00B15EEE">
              <w:t>” veiktajā mobilitātes pētījumā</w:t>
            </w:r>
            <w:r w:rsidR="00D42047" w:rsidRPr="00B15EEE">
              <w:rPr>
                <w:rStyle w:val="FootnoteReference"/>
              </w:rPr>
              <w:footnoteReference w:id="6"/>
            </w:r>
            <w:r w:rsidR="00D42047" w:rsidRPr="00B15EEE">
              <w:t>, par 2017. gadu aplēstie skaitļi, kur Latvijas iedzīvotājs vidēji gan kā pasažieris, gan kā autovadītājs ar vieglo transportlīdzekli dienā veic ~44 km jeb gadā tie būtu ~16</w:t>
            </w:r>
            <w:r w:rsidR="00C14D3F" w:rsidRPr="00B15EEE">
              <w:t> </w:t>
            </w:r>
            <w:r w:rsidR="00D42047" w:rsidRPr="00B15EEE">
              <w:t>000</w:t>
            </w:r>
            <w:r w:rsidR="00C14D3F" w:rsidRPr="00B15EEE">
              <w:t xml:space="preserve"> </w:t>
            </w:r>
            <w:r w:rsidR="00D42047" w:rsidRPr="00B15EEE">
              <w:t>km. Saskaņā ar bez</w:t>
            </w:r>
            <w:r w:rsidR="005B3C2F">
              <w:t>emisiju</w:t>
            </w:r>
            <w:r w:rsidR="00D42047" w:rsidRPr="00B15EEE">
              <w:t xml:space="preserve"> mobilitātes medija www.uzladets.lv </w:t>
            </w:r>
            <w:r w:rsidR="00D42047" w:rsidRPr="00B15EEE">
              <w:lastRenderedPageBreak/>
              <w:t xml:space="preserve">aplēsēm 2018. gadā Latvijas iedzīvotājs </w:t>
            </w:r>
            <w:r w:rsidR="00126709">
              <w:t xml:space="preserve">vidēji </w:t>
            </w:r>
            <w:r w:rsidR="00D42047" w:rsidRPr="00B15EEE">
              <w:t>gadā nobrauc ap 17 000 km</w:t>
            </w:r>
            <w:r w:rsidR="00D42047" w:rsidRPr="00B15EEE">
              <w:rPr>
                <w:rStyle w:val="FootnoteReference"/>
              </w:rPr>
              <w:footnoteReference w:id="7"/>
            </w:r>
            <w:r w:rsidR="00D42047" w:rsidRPr="00B15EEE">
              <w:t>, jeb 46,5 km, dienā. Turklāt atsaucoties uz A</w:t>
            </w:r>
            <w:r w:rsidR="005B3C2F">
              <w:t>/</w:t>
            </w:r>
            <w:r w:rsidR="00D42047" w:rsidRPr="00B15EEE">
              <w:t xml:space="preserve">S </w:t>
            </w:r>
            <w:r w:rsidR="005B3C2F">
              <w:t>“</w:t>
            </w:r>
            <w:r w:rsidR="00D42047" w:rsidRPr="00B15EEE">
              <w:t>Latvenergo</w:t>
            </w:r>
            <w:r w:rsidR="005B3C2F">
              <w:t>”</w:t>
            </w:r>
            <w:r w:rsidR="00D42047" w:rsidRPr="00B15EEE">
              <w:t xml:space="preserve"> sniegto informāciju, Latvijā reģistrētie elektromobiļi gadā vidēji nobrauc no 13 000 līdz 21 000 km</w:t>
            </w:r>
            <w:r w:rsidR="00D42047" w:rsidRPr="00B15EEE">
              <w:rPr>
                <w:rStyle w:val="FootnoteReference"/>
              </w:rPr>
              <w:footnoteReference w:id="8"/>
            </w:r>
            <w:r w:rsidR="00D42047" w:rsidRPr="00B15EEE">
              <w:t xml:space="preserve"> jeb attālumu, kas ir samērojams ar iekšdedzes automašīnu nobraukto distanci. Noteikumu projekta mērķis ir veicināt </w:t>
            </w:r>
            <w:r w:rsidR="005B3C2F">
              <w:t>SEG</w:t>
            </w:r>
            <w:r w:rsidR="00D42047" w:rsidRPr="00B15EEE">
              <w:t xml:space="preserve"> emisiju samazināšanu transporta sektorā, līdz ar to ar transportlīdzekli nobrauktajam apjomam ir vitāli svarīga loma, t.i., lai nodrošinātu, ka ar valsts atbalstu iegādātais transportlīdzeklis tiek aktīvi izmantots ekspluatācijā, tādā veidā aizstājot (un izslēdzot no satiksmes) attiecīgu ar iekšdedzes dzinēju darbināmu transportlīdzekli.</w:t>
            </w:r>
          </w:p>
          <w:p w14:paraId="38E59A96" w14:textId="47C5C838" w:rsidR="00973B66" w:rsidRDefault="00973B66">
            <w:pPr>
              <w:spacing w:before="120" w:after="120"/>
              <w:ind w:left="110" w:right="99"/>
              <w:jc w:val="both"/>
              <w:rPr>
                <w:rFonts w:eastAsia="Calibri"/>
              </w:rPr>
            </w:pPr>
            <w:r>
              <w:rPr>
                <w:rFonts w:eastAsia="Calibri"/>
              </w:rPr>
              <w:t xml:space="preserve">Konkursa ietvaros fiziskās personas (iedzīvotāja) elektromobiļa vai ārēji lādējamā hibrīdauto plānotais iegādes process ir šāds: Vides investīciju fonds pēc noteikumu projekta apstiprināšanas izsludinās konkursu </w:t>
            </w:r>
            <w:r w:rsidRPr="00973B66">
              <w:rPr>
                <w:rFonts w:eastAsia="Calibri"/>
              </w:rPr>
              <w:t xml:space="preserve">komersantiem (auto tirgotājiem, kas reģistrēti </w:t>
            </w:r>
            <w:r w:rsidR="00126709">
              <w:t>CSDD</w:t>
            </w:r>
            <w:r w:rsidRPr="008B5C29">
              <w:t xml:space="preserve"> pārziņā esošajā transportlīdzekļu un to vadītāju valsts reģistrā reģistrēts komersants, kas normatīvajos aktos noteiktajā kārtībā ierīkojis un reģistrējis transportlīdzekļu tirdzniecības vietu</w:t>
            </w:r>
            <w:r w:rsidRPr="00973B66">
              <w:rPr>
                <w:rFonts w:eastAsia="Calibri"/>
              </w:rPr>
              <w:t>)</w:t>
            </w:r>
            <w:r>
              <w:rPr>
                <w:rFonts w:eastAsia="Calibri"/>
              </w:rPr>
              <w:t xml:space="preserve"> ar lūgumu iesniegt projektu iesniegumus par plānoto elektromobiļu un ārēji lādējamu hibrīdauto pārdošanu</w:t>
            </w:r>
            <w:r w:rsidR="008D4BBC">
              <w:rPr>
                <w:rFonts w:eastAsia="Calibri"/>
              </w:rPr>
              <w:t xml:space="preserve"> šī konkursa ietvaros. Pēc projektu iesniegumu saņemšanas noteikt</w:t>
            </w:r>
            <w:r w:rsidR="00C36183">
              <w:rPr>
                <w:rFonts w:eastAsia="Calibri"/>
              </w:rPr>
              <w:t>aj</w:t>
            </w:r>
            <w:r w:rsidR="008D4BBC">
              <w:rPr>
                <w:rFonts w:eastAsia="Calibri"/>
              </w:rPr>
              <w:t xml:space="preserve">ā termiņā projektu iesniegumu vērtēšanas komisija veikt to izvērtēšanu. Pozitīva vērtējuma gadījumā projekta iesniedzējs (komersants) </w:t>
            </w:r>
            <w:r w:rsidR="003A5294">
              <w:rPr>
                <w:rFonts w:eastAsia="Calibri"/>
              </w:rPr>
              <w:t xml:space="preserve">tiks aicināts </w:t>
            </w:r>
            <w:r w:rsidR="008D4BBC">
              <w:rPr>
                <w:rFonts w:eastAsia="Calibri"/>
              </w:rPr>
              <w:t>slē</w:t>
            </w:r>
            <w:r w:rsidR="003A5294">
              <w:rPr>
                <w:rFonts w:eastAsia="Calibri"/>
              </w:rPr>
              <w:t>gt</w:t>
            </w:r>
            <w:r w:rsidR="008D4BBC">
              <w:rPr>
                <w:rFonts w:eastAsia="Calibri"/>
              </w:rPr>
              <w:t xml:space="preserve"> līgumu ar Vides investīciju fondu par projekta īstenošanu jeb transportlīdzekļu pārdošanu iedzīvotājiem. Pēc projekta līguma parakstīšanas iedzīvotājam ir tiesības pie komersanta iegādāties izvēlēto elektromobili vai ārēji uzlādējamu hibrīdauto </w:t>
            </w:r>
            <w:r w:rsidR="00C36183">
              <w:rPr>
                <w:rFonts w:eastAsia="Calibri"/>
              </w:rPr>
              <w:t xml:space="preserve">ar šajos noteikumos paredzēto valsts atbalstu 4500 </w:t>
            </w:r>
            <w:r w:rsidR="00C36183" w:rsidRPr="008B5C29">
              <w:rPr>
                <w:rFonts w:eastAsia="Calibri"/>
                <w:i/>
                <w:iCs/>
              </w:rPr>
              <w:t>euro</w:t>
            </w:r>
            <w:r w:rsidR="00C36183">
              <w:rPr>
                <w:rFonts w:eastAsia="Calibri"/>
              </w:rPr>
              <w:t xml:space="preserve"> (jauna elektromobiļa</w:t>
            </w:r>
            <w:r w:rsidR="008A7130">
              <w:rPr>
                <w:rFonts w:eastAsia="Calibri"/>
              </w:rPr>
              <w:t xml:space="preserve"> gadījumā)</w:t>
            </w:r>
            <w:r w:rsidR="00C36183">
              <w:rPr>
                <w:rFonts w:eastAsia="Calibri"/>
              </w:rPr>
              <w:t xml:space="preserve"> vai 2250 </w:t>
            </w:r>
            <w:r w:rsidR="00C36183" w:rsidRPr="000D421D">
              <w:rPr>
                <w:rFonts w:eastAsia="Calibri"/>
                <w:i/>
                <w:iCs/>
                <w:u w:val="single"/>
              </w:rPr>
              <w:t>euro</w:t>
            </w:r>
            <w:r w:rsidR="00C36183">
              <w:rPr>
                <w:rFonts w:eastAsia="Calibri"/>
              </w:rPr>
              <w:t xml:space="preserve"> (lietota elektromobiļa</w:t>
            </w:r>
            <w:r w:rsidR="008A7130">
              <w:rPr>
                <w:rFonts w:eastAsia="Calibri"/>
              </w:rPr>
              <w:t xml:space="preserve"> vai ārēji lādējama hibrīdauto gadījumā</w:t>
            </w:r>
            <w:r w:rsidR="00C36183">
              <w:rPr>
                <w:rFonts w:eastAsia="Calibri"/>
              </w:rPr>
              <w:t>) apmērā. Piemēram, iedzīvotājs apmeklē autosalonu “X” un vēlas iegādāties jaunu elektromobili</w:t>
            </w:r>
            <w:r w:rsidR="003A5294">
              <w:rPr>
                <w:rFonts w:eastAsia="Calibri"/>
              </w:rPr>
              <w:t xml:space="preserve"> “Y”, kura vērtība ir 30 000 </w:t>
            </w:r>
            <w:r w:rsidR="003A5294" w:rsidRPr="008B5C29">
              <w:rPr>
                <w:rFonts w:eastAsia="Calibri"/>
                <w:i/>
                <w:iCs/>
              </w:rPr>
              <w:t>euro</w:t>
            </w:r>
            <w:r w:rsidR="003A5294">
              <w:rPr>
                <w:rFonts w:eastAsia="Calibri"/>
              </w:rPr>
              <w:t xml:space="preserve"> (ar PVN). Izmantojot sniegto valsts atbalstu iedzīvotājs šo elektromobili “Y” varēs iegādāties par 30 000 – 4 500 = 25 500 </w:t>
            </w:r>
            <w:r w:rsidR="003A5294" w:rsidRPr="000D421D">
              <w:rPr>
                <w:rFonts w:eastAsia="Calibri"/>
                <w:i/>
                <w:iCs/>
              </w:rPr>
              <w:t>euro</w:t>
            </w:r>
            <w:r w:rsidR="003A5294">
              <w:rPr>
                <w:rFonts w:eastAsia="Calibri"/>
              </w:rPr>
              <w:t xml:space="preserve"> (ar PVN). Attiecīgi maksājumu par minēto elektromobili veicot</w:t>
            </w:r>
            <w:r w:rsidR="00C308AA">
              <w:rPr>
                <w:rFonts w:eastAsia="Calibri"/>
              </w:rPr>
              <w:t xml:space="preserve"> piemēram, skaidrā naudā</w:t>
            </w:r>
            <w:r w:rsidR="00126709">
              <w:rPr>
                <w:rFonts w:eastAsia="Calibri"/>
              </w:rPr>
              <w:t>, vai</w:t>
            </w:r>
            <w:r w:rsidR="006A5085">
              <w:rPr>
                <w:rFonts w:eastAsia="Calibri"/>
              </w:rPr>
              <w:t xml:space="preserve"> </w:t>
            </w:r>
            <w:r w:rsidR="00126709">
              <w:rPr>
                <w:rFonts w:eastAsia="Calibri"/>
              </w:rPr>
              <w:t>ar</w:t>
            </w:r>
            <w:r w:rsidR="00C308AA">
              <w:rPr>
                <w:rFonts w:eastAsia="Calibri"/>
              </w:rPr>
              <w:t xml:space="preserve"> pārskatījumu vai izmantojot kredītu, vai līzinga pakalpojumu. </w:t>
            </w:r>
            <w:r w:rsidR="00C308AA" w:rsidRPr="00C308AA">
              <w:rPr>
                <w:rFonts w:eastAsia="Calibri"/>
              </w:rPr>
              <w:t xml:space="preserve">Par transportlīdzekļa iegādi </w:t>
            </w:r>
            <w:r w:rsidR="00C308AA">
              <w:rPr>
                <w:rFonts w:eastAsia="Calibri"/>
              </w:rPr>
              <w:t xml:space="preserve">tiks slēgts </w:t>
            </w:r>
            <w:r w:rsidR="00C308AA" w:rsidRPr="008B5C29">
              <w:t>līgum</w:t>
            </w:r>
            <w:r w:rsidR="00C308AA">
              <w:t>s</w:t>
            </w:r>
            <w:r w:rsidR="00C308AA" w:rsidRPr="008B5C29">
              <w:t xml:space="preserve"> par transportlīdzekļa iegādi starp projekta īstenotāju, Vides investīciju fondu un </w:t>
            </w:r>
            <w:r w:rsidR="00C308AA">
              <w:t>iedzīvotāju.</w:t>
            </w:r>
          </w:p>
          <w:p w14:paraId="55D43434" w14:textId="0920583C" w:rsidR="003A20BA" w:rsidRPr="00B15EEE" w:rsidRDefault="003A20BA">
            <w:pPr>
              <w:spacing w:before="120" w:after="120"/>
              <w:ind w:left="110" w:right="99"/>
              <w:jc w:val="both"/>
              <w:rPr>
                <w:rFonts w:eastAsia="Calibri"/>
              </w:rPr>
            </w:pPr>
            <w:r w:rsidRPr="005B3C2F">
              <w:rPr>
                <w:rFonts w:eastAsia="Calibri"/>
              </w:rPr>
              <w:t>Lai veicinātu aktīvāku mazemisiju un bezemisiju transportlīdzekļu iegādi un tajā pat laikā esošajā autoparkā mazinātu ar iekšdedzes dzinējiem darbināmus transportlīdzekļus, noteikumu projekt</w:t>
            </w:r>
            <w:r w:rsidRPr="009E24B4">
              <w:rPr>
                <w:rFonts w:eastAsia="Calibri"/>
              </w:rPr>
              <w:t>s papildus valsts atbalstam par mazemisiju un bezemisiju transportlīdzekļu iegādi paredz divus stimulējošus mehānismus:</w:t>
            </w:r>
          </w:p>
          <w:p w14:paraId="53FD41DC" w14:textId="3CCCA30F" w:rsidR="003A20BA" w:rsidRPr="008F4B93" w:rsidRDefault="00035DB5" w:rsidP="000D421D">
            <w:pPr>
              <w:spacing w:before="120" w:after="120"/>
              <w:ind w:left="118" w:right="99"/>
              <w:jc w:val="both"/>
              <w:rPr>
                <w:b/>
                <w:bCs/>
              </w:rPr>
            </w:pPr>
            <w:r w:rsidRPr="008F4B93">
              <w:rPr>
                <w:b/>
                <w:bCs/>
              </w:rPr>
              <w:t>1. </w:t>
            </w:r>
            <w:r w:rsidR="003A20BA" w:rsidRPr="008F4B93">
              <w:rPr>
                <w:b/>
                <w:bCs/>
                <w:u w:val="single"/>
              </w:rPr>
              <w:t xml:space="preserve">atbalsta saņēmēja īpašumā esoša M1 un N1 kategorijas transportlīdzekļa, norakstīšanu, nododot to apstrādes </w:t>
            </w:r>
            <w:r w:rsidR="003A20BA" w:rsidRPr="008F4B93">
              <w:rPr>
                <w:b/>
                <w:bCs/>
                <w:u w:val="single"/>
              </w:rPr>
              <w:lastRenderedPageBreak/>
              <w:t xml:space="preserve">uzņēmumam un attiecīgi saņemot 1000 </w:t>
            </w:r>
            <w:r w:rsidR="003A20BA" w:rsidRPr="008F4B93">
              <w:rPr>
                <w:b/>
                <w:bCs/>
                <w:i/>
                <w:iCs/>
                <w:u w:val="single"/>
              </w:rPr>
              <w:t>euro</w:t>
            </w:r>
            <w:r w:rsidR="003A20BA" w:rsidRPr="008F4B93">
              <w:rPr>
                <w:b/>
                <w:bCs/>
                <w:u w:val="single"/>
              </w:rPr>
              <w:t xml:space="preserve"> papildu atlaidi iegādājoties mazemisiju vai bezemisiju transportlīdzekli</w:t>
            </w:r>
            <w:r w:rsidR="003A20BA" w:rsidRPr="008F4B93">
              <w:rPr>
                <w:b/>
                <w:bCs/>
              </w:rPr>
              <w:t>.</w:t>
            </w:r>
          </w:p>
          <w:p w14:paraId="267E6E23" w14:textId="099EE0CB" w:rsidR="00035DB5" w:rsidRPr="00B15EEE" w:rsidRDefault="00126709" w:rsidP="000D421D">
            <w:pPr>
              <w:spacing w:before="120" w:after="120"/>
              <w:ind w:left="108" w:right="96"/>
              <w:jc w:val="both"/>
            </w:pPr>
            <w:r>
              <w:rPr>
                <w:rFonts w:eastAsia="Calibri"/>
              </w:rPr>
              <w:t>Stimulējoša m</w:t>
            </w:r>
            <w:r w:rsidR="00035DB5" w:rsidRPr="00B15EEE">
              <w:rPr>
                <w:rFonts w:eastAsia="Calibri"/>
              </w:rPr>
              <w:t xml:space="preserve">ehānisma būtība ir veicināt vecu un lietotu ar iekšdedzes dzinēju darbināmu transportlīdzekļu mazināšanos esošajā autoparkā. Līdz ar to veicinot ilgtermiņa risinājumu ieviešanu mazemisiju un bezemisiju transportlīdzekļu iegādei un izmantošanai iedzīvotāju vidū, tādā veidā nodrošinot </w:t>
            </w:r>
            <w:r w:rsidR="005B3C2F">
              <w:rPr>
                <w:rFonts w:eastAsia="Calibri"/>
              </w:rPr>
              <w:t>SEG</w:t>
            </w:r>
            <w:r w:rsidR="00035DB5" w:rsidRPr="00B15EEE">
              <w:rPr>
                <w:rFonts w:eastAsia="Calibri"/>
              </w:rPr>
              <w:t xml:space="preserve"> emisiju samazināšanos. Mehānisma darbības princips ir tāds, ja iedzīvotājs izvēlas </w:t>
            </w:r>
            <w:r w:rsidR="00A96386" w:rsidRPr="00B15EEE">
              <w:rPr>
                <w:rFonts w:eastAsia="Calibri"/>
              </w:rPr>
              <w:t xml:space="preserve">no projekta īstenotāja </w:t>
            </w:r>
            <w:r w:rsidR="00035DB5" w:rsidRPr="00B15EEE">
              <w:rPr>
                <w:rFonts w:eastAsia="Calibri"/>
              </w:rPr>
              <w:t xml:space="preserve">iegādāties konkrētu mazemisiju vai bezemisiju transportlīdzekli konkursa ietvaros un iedzīvotāja īpašumā ir esošs ar iekšdedzes dzinēju darbināms N1 un M1 kategorijas transportlīdzeklis, tad iedzīvotājam ir iespēja saņemt 1000 </w:t>
            </w:r>
            <w:r w:rsidR="00035DB5" w:rsidRPr="00B15EEE">
              <w:rPr>
                <w:rFonts w:eastAsia="Calibri"/>
                <w:i/>
                <w:iCs/>
              </w:rPr>
              <w:t>euro</w:t>
            </w:r>
            <w:r w:rsidR="00035DB5" w:rsidRPr="00B15EEE">
              <w:rPr>
                <w:rFonts w:eastAsia="Calibri"/>
              </w:rPr>
              <w:t xml:space="preserve"> atlaidi mazemisiju vai bezemisiju transportlīdzekļa iegādei, ja esošais transportlīdzeklis tiek norakstīts, nododot to apstrādes uzņēmumam. </w:t>
            </w:r>
            <w:r w:rsidR="00A96386" w:rsidRPr="00B15EEE">
              <w:rPr>
                <w:rFonts w:eastAsia="Calibri"/>
              </w:rPr>
              <w:t xml:space="preserve">Tātad iedzīvotājs, </w:t>
            </w:r>
            <w:r w:rsidR="00A96386" w:rsidRPr="00B15EEE">
              <w:t xml:space="preserve">kura īpašumā ir esošs Latvijas Republikā vismaz pēdējos trīs kalendāros gadus reģistrēts un vismaz pēdējos trīs kalendāros gadus izmantots ceļu satiksmē ar derīgu </w:t>
            </w:r>
            <w:r w:rsidR="00A96386" w:rsidRPr="00B15EEE">
              <w:rPr>
                <w:color w:val="000000" w:themeColor="text1"/>
              </w:rPr>
              <w:t>pielaidi ceļu satiksmei</w:t>
            </w:r>
            <w:r w:rsidR="00A96386" w:rsidRPr="00B15EEE">
              <w:t xml:space="preserve"> M1 un N1 kategorijas transportlīdzeklis, kas aprīkots tikai ar iekšdedzes dzinēju un ciklā starp pēdējām trijām pamatpārbaudes apskatēm ir nobraucis vidēji vismaz 5000 km gadā, aizbrauc/aizved savu transportlīdzekli apstrādes uzņēmumam nolietota transportlīdzekļa pārstrādei. Apstrādes uzņēmumu saraksts ir pieejams CSDD tīmekļa vietnē </w:t>
            </w:r>
            <w:hyperlink r:id="rId9" w:history="1">
              <w:r w:rsidR="00A96386" w:rsidRPr="00B15EEE">
                <w:rPr>
                  <w:rStyle w:val="Hyperlink"/>
                </w:rPr>
                <w:t>https://www.csdd.lv/nolietota-transportlidzekla-parstrade/apstrades-uznemumu-saraksts</w:t>
              </w:r>
            </w:hyperlink>
            <w:r w:rsidR="00A96386" w:rsidRPr="00B15EEE">
              <w:t>.</w:t>
            </w:r>
          </w:p>
          <w:p w14:paraId="79CA5112" w14:textId="359D01F1" w:rsidR="00A96386" w:rsidRPr="00B15EEE" w:rsidRDefault="00A96386" w:rsidP="000D421D">
            <w:pPr>
              <w:spacing w:before="120" w:after="120"/>
              <w:ind w:left="118" w:right="98"/>
              <w:jc w:val="both"/>
            </w:pPr>
            <w:r w:rsidRPr="00B15EEE">
              <w:t>Saskaņā ar</w:t>
            </w:r>
            <w:r w:rsidR="00D7550F">
              <w:t xml:space="preserve"> </w:t>
            </w:r>
            <w:r w:rsidR="005B3C2F" w:rsidRPr="008B5C29">
              <w:t>Nolietotu transportlīdzekļu apsaimniekošanas likumu</w:t>
            </w:r>
            <w:r w:rsidRPr="00B15EEE">
              <w:t> vieglā automobiļa, kravas automobiļa ar pilnu masu līdz 3500 kg, tricikla un kvadricikla īpašnieka pienākums ir nodrošināt, lai jebkurš tā īpašumā esošs nolietots transportlīdzeklis tiktu nodots </w:t>
            </w:r>
            <w:r w:rsidR="005B3C2F" w:rsidRPr="008B5C29">
              <w:t>apstrādes uzņēmumam.</w:t>
            </w:r>
            <w:r w:rsidRPr="00B15EEE">
              <w:t xml:space="preserve"> Savukārt, apstrādes uzņēmums nodrošina to, ka nolietota transportlīdzekļa īpašnieks var šo transportlīdzekli nodot apstrādes uzņēmuma pieņemšanas punktā bez jebkādām izmaksām, ja nolietotajam transportlīdzeklim netrūkst nozīmīgāko sastāvdaļu — motora, stūres mehānisma, šasijas, transmisijas, kā arī ja transportlīdzeklī nav papildu atkritumu un transportlīdzeklis nav reģistrēts komercķīlu reģistrā. </w:t>
            </w:r>
            <w:r w:rsidR="00C0287C" w:rsidRPr="00B15EEE">
              <w:t>P</w:t>
            </w:r>
            <w:r w:rsidRPr="00B15EEE">
              <w:t xml:space="preserve">ar nolietotā transportlīdzekļa (numurētā agregāta) nodošanu apstrādei </w:t>
            </w:r>
            <w:r w:rsidR="00C0287C" w:rsidRPr="00B15EEE">
              <w:rPr>
                <w:u w:val="single"/>
              </w:rPr>
              <w:t>a</w:t>
            </w:r>
            <w:r w:rsidRPr="00B15EEE">
              <w:rPr>
                <w:u w:val="single"/>
              </w:rPr>
              <w:t>pstrādes uzņēmums</w:t>
            </w:r>
            <w:r w:rsidRPr="00B15EEE">
              <w:t xml:space="preserve"> nolietotā transportlīdzekļa īpašniekam </w:t>
            </w:r>
            <w:r w:rsidRPr="00B15EEE">
              <w:rPr>
                <w:u w:val="single"/>
              </w:rPr>
              <w:t>izsniedz</w:t>
            </w:r>
            <w:r w:rsidR="005B397E">
              <w:rPr>
                <w:u w:val="single"/>
              </w:rPr>
              <w:t xml:space="preserve"> transportlīdzekļa</w:t>
            </w:r>
            <w:r w:rsidRPr="00B15EEE">
              <w:rPr>
                <w:u w:val="single"/>
              </w:rPr>
              <w:t xml:space="preserve"> likvidācijas sertifikātu</w:t>
            </w:r>
            <w:r w:rsidRPr="00B15EEE">
              <w:t xml:space="preserve">, kas ir izdruka no </w:t>
            </w:r>
            <w:r w:rsidR="00063BAE" w:rsidRPr="008F4B93">
              <w:rPr>
                <w:color w:val="414142"/>
                <w:shd w:val="clear" w:color="auto" w:fill="FFFFFF"/>
              </w:rPr>
              <w:t>transportlīdzekļu un to vadītāju valsts</w:t>
            </w:r>
            <w:r w:rsidR="00063BAE" w:rsidRPr="00063BAE">
              <w:t xml:space="preserve"> </w:t>
            </w:r>
            <w:r w:rsidRPr="00B15EEE">
              <w:t>reģistra.</w:t>
            </w:r>
            <w:r w:rsidR="00C0287C" w:rsidRPr="00B15EEE">
              <w:t xml:space="preserve"> </w:t>
            </w:r>
            <w:r w:rsidRPr="00B15EEE">
              <w:t xml:space="preserve">Apstrādes uzņēmums, izsniedzot </w:t>
            </w:r>
            <w:r w:rsidR="005B397E">
              <w:t xml:space="preserve">transportlīdzekļa </w:t>
            </w:r>
            <w:r w:rsidRPr="00B15EEE">
              <w:t>likvidācijas sertifikātu, veic nolietotā transportlīdzekļa norakstīšanu CSDD reģistrā.</w:t>
            </w:r>
            <w:r w:rsidR="00C0287C" w:rsidRPr="00B15EEE">
              <w:t xml:space="preserve"> </w:t>
            </w:r>
            <w:r w:rsidRPr="00B15EEE">
              <w:t>Ja transportlīdzeklis jātransportē līdz apstrādes uzņēmumam, transportlīdzekļa īpašnieks par to vienojas ar apstrādes uzņēmumu atsevišķi. Tāpat arī ar apstrādes uzņēmumu jāvienojas atsevišķi, ja transportlīdzekļa īpašnieks vēlas sev paturēt un turpmāk izmantot atsevišķas transportlīdzekļa sastāvdaļas.</w:t>
            </w:r>
          </w:p>
          <w:p w14:paraId="1A2F6263" w14:textId="0821399E" w:rsidR="00035DB5" w:rsidRPr="00B15EEE" w:rsidRDefault="00B44321" w:rsidP="000D421D">
            <w:pPr>
              <w:spacing w:before="120" w:after="120"/>
              <w:ind w:left="108" w:right="96"/>
              <w:jc w:val="both"/>
            </w:pPr>
            <w:r w:rsidRPr="00B15EEE">
              <w:rPr>
                <w:rFonts w:eastAsia="Calibri"/>
              </w:rPr>
              <w:t xml:space="preserve">Iedzīvotājs, pēc </w:t>
            </w:r>
            <w:r w:rsidR="005B397E">
              <w:rPr>
                <w:rFonts w:eastAsia="Calibri"/>
              </w:rPr>
              <w:t xml:space="preserve">transportlīdzekļa </w:t>
            </w:r>
            <w:r w:rsidRPr="00B15EEE">
              <w:rPr>
                <w:rFonts w:eastAsia="Calibri"/>
              </w:rPr>
              <w:t xml:space="preserve">likvidācijas sertifikāta saņemšanas, var doties pie projekta īstenotāja iegādāties mazemisiju vai bezemisiju transportlīdzekli ar šajos noteikumos paredzēto </w:t>
            </w:r>
            <w:r w:rsidRPr="00B15EEE">
              <w:rPr>
                <w:rFonts w:eastAsia="Calibri"/>
              </w:rPr>
              <w:lastRenderedPageBreak/>
              <w:t xml:space="preserve">papildu atlaidi 1000 </w:t>
            </w:r>
            <w:r w:rsidRPr="00B15EEE">
              <w:rPr>
                <w:rFonts w:eastAsia="Calibri"/>
                <w:i/>
                <w:iCs/>
              </w:rPr>
              <w:t>euro</w:t>
            </w:r>
            <w:r w:rsidRPr="00B15EEE">
              <w:rPr>
                <w:rFonts w:eastAsia="Calibri"/>
              </w:rPr>
              <w:t xml:space="preserve"> apmērā. Pirms transportlīdzekļa iegādes iedzīvotājs elektroniski vai papīra formātā aizpilda pieteikumu atbalsta saņemšanai, kurā norāda informāciju gan par plānoto iegādājamo transportlīdzekli, gan informāciju par norakstīto transportlīdzekli, kā arī pievieno </w:t>
            </w:r>
            <w:r w:rsidR="005B397E">
              <w:rPr>
                <w:rFonts w:eastAsia="Calibri"/>
              </w:rPr>
              <w:t xml:space="preserve">transportlīdzekļa </w:t>
            </w:r>
            <w:r w:rsidRPr="00B15EEE">
              <w:rPr>
                <w:rFonts w:eastAsia="Calibri"/>
              </w:rPr>
              <w:t>likvidācijas sertifikāta</w:t>
            </w:r>
            <w:r w:rsidR="007F51D3" w:rsidRPr="00B15EEE">
              <w:rPr>
                <w:rFonts w:eastAsia="Calibri"/>
              </w:rPr>
              <w:t xml:space="preserve"> kopiju</w:t>
            </w:r>
            <w:r w:rsidRPr="00B15EEE">
              <w:rPr>
                <w:rFonts w:eastAsia="Calibri"/>
              </w:rPr>
              <w:t xml:space="preserve">. </w:t>
            </w:r>
            <w:r w:rsidR="00035DB5" w:rsidRPr="00B15EEE">
              <w:rPr>
                <w:rFonts w:eastAsia="Calibri"/>
              </w:rPr>
              <w:t>Tas nozīmē, ka iedzīvotājs, noslēdzot pirkuma līgumu ar projekta īstenotāju, iegādāsies transportlīdzekli ar lielāku finansiālu atlaidi (valsts atbalsts</w:t>
            </w:r>
            <w:r w:rsidR="007F51D3" w:rsidRPr="00B15EEE">
              <w:rPr>
                <w:rFonts w:eastAsia="Calibri"/>
              </w:rPr>
              <w:t xml:space="preserve"> par “jauno” transportlīdzekli</w:t>
            </w:r>
            <w:r w:rsidR="00035DB5" w:rsidRPr="00B15EEE">
              <w:rPr>
                <w:rFonts w:eastAsia="Calibri"/>
              </w:rPr>
              <w:t xml:space="preserve"> un </w:t>
            </w:r>
            <w:r w:rsidR="007F51D3" w:rsidRPr="00B15EEE">
              <w:rPr>
                <w:rFonts w:eastAsia="Calibri"/>
              </w:rPr>
              <w:t>valsts</w:t>
            </w:r>
            <w:r w:rsidR="00035DB5" w:rsidRPr="00B15EEE">
              <w:rPr>
                <w:rFonts w:eastAsia="Calibri"/>
              </w:rPr>
              <w:t xml:space="preserve"> </w:t>
            </w:r>
            <w:r w:rsidR="007F51D3" w:rsidRPr="00B15EEE">
              <w:rPr>
                <w:rFonts w:eastAsia="Calibri"/>
              </w:rPr>
              <w:t>atbalsts par “veco” transportlīdzekli</w:t>
            </w:r>
            <w:r w:rsidR="00035DB5" w:rsidRPr="00B15EEE">
              <w:rPr>
                <w:rFonts w:eastAsia="Calibri"/>
              </w:rPr>
              <w:t>).</w:t>
            </w:r>
            <w:r w:rsidR="007F51D3" w:rsidRPr="00B15EEE">
              <w:rPr>
                <w:rFonts w:eastAsia="Calibri"/>
              </w:rPr>
              <w:t xml:space="preserve"> Savukārt projekta īstenotājs minēto finansējuma apjomu kā maksājumu saņems no VARAM, atbilstoši iesniegtajām </w:t>
            </w:r>
            <w:r w:rsidR="007F51D3" w:rsidRPr="00B15EEE">
              <w:t>kopsavilkuma atskaitēm par iepriekšējo mēnesi.</w:t>
            </w:r>
          </w:p>
          <w:p w14:paraId="321ACAB8" w14:textId="2F22740F" w:rsidR="004F3F59" w:rsidRDefault="004F3F59" w:rsidP="000D421D">
            <w:pPr>
              <w:spacing w:before="120" w:after="120"/>
              <w:ind w:left="108" w:right="96"/>
              <w:jc w:val="both"/>
            </w:pPr>
            <w:r w:rsidRPr="00B15EEE">
              <w:t xml:space="preserve">Konkursa izsludināšanas dienā Vides investīciju fonds ievietos </w:t>
            </w:r>
            <w:r w:rsidR="00126709">
              <w:t>savā</w:t>
            </w:r>
            <w:r w:rsidRPr="00B15EEE">
              <w:t xml:space="preserve"> tīmekļvietnē vadlīnijas </w:t>
            </w:r>
            <w:r w:rsidR="002B50EF">
              <w:t>atbalsta</w:t>
            </w:r>
            <w:r w:rsidR="002B50EF" w:rsidRPr="00B15EEE">
              <w:t xml:space="preserve"> </w:t>
            </w:r>
            <w:r w:rsidRPr="00B15EEE">
              <w:t>saņēmējiem par transportlīdzekļu norakstīšanu, nododot tos apstrādes uzņēmumam.</w:t>
            </w:r>
          </w:p>
          <w:p w14:paraId="3ABF4477" w14:textId="57CB32A6" w:rsidR="00131C70" w:rsidRPr="008B47A3" w:rsidRDefault="00131C70" w:rsidP="000D421D">
            <w:pPr>
              <w:spacing w:before="120" w:after="120"/>
              <w:ind w:left="108" w:right="96"/>
              <w:jc w:val="both"/>
              <w:rPr>
                <w:color w:val="000000" w:themeColor="text1"/>
              </w:rPr>
            </w:pPr>
            <w:r w:rsidRPr="00E307EB">
              <w:rPr>
                <w:color w:val="000000" w:themeColor="text1"/>
              </w:rPr>
              <w:t>Lai nodrošinā</w:t>
            </w:r>
            <w:r>
              <w:rPr>
                <w:color w:val="000000" w:themeColor="text1"/>
              </w:rPr>
              <w:t xml:space="preserve">tu pēc iespējas vienkāršāku un ērtāku atbalsta sistēmas ieviešanu, tajā skaitā piemērojot dažāda veida stimulējošus risinājumus lielāka skaita mazemisiju un bezemisiju transportlīdzekļu iegādei, papildu administratīvo prasību noteikšana (piemēram, auto novērtēšana) nav vēlama. Tajā pat laikā, lai ieviestu diferencētus kompensācijas apmērus būtu jāveic priekšizpēte attiecībā uz esošā automobiļu tirgus novērtējumu – automobiļu skaits, sadalījums klasēs, vecums, tehniskie nosacījumi un iespējām tirgus vērtība. VARAM rīcībā šāda </w:t>
            </w:r>
            <w:r w:rsidR="00126709">
              <w:rPr>
                <w:color w:val="000000" w:themeColor="text1"/>
              </w:rPr>
              <w:t xml:space="preserve">rakstura </w:t>
            </w:r>
            <w:r>
              <w:rPr>
                <w:color w:val="000000" w:themeColor="text1"/>
              </w:rPr>
              <w:t xml:space="preserve">informācijas šobrīd nav un vērtējums balstās uz pieņēmumiem un publiski pieejamo informāciju par šāda veida transportlīdzekļu cenām. Papildus tam nenosakot konkrētu vērtību, var veidoties situācija, ka norakstāmā transportlīdzekļa vērtība ir būtiski lielāka nekā plānota kompensācija 1000 </w:t>
            </w:r>
            <w:r w:rsidRPr="00D53842">
              <w:rPr>
                <w:i/>
                <w:iCs/>
                <w:color w:val="000000" w:themeColor="text1"/>
              </w:rPr>
              <w:t>eiro</w:t>
            </w:r>
            <w:r>
              <w:rPr>
                <w:color w:val="000000" w:themeColor="text1"/>
              </w:rPr>
              <w:t xml:space="preserve"> apjomā. Līdz ar to piedāvātais kompensācijas apmērs 1000 </w:t>
            </w:r>
            <w:r w:rsidRPr="008B5C29">
              <w:rPr>
                <w:i/>
                <w:iCs/>
                <w:color w:val="000000" w:themeColor="text1"/>
              </w:rPr>
              <w:t>eiro</w:t>
            </w:r>
            <w:r>
              <w:rPr>
                <w:color w:val="000000" w:themeColor="text1"/>
              </w:rPr>
              <w:t xml:space="preserve"> ir proporcionāls un samērīgs.</w:t>
            </w:r>
          </w:p>
          <w:p w14:paraId="5A7DF6E6" w14:textId="63B7F699" w:rsidR="003A20BA" w:rsidRPr="000D421D" w:rsidRDefault="003A20BA" w:rsidP="000D421D">
            <w:pPr>
              <w:spacing w:before="120" w:after="120"/>
              <w:ind w:left="108" w:right="96"/>
              <w:jc w:val="both"/>
              <w:rPr>
                <w:b/>
                <w:bCs/>
                <w:u w:val="single"/>
                <w:shd w:val="clear" w:color="auto" w:fill="FFFFFF"/>
              </w:rPr>
            </w:pPr>
            <w:r w:rsidRPr="008F4B93">
              <w:rPr>
                <w:rFonts w:eastAsia="Calibri"/>
                <w:b/>
                <w:bCs/>
              </w:rPr>
              <w:t>2. </w:t>
            </w:r>
            <w:r w:rsidRPr="008F4B93">
              <w:rPr>
                <w:rFonts w:eastAsia="Calibri"/>
                <w:b/>
                <w:bCs/>
                <w:u w:val="single"/>
              </w:rPr>
              <w:t>p</w:t>
            </w:r>
            <w:r w:rsidRPr="008F4B93">
              <w:rPr>
                <w:b/>
                <w:bCs/>
                <w:u w:val="single"/>
              </w:rPr>
              <w:t xml:space="preserve">rojekta īstenotāja </w:t>
            </w:r>
            <w:r w:rsidRPr="008F4B93">
              <w:rPr>
                <w:b/>
                <w:bCs/>
                <w:u w:val="single"/>
                <w:shd w:val="clear" w:color="auto" w:fill="FFFFFF"/>
              </w:rPr>
              <w:t xml:space="preserve">piedāvātā papildus atlaide vismaz 1000 </w:t>
            </w:r>
            <w:r w:rsidRPr="008F4B93">
              <w:rPr>
                <w:b/>
                <w:bCs/>
                <w:i/>
                <w:iCs/>
                <w:u w:val="single"/>
                <w:shd w:val="clear" w:color="auto" w:fill="FFFFFF"/>
              </w:rPr>
              <w:t>euro</w:t>
            </w:r>
            <w:r w:rsidRPr="008F4B93">
              <w:rPr>
                <w:b/>
                <w:bCs/>
                <w:u w:val="single"/>
                <w:shd w:val="clear" w:color="auto" w:fill="FFFFFF"/>
              </w:rPr>
              <w:t xml:space="preserve"> (bez PVN) apmērā vai cits viens vai vairāki papildu stimulējoši risinājumi minētā finansiālā ekvivalenta apmērā</w:t>
            </w:r>
            <w:r w:rsidR="003E17C8">
              <w:rPr>
                <w:b/>
                <w:bCs/>
                <w:u w:val="single"/>
                <w:shd w:val="clear" w:color="auto" w:fill="FFFFFF"/>
              </w:rPr>
              <w:t xml:space="preserve">, ja atbalsta saņēmējs iegādājas </w:t>
            </w:r>
            <w:r w:rsidR="00EC7AB3">
              <w:rPr>
                <w:b/>
                <w:bCs/>
                <w:u w:val="single"/>
                <w:shd w:val="clear" w:color="auto" w:fill="FFFFFF"/>
              </w:rPr>
              <w:t>j</w:t>
            </w:r>
            <w:r w:rsidR="003E17C8">
              <w:rPr>
                <w:b/>
                <w:bCs/>
                <w:u w:val="single"/>
                <w:shd w:val="clear" w:color="auto" w:fill="FFFFFF"/>
              </w:rPr>
              <w:t>aunu elektromobili</w:t>
            </w:r>
            <w:r w:rsidR="00EC7AB3">
              <w:rPr>
                <w:b/>
                <w:bCs/>
                <w:u w:val="single"/>
                <w:shd w:val="clear" w:color="auto" w:fill="FFFFFF"/>
              </w:rPr>
              <w:t>.</w:t>
            </w:r>
            <w:r w:rsidR="003E17C8">
              <w:rPr>
                <w:b/>
                <w:bCs/>
                <w:u w:val="single"/>
                <w:shd w:val="clear" w:color="auto" w:fill="FFFFFF"/>
              </w:rPr>
              <w:t xml:space="preserve"> </w:t>
            </w:r>
            <w:r w:rsidR="00EC7AB3">
              <w:rPr>
                <w:b/>
                <w:bCs/>
                <w:u w:val="single"/>
                <w:shd w:val="clear" w:color="auto" w:fill="FFFFFF"/>
              </w:rPr>
              <w:t xml:space="preserve">Savukārt </w:t>
            </w:r>
            <w:r w:rsidR="00EC7AB3" w:rsidRPr="00EC7AB3">
              <w:rPr>
                <w:b/>
                <w:bCs/>
                <w:u w:val="single"/>
                <w:shd w:val="clear" w:color="auto" w:fill="FFFFFF"/>
              </w:rPr>
              <w:t xml:space="preserve">lietota elektromobiļa </w:t>
            </w:r>
            <w:r w:rsidR="00EC7AB3" w:rsidRPr="00E14405">
              <w:rPr>
                <w:b/>
                <w:bCs/>
                <w:u w:val="single"/>
                <w:shd w:val="clear" w:color="auto" w:fill="FFFFFF"/>
              </w:rPr>
              <w:t>iegādei p</w:t>
            </w:r>
            <w:r w:rsidR="003E17C8" w:rsidRPr="000D421D">
              <w:rPr>
                <w:b/>
                <w:bCs/>
                <w:u w:val="single"/>
              </w:rPr>
              <w:t>rojekta īstenotājam ir</w:t>
            </w:r>
            <w:r w:rsidR="003E17C8" w:rsidRPr="000D421D">
              <w:rPr>
                <w:b/>
                <w:bCs/>
                <w:u w:val="single"/>
                <w:shd w:val="clear" w:color="auto" w:fill="FFFFFF"/>
              </w:rPr>
              <w:t xml:space="preserve"> jāpiedāvā atbalsta saņēmējam papildus atlaide vismaz 500 </w:t>
            </w:r>
            <w:r w:rsidR="003E17C8" w:rsidRPr="000D421D">
              <w:rPr>
                <w:b/>
                <w:bCs/>
                <w:i/>
                <w:iCs/>
                <w:u w:val="single"/>
                <w:shd w:val="clear" w:color="auto" w:fill="FFFFFF"/>
              </w:rPr>
              <w:t>euro</w:t>
            </w:r>
            <w:r w:rsidR="003E17C8" w:rsidRPr="000D421D">
              <w:rPr>
                <w:b/>
                <w:bCs/>
                <w:u w:val="single"/>
                <w:shd w:val="clear" w:color="auto" w:fill="FFFFFF"/>
              </w:rPr>
              <w:t xml:space="preserve"> (bez PVN) apmērā vai cits viens vai vairāki stimulējoši risinājumi minētā finansiālā ekvivalenta apmērā</w:t>
            </w:r>
            <w:r w:rsidR="00EC7AB3" w:rsidRPr="000D421D">
              <w:rPr>
                <w:b/>
                <w:bCs/>
                <w:u w:val="single"/>
                <w:shd w:val="clear" w:color="auto" w:fill="FFFFFF"/>
              </w:rPr>
              <w:t>.</w:t>
            </w:r>
          </w:p>
          <w:p w14:paraId="0848D439" w14:textId="7CB0C140" w:rsidR="003A20BA" w:rsidRPr="00B15EEE" w:rsidRDefault="003A20BA" w:rsidP="00E16C1A">
            <w:pPr>
              <w:spacing w:before="120" w:after="120"/>
              <w:ind w:left="108" w:right="96"/>
              <w:jc w:val="both"/>
              <w:rPr>
                <w:rFonts w:eastAsia="Calibri"/>
              </w:rPr>
            </w:pPr>
            <w:r w:rsidRPr="00B15EEE">
              <w:rPr>
                <w:rFonts w:eastAsia="Calibri"/>
              </w:rPr>
              <w:t xml:space="preserve">Mehānisma būtība ir </w:t>
            </w:r>
            <w:r w:rsidR="00E3409E" w:rsidRPr="00B15EEE">
              <w:rPr>
                <w:rFonts w:eastAsia="Calibri"/>
              </w:rPr>
              <w:t>veicināt ilgtermiņa risinājumu ieviešanu mazemisiju un bezemisiju transportlīdzekļu iegādei un izmantošanai iedzīvotāju vidū, tādā veidā nodrošinot efektīvāku valsts un privātā sektora iesaisti Latvija</w:t>
            </w:r>
            <w:r w:rsidR="00063BAE">
              <w:rPr>
                <w:rFonts w:eastAsia="Calibri"/>
              </w:rPr>
              <w:t>i</w:t>
            </w:r>
            <w:r w:rsidR="00E3409E" w:rsidRPr="00B15EEE">
              <w:rPr>
                <w:rFonts w:eastAsia="Calibri"/>
              </w:rPr>
              <w:t xml:space="preserve"> noteikto </w:t>
            </w:r>
            <w:r w:rsidR="005B397E">
              <w:rPr>
                <w:rFonts w:eastAsia="Calibri"/>
              </w:rPr>
              <w:t>SEG</w:t>
            </w:r>
            <w:r w:rsidR="00E3409E" w:rsidRPr="00B15EEE">
              <w:rPr>
                <w:rFonts w:eastAsia="Calibri"/>
              </w:rPr>
              <w:t xml:space="preserve"> emisiju</w:t>
            </w:r>
            <w:r w:rsidR="00063BAE">
              <w:rPr>
                <w:rFonts w:eastAsia="Calibri"/>
              </w:rPr>
              <w:t xml:space="preserve"> smazināšanas</w:t>
            </w:r>
            <w:r w:rsidR="00E3409E" w:rsidRPr="00B15EEE">
              <w:rPr>
                <w:rFonts w:eastAsia="Calibri"/>
              </w:rPr>
              <w:t xml:space="preserve"> mērķu sasniegšanā. Mehānisma darbības princips ir tāds, ka iedzīvotājs izvēlas iegādāties konkrētu mazemisiju vai bezemisiju transportlīdzekli. Atbilstoši veiktai iedzīvotāja izvēlei projekta īstenotājs piedāvā šim transportlīdzeklim atlaidi vismaz 1000 </w:t>
            </w:r>
            <w:r w:rsidR="00E3409E" w:rsidRPr="00B15EEE">
              <w:rPr>
                <w:rFonts w:eastAsia="Calibri"/>
                <w:i/>
                <w:iCs/>
              </w:rPr>
              <w:t>euro</w:t>
            </w:r>
            <w:r w:rsidR="00EC7AB3">
              <w:rPr>
                <w:rFonts w:eastAsia="Calibri"/>
                <w:i/>
                <w:iCs/>
              </w:rPr>
              <w:t xml:space="preserve"> </w:t>
            </w:r>
            <w:r w:rsidR="00E14405" w:rsidRPr="00B15EEE">
              <w:rPr>
                <w:rFonts w:eastAsia="Calibri"/>
              </w:rPr>
              <w:t>bez PVN)</w:t>
            </w:r>
            <w:r w:rsidR="00E14405">
              <w:rPr>
                <w:rFonts w:eastAsia="Calibri"/>
              </w:rPr>
              <w:t xml:space="preserve"> </w:t>
            </w:r>
            <w:r w:rsidR="00EC7AB3" w:rsidRPr="008B5C29">
              <w:rPr>
                <w:rFonts w:eastAsia="Calibri"/>
              </w:rPr>
              <w:t>(</w:t>
            </w:r>
            <w:r w:rsidR="00EC7AB3">
              <w:rPr>
                <w:rFonts w:eastAsia="Calibri"/>
              </w:rPr>
              <w:t>jauna elektromobiļa vai ārēji lādējama hibrīdauto gadījumā</w:t>
            </w:r>
            <w:r w:rsidR="00EC7AB3" w:rsidRPr="008B5C29">
              <w:rPr>
                <w:rFonts w:eastAsia="Calibri"/>
              </w:rPr>
              <w:t>)</w:t>
            </w:r>
            <w:r w:rsidR="00E3409E" w:rsidRPr="00B15EEE">
              <w:rPr>
                <w:rFonts w:eastAsia="Calibri"/>
                <w:i/>
                <w:iCs/>
              </w:rPr>
              <w:t xml:space="preserve"> </w:t>
            </w:r>
            <w:r w:rsidR="00E3409E" w:rsidRPr="00B15EEE">
              <w:rPr>
                <w:rFonts w:eastAsia="Calibri"/>
              </w:rPr>
              <w:t>(</w:t>
            </w:r>
            <w:r w:rsidR="00EC7AB3">
              <w:rPr>
                <w:rFonts w:eastAsia="Calibri"/>
              </w:rPr>
              <w:t xml:space="preserve">vai 500 </w:t>
            </w:r>
            <w:r w:rsidR="00EC7AB3" w:rsidRPr="008B5C29">
              <w:rPr>
                <w:rFonts w:eastAsia="Calibri"/>
                <w:i/>
                <w:iCs/>
              </w:rPr>
              <w:t>euro</w:t>
            </w:r>
            <w:r w:rsidR="00EC7AB3">
              <w:rPr>
                <w:rFonts w:eastAsia="Calibri"/>
              </w:rPr>
              <w:t xml:space="preserve"> (bez PVN) (lietota elektromobiļa gadījumā)</w:t>
            </w:r>
            <w:r w:rsidR="00E3409E" w:rsidRPr="00B15EEE">
              <w:rPr>
                <w:rFonts w:eastAsia="Calibri"/>
              </w:rPr>
              <w:t xml:space="preserve"> apmērā vai vienu vai vairākus cita veida pasākumus </w:t>
            </w:r>
            <w:r w:rsidR="00EC7AB3">
              <w:rPr>
                <w:rFonts w:eastAsia="Calibri"/>
              </w:rPr>
              <w:t xml:space="preserve">attiecīgi </w:t>
            </w:r>
            <w:r w:rsidR="00E3409E" w:rsidRPr="00B15EEE">
              <w:rPr>
                <w:rFonts w:eastAsia="Calibri"/>
              </w:rPr>
              <w:t xml:space="preserve">1000 </w:t>
            </w:r>
            <w:r w:rsidR="00E3409E" w:rsidRPr="00B15EEE">
              <w:rPr>
                <w:rFonts w:eastAsia="Calibri"/>
                <w:i/>
                <w:iCs/>
              </w:rPr>
              <w:lastRenderedPageBreak/>
              <w:t>euro</w:t>
            </w:r>
            <w:r w:rsidR="00E3409E" w:rsidRPr="00B15EEE">
              <w:rPr>
                <w:rFonts w:eastAsia="Calibri"/>
              </w:rPr>
              <w:t xml:space="preserve"> (bez PVN)</w:t>
            </w:r>
            <w:r w:rsidR="00EC7AB3">
              <w:rPr>
                <w:rFonts w:eastAsia="Calibri"/>
              </w:rPr>
              <w:t xml:space="preserve"> / 500 </w:t>
            </w:r>
            <w:r w:rsidR="00EC7AB3" w:rsidRPr="008B5C29">
              <w:rPr>
                <w:rFonts w:eastAsia="Calibri"/>
                <w:i/>
                <w:iCs/>
              </w:rPr>
              <w:t>euro</w:t>
            </w:r>
            <w:r w:rsidR="00EC7AB3">
              <w:rPr>
                <w:rFonts w:eastAsia="Calibri"/>
              </w:rPr>
              <w:t xml:space="preserve"> (bez PVN)</w:t>
            </w:r>
            <w:r w:rsidR="00E3409E" w:rsidRPr="00B15EEE">
              <w:rPr>
                <w:rFonts w:eastAsia="Calibri"/>
              </w:rPr>
              <w:t xml:space="preserve"> vērtībā (piem., servisa pakalpojumi, papildu aprīkojuma nodroši</w:t>
            </w:r>
            <w:r w:rsidR="00E14405">
              <w:rPr>
                <w:rFonts w:eastAsia="Calibri"/>
              </w:rPr>
              <w:t>nāš</w:t>
            </w:r>
            <w:r w:rsidR="005B397E">
              <w:rPr>
                <w:rFonts w:eastAsia="Calibri"/>
              </w:rPr>
              <w:t>a</w:t>
            </w:r>
            <w:r w:rsidR="00E3409E" w:rsidRPr="00B15EEE">
              <w:rPr>
                <w:rFonts w:eastAsia="Calibri"/>
              </w:rPr>
              <w:t>na). Tas nozīmē, ka iedzīvotājs, noslēdzot līgumu</w:t>
            </w:r>
            <w:r w:rsidR="005B397E">
              <w:rPr>
                <w:rFonts w:eastAsia="Calibri"/>
              </w:rPr>
              <w:t xml:space="preserve"> par transportlīdzekļa iegādi</w:t>
            </w:r>
            <w:r w:rsidR="00E3409E" w:rsidRPr="00B15EEE">
              <w:rPr>
                <w:rFonts w:eastAsia="Calibri"/>
              </w:rPr>
              <w:t xml:space="preserve">, iegādāsies transportlīdzekli ar lielāku finansiālu atlaidi (valsts atbalsts un projekta īstenotāja atlaide) vai ar labāku tehnisko nodrošinājumu, vai </w:t>
            </w:r>
            <w:r w:rsidR="00CD2777" w:rsidRPr="00B15EEE">
              <w:rPr>
                <w:rFonts w:eastAsia="Calibri"/>
              </w:rPr>
              <w:t xml:space="preserve">ar pakalpojumu saņemšanu </w:t>
            </w:r>
            <w:r w:rsidR="00E3409E" w:rsidRPr="00B15EEE">
              <w:rPr>
                <w:rFonts w:eastAsia="Calibri"/>
              </w:rPr>
              <w:t>vidēj</w:t>
            </w:r>
            <w:r w:rsidR="00CD2777" w:rsidRPr="00B15EEE">
              <w:rPr>
                <w:rFonts w:eastAsia="Calibri"/>
              </w:rPr>
              <w:t>ā</w:t>
            </w:r>
            <w:r w:rsidR="00E3409E" w:rsidRPr="00B15EEE">
              <w:rPr>
                <w:rFonts w:eastAsia="Calibri"/>
              </w:rPr>
              <w:t xml:space="preserve"> </w:t>
            </w:r>
            <w:r w:rsidR="00630B37">
              <w:rPr>
                <w:rFonts w:eastAsia="Calibri"/>
              </w:rPr>
              <w:t xml:space="preserve">(līdz 5 gadu) </w:t>
            </w:r>
            <w:r w:rsidR="00E3409E" w:rsidRPr="00B15EEE">
              <w:rPr>
                <w:rFonts w:eastAsia="Calibri"/>
              </w:rPr>
              <w:t>termiņ</w:t>
            </w:r>
            <w:r w:rsidR="00CD2777" w:rsidRPr="00B15EEE">
              <w:rPr>
                <w:rFonts w:eastAsia="Calibri"/>
              </w:rPr>
              <w:t>ā.</w:t>
            </w:r>
          </w:p>
          <w:p w14:paraId="633F75F0" w14:textId="47D97C80" w:rsidR="003A20BA" w:rsidRPr="00B15EEE" w:rsidRDefault="004F3F59">
            <w:pPr>
              <w:spacing w:before="120" w:after="120"/>
              <w:ind w:left="110" w:right="99"/>
              <w:jc w:val="both"/>
              <w:rPr>
                <w:rFonts w:eastAsia="Calibri"/>
              </w:rPr>
            </w:pPr>
            <w:r w:rsidRPr="00B15EEE">
              <w:t>Konkursa izsludināšanas dienā Vides investīciju fonds ievietos Vides investīciju fonda tīmekļvietnē vadlīnijas atbalsta saņēmējiem par transportlīdzekļu iegādes kārtību pie projekta īstenotāja.</w:t>
            </w:r>
          </w:p>
          <w:p w14:paraId="745BA053" w14:textId="37042AB7" w:rsidR="00B33B61" w:rsidRPr="008F4B93" w:rsidRDefault="004F3F59">
            <w:pPr>
              <w:spacing w:before="120" w:after="120"/>
              <w:ind w:left="110" w:right="99"/>
              <w:jc w:val="both"/>
            </w:pPr>
            <w:r w:rsidRPr="00B15EEE">
              <w:rPr>
                <w:rFonts w:eastAsia="Calibri"/>
              </w:rPr>
              <w:t>Vienlaikus</w:t>
            </w:r>
            <w:r w:rsidR="00B33B61" w:rsidRPr="008F4B93">
              <w:t xml:space="preserve"> Vides investīciju fonds</w:t>
            </w:r>
            <w:r w:rsidR="00B33B61" w:rsidRPr="008F4B93">
              <w:rPr>
                <w:b/>
                <w:bCs/>
              </w:rPr>
              <w:t xml:space="preserve"> </w:t>
            </w:r>
            <w:r w:rsidR="00B33B61" w:rsidRPr="008F4B93">
              <w:t>sagatavo</w:t>
            </w:r>
            <w:r w:rsidRPr="008F4B93">
              <w:t>s</w:t>
            </w:r>
            <w:r w:rsidR="00B33B61" w:rsidRPr="008F4B93">
              <w:t xml:space="preserve"> projekta līgum</w:t>
            </w:r>
            <w:r w:rsidRPr="008F4B93">
              <w:t>a veidni, kas būs</w:t>
            </w:r>
            <w:r w:rsidR="00B33B61" w:rsidRPr="008F4B93">
              <w:t xml:space="preserve"> pieejam</w:t>
            </w:r>
            <w:r w:rsidRPr="008F4B93">
              <w:t>a</w:t>
            </w:r>
            <w:r w:rsidR="00B33B61" w:rsidRPr="008F4B93">
              <w:t xml:space="preserve"> projekta iesniedzējiem jau savlaicīgi pirms projekta iesnieguma iesniegšanas, ņemot vērā, ka līguma saturs varētu ietekmēt projekta iesniedzēja motivāciju un iespējas piedalīties finanšu instrumenta konkursā.</w:t>
            </w:r>
            <w:r w:rsidRPr="008F4B93">
              <w:t xml:space="preserve"> Tāpat tiks sagatavota pirkuma līguma veidne, kas būs pieejama </w:t>
            </w:r>
            <w:r w:rsidR="002B50EF">
              <w:t>atbalsta</w:t>
            </w:r>
            <w:r w:rsidRPr="008F4B93">
              <w:t xml:space="preserve"> saņēmējiem jau savlaicīgi pirms pir</w:t>
            </w:r>
            <w:r w:rsidR="00630B37">
              <w:t>k</w:t>
            </w:r>
            <w:r w:rsidRPr="008F4B93">
              <w:t>uma veikšanas.</w:t>
            </w:r>
          </w:p>
          <w:p w14:paraId="6C9265D7" w14:textId="2F18EDE0" w:rsidR="00A024B1" w:rsidRDefault="004F3F59">
            <w:pPr>
              <w:pStyle w:val="ListParagraph"/>
              <w:tabs>
                <w:tab w:val="left" w:pos="993"/>
              </w:tabs>
              <w:spacing w:before="120" w:after="120"/>
              <w:ind w:left="118" w:right="98"/>
              <w:contextualSpacing w:val="0"/>
              <w:jc w:val="both"/>
            </w:pPr>
            <w:r w:rsidRPr="008F4B93">
              <w:t>Lai nodrošinātu noteikumu projektā noteikto prasību izpildes uzraudzību līgumā</w:t>
            </w:r>
            <w:r w:rsidR="009E24B4">
              <w:t xml:space="preserve"> par transportlīdzekļa iegādi</w:t>
            </w:r>
            <w:r w:rsidRPr="008F4B93">
              <w:t xml:space="preserve"> tiks </w:t>
            </w:r>
            <w:r w:rsidR="00126709">
              <w:t>noteikta</w:t>
            </w:r>
            <w:r w:rsidR="00126709" w:rsidRPr="008F4B93">
              <w:t xml:space="preserve"> </w:t>
            </w:r>
            <w:r w:rsidRPr="008F4B93">
              <w:t xml:space="preserve">kārtība kādā veidā notiek saistību izpilde un uzraudzība starp </w:t>
            </w:r>
            <w:r w:rsidR="002B50EF">
              <w:t>atbalsta</w:t>
            </w:r>
            <w:r w:rsidRPr="008F4B93">
              <w:t xml:space="preserve"> saņēmēju un Vides investīciju fondu</w:t>
            </w:r>
            <w:r w:rsidR="002116ED" w:rsidRPr="008F4B93">
              <w:t xml:space="preserve">. Savukārt Vides investīciju fonds </w:t>
            </w:r>
            <w:r w:rsidR="00A024B1" w:rsidRPr="008F4B93">
              <w:t>noteikumu projekt</w:t>
            </w:r>
            <w:r w:rsidR="002116ED" w:rsidRPr="008F4B93">
              <w:t>ā</w:t>
            </w:r>
            <w:r w:rsidR="00A024B1" w:rsidRPr="008F4B93">
              <w:t xml:space="preserve"> </w:t>
            </w:r>
            <w:r w:rsidR="002116ED" w:rsidRPr="008F4B93">
              <w:t xml:space="preserve">ietvertos </w:t>
            </w:r>
            <w:r w:rsidR="00A024B1" w:rsidRPr="008F4B93">
              <w:t>nosacījumu</w:t>
            </w:r>
            <w:r w:rsidR="002116ED" w:rsidRPr="008F4B93">
              <w:t>s kontrolēs izmantojot publiski pieejamās datubāzes, sadarbību ar citām valsts iestādēm (piem., CSDD)</w:t>
            </w:r>
            <w:r w:rsidR="00126709">
              <w:t>, kā arī</w:t>
            </w:r>
            <w:r w:rsidR="002116ED" w:rsidRPr="008F4B93">
              <w:t xml:space="preserve">komunicējot ar projektu īstenotājiem un </w:t>
            </w:r>
            <w:r w:rsidR="002B50EF">
              <w:t>atbalsta</w:t>
            </w:r>
            <w:r w:rsidR="002116ED" w:rsidRPr="008F4B93">
              <w:t xml:space="preserve"> saņēmējiem. L</w:t>
            </w:r>
            <w:r w:rsidR="00A024B1" w:rsidRPr="008F4B93">
              <w:t>ēmum</w:t>
            </w:r>
            <w:r w:rsidR="002116ED" w:rsidRPr="008F4B93">
              <w:t xml:space="preserve">s </w:t>
            </w:r>
            <w:r w:rsidR="00A024B1" w:rsidRPr="008F4B93">
              <w:t>par finansējuma atgūšanu</w:t>
            </w:r>
            <w:r w:rsidR="002116ED" w:rsidRPr="008F4B93">
              <w:t xml:space="preserve"> ir administratīvais akts un tā</w:t>
            </w:r>
            <w:r w:rsidR="00A024B1" w:rsidRPr="008F4B93">
              <w:t xml:space="preserve"> būtīb</w:t>
            </w:r>
            <w:r w:rsidR="002116ED" w:rsidRPr="008F4B93">
              <w:t>a ir</w:t>
            </w:r>
            <w:r w:rsidR="00A024B1" w:rsidRPr="008F4B93">
              <w:t xml:space="preserve"> </w:t>
            </w:r>
            <w:r w:rsidR="002116ED" w:rsidRPr="008F4B93">
              <w:t>nodrošināt līdzekļu atmaksu, ja netiek pildītas pirkuma līgumā noteiktās saistības.</w:t>
            </w:r>
          </w:p>
          <w:p w14:paraId="4714A046" w14:textId="101A894A" w:rsidR="00F477DB" w:rsidRDefault="00F477DB">
            <w:pPr>
              <w:pStyle w:val="ListParagraph"/>
              <w:tabs>
                <w:tab w:val="left" w:pos="993"/>
              </w:tabs>
              <w:spacing w:before="120" w:after="120"/>
              <w:ind w:left="118" w:right="98"/>
              <w:contextualSpacing w:val="0"/>
              <w:jc w:val="both"/>
              <w:rPr>
                <w:color w:val="000000"/>
                <w:shd w:val="clear" w:color="auto" w:fill="FFFFFF"/>
              </w:rPr>
            </w:pPr>
            <w:r>
              <w:t xml:space="preserve">Lai nodrošinātu projekta ietvaros iegādāto transportlīdzekļu ilgtspējīgu izmantošanu, gadījumos, kad tiek piesaistīts līzinga devējs, noteikumu projekts paredz, ka </w:t>
            </w:r>
            <w:r w:rsidRPr="008B5C29">
              <w:t xml:space="preserve">Vides investīciju fonds un līzinga devējs, kas sniegs līzinga pakalpojumus atbalsta saņēmējiem </w:t>
            </w:r>
            <w:r>
              <w:t>transportlīdzekļa</w:t>
            </w:r>
            <w:r w:rsidRPr="008B5C29">
              <w:t xml:space="preserve"> </w:t>
            </w:r>
            <w:r w:rsidRPr="008B5C29">
              <w:rPr>
                <w:color w:val="000000"/>
                <w:shd w:val="clear" w:color="auto" w:fill="FFFFFF"/>
              </w:rPr>
              <w:t xml:space="preserve">iegādei noslēdz līgumu par Vides investīciju fonda un līzinga devēja </w:t>
            </w:r>
            <w:r w:rsidRPr="008B5C29">
              <w:t>tiesībām un pienākumiem</w:t>
            </w:r>
            <w:r w:rsidRPr="008B5C29">
              <w:rPr>
                <w:color w:val="000000"/>
                <w:shd w:val="clear" w:color="auto" w:fill="FFFFFF"/>
              </w:rPr>
              <w:t xml:space="preserve"> šī konkursa ietvaros.</w:t>
            </w:r>
            <w:r>
              <w:rPr>
                <w:color w:val="000000"/>
                <w:shd w:val="clear" w:color="auto" w:fill="FFFFFF"/>
              </w:rPr>
              <w:t xml:space="preserve"> Minētais līgums ietvers nosacījums t.sk. par savstarpējām attiecībām starp Vides investīciju fondu, līzinga devēju un atbalsta saņēmēju</w:t>
            </w:r>
            <w:r w:rsidR="00DB48FD">
              <w:rPr>
                <w:color w:val="000000"/>
                <w:shd w:val="clear" w:color="auto" w:fill="FFFFFF"/>
              </w:rPr>
              <w:t xml:space="preserve">, sankcijas par </w:t>
            </w:r>
            <w:r w:rsidR="00760BD6">
              <w:rPr>
                <w:color w:val="000000"/>
                <w:shd w:val="clear" w:color="auto" w:fill="FFFFFF"/>
              </w:rPr>
              <w:t>transportlīdzekļa</w:t>
            </w:r>
            <w:r w:rsidR="00DB48FD">
              <w:rPr>
                <w:color w:val="000000"/>
                <w:shd w:val="clear" w:color="auto" w:fill="FFFFFF"/>
              </w:rPr>
              <w:t xml:space="preserve"> atsavināšanu, ja netiek nodrošināti šajos noteikumos minētie nosacījumi, monitoringa nosacījum</w:t>
            </w:r>
            <w:r w:rsidR="004D4398">
              <w:rPr>
                <w:color w:val="000000"/>
                <w:shd w:val="clear" w:color="auto" w:fill="FFFFFF"/>
              </w:rPr>
              <w:t>i t.sk. transportlīdzekļa nobraukums un finansējuma atmaksāšanas nosacījumi gadījumos, kad transportlīdzekli nevar izmantot satiksmē (avarējis, nozagts un tml.)</w:t>
            </w:r>
            <w:r w:rsidR="00DB48FD">
              <w:rPr>
                <w:color w:val="000000"/>
                <w:shd w:val="clear" w:color="auto" w:fill="FFFFFF"/>
              </w:rPr>
              <w:t xml:space="preserve"> un tml.</w:t>
            </w:r>
          </w:p>
          <w:p w14:paraId="77575DEB" w14:textId="38118E9A" w:rsidR="00772E49" w:rsidRPr="00F477DB" w:rsidRDefault="00772E49">
            <w:pPr>
              <w:pStyle w:val="ListParagraph"/>
              <w:tabs>
                <w:tab w:val="left" w:pos="993"/>
              </w:tabs>
              <w:spacing w:before="120" w:after="120"/>
              <w:ind w:left="118" w:right="98"/>
              <w:contextualSpacing w:val="0"/>
              <w:jc w:val="both"/>
              <w:rPr>
                <w:rFonts w:ascii="Arial" w:hAnsi="Arial" w:cs="Arial"/>
                <w:sz w:val="20"/>
                <w:szCs w:val="20"/>
              </w:rPr>
            </w:pPr>
            <w:r w:rsidRPr="00772E49">
              <w:rPr>
                <w:color w:val="000000"/>
                <w:shd w:val="clear" w:color="auto" w:fill="FFFFFF"/>
              </w:rPr>
              <w:t>Lai nodr</w:t>
            </w:r>
            <w:r w:rsidRPr="00BE111C">
              <w:rPr>
                <w:color w:val="000000"/>
                <w:shd w:val="clear" w:color="auto" w:fill="FFFFFF"/>
              </w:rPr>
              <w:t>o</w:t>
            </w:r>
            <w:r w:rsidRPr="005844A6">
              <w:rPr>
                <w:color w:val="000000"/>
                <w:shd w:val="clear" w:color="auto" w:fill="FFFFFF"/>
              </w:rPr>
              <w:t>šinātu</w:t>
            </w:r>
            <w:r w:rsidRPr="00772E49">
              <w:rPr>
                <w:color w:val="000000"/>
                <w:shd w:val="clear" w:color="auto" w:fill="FFFFFF"/>
              </w:rPr>
              <w:t xml:space="preserve"> fiziskas personas atbilstības pārbaudi šo noteikumu</w:t>
            </w:r>
            <w:r w:rsidR="00126709">
              <w:rPr>
                <w:color w:val="000000"/>
                <w:shd w:val="clear" w:color="auto" w:fill="FFFFFF"/>
              </w:rPr>
              <w:t xml:space="preserve"> projekta</w:t>
            </w:r>
            <w:r w:rsidRPr="00772E49">
              <w:rPr>
                <w:color w:val="000000"/>
                <w:shd w:val="clear" w:color="auto" w:fill="FFFFFF"/>
              </w:rPr>
              <w:t xml:space="preserve"> 14. un 15. punkta prasībām Vides investīciju fonds izmanto</w:t>
            </w:r>
            <w:r>
              <w:rPr>
                <w:color w:val="000000"/>
                <w:shd w:val="clear" w:color="auto" w:fill="FFFFFF"/>
              </w:rPr>
              <w:t>s</w:t>
            </w:r>
            <w:r w:rsidRPr="00772E49">
              <w:rPr>
                <w:color w:val="000000"/>
                <w:shd w:val="clear" w:color="auto" w:fill="FFFFFF"/>
              </w:rPr>
              <w:t xml:space="preserve"> publiski pieejamās da</w:t>
            </w:r>
            <w:r w:rsidRPr="00BE111C">
              <w:rPr>
                <w:color w:val="000000"/>
                <w:shd w:val="clear" w:color="auto" w:fill="FFFFFF"/>
              </w:rPr>
              <w:t xml:space="preserve">tubāzes </w:t>
            </w:r>
            <w:r w:rsidRPr="005844A6">
              <w:rPr>
                <w:color w:val="000000"/>
                <w:shd w:val="clear" w:color="auto" w:fill="FFFFFF"/>
              </w:rPr>
              <w:t xml:space="preserve">un </w:t>
            </w:r>
            <w:r w:rsidRPr="000D421D">
              <w:rPr>
                <w:color w:val="414142"/>
                <w:shd w:val="clear" w:color="auto" w:fill="FFFFFF"/>
              </w:rPr>
              <w:t>Iekšlietu ministrijas Informācijas centra pārziņā esoš</w:t>
            </w:r>
            <w:r>
              <w:rPr>
                <w:color w:val="414142"/>
                <w:shd w:val="clear" w:color="auto" w:fill="FFFFFF"/>
              </w:rPr>
              <w:t>o</w:t>
            </w:r>
            <w:r w:rsidRPr="000D421D">
              <w:rPr>
                <w:color w:val="414142"/>
                <w:shd w:val="clear" w:color="auto" w:fill="FFFFFF"/>
              </w:rPr>
              <w:t xml:space="preserve"> valsts informācijas sistēm</w:t>
            </w:r>
            <w:r>
              <w:rPr>
                <w:color w:val="414142"/>
                <w:shd w:val="clear" w:color="auto" w:fill="FFFFFF"/>
              </w:rPr>
              <w:t>u</w:t>
            </w:r>
            <w:r w:rsidRPr="000D421D">
              <w:rPr>
                <w:color w:val="414142"/>
                <w:shd w:val="clear" w:color="auto" w:fill="FFFFFF"/>
              </w:rPr>
              <w:t xml:space="preserve"> "Sodu reģistrs"</w:t>
            </w:r>
            <w:r w:rsidR="00BE111C">
              <w:rPr>
                <w:color w:val="414142"/>
                <w:shd w:val="clear" w:color="auto" w:fill="FFFFFF"/>
              </w:rPr>
              <w:t>, kā arī fiziskās personas iesniegto apliecinājumu (šo not</w:t>
            </w:r>
            <w:r w:rsidR="00126709">
              <w:rPr>
                <w:color w:val="414142"/>
                <w:shd w:val="clear" w:color="auto" w:fill="FFFFFF"/>
              </w:rPr>
              <w:t>ei</w:t>
            </w:r>
            <w:r w:rsidR="00BE111C">
              <w:rPr>
                <w:color w:val="414142"/>
                <w:shd w:val="clear" w:color="auto" w:fill="FFFFFF"/>
              </w:rPr>
              <w:t>kumu</w:t>
            </w:r>
            <w:r w:rsidR="00126709">
              <w:rPr>
                <w:color w:val="414142"/>
                <w:shd w:val="clear" w:color="auto" w:fill="FFFFFF"/>
              </w:rPr>
              <w:t xml:space="preserve"> projekta</w:t>
            </w:r>
            <w:r w:rsidR="00BE111C">
              <w:rPr>
                <w:color w:val="414142"/>
                <w:shd w:val="clear" w:color="auto" w:fill="FFFFFF"/>
              </w:rPr>
              <w:t xml:space="preserve"> 2.pielikums)</w:t>
            </w:r>
            <w:r>
              <w:rPr>
                <w:color w:val="414142"/>
                <w:shd w:val="clear" w:color="auto" w:fill="FFFFFF"/>
              </w:rPr>
              <w:t>. Informācija tiks pārbaudīta par katru fizisku personu, kas iegādāsies transportlīdzekli konkursa ietvaros</w:t>
            </w:r>
            <w:r w:rsidR="00BE111C">
              <w:rPr>
                <w:color w:val="414142"/>
                <w:shd w:val="clear" w:color="auto" w:fill="FFFFFF"/>
              </w:rPr>
              <w:t xml:space="preserve">. Ņemot vērā, ka atbalsta sniegšana plānota divu gadu laikā, </w:t>
            </w:r>
            <w:r w:rsidR="00BE111C">
              <w:rPr>
                <w:color w:val="414142"/>
                <w:shd w:val="clear" w:color="auto" w:fill="FFFFFF"/>
              </w:rPr>
              <w:lastRenderedPageBreak/>
              <w:t>tad paredzams, ka pārbaudāmais informācijas apjoms būs samērīgs un atbilstošs konkursa mērķa sasniegšanai</w:t>
            </w:r>
            <w:r>
              <w:rPr>
                <w:color w:val="000000"/>
                <w:shd w:val="clear" w:color="auto" w:fill="FFFFFF"/>
              </w:rPr>
              <w:t>.</w:t>
            </w:r>
          </w:p>
          <w:p w14:paraId="0D05D80C" w14:textId="6F229DAB" w:rsidR="00876B98" w:rsidRPr="00E20FBB" w:rsidRDefault="00876B98" w:rsidP="000D421D">
            <w:pPr>
              <w:pStyle w:val="pf0"/>
              <w:spacing w:before="120" w:beforeAutospacing="0" w:after="120" w:afterAutospacing="0"/>
              <w:ind w:left="113" w:right="101"/>
              <w:jc w:val="both"/>
            </w:pPr>
            <w:r w:rsidRPr="00B15EEE">
              <w:t>Lai nodrošinātu projektu iesniegumu vērtēšanu Vides investīciju fonds izveidos starpministriju</w:t>
            </w:r>
            <w:r w:rsidR="00E20FBB">
              <w:t xml:space="preserve"> projektu iesniegumu</w:t>
            </w:r>
            <w:r w:rsidRPr="00B15EEE">
              <w:t xml:space="preserve"> vērtēšanas komisiju</w:t>
            </w:r>
            <w:r w:rsidR="00E20FBB">
              <w:t xml:space="preserve"> (turpmāk </w:t>
            </w:r>
            <w:r w:rsidR="00E20FBB" w:rsidRPr="00E20FBB">
              <w:t>-</w:t>
            </w:r>
            <w:r w:rsidR="00E20FBB">
              <w:t> </w:t>
            </w:r>
            <w:r w:rsidR="00E20FBB" w:rsidRPr="008F4B93">
              <w:t>vērtēšanas komisija</w:t>
            </w:r>
            <w:r w:rsidR="00E20FBB" w:rsidRPr="00E20FBB">
              <w:t>)</w:t>
            </w:r>
            <w:r w:rsidRPr="00B15EEE">
              <w:t>. Vērtēšanas komisijas darbības kārtību nosaka vērtēšanas komisijas nolikums. Vērtēšanas komisijas sastāvu un nolikumu</w:t>
            </w:r>
            <w:r w:rsidRPr="00CB3F30">
              <w:t xml:space="preserve"> (vispārīgos jautājumus, v</w:t>
            </w:r>
            <w:r w:rsidRPr="00E20FBB">
              <w:t>ērtēšanas komisijas locekļu un ekspertu atbildību un pienākumus, projektu iesniegumu saņemšanas un reģistrācijas kārtību, vērtēšanas komisijas un ekspertu kompetenci, komisijas sekretāra kompetenci un vērtēšanas komisijas darbību) apstiprina ar Vides investīciju fonda rīkojumu.</w:t>
            </w:r>
            <w:r w:rsidR="008F0E58">
              <w:t xml:space="preserve"> Vērtēšanas komisijas sanāksmju skaits būs atkarīgs no iesniegto projektu iesniegumu skaita un to kvalitātes. Papildus tam šī konkursa ietvaros nav paredzēta projektu iesniegumu kvalitātes vērtēšana, kas paātrinās kopējo projektu iesniegumu vērtēšanas laiku.</w:t>
            </w:r>
          </w:p>
          <w:p w14:paraId="57E329CB" w14:textId="387029A7" w:rsidR="00473CB7" w:rsidRPr="00B15EEE" w:rsidRDefault="00473CB7" w:rsidP="00E16C1A">
            <w:pPr>
              <w:spacing w:before="120" w:after="120"/>
              <w:ind w:left="142" w:right="96"/>
              <w:jc w:val="both"/>
              <w:rPr>
                <w:color w:val="000000"/>
              </w:rPr>
            </w:pPr>
            <w:r w:rsidRPr="00E20FBB">
              <w:rPr>
                <w:color w:val="000000"/>
              </w:rPr>
              <w:t xml:space="preserve">Valsts atbalsta shēmai nepiemīt nozaru raksturs, jo saskaņā ar konkursa nolikuma prasībām nav noteikts konkrēts </w:t>
            </w:r>
            <w:r w:rsidR="00630E29" w:rsidRPr="00B15EEE">
              <w:rPr>
                <w:color w:val="000000"/>
              </w:rPr>
              <w:t>atbalsta saņēmēja</w:t>
            </w:r>
            <w:r w:rsidRPr="00B15EEE">
              <w:rPr>
                <w:color w:val="000000"/>
              </w:rPr>
              <w:t xml:space="preserve"> saimnieciskā</w:t>
            </w:r>
            <w:r w:rsidR="00630E29" w:rsidRPr="00B15EEE">
              <w:rPr>
                <w:color w:val="000000"/>
              </w:rPr>
              <w:t>s</w:t>
            </w:r>
            <w:r w:rsidRPr="00B15EEE">
              <w:rPr>
                <w:color w:val="000000"/>
              </w:rPr>
              <w:t xml:space="preserve"> darbības aptvērums</w:t>
            </w:r>
            <w:r w:rsidR="00630E29" w:rsidRPr="00B15EEE">
              <w:rPr>
                <w:color w:val="000000"/>
              </w:rPr>
              <w:t>, t.i. atbalstu var saņemt ikviens Latvijas iedzīvotājs</w:t>
            </w:r>
            <w:r w:rsidRPr="00B15EEE">
              <w:rPr>
                <w:color w:val="000000"/>
              </w:rPr>
              <w:t>, kā arī nav noteiktas elektromobiļu</w:t>
            </w:r>
            <w:r w:rsidR="009155AB">
              <w:rPr>
                <w:color w:val="000000"/>
              </w:rPr>
              <w:t xml:space="preserve"> vai ārēji lādējamo hibrīdauto</w:t>
            </w:r>
            <w:r w:rsidRPr="00B15EEE">
              <w:rPr>
                <w:color w:val="000000"/>
              </w:rPr>
              <w:t xml:space="preserve"> tehniskās prasības, izgatavotājs vai modelis, t.i. </w:t>
            </w:r>
            <w:r w:rsidR="00630E29" w:rsidRPr="00B15EEE">
              <w:rPr>
                <w:color w:val="000000"/>
              </w:rPr>
              <w:t>atbalsta saņēmējs</w:t>
            </w:r>
            <w:r w:rsidRPr="00B15EEE">
              <w:rPr>
                <w:color w:val="000000"/>
              </w:rPr>
              <w:t xml:space="preserve"> pats var izvēlēties sev pieņemamāko elektromobili</w:t>
            </w:r>
            <w:r w:rsidR="009155AB">
              <w:rPr>
                <w:color w:val="000000"/>
              </w:rPr>
              <w:t xml:space="preserve"> vai ārēji lādējamo hibrīdauto</w:t>
            </w:r>
            <w:r w:rsidRPr="00B15EEE">
              <w:rPr>
                <w:color w:val="000000"/>
              </w:rPr>
              <w:t>.</w:t>
            </w:r>
          </w:p>
          <w:p w14:paraId="3E51DE7B" w14:textId="02FEE32A" w:rsidR="008A2B58" w:rsidRPr="00B15EEE" w:rsidRDefault="008A2B58">
            <w:pPr>
              <w:spacing w:before="120" w:after="120"/>
              <w:ind w:left="142" w:right="96"/>
              <w:jc w:val="both"/>
              <w:rPr>
                <w:iCs/>
              </w:rPr>
            </w:pPr>
            <w:r w:rsidRPr="00B15EEE">
              <w:rPr>
                <w:iCs/>
              </w:rPr>
              <w:t>Atbalsta saņēmēja</w:t>
            </w:r>
            <w:r w:rsidR="000920FE" w:rsidRPr="00B15EEE">
              <w:rPr>
                <w:iCs/>
              </w:rPr>
              <w:t xml:space="preserve"> (fiziskas personas)</w:t>
            </w:r>
            <w:r w:rsidRPr="00B15EEE">
              <w:rPr>
                <w:iCs/>
              </w:rPr>
              <w:t xml:space="preserve"> līmenī nav saskatāms komercdarbības atbalsts, ņemot vērā to, ka atbalstu darbībām, kas nav saimnieciska rakstura, t.i., nav saistītas ar preču vai pakalpojumu piedāvāšanu tirgū, neuzskata par komercdarbības atbalstu, t.i., ja transportlīdzekļi tiek izmantoti privātām (personiskām vai ģimenes) vajadzībām, ko veic personas, kas ir to īpašnieki un kas nav iesaistītas saimnieciskajā darbībā, atbalsta pasākums nebūtu uzskatāms par komercdarbības atbalstu elektromobiļa pircējam. Noteikuma projektā iekļauta atsauce uz to, ka ar atbalstu iegādāto transportlīdzekli nedrīkst izmantot saimnieciskajā darbībā</w:t>
            </w:r>
            <w:r w:rsidR="004B1855">
              <w:rPr>
                <w:iCs/>
              </w:rPr>
              <w:t xml:space="preserve"> vismaz piecus gadus, tādējādi nodrošinot, ka nav jāpiemēro komercdarbības atbalsta nosacījumi</w:t>
            </w:r>
            <w:r w:rsidRPr="00B15EEE">
              <w:rPr>
                <w:iCs/>
              </w:rPr>
              <w:t>.</w:t>
            </w:r>
          </w:p>
          <w:p w14:paraId="0FF165EA" w14:textId="130A2D0F" w:rsidR="000920FE" w:rsidRPr="00B15EEE" w:rsidRDefault="000920FE">
            <w:pPr>
              <w:spacing w:before="120" w:after="120"/>
              <w:ind w:left="108" w:right="96"/>
              <w:jc w:val="both"/>
            </w:pPr>
            <w:r w:rsidRPr="00B15EEE">
              <w:t xml:space="preserve">Attiecībā uz projekta iesniedzēju (projekta īstenotāju), atbalsts, ko saņems projekta iesniedzējs </w:t>
            </w:r>
            <w:r w:rsidR="00D42047" w:rsidRPr="00B15EEE">
              <w:t>ir</w:t>
            </w:r>
            <w:r w:rsidRPr="00B15EEE">
              <w:t xml:space="preserve"> uzskat</w:t>
            </w:r>
            <w:r w:rsidR="00D42047" w:rsidRPr="00B15EEE">
              <w:t>āms</w:t>
            </w:r>
            <w:r w:rsidRPr="00B15EEE">
              <w:t xml:space="preserve"> kā komercdarbības atbalsts un </w:t>
            </w:r>
            <w:r w:rsidR="00D42047" w:rsidRPr="00B15EEE">
              <w:t xml:space="preserve">ir </w:t>
            </w:r>
            <w:r w:rsidRPr="00B15EEE">
              <w:t>nepieciešams piemērot komercdarbības atbalsta regulējumu, jo nav izvērtējuma par to, ka šis līmenis negūs nekādas selektīvas ekonomiskas priekšrocības un būtu uzskatāms par starpnieku.</w:t>
            </w:r>
          </w:p>
          <w:p w14:paraId="3ADF7064" w14:textId="2334B227" w:rsidR="000920FE" w:rsidRDefault="000920FE">
            <w:pPr>
              <w:spacing w:before="120" w:after="120"/>
              <w:ind w:left="108" w:right="96"/>
              <w:jc w:val="both"/>
            </w:pPr>
            <w:r w:rsidRPr="00B15EEE">
              <w:t>Turklāt plānotais atbalsts veicinā</w:t>
            </w:r>
            <w:r w:rsidR="00D42047" w:rsidRPr="00B15EEE">
              <w:t>s</w:t>
            </w:r>
            <w:r w:rsidRPr="00B15EEE">
              <w:t xml:space="preserve"> pieprasījumu pēc elektromobiļu</w:t>
            </w:r>
            <w:r w:rsidR="009155AB">
              <w:t xml:space="preserve"> un ārēji lādējamo hibrīdauto</w:t>
            </w:r>
            <w:r w:rsidRPr="00B15EEE">
              <w:t xml:space="preserve"> iegādes salīdzinājumā ar situāciju, kurā šāds atbalsts netiktu piešķirts. No tā izriet, ka atbalsta programma </w:t>
            </w:r>
            <w:r w:rsidR="00D42047" w:rsidRPr="00B15EEE">
              <w:t>sniedz</w:t>
            </w:r>
            <w:r w:rsidRPr="00B15EEE">
              <w:t xml:space="preserve"> priekšrocības tiem tirgotājiem, kuri pērk šos automobiļus tālākpārdošanai, salīdzinājumā ar tiem tirgotājiem, kuri nepārdod šādus automobiļus. Tāpat priekšrocības izplatītājiem, kas pērk un pārdod elektromobiļus</w:t>
            </w:r>
            <w:r w:rsidR="009155AB">
              <w:t xml:space="preserve"> vai ārēji lādējamus hibrīdauto</w:t>
            </w:r>
            <w:r w:rsidRPr="00B15EEE">
              <w:t>, var būt par labu elektromobiļu</w:t>
            </w:r>
            <w:r w:rsidR="009155AB">
              <w:t xml:space="preserve"> un ārēji lādējamo hibrīdauto</w:t>
            </w:r>
            <w:r w:rsidRPr="00B15EEE">
              <w:t xml:space="preserve"> ražotājiem, kuri saskarsies ar lielāku pieprasījumu pēc </w:t>
            </w:r>
            <w:r w:rsidR="009155AB">
              <w:t>šādu transportlīdzekļu</w:t>
            </w:r>
            <w:r w:rsidR="009155AB" w:rsidRPr="00B15EEE">
              <w:t xml:space="preserve"> </w:t>
            </w:r>
            <w:r w:rsidRPr="00B15EEE">
              <w:lastRenderedPageBreak/>
              <w:t xml:space="preserve">iepirkumiem no izplatītājiem salīdzinājumā ar situāciju, kurā šāds atbalsts netiktu </w:t>
            </w:r>
            <w:r w:rsidRPr="008F0E58">
              <w:t>piešķirts.</w:t>
            </w:r>
          </w:p>
          <w:p w14:paraId="0C425964" w14:textId="57DE2D13" w:rsidR="00DB48FD" w:rsidRDefault="00D128A9">
            <w:pPr>
              <w:spacing w:before="120" w:after="120"/>
              <w:ind w:left="108" w:right="96"/>
              <w:jc w:val="both"/>
              <w:rPr>
                <w:color w:val="000000" w:themeColor="text1"/>
              </w:rPr>
            </w:pPr>
            <w:r>
              <w:rPr>
                <w:color w:val="000000" w:themeColor="text1"/>
              </w:rPr>
              <w:t>N</w:t>
            </w:r>
            <w:r w:rsidR="00DB48FD" w:rsidRPr="008651C2">
              <w:rPr>
                <w:color w:val="000000" w:themeColor="text1"/>
              </w:rPr>
              <w:t>oteikumu projekts paredz,</w:t>
            </w:r>
            <w:r w:rsidR="006A5085">
              <w:rPr>
                <w:color w:val="000000" w:themeColor="text1"/>
              </w:rPr>
              <w:t xml:space="preserve"> ka gadījumā,</w:t>
            </w:r>
            <w:r w:rsidR="00DB48FD" w:rsidRPr="008651C2">
              <w:rPr>
                <w:color w:val="000000" w:themeColor="text1"/>
              </w:rPr>
              <w:t xml:space="preserve"> j</w:t>
            </w:r>
            <w:r w:rsidR="00DB48FD" w:rsidRPr="008B5C29">
              <w:rPr>
                <w:color w:val="000000" w:themeColor="text1"/>
              </w:rPr>
              <w:t xml:space="preserve">a projekta īstenotājs ir pārkāpis Eiropas Komisijas lēmumu par šo noteikumu komercdarbības atbalsta saderību ar </w:t>
            </w:r>
            <w:r w:rsidR="008651C2" w:rsidRPr="008651C2">
              <w:rPr>
                <w:color w:val="000000" w:themeColor="text1"/>
              </w:rPr>
              <w:t>ES</w:t>
            </w:r>
            <w:r w:rsidR="00DB48FD" w:rsidRPr="008B5C29">
              <w:rPr>
                <w:color w:val="000000" w:themeColor="text1"/>
              </w:rPr>
              <w:t xml:space="preserve"> iekšējo tirgu </w:t>
            </w:r>
            <w:r w:rsidR="00DB48FD" w:rsidRPr="008B5C29">
              <w:t>un šo noteikumu</w:t>
            </w:r>
            <w:r w:rsidR="00DB48FD" w:rsidRPr="008651C2">
              <w:t xml:space="preserve"> </w:t>
            </w:r>
            <w:r w:rsidR="00DB48FD" w:rsidRPr="008B5C29">
              <w:rPr>
                <w:color w:val="000000" w:themeColor="text1"/>
              </w:rPr>
              <w:t>prasības projekta īstenotājam ir pienākums atmaksāt Vides investīciju fondam visu projekta ietvaros saņemto komercdarbības atbalstu</w:t>
            </w:r>
            <w:r w:rsidR="008651C2" w:rsidRPr="008651C2">
              <w:rPr>
                <w:color w:val="000000" w:themeColor="text1"/>
              </w:rPr>
              <w:t xml:space="preserve"> (maksājumi no VARAM par </w:t>
            </w:r>
            <w:r w:rsidR="008651C2" w:rsidRPr="008B5C29">
              <w:t>šo noteikumu 8.1, 8.2. un 8.3. apakšpunktā pārdotajiem transportlīdzekļiem un šo noteikumu 8.4. apakšpunktā norakstītajiem, nododot apstrādes uzņēmumam, transportlīdzekļiem</w:t>
            </w:r>
            <w:r w:rsidR="008651C2" w:rsidRPr="008651C2">
              <w:rPr>
                <w:color w:val="000000" w:themeColor="text1"/>
              </w:rPr>
              <w:t>)</w:t>
            </w:r>
            <w:r w:rsidR="00DB48FD" w:rsidRPr="008B5C29">
              <w:rPr>
                <w:color w:val="000000" w:themeColor="text1"/>
              </w:rPr>
              <w:t xml:space="preserve"> atbilstoši Komercdarbības atbalsta kontroles likuma IV un V nodaļu nosacījumiem.</w:t>
            </w:r>
          </w:p>
          <w:p w14:paraId="22E99D7A" w14:textId="7B18DC2B" w:rsidR="00E54C63" w:rsidRPr="008651C2" w:rsidRDefault="00E54C63">
            <w:pPr>
              <w:spacing w:before="120" w:after="120"/>
              <w:ind w:left="108" w:right="96"/>
              <w:jc w:val="both"/>
            </w:pPr>
            <w:r>
              <w:rPr>
                <w:color w:val="000000" w:themeColor="text1"/>
              </w:rPr>
              <w:t>Savukārt šo noteikumu 23. un 24. punktā minētie nosacījumi attiecībā uz izmaksu attiecināmību ir piemērojami atbalsta saņēmējiem – iedzīvotājiem.</w:t>
            </w:r>
          </w:p>
          <w:p w14:paraId="51D436AB" w14:textId="7193C438" w:rsidR="000920FE" w:rsidRPr="00E20FBB" w:rsidRDefault="00D42047">
            <w:pPr>
              <w:pStyle w:val="CommentText"/>
              <w:spacing w:before="120" w:after="120"/>
              <w:ind w:left="108" w:right="96"/>
              <w:jc w:val="both"/>
              <w:rPr>
                <w:sz w:val="24"/>
                <w:szCs w:val="24"/>
              </w:rPr>
            </w:pPr>
            <w:r w:rsidRPr="008F0E58">
              <w:rPr>
                <w:sz w:val="24"/>
                <w:szCs w:val="24"/>
              </w:rPr>
              <w:t>Papildus tam</w:t>
            </w:r>
            <w:r w:rsidR="000920FE" w:rsidRPr="008F0E58">
              <w:rPr>
                <w:sz w:val="24"/>
                <w:szCs w:val="24"/>
              </w:rPr>
              <w:t xml:space="preserve"> Eiropas Komisija ir pieņēmusi vairākus lēmumus, kur starpnieku līmenī ir konstatēts valsts atbalsts tā iemesla pēc, ka ne visi uzņēmumi piedāvā elektro</w:t>
            </w:r>
            <w:r w:rsidRPr="008F0E58">
              <w:rPr>
                <w:sz w:val="24"/>
                <w:szCs w:val="24"/>
              </w:rPr>
              <w:t>mobiļus (skat.</w:t>
            </w:r>
            <w:r w:rsidR="000920FE" w:rsidRPr="008F0E58">
              <w:rPr>
                <w:sz w:val="24"/>
                <w:szCs w:val="24"/>
              </w:rPr>
              <w:t xml:space="preserve"> Eiropas Komisijas lēmumus SA.30741, SA.34719</w:t>
            </w:r>
            <w:r w:rsidR="00CB3F30" w:rsidRPr="008F0E58">
              <w:rPr>
                <w:rStyle w:val="FootnoteReference"/>
                <w:sz w:val="24"/>
                <w:szCs w:val="24"/>
              </w:rPr>
              <w:footnoteReference w:id="9"/>
            </w:r>
            <w:r w:rsidRPr="008F0E58">
              <w:rPr>
                <w:sz w:val="24"/>
                <w:szCs w:val="24"/>
              </w:rPr>
              <w:t>)</w:t>
            </w:r>
            <w:r w:rsidR="000920FE" w:rsidRPr="008F0E58">
              <w:rPr>
                <w:sz w:val="24"/>
                <w:szCs w:val="24"/>
              </w:rPr>
              <w:t>.</w:t>
            </w:r>
          </w:p>
          <w:p w14:paraId="774B56AD" w14:textId="57B89A27" w:rsidR="007723BC" w:rsidRPr="00B15EEE" w:rsidRDefault="00D42047">
            <w:pPr>
              <w:pStyle w:val="CommentText"/>
              <w:spacing w:before="120" w:after="120"/>
              <w:ind w:left="108" w:right="96"/>
              <w:jc w:val="both"/>
              <w:rPr>
                <w:sz w:val="24"/>
                <w:szCs w:val="24"/>
              </w:rPr>
            </w:pPr>
            <w:r w:rsidRPr="00B15EEE">
              <w:rPr>
                <w:sz w:val="24"/>
                <w:szCs w:val="24"/>
              </w:rPr>
              <w:t>Līdz ar to noteikumu projekts</w:t>
            </w:r>
            <w:r w:rsidR="000920FE" w:rsidRPr="00B15EEE">
              <w:rPr>
                <w:sz w:val="24"/>
                <w:szCs w:val="24"/>
              </w:rPr>
              <w:t xml:space="preserve"> </w:t>
            </w:r>
            <w:r w:rsidRPr="00B15EEE">
              <w:rPr>
                <w:sz w:val="24"/>
                <w:szCs w:val="24"/>
              </w:rPr>
              <w:t xml:space="preserve">tiks </w:t>
            </w:r>
            <w:r w:rsidR="000920FE" w:rsidRPr="00B15EEE">
              <w:rPr>
                <w:sz w:val="24"/>
                <w:szCs w:val="24"/>
              </w:rPr>
              <w:t>skaņo</w:t>
            </w:r>
            <w:r w:rsidRPr="00B15EEE">
              <w:rPr>
                <w:sz w:val="24"/>
                <w:szCs w:val="24"/>
              </w:rPr>
              <w:t>ts</w:t>
            </w:r>
            <w:r w:rsidR="000920FE" w:rsidRPr="00B15EEE">
              <w:rPr>
                <w:sz w:val="24"/>
                <w:szCs w:val="24"/>
              </w:rPr>
              <w:t xml:space="preserve"> ar Eiropas Komisiju (</w:t>
            </w:r>
            <w:r w:rsidR="006A5085" w:rsidRPr="000D421D">
              <w:rPr>
                <w:rStyle w:val="Emphasis"/>
                <w:i w:val="0"/>
                <w:iCs w:val="0"/>
                <w:color w:val="5F6368"/>
                <w:sz w:val="24"/>
                <w:szCs w:val="24"/>
                <w:shd w:val="clear" w:color="auto" w:fill="FFFFFF"/>
              </w:rPr>
              <w:t>Līguma par Eiropas Savienības darbību</w:t>
            </w:r>
            <w:r w:rsidR="006A5085" w:rsidRPr="00B15EEE">
              <w:rPr>
                <w:sz w:val="24"/>
                <w:szCs w:val="24"/>
              </w:rPr>
              <w:t xml:space="preserve"> </w:t>
            </w:r>
            <w:r w:rsidR="006A5085">
              <w:rPr>
                <w:sz w:val="24"/>
                <w:szCs w:val="24"/>
              </w:rPr>
              <w:t>(</w:t>
            </w:r>
            <w:r w:rsidR="000920FE" w:rsidRPr="00B15EEE">
              <w:rPr>
                <w:sz w:val="24"/>
                <w:szCs w:val="24"/>
              </w:rPr>
              <w:t>LESD</w:t>
            </w:r>
            <w:r w:rsidR="006A5085">
              <w:rPr>
                <w:sz w:val="24"/>
                <w:szCs w:val="24"/>
              </w:rPr>
              <w:t>)</w:t>
            </w:r>
            <w:r w:rsidR="000920FE" w:rsidRPr="00B15EEE">
              <w:rPr>
                <w:sz w:val="24"/>
                <w:szCs w:val="24"/>
              </w:rPr>
              <w:t xml:space="preserve"> 107.panta 3.punkt</w:t>
            </w:r>
            <w:r w:rsidR="00E52C5A" w:rsidRPr="00B15EEE">
              <w:rPr>
                <w:sz w:val="24"/>
                <w:szCs w:val="24"/>
              </w:rPr>
              <w:t>s</w:t>
            </w:r>
            <w:r w:rsidR="000920FE" w:rsidRPr="00B15EEE">
              <w:rPr>
                <w:sz w:val="24"/>
                <w:szCs w:val="24"/>
              </w:rPr>
              <w:t>).</w:t>
            </w:r>
          </w:p>
          <w:p w14:paraId="2D151428" w14:textId="66D01A9F" w:rsidR="00F069FB" w:rsidRPr="00B15EEE" w:rsidRDefault="00F069FB">
            <w:pPr>
              <w:pStyle w:val="paragraph"/>
              <w:spacing w:before="120" w:beforeAutospacing="0" w:after="120" w:afterAutospacing="0"/>
              <w:ind w:left="110" w:right="99"/>
              <w:jc w:val="both"/>
              <w:rPr>
                <w:color w:val="000000" w:themeColor="text1"/>
              </w:rPr>
            </w:pPr>
            <w:r w:rsidRPr="00B15EEE">
              <w:rPr>
                <w:color w:val="000000" w:themeColor="text1"/>
              </w:rPr>
              <w:t>Par valsts atbalsta piešķiršanas brīdi tiek uzskatīta diena, kurā Vides investīciju fonds pieņem</w:t>
            </w:r>
            <w:r w:rsidR="00E52C5A" w:rsidRPr="00B15EEE">
              <w:rPr>
                <w:color w:val="000000" w:themeColor="text1"/>
              </w:rPr>
              <w:t>s</w:t>
            </w:r>
            <w:r w:rsidRPr="00B15EEE">
              <w:rPr>
                <w:color w:val="000000" w:themeColor="text1"/>
              </w:rPr>
              <w:t xml:space="preserve"> lēmumu par atbalsta piešķiršanu.</w:t>
            </w:r>
          </w:p>
          <w:p w14:paraId="22AC4EF5" w14:textId="3BA9C1F0" w:rsidR="00F069FB" w:rsidRPr="008B47A3" w:rsidRDefault="00D96859">
            <w:pPr>
              <w:pStyle w:val="paragraph"/>
              <w:spacing w:before="120" w:beforeAutospacing="0" w:after="120" w:afterAutospacing="0"/>
              <w:ind w:left="110" w:right="99"/>
              <w:jc w:val="both"/>
              <w:rPr>
                <w:iCs/>
              </w:rPr>
            </w:pPr>
            <w:r w:rsidRPr="008B47A3">
              <w:t xml:space="preserve">VARAM </w:t>
            </w:r>
            <w:r w:rsidR="00D7550F">
              <w:t>piecu</w:t>
            </w:r>
            <w:r w:rsidRPr="008B47A3">
              <w:t xml:space="preserve"> darba dienu laikā pēc noteikumu projekta apstiprināšanas Ministru kabinetā iesniegs Eiropas Komisijai iepriekšējo paziņojumu, izmantojot</w:t>
            </w:r>
            <w:r w:rsidR="00A26F6F">
              <w:t xml:space="preserve"> Eiropas</w:t>
            </w:r>
            <w:r w:rsidRPr="008B47A3">
              <w:t xml:space="preserve"> Komisijas elektroniskās paziņošanas sistēmu SANI2.</w:t>
            </w:r>
          </w:p>
          <w:p w14:paraId="072834C2" w14:textId="37A334AC" w:rsidR="00F069FB" w:rsidRPr="008F4B93" w:rsidRDefault="00F069FB">
            <w:pPr>
              <w:pStyle w:val="tv213"/>
              <w:shd w:val="clear" w:color="auto" w:fill="FFFFFF"/>
              <w:spacing w:before="120" w:beforeAutospacing="0" w:after="120" w:afterAutospacing="0"/>
              <w:ind w:left="110" w:right="99"/>
              <w:jc w:val="both"/>
              <w:rPr>
                <w:color w:val="000000" w:themeColor="text1"/>
              </w:rPr>
            </w:pPr>
            <w:r w:rsidRPr="008F4B93">
              <w:rPr>
                <w:color w:val="000000" w:themeColor="text1"/>
              </w:rPr>
              <w:t>Noteikumu projekts stājas spēkā ar dienu, kad tie publicēti oficiālajā izdevumā "Latvijas Vēstnesis". Vides investīciju fonds atbalsta izmaksu vei</w:t>
            </w:r>
            <w:r w:rsidR="00876B98" w:rsidRPr="008F4B93">
              <w:rPr>
                <w:color w:val="000000" w:themeColor="text1"/>
              </w:rPr>
              <w:t>ks</w:t>
            </w:r>
            <w:r w:rsidRPr="008F4B93">
              <w:rPr>
                <w:color w:val="000000" w:themeColor="text1"/>
              </w:rPr>
              <w:t xml:space="preserve"> tikai pēc tam, kad Eiropas Komisija pieņēmusi lēmumu par š</w:t>
            </w:r>
            <w:r w:rsidR="00CB3F30">
              <w:rPr>
                <w:color w:val="000000" w:themeColor="text1"/>
              </w:rPr>
              <w:t>ajā</w:t>
            </w:r>
            <w:r w:rsidRPr="008F4B93">
              <w:rPr>
                <w:color w:val="000000" w:themeColor="text1"/>
              </w:rPr>
              <w:t xml:space="preserve"> noteikumu </w:t>
            </w:r>
            <w:r w:rsidR="00CB3F30">
              <w:rPr>
                <w:color w:val="000000" w:themeColor="text1"/>
              </w:rPr>
              <w:t xml:space="preserve">projektā paredzētā </w:t>
            </w:r>
            <w:r w:rsidRPr="008F4B93">
              <w:rPr>
                <w:color w:val="000000" w:themeColor="text1"/>
              </w:rPr>
              <w:t xml:space="preserve">komercdarbības atbalsta saderību ar </w:t>
            </w:r>
            <w:r w:rsidR="006A5085">
              <w:rPr>
                <w:color w:val="000000" w:themeColor="text1"/>
              </w:rPr>
              <w:t>ES</w:t>
            </w:r>
            <w:r w:rsidRPr="008F4B93">
              <w:rPr>
                <w:color w:val="000000" w:themeColor="text1"/>
              </w:rPr>
              <w:t xml:space="preserve"> iekšējo tirgu.</w:t>
            </w:r>
          </w:p>
          <w:p w14:paraId="6BE628DD" w14:textId="064BD409" w:rsidR="007F3808" w:rsidRPr="00B15EEE" w:rsidRDefault="00163425">
            <w:pPr>
              <w:pStyle w:val="tv213"/>
              <w:shd w:val="clear" w:color="auto" w:fill="FFFFFF"/>
              <w:spacing w:before="120" w:beforeAutospacing="0" w:after="120" w:afterAutospacing="0"/>
              <w:ind w:left="110" w:right="99"/>
              <w:jc w:val="both"/>
              <w:rPr>
                <w:color w:val="000000" w:themeColor="text1"/>
              </w:rPr>
            </w:pPr>
            <w:r w:rsidRPr="00B15EEE">
              <w:rPr>
                <w:color w:val="000000" w:themeColor="text1"/>
              </w:rPr>
              <w:t>Ņemot vērā aktuālāko Eiropas Savienības tiesas judikatūru (sk. Eiropas Savienības Tiesas 2019.gada 5.marta spriedumu lietā Nr.C-349/17 (ECLI:EU:C:2019:172)), un nepieciešamību nacionālā līmenī noteikt nelikumīga un nesaderīga komercdarbības atbalsta atgūša</w:t>
            </w:r>
            <w:r w:rsidRPr="00123B4C">
              <w:rPr>
                <w:color w:val="000000" w:themeColor="text1"/>
              </w:rPr>
              <w:t xml:space="preserve">nas kārtību gan gadījumā, kad atgūšanas lēmumu ir pieņēmusi Eiropas Komisija, gan arī gadījumā, ja atgūšanu ir jāveic </w:t>
            </w:r>
            <w:r w:rsidRPr="00CB3F30">
              <w:rPr>
                <w:color w:val="000000" w:themeColor="text1"/>
              </w:rPr>
              <w:t>Vides investīciju fondam nacionālā līmenī, noteikumu projekt</w:t>
            </w:r>
            <w:r w:rsidRPr="00E20FBB">
              <w:rPr>
                <w:color w:val="000000" w:themeColor="text1"/>
              </w:rPr>
              <w:t xml:space="preserve">ā ir ietverts </w:t>
            </w:r>
            <w:r w:rsidRPr="00B15EEE">
              <w:rPr>
                <w:color w:val="000000" w:themeColor="text1"/>
              </w:rPr>
              <w:t>punkts, kas paredz nelikumīga un nesaderīga komercdarbības atbalsta atgūšanu kopā ar procentiem, ja ir pārkāpti komercdarbības atbalsta nosacījumi.</w:t>
            </w:r>
          </w:p>
        </w:tc>
      </w:tr>
      <w:tr w:rsidR="0030341E" w:rsidRPr="009B5620"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1615909C" w:rsidR="0030341E" w:rsidRPr="009B5620" w:rsidRDefault="001A7349" w:rsidP="0030341E">
            <w:r w:rsidRPr="009B5620">
              <w:lastRenderedPageBreak/>
              <w:t>3</w:t>
            </w:r>
            <w:r w:rsidR="0030341E" w:rsidRPr="009B5620">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9B5620" w:rsidRDefault="0030341E" w:rsidP="0030341E">
            <w:r w:rsidRPr="009B5620">
              <w:t>Projekta izstrādē iesaistītās institūcijas</w:t>
            </w:r>
            <w:r w:rsidR="00F47D5E" w:rsidRPr="009B5620">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1DBF4B0D" w:rsidR="0030341E" w:rsidRPr="009B5620" w:rsidRDefault="000D2C24" w:rsidP="0086786B">
            <w:pPr>
              <w:ind w:left="110"/>
              <w:jc w:val="both"/>
            </w:pPr>
            <w:r>
              <w:t>N</w:t>
            </w:r>
            <w:r w:rsidR="004B0FC9" w:rsidRPr="009B5620">
              <w:t>oteikumu projektu sagatavoja VARAM.</w:t>
            </w:r>
          </w:p>
        </w:tc>
      </w:tr>
      <w:tr w:rsidR="00114052" w:rsidRPr="009B5620"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9B5620" w:rsidRDefault="001A7349" w:rsidP="0030341E">
            <w:r w:rsidRPr="009B5620">
              <w:t>4</w:t>
            </w:r>
            <w:r w:rsidR="00114052" w:rsidRPr="009B5620">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9B5620" w:rsidRDefault="00114052" w:rsidP="0030341E">
            <w:r w:rsidRPr="009B5620">
              <w:t>Cita informācija</w:t>
            </w:r>
          </w:p>
        </w:tc>
        <w:tc>
          <w:tcPr>
            <w:tcW w:w="3752" w:type="pct"/>
            <w:tcBorders>
              <w:top w:val="outset" w:sz="6" w:space="0" w:color="000000"/>
              <w:left w:val="outset" w:sz="6" w:space="0" w:color="000000"/>
              <w:bottom w:val="outset" w:sz="6" w:space="0" w:color="000000"/>
              <w:right w:val="outset" w:sz="6" w:space="0" w:color="000000"/>
            </w:tcBorders>
          </w:tcPr>
          <w:p w14:paraId="0A55C5F8" w14:textId="40379602" w:rsidR="0018016E" w:rsidRDefault="00C066A6" w:rsidP="00620B9D">
            <w:pPr>
              <w:ind w:left="110"/>
              <w:jc w:val="both"/>
            </w:pPr>
            <w:r>
              <w:t xml:space="preserve">Konkursa ietvaros pieejamais finansējums ir 10 milj. </w:t>
            </w:r>
            <w:r w:rsidRPr="000D0D9C">
              <w:rPr>
                <w:i/>
                <w:iCs/>
              </w:rPr>
              <w:t>euro</w:t>
            </w:r>
            <w:r>
              <w:t xml:space="preserve"> , kura ietvaros fiziskas personas divu gadu laikā varētu iegādāties aptuveni</w:t>
            </w:r>
            <w:r w:rsidR="00620B9D">
              <w:t xml:space="preserve"> </w:t>
            </w:r>
            <w:r w:rsidR="00EC744B">
              <w:t>3300</w:t>
            </w:r>
            <w:r w:rsidR="00620B9D">
              <w:t xml:space="preserve"> mazemisiju un bezemisiju transportlīdzekļus.</w:t>
            </w:r>
          </w:p>
          <w:p w14:paraId="06C06621" w14:textId="09BA2FC5" w:rsidR="0018016E" w:rsidRPr="0018016E" w:rsidRDefault="0018016E">
            <w:pPr>
              <w:ind w:left="110"/>
              <w:jc w:val="both"/>
            </w:pPr>
            <w:r w:rsidRPr="000D0D9C">
              <w:t>Vidējais automašīnas</w:t>
            </w:r>
            <w:r w:rsidR="00542EA2">
              <w:t xml:space="preserve"> ar iekšd</w:t>
            </w:r>
            <w:r w:rsidR="003058BD">
              <w:t>s</w:t>
            </w:r>
            <w:r w:rsidR="00542EA2">
              <w:t>edzes dzinēju</w:t>
            </w:r>
            <w:r w:rsidRPr="000D0D9C">
              <w:t xml:space="preserve"> CO</w:t>
            </w:r>
            <w:r w:rsidRPr="000D0D9C">
              <w:rPr>
                <w:vertAlign w:val="subscript"/>
              </w:rPr>
              <w:t>2</w:t>
            </w:r>
            <w:r w:rsidRPr="000D0D9C">
              <w:t xml:space="preserve"> </w:t>
            </w:r>
            <w:r>
              <w:t>emisiju</w:t>
            </w:r>
            <w:r w:rsidRPr="000D0D9C">
              <w:t xml:space="preserve"> daudzums </w:t>
            </w:r>
            <w:r w:rsidR="00EC744B">
              <w:t>tiek pieņemts kā</w:t>
            </w:r>
            <w:r w:rsidRPr="000D0D9C">
              <w:t xml:space="preserve"> 230 grami uz kilometru (g/km)</w:t>
            </w:r>
            <w:r w:rsidRPr="0018016E">
              <w:t>.</w:t>
            </w:r>
          </w:p>
          <w:p w14:paraId="1469BA73" w14:textId="36651D30" w:rsidR="00C066A6" w:rsidRDefault="00620B9D" w:rsidP="00620B9D">
            <w:pPr>
              <w:ind w:left="110"/>
              <w:jc w:val="both"/>
            </w:pPr>
            <w:r>
              <w:t xml:space="preserve">Rezultātā aptuvenais siltumnīcefekta gāzu emisiju samazinājums </w:t>
            </w:r>
            <w:r w:rsidR="0018016E">
              <w:t xml:space="preserve">ar konkursa ietvaros iegādātajiem transportlīdzekļiem </w:t>
            </w:r>
            <w:r>
              <w:t xml:space="preserve">būtu </w:t>
            </w:r>
            <w:r w:rsidR="0018016E">
              <w:t xml:space="preserve">ap </w:t>
            </w:r>
            <w:r w:rsidR="00EC744B">
              <w:t>98</w:t>
            </w:r>
            <w:r w:rsidR="0018016E">
              <w:t>00 tCO</w:t>
            </w:r>
            <w:r w:rsidR="0018016E" w:rsidRPr="000D0D9C">
              <w:rPr>
                <w:vertAlign w:val="subscript"/>
              </w:rPr>
              <w:t>2</w:t>
            </w:r>
            <w:r w:rsidR="0018016E">
              <w:t xml:space="preserve"> gadā jeb </w:t>
            </w:r>
            <w:r w:rsidR="009155AB">
              <w:t>4</w:t>
            </w:r>
            <w:r w:rsidR="00EC744B">
              <w:t>9</w:t>
            </w:r>
            <w:r w:rsidR="0018016E">
              <w:t> </w:t>
            </w:r>
            <w:r w:rsidR="009155AB">
              <w:t>0</w:t>
            </w:r>
            <w:r w:rsidR="0018016E">
              <w:t>00 tCO</w:t>
            </w:r>
            <w:r w:rsidR="0018016E" w:rsidRPr="000D0D9C">
              <w:rPr>
                <w:vertAlign w:val="subscript"/>
              </w:rPr>
              <w:t>2</w:t>
            </w:r>
            <w:r w:rsidR="0018016E">
              <w:t xml:space="preserve"> monitoringa periodā (</w:t>
            </w:r>
            <w:r w:rsidR="009155AB">
              <w:t>5</w:t>
            </w:r>
            <w:r w:rsidR="0018016E">
              <w:t xml:space="preserve"> gadi).</w:t>
            </w:r>
          </w:p>
          <w:p w14:paraId="1AAAE16A" w14:textId="29702F85" w:rsidR="007324C0" w:rsidRPr="009B5620" w:rsidRDefault="007324C0" w:rsidP="000D0D9C">
            <w:pPr>
              <w:ind w:left="110"/>
              <w:jc w:val="both"/>
            </w:pPr>
            <w:r>
              <w:t xml:space="preserve">Indikatīvais </w:t>
            </w:r>
            <w:r w:rsidRPr="00AA3556">
              <w:t>efektivitāt</w:t>
            </w:r>
            <w:r>
              <w:t>es rādītājs (Emisijas kvotu izsolīšanas instrumenta (</w:t>
            </w:r>
            <w:r w:rsidR="00CB3F30">
              <w:t>turpmāk – </w:t>
            </w:r>
            <w:r>
              <w:t xml:space="preserve">EKII) finansējums, </w:t>
            </w:r>
            <w:r w:rsidRPr="00E948F0">
              <w:rPr>
                <w:i/>
                <w:iCs/>
              </w:rPr>
              <w:t>euro</w:t>
            </w:r>
            <w:r>
              <w:t xml:space="preserve"> pret CO</w:t>
            </w:r>
            <w:r w:rsidRPr="004427DB">
              <w:rPr>
                <w:vertAlign w:val="subscript"/>
              </w:rPr>
              <w:t>2</w:t>
            </w:r>
            <w:r>
              <w:t xml:space="preserve"> emisiju samazinājumu, </w:t>
            </w:r>
            <w:r w:rsidRPr="005D701D">
              <w:rPr>
                <w:i/>
                <w:iCs/>
              </w:rPr>
              <w:t>tCO</w:t>
            </w:r>
            <w:r w:rsidRPr="005D701D">
              <w:rPr>
                <w:i/>
                <w:iCs/>
                <w:vertAlign w:val="subscript"/>
              </w:rPr>
              <w:t>2</w:t>
            </w:r>
            <w:r w:rsidRPr="005D701D">
              <w:t>)</w:t>
            </w:r>
            <w:r>
              <w:rPr>
                <w:i/>
                <w:iCs/>
              </w:rPr>
              <w:t xml:space="preserve"> </w:t>
            </w:r>
            <w:r>
              <w:t>būs aptuveni</w:t>
            </w:r>
            <w:r w:rsidR="00FD5B63">
              <w:t xml:space="preserve"> </w:t>
            </w:r>
            <w:r w:rsidR="00EC744B">
              <w:t>1</w:t>
            </w:r>
            <w:r w:rsidR="00FD5B63">
              <w:t xml:space="preserve"> kgCO</w:t>
            </w:r>
            <w:r w:rsidR="00FD5B63" w:rsidRPr="000D0D9C">
              <w:rPr>
                <w:vertAlign w:val="subscript"/>
              </w:rPr>
              <w:t>2</w:t>
            </w:r>
            <w:r w:rsidR="00FD5B63">
              <w:t>/EUR</w:t>
            </w:r>
            <w:r>
              <w:t xml:space="preserve">. Par izmantoto EKII līdzekļu </w:t>
            </w:r>
            <w:r w:rsidRPr="00E948F0">
              <w:t xml:space="preserve">efektivitāti nevar spriest tikai pēc </w:t>
            </w:r>
            <w:r>
              <w:t>efektīvitātes rādītāja (</w:t>
            </w:r>
            <w:r w:rsidRPr="00E948F0">
              <w:rPr>
                <w:i/>
                <w:iCs/>
              </w:rPr>
              <w:t>euro</w:t>
            </w:r>
            <w:r>
              <w:rPr>
                <w:i/>
                <w:iCs/>
              </w:rPr>
              <w:t>/t</w:t>
            </w:r>
            <w:r>
              <w:t>CO</w:t>
            </w:r>
            <w:r w:rsidRPr="00E948F0">
              <w:rPr>
                <w:vertAlign w:val="subscript"/>
              </w:rPr>
              <w:t>2</w:t>
            </w:r>
            <w:r>
              <w:t>)</w:t>
            </w:r>
            <w:r w:rsidRPr="00E948F0">
              <w:t xml:space="preserve">, jo būtiski ņemt vērā ne vien tiešos </w:t>
            </w:r>
            <w:r>
              <w:t xml:space="preserve">SEG </w:t>
            </w:r>
            <w:r w:rsidRPr="00E948F0">
              <w:t xml:space="preserve">emisiju samazinājumus, bet arī netiešos SEG emisiju samazinājumus, kas iespējami dēļ multiplikatīvā efekta. Tas sevišķi svarīgi, jo klimata politikas mērķu sasniegšanai nepieciešamas pakāpeniskas, visaptverošas un būtiskas izmaiņas tautsaimniecībā un iedzīvotāju dzīvesveidā un to nav iespējams panākt tikai līdzfinansējot atsevišķus </w:t>
            </w:r>
            <w:r>
              <w:t xml:space="preserve">viena veida </w:t>
            </w:r>
            <w:r w:rsidRPr="00E948F0">
              <w:t>projektus.</w:t>
            </w:r>
          </w:p>
        </w:tc>
      </w:tr>
    </w:tbl>
    <w:p w14:paraId="2DAEF48B" w14:textId="77777777" w:rsidR="00C318BB" w:rsidRPr="009B5620" w:rsidRDefault="00C318BB" w:rsidP="0030341E"/>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9B5620" w14:paraId="47471233" w14:textId="77777777" w:rsidTr="00674567">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9B5620" w:rsidRDefault="00115550" w:rsidP="001A7349">
            <w:pPr>
              <w:jc w:val="center"/>
              <w:rPr>
                <w:b/>
                <w:bCs/>
              </w:rPr>
            </w:pPr>
            <w:r w:rsidRPr="009B5620">
              <w:rPr>
                <w:b/>
                <w:bCs/>
              </w:rPr>
              <w:t xml:space="preserve">II. </w:t>
            </w:r>
            <w:r w:rsidR="001A7349" w:rsidRPr="009B5620">
              <w:rPr>
                <w:b/>
                <w:bCs/>
              </w:rPr>
              <w:t>Tiesību akta projekta ietekme uz sabiedrību, tautsaimniecības attīstību</w:t>
            </w:r>
          </w:p>
          <w:p w14:paraId="08051D70" w14:textId="77777777" w:rsidR="00115550" w:rsidRPr="009B5620" w:rsidRDefault="001A7349" w:rsidP="001A7349">
            <w:pPr>
              <w:jc w:val="center"/>
              <w:rPr>
                <w:b/>
                <w:bCs/>
              </w:rPr>
            </w:pPr>
            <w:r w:rsidRPr="009B5620">
              <w:rPr>
                <w:b/>
                <w:bCs/>
              </w:rPr>
              <w:t>un administratīvo slogu</w:t>
            </w:r>
          </w:p>
        </w:tc>
      </w:tr>
      <w:tr w:rsidR="00546703" w:rsidRPr="009B5620" w14:paraId="0FF5CE32" w14:textId="77777777" w:rsidTr="00674567">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546703" w:rsidRPr="009B5620" w:rsidRDefault="00546703" w:rsidP="00546703">
            <w:r w:rsidRPr="009B5620">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546703" w:rsidRPr="009B5620" w:rsidRDefault="00546703" w:rsidP="00546703">
            <w:r w:rsidRPr="009B5620">
              <w:t>Sabiedrības mērķgrupas,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2E15A8B4" w14:textId="2B516142" w:rsidR="00816FBF" w:rsidRPr="009B5620" w:rsidRDefault="00546703">
            <w:pPr>
              <w:ind w:left="59" w:right="142"/>
              <w:jc w:val="both"/>
              <w:rPr>
                <w:bCs/>
              </w:rPr>
            </w:pPr>
            <w:r w:rsidRPr="009B5620">
              <w:t xml:space="preserve">Noteikumu projektā ietvertais tiesiskais regulējums attiecas uz </w:t>
            </w:r>
            <w:r w:rsidR="00DA673D">
              <w:t xml:space="preserve">EKII </w:t>
            </w:r>
            <w:r w:rsidR="00B76D53" w:rsidRPr="009B5620">
              <w:t>finansējuma</w:t>
            </w:r>
            <w:r w:rsidR="00574811" w:rsidRPr="009B5620">
              <w:t xml:space="preserve"> </w:t>
            </w:r>
            <w:r w:rsidR="00B76D53" w:rsidRPr="009B5620">
              <w:t>saņēmējiem</w:t>
            </w:r>
            <w:r w:rsidR="00041FE4">
              <w:t xml:space="preserve"> </w:t>
            </w:r>
            <w:r w:rsidR="00103B16">
              <w:t xml:space="preserve">(komersantiem) </w:t>
            </w:r>
            <w:r w:rsidR="00041FE4">
              <w:t>konkursa ietvaros</w:t>
            </w:r>
            <w:r w:rsidR="00574811" w:rsidRPr="009B5620">
              <w:t>, V</w:t>
            </w:r>
            <w:r w:rsidR="00300272">
              <w:t>ides investīciju fondu</w:t>
            </w:r>
            <w:r w:rsidR="00574811" w:rsidRPr="009B5620">
              <w:t xml:space="preserve"> un VARAM</w:t>
            </w:r>
            <w:r w:rsidR="00923B0E">
              <w:t>, kā arī</w:t>
            </w:r>
            <w:r w:rsidR="00103B16">
              <w:t xml:space="preserve"> fiziskām personām -</w:t>
            </w:r>
            <w:r w:rsidR="00923B0E">
              <w:t xml:space="preserve"> </w:t>
            </w:r>
            <w:r w:rsidR="00103B16">
              <w:t>iedzīvotājiem, kas iegādāsies šos transportlīdzekļus</w:t>
            </w:r>
            <w:r w:rsidR="00816FBF">
              <w:t>.</w:t>
            </w:r>
          </w:p>
        </w:tc>
      </w:tr>
      <w:tr w:rsidR="00674567" w:rsidRPr="009B5620" w14:paraId="1ECEA4AA" w14:textId="77777777" w:rsidTr="00674567">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674567" w:rsidRPr="009B5620" w:rsidRDefault="00674567" w:rsidP="00674567">
            <w:r w:rsidRPr="009B5620">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674567" w:rsidRPr="009B5620" w:rsidRDefault="00674567" w:rsidP="00674567">
            <w:r w:rsidRPr="009B5620">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6533A95B" w14:textId="0F411E2A" w:rsidR="00B76D53" w:rsidRPr="00A2096B" w:rsidRDefault="00B76D53" w:rsidP="00B76D53">
            <w:pPr>
              <w:spacing w:before="120" w:after="120"/>
              <w:ind w:left="57"/>
              <w:jc w:val="both"/>
            </w:pPr>
            <w:r w:rsidRPr="00300272">
              <w:rPr>
                <w:iCs/>
              </w:rPr>
              <w:t xml:space="preserve">Noteikumu projekts neparedz </w:t>
            </w:r>
            <w:r w:rsidR="00DA673D" w:rsidRPr="006A58F7">
              <w:rPr>
                <w:iCs/>
              </w:rPr>
              <w:t xml:space="preserve">negatīvu </w:t>
            </w:r>
            <w:r w:rsidRPr="00A2096B">
              <w:rPr>
                <w:iCs/>
              </w:rPr>
              <w:t>ietekmi uz tautsaimniecību.</w:t>
            </w:r>
          </w:p>
          <w:p w14:paraId="71031878" w14:textId="51155EA0" w:rsidR="00674567" w:rsidRPr="00CB018C" w:rsidRDefault="00B76D53" w:rsidP="00BF1CE1">
            <w:pPr>
              <w:spacing w:before="120" w:after="120"/>
              <w:ind w:left="57" w:right="130"/>
              <w:jc w:val="both"/>
            </w:pPr>
            <w:r w:rsidRPr="00A2096B">
              <w:t xml:space="preserve">Nav identificēts administratīvā sloga palielinājums finansējuma saņēmējiem. Administratīvais slogs palielināsies </w:t>
            </w:r>
            <w:r w:rsidR="00300272" w:rsidRPr="00300272">
              <w:t>Vides investīciju fondam</w:t>
            </w:r>
            <w:r w:rsidRPr="00300272">
              <w:t xml:space="preserve">, lai nodrošinātu Atsevišķu pārvaldes uzdevumu deleģēšanas līgumā ietverto </w:t>
            </w:r>
            <w:r w:rsidR="00BF1CE1" w:rsidRPr="00300272">
              <w:t xml:space="preserve">uzdevumu </w:t>
            </w:r>
            <w:r w:rsidRPr="00300272">
              <w:t>īstenošanu.</w:t>
            </w:r>
          </w:p>
        </w:tc>
      </w:tr>
      <w:tr w:rsidR="00674567" w:rsidRPr="009B5620" w14:paraId="394E8BE9" w14:textId="77777777" w:rsidTr="00674567">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674567" w:rsidRPr="009B5620" w:rsidRDefault="00674567" w:rsidP="00674567">
            <w:r w:rsidRPr="009B5620">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674567" w:rsidRPr="009B5620" w:rsidRDefault="00674567" w:rsidP="00674567">
            <w:r w:rsidRPr="009B5620">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3BDC068D" w:rsidR="00674567" w:rsidRPr="00CB018C" w:rsidRDefault="00B76D53" w:rsidP="00BF1CE1">
            <w:pPr>
              <w:pStyle w:val="naiskr"/>
              <w:spacing w:before="0" w:after="0"/>
              <w:ind w:left="59" w:right="142"/>
              <w:jc w:val="both"/>
            </w:pPr>
            <w:r w:rsidRPr="00300272">
              <w:t xml:space="preserve">Izmaksas deleģēto </w:t>
            </w:r>
            <w:r w:rsidR="00BF1CE1" w:rsidRPr="006A58F7">
              <w:t>uzdevumu</w:t>
            </w:r>
            <w:r w:rsidRPr="00A2096B">
              <w:t xml:space="preserve"> veikšanai V</w:t>
            </w:r>
            <w:r w:rsidR="00300272" w:rsidRPr="00300272">
              <w:t>ides investīciju fondam</w:t>
            </w:r>
            <w:r w:rsidRPr="00300272">
              <w:t xml:space="preserve"> plānots segt no valsts budžeta programmas 33.01.00 “Emisijas kvotu izsolīšanas instrumenta administrācija”.</w:t>
            </w:r>
          </w:p>
        </w:tc>
      </w:tr>
      <w:tr w:rsidR="00674567" w:rsidRPr="009B5620" w14:paraId="3BDD4DEB"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674567" w:rsidRPr="009B5620" w:rsidRDefault="00674567" w:rsidP="00674567">
            <w:r w:rsidRPr="009B5620">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674567" w:rsidRPr="009B5620" w:rsidRDefault="00674567" w:rsidP="00674567">
            <w:r w:rsidRPr="009B5620">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2CF43153" w:rsidR="00674567" w:rsidRPr="009B5620" w:rsidRDefault="00B76D53" w:rsidP="00674567">
            <w:pPr>
              <w:ind w:left="59"/>
              <w:jc w:val="both"/>
              <w:rPr>
                <w:highlight w:val="yellow"/>
              </w:rPr>
            </w:pPr>
            <w:r w:rsidRPr="009B5620">
              <w:t>Projekts šo jomu neskar.</w:t>
            </w:r>
          </w:p>
        </w:tc>
      </w:tr>
      <w:tr w:rsidR="0069761D" w:rsidRPr="009B5620" w14:paraId="047B8FA8"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69761D" w:rsidRPr="009B5620" w:rsidRDefault="00647D6D" w:rsidP="0069761D">
            <w:r w:rsidRPr="009B5620">
              <w:t>5</w:t>
            </w:r>
            <w:r w:rsidR="0069761D" w:rsidRPr="009B5620">
              <w:t>.</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69761D" w:rsidRPr="009B5620" w:rsidRDefault="0069761D" w:rsidP="0069761D">
            <w:r w:rsidRPr="009B5620">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3A2FFA15" w:rsidR="0069761D" w:rsidRPr="009B5620" w:rsidRDefault="00EE6340" w:rsidP="0069761D">
            <w:r w:rsidRPr="009B5620">
              <w:t>Nav</w:t>
            </w:r>
          </w:p>
        </w:tc>
      </w:tr>
    </w:tbl>
    <w:p w14:paraId="4ACFCA1A" w14:textId="38EC5527" w:rsidR="00972C84" w:rsidRDefault="00972C84" w:rsidP="009E31BC"/>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82"/>
      </w:tblGrid>
      <w:tr w:rsidR="00555789" w:rsidRPr="00364D00" w14:paraId="690DF862" w14:textId="77777777" w:rsidTr="009D52E5">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611198C" w14:textId="77777777" w:rsidR="00555789" w:rsidRPr="00364D00" w:rsidRDefault="00555789" w:rsidP="00555789">
            <w:pPr>
              <w:jc w:val="center"/>
              <w:rPr>
                <w:b/>
                <w:bCs/>
                <w:iCs/>
              </w:rPr>
            </w:pPr>
            <w:r w:rsidRPr="00364D00">
              <w:rPr>
                <w:b/>
                <w:bCs/>
                <w:iCs/>
              </w:rPr>
              <w:t>III. Tiesību akta projekta ietekme uz valsts budžetu un pašvaldību budžetiem</w:t>
            </w:r>
          </w:p>
        </w:tc>
      </w:tr>
      <w:tr w:rsidR="00555789" w:rsidRPr="00364D00" w14:paraId="68BC0328" w14:textId="77777777" w:rsidTr="009D52E5">
        <w:trPr>
          <w:tblCellSpacing w:w="15" w:type="dxa"/>
        </w:trPr>
        <w:tc>
          <w:tcPr>
            <w:tcW w:w="873" w:type="pct"/>
            <w:vMerge w:val="restart"/>
            <w:tcBorders>
              <w:top w:val="outset" w:sz="6" w:space="0" w:color="auto"/>
              <w:left w:val="outset" w:sz="6" w:space="0" w:color="auto"/>
              <w:bottom w:val="outset" w:sz="6" w:space="0" w:color="auto"/>
              <w:right w:val="outset" w:sz="6" w:space="0" w:color="auto"/>
            </w:tcBorders>
            <w:vAlign w:val="center"/>
            <w:hideMark/>
          </w:tcPr>
          <w:p w14:paraId="57FEB05A" w14:textId="77777777" w:rsidR="00555789" w:rsidRPr="00364D00" w:rsidRDefault="00555789" w:rsidP="00555789">
            <w:pPr>
              <w:jc w:val="center"/>
              <w:rPr>
                <w:iCs/>
              </w:rPr>
            </w:pPr>
            <w:r w:rsidRPr="00364D00">
              <w:rPr>
                <w:iCs/>
              </w:rPr>
              <w:lastRenderedPageBreak/>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C043FC" w14:textId="538F7F59" w:rsidR="00555789" w:rsidRPr="00364D00" w:rsidRDefault="00555789" w:rsidP="005D4CEC">
            <w:pPr>
              <w:rPr>
                <w:iCs/>
              </w:rPr>
            </w:pPr>
            <w:r w:rsidRPr="00364D00">
              <w:rPr>
                <w:iCs/>
              </w:rPr>
              <w:t>20</w:t>
            </w:r>
            <w:r w:rsidR="005D4CEC" w:rsidRPr="00364D00">
              <w:rPr>
                <w:iCs/>
              </w:rPr>
              <w:t>2</w:t>
            </w:r>
            <w:r w:rsidR="00364D00">
              <w:rPr>
                <w:iCs/>
              </w:rPr>
              <w:t>1</w:t>
            </w:r>
            <w:r w:rsidRPr="00364D00">
              <w:rPr>
                <w:iCs/>
              </w:rPr>
              <w:t>. gads</w:t>
            </w:r>
          </w:p>
        </w:tc>
        <w:tc>
          <w:tcPr>
            <w:tcW w:w="2967" w:type="pct"/>
            <w:gridSpan w:val="5"/>
            <w:tcBorders>
              <w:top w:val="outset" w:sz="6" w:space="0" w:color="auto"/>
              <w:left w:val="outset" w:sz="6" w:space="0" w:color="auto"/>
              <w:bottom w:val="outset" w:sz="6" w:space="0" w:color="auto"/>
              <w:right w:val="outset" w:sz="6" w:space="0" w:color="auto"/>
            </w:tcBorders>
            <w:vAlign w:val="center"/>
            <w:hideMark/>
          </w:tcPr>
          <w:p w14:paraId="4AFD0BD7" w14:textId="77777777" w:rsidR="00555789" w:rsidRPr="00364D00" w:rsidRDefault="00555789">
            <w:pPr>
              <w:rPr>
                <w:iCs/>
              </w:rPr>
            </w:pPr>
            <w:r w:rsidRPr="00364D00">
              <w:rPr>
                <w:iCs/>
              </w:rPr>
              <w:t>Turpmākie trīs gadi (</w:t>
            </w:r>
            <w:r w:rsidRPr="00364D00">
              <w:rPr>
                <w:i/>
                <w:iCs/>
              </w:rPr>
              <w:t>euro</w:t>
            </w:r>
            <w:r w:rsidRPr="00364D00">
              <w:rPr>
                <w:iCs/>
              </w:rPr>
              <w:t>)</w:t>
            </w:r>
          </w:p>
        </w:tc>
      </w:tr>
      <w:tr w:rsidR="00555789" w:rsidRPr="00364D00" w14:paraId="62C53375"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D1FD63" w14:textId="77777777" w:rsidR="00555789" w:rsidRPr="00364D00" w:rsidRDefault="00555789">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F26901" w14:textId="77777777" w:rsidR="00555789" w:rsidRPr="00364D00" w:rsidRDefault="00555789">
            <w:pPr>
              <w:rPr>
                <w:iCs/>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3FB2FB05" w14:textId="27520C0F" w:rsidR="00555789" w:rsidRPr="00364D00" w:rsidRDefault="00555789" w:rsidP="005D4CEC">
            <w:pPr>
              <w:rPr>
                <w:iCs/>
              </w:rPr>
            </w:pPr>
            <w:r w:rsidRPr="00364D00">
              <w:rPr>
                <w:iCs/>
              </w:rPr>
              <w:t>202</w:t>
            </w:r>
            <w:r w:rsidR="00364D00">
              <w:rPr>
                <w:iCs/>
              </w:rPr>
              <w:t>2</w:t>
            </w:r>
            <w:r w:rsidRPr="00364D00">
              <w:rPr>
                <w:iCs/>
              </w:rPr>
              <w:t>.</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054B65F" w14:textId="1132E4D8" w:rsidR="00555789" w:rsidRPr="00364D00" w:rsidRDefault="00555789" w:rsidP="005D4CEC">
            <w:pPr>
              <w:rPr>
                <w:iCs/>
              </w:rPr>
            </w:pPr>
            <w:r w:rsidRPr="00364D00">
              <w:rPr>
                <w:iCs/>
              </w:rPr>
              <w:t>202</w:t>
            </w:r>
            <w:r w:rsidR="00364D00">
              <w:rPr>
                <w:iCs/>
              </w:rPr>
              <w:t>3</w:t>
            </w:r>
            <w:r w:rsidRPr="00364D00">
              <w:rPr>
                <w:iCs/>
              </w:rPr>
              <w:t>.</w:t>
            </w:r>
          </w:p>
        </w:tc>
        <w:tc>
          <w:tcPr>
            <w:tcW w:w="848" w:type="pct"/>
            <w:tcBorders>
              <w:top w:val="outset" w:sz="6" w:space="0" w:color="auto"/>
              <w:left w:val="outset" w:sz="6" w:space="0" w:color="auto"/>
              <w:bottom w:val="outset" w:sz="6" w:space="0" w:color="auto"/>
              <w:right w:val="outset" w:sz="6" w:space="0" w:color="auto"/>
            </w:tcBorders>
            <w:vAlign w:val="center"/>
            <w:hideMark/>
          </w:tcPr>
          <w:p w14:paraId="5CE54642" w14:textId="5E223B43" w:rsidR="00555789" w:rsidRPr="00364D00" w:rsidRDefault="00555789" w:rsidP="005D4CEC">
            <w:pPr>
              <w:rPr>
                <w:iCs/>
              </w:rPr>
            </w:pPr>
            <w:r w:rsidRPr="00364D00">
              <w:rPr>
                <w:iCs/>
              </w:rPr>
              <w:t>202</w:t>
            </w:r>
            <w:r w:rsidR="00364D00">
              <w:rPr>
                <w:iCs/>
              </w:rPr>
              <w:t>4</w:t>
            </w:r>
            <w:r w:rsidRPr="00364D00">
              <w:rPr>
                <w:iCs/>
              </w:rPr>
              <w:t>.</w:t>
            </w:r>
          </w:p>
        </w:tc>
      </w:tr>
      <w:tr w:rsidR="00555789" w:rsidRPr="00364D00" w14:paraId="0BB74A39"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53F568" w14:textId="77777777" w:rsidR="00555789" w:rsidRPr="00364D00" w:rsidRDefault="00555789">
            <w:pPr>
              <w:rPr>
                <w:iCs/>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29FA71D2" w14:textId="77777777" w:rsidR="00555789" w:rsidRPr="00364D00" w:rsidRDefault="00555789">
            <w:pPr>
              <w:rPr>
                <w:iCs/>
              </w:rPr>
            </w:pPr>
            <w:r w:rsidRPr="00364D00">
              <w:rPr>
                <w:iCs/>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ED535E" w14:textId="77777777" w:rsidR="00555789" w:rsidRPr="00364D00" w:rsidRDefault="00555789">
            <w:pPr>
              <w:rPr>
                <w:iCs/>
              </w:rPr>
            </w:pPr>
            <w:r w:rsidRPr="00364D00">
              <w:rPr>
                <w:iCs/>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A3FAF7" w14:textId="77777777" w:rsidR="00555789" w:rsidRPr="00364D00" w:rsidRDefault="00555789">
            <w:pPr>
              <w:rPr>
                <w:iCs/>
              </w:rPr>
            </w:pPr>
            <w:r w:rsidRPr="00364D0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DFA9F3" w14:textId="00F2E032" w:rsidR="00555789" w:rsidRPr="00364D00" w:rsidRDefault="00555789" w:rsidP="00264B24">
            <w:pPr>
              <w:rPr>
                <w:iCs/>
              </w:rPr>
            </w:pPr>
            <w:r w:rsidRPr="00364D00">
              <w:rPr>
                <w:iCs/>
              </w:rPr>
              <w:t>izmaiņas, salīdzinot ar vidēja termiņa budžeta ietvaru 202</w:t>
            </w:r>
            <w:r w:rsidR="00773D81">
              <w:rPr>
                <w:iCs/>
              </w:rPr>
              <w:t>2</w:t>
            </w:r>
            <w:r w:rsidRPr="00364D00">
              <w:rPr>
                <w:iCs/>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87AF69" w14:textId="77777777" w:rsidR="00555789" w:rsidRPr="00364D00" w:rsidRDefault="00555789">
            <w:pPr>
              <w:rPr>
                <w:iCs/>
              </w:rPr>
            </w:pPr>
            <w:r w:rsidRPr="00364D0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612AB6" w14:textId="008F8E0C" w:rsidR="00555789" w:rsidRPr="00364D00" w:rsidRDefault="00555789" w:rsidP="00264B24">
            <w:pPr>
              <w:rPr>
                <w:iCs/>
              </w:rPr>
            </w:pPr>
            <w:r w:rsidRPr="00364D00">
              <w:rPr>
                <w:iCs/>
              </w:rPr>
              <w:t>izmaiņas, salīdzinot ar vidēja termiņa budžeta ietvaru 202</w:t>
            </w:r>
            <w:r w:rsidR="00773D81">
              <w:rPr>
                <w:iCs/>
              </w:rPr>
              <w:t>3</w:t>
            </w:r>
            <w:r w:rsidRPr="00364D00">
              <w:rPr>
                <w:iCs/>
              </w:rPr>
              <w:t>. gadam</w:t>
            </w:r>
          </w:p>
        </w:tc>
        <w:tc>
          <w:tcPr>
            <w:tcW w:w="848" w:type="pct"/>
            <w:tcBorders>
              <w:top w:val="outset" w:sz="6" w:space="0" w:color="auto"/>
              <w:left w:val="outset" w:sz="6" w:space="0" w:color="auto"/>
              <w:bottom w:val="outset" w:sz="6" w:space="0" w:color="auto"/>
              <w:right w:val="outset" w:sz="6" w:space="0" w:color="auto"/>
            </w:tcBorders>
            <w:vAlign w:val="center"/>
            <w:hideMark/>
          </w:tcPr>
          <w:p w14:paraId="28B03A3F" w14:textId="1E491876" w:rsidR="00555789" w:rsidRPr="00364D00" w:rsidRDefault="00555789" w:rsidP="00CC50F5">
            <w:pPr>
              <w:rPr>
                <w:iCs/>
              </w:rPr>
            </w:pPr>
            <w:r w:rsidRPr="00364D00">
              <w:rPr>
                <w:iCs/>
              </w:rPr>
              <w:t>izmaiņas, salīdzinot ar vidēja termiņa budžeta ietvaru 202</w:t>
            </w:r>
            <w:r w:rsidR="00773D81">
              <w:rPr>
                <w:iCs/>
              </w:rPr>
              <w:t>3</w:t>
            </w:r>
            <w:r w:rsidRPr="00364D00">
              <w:rPr>
                <w:iCs/>
              </w:rPr>
              <w:t>. gadam</w:t>
            </w:r>
          </w:p>
        </w:tc>
      </w:tr>
      <w:tr w:rsidR="00555789" w:rsidRPr="00364D00" w14:paraId="2172D20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vAlign w:val="center"/>
            <w:hideMark/>
          </w:tcPr>
          <w:p w14:paraId="11A71D30" w14:textId="77777777" w:rsidR="00555789" w:rsidRPr="00364D00" w:rsidRDefault="00555789">
            <w:pPr>
              <w:rPr>
                <w:iCs/>
              </w:rPr>
            </w:pPr>
            <w:r w:rsidRPr="00364D00">
              <w:rPr>
                <w:iCs/>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531781EB" w14:textId="77777777" w:rsidR="00555789" w:rsidRPr="00364D00" w:rsidRDefault="00555789">
            <w:pPr>
              <w:rPr>
                <w:iCs/>
              </w:rPr>
            </w:pPr>
            <w:r w:rsidRPr="00364D00">
              <w:rPr>
                <w:iCs/>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DFF926" w14:textId="77777777" w:rsidR="00555789" w:rsidRPr="00364D00" w:rsidRDefault="00555789">
            <w:pPr>
              <w:rPr>
                <w:iCs/>
              </w:rPr>
            </w:pPr>
            <w:r w:rsidRPr="00364D00">
              <w:rPr>
                <w:iCs/>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660C68" w14:textId="77777777" w:rsidR="00555789" w:rsidRPr="00364D00" w:rsidRDefault="00555789">
            <w:pPr>
              <w:rPr>
                <w:iCs/>
              </w:rPr>
            </w:pPr>
            <w:r w:rsidRPr="00364D00">
              <w:rPr>
                <w:iCs/>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F6D74F" w14:textId="77777777" w:rsidR="00555789" w:rsidRPr="00364D00" w:rsidRDefault="00555789">
            <w:pPr>
              <w:rPr>
                <w:iCs/>
              </w:rPr>
            </w:pPr>
            <w:r w:rsidRPr="00364D00">
              <w:rPr>
                <w:iCs/>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AED055" w14:textId="77777777" w:rsidR="00555789" w:rsidRPr="00364D00" w:rsidRDefault="00555789">
            <w:pPr>
              <w:rPr>
                <w:iCs/>
              </w:rPr>
            </w:pPr>
            <w:r w:rsidRPr="00364D00">
              <w:rPr>
                <w:iCs/>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7B3688" w14:textId="77777777" w:rsidR="00555789" w:rsidRPr="00364D00" w:rsidRDefault="00555789">
            <w:pPr>
              <w:rPr>
                <w:iCs/>
              </w:rPr>
            </w:pPr>
            <w:r w:rsidRPr="00364D00">
              <w:rPr>
                <w:iCs/>
              </w:rPr>
              <w:t>7</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E7B761" w14:textId="77777777" w:rsidR="00555789" w:rsidRPr="00364D00" w:rsidRDefault="00555789">
            <w:pPr>
              <w:rPr>
                <w:iCs/>
              </w:rPr>
            </w:pPr>
            <w:r w:rsidRPr="00364D00">
              <w:rPr>
                <w:iCs/>
              </w:rPr>
              <w:t>8</w:t>
            </w:r>
          </w:p>
        </w:tc>
      </w:tr>
      <w:tr w:rsidR="00555789" w:rsidRPr="00364D00" w14:paraId="37B10BE7"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CEFABC2" w14:textId="77777777" w:rsidR="00555789" w:rsidRPr="00364D00" w:rsidRDefault="00555789">
            <w:pPr>
              <w:rPr>
                <w:iCs/>
              </w:rPr>
            </w:pPr>
            <w:r w:rsidRPr="00364D00">
              <w:rPr>
                <w:iCs/>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9D162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68C159"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CE369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122996" w14:textId="6C0CE456" w:rsidR="00555789" w:rsidRPr="00364D00" w:rsidRDefault="007F205D">
            <w:pPr>
              <w:jc w:val="center"/>
              <w:rPr>
                <w:iCs/>
              </w:rPr>
            </w:pPr>
            <w:r>
              <w:rPr>
                <w:iCs/>
              </w:rPr>
              <w:t>5 000 000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CD21F55"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08D06E" w14:textId="45A09C65" w:rsidR="00555789" w:rsidRPr="00364D00" w:rsidRDefault="007F205D">
            <w:pPr>
              <w:jc w:val="center"/>
              <w:rPr>
                <w:iCs/>
              </w:rPr>
            </w:pPr>
            <w:r>
              <w:rPr>
                <w:iCs/>
              </w:rPr>
              <w:t>5 000 000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30C98E" w14:textId="65F97C37" w:rsidR="00555789" w:rsidRPr="00364D00" w:rsidRDefault="006533E5">
            <w:pPr>
              <w:jc w:val="center"/>
              <w:rPr>
                <w:iCs/>
              </w:rPr>
            </w:pPr>
            <w:r w:rsidRPr="00364D00">
              <w:rPr>
                <w:iCs/>
              </w:rPr>
              <w:t>0</w:t>
            </w:r>
          </w:p>
        </w:tc>
      </w:tr>
      <w:tr w:rsidR="009D52E5" w:rsidRPr="00364D00" w14:paraId="35ED0FAE"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E22630E" w14:textId="77777777" w:rsidR="009D52E5" w:rsidRPr="00364D00" w:rsidRDefault="009D52E5" w:rsidP="009D52E5">
            <w:pPr>
              <w:rPr>
                <w:iCs/>
              </w:rPr>
            </w:pPr>
            <w:r w:rsidRPr="00364D00">
              <w:rPr>
                <w:iCs/>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83EC42A"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F83BF4"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20B80F"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420F09" w14:textId="3D9CB0EC" w:rsidR="009D52E5" w:rsidRPr="00364D00" w:rsidRDefault="007F205D" w:rsidP="009D52E5">
            <w:pPr>
              <w:jc w:val="center"/>
              <w:rPr>
                <w:iCs/>
              </w:rPr>
            </w:pPr>
            <w:r>
              <w:rPr>
                <w:iCs/>
              </w:rPr>
              <w:t>5 000 000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B47A237" w14:textId="59E472FE"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26D891" w14:textId="3F3C2C98" w:rsidR="009D52E5" w:rsidRPr="00364D00" w:rsidRDefault="007F205D" w:rsidP="009D52E5">
            <w:pPr>
              <w:jc w:val="center"/>
              <w:rPr>
                <w:iCs/>
              </w:rPr>
            </w:pPr>
            <w:r>
              <w:rPr>
                <w:iCs/>
              </w:rPr>
              <w:t>5 000 000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B4F228B" w14:textId="580CD499" w:rsidR="009D52E5" w:rsidRPr="00364D00" w:rsidRDefault="006533E5" w:rsidP="009D52E5">
            <w:pPr>
              <w:jc w:val="center"/>
              <w:rPr>
                <w:iCs/>
              </w:rPr>
            </w:pPr>
            <w:r w:rsidRPr="00364D00">
              <w:rPr>
                <w:iCs/>
              </w:rPr>
              <w:t>0</w:t>
            </w:r>
          </w:p>
        </w:tc>
      </w:tr>
      <w:tr w:rsidR="00555789" w:rsidRPr="00364D00" w14:paraId="3C24C8C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27F503D" w14:textId="77777777" w:rsidR="00555789" w:rsidRPr="00364D00" w:rsidRDefault="00555789">
            <w:pPr>
              <w:rPr>
                <w:iCs/>
              </w:rPr>
            </w:pPr>
            <w:r w:rsidRPr="00364D00">
              <w:rPr>
                <w:iCs/>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9361FA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6A492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852912"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85717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15E47C9"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F498ED"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A9B8AB2" w14:textId="77777777" w:rsidR="00555789" w:rsidRPr="00364D00" w:rsidRDefault="00555789">
            <w:pPr>
              <w:jc w:val="center"/>
              <w:rPr>
                <w:iCs/>
              </w:rPr>
            </w:pPr>
            <w:r w:rsidRPr="00364D00">
              <w:rPr>
                <w:iCs/>
              </w:rPr>
              <w:t>0</w:t>
            </w:r>
          </w:p>
        </w:tc>
      </w:tr>
      <w:tr w:rsidR="00555789" w:rsidRPr="00364D00" w14:paraId="441C7986"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A36A6E5" w14:textId="77777777" w:rsidR="00555789" w:rsidRPr="00364D00" w:rsidRDefault="00555789">
            <w:pPr>
              <w:rPr>
                <w:iCs/>
              </w:rPr>
            </w:pPr>
            <w:r w:rsidRPr="00364D00">
              <w:rPr>
                <w:iCs/>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DAD990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D4625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CE1B78"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009F5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ED90CA"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D87A77"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0DEF2FC" w14:textId="77777777" w:rsidR="00555789" w:rsidRPr="00364D00" w:rsidRDefault="00555789">
            <w:pPr>
              <w:jc w:val="center"/>
              <w:rPr>
                <w:iCs/>
              </w:rPr>
            </w:pPr>
            <w:r w:rsidRPr="00364D00">
              <w:rPr>
                <w:iCs/>
              </w:rPr>
              <w:t>0</w:t>
            </w:r>
          </w:p>
        </w:tc>
      </w:tr>
      <w:tr w:rsidR="009D52E5" w:rsidRPr="00364D00" w14:paraId="5D19741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36EEA91" w14:textId="77777777" w:rsidR="009D52E5" w:rsidRPr="00364D00" w:rsidRDefault="009D52E5" w:rsidP="009D52E5">
            <w:pPr>
              <w:rPr>
                <w:iCs/>
              </w:rPr>
            </w:pPr>
            <w:r w:rsidRPr="00364D00">
              <w:rPr>
                <w:iCs/>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296AD5"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F44305"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BC0842"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95A5F7" w14:textId="02879B6A" w:rsidR="009D52E5" w:rsidRPr="00364D00" w:rsidRDefault="007F205D" w:rsidP="009D52E5">
            <w:pPr>
              <w:jc w:val="center"/>
              <w:rPr>
                <w:iCs/>
              </w:rPr>
            </w:pPr>
            <w:r>
              <w:rPr>
                <w:iCs/>
              </w:rPr>
              <w:t>5 000 000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0CD457" w14:textId="115E9051"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3ADEC2" w14:textId="2761DCF8" w:rsidR="009D52E5" w:rsidRPr="00364D00" w:rsidRDefault="007F205D" w:rsidP="009D52E5">
            <w:pPr>
              <w:jc w:val="center"/>
              <w:rPr>
                <w:iCs/>
              </w:rPr>
            </w:pPr>
            <w:r>
              <w:rPr>
                <w:iCs/>
              </w:rPr>
              <w:t>5 000 000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9806116" w14:textId="092E9F13" w:rsidR="009D52E5" w:rsidRPr="00364D00" w:rsidRDefault="006533E5" w:rsidP="009D52E5">
            <w:pPr>
              <w:jc w:val="center"/>
              <w:rPr>
                <w:iCs/>
              </w:rPr>
            </w:pPr>
            <w:r w:rsidRPr="00364D00">
              <w:rPr>
                <w:iCs/>
              </w:rPr>
              <w:t>0</w:t>
            </w:r>
          </w:p>
        </w:tc>
      </w:tr>
      <w:tr w:rsidR="009D52E5" w:rsidRPr="00364D00" w14:paraId="3B9EA47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486794F" w14:textId="77777777" w:rsidR="009D52E5" w:rsidRPr="00364D00" w:rsidRDefault="009D52E5" w:rsidP="009D52E5">
            <w:pPr>
              <w:rPr>
                <w:iCs/>
              </w:rPr>
            </w:pPr>
            <w:r w:rsidRPr="00364D00">
              <w:rPr>
                <w:iCs/>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5E889F7"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01A065"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733077"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16FCAE" w14:textId="7066D70E" w:rsidR="009D52E5" w:rsidRPr="00364D00" w:rsidRDefault="007F205D" w:rsidP="009D52E5">
            <w:pPr>
              <w:jc w:val="center"/>
              <w:rPr>
                <w:iCs/>
              </w:rPr>
            </w:pPr>
            <w:r>
              <w:rPr>
                <w:iCs/>
              </w:rPr>
              <w:t>5 000 000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E86293" w14:textId="7E7625B4"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1A6031" w14:textId="34553770" w:rsidR="009D52E5" w:rsidRPr="00364D00" w:rsidRDefault="007F205D" w:rsidP="009D52E5">
            <w:pPr>
              <w:jc w:val="center"/>
              <w:rPr>
                <w:iCs/>
              </w:rPr>
            </w:pPr>
            <w:r>
              <w:rPr>
                <w:iCs/>
              </w:rPr>
              <w:t>5 000 000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0E92789" w14:textId="0548EB44" w:rsidR="009D52E5" w:rsidRPr="00364D00" w:rsidRDefault="006533E5" w:rsidP="009D52E5">
            <w:pPr>
              <w:jc w:val="center"/>
              <w:rPr>
                <w:iCs/>
              </w:rPr>
            </w:pPr>
            <w:r w:rsidRPr="00364D00">
              <w:rPr>
                <w:iCs/>
              </w:rPr>
              <w:t>0</w:t>
            </w:r>
          </w:p>
        </w:tc>
      </w:tr>
      <w:tr w:rsidR="00555789" w:rsidRPr="00364D00" w14:paraId="4D1E81D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017254B" w14:textId="77777777" w:rsidR="00555789" w:rsidRPr="00364D00" w:rsidRDefault="00555789">
            <w:pPr>
              <w:rPr>
                <w:iCs/>
              </w:rPr>
            </w:pPr>
            <w:r w:rsidRPr="00364D00">
              <w:rPr>
                <w:iCs/>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2FE887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C5E50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EFB599"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16A50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C67781"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E367E8"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0815F32C" w14:textId="77777777" w:rsidR="00555789" w:rsidRPr="00364D00" w:rsidRDefault="00555789">
            <w:pPr>
              <w:jc w:val="center"/>
              <w:rPr>
                <w:iCs/>
              </w:rPr>
            </w:pPr>
            <w:r w:rsidRPr="00364D00">
              <w:rPr>
                <w:iCs/>
              </w:rPr>
              <w:t>0</w:t>
            </w:r>
          </w:p>
        </w:tc>
      </w:tr>
      <w:tr w:rsidR="00555789" w:rsidRPr="00364D00" w14:paraId="3C41E08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6676740" w14:textId="77777777" w:rsidR="00555789" w:rsidRPr="00364D00" w:rsidRDefault="00555789">
            <w:pPr>
              <w:rPr>
                <w:iCs/>
              </w:rPr>
            </w:pPr>
            <w:r w:rsidRPr="00364D00">
              <w:rPr>
                <w:iCs/>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7F0D5CB"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46BAE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7C971E"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BE2F04"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1E937A"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0CA63C"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E520976" w14:textId="77777777" w:rsidR="00555789" w:rsidRPr="00364D00" w:rsidRDefault="00555789">
            <w:pPr>
              <w:jc w:val="center"/>
              <w:rPr>
                <w:iCs/>
              </w:rPr>
            </w:pPr>
            <w:r w:rsidRPr="00364D00">
              <w:rPr>
                <w:iCs/>
              </w:rPr>
              <w:t>0</w:t>
            </w:r>
          </w:p>
        </w:tc>
      </w:tr>
      <w:tr w:rsidR="00555789" w:rsidRPr="00364D00" w14:paraId="406BB96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64EE9F7" w14:textId="77777777" w:rsidR="00555789" w:rsidRPr="00364D00" w:rsidRDefault="00555789" w:rsidP="00555789">
            <w:pPr>
              <w:rPr>
                <w:iCs/>
              </w:rPr>
            </w:pPr>
            <w:r w:rsidRPr="00364D00">
              <w:rPr>
                <w:iCs/>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5C72838B"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2D4B08" w14:textId="7777777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A43C16"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hideMark/>
          </w:tcPr>
          <w:p w14:paraId="3BA1EB17" w14:textId="58E09DE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C495B1"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AF73F5" w14:textId="77777777" w:rsidR="00555789" w:rsidRPr="00364D00" w:rsidRDefault="00555789" w:rsidP="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002A83" w14:textId="77777777" w:rsidR="00555789" w:rsidRPr="00364D00" w:rsidRDefault="00555789" w:rsidP="00555789">
            <w:pPr>
              <w:jc w:val="center"/>
              <w:rPr>
                <w:iCs/>
              </w:rPr>
            </w:pPr>
            <w:r w:rsidRPr="00364D00">
              <w:rPr>
                <w:iCs/>
              </w:rPr>
              <w:t>0</w:t>
            </w:r>
          </w:p>
        </w:tc>
      </w:tr>
      <w:tr w:rsidR="00555789" w:rsidRPr="00364D00" w14:paraId="3A24C1DF"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FB3BD9D" w14:textId="77777777" w:rsidR="00555789" w:rsidRPr="00364D00" w:rsidRDefault="00555789" w:rsidP="00555789">
            <w:pPr>
              <w:rPr>
                <w:iCs/>
              </w:rPr>
            </w:pPr>
            <w:r w:rsidRPr="00364D00">
              <w:rPr>
                <w:iCs/>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7E2826"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D6F3DF" w14:textId="7777777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56A972"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hideMark/>
          </w:tcPr>
          <w:p w14:paraId="77AF68C8" w14:textId="496FC074"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53AFDA"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8E06F3" w14:textId="77777777" w:rsidR="00555789" w:rsidRPr="00364D00" w:rsidRDefault="00555789" w:rsidP="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AD806E" w14:textId="77777777" w:rsidR="00555789" w:rsidRPr="00364D00" w:rsidRDefault="00555789" w:rsidP="00555789">
            <w:pPr>
              <w:jc w:val="center"/>
              <w:rPr>
                <w:iCs/>
              </w:rPr>
            </w:pPr>
            <w:r w:rsidRPr="00364D00">
              <w:rPr>
                <w:iCs/>
              </w:rPr>
              <w:t>0</w:t>
            </w:r>
          </w:p>
        </w:tc>
      </w:tr>
      <w:tr w:rsidR="00555789" w:rsidRPr="00364D00" w14:paraId="5D38FB5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F2E4D8C" w14:textId="77777777" w:rsidR="00555789" w:rsidRPr="00364D00" w:rsidRDefault="00555789">
            <w:pPr>
              <w:rPr>
                <w:iCs/>
              </w:rPr>
            </w:pPr>
            <w:r w:rsidRPr="00364D00">
              <w:rPr>
                <w:iCs/>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61BCEB"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993AA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6C8DE8"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8CEAAD"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13D02E"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264CAD"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A586C20" w14:textId="77777777" w:rsidR="00555789" w:rsidRPr="00364D00" w:rsidRDefault="00555789">
            <w:pPr>
              <w:jc w:val="center"/>
              <w:rPr>
                <w:iCs/>
              </w:rPr>
            </w:pPr>
            <w:r w:rsidRPr="00364D00">
              <w:rPr>
                <w:iCs/>
              </w:rPr>
              <w:t>0</w:t>
            </w:r>
          </w:p>
        </w:tc>
      </w:tr>
      <w:tr w:rsidR="00555789" w:rsidRPr="00364D00" w14:paraId="17C1D2D9"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E0E1748" w14:textId="77777777" w:rsidR="00555789" w:rsidRPr="00364D00" w:rsidRDefault="00555789">
            <w:pPr>
              <w:rPr>
                <w:iCs/>
              </w:rPr>
            </w:pPr>
            <w:r w:rsidRPr="00364D00">
              <w:rPr>
                <w:iCs/>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A0229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5BB10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A33FE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D712D3"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FA124D"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9CF228"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502CEBC" w14:textId="77777777" w:rsidR="00555789" w:rsidRPr="00364D00" w:rsidRDefault="00555789">
            <w:pPr>
              <w:jc w:val="center"/>
              <w:rPr>
                <w:iCs/>
              </w:rPr>
            </w:pPr>
            <w:r w:rsidRPr="00364D00">
              <w:rPr>
                <w:iCs/>
              </w:rPr>
              <w:t>0</w:t>
            </w:r>
          </w:p>
        </w:tc>
      </w:tr>
      <w:tr w:rsidR="00555789" w:rsidRPr="00364D00" w14:paraId="3167CB18"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1C28C6D" w14:textId="77777777" w:rsidR="00555789" w:rsidRPr="00364D00" w:rsidRDefault="00555789">
            <w:pPr>
              <w:rPr>
                <w:iCs/>
              </w:rPr>
            </w:pPr>
            <w:r w:rsidRPr="00364D00">
              <w:rPr>
                <w:iCs/>
              </w:rPr>
              <w:lastRenderedPageBreak/>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F91F0EA"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D4072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22E185"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32854F" w14:textId="5D61C75A"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330E0F1"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32750F"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BC1B5C9" w14:textId="77777777" w:rsidR="00555789" w:rsidRPr="00364D00" w:rsidRDefault="00555789">
            <w:pPr>
              <w:jc w:val="center"/>
              <w:rPr>
                <w:iCs/>
              </w:rPr>
            </w:pPr>
            <w:r w:rsidRPr="00364D00">
              <w:rPr>
                <w:iCs/>
              </w:rPr>
              <w:t>0</w:t>
            </w:r>
          </w:p>
        </w:tc>
      </w:tr>
      <w:tr w:rsidR="00555789" w:rsidRPr="00364D00" w14:paraId="0938EDFA"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5E720D9" w14:textId="77777777" w:rsidR="00555789" w:rsidRPr="00364D00" w:rsidRDefault="00555789">
            <w:pPr>
              <w:rPr>
                <w:iCs/>
              </w:rPr>
            </w:pPr>
            <w:r w:rsidRPr="00364D00">
              <w:rPr>
                <w:iCs/>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tcPr>
          <w:p w14:paraId="3EE40976" w14:textId="77777777" w:rsidR="00555789" w:rsidRPr="00364D00" w:rsidRDefault="00555789">
            <w:pPr>
              <w:jc w:val="center"/>
              <w:rPr>
                <w:iCs/>
              </w:rPr>
            </w:pPr>
          </w:p>
          <w:p w14:paraId="4D4BCB9C" w14:textId="77777777" w:rsidR="00555789" w:rsidRPr="00364D00" w:rsidRDefault="00555789">
            <w:pPr>
              <w:jc w:val="center"/>
              <w:rPr>
                <w:iCs/>
              </w:rPr>
            </w:pPr>
          </w:p>
          <w:p w14:paraId="6FCEEE0B" w14:textId="77777777" w:rsidR="00555789" w:rsidRPr="00364D00" w:rsidRDefault="00555789">
            <w:pPr>
              <w:jc w:val="center"/>
              <w:rPr>
                <w:iCs/>
              </w:rPr>
            </w:pPr>
          </w:p>
          <w:p w14:paraId="708F1C0C" w14:textId="77777777" w:rsidR="00555789" w:rsidRPr="00364D00" w:rsidRDefault="00555789">
            <w:pPr>
              <w:jc w:val="center"/>
              <w:rPr>
                <w:iCs/>
              </w:rPr>
            </w:pPr>
          </w:p>
          <w:p w14:paraId="3D33E289" w14:textId="77777777" w:rsidR="00555789" w:rsidRPr="00364D00" w:rsidRDefault="00555789">
            <w:pPr>
              <w:jc w:val="center"/>
              <w:rPr>
                <w:iCs/>
              </w:rPr>
            </w:pPr>
          </w:p>
          <w:p w14:paraId="0A866416"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BA49F3" w14:textId="77777777" w:rsidR="00555789" w:rsidRPr="00364D00" w:rsidRDefault="00555789">
            <w:pPr>
              <w:jc w:val="center"/>
              <w:rPr>
                <w:iCs/>
              </w:rPr>
            </w:pPr>
            <w:r w:rsidRPr="00364D0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65B3E4B0" w14:textId="77777777" w:rsidR="00555789" w:rsidRPr="00364D00" w:rsidRDefault="00555789">
            <w:pPr>
              <w:jc w:val="center"/>
              <w:rPr>
                <w:iCs/>
              </w:rPr>
            </w:pPr>
          </w:p>
          <w:p w14:paraId="415925FB" w14:textId="77777777" w:rsidR="00555789" w:rsidRPr="00364D00" w:rsidRDefault="00555789">
            <w:pPr>
              <w:jc w:val="center"/>
              <w:rPr>
                <w:iCs/>
              </w:rPr>
            </w:pPr>
          </w:p>
          <w:p w14:paraId="1412D332" w14:textId="77777777" w:rsidR="00555789" w:rsidRPr="00364D00" w:rsidRDefault="00555789">
            <w:pPr>
              <w:jc w:val="center"/>
              <w:rPr>
                <w:iCs/>
              </w:rPr>
            </w:pPr>
          </w:p>
          <w:p w14:paraId="313CE3CE" w14:textId="77777777" w:rsidR="00555789" w:rsidRPr="00364D00" w:rsidRDefault="00555789">
            <w:pPr>
              <w:jc w:val="center"/>
              <w:rPr>
                <w:iCs/>
              </w:rPr>
            </w:pPr>
          </w:p>
          <w:p w14:paraId="07FC29FC" w14:textId="77777777" w:rsidR="00555789" w:rsidRPr="00364D00" w:rsidRDefault="00555789">
            <w:pPr>
              <w:jc w:val="center"/>
              <w:rPr>
                <w:iCs/>
              </w:rPr>
            </w:pPr>
          </w:p>
          <w:p w14:paraId="6FE35B58"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344505" w14:textId="77777777" w:rsidR="00555789" w:rsidRPr="00364D00" w:rsidRDefault="00555789">
            <w:pPr>
              <w:jc w:val="center"/>
              <w:rPr>
                <w:iCs/>
              </w:rPr>
            </w:pPr>
            <w:r w:rsidRPr="00364D0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04882A4" w14:textId="77777777" w:rsidR="00555789" w:rsidRPr="00364D00" w:rsidRDefault="00555789">
            <w:pPr>
              <w:jc w:val="center"/>
              <w:rPr>
                <w:iCs/>
              </w:rPr>
            </w:pPr>
          </w:p>
          <w:p w14:paraId="28C8C5C4" w14:textId="77777777" w:rsidR="00555789" w:rsidRPr="00364D00" w:rsidRDefault="00555789">
            <w:pPr>
              <w:jc w:val="center"/>
              <w:rPr>
                <w:iCs/>
              </w:rPr>
            </w:pPr>
          </w:p>
          <w:p w14:paraId="3957BF8E" w14:textId="77777777" w:rsidR="00555789" w:rsidRPr="00364D00" w:rsidRDefault="00555789">
            <w:pPr>
              <w:jc w:val="center"/>
              <w:rPr>
                <w:iCs/>
              </w:rPr>
            </w:pPr>
          </w:p>
          <w:p w14:paraId="765C6BC5" w14:textId="77777777" w:rsidR="00555789" w:rsidRPr="00364D00" w:rsidRDefault="00555789">
            <w:pPr>
              <w:jc w:val="center"/>
              <w:rPr>
                <w:iCs/>
              </w:rPr>
            </w:pPr>
          </w:p>
          <w:p w14:paraId="529F65D1" w14:textId="77777777" w:rsidR="00555789" w:rsidRPr="00364D00" w:rsidRDefault="00555789">
            <w:pPr>
              <w:jc w:val="center"/>
              <w:rPr>
                <w:iCs/>
              </w:rPr>
            </w:pPr>
          </w:p>
          <w:p w14:paraId="4811E981"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37C6E3"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0D5E82D" w14:textId="77777777" w:rsidR="00555789" w:rsidRPr="00364D00" w:rsidRDefault="00555789">
            <w:pPr>
              <w:jc w:val="center"/>
              <w:rPr>
                <w:iCs/>
              </w:rPr>
            </w:pPr>
            <w:r w:rsidRPr="00364D00">
              <w:rPr>
                <w:iCs/>
              </w:rPr>
              <w:t>0</w:t>
            </w:r>
          </w:p>
        </w:tc>
      </w:tr>
      <w:tr w:rsidR="00555789" w:rsidRPr="00364D00" w14:paraId="36A9A3BD"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80E4B50" w14:textId="77777777" w:rsidR="00555789" w:rsidRPr="00364D00" w:rsidRDefault="00555789">
            <w:pPr>
              <w:rPr>
                <w:iCs/>
              </w:rPr>
            </w:pPr>
            <w:r w:rsidRPr="00364D00">
              <w:rPr>
                <w:iC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6C1E7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9D8C1D8"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9171C7"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5C6D83A"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8620980"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4136AEF"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7FA4158" w14:textId="77777777" w:rsidR="00555789" w:rsidRPr="00364D00" w:rsidRDefault="00555789">
            <w:pPr>
              <w:jc w:val="center"/>
              <w:rPr>
                <w:iCs/>
              </w:rPr>
            </w:pPr>
            <w:r w:rsidRPr="00364D00">
              <w:rPr>
                <w:iCs/>
              </w:rPr>
              <w:t>0</w:t>
            </w:r>
          </w:p>
        </w:tc>
      </w:tr>
      <w:tr w:rsidR="00555789" w:rsidRPr="00364D00" w14:paraId="38F0F04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4FB4A2D" w14:textId="77777777" w:rsidR="00555789" w:rsidRPr="00364D00" w:rsidRDefault="00555789">
            <w:pPr>
              <w:rPr>
                <w:iCs/>
              </w:rPr>
            </w:pPr>
            <w:r w:rsidRPr="00364D00">
              <w:rPr>
                <w:iCs/>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962E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B335D55"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904891"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63CAF7A"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4124BC21"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9520B8A"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1B9186E6" w14:textId="77777777" w:rsidR="00555789" w:rsidRPr="00364D00" w:rsidRDefault="00555789">
            <w:pPr>
              <w:jc w:val="center"/>
              <w:rPr>
                <w:iCs/>
              </w:rPr>
            </w:pPr>
            <w:r w:rsidRPr="00364D00">
              <w:rPr>
                <w:iCs/>
              </w:rPr>
              <w:t>0</w:t>
            </w:r>
          </w:p>
        </w:tc>
      </w:tr>
      <w:tr w:rsidR="00555789" w:rsidRPr="00364D00" w14:paraId="61818EEB"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E3DF17E" w14:textId="77777777" w:rsidR="00555789" w:rsidRPr="00364D00" w:rsidRDefault="00555789">
            <w:pPr>
              <w:rPr>
                <w:iCs/>
              </w:rPr>
            </w:pPr>
            <w:r w:rsidRPr="00364D00">
              <w:rPr>
                <w:iCs/>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66164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C70D79D"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0C82C4"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B018627"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4843DD6"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0453960"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AB6CA74" w14:textId="77777777" w:rsidR="00555789" w:rsidRPr="00364D00" w:rsidRDefault="00555789">
            <w:pPr>
              <w:jc w:val="center"/>
              <w:rPr>
                <w:iCs/>
              </w:rPr>
            </w:pPr>
            <w:r w:rsidRPr="00364D00">
              <w:rPr>
                <w:iCs/>
              </w:rPr>
              <w:t>0</w:t>
            </w:r>
          </w:p>
        </w:tc>
      </w:tr>
      <w:tr w:rsidR="00555789" w:rsidRPr="00364D00" w14:paraId="724D2C72"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254B1DA" w14:textId="77777777" w:rsidR="00555789" w:rsidRPr="00364D00" w:rsidRDefault="00555789">
            <w:pPr>
              <w:rPr>
                <w:iCs/>
              </w:rPr>
            </w:pPr>
            <w:r w:rsidRPr="00364D00">
              <w:rPr>
                <w:iCs/>
              </w:rPr>
              <w:t>6. Detalizēts ieņēmumu un izdevumu aprēķins (ja nepieciešams, detalizētu ieņēmumu un izdevumu aprēķinu var pievienot anotācijas pielikumā)</w:t>
            </w:r>
          </w:p>
        </w:tc>
        <w:tc>
          <w:tcPr>
            <w:tcW w:w="407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C7E7166" w14:textId="7F23921B" w:rsidR="00060057" w:rsidRPr="00C82407" w:rsidRDefault="00060057" w:rsidP="00060057">
            <w:pPr>
              <w:ind w:left="33" w:right="35"/>
              <w:jc w:val="both"/>
            </w:pPr>
            <w:r w:rsidRPr="00C82407">
              <w:t xml:space="preserve">Konkursa ietvaros pieejamais finansējums ir </w:t>
            </w:r>
            <w:r>
              <w:t>10</w:t>
            </w:r>
            <w:r w:rsidRPr="00C82407">
              <w:t xml:space="preserve"> 000 000 </w:t>
            </w:r>
            <w:r w:rsidRPr="00A16961">
              <w:rPr>
                <w:i/>
                <w:iCs/>
              </w:rPr>
              <w:t>euro</w:t>
            </w:r>
            <w:r>
              <w:rPr>
                <w:i/>
                <w:iCs/>
              </w:rPr>
              <w:t xml:space="preserve"> </w:t>
            </w:r>
            <w:r>
              <w:t>no Emisijas kvotu izsolīšanas instrumenta</w:t>
            </w:r>
            <w:r w:rsidRPr="00C82407">
              <w:t>.</w:t>
            </w:r>
            <w:r>
              <w:t xml:space="preserve"> Plānots, ka </w:t>
            </w:r>
            <w:r w:rsidRPr="00273B6A">
              <w:t>maksājumi</w:t>
            </w:r>
            <w:r w:rsidRPr="007F205D">
              <w:t xml:space="preserve"> </w:t>
            </w:r>
            <w:r w:rsidRPr="00826D03">
              <w:t xml:space="preserve">atbilstoši noteikumu projekta </w:t>
            </w:r>
            <w:r w:rsidR="00590A04">
              <w:t>60</w:t>
            </w:r>
            <w:r w:rsidRPr="00826D03">
              <w:t>.</w:t>
            </w:r>
            <w:r>
              <w:t> </w:t>
            </w:r>
            <w:r w:rsidRPr="00826D03">
              <w:t>punktam</w:t>
            </w:r>
            <w:r>
              <w:t xml:space="preserve"> veicami </w:t>
            </w:r>
            <w:r w:rsidRPr="000D0D9C">
              <w:t>2022. un 2023. gadā</w:t>
            </w:r>
            <w:r>
              <w:t xml:space="preserve"> 5 milj. </w:t>
            </w:r>
            <w:r w:rsidRPr="000D0D9C">
              <w:rPr>
                <w:i/>
                <w:iCs/>
              </w:rPr>
              <w:t>euro</w:t>
            </w:r>
            <w:r>
              <w:t xml:space="preserve"> apmērā ik</w:t>
            </w:r>
            <w:r w:rsidR="00EF448A">
              <w:t xml:space="preserve"> </w:t>
            </w:r>
            <w:r>
              <w:t>gadu.</w:t>
            </w:r>
          </w:p>
          <w:p w14:paraId="641770BF" w14:textId="79D14219" w:rsidR="00555789" w:rsidRPr="00364D00" w:rsidRDefault="00555789" w:rsidP="00B462FE">
            <w:pPr>
              <w:jc w:val="both"/>
              <w:rPr>
                <w:iCs/>
              </w:rPr>
            </w:pPr>
          </w:p>
        </w:tc>
      </w:tr>
      <w:tr w:rsidR="00555789" w:rsidRPr="00364D00" w14:paraId="1A86B253"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5AF022F" w14:textId="77777777" w:rsidR="00555789" w:rsidRPr="00364D00" w:rsidRDefault="00555789">
            <w:pPr>
              <w:rPr>
                <w:iCs/>
              </w:rPr>
            </w:pPr>
            <w:r w:rsidRPr="00364D00">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5F386C9" w14:textId="77777777" w:rsidR="00555789" w:rsidRPr="00364D00" w:rsidRDefault="00555789">
            <w:pPr>
              <w:rPr>
                <w:iCs/>
              </w:rPr>
            </w:pPr>
          </w:p>
        </w:tc>
      </w:tr>
      <w:tr w:rsidR="00555789" w:rsidRPr="00364D00" w14:paraId="5D1A4CEB"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C73E3CF" w14:textId="77777777" w:rsidR="00555789" w:rsidRPr="00364D00" w:rsidRDefault="00555789">
            <w:pPr>
              <w:rPr>
                <w:iCs/>
              </w:rPr>
            </w:pPr>
            <w:r w:rsidRPr="00364D00">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4F744E1" w14:textId="77777777" w:rsidR="00555789" w:rsidRPr="00364D00" w:rsidRDefault="00555789">
            <w:pPr>
              <w:rPr>
                <w:iCs/>
              </w:rPr>
            </w:pPr>
          </w:p>
        </w:tc>
      </w:tr>
      <w:tr w:rsidR="00555789" w:rsidRPr="00364D00" w14:paraId="3A3EEB5D"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505C3C3" w14:textId="77777777" w:rsidR="00555789" w:rsidRPr="00364D00" w:rsidRDefault="00555789">
            <w:pPr>
              <w:rPr>
                <w:iCs/>
              </w:rPr>
            </w:pPr>
            <w:r w:rsidRPr="00364D00">
              <w:rPr>
                <w:iCs/>
              </w:rPr>
              <w:t>7. Amata vietu skaita izmaiņas</w:t>
            </w:r>
          </w:p>
        </w:tc>
        <w:tc>
          <w:tcPr>
            <w:tcW w:w="4077" w:type="pct"/>
            <w:gridSpan w:val="7"/>
            <w:tcBorders>
              <w:top w:val="outset" w:sz="6" w:space="0" w:color="auto"/>
              <w:left w:val="outset" w:sz="6" w:space="0" w:color="auto"/>
              <w:bottom w:val="outset" w:sz="6" w:space="0" w:color="auto"/>
              <w:right w:val="outset" w:sz="6" w:space="0" w:color="auto"/>
            </w:tcBorders>
            <w:hideMark/>
          </w:tcPr>
          <w:p w14:paraId="5933FB5C" w14:textId="77777777" w:rsidR="00555789" w:rsidRPr="00364D00" w:rsidRDefault="00555789">
            <w:pPr>
              <w:rPr>
                <w:iCs/>
              </w:rPr>
            </w:pPr>
            <w:r w:rsidRPr="00364D00">
              <w:rPr>
                <w:iCs/>
              </w:rPr>
              <w:t>Nav</w:t>
            </w:r>
          </w:p>
        </w:tc>
      </w:tr>
      <w:tr w:rsidR="00555789" w:rsidRPr="009B5620" w14:paraId="4FC1A2D6" w14:textId="77777777" w:rsidTr="00364D0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AD81AB1" w14:textId="77777777" w:rsidR="00555789" w:rsidRPr="00364D00" w:rsidRDefault="00555789">
            <w:pPr>
              <w:rPr>
                <w:iCs/>
              </w:rPr>
            </w:pPr>
            <w:r w:rsidRPr="00364D00">
              <w:rPr>
                <w:iCs/>
              </w:rPr>
              <w:t>8. Cita informācija</w:t>
            </w:r>
          </w:p>
        </w:tc>
        <w:tc>
          <w:tcPr>
            <w:tcW w:w="4077" w:type="pct"/>
            <w:gridSpan w:val="7"/>
            <w:tcBorders>
              <w:top w:val="outset" w:sz="6" w:space="0" w:color="auto"/>
              <w:left w:val="outset" w:sz="6" w:space="0" w:color="auto"/>
              <w:bottom w:val="outset" w:sz="6" w:space="0" w:color="auto"/>
              <w:right w:val="outset" w:sz="6" w:space="0" w:color="auto"/>
            </w:tcBorders>
          </w:tcPr>
          <w:p w14:paraId="6F84ABD9" w14:textId="235DAF84" w:rsidR="00060057" w:rsidRPr="00364D00" w:rsidRDefault="006A58F7" w:rsidP="0086786B">
            <w:pPr>
              <w:ind w:left="33" w:right="35"/>
              <w:jc w:val="both"/>
              <w:rPr>
                <w:iCs/>
              </w:rPr>
            </w:pPr>
            <w:r w:rsidRPr="00C82407">
              <w:t xml:space="preserve">Finansējums </w:t>
            </w:r>
            <w:r w:rsidR="00060057">
              <w:t xml:space="preserve">100% apmērā </w:t>
            </w:r>
            <w:r w:rsidRPr="00C82407">
              <w:t xml:space="preserve">plānots </w:t>
            </w:r>
            <w:r>
              <w:t>VARAM</w:t>
            </w:r>
            <w:r w:rsidRPr="00C82407">
              <w:t xml:space="preserve"> programmas „Emisijas kvotu izsolīšanas instruments” (33.00.00) apakšprogrammā „Emisijas kvotu izsolīšanas instrumenta projekti</w:t>
            </w:r>
            <w:r w:rsidRPr="00060057">
              <w:t xml:space="preserve">” (33.02.00). </w:t>
            </w:r>
            <w:r w:rsidR="00060057" w:rsidRPr="0086786B">
              <w:rPr>
                <w:rFonts w:eastAsia="Calibri"/>
              </w:rPr>
              <w:t xml:space="preserve">Finansējumu projektu īstenošanai pēc to apstiprināšanas plānots pieprasīt no valsts budžeta programmas 80.00.00 “Nesadalītais finansējums Eiropas Savienības politiku instrumentu un pārējās ārvalstu finanšu palīdzības līdzfinansēto projektu un pasākumu īstenošanai”, lai to ieplānotu VARAM budžeta apakšprogrammā 33.02.00 „Emisijas kvotu izsolīšanas instrumenta </w:t>
            </w:r>
            <w:r w:rsidR="00060057" w:rsidRPr="0086786B">
              <w:rPr>
                <w:rFonts w:eastAsia="Calibri"/>
              </w:rPr>
              <w:lastRenderedPageBreak/>
              <w:t>projekti”</w:t>
            </w:r>
            <w:r w:rsidR="00060057" w:rsidRPr="00060057">
              <w:rPr>
                <w:rFonts w:eastAsia="Calibri"/>
              </w:rPr>
              <w:t xml:space="preserve">. </w:t>
            </w:r>
            <w:r w:rsidRPr="00060057">
              <w:t>Finansējuma</w:t>
            </w:r>
            <w:r w:rsidRPr="00C82407">
              <w:t xml:space="preserve"> maksāšanas kārtība finansējuma saņēmējiem tiks noteikta līguma par projekta īstenošanu </w:t>
            </w:r>
            <w:r w:rsidR="00484068">
              <w:t>v</w:t>
            </w:r>
            <w:r w:rsidRPr="00C82407">
              <w:t>ispārīgajos noteikumos.</w:t>
            </w:r>
          </w:p>
        </w:tc>
      </w:tr>
    </w:tbl>
    <w:p w14:paraId="7C3C5DC1" w14:textId="77777777" w:rsidR="00555789" w:rsidRPr="009B5620" w:rsidRDefault="00555789" w:rsidP="009E31BC"/>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74F4C" w:rsidRPr="009B5620" w14:paraId="5DBE8A2E" w14:textId="77777777" w:rsidTr="00B74F4C">
        <w:trPr>
          <w:jc w:val="center"/>
        </w:trPr>
        <w:tc>
          <w:tcPr>
            <w:tcW w:w="9209" w:type="dxa"/>
          </w:tcPr>
          <w:p w14:paraId="4F8934E1" w14:textId="3E16E992" w:rsidR="00B74F4C" w:rsidRPr="009B5620" w:rsidRDefault="00D81530" w:rsidP="008614B5">
            <w:pPr>
              <w:pStyle w:val="naisnod"/>
              <w:spacing w:before="0" w:after="0"/>
            </w:pPr>
            <w:r w:rsidRPr="009B5620">
              <w:t>IV. </w:t>
            </w:r>
            <w:r w:rsidR="00B74F4C" w:rsidRPr="009B5620">
              <w:t>Tiesību akta projekta ietekme uz spēkā esošo tiesību normu sistēmu</w:t>
            </w:r>
          </w:p>
        </w:tc>
      </w:tr>
      <w:tr w:rsidR="00082DF3" w:rsidRPr="009B5620" w14:paraId="34A11C91" w14:textId="77777777" w:rsidTr="00B74F4C">
        <w:trPr>
          <w:jc w:val="center"/>
        </w:trPr>
        <w:tc>
          <w:tcPr>
            <w:tcW w:w="9209" w:type="dxa"/>
          </w:tcPr>
          <w:p w14:paraId="0461BD20" w14:textId="246A6486" w:rsidR="00082DF3" w:rsidRPr="009B5620" w:rsidRDefault="00082DF3" w:rsidP="008614B5">
            <w:pPr>
              <w:pStyle w:val="naisnod"/>
              <w:spacing w:before="0" w:after="0"/>
              <w:rPr>
                <w:b w:val="0"/>
              </w:rPr>
            </w:pPr>
            <w:r w:rsidRPr="009B5620">
              <w:rPr>
                <w:b w:val="0"/>
              </w:rPr>
              <w:t>Projekts šo jomu neskar</w:t>
            </w:r>
          </w:p>
        </w:tc>
      </w:tr>
    </w:tbl>
    <w:p w14:paraId="11C03D41" w14:textId="77777777" w:rsidR="00B74F4C" w:rsidRPr="009B5620"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9B5620"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1C5C2F97" w:rsidR="001A28EB" w:rsidRPr="009B5620" w:rsidRDefault="00D81530" w:rsidP="00306098">
            <w:pPr>
              <w:pStyle w:val="tvhtml"/>
              <w:spacing w:line="293" w:lineRule="atLeast"/>
              <w:jc w:val="center"/>
              <w:rPr>
                <w:b/>
                <w:bCs/>
              </w:rPr>
            </w:pPr>
            <w:r w:rsidRPr="009B5620">
              <w:rPr>
                <w:b/>
                <w:bCs/>
              </w:rPr>
              <w:t>V. </w:t>
            </w:r>
            <w:r w:rsidR="001A28EB" w:rsidRPr="009B5620">
              <w:rPr>
                <w:b/>
                <w:bCs/>
              </w:rPr>
              <w:t>Tiesību akta projekta atbilstība Latvijas Republikas starptautiskajām saistībām</w:t>
            </w:r>
          </w:p>
        </w:tc>
      </w:tr>
      <w:tr w:rsidR="00FC5616" w:rsidRPr="009B5620"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FC5616" w:rsidRPr="009B5620" w:rsidRDefault="00FC5616" w:rsidP="00FC5616">
            <w:r w:rsidRPr="009B5620">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FC5616" w:rsidRPr="009B5620" w:rsidRDefault="00FC5616" w:rsidP="00FC5616">
            <w:r w:rsidRPr="009B5620">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02370E31" w:rsidR="00FC5616" w:rsidRPr="007A5951" w:rsidRDefault="00033CC8" w:rsidP="00FC5616">
            <w:pPr>
              <w:jc w:val="both"/>
            </w:pPr>
            <w:r w:rsidRPr="007A5951">
              <w:t>Projekts šo jomu neskar.</w:t>
            </w:r>
          </w:p>
        </w:tc>
      </w:tr>
      <w:tr w:rsidR="00FC5616" w:rsidRPr="009B5620"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FC5616" w:rsidRPr="009B5620" w:rsidRDefault="00FC5616" w:rsidP="00FC5616">
            <w:r w:rsidRPr="009B5620">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FC5616" w:rsidRPr="009B5620" w:rsidRDefault="00FC5616" w:rsidP="00FC5616">
            <w:r w:rsidRPr="009B5620">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FC5616" w:rsidRPr="007A5951" w:rsidRDefault="00FC5616" w:rsidP="00FC5616">
            <w:pPr>
              <w:jc w:val="both"/>
            </w:pPr>
            <w:r w:rsidRPr="007A5951">
              <w:t>Projekts šo jomu neskar.</w:t>
            </w:r>
          </w:p>
        </w:tc>
      </w:tr>
      <w:tr w:rsidR="00FC5616" w:rsidRPr="009B5620"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FC5616" w:rsidRPr="009B5620" w:rsidRDefault="00FC5616" w:rsidP="00FC5616">
            <w:r w:rsidRPr="009B5620">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FC5616" w:rsidRPr="009B5620" w:rsidRDefault="00FC5616" w:rsidP="00FC5616">
            <w:r w:rsidRPr="009B5620">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04DBCBBC" w:rsidR="00FC5616" w:rsidRPr="009B5620" w:rsidRDefault="00FC5616" w:rsidP="00FC5616">
            <w:pPr>
              <w:pStyle w:val="tvhtml"/>
              <w:spacing w:line="293" w:lineRule="atLeast"/>
            </w:pPr>
            <w:r w:rsidRPr="009B5620">
              <w:t>Nav</w:t>
            </w:r>
          </w:p>
        </w:tc>
      </w:tr>
    </w:tbl>
    <w:p w14:paraId="6EB98C8D" w14:textId="77777777" w:rsidR="00C318BB" w:rsidRPr="009B5620"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3"/>
        <w:gridCol w:w="183"/>
        <w:gridCol w:w="1787"/>
        <w:gridCol w:w="1235"/>
        <w:gridCol w:w="1237"/>
        <w:gridCol w:w="2360"/>
      </w:tblGrid>
      <w:tr w:rsidR="001A28EB" w:rsidRPr="009B5620"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9B5620" w:rsidRDefault="001A28EB" w:rsidP="00306098">
            <w:pPr>
              <w:pStyle w:val="tvhtml"/>
              <w:spacing w:line="293" w:lineRule="atLeast"/>
              <w:jc w:val="center"/>
              <w:rPr>
                <w:b/>
                <w:bCs/>
              </w:rPr>
            </w:pPr>
            <w:r w:rsidRPr="009B5620">
              <w:rPr>
                <w:b/>
                <w:bCs/>
              </w:rPr>
              <w:t>1.tabula</w:t>
            </w:r>
            <w:r w:rsidRPr="009B5620">
              <w:rPr>
                <w:b/>
                <w:bCs/>
              </w:rPr>
              <w:br/>
              <w:t>Tiesību akta projekta atbilstība ES tiesību aktiem</w:t>
            </w:r>
          </w:p>
        </w:tc>
      </w:tr>
      <w:tr w:rsidR="00C15F1C" w:rsidRPr="009B5620"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9B5620" w:rsidRDefault="00C15F1C" w:rsidP="00C15F1C">
            <w:r w:rsidRPr="009B5620">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67F86682" w:rsidR="00C15F1C" w:rsidRPr="009B5620" w:rsidRDefault="00FC5616" w:rsidP="00811B7F">
            <w:pPr>
              <w:jc w:val="both"/>
              <w:rPr>
                <w:i/>
              </w:rPr>
            </w:pPr>
            <w:r>
              <w:t>Komisijas 2004. gada 21. aprīļa regula (EK) Nr. 794/2004, ar ko īsteno Padomes Regulu (ES) 2015/1589, ar ko nosaka sīki izstrādātus noteikumus Līguma par Eiropas Savienības darbību 108. panta piemērošanai</w:t>
            </w:r>
            <w:r w:rsidR="006E62A0">
              <w:t>.</w:t>
            </w:r>
          </w:p>
        </w:tc>
      </w:tr>
      <w:tr w:rsidR="00C15F1C" w:rsidRPr="009B5620"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9B5620" w:rsidRDefault="00C15F1C" w:rsidP="00C15F1C">
            <w:pPr>
              <w:pStyle w:val="tvhtml"/>
              <w:spacing w:line="293" w:lineRule="atLeast"/>
              <w:jc w:val="center"/>
            </w:pPr>
            <w:r w:rsidRPr="009B5620">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9B5620" w:rsidRDefault="00C15F1C" w:rsidP="00C15F1C">
            <w:pPr>
              <w:pStyle w:val="tvhtml"/>
              <w:spacing w:line="293" w:lineRule="atLeast"/>
              <w:jc w:val="center"/>
            </w:pPr>
            <w:r w:rsidRPr="009B5620">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9B5620" w:rsidRDefault="00C15F1C" w:rsidP="00C15F1C">
            <w:pPr>
              <w:pStyle w:val="tvhtml"/>
              <w:spacing w:line="293" w:lineRule="atLeast"/>
              <w:jc w:val="center"/>
            </w:pPr>
            <w:r w:rsidRPr="009B5620">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9B5620" w:rsidRDefault="00C15F1C" w:rsidP="00C15F1C">
            <w:pPr>
              <w:pStyle w:val="tvhtml"/>
              <w:spacing w:line="293" w:lineRule="atLeast"/>
              <w:jc w:val="center"/>
            </w:pPr>
            <w:r w:rsidRPr="009B5620">
              <w:t>D</w:t>
            </w:r>
          </w:p>
        </w:tc>
      </w:tr>
      <w:tr w:rsidR="00C15F1C" w:rsidRPr="009B5620"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6C97348" w14:textId="77777777" w:rsidR="004C7E9E" w:rsidRDefault="004C7E9E" w:rsidP="004C7E9E">
            <w:r>
              <w:t>10. pants</w:t>
            </w:r>
          </w:p>
          <w:p w14:paraId="795853EA" w14:textId="77777777" w:rsidR="004C7E9E" w:rsidRDefault="004C7E9E" w:rsidP="004C7E9E">
            <w:r>
              <w:t>Publicēšana</w:t>
            </w:r>
          </w:p>
          <w:p w14:paraId="48EC465C" w14:textId="4C983224" w:rsidR="004C7E9E" w:rsidRDefault="004C7E9E" w:rsidP="004C7E9E">
            <w:r>
              <w:t>Komisija publicē kārtējās un attiecīgās sākotnējās valsts atbalsta atmaksāšanas procentu likmes Eiropas Savienības Oficiālajā Vēstnesī, kā arī Internetā informācijas nolūkiem.</w:t>
            </w:r>
          </w:p>
          <w:p w14:paraId="671D2275" w14:textId="3C19E829" w:rsidR="004C7E9E" w:rsidRDefault="004C7E9E" w:rsidP="004C7E9E">
            <w:r>
              <w:t>11. pants</w:t>
            </w:r>
          </w:p>
          <w:p w14:paraId="63BFC82E" w14:textId="77777777" w:rsidR="004C7E9E" w:rsidRDefault="004C7E9E" w:rsidP="004C7E9E">
            <w:r>
              <w:t>Procentu likmes piemērošanas metode</w:t>
            </w:r>
          </w:p>
          <w:p w14:paraId="4F6F7935" w14:textId="77777777" w:rsidR="004C7E9E" w:rsidRDefault="004C7E9E" w:rsidP="004C7E9E">
            <w:r>
              <w:t>1.  Piemērojamā procentu likme ir likme, kas piemērojama dienā, kad nelikumīgais atbalsts pirmo reizi nodots saņēmēja rīcībā.</w:t>
            </w:r>
          </w:p>
          <w:p w14:paraId="0289C0B2" w14:textId="77777777" w:rsidR="004C7E9E" w:rsidRDefault="004C7E9E" w:rsidP="004C7E9E">
            <w:r>
              <w:t xml:space="preserve">2.  Procentu likmi piemēro gan parāda pamatsummai, gan procentiem līdz atbalsta atmaksāšanas dienai. Procentiem, kas uzkrājas iepriekšējā </w:t>
            </w:r>
            <w:r>
              <w:lastRenderedPageBreak/>
              <w:t>gadā, piemēro procentus katrā turpmākā gadā.</w:t>
            </w:r>
          </w:p>
          <w:p w14:paraId="0577ECDB" w14:textId="79B2295A" w:rsidR="00C15F1C" w:rsidRPr="009B5620" w:rsidRDefault="004C7E9E" w:rsidP="004C7E9E">
            <w:r>
              <w:t>3.  Procentu likmes, kas minētas 1. punktā, piemēro visā periodā līdz atmaksāšanas datumam. Tomēr, ja no dienas, kad nelikumīgais atbalsts pirmo reizi nodots saņēmēja rīcībā, līdz atbalsta atmaksāšanas dienai pagājis vairāk nekā viens gads, procentu likmi pārrēķina reizi gadā, par pamatu ņemot pārrēķināšanas laikā spēkā esošo likmi.</w:t>
            </w:r>
          </w:p>
        </w:tc>
        <w:tc>
          <w:tcPr>
            <w:tcW w:w="987" w:type="pct"/>
            <w:tcBorders>
              <w:top w:val="outset" w:sz="6" w:space="0" w:color="414142"/>
              <w:left w:val="outset" w:sz="6" w:space="0" w:color="414142"/>
              <w:bottom w:val="outset" w:sz="6" w:space="0" w:color="414142"/>
              <w:right w:val="outset" w:sz="6" w:space="0" w:color="414142"/>
            </w:tcBorders>
            <w:hideMark/>
          </w:tcPr>
          <w:p w14:paraId="3D0C313D" w14:textId="77777777" w:rsidR="004C7E9E" w:rsidRDefault="004C7E9E" w:rsidP="004C7E9E">
            <w:r>
              <w:lastRenderedPageBreak/>
              <w:t>1.16.  papildināt noteikumus ar 98.1 punktu šādā redakcijā:</w:t>
            </w:r>
          </w:p>
          <w:p w14:paraId="64C65231" w14:textId="5351883A" w:rsidR="00C15F1C" w:rsidRPr="009B5620" w:rsidRDefault="004C7E9E" w:rsidP="004C7E9E">
            <w:r>
              <w:t xml:space="preserve">”98.1 Ja tiek pārkāptas šajos noteikumos noteiktās komercdarbības atbalsta piešķiršanas prasības, atbalsta saņēmējam ir pienākums atmaksāt Vides investīciju fondam visu projekta ietvaros saņemto nelikumīgo komercdarbības atbalstu kopā ar procentiem, ko publicē Eiropas Komisija saskaņā ar Komisijas 2004. gada 21. aprīļa regulas </w:t>
            </w:r>
            <w:r>
              <w:lastRenderedPageBreak/>
              <w:t>(EK) Nr. 794/2004, ar ko īsteno Padomes Regulu (ES) 2015/1589, ar ko nosaka sīki izstrādātus noteikumus Līguma par Eiropas Savienības darbību 108. panta piemērošanai (turpmāk - Regula Nr. 794/2004), 10. pantu, tiem pieskaitot 100 bāzes punktus, no dienas, kad nelikumīgais komercdarbības atbalsts tika izmaksāts finansējuma saņēmējam līdz tā atgūšanas dienai, ievērojot Regulas Nr. 794/2004 11. pantā noteikto procentu likmes piemērošanas metodi. Vides investīciju fonds, savukārt, nodrošina atmaksātā finanšu instrumenta finansējuma atmaksu Atbildīgajai iestādei.”</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A8A4736" w14:textId="7AD05FBD" w:rsidR="00C15F1C" w:rsidRPr="009B5620" w:rsidRDefault="004C7E9E" w:rsidP="004C7E9E">
            <w:r>
              <w:lastRenderedPageBreak/>
              <w:t>Š</w:t>
            </w:r>
            <w:r w:rsidR="00C15F1C" w:rsidRPr="009B5620">
              <w:t>īs tabulas A ailē minētās ES tiesību akta vienības tiek ieviestas pilnībā</w:t>
            </w:r>
            <w:r>
              <w:t>.</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CE2117F" w:rsidR="00C15F1C" w:rsidRPr="009B5620" w:rsidRDefault="004C7E9E" w:rsidP="00C15F1C">
            <w:r>
              <w:t>Šīs</w:t>
            </w:r>
            <w:r w:rsidR="00C15F1C" w:rsidRPr="009B5620">
              <w:t xml:space="preserve"> tabulas B ailē minētās projekta vienības </w:t>
            </w:r>
            <w:r>
              <w:t>ne</w:t>
            </w:r>
            <w:r w:rsidR="00C15F1C" w:rsidRPr="009B5620">
              <w:t>paredz stingrākas prasības nekā šīs tabulas A ailē minētās ES tiesību akta vienības.</w:t>
            </w:r>
          </w:p>
          <w:p w14:paraId="2743957F" w14:textId="279873A6" w:rsidR="00C15F1C" w:rsidRPr="009B5620" w:rsidRDefault="00C15F1C" w:rsidP="00C15F1C">
            <w:pPr>
              <w:pStyle w:val="tvhtml"/>
              <w:spacing w:line="293" w:lineRule="atLeast"/>
            </w:pPr>
          </w:p>
        </w:tc>
      </w:tr>
      <w:tr w:rsidR="00C95B8E" w:rsidRPr="009B5620"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9B5620" w:rsidRDefault="00C95B8E" w:rsidP="00C95B8E">
            <w:r w:rsidRPr="009B5620">
              <w:t>Kā ir izmantota ES tiesību aktā paredzētā rīcības brīvība dalībvalstij pārņemt vai ieviest noteiktas ES tiesību akta normas?</w:t>
            </w:r>
            <w:r w:rsidRPr="009B5620">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9B5620" w:rsidRDefault="009355AA" w:rsidP="00C95B8E">
            <w:pPr>
              <w:jc w:val="both"/>
            </w:pPr>
            <w:r w:rsidRPr="009B5620">
              <w:t>Projekts šo jomu neskar.</w:t>
            </w:r>
          </w:p>
        </w:tc>
      </w:tr>
      <w:tr w:rsidR="00C95B8E" w:rsidRPr="009B5620"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9B5620" w:rsidRDefault="00C95B8E" w:rsidP="00C95B8E">
            <w:r w:rsidRPr="009B5620">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9B5620" w:rsidRDefault="009355AA" w:rsidP="00C95B8E">
            <w:pPr>
              <w:jc w:val="both"/>
            </w:pPr>
            <w:r w:rsidRPr="009B5620">
              <w:t>Projekts šo jomu neskar.</w:t>
            </w:r>
          </w:p>
        </w:tc>
      </w:tr>
      <w:tr w:rsidR="00C95B8E" w:rsidRPr="009B5620"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9B5620" w:rsidRDefault="00C95B8E" w:rsidP="00C95B8E">
            <w:r w:rsidRPr="009B5620">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9B5620" w:rsidRDefault="00C95B8E" w:rsidP="00C95B8E">
            <w:pPr>
              <w:pStyle w:val="tvhtml"/>
              <w:spacing w:line="293" w:lineRule="atLeast"/>
            </w:pPr>
            <w:r w:rsidRPr="009B5620">
              <w:t>Nav.</w:t>
            </w:r>
          </w:p>
        </w:tc>
      </w:tr>
      <w:tr w:rsidR="00C95B8E" w:rsidRPr="009B5620"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9B5620" w:rsidRDefault="00C95B8E" w:rsidP="00C95B8E">
            <w:pPr>
              <w:pStyle w:val="tvhtml"/>
              <w:spacing w:line="293" w:lineRule="atLeast"/>
              <w:jc w:val="center"/>
              <w:rPr>
                <w:b/>
                <w:bCs/>
              </w:rPr>
            </w:pPr>
            <w:r w:rsidRPr="009B5620">
              <w:rPr>
                <w:b/>
                <w:bCs/>
              </w:rPr>
              <w:t>2.tabula</w:t>
            </w:r>
            <w:r w:rsidRPr="009B5620">
              <w:rPr>
                <w:b/>
                <w:bCs/>
              </w:rPr>
              <w:br/>
              <w:t>Ar tiesību akta projektu izpildītās vai uzņemtās saistības, kas izriet no starptautiskajiem tiesību aktiem vai starptautiskas institūcijas vai organizācijas dokumentiem.</w:t>
            </w:r>
            <w:r w:rsidRPr="009B5620">
              <w:rPr>
                <w:b/>
                <w:bCs/>
              </w:rPr>
              <w:br/>
              <w:t>Pasākumi šo saistību izpildei</w:t>
            </w:r>
          </w:p>
        </w:tc>
      </w:tr>
      <w:tr w:rsidR="00166CF6" w:rsidRPr="009B5620" w14:paraId="515608AE"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9B5620" w:rsidRDefault="00166CF6" w:rsidP="00166CF6">
            <w:r w:rsidRPr="009B5620">
              <w:t>Attiecīgā starptautiskā tiesību akta vai starptautiskas institūcijas vai 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9B5620" w:rsidRDefault="00166CF6" w:rsidP="00166CF6">
            <w:r w:rsidRPr="009B5620">
              <w:t>Projekts šo jomu neskar.</w:t>
            </w:r>
          </w:p>
        </w:tc>
      </w:tr>
      <w:tr w:rsidR="00166CF6" w:rsidRPr="009B5620" w14:paraId="1322A0E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9B5620" w:rsidRDefault="00166CF6" w:rsidP="00166CF6">
            <w:pPr>
              <w:pStyle w:val="tvhtml"/>
              <w:spacing w:line="293" w:lineRule="atLeast"/>
              <w:jc w:val="center"/>
            </w:pPr>
            <w:r w:rsidRPr="009B5620">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9B5620" w:rsidRDefault="00166CF6" w:rsidP="00166CF6">
            <w:pPr>
              <w:pStyle w:val="tvhtml"/>
              <w:spacing w:line="293" w:lineRule="atLeast"/>
              <w:jc w:val="center"/>
            </w:pPr>
            <w:r w:rsidRPr="009B5620">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9B5620" w:rsidRDefault="00166CF6" w:rsidP="00166CF6">
            <w:pPr>
              <w:pStyle w:val="tvhtml"/>
              <w:spacing w:line="293" w:lineRule="atLeast"/>
              <w:jc w:val="center"/>
            </w:pPr>
            <w:r w:rsidRPr="009B5620">
              <w:t>C</w:t>
            </w:r>
          </w:p>
        </w:tc>
      </w:tr>
      <w:tr w:rsidR="00166CF6" w:rsidRPr="009B5620" w14:paraId="47CF14B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9B5620" w:rsidRDefault="00166CF6" w:rsidP="00166CF6">
            <w:r w:rsidRPr="009B5620">
              <w:t>Starptautiskās saistības (pēc būtības), kas izriet no norādītā starptautiskā dokumenta.</w:t>
            </w:r>
          </w:p>
          <w:p w14:paraId="50C840D4" w14:textId="77777777" w:rsidR="00166CF6" w:rsidRPr="009B5620" w:rsidRDefault="00166CF6" w:rsidP="00166CF6">
            <w:pPr>
              <w:pStyle w:val="tvhtml"/>
              <w:spacing w:line="293" w:lineRule="atLeast"/>
            </w:pPr>
            <w:r w:rsidRPr="009B5620">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9B5620" w:rsidRDefault="00166CF6" w:rsidP="00166CF6">
            <w:r w:rsidRPr="009B5620">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9B5620" w:rsidRDefault="00166CF6" w:rsidP="00166CF6">
            <w:r w:rsidRPr="009B5620">
              <w:t>Informācija par to vai starptautiskās saistības, kas minētas šīs tabulas A ailē, tiek izpildītas pilnībā vai daļēji.</w:t>
            </w:r>
          </w:p>
          <w:p w14:paraId="0184AC6F" w14:textId="77777777" w:rsidR="00166CF6" w:rsidRPr="009B5620" w:rsidRDefault="00166CF6" w:rsidP="00166CF6">
            <w:pPr>
              <w:pStyle w:val="tvhtml"/>
              <w:spacing w:line="293" w:lineRule="atLeast"/>
            </w:pPr>
            <w:r w:rsidRPr="009B5620">
              <w:t>Ja attiecīgās starptautiskās saistības tiek izpildītas daļēji, sniedz skaidrojumu, kā arī precīzi norāda, kad un kādā veidā starptautiskās saistības tiks izpildītas pilnībā.</w:t>
            </w:r>
          </w:p>
          <w:p w14:paraId="59D7D339" w14:textId="77777777" w:rsidR="00166CF6" w:rsidRPr="009B5620" w:rsidRDefault="00166CF6" w:rsidP="00166CF6">
            <w:pPr>
              <w:pStyle w:val="tvhtml"/>
              <w:spacing w:line="293" w:lineRule="atLeast"/>
            </w:pPr>
            <w:r w:rsidRPr="009B5620">
              <w:t>Norāda institūciju, kas ir atbildīga par šo saistību izpildi pilnībā</w:t>
            </w:r>
          </w:p>
        </w:tc>
      </w:tr>
      <w:tr w:rsidR="00166CF6" w:rsidRPr="009B5620" w14:paraId="06C4A21D"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9B5620" w:rsidRDefault="00166CF6" w:rsidP="00166CF6">
            <w:r w:rsidRPr="009B5620">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9B5620" w:rsidRDefault="00166CF6" w:rsidP="00166CF6">
            <w:r w:rsidRPr="009B5620">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9B5620" w:rsidRDefault="00166CF6" w:rsidP="00166CF6">
            <w:r w:rsidRPr="009B5620">
              <w:t>Projekts šo jomu neskar.</w:t>
            </w:r>
          </w:p>
        </w:tc>
      </w:tr>
      <w:tr w:rsidR="00166CF6" w:rsidRPr="009B5620" w14:paraId="2CA7E458"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9B5620" w:rsidRDefault="00166CF6" w:rsidP="00166CF6">
            <w:r w:rsidRPr="009B5620">
              <w:t xml:space="preserve">Vai starptautiskajā dokumentā paredzētās saistības nav pretrunā ar jau esošajām Latvijas Republikas </w:t>
            </w:r>
            <w:r w:rsidRPr="009B5620">
              <w:lastRenderedPageBreak/>
              <w:t>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9B5620" w:rsidRDefault="00166CF6" w:rsidP="00166CF6">
            <w:r w:rsidRPr="009B5620">
              <w:lastRenderedPageBreak/>
              <w:t>Projekts šo jomu neskar.</w:t>
            </w:r>
          </w:p>
        </w:tc>
      </w:tr>
      <w:tr w:rsidR="00166CF6" w:rsidRPr="009B5620" w14:paraId="5F8F4AE6"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9B5620" w:rsidRDefault="00166CF6" w:rsidP="00166CF6">
            <w:r w:rsidRPr="009B5620">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5EE88B07" w:rsidR="00166CF6" w:rsidRPr="009B5620" w:rsidRDefault="00166CF6" w:rsidP="00166CF6">
            <w:pPr>
              <w:pStyle w:val="tvhtml"/>
              <w:spacing w:line="293" w:lineRule="atLeast"/>
            </w:pPr>
            <w:r w:rsidRPr="009B5620">
              <w:t>Nav</w:t>
            </w:r>
          </w:p>
        </w:tc>
      </w:tr>
    </w:tbl>
    <w:p w14:paraId="1739423B" w14:textId="77777777" w:rsidR="00C318BB" w:rsidRPr="009B5620"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9B5620" w14:paraId="68805E86" w14:textId="77777777" w:rsidTr="00BB0D8D">
        <w:trPr>
          <w:jc w:val="center"/>
        </w:trPr>
        <w:tc>
          <w:tcPr>
            <w:tcW w:w="9319" w:type="dxa"/>
            <w:gridSpan w:val="3"/>
          </w:tcPr>
          <w:p w14:paraId="0AAEA1C3" w14:textId="77777777" w:rsidR="00263FFC" w:rsidRPr="009B5620" w:rsidRDefault="00263FFC" w:rsidP="00647D6D">
            <w:pPr>
              <w:pStyle w:val="naisnod"/>
              <w:spacing w:before="0" w:after="0"/>
              <w:ind w:left="57" w:right="57"/>
            </w:pPr>
            <w:r w:rsidRPr="009B5620">
              <w:t xml:space="preserve">VI. Sabiedrības līdzdalība un </w:t>
            </w:r>
            <w:r w:rsidR="00647D6D" w:rsidRPr="009B5620">
              <w:t>komunikācijas aktivitātes</w:t>
            </w:r>
          </w:p>
        </w:tc>
      </w:tr>
      <w:tr w:rsidR="00D957C5" w:rsidRPr="009B5620" w14:paraId="4BB0BBB1" w14:textId="77777777" w:rsidTr="00BB0D8D">
        <w:trPr>
          <w:trHeight w:val="553"/>
          <w:jc w:val="center"/>
        </w:trPr>
        <w:tc>
          <w:tcPr>
            <w:tcW w:w="407" w:type="dxa"/>
          </w:tcPr>
          <w:p w14:paraId="1FB72CB9" w14:textId="77777777" w:rsidR="00D957C5" w:rsidRPr="009B5620" w:rsidRDefault="00D957C5" w:rsidP="00D957C5">
            <w:pPr>
              <w:pStyle w:val="naiskr"/>
              <w:spacing w:before="0" w:after="0"/>
              <w:ind w:left="57" w:right="57"/>
              <w:rPr>
                <w:bCs/>
                <w:sz w:val="28"/>
                <w:szCs w:val="28"/>
              </w:rPr>
            </w:pPr>
            <w:r w:rsidRPr="009B5620">
              <w:rPr>
                <w:bCs/>
                <w:sz w:val="28"/>
                <w:szCs w:val="28"/>
              </w:rPr>
              <w:t>1.</w:t>
            </w:r>
          </w:p>
        </w:tc>
        <w:tc>
          <w:tcPr>
            <w:tcW w:w="3991" w:type="dxa"/>
          </w:tcPr>
          <w:p w14:paraId="513B7A37" w14:textId="77777777" w:rsidR="00D957C5" w:rsidRPr="009B5620" w:rsidRDefault="00D957C5" w:rsidP="00D957C5">
            <w:pPr>
              <w:pStyle w:val="naiskr"/>
              <w:tabs>
                <w:tab w:val="left" w:pos="170"/>
              </w:tabs>
              <w:spacing w:before="0" w:after="0"/>
              <w:ind w:left="57" w:right="57"/>
            </w:pPr>
            <w:r w:rsidRPr="009B5620">
              <w:t>Plānotās sabiedrības līdzdalības un komunikācijas aktivitātes saistībā ar projektu</w:t>
            </w:r>
          </w:p>
        </w:tc>
        <w:tc>
          <w:tcPr>
            <w:tcW w:w="4921" w:type="dxa"/>
          </w:tcPr>
          <w:p w14:paraId="71CC74FB" w14:textId="1E57871B" w:rsidR="00D957C5" w:rsidRPr="009B5620" w:rsidRDefault="00600F1A" w:rsidP="000D0D9C">
            <w:pPr>
              <w:pStyle w:val="naiskr"/>
              <w:spacing w:before="0" w:after="0"/>
              <w:ind w:left="121" w:right="123"/>
              <w:jc w:val="both"/>
            </w:pPr>
            <w:bookmarkStart w:id="3" w:name="_Hlk77673423"/>
            <w:r w:rsidRPr="00194B23">
              <w:rPr>
                <w:iCs/>
              </w:rPr>
              <w:t>S</w:t>
            </w:r>
            <w:r>
              <w:rPr>
                <w:iCs/>
              </w:rPr>
              <w:t>abiedrības līdzdalība tik</w:t>
            </w:r>
            <w:r w:rsidR="007F614F">
              <w:rPr>
                <w:iCs/>
              </w:rPr>
              <w:t>a</w:t>
            </w:r>
            <w:r>
              <w:rPr>
                <w:iCs/>
              </w:rPr>
              <w:t xml:space="preserve"> nodrošināta s</w:t>
            </w:r>
            <w:r w:rsidRPr="00194B23">
              <w:rPr>
                <w:iCs/>
              </w:rPr>
              <w:t>askaņā ar Ministru kabineta 2009.</w:t>
            </w:r>
            <w:r>
              <w:rPr>
                <w:iCs/>
              </w:rPr>
              <w:t> </w:t>
            </w:r>
            <w:r w:rsidRPr="00194B23">
              <w:rPr>
                <w:iCs/>
              </w:rPr>
              <w:t>gada 25.</w:t>
            </w:r>
            <w:r>
              <w:rPr>
                <w:iCs/>
              </w:rPr>
              <w:t> </w:t>
            </w:r>
            <w:r w:rsidRPr="00194B23">
              <w:rPr>
                <w:iCs/>
              </w:rPr>
              <w:t>augusta noteikumu Nr.</w:t>
            </w:r>
            <w:r>
              <w:rPr>
                <w:iCs/>
              </w:rPr>
              <w:t> </w:t>
            </w:r>
            <w:r w:rsidRPr="00194B23">
              <w:rPr>
                <w:iCs/>
              </w:rPr>
              <w:t xml:space="preserve">970 </w:t>
            </w:r>
            <w:r>
              <w:rPr>
                <w:iCs/>
              </w:rPr>
              <w:t>“</w:t>
            </w:r>
            <w:r w:rsidRPr="00194B23">
              <w:rPr>
                <w:iCs/>
              </w:rPr>
              <w:t>Sabiedrības līdzdalības kārtība attīstības plānošanas procesā” 7.4.</w:t>
            </w:r>
            <w:r w:rsidRPr="00194B23">
              <w:rPr>
                <w:iCs/>
                <w:vertAlign w:val="superscript"/>
              </w:rPr>
              <w:t>1</w:t>
            </w:r>
            <w:r>
              <w:rPr>
                <w:iCs/>
              </w:rPr>
              <w:t> </w:t>
            </w:r>
            <w:r w:rsidRPr="00194B23">
              <w:rPr>
                <w:iCs/>
              </w:rPr>
              <w:t>apakšpunktu</w:t>
            </w:r>
            <w:r>
              <w:rPr>
                <w:iCs/>
              </w:rPr>
              <w:t>,</w:t>
            </w:r>
            <w:r w:rsidRPr="00194B23">
              <w:rPr>
                <w:iCs/>
              </w:rPr>
              <w:t xml:space="preserve"> sabiedrības pārstāvj</w:t>
            </w:r>
            <w:r>
              <w:rPr>
                <w:iCs/>
              </w:rPr>
              <w:t>us</w:t>
            </w:r>
            <w:r w:rsidRPr="00194B23">
              <w:rPr>
                <w:iCs/>
              </w:rPr>
              <w:t xml:space="preserve"> </w:t>
            </w:r>
            <w:r>
              <w:rPr>
                <w:iCs/>
              </w:rPr>
              <w:t>aicinot</w:t>
            </w:r>
            <w:r w:rsidRPr="00194B23">
              <w:rPr>
                <w:iCs/>
              </w:rPr>
              <w:t xml:space="preserve"> līdzdarboties, rakstiski sniedzot viedokli par </w:t>
            </w:r>
            <w:r>
              <w:rPr>
                <w:iCs/>
              </w:rPr>
              <w:t xml:space="preserve">noteikumu projektu </w:t>
            </w:r>
            <w:r w:rsidRPr="00194B23">
              <w:rPr>
                <w:iCs/>
              </w:rPr>
              <w:t xml:space="preserve">tā izstrādes stadijā. Sabiedrības pārstāvji ir informēti par iespēju līdzdarboties, publicējot paziņojumu par līdzdalības procesu VARAM </w:t>
            </w:r>
            <w:r>
              <w:rPr>
                <w:iCs/>
              </w:rPr>
              <w:t xml:space="preserve">un Valsts kancelejas </w:t>
            </w:r>
            <w:r w:rsidRPr="00194B23">
              <w:rPr>
                <w:iCs/>
              </w:rPr>
              <w:t>tīmekļvietnē</w:t>
            </w:r>
            <w:r>
              <w:rPr>
                <w:iCs/>
              </w:rPr>
              <w:t>s.</w:t>
            </w:r>
            <w:bookmarkEnd w:id="3"/>
          </w:p>
        </w:tc>
      </w:tr>
      <w:tr w:rsidR="00D957C5" w:rsidRPr="009B5620" w14:paraId="3ADD65AF" w14:textId="77777777" w:rsidTr="00BB0D8D">
        <w:trPr>
          <w:trHeight w:val="487"/>
          <w:jc w:val="center"/>
        </w:trPr>
        <w:tc>
          <w:tcPr>
            <w:tcW w:w="407" w:type="dxa"/>
          </w:tcPr>
          <w:p w14:paraId="561D4E8A" w14:textId="77777777" w:rsidR="00D957C5" w:rsidRPr="009B5620" w:rsidRDefault="00D957C5" w:rsidP="00D957C5">
            <w:pPr>
              <w:pStyle w:val="naiskr"/>
              <w:spacing w:before="0" w:after="0"/>
              <w:ind w:left="57" w:right="57"/>
              <w:rPr>
                <w:bCs/>
              </w:rPr>
            </w:pPr>
            <w:r w:rsidRPr="009B5620">
              <w:rPr>
                <w:bCs/>
              </w:rPr>
              <w:t>2.</w:t>
            </w:r>
          </w:p>
        </w:tc>
        <w:tc>
          <w:tcPr>
            <w:tcW w:w="3991" w:type="dxa"/>
          </w:tcPr>
          <w:p w14:paraId="3D5AEAC9" w14:textId="77777777" w:rsidR="00D957C5" w:rsidRPr="009B5620" w:rsidRDefault="00D957C5" w:rsidP="00D957C5">
            <w:pPr>
              <w:pStyle w:val="naiskr"/>
              <w:spacing w:before="0" w:after="0"/>
              <w:ind w:left="57" w:right="57"/>
            </w:pPr>
            <w:r w:rsidRPr="009B5620">
              <w:t xml:space="preserve">Sabiedrības līdzdalība projekta izstrādē </w:t>
            </w:r>
          </w:p>
        </w:tc>
        <w:tc>
          <w:tcPr>
            <w:tcW w:w="4921" w:type="dxa"/>
          </w:tcPr>
          <w:p w14:paraId="63EDF503" w14:textId="0638CC1B" w:rsidR="00661A49" w:rsidRPr="009B5620" w:rsidRDefault="00600F1A">
            <w:pPr>
              <w:pStyle w:val="naiskr"/>
              <w:spacing w:before="0" w:after="0"/>
              <w:ind w:left="121" w:right="123"/>
              <w:jc w:val="both"/>
            </w:pPr>
            <w:r>
              <w:t>N</w:t>
            </w:r>
            <w:r w:rsidRPr="009B5620">
              <w:t xml:space="preserve">oteikumu </w:t>
            </w:r>
            <w:r w:rsidRPr="00661A49">
              <w:t xml:space="preserve">projekts tika publicēts VARAM tīmekļvietnē 2021. gada </w:t>
            </w:r>
            <w:r w:rsidR="00B03E1F" w:rsidRPr="000D0D9C">
              <w:t>17.</w:t>
            </w:r>
            <w:r w:rsidR="00661A49" w:rsidRPr="000D0D9C">
              <w:t> </w:t>
            </w:r>
            <w:r w:rsidR="00033CC8" w:rsidRPr="000D0D9C">
              <w:t>augustā</w:t>
            </w:r>
            <w:r w:rsidRPr="00661A49">
              <w:t xml:space="preserve"> un Valsts kancelejas tīmekļa vietnē 2021. gada </w:t>
            </w:r>
            <w:r w:rsidR="00B03E1F" w:rsidRPr="000D0D9C">
              <w:t>17.</w:t>
            </w:r>
            <w:r w:rsidR="00661A49" w:rsidRPr="000D0D9C">
              <w:t> </w:t>
            </w:r>
            <w:r w:rsidR="00033CC8" w:rsidRPr="000D0D9C">
              <w:t>augustā</w:t>
            </w:r>
            <w:r w:rsidRPr="00661A49">
              <w:t xml:space="preserve"> publiskai apspriešanai un</w:t>
            </w:r>
            <w:r w:rsidRPr="009B5620">
              <w:t xml:space="preserve"> komentāru sniegšanai līdz </w:t>
            </w:r>
            <w:r>
              <w:t>2021. gad</w:t>
            </w:r>
            <w:r w:rsidR="00661A49">
              <w:t>a 30. </w:t>
            </w:r>
            <w:r w:rsidR="00033CC8">
              <w:t>augustam</w:t>
            </w:r>
            <w:r>
              <w:t>.</w:t>
            </w:r>
            <w:r w:rsidR="00661A49">
              <w:t xml:space="preserve"> </w:t>
            </w:r>
          </w:p>
        </w:tc>
      </w:tr>
      <w:tr w:rsidR="00D957C5" w:rsidRPr="009B5620" w14:paraId="73465FF9" w14:textId="77777777" w:rsidTr="00BB0D8D">
        <w:trPr>
          <w:trHeight w:val="375"/>
          <w:jc w:val="center"/>
        </w:trPr>
        <w:tc>
          <w:tcPr>
            <w:tcW w:w="407" w:type="dxa"/>
          </w:tcPr>
          <w:p w14:paraId="5A92AC23" w14:textId="77777777" w:rsidR="00D957C5" w:rsidRPr="009B5620" w:rsidRDefault="00D957C5" w:rsidP="00D957C5">
            <w:pPr>
              <w:pStyle w:val="naiskr"/>
              <w:spacing w:before="0" w:after="0"/>
              <w:ind w:left="57" w:right="57"/>
              <w:rPr>
                <w:bCs/>
              </w:rPr>
            </w:pPr>
            <w:r w:rsidRPr="009B5620">
              <w:rPr>
                <w:bCs/>
              </w:rPr>
              <w:t>3.</w:t>
            </w:r>
          </w:p>
        </w:tc>
        <w:tc>
          <w:tcPr>
            <w:tcW w:w="3991" w:type="dxa"/>
          </w:tcPr>
          <w:p w14:paraId="47E29215" w14:textId="77777777" w:rsidR="00D957C5" w:rsidRPr="009B5620" w:rsidRDefault="00D957C5" w:rsidP="00D957C5">
            <w:pPr>
              <w:pStyle w:val="naiskr"/>
              <w:spacing w:before="0" w:after="0"/>
              <w:ind w:left="57" w:right="57"/>
            </w:pPr>
            <w:r w:rsidRPr="009B5620">
              <w:t xml:space="preserve">Sabiedrības līdzdalības rezultāti </w:t>
            </w:r>
          </w:p>
        </w:tc>
        <w:tc>
          <w:tcPr>
            <w:tcW w:w="4921" w:type="dxa"/>
          </w:tcPr>
          <w:p w14:paraId="59B69554" w14:textId="77777777" w:rsidR="00661A49" w:rsidRDefault="00661A49" w:rsidP="00661A49">
            <w:pPr>
              <w:pStyle w:val="naiskr"/>
              <w:spacing w:before="0" w:after="0"/>
              <w:ind w:left="121" w:right="123"/>
              <w:jc w:val="both"/>
            </w:pPr>
            <w:r>
              <w:t>Priekšlikumi noteikumu projekta pilnveidošanai tika saņemti no:</w:t>
            </w:r>
          </w:p>
          <w:p w14:paraId="4C8B9E77" w14:textId="1F8EF040" w:rsidR="00661A49" w:rsidRDefault="00661A49" w:rsidP="00661A49">
            <w:pPr>
              <w:pStyle w:val="naiskr"/>
              <w:spacing w:before="0" w:after="0"/>
              <w:ind w:left="121" w:right="123"/>
              <w:jc w:val="both"/>
            </w:pPr>
            <w:r>
              <w:t>1. </w:t>
            </w:r>
            <w:r w:rsidR="00CB3F30">
              <w:t>B</w:t>
            </w:r>
            <w:r>
              <w:t>iedrības “Bezizmešu mobilitātes atbalsta biedrība”.</w:t>
            </w:r>
          </w:p>
          <w:p w14:paraId="1C17259F" w14:textId="1FCA81B1" w:rsidR="00661A49" w:rsidRDefault="00CB3F30" w:rsidP="00661A49">
            <w:pPr>
              <w:pStyle w:val="naiskr"/>
              <w:spacing w:before="0" w:after="0"/>
              <w:ind w:left="121" w:right="123"/>
              <w:jc w:val="both"/>
            </w:pPr>
            <w:r>
              <w:t>Minētā b</w:t>
            </w:r>
            <w:r w:rsidR="00661A49">
              <w:t xml:space="preserve">iedrība sniedza </w:t>
            </w:r>
            <w:r>
              <w:t>astoņus</w:t>
            </w:r>
            <w:r w:rsidR="00661A49">
              <w:t xml:space="preserve"> priekšlikumus attiecībā uz braukšanas cikla noteikšanu pēc konkrētām metodēm, </w:t>
            </w:r>
            <w:r w:rsidR="00A43FAE">
              <w:t xml:space="preserve">ar elektromobili </w:t>
            </w:r>
            <w:r w:rsidR="00661A49">
              <w:t>nobrau</w:t>
            </w:r>
            <w:r w:rsidR="00A43FAE">
              <w:t>camo</w:t>
            </w:r>
            <w:r w:rsidR="00661A49">
              <w:t xml:space="preserve"> attālumu gada laikā, kā arī vairākus tehniska rakstura pilnveidojumus tiesību normu labākai izpratnei. </w:t>
            </w:r>
            <w:r w:rsidR="00CB5D5D">
              <w:t xml:space="preserve">Lielākā daļa </w:t>
            </w:r>
            <w:r w:rsidR="00661A49">
              <w:t>priekšlikum</w:t>
            </w:r>
            <w:r w:rsidR="00CB5D5D">
              <w:t>u</w:t>
            </w:r>
            <w:r w:rsidR="00661A49">
              <w:t xml:space="preserve"> ir ņemti vērā.</w:t>
            </w:r>
          </w:p>
          <w:p w14:paraId="2610D10A" w14:textId="36DE319A" w:rsidR="00A43FAE" w:rsidRDefault="00661A49" w:rsidP="00661A49">
            <w:pPr>
              <w:pStyle w:val="naiskr"/>
              <w:spacing w:before="0" w:after="0"/>
              <w:ind w:left="121" w:right="123"/>
              <w:jc w:val="both"/>
            </w:pPr>
            <w:r>
              <w:t>2. </w:t>
            </w:r>
            <w:r w:rsidR="00CB3F30">
              <w:t xml:space="preserve">Fiziska persona </w:t>
            </w:r>
            <w:r w:rsidR="00A43FAE">
              <w:t>(1).</w:t>
            </w:r>
          </w:p>
          <w:p w14:paraId="3D5C0C07" w14:textId="35C58443" w:rsidR="00D957C5" w:rsidRDefault="00CB3F30" w:rsidP="00661A49">
            <w:pPr>
              <w:pStyle w:val="naiskr"/>
              <w:spacing w:before="0" w:after="0"/>
              <w:ind w:left="121" w:right="123"/>
              <w:jc w:val="both"/>
              <w:rPr>
                <w:iCs/>
              </w:rPr>
            </w:pPr>
            <w:r>
              <w:t xml:space="preserve">Fiziska persona </w:t>
            </w:r>
            <w:r w:rsidR="00A43FAE">
              <w:t>sniedza priekšlikumus attiecībā uz ar elektromobili nobraucamo attālumu</w:t>
            </w:r>
            <w:r w:rsidR="00661A49">
              <w:t xml:space="preserve"> </w:t>
            </w:r>
            <w:r w:rsidR="00A43FAE">
              <w:t xml:space="preserve">gada laikā, kā arī līdzfinansēšanas iespējām elektromobilim, kura vērtība pārsniedz 50 000 </w:t>
            </w:r>
            <w:r w:rsidR="00A43FAE" w:rsidRPr="000D0D9C">
              <w:rPr>
                <w:i/>
                <w:iCs/>
              </w:rPr>
              <w:t>euro</w:t>
            </w:r>
            <w:r w:rsidR="00A43FAE">
              <w:rPr>
                <w:iCs/>
              </w:rPr>
              <w:t>. VARAM ir sniegusi rakstiski atbildi privātpersonai, kā arī noteikumu projektā precizējusi nosacījumu attiecībā uz ar elektromobili nobraucamo attālumu gada laikā</w:t>
            </w:r>
            <w:r w:rsidR="00590A04">
              <w:rPr>
                <w:iCs/>
              </w:rPr>
              <w:t xml:space="preserve"> un elektromobiļa vērtību</w:t>
            </w:r>
            <w:r w:rsidR="00A43FAE">
              <w:rPr>
                <w:iCs/>
              </w:rPr>
              <w:t xml:space="preserve">, kā arī tiesību akta sākotnējā novērtējumā sniegusi argumentus par atbalstu </w:t>
            </w:r>
            <w:r w:rsidR="00A43FAE" w:rsidRPr="000D0D9C">
              <w:rPr>
                <w:i/>
              </w:rPr>
              <w:t>premium</w:t>
            </w:r>
            <w:r w:rsidR="00A43FAE">
              <w:rPr>
                <w:iCs/>
              </w:rPr>
              <w:t xml:space="preserve"> klases elektromobiļiem.</w:t>
            </w:r>
          </w:p>
          <w:p w14:paraId="072F9805" w14:textId="77777777" w:rsidR="00450747" w:rsidRDefault="00450747" w:rsidP="00661A49">
            <w:pPr>
              <w:pStyle w:val="naiskr"/>
              <w:spacing w:before="0" w:after="0"/>
              <w:ind w:left="121" w:right="123"/>
              <w:jc w:val="both"/>
            </w:pPr>
            <w:r>
              <w:t>3. </w:t>
            </w:r>
            <w:r w:rsidR="008E75A7">
              <w:t>SIA “LIFE GROUP”.</w:t>
            </w:r>
          </w:p>
          <w:p w14:paraId="40776A26" w14:textId="78F66EF9" w:rsidR="008E75A7" w:rsidRPr="000D0D9C" w:rsidRDefault="00CB3F30" w:rsidP="00661A49">
            <w:pPr>
              <w:pStyle w:val="naiskr"/>
              <w:spacing w:before="0" w:after="0"/>
              <w:ind w:left="121" w:right="123"/>
              <w:jc w:val="both"/>
            </w:pPr>
            <w:r>
              <w:t>Minētais u</w:t>
            </w:r>
            <w:r w:rsidR="008E75A7">
              <w:t>zņēmums sniedza priekšlikumus attiecībā uz to, ka no</w:t>
            </w:r>
            <w:r w:rsidR="008E75A7" w:rsidRPr="00057B13">
              <w:t>teikumu projekts ir jāpapildina ar atbalstu</w:t>
            </w:r>
            <w:r w:rsidR="00057B13" w:rsidRPr="00057B13">
              <w:t xml:space="preserve"> arī elektriskajām lēngaitas</w:t>
            </w:r>
            <w:r w:rsidR="00057B13" w:rsidRPr="000D0D9C">
              <w:t xml:space="preserve"> automašīnām, elektriskajiem motocikliem un elektriskajiem mopēdiem.</w:t>
            </w:r>
            <w:r w:rsidR="00057B13">
              <w:t xml:space="preserve"> </w:t>
            </w:r>
            <w:r w:rsidR="00057B13" w:rsidRPr="00923B0E">
              <w:t xml:space="preserve">Izvērtējot sniegtos </w:t>
            </w:r>
            <w:r w:rsidR="00057B13" w:rsidRPr="00923B0E">
              <w:lastRenderedPageBreak/>
              <w:t xml:space="preserve">priekšlikumus VARAM tos nav ņēmusi vērā, jo </w:t>
            </w:r>
            <w:r w:rsidR="00923B0E" w:rsidRPr="000D0D9C">
              <w:t>minētais atbalsta veids tiek paredzēts esošu autoceļa transportlīdzekļu nomaiņai vai būtiskai to izmantošanas samazināšanai, kas ir viens no galvenajiem siltumnīcefekta gāzu emisiju sektoriem Latvijā.</w:t>
            </w:r>
          </w:p>
          <w:p w14:paraId="1A015002" w14:textId="7C0DA24F" w:rsidR="00D35A78" w:rsidRDefault="00D35A78" w:rsidP="00661A49">
            <w:pPr>
              <w:pStyle w:val="naiskr"/>
              <w:spacing w:before="0" w:after="0"/>
              <w:ind w:left="121" w:right="123"/>
              <w:jc w:val="both"/>
            </w:pPr>
            <w:r w:rsidRPr="000D0D9C">
              <w:t>4. </w:t>
            </w:r>
            <w:r w:rsidR="00DB1CFD">
              <w:t>Biedrība</w:t>
            </w:r>
            <w:r w:rsidR="00CB3F30">
              <w:t>s</w:t>
            </w:r>
            <w:r w:rsidR="00DB1CFD">
              <w:t xml:space="preserve"> “Latvijas </w:t>
            </w:r>
            <w:r>
              <w:t>Finanšu nozaru asociācija</w:t>
            </w:r>
            <w:r w:rsidR="00DB1CFD">
              <w:t>”</w:t>
            </w:r>
            <w:r>
              <w:t>.</w:t>
            </w:r>
          </w:p>
          <w:p w14:paraId="70F96025" w14:textId="151C45CB" w:rsidR="00D35A78" w:rsidRDefault="00DB1CFD" w:rsidP="00661A49">
            <w:pPr>
              <w:pStyle w:val="naiskr"/>
              <w:spacing w:before="0" w:after="0"/>
              <w:ind w:left="121" w:right="123"/>
              <w:jc w:val="both"/>
            </w:pPr>
            <w:r>
              <w:t xml:space="preserve">Biedrība “Latvijas </w:t>
            </w:r>
            <w:r w:rsidR="00D35A78">
              <w:t>Finanšu nozaru asociācija</w:t>
            </w:r>
            <w:r>
              <w:t>”</w:t>
            </w:r>
            <w:r w:rsidR="00D35A78">
              <w:t xml:space="preserve"> sniedza priekšlikumus saistībā ar </w:t>
            </w:r>
            <w:r w:rsidR="006E0344">
              <w:t xml:space="preserve">nosacījumiem attiecībā uz līzinga devējiem, atbalsta apmēra norādīšanu (ar vai bez PVN), </w:t>
            </w:r>
            <w:r w:rsidR="001F261F">
              <w:t xml:space="preserve">elektromobiļa vērtības 50 000 </w:t>
            </w:r>
            <w:r w:rsidR="001F261F" w:rsidRPr="00BA3216">
              <w:rPr>
                <w:i/>
                <w:iCs/>
              </w:rPr>
              <w:t>euro</w:t>
            </w:r>
            <w:r w:rsidR="001F261F">
              <w:rPr>
                <w:i/>
                <w:iCs/>
              </w:rPr>
              <w:t xml:space="preserve"> </w:t>
            </w:r>
            <w:r w:rsidR="001F261F">
              <w:t xml:space="preserve">noteikšanu, </w:t>
            </w:r>
            <w:r w:rsidR="00EC2314">
              <w:t xml:space="preserve">stimulējošiem risinājumiem no autodīlera puses, par monitoringa prasībām – laika termiņš un nobraukums, </w:t>
            </w:r>
            <w:r w:rsidR="00C479E2">
              <w:t>līzinga darījuma veidu – finanšu vai operatīvais</w:t>
            </w:r>
            <w:r w:rsidR="001F261F">
              <w:rPr>
                <w:iCs/>
              </w:rPr>
              <w:t>.</w:t>
            </w:r>
          </w:p>
          <w:p w14:paraId="7CC145A3" w14:textId="601D8D9B" w:rsidR="006E0344" w:rsidRDefault="006E0344" w:rsidP="00661A49">
            <w:pPr>
              <w:pStyle w:val="naiskr"/>
              <w:spacing w:before="0" w:after="0"/>
              <w:ind w:left="121" w:right="123"/>
              <w:jc w:val="both"/>
            </w:pPr>
            <w:r>
              <w:t xml:space="preserve">Sniegtie priekšlikumi ņemti vērā daļēji. Nav ņemts vērā priekšlikums pie atbalsta summas norādīt, ka šī summa ir ar vai bez PVN, jo minētais atbalsta apjoms nav prece vai pakalpojams, kam tiktu </w:t>
            </w:r>
            <w:r w:rsidR="00CB3F30">
              <w:t>piem</w:t>
            </w:r>
            <w:r w:rsidR="009D58C4">
              <w:t>ē</w:t>
            </w:r>
            <w:r w:rsidR="00CB3F30">
              <w:t xml:space="preserve">rots </w:t>
            </w:r>
            <w:r>
              <w:t xml:space="preserve">PVN. Šī summa tiek piešķirta atbalsta saņēmējam iegādājoties transportlīdzekli. </w:t>
            </w:r>
            <w:r w:rsidR="001F261F">
              <w:t xml:space="preserve">Attiecībā </w:t>
            </w:r>
            <w:r w:rsidR="001F261F">
              <w:rPr>
                <w:iCs/>
              </w:rPr>
              <w:t xml:space="preserve">uz elektromobiļa vērtību, tiesību akta sākotnējā novērtējumā ir sniegta argumentācija par atbalstu </w:t>
            </w:r>
            <w:r w:rsidR="001F261F" w:rsidRPr="00BA3216">
              <w:rPr>
                <w:i/>
              </w:rPr>
              <w:t>premium</w:t>
            </w:r>
            <w:r w:rsidR="001F261F">
              <w:rPr>
                <w:iCs/>
              </w:rPr>
              <w:t xml:space="preserve"> klases elektromobiļiem. </w:t>
            </w:r>
            <w:r w:rsidR="00534223">
              <w:rPr>
                <w:iCs/>
              </w:rPr>
              <w:t>N</w:t>
            </w:r>
            <w:r w:rsidR="00C479E2">
              <w:rPr>
                <w:iCs/>
              </w:rPr>
              <w:t>oteikumu projekts paredz, ka elektromobiļus var iegādāties</w:t>
            </w:r>
            <w:r w:rsidR="00534223">
              <w:rPr>
                <w:iCs/>
              </w:rPr>
              <w:t xml:space="preserve"> izmantojot</w:t>
            </w:r>
            <w:r w:rsidR="00C479E2">
              <w:rPr>
                <w:iCs/>
              </w:rPr>
              <w:t xml:space="preserve"> līzing</w:t>
            </w:r>
            <w:r w:rsidR="00534223">
              <w:rPr>
                <w:iCs/>
              </w:rPr>
              <w:t>u</w:t>
            </w:r>
            <w:r w:rsidR="00C479E2">
              <w:rPr>
                <w:iCs/>
              </w:rPr>
              <w:t>.</w:t>
            </w:r>
            <w:r w:rsidR="00060F86">
              <w:rPr>
                <w:iCs/>
              </w:rPr>
              <w:t xml:space="preserve"> </w:t>
            </w:r>
          </w:p>
          <w:p w14:paraId="75C1C411" w14:textId="34A4E0C8" w:rsidR="00D35A78" w:rsidRDefault="00D35A78" w:rsidP="00661A49">
            <w:pPr>
              <w:pStyle w:val="naiskr"/>
              <w:spacing w:before="0" w:after="0"/>
              <w:ind w:left="121" w:right="123"/>
              <w:jc w:val="both"/>
            </w:pPr>
            <w:r>
              <w:t>5. </w:t>
            </w:r>
            <w:r w:rsidR="00DB1CFD">
              <w:t>Biedrības “</w:t>
            </w:r>
            <w:r w:rsidR="00EA477E">
              <w:t>Latvijas Tirdzniecības un rūpniecības kamera</w:t>
            </w:r>
            <w:r w:rsidR="00DB1CFD">
              <w:t>”</w:t>
            </w:r>
            <w:r w:rsidR="00EA477E">
              <w:t>.</w:t>
            </w:r>
          </w:p>
          <w:p w14:paraId="5208CA84" w14:textId="7746E9A6" w:rsidR="00923B0E" w:rsidRDefault="00DB1CFD" w:rsidP="00661A49">
            <w:pPr>
              <w:pStyle w:val="naiskr"/>
              <w:spacing w:before="0" w:after="0"/>
              <w:ind w:left="121" w:right="123"/>
              <w:jc w:val="both"/>
            </w:pPr>
            <w:r>
              <w:t>Biedrība “</w:t>
            </w:r>
            <w:r w:rsidR="00EA477E">
              <w:t>Latvijas Tirdzniecības un rūpniecības kamera</w:t>
            </w:r>
            <w:r>
              <w:t>”</w:t>
            </w:r>
            <w:r w:rsidR="00EA477E">
              <w:t xml:space="preserve"> snie</w:t>
            </w:r>
            <w:r w:rsidR="005E1C4B">
              <w:t>dza viedokli par jautājumiem, kas</w:t>
            </w:r>
            <w:r w:rsidR="00EA477E">
              <w:t xml:space="preserve"> ir saistīti ar </w:t>
            </w:r>
            <w:r w:rsidR="006E3090">
              <w:t xml:space="preserve">noteikumu projekta nosaukuma precizēšanu, informācijas norādīšanu attiecībā uz atbalstu elektromobiļu iegādei komersantiem, </w:t>
            </w:r>
            <w:r w:rsidR="001C2581">
              <w:t xml:space="preserve">diskusijas nepieciešamību par elektromobiļa vērtības 50 000 </w:t>
            </w:r>
            <w:r w:rsidR="001C2581" w:rsidRPr="005E1C4B">
              <w:rPr>
                <w:i/>
                <w:iCs/>
              </w:rPr>
              <w:t xml:space="preserve">euro </w:t>
            </w:r>
            <w:r w:rsidR="001C2581" w:rsidRPr="005E1C4B">
              <w:t>noteikšanu</w:t>
            </w:r>
            <w:r w:rsidR="005E1C4B">
              <w:t xml:space="preserve"> un</w:t>
            </w:r>
            <w:r w:rsidR="001C2581" w:rsidRPr="005E1C4B">
              <w:t xml:space="preserve"> par to cik elektromobiļu drīkst iegādāties fiziska persona, </w:t>
            </w:r>
            <w:r w:rsidR="005E1C4B">
              <w:t xml:space="preserve">ar </w:t>
            </w:r>
            <w:r w:rsidR="005E1C4B" w:rsidRPr="005E1C4B">
              <w:t>elektromobi</w:t>
            </w:r>
            <w:r w:rsidR="005E1C4B">
              <w:t>li</w:t>
            </w:r>
            <w:r w:rsidR="005E1C4B" w:rsidRPr="005E1C4B">
              <w:t xml:space="preserve"> nobraucamo minimālo attālumu</w:t>
            </w:r>
            <w:r w:rsidR="005E1C4B">
              <w:t xml:space="preserve">, kā ar to, ka </w:t>
            </w:r>
            <w:r w:rsidR="005E1C4B" w:rsidRPr="000D0D9C">
              <w:rPr>
                <w:bCs/>
              </w:rPr>
              <w:t xml:space="preserve">VARAM </w:t>
            </w:r>
            <w:r w:rsidR="005E1C4B">
              <w:rPr>
                <w:bCs/>
              </w:rPr>
              <w:t>jā</w:t>
            </w:r>
            <w:r w:rsidR="005E1C4B" w:rsidRPr="000D0D9C">
              <w:rPr>
                <w:bCs/>
              </w:rPr>
              <w:t>virz</w:t>
            </w:r>
            <w:r w:rsidR="005E1C4B">
              <w:rPr>
                <w:bCs/>
              </w:rPr>
              <w:t>a</w:t>
            </w:r>
            <w:r w:rsidR="005E1C4B" w:rsidRPr="000D0D9C">
              <w:rPr>
                <w:bCs/>
              </w:rPr>
              <w:t xml:space="preserve"> izmaiņas </w:t>
            </w:r>
            <w:r w:rsidR="005E1C4B" w:rsidRPr="000D0D9C">
              <w:t>Transportlīdzekļa ekspluatācijas nodokļa un uzņēmumu vieglo transportlīdzekļu nodokļa likumā</w:t>
            </w:r>
            <w:r w:rsidR="00EA477E" w:rsidRPr="005E1C4B">
              <w:t>.</w:t>
            </w:r>
          </w:p>
          <w:p w14:paraId="5A0B0186" w14:textId="06073E2A" w:rsidR="00EA477E" w:rsidRPr="009B5620" w:rsidRDefault="00923B0E" w:rsidP="00661A49">
            <w:pPr>
              <w:pStyle w:val="naiskr"/>
              <w:spacing w:before="0" w:after="0"/>
              <w:ind w:left="121" w:right="123"/>
              <w:jc w:val="both"/>
            </w:pPr>
            <w:r>
              <w:rPr>
                <w:iCs/>
              </w:rPr>
              <w:t xml:space="preserve">VARAM ir sniegusi rakstisku atbildi </w:t>
            </w:r>
            <w:r w:rsidR="00EF448A">
              <w:rPr>
                <w:iCs/>
              </w:rPr>
              <w:t xml:space="preserve">uz </w:t>
            </w:r>
            <w:r>
              <w:rPr>
                <w:iCs/>
              </w:rPr>
              <w:t>sākotnējo L</w:t>
            </w:r>
            <w:r w:rsidR="00DB1CFD">
              <w:rPr>
                <w:iCs/>
              </w:rPr>
              <w:t>atvijas Tirdzniecības un rūpniecības kameras</w:t>
            </w:r>
            <w:r>
              <w:rPr>
                <w:iCs/>
              </w:rPr>
              <w:t xml:space="preserve"> vēstuli, kā arī noteikumu projektā precizējusi nosacījumu attiecībā uz ar elektromobili nobraucamo attālumu gada laikā, kā arī tiesību akta sākotnējā novērtējumā sniegusi argumentus par atbalstu </w:t>
            </w:r>
            <w:r w:rsidRPr="00BA3216">
              <w:rPr>
                <w:i/>
              </w:rPr>
              <w:t>premium</w:t>
            </w:r>
            <w:r>
              <w:rPr>
                <w:iCs/>
              </w:rPr>
              <w:t xml:space="preserve"> klases </w:t>
            </w:r>
            <w:r>
              <w:rPr>
                <w:iCs/>
              </w:rPr>
              <w:lastRenderedPageBreak/>
              <w:t>elektromobiļiem un atbalsta pieejamību uzņēmumiem.</w:t>
            </w:r>
            <w:r w:rsidR="005E1C4B">
              <w:t xml:space="preserve"> </w:t>
            </w:r>
          </w:p>
        </w:tc>
      </w:tr>
      <w:tr w:rsidR="00D957C5" w:rsidRPr="009B5620" w14:paraId="74EB9EAF" w14:textId="77777777" w:rsidTr="00BB0D8D">
        <w:trPr>
          <w:trHeight w:val="476"/>
          <w:jc w:val="center"/>
        </w:trPr>
        <w:tc>
          <w:tcPr>
            <w:tcW w:w="407" w:type="dxa"/>
          </w:tcPr>
          <w:p w14:paraId="6DDCBBAE" w14:textId="77777777" w:rsidR="00D957C5" w:rsidRPr="009B5620" w:rsidRDefault="00D957C5" w:rsidP="00D957C5">
            <w:pPr>
              <w:pStyle w:val="naiskr"/>
              <w:spacing w:before="0" w:after="0"/>
              <w:ind w:left="57" w:right="57"/>
              <w:rPr>
                <w:bCs/>
              </w:rPr>
            </w:pPr>
            <w:r w:rsidRPr="009B5620">
              <w:rPr>
                <w:bCs/>
              </w:rPr>
              <w:lastRenderedPageBreak/>
              <w:t>4.</w:t>
            </w:r>
          </w:p>
        </w:tc>
        <w:tc>
          <w:tcPr>
            <w:tcW w:w="3991" w:type="dxa"/>
          </w:tcPr>
          <w:p w14:paraId="4818F587" w14:textId="77777777" w:rsidR="00D957C5" w:rsidRPr="009B5620" w:rsidRDefault="00D957C5" w:rsidP="00D957C5">
            <w:pPr>
              <w:pStyle w:val="naiskr"/>
              <w:spacing w:before="0" w:after="0"/>
              <w:ind w:left="57" w:right="57"/>
            </w:pPr>
            <w:r w:rsidRPr="009B5620">
              <w:t>Cita informācija</w:t>
            </w:r>
          </w:p>
          <w:p w14:paraId="00900481" w14:textId="77777777" w:rsidR="00D957C5" w:rsidRPr="009B5620" w:rsidRDefault="00D957C5" w:rsidP="00D957C5">
            <w:pPr>
              <w:pStyle w:val="naiskr"/>
              <w:spacing w:before="0" w:after="0"/>
              <w:ind w:left="57" w:right="57"/>
            </w:pPr>
          </w:p>
        </w:tc>
        <w:tc>
          <w:tcPr>
            <w:tcW w:w="4921" w:type="dxa"/>
          </w:tcPr>
          <w:p w14:paraId="30096EC7" w14:textId="12DB7910" w:rsidR="00D957C5" w:rsidRPr="009B5620" w:rsidRDefault="00D957C5" w:rsidP="00DB1952">
            <w:pPr>
              <w:pStyle w:val="naiskr"/>
              <w:spacing w:before="0" w:after="0"/>
              <w:ind w:left="57" w:right="123"/>
              <w:jc w:val="both"/>
            </w:pPr>
            <w:r w:rsidRPr="009B5620">
              <w:t>Nav</w:t>
            </w:r>
          </w:p>
        </w:tc>
      </w:tr>
    </w:tbl>
    <w:p w14:paraId="0E33957A" w14:textId="77777777" w:rsidR="00A10BF2" w:rsidRPr="009B5620"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9B5620" w14:paraId="76FB7B16" w14:textId="77777777" w:rsidTr="00BB0D8D">
        <w:tc>
          <w:tcPr>
            <w:tcW w:w="9389" w:type="dxa"/>
            <w:gridSpan w:val="3"/>
            <w:tcBorders>
              <w:top w:val="single" w:sz="4" w:space="0" w:color="auto"/>
            </w:tcBorders>
          </w:tcPr>
          <w:p w14:paraId="6BFA28C8" w14:textId="77777777" w:rsidR="00263FFC" w:rsidRPr="009B5620" w:rsidRDefault="00263FFC" w:rsidP="00306098">
            <w:pPr>
              <w:pStyle w:val="naisnod"/>
              <w:spacing w:before="0" w:after="0"/>
              <w:ind w:left="57" w:right="57"/>
              <w:rPr>
                <w:sz w:val="28"/>
                <w:szCs w:val="28"/>
              </w:rPr>
            </w:pPr>
            <w:r w:rsidRPr="009B5620">
              <w:rPr>
                <w:szCs w:val="28"/>
              </w:rPr>
              <w:t>VII. Tiesību akta projekta izpildes nodrošināšana un tās ietekme uz institūcijām</w:t>
            </w:r>
          </w:p>
        </w:tc>
      </w:tr>
      <w:tr w:rsidR="00D957C5" w:rsidRPr="009B5620" w14:paraId="147F4932" w14:textId="77777777" w:rsidTr="00BB0D8D">
        <w:trPr>
          <w:trHeight w:val="427"/>
        </w:trPr>
        <w:tc>
          <w:tcPr>
            <w:tcW w:w="601" w:type="dxa"/>
          </w:tcPr>
          <w:p w14:paraId="28ADF3B4" w14:textId="77777777" w:rsidR="00D957C5" w:rsidRPr="009B5620" w:rsidRDefault="00D957C5" w:rsidP="00D957C5">
            <w:pPr>
              <w:pStyle w:val="naisnod"/>
              <w:spacing w:before="0" w:after="0"/>
              <w:ind w:left="57" w:right="57"/>
              <w:jc w:val="left"/>
              <w:rPr>
                <w:b w:val="0"/>
              </w:rPr>
            </w:pPr>
            <w:r w:rsidRPr="009B5620">
              <w:rPr>
                <w:b w:val="0"/>
              </w:rPr>
              <w:t>1.</w:t>
            </w:r>
          </w:p>
        </w:tc>
        <w:tc>
          <w:tcPr>
            <w:tcW w:w="4961" w:type="dxa"/>
          </w:tcPr>
          <w:p w14:paraId="346B0BD8" w14:textId="77777777" w:rsidR="00D957C5" w:rsidRPr="009B5620" w:rsidRDefault="00D957C5" w:rsidP="00D957C5">
            <w:pPr>
              <w:pStyle w:val="naisf"/>
              <w:spacing w:before="0" w:after="0"/>
              <w:ind w:left="57" w:right="57" w:firstLine="0"/>
              <w:jc w:val="left"/>
            </w:pPr>
            <w:r w:rsidRPr="009B5620">
              <w:t xml:space="preserve">Projekta izpildē iesaistītās institūcijas </w:t>
            </w:r>
          </w:p>
        </w:tc>
        <w:tc>
          <w:tcPr>
            <w:tcW w:w="3827" w:type="dxa"/>
          </w:tcPr>
          <w:p w14:paraId="09B233F1" w14:textId="627223D5" w:rsidR="00A00254" w:rsidRPr="009B5620" w:rsidRDefault="00383F16" w:rsidP="00A00254">
            <w:pPr>
              <w:pStyle w:val="tv213"/>
              <w:spacing w:before="0" w:beforeAutospacing="0" w:after="0" w:afterAutospacing="0"/>
              <w:ind w:left="81" w:right="147"/>
              <w:jc w:val="both"/>
              <w:rPr>
                <w:b/>
              </w:rPr>
            </w:pPr>
            <w:r w:rsidRPr="009B5620">
              <w:t>VARAM</w:t>
            </w:r>
            <w:r w:rsidR="00725CDE" w:rsidRPr="009B5620">
              <w:t xml:space="preserve"> un</w:t>
            </w:r>
            <w:r w:rsidRPr="009B5620">
              <w:t xml:space="preserve"> </w:t>
            </w:r>
            <w:r w:rsidR="00D7550F">
              <w:t>Vides investīciju fonds</w:t>
            </w:r>
          </w:p>
        </w:tc>
      </w:tr>
      <w:tr w:rsidR="00D957C5" w:rsidRPr="009B5620" w14:paraId="24B24A4D" w14:textId="77777777" w:rsidTr="00BB0D8D">
        <w:trPr>
          <w:trHeight w:val="463"/>
        </w:trPr>
        <w:tc>
          <w:tcPr>
            <w:tcW w:w="601" w:type="dxa"/>
          </w:tcPr>
          <w:p w14:paraId="7227AFD2" w14:textId="2C0A5C96" w:rsidR="00D957C5" w:rsidRPr="009B5620" w:rsidRDefault="00D957C5" w:rsidP="00D957C5">
            <w:pPr>
              <w:pStyle w:val="naisnod"/>
              <w:spacing w:before="0" w:after="0"/>
              <w:ind w:left="57" w:right="57"/>
              <w:jc w:val="left"/>
              <w:rPr>
                <w:b w:val="0"/>
              </w:rPr>
            </w:pPr>
            <w:r w:rsidRPr="009B5620">
              <w:rPr>
                <w:b w:val="0"/>
              </w:rPr>
              <w:t>2.</w:t>
            </w:r>
          </w:p>
        </w:tc>
        <w:tc>
          <w:tcPr>
            <w:tcW w:w="4961" w:type="dxa"/>
          </w:tcPr>
          <w:p w14:paraId="7790EF04" w14:textId="77777777" w:rsidR="00D957C5" w:rsidRPr="009B5620" w:rsidRDefault="00D957C5" w:rsidP="00D957C5">
            <w:pPr>
              <w:pStyle w:val="naisf"/>
              <w:spacing w:before="0" w:after="0"/>
              <w:ind w:left="57" w:right="57" w:firstLine="0"/>
              <w:jc w:val="left"/>
            </w:pPr>
            <w:r w:rsidRPr="009B5620">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697E47C2" w:rsidR="00D957C5" w:rsidRPr="009B5620" w:rsidRDefault="00D957C5" w:rsidP="00D957C5">
            <w:pPr>
              <w:pStyle w:val="naisnod"/>
              <w:spacing w:before="0" w:after="0"/>
              <w:ind w:left="57" w:right="57"/>
              <w:jc w:val="both"/>
              <w:rPr>
                <w:b w:val="0"/>
              </w:rPr>
            </w:pPr>
            <w:r w:rsidRPr="009B5620">
              <w:rPr>
                <w:b w:val="0"/>
              </w:rPr>
              <w:t>Jaunas institūcijas netiks veidotas.</w:t>
            </w:r>
          </w:p>
        </w:tc>
      </w:tr>
      <w:tr w:rsidR="00D957C5" w:rsidRPr="009B5620" w14:paraId="2F036722" w14:textId="77777777" w:rsidTr="00BB0D8D">
        <w:trPr>
          <w:trHeight w:val="476"/>
        </w:trPr>
        <w:tc>
          <w:tcPr>
            <w:tcW w:w="601" w:type="dxa"/>
          </w:tcPr>
          <w:p w14:paraId="66D921C5" w14:textId="77777777" w:rsidR="00D957C5" w:rsidRPr="009B5620" w:rsidRDefault="00D957C5" w:rsidP="00D957C5">
            <w:pPr>
              <w:pStyle w:val="naiskr"/>
              <w:spacing w:before="0" w:after="0"/>
              <w:ind w:left="57" w:right="57"/>
            </w:pPr>
            <w:r w:rsidRPr="009B5620">
              <w:t>3.</w:t>
            </w:r>
          </w:p>
        </w:tc>
        <w:tc>
          <w:tcPr>
            <w:tcW w:w="4961" w:type="dxa"/>
          </w:tcPr>
          <w:p w14:paraId="32F16C71" w14:textId="77777777" w:rsidR="00D957C5" w:rsidRPr="009B5620" w:rsidRDefault="00D957C5" w:rsidP="00D957C5">
            <w:pPr>
              <w:pStyle w:val="naiskr"/>
              <w:spacing w:before="0" w:after="0"/>
              <w:ind w:left="57" w:right="57"/>
            </w:pPr>
            <w:r w:rsidRPr="009B5620">
              <w:t>Cita informācija</w:t>
            </w:r>
          </w:p>
        </w:tc>
        <w:tc>
          <w:tcPr>
            <w:tcW w:w="3827" w:type="dxa"/>
          </w:tcPr>
          <w:p w14:paraId="72D9F7C6" w14:textId="2C93D54A" w:rsidR="00D957C5" w:rsidRPr="009B5620" w:rsidRDefault="00D957C5" w:rsidP="00D957C5">
            <w:pPr>
              <w:pStyle w:val="naiskr"/>
              <w:spacing w:before="0" w:after="0"/>
              <w:ind w:left="57" w:right="57"/>
            </w:pPr>
            <w:r w:rsidRPr="009B5620">
              <w:t>Nav</w:t>
            </w:r>
          </w:p>
        </w:tc>
      </w:tr>
    </w:tbl>
    <w:p w14:paraId="30985519" w14:textId="77777777" w:rsidR="002D0400" w:rsidRPr="009B5620" w:rsidRDefault="002D0400" w:rsidP="006B3C54">
      <w:pPr>
        <w:jc w:val="both"/>
        <w:rPr>
          <w:sz w:val="28"/>
        </w:rPr>
      </w:pPr>
    </w:p>
    <w:p w14:paraId="5F058070" w14:textId="77777777" w:rsidR="00D30C05" w:rsidRPr="009B5620" w:rsidRDefault="00D30C05" w:rsidP="00B346D7">
      <w:pPr>
        <w:pStyle w:val="naisf"/>
        <w:tabs>
          <w:tab w:val="left" w:pos="6840"/>
        </w:tabs>
        <w:spacing w:before="0" w:after="0"/>
        <w:ind w:firstLine="0"/>
        <w:rPr>
          <w:sz w:val="28"/>
          <w:szCs w:val="28"/>
        </w:rPr>
      </w:pPr>
    </w:p>
    <w:p w14:paraId="79BABAE3" w14:textId="77777777" w:rsidR="00A84F16" w:rsidRDefault="00A84F16" w:rsidP="00A84F16">
      <w:r>
        <w:rPr>
          <w:sz w:val="28"/>
          <w:szCs w:val="28"/>
        </w:rPr>
        <w:t>Vides aizsardzības un</w:t>
      </w:r>
    </w:p>
    <w:p w14:paraId="0BA08C8E" w14:textId="77777777" w:rsidR="00A84F16" w:rsidRDefault="00A84F16" w:rsidP="00A84F16">
      <w:pPr>
        <w:tabs>
          <w:tab w:val="left" w:pos="7371"/>
        </w:tabs>
      </w:pPr>
      <w:r>
        <w:rPr>
          <w:sz w:val="28"/>
          <w:szCs w:val="28"/>
        </w:rPr>
        <w:t>reģionālās attīstības ministrs</w:t>
      </w:r>
      <w:r>
        <w:rPr>
          <w:sz w:val="28"/>
          <w:szCs w:val="28"/>
        </w:rPr>
        <w:tab/>
        <w:t>A. T. Plešs</w:t>
      </w:r>
    </w:p>
    <w:p w14:paraId="09267FA9" w14:textId="74324AC8" w:rsidR="00F47D5E" w:rsidRPr="009B5620" w:rsidRDefault="00F47D5E" w:rsidP="00D957C5">
      <w:pPr>
        <w:pStyle w:val="naisf"/>
        <w:tabs>
          <w:tab w:val="left" w:pos="6840"/>
        </w:tabs>
        <w:spacing w:before="0" w:after="0"/>
        <w:ind w:firstLine="0"/>
        <w:rPr>
          <w:sz w:val="28"/>
          <w:szCs w:val="28"/>
        </w:rPr>
      </w:pPr>
    </w:p>
    <w:p w14:paraId="2A82BD2C" w14:textId="77777777" w:rsidR="000D2C24" w:rsidRDefault="000D2C24" w:rsidP="009355AA">
      <w:pPr>
        <w:rPr>
          <w:sz w:val="22"/>
          <w:szCs w:val="22"/>
        </w:rPr>
      </w:pPr>
    </w:p>
    <w:p w14:paraId="2E3CBA9E" w14:textId="77777777" w:rsidR="00A84F16" w:rsidRPr="004911E7" w:rsidRDefault="00A84F16" w:rsidP="00A84F16">
      <w:pPr>
        <w:tabs>
          <w:tab w:val="center" w:pos="4536"/>
          <w:tab w:val="right" w:pos="8306"/>
        </w:tabs>
      </w:pPr>
      <w:r w:rsidRPr="004911E7">
        <w:rPr>
          <w:color w:val="000000"/>
        </w:rPr>
        <w:t>R. Kašs, 67026538</w:t>
      </w:r>
    </w:p>
    <w:p w14:paraId="6AD00022" w14:textId="6F7D3DB3" w:rsidR="00A84F16" w:rsidRDefault="00D7550F" w:rsidP="00A84F16">
      <w:pPr>
        <w:jc w:val="both"/>
        <w:rPr>
          <w:rStyle w:val="Hyperlink"/>
        </w:rPr>
      </w:pPr>
      <w:hyperlink r:id="rId10" w:history="1">
        <w:r w:rsidR="00A84F16" w:rsidRPr="004911E7">
          <w:rPr>
            <w:rStyle w:val="Hyperlink"/>
          </w:rPr>
          <w:t>raimonds.kass@varam.gov.lv</w:t>
        </w:r>
      </w:hyperlink>
    </w:p>
    <w:p w14:paraId="219BFFCE" w14:textId="41EEE433" w:rsidR="009355AA" w:rsidRPr="009B5620" w:rsidRDefault="009355AA" w:rsidP="00A84F16">
      <w:pPr>
        <w:rPr>
          <w:sz w:val="22"/>
          <w:szCs w:val="22"/>
        </w:rPr>
      </w:pPr>
    </w:p>
    <w:sectPr w:rsidR="009355AA" w:rsidRPr="009B5620" w:rsidSect="009232AB">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EBB9" w14:textId="77777777" w:rsidR="00EB68FF" w:rsidRDefault="00EB68FF">
      <w:r>
        <w:separator/>
      </w:r>
    </w:p>
  </w:endnote>
  <w:endnote w:type="continuationSeparator" w:id="0">
    <w:p w14:paraId="044F9270" w14:textId="77777777" w:rsidR="00EB68FF" w:rsidRDefault="00EB68FF">
      <w:r>
        <w:continuationSeparator/>
      </w:r>
    </w:p>
  </w:endnote>
  <w:endnote w:type="continuationNotice" w:id="1">
    <w:p w14:paraId="64BCA7B2" w14:textId="77777777" w:rsidR="00EB68FF" w:rsidRDefault="00EB6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90D5" w14:textId="4D4CA799" w:rsidR="00667849" w:rsidRPr="00530436" w:rsidRDefault="00667849" w:rsidP="003A09C1">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D421D">
      <w:rPr>
        <w:noProof/>
        <w:sz w:val="20"/>
        <w:szCs w:val="20"/>
      </w:rPr>
      <w:t>VARAMAnot_101221_BEV-PHEV</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7CB4" w14:textId="275475FD" w:rsidR="00667849" w:rsidRPr="00530436" w:rsidRDefault="00667849" w:rsidP="009232AB">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D421D">
      <w:rPr>
        <w:noProof/>
        <w:sz w:val="20"/>
        <w:szCs w:val="20"/>
      </w:rPr>
      <w:t>VARAMAnot_101221_BEV-PHEV</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E3B1" w14:textId="77777777" w:rsidR="00EB68FF" w:rsidRDefault="00EB68FF">
      <w:r>
        <w:separator/>
      </w:r>
    </w:p>
  </w:footnote>
  <w:footnote w:type="continuationSeparator" w:id="0">
    <w:p w14:paraId="4C273BF7" w14:textId="77777777" w:rsidR="00EB68FF" w:rsidRDefault="00EB68FF">
      <w:r>
        <w:continuationSeparator/>
      </w:r>
    </w:p>
  </w:footnote>
  <w:footnote w:type="continuationNotice" w:id="1">
    <w:p w14:paraId="2C24CF49" w14:textId="77777777" w:rsidR="00EB68FF" w:rsidRDefault="00EB68FF"/>
  </w:footnote>
  <w:footnote w:id="2">
    <w:p w14:paraId="3DAA34E2" w14:textId="4B8FF707" w:rsidR="00616B70" w:rsidRPr="000D421D" w:rsidRDefault="00616B70" w:rsidP="00D7550F">
      <w:pPr>
        <w:jc w:val="both"/>
        <w:rPr>
          <w:sz w:val="22"/>
          <w:szCs w:val="22"/>
        </w:rPr>
      </w:pPr>
      <w:r w:rsidRPr="000D421D">
        <w:rPr>
          <w:sz w:val="22"/>
          <w:szCs w:val="22"/>
        </w:rPr>
        <w:footnoteRef/>
      </w:r>
      <w:r w:rsidRPr="000D421D">
        <w:rPr>
          <w:sz w:val="22"/>
          <w:szCs w:val="22"/>
        </w:rPr>
        <w:t xml:space="preserve"> </w:t>
      </w:r>
      <w:r w:rsidRPr="00D7550F">
        <w:rPr>
          <w:sz w:val="20"/>
          <w:szCs w:val="20"/>
        </w:rPr>
        <w:t>Eiropas Parlamenta un Padomes  2018. gada 30. maija regula (ES) 2018/842 par saistošiem ikgadējiem siltumnīcefekta gāzu emisiju samazinājumiem, kas dalībvalstīm jāpanāk no 2021. līdz 2030. gadam un kas dod ieguldījumu rīcībā klimata politikas jomā, lai izpildītu Parīzes nolīgumā paredzētās saistības, un ar ko groza Regulu (ES) Nr. 525/2013</w:t>
      </w:r>
    </w:p>
    <w:p w14:paraId="33FDA4C0" w14:textId="45BB8636" w:rsidR="00616B70" w:rsidRDefault="00616B70">
      <w:pPr>
        <w:pStyle w:val="FootnoteText"/>
      </w:pPr>
    </w:p>
  </w:footnote>
  <w:footnote w:id="3">
    <w:p w14:paraId="439BCD73" w14:textId="77777777" w:rsidR="00473CB7" w:rsidRPr="00C57429" w:rsidRDefault="00473CB7" w:rsidP="00473CB7">
      <w:pPr>
        <w:pStyle w:val="FootnoteText"/>
      </w:pPr>
      <w:r w:rsidRPr="007B04A2">
        <w:rPr>
          <w:rStyle w:val="FootnoteReference"/>
          <w:i/>
          <w:iCs/>
        </w:rPr>
        <w:footnoteRef/>
      </w:r>
      <w:r w:rsidRPr="007B04A2">
        <w:rPr>
          <w:i/>
          <w:iCs/>
        </w:rPr>
        <w:t xml:space="preserve"> </w:t>
      </w:r>
      <w:hyperlink r:id="rId1" w:history="1">
        <w:r w:rsidRPr="007B04A2">
          <w:rPr>
            <w:rStyle w:val="Hyperlink"/>
            <w:i/>
            <w:iCs/>
          </w:rPr>
          <w:t>https://www.acea.be/uploads/publications/Electric_vehicles-Tax_benefits_purchase_incentives_European_Union_2020.pdf</w:t>
        </w:r>
      </w:hyperlink>
    </w:p>
  </w:footnote>
  <w:footnote w:id="4">
    <w:p w14:paraId="10C1260F" w14:textId="77777777" w:rsidR="00227095" w:rsidRDefault="00227095" w:rsidP="00227095">
      <w:pPr>
        <w:pStyle w:val="FootnoteText"/>
        <w:contextualSpacing/>
        <w:jc w:val="both"/>
      </w:pPr>
      <w:r w:rsidRPr="00EB3408">
        <w:rPr>
          <w:rStyle w:val="FootnoteReference"/>
        </w:rPr>
        <w:footnoteRef/>
      </w:r>
      <w:r w:rsidRPr="00EB3408">
        <w:t xml:space="preserve"> </w:t>
      </w:r>
      <w:r w:rsidRPr="00EB3408">
        <w:rPr>
          <w:shd w:val="clear" w:color="auto" w:fill="FFFFFF"/>
        </w:rPr>
        <w:t>322pts. 82.lpp. kopējais finansējums ilgtspējīga jauna transporta iegādei nepilni 22,58 milj. euro</w:t>
      </w:r>
      <w:r w:rsidRPr="00EB3408">
        <w:t xml:space="preserve">  </w:t>
      </w:r>
      <w:hyperlink r:id="rId2" w:history="1">
        <w:r w:rsidRPr="00EB3408">
          <w:rPr>
            <w:rStyle w:val="Hyperlink"/>
          </w:rPr>
          <w:t>https://www.esfondi.lv/upload/anm/01_anm_plans_04062021.pdf</w:t>
        </w:r>
      </w:hyperlink>
    </w:p>
  </w:footnote>
  <w:footnote w:id="5">
    <w:p w14:paraId="43AAB1F0" w14:textId="77777777" w:rsidR="00D42047" w:rsidRPr="00BE5715" w:rsidRDefault="00D42047" w:rsidP="00D42047">
      <w:pPr>
        <w:pStyle w:val="FootnoteText"/>
        <w:rPr>
          <w:sz w:val="16"/>
          <w:szCs w:val="16"/>
        </w:rPr>
      </w:pPr>
      <w:r w:rsidRPr="00BE5715">
        <w:rPr>
          <w:rStyle w:val="FootnoteReference"/>
          <w:sz w:val="16"/>
          <w:szCs w:val="16"/>
        </w:rPr>
        <w:footnoteRef/>
      </w:r>
      <w:r w:rsidRPr="00BE5715">
        <w:rPr>
          <w:sz w:val="16"/>
          <w:szCs w:val="16"/>
        </w:rPr>
        <w:t xml:space="preserve"> </w:t>
      </w:r>
      <w:hyperlink r:id="rId3" w:history="1">
        <w:r w:rsidRPr="00BE5715">
          <w:rPr>
            <w:rStyle w:val="Hyperlink"/>
            <w:sz w:val="16"/>
            <w:szCs w:val="16"/>
          </w:rPr>
          <w:t>https://www.csdd.lv/jaunumi/csdd-tehniskaja-apskate-pern-videji-13-auto-diena-atteica-bremzes</w:t>
        </w:r>
      </w:hyperlink>
      <w:r w:rsidRPr="00BE5715">
        <w:rPr>
          <w:rStyle w:val="Hyperlink"/>
          <w:sz w:val="16"/>
          <w:szCs w:val="16"/>
        </w:rPr>
        <w:t>;</w:t>
      </w:r>
    </w:p>
  </w:footnote>
  <w:footnote w:id="6">
    <w:p w14:paraId="0679229A" w14:textId="77777777" w:rsidR="00D42047" w:rsidRPr="00BE5715" w:rsidRDefault="00D42047" w:rsidP="00D42047">
      <w:pPr>
        <w:pStyle w:val="FootnoteText"/>
        <w:rPr>
          <w:sz w:val="16"/>
          <w:szCs w:val="16"/>
        </w:rPr>
      </w:pPr>
      <w:r w:rsidRPr="00BE5715">
        <w:rPr>
          <w:rStyle w:val="FootnoteReference"/>
          <w:sz w:val="16"/>
          <w:szCs w:val="16"/>
        </w:rPr>
        <w:footnoteRef/>
      </w:r>
      <w:r w:rsidRPr="00BE5715">
        <w:rPr>
          <w:sz w:val="16"/>
          <w:szCs w:val="16"/>
        </w:rPr>
        <w:t xml:space="preserve"> </w:t>
      </w:r>
      <w:hyperlink r:id="rId4" w:history="1">
        <w:r w:rsidRPr="00BE5715">
          <w:rPr>
            <w:rStyle w:val="Hyperlink"/>
            <w:sz w:val="16"/>
            <w:szCs w:val="16"/>
          </w:rPr>
          <w:t>https://www.csb.gov.lv/lv/statistika/statistikas-temas/transports-turisms/transports/meklet-tema/357-apsekojuma-latvijas-iedzivotaju-mobilitate</w:t>
        </w:r>
      </w:hyperlink>
      <w:r w:rsidRPr="00BE5715">
        <w:rPr>
          <w:sz w:val="16"/>
          <w:szCs w:val="16"/>
        </w:rPr>
        <w:t xml:space="preserve"> un </w:t>
      </w:r>
      <w:hyperlink r:id="rId5" w:history="1">
        <w:r w:rsidRPr="00BE5715">
          <w:rPr>
            <w:rStyle w:val="Hyperlink"/>
            <w:sz w:val="16"/>
            <w:szCs w:val="16"/>
          </w:rPr>
          <w:t>https://www.pwc.com/lv/lv/news/tiek-laists-klaja-latvija-pirmais-mobilitates-petijums.html</w:t>
        </w:r>
      </w:hyperlink>
      <w:r w:rsidRPr="00BE5715">
        <w:rPr>
          <w:sz w:val="16"/>
          <w:szCs w:val="16"/>
        </w:rPr>
        <w:t>;</w:t>
      </w:r>
    </w:p>
  </w:footnote>
  <w:footnote w:id="7">
    <w:p w14:paraId="70311C53" w14:textId="77777777" w:rsidR="00D42047" w:rsidRPr="00BE5715" w:rsidRDefault="00D42047" w:rsidP="00D42047">
      <w:pPr>
        <w:pStyle w:val="FootnoteText"/>
        <w:rPr>
          <w:sz w:val="16"/>
          <w:szCs w:val="16"/>
        </w:rPr>
      </w:pPr>
      <w:r w:rsidRPr="00BE5715">
        <w:rPr>
          <w:rStyle w:val="FootnoteReference"/>
          <w:sz w:val="16"/>
          <w:szCs w:val="16"/>
        </w:rPr>
        <w:footnoteRef/>
      </w:r>
      <w:r w:rsidRPr="00BE5715">
        <w:rPr>
          <w:sz w:val="16"/>
          <w:szCs w:val="16"/>
        </w:rPr>
        <w:t xml:space="preserve"> </w:t>
      </w:r>
      <w:hyperlink r:id="rId6" w:history="1">
        <w:r w:rsidRPr="00BE5715">
          <w:rPr>
            <w:rStyle w:val="Hyperlink"/>
            <w:sz w:val="16"/>
            <w:szCs w:val="16"/>
          </w:rPr>
          <w:t>https://uzladets.lv/cik-lielu-nobraukumu-patiesiba-vajag-no-elektromobila/</w:t>
        </w:r>
      </w:hyperlink>
      <w:r w:rsidRPr="00BE5715">
        <w:rPr>
          <w:sz w:val="16"/>
          <w:szCs w:val="16"/>
        </w:rPr>
        <w:t>;</w:t>
      </w:r>
    </w:p>
  </w:footnote>
  <w:footnote w:id="8">
    <w:p w14:paraId="271886B4" w14:textId="77777777" w:rsidR="00D42047" w:rsidRDefault="00D42047" w:rsidP="00D42047">
      <w:pPr>
        <w:pStyle w:val="FootnoteText"/>
      </w:pPr>
      <w:r w:rsidRPr="00BE5715">
        <w:rPr>
          <w:rStyle w:val="FootnoteReference"/>
          <w:sz w:val="16"/>
          <w:szCs w:val="16"/>
        </w:rPr>
        <w:footnoteRef/>
      </w:r>
      <w:r w:rsidRPr="00BE5715">
        <w:rPr>
          <w:sz w:val="16"/>
          <w:szCs w:val="16"/>
        </w:rPr>
        <w:t xml:space="preserve"> </w:t>
      </w:r>
      <w:hyperlink r:id="rId7" w:history="1">
        <w:r w:rsidRPr="00BE5715">
          <w:rPr>
            <w:rStyle w:val="Hyperlink"/>
            <w:sz w:val="16"/>
            <w:szCs w:val="16"/>
          </w:rPr>
          <w:t>https://www.elektrum.lv/lv/majai/energoefektivitate/aktualitates/ka-izveleties-piemerotako-elektroauto-un-ta-uzladi</w:t>
        </w:r>
      </w:hyperlink>
    </w:p>
  </w:footnote>
  <w:footnote w:id="9">
    <w:p w14:paraId="4CDB89DC" w14:textId="4A46D1C0" w:rsidR="00CB3F30" w:rsidRDefault="00CB3F30">
      <w:pPr>
        <w:pStyle w:val="FootnoteText"/>
      </w:pPr>
      <w:r>
        <w:rPr>
          <w:rStyle w:val="FootnoteReference"/>
        </w:rPr>
        <w:footnoteRef/>
      </w:r>
      <w:hyperlink r:id="rId8" w:history="1">
        <w:r w:rsidRPr="00D24EC3">
          <w:rPr>
            <w:rStyle w:val="Hyperlink"/>
          </w:rPr>
          <w:t>https://ec.europa.eu/competition/state_aid/cases/240968/240968_1363389_62_3.pdf</w:t>
        </w:r>
      </w:hyperlink>
      <w:r>
        <w:t xml:space="preserve"> un  </w:t>
      </w:r>
      <w:r w:rsidRPr="00CB3F30">
        <w:t>https://ec.europa.eu/competition/state_aid/cases/250131/250131_1512656_109_2.pdf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602B" w14:textId="77777777" w:rsidR="00667849" w:rsidRDefault="0066784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667849" w:rsidRDefault="00667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1F81" w14:textId="4C859C76" w:rsidR="00667849" w:rsidRDefault="0066784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6D7">
      <w:rPr>
        <w:rStyle w:val="PageNumber"/>
        <w:noProof/>
      </w:rPr>
      <w:t>3</w:t>
    </w:r>
    <w:r>
      <w:rPr>
        <w:rStyle w:val="PageNumber"/>
      </w:rPr>
      <w:fldChar w:fldCharType="end"/>
    </w:r>
  </w:p>
  <w:p w14:paraId="237C5921" w14:textId="6D7A0CED" w:rsidR="00667849" w:rsidRDefault="007F64A0" w:rsidP="007F64A0">
    <w:pPr>
      <w:pStyle w:val="Header"/>
      <w:tabs>
        <w:tab w:val="clear" w:pos="4153"/>
        <w:tab w:val="clear" w:pos="8306"/>
        <w:tab w:val="left" w:pos="32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CAF"/>
    <w:multiLevelType w:val="hybridMultilevel"/>
    <w:tmpl w:val="47EECD26"/>
    <w:lvl w:ilvl="0" w:tplc="905A42A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306D1E"/>
    <w:multiLevelType w:val="hybridMultilevel"/>
    <w:tmpl w:val="72F48AC4"/>
    <w:lvl w:ilvl="0" w:tplc="754C5312">
      <w:start w:val="1"/>
      <w:numFmt w:val="decimal"/>
      <w:lvlText w:val="%1."/>
      <w:lvlJc w:val="left"/>
      <w:pPr>
        <w:ind w:left="470" w:hanging="360"/>
      </w:pPr>
      <w:rPr>
        <w:rFonts w:eastAsia="Calibri" w:hint="default"/>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10"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77572F7"/>
    <w:multiLevelType w:val="multilevel"/>
    <w:tmpl w:val="D278C40A"/>
    <w:lvl w:ilvl="0">
      <w:start w:val="1"/>
      <w:numFmt w:val="decimal"/>
      <w:lvlText w:val="%1."/>
      <w:lvlJc w:val="left"/>
      <w:pPr>
        <w:ind w:left="779" w:hanging="360"/>
      </w:pPr>
      <w:rPr>
        <w:sz w:val="24"/>
        <w:szCs w:val="24"/>
      </w:rPr>
    </w:lvl>
    <w:lvl w:ilvl="1">
      <w:start w:val="9"/>
      <w:numFmt w:val="decimal"/>
      <w:isLgl/>
      <w:lvlText w:val="%1.%2."/>
      <w:lvlJc w:val="left"/>
      <w:pPr>
        <w:ind w:left="1499" w:hanging="720"/>
      </w:pPr>
    </w:lvl>
    <w:lvl w:ilvl="2">
      <w:start w:val="1"/>
      <w:numFmt w:val="decimal"/>
      <w:isLgl/>
      <w:lvlText w:val="%1.%2.%3."/>
      <w:lvlJc w:val="left"/>
      <w:pPr>
        <w:ind w:left="1859" w:hanging="720"/>
      </w:pPr>
    </w:lvl>
    <w:lvl w:ilvl="3">
      <w:start w:val="1"/>
      <w:numFmt w:val="decimal"/>
      <w:isLgl/>
      <w:lvlText w:val="%1.%2.%3.%4."/>
      <w:lvlJc w:val="left"/>
      <w:pPr>
        <w:ind w:left="2579" w:hanging="1080"/>
      </w:pPr>
    </w:lvl>
    <w:lvl w:ilvl="4">
      <w:start w:val="1"/>
      <w:numFmt w:val="decimal"/>
      <w:isLgl/>
      <w:lvlText w:val="%1.%2.%3.%4.%5."/>
      <w:lvlJc w:val="left"/>
      <w:pPr>
        <w:ind w:left="2939" w:hanging="1080"/>
      </w:pPr>
    </w:lvl>
    <w:lvl w:ilvl="5">
      <w:start w:val="1"/>
      <w:numFmt w:val="decimal"/>
      <w:isLgl/>
      <w:lvlText w:val="%1.%2.%3.%4.%5.%6."/>
      <w:lvlJc w:val="left"/>
      <w:pPr>
        <w:ind w:left="3659" w:hanging="1440"/>
      </w:pPr>
    </w:lvl>
    <w:lvl w:ilvl="6">
      <w:start w:val="1"/>
      <w:numFmt w:val="decimal"/>
      <w:isLgl/>
      <w:lvlText w:val="%1.%2.%3.%4.%5.%6.%7."/>
      <w:lvlJc w:val="left"/>
      <w:pPr>
        <w:ind w:left="4379" w:hanging="1800"/>
      </w:pPr>
    </w:lvl>
    <w:lvl w:ilvl="7">
      <w:start w:val="1"/>
      <w:numFmt w:val="decimal"/>
      <w:isLgl/>
      <w:lvlText w:val="%1.%2.%3.%4.%5.%6.%7.%8."/>
      <w:lvlJc w:val="left"/>
      <w:pPr>
        <w:ind w:left="4739" w:hanging="1800"/>
      </w:pPr>
    </w:lvl>
    <w:lvl w:ilvl="8">
      <w:start w:val="1"/>
      <w:numFmt w:val="decimal"/>
      <w:isLgl/>
      <w:lvlText w:val="%1.%2.%3.%4.%5.%6.%7.%8.%9."/>
      <w:lvlJc w:val="left"/>
      <w:pPr>
        <w:ind w:left="5459" w:hanging="2160"/>
      </w:pPr>
    </w:lvl>
  </w:abstractNum>
  <w:abstractNum w:abstractNumId="13"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4" w15:restartNumberingAfterBreak="0">
    <w:nsid w:val="50017C37"/>
    <w:multiLevelType w:val="hybridMultilevel"/>
    <w:tmpl w:val="51B62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32"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7"/>
  </w:num>
  <w:num w:numId="2">
    <w:abstractNumId w:val="32"/>
  </w:num>
  <w:num w:numId="3">
    <w:abstractNumId w:val="7"/>
  </w:num>
  <w:num w:numId="4">
    <w:abstractNumId w:val="13"/>
  </w:num>
  <w:num w:numId="5">
    <w:abstractNumId w:val="21"/>
  </w:num>
  <w:num w:numId="6">
    <w:abstractNumId w:val="6"/>
  </w:num>
  <w:num w:numId="7">
    <w:abstractNumId w:val="1"/>
  </w:num>
  <w:num w:numId="8">
    <w:abstractNumId w:val="2"/>
  </w:num>
  <w:num w:numId="9">
    <w:abstractNumId w:val="29"/>
  </w:num>
  <w:num w:numId="10">
    <w:abstractNumId w:val="11"/>
  </w:num>
  <w:num w:numId="11">
    <w:abstractNumId w:val="26"/>
  </w:num>
  <w:num w:numId="12">
    <w:abstractNumId w:val="22"/>
  </w:num>
  <w:num w:numId="13">
    <w:abstractNumId w:val="4"/>
  </w:num>
  <w:num w:numId="14">
    <w:abstractNumId w:val="30"/>
  </w:num>
  <w:num w:numId="15">
    <w:abstractNumId w:val="18"/>
  </w:num>
  <w:num w:numId="16">
    <w:abstractNumId w:val="5"/>
  </w:num>
  <w:num w:numId="17">
    <w:abstractNumId w:val="3"/>
  </w:num>
  <w:num w:numId="18">
    <w:abstractNumId w:val="16"/>
  </w:num>
  <w:num w:numId="19">
    <w:abstractNumId w:val="14"/>
  </w:num>
  <w:num w:numId="20">
    <w:abstractNumId w:val="20"/>
  </w:num>
  <w:num w:numId="21">
    <w:abstractNumId w:val="17"/>
  </w:num>
  <w:num w:numId="22">
    <w:abstractNumId w:val="15"/>
  </w:num>
  <w:num w:numId="23">
    <w:abstractNumId w:val="33"/>
  </w:num>
  <w:num w:numId="24">
    <w:abstractNumId w:val="8"/>
  </w:num>
  <w:num w:numId="25">
    <w:abstractNumId w:val="34"/>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0"/>
  </w:num>
  <w:num w:numId="33">
    <w:abstractNumId w:val="24"/>
  </w:num>
  <w:num w:numId="34">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61E"/>
    <w:rsid w:val="00003C9A"/>
    <w:rsid w:val="000043F9"/>
    <w:rsid w:val="00005427"/>
    <w:rsid w:val="00005826"/>
    <w:rsid w:val="000071F5"/>
    <w:rsid w:val="00010FE3"/>
    <w:rsid w:val="000112B1"/>
    <w:rsid w:val="00013713"/>
    <w:rsid w:val="000143DB"/>
    <w:rsid w:val="00014527"/>
    <w:rsid w:val="00015501"/>
    <w:rsid w:val="00015666"/>
    <w:rsid w:val="00016AA7"/>
    <w:rsid w:val="000179EA"/>
    <w:rsid w:val="00017A2C"/>
    <w:rsid w:val="00021604"/>
    <w:rsid w:val="00024ECF"/>
    <w:rsid w:val="00025FA9"/>
    <w:rsid w:val="000260DC"/>
    <w:rsid w:val="00026532"/>
    <w:rsid w:val="00027494"/>
    <w:rsid w:val="00027756"/>
    <w:rsid w:val="0002797B"/>
    <w:rsid w:val="00027A5A"/>
    <w:rsid w:val="00027F1C"/>
    <w:rsid w:val="00031099"/>
    <w:rsid w:val="00031399"/>
    <w:rsid w:val="00032CEA"/>
    <w:rsid w:val="00032D84"/>
    <w:rsid w:val="000332D3"/>
    <w:rsid w:val="00033CC8"/>
    <w:rsid w:val="00035DB5"/>
    <w:rsid w:val="000367AD"/>
    <w:rsid w:val="00037C68"/>
    <w:rsid w:val="00037CD7"/>
    <w:rsid w:val="00040172"/>
    <w:rsid w:val="000404D3"/>
    <w:rsid w:val="00040E6B"/>
    <w:rsid w:val="0004133D"/>
    <w:rsid w:val="00041FE4"/>
    <w:rsid w:val="00042031"/>
    <w:rsid w:val="000422EE"/>
    <w:rsid w:val="00043CB1"/>
    <w:rsid w:val="00047183"/>
    <w:rsid w:val="000473F7"/>
    <w:rsid w:val="00050A3F"/>
    <w:rsid w:val="00050F54"/>
    <w:rsid w:val="00051106"/>
    <w:rsid w:val="0005143C"/>
    <w:rsid w:val="0005632E"/>
    <w:rsid w:val="00056D70"/>
    <w:rsid w:val="00057B13"/>
    <w:rsid w:val="00060057"/>
    <w:rsid w:val="00060888"/>
    <w:rsid w:val="00060A47"/>
    <w:rsid w:val="00060F86"/>
    <w:rsid w:val="00062822"/>
    <w:rsid w:val="00063BAE"/>
    <w:rsid w:val="0006534F"/>
    <w:rsid w:val="00066E0A"/>
    <w:rsid w:val="000670BA"/>
    <w:rsid w:val="00070FB4"/>
    <w:rsid w:val="00071884"/>
    <w:rsid w:val="00071CD0"/>
    <w:rsid w:val="00071D6D"/>
    <w:rsid w:val="00072B20"/>
    <w:rsid w:val="00073270"/>
    <w:rsid w:val="00073464"/>
    <w:rsid w:val="0007788D"/>
    <w:rsid w:val="00077938"/>
    <w:rsid w:val="00082DF3"/>
    <w:rsid w:val="00084359"/>
    <w:rsid w:val="000845A9"/>
    <w:rsid w:val="0008488A"/>
    <w:rsid w:val="00084CD9"/>
    <w:rsid w:val="00085B89"/>
    <w:rsid w:val="00090302"/>
    <w:rsid w:val="000920FE"/>
    <w:rsid w:val="00092534"/>
    <w:rsid w:val="00092C64"/>
    <w:rsid w:val="00092DF0"/>
    <w:rsid w:val="00093D7B"/>
    <w:rsid w:val="000A13FA"/>
    <w:rsid w:val="000A17B0"/>
    <w:rsid w:val="000A2211"/>
    <w:rsid w:val="000A2884"/>
    <w:rsid w:val="000A359D"/>
    <w:rsid w:val="000A3B97"/>
    <w:rsid w:val="000A46CA"/>
    <w:rsid w:val="000A6067"/>
    <w:rsid w:val="000B127D"/>
    <w:rsid w:val="000B1AB1"/>
    <w:rsid w:val="000B1C02"/>
    <w:rsid w:val="000B219A"/>
    <w:rsid w:val="000B3F6E"/>
    <w:rsid w:val="000B4538"/>
    <w:rsid w:val="000B4607"/>
    <w:rsid w:val="000B4F08"/>
    <w:rsid w:val="000B59CB"/>
    <w:rsid w:val="000B66C8"/>
    <w:rsid w:val="000B6DF1"/>
    <w:rsid w:val="000C0EDB"/>
    <w:rsid w:val="000C230C"/>
    <w:rsid w:val="000C32EA"/>
    <w:rsid w:val="000C37C7"/>
    <w:rsid w:val="000C37D8"/>
    <w:rsid w:val="000C5FBC"/>
    <w:rsid w:val="000C61E4"/>
    <w:rsid w:val="000D0D9C"/>
    <w:rsid w:val="000D0DB8"/>
    <w:rsid w:val="000D163F"/>
    <w:rsid w:val="000D2C24"/>
    <w:rsid w:val="000D2C4F"/>
    <w:rsid w:val="000D320A"/>
    <w:rsid w:val="000D35F4"/>
    <w:rsid w:val="000D3DCD"/>
    <w:rsid w:val="000D41F8"/>
    <w:rsid w:val="000D421D"/>
    <w:rsid w:val="000D5549"/>
    <w:rsid w:val="000D5F55"/>
    <w:rsid w:val="000D650D"/>
    <w:rsid w:val="000D7C74"/>
    <w:rsid w:val="000E1123"/>
    <w:rsid w:val="000E2092"/>
    <w:rsid w:val="000E2805"/>
    <w:rsid w:val="000E31DC"/>
    <w:rsid w:val="000E3B2A"/>
    <w:rsid w:val="000E4457"/>
    <w:rsid w:val="000E6F4B"/>
    <w:rsid w:val="000E7BB7"/>
    <w:rsid w:val="000F0876"/>
    <w:rsid w:val="000F35FE"/>
    <w:rsid w:val="000F3C86"/>
    <w:rsid w:val="000F3DBD"/>
    <w:rsid w:val="000F41C0"/>
    <w:rsid w:val="000F4F69"/>
    <w:rsid w:val="000F5E59"/>
    <w:rsid w:val="000F6A6D"/>
    <w:rsid w:val="00101F71"/>
    <w:rsid w:val="001029C5"/>
    <w:rsid w:val="001032E7"/>
    <w:rsid w:val="00103B16"/>
    <w:rsid w:val="00103B63"/>
    <w:rsid w:val="00107AE1"/>
    <w:rsid w:val="00110173"/>
    <w:rsid w:val="001114E0"/>
    <w:rsid w:val="00113CD0"/>
    <w:rsid w:val="00114052"/>
    <w:rsid w:val="00115550"/>
    <w:rsid w:val="00115E65"/>
    <w:rsid w:val="001170B0"/>
    <w:rsid w:val="001176C1"/>
    <w:rsid w:val="0012082E"/>
    <w:rsid w:val="001209A4"/>
    <w:rsid w:val="001214F2"/>
    <w:rsid w:val="00123B4C"/>
    <w:rsid w:val="00123E30"/>
    <w:rsid w:val="001242F0"/>
    <w:rsid w:val="00125941"/>
    <w:rsid w:val="00126709"/>
    <w:rsid w:val="00127C6E"/>
    <w:rsid w:val="00130C2D"/>
    <w:rsid w:val="001317E3"/>
    <w:rsid w:val="00131C70"/>
    <w:rsid w:val="00133374"/>
    <w:rsid w:val="00133CF3"/>
    <w:rsid w:val="001347ED"/>
    <w:rsid w:val="001359E3"/>
    <w:rsid w:val="00136946"/>
    <w:rsid w:val="00137BF2"/>
    <w:rsid w:val="00141294"/>
    <w:rsid w:val="001425FF"/>
    <w:rsid w:val="00143528"/>
    <w:rsid w:val="00146380"/>
    <w:rsid w:val="001464EA"/>
    <w:rsid w:val="00146E61"/>
    <w:rsid w:val="00146F0F"/>
    <w:rsid w:val="001524E5"/>
    <w:rsid w:val="00153486"/>
    <w:rsid w:val="00153BD9"/>
    <w:rsid w:val="00154636"/>
    <w:rsid w:val="0015719D"/>
    <w:rsid w:val="00160235"/>
    <w:rsid w:val="00161AD7"/>
    <w:rsid w:val="001628FF"/>
    <w:rsid w:val="00163425"/>
    <w:rsid w:val="001637A5"/>
    <w:rsid w:val="00163D88"/>
    <w:rsid w:val="00166B1A"/>
    <w:rsid w:val="00166CF6"/>
    <w:rsid w:val="00166F6F"/>
    <w:rsid w:val="00167B8E"/>
    <w:rsid w:val="00167BB9"/>
    <w:rsid w:val="00167FA0"/>
    <w:rsid w:val="00170E4E"/>
    <w:rsid w:val="00171922"/>
    <w:rsid w:val="00172BCD"/>
    <w:rsid w:val="00173DBD"/>
    <w:rsid w:val="00174C75"/>
    <w:rsid w:val="00175296"/>
    <w:rsid w:val="00176D51"/>
    <w:rsid w:val="00180130"/>
    <w:rsid w:val="0018016E"/>
    <w:rsid w:val="00180848"/>
    <w:rsid w:val="001811FB"/>
    <w:rsid w:val="001837CD"/>
    <w:rsid w:val="00183ABD"/>
    <w:rsid w:val="00184E5C"/>
    <w:rsid w:val="00184F35"/>
    <w:rsid w:val="00185117"/>
    <w:rsid w:val="001865AD"/>
    <w:rsid w:val="001913AA"/>
    <w:rsid w:val="00191859"/>
    <w:rsid w:val="00192B89"/>
    <w:rsid w:val="00192FA8"/>
    <w:rsid w:val="001951AF"/>
    <w:rsid w:val="001954CD"/>
    <w:rsid w:val="00195BD8"/>
    <w:rsid w:val="00196B61"/>
    <w:rsid w:val="001A28EB"/>
    <w:rsid w:val="001A60FD"/>
    <w:rsid w:val="001A620C"/>
    <w:rsid w:val="001A683D"/>
    <w:rsid w:val="001A7349"/>
    <w:rsid w:val="001A7910"/>
    <w:rsid w:val="001B005C"/>
    <w:rsid w:val="001B0D10"/>
    <w:rsid w:val="001B256B"/>
    <w:rsid w:val="001B310C"/>
    <w:rsid w:val="001B366C"/>
    <w:rsid w:val="001B3E66"/>
    <w:rsid w:val="001B3ECB"/>
    <w:rsid w:val="001B47FF"/>
    <w:rsid w:val="001B57F1"/>
    <w:rsid w:val="001C002C"/>
    <w:rsid w:val="001C03C6"/>
    <w:rsid w:val="001C0442"/>
    <w:rsid w:val="001C07BF"/>
    <w:rsid w:val="001C0848"/>
    <w:rsid w:val="001C1205"/>
    <w:rsid w:val="001C2581"/>
    <w:rsid w:val="001C2F5E"/>
    <w:rsid w:val="001C5276"/>
    <w:rsid w:val="001C5BD5"/>
    <w:rsid w:val="001C7CCC"/>
    <w:rsid w:val="001D0B65"/>
    <w:rsid w:val="001D0BB7"/>
    <w:rsid w:val="001D0C1C"/>
    <w:rsid w:val="001D0FF3"/>
    <w:rsid w:val="001D2285"/>
    <w:rsid w:val="001D2DE3"/>
    <w:rsid w:val="001D2E1A"/>
    <w:rsid w:val="001D315D"/>
    <w:rsid w:val="001D54A9"/>
    <w:rsid w:val="001D6149"/>
    <w:rsid w:val="001D6C4F"/>
    <w:rsid w:val="001D6E4F"/>
    <w:rsid w:val="001D7C83"/>
    <w:rsid w:val="001E11D4"/>
    <w:rsid w:val="001E19E2"/>
    <w:rsid w:val="001E2891"/>
    <w:rsid w:val="001E6D7D"/>
    <w:rsid w:val="001E7E58"/>
    <w:rsid w:val="001F06CA"/>
    <w:rsid w:val="001F101B"/>
    <w:rsid w:val="001F261F"/>
    <w:rsid w:val="001F2765"/>
    <w:rsid w:val="001F59D8"/>
    <w:rsid w:val="001F5C90"/>
    <w:rsid w:val="001F66D1"/>
    <w:rsid w:val="001F7525"/>
    <w:rsid w:val="001F7E7E"/>
    <w:rsid w:val="00200346"/>
    <w:rsid w:val="00201781"/>
    <w:rsid w:val="00201C96"/>
    <w:rsid w:val="00203965"/>
    <w:rsid w:val="0020406F"/>
    <w:rsid w:val="002042D0"/>
    <w:rsid w:val="002042E8"/>
    <w:rsid w:val="00204494"/>
    <w:rsid w:val="002047D6"/>
    <w:rsid w:val="00205B93"/>
    <w:rsid w:val="00206050"/>
    <w:rsid w:val="00206332"/>
    <w:rsid w:val="00207018"/>
    <w:rsid w:val="002116ED"/>
    <w:rsid w:val="002123C8"/>
    <w:rsid w:val="0021395B"/>
    <w:rsid w:val="0021417A"/>
    <w:rsid w:val="00214E56"/>
    <w:rsid w:val="00216AE2"/>
    <w:rsid w:val="00216F99"/>
    <w:rsid w:val="00217F73"/>
    <w:rsid w:val="00220B0C"/>
    <w:rsid w:val="00221638"/>
    <w:rsid w:val="00223974"/>
    <w:rsid w:val="002240F3"/>
    <w:rsid w:val="002249BA"/>
    <w:rsid w:val="00227095"/>
    <w:rsid w:val="0022722B"/>
    <w:rsid w:val="002317E8"/>
    <w:rsid w:val="00231B9D"/>
    <w:rsid w:val="00232A10"/>
    <w:rsid w:val="00233607"/>
    <w:rsid w:val="00233815"/>
    <w:rsid w:val="0023381F"/>
    <w:rsid w:val="00233EF8"/>
    <w:rsid w:val="002349E2"/>
    <w:rsid w:val="00234C65"/>
    <w:rsid w:val="00234DE6"/>
    <w:rsid w:val="00235098"/>
    <w:rsid w:val="0024097C"/>
    <w:rsid w:val="00241978"/>
    <w:rsid w:val="00243419"/>
    <w:rsid w:val="002436CE"/>
    <w:rsid w:val="00244669"/>
    <w:rsid w:val="00244732"/>
    <w:rsid w:val="00245A40"/>
    <w:rsid w:val="002460AD"/>
    <w:rsid w:val="002473EC"/>
    <w:rsid w:val="00247B79"/>
    <w:rsid w:val="00250B3C"/>
    <w:rsid w:val="00250DA9"/>
    <w:rsid w:val="00252088"/>
    <w:rsid w:val="00254327"/>
    <w:rsid w:val="0025436E"/>
    <w:rsid w:val="00254DF0"/>
    <w:rsid w:val="00255889"/>
    <w:rsid w:val="00255C6E"/>
    <w:rsid w:val="002564A2"/>
    <w:rsid w:val="00260591"/>
    <w:rsid w:val="002610BC"/>
    <w:rsid w:val="00262614"/>
    <w:rsid w:val="00263889"/>
    <w:rsid w:val="00263FBD"/>
    <w:rsid w:val="00263FFC"/>
    <w:rsid w:val="0026475B"/>
    <w:rsid w:val="00264B24"/>
    <w:rsid w:val="0026525C"/>
    <w:rsid w:val="0026537B"/>
    <w:rsid w:val="00266BB4"/>
    <w:rsid w:val="00273973"/>
    <w:rsid w:val="00273CFE"/>
    <w:rsid w:val="00273F0D"/>
    <w:rsid w:val="00275B5C"/>
    <w:rsid w:val="0027719D"/>
    <w:rsid w:val="00277727"/>
    <w:rsid w:val="00277EEA"/>
    <w:rsid w:val="00280003"/>
    <w:rsid w:val="002811CE"/>
    <w:rsid w:val="00281446"/>
    <w:rsid w:val="00282AA6"/>
    <w:rsid w:val="00283314"/>
    <w:rsid w:val="002835E0"/>
    <w:rsid w:val="00283D16"/>
    <w:rsid w:val="0028468F"/>
    <w:rsid w:val="00284894"/>
    <w:rsid w:val="00284FBF"/>
    <w:rsid w:val="0028533B"/>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2CC4"/>
    <w:rsid w:val="002A2E9A"/>
    <w:rsid w:val="002A33C1"/>
    <w:rsid w:val="002A3505"/>
    <w:rsid w:val="002A4549"/>
    <w:rsid w:val="002B08AF"/>
    <w:rsid w:val="002B09F4"/>
    <w:rsid w:val="002B3ACF"/>
    <w:rsid w:val="002B40DD"/>
    <w:rsid w:val="002B438C"/>
    <w:rsid w:val="002B4CDC"/>
    <w:rsid w:val="002B50EF"/>
    <w:rsid w:val="002B7C07"/>
    <w:rsid w:val="002B7D81"/>
    <w:rsid w:val="002B7EAD"/>
    <w:rsid w:val="002C1999"/>
    <w:rsid w:val="002C2060"/>
    <w:rsid w:val="002C2B64"/>
    <w:rsid w:val="002C2D82"/>
    <w:rsid w:val="002C345E"/>
    <w:rsid w:val="002C3E2D"/>
    <w:rsid w:val="002C4423"/>
    <w:rsid w:val="002C4761"/>
    <w:rsid w:val="002C5994"/>
    <w:rsid w:val="002C5D2F"/>
    <w:rsid w:val="002C7EAC"/>
    <w:rsid w:val="002D010B"/>
    <w:rsid w:val="002D0400"/>
    <w:rsid w:val="002D202F"/>
    <w:rsid w:val="002D293F"/>
    <w:rsid w:val="002D29FE"/>
    <w:rsid w:val="002D3BD3"/>
    <w:rsid w:val="002D433C"/>
    <w:rsid w:val="002D6BB7"/>
    <w:rsid w:val="002D775F"/>
    <w:rsid w:val="002D7B6C"/>
    <w:rsid w:val="002E0611"/>
    <w:rsid w:val="002E134E"/>
    <w:rsid w:val="002E1AD4"/>
    <w:rsid w:val="002E1EE6"/>
    <w:rsid w:val="002E23C4"/>
    <w:rsid w:val="002E45DE"/>
    <w:rsid w:val="002E5482"/>
    <w:rsid w:val="002F0CDC"/>
    <w:rsid w:val="002F1205"/>
    <w:rsid w:val="002F1B36"/>
    <w:rsid w:val="002F2ABF"/>
    <w:rsid w:val="002F4ED6"/>
    <w:rsid w:val="002F5CD1"/>
    <w:rsid w:val="002F6A2D"/>
    <w:rsid w:val="002F714B"/>
    <w:rsid w:val="002F722A"/>
    <w:rsid w:val="002F73C4"/>
    <w:rsid w:val="00300272"/>
    <w:rsid w:val="003004F5"/>
    <w:rsid w:val="00301319"/>
    <w:rsid w:val="0030151C"/>
    <w:rsid w:val="0030209C"/>
    <w:rsid w:val="00302E5B"/>
    <w:rsid w:val="00302E7C"/>
    <w:rsid w:val="003033D1"/>
    <w:rsid w:val="0030341E"/>
    <w:rsid w:val="0030384F"/>
    <w:rsid w:val="003042DA"/>
    <w:rsid w:val="00304547"/>
    <w:rsid w:val="00304BAC"/>
    <w:rsid w:val="003058BD"/>
    <w:rsid w:val="00305B71"/>
    <w:rsid w:val="00306098"/>
    <w:rsid w:val="00307444"/>
    <w:rsid w:val="003110F6"/>
    <w:rsid w:val="0031134A"/>
    <w:rsid w:val="00312A0E"/>
    <w:rsid w:val="00313854"/>
    <w:rsid w:val="003154EB"/>
    <w:rsid w:val="0031784C"/>
    <w:rsid w:val="003223A2"/>
    <w:rsid w:val="00322E58"/>
    <w:rsid w:val="00324943"/>
    <w:rsid w:val="00326D0B"/>
    <w:rsid w:val="003279F0"/>
    <w:rsid w:val="0033075B"/>
    <w:rsid w:val="00330A1A"/>
    <w:rsid w:val="003331F2"/>
    <w:rsid w:val="00333B38"/>
    <w:rsid w:val="00333BE3"/>
    <w:rsid w:val="00334184"/>
    <w:rsid w:val="003354DE"/>
    <w:rsid w:val="00346A8A"/>
    <w:rsid w:val="00351A48"/>
    <w:rsid w:val="003526F4"/>
    <w:rsid w:val="003547BA"/>
    <w:rsid w:val="003547DD"/>
    <w:rsid w:val="00355746"/>
    <w:rsid w:val="003558B0"/>
    <w:rsid w:val="00356580"/>
    <w:rsid w:val="00357B69"/>
    <w:rsid w:val="00360508"/>
    <w:rsid w:val="003614B3"/>
    <w:rsid w:val="00363A24"/>
    <w:rsid w:val="00364C53"/>
    <w:rsid w:val="00364D00"/>
    <w:rsid w:val="00366D63"/>
    <w:rsid w:val="00370243"/>
    <w:rsid w:val="0037072F"/>
    <w:rsid w:val="0037123F"/>
    <w:rsid w:val="003733C7"/>
    <w:rsid w:val="00373605"/>
    <w:rsid w:val="0037525D"/>
    <w:rsid w:val="003760E0"/>
    <w:rsid w:val="00377710"/>
    <w:rsid w:val="003800A3"/>
    <w:rsid w:val="0038157D"/>
    <w:rsid w:val="003826CD"/>
    <w:rsid w:val="00382D86"/>
    <w:rsid w:val="0038393A"/>
    <w:rsid w:val="00383F16"/>
    <w:rsid w:val="003848A9"/>
    <w:rsid w:val="0038507B"/>
    <w:rsid w:val="00385916"/>
    <w:rsid w:val="003868F7"/>
    <w:rsid w:val="00387D09"/>
    <w:rsid w:val="003905DC"/>
    <w:rsid w:val="0039137F"/>
    <w:rsid w:val="0039138C"/>
    <w:rsid w:val="00391C37"/>
    <w:rsid w:val="00391F7C"/>
    <w:rsid w:val="00394499"/>
    <w:rsid w:val="0039479B"/>
    <w:rsid w:val="003957C3"/>
    <w:rsid w:val="0039664A"/>
    <w:rsid w:val="003A09C1"/>
    <w:rsid w:val="003A0CE8"/>
    <w:rsid w:val="003A20BA"/>
    <w:rsid w:val="003A3D6B"/>
    <w:rsid w:val="003A5294"/>
    <w:rsid w:val="003A66D4"/>
    <w:rsid w:val="003B011E"/>
    <w:rsid w:val="003B10FA"/>
    <w:rsid w:val="003B1F23"/>
    <w:rsid w:val="003B2102"/>
    <w:rsid w:val="003B2598"/>
    <w:rsid w:val="003B28CD"/>
    <w:rsid w:val="003B49B0"/>
    <w:rsid w:val="003B5875"/>
    <w:rsid w:val="003B5CDA"/>
    <w:rsid w:val="003B5E8D"/>
    <w:rsid w:val="003B678D"/>
    <w:rsid w:val="003C2229"/>
    <w:rsid w:val="003C2EFB"/>
    <w:rsid w:val="003C3340"/>
    <w:rsid w:val="003C4B70"/>
    <w:rsid w:val="003C4DCA"/>
    <w:rsid w:val="003C5A60"/>
    <w:rsid w:val="003C6484"/>
    <w:rsid w:val="003C74A8"/>
    <w:rsid w:val="003D0ED0"/>
    <w:rsid w:val="003D1AA2"/>
    <w:rsid w:val="003D1E06"/>
    <w:rsid w:val="003D1E27"/>
    <w:rsid w:val="003D709D"/>
    <w:rsid w:val="003D761D"/>
    <w:rsid w:val="003D7A75"/>
    <w:rsid w:val="003E17C8"/>
    <w:rsid w:val="003E34FE"/>
    <w:rsid w:val="003E3849"/>
    <w:rsid w:val="003E42A1"/>
    <w:rsid w:val="003E7DAA"/>
    <w:rsid w:val="003F0366"/>
    <w:rsid w:val="003F04E9"/>
    <w:rsid w:val="003F1515"/>
    <w:rsid w:val="003F2FD3"/>
    <w:rsid w:val="003F3E5B"/>
    <w:rsid w:val="003F427C"/>
    <w:rsid w:val="003F42CA"/>
    <w:rsid w:val="003F5986"/>
    <w:rsid w:val="003F610D"/>
    <w:rsid w:val="00403E7E"/>
    <w:rsid w:val="004054BD"/>
    <w:rsid w:val="00405DE9"/>
    <w:rsid w:val="00406090"/>
    <w:rsid w:val="00406FBA"/>
    <w:rsid w:val="004072CD"/>
    <w:rsid w:val="00413028"/>
    <w:rsid w:val="004144C6"/>
    <w:rsid w:val="00415AEE"/>
    <w:rsid w:val="00417019"/>
    <w:rsid w:val="00417111"/>
    <w:rsid w:val="0042133A"/>
    <w:rsid w:val="00423183"/>
    <w:rsid w:val="00423761"/>
    <w:rsid w:val="00423791"/>
    <w:rsid w:val="00424D38"/>
    <w:rsid w:val="004279CC"/>
    <w:rsid w:val="00432000"/>
    <w:rsid w:val="00433137"/>
    <w:rsid w:val="00434F09"/>
    <w:rsid w:val="00434F57"/>
    <w:rsid w:val="00435386"/>
    <w:rsid w:val="00435C79"/>
    <w:rsid w:val="00436122"/>
    <w:rsid w:val="00436D37"/>
    <w:rsid w:val="00437470"/>
    <w:rsid w:val="00441225"/>
    <w:rsid w:val="00441985"/>
    <w:rsid w:val="00441CE8"/>
    <w:rsid w:val="00443616"/>
    <w:rsid w:val="0044375B"/>
    <w:rsid w:val="004440ED"/>
    <w:rsid w:val="00444688"/>
    <w:rsid w:val="00445211"/>
    <w:rsid w:val="004455E3"/>
    <w:rsid w:val="00446E89"/>
    <w:rsid w:val="00446F7F"/>
    <w:rsid w:val="004474D0"/>
    <w:rsid w:val="00450747"/>
    <w:rsid w:val="00450976"/>
    <w:rsid w:val="0045128B"/>
    <w:rsid w:val="004536D9"/>
    <w:rsid w:val="00454CB9"/>
    <w:rsid w:val="00456037"/>
    <w:rsid w:val="00456EBB"/>
    <w:rsid w:val="004600E8"/>
    <w:rsid w:val="00466245"/>
    <w:rsid w:val="0046646D"/>
    <w:rsid w:val="004666D7"/>
    <w:rsid w:val="00466E38"/>
    <w:rsid w:val="004675EA"/>
    <w:rsid w:val="00467F56"/>
    <w:rsid w:val="00470C11"/>
    <w:rsid w:val="004712E6"/>
    <w:rsid w:val="00473CB7"/>
    <w:rsid w:val="00475853"/>
    <w:rsid w:val="004775C4"/>
    <w:rsid w:val="004806C6"/>
    <w:rsid w:val="00482B5C"/>
    <w:rsid w:val="00482DAF"/>
    <w:rsid w:val="004835AB"/>
    <w:rsid w:val="00484068"/>
    <w:rsid w:val="004846B0"/>
    <w:rsid w:val="0048488E"/>
    <w:rsid w:val="00491AC1"/>
    <w:rsid w:val="00491BBE"/>
    <w:rsid w:val="00492468"/>
    <w:rsid w:val="0049260D"/>
    <w:rsid w:val="0049285F"/>
    <w:rsid w:val="00493362"/>
    <w:rsid w:val="00493C5C"/>
    <w:rsid w:val="004947BF"/>
    <w:rsid w:val="00495D48"/>
    <w:rsid w:val="00495FD5"/>
    <w:rsid w:val="004962CF"/>
    <w:rsid w:val="004979B7"/>
    <w:rsid w:val="004A0542"/>
    <w:rsid w:val="004A0B46"/>
    <w:rsid w:val="004A2CC2"/>
    <w:rsid w:val="004A377D"/>
    <w:rsid w:val="004A46AE"/>
    <w:rsid w:val="004A4FE4"/>
    <w:rsid w:val="004A6317"/>
    <w:rsid w:val="004A6460"/>
    <w:rsid w:val="004B0157"/>
    <w:rsid w:val="004B0553"/>
    <w:rsid w:val="004B0D14"/>
    <w:rsid w:val="004B0FC9"/>
    <w:rsid w:val="004B1167"/>
    <w:rsid w:val="004B1855"/>
    <w:rsid w:val="004B2129"/>
    <w:rsid w:val="004B344A"/>
    <w:rsid w:val="004B352C"/>
    <w:rsid w:val="004B5BD2"/>
    <w:rsid w:val="004C094F"/>
    <w:rsid w:val="004C115B"/>
    <w:rsid w:val="004C59A6"/>
    <w:rsid w:val="004C5ECD"/>
    <w:rsid w:val="004C6E9E"/>
    <w:rsid w:val="004C7E9E"/>
    <w:rsid w:val="004D0CA0"/>
    <w:rsid w:val="004D132D"/>
    <w:rsid w:val="004D1BC6"/>
    <w:rsid w:val="004D3A7E"/>
    <w:rsid w:val="004D3CCF"/>
    <w:rsid w:val="004D4398"/>
    <w:rsid w:val="004D7E9B"/>
    <w:rsid w:val="004E0A18"/>
    <w:rsid w:val="004E0B6B"/>
    <w:rsid w:val="004E17E3"/>
    <w:rsid w:val="004E17F1"/>
    <w:rsid w:val="004E1CA7"/>
    <w:rsid w:val="004E426C"/>
    <w:rsid w:val="004E4342"/>
    <w:rsid w:val="004E476D"/>
    <w:rsid w:val="004E4F30"/>
    <w:rsid w:val="004E6664"/>
    <w:rsid w:val="004F01CD"/>
    <w:rsid w:val="004F077E"/>
    <w:rsid w:val="004F3D66"/>
    <w:rsid w:val="004F3F59"/>
    <w:rsid w:val="004F4B57"/>
    <w:rsid w:val="004F50A7"/>
    <w:rsid w:val="004F74D7"/>
    <w:rsid w:val="00500F6A"/>
    <w:rsid w:val="00500FFC"/>
    <w:rsid w:val="00501475"/>
    <w:rsid w:val="0050280C"/>
    <w:rsid w:val="00504080"/>
    <w:rsid w:val="00505353"/>
    <w:rsid w:val="005055FE"/>
    <w:rsid w:val="00507AD7"/>
    <w:rsid w:val="00507DB7"/>
    <w:rsid w:val="00511518"/>
    <w:rsid w:val="005122E1"/>
    <w:rsid w:val="00512ABB"/>
    <w:rsid w:val="00513124"/>
    <w:rsid w:val="005140B7"/>
    <w:rsid w:val="00514A95"/>
    <w:rsid w:val="00515496"/>
    <w:rsid w:val="005161D0"/>
    <w:rsid w:val="005175E3"/>
    <w:rsid w:val="00517864"/>
    <w:rsid w:val="00517BBF"/>
    <w:rsid w:val="00520CEB"/>
    <w:rsid w:val="00522B73"/>
    <w:rsid w:val="0052358E"/>
    <w:rsid w:val="00525563"/>
    <w:rsid w:val="005262BA"/>
    <w:rsid w:val="00526827"/>
    <w:rsid w:val="005276EE"/>
    <w:rsid w:val="00527C99"/>
    <w:rsid w:val="00530436"/>
    <w:rsid w:val="00531D54"/>
    <w:rsid w:val="00532EA1"/>
    <w:rsid w:val="00533E07"/>
    <w:rsid w:val="00534223"/>
    <w:rsid w:val="0053486A"/>
    <w:rsid w:val="00534B38"/>
    <w:rsid w:val="00534E4D"/>
    <w:rsid w:val="0053525B"/>
    <w:rsid w:val="00537132"/>
    <w:rsid w:val="005404FB"/>
    <w:rsid w:val="00540803"/>
    <w:rsid w:val="005418E2"/>
    <w:rsid w:val="00542EA2"/>
    <w:rsid w:val="0054407D"/>
    <w:rsid w:val="005449CC"/>
    <w:rsid w:val="00546703"/>
    <w:rsid w:val="005467FD"/>
    <w:rsid w:val="00552038"/>
    <w:rsid w:val="00553E28"/>
    <w:rsid w:val="0055446B"/>
    <w:rsid w:val="00555789"/>
    <w:rsid w:val="00555D5C"/>
    <w:rsid w:val="005569BE"/>
    <w:rsid w:val="00557F96"/>
    <w:rsid w:val="00560B3F"/>
    <w:rsid w:val="0056398B"/>
    <w:rsid w:val="00563C16"/>
    <w:rsid w:val="005641E8"/>
    <w:rsid w:val="00564B0C"/>
    <w:rsid w:val="00564D72"/>
    <w:rsid w:val="0056729A"/>
    <w:rsid w:val="00567C05"/>
    <w:rsid w:val="00567F45"/>
    <w:rsid w:val="00567FF8"/>
    <w:rsid w:val="00572162"/>
    <w:rsid w:val="00572AE9"/>
    <w:rsid w:val="00574811"/>
    <w:rsid w:val="0057574A"/>
    <w:rsid w:val="00575C88"/>
    <w:rsid w:val="00580D2E"/>
    <w:rsid w:val="005812C1"/>
    <w:rsid w:val="005828B1"/>
    <w:rsid w:val="00582B56"/>
    <w:rsid w:val="005844A6"/>
    <w:rsid w:val="005865A0"/>
    <w:rsid w:val="00587159"/>
    <w:rsid w:val="00590A04"/>
    <w:rsid w:val="00591871"/>
    <w:rsid w:val="005918C9"/>
    <w:rsid w:val="00591903"/>
    <w:rsid w:val="005922A2"/>
    <w:rsid w:val="00592D57"/>
    <w:rsid w:val="00593537"/>
    <w:rsid w:val="00594465"/>
    <w:rsid w:val="0059453A"/>
    <w:rsid w:val="0059632F"/>
    <w:rsid w:val="00596F1A"/>
    <w:rsid w:val="00597DDB"/>
    <w:rsid w:val="005A09B7"/>
    <w:rsid w:val="005A1EE8"/>
    <w:rsid w:val="005A270A"/>
    <w:rsid w:val="005A300D"/>
    <w:rsid w:val="005A3405"/>
    <w:rsid w:val="005A355A"/>
    <w:rsid w:val="005A57DA"/>
    <w:rsid w:val="005A5D73"/>
    <w:rsid w:val="005A5E56"/>
    <w:rsid w:val="005A613F"/>
    <w:rsid w:val="005A620F"/>
    <w:rsid w:val="005A6F9D"/>
    <w:rsid w:val="005A758D"/>
    <w:rsid w:val="005A7D59"/>
    <w:rsid w:val="005A7F8F"/>
    <w:rsid w:val="005B17F2"/>
    <w:rsid w:val="005B396B"/>
    <w:rsid w:val="005B397E"/>
    <w:rsid w:val="005B3C2F"/>
    <w:rsid w:val="005B54AA"/>
    <w:rsid w:val="005B5AC4"/>
    <w:rsid w:val="005B5CBA"/>
    <w:rsid w:val="005B7A85"/>
    <w:rsid w:val="005B7B48"/>
    <w:rsid w:val="005C0E2A"/>
    <w:rsid w:val="005C0F2F"/>
    <w:rsid w:val="005C13DD"/>
    <w:rsid w:val="005C180F"/>
    <w:rsid w:val="005C18CA"/>
    <w:rsid w:val="005C208D"/>
    <w:rsid w:val="005C24F8"/>
    <w:rsid w:val="005C2CE0"/>
    <w:rsid w:val="005C41BF"/>
    <w:rsid w:val="005C42A1"/>
    <w:rsid w:val="005C64E5"/>
    <w:rsid w:val="005D06C3"/>
    <w:rsid w:val="005D294C"/>
    <w:rsid w:val="005D3048"/>
    <w:rsid w:val="005D48A9"/>
    <w:rsid w:val="005D4CEC"/>
    <w:rsid w:val="005D6FE8"/>
    <w:rsid w:val="005E1C4B"/>
    <w:rsid w:val="005E39AC"/>
    <w:rsid w:val="005E3C39"/>
    <w:rsid w:val="005E42CD"/>
    <w:rsid w:val="005E5D4A"/>
    <w:rsid w:val="005E638D"/>
    <w:rsid w:val="005E6774"/>
    <w:rsid w:val="005F28EE"/>
    <w:rsid w:val="005F2AAF"/>
    <w:rsid w:val="005F2BF0"/>
    <w:rsid w:val="005F2CFA"/>
    <w:rsid w:val="005F35AE"/>
    <w:rsid w:val="005F49F8"/>
    <w:rsid w:val="005F68E1"/>
    <w:rsid w:val="005F6D0A"/>
    <w:rsid w:val="00600290"/>
    <w:rsid w:val="00600752"/>
    <w:rsid w:val="00600F1A"/>
    <w:rsid w:val="006024FA"/>
    <w:rsid w:val="00602D03"/>
    <w:rsid w:val="00604193"/>
    <w:rsid w:val="00605CB7"/>
    <w:rsid w:val="00605CE6"/>
    <w:rsid w:val="0060792F"/>
    <w:rsid w:val="0061090C"/>
    <w:rsid w:val="00610E61"/>
    <w:rsid w:val="00612D2D"/>
    <w:rsid w:val="00613413"/>
    <w:rsid w:val="006143C4"/>
    <w:rsid w:val="006149CC"/>
    <w:rsid w:val="00615FBE"/>
    <w:rsid w:val="00616B70"/>
    <w:rsid w:val="00616E1B"/>
    <w:rsid w:val="00617747"/>
    <w:rsid w:val="00620457"/>
    <w:rsid w:val="00620B9D"/>
    <w:rsid w:val="00620F17"/>
    <w:rsid w:val="006210E8"/>
    <w:rsid w:val="00621706"/>
    <w:rsid w:val="00623C95"/>
    <w:rsid w:val="00623D2A"/>
    <w:rsid w:val="00624C39"/>
    <w:rsid w:val="00625D72"/>
    <w:rsid w:val="00627AB9"/>
    <w:rsid w:val="00630B37"/>
    <w:rsid w:val="00630DE0"/>
    <w:rsid w:val="00630E29"/>
    <w:rsid w:val="00631837"/>
    <w:rsid w:val="0063196F"/>
    <w:rsid w:val="0063271E"/>
    <w:rsid w:val="00632B79"/>
    <w:rsid w:val="00632FD0"/>
    <w:rsid w:val="0063554C"/>
    <w:rsid w:val="00635963"/>
    <w:rsid w:val="0063775E"/>
    <w:rsid w:val="00637FBF"/>
    <w:rsid w:val="006407A9"/>
    <w:rsid w:val="00641112"/>
    <w:rsid w:val="006424F9"/>
    <w:rsid w:val="0064253C"/>
    <w:rsid w:val="00643603"/>
    <w:rsid w:val="0064635B"/>
    <w:rsid w:val="00646A13"/>
    <w:rsid w:val="00647366"/>
    <w:rsid w:val="00647CC4"/>
    <w:rsid w:val="00647D6D"/>
    <w:rsid w:val="006504F9"/>
    <w:rsid w:val="006511EE"/>
    <w:rsid w:val="00651E66"/>
    <w:rsid w:val="00652BE5"/>
    <w:rsid w:val="006533E5"/>
    <w:rsid w:val="00653A6A"/>
    <w:rsid w:val="00653CBF"/>
    <w:rsid w:val="00655EB2"/>
    <w:rsid w:val="00660A46"/>
    <w:rsid w:val="00661A49"/>
    <w:rsid w:val="00661BC9"/>
    <w:rsid w:val="00662A44"/>
    <w:rsid w:val="00662EFB"/>
    <w:rsid w:val="006633C1"/>
    <w:rsid w:val="00663ECC"/>
    <w:rsid w:val="00664BBD"/>
    <w:rsid w:val="006652A4"/>
    <w:rsid w:val="006657E2"/>
    <w:rsid w:val="00666367"/>
    <w:rsid w:val="0066639B"/>
    <w:rsid w:val="006672EB"/>
    <w:rsid w:val="0066766E"/>
    <w:rsid w:val="00667849"/>
    <w:rsid w:val="0067019C"/>
    <w:rsid w:val="00670A62"/>
    <w:rsid w:val="006711FE"/>
    <w:rsid w:val="00671375"/>
    <w:rsid w:val="006724FB"/>
    <w:rsid w:val="00674567"/>
    <w:rsid w:val="006749F8"/>
    <w:rsid w:val="00674C83"/>
    <w:rsid w:val="00675587"/>
    <w:rsid w:val="006755B6"/>
    <w:rsid w:val="00676A30"/>
    <w:rsid w:val="006772AB"/>
    <w:rsid w:val="006775CD"/>
    <w:rsid w:val="00677B70"/>
    <w:rsid w:val="006805FB"/>
    <w:rsid w:val="006810B1"/>
    <w:rsid w:val="006828A9"/>
    <w:rsid w:val="0068440D"/>
    <w:rsid w:val="00685B67"/>
    <w:rsid w:val="006866C6"/>
    <w:rsid w:val="00686E08"/>
    <w:rsid w:val="00687A9D"/>
    <w:rsid w:val="00687D59"/>
    <w:rsid w:val="00687F7F"/>
    <w:rsid w:val="00691175"/>
    <w:rsid w:val="00691F57"/>
    <w:rsid w:val="0069761D"/>
    <w:rsid w:val="006A0950"/>
    <w:rsid w:val="006A0D3E"/>
    <w:rsid w:val="006A1158"/>
    <w:rsid w:val="006A1A1F"/>
    <w:rsid w:val="006A2D89"/>
    <w:rsid w:val="006A3A31"/>
    <w:rsid w:val="006A3CE6"/>
    <w:rsid w:val="006A41B7"/>
    <w:rsid w:val="006A5085"/>
    <w:rsid w:val="006A58F7"/>
    <w:rsid w:val="006A6B6F"/>
    <w:rsid w:val="006A6BB1"/>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1404"/>
    <w:rsid w:val="006D240A"/>
    <w:rsid w:val="006D32A9"/>
    <w:rsid w:val="006D4AEF"/>
    <w:rsid w:val="006D4FAF"/>
    <w:rsid w:val="006D5E89"/>
    <w:rsid w:val="006D5F2F"/>
    <w:rsid w:val="006D5FD0"/>
    <w:rsid w:val="006D6EDF"/>
    <w:rsid w:val="006E0344"/>
    <w:rsid w:val="006E066E"/>
    <w:rsid w:val="006E08E4"/>
    <w:rsid w:val="006E1731"/>
    <w:rsid w:val="006E3090"/>
    <w:rsid w:val="006E3313"/>
    <w:rsid w:val="006E3CD0"/>
    <w:rsid w:val="006E536C"/>
    <w:rsid w:val="006E594D"/>
    <w:rsid w:val="006E62A0"/>
    <w:rsid w:val="006E65F2"/>
    <w:rsid w:val="006E7D16"/>
    <w:rsid w:val="006E7F6E"/>
    <w:rsid w:val="006F0157"/>
    <w:rsid w:val="006F1BAA"/>
    <w:rsid w:val="006F20BD"/>
    <w:rsid w:val="006F49DA"/>
    <w:rsid w:val="006F4C57"/>
    <w:rsid w:val="006F5E1E"/>
    <w:rsid w:val="006F5EFE"/>
    <w:rsid w:val="006F7CE9"/>
    <w:rsid w:val="00700398"/>
    <w:rsid w:val="00700953"/>
    <w:rsid w:val="00701FF8"/>
    <w:rsid w:val="007038C9"/>
    <w:rsid w:val="00704566"/>
    <w:rsid w:val="00706385"/>
    <w:rsid w:val="007116F6"/>
    <w:rsid w:val="00711996"/>
    <w:rsid w:val="007133F3"/>
    <w:rsid w:val="0071341B"/>
    <w:rsid w:val="00713930"/>
    <w:rsid w:val="00713939"/>
    <w:rsid w:val="00713A94"/>
    <w:rsid w:val="0071516C"/>
    <w:rsid w:val="00715E7F"/>
    <w:rsid w:val="00716953"/>
    <w:rsid w:val="00717E55"/>
    <w:rsid w:val="007211CE"/>
    <w:rsid w:val="00722700"/>
    <w:rsid w:val="0072328A"/>
    <w:rsid w:val="0072378B"/>
    <w:rsid w:val="00724AC7"/>
    <w:rsid w:val="00724D8A"/>
    <w:rsid w:val="007255BE"/>
    <w:rsid w:val="00725CDE"/>
    <w:rsid w:val="00725F6D"/>
    <w:rsid w:val="00730138"/>
    <w:rsid w:val="007309EE"/>
    <w:rsid w:val="00730FB1"/>
    <w:rsid w:val="00731C6D"/>
    <w:rsid w:val="00731DB9"/>
    <w:rsid w:val="007324C0"/>
    <w:rsid w:val="00732C63"/>
    <w:rsid w:val="00733A3F"/>
    <w:rsid w:val="00736EF5"/>
    <w:rsid w:val="00740964"/>
    <w:rsid w:val="00741112"/>
    <w:rsid w:val="007425A0"/>
    <w:rsid w:val="00743601"/>
    <w:rsid w:val="0074622A"/>
    <w:rsid w:val="00747D34"/>
    <w:rsid w:val="00750413"/>
    <w:rsid w:val="007513D2"/>
    <w:rsid w:val="00751770"/>
    <w:rsid w:val="00751D95"/>
    <w:rsid w:val="007532DB"/>
    <w:rsid w:val="007545D0"/>
    <w:rsid w:val="0075465B"/>
    <w:rsid w:val="007554AD"/>
    <w:rsid w:val="007555B5"/>
    <w:rsid w:val="007560FE"/>
    <w:rsid w:val="007606B4"/>
    <w:rsid w:val="00760BD6"/>
    <w:rsid w:val="00760E38"/>
    <w:rsid w:val="00761CB2"/>
    <w:rsid w:val="007628F0"/>
    <w:rsid w:val="007633F7"/>
    <w:rsid w:val="00763CA3"/>
    <w:rsid w:val="007641E5"/>
    <w:rsid w:val="007643DC"/>
    <w:rsid w:val="007649EC"/>
    <w:rsid w:val="00764B6B"/>
    <w:rsid w:val="0077155C"/>
    <w:rsid w:val="00771AF9"/>
    <w:rsid w:val="007723BC"/>
    <w:rsid w:val="00772B86"/>
    <w:rsid w:val="00772E49"/>
    <w:rsid w:val="00773CC3"/>
    <w:rsid w:val="00773D81"/>
    <w:rsid w:val="00773DB4"/>
    <w:rsid w:val="007746B9"/>
    <w:rsid w:val="00774982"/>
    <w:rsid w:val="00774E25"/>
    <w:rsid w:val="00775DD1"/>
    <w:rsid w:val="007762A8"/>
    <w:rsid w:val="00780CD6"/>
    <w:rsid w:val="00782C4C"/>
    <w:rsid w:val="007834ED"/>
    <w:rsid w:val="007856FE"/>
    <w:rsid w:val="007873AE"/>
    <w:rsid w:val="00787433"/>
    <w:rsid w:val="00790358"/>
    <w:rsid w:val="00791CBF"/>
    <w:rsid w:val="00792962"/>
    <w:rsid w:val="007944B3"/>
    <w:rsid w:val="00795C6F"/>
    <w:rsid w:val="007A09F0"/>
    <w:rsid w:val="007A39C9"/>
    <w:rsid w:val="007A3DEC"/>
    <w:rsid w:val="007A5951"/>
    <w:rsid w:val="007A5C89"/>
    <w:rsid w:val="007A6697"/>
    <w:rsid w:val="007A7904"/>
    <w:rsid w:val="007B021B"/>
    <w:rsid w:val="007B1709"/>
    <w:rsid w:val="007B417B"/>
    <w:rsid w:val="007B4D2D"/>
    <w:rsid w:val="007B71DB"/>
    <w:rsid w:val="007C20ED"/>
    <w:rsid w:val="007C30E4"/>
    <w:rsid w:val="007C3957"/>
    <w:rsid w:val="007C3A37"/>
    <w:rsid w:val="007C3B09"/>
    <w:rsid w:val="007C4873"/>
    <w:rsid w:val="007C6342"/>
    <w:rsid w:val="007C679E"/>
    <w:rsid w:val="007C7DB3"/>
    <w:rsid w:val="007D07C3"/>
    <w:rsid w:val="007D1658"/>
    <w:rsid w:val="007D1E37"/>
    <w:rsid w:val="007D2450"/>
    <w:rsid w:val="007D2460"/>
    <w:rsid w:val="007D2846"/>
    <w:rsid w:val="007D2E1D"/>
    <w:rsid w:val="007D3D58"/>
    <w:rsid w:val="007D3DBE"/>
    <w:rsid w:val="007D3FB0"/>
    <w:rsid w:val="007D5D83"/>
    <w:rsid w:val="007D607E"/>
    <w:rsid w:val="007D6338"/>
    <w:rsid w:val="007E1930"/>
    <w:rsid w:val="007E256D"/>
    <w:rsid w:val="007E790F"/>
    <w:rsid w:val="007F03FB"/>
    <w:rsid w:val="007F15C9"/>
    <w:rsid w:val="007F1783"/>
    <w:rsid w:val="007F1795"/>
    <w:rsid w:val="007F19BF"/>
    <w:rsid w:val="007F205D"/>
    <w:rsid w:val="007F351E"/>
    <w:rsid w:val="007F3808"/>
    <w:rsid w:val="007F3D4E"/>
    <w:rsid w:val="007F426D"/>
    <w:rsid w:val="007F4724"/>
    <w:rsid w:val="007F476F"/>
    <w:rsid w:val="007F51D3"/>
    <w:rsid w:val="007F5438"/>
    <w:rsid w:val="007F572A"/>
    <w:rsid w:val="007F6147"/>
    <w:rsid w:val="007F614F"/>
    <w:rsid w:val="007F64A0"/>
    <w:rsid w:val="007F729F"/>
    <w:rsid w:val="007F7D72"/>
    <w:rsid w:val="00801AB9"/>
    <w:rsid w:val="00804634"/>
    <w:rsid w:val="00804677"/>
    <w:rsid w:val="00804E67"/>
    <w:rsid w:val="008052D7"/>
    <w:rsid w:val="008055BF"/>
    <w:rsid w:val="00806223"/>
    <w:rsid w:val="00806AE0"/>
    <w:rsid w:val="00810C2D"/>
    <w:rsid w:val="008111D2"/>
    <w:rsid w:val="00811B7F"/>
    <w:rsid w:val="00814268"/>
    <w:rsid w:val="00814CEA"/>
    <w:rsid w:val="00814F2C"/>
    <w:rsid w:val="00815C08"/>
    <w:rsid w:val="00816FBF"/>
    <w:rsid w:val="00817451"/>
    <w:rsid w:val="00820313"/>
    <w:rsid w:val="0082068E"/>
    <w:rsid w:val="008215AE"/>
    <w:rsid w:val="00824C5C"/>
    <w:rsid w:val="00825CA4"/>
    <w:rsid w:val="00826230"/>
    <w:rsid w:val="0082666E"/>
    <w:rsid w:val="00826C2E"/>
    <w:rsid w:val="00827EEC"/>
    <w:rsid w:val="00831C0A"/>
    <w:rsid w:val="0083380E"/>
    <w:rsid w:val="0083387D"/>
    <w:rsid w:val="00835F35"/>
    <w:rsid w:val="00836D67"/>
    <w:rsid w:val="008419A6"/>
    <w:rsid w:val="00842603"/>
    <w:rsid w:val="008433EB"/>
    <w:rsid w:val="00844B3A"/>
    <w:rsid w:val="00844D95"/>
    <w:rsid w:val="00845248"/>
    <w:rsid w:val="00845860"/>
    <w:rsid w:val="0084649D"/>
    <w:rsid w:val="00846853"/>
    <w:rsid w:val="00846AB2"/>
    <w:rsid w:val="00846B74"/>
    <w:rsid w:val="00851D51"/>
    <w:rsid w:val="0085213A"/>
    <w:rsid w:val="008531E1"/>
    <w:rsid w:val="00856079"/>
    <w:rsid w:val="00857C6A"/>
    <w:rsid w:val="008614B5"/>
    <w:rsid w:val="00861588"/>
    <w:rsid w:val="008617B4"/>
    <w:rsid w:val="00862E38"/>
    <w:rsid w:val="00862F5A"/>
    <w:rsid w:val="008651C2"/>
    <w:rsid w:val="008651E0"/>
    <w:rsid w:val="00866E74"/>
    <w:rsid w:val="00866F57"/>
    <w:rsid w:val="0086786B"/>
    <w:rsid w:val="0087079E"/>
    <w:rsid w:val="008712AE"/>
    <w:rsid w:val="00871CE9"/>
    <w:rsid w:val="00872701"/>
    <w:rsid w:val="00872E9D"/>
    <w:rsid w:val="00873EA2"/>
    <w:rsid w:val="00874625"/>
    <w:rsid w:val="00875308"/>
    <w:rsid w:val="00876B98"/>
    <w:rsid w:val="00876BD9"/>
    <w:rsid w:val="00876EC3"/>
    <w:rsid w:val="00880B99"/>
    <w:rsid w:val="00880F24"/>
    <w:rsid w:val="00881309"/>
    <w:rsid w:val="00882958"/>
    <w:rsid w:val="00883D0F"/>
    <w:rsid w:val="008840D8"/>
    <w:rsid w:val="0088496B"/>
    <w:rsid w:val="00885371"/>
    <w:rsid w:val="00885B5F"/>
    <w:rsid w:val="00887520"/>
    <w:rsid w:val="00887621"/>
    <w:rsid w:val="0089203E"/>
    <w:rsid w:val="008929C5"/>
    <w:rsid w:val="00893136"/>
    <w:rsid w:val="00894637"/>
    <w:rsid w:val="008956E6"/>
    <w:rsid w:val="0089747D"/>
    <w:rsid w:val="00897D57"/>
    <w:rsid w:val="00897ECC"/>
    <w:rsid w:val="008A0B5F"/>
    <w:rsid w:val="008A0E9F"/>
    <w:rsid w:val="008A1C7C"/>
    <w:rsid w:val="008A1EAA"/>
    <w:rsid w:val="008A210C"/>
    <w:rsid w:val="008A2B58"/>
    <w:rsid w:val="008A3D95"/>
    <w:rsid w:val="008A5706"/>
    <w:rsid w:val="008A570F"/>
    <w:rsid w:val="008A57F2"/>
    <w:rsid w:val="008A57F8"/>
    <w:rsid w:val="008A619D"/>
    <w:rsid w:val="008A620D"/>
    <w:rsid w:val="008A6726"/>
    <w:rsid w:val="008A678C"/>
    <w:rsid w:val="008A67D0"/>
    <w:rsid w:val="008A7130"/>
    <w:rsid w:val="008A7F5A"/>
    <w:rsid w:val="008A7FEC"/>
    <w:rsid w:val="008B1560"/>
    <w:rsid w:val="008B47A3"/>
    <w:rsid w:val="008B4D9E"/>
    <w:rsid w:val="008B5603"/>
    <w:rsid w:val="008B5C29"/>
    <w:rsid w:val="008B5DCB"/>
    <w:rsid w:val="008B6871"/>
    <w:rsid w:val="008B6F5B"/>
    <w:rsid w:val="008C0BBF"/>
    <w:rsid w:val="008C1F38"/>
    <w:rsid w:val="008C5336"/>
    <w:rsid w:val="008C5690"/>
    <w:rsid w:val="008C6115"/>
    <w:rsid w:val="008C6BDB"/>
    <w:rsid w:val="008D00DD"/>
    <w:rsid w:val="008D0185"/>
    <w:rsid w:val="008D1B71"/>
    <w:rsid w:val="008D2B21"/>
    <w:rsid w:val="008D3F9C"/>
    <w:rsid w:val="008D4BBC"/>
    <w:rsid w:val="008D56A6"/>
    <w:rsid w:val="008D6FF8"/>
    <w:rsid w:val="008E032A"/>
    <w:rsid w:val="008E198D"/>
    <w:rsid w:val="008E20C6"/>
    <w:rsid w:val="008E24BC"/>
    <w:rsid w:val="008E32A1"/>
    <w:rsid w:val="008E3C4A"/>
    <w:rsid w:val="008E4062"/>
    <w:rsid w:val="008E48EE"/>
    <w:rsid w:val="008E75A7"/>
    <w:rsid w:val="008F0E58"/>
    <w:rsid w:val="008F13E3"/>
    <w:rsid w:val="008F2297"/>
    <w:rsid w:val="008F4B93"/>
    <w:rsid w:val="008F566F"/>
    <w:rsid w:val="008F5CD7"/>
    <w:rsid w:val="008F5E49"/>
    <w:rsid w:val="008F7088"/>
    <w:rsid w:val="008F775F"/>
    <w:rsid w:val="00901073"/>
    <w:rsid w:val="00901458"/>
    <w:rsid w:val="00902D07"/>
    <w:rsid w:val="00904429"/>
    <w:rsid w:val="00905B70"/>
    <w:rsid w:val="009061A0"/>
    <w:rsid w:val="00906967"/>
    <w:rsid w:val="0090743F"/>
    <w:rsid w:val="009079E0"/>
    <w:rsid w:val="00907FFB"/>
    <w:rsid w:val="009105EA"/>
    <w:rsid w:val="009106F7"/>
    <w:rsid w:val="00913B5A"/>
    <w:rsid w:val="009155AB"/>
    <w:rsid w:val="00921F6F"/>
    <w:rsid w:val="00922276"/>
    <w:rsid w:val="009232AB"/>
    <w:rsid w:val="00923B0E"/>
    <w:rsid w:val="00924A11"/>
    <w:rsid w:val="00926517"/>
    <w:rsid w:val="009274C3"/>
    <w:rsid w:val="00930C7F"/>
    <w:rsid w:val="00931354"/>
    <w:rsid w:val="00932E56"/>
    <w:rsid w:val="009339FB"/>
    <w:rsid w:val="00933A70"/>
    <w:rsid w:val="009343F9"/>
    <w:rsid w:val="00934D05"/>
    <w:rsid w:val="009355AA"/>
    <w:rsid w:val="009362DA"/>
    <w:rsid w:val="00941CA8"/>
    <w:rsid w:val="00944AA2"/>
    <w:rsid w:val="00945ADB"/>
    <w:rsid w:val="009474E6"/>
    <w:rsid w:val="00947D60"/>
    <w:rsid w:val="00947ED0"/>
    <w:rsid w:val="00950340"/>
    <w:rsid w:val="00952ACE"/>
    <w:rsid w:val="00953E8D"/>
    <w:rsid w:val="0095445B"/>
    <w:rsid w:val="00954F15"/>
    <w:rsid w:val="00954F24"/>
    <w:rsid w:val="0095542F"/>
    <w:rsid w:val="00956DDA"/>
    <w:rsid w:val="00956F0D"/>
    <w:rsid w:val="009574B0"/>
    <w:rsid w:val="009577F5"/>
    <w:rsid w:val="009578A4"/>
    <w:rsid w:val="00960384"/>
    <w:rsid w:val="00963973"/>
    <w:rsid w:val="00964171"/>
    <w:rsid w:val="00964B31"/>
    <w:rsid w:val="0096542B"/>
    <w:rsid w:val="00966DA2"/>
    <w:rsid w:val="00970995"/>
    <w:rsid w:val="00970F58"/>
    <w:rsid w:val="00972584"/>
    <w:rsid w:val="00972C84"/>
    <w:rsid w:val="00973681"/>
    <w:rsid w:val="0097389F"/>
    <w:rsid w:val="00973B66"/>
    <w:rsid w:val="00974FEF"/>
    <w:rsid w:val="00980258"/>
    <w:rsid w:val="0098182C"/>
    <w:rsid w:val="00982FB9"/>
    <w:rsid w:val="009835D9"/>
    <w:rsid w:val="0098493B"/>
    <w:rsid w:val="009928D4"/>
    <w:rsid w:val="00992BC1"/>
    <w:rsid w:val="00993DC8"/>
    <w:rsid w:val="00993F65"/>
    <w:rsid w:val="00993F89"/>
    <w:rsid w:val="00993FE4"/>
    <w:rsid w:val="00994230"/>
    <w:rsid w:val="009955A9"/>
    <w:rsid w:val="009957F2"/>
    <w:rsid w:val="0099705B"/>
    <w:rsid w:val="009A07BA"/>
    <w:rsid w:val="009A1CA4"/>
    <w:rsid w:val="009A2AAA"/>
    <w:rsid w:val="009A4F8A"/>
    <w:rsid w:val="009A57DD"/>
    <w:rsid w:val="009B0ED7"/>
    <w:rsid w:val="009B1362"/>
    <w:rsid w:val="009B2997"/>
    <w:rsid w:val="009B5620"/>
    <w:rsid w:val="009B6BA5"/>
    <w:rsid w:val="009B77B0"/>
    <w:rsid w:val="009C3AD2"/>
    <w:rsid w:val="009C7764"/>
    <w:rsid w:val="009D143A"/>
    <w:rsid w:val="009D1AB5"/>
    <w:rsid w:val="009D23C6"/>
    <w:rsid w:val="009D3309"/>
    <w:rsid w:val="009D4770"/>
    <w:rsid w:val="009D52E5"/>
    <w:rsid w:val="009D58C4"/>
    <w:rsid w:val="009D7632"/>
    <w:rsid w:val="009E12EA"/>
    <w:rsid w:val="009E24B4"/>
    <w:rsid w:val="009E2925"/>
    <w:rsid w:val="009E31BC"/>
    <w:rsid w:val="009E358C"/>
    <w:rsid w:val="009E40E2"/>
    <w:rsid w:val="009E4785"/>
    <w:rsid w:val="009E4845"/>
    <w:rsid w:val="009E4C65"/>
    <w:rsid w:val="009E5179"/>
    <w:rsid w:val="009E67B3"/>
    <w:rsid w:val="009F2BF0"/>
    <w:rsid w:val="009F3724"/>
    <w:rsid w:val="009F4772"/>
    <w:rsid w:val="009F6C07"/>
    <w:rsid w:val="009F7674"/>
    <w:rsid w:val="009F7D8C"/>
    <w:rsid w:val="009F7FDD"/>
    <w:rsid w:val="00A00254"/>
    <w:rsid w:val="00A006B5"/>
    <w:rsid w:val="00A0184C"/>
    <w:rsid w:val="00A024B1"/>
    <w:rsid w:val="00A03106"/>
    <w:rsid w:val="00A03411"/>
    <w:rsid w:val="00A0435F"/>
    <w:rsid w:val="00A058C7"/>
    <w:rsid w:val="00A05A84"/>
    <w:rsid w:val="00A068A8"/>
    <w:rsid w:val="00A10BF2"/>
    <w:rsid w:val="00A11196"/>
    <w:rsid w:val="00A11D7D"/>
    <w:rsid w:val="00A12224"/>
    <w:rsid w:val="00A12A45"/>
    <w:rsid w:val="00A12C8B"/>
    <w:rsid w:val="00A16288"/>
    <w:rsid w:val="00A1677D"/>
    <w:rsid w:val="00A16961"/>
    <w:rsid w:val="00A16DAD"/>
    <w:rsid w:val="00A17DCD"/>
    <w:rsid w:val="00A20225"/>
    <w:rsid w:val="00A2096B"/>
    <w:rsid w:val="00A21738"/>
    <w:rsid w:val="00A230A3"/>
    <w:rsid w:val="00A23E92"/>
    <w:rsid w:val="00A25A4F"/>
    <w:rsid w:val="00A26F6F"/>
    <w:rsid w:val="00A272A1"/>
    <w:rsid w:val="00A273E9"/>
    <w:rsid w:val="00A30186"/>
    <w:rsid w:val="00A305D7"/>
    <w:rsid w:val="00A30C05"/>
    <w:rsid w:val="00A3108B"/>
    <w:rsid w:val="00A3198A"/>
    <w:rsid w:val="00A31E9D"/>
    <w:rsid w:val="00A3267B"/>
    <w:rsid w:val="00A33406"/>
    <w:rsid w:val="00A34620"/>
    <w:rsid w:val="00A34A26"/>
    <w:rsid w:val="00A353FB"/>
    <w:rsid w:val="00A35789"/>
    <w:rsid w:val="00A35C80"/>
    <w:rsid w:val="00A41B4D"/>
    <w:rsid w:val="00A41CAD"/>
    <w:rsid w:val="00A42CEE"/>
    <w:rsid w:val="00A43FAE"/>
    <w:rsid w:val="00A45A0C"/>
    <w:rsid w:val="00A50202"/>
    <w:rsid w:val="00A5168C"/>
    <w:rsid w:val="00A520E5"/>
    <w:rsid w:val="00A52F59"/>
    <w:rsid w:val="00A56621"/>
    <w:rsid w:val="00A57760"/>
    <w:rsid w:val="00A627CD"/>
    <w:rsid w:val="00A62AF7"/>
    <w:rsid w:val="00A63C8E"/>
    <w:rsid w:val="00A6424F"/>
    <w:rsid w:val="00A65626"/>
    <w:rsid w:val="00A6579D"/>
    <w:rsid w:val="00A67EE1"/>
    <w:rsid w:val="00A70130"/>
    <w:rsid w:val="00A71B6B"/>
    <w:rsid w:val="00A738C7"/>
    <w:rsid w:val="00A73D57"/>
    <w:rsid w:val="00A73F65"/>
    <w:rsid w:val="00A742B2"/>
    <w:rsid w:val="00A74A6B"/>
    <w:rsid w:val="00A75722"/>
    <w:rsid w:val="00A76573"/>
    <w:rsid w:val="00A802EA"/>
    <w:rsid w:val="00A816B4"/>
    <w:rsid w:val="00A81B09"/>
    <w:rsid w:val="00A84F16"/>
    <w:rsid w:val="00A8508F"/>
    <w:rsid w:val="00A93E4D"/>
    <w:rsid w:val="00A9551B"/>
    <w:rsid w:val="00A95EB9"/>
    <w:rsid w:val="00A96386"/>
    <w:rsid w:val="00A966B0"/>
    <w:rsid w:val="00A96DB5"/>
    <w:rsid w:val="00A96FC5"/>
    <w:rsid w:val="00A9776F"/>
    <w:rsid w:val="00A97927"/>
    <w:rsid w:val="00A97DDD"/>
    <w:rsid w:val="00AA00C0"/>
    <w:rsid w:val="00AA0182"/>
    <w:rsid w:val="00AA25CF"/>
    <w:rsid w:val="00AA29D6"/>
    <w:rsid w:val="00AA3074"/>
    <w:rsid w:val="00AA6C4E"/>
    <w:rsid w:val="00AB065B"/>
    <w:rsid w:val="00AB09D7"/>
    <w:rsid w:val="00AB0F94"/>
    <w:rsid w:val="00AB1E0A"/>
    <w:rsid w:val="00AB26C1"/>
    <w:rsid w:val="00AB296B"/>
    <w:rsid w:val="00AB2ABA"/>
    <w:rsid w:val="00AB39BB"/>
    <w:rsid w:val="00AB40C2"/>
    <w:rsid w:val="00AB4E66"/>
    <w:rsid w:val="00AB5EC6"/>
    <w:rsid w:val="00AB734C"/>
    <w:rsid w:val="00AB7E9F"/>
    <w:rsid w:val="00AC035A"/>
    <w:rsid w:val="00AC05A7"/>
    <w:rsid w:val="00AC0AEE"/>
    <w:rsid w:val="00AC288C"/>
    <w:rsid w:val="00AC29FB"/>
    <w:rsid w:val="00AC38EF"/>
    <w:rsid w:val="00AC68F1"/>
    <w:rsid w:val="00AD09E2"/>
    <w:rsid w:val="00AD0E27"/>
    <w:rsid w:val="00AD1E35"/>
    <w:rsid w:val="00AD519F"/>
    <w:rsid w:val="00AD5222"/>
    <w:rsid w:val="00AE07F6"/>
    <w:rsid w:val="00AE088A"/>
    <w:rsid w:val="00AE1506"/>
    <w:rsid w:val="00AE15C2"/>
    <w:rsid w:val="00AE3BA6"/>
    <w:rsid w:val="00AE4EAB"/>
    <w:rsid w:val="00AE5A9F"/>
    <w:rsid w:val="00AF000B"/>
    <w:rsid w:val="00AF02A0"/>
    <w:rsid w:val="00AF162C"/>
    <w:rsid w:val="00AF2FE8"/>
    <w:rsid w:val="00AF3FA7"/>
    <w:rsid w:val="00AF4884"/>
    <w:rsid w:val="00AF4B04"/>
    <w:rsid w:val="00AF5217"/>
    <w:rsid w:val="00AF5700"/>
    <w:rsid w:val="00AF5A7B"/>
    <w:rsid w:val="00AF5AF8"/>
    <w:rsid w:val="00AF6656"/>
    <w:rsid w:val="00AF67BB"/>
    <w:rsid w:val="00B01FF6"/>
    <w:rsid w:val="00B02BF4"/>
    <w:rsid w:val="00B0346D"/>
    <w:rsid w:val="00B03E1F"/>
    <w:rsid w:val="00B04199"/>
    <w:rsid w:val="00B0459D"/>
    <w:rsid w:val="00B0609D"/>
    <w:rsid w:val="00B06266"/>
    <w:rsid w:val="00B06856"/>
    <w:rsid w:val="00B106DA"/>
    <w:rsid w:val="00B1226B"/>
    <w:rsid w:val="00B13217"/>
    <w:rsid w:val="00B1459F"/>
    <w:rsid w:val="00B153BB"/>
    <w:rsid w:val="00B15487"/>
    <w:rsid w:val="00B15EEE"/>
    <w:rsid w:val="00B202F4"/>
    <w:rsid w:val="00B21F3D"/>
    <w:rsid w:val="00B224DC"/>
    <w:rsid w:val="00B22884"/>
    <w:rsid w:val="00B252EC"/>
    <w:rsid w:val="00B267A6"/>
    <w:rsid w:val="00B26D8E"/>
    <w:rsid w:val="00B3029E"/>
    <w:rsid w:val="00B30645"/>
    <w:rsid w:val="00B306A3"/>
    <w:rsid w:val="00B30FD0"/>
    <w:rsid w:val="00B32E97"/>
    <w:rsid w:val="00B33114"/>
    <w:rsid w:val="00B331BD"/>
    <w:rsid w:val="00B336DF"/>
    <w:rsid w:val="00B33AFD"/>
    <w:rsid w:val="00B33B61"/>
    <w:rsid w:val="00B346D7"/>
    <w:rsid w:val="00B3542E"/>
    <w:rsid w:val="00B35FE9"/>
    <w:rsid w:val="00B369D3"/>
    <w:rsid w:val="00B37497"/>
    <w:rsid w:val="00B416A2"/>
    <w:rsid w:val="00B417E8"/>
    <w:rsid w:val="00B42F08"/>
    <w:rsid w:val="00B43701"/>
    <w:rsid w:val="00B43A60"/>
    <w:rsid w:val="00B43A84"/>
    <w:rsid w:val="00B44321"/>
    <w:rsid w:val="00B44792"/>
    <w:rsid w:val="00B450AD"/>
    <w:rsid w:val="00B462FE"/>
    <w:rsid w:val="00B46D49"/>
    <w:rsid w:val="00B470B0"/>
    <w:rsid w:val="00B47DEF"/>
    <w:rsid w:val="00B50A4A"/>
    <w:rsid w:val="00B51310"/>
    <w:rsid w:val="00B51AB5"/>
    <w:rsid w:val="00B5372D"/>
    <w:rsid w:val="00B547D0"/>
    <w:rsid w:val="00B576F3"/>
    <w:rsid w:val="00B57A08"/>
    <w:rsid w:val="00B57C14"/>
    <w:rsid w:val="00B608D1"/>
    <w:rsid w:val="00B60E0A"/>
    <w:rsid w:val="00B61B9E"/>
    <w:rsid w:val="00B62024"/>
    <w:rsid w:val="00B622A5"/>
    <w:rsid w:val="00B64C9C"/>
    <w:rsid w:val="00B64F12"/>
    <w:rsid w:val="00B66785"/>
    <w:rsid w:val="00B71B86"/>
    <w:rsid w:val="00B7335D"/>
    <w:rsid w:val="00B739DC"/>
    <w:rsid w:val="00B7445A"/>
    <w:rsid w:val="00B74F4C"/>
    <w:rsid w:val="00B76D53"/>
    <w:rsid w:val="00B77FE9"/>
    <w:rsid w:val="00B8032C"/>
    <w:rsid w:val="00B81995"/>
    <w:rsid w:val="00B81EA5"/>
    <w:rsid w:val="00B8241B"/>
    <w:rsid w:val="00B82681"/>
    <w:rsid w:val="00B826C7"/>
    <w:rsid w:val="00B82802"/>
    <w:rsid w:val="00B832F5"/>
    <w:rsid w:val="00B87814"/>
    <w:rsid w:val="00B87B53"/>
    <w:rsid w:val="00B9167E"/>
    <w:rsid w:val="00B920AF"/>
    <w:rsid w:val="00B924B0"/>
    <w:rsid w:val="00B95DB1"/>
    <w:rsid w:val="00B9737A"/>
    <w:rsid w:val="00BA1A5A"/>
    <w:rsid w:val="00BA2904"/>
    <w:rsid w:val="00BA2FDE"/>
    <w:rsid w:val="00BA3B74"/>
    <w:rsid w:val="00BA3F97"/>
    <w:rsid w:val="00BA460C"/>
    <w:rsid w:val="00BA52DC"/>
    <w:rsid w:val="00BA52F1"/>
    <w:rsid w:val="00BA6023"/>
    <w:rsid w:val="00BA6B2D"/>
    <w:rsid w:val="00BB021A"/>
    <w:rsid w:val="00BB0905"/>
    <w:rsid w:val="00BB0961"/>
    <w:rsid w:val="00BB0D8D"/>
    <w:rsid w:val="00BB1C04"/>
    <w:rsid w:val="00BB1CBE"/>
    <w:rsid w:val="00BB3AF9"/>
    <w:rsid w:val="00BB3BA8"/>
    <w:rsid w:val="00BB68AD"/>
    <w:rsid w:val="00BB6B02"/>
    <w:rsid w:val="00BC1398"/>
    <w:rsid w:val="00BC1569"/>
    <w:rsid w:val="00BC15F3"/>
    <w:rsid w:val="00BC26A9"/>
    <w:rsid w:val="00BC2ADD"/>
    <w:rsid w:val="00BC2BFC"/>
    <w:rsid w:val="00BC3573"/>
    <w:rsid w:val="00BC4704"/>
    <w:rsid w:val="00BC4B42"/>
    <w:rsid w:val="00BC6AE0"/>
    <w:rsid w:val="00BC7188"/>
    <w:rsid w:val="00BD0805"/>
    <w:rsid w:val="00BD5983"/>
    <w:rsid w:val="00BD7C7A"/>
    <w:rsid w:val="00BD7F2B"/>
    <w:rsid w:val="00BE08BC"/>
    <w:rsid w:val="00BE111C"/>
    <w:rsid w:val="00BE23DE"/>
    <w:rsid w:val="00BE5BC4"/>
    <w:rsid w:val="00BE5D94"/>
    <w:rsid w:val="00BE5E21"/>
    <w:rsid w:val="00BE5E7A"/>
    <w:rsid w:val="00BE60DA"/>
    <w:rsid w:val="00BF0011"/>
    <w:rsid w:val="00BF03F0"/>
    <w:rsid w:val="00BF0872"/>
    <w:rsid w:val="00BF1CE1"/>
    <w:rsid w:val="00BF214B"/>
    <w:rsid w:val="00BF3388"/>
    <w:rsid w:val="00BF39AC"/>
    <w:rsid w:val="00BF5D58"/>
    <w:rsid w:val="00BF6416"/>
    <w:rsid w:val="00BF651D"/>
    <w:rsid w:val="00BF6530"/>
    <w:rsid w:val="00BF6E5B"/>
    <w:rsid w:val="00BF7912"/>
    <w:rsid w:val="00C006C6"/>
    <w:rsid w:val="00C00836"/>
    <w:rsid w:val="00C013EE"/>
    <w:rsid w:val="00C01C76"/>
    <w:rsid w:val="00C01D88"/>
    <w:rsid w:val="00C0287C"/>
    <w:rsid w:val="00C0287F"/>
    <w:rsid w:val="00C049A7"/>
    <w:rsid w:val="00C04C37"/>
    <w:rsid w:val="00C05837"/>
    <w:rsid w:val="00C066A6"/>
    <w:rsid w:val="00C11441"/>
    <w:rsid w:val="00C125FE"/>
    <w:rsid w:val="00C129B4"/>
    <w:rsid w:val="00C12A70"/>
    <w:rsid w:val="00C13A48"/>
    <w:rsid w:val="00C14D3F"/>
    <w:rsid w:val="00C15F1C"/>
    <w:rsid w:val="00C16BE4"/>
    <w:rsid w:val="00C179A8"/>
    <w:rsid w:val="00C17FF3"/>
    <w:rsid w:val="00C20970"/>
    <w:rsid w:val="00C21090"/>
    <w:rsid w:val="00C21AFF"/>
    <w:rsid w:val="00C23979"/>
    <w:rsid w:val="00C239A0"/>
    <w:rsid w:val="00C23C00"/>
    <w:rsid w:val="00C2430B"/>
    <w:rsid w:val="00C25BC2"/>
    <w:rsid w:val="00C2666F"/>
    <w:rsid w:val="00C267D5"/>
    <w:rsid w:val="00C26CD0"/>
    <w:rsid w:val="00C308AA"/>
    <w:rsid w:val="00C318BB"/>
    <w:rsid w:val="00C3255D"/>
    <w:rsid w:val="00C34764"/>
    <w:rsid w:val="00C36183"/>
    <w:rsid w:val="00C3771B"/>
    <w:rsid w:val="00C40128"/>
    <w:rsid w:val="00C42E9E"/>
    <w:rsid w:val="00C460E4"/>
    <w:rsid w:val="00C47130"/>
    <w:rsid w:val="00C4759B"/>
    <w:rsid w:val="00C479E2"/>
    <w:rsid w:val="00C50488"/>
    <w:rsid w:val="00C526B9"/>
    <w:rsid w:val="00C56375"/>
    <w:rsid w:val="00C57374"/>
    <w:rsid w:val="00C576A7"/>
    <w:rsid w:val="00C6029D"/>
    <w:rsid w:val="00C61F58"/>
    <w:rsid w:val="00C61FCD"/>
    <w:rsid w:val="00C63412"/>
    <w:rsid w:val="00C63C9B"/>
    <w:rsid w:val="00C652F4"/>
    <w:rsid w:val="00C67394"/>
    <w:rsid w:val="00C67735"/>
    <w:rsid w:val="00C70897"/>
    <w:rsid w:val="00C730C8"/>
    <w:rsid w:val="00C7512A"/>
    <w:rsid w:val="00C75B4D"/>
    <w:rsid w:val="00C75F1A"/>
    <w:rsid w:val="00C75F7D"/>
    <w:rsid w:val="00C76F10"/>
    <w:rsid w:val="00C77CF6"/>
    <w:rsid w:val="00C8176F"/>
    <w:rsid w:val="00C81CDB"/>
    <w:rsid w:val="00C81D5F"/>
    <w:rsid w:val="00C82191"/>
    <w:rsid w:val="00C821DF"/>
    <w:rsid w:val="00C859D3"/>
    <w:rsid w:val="00C872DD"/>
    <w:rsid w:val="00C92F0C"/>
    <w:rsid w:val="00C93266"/>
    <w:rsid w:val="00C935F7"/>
    <w:rsid w:val="00C95B8E"/>
    <w:rsid w:val="00CA22EE"/>
    <w:rsid w:val="00CA28AF"/>
    <w:rsid w:val="00CA5A50"/>
    <w:rsid w:val="00CA717A"/>
    <w:rsid w:val="00CA78A0"/>
    <w:rsid w:val="00CA7D54"/>
    <w:rsid w:val="00CB018C"/>
    <w:rsid w:val="00CB0753"/>
    <w:rsid w:val="00CB1692"/>
    <w:rsid w:val="00CB18AF"/>
    <w:rsid w:val="00CB19F7"/>
    <w:rsid w:val="00CB2ED4"/>
    <w:rsid w:val="00CB3168"/>
    <w:rsid w:val="00CB3EE5"/>
    <w:rsid w:val="00CB3F30"/>
    <w:rsid w:val="00CB44B3"/>
    <w:rsid w:val="00CB4D16"/>
    <w:rsid w:val="00CB5719"/>
    <w:rsid w:val="00CB5CFA"/>
    <w:rsid w:val="00CB5D5D"/>
    <w:rsid w:val="00CB6209"/>
    <w:rsid w:val="00CB62DF"/>
    <w:rsid w:val="00CB7626"/>
    <w:rsid w:val="00CC028F"/>
    <w:rsid w:val="00CC02CD"/>
    <w:rsid w:val="00CC090A"/>
    <w:rsid w:val="00CC1B61"/>
    <w:rsid w:val="00CC1FC9"/>
    <w:rsid w:val="00CC50F5"/>
    <w:rsid w:val="00CC53F0"/>
    <w:rsid w:val="00CD045A"/>
    <w:rsid w:val="00CD088E"/>
    <w:rsid w:val="00CD0C08"/>
    <w:rsid w:val="00CD159D"/>
    <w:rsid w:val="00CD1961"/>
    <w:rsid w:val="00CD2777"/>
    <w:rsid w:val="00CD2812"/>
    <w:rsid w:val="00CD41DE"/>
    <w:rsid w:val="00CD48FA"/>
    <w:rsid w:val="00CD5D59"/>
    <w:rsid w:val="00CE1D98"/>
    <w:rsid w:val="00CE21C9"/>
    <w:rsid w:val="00CE24B0"/>
    <w:rsid w:val="00CE3567"/>
    <w:rsid w:val="00CE388F"/>
    <w:rsid w:val="00CE59B5"/>
    <w:rsid w:val="00CF07F2"/>
    <w:rsid w:val="00CF1828"/>
    <w:rsid w:val="00CF1E84"/>
    <w:rsid w:val="00CF294E"/>
    <w:rsid w:val="00CF51C3"/>
    <w:rsid w:val="00CF543E"/>
    <w:rsid w:val="00CF54F6"/>
    <w:rsid w:val="00CF5648"/>
    <w:rsid w:val="00CF6F1D"/>
    <w:rsid w:val="00D00A1C"/>
    <w:rsid w:val="00D033C6"/>
    <w:rsid w:val="00D036E9"/>
    <w:rsid w:val="00D06B16"/>
    <w:rsid w:val="00D0756A"/>
    <w:rsid w:val="00D10B6C"/>
    <w:rsid w:val="00D123A4"/>
    <w:rsid w:val="00D126D4"/>
    <w:rsid w:val="00D128A9"/>
    <w:rsid w:val="00D129A5"/>
    <w:rsid w:val="00D12B4A"/>
    <w:rsid w:val="00D13F9C"/>
    <w:rsid w:val="00D145FB"/>
    <w:rsid w:val="00D148E1"/>
    <w:rsid w:val="00D14F32"/>
    <w:rsid w:val="00D15161"/>
    <w:rsid w:val="00D15628"/>
    <w:rsid w:val="00D20567"/>
    <w:rsid w:val="00D20A36"/>
    <w:rsid w:val="00D20A38"/>
    <w:rsid w:val="00D2396A"/>
    <w:rsid w:val="00D24B79"/>
    <w:rsid w:val="00D26062"/>
    <w:rsid w:val="00D27400"/>
    <w:rsid w:val="00D30C05"/>
    <w:rsid w:val="00D30FDF"/>
    <w:rsid w:val="00D3173D"/>
    <w:rsid w:val="00D31A2D"/>
    <w:rsid w:val="00D32369"/>
    <w:rsid w:val="00D35A78"/>
    <w:rsid w:val="00D361DB"/>
    <w:rsid w:val="00D37ABD"/>
    <w:rsid w:val="00D418C3"/>
    <w:rsid w:val="00D42047"/>
    <w:rsid w:val="00D422B5"/>
    <w:rsid w:val="00D42B34"/>
    <w:rsid w:val="00D43322"/>
    <w:rsid w:val="00D4365C"/>
    <w:rsid w:val="00D44C75"/>
    <w:rsid w:val="00D451E3"/>
    <w:rsid w:val="00D45736"/>
    <w:rsid w:val="00D45A11"/>
    <w:rsid w:val="00D47DA8"/>
    <w:rsid w:val="00D47F43"/>
    <w:rsid w:val="00D51377"/>
    <w:rsid w:val="00D530C6"/>
    <w:rsid w:val="00D53193"/>
    <w:rsid w:val="00D54F1E"/>
    <w:rsid w:val="00D55704"/>
    <w:rsid w:val="00D55E31"/>
    <w:rsid w:val="00D56A51"/>
    <w:rsid w:val="00D56BA8"/>
    <w:rsid w:val="00D57E05"/>
    <w:rsid w:val="00D61529"/>
    <w:rsid w:val="00D61BA0"/>
    <w:rsid w:val="00D61CCF"/>
    <w:rsid w:val="00D63653"/>
    <w:rsid w:val="00D6423C"/>
    <w:rsid w:val="00D6499E"/>
    <w:rsid w:val="00D654E2"/>
    <w:rsid w:val="00D655BC"/>
    <w:rsid w:val="00D6678D"/>
    <w:rsid w:val="00D66DD2"/>
    <w:rsid w:val="00D66E17"/>
    <w:rsid w:val="00D67288"/>
    <w:rsid w:val="00D67A87"/>
    <w:rsid w:val="00D7056E"/>
    <w:rsid w:val="00D70A85"/>
    <w:rsid w:val="00D72035"/>
    <w:rsid w:val="00D72E03"/>
    <w:rsid w:val="00D730F2"/>
    <w:rsid w:val="00D73602"/>
    <w:rsid w:val="00D737FB"/>
    <w:rsid w:val="00D73B9F"/>
    <w:rsid w:val="00D73C2A"/>
    <w:rsid w:val="00D74204"/>
    <w:rsid w:val="00D7550F"/>
    <w:rsid w:val="00D76565"/>
    <w:rsid w:val="00D80E23"/>
    <w:rsid w:val="00D81196"/>
    <w:rsid w:val="00D81530"/>
    <w:rsid w:val="00D81F40"/>
    <w:rsid w:val="00D83057"/>
    <w:rsid w:val="00D83937"/>
    <w:rsid w:val="00D84054"/>
    <w:rsid w:val="00D84EB7"/>
    <w:rsid w:val="00D8570D"/>
    <w:rsid w:val="00D85FA3"/>
    <w:rsid w:val="00D86A84"/>
    <w:rsid w:val="00D87246"/>
    <w:rsid w:val="00D904FA"/>
    <w:rsid w:val="00D906DA"/>
    <w:rsid w:val="00D93B7C"/>
    <w:rsid w:val="00D93FC0"/>
    <w:rsid w:val="00D94C2F"/>
    <w:rsid w:val="00D957C5"/>
    <w:rsid w:val="00D964CA"/>
    <w:rsid w:val="00D96859"/>
    <w:rsid w:val="00DA02DC"/>
    <w:rsid w:val="00DA0E02"/>
    <w:rsid w:val="00DA1508"/>
    <w:rsid w:val="00DA19E1"/>
    <w:rsid w:val="00DA2692"/>
    <w:rsid w:val="00DA3D85"/>
    <w:rsid w:val="00DA51AD"/>
    <w:rsid w:val="00DA673D"/>
    <w:rsid w:val="00DA78A0"/>
    <w:rsid w:val="00DA7953"/>
    <w:rsid w:val="00DB0AE3"/>
    <w:rsid w:val="00DB1952"/>
    <w:rsid w:val="00DB1CFD"/>
    <w:rsid w:val="00DB25B9"/>
    <w:rsid w:val="00DB3796"/>
    <w:rsid w:val="00DB45C6"/>
    <w:rsid w:val="00DB48FD"/>
    <w:rsid w:val="00DB6DEA"/>
    <w:rsid w:val="00DB797E"/>
    <w:rsid w:val="00DC14B6"/>
    <w:rsid w:val="00DC1E19"/>
    <w:rsid w:val="00DC375F"/>
    <w:rsid w:val="00DC3C76"/>
    <w:rsid w:val="00DC4FA1"/>
    <w:rsid w:val="00DC4FA9"/>
    <w:rsid w:val="00DC7A0F"/>
    <w:rsid w:val="00DC7C08"/>
    <w:rsid w:val="00DD0A03"/>
    <w:rsid w:val="00DD42A5"/>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1CF1"/>
    <w:rsid w:val="00DF2FC4"/>
    <w:rsid w:val="00DF3206"/>
    <w:rsid w:val="00DF4D6A"/>
    <w:rsid w:val="00DF4E67"/>
    <w:rsid w:val="00DF4F96"/>
    <w:rsid w:val="00DF6509"/>
    <w:rsid w:val="00DF65F5"/>
    <w:rsid w:val="00DF755C"/>
    <w:rsid w:val="00DF7999"/>
    <w:rsid w:val="00E00227"/>
    <w:rsid w:val="00E0228A"/>
    <w:rsid w:val="00E02590"/>
    <w:rsid w:val="00E10769"/>
    <w:rsid w:val="00E10FA0"/>
    <w:rsid w:val="00E11ABF"/>
    <w:rsid w:val="00E11E1C"/>
    <w:rsid w:val="00E12A7E"/>
    <w:rsid w:val="00E13F51"/>
    <w:rsid w:val="00E14405"/>
    <w:rsid w:val="00E151D3"/>
    <w:rsid w:val="00E16C1A"/>
    <w:rsid w:val="00E20CC2"/>
    <w:rsid w:val="00E20FBB"/>
    <w:rsid w:val="00E2149C"/>
    <w:rsid w:val="00E218A8"/>
    <w:rsid w:val="00E23E28"/>
    <w:rsid w:val="00E25070"/>
    <w:rsid w:val="00E25B9E"/>
    <w:rsid w:val="00E26064"/>
    <w:rsid w:val="00E26248"/>
    <w:rsid w:val="00E26601"/>
    <w:rsid w:val="00E270AF"/>
    <w:rsid w:val="00E272CE"/>
    <w:rsid w:val="00E27510"/>
    <w:rsid w:val="00E30B16"/>
    <w:rsid w:val="00E31F05"/>
    <w:rsid w:val="00E32115"/>
    <w:rsid w:val="00E33019"/>
    <w:rsid w:val="00E33D7D"/>
    <w:rsid w:val="00E3409E"/>
    <w:rsid w:val="00E349FC"/>
    <w:rsid w:val="00E35EAD"/>
    <w:rsid w:val="00E366CB"/>
    <w:rsid w:val="00E43297"/>
    <w:rsid w:val="00E439B1"/>
    <w:rsid w:val="00E43EAB"/>
    <w:rsid w:val="00E46CA9"/>
    <w:rsid w:val="00E471ED"/>
    <w:rsid w:val="00E516C3"/>
    <w:rsid w:val="00E51AED"/>
    <w:rsid w:val="00E52C5A"/>
    <w:rsid w:val="00E53299"/>
    <w:rsid w:val="00E54C63"/>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777F6"/>
    <w:rsid w:val="00E8101D"/>
    <w:rsid w:val="00E8150A"/>
    <w:rsid w:val="00E82379"/>
    <w:rsid w:val="00E83068"/>
    <w:rsid w:val="00E834DC"/>
    <w:rsid w:val="00E85A0C"/>
    <w:rsid w:val="00E86811"/>
    <w:rsid w:val="00E91166"/>
    <w:rsid w:val="00E91CD0"/>
    <w:rsid w:val="00E9307B"/>
    <w:rsid w:val="00E93326"/>
    <w:rsid w:val="00E935D8"/>
    <w:rsid w:val="00E93F88"/>
    <w:rsid w:val="00E943AA"/>
    <w:rsid w:val="00E948D2"/>
    <w:rsid w:val="00E96D81"/>
    <w:rsid w:val="00EA040B"/>
    <w:rsid w:val="00EA05F0"/>
    <w:rsid w:val="00EA1151"/>
    <w:rsid w:val="00EA4429"/>
    <w:rsid w:val="00EA477E"/>
    <w:rsid w:val="00EA578C"/>
    <w:rsid w:val="00EA600D"/>
    <w:rsid w:val="00EA6231"/>
    <w:rsid w:val="00EA70CE"/>
    <w:rsid w:val="00EA70D7"/>
    <w:rsid w:val="00EA7A22"/>
    <w:rsid w:val="00EB1FE9"/>
    <w:rsid w:val="00EB2900"/>
    <w:rsid w:val="00EB3256"/>
    <w:rsid w:val="00EB33C0"/>
    <w:rsid w:val="00EB35E7"/>
    <w:rsid w:val="00EB5367"/>
    <w:rsid w:val="00EB5C01"/>
    <w:rsid w:val="00EB60AD"/>
    <w:rsid w:val="00EB68FF"/>
    <w:rsid w:val="00EB7226"/>
    <w:rsid w:val="00EB798E"/>
    <w:rsid w:val="00EC09BA"/>
    <w:rsid w:val="00EC09CE"/>
    <w:rsid w:val="00EC126B"/>
    <w:rsid w:val="00EC1600"/>
    <w:rsid w:val="00EC2314"/>
    <w:rsid w:val="00EC2F57"/>
    <w:rsid w:val="00EC31E9"/>
    <w:rsid w:val="00EC3757"/>
    <w:rsid w:val="00EC396F"/>
    <w:rsid w:val="00EC4548"/>
    <w:rsid w:val="00EC4F36"/>
    <w:rsid w:val="00EC516E"/>
    <w:rsid w:val="00EC6148"/>
    <w:rsid w:val="00EC72BA"/>
    <w:rsid w:val="00EC72BD"/>
    <w:rsid w:val="00EC744B"/>
    <w:rsid w:val="00EC76E3"/>
    <w:rsid w:val="00EC7AB3"/>
    <w:rsid w:val="00ED2534"/>
    <w:rsid w:val="00ED287B"/>
    <w:rsid w:val="00ED3952"/>
    <w:rsid w:val="00ED4BF4"/>
    <w:rsid w:val="00ED4F32"/>
    <w:rsid w:val="00ED5085"/>
    <w:rsid w:val="00ED5575"/>
    <w:rsid w:val="00ED62D1"/>
    <w:rsid w:val="00ED655C"/>
    <w:rsid w:val="00ED6BF9"/>
    <w:rsid w:val="00ED7725"/>
    <w:rsid w:val="00ED787A"/>
    <w:rsid w:val="00EE00E8"/>
    <w:rsid w:val="00EE0382"/>
    <w:rsid w:val="00EE0DD4"/>
    <w:rsid w:val="00EE14F6"/>
    <w:rsid w:val="00EE29C4"/>
    <w:rsid w:val="00EE2F90"/>
    <w:rsid w:val="00EE3242"/>
    <w:rsid w:val="00EE43E2"/>
    <w:rsid w:val="00EE550C"/>
    <w:rsid w:val="00EE6340"/>
    <w:rsid w:val="00EE6A44"/>
    <w:rsid w:val="00EE71FD"/>
    <w:rsid w:val="00EE7C78"/>
    <w:rsid w:val="00EF014A"/>
    <w:rsid w:val="00EF22CC"/>
    <w:rsid w:val="00EF448A"/>
    <w:rsid w:val="00EF6762"/>
    <w:rsid w:val="00EF6B64"/>
    <w:rsid w:val="00EF7B1F"/>
    <w:rsid w:val="00F00A8E"/>
    <w:rsid w:val="00F017C0"/>
    <w:rsid w:val="00F01FE6"/>
    <w:rsid w:val="00F02E5F"/>
    <w:rsid w:val="00F03021"/>
    <w:rsid w:val="00F06809"/>
    <w:rsid w:val="00F069FB"/>
    <w:rsid w:val="00F100A7"/>
    <w:rsid w:val="00F11356"/>
    <w:rsid w:val="00F11970"/>
    <w:rsid w:val="00F13C08"/>
    <w:rsid w:val="00F15778"/>
    <w:rsid w:val="00F16606"/>
    <w:rsid w:val="00F21932"/>
    <w:rsid w:val="00F21D40"/>
    <w:rsid w:val="00F22105"/>
    <w:rsid w:val="00F23413"/>
    <w:rsid w:val="00F265B2"/>
    <w:rsid w:val="00F27E54"/>
    <w:rsid w:val="00F3015A"/>
    <w:rsid w:val="00F30EFA"/>
    <w:rsid w:val="00F324B8"/>
    <w:rsid w:val="00F33460"/>
    <w:rsid w:val="00F35487"/>
    <w:rsid w:val="00F40745"/>
    <w:rsid w:val="00F40B0E"/>
    <w:rsid w:val="00F410B4"/>
    <w:rsid w:val="00F41146"/>
    <w:rsid w:val="00F44BDA"/>
    <w:rsid w:val="00F44D26"/>
    <w:rsid w:val="00F463C1"/>
    <w:rsid w:val="00F465C3"/>
    <w:rsid w:val="00F477DB"/>
    <w:rsid w:val="00F47D5E"/>
    <w:rsid w:val="00F50A2E"/>
    <w:rsid w:val="00F50C41"/>
    <w:rsid w:val="00F52635"/>
    <w:rsid w:val="00F5342E"/>
    <w:rsid w:val="00F542E0"/>
    <w:rsid w:val="00F60662"/>
    <w:rsid w:val="00F616D3"/>
    <w:rsid w:val="00F621A9"/>
    <w:rsid w:val="00F62C38"/>
    <w:rsid w:val="00F65B2E"/>
    <w:rsid w:val="00F71C57"/>
    <w:rsid w:val="00F72296"/>
    <w:rsid w:val="00F724A2"/>
    <w:rsid w:val="00F7597D"/>
    <w:rsid w:val="00F77178"/>
    <w:rsid w:val="00F7796B"/>
    <w:rsid w:val="00F80871"/>
    <w:rsid w:val="00F848F2"/>
    <w:rsid w:val="00F84B9B"/>
    <w:rsid w:val="00F87759"/>
    <w:rsid w:val="00F918F1"/>
    <w:rsid w:val="00F91C8D"/>
    <w:rsid w:val="00F929D2"/>
    <w:rsid w:val="00F94318"/>
    <w:rsid w:val="00F945B5"/>
    <w:rsid w:val="00F95880"/>
    <w:rsid w:val="00F95EC0"/>
    <w:rsid w:val="00F97D2D"/>
    <w:rsid w:val="00FA0963"/>
    <w:rsid w:val="00FA24AB"/>
    <w:rsid w:val="00FA4CB5"/>
    <w:rsid w:val="00FA4DAE"/>
    <w:rsid w:val="00FA51D2"/>
    <w:rsid w:val="00FA5AFB"/>
    <w:rsid w:val="00FA6145"/>
    <w:rsid w:val="00FA632A"/>
    <w:rsid w:val="00FB085B"/>
    <w:rsid w:val="00FB0D4A"/>
    <w:rsid w:val="00FB3554"/>
    <w:rsid w:val="00FB3B93"/>
    <w:rsid w:val="00FB48A4"/>
    <w:rsid w:val="00FB60A3"/>
    <w:rsid w:val="00FC3525"/>
    <w:rsid w:val="00FC3631"/>
    <w:rsid w:val="00FC3B34"/>
    <w:rsid w:val="00FC51EB"/>
    <w:rsid w:val="00FC541F"/>
    <w:rsid w:val="00FC5616"/>
    <w:rsid w:val="00FC65F1"/>
    <w:rsid w:val="00FD131B"/>
    <w:rsid w:val="00FD179A"/>
    <w:rsid w:val="00FD1883"/>
    <w:rsid w:val="00FD535E"/>
    <w:rsid w:val="00FD5B63"/>
    <w:rsid w:val="00FD748B"/>
    <w:rsid w:val="00FE1602"/>
    <w:rsid w:val="00FE2616"/>
    <w:rsid w:val="00FE26FE"/>
    <w:rsid w:val="00FE2901"/>
    <w:rsid w:val="00FE3D1F"/>
    <w:rsid w:val="00FE48AE"/>
    <w:rsid w:val="00FE755A"/>
    <w:rsid w:val="00FE7FF1"/>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5A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rsid w:val="00D37ABD"/>
    <w:rPr>
      <w:sz w:val="16"/>
      <w:szCs w:val="16"/>
    </w:rPr>
  </w:style>
  <w:style w:type="paragraph" w:styleId="CommentText">
    <w:name w:val="annotation text"/>
    <w:basedOn w:val="Normal"/>
    <w:link w:val="CommentTextChar"/>
    <w:qFormat/>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uiPriority w:val="20"/>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Char"/>
    <w:basedOn w:val="Normal"/>
    <w:link w:val="FootnoteTextChar"/>
    <w:uiPriority w:val="99"/>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qFormat/>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qFormat/>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 w:type="character" w:customStyle="1" w:styleId="CommentTextChar">
    <w:name w:val="Comment Text Char"/>
    <w:basedOn w:val="DefaultParagraphFont"/>
    <w:link w:val="CommentText"/>
    <w:rsid w:val="006866C6"/>
  </w:style>
  <w:style w:type="paragraph" w:customStyle="1" w:styleId="naisc">
    <w:name w:val="naisc"/>
    <w:basedOn w:val="Normal"/>
    <w:rsid w:val="006A58F7"/>
    <w:pPr>
      <w:spacing w:before="100" w:beforeAutospacing="1" w:after="100" w:afterAutospacing="1" w:line="270" w:lineRule="atLeast"/>
      <w:jc w:val="both"/>
    </w:pPr>
  </w:style>
  <w:style w:type="paragraph" w:styleId="Title">
    <w:name w:val="Title"/>
    <w:basedOn w:val="Normal"/>
    <w:link w:val="TitleChar"/>
    <w:qFormat/>
    <w:rsid w:val="00CE388F"/>
    <w:pPr>
      <w:jc w:val="center"/>
    </w:pPr>
    <w:rPr>
      <w:sz w:val="28"/>
      <w:szCs w:val="20"/>
      <w:lang w:eastAsia="en-US"/>
    </w:rPr>
  </w:style>
  <w:style w:type="character" w:customStyle="1" w:styleId="TitleChar">
    <w:name w:val="Title Char"/>
    <w:basedOn w:val="DefaultParagraphFont"/>
    <w:link w:val="Title"/>
    <w:rsid w:val="00CE388F"/>
    <w:rPr>
      <w:sz w:val="28"/>
      <w:lang w:eastAsia="en-US"/>
    </w:rPr>
  </w:style>
  <w:style w:type="paragraph" w:styleId="PlainText">
    <w:name w:val="Plain Text"/>
    <w:basedOn w:val="Normal"/>
    <w:link w:val="PlainTextChar"/>
    <w:uiPriority w:val="99"/>
    <w:unhideWhenUsed/>
    <w:rsid w:val="00E935D8"/>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E935D8"/>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363A24"/>
    <w:rPr>
      <w:color w:val="605E5C"/>
      <w:shd w:val="clear" w:color="auto" w:fill="E1DFDD"/>
    </w:rPr>
  </w:style>
  <w:style w:type="character" w:styleId="FollowedHyperlink">
    <w:name w:val="FollowedHyperlink"/>
    <w:basedOn w:val="DefaultParagraphFont"/>
    <w:semiHidden/>
    <w:unhideWhenUsed/>
    <w:rsid w:val="00600F1A"/>
    <w:rPr>
      <w:color w:val="954F72" w:themeColor="followedHyperlink"/>
      <w:u w:val="single"/>
    </w:rPr>
  </w:style>
  <w:style w:type="character" w:styleId="UnresolvedMention">
    <w:name w:val="Unresolved Mention"/>
    <w:basedOn w:val="DefaultParagraphFont"/>
    <w:uiPriority w:val="99"/>
    <w:semiHidden/>
    <w:unhideWhenUsed/>
    <w:rsid w:val="009E2925"/>
    <w:rPr>
      <w:color w:val="605E5C"/>
      <w:shd w:val="clear" w:color="auto" w:fill="E1DFDD"/>
    </w:rPr>
  </w:style>
  <w:style w:type="paragraph" w:customStyle="1" w:styleId="paragraph">
    <w:name w:val="paragraph"/>
    <w:basedOn w:val="Normal"/>
    <w:rsid w:val="00F069FB"/>
    <w:pPr>
      <w:spacing w:before="100" w:beforeAutospacing="1" w:after="100" w:afterAutospacing="1"/>
    </w:pPr>
  </w:style>
  <w:style w:type="paragraph" w:styleId="NoSpacing">
    <w:name w:val="No Spacing"/>
    <w:basedOn w:val="Normal"/>
    <w:next w:val="Normal"/>
    <w:uiPriority w:val="1"/>
    <w:qFormat/>
    <w:rsid w:val="00B33B61"/>
    <w:pPr>
      <w:widowControl w:val="0"/>
      <w:jc w:val="both"/>
    </w:pPr>
    <w:rPr>
      <w:rFonts w:eastAsia="Calibri"/>
      <w:szCs w:val="22"/>
      <w:lang w:eastAsia="en-US"/>
    </w:rPr>
  </w:style>
  <w:style w:type="character" w:customStyle="1" w:styleId="cf01">
    <w:name w:val="cf01"/>
    <w:basedOn w:val="DefaultParagraphFont"/>
    <w:rsid w:val="00F477DB"/>
    <w:rPr>
      <w:rFonts w:ascii="Segoe UI" w:hAnsi="Segoe UI" w:cs="Segoe UI" w:hint="default"/>
      <w:sz w:val="18"/>
      <w:szCs w:val="18"/>
    </w:rPr>
  </w:style>
  <w:style w:type="paragraph" w:customStyle="1" w:styleId="pf0">
    <w:name w:val="pf0"/>
    <w:basedOn w:val="Normal"/>
    <w:rsid w:val="00F477DB"/>
    <w:pPr>
      <w:spacing w:before="100" w:beforeAutospacing="1" w:after="100" w:afterAutospacing="1"/>
    </w:pPr>
  </w:style>
  <w:style w:type="character" w:customStyle="1" w:styleId="cf11">
    <w:name w:val="cf11"/>
    <w:basedOn w:val="DefaultParagraphFont"/>
    <w:rsid w:val="00F477DB"/>
    <w:rPr>
      <w:rFonts w:ascii="Segoe UI" w:hAnsi="Segoe UI" w:cs="Segoe UI" w:hint="default"/>
      <w:sz w:val="18"/>
      <w:szCs w:val="18"/>
      <w:u w:val="single"/>
    </w:rPr>
  </w:style>
  <w:style w:type="paragraph" w:customStyle="1" w:styleId="doc-ti">
    <w:name w:val="doc-ti"/>
    <w:basedOn w:val="Normal"/>
    <w:rsid w:val="00616B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45687924">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1036">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301817106">
      <w:bodyDiv w:val="1"/>
      <w:marLeft w:val="0"/>
      <w:marRight w:val="0"/>
      <w:marTop w:val="0"/>
      <w:marBottom w:val="0"/>
      <w:divBdr>
        <w:top w:val="none" w:sz="0" w:space="0" w:color="auto"/>
        <w:left w:val="none" w:sz="0" w:space="0" w:color="auto"/>
        <w:bottom w:val="none" w:sz="0" w:space="0" w:color="auto"/>
        <w:right w:val="none" w:sz="0" w:space="0" w:color="auto"/>
      </w:divBdr>
    </w:div>
    <w:div w:id="368651658">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15271658">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31787255">
      <w:bodyDiv w:val="1"/>
      <w:marLeft w:val="0"/>
      <w:marRight w:val="0"/>
      <w:marTop w:val="0"/>
      <w:marBottom w:val="0"/>
      <w:divBdr>
        <w:top w:val="none" w:sz="0" w:space="0" w:color="auto"/>
        <w:left w:val="none" w:sz="0" w:space="0" w:color="auto"/>
        <w:bottom w:val="none" w:sz="0" w:space="0" w:color="auto"/>
        <w:right w:val="none" w:sz="0" w:space="0" w:color="auto"/>
      </w:divBdr>
    </w:div>
    <w:div w:id="726760164">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62287852">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36644263">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995454722">
      <w:bodyDiv w:val="1"/>
      <w:marLeft w:val="0"/>
      <w:marRight w:val="0"/>
      <w:marTop w:val="0"/>
      <w:marBottom w:val="0"/>
      <w:divBdr>
        <w:top w:val="none" w:sz="0" w:space="0" w:color="auto"/>
        <w:left w:val="none" w:sz="0" w:space="0" w:color="auto"/>
        <w:bottom w:val="none" w:sz="0" w:space="0" w:color="auto"/>
        <w:right w:val="none" w:sz="0" w:space="0" w:color="auto"/>
      </w:divBdr>
    </w:div>
    <w:div w:id="116689980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286038367">
      <w:bodyDiv w:val="1"/>
      <w:marLeft w:val="0"/>
      <w:marRight w:val="0"/>
      <w:marTop w:val="0"/>
      <w:marBottom w:val="0"/>
      <w:divBdr>
        <w:top w:val="none" w:sz="0" w:space="0" w:color="auto"/>
        <w:left w:val="none" w:sz="0" w:space="0" w:color="auto"/>
        <w:bottom w:val="none" w:sz="0" w:space="0" w:color="auto"/>
        <w:right w:val="none" w:sz="0" w:space="0" w:color="auto"/>
      </w:divBdr>
    </w:div>
    <w:div w:id="1289821310">
      <w:bodyDiv w:val="1"/>
      <w:marLeft w:val="0"/>
      <w:marRight w:val="0"/>
      <w:marTop w:val="0"/>
      <w:marBottom w:val="0"/>
      <w:divBdr>
        <w:top w:val="none" w:sz="0" w:space="0" w:color="auto"/>
        <w:left w:val="none" w:sz="0" w:space="0" w:color="auto"/>
        <w:bottom w:val="none" w:sz="0" w:space="0" w:color="auto"/>
        <w:right w:val="none" w:sz="0" w:space="0" w:color="auto"/>
      </w:divBdr>
    </w:div>
    <w:div w:id="1295528688">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476142920">
      <w:bodyDiv w:val="1"/>
      <w:marLeft w:val="0"/>
      <w:marRight w:val="0"/>
      <w:marTop w:val="0"/>
      <w:marBottom w:val="0"/>
      <w:divBdr>
        <w:top w:val="none" w:sz="0" w:space="0" w:color="auto"/>
        <w:left w:val="none" w:sz="0" w:space="0" w:color="auto"/>
        <w:bottom w:val="none" w:sz="0" w:space="0" w:color="auto"/>
        <w:right w:val="none" w:sz="0" w:space="0" w:color="auto"/>
      </w:divBdr>
    </w:div>
    <w:div w:id="1697389513">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783645825">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841506749">
      <w:bodyDiv w:val="1"/>
      <w:marLeft w:val="0"/>
      <w:marRight w:val="0"/>
      <w:marTop w:val="0"/>
      <w:marBottom w:val="0"/>
      <w:divBdr>
        <w:top w:val="none" w:sz="0" w:space="0" w:color="auto"/>
        <w:left w:val="none" w:sz="0" w:space="0" w:color="auto"/>
        <w:bottom w:val="none" w:sz="0" w:space="0" w:color="auto"/>
        <w:right w:val="none" w:sz="0" w:space="0" w:color="auto"/>
      </w:divBdr>
    </w:div>
    <w:div w:id="199734351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 w:id="20701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sdd.lv/autoveikal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imonds.kass@varam.gov.lv" TargetMode="External"/><Relationship Id="rId4" Type="http://schemas.openxmlformats.org/officeDocument/2006/relationships/settings" Target="settings.xml"/><Relationship Id="rId9" Type="http://schemas.openxmlformats.org/officeDocument/2006/relationships/hyperlink" Target="https://www.csdd.lv/nolietota-transportlidzekla-parstrade/apstrades-uznemumu-sarakst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petition/state_aid/cases/240968/240968_1363389_62_3.pdf" TargetMode="External"/><Relationship Id="rId3" Type="http://schemas.openxmlformats.org/officeDocument/2006/relationships/hyperlink" Target="https://www.csdd.lv/jaunumi/csdd-tehniskaja-apskate-pern-videji-13-auto-diena-atteica-bremzes" TargetMode="External"/><Relationship Id="rId7" Type="http://schemas.openxmlformats.org/officeDocument/2006/relationships/hyperlink" Target="https://www.elektrum.lv/lv/majai/energoefektivitate/aktualitates/ka-izveleties-piemerotako-elektroauto-un-ta-uzladi" TargetMode="External"/><Relationship Id="rId2" Type="http://schemas.openxmlformats.org/officeDocument/2006/relationships/hyperlink" Target="https://www.esfondi.lv/upload/anm/01_anm_plans_04062021.pdf" TargetMode="External"/><Relationship Id="rId1" Type="http://schemas.openxmlformats.org/officeDocument/2006/relationships/hyperlink" Target="https://www.acea.be/uploads/publications/Electric_vehicles-Tax_benefits_purchase_incentives_European_Union_2020.pdf" TargetMode="External"/><Relationship Id="rId6" Type="http://schemas.openxmlformats.org/officeDocument/2006/relationships/hyperlink" Target="https://uzladets.lv/cik-lielu-nobraukumu-patiesiba-vajag-no-elektromobila/" TargetMode="External"/><Relationship Id="rId5" Type="http://schemas.openxmlformats.org/officeDocument/2006/relationships/hyperlink" Target="https://www.pwc.com/lv/lv/news/tiek-laists-klaja-latvija-pirmais-mobilitates-petijums.html" TargetMode="External"/><Relationship Id="rId4" Type="http://schemas.openxmlformats.org/officeDocument/2006/relationships/hyperlink" Target="https://www.csb.gov.lv/lv/statistika/statistikas-temas/transports-turisms/transports/meklet-tema/357-apsekojuma-latvijas-iedzivotaju-mobilitat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7075-40E4-4465-B6DA-3FEF372F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5318</Words>
  <Characters>37577</Characters>
  <Application>Microsoft Office Word</Application>
  <DocSecurity>0</DocSecurity>
  <Lines>1878</Lines>
  <Paragraphs>932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41963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Gusts Zustenieks</dc:creator>
  <dc:description>gusts.zustenieks@varam.gov.lv; 67026489</dc:description>
  <cp:lastModifiedBy>Raimonds Kašs</cp:lastModifiedBy>
  <cp:revision>8</cp:revision>
  <cp:lastPrinted>2019-09-27T07:58:00Z</cp:lastPrinted>
  <dcterms:created xsi:type="dcterms:W3CDTF">2021-12-06T11:20:00Z</dcterms:created>
  <dcterms:modified xsi:type="dcterms:W3CDTF">2021-12-10T09:52:00Z</dcterms:modified>
</cp:coreProperties>
</file>