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94501" w14:textId="00E8F1E8" w:rsidR="2E8A2F4D" w:rsidRDefault="2E8A2F4D" w:rsidP="00EC51E7">
      <w:pPr>
        <w:rPr>
          <w:rFonts w:ascii="Times New Roman" w:hAnsi="Times New Roman" w:cs="Times New Roman"/>
          <w:b/>
          <w:bCs/>
          <w:sz w:val="28"/>
          <w:szCs w:val="28"/>
        </w:rPr>
      </w:pPr>
      <w:r w:rsidRPr="2139DD13">
        <w:rPr>
          <w:rFonts w:ascii="Times New Roman" w:hAnsi="Times New Roman" w:cs="Times New Roman"/>
          <w:b/>
          <w:bCs/>
          <w:sz w:val="28"/>
          <w:szCs w:val="28"/>
        </w:rPr>
        <w:t>Pielikum</w:t>
      </w:r>
      <w:r w:rsidR="0075306D">
        <w:rPr>
          <w:rFonts w:ascii="Times New Roman" w:hAnsi="Times New Roman" w:cs="Times New Roman"/>
          <w:b/>
          <w:bCs/>
          <w:sz w:val="28"/>
          <w:szCs w:val="28"/>
        </w:rPr>
        <w:t>s Nr.1</w:t>
      </w:r>
    </w:p>
    <w:p w14:paraId="79FC855C" w14:textId="1269E105" w:rsidR="0075306D" w:rsidRDefault="004A5766" w:rsidP="0075306D">
      <w:pPr>
        <w:spacing w:after="6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 xml:space="preserve">Informācija par </w:t>
      </w:r>
      <w:r w:rsidR="00CA2E4A">
        <w:rPr>
          <w:rFonts w:ascii="Times New Roman" w:hAnsi="Times New Roman" w:cs="Times New Roman"/>
          <w:b/>
          <w:bCs/>
          <w:sz w:val="28"/>
          <w:szCs w:val="28"/>
        </w:rPr>
        <w:t>investīciju piesaistes dinamiku Latvijā</w:t>
      </w:r>
    </w:p>
    <w:p w14:paraId="60FE5483" w14:textId="77777777" w:rsidR="005D3FD4" w:rsidRDefault="005D3FD4" w:rsidP="005D3FD4">
      <w:pPr>
        <w:spacing w:after="60" w:line="240" w:lineRule="auto"/>
        <w:ind w:firstLine="567"/>
        <w:jc w:val="both"/>
        <w:rPr>
          <w:rFonts w:ascii="Times New Roman" w:hAnsi="Times New Roman" w:cs="Times New Roman"/>
          <w:sz w:val="24"/>
          <w:szCs w:val="24"/>
        </w:rPr>
      </w:pPr>
      <w:r w:rsidRPr="00185D02">
        <w:rPr>
          <w:rFonts w:ascii="Times New Roman" w:hAnsi="Times New Roman" w:cs="Times New Roman"/>
          <w:sz w:val="24"/>
          <w:szCs w:val="24"/>
        </w:rPr>
        <w:t>Komercbanku kredīti ir nozīmīga veselīgas tautsaimniecības sastāvdaļa – tas ir svarīgs finansējuma avots uzņēmumiem jaunu biznesa ideju un investīciju realizēšanai.</w:t>
      </w:r>
      <w:r>
        <w:rPr>
          <w:rFonts w:ascii="Times New Roman" w:hAnsi="Times New Roman" w:cs="Times New Roman"/>
          <w:sz w:val="24"/>
          <w:szCs w:val="24"/>
        </w:rPr>
        <w:t xml:space="preserve"> </w:t>
      </w:r>
      <w:r w:rsidRPr="0038045F">
        <w:rPr>
          <w:rFonts w:ascii="Times New Roman" w:hAnsi="Times New Roman" w:cs="Times New Roman"/>
          <w:sz w:val="24"/>
          <w:szCs w:val="24"/>
        </w:rPr>
        <w:t xml:space="preserve">Privātais sektors joprojām </w:t>
      </w:r>
      <w:r w:rsidRPr="00581BC2">
        <w:rPr>
          <w:rFonts w:ascii="Times New Roman" w:eastAsia="Times New Roman" w:hAnsi="Times New Roman" w:cs="Times New Roman"/>
          <w:b/>
          <w:color w:val="008080"/>
          <w:sz w:val="24"/>
          <w:szCs w:val="24"/>
          <w:lang w:eastAsia="lv-LV"/>
        </w:rPr>
        <w:t>lielā mērā ir atkarīgs no komercbanku aizdevumiem</w:t>
      </w:r>
      <w:r w:rsidRPr="0038045F">
        <w:rPr>
          <w:rFonts w:ascii="Times New Roman" w:hAnsi="Times New Roman" w:cs="Times New Roman"/>
          <w:sz w:val="24"/>
          <w:szCs w:val="24"/>
        </w:rPr>
        <w:t xml:space="preserve">, lai gan pēdējos gados uzņēmumi ir sākuši meklēt alternatīvus finansējuma avotus. Mazais apjoms kopā ar zemu likviditāti kapitālu tirgū, tajā skaitā akciju un obligāciju tirgū attur gan vietējo, gan ārvalstu investoru līdzdalību kreditēšanā. Kopumā Baltijas reģionā attīstītākie tirgi ir Igaunijai un Lietuvai, savukārt Latvija atpaliek. </w:t>
      </w:r>
    </w:p>
    <w:p w14:paraId="17FD08A6" w14:textId="77777777" w:rsidR="005D3FD4" w:rsidRPr="00CA640E" w:rsidRDefault="005D3FD4" w:rsidP="005D3FD4">
      <w:pPr>
        <w:spacing w:before="120" w:after="0" w:line="240" w:lineRule="auto"/>
        <w:jc w:val="right"/>
        <w:rPr>
          <w:rFonts w:ascii="Times New Roman" w:hAnsi="Times New Roman" w:cs="Times New Roman"/>
          <w:sz w:val="24"/>
          <w:szCs w:val="24"/>
        </w:rPr>
      </w:pPr>
      <w:r w:rsidRPr="00CA640E">
        <w:rPr>
          <w:rFonts w:ascii="Times New Roman" w:hAnsi="Times New Roman" w:cs="Times New Roman"/>
          <w:sz w:val="24"/>
          <w:szCs w:val="24"/>
        </w:rPr>
        <w:t>Attēls Nr.1</w:t>
      </w:r>
    </w:p>
    <w:p w14:paraId="614180B9" w14:textId="77777777" w:rsidR="005D3FD4" w:rsidRPr="00377E7B" w:rsidRDefault="005D3FD4" w:rsidP="005D3FD4">
      <w:pPr>
        <w:spacing w:before="120" w:after="0" w:line="240" w:lineRule="auto"/>
        <w:ind w:left="360" w:firstLine="567"/>
        <w:jc w:val="center"/>
        <w:rPr>
          <w:rFonts w:ascii="Times New Roman" w:hAnsi="Times New Roman" w:cs="Times New Roman"/>
          <w:b/>
          <w:bCs/>
          <w:sz w:val="24"/>
          <w:szCs w:val="24"/>
        </w:rPr>
      </w:pPr>
      <w:r w:rsidRPr="00377E7B">
        <w:rPr>
          <w:rFonts w:ascii="Times New Roman" w:hAnsi="Times New Roman" w:cs="Times New Roman"/>
          <w:b/>
          <w:bCs/>
          <w:sz w:val="24"/>
          <w:szCs w:val="24"/>
        </w:rPr>
        <w:t xml:space="preserve">Izsniegtie kredīti kopā </w:t>
      </w:r>
      <w:r w:rsidRPr="0098089C">
        <w:rPr>
          <w:rFonts w:ascii="Times New Roman" w:hAnsi="Times New Roman" w:cs="Times New Roman"/>
          <w:sz w:val="24"/>
          <w:szCs w:val="24"/>
        </w:rPr>
        <w:t>(</w:t>
      </w:r>
      <w:proofErr w:type="spellStart"/>
      <w:r w:rsidRPr="0098089C">
        <w:rPr>
          <w:rFonts w:ascii="Times New Roman" w:hAnsi="Times New Roman" w:cs="Times New Roman"/>
          <w:sz w:val="24"/>
          <w:szCs w:val="24"/>
        </w:rPr>
        <w:t>miljr</w:t>
      </w:r>
      <w:proofErr w:type="spellEnd"/>
      <w:r w:rsidRPr="0098089C">
        <w:rPr>
          <w:rFonts w:ascii="Times New Roman" w:hAnsi="Times New Roman" w:cs="Times New Roman"/>
          <w:sz w:val="24"/>
          <w:szCs w:val="24"/>
        </w:rPr>
        <w:t>.</w:t>
      </w:r>
      <w:r>
        <w:rPr>
          <w:rFonts w:ascii="Times New Roman" w:hAnsi="Times New Roman" w:cs="Times New Roman"/>
          <w:sz w:val="24"/>
          <w:szCs w:val="24"/>
        </w:rPr>
        <w:t xml:space="preserve"> </w:t>
      </w:r>
      <w:r w:rsidRPr="0098089C">
        <w:rPr>
          <w:rFonts w:ascii="Times New Roman" w:hAnsi="Times New Roman" w:cs="Times New Roman"/>
          <w:sz w:val="24"/>
          <w:szCs w:val="24"/>
        </w:rPr>
        <w:t>EUR.)</w:t>
      </w:r>
    </w:p>
    <w:p w14:paraId="28F430CB" w14:textId="77777777" w:rsidR="005D3FD4" w:rsidRDefault="005D3FD4" w:rsidP="005D3FD4">
      <w:pPr>
        <w:pStyle w:val="ListParagraph"/>
        <w:spacing w:before="120" w:after="0" w:line="240" w:lineRule="auto"/>
        <w:ind w:left="142" w:firstLine="567"/>
        <w:jc w:val="center"/>
        <w:rPr>
          <w:rFonts w:ascii="Times New Roman" w:hAnsi="Times New Roman" w:cs="Times New Roman"/>
          <w:i/>
          <w:iCs/>
          <w:sz w:val="24"/>
          <w:szCs w:val="24"/>
        </w:rPr>
      </w:pPr>
      <w:r w:rsidRPr="00322AEA">
        <w:rPr>
          <w:rFonts w:ascii="Times New Roman" w:hAnsi="Times New Roman" w:cs="Times New Roman"/>
          <w:noProof/>
          <w:sz w:val="24"/>
          <w:szCs w:val="24"/>
          <w:lang w:eastAsia="lv-LV"/>
        </w:rPr>
        <w:drawing>
          <wp:inline distT="0" distB="0" distL="0" distR="0" wp14:anchorId="7CB96FA6" wp14:editId="70FD40FE">
            <wp:extent cx="4975860" cy="1891862"/>
            <wp:effectExtent l="0" t="0" r="15240" b="13335"/>
            <wp:docPr id="7" name="Chart 7">
              <a:extLst xmlns:a="http://schemas.openxmlformats.org/drawingml/2006/main">
                <a:ext uri="{FF2B5EF4-FFF2-40B4-BE49-F238E27FC236}">
                  <a16:creationId xmlns:a16="http://schemas.microsoft.com/office/drawing/2014/main" id="{BD01AA3A-73D3-F88F-2217-F177C4D1C0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B00B1B1" w14:textId="77777777" w:rsidR="005D3FD4" w:rsidRPr="006C2909" w:rsidRDefault="005D3FD4" w:rsidP="005D3FD4">
      <w:pPr>
        <w:pStyle w:val="ListParagraph"/>
        <w:spacing w:before="120" w:after="0" w:line="240" w:lineRule="auto"/>
        <w:ind w:left="0" w:firstLine="567"/>
        <w:jc w:val="both"/>
        <w:rPr>
          <w:rFonts w:ascii="Times New Roman" w:hAnsi="Times New Roman" w:cs="Times New Roman"/>
          <w:sz w:val="20"/>
          <w:szCs w:val="20"/>
        </w:rPr>
      </w:pPr>
      <w:r w:rsidRPr="006C2909">
        <w:rPr>
          <w:rFonts w:ascii="Times New Roman" w:hAnsi="Times New Roman" w:cs="Times New Roman"/>
          <w:i/>
          <w:iCs/>
          <w:sz w:val="20"/>
          <w:szCs w:val="20"/>
        </w:rPr>
        <w:t>Avots - ECB, SDW</w:t>
      </w:r>
    </w:p>
    <w:p w14:paraId="24AD93E4" w14:textId="77777777" w:rsidR="005D3FD4" w:rsidRPr="0038045F" w:rsidRDefault="005D3FD4" w:rsidP="005D3FD4">
      <w:pPr>
        <w:spacing w:before="120" w:after="0" w:line="240" w:lineRule="auto"/>
        <w:ind w:firstLine="567"/>
        <w:jc w:val="both"/>
        <w:rPr>
          <w:rFonts w:ascii="Times New Roman" w:hAnsi="Times New Roman" w:cs="Times New Roman"/>
          <w:sz w:val="24"/>
          <w:szCs w:val="24"/>
        </w:rPr>
      </w:pPr>
      <w:r w:rsidRPr="00B350F5">
        <w:rPr>
          <w:rFonts w:ascii="Times New Roman" w:eastAsia="Times New Roman" w:hAnsi="Times New Roman" w:cs="Times New Roman"/>
          <w:b/>
          <w:color w:val="008080"/>
          <w:sz w:val="24"/>
          <w:szCs w:val="24"/>
          <w:lang w:eastAsia="lv-LV"/>
        </w:rPr>
        <w:t>Latvija atpaliek no Igaunijas un Lietuvas gan pēc investīciju apjoma, gan IKP izaugsmes uz vienu iedzīvotāju</w:t>
      </w:r>
      <w:r w:rsidRPr="0038045F">
        <w:rPr>
          <w:rFonts w:ascii="Times New Roman" w:hAnsi="Times New Roman" w:cs="Times New Roman"/>
          <w:sz w:val="24"/>
          <w:szCs w:val="24"/>
        </w:rPr>
        <w:t xml:space="preserve"> (</w:t>
      </w:r>
      <w:r>
        <w:rPr>
          <w:rFonts w:ascii="Times New Roman" w:hAnsi="Times New Roman" w:cs="Times New Roman"/>
          <w:sz w:val="24"/>
          <w:szCs w:val="24"/>
        </w:rPr>
        <w:t>skatīt Attēls Nr.</w:t>
      </w:r>
      <w:r w:rsidRPr="0038045F">
        <w:rPr>
          <w:rFonts w:ascii="Times New Roman" w:hAnsi="Times New Roman" w:cs="Times New Roman"/>
          <w:sz w:val="24"/>
          <w:szCs w:val="24"/>
        </w:rPr>
        <w:t xml:space="preserve">2., </w:t>
      </w:r>
      <w:r>
        <w:rPr>
          <w:rFonts w:ascii="Times New Roman" w:hAnsi="Times New Roman" w:cs="Times New Roman"/>
          <w:sz w:val="24"/>
          <w:szCs w:val="24"/>
        </w:rPr>
        <w:t>Attēls Nr.</w:t>
      </w:r>
      <w:r w:rsidRPr="0038045F">
        <w:rPr>
          <w:rFonts w:ascii="Times New Roman" w:hAnsi="Times New Roman" w:cs="Times New Roman"/>
          <w:sz w:val="24"/>
          <w:szCs w:val="24"/>
        </w:rPr>
        <w:t>3.). Pēdējos desmit gados vidējā izaugsme Igaunijā bija 3%, Lietuvā 3,2% un Latvijā 2,4%. IKP uz vienu iedzīvotāju 2021.</w:t>
      </w:r>
      <w:r>
        <w:rPr>
          <w:rFonts w:ascii="Times New Roman" w:hAnsi="Times New Roman" w:cs="Times New Roman"/>
          <w:sz w:val="24"/>
          <w:szCs w:val="24"/>
        </w:rPr>
        <w:t xml:space="preserve"> </w:t>
      </w:r>
      <w:r w:rsidRPr="0038045F">
        <w:rPr>
          <w:rFonts w:ascii="Times New Roman" w:hAnsi="Times New Roman" w:cs="Times New Roman"/>
          <w:sz w:val="24"/>
          <w:szCs w:val="24"/>
        </w:rPr>
        <w:t>gadā Latvijā sasniedza 12 970 EUR, Igaunijā 16 490 EUR un Lietuvā 14 820 EUR. Šobrīd investīciju lēmumus un jaunu investīciju projektu īstenošanu aizkavē kara izraisītā augstā nenoteiktība, mazinoties agresora valstīm tuvāko reģionu pievilcība, kā arī kredīta procentu likmju pieaugums, kas pakāpeniski kāpina izmaksas. Privātās investīcijas var sarukt arī saglabājoties recesijas riskiem.</w:t>
      </w:r>
    </w:p>
    <w:p w14:paraId="320F5B55" w14:textId="77777777" w:rsidR="005D3FD4" w:rsidRPr="00CA640E" w:rsidRDefault="005D3FD4" w:rsidP="005D3FD4">
      <w:pPr>
        <w:spacing w:before="120" w:after="0" w:line="240" w:lineRule="auto"/>
        <w:ind w:left="360" w:firstLine="567"/>
        <w:jc w:val="right"/>
        <w:rPr>
          <w:rFonts w:ascii="Times New Roman" w:hAnsi="Times New Roman" w:cs="Times New Roman"/>
          <w:sz w:val="24"/>
          <w:szCs w:val="24"/>
        </w:rPr>
      </w:pPr>
      <w:r w:rsidRPr="00CA640E">
        <w:rPr>
          <w:rFonts w:ascii="Times New Roman" w:hAnsi="Times New Roman" w:cs="Times New Roman"/>
          <w:sz w:val="24"/>
          <w:szCs w:val="24"/>
        </w:rPr>
        <w:t>Attēls Nr.2</w:t>
      </w:r>
    </w:p>
    <w:p w14:paraId="122FACFD" w14:textId="77777777" w:rsidR="005D3FD4" w:rsidRPr="005F43CF" w:rsidRDefault="005D3FD4" w:rsidP="005D3FD4">
      <w:pPr>
        <w:spacing w:before="120" w:after="0" w:line="240" w:lineRule="auto"/>
        <w:ind w:left="360" w:firstLine="567"/>
        <w:jc w:val="center"/>
        <w:rPr>
          <w:rFonts w:ascii="Times New Roman" w:hAnsi="Times New Roman" w:cs="Times New Roman"/>
          <w:b/>
          <w:bCs/>
          <w:sz w:val="24"/>
          <w:szCs w:val="24"/>
        </w:rPr>
      </w:pPr>
      <w:r w:rsidRPr="00E91A60">
        <w:rPr>
          <w:noProof/>
          <w:lang w:eastAsia="lv-LV"/>
        </w:rPr>
        <w:drawing>
          <wp:anchor distT="0" distB="0" distL="114300" distR="114300" simplePos="0" relativeHeight="251658248" behindDoc="1" locked="0" layoutInCell="1" allowOverlap="1" wp14:anchorId="3EB33CB2" wp14:editId="7D2C4C35">
            <wp:simplePos x="0" y="0"/>
            <wp:positionH relativeFrom="column">
              <wp:posOffset>1597025</wp:posOffset>
            </wp:positionH>
            <wp:positionV relativeFrom="paragraph">
              <wp:posOffset>277495</wp:posOffset>
            </wp:positionV>
            <wp:extent cx="3703955" cy="1666875"/>
            <wp:effectExtent l="0" t="0" r="0" b="0"/>
            <wp:wrapTopAndBottom/>
            <wp:docPr id="5" name="Picture 5" descr="Chart&#10;&#10;Description automatically generated">
              <a:extLst xmlns:a="http://schemas.openxmlformats.org/drawingml/2006/main">
                <a:ext uri="{FF2B5EF4-FFF2-40B4-BE49-F238E27FC236}">
                  <a16:creationId xmlns:a16="http://schemas.microsoft.com/office/drawing/2014/main" id="{DCEF91A0-168F-4F49-942C-2E44ADE63C4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 name="Content Placeholder 13" descr="Chart&#10;&#10;Description automatically generated">
                      <a:extLst>
                        <a:ext uri="{FF2B5EF4-FFF2-40B4-BE49-F238E27FC236}">
                          <a16:creationId xmlns:a16="http://schemas.microsoft.com/office/drawing/2014/main" id="{DCEF91A0-168F-4F49-942C-2E44ADE63C40}"/>
                        </a:ext>
                      </a:extLst>
                    </pic:cNvPr>
                    <pic:cNvPicPr>
                      <a:picLocks noGrp="1" noChangeAspect="1"/>
                    </pic:cNvPicPr>
                  </pic:nvPicPr>
                  <pic:blipFill rotWithShape="1">
                    <a:blip r:embed="rId12" cstate="print">
                      <a:extLst>
                        <a:ext uri="{28A0092B-C50C-407E-A947-70E740481C1C}">
                          <a14:useLocalDpi xmlns:a14="http://schemas.microsoft.com/office/drawing/2010/main" val="0"/>
                        </a:ext>
                      </a:extLst>
                    </a:blip>
                    <a:srcRect l="1500" t="8296" r="49136" b="9244"/>
                    <a:stretch/>
                  </pic:blipFill>
                  <pic:spPr bwMode="auto">
                    <a:xfrm>
                      <a:off x="0" y="0"/>
                      <a:ext cx="3703955" cy="166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F43CF">
        <w:rPr>
          <w:rFonts w:ascii="Times New Roman" w:hAnsi="Times New Roman" w:cs="Times New Roman"/>
          <w:b/>
          <w:bCs/>
          <w:sz w:val="24"/>
          <w:szCs w:val="24"/>
        </w:rPr>
        <w:t>Bruto pamatkapitāla veidošana (2000=100)</w:t>
      </w:r>
    </w:p>
    <w:p w14:paraId="4A0C28F8" w14:textId="77777777" w:rsidR="005D3FD4" w:rsidRPr="006C2909" w:rsidRDefault="005D3FD4" w:rsidP="005D3FD4">
      <w:pPr>
        <w:pStyle w:val="ListParagraph"/>
        <w:spacing w:after="0" w:line="240" w:lineRule="auto"/>
        <w:ind w:left="0" w:firstLine="360"/>
        <w:jc w:val="both"/>
        <w:rPr>
          <w:rFonts w:ascii="Times New Roman" w:hAnsi="Times New Roman" w:cs="Times New Roman"/>
          <w:sz w:val="20"/>
          <w:szCs w:val="20"/>
        </w:rPr>
      </w:pPr>
      <w:r w:rsidRPr="006C2909">
        <w:rPr>
          <w:rFonts w:ascii="Times New Roman" w:hAnsi="Times New Roman" w:cs="Times New Roman"/>
          <w:i/>
          <w:iCs/>
          <w:sz w:val="20"/>
          <w:szCs w:val="20"/>
        </w:rPr>
        <w:t>Avots – Latvijas produktivitātes ziņojums 2022</w:t>
      </w:r>
    </w:p>
    <w:p w14:paraId="4F8CA1BC" w14:textId="77777777" w:rsidR="005D3FD4" w:rsidRPr="00322AEA" w:rsidRDefault="005D3FD4" w:rsidP="005D3FD4">
      <w:pPr>
        <w:pStyle w:val="ListParagraph"/>
        <w:spacing w:before="120" w:after="0" w:line="240" w:lineRule="auto"/>
        <w:ind w:firstLine="567"/>
        <w:rPr>
          <w:rFonts w:ascii="Times New Roman" w:hAnsi="Times New Roman" w:cs="Times New Roman"/>
          <w:sz w:val="24"/>
          <w:szCs w:val="24"/>
        </w:rPr>
      </w:pPr>
    </w:p>
    <w:p w14:paraId="7DED8B17" w14:textId="77777777" w:rsidR="00A458C9" w:rsidRDefault="00A458C9">
      <w:pPr>
        <w:rPr>
          <w:rFonts w:ascii="Times New Roman" w:hAnsi="Times New Roman" w:cs="Times New Roman"/>
          <w:sz w:val="24"/>
          <w:szCs w:val="24"/>
        </w:rPr>
      </w:pPr>
      <w:r>
        <w:rPr>
          <w:rFonts w:ascii="Times New Roman" w:hAnsi="Times New Roman" w:cs="Times New Roman"/>
          <w:sz w:val="24"/>
          <w:szCs w:val="24"/>
        </w:rPr>
        <w:br w:type="page"/>
      </w:r>
    </w:p>
    <w:p w14:paraId="61259BDC" w14:textId="35043838" w:rsidR="005D3FD4" w:rsidRPr="00CA640E" w:rsidRDefault="005D3FD4" w:rsidP="005D3FD4">
      <w:pPr>
        <w:pStyle w:val="ListParagraph"/>
        <w:spacing w:before="120" w:after="0" w:line="240" w:lineRule="auto"/>
        <w:ind w:firstLine="567"/>
        <w:jc w:val="right"/>
        <w:rPr>
          <w:rFonts w:ascii="Times New Roman" w:hAnsi="Times New Roman" w:cs="Times New Roman"/>
          <w:sz w:val="24"/>
          <w:szCs w:val="24"/>
        </w:rPr>
      </w:pPr>
      <w:r w:rsidRPr="00CA640E">
        <w:rPr>
          <w:rFonts w:ascii="Times New Roman" w:hAnsi="Times New Roman" w:cs="Times New Roman"/>
          <w:sz w:val="24"/>
          <w:szCs w:val="24"/>
        </w:rPr>
        <w:lastRenderedPageBreak/>
        <w:t>Attēls Nr.3</w:t>
      </w:r>
    </w:p>
    <w:p w14:paraId="7AD93CB5" w14:textId="77777777" w:rsidR="005D3FD4" w:rsidRPr="005F43CF" w:rsidRDefault="005D3FD4" w:rsidP="005D3FD4">
      <w:pPr>
        <w:pStyle w:val="ListParagraph"/>
        <w:spacing w:before="120" w:after="0" w:line="240" w:lineRule="auto"/>
        <w:ind w:firstLine="567"/>
        <w:jc w:val="center"/>
        <w:rPr>
          <w:rFonts w:ascii="Times New Roman" w:hAnsi="Times New Roman" w:cs="Times New Roman"/>
          <w:b/>
          <w:bCs/>
          <w:sz w:val="24"/>
          <w:szCs w:val="24"/>
        </w:rPr>
      </w:pPr>
      <w:r w:rsidRPr="00E91A60">
        <w:rPr>
          <w:rFonts w:ascii="Times New Roman" w:hAnsi="Times New Roman" w:cs="Times New Roman"/>
          <w:b/>
          <w:noProof/>
          <w:sz w:val="24"/>
          <w:szCs w:val="24"/>
          <w:lang w:eastAsia="lv-LV"/>
        </w:rPr>
        <w:drawing>
          <wp:anchor distT="0" distB="0" distL="114300" distR="114300" simplePos="0" relativeHeight="251658243" behindDoc="0" locked="0" layoutInCell="1" allowOverlap="1" wp14:anchorId="27747B66" wp14:editId="3AAED27E">
            <wp:simplePos x="0" y="0"/>
            <wp:positionH relativeFrom="column">
              <wp:posOffset>1465580</wp:posOffset>
            </wp:positionH>
            <wp:positionV relativeFrom="paragraph">
              <wp:posOffset>265430</wp:posOffset>
            </wp:positionV>
            <wp:extent cx="3891280" cy="1697990"/>
            <wp:effectExtent l="0" t="0" r="0" b="0"/>
            <wp:wrapTopAndBottom/>
            <wp:docPr id="4" name="Picture 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histogram&#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t="11145" b="11301"/>
                    <a:stretch/>
                  </pic:blipFill>
                  <pic:spPr bwMode="auto">
                    <a:xfrm>
                      <a:off x="0" y="0"/>
                      <a:ext cx="3891280" cy="1697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F43CF">
        <w:rPr>
          <w:rFonts w:ascii="Times New Roman" w:hAnsi="Times New Roman" w:cs="Times New Roman"/>
          <w:b/>
          <w:bCs/>
          <w:sz w:val="24"/>
          <w:szCs w:val="24"/>
        </w:rPr>
        <w:t>IKP uz iedzīvotāju pēc pirktspējas (tūkst. EUR)</w:t>
      </w:r>
    </w:p>
    <w:p w14:paraId="7AFADA45" w14:textId="77777777" w:rsidR="005D3FD4" w:rsidRPr="006C2909" w:rsidRDefault="005D3FD4" w:rsidP="005D3FD4">
      <w:pPr>
        <w:pStyle w:val="ListParagraph"/>
        <w:spacing w:before="120" w:after="0" w:line="240" w:lineRule="auto"/>
        <w:ind w:left="0" w:firstLine="567"/>
        <w:jc w:val="both"/>
        <w:rPr>
          <w:rFonts w:ascii="Times New Roman" w:hAnsi="Times New Roman" w:cs="Times New Roman"/>
          <w:sz w:val="20"/>
          <w:szCs w:val="20"/>
        </w:rPr>
      </w:pPr>
      <w:r w:rsidRPr="006C2909">
        <w:rPr>
          <w:rFonts w:ascii="Times New Roman" w:hAnsi="Times New Roman" w:cs="Times New Roman"/>
          <w:i/>
          <w:iCs/>
          <w:sz w:val="20"/>
          <w:szCs w:val="20"/>
        </w:rPr>
        <w:t>Avots - Latvijas produktivitātes ziņojums 2022</w:t>
      </w:r>
    </w:p>
    <w:p w14:paraId="04948647" w14:textId="77777777" w:rsidR="005D3FD4" w:rsidRPr="00543290" w:rsidRDefault="005D3FD4" w:rsidP="005D3FD4">
      <w:pPr>
        <w:spacing w:after="60" w:line="240" w:lineRule="auto"/>
        <w:ind w:firstLine="567"/>
        <w:jc w:val="both"/>
        <w:rPr>
          <w:rFonts w:ascii="Times New Roman" w:hAnsi="Times New Roman" w:cs="Times New Roman"/>
          <w:sz w:val="24"/>
          <w:szCs w:val="24"/>
        </w:rPr>
      </w:pPr>
    </w:p>
    <w:p w14:paraId="50EFF2FC" w14:textId="695C83B0" w:rsidR="005D3FD4" w:rsidRPr="008B48B4" w:rsidRDefault="005D3FD4" w:rsidP="005D3FD4">
      <w:pPr>
        <w:spacing w:after="60" w:line="240" w:lineRule="auto"/>
        <w:ind w:firstLine="567"/>
        <w:jc w:val="both"/>
        <w:rPr>
          <w:rFonts w:ascii="Times New Roman" w:hAnsi="Times New Roman" w:cs="Times New Roman"/>
          <w:sz w:val="24"/>
          <w:szCs w:val="24"/>
        </w:rPr>
      </w:pPr>
      <w:r w:rsidRPr="00543290">
        <w:rPr>
          <w:rFonts w:ascii="Times New Roman" w:eastAsia="Times New Roman" w:hAnsi="Times New Roman" w:cs="Times New Roman"/>
          <w:b/>
          <w:color w:val="008080"/>
          <w:sz w:val="24"/>
          <w:szCs w:val="24"/>
          <w:lang w:eastAsia="lv-LV"/>
        </w:rPr>
        <w:t>Banku sektors ir labi kapitalizēts, bet kreditēšanas pieauguma dinamika bijusi neviendabīga</w:t>
      </w:r>
      <w:r w:rsidRPr="00543290">
        <w:rPr>
          <w:rFonts w:ascii="Times New Roman" w:hAnsi="Times New Roman" w:cs="Times New Roman"/>
          <w:sz w:val="24"/>
          <w:szCs w:val="24"/>
        </w:rPr>
        <w:t>.</w:t>
      </w:r>
      <w:r w:rsidRPr="00513EFA">
        <w:rPr>
          <w:rFonts w:ascii="Times New Roman" w:hAnsi="Times New Roman" w:cs="Times New Roman"/>
          <w:sz w:val="24"/>
          <w:szCs w:val="24"/>
        </w:rPr>
        <w:t xml:space="preserve"> Pēc skandāliem saistībā ar naudas atmazgāšanu caur Baltijas bankām un </w:t>
      </w:r>
      <w:proofErr w:type="spellStart"/>
      <w:r w:rsidRPr="00513EFA">
        <w:rPr>
          <w:rFonts w:ascii="Times New Roman" w:hAnsi="Times New Roman" w:cs="Times New Roman"/>
          <w:sz w:val="24"/>
          <w:szCs w:val="24"/>
        </w:rPr>
        <w:t>ārpussavienības</w:t>
      </w:r>
      <w:proofErr w:type="spellEnd"/>
      <w:r w:rsidRPr="00513EFA">
        <w:rPr>
          <w:rFonts w:ascii="Times New Roman" w:hAnsi="Times New Roman" w:cs="Times New Roman"/>
          <w:sz w:val="24"/>
          <w:szCs w:val="24"/>
        </w:rPr>
        <w:t xml:space="preserve"> valstu noguldījumiem banku sektors pēdējos gados ir samazinājies aizņemto līdzekļu īpatsvars, tāpēc kredīts nav bijis kopsolī ar ekonomiku (sk</w:t>
      </w:r>
      <w:r>
        <w:rPr>
          <w:rFonts w:ascii="Times New Roman" w:hAnsi="Times New Roman" w:cs="Times New Roman"/>
          <w:sz w:val="24"/>
          <w:szCs w:val="24"/>
        </w:rPr>
        <w:t>atīt A</w:t>
      </w:r>
      <w:r w:rsidRPr="00513EFA">
        <w:rPr>
          <w:rFonts w:ascii="Times New Roman" w:hAnsi="Times New Roman" w:cs="Times New Roman"/>
          <w:sz w:val="24"/>
          <w:szCs w:val="24"/>
        </w:rPr>
        <w:t>ttēl</w:t>
      </w:r>
      <w:r>
        <w:rPr>
          <w:rFonts w:ascii="Times New Roman" w:hAnsi="Times New Roman" w:cs="Times New Roman"/>
          <w:sz w:val="24"/>
          <w:szCs w:val="24"/>
        </w:rPr>
        <w:t>s</w:t>
      </w:r>
      <w:r w:rsidR="00C844A3">
        <w:rPr>
          <w:rFonts w:ascii="Times New Roman" w:hAnsi="Times New Roman" w:cs="Times New Roman"/>
          <w:sz w:val="24"/>
          <w:szCs w:val="24"/>
        </w:rPr>
        <w:t xml:space="preserve"> </w:t>
      </w:r>
      <w:r>
        <w:rPr>
          <w:rFonts w:ascii="Times New Roman" w:hAnsi="Times New Roman" w:cs="Times New Roman"/>
          <w:sz w:val="24"/>
          <w:szCs w:val="24"/>
        </w:rPr>
        <w:t>Nr. 4 un Attēls Nr. 5)</w:t>
      </w:r>
      <w:r w:rsidRPr="00513EFA">
        <w:rPr>
          <w:rFonts w:ascii="Times New Roman" w:hAnsi="Times New Roman" w:cs="Times New Roman"/>
          <w:sz w:val="24"/>
          <w:szCs w:val="24"/>
        </w:rPr>
        <w:t xml:space="preserve">. </w:t>
      </w:r>
      <w:proofErr w:type="spellStart"/>
      <w:r w:rsidRPr="00513EFA">
        <w:rPr>
          <w:rFonts w:ascii="Times New Roman" w:hAnsi="Times New Roman" w:cs="Times New Roman"/>
          <w:sz w:val="24"/>
          <w:szCs w:val="24"/>
        </w:rPr>
        <w:t>Nefinanšu</w:t>
      </w:r>
      <w:proofErr w:type="spellEnd"/>
      <w:r w:rsidRPr="00513EFA">
        <w:rPr>
          <w:rFonts w:ascii="Times New Roman" w:hAnsi="Times New Roman" w:cs="Times New Roman"/>
          <w:sz w:val="24"/>
          <w:szCs w:val="24"/>
        </w:rPr>
        <w:t xml:space="preserve"> sabiedrībām un mājsaimniecībām izsniegto kredītu attiecība pret IKP Latvijā joprojām ir otrā zemākā Eiropas Savienības valstu vidū, Latvijai apsteidzot vien Rumāniju. Bankas joprojām strādā ar peļņu visā reģionā ar zemu ienākumus nenesošo kredītu īpatsvaru un augstiem kapitāla pietiekamības rādītājiem, taču nozare joprojām ir salīdzinoši koncentrēta Lietuvā un Igaunijā.</w:t>
      </w:r>
    </w:p>
    <w:p w14:paraId="428AB3BA" w14:textId="77777777" w:rsidR="005D3FD4" w:rsidRDefault="005D3FD4" w:rsidP="005D3FD4">
      <w:pPr>
        <w:pStyle w:val="ListParagraph"/>
        <w:spacing w:before="120" w:after="0" w:line="240" w:lineRule="auto"/>
        <w:ind w:firstLine="567"/>
        <w:jc w:val="right"/>
        <w:rPr>
          <w:rFonts w:ascii="Times New Roman" w:hAnsi="Times New Roman" w:cs="Times New Roman"/>
          <w:sz w:val="24"/>
          <w:szCs w:val="24"/>
        </w:rPr>
      </w:pPr>
    </w:p>
    <w:p w14:paraId="33D015D4" w14:textId="77777777" w:rsidR="005D3FD4" w:rsidRPr="00344315" w:rsidRDefault="005D3FD4" w:rsidP="005D3FD4">
      <w:pPr>
        <w:pStyle w:val="ListParagraph"/>
        <w:spacing w:before="120" w:after="0" w:line="240" w:lineRule="auto"/>
        <w:ind w:firstLine="567"/>
        <w:jc w:val="right"/>
        <w:rPr>
          <w:rFonts w:ascii="Times New Roman" w:hAnsi="Times New Roman" w:cs="Times New Roman"/>
          <w:sz w:val="24"/>
          <w:szCs w:val="24"/>
        </w:rPr>
      </w:pPr>
      <w:r w:rsidRPr="00344315">
        <w:rPr>
          <w:rFonts w:ascii="Times New Roman" w:hAnsi="Times New Roman" w:cs="Times New Roman"/>
          <w:sz w:val="24"/>
          <w:szCs w:val="24"/>
        </w:rPr>
        <w:t>Attēls Nr.4</w:t>
      </w:r>
    </w:p>
    <w:p w14:paraId="50E24626" w14:textId="77777777" w:rsidR="005D3FD4" w:rsidRPr="00295607" w:rsidRDefault="005D3FD4" w:rsidP="005D3FD4">
      <w:pPr>
        <w:pStyle w:val="ListParagraph"/>
        <w:spacing w:before="120" w:after="0" w:line="240" w:lineRule="auto"/>
        <w:ind w:firstLine="567"/>
        <w:jc w:val="center"/>
        <w:rPr>
          <w:rFonts w:ascii="Times New Roman" w:hAnsi="Times New Roman" w:cs="Times New Roman"/>
          <w:sz w:val="24"/>
          <w:szCs w:val="24"/>
        </w:rPr>
      </w:pPr>
      <w:r w:rsidRPr="005F43CF">
        <w:rPr>
          <w:rFonts w:ascii="Times New Roman" w:hAnsi="Times New Roman" w:cs="Times New Roman"/>
          <w:b/>
          <w:bCs/>
          <w:sz w:val="24"/>
          <w:szCs w:val="24"/>
        </w:rPr>
        <w:t xml:space="preserve">Kredīti </w:t>
      </w:r>
      <w:proofErr w:type="spellStart"/>
      <w:r w:rsidRPr="005F43CF">
        <w:rPr>
          <w:rFonts w:ascii="Times New Roman" w:hAnsi="Times New Roman" w:cs="Times New Roman"/>
          <w:b/>
          <w:bCs/>
          <w:sz w:val="24"/>
          <w:szCs w:val="24"/>
        </w:rPr>
        <w:t>nefinanšu</w:t>
      </w:r>
      <w:proofErr w:type="spellEnd"/>
      <w:r w:rsidRPr="005F43CF">
        <w:rPr>
          <w:rFonts w:ascii="Times New Roman" w:hAnsi="Times New Roman" w:cs="Times New Roman"/>
          <w:b/>
          <w:bCs/>
          <w:sz w:val="24"/>
          <w:szCs w:val="24"/>
        </w:rPr>
        <w:t xml:space="preserve"> sabiedrībām un mājsaimniecībām ES valstīs 2022. gadā </w:t>
      </w:r>
      <w:r w:rsidRPr="00295607">
        <w:rPr>
          <w:rFonts w:ascii="Times New Roman" w:hAnsi="Times New Roman" w:cs="Times New Roman"/>
          <w:sz w:val="24"/>
          <w:szCs w:val="24"/>
        </w:rPr>
        <w:t>(atlikums; % no IKP)</w:t>
      </w:r>
    </w:p>
    <w:p w14:paraId="13AA06DF" w14:textId="77777777" w:rsidR="005D3FD4" w:rsidRPr="006075E2" w:rsidRDefault="005D3FD4" w:rsidP="005D3FD4">
      <w:pPr>
        <w:pStyle w:val="ListParagraph"/>
        <w:spacing w:before="120" w:after="0" w:line="240" w:lineRule="auto"/>
        <w:ind w:firstLine="567"/>
        <w:jc w:val="center"/>
        <w:rPr>
          <w:rFonts w:ascii="Times New Roman" w:hAnsi="Times New Roman" w:cs="Times New Roman"/>
          <w:sz w:val="24"/>
          <w:szCs w:val="24"/>
        </w:rPr>
      </w:pPr>
      <w:r w:rsidRPr="00E91A60">
        <w:rPr>
          <w:rFonts w:ascii="Times New Roman" w:hAnsi="Times New Roman" w:cs="Times New Roman"/>
          <w:noProof/>
          <w:sz w:val="24"/>
          <w:szCs w:val="24"/>
        </w:rPr>
        <w:drawing>
          <wp:inline distT="0" distB="0" distL="0" distR="0" wp14:anchorId="5FCE0ED4" wp14:editId="7F1BB9CC">
            <wp:extent cx="4886325" cy="2483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99366" cy="2490384"/>
                    </a:xfrm>
                    <a:prstGeom prst="rect">
                      <a:avLst/>
                    </a:prstGeom>
                  </pic:spPr>
                </pic:pic>
              </a:graphicData>
            </a:graphic>
          </wp:inline>
        </w:drawing>
      </w:r>
    </w:p>
    <w:p w14:paraId="7CD659BF" w14:textId="77777777" w:rsidR="005D3FD4" w:rsidRPr="006C2909" w:rsidRDefault="005D3FD4" w:rsidP="005D3FD4">
      <w:pPr>
        <w:spacing w:after="0" w:line="240" w:lineRule="auto"/>
        <w:ind w:firstLine="567"/>
        <w:jc w:val="both"/>
        <w:rPr>
          <w:rFonts w:ascii="Times New Roman" w:hAnsi="Times New Roman" w:cs="Times New Roman"/>
          <w:sz w:val="20"/>
          <w:szCs w:val="20"/>
        </w:rPr>
      </w:pPr>
      <w:bookmarkStart w:id="0" w:name="_Hlk142473220"/>
      <w:r w:rsidRPr="006C2909">
        <w:rPr>
          <w:rFonts w:ascii="Times New Roman" w:hAnsi="Times New Roman" w:cs="Times New Roman"/>
          <w:i/>
          <w:iCs/>
          <w:sz w:val="20"/>
          <w:szCs w:val="20"/>
        </w:rPr>
        <w:t xml:space="preserve">Avots - ECB, </w:t>
      </w:r>
      <w:proofErr w:type="spellStart"/>
      <w:r w:rsidRPr="006C2909">
        <w:rPr>
          <w:rFonts w:ascii="Times New Roman" w:hAnsi="Times New Roman" w:cs="Times New Roman"/>
          <w:i/>
          <w:iCs/>
          <w:sz w:val="20"/>
          <w:szCs w:val="20"/>
        </w:rPr>
        <w:t>Eurostat</w:t>
      </w:r>
      <w:bookmarkEnd w:id="0"/>
      <w:proofErr w:type="spellEnd"/>
    </w:p>
    <w:p w14:paraId="68271ACE" w14:textId="77777777" w:rsidR="005D3FD4" w:rsidRDefault="005D3FD4" w:rsidP="005D3FD4">
      <w:pPr>
        <w:spacing w:after="0"/>
        <w:jc w:val="right"/>
        <w:rPr>
          <w:rFonts w:ascii="Times New Roman" w:hAnsi="Times New Roman" w:cs="Times New Roman"/>
          <w:sz w:val="24"/>
          <w:szCs w:val="24"/>
        </w:rPr>
      </w:pPr>
    </w:p>
    <w:p w14:paraId="02943CA5" w14:textId="77777777" w:rsidR="005D3FD4" w:rsidRDefault="005D3FD4" w:rsidP="005D3FD4">
      <w:pPr>
        <w:spacing w:after="0"/>
        <w:jc w:val="right"/>
        <w:rPr>
          <w:rFonts w:ascii="Times New Roman" w:hAnsi="Times New Roman" w:cs="Times New Roman"/>
          <w:sz w:val="24"/>
          <w:szCs w:val="24"/>
        </w:rPr>
      </w:pPr>
    </w:p>
    <w:p w14:paraId="3F399F11" w14:textId="77777777" w:rsidR="005D3FD4" w:rsidRDefault="005D3FD4" w:rsidP="005D3FD4">
      <w:pPr>
        <w:spacing w:after="0"/>
        <w:jc w:val="right"/>
        <w:rPr>
          <w:rFonts w:ascii="Times New Roman" w:hAnsi="Times New Roman" w:cs="Times New Roman"/>
          <w:sz w:val="24"/>
          <w:szCs w:val="24"/>
        </w:rPr>
      </w:pPr>
    </w:p>
    <w:p w14:paraId="056A76A6" w14:textId="77777777" w:rsidR="005D3FD4" w:rsidRDefault="005D3FD4" w:rsidP="005D3FD4">
      <w:pPr>
        <w:spacing w:after="0"/>
        <w:jc w:val="right"/>
        <w:rPr>
          <w:rFonts w:ascii="Times New Roman" w:hAnsi="Times New Roman" w:cs="Times New Roman"/>
          <w:sz w:val="24"/>
          <w:szCs w:val="24"/>
        </w:rPr>
      </w:pPr>
    </w:p>
    <w:p w14:paraId="6D2190CE" w14:textId="77777777" w:rsidR="005D3FD4" w:rsidRDefault="005D3FD4" w:rsidP="005D3FD4">
      <w:pPr>
        <w:spacing w:after="0"/>
        <w:jc w:val="right"/>
        <w:rPr>
          <w:rFonts w:ascii="Times New Roman" w:hAnsi="Times New Roman" w:cs="Times New Roman"/>
          <w:sz w:val="24"/>
          <w:szCs w:val="24"/>
        </w:rPr>
      </w:pPr>
    </w:p>
    <w:p w14:paraId="5EDFFC8F" w14:textId="77777777" w:rsidR="005D3FD4" w:rsidRDefault="005D3FD4" w:rsidP="005D3FD4">
      <w:pPr>
        <w:spacing w:after="0"/>
        <w:jc w:val="right"/>
        <w:rPr>
          <w:rFonts w:ascii="Times New Roman" w:hAnsi="Times New Roman" w:cs="Times New Roman"/>
          <w:sz w:val="24"/>
          <w:szCs w:val="24"/>
        </w:rPr>
      </w:pPr>
    </w:p>
    <w:p w14:paraId="7030AE97" w14:textId="77777777" w:rsidR="005D3FD4" w:rsidRDefault="005D3FD4" w:rsidP="005D3FD4">
      <w:pPr>
        <w:spacing w:after="0"/>
        <w:jc w:val="right"/>
        <w:rPr>
          <w:rFonts w:ascii="Times New Roman" w:hAnsi="Times New Roman" w:cs="Times New Roman"/>
          <w:sz w:val="24"/>
          <w:szCs w:val="24"/>
        </w:rPr>
      </w:pPr>
    </w:p>
    <w:p w14:paraId="171428F7" w14:textId="77777777" w:rsidR="005D3FD4" w:rsidRDefault="005D3FD4" w:rsidP="005D3FD4">
      <w:pPr>
        <w:spacing w:after="0"/>
        <w:jc w:val="right"/>
        <w:rPr>
          <w:rFonts w:ascii="Times New Roman" w:hAnsi="Times New Roman" w:cs="Times New Roman"/>
          <w:sz w:val="24"/>
          <w:szCs w:val="24"/>
        </w:rPr>
      </w:pPr>
    </w:p>
    <w:p w14:paraId="355649AD" w14:textId="77777777" w:rsidR="005D3FD4" w:rsidRDefault="005D3FD4" w:rsidP="005D3FD4">
      <w:pPr>
        <w:spacing w:after="0"/>
        <w:jc w:val="right"/>
        <w:rPr>
          <w:rFonts w:ascii="Times New Roman" w:hAnsi="Times New Roman" w:cs="Times New Roman"/>
          <w:sz w:val="24"/>
          <w:szCs w:val="24"/>
        </w:rPr>
      </w:pPr>
    </w:p>
    <w:p w14:paraId="463DF231" w14:textId="68495B8E" w:rsidR="005D3FD4" w:rsidRDefault="005D3FD4" w:rsidP="005D3FD4">
      <w:pPr>
        <w:spacing w:after="0"/>
        <w:jc w:val="right"/>
        <w:rPr>
          <w:rFonts w:ascii="Times New Roman" w:hAnsi="Times New Roman" w:cs="Times New Roman"/>
          <w:sz w:val="24"/>
          <w:szCs w:val="24"/>
        </w:rPr>
      </w:pPr>
      <w:r>
        <w:rPr>
          <w:rFonts w:ascii="Times New Roman" w:hAnsi="Times New Roman" w:cs="Times New Roman"/>
          <w:sz w:val="24"/>
          <w:szCs w:val="24"/>
        </w:rPr>
        <w:lastRenderedPageBreak/>
        <w:t>Attēls Nr.5</w:t>
      </w:r>
    </w:p>
    <w:p w14:paraId="51811ABD" w14:textId="77777777" w:rsidR="005D3FD4" w:rsidRDefault="005D3FD4" w:rsidP="005D3FD4">
      <w:pPr>
        <w:spacing w:before="120" w:after="0" w:line="240" w:lineRule="auto"/>
        <w:ind w:firstLine="567"/>
        <w:jc w:val="center"/>
        <w:rPr>
          <w:rFonts w:ascii="Times New Roman" w:hAnsi="Times New Roman" w:cs="Times New Roman"/>
          <w:b/>
          <w:bCs/>
          <w:sz w:val="24"/>
          <w:szCs w:val="24"/>
        </w:rPr>
      </w:pPr>
      <w:r w:rsidRPr="001A526D">
        <w:rPr>
          <w:rFonts w:ascii="Times New Roman" w:hAnsi="Times New Roman" w:cs="Times New Roman"/>
          <w:b/>
          <w:bCs/>
          <w:sz w:val="24"/>
          <w:szCs w:val="24"/>
        </w:rPr>
        <w:t>Rezidentu kredītu un noguldījumu atlikumi (milj. EUR)</w:t>
      </w:r>
    </w:p>
    <w:p w14:paraId="60EBB5CD" w14:textId="77777777" w:rsidR="005D3FD4" w:rsidRPr="001A526D" w:rsidRDefault="005D3FD4" w:rsidP="005D3FD4">
      <w:pPr>
        <w:spacing w:before="120" w:after="0" w:line="240" w:lineRule="auto"/>
        <w:ind w:firstLine="567"/>
        <w:jc w:val="center"/>
        <w:rPr>
          <w:rFonts w:ascii="Times New Roman" w:hAnsi="Times New Roman" w:cs="Times New Roman"/>
          <w:b/>
          <w:bCs/>
          <w:sz w:val="24"/>
          <w:szCs w:val="24"/>
        </w:rPr>
      </w:pPr>
      <w:r w:rsidRPr="00322AEA">
        <w:rPr>
          <w:rFonts w:ascii="Times New Roman" w:hAnsi="Times New Roman" w:cs="Times New Roman"/>
          <w:noProof/>
        </w:rPr>
        <w:drawing>
          <wp:inline distT="0" distB="0" distL="0" distR="0" wp14:anchorId="65B3BEB1" wp14:editId="3BA7889B">
            <wp:extent cx="3828415" cy="1690856"/>
            <wp:effectExtent l="0" t="0" r="635" b="5080"/>
            <wp:docPr id="12" name="Picture 12">
              <a:extLst xmlns:a="http://schemas.openxmlformats.org/drawingml/2006/main">
                <a:ext uri="{FF2B5EF4-FFF2-40B4-BE49-F238E27FC236}">
                  <a16:creationId xmlns:a16="http://schemas.microsoft.com/office/drawing/2014/main" id="{7DEA4A03-4662-36C5-87F9-8786309D2B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7DEA4A03-4662-36C5-87F9-8786309D2B31}"/>
                        </a:ext>
                      </a:extLst>
                    </pic:cNvPr>
                    <pic:cNvPicPr>
                      <a:picLocks noChangeAspect="1"/>
                    </pic:cNvPicPr>
                  </pic:nvPicPr>
                  <pic:blipFill rotWithShape="1">
                    <a:blip r:embed="rId15"/>
                    <a:srcRect t="13500"/>
                    <a:stretch/>
                  </pic:blipFill>
                  <pic:spPr>
                    <a:xfrm>
                      <a:off x="0" y="0"/>
                      <a:ext cx="3853516" cy="1701942"/>
                    </a:xfrm>
                    <a:prstGeom prst="rect">
                      <a:avLst/>
                    </a:prstGeom>
                  </pic:spPr>
                </pic:pic>
              </a:graphicData>
            </a:graphic>
          </wp:inline>
        </w:drawing>
      </w:r>
    </w:p>
    <w:p w14:paraId="4DAA5DF3" w14:textId="77777777" w:rsidR="005D3FD4" w:rsidRPr="006C2909" w:rsidRDefault="005D3FD4" w:rsidP="005D3FD4">
      <w:pPr>
        <w:spacing w:after="0" w:line="240" w:lineRule="auto"/>
        <w:ind w:firstLine="567"/>
        <w:jc w:val="both"/>
        <w:rPr>
          <w:rFonts w:ascii="Times New Roman" w:hAnsi="Times New Roman" w:cs="Times New Roman"/>
          <w:i/>
          <w:iCs/>
          <w:sz w:val="20"/>
          <w:szCs w:val="20"/>
        </w:rPr>
      </w:pPr>
      <w:r w:rsidRPr="006C2909">
        <w:rPr>
          <w:rFonts w:ascii="Times New Roman" w:hAnsi="Times New Roman" w:cs="Times New Roman"/>
          <w:i/>
          <w:iCs/>
          <w:sz w:val="20"/>
          <w:szCs w:val="20"/>
        </w:rPr>
        <w:t>Avots – Latvijas Banka</w:t>
      </w:r>
    </w:p>
    <w:p w14:paraId="1BE3235F"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A30D68">
        <w:rPr>
          <w:rFonts w:ascii="Times New Roman" w:hAnsi="Times New Roman" w:cs="Times New Roman"/>
          <w:sz w:val="24"/>
          <w:szCs w:val="24"/>
        </w:rPr>
        <w:t>Lai gan dažās kredītiestādēs un dažos kreditēšanas segmentos – piemēram, mājsaimniecībām mājokļa iegādei – kreditēšana turpina attīstīties inerces ietekmē, kāpumam gan palēninoties, citās</w:t>
      </w:r>
      <w:r w:rsidRPr="00A30D68">
        <w:rPr>
          <w:rFonts w:ascii="Times New Roman" w:hAnsi="Times New Roman" w:cs="Times New Roman"/>
          <w:b/>
          <w:bCs/>
          <w:sz w:val="24"/>
          <w:szCs w:val="24"/>
        </w:rPr>
        <w:t xml:space="preserve"> </w:t>
      </w:r>
      <w:r w:rsidRPr="0089342C">
        <w:rPr>
          <w:rFonts w:ascii="Times New Roman" w:eastAsia="Times New Roman" w:hAnsi="Times New Roman" w:cs="Times New Roman"/>
          <w:b/>
          <w:color w:val="008080"/>
          <w:sz w:val="24"/>
          <w:szCs w:val="24"/>
          <w:lang w:eastAsia="lv-LV"/>
        </w:rPr>
        <w:t>kredītiestādēs un kreditēšanas segmentos nenoteiktība un risku kāpums negatīvi ietekmē kreditēšanas nosacījumus un pieprasījumu</w:t>
      </w:r>
      <w:r w:rsidRPr="00A30D68">
        <w:rPr>
          <w:rFonts w:ascii="Times New Roman" w:hAnsi="Times New Roman" w:cs="Times New Roman"/>
          <w:sz w:val="24"/>
          <w:szCs w:val="24"/>
        </w:rPr>
        <w:t>. Mazinās gan banku riska apetīte, gan uzņēmēju vēlme aizņemties, īpaši investīciju mērķiem.</w:t>
      </w:r>
      <w:r>
        <w:rPr>
          <w:rFonts w:ascii="Times New Roman" w:hAnsi="Times New Roman" w:cs="Times New Roman"/>
          <w:sz w:val="24"/>
          <w:szCs w:val="24"/>
        </w:rPr>
        <w:t xml:space="preserve"> </w:t>
      </w:r>
      <w:r w:rsidRPr="00C438B9">
        <w:rPr>
          <w:rFonts w:ascii="Times New Roman" w:hAnsi="Times New Roman" w:cs="Times New Roman"/>
          <w:sz w:val="24"/>
          <w:szCs w:val="24"/>
        </w:rPr>
        <w:t>E</w:t>
      </w:r>
      <w:r>
        <w:rPr>
          <w:rFonts w:ascii="Times New Roman" w:hAnsi="Times New Roman" w:cs="Times New Roman"/>
          <w:sz w:val="24"/>
          <w:szCs w:val="24"/>
        </w:rPr>
        <w:t>iropas Centrālās Bankas</w:t>
      </w:r>
      <w:r w:rsidRPr="00C438B9">
        <w:rPr>
          <w:rFonts w:ascii="Times New Roman" w:hAnsi="Times New Roman" w:cs="Times New Roman"/>
          <w:sz w:val="24"/>
          <w:szCs w:val="24"/>
        </w:rPr>
        <w:t xml:space="preserve"> lēmums par strauju procentu likmju celšanu ļauj kredītiestādēm veikt pietiekami izdevīgus </w:t>
      </w:r>
      <w:proofErr w:type="spellStart"/>
      <w:r w:rsidRPr="00C438B9">
        <w:rPr>
          <w:rFonts w:ascii="Times New Roman" w:hAnsi="Times New Roman" w:cs="Times New Roman"/>
          <w:sz w:val="24"/>
          <w:szCs w:val="24"/>
        </w:rPr>
        <w:t>bezriska</w:t>
      </w:r>
      <w:proofErr w:type="spellEnd"/>
      <w:r w:rsidRPr="00C438B9">
        <w:rPr>
          <w:rFonts w:ascii="Times New Roman" w:hAnsi="Times New Roman" w:cs="Times New Roman"/>
          <w:sz w:val="24"/>
          <w:szCs w:val="24"/>
        </w:rPr>
        <w:t xml:space="preserve"> noguldījumus Latvijas Bankā. Tādējādi kredītiestādes joprojām saglabā nozīmīgu likvīdo aktīvu apjomu. </w:t>
      </w:r>
      <w:r>
        <w:rPr>
          <w:rFonts w:ascii="Times New Roman" w:hAnsi="Times New Roman" w:cs="Times New Roman"/>
          <w:sz w:val="24"/>
          <w:szCs w:val="24"/>
        </w:rPr>
        <w:t>Savukārt</w:t>
      </w:r>
      <w:r w:rsidRPr="00C438B9">
        <w:rPr>
          <w:rFonts w:ascii="Times New Roman" w:hAnsi="Times New Roman" w:cs="Times New Roman"/>
          <w:sz w:val="24"/>
          <w:szCs w:val="24"/>
        </w:rPr>
        <w:t>, Ziemeļvalstu banku meitas sabiedrības aizdeva daļu no likvīdajiem aktīviem mātes bankām, kas atspoguļots prasību pret kredītiestādēm pieaugumā. Iekšzemes noguldījumu apjoms būtiski pārsniedz kredītiestāžu iekšzemes kredītportfeli, tāpēc centralizētas finanšu līdzekļu pārvaldības ietvaros iekšzemē piesaistītie līdzekļi daļēji tiek pārvaldīti banku grupas ietvaros.</w:t>
      </w:r>
    </w:p>
    <w:p w14:paraId="73D0C328" w14:textId="77777777" w:rsidR="005D3FD4" w:rsidRDefault="005D3FD4" w:rsidP="005D3FD4">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N</w:t>
      </w:r>
      <w:r w:rsidRPr="000D2AA2">
        <w:rPr>
          <w:rFonts w:ascii="Times New Roman" w:hAnsi="Times New Roman" w:cs="Times New Roman"/>
          <w:sz w:val="24"/>
          <w:szCs w:val="24"/>
        </w:rPr>
        <w:t xml:space="preserve">oguldījumu likmes ir galvenais banku finansējuma avots Latvijā, līdz ar to arī noguldījumu likmes ir galvenais etalons, pret kuru mērīt kredītu likmes. Latvijas bankām jau ilgstoši (drīz vien pēc eiro ieviešanas varējām novērot pakāpenisku līdzekļu akumulēšanos Latvijas Bankas norēķinu kontos) ir izveidojušies ievērojami naudas līdzekļu uzkrājumi (likviditātes pārpalikums), līdz ar to tām nav nepieciešams papildus aizņemties no </w:t>
      </w:r>
      <w:r w:rsidRPr="00322AEA">
        <w:rPr>
          <w:rFonts w:ascii="Times New Roman" w:hAnsi="Times New Roman" w:cs="Times New Roman"/>
          <w:sz w:val="24"/>
          <w:szCs w:val="24"/>
        </w:rPr>
        <w:t xml:space="preserve">Eiropas </w:t>
      </w:r>
      <w:r>
        <w:rPr>
          <w:rFonts w:ascii="Times New Roman" w:hAnsi="Times New Roman" w:cs="Times New Roman"/>
          <w:sz w:val="24"/>
          <w:szCs w:val="24"/>
        </w:rPr>
        <w:t>C</w:t>
      </w:r>
      <w:r w:rsidRPr="00322AEA">
        <w:rPr>
          <w:rFonts w:ascii="Times New Roman" w:hAnsi="Times New Roman" w:cs="Times New Roman"/>
          <w:sz w:val="24"/>
          <w:szCs w:val="24"/>
        </w:rPr>
        <w:t>entrālās</w:t>
      </w:r>
      <w:r>
        <w:rPr>
          <w:rFonts w:ascii="Times New Roman" w:hAnsi="Times New Roman" w:cs="Times New Roman"/>
          <w:sz w:val="24"/>
          <w:szCs w:val="24"/>
        </w:rPr>
        <w:t xml:space="preserve"> B</w:t>
      </w:r>
      <w:r w:rsidRPr="00322AEA">
        <w:rPr>
          <w:rFonts w:ascii="Times New Roman" w:hAnsi="Times New Roman" w:cs="Times New Roman"/>
          <w:sz w:val="24"/>
          <w:szCs w:val="24"/>
        </w:rPr>
        <w:t>ankas</w:t>
      </w:r>
      <w:r w:rsidRPr="000D2AA2">
        <w:rPr>
          <w:rFonts w:ascii="Times New Roman" w:hAnsi="Times New Roman" w:cs="Times New Roman"/>
          <w:sz w:val="24"/>
          <w:szCs w:val="24"/>
        </w:rPr>
        <w:t>, jo visus kredītiem nepieciešamos līdzekļus tām sagādā noguldītāji. Ja 2014. gadā banku izsniegto iekšzemes kredītu un noguldījumu attiecība Latvijas bankās veidoja 1.44, tad šobrīd šī attiecība ir 0.75 (tātad bankas varētu palielināt kredītportfeli vēl par 30 %, neizmantojot nekādu citu ārēju finansējumu).</w:t>
      </w:r>
    </w:p>
    <w:p w14:paraId="2ADBD8F5" w14:textId="77777777" w:rsidR="005D3FD4" w:rsidRDefault="005D3FD4" w:rsidP="005D3FD4">
      <w:pPr>
        <w:spacing w:before="120"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Attēls Nr.6</w:t>
      </w:r>
    </w:p>
    <w:p w14:paraId="4F1EF98F" w14:textId="77777777" w:rsidR="005D3FD4" w:rsidRPr="006C3C8C" w:rsidRDefault="005D3FD4" w:rsidP="005D3FD4">
      <w:pPr>
        <w:spacing w:after="0" w:line="240" w:lineRule="auto"/>
        <w:ind w:firstLine="567"/>
        <w:jc w:val="center"/>
        <w:rPr>
          <w:rFonts w:ascii="Times New Roman" w:hAnsi="Times New Roman" w:cs="Times New Roman"/>
          <w:b/>
          <w:bCs/>
          <w:sz w:val="24"/>
          <w:szCs w:val="24"/>
        </w:rPr>
      </w:pPr>
      <w:r w:rsidRPr="006C3C8C">
        <w:rPr>
          <w:rFonts w:ascii="Times New Roman" w:hAnsi="Times New Roman" w:cs="Times New Roman"/>
          <w:b/>
          <w:bCs/>
          <w:sz w:val="24"/>
          <w:szCs w:val="24"/>
        </w:rPr>
        <w:t>Rezidentu kredītu un noguldījumu likmes, %</w:t>
      </w:r>
    </w:p>
    <w:p w14:paraId="7258B285" w14:textId="77777777" w:rsidR="005D3FD4" w:rsidRDefault="005D3FD4" w:rsidP="005D3FD4">
      <w:pPr>
        <w:spacing w:before="120" w:after="0" w:line="240" w:lineRule="auto"/>
        <w:ind w:firstLine="567"/>
        <w:jc w:val="center"/>
        <w:rPr>
          <w:rFonts w:ascii="Times New Roman" w:hAnsi="Times New Roman" w:cs="Times New Roman"/>
          <w:sz w:val="24"/>
          <w:szCs w:val="24"/>
        </w:rPr>
      </w:pPr>
      <w:r w:rsidRPr="00322AEA">
        <w:rPr>
          <w:rFonts w:ascii="Times New Roman" w:hAnsi="Times New Roman" w:cs="Times New Roman"/>
          <w:noProof/>
        </w:rPr>
        <w:drawing>
          <wp:inline distT="0" distB="0" distL="0" distR="0" wp14:anchorId="25308943" wp14:editId="520E98D8">
            <wp:extent cx="4028880" cy="1819275"/>
            <wp:effectExtent l="0" t="0" r="0" b="0"/>
            <wp:docPr id="13" name="Picture 13">
              <a:extLst xmlns:a="http://schemas.openxmlformats.org/drawingml/2006/main">
                <a:ext uri="{FF2B5EF4-FFF2-40B4-BE49-F238E27FC236}">
                  <a16:creationId xmlns:a16="http://schemas.microsoft.com/office/drawing/2014/main" id="{70F909F0-0B7F-F1B4-C45F-3A78B61539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0F909F0-0B7F-F1B4-C45F-3A78B61539A4}"/>
                        </a:ext>
                      </a:extLst>
                    </pic:cNvPr>
                    <pic:cNvPicPr>
                      <a:picLocks noChangeAspect="1"/>
                    </pic:cNvPicPr>
                  </pic:nvPicPr>
                  <pic:blipFill rotWithShape="1">
                    <a:blip r:embed="rId16"/>
                    <a:srcRect t="10035" b="6162"/>
                    <a:stretch/>
                  </pic:blipFill>
                  <pic:spPr>
                    <a:xfrm>
                      <a:off x="0" y="0"/>
                      <a:ext cx="4033416" cy="1821323"/>
                    </a:xfrm>
                    <a:prstGeom prst="rect">
                      <a:avLst/>
                    </a:prstGeom>
                  </pic:spPr>
                </pic:pic>
              </a:graphicData>
            </a:graphic>
          </wp:inline>
        </w:drawing>
      </w:r>
    </w:p>
    <w:p w14:paraId="4FC594C6" w14:textId="77777777" w:rsidR="005D3FD4" w:rsidRPr="006C2909" w:rsidRDefault="005D3FD4" w:rsidP="005D3FD4">
      <w:pPr>
        <w:spacing w:after="0" w:line="240" w:lineRule="auto"/>
        <w:ind w:firstLine="567"/>
        <w:jc w:val="both"/>
        <w:rPr>
          <w:rFonts w:ascii="Times New Roman" w:hAnsi="Times New Roman" w:cs="Times New Roman"/>
          <w:i/>
          <w:iCs/>
          <w:sz w:val="20"/>
          <w:szCs w:val="20"/>
        </w:rPr>
      </w:pPr>
      <w:r w:rsidRPr="006C2909">
        <w:rPr>
          <w:rFonts w:ascii="Times New Roman" w:hAnsi="Times New Roman" w:cs="Times New Roman"/>
          <w:i/>
          <w:iCs/>
          <w:sz w:val="20"/>
          <w:szCs w:val="20"/>
        </w:rPr>
        <w:t>Avots – Latvijas Banka</w:t>
      </w:r>
    </w:p>
    <w:p w14:paraId="69E93E87" w14:textId="77777777" w:rsidR="005D3FD4" w:rsidRDefault="005D3FD4" w:rsidP="005D3FD4">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2023. gadā Eiropa tai skaitā Latvija izjuta Eiropas Centrālās Bankas agresīvo cīņu pret inflāciju, paaugstinot procentu likmes līdz 25 gadu augstākajam līmenim, kam seko hipotekāro un līzingu maksājuma palielināšanās. </w:t>
      </w:r>
      <w:r w:rsidRPr="00605212">
        <w:rPr>
          <w:rFonts w:ascii="Times New Roman" w:hAnsi="Times New Roman" w:cs="Times New Roman"/>
          <w:sz w:val="24"/>
          <w:szCs w:val="24"/>
        </w:rPr>
        <w:t xml:space="preserve">Likumsakarīgi, ka procentu likmju kāpums bremzējis arī kreditēšanas rādītājus: gan gada kāpuma tempus, gan kredītu attiecību pret </w:t>
      </w:r>
      <w:r>
        <w:rPr>
          <w:rFonts w:ascii="Times New Roman" w:hAnsi="Times New Roman" w:cs="Times New Roman"/>
          <w:sz w:val="24"/>
          <w:szCs w:val="24"/>
        </w:rPr>
        <w:t>IKP.</w:t>
      </w:r>
    </w:p>
    <w:p w14:paraId="3410AFA3" w14:textId="77777777" w:rsidR="005D3FD4" w:rsidRPr="00344315" w:rsidRDefault="005D3FD4" w:rsidP="005D3FD4">
      <w:pPr>
        <w:spacing w:after="0" w:line="240" w:lineRule="auto"/>
        <w:ind w:firstLine="567"/>
        <w:jc w:val="right"/>
        <w:rPr>
          <w:rFonts w:ascii="Times New Roman" w:hAnsi="Times New Roman" w:cs="Times New Roman"/>
          <w:sz w:val="24"/>
          <w:szCs w:val="24"/>
        </w:rPr>
      </w:pPr>
      <w:r w:rsidRPr="00344315">
        <w:rPr>
          <w:rFonts w:ascii="Times New Roman" w:hAnsi="Times New Roman" w:cs="Times New Roman"/>
          <w:sz w:val="24"/>
          <w:szCs w:val="24"/>
        </w:rPr>
        <w:t>Attēls Nr.</w:t>
      </w:r>
      <w:r>
        <w:rPr>
          <w:rFonts w:ascii="Times New Roman" w:hAnsi="Times New Roman" w:cs="Times New Roman"/>
          <w:sz w:val="24"/>
          <w:szCs w:val="24"/>
        </w:rPr>
        <w:t>7</w:t>
      </w:r>
    </w:p>
    <w:p w14:paraId="7F2EDDF2" w14:textId="77777777" w:rsidR="005D3FD4" w:rsidRPr="00EC3342" w:rsidRDefault="005D3FD4" w:rsidP="005D3FD4">
      <w:pPr>
        <w:spacing w:after="0" w:line="240" w:lineRule="auto"/>
        <w:ind w:firstLine="567"/>
        <w:jc w:val="center"/>
        <w:rPr>
          <w:rFonts w:ascii="Times New Roman" w:hAnsi="Times New Roman" w:cs="Times New Roman"/>
          <w:b/>
          <w:bCs/>
          <w:sz w:val="24"/>
          <w:szCs w:val="24"/>
        </w:rPr>
      </w:pPr>
      <w:r w:rsidRPr="00EC3342">
        <w:rPr>
          <w:rFonts w:ascii="Times New Roman" w:hAnsi="Times New Roman" w:cs="Times New Roman"/>
          <w:b/>
          <w:bCs/>
          <w:sz w:val="24"/>
          <w:szCs w:val="24"/>
        </w:rPr>
        <w:t>Kredīti eiro zonas uzņēmumiem un mājsaimniecībām</w:t>
      </w:r>
    </w:p>
    <w:p w14:paraId="44059608" w14:textId="77777777" w:rsidR="005D3FD4" w:rsidRPr="00EC3342" w:rsidRDefault="005D3FD4" w:rsidP="005D3FD4">
      <w:pPr>
        <w:spacing w:after="0" w:line="240" w:lineRule="auto"/>
        <w:ind w:firstLine="567"/>
        <w:jc w:val="center"/>
        <w:rPr>
          <w:rFonts w:ascii="Times New Roman" w:hAnsi="Times New Roman" w:cs="Times New Roman"/>
          <w:b/>
          <w:bCs/>
          <w:sz w:val="24"/>
          <w:szCs w:val="24"/>
        </w:rPr>
      </w:pPr>
      <w:r w:rsidRPr="00EC3342">
        <w:rPr>
          <w:rFonts w:ascii="Times New Roman" w:hAnsi="Times New Roman" w:cs="Times New Roman"/>
          <w:b/>
          <w:bCs/>
          <w:sz w:val="24"/>
          <w:szCs w:val="24"/>
        </w:rPr>
        <w:t>2021. un 2022., kā arī 2023. gada 1.ceturksņi (atlikumi; % no IKP)</w:t>
      </w:r>
    </w:p>
    <w:p w14:paraId="25599A55" w14:textId="77777777" w:rsidR="005D3FD4" w:rsidRDefault="005D3FD4" w:rsidP="005D3FD4">
      <w:pPr>
        <w:spacing w:after="0" w:line="240" w:lineRule="auto"/>
        <w:ind w:firstLine="567"/>
        <w:jc w:val="center"/>
        <w:rPr>
          <w:rFonts w:ascii="Times New Roman" w:hAnsi="Times New Roman" w:cs="Times New Roman"/>
          <w:sz w:val="24"/>
          <w:szCs w:val="24"/>
        </w:rPr>
      </w:pPr>
      <w:r w:rsidRPr="00E91A60">
        <w:rPr>
          <w:rFonts w:ascii="Times New Roman" w:hAnsi="Times New Roman" w:cs="Times New Roman"/>
          <w:noProof/>
          <w:sz w:val="24"/>
          <w:szCs w:val="24"/>
        </w:rPr>
        <w:drawing>
          <wp:inline distT="0" distB="0" distL="0" distR="0" wp14:anchorId="150A7794" wp14:editId="4D9A2BD3">
            <wp:extent cx="5274310" cy="259905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599055"/>
                    </a:xfrm>
                    <a:prstGeom prst="rect">
                      <a:avLst/>
                    </a:prstGeom>
                  </pic:spPr>
                </pic:pic>
              </a:graphicData>
            </a:graphic>
          </wp:inline>
        </w:drawing>
      </w:r>
    </w:p>
    <w:p w14:paraId="79827828" w14:textId="77777777" w:rsidR="005D3FD4" w:rsidRPr="006C2909" w:rsidRDefault="005D3FD4" w:rsidP="005D3FD4">
      <w:pPr>
        <w:spacing w:after="0" w:line="240" w:lineRule="auto"/>
        <w:ind w:firstLine="567"/>
        <w:jc w:val="both"/>
        <w:rPr>
          <w:rFonts w:ascii="Times New Roman" w:hAnsi="Times New Roman" w:cs="Times New Roman"/>
          <w:i/>
          <w:iCs/>
          <w:sz w:val="20"/>
          <w:szCs w:val="20"/>
        </w:rPr>
      </w:pPr>
      <w:bookmarkStart w:id="1" w:name="_Hlk142474495"/>
      <w:r w:rsidRPr="006C2909">
        <w:rPr>
          <w:rFonts w:ascii="Times New Roman" w:hAnsi="Times New Roman" w:cs="Times New Roman"/>
          <w:i/>
          <w:iCs/>
          <w:sz w:val="20"/>
          <w:szCs w:val="20"/>
        </w:rPr>
        <w:t xml:space="preserve">Avots - ECB, </w:t>
      </w:r>
      <w:proofErr w:type="spellStart"/>
      <w:r w:rsidRPr="006C2909">
        <w:rPr>
          <w:rFonts w:ascii="Times New Roman" w:hAnsi="Times New Roman" w:cs="Times New Roman"/>
          <w:i/>
          <w:iCs/>
          <w:sz w:val="20"/>
          <w:szCs w:val="20"/>
        </w:rPr>
        <w:t>Eurostat</w:t>
      </w:r>
      <w:proofErr w:type="spellEnd"/>
    </w:p>
    <w:bookmarkEnd w:id="1"/>
    <w:p w14:paraId="1D488919" w14:textId="77777777" w:rsidR="005D3FD4" w:rsidRDefault="005D3FD4" w:rsidP="005D3FD4">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J</w:t>
      </w:r>
      <w:r w:rsidRPr="00181104">
        <w:rPr>
          <w:rFonts w:ascii="Times New Roman" w:hAnsi="Times New Roman" w:cs="Times New Roman"/>
          <w:sz w:val="24"/>
          <w:szCs w:val="24"/>
        </w:rPr>
        <w:t xml:space="preserve">a galvenais cēlonis pārāk augstajām kredītu procentu likmēm Latvijā ir pārāk zemā konkurence, tad situāciju pēc būtības var atrisināt tikai jauna, nopietna spēlētāja parādīšanās tirgū, kas ļautu esošajiem tirgus dalībniekiem sajust reālu konkurenci. Latvijas kredītņēmēji – ar vienām no augstākajām likmēm eiro zonā, Latvijas noguldītāji – ar zemāko atlīdzību par uzkrājumiem bankās. Centrālajai </w:t>
      </w:r>
      <w:r>
        <w:rPr>
          <w:rFonts w:ascii="Times New Roman" w:hAnsi="Times New Roman" w:cs="Times New Roman"/>
          <w:sz w:val="24"/>
          <w:szCs w:val="24"/>
        </w:rPr>
        <w:t>centr</w:t>
      </w:r>
      <w:r w:rsidRPr="00181104">
        <w:rPr>
          <w:rFonts w:ascii="Times New Roman" w:hAnsi="Times New Roman" w:cs="Times New Roman"/>
          <w:sz w:val="24"/>
          <w:szCs w:val="24"/>
        </w:rPr>
        <w:t>i savukārt būs jāstūrē uz priekšu monetārā savienība, kas ne vienmēr atbilstoši reaģē uz tās veiktajām darbībām.</w:t>
      </w:r>
    </w:p>
    <w:p w14:paraId="09694FC0" w14:textId="77777777" w:rsidR="005D3FD4" w:rsidRDefault="005D3FD4" w:rsidP="005D3FD4">
      <w:pPr>
        <w:spacing w:before="120"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Attēls Nr.8</w:t>
      </w:r>
    </w:p>
    <w:p w14:paraId="282523D6" w14:textId="77777777" w:rsidR="005D3FD4" w:rsidRDefault="005D3FD4" w:rsidP="005D3FD4">
      <w:pPr>
        <w:spacing w:before="120" w:after="0" w:line="240" w:lineRule="auto"/>
        <w:ind w:firstLine="567"/>
        <w:jc w:val="center"/>
        <w:rPr>
          <w:rFonts w:ascii="Times New Roman" w:hAnsi="Times New Roman" w:cs="Times New Roman"/>
          <w:b/>
          <w:bCs/>
          <w:sz w:val="24"/>
          <w:szCs w:val="24"/>
        </w:rPr>
      </w:pPr>
      <w:r w:rsidRPr="002C5FAA">
        <w:rPr>
          <w:rFonts w:ascii="Times New Roman" w:hAnsi="Times New Roman" w:cs="Times New Roman"/>
          <w:b/>
          <w:bCs/>
          <w:sz w:val="24"/>
          <w:szCs w:val="24"/>
        </w:rPr>
        <w:t>Procentu likmes uzņēmumu kredītiem un noguldījumiem, %</w:t>
      </w:r>
    </w:p>
    <w:p w14:paraId="33DC8D3A" w14:textId="77777777" w:rsidR="005D3FD4" w:rsidRPr="002C5FAA" w:rsidRDefault="005D3FD4" w:rsidP="005D3FD4">
      <w:pPr>
        <w:spacing w:before="120" w:after="0" w:line="240" w:lineRule="auto"/>
        <w:ind w:firstLine="567"/>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E902D4C" wp14:editId="6C2688CF">
            <wp:extent cx="4752975" cy="18909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73793" cy="1899187"/>
                    </a:xfrm>
                    <a:prstGeom prst="rect">
                      <a:avLst/>
                    </a:prstGeom>
                    <a:noFill/>
                  </pic:spPr>
                </pic:pic>
              </a:graphicData>
            </a:graphic>
          </wp:inline>
        </w:drawing>
      </w:r>
    </w:p>
    <w:p w14:paraId="2F22C4A9" w14:textId="77777777" w:rsidR="005D3FD4" w:rsidRPr="006C2909" w:rsidRDefault="005D3FD4" w:rsidP="005D3FD4">
      <w:pPr>
        <w:spacing w:after="0" w:line="240" w:lineRule="auto"/>
        <w:ind w:firstLine="567"/>
        <w:jc w:val="both"/>
        <w:rPr>
          <w:rFonts w:ascii="Times New Roman" w:hAnsi="Times New Roman" w:cs="Times New Roman"/>
          <w:i/>
          <w:iCs/>
          <w:sz w:val="20"/>
          <w:szCs w:val="20"/>
        </w:rPr>
      </w:pPr>
      <w:r w:rsidRPr="006C2909">
        <w:rPr>
          <w:rFonts w:ascii="Times New Roman" w:hAnsi="Times New Roman" w:cs="Times New Roman"/>
          <w:i/>
          <w:iCs/>
          <w:sz w:val="20"/>
          <w:szCs w:val="20"/>
        </w:rPr>
        <w:t>Avots – Latvijas Banka</w:t>
      </w:r>
    </w:p>
    <w:p w14:paraId="63DF5205"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8F6FBB">
        <w:rPr>
          <w:rFonts w:ascii="Times New Roman" w:hAnsi="Times New Roman" w:cs="Times New Roman"/>
          <w:sz w:val="24"/>
          <w:szCs w:val="24"/>
        </w:rPr>
        <w:t>Eiro zonā vidēji un vairumā lielo un vidējo eiro zonas dalībvalstu kredītu attiecība pret IKP pārsniedz 70-80 % līmeni, un kreditēšanas aktivitātes ierobežošana joprojām saglabā augstu ekonomikai pieejamo kredītresursu bāzi, lai gan no jauna izsniegto kredītu mazināšanās ierobežo ekonomikas aktivitāti un sekmē inflācijas iegrožošanu. Savukārt eiro zonas valstīs ar zemu kredītu attiecību pret IKP, tai skaitā Latvijā, kur šī attiecība nesasniedz pat 30 %, vērojamā kreditēšanas aktivitātes mazināšanās ne vien sabremzē ekonomikas ciklu, bet arī turpina kavēt ekonomisko izaugsmi vidējā un ilgākā termiņā.</w:t>
      </w:r>
    </w:p>
    <w:p w14:paraId="55CC2C5B"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504E7DBC"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5347BD91"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095A86BA" w14:textId="6E3A7281" w:rsidR="005D3FD4" w:rsidRDefault="005D3FD4" w:rsidP="005D3FD4">
      <w:pPr>
        <w:spacing w:before="120"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Attēls Nr.9</w:t>
      </w:r>
    </w:p>
    <w:p w14:paraId="70EF392D" w14:textId="77777777" w:rsidR="005D3FD4" w:rsidRDefault="005D3FD4" w:rsidP="005D3FD4">
      <w:pPr>
        <w:spacing w:before="120" w:after="0" w:line="240" w:lineRule="auto"/>
        <w:ind w:firstLine="567"/>
        <w:jc w:val="center"/>
        <w:rPr>
          <w:rFonts w:ascii="Times New Roman" w:hAnsi="Times New Roman" w:cs="Times New Roman"/>
          <w:b/>
          <w:bCs/>
          <w:sz w:val="24"/>
          <w:szCs w:val="24"/>
        </w:rPr>
      </w:pPr>
      <w:r w:rsidRPr="00353D15">
        <w:rPr>
          <w:rFonts w:ascii="Times New Roman" w:hAnsi="Times New Roman" w:cs="Times New Roman"/>
          <w:b/>
          <w:bCs/>
          <w:sz w:val="24"/>
          <w:szCs w:val="24"/>
        </w:rPr>
        <w:t xml:space="preserve">Kredītu procentu likmes uzņēmumiem </w:t>
      </w:r>
      <w:proofErr w:type="spellStart"/>
      <w:r w:rsidRPr="00353D15">
        <w:rPr>
          <w:rFonts w:ascii="Times New Roman" w:hAnsi="Times New Roman" w:cs="Times New Roman"/>
          <w:b/>
          <w:bCs/>
          <w:sz w:val="24"/>
          <w:szCs w:val="24"/>
        </w:rPr>
        <w:t>Eirozonā</w:t>
      </w:r>
      <w:proofErr w:type="spellEnd"/>
      <w:r w:rsidRPr="00353D15">
        <w:rPr>
          <w:rFonts w:ascii="Times New Roman" w:hAnsi="Times New Roman" w:cs="Times New Roman"/>
          <w:b/>
          <w:bCs/>
          <w:sz w:val="24"/>
          <w:szCs w:val="24"/>
        </w:rPr>
        <w:t xml:space="preserve"> (gada % likmes)</w:t>
      </w:r>
    </w:p>
    <w:p w14:paraId="2471689D" w14:textId="77777777" w:rsidR="005D3FD4" w:rsidRDefault="005D3FD4" w:rsidP="005D3FD4">
      <w:pPr>
        <w:spacing w:before="120" w:after="0" w:line="240" w:lineRule="auto"/>
        <w:ind w:firstLine="567"/>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D5B62FD" wp14:editId="55F14C11">
            <wp:extent cx="5323840" cy="206552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40038" cy="2071807"/>
                    </a:xfrm>
                    <a:prstGeom prst="rect">
                      <a:avLst/>
                    </a:prstGeom>
                    <a:noFill/>
                  </pic:spPr>
                </pic:pic>
              </a:graphicData>
            </a:graphic>
          </wp:inline>
        </w:drawing>
      </w:r>
    </w:p>
    <w:p w14:paraId="2DC70CDA" w14:textId="77777777" w:rsidR="005D3FD4" w:rsidRPr="006C2909" w:rsidRDefault="005D3FD4" w:rsidP="005D3FD4">
      <w:pPr>
        <w:spacing w:after="0" w:line="240" w:lineRule="auto"/>
        <w:ind w:firstLine="567"/>
        <w:jc w:val="both"/>
        <w:rPr>
          <w:rFonts w:ascii="Times New Roman" w:hAnsi="Times New Roman" w:cs="Times New Roman"/>
          <w:i/>
          <w:iCs/>
          <w:sz w:val="20"/>
          <w:szCs w:val="20"/>
        </w:rPr>
      </w:pPr>
      <w:r w:rsidRPr="006C2909">
        <w:rPr>
          <w:rFonts w:ascii="Times New Roman" w:hAnsi="Times New Roman" w:cs="Times New Roman"/>
          <w:i/>
          <w:iCs/>
          <w:sz w:val="20"/>
          <w:szCs w:val="20"/>
        </w:rPr>
        <w:t>Avots – Latvijas Banka</w:t>
      </w:r>
    </w:p>
    <w:p w14:paraId="4844DB6A"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0625F9">
        <w:rPr>
          <w:rFonts w:ascii="Times New Roman" w:hAnsi="Times New Roman" w:cs="Times New Roman"/>
          <w:sz w:val="24"/>
          <w:szCs w:val="24"/>
        </w:rPr>
        <w:t>Tomēr ierobežojošā monetārā politika rada dilemmu par līdzsvaru starp panākumiem inflācijas ierobežošanā un izvairīšanos no ekonomikas recesijas pārāk dārgu kredītu dēļ. Tā kā E</w:t>
      </w:r>
      <w:r>
        <w:rPr>
          <w:rFonts w:ascii="Times New Roman" w:hAnsi="Times New Roman" w:cs="Times New Roman"/>
          <w:sz w:val="24"/>
          <w:szCs w:val="24"/>
        </w:rPr>
        <w:t>iropas Centrālās Bankas</w:t>
      </w:r>
      <w:r w:rsidRPr="000625F9">
        <w:rPr>
          <w:rFonts w:ascii="Times New Roman" w:hAnsi="Times New Roman" w:cs="Times New Roman"/>
          <w:sz w:val="24"/>
          <w:szCs w:val="24"/>
        </w:rPr>
        <w:t xml:space="preserve"> procentu likmju paaugstināšana ietekmē resursu cenu naudas tirgū (3, 6 un 12 mēnešu EURIBOR, kas bieži tiek izmantotas kā atsauces likmes kredītiem gan mājsaimniecībām, gan uzņēmumiem, palielinājies no vidēji +3.37 %, +3.68 % un 3.86 % 2023. gada maijā), atbilstoši augušas arī aizdevumu procentu likmes.</w:t>
      </w:r>
    </w:p>
    <w:p w14:paraId="2F259040" w14:textId="77777777" w:rsidR="005D3FD4" w:rsidRPr="00CD4D9C" w:rsidRDefault="005D3FD4" w:rsidP="005D3FD4">
      <w:pPr>
        <w:spacing w:after="0" w:line="240" w:lineRule="auto"/>
        <w:ind w:firstLine="567"/>
        <w:jc w:val="right"/>
        <w:rPr>
          <w:rFonts w:ascii="Times New Roman" w:hAnsi="Times New Roman" w:cs="Times New Roman"/>
          <w:sz w:val="24"/>
          <w:szCs w:val="24"/>
        </w:rPr>
      </w:pPr>
      <w:r w:rsidRPr="00CD4D9C">
        <w:rPr>
          <w:rFonts w:ascii="Times New Roman" w:hAnsi="Times New Roman" w:cs="Times New Roman"/>
          <w:sz w:val="24"/>
          <w:szCs w:val="24"/>
        </w:rPr>
        <w:t>Attēls Nr.</w:t>
      </w:r>
      <w:r>
        <w:rPr>
          <w:rFonts w:ascii="Times New Roman" w:hAnsi="Times New Roman" w:cs="Times New Roman"/>
          <w:sz w:val="24"/>
          <w:szCs w:val="24"/>
        </w:rPr>
        <w:t>10</w:t>
      </w:r>
    </w:p>
    <w:p w14:paraId="4F1BA66A" w14:textId="77777777" w:rsidR="005D3FD4" w:rsidRPr="00EC3342" w:rsidRDefault="005D3FD4" w:rsidP="005D3FD4">
      <w:pPr>
        <w:spacing w:before="240" w:after="0" w:line="240" w:lineRule="auto"/>
        <w:ind w:firstLine="567"/>
        <w:jc w:val="center"/>
        <w:rPr>
          <w:rFonts w:ascii="Times New Roman" w:hAnsi="Times New Roman" w:cs="Times New Roman"/>
          <w:b/>
          <w:bCs/>
          <w:sz w:val="24"/>
          <w:szCs w:val="24"/>
        </w:rPr>
      </w:pPr>
      <w:r w:rsidRPr="00EC3342">
        <w:rPr>
          <w:rFonts w:ascii="Times New Roman" w:hAnsi="Times New Roman" w:cs="Times New Roman"/>
          <w:b/>
          <w:bCs/>
          <w:sz w:val="24"/>
          <w:szCs w:val="24"/>
        </w:rPr>
        <w:t>Izsniegto kredītu procentu likmes uzņēmumiem</w:t>
      </w:r>
      <w:r>
        <w:rPr>
          <w:rFonts w:ascii="Times New Roman" w:hAnsi="Times New Roman" w:cs="Times New Roman"/>
          <w:b/>
          <w:bCs/>
          <w:sz w:val="24"/>
          <w:szCs w:val="24"/>
        </w:rPr>
        <w:t xml:space="preserve"> </w:t>
      </w:r>
      <w:r w:rsidRPr="00EC3342">
        <w:rPr>
          <w:rFonts w:ascii="Times New Roman" w:hAnsi="Times New Roman" w:cs="Times New Roman"/>
          <w:b/>
          <w:bCs/>
          <w:sz w:val="24"/>
          <w:szCs w:val="24"/>
        </w:rPr>
        <w:t>2021.</w:t>
      </w:r>
      <w:r>
        <w:rPr>
          <w:rFonts w:ascii="Times New Roman" w:hAnsi="Times New Roman" w:cs="Times New Roman"/>
          <w:b/>
          <w:bCs/>
          <w:sz w:val="24"/>
          <w:szCs w:val="24"/>
        </w:rPr>
        <w:t xml:space="preserve"> </w:t>
      </w:r>
      <w:r w:rsidRPr="00EC3342">
        <w:rPr>
          <w:rFonts w:ascii="Times New Roman" w:hAnsi="Times New Roman" w:cs="Times New Roman"/>
          <w:b/>
          <w:bCs/>
          <w:sz w:val="24"/>
          <w:szCs w:val="24"/>
        </w:rPr>
        <w:t>gada janvārī un 2023.</w:t>
      </w:r>
      <w:r>
        <w:rPr>
          <w:rFonts w:ascii="Times New Roman" w:hAnsi="Times New Roman" w:cs="Times New Roman"/>
          <w:b/>
          <w:bCs/>
          <w:sz w:val="24"/>
          <w:szCs w:val="24"/>
        </w:rPr>
        <w:t xml:space="preserve"> </w:t>
      </w:r>
      <w:r w:rsidRPr="00EC3342">
        <w:rPr>
          <w:rFonts w:ascii="Times New Roman" w:hAnsi="Times New Roman" w:cs="Times New Roman"/>
          <w:b/>
          <w:bCs/>
          <w:sz w:val="24"/>
          <w:szCs w:val="24"/>
        </w:rPr>
        <w:t>gada aprīlī (%)</w:t>
      </w:r>
    </w:p>
    <w:p w14:paraId="72CC1A91" w14:textId="77777777" w:rsidR="005D3FD4" w:rsidRDefault="005D3FD4" w:rsidP="005D3FD4">
      <w:pPr>
        <w:spacing w:before="120" w:after="0" w:line="240" w:lineRule="auto"/>
        <w:ind w:firstLine="567"/>
        <w:jc w:val="center"/>
        <w:rPr>
          <w:rFonts w:ascii="Times New Roman" w:hAnsi="Times New Roman" w:cs="Times New Roman"/>
          <w:sz w:val="24"/>
          <w:szCs w:val="24"/>
        </w:rPr>
      </w:pPr>
      <w:r w:rsidRPr="00E91A60">
        <w:rPr>
          <w:rFonts w:ascii="Times New Roman" w:hAnsi="Times New Roman" w:cs="Times New Roman"/>
          <w:noProof/>
          <w:sz w:val="24"/>
          <w:szCs w:val="24"/>
        </w:rPr>
        <w:drawing>
          <wp:inline distT="0" distB="0" distL="0" distR="0" wp14:anchorId="24FFFEF2" wp14:editId="0BE44A6E">
            <wp:extent cx="4953000" cy="24228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972307" cy="2432275"/>
                    </a:xfrm>
                    <a:prstGeom prst="rect">
                      <a:avLst/>
                    </a:prstGeom>
                  </pic:spPr>
                </pic:pic>
              </a:graphicData>
            </a:graphic>
          </wp:inline>
        </w:drawing>
      </w:r>
    </w:p>
    <w:p w14:paraId="1B241DF8"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Avots – ECB</w:t>
      </w:r>
    </w:p>
    <w:p w14:paraId="44E9975D"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259E4B0D"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799E3115"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29B92045"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32574A39"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4A3B3971"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67541BDF" w14:textId="77777777" w:rsidR="005D3FD4" w:rsidRDefault="005D3FD4" w:rsidP="005D3FD4">
      <w:pPr>
        <w:spacing w:before="120" w:after="0" w:line="240" w:lineRule="auto"/>
        <w:ind w:firstLine="567"/>
        <w:jc w:val="right"/>
        <w:rPr>
          <w:rFonts w:ascii="Times New Roman" w:hAnsi="Times New Roman" w:cs="Times New Roman"/>
          <w:sz w:val="24"/>
          <w:szCs w:val="24"/>
        </w:rPr>
      </w:pPr>
    </w:p>
    <w:p w14:paraId="539E7F25" w14:textId="5D1770ED" w:rsidR="005D3FD4" w:rsidRDefault="005D3FD4" w:rsidP="005D3FD4">
      <w:pPr>
        <w:spacing w:before="120"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Attēls Nr.11</w:t>
      </w:r>
    </w:p>
    <w:p w14:paraId="0280964C" w14:textId="77777777" w:rsidR="005D3FD4" w:rsidRDefault="005D3FD4" w:rsidP="005D3FD4">
      <w:pPr>
        <w:spacing w:before="120" w:after="0" w:line="240" w:lineRule="auto"/>
        <w:ind w:firstLine="567"/>
        <w:jc w:val="center"/>
        <w:rPr>
          <w:rFonts w:ascii="Times New Roman" w:hAnsi="Times New Roman" w:cs="Times New Roman"/>
          <w:b/>
          <w:bCs/>
          <w:sz w:val="24"/>
          <w:szCs w:val="24"/>
        </w:rPr>
      </w:pPr>
      <w:r w:rsidRPr="00B77FD0">
        <w:rPr>
          <w:rFonts w:ascii="Times New Roman" w:hAnsi="Times New Roman" w:cs="Times New Roman"/>
          <w:b/>
          <w:bCs/>
          <w:sz w:val="24"/>
          <w:szCs w:val="24"/>
        </w:rPr>
        <w:t>Aizņemšanās izmaksas mājsaimniecībām izsniegtajiem aizdevumiem 2021. gada janvārī un 2023. gada aprīlī (%)</w:t>
      </w:r>
    </w:p>
    <w:p w14:paraId="1A128BA6" w14:textId="77777777" w:rsidR="005D3FD4" w:rsidRDefault="005D3FD4" w:rsidP="005D3FD4">
      <w:pPr>
        <w:spacing w:before="120" w:after="0" w:line="240" w:lineRule="auto"/>
        <w:ind w:firstLine="567"/>
        <w:jc w:val="center"/>
        <w:rPr>
          <w:rFonts w:ascii="Times New Roman" w:hAnsi="Times New Roman" w:cs="Times New Roman"/>
          <w:b/>
          <w:bCs/>
          <w:sz w:val="24"/>
          <w:szCs w:val="24"/>
        </w:rPr>
      </w:pPr>
      <w:r w:rsidRPr="00322AEA">
        <w:rPr>
          <w:rFonts w:ascii="Times New Roman" w:hAnsi="Times New Roman" w:cs="Times New Roman"/>
          <w:noProof/>
        </w:rPr>
        <w:drawing>
          <wp:inline distT="0" distB="0" distL="0" distR="0" wp14:anchorId="5008207F" wp14:editId="62D38D5D">
            <wp:extent cx="4598051" cy="2362200"/>
            <wp:effectExtent l="0" t="0" r="0" b="0"/>
            <wp:docPr id="11" name="Picture 11">
              <a:extLst xmlns:a="http://schemas.openxmlformats.org/drawingml/2006/main">
                <a:ext uri="{FF2B5EF4-FFF2-40B4-BE49-F238E27FC236}">
                  <a16:creationId xmlns:a16="http://schemas.microsoft.com/office/drawing/2014/main" id="{0E01967D-BE3B-C17B-2D60-27FB2F856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0E01967D-BE3B-C17B-2D60-27FB2F856597}"/>
                        </a:ext>
                      </a:extLst>
                    </pic:cNvPr>
                    <pic:cNvPicPr>
                      <a:picLocks noChangeAspect="1"/>
                    </pic:cNvPicPr>
                  </pic:nvPicPr>
                  <pic:blipFill>
                    <a:blip r:embed="rId21"/>
                    <a:stretch>
                      <a:fillRect/>
                    </a:stretch>
                  </pic:blipFill>
                  <pic:spPr>
                    <a:xfrm>
                      <a:off x="0" y="0"/>
                      <a:ext cx="4622785" cy="2374907"/>
                    </a:xfrm>
                    <a:prstGeom prst="rect">
                      <a:avLst/>
                    </a:prstGeom>
                  </pic:spPr>
                </pic:pic>
              </a:graphicData>
            </a:graphic>
          </wp:inline>
        </w:drawing>
      </w:r>
    </w:p>
    <w:p w14:paraId="54840EF6"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Avots – ECB</w:t>
      </w:r>
    </w:p>
    <w:p w14:paraId="693ED1ED"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CD7D45">
        <w:rPr>
          <w:rFonts w:ascii="Times New Roman" w:hAnsi="Times New Roman" w:cs="Times New Roman"/>
          <w:sz w:val="24"/>
          <w:szCs w:val="24"/>
        </w:rPr>
        <w:t xml:space="preserve">Kopējās procentu likmes veidošanas mehānisms ietver vairākas alternatīvas, sākot no tā, ka procentu likmē tiek ietvertas finansējuma piesaistes izmaksas, kredītriska un citu risku izmaksas, administratīvās izmaksas un kapitāla </w:t>
      </w:r>
      <w:proofErr w:type="spellStart"/>
      <w:r w:rsidRPr="00CD7D45">
        <w:rPr>
          <w:rFonts w:ascii="Times New Roman" w:hAnsi="Times New Roman" w:cs="Times New Roman"/>
          <w:sz w:val="24"/>
          <w:szCs w:val="24"/>
        </w:rPr>
        <w:t>atdeve</w:t>
      </w:r>
      <w:proofErr w:type="spellEnd"/>
      <w:r w:rsidRPr="00CD7D45">
        <w:rPr>
          <w:rFonts w:ascii="Times New Roman" w:hAnsi="Times New Roman" w:cs="Times New Roman"/>
          <w:sz w:val="24"/>
          <w:szCs w:val="24"/>
        </w:rPr>
        <w:t>, kas pēc būtības ir tirgus likme un augošo procentu likmju periodā šāda procentu likme ir visaugstākā.</w:t>
      </w:r>
      <w:r>
        <w:rPr>
          <w:rFonts w:ascii="Times New Roman" w:hAnsi="Times New Roman" w:cs="Times New Roman"/>
          <w:sz w:val="24"/>
          <w:szCs w:val="24"/>
        </w:rPr>
        <w:t xml:space="preserve"> </w:t>
      </w:r>
    </w:p>
    <w:p w14:paraId="5CF81805" w14:textId="77777777" w:rsidR="005D3FD4" w:rsidRDefault="005D3FD4" w:rsidP="005D3FD4">
      <w:pPr>
        <w:spacing w:before="120"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Attēls Nr.12</w:t>
      </w:r>
    </w:p>
    <w:p w14:paraId="34BE51A8" w14:textId="77777777" w:rsidR="005D3FD4" w:rsidRDefault="005D3FD4" w:rsidP="005D3FD4">
      <w:pPr>
        <w:spacing w:before="120" w:after="0" w:line="240" w:lineRule="auto"/>
        <w:ind w:firstLine="567"/>
        <w:jc w:val="center"/>
        <w:rPr>
          <w:rFonts w:ascii="Times New Roman" w:hAnsi="Times New Roman" w:cs="Times New Roman"/>
          <w:b/>
          <w:bCs/>
          <w:sz w:val="24"/>
          <w:szCs w:val="24"/>
        </w:rPr>
      </w:pPr>
      <w:r w:rsidRPr="00556361">
        <w:rPr>
          <w:rFonts w:ascii="Times New Roman" w:hAnsi="Times New Roman" w:cs="Times New Roman"/>
          <w:b/>
          <w:bCs/>
          <w:sz w:val="24"/>
          <w:szCs w:val="24"/>
        </w:rPr>
        <w:t>Banku procentu likmes kredītiem</w:t>
      </w:r>
    </w:p>
    <w:p w14:paraId="044F6BB5"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322AEA">
        <w:rPr>
          <w:rFonts w:ascii="Times New Roman" w:hAnsi="Times New Roman" w:cs="Times New Roman"/>
          <w:noProof/>
        </w:rPr>
        <w:drawing>
          <wp:anchor distT="0" distB="0" distL="114300" distR="114300" simplePos="0" relativeHeight="251658249" behindDoc="0" locked="0" layoutInCell="1" allowOverlap="1" wp14:anchorId="68E311D5" wp14:editId="6A300B8B">
            <wp:simplePos x="0" y="0"/>
            <wp:positionH relativeFrom="column">
              <wp:posOffset>952500</wp:posOffset>
            </wp:positionH>
            <wp:positionV relativeFrom="paragraph">
              <wp:posOffset>39370</wp:posOffset>
            </wp:positionV>
            <wp:extent cx="4422775" cy="1767840"/>
            <wp:effectExtent l="0" t="0" r="0" b="3810"/>
            <wp:wrapSquare wrapText="bothSides"/>
            <wp:docPr id="8" name="Picture 8">
              <a:extLst xmlns:a="http://schemas.openxmlformats.org/drawingml/2006/main">
                <a:ext uri="{FF2B5EF4-FFF2-40B4-BE49-F238E27FC236}">
                  <a16:creationId xmlns:a16="http://schemas.microsoft.com/office/drawing/2014/main" id="{62E05DC1-4EB9-28F4-F469-086C74A0E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2E05DC1-4EB9-28F4-F469-086C74A0E053}"/>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22775" cy="1767840"/>
                    </a:xfrm>
                    <a:prstGeom prst="rect">
                      <a:avLst/>
                    </a:prstGeom>
                  </pic:spPr>
                </pic:pic>
              </a:graphicData>
            </a:graphic>
          </wp:anchor>
        </w:drawing>
      </w:r>
    </w:p>
    <w:p w14:paraId="75E3B1C7" w14:textId="77777777" w:rsidR="005D3FD4" w:rsidRDefault="005D3FD4" w:rsidP="005D3FD4">
      <w:pPr>
        <w:spacing w:before="120" w:after="0" w:line="240" w:lineRule="auto"/>
        <w:ind w:firstLine="567"/>
        <w:jc w:val="both"/>
        <w:rPr>
          <w:rFonts w:ascii="Times New Roman" w:hAnsi="Times New Roman" w:cs="Times New Roman"/>
          <w:sz w:val="24"/>
          <w:szCs w:val="24"/>
        </w:rPr>
      </w:pPr>
    </w:p>
    <w:p w14:paraId="3B2813E2" w14:textId="77777777" w:rsidR="005D3FD4" w:rsidRDefault="005D3FD4" w:rsidP="005D3FD4">
      <w:pPr>
        <w:spacing w:before="120" w:after="0" w:line="240" w:lineRule="auto"/>
        <w:ind w:firstLine="567"/>
        <w:jc w:val="center"/>
        <w:rPr>
          <w:rFonts w:ascii="Times New Roman" w:hAnsi="Times New Roman" w:cs="Times New Roman"/>
          <w:sz w:val="24"/>
          <w:szCs w:val="24"/>
        </w:rPr>
      </w:pPr>
    </w:p>
    <w:p w14:paraId="0B8F90DC" w14:textId="77777777" w:rsidR="005D3FD4" w:rsidRDefault="005D3FD4" w:rsidP="005D3FD4">
      <w:pPr>
        <w:spacing w:before="120" w:after="0" w:line="240" w:lineRule="auto"/>
        <w:ind w:firstLine="567"/>
        <w:jc w:val="both"/>
        <w:rPr>
          <w:rFonts w:ascii="Times New Roman" w:hAnsi="Times New Roman" w:cs="Times New Roman"/>
          <w:sz w:val="24"/>
          <w:szCs w:val="24"/>
        </w:rPr>
      </w:pPr>
    </w:p>
    <w:p w14:paraId="1DB4ED8A" w14:textId="77777777" w:rsidR="005D3FD4" w:rsidRDefault="005D3FD4" w:rsidP="005D3FD4">
      <w:pPr>
        <w:spacing w:before="120" w:after="0" w:line="240" w:lineRule="auto"/>
        <w:ind w:firstLine="567"/>
        <w:jc w:val="both"/>
        <w:rPr>
          <w:rFonts w:ascii="Times New Roman" w:hAnsi="Times New Roman" w:cs="Times New Roman"/>
          <w:sz w:val="24"/>
          <w:szCs w:val="24"/>
        </w:rPr>
      </w:pPr>
    </w:p>
    <w:p w14:paraId="410981A7" w14:textId="77777777" w:rsidR="005D3FD4" w:rsidRDefault="005D3FD4" w:rsidP="005D3FD4">
      <w:pPr>
        <w:spacing w:before="120" w:after="0" w:line="240" w:lineRule="auto"/>
        <w:jc w:val="both"/>
        <w:rPr>
          <w:rFonts w:ascii="Times New Roman" w:hAnsi="Times New Roman" w:cs="Times New Roman"/>
          <w:sz w:val="24"/>
          <w:szCs w:val="24"/>
        </w:rPr>
      </w:pPr>
    </w:p>
    <w:p w14:paraId="24BFB830" w14:textId="77777777" w:rsidR="005D3FD4" w:rsidRDefault="005D3FD4" w:rsidP="005D3FD4">
      <w:pPr>
        <w:spacing w:before="120" w:after="0" w:line="240" w:lineRule="auto"/>
        <w:rPr>
          <w:rFonts w:ascii="Times New Roman" w:hAnsi="Times New Roman" w:cs="Times New Roman"/>
          <w:i/>
          <w:iCs/>
          <w:sz w:val="24"/>
          <w:szCs w:val="24"/>
        </w:rPr>
      </w:pPr>
    </w:p>
    <w:p w14:paraId="6A09DF14" w14:textId="77777777" w:rsidR="005D3FD4" w:rsidRPr="004D642A" w:rsidRDefault="005D3FD4" w:rsidP="005D3FD4">
      <w:pPr>
        <w:spacing w:after="0" w:line="240" w:lineRule="auto"/>
        <w:rPr>
          <w:rFonts w:ascii="Times New Roman" w:hAnsi="Times New Roman" w:cs="Times New Roman"/>
          <w:i/>
          <w:iCs/>
          <w:sz w:val="20"/>
          <w:szCs w:val="20"/>
        </w:rPr>
      </w:pPr>
      <w:r w:rsidRPr="004D642A">
        <w:rPr>
          <w:rFonts w:ascii="Times New Roman" w:hAnsi="Times New Roman" w:cs="Times New Roman"/>
          <w:i/>
          <w:iCs/>
          <w:sz w:val="20"/>
          <w:szCs w:val="20"/>
        </w:rPr>
        <w:t>Avots – ECB</w:t>
      </w:r>
    </w:p>
    <w:p w14:paraId="17BFF3B6" w14:textId="77777777" w:rsidR="005D3FD4" w:rsidRDefault="005D3FD4" w:rsidP="005D3FD4">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2022. gadā Latvijas </w:t>
      </w:r>
      <w:r w:rsidRPr="00E2232B">
        <w:rPr>
          <w:rFonts w:ascii="Times New Roman" w:hAnsi="Times New Roman" w:cs="Times New Roman"/>
          <w:sz w:val="24"/>
          <w:szCs w:val="24"/>
        </w:rPr>
        <w:t xml:space="preserve">Komercbanku izsniegto kredītu apjoms pagājušajā gadā pārsniedza 15,4 </w:t>
      </w:r>
      <w:r>
        <w:rPr>
          <w:rFonts w:ascii="Times New Roman" w:hAnsi="Times New Roman" w:cs="Times New Roman"/>
          <w:sz w:val="24"/>
          <w:szCs w:val="24"/>
        </w:rPr>
        <w:t>milj. EUR.,</w:t>
      </w:r>
      <w:r w:rsidRPr="00E2232B">
        <w:rPr>
          <w:rFonts w:ascii="Times New Roman" w:hAnsi="Times New Roman" w:cs="Times New Roman"/>
          <w:sz w:val="24"/>
          <w:szCs w:val="24"/>
        </w:rPr>
        <w:t xml:space="preserve"> kas ir par 7% vairāk nekā 2021. gadā</w:t>
      </w:r>
      <w:r>
        <w:rPr>
          <w:rFonts w:ascii="Times New Roman" w:hAnsi="Times New Roman" w:cs="Times New Roman"/>
          <w:sz w:val="24"/>
          <w:szCs w:val="24"/>
        </w:rPr>
        <w:t xml:space="preserve">. </w:t>
      </w:r>
      <w:r w:rsidRPr="00CC454F">
        <w:rPr>
          <w:rFonts w:ascii="Times New Roman" w:hAnsi="Times New Roman" w:cs="Times New Roman"/>
          <w:sz w:val="24"/>
          <w:szCs w:val="24"/>
        </w:rPr>
        <w:t>No šīs summas 9</w:t>
      </w:r>
      <w:r>
        <w:rPr>
          <w:rFonts w:ascii="Times New Roman" w:hAnsi="Times New Roman" w:cs="Times New Roman"/>
          <w:sz w:val="24"/>
          <w:szCs w:val="24"/>
        </w:rPr>
        <w:t> milj.</w:t>
      </w:r>
      <w:r w:rsidRPr="00CC454F">
        <w:rPr>
          <w:rFonts w:ascii="Times New Roman" w:hAnsi="Times New Roman" w:cs="Times New Roman"/>
          <w:sz w:val="24"/>
          <w:szCs w:val="24"/>
        </w:rPr>
        <w:t xml:space="preserve"> </w:t>
      </w:r>
      <w:r>
        <w:rPr>
          <w:rFonts w:ascii="Times New Roman" w:hAnsi="Times New Roman" w:cs="Times New Roman"/>
          <w:sz w:val="24"/>
          <w:szCs w:val="24"/>
        </w:rPr>
        <w:t>EUR</w:t>
      </w:r>
      <w:r w:rsidRPr="00CC454F">
        <w:rPr>
          <w:rFonts w:ascii="Times New Roman" w:hAnsi="Times New Roman" w:cs="Times New Roman"/>
          <w:sz w:val="24"/>
          <w:szCs w:val="24"/>
        </w:rPr>
        <w:t xml:space="preserve"> ir uzņēmumiem izsniegtie kredīti</w:t>
      </w:r>
      <w:r>
        <w:rPr>
          <w:rFonts w:ascii="Times New Roman" w:hAnsi="Times New Roman" w:cs="Times New Roman"/>
          <w:sz w:val="24"/>
          <w:szCs w:val="24"/>
        </w:rPr>
        <w:t xml:space="preserve">. Savukārt 2023. gada 1.ceturksnī </w:t>
      </w:r>
      <w:r w:rsidRPr="003E4947">
        <w:rPr>
          <w:rFonts w:ascii="Times New Roman" w:hAnsi="Times New Roman" w:cs="Times New Roman"/>
          <w:sz w:val="24"/>
          <w:szCs w:val="24"/>
        </w:rPr>
        <w:t xml:space="preserve">pārsniedza 15 </w:t>
      </w:r>
      <w:r>
        <w:rPr>
          <w:rFonts w:ascii="Times New Roman" w:hAnsi="Times New Roman" w:cs="Times New Roman"/>
          <w:sz w:val="24"/>
          <w:szCs w:val="24"/>
        </w:rPr>
        <w:t>milj.</w:t>
      </w:r>
      <w:r w:rsidRPr="003E4947">
        <w:rPr>
          <w:rFonts w:ascii="Times New Roman" w:hAnsi="Times New Roman" w:cs="Times New Roman"/>
          <w:sz w:val="24"/>
          <w:szCs w:val="24"/>
        </w:rPr>
        <w:t xml:space="preserve"> </w:t>
      </w:r>
      <w:r>
        <w:rPr>
          <w:rFonts w:ascii="Times New Roman" w:hAnsi="Times New Roman" w:cs="Times New Roman"/>
          <w:sz w:val="24"/>
          <w:szCs w:val="24"/>
        </w:rPr>
        <w:t>EUR</w:t>
      </w:r>
      <w:r w:rsidRPr="003E4947">
        <w:rPr>
          <w:rFonts w:ascii="Times New Roman" w:hAnsi="Times New Roman" w:cs="Times New Roman"/>
          <w:sz w:val="24"/>
          <w:szCs w:val="24"/>
        </w:rPr>
        <w:t>, kas ir par 6% vairāk nekā attiecīgajā periodā pērn</w:t>
      </w:r>
      <w:r>
        <w:rPr>
          <w:rFonts w:ascii="Times New Roman" w:hAnsi="Times New Roman" w:cs="Times New Roman"/>
          <w:sz w:val="24"/>
          <w:szCs w:val="24"/>
        </w:rPr>
        <w:t>.</w:t>
      </w:r>
    </w:p>
    <w:p w14:paraId="1DF2F0E5"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64D854C2"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42F75C90"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69766290"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6882ABD1"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26C4F7FA"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1648BB59" w14:textId="77777777" w:rsidR="0039665B" w:rsidRDefault="0039665B" w:rsidP="005D3FD4">
      <w:pPr>
        <w:spacing w:before="120" w:after="0" w:line="240" w:lineRule="auto"/>
        <w:ind w:firstLine="567"/>
        <w:jc w:val="right"/>
        <w:rPr>
          <w:rFonts w:ascii="Times New Roman" w:hAnsi="Times New Roman" w:cs="Times New Roman"/>
          <w:sz w:val="24"/>
          <w:szCs w:val="24"/>
        </w:rPr>
      </w:pPr>
    </w:p>
    <w:p w14:paraId="39F540BE" w14:textId="6D69FE2B" w:rsidR="005D3FD4" w:rsidRPr="00CD4D9C" w:rsidRDefault="005D3FD4" w:rsidP="005D3FD4">
      <w:pPr>
        <w:spacing w:before="120" w:after="0" w:line="240" w:lineRule="auto"/>
        <w:ind w:firstLine="567"/>
        <w:jc w:val="right"/>
        <w:rPr>
          <w:rFonts w:ascii="Times New Roman" w:hAnsi="Times New Roman" w:cs="Times New Roman"/>
          <w:sz w:val="24"/>
          <w:szCs w:val="24"/>
        </w:rPr>
      </w:pPr>
      <w:r w:rsidRPr="00CD4D9C">
        <w:rPr>
          <w:rFonts w:ascii="Times New Roman" w:hAnsi="Times New Roman" w:cs="Times New Roman"/>
          <w:sz w:val="24"/>
          <w:szCs w:val="24"/>
        </w:rPr>
        <w:t>Attēls Nr.</w:t>
      </w:r>
      <w:r>
        <w:rPr>
          <w:rFonts w:ascii="Times New Roman" w:hAnsi="Times New Roman" w:cs="Times New Roman"/>
          <w:sz w:val="24"/>
          <w:szCs w:val="24"/>
        </w:rPr>
        <w:t>13</w:t>
      </w:r>
    </w:p>
    <w:p w14:paraId="10C198A3" w14:textId="77777777" w:rsidR="005D3FD4" w:rsidRPr="00EC3342" w:rsidRDefault="005D3FD4" w:rsidP="005D3FD4">
      <w:pPr>
        <w:spacing w:before="120" w:after="0" w:line="240" w:lineRule="auto"/>
        <w:ind w:firstLine="567"/>
        <w:jc w:val="center"/>
        <w:rPr>
          <w:rFonts w:ascii="Times New Roman" w:hAnsi="Times New Roman" w:cs="Times New Roman"/>
          <w:b/>
          <w:bCs/>
          <w:sz w:val="24"/>
          <w:szCs w:val="24"/>
        </w:rPr>
      </w:pPr>
      <w:r w:rsidRPr="00EC3342">
        <w:rPr>
          <w:rFonts w:ascii="Times New Roman" w:hAnsi="Times New Roman" w:cs="Times New Roman"/>
          <w:b/>
          <w:bCs/>
          <w:sz w:val="24"/>
          <w:szCs w:val="24"/>
        </w:rPr>
        <w:t>Komercbanku izsniegtie kredīti (milj.</w:t>
      </w:r>
      <w:r>
        <w:rPr>
          <w:rFonts w:ascii="Times New Roman" w:hAnsi="Times New Roman" w:cs="Times New Roman"/>
          <w:b/>
          <w:bCs/>
          <w:sz w:val="24"/>
          <w:szCs w:val="24"/>
        </w:rPr>
        <w:t xml:space="preserve"> </w:t>
      </w:r>
      <w:r w:rsidRPr="00EC3342">
        <w:rPr>
          <w:rFonts w:ascii="Times New Roman" w:hAnsi="Times New Roman" w:cs="Times New Roman"/>
          <w:b/>
          <w:bCs/>
          <w:sz w:val="24"/>
          <w:szCs w:val="24"/>
        </w:rPr>
        <w:t>EUR.%)</w:t>
      </w:r>
    </w:p>
    <w:p w14:paraId="6E094FFF" w14:textId="77777777" w:rsidR="005D3FD4" w:rsidRDefault="005D3FD4" w:rsidP="005D3FD4">
      <w:pPr>
        <w:spacing w:before="120" w:after="0" w:line="240" w:lineRule="auto"/>
        <w:ind w:firstLine="567"/>
        <w:jc w:val="center"/>
        <w:rPr>
          <w:rFonts w:ascii="Times New Roman" w:hAnsi="Times New Roman" w:cs="Times New Roman"/>
          <w:sz w:val="24"/>
          <w:szCs w:val="24"/>
        </w:rPr>
      </w:pPr>
      <w:r w:rsidRPr="00E91A60">
        <w:rPr>
          <w:rFonts w:ascii="Times New Roman" w:hAnsi="Times New Roman" w:cs="Times New Roman"/>
          <w:noProof/>
          <w:sz w:val="24"/>
          <w:szCs w:val="24"/>
        </w:rPr>
        <mc:AlternateContent>
          <mc:Choice Requires="wps">
            <w:drawing>
              <wp:anchor distT="0" distB="0" distL="114300" distR="114300" simplePos="0" relativeHeight="251658247" behindDoc="0" locked="0" layoutInCell="1" allowOverlap="1" wp14:anchorId="5037B44E" wp14:editId="040CE1E4">
                <wp:simplePos x="0" y="0"/>
                <wp:positionH relativeFrom="column">
                  <wp:posOffset>4057650</wp:posOffset>
                </wp:positionH>
                <wp:positionV relativeFrom="paragraph">
                  <wp:posOffset>141605</wp:posOffset>
                </wp:positionV>
                <wp:extent cx="639169" cy="338554"/>
                <wp:effectExtent l="0" t="0" r="0" b="0"/>
                <wp:wrapNone/>
                <wp:docPr id="28" name="Rectangle 28">
                  <a:extLst xmlns:a="http://schemas.openxmlformats.org/drawingml/2006/main">
                    <a:ext uri="{FF2B5EF4-FFF2-40B4-BE49-F238E27FC236}">
                      <a16:creationId xmlns:a16="http://schemas.microsoft.com/office/drawing/2014/main" id="{1C4DB2F2-86D2-1A59-7EFB-C9F4A17149CB}"/>
                    </a:ext>
                  </a:extLst>
                </wp:docPr>
                <wp:cNvGraphicFramePr/>
                <a:graphic xmlns:a="http://schemas.openxmlformats.org/drawingml/2006/main">
                  <a:graphicData uri="http://schemas.microsoft.com/office/word/2010/wordprocessingShape">
                    <wps:wsp>
                      <wps:cNvSpPr/>
                      <wps:spPr>
                        <a:xfrm flipH="1">
                          <a:off x="0" y="0"/>
                          <a:ext cx="639169" cy="338554"/>
                        </a:xfrm>
                        <a:prstGeom prst="rect">
                          <a:avLst/>
                        </a:prstGeom>
                        <a:noFill/>
                      </wps:spPr>
                      <wps:txbx>
                        <w:txbxContent>
                          <w:p w14:paraId="1B2F2EB3" w14:textId="77777777" w:rsidR="005D3FD4" w:rsidRDefault="005D3FD4" w:rsidP="005D3FD4">
                            <w:pPr>
                              <w:rPr>
                                <w:rFonts w:ascii="Segoe UI Light" w:hAnsi="Segoe UI Light" w:cs="Segoe UI Light"/>
                                <w:b/>
                                <w:bCs/>
                                <w:i/>
                                <w:iCs/>
                                <w:color w:val="FFC000"/>
                                <w:kern w:val="24"/>
                                <w:sz w:val="32"/>
                                <w:szCs w:val="32"/>
                              </w:rPr>
                            </w:pPr>
                            <w:r>
                              <w:rPr>
                                <w:rFonts w:ascii="Segoe UI Light" w:hAnsi="Segoe UI Light" w:cs="Segoe UI Light"/>
                                <w:b/>
                                <w:bCs/>
                                <w:i/>
                                <w:iCs/>
                                <w:color w:val="FFC000"/>
                                <w:kern w:val="24"/>
                                <w:sz w:val="32"/>
                                <w:szCs w:val="32"/>
                              </w:rPr>
                              <w:t>+8%</w:t>
                            </w:r>
                          </w:p>
                        </w:txbxContent>
                      </wps:txbx>
                      <wps:bodyPr wrap="square">
                        <a:spAutoFit/>
                      </wps:bodyPr>
                    </wps:wsp>
                  </a:graphicData>
                </a:graphic>
              </wp:anchor>
            </w:drawing>
          </mc:Choice>
          <mc:Fallback>
            <w:pict>
              <v:rect w14:anchorId="5037B44E" id="Rectangle 28" o:spid="_x0000_s1026" style="position:absolute;left:0;text-align:left;margin-left:319.5pt;margin-top:11.15pt;width:50.35pt;height:26.65pt;flip:x;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" filled="f" stroked="f">
                <v:textbox style="mso-fit-shape-to-text:t">
                  <w:txbxContent>
                    <w:p w14:paraId="1B2F2EB3" w14:textId="77777777" w:rsidR="005D3FD4" w:rsidRDefault="005D3FD4" w:rsidP="005D3FD4">
                      <w:pPr>
                        <w:rPr>
                          <w:rFonts w:ascii="Segoe UI Light" w:hAnsi="Segoe UI Light" w:cs="Segoe UI Light"/>
                          <w:b/>
                          <w:bCs/>
                          <w:i/>
                          <w:iCs/>
                          <w:color w:val="FFC000"/>
                          <w:kern w:val="24"/>
                          <w:sz w:val="32"/>
                          <w:szCs w:val="32"/>
                        </w:rPr>
                      </w:pPr>
                      <w:r>
                        <w:rPr>
                          <w:rFonts w:ascii="Segoe UI Light" w:hAnsi="Segoe UI Light" w:cs="Segoe UI Light"/>
                          <w:b/>
                          <w:bCs/>
                          <w:i/>
                          <w:iCs/>
                          <w:color w:val="FFC000"/>
                          <w:kern w:val="24"/>
                          <w:sz w:val="32"/>
                          <w:szCs w:val="32"/>
                        </w:rPr>
                        <w:t>+8%</w:t>
                      </w:r>
                    </w:p>
                  </w:txbxContent>
                </v:textbox>
              </v:rect>
            </w:pict>
          </mc:Fallback>
        </mc:AlternateContent>
      </w:r>
      <w:r w:rsidRPr="00E91A60">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7D429B3A" wp14:editId="7F49F122">
                <wp:simplePos x="0" y="0"/>
                <wp:positionH relativeFrom="column">
                  <wp:posOffset>2809875</wp:posOffset>
                </wp:positionH>
                <wp:positionV relativeFrom="paragraph">
                  <wp:posOffset>612775</wp:posOffset>
                </wp:positionV>
                <wp:extent cx="639169" cy="338554"/>
                <wp:effectExtent l="0" t="0" r="0" b="0"/>
                <wp:wrapNone/>
                <wp:docPr id="27" name="Rectangle 27">
                  <a:extLst xmlns:a="http://schemas.openxmlformats.org/drawingml/2006/main">
                    <a:ext uri="{FF2B5EF4-FFF2-40B4-BE49-F238E27FC236}">
                      <a16:creationId xmlns:a16="http://schemas.microsoft.com/office/drawing/2014/main" id="{DB641977-59FA-C9AB-257F-9021A157BDEC}"/>
                    </a:ext>
                  </a:extLst>
                </wp:docPr>
                <wp:cNvGraphicFramePr/>
                <a:graphic xmlns:a="http://schemas.openxmlformats.org/drawingml/2006/main">
                  <a:graphicData uri="http://schemas.microsoft.com/office/word/2010/wordprocessingShape">
                    <wps:wsp>
                      <wps:cNvSpPr/>
                      <wps:spPr>
                        <a:xfrm flipH="1">
                          <a:off x="0" y="0"/>
                          <a:ext cx="639169" cy="338554"/>
                        </a:xfrm>
                        <a:prstGeom prst="rect">
                          <a:avLst/>
                        </a:prstGeom>
                        <a:noFill/>
                      </wps:spPr>
                      <wps:txbx>
                        <w:txbxContent>
                          <w:p w14:paraId="7C1F5C92" w14:textId="77777777" w:rsidR="005D3FD4" w:rsidRDefault="005D3FD4" w:rsidP="005D3FD4">
                            <w:pPr>
                              <w:rPr>
                                <w:rFonts w:ascii="Segoe UI Light" w:hAnsi="Segoe UI Light" w:cs="Segoe UI Light"/>
                                <w:b/>
                                <w:bCs/>
                                <w:i/>
                                <w:iCs/>
                                <w:color w:val="FFC000"/>
                                <w:kern w:val="24"/>
                                <w:sz w:val="32"/>
                                <w:szCs w:val="32"/>
                              </w:rPr>
                            </w:pPr>
                            <w:r>
                              <w:rPr>
                                <w:rFonts w:ascii="Segoe UI Light" w:hAnsi="Segoe UI Light" w:cs="Segoe UI Light"/>
                                <w:b/>
                                <w:bCs/>
                                <w:i/>
                                <w:iCs/>
                                <w:color w:val="FFC000"/>
                                <w:kern w:val="24"/>
                                <w:sz w:val="32"/>
                                <w:szCs w:val="32"/>
                              </w:rPr>
                              <w:t>-12%</w:t>
                            </w:r>
                          </w:p>
                        </w:txbxContent>
                      </wps:txbx>
                      <wps:bodyPr wrap="square">
                        <a:spAutoFit/>
                      </wps:bodyPr>
                    </wps:wsp>
                  </a:graphicData>
                </a:graphic>
              </wp:anchor>
            </w:drawing>
          </mc:Choice>
          <mc:Fallback>
            <w:pict>
              <v:rect w14:anchorId="7D429B3A" id="Rectangle 27" o:spid="_x0000_s1027" style="position:absolute;left:0;text-align:left;margin-left:221.25pt;margin-top:48.25pt;width:50.35pt;height:26.65pt;flip:x;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" filled="f" stroked="f">
                <v:textbox style="mso-fit-shape-to-text:t">
                  <w:txbxContent>
                    <w:p w14:paraId="7C1F5C92" w14:textId="77777777" w:rsidR="005D3FD4" w:rsidRDefault="005D3FD4" w:rsidP="005D3FD4">
                      <w:pPr>
                        <w:rPr>
                          <w:rFonts w:ascii="Segoe UI Light" w:hAnsi="Segoe UI Light" w:cs="Segoe UI Light"/>
                          <w:b/>
                          <w:bCs/>
                          <w:i/>
                          <w:iCs/>
                          <w:color w:val="FFC000"/>
                          <w:kern w:val="24"/>
                          <w:sz w:val="32"/>
                          <w:szCs w:val="32"/>
                        </w:rPr>
                      </w:pPr>
                      <w:r>
                        <w:rPr>
                          <w:rFonts w:ascii="Segoe UI Light" w:hAnsi="Segoe UI Light" w:cs="Segoe UI Light"/>
                          <w:b/>
                          <w:bCs/>
                          <w:i/>
                          <w:iCs/>
                          <w:color w:val="FFC000"/>
                          <w:kern w:val="24"/>
                          <w:sz w:val="32"/>
                          <w:szCs w:val="32"/>
                        </w:rPr>
                        <w:t>-12%</w:t>
                      </w:r>
                    </w:p>
                  </w:txbxContent>
                </v:textbox>
              </v:rect>
            </w:pict>
          </mc:Fallback>
        </mc:AlternateContent>
      </w:r>
      <w:r w:rsidRPr="00E91A60">
        <w:rPr>
          <w:rFonts w:ascii="Times New Roman" w:hAnsi="Times New Roman" w:cs="Times New Roman"/>
          <w:noProof/>
          <w:sz w:val="24"/>
          <w:szCs w:val="24"/>
        </w:rPr>
        <mc:AlternateContent>
          <mc:Choice Requires="wps">
            <w:drawing>
              <wp:anchor distT="0" distB="0" distL="114300" distR="114300" simplePos="0" relativeHeight="251658245" behindDoc="0" locked="0" layoutInCell="1" allowOverlap="1" wp14:anchorId="52B4A94D" wp14:editId="77CFC3DD">
                <wp:simplePos x="0" y="0"/>
                <wp:positionH relativeFrom="column">
                  <wp:posOffset>1685925</wp:posOffset>
                </wp:positionH>
                <wp:positionV relativeFrom="paragraph">
                  <wp:posOffset>1277620</wp:posOffset>
                </wp:positionV>
                <wp:extent cx="529950" cy="338554"/>
                <wp:effectExtent l="0" t="0" r="0" b="0"/>
                <wp:wrapNone/>
                <wp:docPr id="26" name="Rectangle 26">
                  <a:extLst xmlns:a="http://schemas.openxmlformats.org/drawingml/2006/main">
                    <a:ext uri="{FF2B5EF4-FFF2-40B4-BE49-F238E27FC236}">
                      <a16:creationId xmlns:a16="http://schemas.microsoft.com/office/drawing/2014/main" id="{1F590A3B-9D39-3779-220F-9DDDE2DB50E9}"/>
                    </a:ext>
                  </a:extLst>
                </wp:docPr>
                <wp:cNvGraphicFramePr/>
                <a:graphic xmlns:a="http://schemas.openxmlformats.org/drawingml/2006/main">
                  <a:graphicData uri="http://schemas.microsoft.com/office/word/2010/wordprocessingShape">
                    <wps:wsp>
                      <wps:cNvSpPr/>
                      <wps:spPr>
                        <a:xfrm flipH="1">
                          <a:off x="0" y="0"/>
                          <a:ext cx="529950" cy="338554"/>
                        </a:xfrm>
                        <a:prstGeom prst="rect">
                          <a:avLst/>
                        </a:prstGeom>
                        <a:noFill/>
                      </wps:spPr>
                      <wps:txbx>
                        <w:txbxContent>
                          <w:p w14:paraId="5A2F3B2F" w14:textId="77777777" w:rsidR="005D3FD4" w:rsidRDefault="005D3FD4" w:rsidP="005D3FD4">
                            <w:pPr>
                              <w:rPr>
                                <w:rFonts w:ascii="Segoe UI Light" w:hAnsi="Segoe UI Light" w:cs="Segoe UI Light"/>
                                <w:b/>
                                <w:bCs/>
                                <w:i/>
                                <w:iCs/>
                                <w:color w:val="FFC000"/>
                                <w:kern w:val="24"/>
                                <w:sz w:val="32"/>
                                <w:szCs w:val="32"/>
                              </w:rPr>
                            </w:pPr>
                            <w:r>
                              <w:rPr>
                                <w:rFonts w:ascii="Segoe UI Light" w:hAnsi="Segoe UI Light" w:cs="Segoe UI Light"/>
                                <w:b/>
                                <w:bCs/>
                                <w:i/>
                                <w:iCs/>
                                <w:color w:val="FFC000"/>
                                <w:kern w:val="24"/>
                                <w:sz w:val="32"/>
                                <w:szCs w:val="32"/>
                              </w:rPr>
                              <w:t>-1%</w:t>
                            </w:r>
                          </w:p>
                        </w:txbxContent>
                      </wps:txbx>
                      <wps:bodyPr wrap="square">
                        <a:spAutoFit/>
                      </wps:bodyPr>
                    </wps:wsp>
                  </a:graphicData>
                </a:graphic>
              </wp:anchor>
            </w:drawing>
          </mc:Choice>
          <mc:Fallback>
            <w:pict>
              <v:rect w14:anchorId="52B4A94D" id="Rectangle 26" o:spid="_x0000_s1028" style="position:absolute;left:0;text-align:left;margin-left:132.75pt;margin-top:100.6pt;width:41.75pt;height:26.65pt;flip:x;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" filled="f" stroked="f">
                <v:textbox style="mso-fit-shape-to-text:t">
                  <w:txbxContent>
                    <w:p w14:paraId="5A2F3B2F" w14:textId="77777777" w:rsidR="005D3FD4" w:rsidRDefault="005D3FD4" w:rsidP="005D3FD4">
                      <w:pPr>
                        <w:rPr>
                          <w:rFonts w:ascii="Segoe UI Light" w:hAnsi="Segoe UI Light" w:cs="Segoe UI Light"/>
                          <w:b/>
                          <w:bCs/>
                          <w:i/>
                          <w:iCs/>
                          <w:color w:val="FFC000"/>
                          <w:kern w:val="24"/>
                          <w:sz w:val="32"/>
                          <w:szCs w:val="32"/>
                        </w:rPr>
                      </w:pPr>
                      <w:r>
                        <w:rPr>
                          <w:rFonts w:ascii="Segoe UI Light" w:hAnsi="Segoe UI Light" w:cs="Segoe UI Light"/>
                          <w:b/>
                          <w:bCs/>
                          <w:i/>
                          <w:iCs/>
                          <w:color w:val="FFC000"/>
                          <w:kern w:val="24"/>
                          <w:sz w:val="32"/>
                          <w:szCs w:val="32"/>
                        </w:rPr>
                        <w:t>-1%</w:t>
                      </w:r>
                    </w:p>
                  </w:txbxContent>
                </v:textbox>
              </v:rect>
            </w:pict>
          </mc:Fallback>
        </mc:AlternateContent>
      </w:r>
      <w:r w:rsidRPr="003C4CDE">
        <w:rPr>
          <w:rFonts w:ascii="Times New Roman" w:hAnsi="Times New Roman" w:cs="Times New Roman"/>
          <w:noProof/>
          <w:sz w:val="24"/>
          <w:szCs w:val="24"/>
        </w:rPr>
        <w:drawing>
          <wp:inline distT="0" distB="0" distL="0" distR="0" wp14:anchorId="7899EDC4" wp14:editId="44437B67">
            <wp:extent cx="5102673" cy="2503258"/>
            <wp:effectExtent l="0" t="0" r="3175" b="11430"/>
            <wp:docPr id="6" name="Chart 6">
              <a:extLst xmlns:a="http://schemas.openxmlformats.org/drawingml/2006/main">
                <a:ext uri="{FF2B5EF4-FFF2-40B4-BE49-F238E27FC236}">
                  <a16:creationId xmlns:a16="http://schemas.microsoft.com/office/drawing/2014/main" id="{058284C1-0627-E636-B19F-9367F223DD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64EDEF9"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Avots - FNA</w:t>
      </w:r>
    </w:p>
    <w:p w14:paraId="4ACCE1AE"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E94AB3">
        <w:rPr>
          <w:rFonts w:ascii="Times New Roman" w:hAnsi="Times New Roman" w:cs="Times New Roman"/>
          <w:sz w:val="24"/>
          <w:szCs w:val="24"/>
        </w:rPr>
        <w:t>Nozaru griezumā visvairāk finansēti uzņēmumi, kas pārstāv nekustamo īpašumu, enerģētikas, lauksaimniecības, mežsaimniecības, tirdzniecības, apstrādes rūpniecības un būvniecības jomu</w:t>
      </w:r>
      <w:r>
        <w:rPr>
          <w:rFonts w:ascii="Times New Roman" w:hAnsi="Times New Roman" w:cs="Times New Roman"/>
          <w:sz w:val="24"/>
          <w:szCs w:val="24"/>
        </w:rPr>
        <w:t xml:space="preserve">. </w:t>
      </w:r>
      <w:r w:rsidRPr="00607618">
        <w:rPr>
          <w:rFonts w:ascii="Times New Roman" w:hAnsi="Times New Roman" w:cs="Times New Roman"/>
          <w:sz w:val="24"/>
          <w:szCs w:val="24"/>
        </w:rPr>
        <w:t xml:space="preserve">Savukārt lielākais kreditēšanas apjomu pieaugums pērn vērojams lauksaimniecības un mežsaimniecības nozares uzņēmumiem, kas piesaistījuši par 24% vairāk finansējuma salīdzinājumā ar gadu iepriekš. </w:t>
      </w:r>
    </w:p>
    <w:p w14:paraId="30FAA75B" w14:textId="77777777" w:rsidR="005D3FD4" w:rsidRDefault="005D3FD4" w:rsidP="005D3FD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Vienlaikus valsts investīcijas Latvijā ir salīdzinoši augstā līmenī. Valsts investīcijas veido gandrīz 1/5 daļu no kopējām investīcijām Latvijas tautsaimniecībā un to dinamika lielā mērā ir saistīta</w:t>
      </w:r>
      <w:r w:rsidRPr="00E91A60">
        <w:rPr>
          <w:rFonts w:ascii="Times New Roman" w:hAnsi="Times New Roman" w:cs="Times New Roman"/>
          <w:sz w:val="24"/>
          <w:szCs w:val="24"/>
        </w:rPr>
        <w:t xml:space="preserve"> </w:t>
      </w:r>
      <w:r w:rsidRPr="00A70489">
        <w:rPr>
          <w:rFonts w:ascii="Times New Roman" w:hAnsi="Times New Roman" w:cs="Times New Roman"/>
          <w:sz w:val="24"/>
          <w:szCs w:val="24"/>
        </w:rPr>
        <w:t>ar ES struktūrfondu apgūšanas cikliskumu. Līdz ar ES</w:t>
      </w:r>
      <w:r>
        <w:rPr>
          <w:rFonts w:ascii="Times New Roman" w:hAnsi="Times New Roman" w:cs="Times New Roman"/>
          <w:sz w:val="24"/>
          <w:szCs w:val="24"/>
        </w:rPr>
        <w:t xml:space="preserve"> </w:t>
      </w:r>
      <w:r w:rsidRPr="00A70489">
        <w:rPr>
          <w:rFonts w:ascii="Times New Roman" w:hAnsi="Times New Roman" w:cs="Times New Roman"/>
          <w:sz w:val="24"/>
          <w:szCs w:val="24"/>
        </w:rPr>
        <w:t>struktūrfondu finansējuma atjaunošanos valsts investīcijas</w:t>
      </w:r>
      <w:r>
        <w:rPr>
          <w:rFonts w:ascii="Times New Roman" w:hAnsi="Times New Roman" w:cs="Times New Roman"/>
          <w:sz w:val="24"/>
          <w:szCs w:val="24"/>
        </w:rPr>
        <w:t xml:space="preserve"> </w:t>
      </w:r>
      <w:r w:rsidRPr="00A70489">
        <w:rPr>
          <w:rFonts w:ascii="Times New Roman" w:hAnsi="Times New Roman" w:cs="Times New Roman"/>
          <w:sz w:val="24"/>
          <w:szCs w:val="24"/>
        </w:rPr>
        <w:t>periodā no 2017. līdz 2018.</w:t>
      </w:r>
      <w:r>
        <w:rPr>
          <w:rFonts w:ascii="Times New Roman" w:hAnsi="Times New Roman" w:cs="Times New Roman"/>
          <w:sz w:val="24"/>
          <w:szCs w:val="24"/>
        </w:rPr>
        <w:t xml:space="preserve"> </w:t>
      </w:r>
      <w:r w:rsidRPr="00A70489">
        <w:rPr>
          <w:rFonts w:ascii="Times New Roman" w:hAnsi="Times New Roman" w:cs="Times New Roman"/>
          <w:sz w:val="24"/>
          <w:szCs w:val="24"/>
        </w:rPr>
        <w:t>gadam pieauga – vidēji par 35%</w:t>
      </w:r>
      <w:r>
        <w:rPr>
          <w:rFonts w:ascii="Times New Roman" w:hAnsi="Times New Roman" w:cs="Times New Roman"/>
          <w:sz w:val="24"/>
          <w:szCs w:val="24"/>
        </w:rPr>
        <w:t xml:space="preserve"> </w:t>
      </w:r>
      <w:r w:rsidRPr="00A70489">
        <w:rPr>
          <w:rFonts w:ascii="Times New Roman" w:hAnsi="Times New Roman" w:cs="Times New Roman"/>
          <w:sz w:val="24"/>
          <w:szCs w:val="24"/>
        </w:rPr>
        <w:t>gadā. ES struktūrfondu finansējumam sasniedzot</w:t>
      </w:r>
      <w:r>
        <w:rPr>
          <w:rFonts w:ascii="Times New Roman" w:hAnsi="Times New Roman" w:cs="Times New Roman"/>
          <w:sz w:val="24"/>
          <w:szCs w:val="24"/>
        </w:rPr>
        <w:t xml:space="preserve"> </w:t>
      </w:r>
      <w:r w:rsidRPr="00A70489">
        <w:rPr>
          <w:rFonts w:ascii="Times New Roman" w:hAnsi="Times New Roman" w:cs="Times New Roman"/>
          <w:sz w:val="24"/>
          <w:szCs w:val="24"/>
        </w:rPr>
        <w:t>maksimumu, valsts investīciju dinamika palēninās.</w:t>
      </w:r>
      <w:r>
        <w:rPr>
          <w:rFonts w:ascii="Times New Roman" w:hAnsi="Times New Roman" w:cs="Times New Roman"/>
          <w:sz w:val="24"/>
          <w:szCs w:val="24"/>
        </w:rPr>
        <w:t xml:space="preserve"> </w:t>
      </w:r>
      <w:r w:rsidRPr="00A70489">
        <w:rPr>
          <w:rFonts w:ascii="Times New Roman" w:hAnsi="Times New Roman" w:cs="Times New Roman"/>
          <w:sz w:val="24"/>
          <w:szCs w:val="24"/>
        </w:rPr>
        <w:t>2019.</w:t>
      </w:r>
      <w:r>
        <w:rPr>
          <w:rFonts w:ascii="Times New Roman" w:hAnsi="Times New Roman" w:cs="Times New Roman"/>
          <w:sz w:val="24"/>
          <w:szCs w:val="24"/>
        </w:rPr>
        <w:t xml:space="preserve"> </w:t>
      </w:r>
      <w:r w:rsidRPr="00A70489">
        <w:rPr>
          <w:rFonts w:ascii="Times New Roman" w:hAnsi="Times New Roman" w:cs="Times New Roman"/>
          <w:sz w:val="24"/>
          <w:szCs w:val="24"/>
        </w:rPr>
        <w:t>gadā tās nepārsniedza</w:t>
      </w:r>
      <w:r>
        <w:rPr>
          <w:rFonts w:ascii="Times New Roman" w:hAnsi="Times New Roman" w:cs="Times New Roman"/>
          <w:sz w:val="24"/>
          <w:szCs w:val="24"/>
        </w:rPr>
        <w:t xml:space="preserve"> </w:t>
      </w:r>
      <w:r w:rsidRPr="00A70489">
        <w:rPr>
          <w:rFonts w:ascii="Times New Roman" w:hAnsi="Times New Roman" w:cs="Times New Roman"/>
          <w:sz w:val="24"/>
          <w:szCs w:val="24"/>
        </w:rPr>
        <w:t>iepriekšējā gada līmeni,</w:t>
      </w:r>
      <w:r>
        <w:rPr>
          <w:rFonts w:ascii="Times New Roman" w:hAnsi="Times New Roman" w:cs="Times New Roman"/>
          <w:sz w:val="24"/>
          <w:szCs w:val="24"/>
        </w:rPr>
        <w:t xml:space="preserve"> </w:t>
      </w:r>
      <w:r w:rsidRPr="00A70489">
        <w:rPr>
          <w:rFonts w:ascii="Times New Roman" w:hAnsi="Times New Roman" w:cs="Times New Roman"/>
          <w:sz w:val="24"/>
          <w:szCs w:val="24"/>
        </w:rPr>
        <w:t>savukārt 2020.gadā tās bija par gandrīz 7% mazākā</w:t>
      </w:r>
      <w:r>
        <w:rPr>
          <w:rFonts w:ascii="Times New Roman" w:hAnsi="Times New Roman" w:cs="Times New Roman"/>
          <w:sz w:val="24"/>
          <w:szCs w:val="24"/>
        </w:rPr>
        <w:t xml:space="preserve"> </w:t>
      </w:r>
      <w:r w:rsidRPr="00A70489">
        <w:rPr>
          <w:rFonts w:ascii="Times New Roman" w:hAnsi="Times New Roman" w:cs="Times New Roman"/>
          <w:sz w:val="24"/>
          <w:szCs w:val="24"/>
        </w:rPr>
        <w:t>apjomā nekā pirms gada</w:t>
      </w:r>
      <w:r>
        <w:rPr>
          <w:rFonts w:ascii="Times New Roman" w:hAnsi="Times New Roman" w:cs="Times New Roman"/>
          <w:sz w:val="24"/>
          <w:szCs w:val="24"/>
        </w:rPr>
        <w:t>.</w:t>
      </w:r>
    </w:p>
    <w:p w14:paraId="78FBC604" w14:textId="77777777" w:rsidR="005D3FD4" w:rsidRPr="009A7DC2" w:rsidRDefault="005D3FD4" w:rsidP="005D3FD4">
      <w:pPr>
        <w:spacing w:before="120" w:after="0" w:line="240" w:lineRule="auto"/>
        <w:ind w:firstLine="567"/>
        <w:jc w:val="right"/>
        <w:rPr>
          <w:rFonts w:ascii="Times New Roman" w:hAnsi="Times New Roman" w:cs="Times New Roman"/>
          <w:sz w:val="24"/>
          <w:szCs w:val="24"/>
        </w:rPr>
      </w:pPr>
      <w:r w:rsidRPr="009A7DC2">
        <w:rPr>
          <w:rFonts w:ascii="Times New Roman" w:hAnsi="Times New Roman" w:cs="Times New Roman"/>
          <w:sz w:val="24"/>
          <w:szCs w:val="24"/>
        </w:rPr>
        <w:t>Attēls Nr.</w:t>
      </w:r>
      <w:r>
        <w:rPr>
          <w:rFonts w:ascii="Times New Roman" w:hAnsi="Times New Roman" w:cs="Times New Roman"/>
          <w:sz w:val="24"/>
          <w:szCs w:val="24"/>
        </w:rPr>
        <w:t>14</w:t>
      </w:r>
    </w:p>
    <w:p w14:paraId="6DE86E8D" w14:textId="77777777" w:rsidR="005D3FD4" w:rsidRPr="00564770" w:rsidRDefault="005D3FD4" w:rsidP="005D3FD4">
      <w:pPr>
        <w:spacing w:before="120" w:after="0" w:line="240" w:lineRule="auto"/>
        <w:ind w:firstLine="567"/>
        <w:jc w:val="center"/>
        <w:rPr>
          <w:rFonts w:ascii="Times New Roman" w:hAnsi="Times New Roman" w:cs="Times New Roman"/>
          <w:b/>
          <w:bCs/>
          <w:sz w:val="24"/>
          <w:szCs w:val="24"/>
        </w:rPr>
      </w:pPr>
      <w:r w:rsidRPr="00564770">
        <w:rPr>
          <w:rFonts w:ascii="Times New Roman" w:hAnsi="Times New Roman" w:cs="Times New Roman"/>
          <w:b/>
          <w:bCs/>
          <w:sz w:val="24"/>
          <w:szCs w:val="24"/>
        </w:rPr>
        <w:t>Valsts un privātās investīcijas(% no IKP)</w:t>
      </w:r>
    </w:p>
    <w:p w14:paraId="08E61508" w14:textId="77777777" w:rsidR="005D3FD4" w:rsidRDefault="005D3FD4" w:rsidP="005D3FD4">
      <w:pPr>
        <w:spacing w:before="120" w:after="0" w:line="240" w:lineRule="auto"/>
        <w:ind w:firstLine="567"/>
        <w:jc w:val="center"/>
        <w:rPr>
          <w:rFonts w:ascii="Times New Roman" w:hAnsi="Times New Roman" w:cs="Times New Roman"/>
          <w:sz w:val="24"/>
          <w:szCs w:val="24"/>
        </w:rPr>
      </w:pPr>
      <w:r w:rsidRPr="00E91A60">
        <w:rPr>
          <w:rFonts w:ascii="Times New Roman" w:hAnsi="Times New Roman" w:cs="Times New Roman"/>
          <w:noProof/>
          <w:color w:val="FF0000"/>
          <w:sz w:val="24"/>
          <w:szCs w:val="24"/>
          <w:lang w:val="en-US"/>
        </w:rPr>
        <w:drawing>
          <wp:inline distT="0" distB="0" distL="0" distR="0" wp14:anchorId="6BE1FA5A" wp14:editId="574E4A07">
            <wp:extent cx="4886325" cy="1914525"/>
            <wp:effectExtent l="0" t="0" r="0" b="0"/>
            <wp:docPr id="111" name="Chart 111">
              <a:extLst xmlns:a="http://schemas.openxmlformats.org/drawingml/2006/main">
                <a:ext uri="{FF2B5EF4-FFF2-40B4-BE49-F238E27FC236}">
                  <a16:creationId xmlns:a16="http://schemas.microsoft.com/office/drawing/2014/main" id="{062BB55C-0A04-4797-9A0D-6C25A4697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DC1867B"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Avots- Latvijas makroekonomikas apskats</w:t>
      </w:r>
    </w:p>
    <w:p w14:paraId="04510DD4"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FB2486">
        <w:rPr>
          <w:rFonts w:ascii="Times New Roman" w:hAnsi="Times New Roman" w:cs="Times New Roman"/>
          <w:sz w:val="24"/>
          <w:szCs w:val="24"/>
        </w:rPr>
        <w:t>Visnoturīgākās pret biznesa cikla svārstībām ir primārās nozares (lauksaimniecība, mežsaimniecība un zvejniecība), sabiedriskie pakalpojumi, kā arī informācijas un komunikāciju pakalpojumu nozares. Savukārt būvniecība, mazumtirdzniecība, transports un izmitināšana, kā arī nekustamais īpašums ir visnepastāvīgākās nozares investīciju ziņā biznesa cikla laikā. Tās galvenokārt ir nozares, kuru investīciju dinamikas nozīmīgs faktors ir saistīts ar kreditēšanas pieejamību. Tāpēc, situācijas pasliktināšanās globālajos finanšu tirgos un banku sektora kredīt</w:t>
      </w:r>
      <w:r>
        <w:rPr>
          <w:rFonts w:ascii="Times New Roman" w:hAnsi="Times New Roman" w:cs="Times New Roman"/>
          <w:sz w:val="24"/>
          <w:szCs w:val="24"/>
        </w:rPr>
        <w:t>a</w:t>
      </w:r>
      <w:r w:rsidRPr="00FB2486">
        <w:rPr>
          <w:rFonts w:ascii="Times New Roman" w:hAnsi="Times New Roman" w:cs="Times New Roman"/>
          <w:sz w:val="24"/>
          <w:szCs w:val="24"/>
        </w:rPr>
        <w:t xml:space="preserve"> iespēju mazināšanās ierobežoja arī investīciju apjomus šajās nozarēs. Arī apstrādes rūpniecība jūtīgi reaģēja uz pieprasījuma samazināšanos un ierobežotu pieejamību ārējiem finansēšanas avotiem.</w:t>
      </w:r>
    </w:p>
    <w:p w14:paraId="348C3C48" w14:textId="77777777" w:rsidR="005D3FD4" w:rsidRDefault="005D3FD4" w:rsidP="005D3FD4">
      <w:pPr>
        <w:spacing w:after="0" w:line="240" w:lineRule="auto"/>
        <w:ind w:firstLine="567"/>
        <w:jc w:val="both"/>
        <w:rPr>
          <w:rFonts w:ascii="Times New Roman" w:hAnsi="Times New Roman" w:cs="Times New Roman"/>
          <w:sz w:val="24"/>
          <w:szCs w:val="24"/>
        </w:rPr>
      </w:pPr>
    </w:p>
    <w:p w14:paraId="02F16DD4" w14:textId="77777777" w:rsidR="005D3FD4" w:rsidRPr="00353B86" w:rsidRDefault="005D3FD4" w:rsidP="005D3FD4">
      <w:pPr>
        <w:spacing w:after="0" w:line="240" w:lineRule="auto"/>
        <w:ind w:firstLine="567"/>
        <w:jc w:val="right"/>
        <w:rPr>
          <w:rFonts w:ascii="Times New Roman" w:hAnsi="Times New Roman" w:cs="Times New Roman"/>
          <w:sz w:val="24"/>
          <w:szCs w:val="24"/>
        </w:rPr>
      </w:pPr>
      <w:r w:rsidRPr="00353B86">
        <w:rPr>
          <w:rFonts w:ascii="Times New Roman" w:hAnsi="Times New Roman" w:cs="Times New Roman"/>
          <w:sz w:val="24"/>
          <w:szCs w:val="24"/>
        </w:rPr>
        <w:t>Attēls Nr.</w:t>
      </w:r>
      <w:r>
        <w:rPr>
          <w:rFonts w:ascii="Times New Roman" w:hAnsi="Times New Roman" w:cs="Times New Roman"/>
          <w:sz w:val="24"/>
          <w:szCs w:val="24"/>
        </w:rPr>
        <w:t>15</w:t>
      </w:r>
      <w:r w:rsidRPr="00353B86">
        <w:rPr>
          <w:rFonts w:ascii="Times New Roman" w:hAnsi="Times New Roman" w:cs="Times New Roman"/>
          <w:sz w:val="24"/>
          <w:szCs w:val="24"/>
        </w:rPr>
        <w:t xml:space="preserve"> </w:t>
      </w:r>
    </w:p>
    <w:p w14:paraId="030EFF10" w14:textId="77777777" w:rsidR="005D3FD4" w:rsidRPr="00564770" w:rsidRDefault="005D3FD4" w:rsidP="005D3FD4">
      <w:pPr>
        <w:spacing w:after="0" w:line="240" w:lineRule="auto"/>
        <w:ind w:firstLine="567"/>
        <w:jc w:val="center"/>
        <w:rPr>
          <w:rFonts w:ascii="Times New Roman" w:hAnsi="Times New Roman" w:cs="Times New Roman"/>
          <w:b/>
          <w:bCs/>
          <w:sz w:val="24"/>
          <w:szCs w:val="24"/>
        </w:rPr>
      </w:pPr>
      <w:r w:rsidRPr="00564770">
        <w:rPr>
          <w:rFonts w:ascii="Times New Roman" w:hAnsi="Times New Roman" w:cs="Times New Roman"/>
          <w:b/>
          <w:bCs/>
          <w:sz w:val="24"/>
          <w:szCs w:val="24"/>
        </w:rPr>
        <w:t>Investīciju dinamika un līmenis Latvijas tautsaimniecības nozarēs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4748"/>
      </w:tblGrid>
      <w:tr w:rsidR="005D3FD4" w:rsidRPr="00322AEA" w14:paraId="561A3B9F" w14:textId="77777777" w:rsidTr="00DA0FF3">
        <w:tc>
          <w:tcPr>
            <w:tcW w:w="4153" w:type="dxa"/>
            <w:shd w:val="clear" w:color="auto" w:fill="EAE6E2"/>
          </w:tcPr>
          <w:p w14:paraId="715BC042"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717AC7C8" wp14:editId="0E4F2A50">
                  <wp:extent cx="2673350" cy="444138"/>
                  <wp:effectExtent l="0" t="0" r="0" b="0"/>
                  <wp:docPr id="391" name="Chart 391">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153" w:type="dxa"/>
            <w:shd w:val="clear" w:color="auto" w:fill="EAE6E2"/>
          </w:tcPr>
          <w:p w14:paraId="67EBA4B2" w14:textId="77777777" w:rsidR="005D3FD4" w:rsidRPr="00E91A60" w:rsidRDefault="005D3FD4" w:rsidP="00DA0FF3">
            <w:pPr>
              <w:ind w:firstLine="567"/>
              <w:jc w:val="both"/>
              <w:rPr>
                <w:rFonts w:ascii="Times New Roman" w:hAnsi="Times New Roman" w:cs="Times New Roman"/>
                <w:sz w:val="24"/>
                <w:szCs w:val="24"/>
              </w:rPr>
            </w:pPr>
          </w:p>
        </w:tc>
      </w:tr>
      <w:tr w:rsidR="005D3FD4" w:rsidRPr="00322AEA" w14:paraId="7F7A01BD" w14:textId="77777777" w:rsidTr="00DA0FF3">
        <w:tc>
          <w:tcPr>
            <w:tcW w:w="4153" w:type="dxa"/>
            <w:shd w:val="clear" w:color="auto" w:fill="EAE6E2"/>
          </w:tcPr>
          <w:p w14:paraId="476E1F5F"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0E16ECD9" wp14:editId="2088F3A3">
                  <wp:extent cx="2700000" cy="1620000"/>
                  <wp:effectExtent l="0" t="0" r="5715" b="0"/>
                  <wp:docPr id="76" name="Chart 76">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153" w:type="dxa"/>
            <w:shd w:val="clear" w:color="auto" w:fill="EAE6E2"/>
          </w:tcPr>
          <w:p w14:paraId="66B66CD4"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40F76D89" wp14:editId="6F31F8E2">
                  <wp:extent cx="2700000" cy="1620000"/>
                  <wp:effectExtent l="0" t="0" r="5715" b="0"/>
                  <wp:docPr id="77" name="Chart 77">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5D3FD4" w:rsidRPr="00322AEA" w14:paraId="5CC412FC" w14:textId="77777777" w:rsidTr="00DA0FF3">
        <w:tc>
          <w:tcPr>
            <w:tcW w:w="4153" w:type="dxa"/>
            <w:shd w:val="clear" w:color="auto" w:fill="EAE6E2"/>
          </w:tcPr>
          <w:p w14:paraId="06A1B21D"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6B25E751" wp14:editId="2827F9F3">
                  <wp:extent cx="2700000" cy="1620000"/>
                  <wp:effectExtent l="0" t="0" r="5715" b="0"/>
                  <wp:docPr id="78" name="Chart 78">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153" w:type="dxa"/>
            <w:shd w:val="clear" w:color="auto" w:fill="EAE6E2"/>
          </w:tcPr>
          <w:p w14:paraId="043ABF28" w14:textId="77777777" w:rsidR="005D3FD4" w:rsidRPr="00E91A60" w:rsidRDefault="005D3FD4" w:rsidP="00DA0FF3">
            <w:pPr>
              <w:ind w:firstLine="567"/>
              <w:jc w:val="center"/>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20ACABEE" wp14:editId="1B4C9C56">
                  <wp:extent cx="2700000" cy="1620000"/>
                  <wp:effectExtent l="0" t="0" r="5715" b="0"/>
                  <wp:docPr id="79" name="Chart 79">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r w:rsidR="005D3FD4" w:rsidRPr="00322AEA" w14:paraId="6604BF2A" w14:textId="77777777" w:rsidTr="00DA0FF3">
        <w:tc>
          <w:tcPr>
            <w:tcW w:w="4153" w:type="dxa"/>
            <w:shd w:val="clear" w:color="auto" w:fill="EAE6E2"/>
          </w:tcPr>
          <w:p w14:paraId="691922E3"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65163EAB" wp14:editId="216F2580">
                  <wp:extent cx="2700000" cy="1620000"/>
                  <wp:effectExtent l="0" t="0" r="5715" b="0"/>
                  <wp:docPr id="80" name="Chart 80">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153" w:type="dxa"/>
            <w:shd w:val="clear" w:color="auto" w:fill="EAE6E2"/>
          </w:tcPr>
          <w:p w14:paraId="045C5A66"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3FFE713F" wp14:editId="1F4B5E3F">
                  <wp:extent cx="2700000" cy="1620000"/>
                  <wp:effectExtent l="0" t="0" r="5715" b="0"/>
                  <wp:docPr id="81" name="Chart 81">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5D3FD4" w:rsidRPr="00322AEA" w14:paraId="12E47146" w14:textId="77777777" w:rsidTr="00DA0FF3">
        <w:tc>
          <w:tcPr>
            <w:tcW w:w="4153" w:type="dxa"/>
            <w:shd w:val="clear" w:color="auto" w:fill="EAE6E2"/>
          </w:tcPr>
          <w:p w14:paraId="5F268C5E"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296B60FE" wp14:editId="1774BC67">
                  <wp:extent cx="2700000" cy="1620000"/>
                  <wp:effectExtent l="0" t="0" r="5715" b="0"/>
                  <wp:docPr id="82" name="Chart 82">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4153" w:type="dxa"/>
            <w:shd w:val="clear" w:color="auto" w:fill="EAE6E2"/>
          </w:tcPr>
          <w:p w14:paraId="64E3D161" w14:textId="77777777" w:rsidR="005D3FD4" w:rsidRPr="00E91A60" w:rsidRDefault="005D3FD4" w:rsidP="00DA0FF3">
            <w:pPr>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746C83DF" wp14:editId="020BF4A8">
                  <wp:extent cx="2700000" cy="1620000"/>
                  <wp:effectExtent l="0" t="0" r="5715" b="0"/>
                  <wp:docPr id="83" name="Chart 83">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r w:rsidR="005D3FD4" w:rsidRPr="00322AEA" w14:paraId="38BD35D1" w14:textId="77777777" w:rsidTr="00DA0FF3">
        <w:tc>
          <w:tcPr>
            <w:tcW w:w="4153" w:type="dxa"/>
            <w:shd w:val="clear" w:color="auto" w:fill="EAE6E2"/>
          </w:tcPr>
          <w:p w14:paraId="60DA47A5" w14:textId="77777777" w:rsidR="005D3FD4" w:rsidRPr="00E91A60" w:rsidRDefault="005D3FD4" w:rsidP="00DA0FF3">
            <w:pPr>
              <w:spacing w:after="120"/>
              <w:ind w:firstLine="567"/>
              <w:jc w:val="both"/>
              <w:rPr>
                <w:rFonts w:ascii="Times New Roman" w:hAnsi="Times New Roman" w:cs="Times New Roman"/>
                <w:sz w:val="24"/>
                <w:szCs w:val="24"/>
              </w:rPr>
            </w:pPr>
            <w:r w:rsidRPr="00E91A60">
              <w:rPr>
                <w:rFonts w:ascii="Times New Roman" w:hAnsi="Times New Roman" w:cs="Times New Roman"/>
                <w:noProof/>
                <w:sz w:val="24"/>
                <w:szCs w:val="24"/>
                <w:lang w:val="en-US"/>
              </w:rPr>
              <w:drawing>
                <wp:inline distT="0" distB="0" distL="0" distR="0" wp14:anchorId="1FB58136" wp14:editId="112AC698">
                  <wp:extent cx="2700000" cy="1620000"/>
                  <wp:effectExtent l="0" t="0" r="5715" b="0"/>
                  <wp:docPr id="84" name="Chart 84">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c>
          <w:tcPr>
            <w:tcW w:w="4153" w:type="dxa"/>
            <w:shd w:val="clear" w:color="auto" w:fill="EAE6E2"/>
          </w:tcPr>
          <w:p w14:paraId="30FB6E24" w14:textId="77777777" w:rsidR="005D3FD4" w:rsidRPr="00E91A60" w:rsidRDefault="005D3FD4" w:rsidP="00DA0FF3">
            <w:pPr>
              <w:spacing w:after="120"/>
              <w:ind w:firstLine="567"/>
              <w:jc w:val="both"/>
              <w:rPr>
                <w:rFonts w:ascii="Times New Roman" w:hAnsi="Times New Roman" w:cs="Times New Roman"/>
                <w:color w:val="FFFFFF" w:themeColor="background1"/>
                <w:sz w:val="24"/>
                <w:szCs w:val="24"/>
              </w:rPr>
            </w:pPr>
            <w:r w:rsidRPr="00E91A60">
              <w:rPr>
                <w:rFonts w:ascii="Times New Roman" w:hAnsi="Times New Roman" w:cs="Times New Roman"/>
                <w:noProof/>
                <w:sz w:val="24"/>
                <w:szCs w:val="24"/>
                <w:lang w:val="en-US"/>
              </w:rPr>
              <w:drawing>
                <wp:inline distT="0" distB="0" distL="0" distR="0" wp14:anchorId="311174C2" wp14:editId="05B91185">
                  <wp:extent cx="2700000" cy="1620000"/>
                  <wp:effectExtent l="0" t="0" r="5715" b="0"/>
                  <wp:docPr id="85" name="Chart 85">
                    <a:extLst xmlns:a="http://schemas.openxmlformats.org/drawingml/2006/main">
                      <a:ext uri="{FF2B5EF4-FFF2-40B4-BE49-F238E27FC236}">
                        <a16:creationId xmlns:a16="http://schemas.microsoft.com/office/drawing/2014/main" id="{36B12BE3-3BD9-4C75-A6EE-57D243872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bl>
    <w:p w14:paraId="4DC66B7E"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Avots- CSP</w:t>
      </w:r>
    </w:p>
    <w:p w14:paraId="50168F13" w14:textId="77777777" w:rsidR="005D3FD4" w:rsidRDefault="005D3FD4" w:rsidP="005D3FD4">
      <w:pPr>
        <w:spacing w:before="12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AS “</w:t>
      </w:r>
      <w:r w:rsidRPr="001F76EC">
        <w:rPr>
          <w:rFonts w:ascii="Times New Roman" w:hAnsi="Times New Roman" w:cs="Times New Roman"/>
          <w:sz w:val="24"/>
          <w:szCs w:val="24"/>
        </w:rPr>
        <w:t xml:space="preserve">Attīstības finanšu institūcija </w:t>
      </w:r>
      <w:proofErr w:type="spellStart"/>
      <w:r w:rsidRPr="001F76EC">
        <w:rPr>
          <w:rFonts w:ascii="Times New Roman" w:hAnsi="Times New Roman" w:cs="Times New Roman"/>
          <w:sz w:val="24"/>
          <w:szCs w:val="24"/>
        </w:rPr>
        <w:t>Altum</w:t>
      </w:r>
      <w:proofErr w:type="spellEnd"/>
      <w:r>
        <w:rPr>
          <w:rFonts w:ascii="Times New Roman" w:hAnsi="Times New Roman" w:cs="Times New Roman"/>
          <w:sz w:val="24"/>
          <w:szCs w:val="24"/>
        </w:rPr>
        <w:t>”</w:t>
      </w:r>
      <w:r w:rsidRPr="00CA68B3">
        <w:rPr>
          <w:rFonts w:ascii="Times New Roman" w:hAnsi="Times New Roman" w:cs="Times New Roman"/>
          <w:sz w:val="24"/>
          <w:szCs w:val="24"/>
        </w:rPr>
        <w:t xml:space="preserve"> kā valsts kapitālsabiedrība fokusējas uz uzņēmējdarbības atbalstu ar finanšu instrumentu palīdzību jomās, kuras valsts ir izvirzījusi kā svarīgas un atbalstāmas, un kurās pietiekamā apjomā nav pieejams kredītiestāžu finansējums</w:t>
      </w:r>
      <w:r>
        <w:rPr>
          <w:rFonts w:ascii="Times New Roman" w:hAnsi="Times New Roman" w:cs="Times New Roman"/>
          <w:sz w:val="24"/>
          <w:szCs w:val="24"/>
        </w:rPr>
        <w:t xml:space="preserve"> jeb ir vērojama tirgus nepilnība</w:t>
      </w:r>
      <w:r w:rsidRPr="00322AEA">
        <w:rPr>
          <w:rFonts w:ascii="Times New Roman" w:hAnsi="Times New Roman" w:cs="Times New Roman"/>
          <w:sz w:val="24"/>
          <w:szCs w:val="24"/>
        </w:rPr>
        <w:t>.</w:t>
      </w:r>
      <w:r>
        <w:rPr>
          <w:rFonts w:ascii="Times New Roman" w:hAnsi="Times New Roman" w:cs="Times New Roman"/>
          <w:sz w:val="24"/>
          <w:szCs w:val="24"/>
        </w:rPr>
        <w:t xml:space="preserve"> F</w:t>
      </w:r>
      <w:r w:rsidRPr="008743C7">
        <w:rPr>
          <w:rFonts w:ascii="Times New Roman" w:hAnsi="Times New Roman" w:cs="Times New Roman"/>
          <w:sz w:val="24"/>
          <w:szCs w:val="24"/>
        </w:rPr>
        <w:t xml:space="preserve">inanšu institūcijas “sabiedrības </w:t>
      </w:r>
      <w:proofErr w:type="spellStart"/>
      <w:r>
        <w:rPr>
          <w:rFonts w:ascii="Times New Roman" w:hAnsi="Times New Roman" w:cs="Times New Roman"/>
          <w:sz w:val="24"/>
          <w:szCs w:val="24"/>
        </w:rPr>
        <w:t>Altum</w:t>
      </w:r>
      <w:proofErr w:type="spellEnd"/>
      <w:r w:rsidRPr="008743C7">
        <w:rPr>
          <w:rFonts w:ascii="Times New Roman" w:hAnsi="Times New Roman" w:cs="Times New Roman"/>
          <w:sz w:val="24"/>
          <w:szCs w:val="24"/>
        </w:rPr>
        <w:t>”</w:t>
      </w:r>
      <w:r>
        <w:rPr>
          <w:rFonts w:ascii="Times New Roman" w:hAnsi="Times New Roman" w:cs="Times New Roman"/>
          <w:sz w:val="24"/>
          <w:szCs w:val="24"/>
        </w:rPr>
        <w:t xml:space="preserve"> </w:t>
      </w:r>
      <w:r w:rsidRPr="00AF79BF">
        <w:rPr>
          <w:rFonts w:ascii="Times New Roman" w:hAnsi="Times New Roman" w:cs="Times New Roman"/>
          <w:sz w:val="24"/>
          <w:szCs w:val="24"/>
        </w:rPr>
        <w:t>bruto portfelis 2022.</w:t>
      </w:r>
      <w:r>
        <w:rPr>
          <w:rFonts w:ascii="Times New Roman" w:hAnsi="Times New Roman" w:cs="Times New Roman"/>
          <w:sz w:val="24"/>
          <w:szCs w:val="24"/>
        </w:rPr>
        <w:t xml:space="preserve"> </w:t>
      </w:r>
      <w:r w:rsidRPr="00AF79BF">
        <w:rPr>
          <w:rFonts w:ascii="Times New Roman" w:hAnsi="Times New Roman" w:cs="Times New Roman"/>
          <w:sz w:val="24"/>
          <w:szCs w:val="24"/>
        </w:rPr>
        <w:t>gada 31.</w:t>
      </w:r>
      <w:r>
        <w:rPr>
          <w:rFonts w:ascii="Times New Roman" w:hAnsi="Times New Roman" w:cs="Times New Roman"/>
          <w:sz w:val="24"/>
          <w:szCs w:val="24"/>
        </w:rPr>
        <w:t xml:space="preserve"> </w:t>
      </w:r>
      <w:r w:rsidRPr="00AF79BF">
        <w:rPr>
          <w:rFonts w:ascii="Times New Roman" w:hAnsi="Times New Roman" w:cs="Times New Roman"/>
          <w:sz w:val="24"/>
          <w:szCs w:val="24"/>
        </w:rPr>
        <w:t>decembrī ir 1,065 milj.</w:t>
      </w:r>
      <w:r>
        <w:rPr>
          <w:rFonts w:ascii="Times New Roman" w:hAnsi="Times New Roman" w:cs="Times New Roman"/>
          <w:sz w:val="24"/>
          <w:szCs w:val="24"/>
        </w:rPr>
        <w:t xml:space="preserve"> EUR</w:t>
      </w:r>
      <w:r w:rsidRPr="00AF79BF">
        <w:rPr>
          <w:rFonts w:ascii="Times New Roman" w:hAnsi="Times New Roman" w:cs="Times New Roman"/>
          <w:sz w:val="24"/>
          <w:szCs w:val="24"/>
        </w:rPr>
        <w:t xml:space="preserve">, no kura finanšu instrumentu portfelis sastāda 964 milj. </w:t>
      </w:r>
      <w:r>
        <w:rPr>
          <w:rFonts w:ascii="Times New Roman" w:hAnsi="Times New Roman" w:cs="Times New Roman"/>
          <w:sz w:val="24"/>
          <w:szCs w:val="24"/>
        </w:rPr>
        <w:t>EUR</w:t>
      </w:r>
      <w:r w:rsidRPr="00AF79BF">
        <w:rPr>
          <w:rFonts w:ascii="Times New Roman" w:hAnsi="Times New Roman" w:cs="Times New Roman"/>
          <w:sz w:val="24"/>
          <w:szCs w:val="24"/>
        </w:rPr>
        <w:t>, ko veido 33,976 projekti, tai skaitā:</w:t>
      </w:r>
    </w:p>
    <w:p w14:paraId="0C7B9EA0" w14:textId="77777777" w:rsidR="005D3FD4" w:rsidRDefault="005D3FD4" w:rsidP="005D3FD4">
      <w:pPr>
        <w:pStyle w:val="ListParagraph"/>
        <w:numPr>
          <w:ilvl w:val="0"/>
          <w:numId w:val="23"/>
        </w:numPr>
        <w:spacing w:after="0" w:line="240" w:lineRule="auto"/>
        <w:jc w:val="both"/>
        <w:rPr>
          <w:rFonts w:ascii="Times New Roman" w:hAnsi="Times New Roman" w:cs="Times New Roman"/>
          <w:sz w:val="24"/>
          <w:szCs w:val="24"/>
        </w:rPr>
      </w:pPr>
      <w:r w:rsidRPr="00AF79BF">
        <w:rPr>
          <w:rFonts w:ascii="Times New Roman" w:hAnsi="Times New Roman" w:cs="Times New Roman"/>
          <w:sz w:val="24"/>
          <w:szCs w:val="24"/>
        </w:rPr>
        <w:t xml:space="preserve">garantiju portfelis 481 milj. </w:t>
      </w:r>
      <w:r>
        <w:rPr>
          <w:rFonts w:ascii="Times New Roman" w:hAnsi="Times New Roman" w:cs="Times New Roman"/>
          <w:sz w:val="24"/>
          <w:szCs w:val="24"/>
        </w:rPr>
        <w:t>EUR</w:t>
      </w:r>
      <w:r w:rsidRPr="00AF79BF">
        <w:rPr>
          <w:rFonts w:ascii="Times New Roman" w:hAnsi="Times New Roman" w:cs="Times New Roman"/>
          <w:sz w:val="24"/>
          <w:szCs w:val="24"/>
        </w:rPr>
        <w:t>, kopējais līgumu skaits 26,354;</w:t>
      </w:r>
    </w:p>
    <w:p w14:paraId="7D8127FA" w14:textId="77777777" w:rsidR="005D3FD4" w:rsidRDefault="005D3FD4" w:rsidP="005D3FD4">
      <w:pPr>
        <w:pStyle w:val="ListParagraph"/>
        <w:numPr>
          <w:ilvl w:val="0"/>
          <w:numId w:val="23"/>
        </w:numPr>
        <w:spacing w:after="0" w:line="240" w:lineRule="auto"/>
        <w:jc w:val="both"/>
        <w:rPr>
          <w:rFonts w:ascii="Times New Roman" w:hAnsi="Times New Roman" w:cs="Times New Roman"/>
          <w:sz w:val="24"/>
          <w:szCs w:val="24"/>
        </w:rPr>
      </w:pPr>
      <w:r w:rsidRPr="00AF79BF">
        <w:rPr>
          <w:rFonts w:ascii="Times New Roman" w:hAnsi="Times New Roman" w:cs="Times New Roman"/>
          <w:sz w:val="24"/>
          <w:szCs w:val="24"/>
        </w:rPr>
        <w:t xml:space="preserve">aizdevumu portfelis 312 milj. </w:t>
      </w:r>
      <w:r>
        <w:rPr>
          <w:rFonts w:ascii="Times New Roman" w:hAnsi="Times New Roman" w:cs="Times New Roman"/>
          <w:sz w:val="24"/>
          <w:szCs w:val="24"/>
        </w:rPr>
        <w:t>EUR</w:t>
      </w:r>
      <w:r w:rsidRPr="00AF79BF">
        <w:rPr>
          <w:rFonts w:ascii="Times New Roman" w:hAnsi="Times New Roman" w:cs="Times New Roman"/>
          <w:sz w:val="24"/>
          <w:szCs w:val="24"/>
        </w:rPr>
        <w:t>, kopējais līgumu skaits 6,481;</w:t>
      </w:r>
    </w:p>
    <w:p w14:paraId="5EE7A970" w14:textId="77777777" w:rsidR="005D3FD4" w:rsidRPr="005B6B44" w:rsidRDefault="005D3FD4" w:rsidP="005D3FD4">
      <w:pPr>
        <w:pStyle w:val="ListParagraph"/>
        <w:numPr>
          <w:ilvl w:val="0"/>
          <w:numId w:val="23"/>
        </w:numPr>
        <w:spacing w:line="240" w:lineRule="auto"/>
        <w:jc w:val="both"/>
        <w:rPr>
          <w:rFonts w:ascii="Times New Roman" w:hAnsi="Times New Roman" w:cs="Times New Roman"/>
          <w:sz w:val="24"/>
          <w:szCs w:val="24"/>
        </w:rPr>
      </w:pPr>
      <w:r w:rsidRPr="00AF79BF">
        <w:rPr>
          <w:rFonts w:ascii="Times New Roman" w:hAnsi="Times New Roman" w:cs="Times New Roman"/>
          <w:sz w:val="24"/>
          <w:szCs w:val="24"/>
        </w:rPr>
        <w:t xml:space="preserve">ieguldījumi riska kapitāla fondos 90 milj. </w:t>
      </w:r>
      <w:r>
        <w:rPr>
          <w:rFonts w:ascii="Times New Roman" w:hAnsi="Times New Roman" w:cs="Times New Roman"/>
          <w:sz w:val="24"/>
          <w:szCs w:val="24"/>
        </w:rPr>
        <w:t>EUR</w:t>
      </w:r>
      <w:r w:rsidRPr="00AF79BF">
        <w:rPr>
          <w:rFonts w:ascii="Times New Roman" w:hAnsi="Times New Roman" w:cs="Times New Roman"/>
          <w:sz w:val="24"/>
          <w:szCs w:val="24"/>
        </w:rPr>
        <w:t>, kopējais fondu finansēto projektu skaits 185</w:t>
      </w:r>
      <w:r>
        <w:rPr>
          <w:rFonts w:ascii="Times New Roman" w:hAnsi="Times New Roman" w:cs="Times New Roman"/>
          <w:sz w:val="24"/>
          <w:szCs w:val="24"/>
        </w:rPr>
        <w:t>.</w:t>
      </w:r>
    </w:p>
    <w:p w14:paraId="0903D926" w14:textId="77777777" w:rsidR="0039665B" w:rsidRDefault="0039665B" w:rsidP="005D3FD4">
      <w:pPr>
        <w:pStyle w:val="ListParagraph"/>
        <w:spacing w:before="240" w:after="120" w:line="240" w:lineRule="auto"/>
        <w:ind w:firstLine="567"/>
        <w:jc w:val="right"/>
        <w:rPr>
          <w:rFonts w:ascii="Times New Roman" w:hAnsi="Times New Roman" w:cs="Times New Roman"/>
          <w:sz w:val="24"/>
          <w:szCs w:val="24"/>
        </w:rPr>
      </w:pPr>
    </w:p>
    <w:p w14:paraId="785C2532" w14:textId="7F480564" w:rsidR="005D3FD4" w:rsidRPr="00353B86" w:rsidRDefault="005D3FD4" w:rsidP="005D3FD4">
      <w:pPr>
        <w:pStyle w:val="ListParagraph"/>
        <w:spacing w:before="240" w:after="120" w:line="240" w:lineRule="auto"/>
        <w:ind w:firstLine="567"/>
        <w:jc w:val="right"/>
        <w:rPr>
          <w:rFonts w:ascii="Times New Roman" w:hAnsi="Times New Roman" w:cs="Times New Roman"/>
          <w:sz w:val="24"/>
          <w:szCs w:val="24"/>
        </w:rPr>
      </w:pPr>
      <w:r w:rsidRPr="00353B86">
        <w:rPr>
          <w:rFonts w:ascii="Times New Roman" w:hAnsi="Times New Roman" w:cs="Times New Roman"/>
          <w:sz w:val="24"/>
          <w:szCs w:val="24"/>
        </w:rPr>
        <w:t>Attēls Nr.</w:t>
      </w:r>
      <w:r>
        <w:rPr>
          <w:rFonts w:ascii="Times New Roman" w:hAnsi="Times New Roman" w:cs="Times New Roman"/>
          <w:sz w:val="24"/>
          <w:szCs w:val="24"/>
        </w:rPr>
        <w:t>16</w:t>
      </w:r>
    </w:p>
    <w:p w14:paraId="020BE482" w14:textId="77777777" w:rsidR="005D3FD4" w:rsidRPr="00564770" w:rsidRDefault="005D3FD4" w:rsidP="005D3FD4">
      <w:pPr>
        <w:pStyle w:val="ListParagraph"/>
        <w:spacing w:after="0" w:line="240" w:lineRule="auto"/>
        <w:ind w:firstLine="567"/>
        <w:jc w:val="center"/>
        <w:rPr>
          <w:rFonts w:ascii="Times New Roman" w:hAnsi="Times New Roman" w:cs="Times New Roman"/>
          <w:b/>
          <w:bCs/>
          <w:sz w:val="24"/>
          <w:szCs w:val="24"/>
        </w:rPr>
      </w:pPr>
      <w:r w:rsidRPr="006B06A3">
        <w:rPr>
          <w:rFonts w:ascii="Times New Roman" w:hAnsi="Times New Roman" w:cs="Times New Roman"/>
          <w:b/>
          <w:bCs/>
          <w:sz w:val="24"/>
          <w:szCs w:val="24"/>
        </w:rPr>
        <w:t>Attīstības finanšu institūcijas “</w:t>
      </w:r>
      <w:proofErr w:type="spellStart"/>
      <w:r w:rsidRPr="00564770">
        <w:rPr>
          <w:rFonts w:ascii="Times New Roman" w:hAnsi="Times New Roman" w:cs="Times New Roman"/>
          <w:b/>
          <w:bCs/>
          <w:sz w:val="24"/>
          <w:szCs w:val="24"/>
        </w:rPr>
        <w:t>Altum</w:t>
      </w:r>
      <w:proofErr w:type="spellEnd"/>
      <w:r w:rsidRPr="00F11671">
        <w:rPr>
          <w:rFonts w:ascii="Times New Roman" w:hAnsi="Times New Roman" w:cs="Times New Roman"/>
          <w:b/>
          <w:bCs/>
          <w:sz w:val="24"/>
          <w:szCs w:val="24"/>
        </w:rPr>
        <w:t>”</w:t>
      </w:r>
      <w:r w:rsidRPr="00564770">
        <w:rPr>
          <w:rFonts w:ascii="Times New Roman" w:hAnsi="Times New Roman" w:cs="Times New Roman"/>
          <w:b/>
          <w:bCs/>
          <w:sz w:val="24"/>
          <w:szCs w:val="24"/>
        </w:rPr>
        <w:t xml:space="preserve"> portfelis (milj. EUR)</w:t>
      </w:r>
    </w:p>
    <w:p w14:paraId="1D49EDBA" w14:textId="77777777" w:rsidR="005D3FD4" w:rsidRDefault="005D3FD4" w:rsidP="005D3FD4">
      <w:pPr>
        <w:spacing w:after="0" w:line="240" w:lineRule="auto"/>
        <w:ind w:firstLine="567"/>
        <w:jc w:val="both"/>
        <w:rPr>
          <w:rFonts w:ascii="Times New Roman" w:hAnsi="Times New Roman" w:cs="Times New Roman"/>
          <w:sz w:val="24"/>
          <w:szCs w:val="24"/>
        </w:rPr>
      </w:pPr>
      <w:r w:rsidRPr="008B1520">
        <w:rPr>
          <w:rFonts w:ascii="Times New Roman" w:hAnsi="Times New Roman" w:cs="Times New Roman"/>
          <w:noProof/>
          <w:sz w:val="24"/>
          <w:szCs w:val="24"/>
        </w:rPr>
        <w:drawing>
          <wp:inline distT="0" distB="0" distL="0" distR="0" wp14:anchorId="27E1C308" wp14:editId="1B03C7BA">
            <wp:extent cx="5033010" cy="1676400"/>
            <wp:effectExtent l="0" t="0" r="15240" b="0"/>
            <wp:docPr id="9" name="Chart 9">
              <a:extLst xmlns:a="http://schemas.openxmlformats.org/drawingml/2006/main">
                <a:ext uri="{FF2B5EF4-FFF2-40B4-BE49-F238E27FC236}">
                  <a16:creationId xmlns:a16="http://schemas.microsoft.com/office/drawing/2014/main" id="{43D79652-A348-A1E2-439A-A6A7440BC7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831A947"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 xml:space="preserve">Avots- finanšu institūcijas “sabiedrības </w:t>
      </w:r>
      <w:proofErr w:type="spellStart"/>
      <w:r w:rsidRPr="004D642A">
        <w:rPr>
          <w:rFonts w:ascii="Times New Roman" w:hAnsi="Times New Roman" w:cs="Times New Roman"/>
          <w:i/>
          <w:iCs/>
          <w:sz w:val="20"/>
          <w:szCs w:val="20"/>
        </w:rPr>
        <w:t>Altum</w:t>
      </w:r>
      <w:proofErr w:type="spellEnd"/>
      <w:r w:rsidRPr="004D642A">
        <w:rPr>
          <w:rFonts w:ascii="Times New Roman" w:hAnsi="Times New Roman" w:cs="Times New Roman"/>
          <w:i/>
          <w:iCs/>
          <w:sz w:val="20"/>
          <w:szCs w:val="20"/>
        </w:rPr>
        <w:t>” pārskats par 2022.gadu</w:t>
      </w:r>
    </w:p>
    <w:p w14:paraId="6437D5D1" w14:textId="77777777" w:rsidR="005D3FD4" w:rsidRDefault="005D3FD4" w:rsidP="005D3FD4">
      <w:pPr>
        <w:spacing w:before="120" w:after="0" w:line="240" w:lineRule="auto"/>
        <w:ind w:firstLine="567"/>
        <w:jc w:val="both"/>
        <w:rPr>
          <w:rFonts w:ascii="Times New Roman" w:hAnsi="Times New Roman" w:cs="Times New Roman"/>
          <w:sz w:val="24"/>
          <w:szCs w:val="24"/>
        </w:rPr>
      </w:pPr>
    </w:p>
    <w:p w14:paraId="4D12A8A3"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A30D68">
        <w:rPr>
          <w:rFonts w:ascii="Times New Roman" w:hAnsi="Times New Roman" w:cs="Times New Roman"/>
          <w:sz w:val="24"/>
          <w:szCs w:val="24"/>
        </w:rPr>
        <w:t xml:space="preserve">Vietējo biržu apjoms joprojām ir pieticīgs. Publiskie akciju tirgi Baltijas valstīs ir vieni no mazākajiem Eiropas Savienībā, un kopējā tirgus kapitalizācijas attiecība pret IKP ir zemāka par to, kāda ir lielākajai daļai citu valstu reģioniem (sk. </w:t>
      </w:r>
      <w:r>
        <w:rPr>
          <w:rFonts w:ascii="Times New Roman" w:hAnsi="Times New Roman" w:cs="Times New Roman"/>
          <w:sz w:val="24"/>
          <w:szCs w:val="24"/>
        </w:rPr>
        <w:t>17</w:t>
      </w:r>
      <w:r w:rsidRPr="00A30D68">
        <w:rPr>
          <w:rFonts w:ascii="Times New Roman" w:hAnsi="Times New Roman" w:cs="Times New Roman"/>
          <w:sz w:val="24"/>
          <w:szCs w:val="24"/>
        </w:rPr>
        <w:t xml:space="preserve">.attēlu). Pašlaik apvienoto trīs nacionālo biržu galvenajā un sekundārajā sarakstā ir iekļauti tikai 60 uzņēmumi, un neviena no tiem tirgus kapitalizācija nepārsniedz 1 </w:t>
      </w:r>
      <w:r>
        <w:rPr>
          <w:rFonts w:ascii="Times New Roman" w:hAnsi="Times New Roman" w:cs="Times New Roman"/>
          <w:sz w:val="24"/>
          <w:szCs w:val="24"/>
        </w:rPr>
        <w:t>milj.</w:t>
      </w:r>
      <w:r w:rsidRPr="00A30D68">
        <w:rPr>
          <w:rFonts w:ascii="Times New Roman" w:hAnsi="Times New Roman" w:cs="Times New Roman"/>
          <w:sz w:val="24"/>
          <w:szCs w:val="24"/>
        </w:rPr>
        <w:t xml:space="preserve"> </w:t>
      </w:r>
      <w:r>
        <w:rPr>
          <w:rFonts w:ascii="Times New Roman" w:hAnsi="Times New Roman" w:cs="Times New Roman"/>
          <w:sz w:val="24"/>
          <w:szCs w:val="24"/>
        </w:rPr>
        <w:t>EUR</w:t>
      </w:r>
      <w:r w:rsidRPr="00A30D68">
        <w:rPr>
          <w:rFonts w:ascii="Times New Roman" w:hAnsi="Times New Roman" w:cs="Times New Roman"/>
          <w:sz w:val="24"/>
          <w:szCs w:val="24"/>
        </w:rPr>
        <w:t xml:space="preserve">. Akciju tirgu mazais izmērs un zemā likviditāte ir pamudinājusi lielākos indeksu nodrošinātājus turpināt klasificēt reģionu kā “pierobežu” — Latviju pat neklasificē MSCI (Atbilstoši ASV finanšu iestādes MSCI </w:t>
      </w:r>
      <w:proofErr w:type="spellStart"/>
      <w:r w:rsidRPr="00A30D68">
        <w:rPr>
          <w:rFonts w:ascii="Times New Roman" w:hAnsi="Times New Roman" w:cs="Times New Roman"/>
          <w:sz w:val="24"/>
          <w:szCs w:val="24"/>
        </w:rPr>
        <w:t>Inc</w:t>
      </w:r>
      <w:proofErr w:type="spellEnd"/>
      <w:r w:rsidRPr="00A30D68">
        <w:rPr>
          <w:rFonts w:ascii="Times New Roman" w:hAnsi="Times New Roman" w:cs="Times New Roman"/>
          <w:sz w:val="24"/>
          <w:szCs w:val="24"/>
        </w:rPr>
        <w:t xml:space="preserve">. tirgus klasifikācijas indeksam), neskatoties uz stabilo makroekonomisko un institucionālo sistēmu. </w:t>
      </w:r>
    </w:p>
    <w:p w14:paraId="50E0DFDC" w14:textId="77777777" w:rsidR="00C2636B" w:rsidRDefault="00C2636B" w:rsidP="005D3FD4">
      <w:pPr>
        <w:spacing w:before="120" w:after="0" w:line="240" w:lineRule="auto"/>
        <w:ind w:left="360" w:firstLine="567"/>
        <w:jc w:val="right"/>
        <w:rPr>
          <w:rFonts w:ascii="Times New Roman" w:hAnsi="Times New Roman" w:cs="Times New Roman"/>
          <w:sz w:val="24"/>
          <w:szCs w:val="24"/>
        </w:rPr>
      </w:pPr>
    </w:p>
    <w:p w14:paraId="310C4BB9" w14:textId="77777777" w:rsidR="00C2636B" w:rsidRDefault="00C2636B" w:rsidP="005D3FD4">
      <w:pPr>
        <w:spacing w:before="120" w:after="0" w:line="240" w:lineRule="auto"/>
        <w:ind w:left="360" w:firstLine="567"/>
        <w:jc w:val="right"/>
        <w:rPr>
          <w:rFonts w:ascii="Times New Roman" w:hAnsi="Times New Roman" w:cs="Times New Roman"/>
          <w:sz w:val="24"/>
          <w:szCs w:val="24"/>
        </w:rPr>
      </w:pPr>
    </w:p>
    <w:p w14:paraId="0A2B01F5" w14:textId="77777777" w:rsidR="00C2636B" w:rsidRDefault="00C2636B" w:rsidP="005D3FD4">
      <w:pPr>
        <w:spacing w:before="120" w:after="0" w:line="240" w:lineRule="auto"/>
        <w:ind w:left="360" w:firstLine="567"/>
        <w:jc w:val="right"/>
        <w:rPr>
          <w:rFonts w:ascii="Times New Roman" w:hAnsi="Times New Roman" w:cs="Times New Roman"/>
          <w:sz w:val="24"/>
          <w:szCs w:val="24"/>
        </w:rPr>
      </w:pPr>
    </w:p>
    <w:p w14:paraId="4BF66F5D" w14:textId="77777777" w:rsidR="00C2636B" w:rsidRDefault="00C2636B" w:rsidP="005D3FD4">
      <w:pPr>
        <w:spacing w:before="120" w:after="0" w:line="240" w:lineRule="auto"/>
        <w:ind w:left="360" w:firstLine="567"/>
        <w:jc w:val="right"/>
        <w:rPr>
          <w:rFonts w:ascii="Times New Roman" w:hAnsi="Times New Roman" w:cs="Times New Roman"/>
          <w:sz w:val="24"/>
          <w:szCs w:val="24"/>
        </w:rPr>
      </w:pPr>
    </w:p>
    <w:p w14:paraId="54FA82B7" w14:textId="77777777" w:rsidR="00C2636B" w:rsidRDefault="00C2636B" w:rsidP="005D3FD4">
      <w:pPr>
        <w:spacing w:before="120" w:after="0" w:line="240" w:lineRule="auto"/>
        <w:ind w:left="360" w:firstLine="567"/>
        <w:jc w:val="right"/>
        <w:rPr>
          <w:rFonts w:ascii="Times New Roman" w:hAnsi="Times New Roman" w:cs="Times New Roman"/>
          <w:sz w:val="24"/>
          <w:szCs w:val="24"/>
        </w:rPr>
      </w:pPr>
    </w:p>
    <w:p w14:paraId="08616D23" w14:textId="77777777" w:rsidR="00C2636B" w:rsidRDefault="00C2636B" w:rsidP="005D3FD4">
      <w:pPr>
        <w:spacing w:before="120" w:after="0" w:line="240" w:lineRule="auto"/>
        <w:ind w:left="360" w:firstLine="567"/>
        <w:jc w:val="right"/>
        <w:rPr>
          <w:rFonts w:ascii="Times New Roman" w:hAnsi="Times New Roman" w:cs="Times New Roman"/>
          <w:sz w:val="24"/>
          <w:szCs w:val="24"/>
        </w:rPr>
      </w:pPr>
    </w:p>
    <w:p w14:paraId="5FDC5CC4" w14:textId="6EE5FE80" w:rsidR="005D3FD4" w:rsidRDefault="005D3FD4" w:rsidP="005D3FD4">
      <w:pPr>
        <w:spacing w:before="120" w:after="0" w:line="240" w:lineRule="auto"/>
        <w:ind w:left="360" w:firstLine="567"/>
        <w:jc w:val="right"/>
        <w:rPr>
          <w:rFonts w:ascii="Times New Roman" w:hAnsi="Times New Roman" w:cs="Times New Roman"/>
          <w:sz w:val="24"/>
          <w:szCs w:val="24"/>
        </w:rPr>
      </w:pPr>
      <w:r w:rsidRPr="009C28DF">
        <w:rPr>
          <w:rFonts w:ascii="Times New Roman" w:hAnsi="Times New Roman" w:cs="Times New Roman"/>
          <w:sz w:val="24"/>
          <w:szCs w:val="24"/>
        </w:rPr>
        <w:t>Attēls Nr.1</w:t>
      </w:r>
      <w:r>
        <w:rPr>
          <w:rFonts w:ascii="Times New Roman" w:hAnsi="Times New Roman" w:cs="Times New Roman"/>
          <w:sz w:val="24"/>
          <w:szCs w:val="24"/>
        </w:rPr>
        <w:t>7</w:t>
      </w:r>
    </w:p>
    <w:p w14:paraId="23DFA618" w14:textId="77777777" w:rsidR="005D3FD4" w:rsidRPr="00694AEF" w:rsidRDefault="005D3FD4" w:rsidP="005D3FD4">
      <w:pPr>
        <w:spacing w:before="120" w:after="0" w:line="240" w:lineRule="auto"/>
        <w:ind w:left="360" w:firstLine="567"/>
        <w:jc w:val="center"/>
        <w:rPr>
          <w:rFonts w:ascii="Times New Roman" w:hAnsi="Times New Roman" w:cs="Times New Roman"/>
          <w:b/>
          <w:bCs/>
          <w:sz w:val="24"/>
          <w:szCs w:val="24"/>
        </w:rPr>
      </w:pPr>
      <w:r w:rsidRPr="00E91A60">
        <w:rPr>
          <w:rFonts w:ascii="Times New Roman" w:hAnsi="Times New Roman" w:cs="Times New Roman"/>
          <w:i/>
          <w:noProof/>
          <w:sz w:val="24"/>
          <w:szCs w:val="24"/>
          <w:lang w:eastAsia="lv-LV"/>
        </w:rPr>
        <w:drawing>
          <wp:anchor distT="0" distB="0" distL="114300" distR="114300" simplePos="0" relativeHeight="251658244" behindDoc="0" locked="0" layoutInCell="1" allowOverlap="1" wp14:anchorId="7B11D86C" wp14:editId="76A8ADBA">
            <wp:simplePos x="0" y="0"/>
            <wp:positionH relativeFrom="column">
              <wp:posOffset>1263015</wp:posOffset>
            </wp:positionH>
            <wp:positionV relativeFrom="paragraph">
              <wp:posOffset>296545</wp:posOffset>
            </wp:positionV>
            <wp:extent cx="3451860" cy="1454785"/>
            <wp:effectExtent l="0" t="0" r="15240" b="12065"/>
            <wp:wrapTopAndBottom/>
            <wp:docPr id="15" name="Chart 15">
              <a:extLst xmlns:a="http://schemas.openxmlformats.org/drawingml/2006/main">
                <a:ext uri="{FF2B5EF4-FFF2-40B4-BE49-F238E27FC236}">
                  <a16:creationId xmlns:a16="http://schemas.microsoft.com/office/drawing/2014/main" id="{704A1098-20F0-49CC-B9AC-4BDDF857EB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r w:rsidRPr="00694AEF">
        <w:rPr>
          <w:rFonts w:ascii="Times New Roman" w:hAnsi="Times New Roman" w:cs="Times New Roman"/>
          <w:b/>
          <w:bCs/>
          <w:sz w:val="24"/>
          <w:szCs w:val="24"/>
        </w:rPr>
        <w:t xml:space="preserve">Akciju tirgus </w:t>
      </w:r>
      <w:proofErr w:type="spellStart"/>
      <w:r w:rsidRPr="00694AEF">
        <w:rPr>
          <w:rFonts w:ascii="Times New Roman" w:hAnsi="Times New Roman" w:cs="Times New Roman"/>
          <w:b/>
          <w:bCs/>
          <w:sz w:val="24"/>
          <w:szCs w:val="24"/>
        </w:rPr>
        <w:t>kapitatizācija</w:t>
      </w:r>
      <w:proofErr w:type="spellEnd"/>
      <w:r w:rsidRPr="00694AEF">
        <w:rPr>
          <w:rFonts w:ascii="Times New Roman" w:hAnsi="Times New Roman" w:cs="Times New Roman"/>
          <w:b/>
          <w:bCs/>
          <w:sz w:val="24"/>
          <w:szCs w:val="24"/>
        </w:rPr>
        <w:t xml:space="preserve"> % no IKP, 2021.</w:t>
      </w:r>
      <w:r>
        <w:rPr>
          <w:rFonts w:ascii="Times New Roman" w:hAnsi="Times New Roman" w:cs="Times New Roman"/>
          <w:b/>
          <w:bCs/>
          <w:sz w:val="24"/>
          <w:szCs w:val="24"/>
        </w:rPr>
        <w:t xml:space="preserve"> </w:t>
      </w:r>
      <w:r w:rsidRPr="00694AEF">
        <w:rPr>
          <w:rFonts w:ascii="Times New Roman" w:hAnsi="Times New Roman" w:cs="Times New Roman"/>
          <w:b/>
          <w:bCs/>
          <w:sz w:val="24"/>
          <w:szCs w:val="24"/>
        </w:rPr>
        <w:t>gads</w:t>
      </w:r>
    </w:p>
    <w:p w14:paraId="55F3A6DB" w14:textId="77777777" w:rsidR="005D3FD4" w:rsidRPr="004D642A" w:rsidRDefault="005D3FD4" w:rsidP="005D3FD4">
      <w:pPr>
        <w:spacing w:after="0" w:line="240" w:lineRule="auto"/>
        <w:ind w:firstLine="567"/>
        <w:jc w:val="both"/>
        <w:rPr>
          <w:rFonts w:ascii="Times New Roman" w:hAnsi="Times New Roman" w:cs="Times New Roman"/>
          <w:i/>
          <w:iCs/>
          <w:sz w:val="20"/>
          <w:szCs w:val="20"/>
        </w:rPr>
      </w:pPr>
      <w:r w:rsidRPr="004D642A">
        <w:rPr>
          <w:rFonts w:ascii="Times New Roman" w:hAnsi="Times New Roman" w:cs="Times New Roman"/>
          <w:i/>
          <w:iCs/>
          <w:sz w:val="20"/>
          <w:szCs w:val="20"/>
        </w:rPr>
        <w:t xml:space="preserve">Avots - </w:t>
      </w:r>
      <w:proofErr w:type="spellStart"/>
      <w:r w:rsidRPr="004D642A">
        <w:rPr>
          <w:rFonts w:ascii="Times New Roman" w:hAnsi="Times New Roman" w:cs="Times New Roman"/>
          <w:i/>
          <w:iCs/>
          <w:sz w:val="20"/>
          <w:szCs w:val="20"/>
        </w:rPr>
        <w:t>Ceicdata</w:t>
      </w:r>
      <w:proofErr w:type="spellEnd"/>
      <w:r w:rsidRPr="004D642A">
        <w:rPr>
          <w:rFonts w:ascii="Times New Roman" w:hAnsi="Times New Roman" w:cs="Times New Roman"/>
          <w:i/>
          <w:iCs/>
          <w:sz w:val="20"/>
          <w:szCs w:val="20"/>
        </w:rPr>
        <w:t xml:space="preserve"> un </w:t>
      </w:r>
      <w:proofErr w:type="spellStart"/>
      <w:r w:rsidRPr="004D642A">
        <w:rPr>
          <w:rFonts w:ascii="Times New Roman" w:hAnsi="Times New Roman" w:cs="Times New Roman"/>
          <w:i/>
          <w:iCs/>
          <w:sz w:val="20"/>
          <w:szCs w:val="20"/>
        </w:rPr>
        <w:t>Nasdaq</w:t>
      </w:r>
      <w:proofErr w:type="spellEnd"/>
      <w:r w:rsidRPr="004D642A">
        <w:rPr>
          <w:rFonts w:ascii="Times New Roman" w:hAnsi="Times New Roman" w:cs="Times New Roman"/>
          <w:i/>
          <w:iCs/>
          <w:sz w:val="20"/>
          <w:szCs w:val="20"/>
        </w:rPr>
        <w:t xml:space="preserve"> </w:t>
      </w:r>
      <w:proofErr w:type="spellStart"/>
      <w:r w:rsidRPr="004D642A">
        <w:rPr>
          <w:rFonts w:ascii="Times New Roman" w:hAnsi="Times New Roman" w:cs="Times New Roman"/>
          <w:i/>
          <w:iCs/>
          <w:sz w:val="20"/>
          <w:szCs w:val="20"/>
        </w:rPr>
        <w:t>Baltic</w:t>
      </w:r>
      <w:proofErr w:type="spellEnd"/>
    </w:p>
    <w:p w14:paraId="7F550BFA" w14:textId="77777777" w:rsidR="005D3FD4" w:rsidRDefault="005D3FD4" w:rsidP="005D3FD4">
      <w:pPr>
        <w:spacing w:before="120" w:after="0" w:line="240" w:lineRule="auto"/>
        <w:ind w:firstLine="567"/>
        <w:jc w:val="both"/>
        <w:rPr>
          <w:rFonts w:ascii="Times New Roman" w:hAnsi="Times New Roman" w:cs="Times New Roman"/>
          <w:sz w:val="24"/>
          <w:szCs w:val="24"/>
        </w:rPr>
      </w:pPr>
      <w:r w:rsidRPr="00A30D68">
        <w:rPr>
          <w:rFonts w:ascii="Times New Roman" w:hAnsi="Times New Roman" w:cs="Times New Roman"/>
          <w:sz w:val="24"/>
          <w:szCs w:val="24"/>
        </w:rPr>
        <w:t>Privātais kapitāls ir alternatīvs finansējuma avots, un tam ir spēcīgs valsts iestāžu atbalsts. 2022.</w:t>
      </w:r>
      <w:r>
        <w:rPr>
          <w:rFonts w:ascii="Times New Roman" w:hAnsi="Times New Roman" w:cs="Times New Roman"/>
          <w:sz w:val="24"/>
          <w:szCs w:val="24"/>
        </w:rPr>
        <w:t xml:space="preserve"> </w:t>
      </w:r>
      <w:r w:rsidRPr="00A30D68">
        <w:rPr>
          <w:rFonts w:ascii="Times New Roman" w:hAnsi="Times New Roman" w:cs="Times New Roman"/>
          <w:sz w:val="24"/>
          <w:szCs w:val="24"/>
        </w:rPr>
        <w:t xml:space="preserve">gadā Baltijas valstu privātā un </w:t>
      </w:r>
      <w:proofErr w:type="spellStart"/>
      <w:r w:rsidRPr="00A30D68">
        <w:rPr>
          <w:rFonts w:ascii="Times New Roman" w:hAnsi="Times New Roman" w:cs="Times New Roman"/>
          <w:sz w:val="24"/>
          <w:szCs w:val="24"/>
        </w:rPr>
        <w:t>iespējkapitāla</w:t>
      </w:r>
      <w:proofErr w:type="spellEnd"/>
      <w:r w:rsidRPr="00A30D68">
        <w:rPr>
          <w:rFonts w:ascii="Times New Roman" w:hAnsi="Times New Roman" w:cs="Times New Roman"/>
          <w:sz w:val="24"/>
          <w:szCs w:val="24"/>
        </w:rPr>
        <w:t xml:space="preserve"> fondi ir investējuši 212 </w:t>
      </w:r>
      <w:r>
        <w:rPr>
          <w:rFonts w:ascii="Times New Roman" w:hAnsi="Times New Roman" w:cs="Times New Roman"/>
          <w:sz w:val="24"/>
          <w:szCs w:val="24"/>
        </w:rPr>
        <w:t>milj.</w:t>
      </w:r>
      <w:r w:rsidRPr="00A30D68">
        <w:rPr>
          <w:rFonts w:ascii="Times New Roman" w:hAnsi="Times New Roman" w:cs="Times New Roman"/>
          <w:sz w:val="24"/>
          <w:szCs w:val="24"/>
        </w:rPr>
        <w:t xml:space="preserve"> </w:t>
      </w:r>
      <w:r>
        <w:rPr>
          <w:rFonts w:ascii="Times New Roman" w:hAnsi="Times New Roman" w:cs="Times New Roman"/>
          <w:sz w:val="24"/>
          <w:szCs w:val="24"/>
        </w:rPr>
        <w:t>EUR</w:t>
      </w:r>
      <w:r w:rsidRPr="00A30D68">
        <w:rPr>
          <w:rFonts w:ascii="Times New Roman" w:hAnsi="Times New Roman" w:cs="Times New Roman"/>
          <w:sz w:val="24"/>
          <w:szCs w:val="24"/>
        </w:rPr>
        <w:t xml:space="preserve"> Baltijas valstu uzņēmumos - par 44% vairāk nekā gadu iepriekš, padarot to par vienu no dinamiskākajām šī finansējuma avota vietām Eiropā. Līdzekļu piesaisti pēdējo desmit gadu laikā lielā mērā ir guvis atbalsts no nacionālajām veicināšanas institūcijām (piemēram, </w:t>
      </w:r>
      <w:r w:rsidRPr="009F10E4">
        <w:rPr>
          <w:rFonts w:ascii="Times New Roman" w:hAnsi="Times New Roman" w:cs="Times New Roman"/>
          <w:sz w:val="24"/>
          <w:szCs w:val="24"/>
        </w:rPr>
        <w:t xml:space="preserve">finanšu institūcija “sabiedrība </w:t>
      </w:r>
      <w:proofErr w:type="spellStart"/>
      <w:r w:rsidRPr="00A30D68">
        <w:rPr>
          <w:rFonts w:ascii="Times New Roman" w:hAnsi="Times New Roman" w:cs="Times New Roman"/>
          <w:sz w:val="24"/>
          <w:szCs w:val="24"/>
        </w:rPr>
        <w:t>Altum</w:t>
      </w:r>
      <w:proofErr w:type="spellEnd"/>
      <w:r w:rsidRPr="009F10E4">
        <w:rPr>
          <w:rFonts w:ascii="Times New Roman" w:hAnsi="Times New Roman" w:cs="Times New Roman"/>
          <w:sz w:val="24"/>
          <w:szCs w:val="24"/>
        </w:rPr>
        <w:t>”</w:t>
      </w:r>
      <w:r w:rsidRPr="00A30D68">
        <w:rPr>
          <w:rFonts w:ascii="Times New Roman" w:hAnsi="Times New Roman" w:cs="Times New Roman"/>
          <w:sz w:val="24"/>
          <w:szCs w:val="24"/>
        </w:rPr>
        <w:t xml:space="preserve">, </w:t>
      </w:r>
      <w:proofErr w:type="spellStart"/>
      <w:r w:rsidRPr="00A30D68">
        <w:rPr>
          <w:rFonts w:ascii="Times New Roman" w:hAnsi="Times New Roman" w:cs="Times New Roman"/>
          <w:sz w:val="24"/>
          <w:szCs w:val="24"/>
        </w:rPr>
        <w:t>Invega</w:t>
      </w:r>
      <w:proofErr w:type="spellEnd"/>
      <w:r w:rsidRPr="00A30D68">
        <w:rPr>
          <w:rFonts w:ascii="Times New Roman" w:hAnsi="Times New Roman" w:cs="Times New Roman"/>
          <w:sz w:val="24"/>
          <w:szCs w:val="24"/>
        </w:rPr>
        <w:t xml:space="preserve"> un </w:t>
      </w:r>
      <w:proofErr w:type="spellStart"/>
      <w:r w:rsidRPr="00A30D68">
        <w:rPr>
          <w:rFonts w:ascii="Times New Roman" w:hAnsi="Times New Roman" w:cs="Times New Roman"/>
          <w:sz w:val="24"/>
          <w:szCs w:val="24"/>
        </w:rPr>
        <w:t>Kredex</w:t>
      </w:r>
      <w:proofErr w:type="spellEnd"/>
      <w:r w:rsidRPr="00A30D68">
        <w:rPr>
          <w:rFonts w:ascii="Times New Roman" w:hAnsi="Times New Roman" w:cs="Times New Roman"/>
          <w:sz w:val="24"/>
          <w:szCs w:val="24"/>
        </w:rPr>
        <w:t xml:space="preserve">) un pārnacionālajām organizācijām (Eiropas Investīciju fonds, ERAB). Publisko un starptautisko finanšu institucionālo finansēšanas shēmu turpināšana būs būtiska, lai paplašinātu šādus alternatīvus finansējuma avotus un izveidotu investoru un investīciju plūsmas kritisko masu. </w:t>
      </w:r>
    </w:p>
    <w:p w14:paraId="2D48286A" w14:textId="72C1420C" w:rsidR="00C2636B" w:rsidRDefault="004817E5" w:rsidP="00C2636B">
      <w:pPr>
        <w:spacing w:before="120" w:after="0" w:line="240" w:lineRule="auto"/>
        <w:ind w:firstLine="567"/>
        <w:jc w:val="both"/>
        <w:rPr>
          <w:rFonts w:ascii="Times New Roman" w:hAnsi="Times New Roman" w:cs="Times New Roman"/>
          <w:sz w:val="24"/>
          <w:szCs w:val="24"/>
        </w:rPr>
      </w:pPr>
      <w:r w:rsidRPr="00322AEA">
        <w:rPr>
          <w:noProof/>
        </w:rPr>
        <mc:AlternateContent>
          <mc:Choice Requires="wps">
            <w:drawing>
              <wp:anchor distT="0" distB="0" distL="114300" distR="114300" simplePos="0" relativeHeight="251658251" behindDoc="0" locked="0" layoutInCell="1" allowOverlap="1" wp14:anchorId="467F897B" wp14:editId="686D8AB0">
                <wp:simplePos x="0" y="0"/>
                <wp:positionH relativeFrom="column">
                  <wp:posOffset>3810</wp:posOffset>
                </wp:positionH>
                <wp:positionV relativeFrom="paragraph">
                  <wp:posOffset>852170</wp:posOffset>
                </wp:positionV>
                <wp:extent cx="6172200" cy="4410075"/>
                <wp:effectExtent l="0" t="0" r="19050" b="28575"/>
                <wp:wrapTopAndBottom/>
                <wp:docPr id="18" name="Rectangle 18"/>
                <wp:cNvGraphicFramePr/>
                <a:graphic xmlns:a="http://schemas.openxmlformats.org/drawingml/2006/main">
                  <a:graphicData uri="http://schemas.microsoft.com/office/word/2010/wordprocessingShape">
                    <wps:wsp>
                      <wps:cNvSpPr/>
                      <wps:spPr>
                        <a:xfrm>
                          <a:off x="0" y="0"/>
                          <a:ext cx="6172200" cy="4410075"/>
                        </a:xfrm>
                        <a:prstGeom prst="rect">
                          <a:avLst/>
                        </a:prstGeom>
                        <a:solidFill>
                          <a:sysClr val="window" lastClr="FFFFFF">
                            <a:lumMod val="85000"/>
                          </a:sysClr>
                        </a:solidFill>
                        <a:ln w="12700" cap="flat" cmpd="sng" algn="ctr">
                          <a:solidFill>
                            <a:srgbClr val="4472C4">
                              <a:shade val="50000"/>
                            </a:srgbClr>
                          </a:solidFill>
                          <a:prstDash val="solid"/>
                          <a:miter lim="800000"/>
                        </a:ln>
                        <a:effectLst/>
                      </wps:spPr>
                      <wps:txbx>
                        <w:txbxContent>
                          <w:p w14:paraId="51A5C9A5" w14:textId="77777777"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3C3CE5">
                              <w:rPr>
                                <w:rFonts w:ascii="Times New Roman" w:eastAsia="Times New Roman" w:hAnsi="Times New Roman"/>
                                <w:color w:val="000000" w:themeColor="text1"/>
                                <w:sz w:val="24"/>
                                <w:szCs w:val="24"/>
                              </w:rPr>
                              <w:t xml:space="preserve">Ekonomikas ministrijas sagatavotās  iniciatīvas par </w:t>
                            </w:r>
                            <w:r w:rsidRPr="0004311D">
                              <w:rPr>
                                <w:rFonts w:ascii="Times New Roman" w:eastAsia="Times New Roman" w:hAnsi="Times New Roman" w:cs="Times New Roman"/>
                                <w:color w:val="000000" w:themeColor="text1"/>
                                <w:sz w:val="24"/>
                                <w:szCs w:val="24"/>
                                <w:lang w:eastAsia="lv-LV"/>
                              </w:rPr>
                              <w:t>turpmāk nepieciešamo rīcību kreditēšanas jautājumos</w:t>
                            </w:r>
                            <w:r w:rsidRPr="003C3CE5">
                              <w:rPr>
                                <w:rFonts w:ascii="Times New Roman" w:eastAsia="Times New Roman" w:hAnsi="Times New Roman"/>
                                <w:color w:val="000000" w:themeColor="text1"/>
                                <w:sz w:val="24"/>
                                <w:szCs w:val="24"/>
                              </w:rPr>
                              <w:t xml:space="preserve"> izskatīja </w:t>
                            </w:r>
                            <w:r>
                              <w:rPr>
                                <w:rFonts w:ascii="Times New Roman" w:eastAsia="Times New Roman" w:hAnsi="Times New Roman"/>
                                <w:color w:val="000000" w:themeColor="text1"/>
                                <w:sz w:val="24"/>
                                <w:szCs w:val="24"/>
                              </w:rPr>
                              <w:t xml:space="preserve">š.g. </w:t>
                            </w:r>
                            <w:r w:rsidRPr="003C3CE5">
                              <w:rPr>
                                <w:rFonts w:ascii="Times New Roman" w:eastAsia="Times New Roman" w:hAnsi="Times New Roman"/>
                                <w:color w:val="000000" w:themeColor="text1"/>
                                <w:sz w:val="24"/>
                                <w:szCs w:val="24"/>
                              </w:rPr>
                              <w:t>17. augusta IKP</w:t>
                            </w:r>
                            <w:r>
                              <w:rPr>
                                <w:rFonts w:ascii="Times New Roman" w:eastAsia="Times New Roman" w:hAnsi="Times New Roman"/>
                                <w:color w:val="000000" w:themeColor="text1"/>
                                <w:sz w:val="24"/>
                                <w:szCs w:val="24"/>
                              </w:rPr>
                              <w:t xml:space="preserve"> tematiskās</w:t>
                            </w:r>
                            <w:r w:rsidRPr="003C3CE5">
                              <w:rPr>
                                <w:rFonts w:ascii="Times New Roman" w:eastAsia="Times New Roman" w:hAnsi="Times New Roman"/>
                                <w:color w:val="000000" w:themeColor="text1"/>
                                <w:sz w:val="24"/>
                                <w:szCs w:val="24"/>
                              </w:rPr>
                              <w:t xml:space="preserve"> komitejas sēdē, </w:t>
                            </w:r>
                            <w:r w:rsidRPr="0004311D">
                              <w:rPr>
                                <w:rFonts w:ascii="Times New Roman" w:eastAsia="Times New Roman" w:hAnsi="Times New Roman" w:cs="Times New Roman"/>
                                <w:color w:val="000000" w:themeColor="text1"/>
                                <w:sz w:val="24"/>
                                <w:szCs w:val="24"/>
                                <w:lang w:eastAsia="lv-LV"/>
                              </w:rPr>
                              <w:t>un nolēma:</w:t>
                            </w:r>
                          </w:p>
                          <w:p w14:paraId="6035A5E4" w14:textId="77777777"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p w14:paraId="0432AED3" w14:textId="24B8E14B"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Pr="0004311D">
                              <w:rPr>
                                <w:rFonts w:ascii="Times New Roman" w:eastAsia="Times New Roman" w:hAnsi="Times New Roman" w:cs="Times New Roman"/>
                                <w:color w:val="000000" w:themeColor="text1"/>
                                <w:sz w:val="24"/>
                                <w:szCs w:val="24"/>
                                <w:lang w:eastAsia="lv-LV"/>
                              </w:rPr>
                              <w:t xml:space="preserve">.Uzdot Ekonomikas ministrijai sadarbībā ar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xml:space="preserve"> un </w:t>
                            </w:r>
                            <w:r w:rsidR="00511EB4">
                              <w:rPr>
                                <w:rFonts w:ascii="Times New Roman" w:eastAsia="Times New Roman" w:hAnsi="Times New Roman" w:cs="Times New Roman"/>
                                <w:color w:val="000000" w:themeColor="text1"/>
                                <w:sz w:val="24"/>
                                <w:szCs w:val="24"/>
                                <w:lang w:eastAsia="lv-LV"/>
                              </w:rPr>
                              <w:t>ZM</w:t>
                            </w:r>
                            <w:r w:rsidRPr="0004311D">
                              <w:rPr>
                                <w:rFonts w:ascii="Times New Roman" w:eastAsia="Times New Roman" w:hAnsi="Times New Roman" w:cs="Times New Roman"/>
                                <w:color w:val="000000" w:themeColor="text1"/>
                                <w:sz w:val="24"/>
                                <w:szCs w:val="24"/>
                                <w:lang w:eastAsia="lv-LV"/>
                              </w:rPr>
                              <w:t xml:space="preserve"> kā finanšu institūcijas “sabiedrības </w:t>
                            </w:r>
                            <w:r w:rsidRPr="0004311D">
                              <w:rPr>
                                <w:rFonts w:ascii="Times New Roman" w:eastAsia="Times New Roman" w:hAnsi="Times New Roman" w:cs="Times New Roman"/>
                                <w:color w:val="000000" w:themeColor="text1"/>
                                <w:sz w:val="24"/>
                                <w:szCs w:val="24"/>
                                <w:lang w:eastAsia="lv-LV"/>
                              </w:rPr>
                              <w:t xml:space="preserve">Altum” akcionāriem izstrādāt priekšlikumus par </w:t>
                            </w:r>
                            <w:r w:rsidRPr="008743C7">
                              <w:rPr>
                                <w:rFonts w:ascii="Times New Roman" w:eastAsia="Times New Roman" w:hAnsi="Times New Roman" w:cs="Times New Roman"/>
                                <w:color w:val="000000" w:themeColor="text1"/>
                                <w:sz w:val="24"/>
                                <w:szCs w:val="24"/>
                                <w:lang w:eastAsia="lv-LV"/>
                              </w:rPr>
                              <w:t>finanšu institūcijas “sabiedrības Altum”</w:t>
                            </w:r>
                            <w:r w:rsidRPr="0004311D">
                              <w:rPr>
                                <w:rFonts w:ascii="Times New Roman" w:eastAsia="Times New Roman" w:hAnsi="Times New Roman" w:cs="Times New Roman"/>
                                <w:color w:val="000000" w:themeColor="text1"/>
                                <w:sz w:val="24"/>
                                <w:szCs w:val="24"/>
                                <w:lang w:eastAsia="lv-LV"/>
                              </w:rPr>
                              <w:t xml:space="preserve"> atbalstu uzņēmumiem kredītu pieejamībai, nodrošinot  konkurenci ar komercbankām, un par sagatavoto piedāvājumu informēt Komiteju - termiņš: līdz 2023. gada 30. septembrim.</w:t>
                            </w:r>
                          </w:p>
                          <w:p w14:paraId="195C547A" w14:textId="5B04CBB6"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w:t>
                            </w:r>
                            <w:r w:rsidRPr="0004311D">
                              <w:rPr>
                                <w:rFonts w:ascii="Times New Roman" w:eastAsia="Times New Roman" w:hAnsi="Times New Roman" w:cs="Times New Roman"/>
                                <w:color w:val="000000" w:themeColor="text1"/>
                                <w:sz w:val="24"/>
                                <w:szCs w:val="24"/>
                                <w:lang w:eastAsia="lv-LV"/>
                              </w:rPr>
                              <w:t xml:space="preserve">.Uzdot Ekonomikas ministrijai, nepieciešamības gadījumā piesaistot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iesaistīties sarunās ar Eiropas Investīciju banku, Eiropas Rekonstrukcijas un attīstības banku un Ziemeļu Investīciju banku par iespēju piesaistīt šo starptautisko institūciju finansējumu MVU kreditēšanas attīstībai Latvijā, un informēt Komiteju par īstenošanas gaitu – termiņš: 2023.gada 31.decembris.</w:t>
                            </w:r>
                          </w:p>
                          <w:p w14:paraId="062181BF" w14:textId="600C3B3A"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Pr="0004311D">
                              <w:rPr>
                                <w:rFonts w:ascii="Times New Roman" w:eastAsia="Times New Roman" w:hAnsi="Times New Roman" w:cs="Times New Roman"/>
                                <w:color w:val="000000" w:themeColor="text1"/>
                                <w:sz w:val="24"/>
                                <w:szCs w:val="24"/>
                                <w:lang w:eastAsia="lv-LV"/>
                              </w:rPr>
                              <w:t xml:space="preserve">.Uzdot Ekonomikas ministrijai sadarbībā ar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xml:space="preserve"> sagatavot detalizētu priekšlikumu par jaunu atbalstu - obligāciju instrumentu aizdevumiem bankām, kuru kreditēšanas pieauguma ierobežojošais faktors ir ierobežotais kapitāla apmērs un informēt Komiteju – termiņš: līdz 2023. gada 30. septembrim.</w:t>
                            </w:r>
                          </w:p>
                          <w:p w14:paraId="4E7B436B" w14:textId="77777777"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.Uzdot Ekonomikas ministrijai izstrādājot jaunus atbalsta nosacījums neiekļaut obligātu pienākumu saņemt saskaņojumu ar komercbanku un  steidzamības kārtā veikt grozījumus finanšu institūcijas “sabiedrības Altum” attiecīgajās atbalsta programmās, izslēdzot obligātu pienākumu saņemt saskaņojumu ar komercbanku - apliecinājumu, ka komersanti var saņemt atbalstu finanšu institūcijas “sabiedrības Altum” atbalsta sniegšanā un attiecīgi Ministru kabineta noteiktajā kārtībā izstrādāt grozījumus šādos normatīvajos aktos  un iesniegt tos Ministru kabinetā  – termiņš: līdz 2023. gada 31. decembrim:</w:t>
                            </w:r>
                          </w:p>
                          <w:p w14:paraId="586E4510" w14:textId="77777777"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p w14:paraId="280A8B02" w14:textId="77777777"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p w14:paraId="052A0BB3" w14:textId="0048CED0"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04311D">
                              <w:rPr>
                                <w:rFonts w:ascii="Times New Roman" w:eastAsia="Times New Roman" w:hAnsi="Times New Roman" w:cs="Times New Roman"/>
                                <w:color w:val="000000" w:themeColor="text1"/>
                                <w:sz w:val="24"/>
                                <w:szCs w:val="24"/>
                                <w:lang w:eastAsia="lv-LV"/>
                              </w:rPr>
                              <w:t xml:space="preserve"> </w:t>
                            </w:r>
                          </w:p>
                          <w:p w14:paraId="268A1E68" w14:textId="57F79F44" w:rsidR="004817E5" w:rsidRPr="00137006"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F897B" id="Rectangle 18" o:spid="_x0000_s1029" style="position:absolute;left:0;text-align:left;margin-left:.3pt;margin-top:67.1pt;width:486pt;height:347.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" fillcolor="#d9d9d9" strokecolor="#2f528f" strokeweight="1pt">
                <v:textbox>
                  <w:txbxContent>
                    <w:p w14:paraId="51A5C9A5" w14:textId="77777777"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3C3CE5">
                        <w:rPr>
                          <w:rFonts w:ascii="Times New Roman" w:eastAsia="Times New Roman" w:hAnsi="Times New Roman"/>
                          <w:color w:val="000000" w:themeColor="text1"/>
                          <w:sz w:val="24"/>
                          <w:szCs w:val="24"/>
                        </w:rPr>
                        <w:t xml:space="preserve">Ekonomikas ministrijas sagatavotās  iniciatīvas par </w:t>
                      </w:r>
                      <w:r w:rsidRPr="0004311D">
                        <w:rPr>
                          <w:rFonts w:ascii="Times New Roman" w:eastAsia="Times New Roman" w:hAnsi="Times New Roman" w:cs="Times New Roman"/>
                          <w:color w:val="000000" w:themeColor="text1"/>
                          <w:sz w:val="24"/>
                          <w:szCs w:val="24"/>
                          <w:lang w:eastAsia="lv-LV"/>
                        </w:rPr>
                        <w:t>turpmāk nepieciešamo rīcību kreditēšanas jautājumos</w:t>
                      </w:r>
                      <w:r w:rsidRPr="003C3CE5">
                        <w:rPr>
                          <w:rFonts w:ascii="Times New Roman" w:eastAsia="Times New Roman" w:hAnsi="Times New Roman"/>
                          <w:color w:val="000000" w:themeColor="text1"/>
                          <w:sz w:val="24"/>
                          <w:szCs w:val="24"/>
                        </w:rPr>
                        <w:t xml:space="preserve"> izskatīja </w:t>
                      </w:r>
                      <w:r>
                        <w:rPr>
                          <w:rFonts w:ascii="Times New Roman" w:eastAsia="Times New Roman" w:hAnsi="Times New Roman"/>
                          <w:color w:val="000000" w:themeColor="text1"/>
                          <w:sz w:val="24"/>
                          <w:szCs w:val="24"/>
                        </w:rPr>
                        <w:t xml:space="preserve">š.g. </w:t>
                      </w:r>
                      <w:r w:rsidRPr="003C3CE5">
                        <w:rPr>
                          <w:rFonts w:ascii="Times New Roman" w:eastAsia="Times New Roman" w:hAnsi="Times New Roman"/>
                          <w:color w:val="000000" w:themeColor="text1"/>
                          <w:sz w:val="24"/>
                          <w:szCs w:val="24"/>
                        </w:rPr>
                        <w:t>17. augusta IKP</w:t>
                      </w:r>
                      <w:r>
                        <w:rPr>
                          <w:rFonts w:ascii="Times New Roman" w:eastAsia="Times New Roman" w:hAnsi="Times New Roman"/>
                          <w:color w:val="000000" w:themeColor="text1"/>
                          <w:sz w:val="24"/>
                          <w:szCs w:val="24"/>
                        </w:rPr>
                        <w:t xml:space="preserve"> tematiskās</w:t>
                      </w:r>
                      <w:r w:rsidRPr="003C3CE5">
                        <w:rPr>
                          <w:rFonts w:ascii="Times New Roman" w:eastAsia="Times New Roman" w:hAnsi="Times New Roman"/>
                          <w:color w:val="000000" w:themeColor="text1"/>
                          <w:sz w:val="24"/>
                          <w:szCs w:val="24"/>
                        </w:rPr>
                        <w:t xml:space="preserve"> komitejas sēdē, </w:t>
                      </w:r>
                      <w:r w:rsidRPr="0004311D">
                        <w:rPr>
                          <w:rFonts w:ascii="Times New Roman" w:eastAsia="Times New Roman" w:hAnsi="Times New Roman" w:cs="Times New Roman"/>
                          <w:color w:val="000000" w:themeColor="text1"/>
                          <w:sz w:val="24"/>
                          <w:szCs w:val="24"/>
                          <w:lang w:eastAsia="lv-LV"/>
                        </w:rPr>
                        <w:t>un nolēma:</w:t>
                      </w:r>
                    </w:p>
                    <w:p w14:paraId="6035A5E4" w14:textId="77777777"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p w14:paraId="0432AED3" w14:textId="24B8E14B"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1</w:t>
                      </w:r>
                      <w:r w:rsidRPr="0004311D">
                        <w:rPr>
                          <w:rFonts w:ascii="Times New Roman" w:eastAsia="Times New Roman" w:hAnsi="Times New Roman" w:cs="Times New Roman"/>
                          <w:color w:val="000000" w:themeColor="text1"/>
                          <w:sz w:val="24"/>
                          <w:szCs w:val="24"/>
                          <w:lang w:eastAsia="lv-LV"/>
                        </w:rPr>
                        <w:t xml:space="preserve">.Uzdot Ekonomikas ministrijai sadarbībā ar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xml:space="preserve"> un </w:t>
                      </w:r>
                      <w:r w:rsidR="00511EB4">
                        <w:rPr>
                          <w:rFonts w:ascii="Times New Roman" w:eastAsia="Times New Roman" w:hAnsi="Times New Roman" w:cs="Times New Roman"/>
                          <w:color w:val="000000" w:themeColor="text1"/>
                          <w:sz w:val="24"/>
                          <w:szCs w:val="24"/>
                          <w:lang w:eastAsia="lv-LV"/>
                        </w:rPr>
                        <w:t>ZM</w:t>
                      </w:r>
                      <w:r w:rsidRPr="0004311D">
                        <w:rPr>
                          <w:rFonts w:ascii="Times New Roman" w:eastAsia="Times New Roman" w:hAnsi="Times New Roman" w:cs="Times New Roman"/>
                          <w:color w:val="000000" w:themeColor="text1"/>
                          <w:sz w:val="24"/>
                          <w:szCs w:val="24"/>
                          <w:lang w:eastAsia="lv-LV"/>
                        </w:rPr>
                        <w:t xml:space="preserve"> kā finanšu institūcijas “sabiedrības </w:t>
                      </w:r>
                      <w:proofErr w:type="spellStart"/>
                      <w:r w:rsidRPr="0004311D">
                        <w:rPr>
                          <w:rFonts w:ascii="Times New Roman" w:eastAsia="Times New Roman" w:hAnsi="Times New Roman" w:cs="Times New Roman"/>
                          <w:color w:val="000000" w:themeColor="text1"/>
                          <w:sz w:val="24"/>
                          <w:szCs w:val="24"/>
                          <w:lang w:eastAsia="lv-LV"/>
                        </w:rPr>
                        <w:t>Altum</w:t>
                      </w:r>
                      <w:proofErr w:type="spellEnd"/>
                      <w:r w:rsidRPr="0004311D">
                        <w:rPr>
                          <w:rFonts w:ascii="Times New Roman" w:eastAsia="Times New Roman" w:hAnsi="Times New Roman" w:cs="Times New Roman"/>
                          <w:color w:val="000000" w:themeColor="text1"/>
                          <w:sz w:val="24"/>
                          <w:szCs w:val="24"/>
                          <w:lang w:eastAsia="lv-LV"/>
                        </w:rPr>
                        <w:t xml:space="preserve">” akcionāriem izstrādāt priekšlikumus par </w:t>
                      </w:r>
                      <w:r w:rsidRPr="008743C7">
                        <w:rPr>
                          <w:rFonts w:ascii="Times New Roman" w:eastAsia="Times New Roman" w:hAnsi="Times New Roman" w:cs="Times New Roman"/>
                          <w:color w:val="000000" w:themeColor="text1"/>
                          <w:sz w:val="24"/>
                          <w:szCs w:val="24"/>
                          <w:lang w:eastAsia="lv-LV"/>
                        </w:rPr>
                        <w:t xml:space="preserve">finanšu institūcijas “sabiedrības </w:t>
                      </w:r>
                      <w:proofErr w:type="spellStart"/>
                      <w:r w:rsidRPr="008743C7">
                        <w:rPr>
                          <w:rFonts w:ascii="Times New Roman" w:eastAsia="Times New Roman" w:hAnsi="Times New Roman" w:cs="Times New Roman"/>
                          <w:color w:val="000000" w:themeColor="text1"/>
                          <w:sz w:val="24"/>
                          <w:szCs w:val="24"/>
                          <w:lang w:eastAsia="lv-LV"/>
                        </w:rPr>
                        <w:t>Altum</w:t>
                      </w:r>
                      <w:proofErr w:type="spellEnd"/>
                      <w:r w:rsidRPr="008743C7">
                        <w:rPr>
                          <w:rFonts w:ascii="Times New Roman" w:eastAsia="Times New Roman" w:hAnsi="Times New Roman" w:cs="Times New Roman"/>
                          <w:color w:val="000000" w:themeColor="text1"/>
                          <w:sz w:val="24"/>
                          <w:szCs w:val="24"/>
                          <w:lang w:eastAsia="lv-LV"/>
                        </w:rPr>
                        <w:t>”</w:t>
                      </w:r>
                      <w:r w:rsidRPr="0004311D">
                        <w:rPr>
                          <w:rFonts w:ascii="Times New Roman" w:eastAsia="Times New Roman" w:hAnsi="Times New Roman" w:cs="Times New Roman"/>
                          <w:color w:val="000000" w:themeColor="text1"/>
                          <w:sz w:val="24"/>
                          <w:szCs w:val="24"/>
                          <w:lang w:eastAsia="lv-LV"/>
                        </w:rPr>
                        <w:t xml:space="preserve"> atbalstu uzņēmumiem kredītu pieejamībai, nodrošinot  konkurenci ar komercbankām, un par sagatavoto piedāvājumu informēt Komiteju - termiņš: līdz 2023. gada 30. septembrim.</w:t>
                      </w:r>
                    </w:p>
                    <w:p w14:paraId="195C547A" w14:textId="5B04CBB6"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2</w:t>
                      </w:r>
                      <w:r w:rsidRPr="0004311D">
                        <w:rPr>
                          <w:rFonts w:ascii="Times New Roman" w:eastAsia="Times New Roman" w:hAnsi="Times New Roman" w:cs="Times New Roman"/>
                          <w:color w:val="000000" w:themeColor="text1"/>
                          <w:sz w:val="24"/>
                          <w:szCs w:val="24"/>
                          <w:lang w:eastAsia="lv-LV"/>
                        </w:rPr>
                        <w:t xml:space="preserve">.Uzdot Ekonomikas ministrijai, nepieciešamības gadījumā piesaistot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iesaistīties sarunās ar Eiropas Investīciju banku, Eiropas Rekonstrukcijas un attīstības banku un Ziemeļu Investīciju banku par iespēju piesaistīt šo starptautisko institūciju finansējumu MVU kreditēšanas attīstībai Latvijā, un informēt Komiteju par īstenošanas gaitu – termiņš: 2023.gada 31.decembris.</w:t>
                      </w:r>
                    </w:p>
                    <w:p w14:paraId="062181BF" w14:textId="600C3B3A"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3</w:t>
                      </w:r>
                      <w:r w:rsidRPr="0004311D">
                        <w:rPr>
                          <w:rFonts w:ascii="Times New Roman" w:eastAsia="Times New Roman" w:hAnsi="Times New Roman" w:cs="Times New Roman"/>
                          <w:color w:val="000000" w:themeColor="text1"/>
                          <w:sz w:val="24"/>
                          <w:szCs w:val="24"/>
                          <w:lang w:eastAsia="lv-LV"/>
                        </w:rPr>
                        <w:t xml:space="preserve">.Uzdot Ekonomikas ministrijai sadarbībā ar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xml:space="preserve"> sagatavot detalizētu priekšlikumu par jaunu atbalstu - obligāciju instrumentu aizdevumiem bankām, kuru kreditēšanas pieauguma ierobežojošais faktors ir ierobežotais kapitāla apmērs un informēt Komiteju – termiņš: līdz 2023. gada 30. septembrim.</w:t>
                      </w:r>
                    </w:p>
                    <w:p w14:paraId="4E7B436B" w14:textId="77777777"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 xml:space="preserve">.Uzdot Ekonomikas ministrijai izstrādājot jaunus atbalsta nosacījums neiekļaut obligātu pienākumu saņemt saskaņojumu ar komercbanku un  steidzamības kārtā veikt grozījumus finanšu institūcijas “sabiedrības </w:t>
                      </w:r>
                      <w:proofErr w:type="spellStart"/>
                      <w:r w:rsidRPr="0004311D">
                        <w:rPr>
                          <w:rFonts w:ascii="Times New Roman" w:eastAsia="Times New Roman" w:hAnsi="Times New Roman" w:cs="Times New Roman"/>
                          <w:color w:val="000000" w:themeColor="text1"/>
                          <w:sz w:val="24"/>
                          <w:szCs w:val="24"/>
                          <w:lang w:eastAsia="lv-LV"/>
                        </w:rPr>
                        <w:t>Altum</w:t>
                      </w:r>
                      <w:proofErr w:type="spellEnd"/>
                      <w:r w:rsidRPr="0004311D">
                        <w:rPr>
                          <w:rFonts w:ascii="Times New Roman" w:eastAsia="Times New Roman" w:hAnsi="Times New Roman" w:cs="Times New Roman"/>
                          <w:color w:val="000000" w:themeColor="text1"/>
                          <w:sz w:val="24"/>
                          <w:szCs w:val="24"/>
                          <w:lang w:eastAsia="lv-LV"/>
                        </w:rPr>
                        <w:t xml:space="preserve">” attiecīgajās atbalsta programmās, izslēdzot obligātu pienākumu saņemt saskaņojumu ar komercbanku - apliecinājumu, ka komersanti var saņemt atbalstu finanšu institūcijas “sabiedrības </w:t>
                      </w:r>
                      <w:proofErr w:type="spellStart"/>
                      <w:r w:rsidRPr="0004311D">
                        <w:rPr>
                          <w:rFonts w:ascii="Times New Roman" w:eastAsia="Times New Roman" w:hAnsi="Times New Roman" w:cs="Times New Roman"/>
                          <w:color w:val="000000" w:themeColor="text1"/>
                          <w:sz w:val="24"/>
                          <w:szCs w:val="24"/>
                          <w:lang w:eastAsia="lv-LV"/>
                        </w:rPr>
                        <w:t>Altum</w:t>
                      </w:r>
                      <w:proofErr w:type="spellEnd"/>
                      <w:r w:rsidRPr="0004311D">
                        <w:rPr>
                          <w:rFonts w:ascii="Times New Roman" w:eastAsia="Times New Roman" w:hAnsi="Times New Roman" w:cs="Times New Roman"/>
                          <w:color w:val="000000" w:themeColor="text1"/>
                          <w:sz w:val="24"/>
                          <w:szCs w:val="24"/>
                          <w:lang w:eastAsia="lv-LV"/>
                        </w:rPr>
                        <w:t>” atbalsta sniegšanā un attiecīgi Ministru kabineta noteiktajā kārtībā izstrādāt grozījumus šādos normatīvajos aktos  un iesniegt tos Ministru kabinetā  – termiņš: līdz 2023. gada 31. decembrim:</w:t>
                      </w:r>
                    </w:p>
                    <w:p w14:paraId="586E4510" w14:textId="77777777"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p w14:paraId="280A8B02" w14:textId="77777777" w:rsidR="004817E5"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p w14:paraId="052A0BB3" w14:textId="0048CED0" w:rsidR="004817E5" w:rsidRPr="0004311D"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04311D">
                        <w:rPr>
                          <w:rFonts w:ascii="Times New Roman" w:eastAsia="Times New Roman" w:hAnsi="Times New Roman" w:cs="Times New Roman"/>
                          <w:color w:val="000000" w:themeColor="text1"/>
                          <w:sz w:val="24"/>
                          <w:szCs w:val="24"/>
                          <w:lang w:eastAsia="lv-LV"/>
                        </w:rPr>
                        <w:t xml:space="preserve"> </w:t>
                      </w:r>
                    </w:p>
                    <w:p w14:paraId="268A1E68" w14:textId="57F79F44" w:rsidR="004817E5" w:rsidRPr="00137006" w:rsidRDefault="004817E5"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p>
                  </w:txbxContent>
                </v:textbox>
                <w10:wrap type="topAndBottom"/>
              </v:rect>
            </w:pict>
          </mc:Fallback>
        </mc:AlternateContent>
      </w:r>
      <w:r w:rsidR="00C2636B" w:rsidRPr="00A30D68">
        <w:rPr>
          <w:rFonts w:ascii="Times New Roman" w:hAnsi="Times New Roman" w:cs="Times New Roman"/>
          <w:sz w:val="24"/>
          <w:szCs w:val="24"/>
        </w:rPr>
        <w:t xml:space="preserve">Šobrīd privātās investīcijas veido vien 17% no IKP, bet mūsu </w:t>
      </w:r>
      <w:r w:rsidR="00C2636B" w:rsidRPr="00A30D68">
        <w:rPr>
          <w:rFonts w:ascii="Times New Roman" w:hAnsi="Times New Roman" w:cs="Times New Roman"/>
          <w:b/>
          <w:bCs/>
          <w:sz w:val="24"/>
          <w:szCs w:val="24"/>
        </w:rPr>
        <w:t>mērķis ir sasniegt vismaz 23-25% no IKP</w:t>
      </w:r>
      <w:r w:rsidR="00C2636B" w:rsidRPr="00A30D68">
        <w:rPr>
          <w:rFonts w:ascii="Times New Roman" w:hAnsi="Times New Roman" w:cs="Times New Roman"/>
          <w:sz w:val="24"/>
          <w:szCs w:val="24"/>
        </w:rPr>
        <w:t>. Ja privātā sektora kreditēšana Latvijā būtu Igaunijas līmenī, tad ekonomikā papildus nonāktu ~ 2 mljrd. EUR finansējums, kas būtu ļoti būtisks faktors straujākai uzņēmumu attīstībai.</w:t>
      </w:r>
    </w:p>
    <w:p w14:paraId="55758DE3" w14:textId="3E299AD0" w:rsidR="008759C7" w:rsidRDefault="00197C3B" w:rsidP="00C2636B">
      <w:pPr>
        <w:spacing w:before="120" w:after="0" w:line="240" w:lineRule="auto"/>
        <w:ind w:firstLine="567"/>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58250" behindDoc="1" locked="0" layoutInCell="1" allowOverlap="1" wp14:anchorId="5D250111" wp14:editId="53C20601">
                <wp:simplePos x="0" y="0"/>
                <wp:positionH relativeFrom="column">
                  <wp:posOffset>3175</wp:posOffset>
                </wp:positionH>
                <wp:positionV relativeFrom="paragraph">
                  <wp:posOffset>0</wp:posOffset>
                </wp:positionV>
                <wp:extent cx="6105525" cy="5600700"/>
                <wp:effectExtent l="0" t="0" r="28575" b="19050"/>
                <wp:wrapTight wrapText="bothSides">
                  <wp:wrapPolygon edited="0">
                    <wp:start x="0" y="0"/>
                    <wp:lineTo x="0" y="21600"/>
                    <wp:lineTo x="21634" y="21600"/>
                    <wp:lineTo x="21634" y="0"/>
                    <wp:lineTo x="0" y="0"/>
                  </wp:wrapPolygon>
                </wp:wrapTight>
                <wp:docPr id="20" name="Rectangle 20"/>
                <wp:cNvGraphicFramePr/>
                <a:graphic xmlns:a="http://schemas.openxmlformats.org/drawingml/2006/main">
                  <a:graphicData uri="http://schemas.microsoft.com/office/word/2010/wordprocessingShape">
                    <wps:wsp>
                      <wps:cNvSpPr/>
                      <wps:spPr>
                        <a:xfrm>
                          <a:off x="0" y="0"/>
                          <a:ext cx="6105525" cy="5600700"/>
                        </a:xfrm>
                        <a:prstGeom prst="rect">
                          <a:avLst/>
                        </a:prstGeom>
                        <a:solidFill>
                          <a:sysClr val="window" lastClr="FFFFFF">
                            <a:lumMod val="85000"/>
                            <a:alpha val="55000"/>
                          </a:sysClr>
                        </a:solidFill>
                        <a:ln w="12700" cap="flat" cmpd="sng" algn="ctr">
                          <a:solidFill>
                            <a:srgbClr val="4472C4">
                              <a:shade val="50000"/>
                            </a:srgbClr>
                          </a:solidFill>
                          <a:prstDash val="solid"/>
                          <a:miter lim="800000"/>
                        </a:ln>
                        <a:effectLst/>
                      </wps:spPr>
                      <wps:txbx>
                        <w:txbxContent>
                          <w:p w14:paraId="6A1BEA93" w14:textId="77777777" w:rsidR="00197C3B" w:rsidRPr="0004311D" w:rsidRDefault="00197C3B" w:rsidP="004817E5">
                            <w:pPr>
                              <w:spacing w:after="0" w:line="240" w:lineRule="auto"/>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.1. Ministru kabineta 2022. gada 5. jūlija noteikumi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(skaidrojot nosacījumu anotācijā);</w:t>
                            </w:r>
                          </w:p>
                          <w:p w14:paraId="4C0305EF" w14:textId="77777777" w:rsidR="00197C3B" w:rsidRPr="0004311D" w:rsidRDefault="00197C3B" w:rsidP="00197C3B">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.2.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(skaidrojot nosacījumu anotācijā);</w:t>
                            </w:r>
                          </w:p>
                          <w:p w14:paraId="2B077752" w14:textId="77777777" w:rsidR="00197C3B" w:rsidRDefault="00197C3B" w:rsidP="00197C3B">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.3. Ministru kabineta 2022. gada 14. jūlija noteikumi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(nevirzot citus grozījumus šajā normatīvajā aktā)</w:t>
                            </w:r>
                          </w:p>
                          <w:p w14:paraId="587941EE" w14:textId="77777777" w:rsidR="00197C3B" w:rsidRPr="0004311D" w:rsidRDefault="00197C3B" w:rsidP="00197C3B">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 xml:space="preserve">.4.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w:t>
                            </w:r>
                            <w:r w:rsidRPr="0004311D">
                              <w:rPr>
                                <w:rFonts w:ascii="Times New Roman" w:eastAsia="Times New Roman" w:hAnsi="Times New Roman" w:cs="Times New Roman"/>
                                <w:color w:val="000000" w:themeColor="text1"/>
                                <w:sz w:val="24"/>
                                <w:szCs w:val="24"/>
                                <w:lang w:eastAsia="lv-LV"/>
                              </w:rPr>
                              <w:t>bioekonomikā))" 1.2.1.2.i.1. pasākuma "Energoefektivitātes paaugstināšana uzņēmējdarbībā (ietverot pāreju uz atjaunojamo energoresursu tehnoloģiju izmantošanu siltumapgādē)" īstenošanas noteikumi" (nevirzot citus grozījumus šajā normatīvajā aktā)</w:t>
                            </w:r>
                          </w:p>
                          <w:p w14:paraId="48A6B2E3" w14:textId="7BA205B3" w:rsidR="00197C3B" w:rsidRDefault="00197C3B"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04311D">
                              <w:rPr>
                                <w:rFonts w:ascii="Times New Roman" w:eastAsia="Times New Roman" w:hAnsi="Times New Roman" w:cs="Times New Roman"/>
                                <w:color w:val="000000" w:themeColor="text1"/>
                                <w:sz w:val="24"/>
                                <w:szCs w:val="24"/>
                                <w:lang w:eastAsia="lv-LV"/>
                              </w:rPr>
                              <w:t>(</w:t>
                            </w:r>
                            <w:r w:rsidRPr="00883C08">
                              <w:rPr>
                                <w:rFonts w:ascii="Times New Roman" w:eastAsia="Times New Roman" w:hAnsi="Times New Roman" w:cs="Times New Roman"/>
                                <w:i/>
                                <w:iCs/>
                                <w:color w:val="000000" w:themeColor="text1"/>
                                <w:sz w:val="24"/>
                                <w:szCs w:val="24"/>
                                <w:lang w:eastAsia="lv-LV"/>
                              </w:rPr>
                              <w:t>No trīs uzskaitītajām programmām tikai vienā ir veicams skaidrojums anotācijā, pārējās divās veicami grozījumi arī Ministru kabineta noteikumos</w:t>
                            </w:r>
                            <w:r w:rsidRPr="0004311D">
                              <w:rPr>
                                <w:rFonts w:ascii="Times New Roman" w:eastAsia="Times New Roman" w:hAnsi="Times New Roman" w:cs="Times New Roman"/>
                                <w:color w:val="000000" w:themeColor="text1"/>
                                <w:sz w:val="24"/>
                                <w:szCs w:val="24"/>
                                <w:lang w:eastAsia="lv-LV"/>
                              </w:rPr>
                              <w:t>).</w:t>
                            </w:r>
                          </w:p>
                          <w:p w14:paraId="33A89258" w14:textId="7D22FF31" w:rsidR="00883C08" w:rsidRDefault="00883C08" w:rsidP="00883C08">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04311D">
                              <w:rPr>
                                <w:rFonts w:ascii="Times New Roman" w:eastAsia="Times New Roman" w:hAnsi="Times New Roman" w:cs="Times New Roman"/>
                                <w:color w:val="000000" w:themeColor="text1"/>
                                <w:sz w:val="24"/>
                                <w:szCs w:val="24"/>
                                <w:lang w:eastAsia="lv-LV"/>
                              </w:rPr>
                              <w:t xml:space="preserve">5.Uzdot Ekonomikas ministrijai sadarbībā ar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xml:space="preserve"> sagatavot finanšu institūcijas “sabiedrības Altum” īstenotā Investīciju fonda, kas tiek īstenots ar Ministru kabineta 2021. gada 6. jūlija noteikumiem Nr. 503 “Noteikumi par aizdevumiem ar kapitāla atlaidi investīciju projektiem komersantiem konkurētspējas veicināšanai”, izvērtējumu ar mērķi nodrošināt šī finanšu instrumenta budžeta neitralitāti un  ziņot Komitejā par Investīciju fonda kā budžeta neitrāla instrumenta realizācijas iespēju – termiņš: līdz 2023. gada 30. septembrim.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50111" id="Rectangle 20" o:spid="_x0000_s1030" style="position:absolute;left:0;text-align:left;margin-left:.25pt;margin-top:0;width:480.75pt;height:441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" fillcolor="#d9d9d9" strokecolor="#2f528f" strokeweight="1pt">
                <v:fill opacity="35980f"/>
                <v:textbox>
                  <w:txbxContent>
                    <w:p w14:paraId="6A1BEA93" w14:textId="77777777" w:rsidR="00197C3B" w:rsidRPr="0004311D" w:rsidRDefault="00197C3B" w:rsidP="004817E5">
                      <w:pPr>
                        <w:spacing w:after="0" w:line="240" w:lineRule="auto"/>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.1. Ministru kabineta 2022. gada 5. jūlija noteikumi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(skaidrojot nosacījumu anotācijā);</w:t>
                      </w:r>
                    </w:p>
                    <w:p w14:paraId="4C0305EF" w14:textId="77777777" w:rsidR="00197C3B" w:rsidRPr="0004311D" w:rsidRDefault="00197C3B" w:rsidP="00197C3B">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.2.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(skaidrojot nosacījumu anotācijā);</w:t>
                      </w:r>
                    </w:p>
                    <w:p w14:paraId="2B077752" w14:textId="77777777" w:rsidR="00197C3B" w:rsidRDefault="00197C3B" w:rsidP="00197C3B">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.3. Ministru kabineta 2022. gada 14. jūlija noteikumi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(nevirzot citus grozījumus šajā normatīvajā aktā)</w:t>
                      </w:r>
                    </w:p>
                    <w:p w14:paraId="587941EE" w14:textId="77777777" w:rsidR="00197C3B" w:rsidRPr="0004311D" w:rsidRDefault="00197C3B" w:rsidP="00197C3B">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4</w:t>
                      </w:r>
                      <w:r w:rsidRPr="0004311D">
                        <w:rPr>
                          <w:rFonts w:ascii="Times New Roman" w:eastAsia="Times New Roman" w:hAnsi="Times New Roman" w:cs="Times New Roman"/>
                          <w:color w:val="000000" w:themeColor="text1"/>
                          <w:sz w:val="24"/>
                          <w:szCs w:val="24"/>
                          <w:lang w:eastAsia="lv-LV"/>
                        </w:rPr>
                        <w:t xml:space="preserve">.4.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w:t>
                      </w:r>
                      <w:proofErr w:type="spellStart"/>
                      <w:r w:rsidRPr="0004311D">
                        <w:rPr>
                          <w:rFonts w:ascii="Times New Roman" w:eastAsia="Times New Roman" w:hAnsi="Times New Roman" w:cs="Times New Roman"/>
                          <w:color w:val="000000" w:themeColor="text1"/>
                          <w:sz w:val="24"/>
                          <w:szCs w:val="24"/>
                          <w:lang w:eastAsia="lv-LV"/>
                        </w:rPr>
                        <w:t>bioekonomikā</w:t>
                      </w:r>
                      <w:proofErr w:type="spellEnd"/>
                      <w:r w:rsidRPr="0004311D">
                        <w:rPr>
                          <w:rFonts w:ascii="Times New Roman" w:eastAsia="Times New Roman" w:hAnsi="Times New Roman" w:cs="Times New Roman"/>
                          <w:color w:val="000000" w:themeColor="text1"/>
                          <w:sz w:val="24"/>
                          <w:szCs w:val="24"/>
                          <w:lang w:eastAsia="lv-LV"/>
                        </w:rPr>
                        <w:t>))" 1.2.1.2.i.1. pasākuma "Energoefektivitātes paaugstināšana uzņēmējdarbībā (ietverot pāreju uz atjaunojamo energoresursu tehnoloģiju izmantošanu siltumapgādē)" īstenošanas noteikumi" (nevirzot citus grozījumus šajā normatīvajā aktā)</w:t>
                      </w:r>
                    </w:p>
                    <w:p w14:paraId="48A6B2E3" w14:textId="7BA205B3" w:rsidR="00197C3B" w:rsidRDefault="00197C3B" w:rsidP="004817E5">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04311D">
                        <w:rPr>
                          <w:rFonts w:ascii="Times New Roman" w:eastAsia="Times New Roman" w:hAnsi="Times New Roman" w:cs="Times New Roman"/>
                          <w:color w:val="000000" w:themeColor="text1"/>
                          <w:sz w:val="24"/>
                          <w:szCs w:val="24"/>
                          <w:lang w:eastAsia="lv-LV"/>
                        </w:rPr>
                        <w:t>(</w:t>
                      </w:r>
                      <w:r w:rsidRPr="00883C08">
                        <w:rPr>
                          <w:rFonts w:ascii="Times New Roman" w:eastAsia="Times New Roman" w:hAnsi="Times New Roman" w:cs="Times New Roman"/>
                          <w:i/>
                          <w:iCs/>
                          <w:color w:val="000000" w:themeColor="text1"/>
                          <w:sz w:val="24"/>
                          <w:szCs w:val="24"/>
                          <w:lang w:eastAsia="lv-LV"/>
                        </w:rPr>
                        <w:t>No trīs uzskaitītajām programmām tikai vienā ir veicams skaidrojums anotācijā, pārējās divās veicami grozījumi arī Ministru kabineta noteikumos</w:t>
                      </w:r>
                      <w:r w:rsidRPr="0004311D">
                        <w:rPr>
                          <w:rFonts w:ascii="Times New Roman" w:eastAsia="Times New Roman" w:hAnsi="Times New Roman" w:cs="Times New Roman"/>
                          <w:color w:val="000000" w:themeColor="text1"/>
                          <w:sz w:val="24"/>
                          <w:szCs w:val="24"/>
                          <w:lang w:eastAsia="lv-LV"/>
                        </w:rPr>
                        <w:t>).</w:t>
                      </w:r>
                    </w:p>
                    <w:p w14:paraId="33A89258" w14:textId="7D22FF31" w:rsidR="00883C08" w:rsidRDefault="00883C08" w:rsidP="00883C08">
                      <w:pPr>
                        <w:spacing w:after="0" w:line="240" w:lineRule="auto"/>
                        <w:ind w:firstLine="567"/>
                        <w:jc w:val="both"/>
                        <w:textAlignment w:val="baseline"/>
                        <w:rPr>
                          <w:rFonts w:ascii="Times New Roman" w:eastAsia="Times New Roman" w:hAnsi="Times New Roman" w:cs="Times New Roman"/>
                          <w:color w:val="000000" w:themeColor="text1"/>
                          <w:sz w:val="24"/>
                          <w:szCs w:val="24"/>
                          <w:lang w:eastAsia="lv-LV"/>
                        </w:rPr>
                      </w:pPr>
                      <w:r w:rsidRPr="0004311D">
                        <w:rPr>
                          <w:rFonts w:ascii="Times New Roman" w:eastAsia="Times New Roman" w:hAnsi="Times New Roman" w:cs="Times New Roman"/>
                          <w:color w:val="000000" w:themeColor="text1"/>
                          <w:sz w:val="24"/>
                          <w:szCs w:val="24"/>
                          <w:lang w:eastAsia="lv-LV"/>
                        </w:rPr>
                        <w:t xml:space="preserve">5.Uzdot Ekonomikas ministrijai sadarbībā ar </w:t>
                      </w:r>
                      <w:r w:rsidR="00511EB4">
                        <w:rPr>
                          <w:rFonts w:ascii="Times New Roman" w:eastAsia="Times New Roman" w:hAnsi="Times New Roman" w:cs="Times New Roman"/>
                          <w:color w:val="000000" w:themeColor="text1"/>
                          <w:sz w:val="24"/>
                          <w:szCs w:val="24"/>
                          <w:lang w:eastAsia="lv-LV"/>
                        </w:rPr>
                        <w:t>FM</w:t>
                      </w:r>
                      <w:r w:rsidRPr="0004311D">
                        <w:rPr>
                          <w:rFonts w:ascii="Times New Roman" w:eastAsia="Times New Roman" w:hAnsi="Times New Roman" w:cs="Times New Roman"/>
                          <w:color w:val="000000" w:themeColor="text1"/>
                          <w:sz w:val="24"/>
                          <w:szCs w:val="24"/>
                          <w:lang w:eastAsia="lv-LV"/>
                        </w:rPr>
                        <w:t xml:space="preserve"> sagatavot finanšu institūcijas “sabiedrības </w:t>
                      </w:r>
                      <w:proofErr w:type="spellStart"/>
                      <w:r w:rsidRPr="0004311D">
                        <w:rPr>
                          <w:rFonts w:ascii="Times New Roman" w:eastAsia="Times New Roman" w:hAnsi="Times New Roman" w:cs="Times New Roman"/>
                          <w:color w:val="000000" w:themeColor="text1"/>
                          <w:sz w:val="24"/>
                          <w:szCs w:val="24"/>
                          <w:lang w:eastAsia="lv-LV"/>
                        </w:rPr>
                        <w:t>Altum</w:t>
                      </w:r>
                      <w:proofErr w:type="spellEnd"/>
                      <w:r w:rsidRPr="0004311D">
                        <w:rPr>
                          <w:rFonts w:ascii="Times New Roman" w:eastAsia="Times New Roman" w:hAnsi="Times New Roman" w:cs="Times New Roman"/>
                          <w:color w:val="000000" w:themeColor="text1"/>
                          <w:sz w:val="24"/>
                          <w:szCs w:val="24"/>
                          <w:lang w:eastAsia="lv-LV"/>
                        </w:rPr>
                        <w:t xml:space="preserve">” īstenotā Investīciju fonda, kas tiek īstenots ar Ministru kabineta 2021. gada 6. jūlija noteikumiem Nr. 503 “Noteikumi par aizdevumiem ar kapitāla atlaidi investīciju projektiem komersantiem konkurētspējas veicināšanai”, </w:t>
                      </w:r>
                      <w:proofErr w:type="spellStart"/>
                      <w:r w:rsidRPr="0004311D">
                        <w:rPr>
                          <w:rFonts w:ascii="Times New Roman" w:eastAsia="Times New Roman" w:hAnsi="Times New Roman" w:cs="Times New Roman"/>
                          <w:color w:val="000000" w:themeColor="text1"/>
                          <w:sz w:val="24"/>
                          <w:szCs w:val="24"/>
                          <w:lang w:eastAsia="lv-LV"/>
                        </w:rPr>
                        <w:t>izvērtējumu</w:t>
                      </w:r>
                      <w:proofErr w:type="spellEnd"/>
                      <w:r w:rsidRPr="0004311D">
                        <w:rPr>
                          <w:rFonts w:ascii="Times New Roman" w:eastAsia="Times New Roman" w:hAnsi="Times New Roman" w:cs="Times New Roman"/>
                          <w:color w:val="000000" w:themeColor="text1"/>
                          <w:sz w:val="24"/>
                          <w:szCs w:val="24"/>
                          <w:lang w:eastAsia="lv-LV"/>
                        </w:rPr>
                        <w:t xml:space="preserve"> ar mērķi nodrošināt šī finanšu instrumenta budžeta neitralitāti un  ziņot Komitejā par Investīciju fonda kā budžeta neitrāla instrumenta realizācijas iespēju – termiņš: līdz 2023. gada 30. septembrim.</w:t>
                      </w:r>
                    </w:p>
                  </w:txbxContent>
                </v:textbox>
                <w10:wrap type="tight"/>
              </v:rect>
            </w:pict>
          </mc:Fallback>
        </mc:AlternateContent>
      </w:r>
    </w:p>
    <w:p w14:paraId="1523930E" w14:textId="77777777" w:rsidR="00C2636B" w:rsidRPr="00A30D68" w:rsidRDefault="00C2636B" w:rsidP="005D3FD4">
      <w:pPr>
        <w:spacing w:before="120" w:after="0" w:line="240" w:lineRule="auto"/>
        <w:ind w:firstLine="567"/>
        <w:jc w:val="both"/>
        <w:rPr>
          <w:rFonts w:ascii="Times New Roman" w:hAnsi="Times New Roman" w:cs="Times New Roman"/>
          <w:sz w:val="24"/>
          <w:szCs w:val="24"/>
        </w:rPr>
      </w:pPr>
    </w:p>
    <w:p w14:paraId="2B77441D" w14:textId="77777777" w:rsidR="006F3BE7" w:rsidRPr="006F3BE7" w:rsidRDefault="006F3BE7" w:rsidP="006F3BE7">
      <w:pPr>
        <w:pStyle w:val="ListParagraph"/>
        <w:spacing w:after="60" w:line="240" w:lineRule="auto"/>
        <w:ind w:left="927"/>
        <w:jc w:val="both"/>
        <w:rPr>
          <w:rFonts w:ascii="Times New Roman" w:hAnsi="Times New Roman" w:cs="Times New Roman"/>
          <w:b/>
          <w:bCs/>
          <w:sz w:val="24"/>
          <w:szCs w:val="24"/>
        </w:rPr>
      </w:pPr>
    </w:p>
    <w:p w14:paraId="6D3FB112" w14:textId="0394F10E" w:rsidR="00C07CA1" w:rsidRDefault="00C07CA1">
      <w:pPr>
        <w:rPr>
          <w:rFonts w:ascii="Times New Roman" w:hAnsi="Times New Roman" w:cs="Times New Roman"/>
          <w:b/>
          <w:bCs/>
          <w:sz w:val="28"/>
          <w:szCs w:val="28"/>
        </w:rPr>
      </w:pPr>
    </w:p>
    <w:sectPr w:rsidR="00C07CA1" w:rsidSect="00185451">
      <w:headerReference w:type="default" r:id="rId38"/>
      <w:footerReference w:type="default" r:id="rId39"/>
      <w:pgSz w:w="11906" w:h="16838"/>
      <w:pgMar w:top="992" w:right="1276"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24B89" w14:textId="77777777" w:rsidR="005A4F6B" w:rsidRDefault="005A4F6B" w:rsidP="00CD6C10">
      <w:pPr>
        <w:spacing w:after="0" w:line="240" w:lineRule="auto"/>
      </w:pPr>
      <w:r>
        <w:separator/>
      </w:r>
    </w:p>
  </w:endnote>
  <w:endnote w:type="continuationSeparator" w:id="0">
    <w:p w14:paraId="267BBB11" w14:textId="77777777" w:rsidR="005A4F6B" w:rsidRDefault="005A4F6B" w:rsidP="00CD6C10">
      <w:pPr>
        <w:spacing w:after="0" w:line="240" w:lineRule="auto"/>
      </w:pPr>
      <w:r>
        <w:continuationSeparator/>
      </w:r>
    </w:p>
  </w:endnote>
  <w:endnote w:type="continuationNotice" w:id="1">
    <w:p w14:paraId="4C0462E3" w14:textId="77777777" w:rsidR="005A4F6B" w:rsidRDefault="005A4F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quot;Calibri Light&quot;,sans-serif">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quot;&quot;Times New Roman&quot;,serif&quot;,serif">
    <w:altName w:val="Cambria"/>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Light">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632B" w14:textId="76728E85" w:rsidR="00EA0BBC" w:rsidRDefault="00EA0BBC">
    <w:pPr>
      <w:pStyle w:val="Footer"/>
      <w:jc w:val="center"/>
    </w:pPr>
  </w:p>
  <w:p w14:paraId="4F57A962" w14:textId="77777777" w:rsidR="00E32EA1" w:rsidRDefault="00E32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203B7" w14:textId="77777777" w:rsidR="005A4F6B" w:rsidRDefault="005A4F6B" w:rsidP="00CD6C10">
      <w:pPr>
        <w:spacing w:after="0" w:line="240" w:lineRule="auto"/>
      </w:pPr>
      <w:r>
        <w:separator/>
      </w:r>
    </w:p>
  </w:footnote>
  <w:footnote w:type="continuationSeparator" w:id="0">
    <w:p w14:paraId="6E628A39" w14:textId="77777777" w:rsidR="005A4F6B" w:rsidRDefault="005A4F6B" w:rsidP="00CD6C10">
      <w:pPr>
        <w:spacing w:after="0" w:line="240" w:lineRule="auto"/>
      </w:pPr>
      <w:r>
        <w:continuationSeparator/>
      </w:r>
    </w:p>
  </w:footnote>
  <w:footnote w:type="continuationNotice" w:id="1">
    <w:p w14:paraId="021062D0" w14:textId="77777777" w:rsidR="005A4F6B" w:rsidRDefault="005A4F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40366"/>
      <w:docPartObj>
        <w:docPartGallery w:val="Page Numbers (Top of Page)"/>
        <w:docPartUnique/>
      </w:docPartObj>
    </w:sdtPr>
    <w:sdtEndPr>
      <w:rPr>
        <w:noProof/>
      </w:rPr>
    </w:sdtEndPr>
    <w:sdtContent>
      <w:p w14:paraId="2F1838E8" w14:textId="7C08F6EA" w:rsidR="00EA0BBC" w:rsidRDefault="00EA0BB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FEFB7F" w14:textId="77777777" w:rsidR="00E32EA1" w:rsidRDefault="00E32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A472B"/>
    <w:multiLevelType w:val="multilevel"/>
    <w:tmpl w:val="BED8D3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18B5D5D"/>
    <w:multiLevelType w:val="hybridMultilevel"/>
    <w:tmpl w:val="2260281E"/>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225DB4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061460A7"/>
    <w:multiLevelType w:val="hybridMultilevel"/>
    <w:tmpl w:val="4436249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 w15:restartNumberingAfterBreak="0">
    <w:nsid w:val="08C541B3"/>
    <w:multiLevelType w:val="hybridMultilevel"/>
    <w:tmpl w:val="FFFFFFFF"/>
    <w:lvl w:ilvl="0" w:tplc="260AC190">
      <w:start w:val="1"/>
      <w:numFmt w:val="bullet"/>
      <w:lvlText w:val="·"/>
      <w:lvlJc w:val="left"/>
      <w:pPr>
        <w:ind w:left="720" w:hanging="360"/>
      </w:pPr>
      <w:rPr>
        <w:rFonts w:ascii="Symbol" w:hAnsi="Symbol" w:hint="default"/>
      </w:rPr>
    </w:lvl>
    <w:lvl w:ilvl="1" w:tplc="6824B4E2">
      <w:start w:val="1"/>
      <w:numFmt w:val="bullet"/>
      <w:lvlText w:val="o"/>
      <w:lvlJc w:val="left"/>
      <w:pPr>
        <w:ind w:left="1440" w:hanging="360"/>
      </w:pPr>
      <w:rPr>
        <w:rFonts w:ascii="Courier New" w:hAnsi="Courier New" w:hint="default"/>
      </w:rPr>
    </w:lvl>
    <w:lvl w:ilvl="2" w:tplc="EF1C8FF6">
      <w:start w:val="1"/>
      <w:numFmt w:val="bullet"/>
      <w:lvlText w:val=""/>
      <w:lvlJc w:val="left"/>
      <w:pPr>
        <w:ind w:left="2160" w:hanging="360"/>
      </w:pPr>
      <w:rPr>
        <w:rFonts w:ascii="Wingdings" w:hAnsi="Wingdings" w:hint="default"/>
      </w:rPr>
    </w:lvl>
    <w:lvl w:ilvl="3" w:tplc="44888910">
      <w:start w:val="1"/>
      <w:numFmt w:val="bullet"/>
      <w:lvlText w:val=""/>
      <w:lvlJc w:val="left"/>
      <w:pPr>
        <w:ind w:left="2880" w:hanging="360"/>
      </w:pPr>
      <w:rPr>
        <w:rFonts w:ascii="Symbol" w:hAnsi="Symbol" w:hint="default"/>
      </w:rPr>
    </w:lvl>
    <w:lvl w:ilvl="4" w:tplc="CDF24C9E">
      <w:start w:val="1"/>
      <w:numFmt w:val="bullet"/>
      <w:lvlText w:val="o"/>
      <w:lvlJc w:val="left"/>
      <w:pPr>
        <w:ind w:left="3600" w:hanging="360"/>
      </w:pPr>
      <w:rPr>
        <w:rFonts w:ascii="Courier New" w:hAnsi="Courier New" w:hint="default"/>
      </w:rPr>
    </w:lvl>
    <w:lvl w:ilvl="5" w:tplc="C1349664">
      <w:start w:val="1"/>
      <w:numFmt w:val="bullet"/>
      <w:lvlText w:val=""/>
      <w:lvlJc w:val="left"/>
      <w:pPr>
        <w:ind w:left="4320" w:hanging="360"/>
      </w:pPr>
      <w:rPr>
        <w:rFonts w:ascii="Wingdings" w:hAnsi="Wingdings" w:hint="default"/>
      </w:rPr>
    </w:lvl>
    <w:lvl w:ilvl="6" w:tplc="12EA0778">
      <w:start w:val="1"/>
      <w:numFmt w:val="bullet"/>
      <w:lvlText w:val=""/>
      <w:lvlJc w:val="left"/>
      <w:pPr>
        <w:ind w:left="5040" w:hanging="360"/>
      </w:pPr>
      <w:rPr>
        <w:rFonts w:ascii="Symbol" w:hAnsi="Symbol" w:hint="default"/>
      </w:rPr>
    </w:lvl>
    <w:lvl w:ilvl="7" w:tplc="CF56A032">
      <w:start w:val="1"/>
      <w:numFmt w:val="bullet"/>
      <w:lvlText w:val="o"/>
      <w:lvlJc w:val="left"/>
      <w:pPr>
        <w:ind w:left="5760" w:hanging="360"/>
      </w:pPr>
      <w:rPr>
        <w:rFonts w:ascii="Courier New" w:hAnsi="Courier New" w:hint="default"/>
      </w:rPr>
    </w:lvl>
    <w:lvl w:ilvl="8" w:tplc="211CAA6C">
      <w:start w:val="1"/>
      <w:numFmt w:val="bullet"/>
      <w:lvlText w:val=""/>
      <w:lvlJc w:val="left"/>
      <w:pPr>
        <w:ind w:left="6480" w:hanging="360"/>
      </w:pPr>
      <w:rPr>
        <w:rFonts w:ascii="Wingdings" w:hAnsi="Wingdings" w:hint="default"/>
      </w:rPr>
    </w:lvl>
  </w:abstractNum>
  <w:abstractNum w:abstractNumId="5" w15:restartNumberingAfterBreak="0">
    <w:nsid w:val="0A615AF9"/>
    <w:multiLevelType w:val="hybridMultilevel"/>
    <w:tmpl w:val="30D84F40"/>
    <w:lvl w:ilvl="0" w:tplc="E688A27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0AE4B755"/>
    <w:multiLevelType w:val="hybridMultilevel"/>
    <w:tmpl w:val="FFFFFFFF"/>
    <w:lvl w:ilvl="0" w:tplc="6FAE0052">
      <w:start w:val="1"/>
      <w:numFmt w:val="bullet"/>
      <w:lvlText w:val=""/>
      <w:lvlJc w:val="left"/>
      <w:pPr>
        <w:ind w:left="720" w:hanging="360"/>
      </w:pPr>
      <w:rPr>
        <w:rFonts w:ascii="Symbol" w:hAnsi="Symbol" w:hint="default"/>
      </w:rPr>
    </w:lvl>
    <w:lvl w:ilvl="1" w:tplc="C7E4FBE8">
      <w:start w:val="1"/>
      <w:numFmt w:val="bullet"/>
      <w:lvlText w:val="o"/>
      <w:lvlJc w:val="left"/>
      <w:pPr>
        <w:ind w:left="1440" w:hanging="360"/>
      </w:pPr>
      <w:rPr>
        <w:rFonts w:ascii="Courier New" w:hAnsi="Courier New" w:hint="default"/>
      </w:rPr>
    </w:lvl>
    <w:lvl w:ilvl="2" w:tplc="9F96C994">
      <w:start w:val="1"/>
      <w:numFmt w:val="bullet"/>
      <w:lvlText w:val=""/>
      <w:lvlJc w:val="left"/>
      <w:pPr>
        <w:ind w:left="2160" w:hanging="360"/>
      </w:pPr>
      <w:rPr>
        <w:rFonts w:ascii="Wingdings" w:hAnsi="Wingdings" w:hint="default"/>
      </w:rPr>
    </w:lvl>
    <w:lvl w:ilvl="3" w:tplc="E51E46EA">
      <w:start w:val="1"/>
      <w:numFmt w:val="bullet"/>
      <w:lvlText w:val=""/>
      <w:lvlJc w:val="left"/>
      <w:pPr>
        <w:ind w:left="2880" w:hanging="360"/>
      </w:pPr>
      <w:rPr>
        <w:rFonts w:ascii="Symbol" w:hAnsi="Symbol" w:hint="default"/>
      </w:rPr>
    </w:lvl>
    <w:lvl w:ilvl="4" w:tplc="E176F9B0">
      <w:start w:val="1"/>
      <w:numFmt w:val="bullet"/>
      <w:lvlText w:val="o"/>
      <w:lvlJc w:val="left"/>
      <w:pPr>
        <w:ind w:left="3600" w:hanging="360"/>
      </w:pPr>
      <w:rPr>
        <w:rFonts w:ascii="Courier New" w:hAnsi="Courier New" w:hint="default"/>
      </w:rPr>
    </w:lvl>
    <w:lvl w:ilvl="5" w:tplc="6458F3EA">
      <w:start w:val="1"/>
      <w:numFmt w:val="bullet"/>
      <w:lvlText w:val=""/>
      <w:lvlJc w:val="left"/>
      <w:pPr>
        <w:ind w:left="4320" w:hanging="360"/>
      </w:pPr>
      <w:rPr>
        <w:rFonts w:ascii="Wingdings" w:hAnsi="Wingdings" w:hint="default"/>
      </w:rPr>
    </w:lvl>
    <w:lvl w:ilvl="6" w:tplc="D7B4CBFA">
      <w:start w:val="1"/>
      <w:numFmt w:val="bullet"/>
      <w:lvlText w:val=""/>
      <w:lvlJc w:val="left"/>
      <w:pPr>
        <w:ind w:left="5040" w:hanging="360"/>
      </w:pPr>
      <w:rPr>
        <w:rFonts w:ascii="Symbol" w:hAnsi="Symbol" w:hint="default"/>
      </w:rPr>
    </w:lvl>
    <w:lvl w:ilvl="7" w:tplc="DB22277C">
      <w:start w:val="1"/>
      <w:numFmt w:val="bullet"/>
      <w:lvlText w:val="o"/>
      <w:lvlJc w:val="left"/>
      <w:pPr>
        <w:ind w:left="5760" w:hanging="360"/>
      </w:pPr>
      <w:rPr>
        <w:rFonts w:ascii="Courier New" w:hAnsi="Courier New" w:hint="default"/>
      </w:rPr>
    </w:lvl>
    <w:lvl w:ilvl="8" w:tplc="1526D656">
      <w:start w:val="1"/>
      <w:numFmt w:val="bullet"/>
      <w:lvlText w:val=""/>
      <w:lvlJc w:val="left"/>
      <w:pPr>
        <w:ind w:left="6480" w:hanging="360"/>
      </w:pPr>
      <w:rPr>
        <w:rFonts w:ascii="Wingdings" w:hAnsi="Wingdings" w:hint="default"/>
      </w:rPr>
    </w:lvl>
  </w:abstractNum>
  <w:abstractNum w:abstractNumId="7" w15:restartNumberingAfterBreak="0">
    <w:nsid w:val="0CA952EF"/>
    <w:multiLevelType w:val="hybridMultilevel"/>
    <w:tmpl w:val="E1AACC8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DFD3378"/>
    <w:multiLevelType w:val="hybridMultilevel"/>
    <w:tmpl w:val="FFFFFFFF"/>
    <w:lvl w:ilvl="0" w:tplc="C54A2A72">
      <w:start w:val="1"/>
      <w:numFmt w:val="bullet"/>
      <w:lvlText w:val=""/>
      <w:lvlJc w:val="left"/>
      <w:pPr>
        <w:ind w:left="720" w:hanging="360"/>
      </w:pPr>
      <w:rPr>
        <w:rFonts w:ascii="Symbol" w:hAnsi="Symbol" w:hint="default"/>
      </w:rPr>
    </w:lvl>
    <w:lvl w:ilvl="1" w:tplc="B0100B42">
      <w:start w:val="1"/>
      <w:numFmt w:val="bullet"/>
      <w:lvlText w:val="o"/>
      <w:lvlJc w:val="left"/>
      <w:pPr>
        <w:ind w:left="1440" w:hanging="360"/>
      </w:pPr>
      <w:rPr>
        <w:rFonts w:ascii="Courier New" w:hAnsi="Courier New" w:hint="default"/>
      </w:rPr>
    </w:lvl>
    <w:lvl w:ilvl="2" w:tplc="6778DFDE">
      <w:start w:val="1"/>
      <w:numFmt w:val="bullet"/>
      <w:lvlText w:val=""/>
      <w:lvlJc w:val="left"/>
      <w:pPr>
        <w:ind w:left="2160" w:hanging="360"/>
      </w:pPr>
      <w:rPr>
        <w:rFonts w:ascii="Wingdings" w:hAnsi="Wingdings" w:hint="default"/>
      </w:rPr>
    </w:lvl>
    <w:lvl w:ilvl="3" w:tplc="0AE2F5E4">
      <w:start w:val="1"/>
      <w:numFmt w:val="bullet"/>
      <w:lvlText w:val=""/>
      <w:lvlJc w:val="left"/>
      <w:pPr>
        <w:ind w:left="2880" w:hanging="360"/>
      </w:pPr>
      <w:rPr>
        <w:rFonts w:ascii="Symbol" w:hAnsi="Symbol" w:hint="default"/>
      </w:rPr>
    </w:lvl>
    <w:lvl w:ilvl="4" w:tplc="BE02E700">
      <w:start w:val="1"/>
      <w:numFmt w:val="bullet"/>
      <w:lvlText w:val="o"/>
      <w:lvlJc w:val="left"/>
      <w:pPr>
        <w:ind w:left="3600" w:hanging="360"/>
      </w:pPr>
      <w:rPr>
        <w:rFonts w:ascii="Courier New" w:hAnsi="Courier New" w:hint="default"/>
      </w:rPr>
    </w:lvl>
    <w:lvl w:ilvl="5" w:tplc="972C0D86">
      <w:start w:val="1"/>
      <w:numFmt w:val="bullet"/>
      <w:lvlText w:val=""/>
      <w:lvlJc w:val="left"/>
      <w:pPr>
        <w:ind w:left="4320" w:hanging="360"/>
      </w:pPr>
      <w:rPr>
        <w:rFonts w:ascii="Wingdings" w:hAnsi="Wingdings" w:hint="default"/>
      </w:rPr>
    </w:lvl>
    <w:lvl w:ilvl="6" w:tplc="2B0CBB10">
      <w:start w:val="1"/>
      <w:numFmt w:val="bullet"/>
      <w:lvlText w:val=""/>
      <w:lvlJc w:val="left"/>
      <w:pPr>
        <w:ind w:left="5040" w:hanging="360"/>
      </w:pPr>
      <w:rPr>
        <w:rFonts w:ascii="Symbol" w:hAnsi="Symbol" w:hint="default"/>
      </w:rPr>
    </w:lvl>
    <w:lvl w:ilvl="7" w:tplc="C902CB48">
      <w:start w:val="1"/>
      <w:numFmt w:val="bullet"/>
      <w:lvlText w:val="o"/>
      <w:lvlJc w:val="left"/>
      <w:pPr>
        <w:ind w:left="5760" w:hanging="360"/>
      </w:pPr>
      <w:rPr>
        <w:rFonts w:ascii="Courier New" w:hAnsi="Courier New" w:hint="default"/>
      </w:rPr>
    </w:lvl>
    <w:lvl w:ilvl="8" w:tplc="1FE4D946">
      <w:start w:val="1"/>
      <w:numFmt w:val="bullet"/>
      <w:lvlText w:val=""/>
      <w:lvlJc w:val="left"/>
      <w:pPr>
        <w:ind w:left="6480" w:hanging="360"/>
      </w:pPr>
      <w:rPr>
        <w:rFonts w:ascii="Wingdings" w:hAnsi="Wingdings" w:hint="default"/>
      </w:rPr>
    </w:lvl>
  </w:abstractNum>
  <w:abstractNum w:abstractNumId="9" w15:restartNumberingAfterBreak="0">
    <w:nsid w:val="0E241E34"/>
    <w:multiLevelType w:val="hybridMultilevel"/>
    <w:tmpl w:val="FFFFFFFF"/>
    <w:lvl w:ilvl="0" w:tplc="9AD0AF1E">
      <w:start w:val="1"/>
      <w:numFmt w:val="bullet"/>
      <w:lvlText w:val=""/>
      <w:lvlJc w:val="left"/>
      <w:pPr>
        <w:ind w:left="720" w:hanging="360"/>
      </w:pPr>
      <w:rPr>
        <w:rFonts w:ascii="Symbol" w:hAnsi="Symbol" w:hint="default"/>
      </w:rPr>
    </w:lvl>
    <w:lvl w:ilvl="1" w:tplc="C5085412">
      <w:start w:val="1"/>
      <w:numFmt w:val="bullet"/>
      <w:lvlText w:val="o"/>
      <w:lvlJc w:val="left"/>
      <w:pPr>
        <w:ind w:left="1440" w:hanging="360"/>
      </w:pPr>
      <w:rPr>
        <w:rFonts w:ascii="Courier New" w:hAnsi="Courier New" w:hint="default"/>
      </w:rPr>
    </w:lvl>
    <w:lvl w:ilvl="2" w:tplc="A6C6625C">
      <w:start w:val="1"/>
      <w:numFmt w:val="bullet"/>
      <w:lvlText w:val=""/>
      <w:lvlJc w:val="left"/>
      <w:pPr>
        <w:ind w:left="2160" w:hanging="360"/>
      </w:pPr>
      <w:rPr>
        <w:rFonts w:ascii="Wingdings" w:hAnsi="Wingdings" w:hint="default"/>
      </w:rPr>
    </w:lvl>
    <w:lvl w:ilvl="3" w:tplc="EDDEF200">
      <w:start w:val="1"/>
      <w:numFmt w:val="bullet"/>
      <w:lvlText w:val=""/>
      <w:lvlJc w:val="left"/>
      <w:pPr>
        <w:ind w:left="2880" w:hanging="360"/>
      </w:pPr>
      <w:rPr>
        <w:rFonts w:ascii="Symbol" w:hAnsi="Symbol" w:hint="default"/>
      </w:rPr>
    </w:lvl>
    <w:lvl w:ilvl="4" w:tplc="781A1B36">
      <w:start w:val="1"/>
      <w:numFmt w:val="bullet"/>
      <w:lvlText w:val="o"/>
      <w:lvlJc w:val="left"/>
      <w:pPr>
        <w:ind w:left="3600" w:hanging="360"/>
      </w:pPr>
      <w:rPr>
        <w:rFonts w:ascii="Courier New" w:hAnsi="Courier New" w:hint="default"/>
      </w:rPr>
    </w:lvl>
    <w:lvl w:ilvl="5" w:tplc="501CAFE2">
      <w:start w:val="1"/>
      <w:numFmt w:val="bullet"/>
      <w:lvlText w:val=""/>
      <w:lvlJc w:val="left"/>
      <w:pPr>
        <w:ind w:left="4320" w:hanging="360"/>
      </w:pPr>
      <w:rPr>
        <w:rFonts w:ascii="Wingdings" w:hAnsi="Wingdings" w:hint="default"/>
      </w:rPr>
    </w:lvl>
    <w:lvl w:ilvl="6" w:tplc="EB722C64">
      <w:start w:val="1"/>
      <w:numFmt w:val="bullet"/>
      <w:lvlText w:val=""/>
      <w:lvlJc w:val="left"/>
      <w:pPr>
        <w:ind w:left="5040" w:hanging="360"/>
      </w:pPr>
      <w:rPr>
        <w:rFonts w:ascii="Symbol" w:hAnsi="Symbol" w:hint="default"/>
      </w:rPr>
    </w:lvl>
    <w:lvl w:ilvl="7" w:tplc="7AEC2E6E">
      <w:start w:val="1"/>
      <w:numFmt w:val="bullet"/>
      <w:lvlText w:val="o"/>
      <w:lvlJc w:val="left"/>
      <w:pPr>
        <w:ind w:left="5760" w:hanging="360"/>
      </w:pPr>
      <w:rPr>
        <w:rFonts w:ascii="Courier New" w:hAnsi="Courier New" w:hint="default"/>
      </w:rPr>
    </w:lvl>
    <w:lvl w:ilvl="8" w:tplc="7BFAC2D2">
      <w:start w:val="1"/>
      <w:numFmt w:val="bullet"/>
      <w:lvlText w:val=""/>
      <w:lvlJc w:val="left"/>
      <w:pPr>
        <w:ind w:left="6480" w:hanging="360"/>
      </w:pPr>
      <w:rPr>
        <w:rFonts w:ascii="Wingdings" w:hAnsi="Wingdings" w:hint="default"/>
      </w:rPr>
    </w:lvl>
  </w:abstractNum>
  <w:abstractNum w:abstractNumId="10" w15:restartNumberingAfterBreak="0">
    <w:nsid w:val="1061888F"/>
    <w:multiLevelType w:val="hybridMultilevel"/>
    <w:tmpl w:val="FFFFFFFF"/>
    <w:lvl w:ilvl="0" w:tplc="64C655B4">
      <w:start w:val="1"/>
      <w:numFmt w:val="bullet"/>
      <w:lvlText w:val=""/>
      <w:lvlJc w:val="left"/>
      <w:pPr>
        <w:ind w:left="720" w:hanging="360"/>
      </w:pPr>
      <w:rPr>
        <w:rFonts w:ascii="Symbol" w:hAnsi="Symbol" w:hint="default"/>
      </w:rPr>
    </w:lvl>
    <w:lvl w:ilvl="1" w:tplc="2BBACCD8">
      <w:start w:val="1"/>
      <w:numFmt w:val="bullet"/>
      <w:lvlText w:val="o"/>
      <w:lvlJc w:val="left"/>
      <w:pPr>
        <w:ind w:left="1440" w:hanging="360"/>
      </w:pPr>
      <w:rPr>
        <w:rFonts w:ascii="Courier New" w:hAnsi="Courier New" w:hint="default"/>
      </w:rPr>
    </w:lvl>
    <w:lvl w:ilvl="2" w:tplc="1A0208E2">
      <w:start w:val="1"/>
      <w:numFmt w:val="bullet"/>
      <w:lvlText w:val=""/>
      <w:lvlJc w:val="left"/>
      <w:pPr>
        <w:ind w:left="2160" w:hanging="360"/>
      </w:pPr>
      <w:rPr>
        <w:rFonts w:ascii="Wingdings" w:hAnsi="Wingdings" w:hint="default"/>
      </w:rPr>
    </w:lvl>
    <w:lvl w:ilvl="3" w:tplc="493632A6">
      <w:start w:val="1"/>
      <w:numFmt w:val="bullet"/>
      <w:lvlText w:val=""/>
      <w:lvlJc w:val="left"/>
      <w:pPr>
        <w:ind w:left="2880" w:hanging="360"/>
      </w:pPr>
      <w:rPr>
        <w:rFonts w:ascii="Symbol" w:hAnsi="Symbol" w:hint="default"/>
      </w:rPr>
    </w:lvl>
    <w:lvl w:ilvl="4" w:tplc="88D27550">
      <w:start w:val="1"/>
      <w:numFmt w:val="bullet"/>
      <w:lvlText w:val="o"/>
      <w:lvlJc w:val="left"/>
      <w:pPr>
        <w:ind w:left="3600" w:hanging="360"/>
      </w:pPr>
      <w:rPr>
        <w:rFonts w:ascii="Courier New" w:hAnsi="Courier New" w:hint="default"/>
      </w:rPr>
    </w:lvl>
    <w:lvl w:ilvl="5" w:tplc="E25691C8">
      <w:start w:val="1"/>
      <w:numFmt w:val="bullet"/>
      <w:lvlText w:val=""/>
      <w:lvlJc w:val="left"/>
      <w:pPr>
        <w:ind w:left="4320" w:hanging="360"/>
      </w:pPr>
      <w:rPr>
        <w:rFonts w:ascii="Wingdings" w:hAnsi="Wingdings" w:hint="default"/>
      </w:rPr>
    </w:lvl>
    <w:lvl w:ilvl="6" w:tplc="27066142">
      <w:start w:val="1"/>
      <w:numFmt w:val="bullet"/>
      <w:lvlText w:val=""/>
      <w:lvlJc w:val="left"/>
      <w:pPr>
        <w:ind w:left="5040" w:hanging="360"/>
      </w:pPr>
      <w:rPr>
        <w:rFonts w:ascii="Symbol" w:hAnsi="Symbol" w:hint="default"/>
      </w:rPr>
    </w:lvl>
    <w:lvl w:ilvl="7" w:tplc="807807CA">
      <w:start w:val="1"/>
      <w:numFmt w:val="bullet"/>
      <w:lvlText w:val="o"/>
      <w:lvlJc w:val="left"/>
      <w:pPr>
        <w:ind w:left="5760" w:hanging="360"/>
      </w:pPr>
      <w:rPr>
        <w:rFonts w:ascii="Courier New" w:hAnsi="Courier New" w:hint="default"/>
      </w:rPr>
    </w:lvl>
    <w:lvl w:ilvl="8" w:tplc="47EA4F4A">
      <w:start w:val="1"/>
      <w:numFmt w:val="bullet"/>
      <w:lvlText w:val=""/>
      <w:lvlJc w:val="left"/>
      <w:pPr>
        <w:ind w:left="6480" w:hanging="360"/>
      </w:pPr>
      <w:rPr>
        <w:rFonts w:ascii="Wingdings" w:hAnsi="Wingdings" w:hint="default"/>
      </w:rPr>
    </w:lvl>
  </w:abstractNum>
  <w:abstractNum w:abstractNumId="11" w15:restartNumberingAfterBreak="0">
    <w:nsid w:val="10F63D90"/>
    <w:multiLevelType w:val="hybridMultilevel"/>
    <w:tmpl w:val="FFFFFFFF"/>
    <w:lvl w:ilvl="0" w:tplc="CB7E4BFA">
      <w:start w:val="1"/>
      <w:numFmt w:val="bullet"/>
      <w:lvlText w:val=""/>
      <w:lvlJc w:val="left"/>
      <w:pPr>
        <w:ind w:left="720" w:hanging="360"/>
      </w:pPr>
      <w:rPr>
        <w:rFonts w:ascii="Symbol" w:hAnsi="Symbol" w:hint="default"/>
      </w:rPr>
    </w:lvl>
    <w:lvl w:ilvl="1" w:tplc="3C12C720">
      <w:start w:val="1"/>
      <w:numFmt w:val="bullet"/>
      <w:lvlText w:val="o"/>
      <w:lvlJc w:val="left"/>
      <w:pPr>
        <w:ind w:left="1440" w:hanging="360"/>
      </w:pPr>
      <w:rPr>
        <w:rFonts w:ascii="Courier New" w:hAnsi="Courier New" w:hint="default"/>
      </w:rPr>
    </w:lvl>
    <w:lvl w:ilvl="2" w:tplc="CFFC7F84">
      <w:start w:val="1"/>
      <w:numFmt w:val="bullet"/>
      <w:lvlText w:val=""/>
      <w:lvlJc w:val="left"/>
      <w:pPr>
        <w:ind w:left="2160" w:hanging="360"/>
      </w:pPr>
      <w:rPr>
        <w:rFonts w:ascii="Wingdings" w:hAnsi="Wingdings" w:hint="default"/>
      </w:rPr>
    </w:lvl>
    <w:lvl w:ilvl="3" w:tplc="4B5A3726">
      <w:start w:val="1"/>
      <w:numFmt w:val="bullet"/>
      <w:lvlText w:val=""/>
      <w:lvlJc w:val="left"/>
      <w:pPr>
        <w:ind w:left="2880" w:hanging="360"/>
      </w:pPr>
      <w:rPr>
        <w:rFonts w:ascii="Symbol" w:hAnsi="Symbol" w:hint="default"/>
      </w:rPr>
    </w:lvl>
    <w:lvl w:ilvl="4" w:tplc="0A583D06">
      <w:start w:val="1"/>
      <w:numFmt w:val="bullet"/>
      <w:lvlText w:val="o"/>
      <w:lvlJc w:val="left"/>
      <w:pPr>
        <w:ind w:left="3600" w:hanging="360"/>
      </w:pPr>
      <w:rPr>
        <w:rFonts w:ascii="Courier New" w:hAnsi="Courier New" w:hint="default"/>
      </w:rPr>
    </w:lvl>
    <w:lvl w:ilvl="5" w:tplc="5FEC4446">
      <w:start w:val="1"/>
      <w:numFmt w:val="bullet"/>
      <w:lvlText w:val=""/>
      <w:lvlJc w:val="left"/>
      <w:pPr>
        <w:ind w:left="4320" w:hanging="360"/>
      </w:pPr>
      <w:rPr>
        <w:rFonts w:ascii="Wingdings" w:hAnsi="Wingdings" w:hint="default"/>
      </w:rPr>
    </w:lvl>
    <w:lvl w:ilvl="6" w:tplc="89CCB990">
      <w:start w:val="1"/>
      <w:numFmt w:val="bullet"/>
      <w:lvlText w:val=""/>
      <w:lvlJc w:val="left"/>
      <w:pPr>
        <w:ind w:left="5040" w:hanging="360"/>
      </w:pPr>
      <w:rPr>
        <w:rFonts w:ascii="Symbol" w:hAnsi="Symbol" w:hint="default"/>
      </w:rPr>
    </w:lvl>
    <w:lvl w:ilvl="7" w:tplc="7DF6D5E4">
      <w:start w:val="1"/>
      <w:numFmt w:val="bullet"/>
      <w:lvlText w:val="o"/>
      <w:lvlJc w:val="left"/>
      <w:pPr>
        <w:ind w:left="5760" w:hanging="360"/>
      </w:pPr>
      <w:rPr>
        <w:rFonts w:ascii="Courier New" w:hAnsi="Courier New" w:hint="default"/>
      </w:rPr>
    </w:lvl>
    <w:lvl w:ilvl="8" w:tplc="09348A6E">
      <w:start w:val="1"/>
      <w:numFmt w:val="bullet"/>
      <w:lvlText w:val=""/>
      <w:lvlJc w:val="left"/>
      <w:pPr>
        <w:ind w:left="6480" w:hanging="360"/>
      </w:pPr>
      <w:rPr>
        <w:rFonts w:ascii="Wingdings" w:hAnsi="Wingdings" w:hint="default"/>
      </w:rPr>
    </w:lvl>
  </w:abstractNum>
  <w:abstractNum w:abstractNumId="12" w15:restartNumberingAfterBreak="0">
    <w:nsid w:val="12C67615"/>
    <w:multiLevelType w:val="hybridMultilevel"/>
    <w:tmpl w:val="B68EDA30"/>
    <w:lvl w:ilvl="0" w:tplc="3044E8BC">
      <w:start w:val="1"/>
      <w:numFmt w:val="bullet"/>
      <w:lvlText w:val="-"/>
      <w:lvlJc w:val="left"/>
      <w:pPr>
        <w:ind w:left="720" w:hanging="360"/>
      </w:pPr>
      <w:rPr>
        <w:rFonts w:ascii="&quot;Calibri Light&quot;,sans-serif" w:hAnsi="&quot;Calibri Light&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39C7E44"/>
    <w:multiLevelType w:val="hybridMultilevel"/>
    <w:tmpl w:val="9800A794"/>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154D4DC9"/>
    <w:multiLevelType w:val="hybridMultilevel"/>
    <w:tmpl w:val="9FD892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6394212"/>
    <w:multiLevelType w:val="hybridMultilevel"/>
    <w:tmpl w:val="5024DECC"/>
    <w:lvl w:ilvl="0" w:tplc="E2E4E17E">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22154ADE"/>
    <w:multiLevelType w:val="hybridMultilevel"/>
    <w:tmpl w:val="BDDC4D82"/>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27A8110F"/>
    <w:multiLevelType w:val="hybridMultilevel"/>
    <w:tmpl w:val="3D787454"/>
    <w:lvl w:ilvl="0" w:tplc="3044E8BC">
      <w:start w:val="1"/>
      <w:numFmt w:val="bullet"/>
      <w:lvlText w:val="-"/>
      <w:lvlJc w:val="left"/>
      <w:pPr>
        <w:ind w:left="1440" w:hanging="360"/>
      </w:pPr>
      <w:rPr>
        <w:rFonts w:ascii="&quot;Calibri Light&quot;,sans-serif" w:hAnsi="&quot;Calibri Light&quot;,sans-serif"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287A37ED"/>
    <w:multiLevelType w:val="hybridMultilevel"/>
    <w:tmpl w:val="FFFFFFFF"/>
    <w:lvl w:ilvl="0" w:tplc="DDA6C1F4">
      <w:start w:val="1"/>
      <w:numFmt w:val="bullet"/>
      <w:lvlText w:val="-"/>
      <w:lvlJc w:val="left"/>
      <w:pPr>
        <w:ind w:left="720" w:hanging="360"/>
      </w:pPr>
      <w:rPr>
        <w:rFonts w:ascii="Calibri" w:hAnsi="Calibri" w:hint="default"/>
      </w:rPr>
    </w:lvl>
    <w:lvl w:ilvl="1" w:tplc="36F6DA98">
      <w:start w:val="1"/>
      <w:numFmt w:val="bullet"/>
      <w:lvlText w:val="o"/>
      <w:lvlJc w:val="left"/>
      <w:pPr>
        <w:ind w:left="1440" w:hanging="360"/>
      </w:pPr>
      <w:rPr>
        <w:rFonts w:ascii="Courier New" w:hAnsi="Courier New" w:hint="default"/>
      </w:rPr>
    </w:lvl>
    <w:lvl w:ilvl="2" w:tplc="999C8866">
      <w:start w:val="1"/>
      <w:numFmt w:val="bullet"/>
      <w:lvlText w:val=""/>
      <w:lvlJc w:val="left"/>
      <w:pPr>
        <w:ind w:left="2160" w:hanging="360"/>
      </w:pPr>
      <w:rPr>
        <w:rFonts w:ascii="Wingdings" w:hAnsi="Wingdings" w:hint="default"/>
      </w:rPr>
    </w:lvl>
    <w:lvl w:ilvl="3" w:tplc="3C8E7336">
      <w:start w:val="1"/>
      <w:numFmt w:val="bullet"/>
      <w:lvlText w:val=""/>
      <w:lvlJc w:val="left"/>
      <w:pPr>
        <w:ind w:left="2880" w:hanging="360"/>
      </w:pPr>
      <w:rPr>
        <w:rFonts w:ascii="Symbol" w:hAnsi="Symbol" w:hint="default"/>
      </w:rPr>
    </w:lvl>
    <w:lvl w:ilvl="4" w:tplc="4A56343C">
      <w:start w:val="1"/>
      <w:numFmt w:val="bullet"/>
      <w:lvlText w:val="o"/>
      <w:lvlJc w:val="left"/>
      <w:pPr>
        <w:ind w:left="3600" w:hanging="360"/>
      </w:pPr>
      <w:rPr>
        <w:rFonts w:ascii="Courier New" w:hAnsi="Courier New" w:hint="default"/>
      </w:rPr>
    </w:lvl>
    <w:lvl w:ilvl="5" w:tplc="3A960676">
      <w:start w:val="1"/>
      <w:numFmt w:val="bullet"/>
      <w:lvlText w:val=""/>
      <w:lvlJc w:val="left"/>
      <w:pPr>
        <w:ind w:left="4320" w:hanging="360"/>
      </w:pPr>
      <w:rPr>
        <w:rFonts w:ascii="Wingdings" w:hAnsi="Wingdings" w:hint="default"/>
      </w:rPr>
    </w:lvl>
    <w:lvl w:ilvl="6" w:tplc="16307E04">
      <w:start w:val="1"/>
      <w:numFmt w:val="bullet"/>
      <w:lvlText w:val=""/>
      <w:lvlJc w:val="left"/>
      <w:pPr>
        <w:ind w:left="5040" w:hanging="360"/>
      </w:pPr>
      <w:rPr>
        <w:rFonts w:ascii="Symbol" w:hAnsi="Symbol" w:hint="default"/>
      </w:rPr>
    </w:lvl>
    <w:lvl w:ilvl="7" w:tplc="E82ED9C4">
      <w:start w:val="1"/>
      <w:numFmt w:val="bullet"/>
      <w:lvlText w:val="o"/>
      <w:lvlJc w:val="left"/>
      <w:pPr>
        <w:ind w:left="5760" w:hanging="360"/>
      </w:pPr>
      <w:rPr>
        <w:rFonts w:ascii="Courier New" w:hAnsi="Courier New" w:hint="default"/>
      </w:rPr>
    </w:lvl>
    <w:lvl w:ilvl="8" w:tplc="B3404E8A">
      <w:start w:val="1"/>
      <w:numFmt w:val="bullet"/>
      <w:lvlText w:val=""/>
      <w:lvlJc w:val="left"/>
      <w:pPr>
        <w:ind w:left="6480" w:hanging="360"/>
      </w:pPr>
      <w:rPr>
        <w:rFonts w:ascii="Wingdings" w:hAnsi="Wingdings" w:hint="default"/>
      </w:rPr>
    </w:lvl>
  </w:abstractNum>
  <w:abstractNum w:abstractNumId="19" w15:restartNumberingAfterBreak="0">
    <w:nsid w:val="2B050BDE"/>
    <w:multiLevelType w:val="hybridMultilevel"/>
    <w:tmpl w:val="FAE61186"/>
    <w:lvl w:ilvl="0" w:tplc="8F509B86">
      <w:start w:val="1"/>
      <w:numFmt w:val="decimal"/>
      <w:lvlText w:val="%1)"/>
      <w:lvlJc w:val="left"/>
      <w:pPr>
        <w:ind w:left="927" w:hanging="360"/>
      </w:pPr>
      <w:rPr>
        <w:rFonts w:hint="default"/>
        <w:b/>
        <w:color w:val="000000" w:themeColor="text1"/>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2B399BFC"/>
    <w:multiLevelType w:val="hybridMultilevel"/>
    <w:tmpl w:val="FFFFFFFF"/>
    <w:lvl w:ilvl="0" w:tplc="3FD426AA">
      <w:start w:val="1"/>
      <w:numFmt w:val="bullet"/>
      <w:lvlText w:val=""/>
      <w:lvlJc w:val="left"/>
      <w:pPr>
        <w:ind w:left="720" w:hanging="360"/>
      </w:pPr>
      <w:rPr>
        <w:rFonts w:ascii="Wingdings" w:hAnsi="Wingdings" w:hint="default"/>
      </w:rPr>
    </w:lvl>
    <w:lvl w:ilvl="1" w:tplc="9F724930">
      <w:start w:val="1"/>
      <w:numFmt w:val="bullet"/>
      <w:lvlText w:val="o"/>
      <w:lvlJc w:val="left"/>
      <w:pPr>
        <w:ind w:left="1440" w:hanging="360"/>
      </w:pPr>
      <w:rPr>
        <w:rFonts w:ascii="Courier New" w:hAnsi="Courier New" w:hint="default"/>
      </w:rPr>
    </w:lvl>
    <w:lvl w:ilvl="2" w:tplc="08786726">
      <w:start w:val="1"/>
      <w:numFmt w:val="bullet"/>
      <w:lvlText w:val=""/>
      <w:lvlJc w:val="left"/>
      <w:pPr>
        <w:ind w:left="2160" w:hanging="360"/>
      </w:pPr>
      <w:rPr>
        <w:rFonts w:ascii="Wingdings" w:hAnsi="Wingdings" w:hint="default"/>
      </w:rPr>
    </w:lvl>
    <w:lvl w:ilvl="3" w:tplc="B792D1DE">
      <w:start w:val="1"/>
      <w:numFmt w:val="bullet"/>
      <w:lvlText w:val=""/>
      <w:lvlJc w:val="left"/>
      <w:pPr>
        <w:ind w:left="2880" w:hanging="360"/>
      </w:pPr>
      <w:rPr>
        <w:rFonts w:ascii="Symbol" w:hAnsi="Symbol" w:hint="default"/>
      </w:rPr>
    </w:lvl>
    <w:lvl w:ilvl="4" w:tplc="CFAA35D2">
      <w:start w:val="1"/>
      <w:numFmt w:val="bullet"/>
      <w:lvlText w:val="o"/>
      <w:lvlJc w:val="left"/>
      <w:pPr>
        <w:ind w:left="3600" w:hanging="360"/>
      </w:pPr>
      <w:rPr>
        <w:rFonts w:ascii="Courier New" w:hAnsi="Courier New" w:hint="default"/>
      </w:rPr>
    </w:lvl>
    <w:lvl w:ilvl="5" w:tplc="21DC5B9A">
      <w:start w:val="1"/>
      <w:numFmt w:val="bullet"/>
      <w:lvlText w:val=""/>
      <w:lvlJc w:val="left"/>
      <w:pPr>
        <w:ind w:left="4320" w:hanging="360"/>
      </w:pPr>
      <w:rPr>
        <w:rFonts w:ascii="Wingdings" w:hAnsi="Wingdings" w:hint="default"/>
      </w:rPr>
    </w:lvl>
    <w:lvl w:ilvl="6" w:tplc="8FEAA4B6">
      <w:start w:val="1"/>
      <w:numFmt w:val="bullet"/>
      <w:lvlText w:val=""/>
      <w:lvlJc w:val="left"/>
      <w:pPr>
        <w:ind w:left="5040" w:hanging="360"/>
      </w:pPr>
      <w:rPr>
        <w:rFonts w:ascii="Symbol" w:hAnsi="Symbol" w:hint="default"/>
      </w:rPr>
    </w:lvl>
    <w:lvl w:ilvl="7" w:tplc="7D826312">
      <w:start w:val="1"/>
      <w:numFmt w:val="bullet"/>
      <w:lvlText w:val="o"/>
      <w:lvlJc w:val="left"/>
      <w:pPr>
        <w:ind w:left="5760" w:hanging="360"/>
      </w:pPr>
      <w:rPr>
        <w:rFonts w:ascii="Courier New" w:hAnsi="Courier New" w:hint="default"/>
      </w:rPr>
    </w:lvl>
    <w:lvl w:ilvl="8" w:tplc="11BCB542">
      <w:start w:val="1"/>
      <w:numFmt w:val="bullet"/>
      <w:lvlText w:val=""/>
      <w:lvlJc w:val="left"/>
      <w:pPr>
        <w:ind w:left="6480" w:hanging="360"/>
      </w:pPr>
      <w:rPr>
        <w:rFonts w:ascii="Wingdings" w:hAnsi="Wingdings" w:hint="default"/>
      </w:rPr>
    </w:lvl>
  </w:abstractNum>
  <w:abstractNum w:abstractNumId="21" w15:restartNumberingAfterBreak="0">
    <w:nsid w:val="2DD04EED"/>
    <w:multiLevelType w:val="hybridMultilevel"/>
    <w:tmpl w:val="FB5CABCE"/>
    <w:lvl w:ilvl="0" w:tplc="5FC4652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2" w15:restartNumberingAfterBreak="0">
    <w:nsid w:val="324E18AA"/>
    <w:multiLevelType w:val="hybridMultilevel"/>
    <w:tmpl w:val="78D88F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C3A4E66"/>
    <w:multiLevelType w:val="multilevel"/>
    <w:tmpl w:val="B9CA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1A2DDE"/>
    <w:multiLevelType w:val="hybridMultilevel"/>
    <w:tmpl w:val="FFFFFFFF"/>
    <w:lvl w:ilvl="0" w:tplc="C5DAEB78">
      <w:start w:val="1"/>
      <w:numFmt w:val="bullet"/>
      <w:lvlText w:val="·"/>
      <w:lvlJc w:val="left"/>
      <w:pPr>
        <w:ind w:left="720" w:hanging="360"/>
      </w:pPr>
      <w:rPr>
        <w:rFonts w:ascii="Symbol" w:hAnsi="Symbol" w:hint="default"/>
      </w:rPr>
    </w:lvl>
    <w:lvl w:ilvl="1" w:tplc="FEC0C43E">
      <w:start w:val="1"/>
      <w:numFmt w:val="bullet"/>
      <w:lvlText w:val="o"/>
      <w:lvlJc w:val="left"/>
      <w:pPr>
        <w:ind w:left="1440" w:hanging="360"/>
      </w:pPr>
      <w:rPr>
        <w:rFonts w:ascii="Courier New" w:hAnsi="Courier New" w:hint="default"/>
      </w:rPr>
    </w:lvl>
    <w:lvl w:ilvl="2" w:tplc="FE28F526">
      <w:start w:val="1"/>
      <w:numFmt w:val="bullet"/>
      <w:lvlText w:val=""/>
      <w:lvlJc w:val="left"/>
      <w:pPr>
        <w:ind w:left="2160" w:hanging="360"/>
      </w:pPr>
      <w:rPr>
        <w:rFonts w:ascii="Wingdings" w:hAnsi="Wingdings" w:hint="default"/>
      </w:rPr>
    </w:lvl>
    <w:lvl w:ilvl="3" w:tplc="72220C4C">
      <w:start w:val="1"/>
      <w:numFmt w:val="bullet"/>
      <w:lvlText w:val=""/>
      <w:lvlJc w:val="left"/>
      <w:pPr>
        <w:ind w:left="2880" w:hanging="360"/>
      </w:pPr>
      <w:rPr>
        <w:rFonts w:ascii="Symbol" w:hAnsi="Symbol" w:hint="default"/>
      </w:rPr>
    </w:lvl>
    <w:lvl w:ilvl="4" w:tplc="FEDCC2AC">
      <w:start w:val="1"/>
      <w:numFmt w:val="bullet"/>
      <w:lvlText w:val="o"/>
      <w:lvlJc w:val="left"/>
      <w:pPr>
        <w:ind w:left="3600" w:hanging="360"/>
      </w:pPr>
      <w:rPr>
        <w:rFonts w:ascii="Courier New" w:hAnsi="Courier New" w:hint="default"/>
      </w:rPr>
    </w:lvl>
    <w:lvl w:ilvl="5" w:tplc="DC76423E">
      <w:start w:val="1"/>
      <w:numFmt w:val="bullet"/>
      <w:lvlText w:val=""/>
      <w:lvlJc w:val="left"/>
      <w:pPr>
        <w:ind w:left="4320" w:hanging="360"/>
      </w:pPr>
      <w:rPr>
        <w:rFonts w:ascii="Wingdings" w:hAnsi="Wingdings" w:hint="default"/>
      </w:rPr>
    </w:lvl>
    <w:lvl w:ilvl="6" w:tplc="9462DF92">
      <w:start w:val="1"/>
      <w:numFmt w:val="bullet"/>
      <w:lvlText w:val=""/>
      <w:lvlJc w:val="left"/>
      <w:pPr>
        <w:ind w:left="5040" w:hanging="360"/>
      </w:pPr>
      <w:rPr>
        <w:rFonts w:ascii="Symbol" w:hAnsi="Symbol" w:hint="default"/>
      </w:rPr>
    </w:lvl>
    <w:lvl w:ilvl="7" w:tplc="A3CC6AE0">
      <w:start w:val="1"/>
      <w:numFmt w:val="bullet"/>
      <w:lvlText w:val="o"/>
      <w:lvlJc w:val="left"/>
      <w:pPr>
        <w:ind w:left="5760" w:hanging="360"/>
      </w:pPr>
      <w:rPr>
        <w:rFonts w:ascii="Courier New" w:hAnsi="Courier New" w:hint="default"/>
      </w:rPr>
    </w:lvl>
    <w:lvl w:ilvl="8" w:tplc="8ECCC6B0">
      <w:start w:val="1"/>
      <w:numFmt w:val="bullet"/>
      <w:lvlText w:val=""/>
      <w:lvlJc w:val="left"/>
      <w:pPr>
        <w:ind w:left="6480" w:hanging="360"/>
      </w:pPr>
      <w:rPr>
        <w:rFonts w:ascii="Wingdings" w:hAnsi="Wingdings" w:hint="default"/>
      </w:rPr>
    </w:lvl>
  </w:abstractNum>
  <w:abstractNum w:abstractNumId="25" w15:restartNumberingAfterBreak="0">
    <w:nsid w:val="3FCF2D1E"/>
    <w:multiLevelType w:val="hybridMultilevel"/>
    <w:tmpl w:val="9298653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6B79E53"/>
    <w:multiLevelType w:val="hybridMultilevel"/>
    <w:tmpl w:val="FFFFFFFF"/>
    <w:lvl w:ilvl="0" w:tplc="019ABC8A">
      <w:start w:val="1"/>
      <w:numFmt w:val="bullet"/>
      <w:lvlText w:val="-"/>
      <w:lvlJc w:val="left"/>
      <w:pPr>
        <w:ind w:left="720" w:hanging="360"/>
      </w:pPr>
      <w:rPr>
        <w:rFonts w:ascii="&quot;&quot;Times New Roman&quot;,serif&quot;,serif" w:hAnsi="&quot;&quot;Times New Roman&quot;,serif&quot;,serif" w:hint="default"/>
      </w:rPr>
    </w:lvl>
    <w:lvl w:ilvl="1" w:tplc="95CE651A">
      <w:start w:val="1"/>
      <w:numFmt w:val="bullet"/>
      <w:lvlText w:val="o"/>
      <w:lvlJc w:val="left"/>
      <w:pPr>
        <w:ind w:left="1440" w:hanging="360"/>
      </w:pPr>
      <w:rPr>
        <w:rFonts w:ascii="Courier New" w:hAnsi="Courier New" w:hint="default"/>
      </w:rPr>
    </w:lvl>
    <w:lvl w:ilvl="2" w:tplc="1D98D93C">
      <w:start w:val="1"/>
      <w:numFmt w:val="bullet"/>
      <w:lvlText w:val=""/>
      <w:lvlJc w:val="left"/>
      <w:pPr>
        <w:ind w:left="2160" w:hanging="360"/>
      </w:pPr>
      <w:rPr>
        <w:rFonts w:ascii="Wingdings" w:hAnsi="Wingdings" w:hint="default"/>
      </w:rPr>
    </w:lvl>
    <w:lvl w:ilvl="3" w:tplc="7DACA886">
      <w:start w:val="1"/>
      <w:numFmt w:val="bullet"/>
      <w:lvlText w:val=""/>
      <w:lvlJc w:val="left"/>
      <w:pPr>
        <w:ind w:left="2880" w:hanging="360"/>
      </w:pPr>
      <w:rPr>
        <w:rFonts w:ascii="Symbol" w:hAnsi="Symbol" w:hint="default"/>
      </w:rPr>
    </w:lvl>
    <w:lvl w:ilvl="4" w:tplc="D1C4C986">
      <w:start w:val="1"/>
      <w:numFmt w:val="bullet"/>
      <w:lvlText w:val="o"/>
      <w:lvlJc w:val="left"/>
      <w:pPr>
        <w:ind w:left="3600" w:hanging="360"/>
      </w:pPr>
      <w:rPr>
        <w:rFonts w:ascii="Courier New" w:hAnsi="Courier New" w:hint="default"/>
      </w:rPr>
    </w:lvl>
    <w:lvl w:ilvl="5" w:tplc="8DC0983C">
      <w:start w:val="1"/>
      <w:numFmt w:val="bullet"/>
      <w:lvlText w:val=""/>
      <w:lvlJc w:val="left"/>
      <w:pPr>
        <w:ind w:left="4320" w:hanging="360"/>
      </w:pPr>
      <w:rPr>
        <w:rFonts w:ascii="Wingdings" w:hAnsi="Wingdings" w:hint="default"/>
      </w:rPr>
    </w:lvl>
    <w:lvl w:ilvl="6" w:tplc="9E5239AC">
      <w:start w:val="1"/>
      <w:numFmt w:val="bullet"/>
      <w:lvlText w:val=""/>
      <w:lvlJc w:val="left"/>
      <w:pPr>
        <w:ind w:left="5040" w:hanging="360"/>
      </w:pPr>
      <w:rPr>
        <w:rFonts w:ascii="Symbol" w:hAnsi="Symbol" w:hint="default"/>
      </w:rPr>
    </w:lvl>
    <w:lvl w:ilvl="7" w:tplc="ED5ED40A">
      <w:start w:val="1"/>
      <w:numFmt w:val="bullet"/>
      <w:lvlText w:val="o"/>
      <w:lvlJc w:val="left"/>
      <w:pPr>
        <w:ind w:left="5760" w:hanging="360"/>
      </w:pPr>
      <w:rPr>
        <w:rFonts w:ascii="Courier New" w:hAnsi="Courier New" w:hint="default"/>
      </w:rPr>
    </w:lvl>
    <w:lvl w:ilvl="8" w:tplc="1436CA58">
      <w:start w:val="1"/>
      <w:numFmt w:val="bullet"/>
      <w:lvlText w:val=""/>
      <w:lvlJc w:val="left"/>
      <w:pPr>
        <w:ind w:left="6480" w:hanging="360"/>
      </w:pPr>
      <w:rPr>
        <w:rFonts w:ascii="Wingdings" w:hAnsi="Wingdings" w:hint="default"/>
      </w:rPr>
    </w:lvl>
  </w:abstractNum>
  <w:abstractNum w:abstractNumId="27" w15:restartNumberingAfterBreak="0">
    <w:nsid w:val="4A097225"/>
    <w:multiLevelType w:val="hybridMultilevel"/>
    <w:tmpl w:val="2E62AA44"/>
    <w:lvl w:ilvl="0" w:tplc="0426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B867CB0"/>
    <w:multiLevelType w:val="hybridMultilevel"/>
    <w:tmpl w:val="FFFFFFFF"/>
    <w:lvl w:ilvl="0" w:tplc="3DC40172">
      <w:start w:val="1"/>
      <w:numFmt w:val="bullet"/>
      <w:lvlText w:val="-"/>
      <w:lvlJc w:val="left"/>
      <w:pPr>
        <w:ind w:left="720" w:hanging="360"/>
      </w:pPr>
      <w:rPr>
        <w:rFonts w:ascii="Calibri" w:hAnsi="Calibri" w:hint="default"/>
      </w:rPr>
    </w:lvl>
    <w:lvl w:ilvl="1" w:tplc="AF96A37C">
      <w:start w:val="1"/>
      <w:numFmt w:val="bullet"/>
      <w:lvlText w:val="o"/>
      <w:lvlJc w:val="left"/>
      <w:pPr>
        <w:ind w:left="1440" w:hanging="360"/>
      </w:pPr>
      <w:rPr>
        <w:rFonts w:ascii="Courier New" w:hAnsi="Courier New" w:hint="default"/>
      </w:rPr>
    </w:lvl>
    <w:lvl w:ilvl="2" w:tplc="531493A4">
      <w:start w:val="1"/>
      <w:numFmt w:val="bullet"/>
      <w:lvlText w:val=""/>
      <w:lvlJc w:val="left"/>
      <w:pPr>
        <w:ind w:left="2160" w:hanging="360"/>
      </w:pPr>
      <w:rPr>
        <w:rFonts w:ascii="Wingdings" w:hAnsi="Wingdings" w:hint="default"/>
      </w:rPr>
    </w:lvl>
    <w:lvl w:ilvl="3" w:tplc="7FFECC16">
      <w:start w:val="1"/>
      <w:numFmt w:val="bullet"/>
      <w:lvlText w:val=""/>
      <w:lvlJc w:val="left"/>
      <w:pPr>
        <w:ind w:left="2880" w:hanging="360"/>
      </w:pPr>
      <w:rPr>
        <w:rFonts w:ascii="Symbol" w:hAnsi="Symbol" w:hint="default"/>
      </w:rPr>
    </w:lvl>
    <w:lvl w:ilvl="4" w:tplc="F18ADD62">
      <w:start w:val="1"/>
      <w:numFmt w:val="bullet"/>
      <w:lvlText w:val="o"/>
      <w:lvlJc w:val="left"/>
      <w:pPr>
        <w:ind w:left="3600" w:hanging="360"/>
      </w:pPr>
      <w:rPr>
        <w:rFonts w:ascii="Courier New" w:hAnsi="Courier New" w:hint="default"/>
      </w:rPr>
    </w:lvl>
    <w:lvl w:ilvl="5" w:tplc="A7725BAA">
      <w:start w:val="1"/>
      <w:numFmt w:val="bullet"/>
      <w:lvlText w:val=""/>
      <w:lvlJc w:val="left"/>
      <w:pPr>
        <w:ind w:left="4320" w:hanging="360"/>
      </w:pPr>
      <w:rPr>
        <w:rFonts w:ascii="Wingdings" w:hAnsi="Wingdings" w:hint="default"/>
      </w:rPr>
    </w:lvl>
    <w:lvl w:ilvl="6" w:tplc="EB5CB6C6">
      <w:start w:val="1"/>
      <w:numFmt w:val="bullet"/>
      <w:lvlText w:val=""/>
      <w:lvlJc w:val="left"/>
      <w:pPr>
        <w:ind w:left="5040" w:hanging="360"/>
      </w:pPr>
      <w:rPr>
        <w:rFonts w:ascii="Symbol" w:hAnsi="Symbol" w:hint="default"/>
      </w:rPr>
    </w:lvl>
    <w:lvl w:ilvl="7" w:tplc="4B76631E">
      <w:start w:val="1"/>
      <w:numFmt w:val="bullet"/>
      <w:lvlText w:val="o"/>
      <w:lvlJc w:val="left"/>
      <w:pPr>
        <w:ind w:left="5760" w:hanging="360"/>
      </w:pPr>
      <w:rPr>
        <w:rFonts w:ascii="Courier New" w:hAnsi="Courier New" w:hint="default"/>
      </w:rPr>
    </w:lvl>
    <w:lvl w:ilvl="8" w:tplc="F572C870">
      <w:start w:val="1"/>
      <w:numFmt w:val="bullet"/>
      <w:lvlText w:val=""/>
      <w:lvlJc w:val="left"/>
      <w:pPr>
        <w:ind w:left="6480" w:hanging="360"/>
      </w:pPr>
      <w:rPr>
        <w:rFonts w:ascii="Wingdings" w:hAnsi="Wingdings" w:hint="default"/>
      </w:rPr>
    </w:lvl>
  </w:abstractNum>
  <w:abstractNum w:abstractNumId="29" w15:restartNumberingAfterBreak="0">
    <w:nsid w:val="4ECA11A8"/>
    <w:multiLevelType w:val="multilevel"/>
    <w:tmpl w:val="FFFFFFFF"/>
    <w:lvl w:ilvl="0">
      <w:start w:val="1"/>
      <w:numFmt w:val="decimal"/>
      <w:lvlText w:val="%1."/>
      <w:lvlJc w:val="left"/>
      <w:pPr>
        <w:ind w:left="720" w:hanging="360"/>
      </w:pPr>
    </w:lvl>
    <w:lvl w:ilvl="1">
      <w:start w:val="1"/>
      <w:numFmt w:val="bullet"/>
      <w:lvlText w:val=""/>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0" w15:restartNumberingAfterBreak="0">
    <w:nsid w:val="4F9C502D"/>
    <w:multiLevelType w:val="hybridMultilevel"/>
    <w:tmpl w:val="03262D0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2B236FC"/>
    <w:multiLevelType w:val="hybridMultilevel"/>
    <w:tmpl w:val="83A27042"/>
    <w:lvl w:ilvl="0" w:tplc="66100782">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3D1359"/>
    <w:multiLevelType w:val="hybridMultilevel"/>
    <w:tmpl w:val="FFFFFFFF"/>
    <w:lvl w:ilvl="0" w:tplc="784A1522">
      <w:start w:val="1"/>
      <w:numFmt w:val="bullet"/>
      <w:lvlText w:val=""/>
      <w:lvlJc w:val="left"/>
      <w:pPr>
        <w:ind w:left="720" w:hanging="360"/>
      </w:pPr>
      <w:rPr>
        <w:rFonts w:ascii="Symbol" w:hAnsi="Symbol" w:hint="default"/>
      </w:rPr>
    </w:lvl>
    <w:lvl w:ilvl="1" w:tplc="2F786096">
      <w:start w:val="1"/>
      <w:numFmt w:val="bullet"/>
      <w:lvlText w:val="o"/>
      <w:lvlJc w:val="left"/>
      <w:pPr>
        <w:ind w:left="1440" w:hanging="360"/>
      </w:pPr>
      <w:rPr>
        <w:rFonts w:ascii="Courier New" w:hAnsi="Courier New" w:hint="default"/>
      </w:rPr>
    </w:lvl>
    <w:lvl w:ilvl="2" w:tplc="F4AE7804">
      <w:start w:val="1"/>
      <w:numFmt w:val="bullet"/>
      <w:lvlText w:val=""/>
      <w:lvlJc w:val="left"/>
      <w:pPr>
        <w:ind w:left="2160" w:hanging="360"/>
      </w:pPr>
      <w:rPr>
        <w:rFonts w:ascii="Wingdings" w:hAnsi="Wingdings" w:hint="default"/>
      </w:rPr>
    </w:lvl>
    <w:lvl w:ilvl="3" w:tplc="98C674F0">
      <w:start w:val="1"/>
      <w:numFmt w:val="bullet"/>
      <w:lvlText w:val=""/>
      <w:lvlJc w:val="left"/>
      <w:pPr>
        <w:ind w:left="2880" w:hanging="360"/>
      </w:pPr>
      <w:rPr>
        <w:rFonts w:ascii="Symbol" w:hAnsi="Symbol" w:hint="default"/>
      </w:rPr>
    </w:lvl>
    <w:lvl w:ilvl="4" w:tplc="B4D00460">
      <w:start w:val="1"/>
      <w:numFmt w:val="bullet"/>
      <w:lvlText w:val="o"/>
      <w:lvlJc w:val="left"/>
      <w:pPr>
        <w:ind w:left="3600" w:hanging="360"/>
      </w:pPr>
      <w:rPr>
        <w:rFonts w:ascii="Courier New" w:hAnsi="Courier New" w:hint="default"/>
      </w:rPr>
    </w:lvl>
    <w:lvl w:ilvl="5" w:tplc="5984AF3C">
      <w:start w:val="1"/>
      <w:numFmt w:val="bullet"/>
      <w:lvlText w:val=""/>
      <w:lvlJc w:val="left"/>
      <w:pPr>
        <w:ind w:left="4320" w:hanging="360"/>
      </w:pPr>
      <w:rPr>
        <w:rFonts w:ascii="Wingdings" w:hAnsi="Wingdings" w:hint="default"/>
      </w:rPr>
    </w:lvl>
    <w:lvl w:ilvl="6" w:tplc="10C83062">
      <w:start w:val="1"/>
      <w:numFmt w:val="bullet"/>
      <w:lvlText w:val=""/>
      <w:lvlJc w:val="left"/>
      <w:pPr>
        <w:ind w:left="5040" w:hanging="360"/>
      </w:pPr>
      <w:rPr>
        <w:rFonts w:ascii="Symbol" w:hAnsi="Symbol" w:hint="default"/>
      </w:rPr>
    </w:lvl>
    <w:lvl w:ilvl="7" w:tplc="ACACF5F2">
      <w:start w:val="1"/>
      <w:numFmt w:val="bullet"/>
      <w:lvlText w:val="o"/>
      <w:lvlJc w:val="left"/>
      <w:pPr>
        <w:ind w:left="5760" w:hanging="360"/>
      </w:pPr>
      <w:rPr>
        <w:rFonts w:ascii="Courier New" w:hAnsi="Courier New" w:hint="default"/>
      </w:rPr>
    </w:lvl>
    <w:lvl w:ilvl="8" w:tplc="D24EA984">
      <w:start w:val="1"/>
      <w:numFmt w:val="bullet"/>
      <w:lvlText w:val=""/>
      <w:lvlJc w:val="left"/>
      <w:pPr>
        <w:ind w:left="6480" w:hanging="360"/>
      </w:pPr>
      <w:rPr>
        <w:rFonts w:ascii="Wingdings" w:hAnsi="Wingdings" w:hint="default"/>
      </w:rPr>
    </w:lvl>
  </w:abstractNum>
  <w:abstractNum w:abstractNumId="33" w15:restartNumberingAfterBreak="0">
    <w:nsid w:val="543407BF"/>
    <w:multiLevelType w:val="hybridMultilevel"/>
    <w:tmpl w:val="E96449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73D7645"/>
    <w:multiLevelType w:val="hybridMultilevel"/>
    <w:tmpl w:val="FFFFFFFF"/>
    <w:lvl w:ilvl="0" w:tplc="B6346D12">
      <w:start w:val="1"/>
      <w:numFmt w:val="bullet"/>
      <w:lvlText w:val="·"/>
      <w:lvlJc w:val="left"/>
      <w:pPr>
        <w:ind w:left="720" w:hanging="360"/>
      </w:pPr>
      <w:rPr>
        <w:rFonts w:ascii="Symbol" w:hAnsi="Symbol" w:hint="default"/>
      </w:rPr>
    </w:lvl>
    <w:lvl w:ilvl="1" w:tplc="C8085884">
      <w:start w:val="1"/>
      <w:numFmt w:val="bullet"/>
      <w:lvlText w:val="o"/>
      <w:lvlJc w:val="left"/>
      <w:pPr>
        <w:ind w:left="1440" w:hanging="360"/>
      </w:pPr>
      <w:rPr>
        <w:rFonts w:ascii="Courier New" w:hAnsi="Courier New" w:hint="default"/>
      </w:rPr>
    </w:lvl>
    <w:lvl w:ilvl="2" w:tplc="3BFA2F78">
      <w:start w:val="1"/>
      <w:numFmt w:val="bullet"/>
      <w:lvlText w:val=""/>
      <w:lvlJc w:val="left"/>
      <w:pPr>
        <w:ind w:left="2160" w:hanging="360"/>
      </w:pPr>
      <w:rPr>
        <w:rFonts w:ascii="Wingdings" w:hAnsi="Wingdings" w:hint="default"/>
      </w:rPr>
    </w:lvl>
    <w:lvl w:ilvl="3" w:tplc="629EA3D0">
      <w:start w:val="1"/>
      <w:numFmt w:val="bullet"/>
      <w:lvlText w:val=""/>
      <w:lvlJc w:val="left"/>
      <w:pPr>
        <w:ind w:left="2880" w:hanging="360"/>
      </w:pPr>
      <w:rPr>
        <w:rFonts w:ascii="Symbol" w:hAnsi="Symbol" w:hint="default"/>
      </w:rPr>
    </w:lvl>
    <w:lvl w:ilvl="4" w:tplc="D7186A80">
      <w:start w:val="1"/>
      <w:numFmt w:val="bullet"/>
      <w:lvlText w:val="o"/>
      <w:lvlJc w:val="left"/>
      <w:pPr>
        <w:ind w:left="3600" w:hanging="360"/>
      </w:pPr>
      <w:rPr>
        <w:rFonts w:ascii="Courier New" w:hAnsi="Courier New" w:hint="default"/>
      </w:rPr>
    </w:lvl>
    <w:lvl w:ilvl="5" w:tplc="1994CD0E">
      <w:start w:val="1"/>
      <w:numFmt w:val="bullet"/>
      <w:lvlText w:val=""/>
      <w:lvlJc w:val="left"/>
      <w:pPr>
        <w:ind w:left="4320" w:hanging="360"/>
      </w:pPr>
      <w:rPr>
        <w:rFonts w:ascii="Wingdings" w:hAnsi="Wingdings" w:hint="default"/>
      </w:rPr>
    </w:lvl>
    <w:lvl w:ilvl="6" w:tplc="42E4B34E">
      <w:start w:val="1"/>
      <w:numFmt w:val="bullet"/>
      <w:lvlText w:val=""/>
      <w:lvlJc w:val="left"/>
      <w:pPr>
        <w:ind w:left="5040" w:hanging="360"/>
      </w:pPr>
      <w:rPr>
        <w:rFonts w:ascii="Symbol" w:hAnsi="Symbol" w:hint="default"/>
      </w:rPr>
    </w:lvl>
    <w:lvl w:ilvl="7" w:tplc="31E479CA">
      <w:start w:val="1"/>
      <w:numFmt w:val="bullet"/>
      <w:lvlText w:val="o"/>
      <w:lvlJc w:val="left"/>
      <w:pPr>
        <w:ind w:left="5760" w:hanging="360"/>
      </w:pPr>
      <w:rPr>
        <w:rFonts w:ascii="Courier New" w:hAnsi="Courier New" w:hint="default"/>
      </w:rPr>
    </w:lvl>
    <w:lvl w:ilvl="8" w:tplc="CF405BC2">
      <w:start w:val="1"/>
      <w:numFmt w:val="bullet"/>
      <w:lvlText w:val=""/>
      <w:lvlJc w:val="left"/>
      <w:pPr>
        <w:ind w:left="6480" w:hanging="360"/>
      </w:pPr>
      <w:rPr>
        <w:rFonts w:ascii="Wingdings" w:hAnsi="Wingdings" w:hint="default"/>
      </w:rPr>
    </w:lvl>
  </w:abstractNum>
  <w:abstractNum w:abstractNumId="35" w15:restartNumberingAfterBreak="0">
    <w:nsid w:val="5CD46CBE"/>
    <w:multiLevelType w:val="hybridMultilevel"/>
    <w:tmpl w:val="A538083C"/>
    <w:lvl w:ilvl="0" w:tplc="D458D7DC">
      <w:start w:val="1"/>
      <w:numFmt w:val="lowerLetter"/>
      <w:lvlText w:val="%1)"/>
      <w:lvlJc w:val="left"/>
      <w:pPr>
        <w:ind w:left="1069" w:hanging="360"/>
      </w:pPr>
      <w:rPr>
        <w:rFonts w:hint="default"/>
        <w:i/>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5DD77554"/>
    <w:multiLevelType w:val="hybridMultilevel"/>
    <w:tmpl w:val="FFFFFFFF"/>
    <w:lvl w:ilvl="0" w:tplc="8424EF6C">
      <w:start w:val="1"/>
      <w:numFmt w:val="bullet"/>
      <w:lvlText w:val=""/>
      <w:lvlJc w:val="left"/>
      <w:pPr>
        <w:ind w:left="720" w:hanging="360"/>
      </w:pPr>
      <w:rPr>
        <w:rFonts w:ascii="Wingdings" w:hAnsi="Wingdings" w:hint="default"/>
      </w:rPr>
    </w:lvl>
    <w:lvl w:ilvl="1" w:tplc="92A09D9A">
      <w:start w:val="1"/>
      <w:numFmt w:val="bullet"/>
      <w:lvlText w:val="o"/>
      <w:lvlJc w:val="left"/>
      <w:pPr>
        <w:ind w:left="1440" w:hanging="360"/>
      </w:pPr>
      <w:rPr>
        <w:rFonts w:ascii="Courier New" w:hAnsi="Courier New" w:hint="default"/>
      </w:rPr>
    </w:lvl>
    <w:lvl w:ilvl="2" w:tplc="99F61094">
      <w:start w:val="1"/>
      <w:numFmt w:val="bullet"/>
      <w:lvlText w:val=""/>
      <w:lvlJc w:val="left"/>
      <w:pPr>
        <w:ind w:left="2160" w:hanging="360"/>
      </w:pPr>
      <w:rPr>
        <w:rFonts w:ascii="Wingdings" w:hAnsi="Wingdings" w:hint="default"/>
      </w:rPr>
    </w:lvl>
    <w:lvl w:ilvl="3" w:tplc="835E2CF6">
      <w:start w:val="1"/>
      <w:numFmt w:val="bullet"/>
      <w:lvlText w:val=""/>
      <w:lvlJc w:val="left"/>
      <w:pPr>
        <w:ind w:left="2880" w:hanging="360"/>
      </w:pPr>
      <w:rPr>
        <w:rFonts w:ascii="Symbol" w:hAnsi="Symbol" w:hint="default"/>
      </w:rPr>
    </w:lvl>
    <w:lvl w:ilvl="4" w:tplc="3D9A8AC4">
      <w:start w:val="1"/>
      <w:numFmt w:val="bullet"/>
      <w:lvlText w:val="o"/>
      <w:lvlJc w:val="left"/>
      <w:pPr>
        <w:ind w:left="3600" w:hanging="360"/>
      </w:pPr>
      <w:rPr>
        <w:rFonts w:ascii="Courier New" w:hAnsi="Courier New" w:hint="default"/>
      </w:rPr>
    </w:lvl>
    <w:lvl w:ilvl="5" w:tplc="1382CB7C">
      <w:start w:val="1"/>
      <w:numFmt w:val="bullet"/>
      <w:lvlText w:val=""/>
      <w:lvlJc w:val="left"/>
      <w:pPr>
        <w:ind w:left="4320" w:hanging="360"/>
      </w:pPr>
      <w:rPr>
        <w:rFonts w:ascii="Wingdings" w:hAnsi="Wingdings" w:hint="default"/>
      </w:rPr>
    </w:lvl>
    <w:lvl w:ilvl="6" w:tplc="E19E2CB8">
      <w:start w:val="1"/>
      <w:numFmt w:val="bullet"/>
      <w:lvlText w:val=""/>
      <w:lvlJc w:val="left"/>
      <w:pPr>
        <w:ind w:left="5040" w:hanging="360"/>
      </w:pPr>
      <w:rPr>
        <w:rFonts w:ascii="Symbol" w:hAnsi="Symbol" w:hint="default"/>
      </w:rPr>
    </w:lvl>
    <w:lvl w:ilvl="7" w:tplc="0562F034">
      <w:start w:val="1"/>
      <w:numFmt w:val="bullet"/>
      <w:lvlText w:val="o"/>
      <w:lvlJc w:val="left"/>
      <w:pPr>
        <w:ind w:left="5760" w:hanging="360"/>
      </w:pPr>
      <w:rPr>
        <w:rFonts w:ascii="Courier New" w:hAnsi="Courier New" w:hint="default"/>
      </w:rPr>
    </w:lvl>
    <w:lvl w:ilvl="8" w:tplc="A8A8DBEE">
      <w:start w:val="1"/>
      <w:numFmt w:val="bullet"/>
      <w:lvlText w:val=""/>
      <w:lvlJc w:val="left"/>
      <w:pPr>
        <w:ind w:left="6480" w:hanging="360"/>
      </w:pPr>
      <w:rPr>
        <w:rFonts w:ascii="Wingdings" w:hAnsi="Wingdings" w:hint="default"/>
      </w:rPr>
    </w:lvl>
  </w:abstractNum>
  <w:abstractNum w:abstractNumId="37" w15:restartNumberingAfterBreak="0">
    <w:nsid w:val="6649547B"/>
    <w:multiLevelType w:val="hybridMultilevel"/>
    <w:tmpl w:val="438829A4"/>
    <w:lvl w:ilvl="0" w:tplc="819A878A">
      <w:start w:val="1"/>
      <w:numFmt w:val="bullet"/>
      <w:lvlText w:val="-"/>
      <w:lvlJc w:val="left"/>
      <w:pPr>
        <w:ind w:left="720" w:hanging="360"/>
      </w:pPr>
      <w:rPr>
        <w:rFonts w:ascii="Segoe UI" w:eastAsiaTheme="minorHAnsi" w:hAnsi="Segoe UI" w:cs="Segoe U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66FEB76D"/>
    <w:multiLevelType w:val="hybridMultilevel"/>
    <w:tmpl w:val="FFFFFFFF"/>
    <w:lvl w:ilvl="0" w:tplc="1382B83A">
      <w:start w:val="1"/>
      <w:numFmt w:val="decimal"/>
      <w:lvlText w:val="%1."/>
      <w:lvlJc w:val="left"/>
      <w:pPr>
        <w:ind w:left="720" w:hanging="360"/>
      </w:pPr>
    </w:lvl>
    <w:lvl w:ilvl="1" w:tplc="13421C7E">
      <w:start w:val="1"/>
      <w:numFmt w:val="lowerLetter"/>
      <w:lvlText w:val="%2."/>
      <w:lvlJc w:val="left"/>
      <w:pPr>
        <w:ind w:left="1440" w:hanging="360"/>
      </w:pPr>
    </w:lvl>
    <w:lvl w:ilvl="2" w:tplc="98EABD08">
      <w:start w:val="1"/>
      <w:numFmt w:val="lowerRoman"/>
      <w:lvlText w:val="%3."/>
      <w:lvlJc w:val="right"/>
      <w:pPr>
        <w:ind w:left="2160" w:hanging="180"/>
      </w:pPr>
    </w:lvl>
    <w:lvl w:ilvl="3" w:tplc="85E8A2F8">
      <w:start w:val="1"/>
      <w:numFmt w:val="decimal"/>
      <w:lvlText w:val="%4."/>
      <w:lvlJc w:val="left"/>
      <w:pPr>
        <w:ind w:left="2880" w:hanging="360"/>
      </w:pPr>
    </w:lvl>
    <w:lvl w:ilvl="4" w:tplc="8710EA0C">
      <w:start w:val="1"/>
      <w:numFmt w:val="lowerLetter"/>
      <w:lvlText w:val="%5."/>
      <w:lvlJc w:val="left"/>
      <w:pPr>
        <w:ind w:left="3600" w:hanging="360"/>
      </w:pPr>
    </w:lvl>
    <w:lvl w:ilvl="5" w:tplc="67047764">
      <w:start w:val="1"/>
      <w:numFmt w:val="lowerRoman"/>
      <w:lvlText w:val="%6."/>
      <w:lvlJc w:val="right"/>
      <w:pPr>
        <w:ind w:left="4320" w:hanging="180"/>
      </w:pPr>
    </w:lvl>
    <w:lvl w:ilvl="6" w:tplc="ABD81DB0">
      <w:start w:val="1"/>
      <w:numFmt w:val="decimal"/>
      <w:lvlText w:val="%7."/>
      <w:lvlJc w:val="left"/>
      <w:pPr>
        <w:ind w:left="5040" w:hanging="360"/>
      </w:pPr>
    </w:lvl>
    <w:lvl w:ilvl="7" w:tplc="3BBC1FE0">
      <w:start w:val="1"/>
      <w:numFmt w:val="lowerLetter"/>
      <w:lvlText w:val="%8."/>
      <w:lvlJc w:val="left"/>
      <w:pPr>
        <w:ind w:left="5760" w:hanging="360"/>
      </w:pPr>
    </w:lvl>
    <w:lvl w:ilvl="8" w:tplc="15584040">
      <w:start w:val="1"/>
      <w:numFmt w:val="lowerRoman"/>
      <w:lvlText w:val="%9."/>
      <w:lvlJc w:val="right"/>
      <w:pPr>
        <w:ind w:left="6480" w:hanging="180"/>
      </w:pPr>
    </w:lvl>
  </w:abstractNum>
  <w:abstractNum w:abstractNumId="39" w15:restartNumberingAfterBreak="0">
    <w:nsid w:val="68282018"/>
    <w:multiLevelType w:val="hybridMultilevel"/>
    <w:tmpl w:val="CE52AD24"/>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0" w15:restartNumberingAfterBreak="0">
    <w:nsid w:val="6B83A9B2"/>
    <w:multiLevelType w:val="hybridMultilevel"/>
    <w:tmpl w:val="FFFFFFFF"/>
    <w:lvl w:ilvl="0" w:tplc="C60E93B0">
      <w:start w:val="1"/>
      <w:numFmt w:val="decimal"/>
      <w:lvlText w:val="%1."/>
      <w:lvlJc w:val="left"/>
      <w:pPr>
        <w:ind w:left="720" w:hanging="360"/>
      </w:pPr>
    </w:lvl>
    <w:lvl w:ilvl="1" w:tplc="59E88D06">
      <w:start w:val="1"/>
      <w:numFmt w:val="lowerLetter"/>
      <w:lvlText w:val="%2."/>
      <w:lvlJc w:val="left"/>
      <w:pPr>
        <w:ind w:left="1440" w:hanging="360"/>
      </w:pPr>
    </w:lvl>
    <w:lvl w:ilvl="2" w:tplc="C41E4A28">
      <w:start w:val="1"/>
      <w:numFmt w:val="lowerRoman"/>
      <w:lvlText w:val="%3."/>
      <w:lvlJc w:val="right"/>
      <w:pPr>
        <w:ind w:left="2160" w:hanging="180"/>
      </w:pPr>
    </w:lvl>
    <w:lvl w:ilvl="3" w:tplc="452C3290">
      <w:start w:val="1"/>
      <w:numFmt w:val="decimal"/>
      <w:lvlText w:val="%4."/>
      <w:lvlJc w:val="left"/>
      <w:pPr>
        <w:ind w:left="2880" w:hanging="360"/>
      </w:pPr>
    </w:lvl>
    <w:lvl w:ilvl="4" w:tplc="22E40C0C">
      <w:start w:val="1"/>
      <w:numFmt w:val="lowerLetter"/>
      <w:lvlText w:val="%5."/>
      <w:lvlJc w:val="left"/>
      <w:pPr>
        <w:ind w:left="3600" w:hanging="360"/>
      </w:pPr>
    </w:lvl>
    <w:lvl w:ilvl="5" w:tplc="6F1AA67A">
      <w:start w:val="1"/>
      <w:numFmt w:val="lowerRoman"/>
      <w:lvlText w:val="%6."/>
      <w:lvlJc w:val="right"/>
      <w:pPr>
        <w:ind w:left="4320" w:hanging="180"/>
      </w:pPr>
    </w:lvl>
    <w:lvl w:ilvl="6" w:tplc="218C57F4">
      <w:start w:val="1"/>
      <w:numFmt w:val="decimal"/>
      <w:lvlText w:val="%7."/>
      <w:lvlJc w:val="left"/>
      <w:pPr>
        <w:ind w:left="5040" w:hanging="360"/>
      </w:pPr>
    </w:lvl>
    <w:lvl w:ilvl="7" w:tplc="B5FC2D2E">
      <w:start w:val="1"/>
      <w:numFmt w:val="lowerLetter"/>
      <w:lvlText w:val="%8."/>
      <w:lvlJc w:val="left"/>
      <w:pPr>
        <w:ind w:left="5760" w:hanging="360"/>
      </w:pPr>
    </w:lvl>
    <w:lvl w:ilvl="8" w:tplc="874A97EA">
      <w:start w:val="1"/>
      <w:numFmt w:val="lowerRoman"/>
      <w:lvlText w:val="%9."/>
      <w:lvlJc w:val="right"/>
      <w:pPr>
        <w:ind w:left="6480" w:hanging="180"/>
      </w:pPr>
    </w:lvl>
  </w:abstractNum>
  <w:abstractNum w:abstractNumId="41" w15:restartNumberingAfterBreak="0">
    <w:nsid w:val="6CDB0D8D"/>
    <w:multiLevelType w:val="hybridMultilevel"/>
    <w:tmpl w:val="FFFFFFFF"/>
    <w:lvl w:ilvl="0" w:tplc="9FB444B0">
      <w:start w:val="1"/>
      <w:numFmt w:val="bullet"/>
      <w:lvlText w:val=""/>
      <w:lvlJc w:val="left"/>
      <w:pPr>
        <w:ind w:left="720" w:hanging="360"/>
      </w:pPr>
      <w:rPr>
        <w:rFonts w:ascii="Symbol" w:hAnsi="Symbol" w:hint="default"/>
      </w:rPr>
    </w:lvl>
    <w:lvl w:ilvl="1" w:tplc="8514E36A">
      <w:start w:val="1"/>
      <w:numFmt w:val="bullet"/>
      <w:lvlText w:val="o"/>
      <w:lvlJc w:val="left"/>
      <w:pPr>
        <w:ind w:left="1440" w:hanging="360"/>
      </w:pPr>
      <w:rPr>
        <w:rFonts w:ascii="Courier New" w:hAnsi="Courier New" w:hint="default"/>
      </w:rPr>
    </w:lvl>
    <w:lvl w:ilvl="2" w:tplc="FCC6DB90">
      <w:start w:val="1"/>
      <w:numFmt w:val="bullet"/>
      <w:lvlText w:val=""/>
      <w:lvlJc w:val="left"/>
      <w:pPr>
        <w:ind w:left="2160" w:hanging="360"/>
      </w:pPr>
      <w:rPr>
        <w:rFonts w:ascii="Wingdings" w:hAnsi="Wingdings" w:hint="default"/>
      </w:rPr>
    </w:lvl>
    <w:lvl w:ilvl="3" w:tplc="E4C4DE36">
      <w:start w:val="1"/>
      <w:numFmt w:val="bullet"/>
      <w:lvlText w:val=""/>
      <w:lvlJc w:val="left"/>
      <w:pPr>
        <w:ind w:left="2880" w:hanging="360"/>
      </w:pPr>
      <w:rPr>
        <w:rFonts w:ascii="Symbol" w:hAnsi="Symbol" w:hint="default"/>
      </w:rPr>
    </w:lvl>
    <w:lvl w:ilvl="4" w:tplc="5F7C92CE">
      <w:start w:val="1"/>
      <w:numFmt w:val="bullet"/>
      <w:lvlText w:val="o"/>
      <w:lvlJc w:val="left"/>
      <w:pPr>
        <w:ind w:left="3600" w:hanging="360"/>
      </w:pPr>
      <w:rPr>
        <w:rFonts w:ascii="Courier New" w:hAnsi="Courier New" w:hint="default"/>
      </w:rPr>
    </w:lvl>
    <w:lvl w:ilvl="5" w:tplc="53D0CBE6">
      <w:start w:val="1"/>
      <w:numFmt w:val="bullet"/>
      <w:lvlText w:val=""/>
      <w:lvlJc w:val="left"/>
      <w:pPr>
        <w:ind w:left="4320" w:hanging="360"/>
      </w:pPr>
      <w:rPr>
        <w:rFonts w:ascii="Wingdings" w:hAnsi="Wingdings" w:hint="default"/>
      </w:rPr>
    </w:lvl>
    <w:lvl w:ilvl="6" w:tplc="EE3AAC5E">
      <w:start w:val="1"/>
      <w:numFmt w:val="bullet"/>
      <w:lvlText w:val=""/>
      <w:lvlJc w:val="left"/>
      <w:pPr>
        <w:ind w:left="5040" w:hanging="360"/>
      </w:pPr>
      <w:rPr>
        <w:rFonts w:ascii="Symbol" w:hAnsi="Symbol" w:hint="default"/>
      </w:rPr>
    </w:lvl>
    <w:lvl w:ilvl="7" w:tplc="1AA45628">
      <w:start w:val="1"/>
      <w:numFmt w:val="bullet"/>
      <w:lvlText w:val="o"/>
      <w:lvlJc w:val="left"/>
      <w:pPr>
        <w:ind w:left="5760" w:hanging="360"/>
      </w:pPr>
      <w:rPr>
        <w:rFonts w:ascii="Courier New" w:hAnsi="Courier New" w:hint="default"/>
      </w:rPr>
    </w:lvl>
    <w:lvl w:ilvl="8" w:tplc="CC6E334C">
      <w:start w:val="1"/>
      <w:numFmt w:val="bullet"/>
      <w:lvlText w:val=""/>
      <w:lvlJc w:val="left"/>
      <w:pPr>
        <w:ind w:left="6480" w:hanging="360"/>
      </w:pPr>
      <w:rPr>
        <w:rFonts w:ascii="Wingdings" w:hAnsi="Wingdings" w:hint="default"/>
      </w:rPr>
    </w:lvl>
  </w:abstractNum>
  <w:abstractNum w:abstractNumId="42" w15:restartNumberingAfterBreak="0">
    <w:nsid w:val="6DF774BA"/>
    <w:multiLevelType w:val="hybridMultilevel"/>
    <w:tmpl w:val="9954CFE2"/>
    <w:lvl w:ilvl="0" w:tplc="1382B83A">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B2048D3"/>
    <w:multiLevelType w:val="hybridMultilevel"/>
    <w:tmpl w:val="FFFFFFFF"/>
    <w:lvl w:ilvl="0" w:tplc="EFF8AAC2">
      <w:start w:val="1"/>
      <w:numFmt w:val="bullet"/>
      <w:lvlText w:val=""/>
      <w:lvlJc w:val="left"/>
      <w:pPr>
        <w:ind w:left="720" w:hanging="360"/>
      </w:pPr>
      <w:rPr>
        <w:rFonts w:ascii="Symbol" w:hAnsi="Symbol" w:hint="default"/>
      </w:rPr>
    </w:lvl>
    <w:lvl w:ilvl="1" w:tplc="53D44546">
      <w:start w:val="1"/>
      <w:numFmt w:val="bullet"/>
      <w:lvlText w:val="o"/>
      <w:lvlJc w:val="left"/>
      <w:pPr>
        <w:ind w:left="1440" w:hanging="360"/>
      </w:pPr>
      <w:rPr>
        <w:rFonts w:ascii="Courier New" w:hAnsi="Courier New" w:hint="default"/>
      </w:rPr>
    </w:lvl>
    <w:lvl w:ilvl="2" w:tplc="08CCE7B0">
      <w:start w:val="1"/>
      <w:numFmt w:val="bullet"/>
      <w:lvlText w:val=""/>
      <w:lvlJc w:val="left"/>
      <w:pPr>
        <w:ind w:left="2160" w:hanging="360"/>
      </w:pPr>
      <w:rPr>
        <w:rFonts w:ascii="Wingdings" w:hAnsi="Wingdings" w:hint="default"/>
      </w:rPr>
    </w:lvl>
    <w:lvl w:ilvl="3" w:tplc="E9F61EDE">
      <w:start w:val="1"/>
      <w:numFmt w:val="bullet"/>
      <w:lvlText w:val=""/>
      <w:lvlJc w:val="left"/>
      <w:pPr>
        <w:ind w:left="2880" w:hanging="360"/>
      </w:pPr>
      <w:rPr>
        <w:rFonts w:ascii="Symbol" w:hAnsi="Symbol" w:hint="default"/>
      </w:rPr>
    </w:lvl>
    <w:lvl w:ilvl="4" w:tplc="95E025A6">
      <w:start w:val="1"/>
      <w:numFmt w:val="bullet"/>
      <w:lvlText w:val="o"/>
      <w:lvlJc w:val="left"/>
      <w:pPr>
        <w:ind w:left="3600" w:hanging="360"/>
      </w:pPr>
      <w:rPr>
        <w:rFonts w:ascii="Courier New" w:hAnsi="Courier New" w:hint="default"/>
      </w:rPr>
    </w:lvl>
    <w:lvl w:ilvl="5" w:tplc="D1B49156">
      <w:start w:val="1"/>
      <w:numFmt w:val="bullet"/>
      <w:lvlText w:val=""/>
      <w:lvlJc w:val="left"/>
      <w:pPr>
        <w:ind w:left="4320" w:hanging="360"/>
      </w:pPr>
      <w:rPr>
        <w:rFonts w:ascii="Wingdings" w:hAnsi="Wingdings" w:hint="default"/>
      </w:rPr>
    </w:lvl>
    <w:lvl w:ilvl="6" w:tplc="14822E5E">
      <w:start w:val="1"/>
      <w:numFmt w:val="bullet"/>
      <w:lvlText w:val=""/>
      <w:lvlJc w:val="left"/>
      <w:pPr>
        <w:ind w:left="5040" w:hanging="360"/>
      </w:pPr>
      <w:rPr>
        <w:rFonts w:ascii="Symbol" w:hAnsi="Symbol" w:hint="default"/>
      </w:rPr>
    </w:lvl>
    <w:lvl w:ilvl="7" w:tplc="3B86DCE2">
      <w:start w:val="1"/>
      <w:numFmt w:val="bullet"/>
      <w:lvlText w:val="o"/>
      <w:lvlJc w:val="left"/>
      <w:pPr>
        <w:ind w:left="5760" w:hanging="360"/>
      </w:pPr>
      <w:rPr>
        <w:rFonts w:ascii="Courier New" w:hAnsi="Courier New" w:hint="default"/>
      </w:rPr>
    </w:lvl>
    <w:lvl w:ilvl="8" w:tplc="640C9744">
      <w:start w:val="1"/>
      <w:numFmt w:val="bullet"/>
      <w:lvlText w:val=""/>
      <w:lvlJc w:val="left"/>
      <w:pPr>
        <w:ind w:left="6480" w:hanging="360"/>
      </w:pPr>
      <w:rPr>
        <w:rFonts w:ascii="Wingdings" w:hAnsi="Wingdings" w:hint="default"/>
      </w:rPr>
    </w:lvl>
  </w:abstractNum>
  <w:abstractNum w:abstractNumId="44" w15:restartNumberingAfterBreak="0">
    <w:nsid w:val="7F12FD96"/>
    <w:multiLevelType w:val="hybridMultilevel"/>
    <w:tmpl w:val="FFFFFFFF"/>
    <w:lvl w:ilvl="0" w:tplc="6972D592">
      <w:start w:val="1"/>
      <w:numFmt w:val="bullet"/>
      <w:lvlText w:val="·"/>
      <w:lvlJc w:val="left"/>
      <w:pPr>
        <w:ind w:left="720" w:hanging="360"/>
      </w:pPr>
      <w:rPr>
        <w:rFonts w:ascii="Symbol" w:hAnsi="Symbol" w:hint="default"/>
      </w:rPr>
    </w:lvl>
    <w:lvl w:ilvl="1" w:tplc="DA7AF58E">
      <w:start w:val="1"/>
      <w:numFmt w:val="bullet"/>
      <w:lvlText w:val="o"/>
      <w:lvlJc w:val="left"/>
      <w:pPr>
        <w:ind w:left="1440" w:hanging="360"/>
      </w:pPr>
      <w:rPr>
        <w:rFonts w:ascii="Courier New" w:hAnsi="Courier New" w:hint="default"/>
      </w:rPr>
    </w:lvl>
    <w:lvl w:ilvl="2" w:tplc="0B0C0AE8">
      <w:start w:val="1"/>
      <w:numFmt w:val="bullet"/>
      <w:lvlText w:val=""/>
      <w:lvlJc w:val="left"/>
      <w:pPr>
        <w:ind w:left="2160" w:hanging="360"/>
      </w:pPr>
      <w:rPr>
        <w:rFonts w:ascii="Wingdings" w:hAnsi="Wingdings" w:hint="default"/>
      </w:rPr>
    </w:lvl>
    <w:lvl w:ilvl="3" w:tplc="CFAE0112">
      <w:start w:val="1"/>
      <w:numFmt w:val="bullet"/>
      <w:lvlText w:val=""/>
      <w:lvlJc w:val="left"/>
      <w:pPr>
        <w:ind w:left="2880" w:hanging="360"/>
      </w:pPr>
      <w:rPr>
        <w:rFonts w:ascii="Symbol" w:hAnsi="Symbol" w:hint="default"/>
      </w:rPr>
    </w:lvl>
    <w:lvl w:ilvl="4" w:tplc="61BA9724">
      <w:start w:val="1"/>
      <w:numFmt w:val="bullet"/>
      <w:lvlText w:val="o"/>
      <w:lvlJc w:val="left"/>
      <w:pPr>
        <w:ind w:left="3600" w:hanging="360"/>
      </w:pPr>
      <w:rPr>
        <w:rFonts w:ascii="Courier New" w:hAnsi="Courier New" w:hint="default"/>
      </w:rPr>
    </w:lvl>
    <w:lvl w:ilvl="5" w:tplc="E8D23FB8">
      <w:start w:val="1"/>
      <w:numFmt w:val="bullet"/>
      <w:lvlText w:val=""/>
      <w:lvlJc w:val="left"/>
      <w:pPr>
        <w:ind w:left="4320" w:hanging="360"/>
      </w:pPr>
      <w:rPr>
        <w:rFonts w:ascii="Wingdings" w:hAnsi="Wingdings" w:hint="default"/>
      </w:rPr>
    </w:lvl>
    <w:lvl w:ilvl="6" w:tplc="03D09126">
      <w:start w:val="1"/>
      <w:numFmt w:val="bullet"/>
      <w:lvlText w:val=""/>
      <w:lvlJc w:val="left"/>
      <w:pPr>
        <w:ind w:left="5040" w:hanging="360"/>
      </w:pPr>
      <w:rPr>
        <w:rFonts w:ascii="Symbol" w:hAnsi="Symbol" w:hint="default"/>
      </w:rPr>
    </w:lvl>
    <w:lvl w:ilvl="7" w:tplc="D1B6E402">
      <w:start w:val="1"/>
      <w:numFmt w:val="bullet"/>
      <w:lvlText w:val="o"/>
      <w:lvlJc w:val="left"/>
      <w:pPr>
        <w:ind w:left="5760" w:hanging="360"/>
      </w:pPr>
      <w:rPr>
        <w:rFonts w:ascii="Courier New" w:hAnsi="Courier New" w:hint="default"/>
      </w:rPr>
    </w:lvl>
    <w:lvl w:ilvl="8" w:tplc="B82CEF50">
      <w:start w:val="1"/>
      <w:numFmt w:val="bullet"/>
      <w:lvlText w:val=""/>
      <w:lvlJc w:val="left"/>
      <w:pPr>
        <w:ind w:left="6480" w:hanging="360"/>
      </w:pPr>
      <w:rPr>
        <w:rFonts w:ascii="Wingdings" w:hAnsi="Wingdings" w:hint="default"/>
      </w:rPr>
    </w:lvl>
  </w:abstractNum>
  <w:num w:numId="1" w16cid:durableId="131557997">
    <w:abstractNumId w:val="38"/>
  </w:num>
  <w:num w:numId="2" w16cid:durableId="1113331184">
    <w:abstractNumId w:val="22"/>
  </w:num>
  <w:num w:numId="3" w16cid:durableId="1549565659">
    <w:abstractNumId w:val="12"/>
  </w:num>
  <w:num w:numId="4" w16cid:durableId="1001008258">
    <w:abstractNumId w:val="37"/>
  </w:num>
  <w:num w:numId="5" w16cid:durableId="522478854">
    <w:abstractNumId w:val="42"/>
  </w:num>
  <w:num w:numId="6" w16cid:durableId="763111525">
    <w:abstractNumId w:val="26"/>
  </w:num>
  <w:num w:numId="7" w16cid:durableId="959384510">
    <w:abstractNumId w:val="27"/>
  </w:num>
  <w:num w:numId="8" w16cid:durableId="298077567">
    <w:abstractNumId w:val="40"/>
  </w:num>
  <w:num w:numId="9" w16cid:durableId="1755777663">
    <w:abstractNumId w:val="8"/>
  </w:num>
  <w:num w:numId="10" w16cid:durableId="708604368">
    <w:abstractNumId w:val="6"/>
  </w:num>
  <w:num w:numId="11" w16cid:durableId="852105746">
    <w:abstractNumId w:val="9"/>
  </w:num>
  <w:num w:numId="12" w16cid:durableId="1405028758">
    <w:abstractNumId w:val="29"/>
  </w:num>
  <w:num w:numId="13" w16cid:durableId="2031030551">
    <w:abstractNumId w:val="41"/>
  </w:num>
  <w:num w:numId="14" w16cid:durableId="1662930456">
    <w:abstractNumId w:val="11"/>
  </w:num>
  <w:num w:numId="15" w16cid:durableId="832335053">
    <w:abstractNumId w:val="43"/>
  </w:num>
  <w:num w:numId="16" w16cid:durableId="1821075133">
    <w:abstractNumId w:val="19"/>
  </w:num>
  <w:num w:numId="17" w16cid:durableId="556597483">
    <w:abstractNumId w:val="33"/>
  </w:num>
  <w:num w:numId="18" w16cid:durableId="2045400192">
    <w:abstractNumId w:val="2"/>
  </w:num>
  <w:num w:numId="19" w16cid:durableId="1017541288">
    <w:abstractNumId w:val="35"/>
  </w:num>
  <w:num w:numId="20" w16cid:durableId="718474015">
    <w:abstractNumId w:val="28"/>
  </w:num>
  <w:num w:numId="21" w16cid:durableId="1397123365">
    <w:abstractNumId w:val="18"/>
  </w:num>
  <w:num w:numId="22" w16cid:durableId="1086339006">
    <w:abstractNumId w:val="15"/>
  </w:num>
  <w:num w:numId="23" w16cid:durableId="1868055156">
    <w:abstractNumId w:val="31"/>
  </w:num>
  <w:num w:numId="24" w16cid:durableId="1697077461">
    <w:abstractNumId w:val="21"/>
  </w:num>
  <w:num w:numId="25" w16cid:durableId="677080932">
    <w:abstractNumId w:val="16"/>
  </w:num>
  <w:num w:numId="26" w16cid:durableId="595943657">
    <w:abstractNumId w:val="14"/>
  </w:num>
  <w:num w:numId="27" w16cid:durableId="549415751">
    <w:abstractNumId w:val="7"/>
  </w:num>
  <w:num w:numId="28" w16cid:durableId="838278010">
    <w:abstractNumId w:val="30"/>
  </w:num>
  <w:num w:numId="29" w16cid:durableId="994262841">
    <w:abstractNumId w:val="23"/>
  </w:num>
  <w:num w:numId="30" w16cid:durableId="680814182">
    <w:abstractNumId w:val="0"/>
  </w:num>
  <w:num w:numId="31" w16cid:durableId="459349939">
    <w:abstractNumId w:val="13"/>
  </w:num>
  <w:num w:numId="32" w16cid:durableId="1418163217">
    <w:abstractNumId w:val="17"/>
  </w:num>
  <w:num w:numId="33" w16cid:durableId="2009675484">
    <w:abstractNumId w:val="1"/>
  </w:num>
  <w:num w:numId="34" w16cid:durableId="169221107">
    <w:abstractNumId w:val="34"/>
  </w:num>
  <w:num w:numId="35" w16cid:durableId="2081752699">
    <w:abstractNumId w:val="44"/>
  </w:num>
  <w:num w:numId="36" w16cid:durableId="1374576109">
    <w:abstractNumId w:val="24"/>
  </w:num>
  <w:num w:numId="37" w16cid:durableId="169374332">
    <w:abstractNumId w:val="4"/>
  </w:num>
  <w:num w:numId="38" w16cid:durableId="1030884729">
    <w:abstractNumId w:val="32"/>
  </w:num>
  <w:num w:numId="39" w16cid:durableId="470485456">
    <w:abstractNumId w:val="10"/>
  </w:num>
  <w:num w:numId="40" w16cid:durableId="630671441">
    <w:abstractNumId w:val="5"/>
  </w:num>
  <w:num w:numId="41" w16cid:durableId="2128351449">
    <w:abstractNumId w:val="36"/>
  </w:num>
  <w:num w:numId="42" w16cid:durableId="2077315886">
    <w:abstractNumId w:val="20"/>
  </w:num>
  <w:num w:numId="43" w16cid:durableId="1109468025">
    <w:abstractNumId w:val="25"/>
  </w:num>
  <w:num w:numId="44" w16cid:durableId="449014595">
    <w:abstractNumId w:val="3"/>
  </w:num>
  <w:num w:numId="45" w16cid:durableId="1764184829">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A1"/>
    <w:rsid w:val="00000149"/>
    <w:rsid w:val="000007C1"/>
    <w:rsid w:val="00000993"/>
    <w:rsid w:val="000016C5"/>
    <w:rsid w:val="00001960"/>
    <w:rsid w:val="00002443"/>
    <w:rsid w:val="000029FE"/>
    <w:rsid w:val="00002AEE"/>
    <w:rsid w:val="00002D46"/>
    <w:rsid w:val="00002E67"/>
    <w:rsid w:val="000035AD"/>
    <w:rsid w:val="00003B3C"/>
    <w:rsid w:val="00003E81"/>
    <w:rsid w:val="00003F1B"/>
    <w:rsid w:val="00003F8C"/>
    <w:rsid w:val="00004519"/>
    <w:rsid w:val="0000457F"/>
    <w:rsid w:val="0000525C"/>
    <w:rsid w:val="0000573A"/>
    <w:rsid w:val="00005AED"/>
    <w:rsid w:val="00006ECE"/>
    <w:rsid w:val="00007530"/>
    <w:rsid w:val="00007EE0"/>
    <w:rsid w:val="000103EC"/>
    <w:rsid w:val="00010783"/>
    <w:rsid w:val="00011511"/>
    <w:rsid w:val="0001160C"/>
    <w:rsid w:val="0001164A"/>
    <w:rsid w:val="00012105"/>
    <w:rsid w:val="00012236"/>
    <w:rsid w:val="00012981"/>
    <w:rsid w:val="00012FC0"/>
    <w:rsid w:val="000130DE"/>
    <w:rsid w:val="000134B0"/>
    <w:rsid w:val="00013D8C"/>
    <w:rsid w:val="00014342"/>
    <w:rsid w:val="00015109"/>
    <w:rsid w:val="0001531B"/>
    <w:rsid w:val="0001538A"/>
    <w:rsid w:val="0001543D"/>
    <w:rsid w:val="00015580"/>
    <w:rsid w:val="00015BDF"/>
    <w:rsid w:val="00015C13"/>
    <w:rsid w:val="00015E95"/>
    <w:rsid w:val="000161AF"/>
    <w:rsid w:val="0001676F"/>
    <w:rsid w:val="00016892"/>
    <w:rsid w:val="0001698B"/>
    <w:rsid w:val="00016CA3"/>
    <w:rsid w:val="00016FB9"/>
    <w:rsid w:val="00016FC9"/>
    <w:rsid w:val="00017398"/>
    <w:rsid w:val="00017503"/>
    <w:rsid w:val="00017506"/>
    <w:rsid w:val="000176F7"/>
    <w:rsid w:val="000177D3"/>
    <w:rsid w:val="000177E6"/>
    <w:rsid w:val="0001790E"/>
    <w:rsid w:val="00017E6B"/>
    <w:rsid w:val="0002026E"/>
    <w:rsid w:val="000204E7"/>
    <w:rsid w:val="00020C46"/>
    <w:rsid w:val="00020EA7"/>
    <w:rsid w:val="00020F22"/>
    <w:rsid w:val="0002153A"/>
    <w:rsid w:val="00021886"/>
    <w:rsid w:val="00021D2F"/>
    <w:rsid w:val="00022883"/>
    <w:rsid w:val="00023DBF"/>
    <w:rsid w:val="0002418C"/>
    <w:rsid w:val="0002443E"/>
    <w:rsid w:val="000247C4"/>
    <w:rsid w:val="00024A25"/>
    <w:rsid w:val="00024D77"/>
    <w:rsid w:val="00025025"/>
    <w:rsid w:val="0002556A"/>
    <w:rsid w:val="00025591"/>
    <w:rsid w:val="00025786"/>
    <w:rsid w:val="00025C79"/>
    <w:rsid w:val="00026635"/>
    <w:rsid w:val="000266C4"/>
    <w:rsid w:val="000268F1"/>
    <w:rsid w:val="00026B52"/>
    <w:rsid w:val="00026BAB"/>
    <w:rsid w:val="000271F4"/>
    <w:rsid w:val="00027709"/>
    <w:rsid w:val="000279E7"/>
    <w:rsid w:val="00027E0D"/>
    <w:rsid w:val="00027E63"/>
    <w:rsid w:val="00027E79"/>
    <w:rsid w:val="00030706"/>
    <w:rsid w:val="00030BC3"/>
    <w:rsid w:val="000316A6"/>
    <w:rsid w:val="00031B96"/>
    <w:rsid w:val="00032363"/>
    <w:rsid w:val="00032ADE"/>
    <w:rsid w:val="000337CD"/>
    <w:rsid w:val="00034A3B"/>
    <w:rsid w:val="00034FF3"/>
    <w:rsid w:val="000350F2"/>
    <w:rsid w:val="0003526D"/>
    <w:rsid w:val="0003539E"/>
    <w:rsid w:val="00035717"/>
    <w:rsid w:val="00035AA1"/>
    <w:rsid w:val="00035FE5"/>
    <w:rsid w:val="000365B9"/>
    <w:rsid w:val="00036CDA"/>
    <w:rsid w:val="000401CC"/>
    <w:rsid w:val="00040209"/>
    <w:rsid w:val="00040582"/>
    <w:rsid w:val="00040E73"/>
    <w:rsid w:val="0004138F"/>
    <w:rsid w:val="000414C7"/>
    <w:rsid w:val="00041889"/>
    <w:rsid w:val="00042704"/>
    <w:rsid w:val="00042AE3"/>
    <w:rsid w:val="0004311D"/>
    <w:rsid w:val="00044300"/>
    <w:rsid w:val="00044846"/>
    <w:rsid w:val="00044DDF"/>
    <w:rsid w:val="00044DFE"/>
    <w:rsid w:val="00045671"/>
    <w:rsid w:val="00045C6B"/>
    <w:rsid w:val="0004645E"/>
    <w:rsid w:val="00047444"/>
    <w:rsid w:val="0004776E"/>
    <w:rsid w:val="00047991"/>
    <w:rsid w:val="00047CA4"/>
    <w:rsid w:val="00047CA8"/>
    <w:rsid w:val="00047DED"/>
    <w:rsid w:val="00050D5C"/>
    <w:rsid w:val="000513FC"/>
    <w:rsid w:val="00051A56"/>
    <w:rsid w:val="00051AD0"/>
    <w:rsid w:val="00051D5E"/>
    <w:rsid w:val="00051D97"/>
    <w:rsid w:val="000524F3"/>
    <w:rsid w:val="00053023"/>
    <w:rsid w:val="000538C4"/>
    <w:rsid w:val="00053B79"/>
    <w:rsid w:val="00053BF5"/>
    <w:rsid w:val="00054A27"/>
    <w:rsid w:val="00054BA2"/>
    <w:rsid w:val="0005508B"/>
    <w:rsid w:val="00055654"/>
    <w:rsid w:val="00055F52"/>
    <w:rsid w:val="000562BE"/>
    <w:rsid w:val="00056B03"/>
    <w:rsid w:val="00056C3E"/>
    <w:rsid w:val="000578D2"/>
    <w:rsid w:val="00057A70"/>
    <w:rsid w:val="00057AF1"/>
    <w:rsid w:val="00057CAA"/>
    <w:rsid w:val="00057F6C"/>
    <w:rsid w:val="00060CE3"/>
    <w:rsid w:val="00061246"/>
    <w:rsid w:val="000612D3"/>
    <w:rsid w:val="00061780"/>
    <w:rsid w:val="00061E8D"/>
    <w:rsid w:val="00062517"/>
    <w:rsid w:val="000625F9"/>
    <w:rsid w:val="00062C0B"/>
    <w:rsid w:val="000632AE"/>
    <w:rsid w:val="000636BD"/>
    <w:rsid w:val="00064018"/>
    <w:rsid w:val="00064126"/>
    <w:rsid w:val="00064170"/>
    <w:rsid w:val="00064F9A"/>
    <w:rsid w:val="0006524B"/>
    <w:rsid w:val="000653CC"/>
    <w:rsid w:val="00065569"/>
    <w:rsid w:val="000660C0"/>
    <w:rsid w:val="000663BF"/>
    <w:rsid w:val="000666F2"/>
    <w:rsid w:val="00066C56"/>
    <w:rsid w:val="000674C1"/>
    <w:rsid w:val="0006752C"/>
    <w:rsid w:val="0006757B"/>
    <w:rsid w:val="000679F9"/>
    <w:rsid w:val="00070DDF"/>
    <w:rsid w:val="00070E70"/>
    <w:rsid w:val="00070F08"/>
    <w:rsid w:val="00071B1F"/>
    <w:rsid w:val="00071B66"/>
    <w:rsid w:val="00071E1D"/>
    <w:rsid w:val="00071EE4"/>
    <w:rsid w:val="0007251B"/>
    <w:rsid w:val="00072F2F"/>
    <w:rsid w:val="000730B1"/>
    <w:rsid w:val="00073122"/>
    <w:rsid w:val="000735F5"/>
    <w:rsid w:val="0007374B"/>
    <w:rsid w:val="000743B6"/>
    <w:rsid w:val="000747DE"/>
    <w:rsid w:val="0007482C"/>
    <w:rsid w:val="00074B20"/>
    <w:rsid w:val="000751FD"/>
    <w:rsid w:val="000756F4"/>
    <w:rsid w:val="0007585D"/>
    <w:rsid w:val="00076001"/>
    <w:rsid w:val="00076621"/>
    <w:rsid w:val="00076AB0"/>
    <w:rsid w:val="00076CD4"/>
    <w:rsid w:val="00077051"/>
    <w:rsid w:val="0007766F"/>
    <w:rsid w:val="00077D95"/>
    <w:rsid w:val="000807B3"/>
    <w:rsid w:val="0008087A"/>
    <w:rsid w:val="00080BB3"/>
    <w:rsid w:val="00081BA5"/>
    <w:rsid w:val="00081DF5"/>
    <w:rsid w:val="00081E62"/>
    <w:rsid w:val="00081F7F"/>
    <w:rsid w:val="000824E0"/>
    <w:rsid w:val="000825E2"/>
    <w:rsid w:val="00082630"/>
    <w:rsid w:val="000826A9"/>
    <w:rsid w:val="0008280B"/>
    <w:rsid w:val="00082A83"/>
    <w:rsid w:val="00082B08"/>
    <w:rsid w:val="0008379A"/>
    <w:rsid w:val="0008475C"/>
    <w:rsid w:val="000852BD"/>
    <w:rsid w:val="000853A8"/>
    <w:rsid w:val="00085A1D"/>
    <w:rsid w:val="000862F6"/>
    <w:rsid w:val="000864BC"/>
    <w:rsid w:val="000864E3"/>
    <w:rsid w:val="0008664A"/>
    <w:rsid w:val="00086BCC"/>
    <w:rsid w:val="00086D63"/>
    <w:rsid w:val="00086DCA"/>
    <w:rsid w:val="0008744A"/>
    <w:rsid w:val="000875E4"/>
    <w:rsid w:val="00087668"/>
    <w:rsid w:val="00087BD8"/>
    <w:rsid w:val="000901E4"/>
    <w:rsid w:val="00090801"/>
    <w:rsid w:val="000908EA"/>
    <w:rsid w:val="00090A26"/>
    <w:rsid w:val="00091158"/>
    <w:rsid w:val="00091DED"/>
    <w:rsid w:val="00091FAC"/>
    <w:rsid w:val="00092394"/>
    <w:rsid w:val="00092714"/>
    <w:rsid w:val="000927F3"/>
    <w:rsid w:val="000928A2"/>
    <w:rsid w:val="00092B9E"/>
    <w:rsid w:val="00092DE6"/>
    <w:rsid w:val="00092E16"/>
    <w:rsid w:val="00093125"/>
    <w:rsid w:val="000935C0"/>
    <w:rsid w:val="00093835"/>
    <w:rsid w:val="00093C6B"/>
    <w:rsid w:val="00094510"/>
    <w:rsid w:val="000945E1"/>
    <w:rsid w:val="00094A5C"/>
    <w:rsid w:val="00094BAD"/>
    <w:rsid w:val="00094F23"/>
    <w:rsid w:val="000956E1"/>
    <w:rsid w:val="000957E0"/>
    <w:rsid w:val="00095B61"/>
    <w:rsid w:val="000960CB"/>
    <w:rsid w:val="00096C5E"/>
    <w:rsid w:val="000A0013"/>
    <w:rsid w:val="000A0323"/>
    <w:rsid w:val="000A0AEF"/>
    <w:rsid w:val="000A1552"/>
    <w:rsid w:val="000A16D9"/>
    <w:rsid w:val="000A1E51"/>
    <w:rsid w:val="000A2032"/>
    <w:rsid w:val="000A2082"/>
    <w:rsid w:val="000A2283"/>
    <w:rsid w:val="000A2483"/>
    <w:rsid w:val="000A28F9"/>
    <w:rsid w:val="000A2AA1"/>
    <w:rsid w:val="000A2BB4"/>
    <w:rsid w:val="000A2CDA"/>
    <w:rsid w:val="000A2D36"/>
    <w:rsid w:val="000A3591"/>
    <w:rsid w:val="000A3E33"/>
    <w:rsid w:val="000A406E"/>
    <w:rsid w:val="000A41FA"/>
    <w:rsid w:val="000A438F"/>
    <w:rsid w:val="000A4DA5"/>
    <w:rsid w:val="000A50C4"/>
    <w:rsid w:val="000A52FC"/>
    <w:rsid w:val="000A563E"/>
    <w:rsid w:val="000A5AF7"/>
    <w:rsid w:val="000A5FC7"/>
    <w:rsid w:val="000A6B39"/>
    <w:rsid w:val="000A6DF4"/>
    <w:rsid w:val="000A6E9C"/>
    <w:rsid w:val="000A7B1B"/>
    <w:rsid w:val="000B0F13"/>
    <w:rsid w:val="000B10E2"/>
    <w:rsid w:val="000B141D"/>
    <w:rsid w:val="000B175F"/>
    <w:rsid w:val="000B1794"/>
    <w:rsid w:val="000B1994"/>
    <w:rsid w:val="000B1FE7"/>
    <w:rsid w:val="000B2035"/>
    <w:rsid w:val="000B22DA"/>
    <w:rsid w:val="000B22F5"/>
    <w:rsid w:val="000B275C"/>
    <w:rsid w:val="000B3A57"/>
    <w:rsid w:val="000B3C2C"/>
    <w:rsid w:val="000B4C17"/>
    <w:rsid w:val="000B4ED8"/>
    <w:rsid w:val="000B4EDD"/>
    <w:rsid w:val="000B4F29"/>
    <w:rsid w:val="000B4F5B"/>
    <w:rsid w:val="000B5CAD"/>
    <w:rsid w:val="000B6029"/>
    <w:rsid w:val="000B7020"/>
    <w:rsid w:val="000B753B"/>
    <w:rsid w:val="000B7C6D"/>
    <w:rsid w:val="000B7EC9"/>
    <w:rsid w:val="000B7F34"/>
    <w:rsid w:val="000C00D3"/>
    <w:rsid w:val="000C0435"/>
    <w:rsid w:val="000C05EF"/>
    <w:rsid w:val="000C0660"/>
    <w:rsid w:val="000C0E4B"/>
    <w:rsid w:val="000C14E9"/>
    <w:rsid w:val="000C156A"/>
    <w:rsid w:val="000C1DC5"/>
    <w:rsid w:val="000C2640"/>
    <w:rsid w:val="000C30FE"/>
    <w:rsid w:val="000C326F"/>
    <w:rsid w:val="000C35B3"/>
    <w:rsid w:val="000C3829"/>
    <w:rsid w:val="000C39EF"/>
    <w:rsid w:val="000C3E83"/>
    <w:rsid w:val="000C461A"/>
    <w:rsid w:val="000C4631"/>
    <w:rsid w:val="000C468C"/>
    <w:rsid w:val="000C4D6A"/>
    <w:rsid w:val="000C53E7"/>
    <w:rsid w:val="000C5796"/>
    <w:rsid w:val="000C5959"/>
    <w:rsid w:val="000C64DF"/>
    <w:rsid w:val="000C7045"/>
    <w:rsid w:val="000C7223"/>
    <w:rsid w:val="000C79C9"/>
    <w:rsid w:val="000C7D75"/>
    <w:rsid w:val="000D01B8"/>
    <w:rsid w:val="000D02A9"/>
    <w:rsid w:val="000D0E82"/>
    <w:rsid w:val="000D14FA"/>
    <w:rsid w:val="000D197B"/>
    <w:rsid w:val="000D238D"/>
    <w:rsid w:val="000D2AA2"/>
    <w:rsid w:val="000D2FAE"/>
    <w:rsid w:val="000D3BA3"/>
    <w:rsid w:val="000D3D3C"/>
    <w:rsid w:val="000D42AA"/>
    <w:rsid w:val="000D446C"/>
    <w:rsid w:val="000D4878"/>
    <w:rsid w:val="000D5681"/>
    <w:rsid w:val="000D5946"/>
    <w:rsid w:val="000D59A7"/>
    <w:rsid w:val="000D5B0F"/>
    <w:rsid w:val="000D74D6"/>
    <w:rsid w:val="000E06FF"/>
    <w:rsid w:val="000E0831"/>
    <w:rsid w:val="000E0F3A"/>
    <w:rsid w:val="000E10D1"/>
    <w:rsid w:val="000E157E"/>
    <w:rsid w:val="000E1F99"/>
    <w:rsid w:val="000E22A2"/>
    <w:rsid w:val="000E2719"/>
    <w:rsid w:val="000E2B85"/>
    <w:rsid w:val="000E31E6"/>
    <w:rsid w:val="000E3273"/>
    <w:rsid w:val="000E39BD"/>
    <w:rsid w:val="000E3A1B"/>
    <w:rsid w:val="000E4488"/>
    <w:rsid w:val="000E45CD"/>
    <w:rsid w:val="000E4BC3"/>
    <w:rsid w:val="000E4EFA"/>
    <w:rsid w:val="000E56D4"/>
    <w:rsid w:val="000E5E50"/>
    <w:rsid w:val="000E60CA"/>
    <w:rsid w:val="000E65CA"/>
    <w:rsid w:val="000E6809"/>
    <w:rsid w:val="000E68D2"/>
    <w:rsid w:val="000E6E40"/>
    <w:rsid w:val="000E6F94"/>
    <w:rsid w:val="000E7059"/>
    <w:rsid w:val="000E708E"/>
    <w:rsid w:val="000E799F"/>
    <w:rsid w:val="000E7EC0"/>
    <w:rsid w:val="000F086E"/>
    <w:rsid w:val="000F1048"/>
    <w:rsid w:val="000F2249"/>
    <w:rsid w:val="000F23AF"/>
    <w:rsid w:val="000F305D"/>
    <w:rsid w:val="000F30EA"/>
    <w:rsid w:val="000F3243"/>
    <w:rsid w:val="000F32FE"/>
    <w:rsid w:val="000F34D5"/>
    <w:rsid w:val="000F3A7B"/>
    <w:rsid w:val="000F3FDD"/>
    <w:rsid w:val="000F40C8"/>
    <w:rsid w:val="000F41E1"/>
    <w:rsid w:val="000F45F3"/>
    <w:rsid w:val="000F4B09"/>
    <w:rsid w:val="000F5303"/>
    <w:rsid w:val="000F5613"/>
    <w:rsid w:val="000F59EF"/>
    <w:rsid w:val="000F5BA4"/>
    <w:rsid w:val="000F60CF"/>
    <w:rsid w:val="000F7145"/>
    <w:rsid w:val="000F72B2"/>
    <w:rsid w:val="000F74AB"/>
    <w:rsid w:val="00100A6A"/>
    <w:rsid w:val="00100EF5"/>
    <w:rsid w:val="001012FF"/>
    <w:rsid w:val="0010147A"/>
    <w:rsid w:val="00101971"/>
    <w:rsid w:val="00101CF1"/>
    <w:rsid w:val="00101E80"/>
    <w:rsid w:val="0010237B"/>
    <w:rsid w:val="00102D91"/>
    <w:rsid w:val="00103042"/>
    <w:rsid w:val="001031AD"/>
    <w:rsid w:val="001032C1"/>
    <w:rsid w:val="00103431"/>
    <w:rsid w:val="001037C0"/>
    <w:rsid w:val="0010430E"/>
    <w:rsid w:val="00104C36"/>
    <w:rsid w:val="001050C2"/>
    <w:rsid w:val="00105340"/>
    <w:rsid w:val="0010549D"/>
    <w:rsid w:val="001055A1"/>
    <w:rsid w:val="001056B0"/>
    <w:rsid w:val="001056C3"/>
    <w:rsid w:val="00105A57"/>
    <w:rsid w:val="00105B3E"/>
    <w:rsid w:val="00105F27"/>
    <w:rsid w:val="00106017"/>
    <w:rsid w:val="001064AC"/>
    <w:rsid w:val="00106DCF"/>
    <w:rsid w:val="0010722E"/>
    <w:rsid w:val="001072E3"/>
    <w:rsid w:val="00107A48"/>
    <w:rsid w:val="00107F8A"/>
    <w:rsid w:val="00107F8C"/>
    <w:rsid w:val="0010F8C6"/>
    <w:rsid w:val="001101C3"/>
    <w:rsid w:val="001106BD"/>
    <w:rsid w:val="001107CA"/>
    <w:rsid w:val="00110D88"/>
    <w:rsid w:val="00111236"/>
    <w:rsid w:val="0011146F"/>
    <w:rsid w:val="0011152D"/>
    <w:rsid w:val="001116CE"/>
    <w:rsid w:val="00111E7A"/>
    <w:rsid w:val="0011207D"/>
    <w:rsid w:val="00112D8F"/>
    <w:rsid w:val="00112DA0"/>
    <w:rsid w:val="001131B8"/>
    <w:rsid w:val="001134E7"/>
    <w:rsid w:val="001135E5"/>
    <w:rsid w:val="0011374F"/>
    <w:rsid w:val="00113998"/>
    <w:rsid w:val="00113CD4"/>
    <w:rsid w:val="00113FAC"/>
    <w:rsid w:val="001147D9"/>
    <w:rsid w:val="001148B2"/>
    <w:rsid w:val="00114DC7"/>
    <w:rsid w:val="00114F53"/>
    <w:rsid w:val="001158A7"/>
    <w:rsid w:val="00115C61"/>
    <w:rsid w:val="00115F6A"/>
    <w:rsid w:val="00115F7A"/>
    <w:rsid w:val="0011621D"/>
    <w:rsid w:val="001175B7"/>
    <w:rsid w:val="001178EA"/>
    <w:rsid w:val="001203E9"/>
    <w:rsid w:val="0012047D"/>
    <w:rsid w:val="00120647"/>
    <w:rsid w:val="0012080E"/>
    <w:rsid w:val="00120AAC"/>
    <w:rsid w:val="00121100"/>
    <w:rsid w:val="00121252"/>
    <w:rsid w:val="00121312"/>
    <w:rsid w:val="0012161E"/>
    <w:rsid w:val="0012198F"/>
    <w:rsid w:val="00121BC6"/>
    <w:rsid w:val="00122BB0"/>
    <w:rsid w:val="00122EEB"/>
    <w:rsid w:val="00122F07"/>
    <w:rsid w:val="001232AF"/>
    <w:rsid w:val="00123529"/>
    <w:rsid w:val="00123B82"/>
    <w:rsid w:val="00123EE8"/>
    <w:rsid w:val="00123F42"/>
    <w:rsid w:val="00124144"/>
    <w:rsid w:val="00124358"/>
    <w:rsid w:val="001243D2"/>
    <w:rsid w:val="00124704"/>
    <w:rsid w:val="0012499A"/>
    <w:rsid w:val="00125254"/>
    <w:rsid w:val="00125264"/>
    <w:rsid w:val="00125E68"/>
    <w:rsid w:val="001262E9"/>
    <w:rsid w:val="0012692A"/>
    <w:rsid w:val="001276AF"/>
    <w:rsid w:val="0012770C"/>
    <w:rsid w:val="00127B2F"/>
    <w:rsid w:val="001304C0"/>
    <w:rsid w:val="001308AE"/>
    <w:rsid w:val="0013099C"/>
    <w:rsid w:val="0013178A"/>
    <w:rsid w:val="00131D5B"/>
    <w:rsid w:val="00132BD4"/>
    <w:rsid w:val="00133065"/>
    <w:rsid w:val="00133199"/>
    <w:rsid w:val="001336EB"/>
    <w:rsid w:val="001337D1"/>
    <w:rsid w:val="001347FD"/>
    <w:rsid w:val="0013506C"/>
    <w:rsid w:val="001352E4"/>
    <w:rsid w:val="00135334"/>
    <w:rsid w:val="00135853"/>
    <w:rsid w:val="00135874"/>
    <w:rsid w:val="001359A7"/>
    <w:rsid w:val="0013645B"/>
    <w:rsid w:val="00136884"/>
    <w:rsid w:val="00137006"/>
    <w:rsid w:val="001373B4"/>
    <w:rsid w:val="00137E5F"/>
    <w:rsid w:val="00137EE7"/>
    <w:rsid w:val="0014023F"/>
    <w:rsid w:val="001404A5"/>
    <w:rsid w:val="001409B8"/>
    <w:rsid w:val="00140F18"/>
    <w:rsid w:val="00141360"/>
    <w:rsid w:val="0014201D"/>
    <w:rsid w:val="00142502"/>
    <w:rsid w:val="00142CD6"/>
    <w:rsid w:val="0014381B"/>
    <w:rsid w:val="00143B42"/>
    <w:rsid w:val="00143DFF"/>
    <w:rsid w:val="0014418E"/>
    <w:rsid w:val="001444A1"/>
    <w:rsid w:val="00144591"/>
    <w:rsid w:val="00144A4A"/>
    <w:rsid w:val="00145091"/>
    <w:rsid w:val="0014581D"/>
    <w:rsid w:val="00145D75"/>
    <w:rsid w:val="00146392"/>
    <w:rsid w:val="00146477"/>
    <w:rsid w:val="0014658D"/>
    <w:rsid w:val="0014668E"/>
    <w:rsid w:val="0014740B"/>
    <w:rsid w:val="00147411"/>
    <w:rsid w:val="00147558"/>
    <w:rsid w:val="00147C6B"/>
    <w:rsid w:val="001501B4"/>
    <w:rsid w:val="0015020A"/>
    <w:rsid w:val="00150631"/>
    <w:rsid w:val="00150665"/>
    <w:rsid w:val="00150FB0"/>
    <w:rsid w:val="00151059"/>
    <w:rsid w:val="00152032"/>
    <w:rsid w:val="0015221B"/>
    <w:rsid w:val="001522AA"/>
    <w:rsid w:val="0015232A"/>
    <w:rsid w:val="001529AC"/>
    <w:rsid w:val="001529B4"/>
    <w:rsid w:val="001529CE"/>
    <w:rsid w:val="00152A9F"/>
    <w:rsid w:val="0015339A"/>
    <w:rsid w:val="00153489"/>
    <w:rsid w:val="00153D4B"/>
    <w:rsid w:val="00154288"/>
    <w:rsid w:val="0015496A"/>
    <w:rsid w:val="00154BAB"/>
    <w:rsid w:val="00154BB9"/>
    <w:rsid w:val="00155588"/>
    <w:rsid w:val="00156577"/>
    <w:rsid w:val="0015664F"/>
    <w:rsid w:val="0015697D"/>
    <w:rsid w:val="00157DD1"/>
    <w:rsid w:val="00157E85"/>
    <w:rsid w:val="0016030F"/>
    <w:rsid w:val="00160414"/>
    <w:rsid w:val="001607B1"/>
    <w:rsid w:val="001611A3"/>
    <w:rsid w:val="001614FE"/>
    <w:rsid w:val="001618AD"/>
    <w:rsid w:val="00161B47"/>
    <w:rsid w:val="00162B4F"/>
    <w:rsid w:val="00162E69"/>
    <w:rsid w:val="00163345"/>
    <w:rsid w:val="00163496"/>
    <w:rsid w:val="001636BA"/>
    <w:rsid w:val="00164A9B"/>
    <w:rsid w:val="001655A9"/>
    <w:rsid w:val="00165A30"/>
    <w:rsid w:val="00165F2F"/>
    <w:rsid w:val="00166279"/>
    <w:rsid w:val="00166994"/>
    <w:rsid w:val="00166AC0"/>
    <w:rsid w:val="00166E53"/>
    <w:rsid w:val="001673C3"/>
    <w:rsid w:val="00167E87"/>
    <w:rsid w:val="001706D4"/>
    <w:rsid w:val="00170746"/>
    <w:rsid w:val="00170C79"/>
    <w:rsid w:val="00170F01"/>
    <w:rsid w:val="00170F66"/>
    <w:rsid w:val="0017188D"/>
    <w:rsid w:val="001720D5"/>
    <w:rsid w:val="00172356"/>
    <w:rsid w:val="001727F9"/>
    <w:rsid w:val="00173190"/>
    <w:rsid w:val="00173429"/>
    <w:rsid w:val="001734C0"/>
    <w:rsid w:val="00175849"/>
    <w:rsid w:val="00175874"/>
    <w:rsid w:val="00175946"/>
    <w:rsid w:val="00175CB6"/>
    <w:rsid w:val="00175F71"/>
    <w:rsid w:val="0017647A"/>
    <w:rsid w:val="0017749F"/>
    <w:rsid w:val="00177A6A"/>
    <w:rsid w:val="001804FE"/>
    <w:rsid w:val="00180792"/>
    <w:rsid w:val="0018108D"/>
    <w:rsid w:val="00181104"/>
    <w:rsid w:val="00181285"/>
    <w:rsid w:val="00181560"/>
    <w:rsid w:val="00181661"/>
    <w:rsid w:val="00181707"/>
    <w:rsid w:val="00182A7C"/>
    <w:rsid w:val="0018314C"/>
    <w:rsid w:val="001836C4"/>
    <w:rsid w:val="00183DF2"/>
    <w:rsid w:val="00183FC4"/>
    <w:rsid w:val="00184336"/>
    <w:rsid w:val="0018446B"/>
    <w:rsid w:val="001848F7"/>
    <w:rsid w:val="00184EF3"/>
    <w:rsid w:val="00185451"/>
    <w:rsid w:val="00185D02"/>
    <w:rsid w:val="0018608B"/>
    <w:rsid w:val="001868CE"/>
    <w:rsid w:val="00186B01"/>
    <w:rsid w:val="00187030"/>
    <w:rsid w:val="001874D1"/>
    <w:rsid w:val="0018770E"/>
    <w:rsid w:val="00187A55"/>
    <w:rsid w:val="00187E31"/>
    <w:rsid w:val="00187FCD"/>
    <w:rsid w:val="001901F5"/>
    <w:rsid w:val="0019042A"/>
    <w:rsid w:val="001906D8"/>
    <w:rsid w:val="00190A0D"/>
    <w:rsid w:val="00190B88"/>
    <w:rsid w:val="001914D5"/>
    <w:rsid w:val="00191EF9"/>
    <w:rsid w:val="00192C4A"/>
    <w:rsid w:val="00192D0E"/>
    <w:rsid w:val="001930FD"/>
    <w:rsid w:val="0019373A"/>
    <w:rsid w:val="00193BCA"/>
    <w:rsid w:val="001945EF"/>
    <w:rsid w:val="0019472C"/>
    <w:rsid w:val="0019506B"/>
    <w:rsid w:val="00195D54"/>
    <w:rsid w:val="001963C9"/>
    <w:rsid w:val="00197276"/>
    <w:rsid w:val="001974CB"/>
    <w:rsid w:val="00197926"/>
    <w:rsid w:val="00197C3B"/>
    <w:rsid w:val="00197FCA"/>
    <w:rsid w:val="001A05AD"/>
    <w:rsid w:val="001A0DE4"/>
    <w:rsid w:val="001A1440"/>
    <w:rsid w:val="001A16A9"/>
    <w:rsid w:val="001A1BAA"/>
    <w:rsid w:val="001A1C81"/>
    <w:rsid w:val="001A1E4E"/>
    <w:rsid w:val="001A29D0"/>
    <w:rsid w:val="001A2C8D"/>
    <w:rsid w:val="001A317E"/>
    <w:rsid w:val="001A32F9"/>
    <w:rsid w:val="001A3529"/>
    <w:rsid w:val="001A3FBA"/>
    <w:rsid w:val="001A40D4"/>
    <w:rsid w:val="001A4180"/>
    <w:rsid w:val="001A4192"/>
    <w:rsid w:val="001A4949"/>
    <w:rsid w:val="001A4B86"/>
    <w:rsid w:val="001A526D"/>
    <w:rsid w:val="001A55EF"/>
    <w:rsid w:val="001A5B7F"/>
    <w:rsid w:val="001A6501"/>
    <w:rsid w:val="001A6551"/>
    <w:rsid w:val="001A6791"/>
    <w:rsid w:val="001A753C"/>
    <w:rsid w:val="001A788D"/>
    <w:rsid w:val="001A7AD1"/>
    <w:rsid w:val="001B04C2"/>
    <w:rsid w:val="001B054F"/>
    <w:rsid w:val="001B0A1C"/>
    <w:rsid w:val="001B0B7D"/>
    <w:rsid w:val="001B0ECA"/>
    <w:rsid w:val="001B1504"/>
    <w:rsid w:val="001B1D70"/>
    <w:rsid w:val="001B1E92"/>
    <w:rsid w:val="001B20B1"/>
    <w:rsid w:val="001B20FF"/>
    <w:rsid w:val="001B2A98"/>
    <w:rsid w:val="001B2D7A"/>
    <w:rsid w:val="001B2E3D"/>
    <w:rsid w:val="001B4447"/>
    <w:rsid w:val="001B53F3"/>
    <w:rsid w:val="001B55FB"/>
    <w:rsid w:val="001B56F9"/>
    <w:rsid w:val="001B61AF"/>
    <w:rsid w:val="001B62EB"/>
    <w:rsid w:val="001B63C7"/>
    <w:rsid w:val="001B6421"/>
    <w:rsid w:val="001B6B18"/>
    <w:rsid w:val="001B6C9B"/>
    <w:rsid w:val="001B7C60"/>
    <w:rsid w:val="001B7FE3"/>
    <w:rsid w:val="001C097A"/>
    <w:rsid w:val="001C0F27"/>
    <w:rsid w:val="001C1062"/>
    <w:rsid w:val="001C1EA9"/>
    <w:rsid w:val="001C200D"/>
    <w:rsid w:val="001C2929"/>
    <w:rsid w:val="001C2B05"/>
    <w:rsid w:val="001C2F45"/>
    <w:rsid w:val="001C36D2"/>
    <w:rsid w:val="001C3AD8"/>
    <w:rsid w:val="001C402E"/>
    <w:rsid w:val="001C4823"/>
    <w:rsid w:val="001C4FF2"/>
    <w:rsid w:val="001C513E"/>
    <w:rsid w:val="001C547A"/>
    <w:rsid w:val="001C5B88"/>
    <w:rsid w:val="001C627F"/>
    <w:rsid w:val="001C6860"/>
    <w:rsid w:val="001C6D80"/>
    <w:rsid w:val="001C6D9C"/>
    <w:rsid w:val="001C75E4"/>
    <w:rsid w:val="001C762C"/>
    <w:rsid w:val="001C779B"/>
    <w:rsid w:val="001C7AF9"/>
    <w:rsid w:val="001C7C2B"/>
    <w:rsid w:val="001C7CFC"/>
    <w:rsid w:val="001D04F2"/>
    <w:rsid w:val="001D0541"/>
    <w:rsid w:val="001D0605"/>
    <w:rsid w:val="001D0A4B"/>
    <w:rsid w:val="001D0CAF"/>
    <w:rsid w:val="001D12D5"/>
    <w:rsid w:val="001D15F7"/>
    <w:rsid w:val="001D1D35"/>
    <w:rsid w:val="001D293A"/>
    <w:rsid w:val="001D2AA9"/>
    <w:rsid w:val="001D2CA3"/>
    <w:rsid w:val="001D303C"/>
    <w:rsid w:val="001D32E3"/>
    <w:rsid w:val="001D3774"/>
    <w:rsid w:val="001D468A"/>
    <w:rsid w:val="001D4B5A"/>
    <w:rsid w:val="001D4C55"/>
    <w:rsid w:val="001D4C65"/>
    <w:rsid w:val="001D5648"/>
    <w:rsid w:val="001D5879"/>
    <w:rsid w:val="001D599B"/>
    <w:rsid w:val="001D5B9D"/>
    <w:rsid w:val="001D5C74"/>
    <w:rsid w:val="001D5E32"/>
    <w:rsid w:val="001D6107"/>
    <w:rsid w:val="001D6476"/>
    <w:rsid w:val="001D66B2"/>
    <w:rsid w:val="001D7559"/>
    <w:rsid w:val="001D7C5F"/>
    <w:rsid w:val="001E00E8"/>
    <w:rsid w:val="001E00EF"/>
    <w:rsid w:val="001E0C93"/>
    <w:rsid w:val="001E0FEA"/>
    <w:rsid w:val="001E1308"/>
    <w:rsid w:val="001E1BB1"/>
    <w:rsid w:val="001E1D7E"/>
    <w:rsid w:val="001E1EC4"/>
    <w:rsid w:val="001E2715"/>
    <w:rsid w:val="001E28F1"/>
    <w:rsid w:val="001E31AE"/>
    <w:rsid w:val="001E3263"/>
    <w:rsid w:val="001E36AA"/>
    <w:rsid w:val="001E3910"/>
    <w:rsid w:val="001E3A97"/>
    <w:rsid w:val="001E3C85"/>
    <w:rsid w:val="001E3DBD"/>
    <w:rsid w:val="001E47C8"/>
    <w:rsid w:val="001E4F17"/>
    <w:rsid w:val="001E5235"/>
    <w:rsid w:val="001E5896"/>
    <w:rsid w:val="001E59A1"/>
    <w:rsid w:val="001E5DD8"/>
    <w:rsid w:val="001E60C2"/>
    <w:rsid w:val="001E649F"/>
    <w:rsid w:val="001E6FFC"/>
    <w:rsid w:val="001E7E63"/>
    <w:rsid w:val="001F0346"/>
    <w:rsid w:val="001F0420"/>
    <w:rsid w:val="001F061D"/>
    <w:rsid w:val="001F080F"/>
    <w:rsid w:val="001F0AF0"/>
    <w:rsid w:val="001F0E5A"/>
    <w:rsid w:val="001F13C8"/>
    <w:rsid w:val="001F1897"/>
    <w:rsid w:val="001F198D"/>
    <w:rsid w:val="001F1EBE"/>
    <w:rsid w:val="001F270E"/>
    <w:rsid w:val="001F2FF9"/>
    <w:rsid w:val="001F35B9"/>
    <w:rsid w:val="001F362E"/>
    <w:rsid w:val="001F3BC0"/>
    <w:rsid w:val="001F4011"/>
    <w:rsid w:val="001F41E8"/>
    <w:rsid w:val="001F4526"/>
    <w:rsid w:val="001F47D6"/>
    <w:rsid w:val="001F4DE8"/>
    <w:rsid w:val="001F51E7"/>
    <w:rsid w:val="001F54E2"/>
    <w:rsid w:val="001F5782"/>
    <w:rsid w:val="001F5A12"/>
    <w:rsid w:val="001F5DC2"/>
    <w:rsid w:val="001F6257"/>
    <w:rsid w:val="001F661B"/>
    <w:rsid w:val="001F678B"/>
    <w:rsid w:val="001F684A"/>
    <w:rsid w:val="001F76EC"/>
    <w:rsid w:val="001F78D6"/>
    <w:rsid w:val="001F78F7"/>
    <w:rsid w:val="002001A3"/>
    <w:rsid w:val="00200274"/>
    <w:rsid w:val="00200552"/>
    <w:rsid w:val="00200A48"/>
    <w:rsid w:val="0020179E"/>
    <w:rsid w:val="00202433"/>
    <w:rsid w:val="00202A4D"/>
    <w:rsid w:val="00203003"/>
    <w:rsid w:val="002030B4"/>
    <w:rsid w:val="002031DD"/>
    <w:rsid w:val="00203EE3"/>
    <w:rsid w:val="00203F10"/>
    <w:rsid w:val="00203FD0"/>
    <w:rsid w:val="00203FDC"/>
    <w:rsid w:val="002042B7"/>
    <w:rsid w:val="0020453D"/>
    <w:rsid w:val="00204A5C"/>
    <w:rsid w:val="002050CD"/>
    <w:rsid w:val="0020515D"/>
    <w:rsid w:val="002054C2"/>
    <w:rsid w:val="002055F8"/>
    <w:rsid w:val="00205932"/>
    <w:rsid w:val="002060B4"/>
    <w:rsid w:val="00206FA1"/>
    <w:rsid w:val="00207D7F"/>
    <w:rsid w:val="0021001F"/>
    <w:rsid w:val="0021005C"/>
    <w:rsid w:val="00210864"/>
    <w:rsid w:val="00210BC1"/>
    <w:rsid w:val="00210EEB"/>
    <w:rsid w:val="00210F40"/>
    <w:rsid w:val="00210FD2"/>
    <w:rsid w:val="00211047"/>
    <w:rsid w:val="0021154A"/>
    <w:rsid w:val="00212A45"/>
    <w:rsid w:val="00212FBE"/>
    <w:rsid w:val="00213FF7"/>
    <w:rsid w:val="00214086"/>
    <w:rsid w:val="00214B6E"/>
    <w:rsid w:val="00214DD7"/>
    <w:rsid w:val="00214E6E"/>
    <w:rsid w:val="00215299"/>
    <w:rsid w:val="00215C32"/>
    <w:rsid w:val="00216223"/>
    <w:rsid w:val="002164EB"/>
    <w:rsid w:val="00216726"/>
    <w:rsid w:val="00216C78"/>
    <w:rsid w:val="00216CF1"/>
    <w:rsid w:val="00216D49"/>
    <w:rsid w:val="00217296"/>
    <w:rsid w:val="00217396"/>
    <w:rsid w:val="00217743"/>
    <w:rsid w:val="00217A9C"/>
    <w:rsid w:val="00217EC7"/>
    <w:rsid w:val="002209A2"/>
    <w:rsid w:val="00220B2E"/>
    <w:rsid w:val="00221040"/>
    <w:rsid w:val="002212CA"/>
    <w:rsid w:val="0022172B"/>
    <w:rsid w:val="00221A95"/>
    <w:rsid w:val="00221F67"/>
    <w:rsid w:val="002221CA"/>
    <w:rsid w:val="0022296F"/>
    <w:rsid w:val="00222A84"/>
    <w:rsid w:val="00223686"/>
    <w:rsid w:val="00223A8B"/>
    <w:rsid w:val="00223A97"/>
    <w:rsid w:val="00223BEF"/>
    <w:rsid w:val="00223C97"/>
    <w:rsid w:val="002245A4"/>
    <w:rsid w:val="00224B07"/>
    <w:rsid w:val="00225086"/>
    <w:rsid w:val="002251AE"/>
    <w:rsid w:val="00225C11"/>
    <w:rsid w:val="0022648A"/>
    <w:rsid w:val="002267A3"/>
    <w:rsid w:val="0022695F"/>
    <w:rsid w:val="00227694"/>
    <w:rsid w:val="002276BF"/>
    <w:rsid w:val="0022778A"/>
    <w:rsid w:val="00227E8B"/>
    <w:rsid w:val="00227F4F"/>
    <w:rsid w:val="0023016E"/>
    <w:rsid w:val="00230D8A"/>
    <w:rsid w:val="00231741"/>
    <w:rsid w:val="00231877"/>
    <w:rsid w:val="00231968"/>
    <w:rsid w:val="0023251C"/>
    <w:rsid w:val="002327E9"/>
    <w:rsid w:val="00232BBA"/>
    <w:rsid w:val="00232D56"/>
    <w:rsid w:val="00232F47"/>
    <w:rsid w:val="002330F7"/>
    <w:rsid w:val="0023345A"/>
    <w:rsid w:val="00233808"/>
    <w:rsid w:val="00233AE6"/>
    <w:rsid w:val="00234B06"/>
    <w:rsid w:val="00234E6B"/>
    <w:rsid w:val="00235160"/>
    <w:rsid w:val="00235300"/>
    <w:rsid w:val="00235DF4"/>
    <w:rsid w:val="00236A77"/>
    <w:rsid w:val="00236E4D"/>
    <w:rsid w:val="00237367"/>
    <w:rsid w:val="002378C1"/>
    <w:rsid w:val="00237CB2"/>
    <w:rsid w:val="00240F1E"/>
    <w:rsid w:val="00240FEA"/>
    <w:rsid w:val="002418E7"/>
    <w:rsid w:val="00241AB3"/>
    <w:rsid w:val="002428DD"/>
    <w:rsid w:val="0024292F"/>
    <w:rsid w:val="002433BF"/>
    <w:rsid w:val="0024342B"/>
    <w:rsid w:val="00244AAF"/>
    <w:rsid w:val="00244B0E"/>
    <w:rsid w:val="00245068"/>
    <w:rsid w:val="002454A7"/>
    <w:rsid w:val="00245798"/>
    <w:rsid w:val="00245CD7"/>
    <w:rsid w:val="00245CF0"/>
    <w:rsid w:val="00245FFC"/>
    <w:rsid w:val="002468E8"/>
    <w:rsid w:val="00246EAA"/>
    <w:rsid w:val="002472DE"/>
    <w:rsid w:val="002475B8"/>
    <w:rsid w:val="00247B51"/>
    <w:rsid w:val="002502EC"/>
    <w:rsid w:val="002506AF"/>
    <w:rsid w:val="002508B8"/>
    <w:rsid w:val="00250EC9"/>
    <w:rsid w:val="0025114F"/>
    <w:rsid w:val="00252D82"/>
    <w:rsid w:val="0025381F"/>
    <w:rsid w:val="00253EDD"/>
    <w:rsid w:val="00253F05"/>
    <w:rsid w:val="002551B2"/>
    <w:rsid w:val="0025538E"/>
    <w:rsid w:val="00255854"/>
    <w:rsid w:val="00255E4E"/>
    <w:rsid w:val="002566E1"/>
    <w:rsid w:val="00256C1C"/>
    <w:rsid w:val="002604C4"/>
    <w:rsid w:val="00260FE2"/>
    <w:rsid w:val="0026127B"/>
    <w:rsid w:val="002613F3"/>
    <w:rsid w:val="0026188C"/>
    <w:rsid w:val="00261929"/>
    <w:rsid w:val="002619A2"/>
    <w:rsid w:val="00261A70"/>
    <w:rsid w:val="00261AA1"/>
    <w:rsid w:val="0026212B"/>
    <w:rsid w:val="00262207"/>
    <w:rsid w:val="00262882"/>
    <w:rsid w:val="0026392C"/>
    <w:rsid w:val="00264C01"/>
    <w:rsid w:val="00264DB4"/>
    <w:rsid w:val="00265790"/>
    <w:rsid w:val="00265E4D"/>
    <w:rsid w:val="00266315"/>
    <w:rsid w:val="002665E4"/>
    <w:rsid w:val="0026680C"/>
    <w:rsid w:val="002669DC"/>
    <w:rsid w:val="00266B41"/>
    <w:rsid w:val="00267314"/>
    <w:rsid w:val="0026780B"/>
    <w:rsid w:val="0026DC97"/>
    <w:rsid w:val="00270466"/>
    <w:rsid w:val="00270608"/>
    <w:rsid w:val="00270631"/>
    <w:rsid w:val="0027092E"/>
    <w:rsid w:val="00270972"/>
    <w:rsid w:val="00270F5D"/>
    <w:rsid w:val="002717BA"/>
    <w:rsid w:val="00271BA2"/>
    <w:rsid w:val="00271BF0"/>
    <w:rsid w:val="002723D3"/>
    <w:rsid w:val="00272EDC"/>
    <w:rsid w:val="00273843"/>
    <w:rsid w:val="00273930"/>
    <w:rsid w:val="00273ABB"/>
    <w:rsid w:val="00274D3B"/>
    <w:rsid w:val="00274F4A"/>
    <w:rsid w:val="00274F78"/>
    <w:rsid w:val="00274FE3"/>
    <w:rsid w:val="0027698C"/>
    <w:rsid w:val="00276B05"/>
    <w:rsid w:val="002771D5"/>
    <w:rsid w:val="002771F7"/>
    <w:rsid w:val="00277279"/>
    <w:rsid w:val="00277335"/>
    <w:rsid w:val="00277462"/>
    <w:rsid w:val="0027796D"/>
    <w:rsid w:val="00277E00"/>
    <w:rsid w:val="002803FA"/>
    <w:rsid w:val="00280496"/>
    <w:rsid w:val="002805BF"/>
    <w:rsid w:val="002808AE"/>
    <w:rsid w:val="00280F16"/>
    <w:rsid w:val="00281171"/>
    <w:rsid w:val="00281358"/>
    <w:rsid w:val="00281726"/>
    <w:rsid w:val="002820F0"/>
    <w:rsid w:val="00282371"/>
    <w:rsid w:val="00282798"/>
    <w:rsid w:val="00283549"/>
    <w:rsid w:val="002840E8"/>
    <w:rsid w:val="00284BE3"/>
    <w:rsid w:val="00284F62"/>
    <w:rsid w:val="0028500D"/>
    <w:rsid w:val="0028546E"/>
    <w:rsid w:val="0028562B"/>
    <w:rsid w:val="00285AC1"/>
    <w:rsid w:val="00285C47"/>
    <w:rsid w:val="0028626F"/>
    <w:rsid w:val="0028627C"/>
    <w:rsid w:val="002870BA"/>
    <w:rsid w:val="0029033B"/>
    <w:rsid w:val="00290420"/>
    <w:rsid w:val="0029055F"/>
    <w:rsid w:val="00292F50"/>
    <w:rsid w:val="00293267"/>
    <w:rsid w:val="00293937"/>
    <w:rsid w:val="002943C0"/>
    <w:rsid w:val="00294A34"/>
    <w:rsid w:val="00295607"/>
    <w:rsid w:val="002958EC"/>
    <w:rsid w:val="00295979"/>
    <w:rsid w:val="00295B13"/>
    <w:rsid w:val="00295E26"/>
    <w:rsid w:val="00295E68"/>
    <w:rsid w:val="00296316"/>
    <w:rsid w:val="00296663"/>
    <w:rsid w:val="00296D7F"/>
    <w:rsid w:val="00296DE4"/>
    <w:rsid w:val="00296FBE"/>
    <w:rsid w:val="0029720F"/>
    <w:rsid w:val="0029767B"/>
    <w:rsid w:val="00297C54"/>
    <w:rsid w:val="002A010F"/>
    <w:rsid w:val="002A0B7C"/>
    <w:rsid w:val="002A17F4"/>
    <w:rsid w:val="002A1F3E"/>
    <w:rsid w:val="002A26D1"/>
    <w:rsid w:val="002A282D"/>
    <w:rsid w:val="002A3649"/>
    <w:rsid w:val="002A371E"/>
    <w:rsid w:val="002A3964"/>
    <w:rsid w:val="002A41B8"/>
    <w:rsid w:val="002A49FA"/>
    <w:rsid w:val="002A508E"/>
    <w:rsid w:val="002A5371"/>
    <w:rsid w:val="002A53CF"/>
    <w:rsid w:val="002A5A2A"/>
    <w:rsid w:val="002A5A95"/>
    <w:rsid w:val="002A5C75"/>
    <w:rsid w:val="002A633A"/>
    <w:rsid w:val="002A676F"/>
    <w:rsid w:val="002A7DE9"/>
    <w:rsid w:val="002B02AF"/>
    <w:rsid w:val="002B121D"/>
    <w:rsid w:val="002B133A"/>
    <w:rsid w:val="002B1A08"/>
    <w:rsid w:val="002B1D25"/>
    <w:rsid w:val="002B2374"/>
    <w:rsid w:val="002B2B4E"/>
    <w:rsid w:val="002B2CE3"/>
    <w:rsid w:val="002B3AD0"/>
    <w:rsid w:val="002B3F94"/>
    <w:rsid w:val="002B4324"/>
    <w:rsid w:val="002B47D4"/>
    <w:rsid w:val="002B4DA6"/>
    <w:rsid w:val="002B5060"/>
    <w:rsid w:val="002B52DC"/>
    <w:rsid w:val="002B5350"/>
    <w:rsid w:val="002B5A25"/>
    <w:rsid w:val="002B5B64"/>
    <w:rsid w:val="002B5BC5"/>
    <w:rsid w:val="002B5FCF"/>
    <w:rsid w:val="002B616A"/>
    <w:rsid w:val="002B6ECB"/>
    <w:rsid w:val="002B777D"/>
    <w:rsid w:val="002B77C1"/>
    <w:rsid w:val="002C0977"/>
    <w:rsid w:val="002C09CB"/>
    <w:rsid w:val="002C0A0A"/>
    <w:rsid w:val="002C12DB"/>
    <w:rsid w:val="002C1D5F"/>
    <w:rsid w:val="002C2F59"/>
    <w:rsid w:val="002C3633"/>
    <w:rsid w:val="002C3BA7"/>
    <w:rsid w:val="002C3CF1"/>
    <w:rsid w:val="002C40FA"/>
    <w:rsid w:val="002C42B1"/>
    <w:rsid w:val="002C43CA"/>
    <w:rsid w:val="002C51CD"/>
    <w:rsid w:val="002C598B"/>
    <w:rsid w:val="002C5AC0"/>
    <w:rsid w:val="002C5B65"/>
    <w:rsid w:val="002C5BC0"/>
    <w:rsid w:val="002C5C02"/>
    <w:rsid w:val="002C5F39"/>
    <w:rsid w:val="002C5FAA"/>
    <w:rsid w:val="002C62BB"/>
    <w:rsid w:val="002C64AE"/>
    <w:rsid w:val="002C6B96"/>
    <w:rsid w:val="002C73AF"/>
    <w:rsid w:val="002C7E9F"/>
    <w:rsid w:val="002D094F"/>
    <w:rsid w:val="002D0CE7"/>
    <w:rsid w:val="002D10E7"/>
    <w:rsid w:val="002D138E"/>
    <w:rsid w:val="002D1572"/>
    <w:rsid w:val="002D200F"/>
    <w:rsid w:val="002D280F"/>
    <w:rsid w:val="002D284F"/>
    <w:rsid w:val="002D2E95"/>
    <w:rsid w:val="002D3262"/>
    <w:rsid w:val="002D32DB"/>
    <w:rsid w:val="002D3D24"/>
    <w:rsid w:val="002D4666"/>
    <w:rsid w:val="002D49C9"/>
    <w:rsid w:val="002D54FB"/>
    <w:rsid w:val="002D55DB"/>
    <w:rsid w:val="002D5B36"/>
    <w:rsid w:val="002D5B68"/>
    <w:rsid w:val="002D5BDE"/>
    <w:rsid w:val="002D5C9B"/>
    <w:rsid w:val="002D5EE7"/>
    <w:rsid w:val="002D5F2D"/>
    <w:rsid w:val="002D61A7"/>
    <w:rsid w:val="002D6E13"/>
    <w:rsid w:val="002D6EA9"/>
    <w:rsid w:val="002D73AF"/>
    <w:rsid w:val="002D7682"/>
    <w:rsid w:val="002D7B5C"/>
    <w:rsid w:val="002E01FB"/>
    <w:rsid w:val="002E08F4"/>
    <w:rsid w:val="002E0C7B"/>
    <w:rsid w:val="002E1190"/>
    <w:rsid w:val="002E185D"/>
    <w:rsid w:val="002E1D2F"/>
    <w:rsid w:val="002E224A"/>
    <w:rsid w:val="002E2702"/>
    <w:rsid w:val="002E27AF"/>
    <w:rsid w:val="002E27B3"/>
    <w:rsid w:val="002E2BDD"/>
    <w:rsid w:val="002E2DE6"/>
    <w:rsid w:val="002E2EAC"/>
    <w:rsid w:val="002E3163"/>
    <w:rsid w:val="002E3AB6"/>
    <w:rsid w:val="002E3D78"/>
    <w:rsid w:val="002E41CB"/>
    <w:rsid w:val="002E423C"/>
    <w:rsid w:val="002E4293"/>
    <w:rsid w:val="002E497C"/>
    <w:rsid w:val="002E4AD5"/>
    <w:rsid w:val="002E51B0"/>
    <w:rsid w:val="002E596C"/>
    <w:rsid w:val="002E59B4"/>
    <w:rsid w:val="002E60CD"/>
    <w:rsid w:val="002E6162"/>
    <w:rsid w:val="002E61CF"/>
    <w:rsid w:val="002E62B2"/>
    <w:rsid w:val="002E63BF"/>
    <w:rsid w:val="002E71C0"/>
    <w:rsid w:val="002E7D3D"/>
    <w:rsid w:val="002E7DFA"/>
    <w:rsid w:val="002F07AB"/>
    <w:rsid w:val="002F0B02"/>
    <w:rsid w:val="002F0D1D"/>
    <w:rsid w:val="002F113D"/>
    <w:rsid w:val="002F121C"/>
    <w:rsid w:val="002F12E8"/>
    <w:rsid w:val="002F1446"/>
    <w:rsid w:val="002F18AA"/>
    <w:rsid w:val="002F2302"/>
    <w:rsid w:val="002F2EA0"/>
    <w:rsid w:val="002F2FED"/>
    <w:rsid w:val="002F3178"/>
    <w:rsid w:val="002F3727"/>
    <w:rsid w:val="002F3765"/>
    <w:rsid w:val="002F379E"/>
    <w:rsid w:val="002F39DF"/>
    <w:rsid w:val="002F3D19"/>
    <w:rsid w:val="002F3DC1"/>
    <w:rsid w:val="002F46C3"/>
    <w:rsid w:val="002F5019"/>
    <w:rsid w:val="002F520D"/>
    <w:rsid w:val="002F52AA"/>
    <w:rsid w:val="002F54BD"/>
    <w:rsid w:val="002F5617"/>
    <w:rsid w:val="002F5B43"/>
    <w:rsid w:val="002F5F09"/>
    <w:rsid w:val="002F7190"/>
    <w:rsid w:val="002F7373"/>
    <w:rsid w:val="002F780D"/>
    <w:rsid w:val="002F7CE4"/>
    <w:rsid w:val="003007CA"/>
    <w:rsid w:val="003008B1"/>
    <w:rsid w:val="00300BD6"/>
    <w:rsid w:val="00300F3C"/>
    <w:rsid w:val="003015BD"/>
    <w:rsid w:val="00301736"/>
    <w:rsid w:val="00301A69"/>
    <w:rsid w:val="00302715"/>
    <w:rsid w:val="003029AA"/>
    <w:rsid w:val="0030330B"/>
    <w:rsid w:val="00303CD7"/>
    <w:rsid w:val="003041FD"/>
    <w:rsid w:val="00304288"/>
    <w:rsid w:val="003042F0"/>
    <w:rsid w:val="00304300"/>
    <w:rsid w:val="003046EA"/>
    <w:rsid w:val="00305295"/>
    <w:rsid w:val="003058F3"/>
    <w:rsid w:val="00305993"/>
    <w:rsid w:val="00305D55"/>
    <w:rsid w:val="00306AED"/>
    <w:rsid w:val="003072AB"/>
    <w:rsid w:val="00307564"/>
    <w:rsid w:val="00307B45"/>
    <w:rsid w:val="00310AAA"/>
    <w:rsid w:val="00310B83"/>
    <w:rsid w:val="003118BF"/>
    <w:rsid w:val="003118F0"/>
    <w:rsid w:val="003119B1"/>
    <w:rsid w:val="00311A17"/>
    <w:rsid w:val="00312277"/>
    <w:rsid w:val="00312D47"/>
    <w:rsid w:val="003148F4"/>
    <w:rsid w:val="00314935"/>
    <w:rsid w:val="00314F80"/>
    <w:rsid w:val="00315362"/>
    <w:rsid w:val="00315A0F"/>
    <w:rsid w:val="00317F6A"/>
    <w:rsid w:val="00320E47"/>
    <w:rsid w:val="00321137"/>
    <w:rsid w:val="0032161C"/>
    <w:rsid w:val="0032232D"/>
    <w:rsid w:val="0032273D"/>
    <w:rsid w:val="00322AEA"/>
    <w:rsid w:val="00322C6B"/>
    <w:rsid w:val="00322F1C"/>
    <w:rsid w:val="0032334E"/>
    <w:rsid w:val="0032337F"/>
    <w:rsid w:val="00323485"/>
    <w:rsid w:val="003237D5"/>
    <w:rsid w:val="00323D99"/>
    <w:rsid w:val="0032426D"/>
    <w:rsid w:val="00324397"/>
    <w:rsid w:val="00324893"/>
    <w:rsid w:val="00325113"/>
    <w:rsid w:val="00326305"/>
    <w:rsid w:val="003268BA"/>
    <w:rsid w:val="00326C67"/>
    <w:rsid w:val="00326CA5"/>
    <w:rsid w:val="00326ED9"/>
    <w:rsid w:val="003272FC"/>
    <w:rsid w:val="00330076"/>
    <w:rsid w:val="0033062D"/>
    <w:rsid w:val="00330854"/>
    <w:rsid w:val="00330E7A"/>
    <w:rsid w:val="00330F96"/>
    <w:rsid w:val="00331886"/>
    <w:rsid w:val="00331A16"/>
    <w:rsid w:val="00331AC9"/>
    <w:rsid w:val="00331E06"/>
    <w:rsid w:val="00332052"/>
    <w:rsid w:val="003321AC"/>
    <w:rsid w:val="0033262D"/>
    <w:rsid w:val="00332D7B"/>
    <w:rsid w:val="003345A8"/>
    <w:rsid w:val="00334D80"/>
    <w:rsid w:val="003366A1"/>
    <w:rsid w:val="00336A9D"/>
    <w:rsid w:val="00336B0F"/>
    <w:rsid w:val="00336E2B"/>
    <w:rsid w:val="00336EE7"/>
    <w:rsid w:val="00336EE9"/>
    <w:rsid w:val="00337037"/>
    <w:rsid w:val="003371F6"/>
    <w:rsid w:val="003378E3"/>
    <w:rsid w:val="00337A1C"/>
    <w:rsid w:val="00337BF2"/>
    <w:rsid w:val="00340469"/>
    <w:rsid w:val="0034046F"/>
    <w:rsid w:val="003404C8"/>
    <w:rsid w:val="00340899"/>
    <w:rsid w:val="003408A2"/>
    <w:rsid w:val="003408FA"/>
    <w:rsid w:val="00340BD3"/>
    <w:rsid w:val="00340DC6"/>
    <w:rsid w:val="00340EA7"/>
    <w:rsid w:val="0034108A"/>
    <w:rsid w:val="003411B3"/>
    <w:rsid w:val="003412D1"/>
    <w:rsid w:val="0034152C"/>
    <w:rsid w:val="00341754"/>
    <w:rsid w:val="00341CD8"/>
    <w:rsid w:val="00341D3A"/>
    <w:rsid w:val="00342817"/>
    <w:rsid w:val="003430E0"/>
    <w:rsid w:val="003434D2"/>
    <w:rsid w:val="00344019"/>
    <w:rsid w:val="00344127"/>
    <w:rsid w:val="00344315"/>
    <w:rsid w:val="00344560"/>
    <w:rsid w:val="0034477E"/>
    <w:rsid w:val="00344ACE"/>
    <w:rsid w:val="00344F24"/>
    <w:rsid w:val="00344FE7"/>
    <w:rsid w:val="00345C0A"/>
    <w:rsid w:val="00346100"/>
    <w:rsid w:val="00346896"/>
    <w:rsid w:val="00346E6C"/>
    <w:rsid w:val="003470DF"/>
    <w:rsid w:val="00347250"/>
    <w:rsid w:val="00347370"/>
    <w:rsid w:val="00347A4F"/>
    <w:rsid w:val="0035014F"/>
    <w:rsid w:val="00350733"/>
    <w:rsid w:val="003509C8"/>
    <w:rsid w:val="0035129E"/>
    <w:rsid w:val="00351472"/>
    <w:rsid w:val="00352406"/>
    <w:rsid w:val="003526AD"/>
    <w:rsid w:val="00352BA7"/>
    <w:rsid w:val="00352D3A"/>
    <w:rsid w:val="00352F5D"/>
    <w:rsid w:val="00353087"/>
    <w:rsid w:val="00353991"/>
    <w:rsid w:val="00353B86"/>
    <w:rsid w:val="00353BD1"/>
    <w:rsid w:val="00353BD3"/>
    <w:rsid w:val="00353D15"/>
    <w:rsid w:val="00353D78"/>
    <w:rsid w:val="00353DA3"/>
    <w:rsid w:val="00354136"/>
    <w:rsid w:val="003547DF"/>
    <w:rsid w:val="00354BEC"/>
    <w:rsid w:val="00354BF1"/>
    <w:rsid w:val="00355513"/>
    <w:rsid w:val="003557D7"/>
    <w:rsid w:val="00355B86"/>
    <w:rsid w:val="00355F8B"/>
    <w:rsid w:val="003567AB"/>
    <w:rsid w:val="00356FF9"/>
    <w:rsid w:val="00357664"/>
    <w:rsid w:val="003578F6"/>
    <w:rsid w:val="00357B23"/>
    <w:rsid w:val="00357C17"/>
    <w:rsid w:val="00357D8F"/>
    <w:rsid w:val="0036009A"/>
    <w:rsid w:val="003601D9"/>
    <w:rsid w:val="0036054E"/>
    <w:rsid w:val="00360775"/>
    <w:rsid w:val="00361587"/>
    <w:rsid w:val="00361D7A"/>
    <w:rsid w:val="00362238"/>
    <w:rsid w:val="003629E6"/>
    <w:rsid w:val="00362DF5"/>
    <w:rsid w:val="00363979"/>
    <w:rsid w:val="003640F0"/>
    <w:rsid w:val="003641E0"/>
    <w:rsid w:val="003642FF"/>
    <w:rsid w:val="0036439E"/>
    <w:rsid w:val="00364450"/>
    <w:rsid w:val="003648F3"/>
    <w:rsid w:val="00364FF0"/>
    <w:rsid w:val="003651D6"/>
    <w:rsid w:val="00365B6D"/>
    <w:rsid w:val="003660A0"/>
    <w:rsid w:val="003661F4"/>
    <w:rsid w:val="00366DC8"/>
    <w:rsid w:val="00366DFD"/>
    <w:rsid w:val="0036749B"/>
    <w:rsid w:val="003677B9"/>
    <w:rsid w:val="003700A8"/>
    <w:rsid w:val="0037085E"/>
    <w:rsid w:val="00370D78"/>
    <w:rsid w:val="00371082"/>
    <w:rsid w:val="00371605"/>
    <w:rsid w:val="003717A4"/>
    <w:rsid w:val="003719B4"/>
    <w:rsid w:val="00372781"/>
    <w:rsid w:val="00372BAB"/>
    <w:rsid w:val="00372BAC"/>
    <w:rsid w:val="00372D66"/>
    <w:rsid w:val="00373728"/>
    <w:rsid w:val="00373BB7"/>
    <w:rsid w:val="003743D4"/>
    <w:rsid w:val="00374489"/>
    <w:rsid w:val="00374DE4"/>
    <w:rsid w:val="00374F9B"/>
    <w:rsid w:val="0037516A"/>
    <w:rsid w:val="00375238"/>
    <w:rsid w:val="00375897"/>
    <w:rsid w:val="0037689D"/>
    <w:rsid w:val="00377D2B"/>
    <w:rsid w:val="00377E7B"/>
    <w:rsid w:val="003802F0"/>
    <w:rsid w:val="0038045A"/>
    <w:rsid w:val="0038045F"/>
    <w:rsid w:val="003804A0"/>
    <w:rsid w:val="00380AF8"/>
    <w:rsid w:val="00380CD3"/>
    <w:rsid w:val="00381276"/>
    <w:rsid w:val="00381429"/>
    <w:rsid w:val="0038179F"/>
    <w:rsid w:val="00382A5D"/>
    <w:rsid w:val="00382AFF"/>
    <w:rsid w:val="00382B37"/>
    <w:rsid w:val="00382F09"/>
    <w:rsid w:val="00383E66"/>
    <w:rsid w:val="00384054"/>
    <w:rsid w:val="00384406"/>
    <w:rsid w:val="0038441A"/>
    <w:rsid w:val="00384453"/>
    <w:rsid w:val="0038462D"/>
    <w:rsid w:val="003848DC"/>
    <w:rsid w:val="00384E4D"/>
    <w:rsid w:val="00385176"/>
    <w:rsid w:val="00385B58"/>
    <w:rsid w:val="00385FCD"/>
    <w:rsid w:val="00386510"/>
    <w:rsid w:val="00386EA8"/>
    <w:rsid w:val="00387910"/>
    <w:rsid w:val="00387BD1"/>
    <w:rsid w:val="00390E56"/>
    <w:rsid w:val="00391539"/>
    <w:rsid w:val="00391CA6"/>
    <w:rsid w:val="00391E6A"/>
    <w:rsid w:val="00391FF6"/>
    <w:rsid w:val="003927C2"/>
    <w:rsid w:val="00392AB1"/>
    <w:rsid w:val="00392C63"/>
    <w:rsid w:val="00393080"/>
    <w:rsid w:val="00393EA5"/>
    <w:rsid w:val="003945CB"/>
    <w:rsid w:val="003956D8"/>
    <w:rsid w:val="00395A12"/>
    <w:rsid w:val="0039665B"/>
    <w:rsid w:val="003967A9"/>
    <w:rsid w:val="0039696F"/>
    <w:rsid w:val="00396C2B"/>
    <w:rsid w:val="00396C43"/>
    <w:rsid w:val="00396C81"/>
    <w:rsid w:val="00396F9F"/>
    <w:rsid w:val="003975DC"/>
    <w:rsid w:val="003975FF"/>
    <w:rsid w:val="003A0086"/>
    <w:rsid w:val="003A0B1D"/>
    <w:rsid w:val="003A0F83"/>
    <w:rsid w:val="003A1637"/>
    <w:rsid w:val="003A2070"/>
    <w:rsid w:val="003A20EE"/>
    <w:rsid w:val="003A2429"/>
    <w:rsid w:val="003A315A"/>
    <w:rsid w:val="003A46FE"/>
    <w:rsid w:val="003A4702"/>
    <w:rsid w:val="003A475A"/>
    <w:rsid w:val="003A4931"/>
    <w:rsid w:val="003A4A48"/>
    <w:rsid w:val="003A51DD"/>
    <w:rsid w:val="003A55B0"/>
    <w:rsid w:val="003A57C2"/>
    <w:rsid w:val="003A5FF4"/>
    <w:rsid w:val="003A60C6"/>
    <w:rsid w:val="003A6846"/>
    <w:rsid w:val="003A6A47"/>
    <w:rsid w:val="003A6EC3"/>
    <w:rsid w:val="003A7150"/>
    <w:rsid w:val="003A72A1"/>
    <w:rsid w:val="003A766C"/>
    <w:rsid w:val="003A7B44"/>
    <w:rsid w:val="003A7CA2"/>
    <w:rsid w:val="003A7D6F"/>
    <w:rsid w:val="003B0B6C"/>
    <w:rsid w:val="003B0D3A"/>
    <w:rsid w:val="003B0DCE"/>
    <w:rsid w:val="003B13B6"/>
    <w:rsid w:val="003B19CE"/>
    <w:rsid w:val="003B1B50"/>
    <w:rsid w:val="003B1CFF"/>
    <w:rsid w:val="003B293F"/>
    <w:rsid w:val="003B29B5"/>
    <w:rsid w:val="003B2D17"/>
    <w:rsid w:val="003B33A6"/>
    <w:rsid w:val="003B3FE1"/>
    <w:rsid w:val="003B436B"/>
    <w:rsid w:val="003B4588"/>
    <w:rsid w:val="003B4A42"/>
    <w:rsid w:val="003B4CBC"/>
    <w:rsid w:val="003B510D"/>
    <w:rsid w:val="003B573C"/>
    <w:rsid w:val="003B58E2"/>
    <w:rsid w:val="003B6177"/>
    <w:rsid w:val="003B657D"/>
    <w:rsid w:val="003B6735"/>
    <w:rsid w:val="003B6BFC"/>
    <w:rsid w:val="003B6C35"/>
    <w:rsid w:val="003B6F30"/>
    <w:rsid w:val="003B6FBE"/>
    <w:rsid w:val="003B77F6"/>
    <w:rsid w:val="003BC005"/>
    <w:rsid w:val="003C0080"/>
    <w:rsid w:val="003C04F1"/>
    <w:rsid w:val="003C0D09"/>
    <w:rsid w:val="003C10AC"/>
    <w:rsid w:val="003C121F"/>
    <w:rsid w:val="003C17D0"/>
    <w:rsid w:val="003C1BEE"/>
    <w:rsid w:val="003C1ECA"/>
    <w:rsid w:val="003C2B1D"/>
    <w:rsid w:val="003C31C4"/>
    <w:rsid w:val="003C31E5"/>
    <w:rsid w:val="003C3390"/>
    <w:rsid w:val="003C350F"/>
    <w:rsid w:val="003C3CE5"/>
    <w:rsid w:val="003C403D"/>
    <w:rsid w:val="003C420C"/>
    <w:rsid w:val="003C4876"/>
    <w:rsid w:val="003C497A"/>
    <w:rsid w:val="003C4CDE"/>
    <w:rsid w:val="003C4E33"/>
    <w:rsid w:val="003C559A"/>
    <w:rsid w:val="003C55E3"/>
    <w:rsid w:val="003C5B45"/>
    <w:rsid w:val="003C6076"/>
    <w:rsid w:val="003C655D"/>
    <w:rsid w:val="003C664D"/>
    <w:rsid w:val="003C68D5"/>
    <w:rsid w:val="003C6954"/>
    <w:rsid w:val="003C6B6D"/>
    <w:rsid w:val="003C6C4F"/>
    <w:rsid w:val="003C6D84"/>
    <w:rsid w:val="003C7077"/>
    <w:rsid w:val="003D0379"/>
    <w:rsid w:val="003D03A3"/>
    <w:rsid w:val="003D0E18"/>
    <w:rsid w:val="003D0E2A"/>
    <w:rsid w:val="003D1015"/>
    <w:rsid w:val="003D11E0"/>
    <w:rsid w:val="003D190D"/>
    <w:rsid w:val="003D2291"/>
    <w:rsid w:val="003D23AD"/>
    <w:rsid w:val="003D2525"/>
    <w:rsid w:val="003D2526"/>
    <w:rsid w:val="003D2906"/>
    <w:rsid w:val="003D2A10"/>
    <w:rsid w:val="003D2B13"/>
    <w:rsid w:val="003D3471"/>
    <w:rsid w:val="003D3D06"/>
    <w:rsid w:val="003D42D5"/>
    <w:rsid w:val="003D4315"/>
    <w:rsid w:val="003D4595"/>
    <w:rsid w:val="003D4D88"/>
    <w:rsid w:val="003D5722"/>
    <w:rsid w:val="003D67BE"/>
    <w:rsid w:val="003D79AF"/>
    <w:rsid w:val="003D7AD1"/>
    <w:rsid w:val="003E03D0"/>
    <w:rsid w:val="003E041C"/>
    <w:rsid w:val="003E1355"/>
    <w:rsid w:val="003E2396"/>
    <w:rsid w:val="003E261D"/>
    <w:rsid w:val="003E2EBE"/>
    <w:rsid w:val="003E3431"/>
    <w:rsid w:val="003E3622"/>
    <w:rsid w:val="003E3E3B"/>
    <w:rsid w:val="003E4099"/>
    <w:rsid w:val="003E4296"/>
    <w:rsid w:val="003E4947"/>
    <w:rsid w:val="003E4D5E"/>
    <w:rsid w:val="003E4E36"/>
    <w:rsid w:val="003E50FB"/>
    <w:rsid w:val="003E5116"/>
    <w:rsid w:val="003E567B"/>
    <w:rsid w:val="003E6003"/>
    <w:rsid w:val="003E69A8"/>
    <w:rsid w:val="003E6AF7"/>
    <w:rsid w:val="003E704E"/>
    <w:rsid w:val="003E78F5"/>
    <w:rsid w:val="003F008F"/>
    <w:rsid w:val="003F051D"/>
    <w:rsid w:val="003F06D7"/>
    <w:rsid w:val="003F0897"/>
    <w:rsid w:val="003F2157"/>
    <w:rsid w:val="003F23EC"/>
    <w:rsid w:val="003F2EB6"/>
    <w:rsid w:val="003F327D"/>
    <w:rsid w:val="003F337C"/>
    <w:rsid w:val="003F3404"/>
    <w:rsid w:val="003F36F7"/>
    <w:rsid w:val="003F3CA7"/>
    <w:rsid w:val="003F3D7F"/>
    <w:rsid w:val="003F3DD5"/>
    <w:rsid w:val="003F432F"/>
    <w:rsid w:val="003F4E6C"/>
    <w:rsid w:val="003F50B5"/>
    <w:rsid w:val="003F5156"/>
    <w:rsid w:val="003F5A8E"/>
    <w:rsid w:val="003F5B89"/>
    <w:rsid w:val="003F6307"/>
    <w:rsid w:val="003F65EB"/>
    <w:rsid w:val="003F7211"/>
    <w:rsid w:val="003F73B3"/>
    <w:rsid w:val="00400451"/>
    <w:rsid w:val="00400EA3"/>
    <w:rsid w:val="00400EF0"/>
    <w:rsid w:val="004016E1"/>
    <w:rsid w:val="00401C5C"/>
    <w:rsid w:val="00402132"/>
    <w:rsid w:val="004021EE"/>
    <w:rsid w:val="004022E5"/>
    <w:rsid w:val="004023E6"/>
    <w:rsid w:val="00402B31"/>
    <w:rsid w:val="00402E5C"/>
    <w:rsid w:val="00402E8B"/>
    <w:rsid w:val="00402F8B"/>
    <w:rsid w:val="00403006"/>
    <w:rsid w:val="00404C91"/>
    <w:rsid w:val="00404E48"/>
    <w:rsid w:val="00405257"/>
    <w:rsid w:val="004056C6"/>
    <w:rsid w:val="00405C6B"/>
    <w:rsid w:val="00406C58"/>
    <w:rsid w:val="00406E67"/>
    <w:rsid w:val="004079E7"/>
    <w:rsid w:val="00407C1D"/>
    <w:rsid w:val="00407E7C"/>
    <w:rsid w:val="00411228"/>
    <w:rsid w:val="004114A3"/>
    <w:rsid w:val="00411575"/>
    <w:rsid w:val="004118BE"/>
    <w:rsid w:val="00412555"/>
    <w:rsid w:val="00412AFA"/>
    <w:rsid w:val="0041301F"/>
    <w:rsid w:val="004130EE"/>
    <w:rsid w:val="004132AD"/>
    <w:rsid w:val="004132D9"/>
    <w:rsid w:val="004146FF"/>
    <w:rsid w:val="00414821"/>
    <w:rsid w:val="00414CDC"/>
    <w:rsid w:val="004156B7"/>
    <w:rsid w:val="00415747"/>
    <w:rsid w:val="0041581C"/>
    <w:rsid w:val="00415D34"/>
    <w:rsid w:val="004161C6"/>
    <w:rsid w:val="00416356"/>
    <w:rsid w:val="00416C2E"/>
    <w:rsid w:val="00417916"/>
    <w:rsid w:val="00417D82"/>
    <w:rsid w:val="00417E4A"/>
    <w:rsid w:val="00417F98"/>
    <w:rsid w:val="00420864"/>
    <w:rsid w:val="00420EB1"/>
    <w:rsid w:val="00421245"/>
    <w:rsid w:val="004218FC"/>
    <w:rsid w:val="00421B1C"/>
    <w:rsid w:val="00422291"/>
    <w:rsid w:val="0042258E"/>
    <w:rsid w:val="00422AF1"/>
    <w:rsid w:val="00423F96"/>
    <w:rsid w:val="00424974"/>
    <w:rsid w:val="00425335"/>
    <w:rsid w:val="004256D7"/>
    <w:rsid w:val="00426461"/>
    <w:rsid w:val="0042647D"/>
    <w:rsid w:val="00426547"/>
    <w:rsid w:val="004277DE"/>
    <w:rsid w:val="00427820"/>
    <w:rsid w:val="004310AE"/>
    <w:rsid w:val="00431378"/>
    <w:rsid w:val="00431450"/>
    <w:rsid w:val="00431A96"/>
    <w:rsid w:val="00432023"/>
    <w:rsid w:val="00432874"/>
    <w:rsid w:val="00433123"/>
    <w:rsid w:val="00433311"/>
    <w:rsid w:val="00433511"/>
    <w:rsid w:val="0043358B"/>
    <w:rsid w:val="00433B0A"/>
    <w:rsid w:val="00433E7B"/>
    <w:rsid w:val="0043427A"/>
    <w:rsid w:val="00434512"/>
    <w:rsid w:val="004347C8"/>
    <w:rsid w:val="00434EC0"/>
    <w:rsid w:val="00435AAB"/>
    <w:rsid w:val="004361FC"/>
    <w:rsid w:val="004371E6"/>
    <w:rsid w:val="00440265"/>
    <w:rsid w:val="00440305"/>
    <w:rsid w:val="00440529"/>
    <w:rsid w:val="00440F1E"/>
    <w:rsid w:val="00441089"/>
    <w:rsid w:val="004411E6"/>
    <w:rsid w:val="00441699"/>
    <w:rsid w:val="004419F4"/>
    <w:rsid w:val="00442553"/>
    <w:rsid w:val="00442B69"/>
    <w:rsid w:val="00443178"/>
    <w:rsid w:val="004434C5"/>
    <w:rsid w:val="00443692"/>
    <w:rsid w:val="00443712"/>
    <w:rsid w:val="004438F8"/>
    <w:rsid w:val="0044413D"/>
    <w:rsid w:val="004446A3"/>
    <w:rsid w:val="004448AD"/>
    <w:rsid w:val="00444A6F"/>
    <w:rsid w:val="00444F81"/>
    <w:rsid w:val="00445080"/>
    <w:rsid w:val="004450DC"/>
    <w:rsid w:val="004456D4"/>
    <w:rsid w:val="00445CD2"/>
    <w:rsid w:val="0044683C"/>
    <w:rsid w:val="00446F8D"/>
    <w:rsid w:val="00447AB7"/>
    <w:rsid w:val="004502F2"/>
    <w:rsid w:val="0045129E"/>
    <w:rsid w:val="0045189A"/>
    <w:rsid w:val="00451C2D"/>
    <w:rsid w:val="00451E3B"/>
    <w:rsid w:val="0045237E"/>
    <w:rsid w:val="00452A19"/>
    <w:rsid w:val="0045351C"/>
    <w:rsid w:val="0045445D"/>
    <w:rsid w:val="00454812"/>
    <w:rsid w:val="0045481D"/>
    <w:rsid w:val="00454992"/>
    <w:rsid w:val="004558C2"/>
    <w:rsid w:val="00455F1D"/>
    <w:rsid w:val="00456805"/>
    <w:rsid w:val="00456BB7"/>
    <w:rsid w:val="00457160"/>
    <w:rsid w:val="00457335"/>
    <w:rsid w:val="004577F4"/>
    <w:rsid w:val="0046066B"/>
    <w:rsid w:val="004606D8"/>
    <w:rsid w:val="004607A9"/>
    <w:rsid w:val="004608A5"/>
    <w:rsid w:val="00460D5D"/>
    <w:rsid w:val="0046159B"/>
    <w:rsid w:val="00461F24"/>
    <w:rsid w:val="004628B2"/>
    <w:rsid w:val="00462D72"/>
    <w:rsid w:val="00462D97"/>
    <w:rsid w:val="00463092"/>
    <w:rsid w:val="0046366A"/>
    <w:rsid w:val="00463C6C"/>
    <w:rsid w:val="00463C70"/>
    <w:rsid w:val="00463DC4"/>
    <w:rsid w:val="00464019"/>
    <w:rsid w:val="00464ACE"/>
    <w:rsid w:val="00464DD6"/>
    <w:rsid w:val="00465009"/>
    <w:rsid w:val="004652B1"/>
    <w:rsid w:val="00467CC0"/>
    <w:rsid w:val="00470101"/>
    <w:rsid w:val="00470829"/>
    <w:rsid w:val="00470A4E"/>
    <w:rsid w:val="00470AC1"/>
    <w:rsid w:val="00470BA1"/>
    <w:rsid w:val="00471212"/>
    <w:rsid w:val="0047162E"/>
    <w:rsid w:val="0047172E"/>
    <w:rsid w:val="004718BD"/>
    <w:rsid w:val="0047191C"/>
    <w:rsid w:val="00471E77"/>
    <w:rsid w:val="00472066"/>
    <w:rsid w:val="0047287F"/>
    <w:rsid w:val="00472F56"/>
    <w:rsid w:val="0047327A"/>
    <w:rsid w:val="0047334D"/>
    <w:rsid w:val="004733D0"/>
    <w:rsid w:val="0047385E"/>
    <w:rsid w:val="0047391A"/>
    <w:rsid w:val="00474034"/>
    <w:rsid w:val="004744F9"/>
    <w:rsid w:val="0047461D"/>
    <w:rsid w:val="00474704"/>
    <w:rsid w:val="00474AE3"/>
    <w:rsid w:val="00474E0D"/>
    <w:rsid w:val="00475708"/>
    <w:rsid w:val="0047682E"/>
    <w:rsid w:val="00476AFE"/>
    <w:rsid w:val="00476BB2"/>
    <w:rsid w:val="0047708C"/>
    <w:rsid w:val="00477234"/>
    <w:rsid w:val="004773FA"/>
    <w:rsid w:val="004775A2"/>
    <w:rsid w:val="00477DFE"/>
    <w:rsid w:val="00480071"/>
    <w:rsid w:val="00480CBB"/>
    <w:rsid w:val="00480F3C"/>
    <w:rsid w:val="004812B3"/>
    <w:rsid w:val="004816B8"/>
    <w:rsid w:val="004817E5"/>
    <w:rsid w:val="00481EA1"/>
    <w:rsid w:val="00482705"/>
    <w:rsid w:val="004832D5"/>
    <w:rsid w:val="0048330D"/>
    <w:rsid w:val="00483D3C"/>
    <w:rsid w:val="00484386"/>
    <w:rsid w:val="004843A3"/>
    <w:rsid w:val="004848A1"/>
    <w:rsid w:val="0048493C"/>
    <w:rsid w:val="004859DA"/>
    <w:rsid w:val="00485BB3"/>
    <w:rsid w:val="0048605D"/>
    <w:rsid w:val="004869FD"/>
    <w:rsid w:val="00487A16"/>
    <w:rsid w:val="00487A44"/>
    <w:rsid w:val="0049046D"/>
    <w:rsid w:val="00490AFC"/>
    <w:rsid w:val="00490CDB"/>
    <w:rsid w:val="004917DF"/>
    <w:rsid w:val="00491D39"/>
    <w:rsid w:val="00492103"/>
    <w:rsid w:val="004921F5"/>
    <w:rsid w:val="0049230E"/>
    <w:rsid w:val="00492B64"/>
    <w:rsid w:val="0049358B"/>
    <w:rsid w:val="00493639"/>
    <w:rsid w:val="00493857"/>
    <w:rsid w:val="0049390E"/>
    <w:rsid w:val="00494648"/>
    <w:rsid w:val="00495359"/>
    <w:rsid w:val="0049622C"/>
    <w:rsid w:val="00496454"/>
    <w:rsid w:val="004966AC"/>
    <w:rsid w:val="004975D3"/>
    <w:rsid w:val="004979BC"/>
    <w:rsid w:val="004A055B"/>
    <w:rsid w:val="004A0F1F"/>
    <w:rsid w:val="004A11FB"/>
    <w:rsid w:val="004A20D0"/>
    <w:rsid w:val="004A2B0D"/>
    <w:rsid w:val="004A2C05"/>
    <w:rsid w:val="004A2F54"/>
    <w:rsid w:val="004A53EB"/>
    <w:rsid w:val="004A5766"/>
    <w:rsid w:val="004A583D"/>
    <w:rsid w:val="004A58CB"/>
    <w:rsid w:val="004A5F8E"/>
    <w:rsid w:val="004A5FDB"/>
    <w:rsid w:val="004A6334"/>
    <w:rsid w:val="004A69C1"/>
    <w:rsid w:val="004A6C59"/>
    <w:rsid w:val="004A748E"/>
    <w:rsid w:val="004B06AD"/>
    <w:rsid w:val="004B0D7A"/>
    <w:rsid w:val="004B1ADC"/>
    <w:rsid w:val="004B1ADF"/>
    <w:rsid w:val="004B1C2F"/>
    <w:rsid w:val="004B1CD7"/>
    <w:rsid w:val="004B1FE2"/>
    <w:rsid w:val="004B2636"/>
    <w:rsid w:val="004B2683"/>
    <w:rsid w:val="004B2CB1"/>
    <w:rsid w:val="004B30E7"/>
    <w:rsid w:val="004B388A"/>
    <w:rsid w:val="004B3D63"/>
    <w:rsid w:val="004B3FBF"/>
    <w:rsid w:val="004B420A"/>
    <w:rsid w:val="004B42EA"/>
    <w:rsid w:val="004B443B"/>
    <w:rsid w:val="004B460E"/>
    <w:rsid w:val="004B4B88"/>
    <w:rsid w:val="004B5126"/>
    <w:rsid w:val="004B53AA"/>
    <w:rsid w:val="004B57F5"/>
    <w:rsid w:val="004B58C6"/>
    <w:rsid w:val="004B6687"/>
    <w:rsid w:val="004B6A94"/>
    <w:rsid w:val="004B6ABA"/>
    <w:rsid w:val="004B6CE7"/>
    <w:rsid w:val="004B74BA"/>
    <w:rsid w:val="004B78C7"/>
    <w:rsid w:val="004C0135"/>
    <w:rsid w:val="004C0CD7"/>
    <w:rsid w:val="004C0F26"/>
    <w:rsid w:val="004C1496"/>
    <w:rsid w:val="004C15D2"/>
    <w:rsid w:val="004C1CD1"/>
    <w:rsid w:val="004C225F"/>
    <w:rsid w:val="004C23AE"/>
    <w:rsid w:val="004C2593"/>
    <w:rsid w:val="004C29B7"/>
    <w:rsid w:val="004C2D48"/>
    <w:rsid w:val="004C2FDB"/>
    <w:rsid w:val="004C3AB9"/>
    <w:rsid w:val="004C3DEC"/>
    <w:rsid w:val="004C412E"/>
    <w:rsid w:val="004C4441"/>
    <w:rsid w:val="004C445D"/>
    <w:rsid w:val="004C4535"/>
    <w:rsid w:val="004C487F"/>
    <w:rsid w:val="004C4986"/>
    <w:rsid w:val="004C4C05"/>
    <w:rsid w:val="004C5334"/>
    <w:rsid w:val="004C5CF2"/>
    <w:rsid w:val="004C61F7"/>
    <w:rsid w:val="004C695C"/>
    <w:rsid w:val="004C6A55"/>
    <w:rsid w:val="004C6E59"/>
    <w:rsid w:val="004C72BC"/>
    <w:rsid w:val="004C74E6"/>
    <w:rsid w:val="004C75EA"/>
    <w:rsid w:val="004C7616"/>
    <w:rsid w:val="004C7982"/>
    <w:rsid w:val="004D0326"/>
    <w:rsid w:val="004D16F7"/>
    <w:rsid w:val="004D1F72"/>
    <w:rsid w:val="004D2AC0"/>
    <w:rsid w:val="004D2DCC"/>
    <w:rsid w:val="004D38C1"/>
    <w:rsid w:val="004D3FA7"/>
    <w:rsid w:val="004D41E3"/>
    <w:rsid w:val="004D460E"/>
    <w:rsid w:val="004D4C6F"/>
    <w:rsid w:val="004D4C93"/>
    <w:rsid w:val="004D4FCD"/>
    <w:rsid w:val="004D5510"/>
    <w:rsid w:val="004D5E51"/>
    <w:rsid w:val="004D5F92"/>
    <w:rsid w:val="004D6136"/>
    <w:rsid w:val="004D6290"/>
    <w:rsid w:val="004D642A"/>
    <w:rsid w:val="004D6DEC"/>
    <w:rsid w:val="004D6E2D"/>
    <w:rsid w:val="004D7112"/>
    <w:rsid w:val="004D7994"/>
    <w:rsid w:val="004E0BA5"/>
    <w:rsid w:val="004E1387"/>
    <w:rsid w:val="004E1E1B"/>
    <w:rsid w:val="004E22E5"/>
    <w:rsid w:val="004E289B"/>
    <w:rsid w:val="004E364E"/>
    <w:rsid w:val="004E3677"/>
    <w:rsid w:val="004E3682"/>
    <w:rsid w:val="004E48B6"/>
    <w:rsid w:val="004E4B81"/>
    <w:rsid w:val="004E4DDA"/>
    <w:rsid w:val="004E508B"/>
    <w:rsid w:val="004E563A"/>
    <w:rsid w:val="004E576F"/>
    <w:rsid w:val="004E675C"/>
    <w:rsid w:val="004E6884"/>
    <w:rsid w:val="004E6D19"/>
    <w:rsid w:val="004E6D78"/>
    <w:rsid w:val="004E700F"/>
    <w:rsid w:val="004E7E3D"/>
    <w:rsid w:val="004F0255"/>
    <w:rsid w:val="004F03A3"/>
    <w:rsid w:val="004F07FB"/>
    <w:rsid w:val="004F0C9C"/>
    <w:rsid w:val="004F0FAE"/>
    <w:rsid w:val="004F100E"/>
    <w:rsid w:val="004F21CD"/>
    <w:rsid w:val="004F2548"/>
    <w:rsid w:val="004F2D35"/>
    <w:rsid w:val="004F475B"/>
    <w:rsid w:val="004F4E6B"/>
    <w:rsid w:val="004F50F1"/>
    <w:rsid w:val="004F5645"/>
    <w:rsid w:val="004F5B07"/>
    <w:rsid w:val="004F5CAB"/>
    <w:rsid w:val="004F5E40"/>
    <w:rsid w:val="004F6767"/>
    <w:rsid w:val="004F6C14"/>
    <w:rsid w:val="004F6FA6"/>
    <w:rsid w:val="004F7F5C"/>
    <w:rsid w:val="005001F0"/>
    <w:rsid w:val="00500654"/>
    <w:rsid w:val="00500E0A"/>
    <w:rsid w:val="00500ED9"/>
    <w:rsid w:val="005010A6"/>
    <w:rsid w:val="005017FE"/>
    <w:rsid w:val="0050199D"/>
    <w:rsid w:val="00501CB5"/>
    <w:rsid w:val="005028F9"/>
    <w:rsid w:val="00502BD4"/>
    <w:rsid w:val="00502D10"/>
    <w:rsid w:val="0050334E"/>
    <w:rsid w:val="005037B5"/>
    <w:rsid w:val="005037F0"/>
    <w:rsid w:val="00503DDE"/>
    <w:rsid w:val="00503F15"/>
    <w:rsid w:val="0050425C"/>
    <w:rsid w:val="005043EE"/>
    <w:rsid w:val="0050459D"/>
    <w:rsid w:val="00504899"/>
    <w:rsid w:val="00504F3E"/>
    <w:rsid w:val="00505356"/>
    <w:rsid w:val="005057E3"/>
    <w:rsid w:val="005060C6"/>
    <w:rsid w:val="00506323"/>
    <w:rsid w:val="00506701"/>
    <w:rsid w:val="005075F1"/>
    <w:rsid w:val="005100F5"/>
    <w:rsid w:val="0051064E"/>
    <w:rsid w:val="00510F62"/>
    <w:rsid w:val="005112C6"/>
    <w:rsid w:val="00511335"/>
    <w:rsid w:val="00511D8F"/>
    <w:rsid w:val="00511EB4"/>
    <w:rsid w:val="00512161"/>
    <w:rsid w:val="005122CA"/>
    <w:rsid w:val="00512B3D"/>
    <w:rsid w:val="005132FE"/>
    <w:rsid w:val="00513616"/>
    <w:rsid w:val="00513EF8"/>
    <w:rsid w:val="00513EFA"/>
    <w:rsid w:val="00513F8A"/>
    <w:rsid w:val="005140F9"/>
    <w:rsid w:val="005143EA"/>
    <w:rsid w:val="0051469A"/>
    <w:rsid w:val="005146F5"/>
    <w:rsid w:val="005148AB"/>
    <w:rsid w:val="00514C1D"/>
    <w:rsid w:val="00514D44"/>
    <w:rsid w:val="00515359"/>
    <w:rsid w:val="00515AF5"/>
    <w:rsid w:val="00516173"/>
    <w:rsid w:val="00517454"/>
    <w:rsid w:val="0051754D"/>
    <w:rsid w:val="00517A68"/>
    <w:rsid w:val="00517AF9"/>
    <w:rsid w:val="00517B27"/>
    <w:rsid w:val="00517C0D"/>
    <w:rsid w:val="00517DBF"/>
    <w:rsid w:val="00517F17"/>
    <w:rsid w:val="00520351"/>
    <w:rsid w:val="005221AE"/>
    <w:rsid w:val="005222F8"/>
    <w:rsid w:val="00522398"/>
    <w:rsid w:val="0052242A"/>
    <w:rsid w:val="005225D4"/>
    <w:rsid w:val="005227C4"/>
    <w:rsid w:val="00522A9B"/>
    <w:rsid w:val="00522DD8"/>
    <w:rsid w:val="005231F1"/>
    <w:rsid w:val="00524592"/>
    <w:rsid w:val="00524B09"/>
    <w:rsid w:val="005250B9"/>
    <w:rsid w:val="00525306"/>
    <w:rsid w:val="00525487"/>
    <w:rsid w:val="00526135"/>
    <w:rsid w:val="00526329"/>
    <w:rsid w:val="00526A90"/>
    <w:rsid w:val="0052736A"/>
    <w:rsid w:val="00530619"/>
    <w:rsid w:val="00530DB1"/>
    <w:rsid w:val="005310B6"/>
    <w:rsid w:val="00531363"/>
    <w:rsid w:val="0053144D"/>
    <w:rsid w:val="005315DE"/>
    <w:rsid w:val="00531B22"/>
    <w:rsid w:val="005329FE"/>
    <w:rsid w:val="00532E85"/>
    <w:rsid w:val="0053409D"/>
    <w:rsid w:val="00535336"/>
    <w:rsid w:val="005354A0"/>
    <w:rsid w:val="005359C0"/>
    <w:rsid w:val="00535C56"/>
    <w:rsid w:val="00535D15"/>
    <w:rsid w:val="00535EBD"/>
    <w:rsid w:val="00536570"/>
    <w:rsid w:val="00536884"/>
    <w:rsid w:val="005378F9"/>
    <w:rsid w:val="00537A42"/>
    <w:rsid w:val="005401AF"/>
    <w:rsid w:val="0054089A"/>
    <w:rsid w:val="00540ECE"/>
    <w:rsid w:val="00541688"/>
    <w:rsid w:val="00543160"/>
    <w:rsid w:val="00543176"/>
    <w:rsid w:val="00543287"/>
    <w:rsid w:val="00543290"/>
    <w:rsid w:val="005437EA"/>
    <w:rsid w:val="00543D97"/>
    <w:rsid w:val="005440A7"/>
    <w:rsid w:val="0054461E"/>
    <w:rsid w:val="00544694"/>
    <w:rsid w:val="00545131"/>
    <w:rsid w:val="005452B9"/>
    <w:rsid w:val="00545761"/>
    <w:rsid w:val="00545DC5"/>
    <w:rsid w:val="00546FA1"/>
    <w:rsid w:val="0055012E"/>
    <w:rsid w:val="005505D1"/>
    <w:rsid w:val="00550A87"/>
    <w:rsid w:val="0055102F"/>
    <w:rsid w:val="005511BE"/>
    <w:rsid w:val="005511C2"/>
    <w:rsid w:val="0055166E"/>
    <w:rsid w:val="00553124"/>
    <w:rsid w:val="00553258"/>
    <w:rsid w:val="00553270"/>
    <w:rsid w:val="005537B4"/>
    <w:rsid w:val="00553B35"/>
    <w:rsid w:val="00553D54"/>
    <w:rsid w:val="00554514"/>
    <w:rsid w:val="00554BB2"/>
    <w:rsid w:val="00554D3D"/>
    <w:rsid w:val="00555277"/>
    <w:rsid w:val="005553A8"/>
    <w:rsid w:val="00555852"/>
    <w:rsid w:val="0055595D"/>
    <w:rsid w:val="00555EA8"/>
    <w:rsid w:val="00556361"/>
    <w:rsid w:val="0055668A"/>
    <w:rsid w:val="00556D75"/>
    <w:rsid w:val="00557152"/>
    <w:rsid w:val="00557374"/>
    <w:rsid w:val="0055757F"/>
    <w:rsid w:val="00557868"/>
    <w:rsid w:val="005600D8"/>
    <w:rsid w:val="005602AA"/>
    <w:rsid w:val="00560535"/>
    <w:rsid w:val="005605E6"/>
    <w:rsid w:val="00560838"/>
    <w:rsid w:val="00560ACF"/>
    <w:rsid w:val="00561C52"/>
    <w:rsid w:val="00562686"/>
    <w:rsid w:val="005627A6"/>
    <w:rsid w:val="005629DB"/>
    <w:rsid w:val="00562D46"/>
    <w:rsid w:val="00562F61"/>
    <w:rsid w:val="00562FC3"/>
    <w:rsid w:val="005631A4"/>
    <w:rsid w:val="00563641"/>
    <w:rsid w:val="00563D70"/>
    <w:rsid w:val="005643FE"/>
    <w:rsid w:val="00564770"/>
    <w:rsid w:val="00564EDE"/>
    <w:rsid w:val="005652A9"/>
    <w:rsid w:val="005652B2"/>
    <w:rsid w:val="005655DE"/>
    <w:rsid w:val="00565CE5"/>
    <w:rsid w:val="00566139"/>
    <w:rsid w:val="00566203"/>
    <w:rsid w:val="00566C19"/>
    <w:rsid w:val="00566C70"/>
    <w:rsid w:val="00566EC6"/>
    <w:rsid w:val="0056727B"/>
    <w:rsid w:val="00567879"/>
    <w:rsid w:val="00567CD4"/>
    <w:rsid w:val="00567ECB"/>
    <w:rsid w:val="005700A0"/>
    <w:rsid w:val="005702B0"/>
    <w:rsid w:val="005705D7"/>
    <w:rsid w:val="005707E3"/>
    <w:rsid w:val="0057099D"/>
    <w:rsid w:val="00570EE4"/>
    <w:rsid w:val="00570F89"/>
    <w:rsid w:val="0057172C"/>
    <w:rsid w:val="00571965"/>
    <w:rsid w:val="00571A10"/>
    <w:rsid w:val="00571B22"/>
    <w:rsid w:val="00572A91"/>
    <w:rsid w:val="005737AF"/>
    <w:rsid w:val="00573A26"/>
    <w:rsid w:val="00574171"/>
    <w:rsid w:val="00574CF9"/>
    <w:rsid w:val="00575055"/>
    <w:rsid w:val="005752E5"/>
    <w:rsid w:val="0057567A"/>
    <w:rsid w:val="005756C1"/>
    <w:rsid w:val="0057572F"/>
    <w:rsid w:val="00576268"/>
    <w:rsid w:val="0057639C"/>
    <w:rsid w:val="00576768"/>
    <w:rsid w:val="005768A0"/>
    <w:rsid w:val="00576DA7"/>
    <w:rsid w:val="00576FD0"/>
    <w:rsid w:val="00577134"/>
    <w:rsid w:val="005773EA"/>
    <w:rsid w:val="0057771D"/>
    <w:rsid w:val="00577D8E"/>
    <w:rsid w:val="00577DB2"/>
    <w:rsid w:val="00577E58"/>
    <w:rsid w:val="005805F4"/>
    <w:rsid w:val="005807A4"/>
    <w:rsid w:val="00580B2D"/>
    <w:rsid w:val="00581147"/>
    <w:rsid w:val="005813EB"/>
    <w:rsid w:val="00581466"/>
    <w:rsid w:val="00581BC2"/>
    <w:rsid w:val="00581F2E"/>
    <w:rsid w:val="00582103"/>
    <w:rsid w:val="005828A9"/>
    <w:rsid w:val="00582986"/>
    <w:rsid w:val="00583391"/>
    <w:rsid w:val="005834E1"/>
    <w:rsid w:val="00583C64"/>
    <w:rsid w:val="00583D01"/>
    <w:rsid w:val="00584568"/>
    <w:rsid w:val="00584BD1"/>
    <w:rsid w:val="005850F4"/>
    <w:rsid w:val="00585565"/>
    <w:rsid w:val="005864B8"/>
    <w:rsid w:val="0058659D"/>
    <w:rsid w:val="005865D1"/>
    <w:rsid w:val="00586720"/>
    <w:rsid w:val="00586806"/>
    <w:rsid w:val="00586F65"/>
    <w:rsid w:val="005873F7"/>
    <w:rsid w:val="00587E4F"/>
    <w:rsid w:val="005900ED"/>
    <w:rsid w:val="005903C9"/>
    <w:rsid w:val="00590CE4"/>
    <w:rsid w:val="00590D11"/>
    <w:rsid w:val="00590D67"/>
    <w:rsid w:val="00591255"/>
    <w:rsid w:val="00591A01"/>
    <w:rsid w:val="00591ACC"/>
    <w:rsid w:val="00591D82"/>
    <w:rsid w:val="00592BC2"/>
    <w:rsid w:val="00592E53"/>
    <w:rsid w:val="00593041"/>
    <w:rsid w:val="0059328B"/>
    <w:rsid w:val="005932BD"/>
    <w:rsid w:val="005932E2"/>
    <w:rsid w:val="00594C15"/>
    <w:rsid w:val="00594F8C"/>
    <w:rsid w:val="005952EC"/>
    <w:rsid w:val="00595406"/>
    <w:rsid w:val="00595B71"/>
    <w:rsid w:val="00595CCD"/>
    <w:rsid w:val="005968AC"/>
    <w:rsid w:val="00596DB5"/>
    <w:rsid w:val="005974A2"/>
    <w:rsid w:val="00597505"/>
    <w:rsid w:val="00597B2D"/>
    <w:rsid w:val="00597D7E"/>
    <w:rsid w:val="005A0179"/>
    <w:rsid w:val="005A0325"/>
    <w:rsid w:val="005A0340"/>
    <w:rsid w:val="005A0C7F"/>
    <w:rsid w:val="005A10AB"/>
    <w:rsid w:val="005A13D7"/>
    <w:rsid w:val="005A156A"/>
    <w:rsid w:val="005A172E"/>
    <w:rsid w:val="005A1A9F"/>
    <w:rsid w:val="005A1CF9"/>
    <w:rsid w:val="005A20B1"/>
    <w:rsid w:val="005A2334"/>
    <w:rsid w:val="005A2EC5"/>
    <w:rsid w:val="005A2F44"/>
    <w:rsid w:val="005A2F64"/>
    <w:rsid w:val="005A3319"/>
    <w:rsid w:val="005A3349"/>
    <w:rsid w:val="005A334F"/>
    <w:rsid w:val="005A3BD9"/>
    <w:rsid w:val="005A4540"/>
    <w:rsid w:val="005A4F6B"/>
    <w:rsid w:val="005A54DA"/>
    <w:rsid w:val="005A551B"/>
    <w:rsid w:val="005A5588"/>
    <w:rsid w:val="005A5735"/>
    <w:rsid w:val="005A5F66"/>
    <w:rsid w:val="005A63E2"/>
    <w:rsid w:val="005A70C3"/>
    <w:rsid w:val="005A7714"/>
    <w:rsid w:val="005B08B4"/>
    <w:rsid w:val="005B0ADA"/>
    <w:rsid w:val="005B126C"/>
    <w:rsid w:val="005B1ACA"/>
    <w:rsid w:val="005B1CA1"/>
    <w:rsid w:val="005B1D2D"/>
    <w:rsid w:val="005B266B"/>
    <w:rsid w:val="005B2920"/>
    <w:rsid w:val="005B29AF"/>
    <w:rsid w:val="005B2A37"/>
    <w:rsid w:val="005B2C78"/>
    <w:rsid w:val="005B360B"/>
    <w:rsid w:val="005B38C7"/>
    <w:rsid w:val="005B38F6"/>
    <w:rsid w:val="005B490D"/>
    <w:rsid w:val="005B4B0B"/>
    <w:rsid w:val="005B5214"/>
    <w:rsid w:val="005B5962"/>
    <w:rsid w:val="005B59F2"/>
    <w:rsid w:val="005B5D99"/>
    <w:rsid w:val="005B6224"/>
    <w:rsid w:val="005B6B44"/>
    <w:rsid w:val="005B6B51"/>
    <w:rsid w:val="005B7011"/>
    <w:rsid w:val="005B74C0"/>
    <w:rsid w:val="005B75F2"/>
    <w:rsid w:val="005B78B2"/>
    <w:rsid w:val="005C0454"/>
    <w:rsid w:val="005C16D7"/>
    <w:rsid w:val="005C1B70"/>
    <w:rsid w:val="005C2065"/>
    <w:rsid w:val="005C238F"/>
    <w:rsid w:val="005C26C2"/>
    <w:rsid w:val="005C3CD6"/>
    <w:rsid w:val="005C3ECE"/>
    <w:rsid w:val="005C42AF"/>
    <w:rsid w:val="005C4919"/>
    <w:rsid w:val="005C54CF"/>
    <w:rsid w:val="005C5763"/>
    <w:rsid w:val="005C5F5E"/>
    <w:rsid w:val="005C610C"/>
    <w:rsid w:val="005C6751"/>
    <w:rsid w:val="005C6AAA"/>
    <w:rsid w:val="005C6B62"/>
    <w:rsid w:val="005C7C3C"/>
    <w:rsid w:val="005D028C"/>
    <w:rsid w:val="005D086B"/>
    <w:rsid w:val="005D0E0B"/>
    <w:rsid w:val="005D100B"/>
    <w:rsid w:val="005D17D5"/>
    <w:rsid w:val="005D1B59"/>
    <w:rsid w:val="005D1F64"/>
    <w:rsid w:val="005D2199"/>
    <w:rsid w:val="005D260D"/>
    <w:rsid w:val="005D2648"/>
    <w:rsid w:val="005D2B62"/>
    <w:rsid w:val="005D2B90"/>
    <w:rsid w:val="005D2EB3"/>
    <w:rsid w:val="005D2FFB"/>
    <w:rsid w:val="005D36A1"/>
    <w:rsid w:val="005D3FD4"/>
    <w:rsid w:val="005D4306"/>
    <w:rsid w:val="005D4A78"/>
    <w:rsid w:val="005D4B4D"/>
    <w:rsid w:val="005D5169"/>
    <w:rsid w:val="005D5960"/>
    <w:rsid w:val="005D5EB7"/>
    <w:rsid w:val="005D5FA1"/>
    <w:rsid w:val="005D60B0"/>
    <w:rsid w:val="005D60FD"/>
    <w:rsid w:val="005D623F"/>
    <w:rsid w:val="005D6DC0"/>
    <w:rsid w:val="005D735B"/>
    <w:rsid w:val="005D74A8"/>
    <w:rsid w:val="005D7D09"/>
    <w:rsid w:val="005E00EB"/>
    <w:rsid w:val="005E0873"/>
    <w:rsid w:val="005E0D69"/>
    <w:rsid w:val="005E15FB"/>
    <w:rsid w:val="005E1987"/>
    <w:rsid w:val="005E1C77"/>
    <w:rsid w:val="005E27EC"/>
    <w:rsid w:val="005E334E"/>
    <w:rsid w:val="005E3731"/>
    <w:rsid w:val="005E38DD"/>
    <w:rsid w:val="005E3BD9"/>
    <w:rsid w:val="005E3D3E"/>
    <w:rsid w:val="005E3EE2"/>
    <w:rsid w:val="005E401D"/>
    <w:rsid w:val="005E4365"/>
    <w:rsid w:val="005E455B"/>
    <w:rsid w:val="005E4AC5"/>
    <w:rsid w:val="005E55A1"/>
    <w:rsid w:val="005E55C4"/>
    <w:rsid w:val="005E55D7"/>
    <w:rsid w:val="005E5C37"/>
    <w:rsid w:val="005E5F00"/>
    <w:rsid w:val="005E6750"/>
    <w:rsid w:val="005E6B2F"/>
    <w:rsid w:val="005E6DE4"/>
    <w:rsid w:val="005E6EC5"/>
    <w:rsid w:val="005E7A93"/>
    <w:rsid w:val="005E7ED2"/>
    <w:rsid w:val="005F02E2"/>
    <w:rsid w:val="005F0307"/>
    <w:rsid w:val="005F0BA3"/>
    <w:rsid w:val="005F1005"/>
    <w:rsid w:val="005F12D6"/>
    <w:rsid w:val="005F16BD"/>
    <w:rsid w:val="005F1849"/>
    <w:rsid w:val="005F190A"/>
    <w:rsid w:val="005F1D1F"/>
    <w:rsid w:val="005F2523"/>
    <w:rsid w:val="005F268A"/>
    <w:rsid w:val="005F2E57"/>
    <w:rsid w:val="005F2F9C"/>
    <w:rsid w:val="005F32E3"/>
    <w:rsid w:val="005F3338"/>
    <w:rsid w:val="005F345D"/>
    <w:rsid w:val="005F3BA1"/>
    <w:rsid w:val="005F3C16"/>
    <w:rsid w:val="005F3C46"/>
    <w:rsid w:val="005F43CF"/>
    <w:rsid w:val="005F4421"/>
    <w:rsid w:val="005F4AB4"/>
    <w:rsid w:val="005F5294"/>
    <w:rsid w:val="005F577E"/>
    <w:rsid w:val="005F5993"/>
    <w:rsid w:val="005F5B3D"/>
    <w:rsid w:val="005F5C19"/>
    <w:rsid w:val="005F5D24"/>
    <w:rsid w:val="005F6161"/>
    <w:rsid w:val="005F6286"/>
    <w:rsid w:val="005F6449"/>
    <w:rsid w:val="005F64C7"/>
    <w:rsid w:val="005F6F56"/>
    <w:rsid w:val="005F7508"/>
    <w:rsid w:val="005F79E8"/>
    <w:rsid w:val="005F7EEE"/>
    <w:rsid w:val="006004B4"/>
    <w:rsid w:val="00600E8F"/>
    <w:rsid w:val="0060188A"/>
    <w:rsid w:val="00602013"/>
    <w:rsid w:val="0060223A"/>
    <w:rsid w:val="006023CA"/>
    <w:rsid w:val="00602664"/>
    <w:rsid w:val="00602737"/>
    <w:rsid w:val="00602767"/>
    <w:rsid w:val="00603501"/>
    <w:rsid w:val="006036B9"/>
    <w:rsid w:val="006037B9"/>
    <w:rsid w:val="00603847"/>
    <w:rsid w:val="00603C5F"/>
    <w:rsid w:val="006040B0"/>
    <w:rsid w:val="00604D45"/>
    <w:rsid w:val="0060515A"/>
    <w:rsid w:val="006051EF"/>
    <w:rsid w:val="00605212"/>
    <w:rsid w:val="006059F8"/>
    <w:rsid w:val="00605C4B"/>
    <w:rsid w:val="00605CDD"/>
    <w:rsid w:val="00606216"/>
    <w:rsid w:val="006063B5"/>
    <w:rsid w:val="0060644E"/>
    <w:rsid w:val="006064DE"/>
    <w:rsid w:val="0060734A"/>
    <w:rsid w:val="00607574"/>
    <w:rsid w:val="00607618"/>
    <w:rsid w:val="006076A7"/>
    <w:rsid w:val="00607D31"/>
    <w:rsid w:val="00607EC9"/>
    <w:rsid w:val="0061038F"/>
    <w:rsid w:val="00610483"/>
    <w:rsid w:val="00610594"/>
    <w:rsid w:val="00610F61"/>
    <w:rsid w:val="00611078"/>
    <w:rsid w:val="0061143F"/>
    <w:rsid w:val="00611819"/>
    <w:rsid w:val="00611EB6"/>
    <w:rsid w:val="00612134"/>
    <w:rsid w:val="00612556"/>
    <w:rsid w:val="0061265A"/>
    <w:rsid w:val="00612DB1"/>
    <w:rsid w:val="00612FB4"/>
    <w:rsid w:val="0061360D"/>
    <w:rsid w:val="00613C78"/>
    <w:rsid w:val="00614078"/>
    <w:rsid w:val="006140E5"/>
    <w:rsid w:val="006141B6"/>
    <w:rsid w:val="006144B5"/>
    <w:rsid w:val="00614609"/>
    <w:rsid w:val="006148C9"/>
    <w:rsid w:val="006149B4"/>
    <w:rsid w:val="00615078"/>
    <w:rsid w:val="00615A3D"/>
    <w:rsid w:val="00615AC8"/>
    <w:rsid w:val="00616349"/>
    <w:rsid w:val="006169D1"/>
    <w:rsid w:val="00616D6E"/>
    <w:rsid w:val="006177FD"/>
    <w:rsid w:val="0061783E"/>
    <w:rsid w:val="00617EA3"/>
    <w:rsid w:val="00620308"/>
    <w:rsid w:val="00620322"/>
    <w:rsid w:val="0062046C"/>
    <w:rsid w:val="00620DAB"/>
    <w:rsid w:val="00621AC4"/>
    <w:rsid w:val="00621C4D"/>
    <w:rsid w:val="00621DA6"/>
    <w:rsid w:val="00623087"/>
    <w:rsid w:val="00623487"/>
    <w:rsid w:val="006234DB"/>
    <w:rsid w:val="00623C8E"/>
    <w:rsid w:val="0062400F"/>
    <w:rsid w:val="0062435B"/>
    <w:rsid w:val="00624906"/>
    <w:rsid w:val="0062532B"/>
    <w:rsid w:val="00625712"/>
    <w:rsid w:val="00625758"/>
    <w:rsid w:val="00625A85"/>
    <w:rsid w:val="006260F0"/>
    <w:rsid w:val="006266DD"/>
    <w:rsid w:val="006274E9"/>
    <w:rsid w:val="00627ABB"/>
    <w:rsid w:val="00627B9C"/>
    <w:rsid w:val="00630859"/>
    <w:rsid w:val="0063106D"/>
    <w:rsid w:val="006312F2"/>
    <w:rsid w:val="00631719"/>
    <w:rsid w:val="0063178D"/>
    <w:rsid w:val="00631D40"/>
    <w:rsid w:val="006320B0"/>
    <w:rsid w:val="0063248D"/>
    <w:rsid w:val="00632553"/>
    <w:rsid w:val="006335D4"/>
    <w:rsid w:val="00633657"/>
    <w:rsid w:val="00633958"/>
    <w:rsid w:val="00633A9E"/>
    <w:rsid w:val="00634723"/>
    <w:rsid w:val="0063485E"/>
    <w:rsid w:val="00634A0E"/>
    <w:rsid w:val="00634F7E"/>
    <w:rsid w:val="0063512C"/>
    <w:rsid w:val="0063538E"/>
    <w:rsid w:val="006355AB"/>
    <w:rsid w:val="006361B0"/>
    <w:rsid w:val="00636A22"/>
    <w:rsid w:val="00636C91"/>
    <w:rsid w:val="00637452"/>
    <w:rsid w:val="006374F0"/>
    <w:rsid w:val="00637924"/>
    <w:rsid w:val="00637A10"/>
    <w:rsid w:val="00637AAA"/>
    <w:rsid w:val="00640264"/>
    <w:rsid w:val="00640CAD"/>
    <w:rsid w:val="00640CF6"/>
    <w:rsid w:val="006418A6"/>
    <w:rsid w:val="00641B8A"/>
    <w:rsid w:val="00641C7E"/>
    <w:rsid w:val="00641C94"/>
    <w:rsid w:val="00642631"/>
    <w:rsid w:val="0064288E"/>
    <w:rsid w:val="006428AE"/>
    <w:rsid w:val="0064297E"/>
    <w:rsid w:val="00642DA8"/>
    <w:rsid w:val="00642EF5"/>
    <w:rsid w:val="006430AA"/>
    <w:rsid w:val="00643288"/>
    <w:rsid w:val="00643865"/>
    <w:rsid w:val="00643BF0"/>
    <w:rsid w:val="00644332"/>
    <w:rsid w:val="006444CA"/>
    <w:rsid w:val="006449D1"/>
    <w:rsid w:val="00644ACC"/>
    <w:rsid w:val="00644B94"/>
    <w:rsid w:val="00644F4F"/>
    <w:rsid w:val="00645589"/>
    <w:rsid w:val="00645BA0"/>
    <w:rsid w:val="00646C5B"/>
    <w:rsid w:val="00647754"/>
    <w:rsid w:val="00647EDC"/>
    <w:rsid w:val="006500CC"/>
    <w:rsid w:val="0065022C"/>
    <w:rsid w:val="00650833"/>
    <w:rsid w:val="00650915"/>
    <w:rsid w:val="00650B52"/>
    <w:rsid w:val="00650FC6"/>
    <w:rsid w:val="0065121F"/>
    <w:rsid w:val="00651A0E"/>
    <w:rsid w:val="00651F82"/>
    <w:rsid w:val="00652B30"/>
    <w:rsid w:val="00652CC6"/>
    <w:rsid w:val="00652F53"/>
    <w:rsid w:val="006540FD"/>
    <w:rsid w:val="00654158"/>
    <w:rsid w:val="006545E1"/>
    <w:rsid w:val="00654AE7"/>
    <w:rsid w:val="00654C1E"/>
    <w:rsid w:val="00654C56"/>
    <w:rsid w:val="006559C0"/>
    <w:rsid w:val="006559FC"/>
    <w:rsid w:val="00655B65"/>
    <w:rsid w:val="00655B69"/>
    <w:rsid w:val="00655C68"/>
    <w:rsid w:val="00655D18"/>
    <w:rsid w:val="0065614F"/>
    <w:rsid w:val="00656333"/>
    <w:rsid w:val="00656B2C"/>
    <w:rsid w:val="00656C2C"/>
    <w:rsid w:val="00657076"/>
    <w:rsid w:val="0065741B"/>
    <w:rsid w:val="00657BF4"/>
    <w:rsid w:val="006608EA"/>
    <w:rsid w:val="00660C52"/>
    <w:rsid w:val="00660C76"/>
    <w:rsid w:val="00660DA6"/>
    <w:rsid w:val="0066147A"/>
    <w:rsid w:val="006618AD"/>
    <w:rsid w:val="00661C46"/>
    <w:rsid w:val="00662067"/>
    <w:rsid w:val="00662663"/>
    <w:rsid w:val="006629AD"/>
    <w:rsid w:val="00662DF9"/>
    <w:rsid w:val="00662E6D"/>
    <w:rsid w:val="00662FA4"/>
    <w:rsid w:val="00662FE5"/>
    <w:rsid w:val="00663045"/>
    <w:rsid w:val="00663243"/>
    <w:rsid w:val="0066383C"/>
    <w:rsid w:val="0066480B"/>
    <w:rsid w:val="00664DE1"/>
    <w:rsid w:val="00664E6F"/>
    <w:rsid w:val="0066586D"/>
    <w:rsid w:val="00665CBC"/>
    <w:rsid w:val="00667206"/>
    <w:rsid w:val="00667563"/>
    <w:rsid w:val="00667AB2"/>
    <w:rsid w:val="00670DCD"/>
    <w:rsid w:val="00671BE5"/>
    <w:rsid w:val="006724E2"/>
    <w:rsid w:val="00672C58"/>
    <w:rsid w:val="00672CCB"/>
    <w:rsid w:val="00672D8B"/>
    <w:rsid w:val="0067342C"/>
    <w:rsid w:val="006739EA"/>
    <w:rsid w:val="00673B51"/>
    <w:rsid w:val="006750E6"/>
    <w:rsid w:val="00675530"/>
    <w:rsid w:val="0067570A"/>
    <w:rsid w:val="006757B0"/>
    <w:rsid w:val="0067610D"/>
    <w:rsid w:val="0067678B"/>
    <w:rsid w:val="00677958"/>
    <w:rsid w:val="00677D86"/>
    <w:rsid w:val="00677FB3"/>
    <w:rsid w:val="00680BB5"/>
    <w:rsid w:val="006810CF"/>
    <w:rsid w:val="00681482"/>
    <w:rsid w:val="00681823"/>
    <w:rsid w:val="00682491"/>
    <w:rsid w:val="0068259C"/>
    <w:rsid w:val="0068272A"/>
    <w:rsid w:val="00682834"/>
    <w:rsid w:val="00682AB7"/>
    <w:rsid w:val="00682BD6"/>
    <w:rsid w:val="00682C40"/>
    <w:rsid w:val="00683797"/>
    <w:rsid w:val="00683B36"/>
    <w:rsid w:val="00683ED4"/>
    <w:rsid w:val="00684D65"/>
    <w:rsid w:val="0068568F"/>
    <w:rsid w:val="006857E9"/>
    <w:rsid w:val="006861FF"/>
    <w:rsid w:val="0068666D"/>
    <w:rsid w:val="00686C6C"/>
    <w:rsid w:val="00686D8F"/>
    <w:rsid w:val="00686E1A"/>
    <w:rsid w:val="00686FC1"/>
    <w:rsid w:val="00687051"/>
    <w:rsid w:val="0068747A"/>
    <w:rsid w:val="006874C3"/>
    <w:rsid w:val="006875C4"/>
    <w:rsid w:val="00687841"/>
    <w:rsid w:val="006913C4"/>
    <w:rsid w:val="0069178D"/>
    <w:rsid w:val="0069191E"/>
    <w:rsid w:val="006919A7"/>
    <w:rsid w:val="00692001"/>
    <w:rsid w:val="0069249C"/>
    <w:rsid w:val="00692713"/>
    <w:rsid w:val="00692973"/>
    <w:rsid w:val="00692C3E"/>
    <w:rsid w:val="00693556"/>
    <w:rsid w:val="006938ED"/>
    <w:rsid w:val="00693A70"/>
    <w:rsid w:val="00693CDD"/>
    <w:rsid w:val="0069484D"/>
    <w:rsid w:val="00694870"/>
    <w:rsid w:val="006948A9"/>
    <w:rsid w:val="006949F3"/>
    <w:rsid w:val="00694AEF"/>
    <w:rsid w:val="00694D62"/>
    <w:rsid w:val="0069622F"/>
    <w:rsid w:val="00696478"/>
    <w:rsid w:val="0069657C"/>
    <w:rsid w:val="00696E9C"/>
    <w:rsid w:val="006972DD"/>
    <w:rsid w:val="00697735"/>
    <w:rsid w:val="00697E92"/>
    <w:rsid w:val="006A03E9"/>
    <w:rsid w:val="006A075C"/>
    <w:rsid w:val="006A09C7"/>
    <w:rsid w:val="006A22A8"/>
    <w:rsid w:val="006A28A3"/>
    <w:rsid w:val="006A2E56"/>
    <w:rsid w:val="006A32CA"/>
    <w:rsid w:val="006A3936"/>
    <w:rsid w:val="006A39EF"/>
    <w:rsid w:val="006A3F17"/>
    <w:rsid w:val="006A4683"/>
    <w:rsid w:val="006A47ED"/>
    <w:rsid w:val="006A48DE"/>
    <w:rsid w:val="006A5619"/>
    <w:rsid w:val="006A57A2"/>
    <w:rsid w:val="006A5F65"/>
    <w:rsid w:val="006A6465"/>
    <w:rsid w:val="006A670A"/>
    <w:rsid w:val="006A6C68"/>
    <w:rsid w:val="006A6E80"/>
    <w:rsid w:val="006A725C"/>
    <w:rsid w:val="006A72F1"/>
    <w:rsid w:val="006A7499"/>
    <w:rsid w:val="006A7874"/>
    <w:rsid w:val="006A7E9A"/>
    <w:rsid w:val="006A7F29"/>
    <w:rsid w:val="006B0053"/>
    <w:rsid w:val="006B0520"/>
    <w:rsid w:val="006B06A3"/>
    <w:rsid w:val="006B0956"/>
    <w:rsid w:val="006B0983"/>
    <w:rsid w:val="006B10D5"/>
    <w:rsid w:val="006B1139"/>
    <w:rsid w:val="006B1211"/>
    <w:rsid w:val="006B133A"/>
    <w:rsid w:val="006B1523"/>
    <w:rsid w:val="006B1D8F"/>
    <w:rsid w:val="006B1DD9"/>
    <w:rsid w:val="006B2A24"/>
    <w:rsid w:val="006B2B49"/>
    <w:rsid w:val="006B2D91"/>
    <w:rsid w:val="006B2E2E"/>
    <w:rsid w:val="006B347C"/>
    <w:rsid w:val="006B347F"/>
    <w:rsid w:val="006B35EE"/>
    <w:rsid w:val="006B375C"/>
    <w:rsid w:val="006B3828"/>
    <w:rsid w:val="006B3B50"/>
    <w:rsid w:val="006B55DB"/>
    <w:rsid w:val="006B6811"/>
    <w:rsid w:val="006B69B9"/>
    <w:rsid w:val="006B779A"/>
    <w:rsid w:val="006B7F8A"/>
    <w:rsid w:val="006C0414"/>
    <w:rsid w:val="006C08DC"/>
    <w:rsid w:val="006C1094"/>
    <w:rsid w:val="006C122D"/>
    <w:rsid w:val="006C1260"/>
    <w:rsid w:val="006C163A"/>
    <w:rsid w:val="006C26A5"/>
    <w:rsid w:val="006C2909"/>
    <w:rsid w:val="006C2FA0"/>
    <w:rsid w:val="006C3144"/>
    <w:rsid w:val="006C335E"/>
    <w:rsid w:val="006C3383"/>
    <w:rsid w:val="006C36EF"/>
    <w:rsid w:val="006C3975"/>
    <w:rsid w:val="006C3C8C"/>
    <w:rsid w:val="006C4694"/>
    <w:rsid w:val="006C4A17"/>
    <w:rsid w:val="006C4B62"/>
    <w:rsid w:val="006C51A9"/>
    <w:rsid w:val="006C58DA"/>
    <w:rsid w:val="006C59D1"/>
    <w:rsid w:val="006C5CC2"/>
    <w:rsid w:val="006C5EE1"/>
    <w:rsid w:val="006C6009"/>
    <w:rsid w:val="006C60F8"/>
    <w:rsid w:val="006C645C"/>
    <w:rsid w:val="006C6DD8"/>
    <w:rsid w:val="006C73F6"/>
    <w:rsid w:val="006C7404"/>
    <w:rsid w:val="006C78CC"/>
    <w:rsid w:val="006D0035"/>
    <w:rsid w:val="006D0248"/>
    <w:rsid w:val="006D0306"/>
    <w:rsid w:val="006D0518"/>
    <w:rsid w:val="006D05F9"/>
    <w:rsid w:val="006D06FC"/>
    <w:rsid w:val="006D194D"/>
    <w:rsid w:val="006D1EFF"/>
    <w:rsid w:val="006D238C"/>
    <w:rsid w:val="006D2C9F"/>
    <w:rsid w:val="006D2D28"/>
    <w:rsid w:val="006D371C"/>
    <w:rsid w:val="006D3847"/>
    <w:rsid w:val="006D3C73"/>
    <w:rsid w:val="006D3CE4"/>
    <w:rsid w:val="006D3D65"/>
    <w:rsid w:val="006D3E72"/>
    <w:rsid w:val="006D4722"/>
    <w:rsid w:val="006D48D0"/>
    <w:rsid w:val="006D4FE0"/>
    <w:rsid w:val="006D5A37"/>
    <w:rsid w:val="006D62D1"/>
    <w:rsid w:val="006D6B82"/>
    <w:rsid w:val="006D7081"/>
    <w:rsid w:val="006D7659"/>
    <w:rsid w:val="006D7710"/>
    <w:rsid w:val="006D7912"/>
    <w:rsid w:val="006E01D9"/>
    <w:rsid w:val="006E025E"/>
    <w:rsid w:val="006E1067"/>
    <w:rsid w:val="006E129D"/>
    <w:rsid w:val="006E1768"/>
    <w:rsid w:val="006E1960"/>
    <w:rsid w:val="006E1DBE"/>
    <w:rsid w:val="006E2007"/>
    <w:rsid w:val="006E216F"/>
    <w:rsid w:val="006E255E"/>
    <w:rsid w:val="006E2D08"/>
    <w:rsid w:val="006E3A99"/>
    <w:rsid w:val="006E473B"/>
    <w:rsid w:val="006E4B08"/>
    <w:rsid w:val="006E4E07"/>
    <w:rsid w:val="006E5659"/>
    <w:rsid w:val="006E649C"/>
    <w:rsid w:val="006E659B"/>
    <w:rsid w:val="006E66F2"/>
    <w:rsid w:val="006E6AC4"/>
    <w:rsid w:val="006E6B5B"/>
    <w:rsid w:val="006E7034"/>
    <w:rsid w:val="006E757E"/>
    <w:rsid w:val="006E7ACB"/>
    <w:rsid w:val="006E7EA0"/>
    <w:rsid w:val="006F0818"/>
    <w:rsid w:val="006F1016"/>
    <w:rsid w:val="006F104D"/>
    <w:rsid w:val="006F14F6"/>
    <w:rsid w:val="006F17B5"/>
    <w:rsid w:val="006F27E7"/>
    <w:rsid w:val="006F295D"/>
    <w:rsid w:val="006F2AAE"/>
    <w:rsid w:val="006F2B0C"/>
    <w:rsid w:val="006F2C67"/>
    <w:rsid w:val="006F2FA3"/>
    <w:rsid w:val="006F3228"/>
    <w:rsid w:val="006F36D6"/>
    <w:rsid w:val="006F3BE7"/>
    <w:rsid w:val="006F3EDF"/>
    <w:rsid w:val="006F3FF8"/>
    <w:rsid w:val="006F41EA"/>
    <w:rsid w:val="006F4B89"/>
    <w:rsid w:val="006F527A"/>
    <w:rsid w:val="006F5A05"/>
    <w:rsid w:val="006F5CC7"/>
    <w:rsid w:val="006F67D6"/>
    <w:rsid w:val="006F7189"/>
    <w:rsid w:val="006F7CBD"/>
    <w:rsid w:val="006F7F6A"/>
    <w:rsid w:val="006F7FAB"/>
    <w:rsid w:val="007004EF"/>
    <w:rsid w:val="007009A0"/>
    <w:rsid w:val="00700A40"/>
    <w:rsid w:val="00700BDE"/>
    <w:rsid w:val="00701093"/>
    <w:rsid w:val="00703221"/>
    <w:rsid w:val="007037DF"/>
    <w:rsid w:val="0070388E"/>
    <w:rsid w:val="00703AED"/>
    <w:rsid w:val="00703BBA"/>
    <w:rsid w:val="00703D7B"/>
    <w:rsid w:val="00704005"/>
    <w:rsid w:val="00704164"/>
    <w:rsid w:val="00704CA2"/>
    <w:rsid w:val="00705AB7"/>
    <w:rsid w:val="00705C7F"/>
    <w:rsid w:val="00705E7B"/>
    <w:rsid w:val="00706464"/>
    <w:rsid w:val="007066D6"/>
    <w:rsid w:val="00706D6F"/>
    <w:rsid w:val="00707170"/>
    <w:rsid w:val="00707337"/>
    <w:rsid w:val="007073E9"/>
    <w:rsid w:val="00707429"/>
    <w:rsid w:val="00707904"/>
    <w:rsid w:val="0070FE85"/>
    <w:rsid w:val="00710CE9"/>
    <w:rsid w:val="00711280"/>
    <w:rsid w:val="00711A75"/>
    <w:rsid w:val="00711B20"/>
    <w:rsid w:val="00712657"/>
    <w:rsid w:val="00712AC8"/>
    <w:rsid w:val="007135E0"/>
    <w:rsid w:val="00713AC8"/>
    <w:rsid w:val="00713DD3"/>
    <w:rsid w:val="0071412A"/>
    <w:rsid w:val="007143EB"/>
    <w:rsid w:val="007149EF"/>
    <w:rsid w:val="007154A3"/>
    <w:rsid w:val="007159DB"/>
    <w:rsid w:val="00715A0D"/>
    <w:rsid w:val="0071682A"/>
    <w:rsid w:val="00716A1E"/>
    <w:rsid w:val="007174AF"/>
    <w:rsid w:val="00717CE6"/>
    <w:rsid w:val="00717D57"/>
    <w:rsid w:val="007201B1"/>
    <w:rsid w:val="00721703"/>
    <w:rsid w:val="0072186F"/>
    <w:rsid w:val="00722ABC"/>
    <w:rsid w:val="00722D30"/>
    <w:rsid w:val="0072341E"/>
    <w:rsid w:val="00723C32"/>
    <w:rsid w:val="00723D40"/>
    <w:rsid w:val="00723F1E"/>
    <w:rsid w:val="007245FA"/>
    <w:rsid w:val="00724737"/>
    <w:rsid w:val="00724831"/>
    <w:rsid w:val="00724880"/>
    <w:rsid w:val="007259B2"/>
    <w:rsid w:val="007262EB"/>
    <w:rsid w:val="0072648A"/>
    <w:rsid w:val="00727516"/>
    <w:rsid w:val="0072755A"/>
    <w:rsid w:val="00727C79"/>
    <w:rsid w:val="00727D2B"/>
    <w:rsid w:val="00727EDC"/>
    <w:rsid w:val="00727FAC"/>
    <w:rsid w:val="00730C8E"/>
    <w:rsid w:val="0073133A"/>
    <w:rsid w:val="007315AC"/>
    <w:rsid w:val="00731646"/>
    <w:rsid w:val="007316C6"/>
    <w:rsid w:val="00731745"/>
    <w:rsid w:val="00731A69"/>
    <w:rsid w:val="00731C2D"/>
    <w:rsid w:val="00731FC9"/>
    <w:rsid w:val="0073290E"/>
    <w:rsid w:val="00732B6F"/>
    <w:rsid w:val="00732C5D"/>
    <w:rsid w:val="00732D0A"/>
    <w:rsid w:val="00733003"/>
    <w:rsid w:val="00733500"/>
    <w:rsid w:val="007339EE"/>
    <w:rsid w:val="00733E2C"/>
    <w:rsid w:val="007340AF"/>
    <w:rsid w:val="007341AA"/>
    <w:rsid w:val="0073469F"/>
    <w:rsid w:val="00734A42"/>
    <w:rsid w:val="00734D06"/>
    <w:rsid w:val="00734DFD"/>
    <w:rsid w:val="007353C0"/>
    <w:rsid w:val="00735BEA"/>
    <w:rsid w:val="00735E57"/>
    <w:rsid w:val="00735FEE"/>
    <w:rsid w:val="007360FA"/>
    <w:rsid w:val="007368F3"/>
    <w:rsid w:val="00736948"/>
    <w:rsid w:val="00736A83"/>
    <w:rsid w:val="00736CE1"/>
    <w:rsid w:val="00737207"/>
    <w:rsid w:val="007373EC"/>
    <w:rsid w:val="0074013A"/>
    <w:rsid w:val="007409CF"/>
    <w:rsid w:val="00740B1C"/>
    <w:rsid w:val="007412A2"/>
    <w:rsid w:val="00741D41"/>
    <w:rsid w:val="00742108"/>
    <w:rsid w:val="00742215"/>
    <w:rsid w:val="007424ED"/>
    <w:rsid w:val="00743B6E"/>
    <w:rsid w:val="00744108"/>
    <w:rsid w:val="0074424A"/>
    <w:rsid w:val="0074437E"/>
    <w:rsid w:val="00744654"/>
    <w:rsid w:val="00745592"/>
    <w:rsid w:val="00745A9F"/>
    <w:rsid w:val="00745D4D"/>
    <w:rsid w:val="00745E3A"/>
    <w:rsid w:val="007465DA"/>
    <w:rsid w:val="00746785"/>
    <w:rsid w:val="00746900"/>
    <w:rsid w:val="007469BF"/>
    <w:rsid w:val="007474F3"/>
    <w:rsid w:val="007474FF"/>
    <w:rsid w:val="007500AA"/>
    <w:rsid w:val="0075027A"/>
    <w:rsid w:val="0075079E"/>
    <w:rsid w:val="00750813"/>
    <w:rsid w:val="00750D1B"/>
    <w:rsid w:val="007515BF"/>
    <w:rsid w:val="0075197F"/>
    <w:rsid w:val="007519D6"/>
    <w:rsid w:val="0075252C"/>
    <w:rsid w:val="0075256C"/>
    <w:rsid w:val="007528BF"/>
    <w:rsid w:val="0075306D"/>
    <w:rsid w:val="0075335A"/>
    <w:rsid w:val="00753769"/>
    <w:rsid w:val="00753A34"/>
    <w:rsid w:val="0075422B"/>
    <w:rsid w:val="00754AFF"/>
    <w:rsid w:val="00754B7A"/>
    <w:rsid w:val="00755002"/>
    <w:rsid w:val="007550A8"/>
    <w:rsid w:val="007554D6"/>
    <w:rsid w:val="0075574D"/>
    <w:rsid w:val="0075598A"/>
    <w:rsid w:val="0075680E"/>
    <w:rsid w:val="007572C3"/>
    <w:rsid w:val="007576C3"/>
    <w:rsid w:val="00757C38"/>
    <w:rsid w:val="00757EF9"/>
    <w:rsid w:val="0075EB3C"/>
    <w:rsid w:val="0076080E"/>
    <w:rsid w:val="00760A44"/>
    <w:rsid w:val="00760F86"/>
    <w:rsid w:val="0076188D"/>
    <w:rsid w:val="00761C35"/>
    <w:rsid w:val="00761E1D"/>
    <w:rsid w:val="00761E3D"/>
    <w:rsid w:val="00761F54"/>
    <w:rsid w:val="00762353"/>
    <w:rsid w:val="00762493"/>
    <w:rsid w:val="007624A4"/>
    <w:rsid w:val="007626F8"/>
    <w:rsid w:val="00762815"/>
    <w:rsid w:val="00762A0B"/>
    <w:rsid w:val="00762C92"/>
    <w:rsid w:val="00762F20"/>
    <w:rsid w:val="00763515"/>
    <w:rsid w:val="00764E5F"/>
    <w:rsid w:val="007652AE"/>
    <w:rsid w:val="007661A4"/>
    <w:rsid w:val="00766457"/>
    <w:rsid w:val="007671E3"/>
    <w:rsid w:val="00767999"/>
    <w:rsid w:val="00767E1B"/>
    <w:rsid w:val="007705C6"/>
    <w:rsid w:val="00770C76"/>
    <w:rsid w:val="00770E7E"/>
    <w:rsid w:val="007716FE"/>
    <w:rsid w:val="00771AA2"/>
    <w:rsid w:val="007730CF"/>
    <w:rsid w:val="0077385A"/>
    <w:rsid w:val="007739FC"/>
    <w:rsid w:val="00773BB5"/>
    <w:rsid w:val="007745E0"/>
    <w:rsid w:val="0077493F"/>
    <w:rsid w:val="00774D2C"/>
    <w:rsid w:val="00774D3A"/>
    <w:rsid w:val="00775833"/>
    <w:rsid w:val="00775B29"/>
    <w:rsid w:val="0077600F"/>
    <w:rsid w:val="00776112"/>
    <w:rsid w:val="00776B3D"/>
    <w:rsid w:val="00776DEA"/>
    <w:rsid w:val="00777943"/>
    <w:rsid w:val="00777AB0"/>
    <w:rsid w:val="00777DDD"/>
    <w:rsid w:val="00780615"/>
    <w:rsid w:val="00780B4C"/>
    <w:rsid w:val="0078156F"/>
    <w:rsid w:val="0078165C"/>
    <w:rsid w:val="007816C7"/>
    <w:rsid w:val="00781849"/>
    <w:rsid w:val="007827AC"/>
    <w:rsid w:val="007828B1"/>
    <w:rsid w:val="007833A6"/>
    <w:rsid w:val="0078351B"/>
    <w:rsid w:val="007837A3"/>
    <w:rsid w:val="007838F3"/>
    <w:rsid w:val="00783CB8"/>
    <w:rsid w:val="00783D0E"/>
    <w:rsid w:val="00783ECB"/>
    <w:rsid w:val="00783F57"/>
    <w:rsid w:val="00784243"/>
    <w:rsid w:val="00784824"/>
    <w:rsid w:val="007859F1"/>
    <w:rsid w:val="00785D3F"/>
    <w:rsid w:val="00785F26"/>
    <w:rsid w:val="00785FF9"/>
    <w:rsid w:val="00786AE9"/>
    <w:rsid w:val="00786D73"/>
    <w:rsid w:val="00786F4E"/>
    <w:rsid w:val="007872B6"/>
    <w:rsid w:val="00787860"/>
    <w:rsid w:val="00787B37"/>
    <w:rsid w:val="00790E72"/>
    <w:rsid w:val="00791069"/>
    <w:rsid w:val="007917A1"/>
    <w:rsid w:val="00791833"/>
    <w:rsid w:val="007926F4"/>
    <w:rsid w:val="007927D9"/>
    <w:rsid w:val="00793403"/>
    <w:rsid w:val="00793412"/>
    <w:rsid w:val="00793A59"/>
    <w:rsid w:val="00793CE0"/>
    <w:rsid w:val="00793FA6"/>
    <w:rsid w:val="0079425D"/>
    <w:rsid w:val="007957C2"/>
    <w:rsid w:val="00795D18"/>
    <w:rsid w:val="00795E4F"/>
    <w:rsid w:val="00796017"/>
    <w:rsid w:val="0079638B"/>
    <w:rsid w:val="007963A9"/>
    <w:rsid w:val="0079685B"/>
    <w:rsid w:val="00796CEB"/>
    <w:rsid w:val="00796E07"/>
    <w:rsid w:val="00797439"/>
    <w:rsid w:val="00797470"/>
    <w:rsid w:val="007977D3"/>
    <w:rsid w:val="00797B52"/>
    <w:rsid w:val="00797B64"/>
    <w:rsid w:val="00797C77"/>
    <w:rsid w:val="007A0B8F"/>
    <w:rsid w:val="007A158B"/>
    <w:rsid w:val="007A16F6"/>
    <w:rsid w:val="007A1CFF"/>
    <w:rsid w:val="007A2582"/>
    <w:rsid w:val="007A269C"/>
    <w:rsid w:val="007A29A6"/>
    <w:rsid w:val="007A311C"/>
    <w:rsid w:val="007A3441"/>
    <w:rsid w:val="007A3846"/>
    <w:rsid w:val="007A38C4"/>
    <w:rsid w:val="007A39CD"/>
    <w:rsid w:val="007A4364"/>
    <w:rsid w:val="007A48BF"/>
    <w:rsid w:val="007A4A9F"/>
    <w:rsid w:val="007A4B7C"/>
    <w:rsid w:val="007A5068"/>
    <w:rsid w:val="007A55D5"/>
    <w:rsid w:val="007A59D2"/>
    <w:rsid w:val="007A5BF8"/>
    <w:rsid w:val="007A5C52"/>
    <w:rsid w:val="007A6279"/>
    <w:rsid w:val="007A6A9F"/>
    <w:rsid w:val="007A7663"/>
    <w:rsid w:val="007A7764"/>
    <w:rsid w:val="007A7F03"/>
    <w:rsid w:val="007B0115"/>
    <w:rsid w:val="007B02A0"/>
    <w:rsid w:val="007B0826"/>
    <w:rsid w:val="007B249F"/>
    <w:rsid w:val="007B2DD2"/>
    <w:rsid w:val="007B2F00"/>
    <w:rsid w:val="007B36E7"/>
    <w:rsid w:val="007B4292"/>
    <w:rsid w:val="007B5862"/>
    <w:rsid w:val="007B63EE"/>
    <w:rsid w:val="007B65D8"/>
    <w:rsid w:val="007B730D"/>
    <w:rsid w:val="007B73B8"/>
    <w:rsid w:val="007B7763"/>
    <w:rsid w:val="007C0A5E"/>
    <w:rsid w:val="007C0DAF"/>
    <w:rsid w:val="007C0EA0"/>
    <w:rsid w:val="007C1512"/>
    <w:rsid w:val="007C1741"/>
    <w:rsid w:val="007C1CE5"/>
    <w:rsid w:val="007C1D99"/>
    <w:rsid w:val="007C1F63"/>
    <w:rsid w:val="007C1FFF"/>
    <w:rsid w:val="007C2545"/>
    <w:rsid w:val="007C29DB"/>
    <w:rsid w:val="007C2FC6"/>
    <w:rsid w:val="007C311E"/>
    <w:rsid w:val="007C3322"/>
    <w:rsid w:val="007C37F9"/>
    <w:rsid w:val="007C38A4"/>
    <w:rsid w:val="007C3C70"/>
    <w:rsid w:val="007C4033"/>
    <w:rsid w:val="007C467D"/>
    <w:rsid w:val="007C4954"/>
    <w:rsid w:val="007C4B69"/>
    <w:rsid w:val="007C4E0E"/>
    <w:rsid w:val="007C538F"/>
    <w:rsid w:val="007C5396"/>
    <w:rsid w:val="007C6232"/>
    <w:rsid w:val="007C62CF"/>
    <w:rsid w:val="007C66D2"/>
    <w:rsid w:val="007C6EF3"/>
    <w:rsid w:val="007C762A"/>
    <w:rsid w:val="007C7964"/>
    <w:rsid w:val="007C7E1B"/>
    <w:rsid w:val="007D0060"/>
    <w:rsid w:val="007D08E1"/>
    <w:rsid w:val="007D0AAC"/>
    <w:rsid w:val="007D0CBA"/>
    <w:rsid w:val="007D1A8D"/>
    <w:rsid w:val="007D1F31"/>
    <w:rsid w:val="007D327A"/>
    <w:rsid w:val="007D3BD1"/>
    <w:rsid w:val="007D3D19"/>
    <w:rsid w:val="007D3E31"/>
    <w:rsid w:val="007D3EB2"/>
    <w:rsid w:val="007D505D"/>
    <w:rsid w:val="007D5072"/>
    <w:rsid w:val="007D55B7"/>
    <w:rsid w:val="007D56D1"/>
    <w:rsid w:val="007D5A3D"/>
    <w:rsid w:val="007D5BD4"/>
    <w:rsid w:val="007D5E43"/>
    <w:rsid w:val="007D5E9B"/>
    <w:rsid w:val="007D6133"/>
    <w:rsid w:val="007D662D"/>
    <w:rsid w:val="007D7100"/>
    <w:rsid w:val="007D735E"/>
    <w:rsid w:val="007D7A15"/>
    <w:rsid w:val="007E0D74"/>
    <w:rsid w:val="007E158F"/>
    <w:rsid w:val="007E19C3"/>
    <w:rsid w:val="007E20ED"/>
    <w:rsid w:val="007E279F"/>
    <w:rsid w:val="007E2A0A"/>
    <w:rsid w:val="007E321A"/>
    <w:rsid w:val="007E36DC"/>
    <w:rsid w:val="007E3727"/>
    <w:rsid w:val="007E43E6"/>
    <w:rsid w:val="007E497B"/>
    <w:rsid w:val="007E4DA0"/>
    <w:rsid w:val="007E584B"/>
    <w:rsid w:val="007E5990"/>
    <w:rsid w:val="007E5E86"/>
    <w:rsid w:val="007E666D"/>
    <w:rsid w:val="007E66E5"/>
    <w:rsid w:val="007E67AF"/>
    <w:rsid w:val="007E68DC"/>
    <w:rsid w:val="007E6A4A"/>
    <w:rsid w:val="007E7088"/>
    <w:rsid w:val="007E7CDF"/>
    <w:rsid w:val="007E7CF2"/>
    <w:rsid w:val="007F0151"/>
    <w:rsid w:val="007F03D5"/>
    <w:rsid w:val="007F06B8"/>
    <w:rsid w:val="007F0FE4"/>
    <w:rsid w:val="007F130C"/>
    <w:rsid w:val="007F16C6"/>
    <w:rsid w:val="007F222B"/>
    <w:rsid w:val="007F262D"/>
    <w:rsid w:val="007F27C0"/>
    <w:rsid w:val="007F29EA"/>
    <w:rsid w:val="007F2AEE"/>
    <w:rsid w:val="007F315E"/>
    <w:rsid w:val="007F328D"/>
    <w:rsid w:val="007F3A16"/>
    <w:rsid w:val="007F4139"/>
    <w:rsid w:val="007F44CF"/>
    <w:rsid w:val="007F48D9"/>
    <w:rsid w:val="007F4C6E"/>
    <w:rsid w:val="007F4FCA"/>
    <w:rsid w:val="007F51AA"/>
    <w:rsid w:val="007F5605"/>
    <w:rsid w:val="007F5CAA"/>
    <w:rsid w:val="007F6041"/>
    <w:rsid w:val="007F676A"/>
    <w:rsid w:val="007F6A16"/>
    <w:rsid w:val="007F6EAB"/>
    <w:rsid w:val="007F7125"/>
    <w:rsid w:val="007F7775"/>
    <w:rsid w:val="007F77ED"/>
    <w:rsid w:val="007F78B6"/>
    <w:rsid w:val="00800C9A"/>
    <w:rsid w:val="008019E1"/>
    <w:rsid w:val="00801F50"/>
    <w:rsid w:val="00801FA2"/>
    <w:rsid w:val="0080252C"/>
    <w:rsid w:val="008025B6"/>
    <w:rsid w:val="008025DC"/>
    <w:rsid w:val="00802960"/>
    <w:rsid w:val="00802D8C"/>
    <w:rsid w:val="00802E19"/>
    <w:rsid w:val="008036B8"/>
    <w:rsid w:val="00803D6E"/>
    <w:rsid w:val="00803EC7"/>
    <w:rsid w:val="00803FE4"/>
    <w:rsid w:val="00804161"/>
    <w:rsid w:val="008046B7"/>
    <w:rsid w:val="00804D09"/>
    <w:rsid w:val="0080537D"/>
    <w:rsid w:val="008058BA"/>
    <w:rsid w:val="008059FA"/>
    <w:rsid w:val="00805B38"/>
    <w:rsid w:val="008060ED"/>
    <w:rsid w:val="0080727C"/>
    <w:rsid w:val="008076EE"/>
    <w:rsid w:val="00807D84"/>
    <w:rsid w:val="00807E30"/>
    <w:rsid w:val="00810122"/>
    <w:rsid w:val="008107F1"/>
    <w:rsid w:val="00810826"/>
    <w:rsid w:val="008109CC"/>
    <w:rsid w:val="00810F65"/>
    <w:rsid w:val="00811196"/>
    <w:rsid w:val="00811703"/>
    <w:rsid w:val="008118B4"/>
    <w:rsid w:val="00811D8A"/>
    <w:rsid w:val="00812088"/>
    <w:rsid w:val="00812285"/>
    <w:rsid w:val="00812527"/>
    <w:rsid w:val="008126AB"/>
    <w:rsid w:val="0081279C"/>
    <w:rsid w:val="00812BD6"/>
    <w:rsid w:val="0081303A"/>
    <w:rsid w:val="008130DA"/>
    <w:rsid w:val="00813F3C"/>
    <w:rsid w:val="0081407D"/>
    <w:rsid w:val="00814B30"/>
    <w:rsid w:val="00814CC2"/>
    <w:rsid w:val="008151F5"/>
    <w:rsid w:val="0081549C"/>
    <w:rsid w:val="00815574"/>
    <w:rsid w:val="00815B58"/>
    <w:rsid w:val="00816162"/>
    <w:rsid w:val="00816431"/>
    <w:rsid w:val="00816BAD"/>
    <w:rsid w:val="00816DE4"/>
    <w:rsid w:val="00817056"/>
    <w:rsid w:val="0081743A"/>
    <w:rsid w:val="00817E3B"/>
    <w:rsid w:val="00817F67"/>
    <w:rsid w:val="008200E6"/>
    <w:rsid w:val="00820104"/>
    <w:rsid w:val="00820B12"/>
    <w:rsid w:val="00820C40"/>
    <w:rsid w:val="008219B4"/>
    <w:rsid w:val="00821EF9"/>
    <w:rsid w:val="00822181"/>
    <w:rsid w:val="008221A2"/>
    <w:rsid w:val="00823081"/>
    <w:rsid w:val="00823228"/>
    <w:rsid w:val="00823525"/>
    <w:rsid w:val="008237FC"/>
    <w:rsid w:val="00823804"/>
    <w:rsid w:val="00823DFE"/>
    <w:rsid w:val="00823F90"/>
    <w:rsid w:val="0082409D"/>
    <w:rsid w:val="00824611"/>
    <w:rsid w:val="00824691"/>
    <w:rsid w:val="00824739"/>
    <w:rsid w:val="00825009"/>
    <w:rsid w:val="00825165"/>
    <w:rsid w:val="008255F4"/>
    <w:rsid w:val="008258B6"/>
    <w:rsid w:val="008258DF"/>
    <w:rsid w:val="00826021"/>
    <w:rsid w:val="008261C0"/>
    <w:rsid w:val="0082633F"/>
    <w:rsid w:val="0082678E"/>
    <w:rsid w:val="00826983"/>
    <w:rsid w:val="0082703A"/>
    <w:rsid w:val="008274E1"/>
    <w:rsid w:val="008279E1"/>
    <w:rsid w:val="0083029C"/>
    <w:rsid w:val="008302B6"/>
    <w:rsid w:val="00830A96"/>
    <w:rsid w:val="0083111B"/>
    <w:rsid w:val="008323FA"/>
    <w:rsid w:val="0083247F"/>
    <w:rsid w:val="00832C67"/>
    <w:rsid w:val="008331FF"/>
    <w:rsid w:val="00833660"/>
    <w:rsid w:val="008336FD"/>
    <w:rsid w:val="0083378D"/>
    <w:rsid w:val="008337ED"/>
    <w:rsid w:val="0083409F"/>
    <w:rsid w:val="0083487E"/>
    <w:rsid w:val="00834956"/>
    <w:rsid w:val="00835055"/>
    <w:rsid w:val="00835287"/>
    <w:rsid w:val="008354A8"/>
    <w:rsid w:val="00835743"/>
    <w:rsid w:val="008357BB"/>
    <w:rsid w:val="00835E08"/>
    <w:rsid w:val="0083794F"/>
    <w:rsid w:val="00837C6C"/>
    <w:rsid w:val="00837ED3"/>
    <w:rsid w:val="00840309"/>
    <w:rsid w:val="00840BA6"/>
    <w:rsid w:val="00840D71"/>
    <w:rsid w:val="00841205"/>
    <w:rsid w:val="00841C4E"/>
    <w:rsid w:val="0084242C"/>
    <w:rsid w:val="00842533"/>
    <w:rsid w:val="0084379D"/>
    <w:rsid w:val="00843AC1"/>
    <w:rsid w:val="00843B2D"/>
    <w:rsid w:val="00843B33"/>
    <w:rsid w:val="00843EB8"/>
    <w:rsid w:val="00843F76"/>
    <w:rsid w:val="0084444B"/>
    <w:rsid w:val="00844A00"/>
    <w:rsid w:val="00844BC6"/>
    <w:rsid w:val="00844F1F"/>
    <w:rsid w:val="00845583"/>
    <w:rsid w:val="008455FF"/>
    <w:rsid w:val="00845F80"/>
    <w:rsid w:val="0084616E"/>
    <w:rsid w:val="00846494"/>
    <w:rsid w:val="008466A5"/>
    <w:rsid w:val="00846A35"/>
    <w:rsid w:val="00846AC7"/>
    <w:rsid w:val="00846CD7"/>
    <w:rsid w:val="00846F14"/>
    <w:rsid w:val="0084704C"/>
    <w:rsid w:val="0084778E"/>
    <w:rsid w:val="008505D0"/>
    <w:rsid w:val="00850AF1"/>
    <w:rsid w:val="00850B30"/>
    <w:rsid w:val="00850BC8"/>
    <w:rsid w:val="0085101C"/>
    <w:rsid w:val="00851C6F"/>
    <w:rsid w:val="008529A3"/>
    <w:rsid w:val="008532BE"/>
    <w:rsid w:val="00853695"/>
    <w:rsid w:val="00853ABF"/>
    <w:rsid w:val="00853D63"/>
    <w:rsid w:val="0085444F"/>
    <w:rsid w:val="0085460D"/>
    <w:rsid w:val="00855233"/>
    <w:rsid w:val="008556B8"/>
    <w:rsid w:val="00855B4D"/>
    <w:rsid w:val="00855D73"/>
    <w:rsid w:val="0085641A"/>
    <w:rsid w:val="00856910"/>
    <w:rsid w:val="00857218"/>
    <w:rsid w:val="0085741E"/>
    <w:rsid w:val="00860AEC"/>
    <w:rsid w:val="00860C21"/>
    <w:rsid w:val="0086113F"/>
    <w:rsid w:val="00861600"/>
    <w:rsid w:val="00861980"/>
    <w:rsid w:val="00862148"/>
    <w:rsid w:val="008621CB"/>
    <w:rsid w:val="008623E6"/>
    <w:rsid w:val="00862598"/>
    <w:rsid w:val="008627FD"/>
    <w:rsid w:val="00862AA3"/>
    <w:rsid w:val="00863A71"/>
    <w:rsid w:val="00863D39"/>
    <w:rsid w:val="008657CC"/>
    <w:rsid w:val="00865AA4"/>
    <w:rsid w:val="00865C08"/>
    <w:rsid w:val="00866015"/>
    <w:rsid w:val="00866211"/>
    <w:rsid w:val="00866354"/>
    <w:rsid w:val="00866740"/>
    <w:rsid w:val="0086756D"/>
    <w:rsid w:val="00867D4E"/>
    <w:rsid w:val="008701E8"/>
    <w:rsid w:val="00870B85"/>
    <w:rsid w:val="00870BD2"/>
    <w:rsid w:val="00871EC7"/>
    <w:rsid w:val="00872AF7"/>
    <w:rsid w:val="00873EB4"/>
    <w:rsid w:val="00874256"/>
    <w:rsid w:val="0087433A"/>
    <w:rsid w:val="008743C7"/>
    <w:rsid w:val="0087440B"/>
    <w:rsid w:val="008744F5"/>
    <w:rsid w:val="00875043"/>
    <w:rsid w:val="008759C7"/>
    <w:rsid w:val="00875ACB"/>
    <w:rsid w:val="00876F72"/>
    <w:rsid w:val="00877756"/>
    <w:rsid w:val="00880338"/>
    <w:rsid w:val="008809F7"/>
    <w:rsid w:val="00880A72"/>
    <w:rsid w:val="00880C19"/>
    <w:rsid w:val="0088158D"/>
    <w:rsid w:val="00881E6C"/>
    <w:rsid w:val="00881EE0"/>
    <w:rsid w:val="00881F0D"/>
    <w:rsid w:val="00882164"/>
    <w:rsid w:val="00882CF9"/>
    <w:rsid w:val="00883213"/>
    <w:rsid w:val="008832AB"/>
    <w:rsid w:val="00883C08"/>
    <w:rsid w:val="00883D9D"/>
    <w:rsid w:val="00883F99"/>
    <w:rsid w:val="00884E17"/>
    <w:rsid w:val="0088513F"/>
    <w:rsid w:val="0088539B"/>
    <w:rsid w:val="008859CB"/>
    <w:rsid w:val="00885A82"/>
    <w:rsid w:val="00885C12"/>
    <w:rsid w:val="00885D5C"/>
    <w:rsid w:val="0088655B"/>
    <w:rsid w:val="00886962"/>
    <w:rsid w:val="00886B66"/>
    <w:rsid w:val="008876CE"/>
    <w:rsid w:val="0088790E"/>
    <w:rsid w:val="00887BA8"/>
    <w:rsid w:val="00887D4D"/>
    <w:rsid w:val="0089002D"/>
    <w:rsid w:val="008901A5"/>
    <w:rsid w:val="008905C9"/>
    <w:rsid w:val="008908BF"/>
    <w:rsid w:val="00891688"/>
    <w:rsid w:val="008917D3"/>
    <w:rsid w:val="00891B96"/>
    <w:rsid w:val="00891D1A"/>
    <w:rsid w:val="008920A3"/>
    <w:rsid w:val="0089253A"/>
    <w:rsid w:val="0089299A"/>
    <w:rsid w:val="00892FF9"/>
    <w:rsid w:val="0089331B"/>
    <w:rsid w:val="0089342C"/>
    <w:rsid w:val="00893540"/>
    <w:rsid w:val="00893B45"/>
    <w:rsid w:val="008946BA"/>
    <w:rsid w:val="00894776"/>
    <w:rsid w:val="00894DCA"/>
    <w:rsid w:val="00895377"/>
    <w:rsid w:val="008953E4"/>
    <w:rsid w:val="0089578C"/>
    <w:rsid w:val="00895A7B"/>
    <w:rsid w:val="008966A1"/>
    <w:rsid w:val="00897121"/>
    <w:rsid w:val="00897455"/>
    <w:rsid w:val="00897701"/>
    <w:rsid w:val="00897E8B"/>
    <w:rsid w:val="008A006C"/>
    <w:rsid w:val="008A02AB"/>
    <w:rsid w:val="008A02E2"/>
    <w:rsid w:val="008A08E9"/>
    <w:rsid w:val="008A0AB0"/>
    <w:rsid w:val="008A0C22"/>
    <w:rsid w:val="008A12AD"/>
    <w:rsid w:val="008A141C"/>
    <w:rsid w:val="008A1471"/>
    <w:rsid w:val="008A1F88"/>
    <w:rsid w:val="008A2ABE"/>
    <w:rsid w:val="008A3644"/>
    <w:rsid w:val="008A39B5"/>
    <w:rsid w:val="008A3A60"/>
    <w:rsid w:val="008A3C52"/>
    <w:rsid w:val="008A3DD9"/>
    <w:rsid w:val="008A45AA"/>
    <w:rsid w:val="008A46D3"/>
    <w:rsid w:val="008A4925"/>
    <w:rsid w:val="008A5F31"/>
    <w:rsid w:val="008A60C4"/>
    <w:rsid w:val="008A633A"/>
    <w:rsid w:val="008A66BE"/>
    <w:rsid w:val="008A67F4"/>
    <w:rsid w:val="008A69E5"/>
    <w:rsid w:val="008A6F0F"/>
    <w:rsid w:val="008A79A7"/>
    <w:rsid w:val="008A79D0"/>
    <w:rsid w:val="008A7ACF"/>
    <w:rsid w:val="008ACDEF"/>
    <w:rsid w:val="008B013F"/>
    <w:rsid w:val="008B04B7"/>
    <w:rsid w:val="008B097D"/>
    <w:rsid w:val="008B13A5"/>
    <w:rsid w:val="008B1520"/>
    <w:rsid w:val="008B156F"/>
    <w:rsid w:val="008B1988"/>
    <w:rsid w:val="008B1997"/>
    <w:rsid w:val="008B1C51"/>
    <w:rsid w:val="008B1DA8"/>
    <w:rsid w:val="008B225D"/>
    <w:rsid w:val="008B237B"/>
    <w:rsid w:val="008B2CBF"/>
    <w:rsid w:val="008B2D5C"/>
    <w:rsid w:val="008B48B4"/>
    <w:rsid w:val="008B4C71"/>
    <w:rsid w:val="008B4FA2"/>
    <w:rsid w:val="008B53D4"/>
    <w:rsid w:val="008B5B94"/>
    <w:rsid w:val="008B5D84"/>
    <w:rsid w:val="008B63D2"/>
    <w:rsid w:val="008B63F0"/>
    <w:rsid w:val="008B66E9"/>
    <w:rsid w:val="008B6CE5"/>
    <w:rsid w:val="008B6EEB"/>
    <w:rsid w:val="008B7258"/>
    <w:rsid w:val="008B7CAB"/>
    <w:rsid w:val="008C001E"/>
    <w:rsid w:val="008C01A7"/>
    <w:rsid w:val="008C03F4"/>
    <w:rsid w:val="008C08FF"/>
    <w:rsid w:val="008C0CD6"/>
    <w:rsid w:val="008C171E"/>
    <w:rsid w:val="008C17BB"/>
    <w:rsid w:val="008C254F"/>
    <w:rsid w:val="008C32E2"/>
    <w:rsid w:val="008C34D4"/>
    <w:rsid w:val="008C492E"/>
    <w:rsid w:val="008C4A58"/>
    <w:rsid w:val="008C4BCB"/>
    <w:rsid w:val="008C4DE7"/>
    <w:rsid w:val="008C5136"/>
    <w:rsid w:val="008C5637"/>
    <w:rsid w:val="008C60EE"/>
    <w:rsid w:val="008C611B"/>
    <w:rsid w:val="008C6A5B"/>
    <w:rsid w:val="008C70BB"/>
    <w:rsid w:val="008C71E2"/>
    <w:rsid w:val="008C7231"/>
    <w:rsid w:val="008C79C1"/>
    <w:rsid w:val="008C7BE5"/>
    <w:rsid w:val="008C7FB4"/>
    <w:rsid w:val="008C7FE2"/>
    <w:rsid w:val="008D00A0"/>
    <w:rsid w:val="008D0409"/>
    <w:rsid w:val="008D0920"/>
    <w:rsid w:val="008D0AD1"/>
    <w:rsid w:val="008D1203"/>
    <w:rsid w:val="008D121C"/>
    <w:rsid w:val="008D122B"/>
    <w:rsid w:val="008D1841"/>
    <w:rsid w:val="008D19B1"/>
    <w:rsid w:val="008D1BDF"/>
    <w:rsid w:val="008D1D65"/>
    <w:rsid w:val="008D1DA3"/>
    <w:rsid w:val="008D228E"/>
    <w:rsid w:val="008D2382"/>
    <w:rsid w:val="008D2E81"/>
    <w:rsid w:val="008D34DF"/>
    <w:rsid w:val="008D367B"/>
    <w:rsid w:val="008D393F"/>
    <w:rsid w:val="008D3E64"/>
    <w:rsid w:val="008D3FAB"/>
    <w:rsid w:val="008D435C"/>
    <w:rsid w:val="008D4C81"/>
    <w:rsid w:val="008D4C84"/>
    <w:rsid w:val="008D507F"/>
    <w:rsid w:val="008D57F0"/>
    <w:rsid w:val="008D6003"/>
    <w:rsid w:val="008D6636"/>
    <w:rsid w:val="008D66EB"/>
    <w:rsid w:val="008D6888"/>
    <w:rsid w:val="008D7032"/>
    <w:rsid w:val="008D77D6"/>
    <w:rsid w:val="008D7994"/>
    <w:rsid w:val="008D7A49"/>
    <w:rsid w:val="008E02A8"/>
    <w:rsid w:val="008E058A"/>
    <w:rsid w:val="008E07A4"/>
    <w:rsid w:val="008E0ACE"/>
    <w:rsid w:val="008E0BF1"/>
    <w:rsid w:val="008E0E81"/>
    <w:rsid w:val="008E20A5"/>
    <w:rsid w:val="008E2ADC"/>
    <w:rsid w:val="008E44EB"/>
    <w:rsid w:val="008E45B8"/>
    <w:rsid w:val="008E4A79"/>
    <w:rsid w:val="008E55E0"/>
    <w:rsid w:val="008E5E2B"/>
    <w:rsid w:val="008E6775"/>
    <w:rsid w:val="008E6871"/>
    <w:rsid w:val="008E6B4D"/>
    <w:rsid w:val="008E6D16"/>
    <w:rsid w:val="008E70E5"/>
    <w:rsid w:val="008E74A8"/>
    <w:rsid w:val="008E7818"/>
    <w:rsid w:val="008E7ABF"/>
    <w:rsid w:val="008F0C0C"/>
    <w:rsid w:val="008F0CC4"/>
    <w:rsid w:val="008F0ED6"/>
    <w:rsid w:val="008F1698"/>
    <w:rsid w:val="008F17DC"/>
    <w:rsid w:val="008F23B9"/>
    <w:rsid w:val="008F247E"/>
    <w:rsid w:val="008F2745"/>
    <w:rsid w:val="008F2A10"/>
    <w:rsid w:val="008F2A23"/>
    <w:rsid w:val="008F32D2"/>
    <w:rsid w:val="008F392B"/>
    <w:rsid w:val="008F39EF"/>
    <w:rsid w:val="008F3BF7"/>
    <w:rsid w:val="008F3D77"/>
    <w:rsid w:val="008F4062"/>
    <w:rsid w:val="008F40FA"/>
    <w:rsid w:val="008F4ACC"/>
    <w:rsid w:val="008F4D90"/>
    <w:rsid w:val="008F5136"/>
    <w:rsid w:val="008F5162"/>
    <w:rsid w:val="008F5539"/>
    <w:rsid w:val="008F5A93"/>
    <w:rsid w:val="008F5B16"/>
    <w:rsid w:val="008F6C94"/>
    <w:rsid w:val="008F6CA3"/>
    <w:rsid w:val="008F6FBB"/>
    <w:rsid w:val="008F728B"/>
    <w:rsid w:val="008F763D"/>
    <w:rsid w:val="008F7F27"/>
    <w:rsid w:val="009003E8"/>
    <w:rsid w:val="009008C0"/>
    <w:rsid w:val="00900E59"/>
    <w:rsid w:val="00902496"/>
    <w:rsid w:val="0090339D"/>
    <w:rsid w:val="009034F3"/>
    <w:rsid w:val="00903B11"/>
    <w:rsid w:val="00904330"/>
    <w:rsid w:val="00905270"/>
    <w:rsid w:val="0090568C"/>
    <w:rsid w:val="00905AF5"/>
    <w:rsid w:val="00905E76"/>
    <w:rsid w:val="00905F6E"/>
    <w:rsid w:val="00906511"/>
    <w:rsid w:val="00906828"/>
    <w:rsid w:val="00906ED1"/>
    <w:rsid w:val="0090779F"/>
    <w:rsid w:val="00907A38"/>
    <w:rsid w:val="00910543"/>
    <w:rsid w:val="0091090C"/>
    <w:rsid w:val="009114CF"/>
    <w:rsid w:val="0091157F"/>
    <w:rsid w:val="00911DD8"/>
    <w:rsid w:val="0091204F"/>
    <w:rsid w:val="00912145"/>
    <w:rsid w:val="00912435"/>
    <w:rsid w:val="00912A59"/>
    <w:rsid w:val="00912FCB"/>
    <w:rsid w:val="0091315D"/>
    <w:rsid w:val="00913582"/>
    <w:rsid w:val="00913797"/>
    <w:rsid w:val="00913E1D"/>
    <w:rsid w:val="009150BC"/>
    <w:rsid w:val="009154B6"/>
    <w:rsid w:val="00915D75"/>
    <w:rsid w:val="0091731F"/>
    <w:rsid w:val="00917EC8"/>
    <w:rsid w:val="00920698"/>
    <w:rsid w:val="009206E3"/>
    <w:rsid w:val="00920A70"/>
    <w:rsid w:val="00921586"/>
    <w:rsid w:val="009215E1"/>
    <w:rsid w:val="0092282C"/>
    <w:rsid w:val="0092357A"/>
    <w:rsid w:val="00924ABC"/>
    <w:rsid w:val="00925195"/>
    <w:rsid w:val="009252FA"/>
    <w:rsid w:val="00925411"/>
    <w:rsid w:val="00926041"/>
    <w:rsid w:val="0092679A"/>
    <w:rsid w:val="00926F6A"/>
    <w:rsid w:val="0092736C"/>
    <w:rsid w:val="00927B2D"/>
    <w:rsid w:val="00927BB7"/>
    <w:rsid w:val="00927FAC"/>
    <w:rsid w:val="009301D9"/>
    <w:rsid w:val="00930A52"/>
    <w:rsid w:val="0093111B"/>
    <w:rsid w:val="00931DB6"/>
    <w:rsid w:val="0093279F"/>
    <w:rsid w:val="0093287E"/>
    <w:rsid w:val="00932A33"/>
    <w:rsid w:val="00932A81"/>
    <w:rsid w:val="00933952"/>
    <w:rsid w:val="009339F7"/>
    <w:rsid w:val="00934647"/>
    <w:rsid w:val="009356EA"/>
    <w:rsid w:val="00935C49"/>
    <w:rsid w:val="009368F0"/>
    <w:rsid w:val="00936B7B"/>
    <w:rsid w:val="00936C65"/>
    <w:rsid w:val="00936C9C"/>
    <w:rsid w:val="00937131"/>
    <w:rsid w:val="0093751C"/>
    <w:rsid w:val="00937EA2"/>
    <w:rsid w:val="0094000C"/>
    <w:rsid w:val="00940143"/>
    <w:rsid w:val="009405AF"/>
    <w:rsid w:val="00940C79"/>
    <w:rsid w:val="009410B8"/>
    <w:rsid w:val="00941136"/>
    <w:rsid w:val="00941369"/>
    <w:rsid w:val="009414ED"/>
    <w:rsid w:val="009426A8"/>
    <w:rsid w:val="00942743"/>
    <w:rsid w:val="00942F14"/>
    <w:rsid w:val="00943002"/>
    <w:rsid w:val="009438D5"/>
    <w:rsid w:val="00944B3B"/>
    <w:rsid w:val="00944B8D"/>
    <w:rsid w:val="009450E8"/>
    <w:rsid w:val="00945707"/>
    <w:rsid w:val="00945D71"/>
    <w:rsid w:val="00945DD1"/>
    <w:rsid w:val="00945F88"/>
    <w:rsid w:val="00946116"/>
    <w:rsid w:val="009467E0"/>
    <w:rsid w:val="0094686D"/>
    <w:rsid w:val="009473D5"/>
    <w:rsid w:val="00947710"/>
    <w:rsid w:val="00947D75"/>
    <w:rsid w:val="00950AE3"/>
    <w:rsid w:val="00950CED"/>
    <w:rsid w:val="00951720"/>
    <w:rsid w:val="00951A95"/>
    <w:rsid w:val="00951DC5"/>
    <w:rsid w:val="009523E2"/>
    <w:rsid w:val="009524EA"/>
    <w:rsid w:val="00952669"/>
    <w:rsid w:val="00952F12"/>
    <w:rsid w:val="00952F66"/>
    <w:rsid w:val="00953088"/>
    <w:rsid w:val="00953131"/>
    <w:rsid w:val="00953672"/>
    <w:rsid w:val="00953992"/>
    <w:rsid w:val="00953A7E"/>
    <w:rsid w:val="00954347"/>
    <w:rsid w:val="009544DE"/>
    <w:rsid w:val="0095482A"/>
    <w:rsid w:val="0095539C"/>
    <w:rsid w:val="0095543D"/>
    <w:rsid w:val="00956360"/>
    <w:rsid w:val="00956399"/>
    <w:rsid w:val="00956989"/>
    <w:rsid w:val="0095740A"/>
    <w:rsid w:val="0095755B"/>
    <w:rsid w:val="00957E09"/>
    <w:rsid w:val="00960107"/>
    <w:rsid w:val="00960597"/>
    <w:rsid w:val="009609D3"/>
    <w:rsid w:val="00960B16"/>
    <w:rsid w:val="00960BBE"/>
    <w:rsid w:val="00961145"/>
    <w:rsid w:val="00961411"/>
    <w:rsid w:val="0096172D"/>
    <w:rsid w:val="00962225"/>
    <w:rsid w:val="009626D4"/>
    <w:rsid w:val="00962924"/>
    <w:rsid w:val="009629D6"/>
    <w:rsid w:val="00962AD2"/>
    <w:rsid w:val="00962CE6"/>
    <w:rsid w:val="00962EA8"/>
    <w:rsid w:val="00962EDE"/>
    <w:rsid w:val="0096347D"/>
    <w:rsid w:val="0096385E"/>
    <w:rsid w:val="0096386A"/>
    <w:rsid w:val="00963A4A"/>
    <w:rsid w:val="00963B50"/>
    <w:rsid w:val="00963B7C"/>
    <w:rsid w:val="00963B9D"/>
    <w:rsid w:val="009644DB"/>
    <w:rsid w:val="0096454D"/>
    <w:rsid w:val="00964A61"/>
    <w:rsid w:val="00964E93"/>
    <w:rsid w:val="00965258"/>
    <w:rsid w:val="00965C3C"/>
    <w:rsid w:val="00965C6B"/>
    <w:rsid w:val="0096606B"/>
    <w:rsid w:val="009663EB"/>
    <w:rsid w:val="0096666D"/>
    <w:rsid w:val="0096685B"/>
    <w:rsid w:val="009669DE"/>
    <w:rsid w:val="009673F4"/>
    <w:rsid w:val="00967B83"/>
    <w:rsid w:val="0096F52D"/>
    <w:rsid w:val="009703F7"/>
    <w:rsid w:val="00970B2C"/>
    <w:rsid w:val="009716BC"/>
    <w:rsid w:val="009718B3"/>
    <w:rsid w:val="00972631"/>
    <w:rsid w:val="0097269A"/>
    <w:rsid w:val="00972A3F"/>
    <w:rsid w:val="00972F78"/>
    <w:rsid w:val="009730DA"/>
    <w:rsid w:val="00973642"/>
    <w:rsid w:val="0097439E"/>
    <w:rsid w:val="00974406"/>
    <w:rsid w:val="009746DB"/>
    <w:rsid w:val="00974837"/>
    <w:rsid w:val="0097500D"/>
    <w:rsid w:val="009750DD"/>
    <w:rsid w:val="009752D7"/>
    <w:rsid w:val="009759ED"/>
    <w:rsid w:val="00975B1D"/>
    <w:rsid w:val="00975DFE"/>
    <w:rsid w:val="009765C0"/>
    <w:rsid w:val="0097696C"/>
    <w:rsid w:val="009769DA"/>
    <w:rsid w:val="00976AD9"/>
    <w:rsid w:val="00976D2A"/>
    <w:rsid w:val="00976E95"/>
    <w:rsid w:val="009772CB"/>
    <w:rsid w:val="009775FF"/>
    <w:rsid w:val="009776D3"/>
    <w:rsid w:val="009801F5"/>
    <w:rsid w:val="0098089C"/>
    <w:rsid w:val="00980F8C"/>
    <w:rsid w:val="00981029"/>
    <w:rsid w:val="00981A9A"/>
    <w:rsid w:val="00982310"/>
    <w:rsid w:val="00982A79"/>
    <w:rsid w:val="00982D63"/>
    <w:rsid w:val="0098312E"/>
    <w:rsid w:val="00983500"/>
    <w:rsid w:val="00983E63"/>
    <w:rsid w:val="0098423E"/>
    <w:rsid w:val="009843B5"/>
    <w:rsid w:val="009844A1"/>
    <w:rsid w:val="00985B0C"/>
    <w:rsid w:val="009869A4"/>
    <w:rsid w:val="00986C81"/>
    <w:rsid w:val="009870C0"/>
    <w:rsid w:val="00987525"/>
    <w:rsid w:val="009877BF"/>
    <w:rsid w:val="0099042A"/>
    <w:rsid w:val="00990533"/>
    <w:rsid w:val="0099093A"/>
    <w:rsid w:val="00990F8E"/>
    <w:rsid w:val="00990FAE"/>
    <w:rsid w:val="00990FF5"/>
    <w:rsid w:val="009916A1"/>
    <w:rsid w:val="00991B3A"/>
    <w:rsid w:val="0099204D"/>
    <w:rsid w:val="009925F0"/>
    <w:rsid w:val="00992A21"/>
    <w:rsid w:val="00992F2E"/>
    <w:rsid w:val="00992F47"/>
    <w:rsid w:val="00994161"/>
    <w:rsid w:val="00994690"/>
    <w:rsid w:val="0099595B"/>
    <w:rsid w:val="00995AFF"/>
    <w:rsid w:val="009963EC"/>
    <w:rsid w:val="00997042"/>
    <w:rsid w:val="0099782A"/>
    <w:rsid w:val="00997ABB"/>
    <w:rsid w:val="00997C5F"/>
    <w:rsid w:val="00997C6A"/>
    <w:rsid w:val="009A0739"/>
    <w:rsid w:val="009A0791"/>
    <w:rsid w:val="009A08AB"/>
    <w:rsid w:val="009A0A1B"/>
    <w:rsid w:val="009A0FA1"/>
    <w:rsid w:val="009A1016"/>
    <w:rsid w:val="009A1F44"/>
    <w:rsid w:val="009A21F7"/>
    <w:rsid w:val="009A2717"/>
    <w:rsid w:val="009A3500"/>
    <w:rsid w:val="009A3703"/>
    <w:rsid w:val="009A380E"/>
    <w:rsid w:val="009A38A7"/>
    <w:rsid w:val="009A3AC6"/>
    <w:rsid w:val="009A4B2D"/>
    <w:rsid w:val="009A4DD5"/>
    <w:rsid w:val="009A50CF"/>
    <w:rsid w:val="009A50E6"/>
    <w:rsid w:val="009A5576"/>
    <w:rsid w:val="009A7DC2"/>
    <w:rsid w:val="009B0606"/>
    <w:rsid w:val="009B0845"/>
    <w:rsid w:val="009B0C2E"/>
    <w:rsid w:val="009B0C34"/>
    <w:rsid w:val="009B0FAB"/>
    <w:rsid w:val="009B18D5"/>
    <w:rsid w:val="009B1B37"/>
    <w:rsid w:val="009B23B8"/>
    <w:rsid w:val="009B30A2"/>
    <w:rsid w:val="009B3C4B"/>
    <w:rsid w:val="009B3C50"/>
    <w:rsid w:val="009B3E9A"/>
    <w:rsid w:val="009B454C"/>
    <w:rsid w:val="009B4E65"/>
    <w:rsid w:val="009B4E67"/>
    <w:rsid w:val="009B5446"/>
    <w:rsid w:val="009B58F1"/>
    <w:rsid w:val="009B5EB1"/>
    <w:rsid w:val="009B62F7"/>
    <w:rsid w:val="009B6499"/>
    <w:rsid w:val="009B64DB"/>
    <w:rsid w:val="009B6695"/>
    <w:rsid w:val="009B79AF"/>
    <w:rsid w:val="009B7ADB"/>
    <w:rsid w:val="009B7F93"/>
    <w:rsid w:val="009C03BD"/>
    <w:rsid w:val="009C0599"/>
    <w:rsid w:val="009C152B"/>
    <w:rsid w:val="009C17E2"/>
    <w:rsid w:val="009C1D00"/>
    <w:rsid w:val="009C1DAA"/>
    <w:rsid w:val="009C223A"/>
    <w:rsid w:val="009C2418"/>
    <w:rsid w:val="009C2514"/>
    <w:rsid w:val="009C28DF"/>
    <w:rsid w:val="009C2A53"/>
    <w:rsid w:val="009C2E59"/>
    <w:rsid w:val="009C2FDF"/>
    <w:rsid w:val="009C309D"/>
    <w:rsid w:val="009C35CE"/>
    <w:rsid w:val="009C3630"/>
    <w:rsid w:val="009C36A1"/>
    <w:rsid w:val="009C418F"/>
    <w:rsid w:val="009C4241"/>
    <w:rsid w:val="009C4570"/>
    <w:rsid w:val="009C4773"/>
    <w:rsid w:val="009C54F7"/>
    <w:rsid w:val="009C5BEE"/>
    <w:rsid w:val="009C62A8"/>
    <w:rsid w:val="009C6EA8"/>
    <w:rsid w:val="009C7395"/>
    <w:rsid w:val="009C761A"/>
    <w:rsid w:val="009D0192"/>
    <w:rsid w:val="009D1289"/>
    <w:rsid w:val="009D1834"/>
    <w:rsid w:val="009D19AD"/>
    <w:rsid w:val="009D21E1"/>
    <w:rsid w:val="009D234D"/>
    <w:rsid w:val="009D2771"/>
    <w:rsid w:val="009D2A39"/>
    <w:rsid w:val="009D2B5C"/>
    <w:rsid w:val="009D2E93"/>
    <w:rsid w:val="009D2F0A"/>
    <w:rsid w:val="009D353D"/>
    <w:rsid w:val="009D3BEF"/>
    <w:rsid w:val="009D3D85"/>
    <w:rsid w:val="009D4A8B"/>
    <w:rsid w:val="009D4DDA"/>
    <w:rsid w:val="009D4EBF"/>
    <w:rsid w:val="009D514A"/>
    <w:rsid w:val="009D5B97"/>
    <w:rsid w:val="009D658A"/>
    <w:rsid w:val="009D67C4"/>
    <w:rsid w:val="009D6A9A"/>
    <w:rsid w:val="009D735F"/>
    <w:rsid w:val="009D73B6"/>
    <w:rsid w:val="009D74B5"/>
    <w:rsid w:val="009D7823"/>
    <w:rsid w:val="009D7A9A"/>
    <w:rsid w:val="009D7BA0"/>
    <w:rsid w:val="009E07C9"/>
    <w:rsid w:val="009E0B51"/>
    <w:rsid w:val="009E1028"/>
    <w:rsid w:val="009E1378"/>
    <w:rsid w:val="009E17C2"/>
    <w:rsid w:val="009E1D0B"/>
    <w:rsid w:val="009E207E"/>
    <w:rsid w:val="009E2334"/>
    <w:rsid w:val="009E2F22"/>
    <w:rsid w:val="009E2F88"/>
    <w:rsid w:val="009E300D"/>
    <w:rsid w:val="009E36EF"/>
    <w:rsid w:val="009E3F61"/>
    <w:rsid w:val="009E3F84"/>
    <w:rsid w:val="009E42A9"/>
    <w:rsid w:val="009E4C9E"/>
    <w:rsid w:val="009E4DA3"/>
    <w:rsid w:val="009E5638"/>
    <w:rsid w:val="009E5B29"/>
    <w:rsid w:val="009E5C53"/>
    <w:rsid w:val="009E6B73"/>
    <w:rsid w:val="009E7A51"/>
    <w:rsid w:val="009E7B0F"/>
    <w:rsid w:val="009F10E4"/>
    <w:rsid w:val="009F1759"/>
    <w:rsid w:val="009F222C"/>
    <w:rsid w:val="009F3498"/>
    <w:rsid w:val="009F42FA"/>
    <w:rsid w:val="009F485F"/>
    <w:rsid w:val="009F51F1"/>
    <w:rsid w:val="009F5AEC"/>
    <w:rsid w:val="009F5F2B"/>
    <w:rsid w:val="009F5F7D"/>
    <w:rsid w:val="009F6BDF"/>
    <w:rsid w:val="009F6E6A"/>
    <w:rsid w:val="009F729F"/>
    <w:rsid w:val="009F74A2"/>
    <w:rsid w:val="009F77AA"/>
    <w:rsid w:val="009F79FF"/>
    <w:rsid w:val="009F7E34"/>
    <w:rsid w:val="00A00424"/>
    <w:rsid w:val="00A0091C"/>
    <w:rsid w:val="00A015B2"/>
    <w:rsid w:val="00A017E4"/>
    <w:rsid w:val="00A019B7"/>
    <w:rsid w:val="00A01E4C"/>
    <w:rsid w:val="00A01F23"/>
    <w:rsid w:val="00A0204F"/>
    <w:rsid w:val="00A0241E"/>
    <w:rsid w:val="00A0272F"/>
    <w:rsid w:val="00A02773"/>
    <w:rsid w:val="00A02A2C"/>
    <w:rsid w:val="00A0363E"/>
    <w:rsid w:val="00A03A4D"/>
    <w:rsid w:val="00A03E43"/>
    <w:rsid w:val="00A03FBE"/>
    <w:rsid w:val="00A04213"/>
    <w:rsid w:val="00A043B8"/>
    <w:rsid w:val="00A04ACF"/>
    <w:rsid w:val="00A0524F"/>
    <w:rsid w:val="00A0527F"/>
    <w:rsid w:val="00A056E3"/>
    <w:rsid w:val="00A05805"/>
    <w:rsid w:val="00A05C55"/>
    <w:rsid w:val="00A060C8"/>
    <w:rsid w:val="00A062C8"/>
    <w:rsid w:val="00A06D8A"/>
    <w:rsid w:val="00A071F5"/>
    <w:rsid w:val="00A07358"/>
    <w:rsid w:val="00A07C9B"/>
    <w:rsid w:val="00A1002D"/>
    <w:rsid w:val="00A1017D"/>
    <w:rsid w:val="00A10DE6"/>
    <w:rsid w:val="00A10E92"/>
    <w:rsid w:val="00A10EB5"/>
    <w:rsid w:val="00A10F28"/>
    <w:rsid w:val="00A11680"/>
    <w:rsid w:val="00A122C3"/>
    <w:rsid w:val="00A123B4"/>
    <w:rsid w:val="00A124DE"/>
    <w:rsid w:val="00A12CA2"/>
    <w:rsid w:val="00A12E1F"/>
    <w:rsid w:val="00A12E42"/>
    <w:rsid w:val="00A132C3"/>
    <w:rsid w:val="00A13877"/>
    <w:rsid w:val="00A13F25"/>
    <w:rsid w:val="00A1406C"/>
    <w:rsid w:val="00A14259"/>
    <w:rsid w:val="00A14331"/>
    <w:rsid w:val="00A14C3C"/>
    <w:rsid w:val="00A153CE"/>
    <w:rsid w:val="00A15600"/>
    <w:rsid w:val="00A15684"/>
    <w:rsid w:val="00A15A33"/>
    <w:rsid w:val="00A162A0"/>
    <w:rsid w:val="00A168E9"/>
    <w:rsid w:val="00A169CF"/>
    <w:rsid w:val="00A16E22"/>
    <w:rsid w:val="00A174AF"/>
    <w:rsid w:val="00A17780"/>
    <w:rsid w:val="00A179F0"/>
    <w:rsid w:val="00A179F9"/>
    <w:rsid w:val="00A201E1"/>
    <w:rsid w:val="00A2053D"/>
    <w:rsid w:val="00A2085D"/>
    <w:rsid w:val="00A20D11"/>
    <w:rsid w:val="00A21009"/>
    <w:rsid w:val="00A218A6"/>
    <w:rsid w:val="00A22505"/>
    <w:rsid w:val="00A22964"/>
    <w:rsid w:val="00A22D7A"/>
    <w:rsid w:val="00A23679"/>
    <w:rsid w:val="00A23709"/>
    <w:rsid w:val="00A23CED"/>
    <w:rsid w:val="00A23F84"/>
    <w:rsid w:val="00A24600"/>
    <w:rsid w:val="00A24983"/>
    <w:rsid w:val="00A24F60"/>
    <w:rsid w:val="00A250CC"/>
    <w:rsid w:val="00A250E3"/>
    <w:rsid w:val="00A256B7"/>
    <w:rsid w:val="00A259DE"/>
    <w:rsid w:val="00A25F92"/>
    <w:rsid w:val="00A2601C"/>
    <w:rsid w:val="00A2614A"/>
    <w:rsid w:val="00A26C46"/>
    <w:rsid w:val="00A270CD"/>
    <w:rsid w:val="00A2746F"/>
    <w:rsid w:val="00A27AD8"/>
    <w:rsid w:val="00A27CD7"/>
    <w:rsid w:val="00A27D26"/>
    <w:rsid w:val="00A307F2"/>
    <w:rsid w:val="00A30893"/>
    <w:rsid w:val="00A308D4"/>
    <w:rsid w:val="00A30D68"/>
    <w:rsid w:val="00A30D72"/>
    <w:rsid w:val="00A31248"/>
    <w:rsid w:val="00A31B80"/>
    <w:rsid w:val="00A328B0"/>
    <w:rsid w:val="00A328C8"/>
    <w:rsid w:val="00A32A9B"/>
    <w:rsid w:val="00A32B03"/>
    <w:rsid w:val="00A32FC4"/>
    <w:rsid w:val="00A32FDF"/>
    <w:rsid w:val="00A332D3"/>
    <w:rsid w:val="00A33506"/>
    <w:rsid w:val="00A3372C"/>
    <w:rsid w:val="00A33875"/>
    <w:rsid w:val="00A3399B"/>
    <w:rsid w:val="00A349FE"/>
    <w:rsid w:val="00A34E0B"/>
    <w:rsid w:val="00A35BB1"/>
    <w:rsid w:val="00A35C57"/>
    <w:rsid w:val="00A35DCE"/>
    <w:rsid w:val="00A363E0"/>
    <w:rsid w:val="00A370A3"/>
    <w:rsid w:val="00A3741E"/>
    <w:rsid w:val="00A3785F"/>
    <w:rsid w:val="00A3796E"/>
    <w:rsid w:val="00A37D18"/>
    <w:rsid w:val="00A37D7A"/>
    <w:rsid w:val="00A40327"/>
    <w:rsid w:val="00A4033F"/>
    <w:rsid w:val="00A405DF"/>
    <w:rsid w:val="00A40A87"/>
    <w:rsid w:val="00A410F8"/>
    <w:rsid w:val="00A41422"/>
    <w:rsid w:val="00A42A59"/>
    <w:rsid w:val="00A43177"/>
    <w:rsid w:val="00A43376"/>
    <w:rsid w:val="00A438F5"/>
    <w:rsid w:val="00A43C16"/>
    <w:rsid w:val="00A447D7"/>
    <w:rsid w:val="00A45078"/>
    <w:rsid w:val="00A45404"/>
    <w:rsid w:val="00A4542E"/>
    <w:rsid w:val="00A458C9"/>
    <w:rsid w:val="00A45E5C"/>
    <w:rsid w:val="00A46143"/>
    <w:rsid w:val="00A4647C"/>
    <w:rsid w:val="00A46F44"/>
    <w:rsid w:val="00A47373"/>
    <w:rsid w:val="00A473CB"/>
    <w:rsid w:val="00A47595"/>
    <w:rsid w:val="00A476E5"/>
    <w:rsid w:val="00A47D0C"/>
    <w:rsid w:val="00A47E58"/>
    <w:rsid w:val="00A507F5"/>
    <w:rsid w:val="00A50D54"/>
    <w:rsid w:val="00A51662"/>
    <w:rsid w:val="00A51C12"/>
    <w:rsid w:val="00A51E59"/>
    <w:rsid w:val="00A51E8D"/>
    <w:rsid w:val="00A51F44"/>
    <w:rsid w:val="00A52803"/>
    <w:rsid w:val="00A52F2E"/>
    <w:rsid w:val="00A5358E"/>
    <w:rsid w:val="00A53801"/>
    <w:rsid w:val="00A53FB7"/>
    <w:rsid w:val="00A54032"/>
    <w:rsid w:val="00A545FF"/>
    <w:rsid w:val="00A547E3"/>
    <w:rsid w:val="00A54E7C"/>
    <w:rsid w:val="00A56085"/>
    <w:rsid w:val="00A560EE"/>
    <w:rsid w:val="00A561A8"/>
    <w:rsid w:val="00A57550"/>
    <w:rsid w:val="00A57E0F"/>
    <w:rsid w:val="00A60ED6"/>
    <w:rsid w:val="00A616FC"/>
    <w:rsid w:val="00A61801"/>
    <w:rsid w:val="00A61977"/>
    <w:rsid w:val="00A62416"/>
    <w:rsid w:val="00A62B9C"/>
    <w:rsid w:val="00A62EB3"/>
    <w:rsid w:val="00A634C7"/>
    <w:rsid w:val="00A6356A"/>
    <w:rsid w:val="00A63EEE"/>
    <w:rsid w:val="00A64B56"/>
    <w:rsid w:val="00A64DA4"/>
    <w:rsid w:val="00A650A9"/>
    <w:rsid w:val="00A65AF2"/>
    <w:rsid w:val="00A665BD"/>
    <w:rsid w:val="00A673C9"/>
    <w:rsid w:val="00A67C6A"/>
    <w:rsid w:val="00A70489"/>
    <w:rsid w:val="00A70759"/>
    <w:rsid w:val="00A709A4"/>
    <w:rsid w:val="00A709FF"/>
    <w:rsid w:val="00A7148D"/>
    <w:rsid w:val="00A71616"/>
    <w:rsid w:val="00A7180C"/>
    <w:rsid w:val="00A71ADC"/>
    <w:rsid w:val="00A7378B"/>
    <w:rsid w:val="00A739A5"/>
    <w:rsid w:val="00A74316"/>
    <w:rsid w:val="00A7488D"/>
    <w:rsid w:val="00A74A81"/>
    <w:rsid w:val="00A74CC1"/>
    <w:rsid w:val="00A74E88"/>
    <w:rsid w:val="00A75386"/>
    <w:rsid w:val="00A75741"/>
    <w:rsid w:val="00A7695A"/>
    <w:rsid w:val="00A76B1C"/>
    <w:rsid w:val="00A7731F"/>
    <w:rsid w:val="00A7737F"/>
    <w:rsid w:val="00A7753C"/>
    <w:rsid w:val="00A77564"/>
    <w:rsid w:val="00A77A0B"/>
    <w:rsid w:val="00A77B6A"/>
    <w:rsid w:val="00A80749"/>
    <w:rsid w:val="00A80CB9"/>
    <w:rsid w:val="00A80E6A"/>
    <w:rsid w:val="00A80E98"/>
    <w:rsid w:val="00A80FAE"/>
    <w:rsid w:val="00A814EE"/>
    <w:rsid w:val="00A82095"/>
    <w:rsid w:val="00A8239B"/>
    <w:rsid w:val="00A830EC"/>
    <w:rsid w:val="00A839D4"/>
    <w:rsid w:val="00A83D44"/>
    <w:rsid w:val="00A83EA2"/>
    <w:rsid w:val="00A845EC"/>
    <w:rsid w:val="00A849B2"/>
    <w:rsid w:val="00A84CEC"/>
    <w:rsid w:val="00A8517E"/>
    <w:rsid w:val="00A85942"/>
    <w:rsid w:val="00A85D6A"/>
    <w:rsid w:val="00A85D91"/>
    <w:rsid w:val="00A870F4"/>
    <w:rsid w:val="00A87376"/>
    <w:rsid w:val="00A87535"/>
    <w:rsid w:val="00A879BF"/>
    <w:rsid w:val="00A905E6"/>
    <w:rsid w:val="00A90C25"/>
    <w:rsid w:val="00A90F13"/>
    <w:rsid w:val="00A90F2B"/>
    <w:rsid w:val="00A91179"/>
    <w:rsid w:val="00A9146E"/>
    <w:rsid w:val="00A91650"/>
    <w:rsid w:val="00A92C26"/>
    <w:rsid w:val="00A92D9E"/>
    <w:rsid w:val="00A936F7"/>
    <w:rsid w:val="00A93D5F"/>
    <w:rsid w:val="00A94250"/>
    <w:rsid w:val="00A94F99"/>
    <w:rsid w:val="00A95533"/>
    <w:rsid w:val="00A96166"/>
    <w:rsid w:val="00A96F8A"/>
    <w:rsid w:val="00A9727A"/>
    <w:rsid w:val="00A97701"/>
    <w:rsid w:val="00AA0019"/>
    <w:rsid w:val="00AA005E"/>
    <w:rsid w:val="00AA05BF"/>
    <w:rsid w:val="00AA08DF"/>
    <w:rsid w:val="00AA0DF8"/>
    <w:rsid w:val="00AA0EBD"/>
    <w:rsid w:val="00AA105B"/>
    <w:rsid w:val="00AA1089"/>
    <w:rsid w:val="00AA1462"/>
    <w:rsid w:val="00AA1564"/>
    <w:rsid w:val="00AA1761"/>
    <w:rsid w:val="00AA2651"/>
    <w:rsid w:val="00AA2B9D"/>
    <w:rsid w:val="00AA2C99"/>
    <w:rsid w:val="00AA342D"/>
    <w:rsid w:val="00AA3B10"/>
    <w:rsid w:val="00AA3F6E"/>
    <w:rsid w:val="00AA4075"/>
    <w:rsid w:val="00AA45FB"/>
    <w:rsid w:val="00AA4ACA"/>
    <w:rsid w:val="00AA4B8F"/>
    <w:rsid w:val="00AA54D4"/>
    <w:rsid w:val="00AA5B5E"/>
    <w:rsid w:val="00AA5E5D"/>
    <w:rsid w:val="00AA635C"/>
    <w:rsid w:val="00AA6814"/>
    <w:rsid w:val="00AA6E4E"/>
    <w:rsid w:val="00AA6FB0"/>
    <w:rsid w:val="00AA7196"/>
    <w:rsid w:val="00AB0891"/>
    <w:rsid w:val="00AB0C36"/>
    <w:rsid w:val="00AB1858"/>
    <w:rsid w:val="00AB271F"/>
    <w:rsid w:val="00AB28F0"/>
    <w:rsid w:val="00AB2A9A"/>
    <w:rsid w:val="00AB2E1B"/>
    <w:rsid w:val="00AB2E96"/>
    <w:rsid w:val="00AB404F"/>
    <w:rsid w:val="00AB47C8"/>
    <w:rsid w:val="00AB4991"/>
    <w:rsid w:val="00AB4EC7"/>
    <w:rsid w:val="00AB5245"/>
    <w:rsid w:val="00AB52C8"/>
    <w:rsid w:val="00AB542D"/>
    <w:rsid w:val="00AB54A3"/>
    <w:rsid w:val="00AB591A"/>
    <w:rsid w:val="00AB655F"/>
    <w:rsid w:val="00AB6596"/>
    <w:rsid w:val="00AB6C83"/>
    <w:rsid w:val="00AB6E3B"/>
    <w:rsid w:val="00AB7604"/>
    <w:rsid w:val="00AB7D43"/>
    <w:rsid w:val="00AC0238"/>
    <w:rsid w:val="00AC0A95"/>
    <w:rsid w:val="00AC0C43"/>
    <w:rsid w:val="00AC10E8"/>
    <w:rsid w:val="00AC186C"/>
    <w:rsid w:val="00AC199E"/>
    <w:rsid w:val="00AC1F5D"/>
    <w:rsid w:val="00AC23FC"/>
    <w:rsid w:val="00AC30D6"/>
    <w:rsid w:val="00AC33EB"/>
    <w:rsid w:val="00AC34B6"/>
    <w:rsid w:val="00AC3965"/>
    <w:rsid w:val="00AC4229"/>
    <w:rsid w:val="00AC42D7"/>
    <w:rsid w:val="00AC4823"/>
    <w:rsid w:val="00AC4BE2"/>
    <w:rsid w:val="00AC54D8"/>
    <w:rsid w:val="00AC5757"/>
    <w:rsid w:val="00AC58E9"/>
    <w:rsid w:val="00AC5CFF"/>
    <w:rsid w:val="00AC61EA"/>
    <w:rsid w:val="00AC6302"/>
    <w:rsid w:val="00AC63D2"/>
    <w:rsid w:val="00AC6432"/>
    <w:rsid w:val="00AC6581"/>
    <w:rsid w:val="00AC6994"/>
    <w:rsid w:val="00AC6B26"/>
    <w:rsid w:val="00AC721A"/>
    <w:rsid w:val="00AC734B"/>
    <w:rsid w:val="00AC756F"/>
    <w:rsid w:val="00AC7658"/>
    <w:rsid w:val="00AC7A4D"/>
    <w:rsid w:val="00AC7C02"/>
    <w:rsid w:val="00AC7DF4"/>
    <w:rsid w:val="00AC7FF7"/>
    <w:rsid w:val="00AD0216"/>
    <w:rsid w:val="00AD03BC"/>
    <w:rsid w:val="00AD0A8E"/>
    <w:rsid w:val="00AD0CEE"/>
    <w:rsid w:val="00AD0F03"/>
    <w:rsid w:val="00AD0F91"/>
    <w:rsid w:val="00AD127D"/>
    <w:rsid w:val="00AD12E8"/>
    <w:rsid w:val="00AD1377"/>
    <w:rsid w:val="00AD2214"/>
    <w:rsid w:val="00AD24AD"/>
    <w:rsid w:val="00AD24EB"/>
    <w:rsid w:val="00AD26E0"/>
    <w:rsid w:val="00AD3377"/>
    <w:rsid w:val="00AD3E7C"/>
    <w:rsid w:val="00AD446C"/>
    <w:rsid w:val="00AD4491"/>
    <w:rsid w:val="00AD4532"/>
    <w:rsid w:val="00AD4C55"/>
    <w:rsid w:val="00AD56AC"/>
    <w:rsid w:val="00AD56C2"/>
    <w:rsid w:val="00AD5822"/>
    <w:rsid w:val="00AD63D5"/>
    <w:rsid w:val="00AD6F2B"/>
    <w:rsid w:val="00AD75D8"/>
    <w:rsid w:val="00AD7B1C"/>
    <w:rsid w:val="00AE0547"/>
    <w:rsid w:val="00AE056B"/>
    <w:rsid w:val="00AE065B"/>
    <w:rsid w:val="00AE0B1B"/>
    <w:rsid w:val="00AE0B49"/>
    <w:rsid w:val="00AE182D"/>
    <w:rsid w:val="00AE185C"/>
    <w:rsid w:val="00AE1CAA"/>
    <w:rsid w:val="00AE268C"/>
    <w:rsid w:val="00AE2A2F"/>
    <w:rsid w:val="00AE320F"/>
    <w:rsid w:val="00AE32EA"/>
    <w:rsid w:val="00AE3608"/>
    <w:rsid w:val="00AE3787"/>
    <w:rsid w:val="00AE3DD7"/>
    <w:rsid w:val="00AE4088"/>
    <w:rsid w:val="00AE4CA2"/>
    <w:rsid w:val="00AE4D74"/>
    <w:rsid w:val="00AE5016"/>
    <w:rsid w:val="00AE507E"/>
    <w:rsid w:val="00AE50AD"/>
    <w:rsid w:val="00AE52C7"/>
    <w:rsid w:val="00AE53B6"/>
    <w:rsid w:val="00AE5998"/>
    <w:rsid w:val="00AE6223"/>
    <w:rsid w:val="00AE68E4"/>
    <w:rsid w:val="00AE6B57"/>
    <w:rsid w:val="00AE6C66"/>
    <w:rsid w:val="00AE748F"/>
    <w:rsid w:val="00AE7A47"/>
    <w:rsid w:val="00AE7B79"/>
    <w:rsid w:val="00AF03D2"/>
    <w:rsid w:val="00AF053C"/>
    <w:rsid w:val="00AF076A"/>
    <w:rsid w:val="00AF169A"/>
    <w:rsid w:val="00AF20E5"/>
    <w:rsid w:val="00AF244A"/>
    <w:rsid w:val="00AF2DED"/>
    <w:rsid w:val="00AF370A"/>
    <w:rsid w:val="00AF3C2A"/>
    <w:rsid w:val="00AF3E3B"/>
    <w:rsid w:val="00AF3FE5"/>
    <w:rsid w:val="00AF4074"/>
    <w:rsid w:val="00AF44B2"/>
    <w:rsid w:val="00AF4CDB"/>
    <w:rsid w:val="00AF61FE"/>
    <w:rsid w:val="00AF65C7"/>
    <w:rsid w:val="00AF7412"/>
    <w:rsid w:val="00AF7825"/>
    <w:rsid w:val="00AF79BF"/>
    <w:rsid w:val="00AF7D85"/>
    <w:rsid w:val="00B000FB"/>
    <w:rsid w:val="00B00A99"/>
    <w:rsid w:val="00B00B6F"/>
    <w:rsid w:val="00B00BF7"/>
    <w:rsid w:val="00B00D41"/>
    <w:rsid w:val="00B0113D"/>
    <w:rsid w:val="00B014D2"/>
    <w:rsid w:val="00B017DF"/>
    <w:rsid w:val="00B01DBB"/>
    <w:rsid w:val="00B02098"/>
    <w:rsid w:val="00B0288F"/>
    <w:rsid w:val="00B02BA1"/>
    <w:rsid w:val="00B03226"/>
    <w:rsid w:val="00B032FD"/>
    <w:rsid w:val="00B0341C"/>
    <w:rsid w:val="00B03663"/>
    <w:rsid w:val="00B03836"/>
    <w:rsid w:val="00B03A5E"/>
    <w:rsid w:val="00B03BD4"/>
    <w:rsid w:val="00B03E39"/>
    <w:rsid w:val="00B03FB9"/>
    <w:rsid w:val="00B042BA"/>
    <w:rsid w:val="00B043DC"/>
    <w:rsid w:val="00B0458B"/>
    <w:rsid w:val="00B04926"/>
    <w:rsid w:val="00B05173"/>
    <w:rsid w:val="00B052F3"/>
    <w:rsid w:val="00B053D1"/>
    <w:rsid w:val="00B0575C"/>
    <w:rsid w:val="00B059D6"/>
    <w:rsid w:val="00B06616"/>
    <w:rsid w:val="00B06B15"/>
    <w:rsid w:val="00B06E6A"/>
    <w:rsid w:val="00B07085"/>
    <w:rsid w:val="00B070F6"/>
    <w:rsid w:val="00B072F9"/>
    <w:rsid w:val="00B0741C"/>
    <w:rsid w:val="00B07907"/>
    <w:rsid w:val="00B07A26"/>
    <w:rsid w:val="00B07B00"/>
    <w:rsid w:val="00B07FA1"/>
    <w:rsid w:val="00B10225"/>
    <w:rsid w:val="00B10733"/>
    <w:rsid w:val="00B10F20"/>
    <w:rsid w:val="00B11167"/>
    <w:rsid w:val="00B1124D"/>
    <w:rsid w:val="00B116EF"/>
    <w:rsid w:val="00B1188A"/>
    <w:rsid w:val="00B119F5"/>
    <w:rsid w:val="00B11EF8"/>
    <w:rsid w:val="00B121E1"/>
    <w:rsid w:val="00B1385E"/>
    <w:rsid w:val="00B145B2"/>
    <w:rsid w:val="00B14BBA"/>
    <w:rsid w:val="00B14FA4"/>
    <w:rsid w:val="00B15234"/>
    <w:rsid w:val="00B15535"/>
    <w:rsid w:val="00B16196"/>
    <w:rsid w:val="00B16495"/>
    <w:rsid w:val="00B166F1"/>
    <w:rsid w:val="00B2075A"/>
    <w:rsid w:val="00B22485"/>
    <w:rsid w:val="00B22504"/>
    <w:rsid w:val="00B22BFE"/>
    <w:rsid w:val="00B23595"/>
    <w:rsid w:val="00B23FB2"/>
    <w:rsid w:val="00B23FE4"/>
    <w:rsid w:val="00B2435C"/>
    <w:rsid w:val="00B2443B"/>
    <w:rsid w:val="00B24AEA"/>
    <w:rsid w:val="00B252B7"/>
    <w:rsid w:val="00B25495"/>
    <w:rsid w:val="00B254BD"/>
    <w:rsid w:val="00B259B8"/>
    <w:rsid w:val="00B25F92"/>
    <w:rsid w:val="00B267A5"/>
    <w:rsid w:val="00B26E61"/>
    <w:rsid w:val="00B26FA0"/>
    <w:rsid w:val="00B27A68"/>
    <w:rsid w:val="00B27A9C"/>
    <w:rsid w:val="00B309C8"/>
    <w:rsid w:val="00B30C49"/>
    <w:rsid w:val="00B30DD2"/>
    <w:rsid w:val="00B30E51"/>
    <w:rsid w:val="00B313D2"/>
    <w:rsid w:val="00B32AD2"/>
    <w:rsid w:val="00B32F41"/>
    <w:rsid w:val="00B33A2C"/>
    <w:rsid w:val="00B33B76"/>
    <w:rsid w:val="00B33D84"/>
    <w:rsid w:val="00B33E85"/>
    <w:rsid w:val="00B3458B"/>
    <w:rsid w:val="00B3475F"/>
    <w:rsid w:val="00B34BE0"/>
    <w:rsid w:val="00B34F9B"/>
    <w:rsid w:val="00B34FD8"/>
    <w:rsid w:val="00B350F5"/>
    <w:rsid w:val="00B35A71"/>
    <w:rsid w:val="00B3620E"/>
    <w:rsid w:val="00B36222"/>
    <w:rsid w:val="00B365A5"/>
    <w:rsid w:val="00B37532"/>
    <w:rsid w:val="00B37610"/>
    <w:rsid w:val="00B40114"/>
    <w:rsid w:val="00B40349"/>
    <w:rsid w:val="00B403CD"/>
    <w:rsid w:val="00B41156"/>
    <w:rsid w:val="00B418D5"/>
    <w:rsid w:val="00B42308"/>
    <w:rsid w:val="00B42416"/>
    <w:rsid w:val="00B42498"/>
    <w:rsid w:val="00B4253F"/>
    <w:rsid w:val="00B4270B"/>
    <w:rsid w:val="00B42DE7"/>
    <w:rsid w:val="00B42E6C"/>
    <w:rsid w:val="00B435EC"/>
    <w:rsid w:val="00B43707"/>
    <w:rsid w:val="00B43EB4"/>
    <w:rsid w:val="00B4404B"/>
    <w:rsid w:val="00B44A58"/>
    <w:rsid w:val="00B44D5C"/>
    <w:rsid w:val="00B44F35"/>
    <w:rsid w:val="00B451EE"/>
    <w:rsid w:val="00B455E4"/>
    <w:rsid w:val="00B45E70"/>
    <w:rsid w:val="00B46658"/>
    <w:rsid w:val="00B4680B"/>
    <w:rsid w:val="00B46DE2"/>
    <w:rsid w:val="00B479F8"/>
    <w:rsid w:val="00B47BD3"/>
    <w:rsid w:val="00B47FE4"/>
    <w:rsid w:val="00B50FA6"/>
    <w:rsid w:val="00B51310"/>
    <w:rsid w:val="00B51346"/>
    <w:rsid w:val="00B5189B"/>
    <w:rsid w:val="00B51D20"/>
    <w:rsid w:val="00B52216"/>
    <w:rsid w:val="00B526DE"/>
    <w:rsid w:val="00B529FB"/>
    <w:rsid w:val="00B52C41"/>
    <w:rsid w:val="00B52E39"/>
    <w:rsid w:val="00B533F2"/>
    <w:rsid w:val="00B538D0"/>
    <w:rsid w:val="00B539BE"/>
    <w:rsid w:val="00B5457E"/>
    <w:rsid w:val="00B54979"/>
    <w:rsid w:val="00B558B1"/>
    <w:rsid w:val="00B55B97"/>
    <w:rsid w:val="00B55E63"/>
    <w:rsid w:val="00B56D04"/>
    <w:rsid w:val="00B56E68"/>
    <w:rsid w:val="00B57230"/>
    <w:rsid w:val="00B577BC"/>
    <w:rsid w:val="00B603E4"/>
    <w:rsid w:val="00B60518"/>
    <w:rsid w:val="00B60DFE"/>
    <w:rsid w:val="00B6115A"/>
    <w:rsid w:val="00B61956"/>
    <w:rsid w:val="00B61B2F"/>
    <w:rsid w:val="00B61C03"/>
    <w:rsid w:val="00B61DFB"/>
    <w:rsid w:val="00B6268F"/>
    <w:rsid w:val="00B62927"/>
    <w:rsid w:val="00B62AD4"/>
    <w:rsid w:val="00B62E5E"/>
    <w:rsid w:val="00B63019"/>
    <w:rsid w:val="00B6303C"/>
    <w:rsid w:val="00B63732"/>
    <w:rsid w:val="00B6373D"/>
    <w:rsid w:val="00B63963"/>
    <w:rsid w:val="00B639D7"/>
    <w:rsid w:val="00B63EE1"/>
    <w:rsid w:val="00B6432C"/>
    <w:rsid w:val="00B643D7"/>
    <w:rsid w:val="00B6483A"/>
    <w:rsid w:val="00B64F2D"/>
    <w:rsid w:val="00B65376"/>
    <w:rsid w:val="00B654AA"/>
    <w:rsid w:val="00B65BBA"/>
    <w:rsid w:val="00B66097"/>
    <w:rsid w:val="00B66155"/>
    <w:rsid w:val="00B66720"/>
    <w:rsid w:val="00B6744D"/>
    <w:rsid w:val="00B678A0"/>
    <w:rsid w:val="00B70709"/>
    <w:rsid w:val="00B70912"/>
    <w:rsid w:val="00B70B73"/>
    <w:rsid w:val="00B7144A"/>
    <w:rsid w:val="00B71583"/>
    <w:rsid w:val="00B716C5"/>
    <w:rsid w:val="00B71819"/>
    <w:rsid w:val="00B71D00"/>
    <w:rsid w:val="00B71E0B"/>
    <w:rsid w:val="00B7200A"/>
    <w:rsid w:val="00B725AF"/>
    <w:rsid w:val="00B72C9C"/>
    <w:rsid w:val="00B72D2A"/>
    <w:rsid w:val="00B72E2E"/>
    <w:rsid w:val="00B73132"/>
    <w:rsid w:val="00B73277"/>
    <w:rsid w:val="00B733D6"/>
    <w:rsid w:val="00B7392E"/>
    <w:rsid w:val="00B73CC8"/>
    <w:rsid w:val="00B74010"/>
    <w:rsid w:val="00B7469C"/>
    <w:rsid w:val="00B746C9"/>
    <w:rsid w:val="00B74976"/>
    <w:rsid w:val="00B74988"/>
    <w:rsid w:val="00B74A61"/>
    <w:rsid w:val="00B74DD7"/>
    <w:rsid w:val="00B7515F"/>
    <w:rsid w:val="00B751BD"/>
    <w:rsid w:val="00B753CA"/>
    <w:rsid w:val="00B75994"/>
    <w:rsid w:val="00B75BC6"/>
    <w:rsid w:val="00B75BD3"/>
    <w:rsid w:val="00B75ED2"/>
    <w:rsid w:val="00B7622F"/>
    <w:rsid w:val="00B763C3"/>
    <w:rsid w:val="00B76EDA"/>
    <w:rsid w:val="00B76F30"/>
    <w:rsid w:val="00B76F60"/>
    <w:rsid w:val="00B77955"/>
    <w:rsid w:val="00B77DA6"/>
    <w:rsid w:val="00B77FD0"/>
    <w:rsid w:val="00B8015D"/>
    <w:rsid w:val="00B8022F"/>
    <w:rsid w:val="00B818AB"/>
    <w:rsid w:val="00B818E6"/>
    <w:rsid w:val="00B81DDB"/>
    <w:rsid w:val="00B82C5A"/>
    <w:rsid w:val="00B831F3"/>
    <w:rsid w:val="00B833DF"/>
    <w:rsid w:val="00B83686"/>
    <w:rsid w:val="00B839EB"/>
    <w:rsid w:val="00B83AC3"/>
    <w:rsid w:val="00B83EE9"/>
    <w:rsid w:val="00B8435B"/>
    <w:rsid w:val="00B84375"/>
    <w:rsid w:val="00B8465A"/>
    <w:rsid w:val="00B84B2B"/>
    <w:rsid w:val="00B8566E"/>
    <w:rsid w:val="00B85C33"/>
    <w:rsid w:val="00B85C7C"/>
    <w:rsid w:val="00B861FF"/>
    <w:rsid w:val="00B865FB"/>
    <w:rsid w:val="00B868E1"/>
    <w:rsid w:val="00B86A76"/>
    <w:rsid w:val="00B86BB6"/>
    <w:rsid w:val="00B86C19"/>
    <w:rsid w:val="00B86F5D"/>
    <w:rsid w:val="00B873F7"/>
    <w:rsid w:val="00B87664"/>
    <w:rsid w:val="00B878D3"/>
    <w:rsid w:val="00B87A4A"/>
    <w:rsid w:val="00B87B59"/>
    <w:rsid w:val="00B87C01"/>
    <w:rsid w:val="00B909D7"/>
    <w:rsid w:val="00B91101"/>
    <w:rsid w:val="00B91930"/>
    <w:rsid w:val="00B91948"/>
    <w:rsid w:val="00B91963"/>
    <w:rsid w:val="00B91E3C"/>
    <w:rsid w:val="00B91F5A"/>
    <w:rsid w:val="00B9276B"/>
    <w:rsid w:val="00B929D9"/>
    <w:rsid w:val="00B92B9C"/>
    <w:rsid w:val="00B931B7"/>
    <w:rsid w:val="00B93EF2"/>
    <w:rsid w:val="00B943CE"/>
    <w:rsid w:val="00B956E6"/>
    <w:rsid w:val="00B95C2A"/>
    <w:rsid w:val="00B95C30"/>
    <w:rsid w:val="00B96916"/>
    <w:rsid w:val="00BA0A2C"/>
    <w:rsid w:val="00BA0CBC"/>
    <w:rsid w:val="00BA1190"/>
    <w:rsid w:val="00BA1283"/>
    <w:rsid w:val="00BA161F"/>
    <w:rsid w:val="00BA1A6A"/>
    <w:rsid w:val="00BA1D4F"/>
    <w:rsid w:val="00BA2096"/>
    <w:rsid w:val="00BA245C"/>
    <w:rsid w:val="00BA2636"/>
    <w:rsid w:val="00BA2710"/>
    <w:rsid w:val="00BA2EBD"/>
    <w:rsid w:val="00BA356B"/>
    <w:rsid w:val="00BA39D1"/>
    <w:rsid w:val="00BA3DB1"/>
    <w:rsid w:val="00BA436E"/>
    <w:rsid w:val="00BA44EE"/>
    <w:rsid w:val="00BA476A"/>
    <w:rsid w:val="00BA4A6E"/>
    <w:rsid w:val="00BA4B25"/>
    <w:rsid w:val="00BA547A"/>
    <w:rsid w:val="00BA57C9"/>
    <w:rsid w:val="00BA5D10"/>
    <w:rsid w:val="00BA6124"/>
    <w:rsid w:val="00BA61B7"/>
    <w:rsid w:val="00BA63F8"/>
    <w:rsid w:val="00BA6AB8"/>
    <w:rsid w:val="00BA6E11"/>
    <w:rsid w:val="00BA7209"/>
    <w:rsid w:val="00BA7505"/>
    <w:rsid w:val="00BA7DAE"/>
    <w:rsid w:val="00BA7F66"/>
    <w:rsid w:val="00BB03CA"/>
    <w:rsid w:val="00BB053F"/>
    <w:rsid w:val="00BB0DC6"/>
    <w:rsid w:val="00BB0E0E"/>
    <w:rsid w:val="00BB12D4"/>
    <w:rsid w:val="00BB133E"/>
    <w:rsid w:val="00BB1C09"/>
    <w:rsid w:val="00BB1CE7"/>
    <w:rsid w:val="00BB268D"/>
    <w:rsid w:val="00BB2BC6"/>
    <w:rsid w:val="00BB2F02"/>
    <w:rsid w:val="00BB3440"/>
    <w:rsid w:val="00BB38BA"/>
    <w:rsid w:val="00BB3A20"/>
    <w:rsid w:val="00BB45AC"/>
    <w:rsid w:val="00BB4822"/>
    <w:rsid w:val="00BB4997"/>
    <w:rsid w:val="00BB59DC"/>
    <w:rsid w:val="00BB68A5"/>
    <w:rsid w:val="00BB794B"/>
    <w:rsid w:val="00BB7D38"/>
    <w:rsid w:val="00BC01B0"/>
    <w:rsid w:val="00BC08BE"/>
    <w:rsid w:val="00BC0934"/>
    <w:rsid w:val="00BC0ADF"/>
    <w:rsid w:val="00BC0CC9"/>
    <w:rsid w:val="00BC1515"/>
    <w:rsid w:val="00BC15F3"/>
    <w:rsid w:val="00BC16AE"/>
    <w:rsid w:val="00BC1D53"/>
    <w:rsid w:val="00BC1F7D"/>
    <w:rsid w:val="00BC2800"/>
    <w:rsid w:val="00BC2C64"/>
    <w:rsid w:val="00BC39D2"/>
    <w:rsid w:val="00BC3A42"/>
    <w:rsid w:val="00BC3AC1"/>
    <w:rsid w:val="00BC3C70"/>
    <w:rsid w:val="00BC3DAC"/>
    <w:rsid w:val="00BC4005"/>
    <w:rsid w:val="00BC4164"/>
    <w:rsid w:val="00BC44BC"/>
    <w:rsid w:val="00BC4C83"/>
    <w:rsid w:val="00BC5059"/>
    <w:rsid w:val="00BC5776"/>
    <w:rsid w:val="00BC62B9"/>
    <w:rsid w:val="00BC636C"/>
    <w:rsid w:val="00BC64F6"/>
    <w:rsid w:val="00BC7011"/>
    <w:rsid w:val="00BC71E4"/>
    <w:rsid w:val="00BC723C"/>
    <w:rsid w:val="00BC72A1"/>
    <w:rsid w:val="00BC74DE"/>
    <w:rsid w:val="00BC7DD1"/>
    <w:rsid w:val="00BD03C8"/>
    <w:rsid w:val="00BD05E6"/>
    <w:rsid w:val="00BD0871"/>
    <w:rsid w:val="00BD0A70"/>
    <w:rsid w:val="00BD0FF9"/>
    <w:rsid w:val="00BD1427"/>
    <w:rsid w:val="00BD1628"/>
    <w:rsid w:val="00BD1EB8"/>
    <w:rsid w:val="00BD1F3C"/>
    <w:rsid w:val="00BD31C6"/>
    <w:rsid w:val="00BD33EA"/>
    <w:rsid w:val="00BD46FB"/>
    <w:rsid w:val="00BD4CC4"/>
    <w:rsid w:val="00BD4DEE"/>
    <w:rsid w:val="00BD4EF7"/>
    <w:rsid w:val="00BD55EE"/>
    <w:rsid w:val="00BD5912"/>
    <w:rsid w:val="00BD5CEF"/>
    <w:rsid w:val="00BD69CD"/>
    <w:rsid w:val="00BD7031"/>
    <w:rsid w:val="00BE04D7"/>
    <w:rsid w:val="00BE0729"/>
    <w:rsid w:val="00BE0FD4"/>
    <w:rsid w:val="00BE1B05"/>
    <w:rsid w:val="00BE1EE3"/>
    <w:rsid w:val="00BE272F"/>
    <w:rsid w:val="00BE30A4"/>
    <w:rsid w:val="00BE3A98"/>
    <w:rsid w:val="00BE43A0"/>
    <w:rsid w:val="00BE5400"/>
    <w:rsid w:val="00BE5803"/>
    <w:rsid w:val="00BE73EE"/>
    <w:rsid w:val="00BE7531"/>
    <w:rsid w:val="00BE7AE4"/>
    <w:rsid w:val="00BF05C7"/>
    <w:rsid w:val="00BF075C"/>
    <w:rsid w:val="00BF182E"/>
    <w:rsid w:val="00BF1891"/>
    <w:rsid w:val="00BF1D29"/>
    <w:rsid w:val="00BF2215"/>
    <w:rsid w:val="00BF289D"/>
    <w:rsid w:val="00BF28C0"/>
    <w:rsid w:val="00BF2A21"/>
    <w:rsid w:val="00BF3231"/>
    <w:rsid w:val="00BF3354"/>
    <w:rsid w:val="00BF3942"/>
    <w:rsid w:val="00BF3E13"/>
    <w:rsid w:val="00BF412B"/>
    <w:rsid w:val="00BF41A3"/>
    <w:rsid w:val="00BF42C7"/>
    <w:rsid w:val="00BF432E"/>
    <w:rsid w:val="00BF4503"/>
    <w:rsid w:val="00BF4A58"/>
    <w:rsid w:val="00BF4A5F"/>
    <w:rsid w:val="00BF4BE7"/>
    <w:rsid w:val="00BF5303"/>
    <w:rsid w:val="00BF5B8C"/>
    <w:rsid w:val="00BF67F7"/>
    <w:rsid w:val="00BF68D9"/>
    <w:rsid w:val="00BF7410"/>
    <w:rsid w:val="00BF7B17"/>
    <w:rsid w:val="00BF7C41"/>
    <w:rsid w:val="00BF7F06"/>
    <w:rsid w:val="00C00137"/>
    <w:rsid w:val="00C003BD"/>
    <w:rsid w:val="00C005E1"/>
    <w:rsid w:val="00C00EF4"/>
    <w:rsid w:val="00C01704"/>
    <w:rsid w:val="00C01DFF"/>
    <w:rsid w:val="00C01E73"/>
    <w:rsid w:val="00C02B6B"/>
    <w:rsid w:val="00C02FD7"/>
    <w:rsid w:val="00C031D6"/>
    <w:rsid w:val="00C0325C"/>
    <w:rsid w:val="00C032B3"/>
    <w:rsid w:val="00C03947"/>
    <w:rsid w:val="00C0458B"/>
    <w:rsid w:val="00C045AC"/>
    <w:rsid w:val="00C04634"/>
    <w:rsid w:val="00C057DC"/>
    <w:rsid w:val="00C05AC9"/>
    <w:rsid w:val="00C05D68"/>
    <w:rsid w:val="00C0632B"/>
    <w:rsid w:val="00C06ED6"/>
    <w:rsid w:val="00C072D6"/>
    <w:rsid w:val="00C07BB2"/>
    <w:rsid w:val="00C07CA1"/>
    <w:rsid w:val="00C10233"/>
    <w:rsid w:val="00C1029E"/>
    <w:rsid w:val="00C10D59"/>
    <w:rsid w:val="00C10EEC"/>
    <w:rsid w:val="00C11B8C"/>
    <w:rsid w:val="00C12B2F"/>
    <w:rsid w:val="00C12ED4"/>
    <w:rsid w:val="00C13D1B"/>
    <w:rsid w:val="00C14518"/>
    <w:rsid w:val="00C14DA8"/>
    <w:rsid w:val="00C1543C"/>
    <w:rsid w:val="00C15DB4"/>
    <w:rsid w:val="00C16097"/>
    <w:rsid w:val="00C16275"/>
    <w:rsid w:val="00C1635B"/>
    <w:rsid w:val="00C1647E"/>
    <w:rsid w:val="00C168E9"/>
    <w:rsid w:val="00C171BF"/>
    <w:rsid w:val="00C175A3"/>
    <w:rsid w:val="00C17843"/>
    <w:rsid w:val="00C17C05"/>
    <w:rsid w:val="00C2084F"/>
    <w:rsid w:val="00C213CC"/>
    <w:rsid w:val="00C2165A"/>
    <w:rsid w:val="00C21D5E"/>
    <w:rsid w:val="00C21E56"/>
    <w:rsid w:val="00C221F8"/>
    <w:rsid w:val="00C222A0"/>
    <w:rsid w:val="00C22A1C"/>
    <w:rsid w:val="00C22B2A"/>
    <w:rsid w:val="00C22B8E"/>
    <w:rsid w:val="00C23223"/>
    <w:rsid w:val="00C2338A"/>
    <w:rsid w:val="00C23ADC"/>
    <w:rsid w:val="00C23D47"/>
    <w:rsid w:val="00C23F7B"/>
    <w:rsid w:val="00C2433E"/>
    <w:rsid w:val="00C2439B"/>
    <w:rsid w:val="00C249DB"/>
    <w:rsid w:val="00C24A1C"/>
    <w:rsid w:val="00C24C77"/>
    <w:rsid w:val="00C2534D"/>
    <w:rsid w:val="00C25ADD"/>
    <w:rsid w:val="00C25EC0"/>
    <w:rsid w:val="00C26100"/>
    <w:rsid w:val="00C2636B"/>
    <w:rsid w:val="00C26449"/>
    <w:rsid w:val="00C26778"/>
    <w:rsid w:val="00C26EAF"/>
    <w:rsid w:val="00C26F67"/>
    <w:rsid w:val="00C2739E"/>
    <w:rsid w:val="00C27595"/>
    <w:rsid w:val="00C277CF"/>
    <w:rsid w:val="00C2794D"/>
    <w:rsid w:val="00C27F78"/>
    <w:rsid w:val="00C3023C"/>
    <w:rsid w:val="00C313FF"/>
    <w:rsid w:val="00C3167F"/>
    <w:rsid w:val="00C31C52"/>
    <w:rsid w:val="00C31F60"/>
    <w:rsid w:val="00C325F2"/>
    <w:rsid w:val="00C328C9"/>
    <w:rsid w:val="00C33684"/>
    <w:rsid w:val="00C3379E"/>
    <w:rsid w:val="00C33ECB"/>
    <w:rsid w:val="00C344A4"/>
    <w:rsid w:val="00C344C7"/>
    <w:rsid w:val="00C34663"/>
    <w:rsid w:val="00C3466A"/>
    <w:rsid w:val="00C34C6C"/>
    <w:rsid w:val="00C34C76"/>
    <w:rsid w:val="00C35282"/>
    <w:rsid w:val="00C35610"/>
    <w:rsid w:val="00C35868"/>
    <w:rsid w:val="00C36083"/>
    <w:rsid w:val="00C363C1"/>
    <w:rsid w:val="00C3656B"/>
    <w:rsid w:val="00C36FC2"/>
    <w:rsid w:val="00C374CA"/>
    <w:rsid w:val="00C375EB"/>
    <w:rsid w:val="00C37D43"/>
    <w:rsid w:val="00C37D8F"/>
    <w:rsid w:val="00C40597"/>
    <w:rsid w:val="00C4086F"/>
    <w:rsid w:val="00C40D19"/>
    <w:rsid w:val="00C42329"/>
    <w:rsid w:val="00C42816"/>
    <w:rsid w:val="00C42F22"/>
    <w:rsid w:val="00C438B9"/>
    <w:rsid w:val="00C439B2"/>
    <w:rsid w:val="00C43A3B"/>
    <w:rsid w:val="00C440B2"/>
    <w:rsid w:val="00C443F2"/>
    <w:rsid w:val="00C44461"/>
    <w:rsid w:val="00C4499A"/>
    <w:rsid w:val="00C44C4E"/>
    <w:rsid w:val="00C44D71"/>
    <w:rsid w:val="00C44DE7"/>
    <w:rsid w:val="00C44F06"/>
    <w:rsid w:val="00C4546E"/>
    <w:rsid w:val="00C45750"/>
    <w:rsid w:val="00C45757"/>
    <w:rsid w:val="00C4594A"/>
    <w:rsid w:val="00C459BD"/>
    <w:rsid w:val="00C459CC"/>
    <w:rsid w:val="00C460C1"/>
    <w:rsid w:val="00C47154"/>
    <w:rsid w:val="00C4743F"/>
    <w:rsid w:val="00C47A28"/>
    <w:rsid w:val="00C47BD1"/>
    <w:rsid w:val="00C47D70"/>
    <w:rsid w:val="00C5011C"/>
    <w:rsid w:val="00C501EF"/>
    <w:rsid w:val="00C505CF"/>
    <w:rsid w:val="00C50882"/>
    <w:rsid w:val="00C50AC1"/>
    <w:rsid w:val="00C51574"/>
    <w:rsid w:val="00C51D16"/>
    <w:rsid w:val="00C52095"/>
    <w:rsid w:val="00C522B7"/>
    <w:rsid w:val="00C52661"/>
    <w:rsid w:val="00C531D8"/>
    <w:rsid w:val="00C5353E"/>
    <w:rsid w:val="00C53D13"/>
    <w:rsid w:val="00C54615"/>
    <w:rsid w:val="00C552FE"/>
    <w:rsid w:val="00C5573C"/>
    <w:rsid w:val="00C5584F"/>
    <w:rsid w:val="00C560BA"/>
    <w:rsid w:val="00C56665"/>
    <w:rsid w:val="00C569BD"/>
    <w:rsid w:val="00C56B5C"/>
    <w:rsid w:val="00C57018"/>
    <w:rsid w:val="00C603E1"/>
    <w:rsid w:val="00C609BB"/>
    <w:rsid w:val="00C6136C"/>
    <w:rsid w:val="00C616CA"/>
    <w:rsid w:val="00C623C2"/>
    <w:rsid w:val="00C62778"/>
    <w:rsid w:val="00C62CB2"/>
    <w:rsid w:val="00C62D6E"/>
    <w:rsid w:val="00C62D73"/>
    <w:rsid w:val="00C62D7D"/>
    <w:rsid w:val="00C62E1D"/>
    <w:rsid w:val="00C6339B"/>
    <w:rsid w:val="00C643F0"/>
    <w:rsid w:val="00C6493E"/>
    <w:rsid w:val="00C64D74"/>
    <w:rsid w:val="00C64E75"/>
    <w:rsid w:val="00C6504B"/>
    <w:rsid w:val="00C6532B"/>
    <w:rsid w:val="00C6549A"/>
    <w:rsid w:val="00C658B7"/>
    <w:rsid w:val="00C66B1A"/>
    <w:rsid w:val="00C66E6D"/>
    <w:rsid w:val="00C670BC"/>
    <w:rsid w:val="00C678C4"/>
    <w:rsid w:val="00C70028"/>
    <w:rsid w:val="00C70511"/>
    <w:rsid w:val="00C70A00"/>
    <w:rsid w:val="00C70CB2"/>
    <w:rsid w:val="00C70D6B"/>
    <w:rsid w:val="00C714C6"/>
    <w:rsid w:val="00C71AEA"/>
    <w:rsid w:val="00C71C99"/>
    <w:rsid w:val="00C71F57"/>
    <w:rsid w:val="00C72224"/>
    <w:rsid w:val="00C7233C"/>
    <w:rsid w:val="00C72620"/>
    <w:rsid w:val="00C72791"/>
    <w:rsid w:val="00C72977"/>
    <w:rsid w:val="00C731AD"/>
    <w:rsid w:val="00C7366D"/>
    <w:rsid w:val="00C73731"/>
    <w:rsid w:val="00C738C4"/>
    <w:rsid w:val="00C73929"/>
    <w:rsid w:val="00C73999"/>
    <w:rsid w:val="00C73A60"/>
    <w:rsid w:val="00C73F30"/>
    <w:rsid w:val="00C742D5"/>
    <w:rsid w:val="00C74D9C"/>
    <w:rsid w:val="00C75565"/>
    <w:rsid w:val="00C75A92"/>
    <w:rsid w:val="00C75B6C"/>
    <w:rsid w:val="00C75C3E"/>
    <w:rsid w:val="00C75D55"/>
    <w:rsid w:val="00C75EF8"/>
    <w:rsid w:val="00C7608B"/>
    <w:rsid w:val="00C7633D"/>
    <w:rsid w:val="00C765F3"/>
    <w:rsid w:val="00C76958"/>
    <w:rsid w:val="00C76C3D"/>
    <w:rsid w:val="00C76C50"/>
    <w:rsid w:val="00C76EFD"/>
    <w:rsid w:val="00C77204"/>
    <w:rsid w:val="00C77501"/>
    <w:rsid w:val="00C775ED"/>
    <w:rsid w:val="00C779DF"/>
    <w:rsid w:val="00C77D94"/>
    <w:rsid w:val="00C8063D"/>
    <w:rsid w:val="00C80904"/>
    <w:rsid w:val="00C80E8C"/>
    <w:rsid w:val="00C81E97"/>
    <w:rsid w:val="00C82166"/>
    <w:rsid w:val="00C829E6"/>
    <w:rsid w:val="00C83004"/>
    <w:rsid w:val="00C837DE"/>
    <w:rsid w:val="00C838DC"/>
    <w:rsid w:val="00C83B00"/>
    <w:rsid w:val="00C842C7"/>
    <w:rsid w:val="00C84496"/>
    <w:rsid w:val="00C844A3"/>
    <w:rsid w:val="00C846BC"/>
    <w:rsid w:val="00C848DC"/>
    <w:rsid w:val="00C85266"/>
    <w:rsid w:val="00C85A7A"/>
    <w:rsid w:val="00C863EC"/>
    <w:rsid w:val="00C8698D"/>
    <w:rsid w:val="00C86D1D"/>
    <w:rsid w:val="00C87469"/>
    <w:rsid w:val="00C87D33"/>
    <w:rsid w:val="00C90252"/>
    <w:rsid w:val="00C90DBD"/>
    <w:rsid w:val="00C910E2"/>
    <w:rsid w:val="00C91613"/>
    <w:rsid w:val="00C91BC3"/>
    <w:rsid w:val="00C921E0"/>
    <w:rsid w:val="00C92683"/>
    <w:rsid w:val="00C927CD"/>
    <w:rsid w:val="00C92F16"/>
    <w:rsid w:val="00C93536"/>
    <w:rsid w:val="00C936AF"/>
    <w:rsid w:val="00C94402"/>
    <w:rsid w:val="00C9473D"/>
    <w:rsid w:val="00C94BDE"/>
    <w:rsid w:val="00C957D1"/>
    <w:rsid w:val="00C95EA4"/>
    <w:rsid w:val="00C9622D"/>
    <w:rsid w:val="00C96396"/>
    <w:rsid w:val="00C969B0"/>
    <w:rsid w:val="00C96A60"/>
    <w:rsid w:val="00C9714B"/>
    <w:rsid w:val="00C97459"/>
    <w:rsid w:val="00C97A2B"/>
    <w:rsid w:val="00C97A8A"/>
    <w:rsid w:val="00CA0855"/>
    <w:rsid w:val="00CA1649"/>
    <w:rsid w:val="00CA21DA"/>
    <w:rsid w:val="00CA2438"/>
    <w:rsid w:val="00CA2E4A"/>
    <w:rsid w:val="00CA3A35"/>
    <w:rsid w:val="00CA3CE3"/>
    <w:rsid w:val="00CA425D"/>
    <w:rsid w:val="00CA4EE0"/>
    <w:rsid w:val="00CA5412"/>
    <w:rsid w:val="00CA56BC"/>
    <w:rsid w:val="00CA5773"/>
    <w:rsid w:val="00CA5EB3"/>
    <w:rsid w:val="00CA640E"/>
    <w:rsid w:val="00CA64CF"/>
    <w:rsid w:val="00CA66CD"/>
    <w:rsid w:val="00CA68B3"/>
    <w:rsid w:val="00CA6934"/>
    <w:rsid w:val="00CA69C5"/>
    <w:rsid w:val="00CA6C3A"/>
    <w:rsid w:val="00CA6C8C"/>
    <w:rsid w:val="00CA7109"/>
    <w:rsid w:val="00CA782E"/>
    <w:rsid w:val="00CA792D"/>
    <w:rsid w:val="00CA79E9"/>
    <w:rsid w:val="00CA7BD1"/>
    <w:rsid w:val="00CA7DC2"/>
    <w:rsid w:val="00CB0340"/>
    <w:rsid w:val="00CB095D"/>
    <w:rsid w:val="00CB0FE1"/>
    <w:rsid w:val="00CB117C"/>
    <w:rsid w:val="00CB1356"/>
    <w:rsid w:val="00CB1405"/>
    <w:rsid w:val="00CB174E"/>
    <w:rsid w:val="00CB18DA"/>
    <w:rsid w:val="00CB194A"/>
    <w:rsid w:val="00CB1B19"/>
    <w:rsid w:val="00CB1D82"/>
    <w:rsid w:val="00CB1E5D"/>
    <w:rsid w:val="00CB1F6B"/>
    <w:rsid w:val="00CB20DE"/>
    <w:rsid w:val="00CB2A66"/>
    <w:rsid w:val="00CB2D84"/>
    <w:rsid w:val="00CB3489"/>
    <w:rsid w:val="00CB357F"/>
    <w:rsid w:val="00CB4454"/>
    <w:rsid w:val="00CB4912"/>
    <w:rsid w:val="00CB4F65"/>
    <w:rsid w:val="00CB5298"/>
    <w:rsid w:val="00CB5568"/>
    <w:rsid w:val="00CB62AF"/>
    <w:rsid w:val="00CB63C9"/>
    <w:rsid w:val="00CB643E"/>
    <w:rsid w:val="00CB7EA5"/>
    <w:rsid w:val="00CB7F71"/>
    <w:rsid w:val="00CC06E0"/>
    <w:rsid w:val="00CC1491"/>
    <w:rsid w:val="00CC16E7"/>
    <w:rsid w:val="00CC1988"/>
    <w:rsid w:val="00CC1DF9"/>
    <w:rsid w:val="00CC1FF8"/>
    <w:rsid w:val="00CC26AE"/>
    <w:rsid w:val="00CC2DD9"/>
    <w:rsid w:val="00CC3EEC"/>
    <w:rsid w:val="00CC454F"/>
    <w:rsid w:val="00CC4644"/>
    <w:rsid w:val="00CC4782"/>
    <w:rsid w:val="00CC4B48"/>
    <w:rsid w:val="00CC4B4E"/>
    <w:rsid w:val="00CC4D92"/>
    <w:rsid w:val="00CC55FC"/>
    <w:rsid w:val="00CC5652"/>
    <w:rsid w:val="00CC6F2F"/>
    <w:rsid w:val="00CC71CA"/>
    <w:rsid w:val="00CD07E3"/>
    <w:rsid w:val="00CD0DD6"/>
    <w:rsid w:val="00CD0F9F"/>
    <w:rsid w:val="00CD0FA3"/>
    <w:rsid w:val="00CD0FBA"/>
    <w:rsid w:val="00CD1530"/>
    <w:rsid w:val="00CD1BB4"/>
    <w:rsid w:val="00CD1FB5"/>
    <w:rsid w:val="00CD254D"/>
    <w:rsid w:val="00CD276A"/>
    <w:rsid w:val="00CD3D73"/>
    <w:rsid w:val="00CD3FF4"/>
    <w:rsid w:val="00CD4D9C"/>
    <w:rsid w:val="00CD5BA1"/>
    <w:rsid w:val="00CD5BE0"/>
    <w:rsid w:val="00CD607E"/>
    <w:rsid w:val="00CD623E"/>
    <w:rsid w:val="00CD6338"/>
    <w:rsid w:val="00CD6758"/>
    <w:rsid w:val="00CD6831"/>
    <w:rsid w:val="00CD6C10"/>
    <w:rsid w:val="00CD6CEB"/>
    <w:rsid w:val="00CD6D80"/>
    <w:rsid w:val="00CD6E3F"/>
    <w:rsid w:val="00CD6E5A"/>
    <w:rsid w:val="00CD6F4B"/>
    <w:rsid w:val="00CD70F3"/>
    <w:rsid w:val="00CD73A7"/>
    <w:rsid w:val="00CD7D45"/>
    <w:rsid w:val="00CD7ECE"/>
    <w:rsid w:val="00CE0BE5"/>
    <w:rsid w:val="00CE0C8F"/>
    <w:rsid w:val="00CE132E"/>
    <w:rsid w:val="00CE150E"/>
    <w:rsid w:val="00CE19D6"/>
    <w:rsid w:val="00CE3333"/>
    <w:rsid w:val="00CE3805"/>
    <w:rsid w:val="00CE397A"/>
    <w:rsid w:val="00CE3A14"/>
    <w:rsid w:val="00CE3A82"/>
    <w:rsid w:val="00CE439A"/>
    <w:rsid w:val="00CE470C"/>
    <w:rsid w:val="00CE5410"/>
    <w:rsid w:val="00CE623F"/>
    <w:rsid w:val="00CE6A90"/>
    <w:rsid w:val="00CE6DA3"/>
    <w:rsid w:val="00CE6E39"/>
    <w:rsid w:val="00CE6F9B"/>
    <w:rsid w:val="00CE759D"/>
    <w:rsid w:val="00CF0342"/>
    <w:rsid w:val="00CF03AD"/>
    <w:rsid w:val="00CF07E2"/>
    <w:rsid w:val="00CF0925"/>
    <w:rsid w:val="00CF115B"/>
    <w:rsid w:val="00CF165A"/>
    <w:rsid w:val="00CF1817"/>
    <w:rsid w:val="00CF1902"/>
    <w:rsid w:val="00CF1D5B"/>
    <w:rsid w:val="00CF22FD"/>
    <w:rsid w:val="00CF24BA"/>
    <w:rsid w:val="00CF24FC"/>
    <w:rsid w:val="00CF2A1C"/>
    <w:rsid w:val="00CF3513"/>
    <w:rsid w:val="00CF3980"/>
    <w:rsid w:val="00CF3EDB"/>
    <w:rsid w:val="00CF3FBB"/>
    <w:rsid w:val="00CF4551"/>
    <w:rsid w:val="00CF4B6D"/>
    <w:rsid w:val="00CF4E0C"/>
    <w:rsid w:val="00CF55E4"/>
    <w:rsid w:val="00CF5623"/>
    <w:rsid w:val="00CF57F6"/>
    <w:rsid w:val="00CF5C84"/>
    <w:rsid w:val="00CF6385"/>
    <w:rsid w:val="00CF6B79"/>
    <w:rsid w:val="00CF6DCC"/>
    <w:rsid w:val="00CF71DA"/>
    <w:rsid w:val="00CF7CE7"/>
    <w:rsid w:val="00CF7D74"/>
    <w:rsid w:val="00CF7D91"/>
    <w:rsid w:val="00D00B2A"/>
    <w:rsid w:val="00D00B44"/>
    <w:rsid w:val="00D00D42"/>
    <w:rsid w:val="00D01F27"/>
    <w:rsid w:val="00D02C63"/>
    <w:rsid w:val="00D03677"/>
    <w:rsid w:val="00D037A3"/>
    <w:rsid w:val="00D03BC9"/>
    <w:rsid w:val="00D04368"/>
    <w:rsid w:val="00D045D6"/>
    <w:rsid w:val="00D045F7"/>
    <w:rsid w:val="00D04605"/>
    <w:rsid w:val="00D0479D"/>
    <w:rsid w:val="00D04C43"/>
    <w:rsid w:val="00D0500D"/>
    <w:rsid w:val="00D05865"/>
    <w:rsid w:val="00D064AD"/>
    <w:rsid w:val="00D06653"/>
    <w:rsid w:val="00D06A90"/>
    <w:rsid w:val="00D07040"/>
    <w:rsid w:val="00D07452"/>
    <w:rsid w:val="00D0785C"/>
    <w:rsid w:val="00D078EF"/>
    <w:rsid w:val="00D07B16"/>
    <w:rsid w:val="00D10175"/>
    <w:rsid w:val="00D1034D"/>
    <w:rsid w:val="00D119FA"/>
    <w:rsid w:val="00D11DE2"/>
    <w:rsid w:val="00D11E94"/>
    <w:rsid w:val="00D11EC3"/>
    <w:rsid w:val="00D128D1"/>
    <w:rsid w:val="00D12F94"/>
    <w:rsid w:val="00D13155"/>
    <w:rsid w:val="00D133CF"/>
    <w:rsid w:val="00D13AE4"/>
    <w:rsid w:val="00D13B89"/>
    <w:rsid w:val="00D13DDB"/>
    <w:rsid w:val="00D13E00"/>
    <w:rsid w:val="00D140A7"/>
    <w:rsid w:val="00D141C1"/>
    <w:rsid w:val="00D14588"/>
    <w:rsid w:val="00D146FE"/>
    <w:rsid w:val="00D14A37"/>
    <w:rsid w:val="00D156B4"/>
    <w:rsid w:val="00D15A09"/>
    <w:rsid w:val="00D164B3"/>
    <w:rsid w:val="00D16FB7"/>
    <w:rsid w:val="00D17617"/>
    <w:rsid w:val="00D17DAD"/>
    <w:rsid w:val="00D202AA"/>
    <w:rsid w:val="00D2125C"/>
    <w:rsid w:val="00D212F1"/>
    <w:rsid w:val="00D2152E"/>
    <w:rsid w:val="00D21595"/>
    <w:rsid w:val="00D217F2"/>
    <w:rsid w:val="00D225FE"/>
    <w:rsid w:val="00D22A28"/>
    <w:rsid w:val="00D23312"/>
    <w:rsid w:val="00D23876"/>
    <w:rsid w:val="00D23EAA"/>
    <w:rsid w:val="00D23F5F"/>
    <w:rsid w:val="00D24749"/>
    <w:rsid w:val="00D2494D"/>
    <w:rsid w:val="00D25F04"/>
    <w:rsid w:val="00D26242"/>
    <w:rsid w:val="00D262BF"/>
    <w:rsid w:val="00D269A9"/>
    <w:rsid w:val="00D26A6B"/>
    <w:rsid w:val="00D26EBA"/>
    <w:rsid w:val="00D27AF1"/>
    <w:rsid w:val="00D27BD0"/>
    <w:rsid w:val="00D3060E"/>
    <w:rsid w:val="00D30A84"/>
    <w:rsid w:val="00D31888"/>
    <w:rsid w:val="00D31B97"/>
    <w:rsid w:val="00D3201B"/>
    <w:rsid w:val="00D3208B"/>
    <w:rsid w:val="00D329E5"/>
    <w:rsid w:val="00D32A06"/>
    <w:rsid w:val="00D33612"/>
    <w:rsid w:val="00D33C42"/>
    <w:rsid w:val="00D347BF"/>
    <w:rsid w:val="00D34C45"/>
    <w:rsid w:val="00D34C86"/>
    <w:rsid w:val="00D350F8"/>
    <w:rsid w:val="00D35188"/>
    <w:rsid w:val="00D35992"/>
    <w:rsid w:val="00D359B1"/>
    <w:rsid w:val="00D35ADD"/>
    <w:rsid w:val="00D36757"/>
    <w:rsid w:val="00D379A2"/>
    <w:rsid w:val="00D40274"/>
    <w:rsid w:val="00D4053F"/>
    <w:rsid w:val="00D40EA4"/>
    <w:rsid w:val="00D41059"/>
    <w:rsid w:val="00D41B3B"/>
    <w:rsid w:val="00D41F8A"/>
    <w:rsid w:val="00D41FA2"/>
    <w:rsid w:val="00D4209E"/>
    <w:rsid w:val="00D422D4"/>
    <w:rsid w:val="00D42DEE"/>
    <w:rsid w:val="00D43241"/>
    <w:rsid w:val="00D44018"/>
    <w:rsid w:val="00D44172"/>
    <w:rsid w:val="00D44363"/>
    <w:rsid w:val="00D44581"/>
    <w:rsid w:val="00D44692"/>
    <w:rsid w:val="00D4475C"/>
    <w:rsid w:val="00D44789"/>
    <w:rsid w:val="00D451FA"/>
    <w:rsid w:val="00D45BB0"/>
    <w:rsid w:val="00D460C2"/>
    <w:rsid w:val="00D462E8"/>
    <w:rsid w:val="00D466CD"/>
    <w:rsid w:val="00D468C6"/>
    <w:rsid w:val="00D4734B"/>
    <w:rsid w:val="00D47AB4"/>
    <w:rsid w:val="00D503C6"/>
    <w:rsid w:val="00D504DC"/>
    <w:rsid w:val="00D50C10"/>
    <w:rsid w:val="00D519E3"/>
    <w:rsid w:val="00D51C42"/>
    <w:rsid w:val="00D51ECB"/>
    <w:rsid w:val="00D51FC1"/>
    <w:rsid w:val="00D52016"/>
    <w:rsid w:val="00D5214F"/>
    <w:rsid w:val="00D5252A"/>
    <w:rsid w:val="00D52727"/>
    <w:rsid w:val="00D52D8D"/>
    <w:rsid w:val="00D53217"/>
    <w:rsid w:val="00D53400"/>
    <w:rsid w:val="00D53766"/>
    <w:rsid w:val="00D537A4"/>
    <w:rsid w:val="00D54CC9"/>
    <w:rsid w:val="00D550F0"/>
    <w:rsid w:val="00D553C2"/>
    <w:rsid w:val="00D5574A"/>
    <w:rsid w:val="00D55AF0"/>
    <w:rsid w:val="00D562D8"/>
    <w:rsid w:val="00D566B5"/>
    <w:rsid w:val="00D56D93"/>
    <w:rsid w:val="00D578D3"/>
    <w:rsid w:val="00D57A86"/>
    <w:rsid w:val="00D57B8C"/>
    <w:rsid w:val="00D600BA"/>
    <w:rsid w:val="00D60920"/>
    <w:rsid w:val="00D60BFD"/>
    <w:rsid w:val="00D60C46"/>
    <w:rsid w:val="00D60D6C"/>
    <w:rsid w:val="00D60E62"/>
    <w:rsid w:val="00D61174"/>
    <w:rsid w:val="00D611A3"/>
    <w:rsid w:val="00D625EB"/>
    <w:rsid w:val="00D6285E"/>
    <w:rsid w:val="00D62D78"/>
    <w:rsid w:val="00D634C6"/>
    <w:rsid w:val="00D63671"/>
    <w:rsid w:val="00D637A9"/>
    <w:rsid w:val="00D63B59"/>
    <w:rsid w:val="00D646C8"/>
    <w:rsid w:val="00D64867"/>
    <w:rsid w:val="00D648B5"/>
    <w:rsid w:val="00D64F14"/>
    <w:rsid w:val="00D65418"/>
    <w:rsid w:val="00D65A0D"/>
    <w:rsid w:val="00D65BFA"/>
    <w:rsid w:val="00D65C1A"/>
    <w:rsid w:val="00D65EC0"/>
    <w:rsid w:val="00D66F4E"/>
    <w:rsid w:val="00D670B9"/>
    <w:rsid w:val="00D70A12"/>
    <w:rsid w:val="00D70B74"/>
    <w:rsid w:val="00D70C75"/>
    <w:rsid w:val="00D70F07"/>
    <w:rsid w:val="00D71C75"/>
    <w:rsid w:val="00D71E33"/>
    <w:rsid w:val="00D722AA"/>
    <w:rsid w:val="00D72499"/>
    <w:rsid w:val="00D72641"/>
    <w:rsid w:val="00D72896"/>
    <w:rsid w:val="00D72EAC"/>
    <w:rsid w:val="00D731D6"/>
    <w:rsid w:val="00D74203"/>
    <w:rsid w:val="00D74CA0"/>
    <w:rsid w:val="00D74DE7"/>
    <w:rsid w:val="00D75C85"/>
    <w:rsid w:val="00D7617B"/>
    <w:rsid w:val="00D76191"/>
    <w:rsid w:val="00D762E5"/>
    <w:rsid w:val="00D76764"/>
    <w:rsid w:val="00D77789"/>
    <w:rsid w:val="00D77E30"/>
    <w:rsid w:val="00D77EA4"/>
    <w:rsid w:val="00D80562"/>
    <w:rsid w:val="00D8062B"/>
    <w:rsid w:val="00D80AC3"/>
    <w:rsid w:val="00D81239"/>
    <w:rsid w:val="00D81601"/>
    <w:rsid w:val="00D81EED"/>
    <w:rsid w:val="00D822B2"/>
    <w:rsid w:val="00D8250B"/>
    <w:rsid w:val="00D8276B"/>
    <w:rsid w:val="00D830D4"/>
    <w:rsid w:val="00D83327"/>
    <w:rsid w:val="00D83D48"/>
    <w:rsid w:val="00D83E29"/>
    <w:rsid w:val="00D84717"/>
    <w:rsid w:val="00D84D74"/>
    <w:rsid w:val="00D84FBA"/>
    <w:rsid w:val="00D85CBC"/>
    <w:rsid w:val="00D864CB"/>
    <w:rsid w:val="00D87779"/>
    <w:rsid w:val="00D87F81"/>
    <w:rsid w:val="00D91FE9"/>
    <w:rsid w:val="00D9255E"/>
    <w:rsid w:val="00D928B6"/>
    <w:rsid w:val="00D92FAA"/>
    <w:rsid w:val="00D93239"/>
    <w:rsid w:val="00D93640"/>
    <w:rsid w:val="00D938E2"/>
    <w:rsid w:val="00D940F5"/>
    <w:rsid w:val="00D94264"/>
    <w:rsid w:val="00D9474E"/>
    <w:rsid w:val="00D94C4B"/>
    <w:rsid w:val="00D94C62"/>
    <w:rsid w:val="00D951C3"/>
    <w:rsid w:val="00D952A3"/>
    <w:rsid w:val="00D9670A"/>
    <w:rsid w:val="00D969BC"/>
    <w:rsid w:val="00D969C2"/>
    <w:rsid w:val="00D97376"/>
    <w:rsid w:val="00D97502"/>
    <w:rsid w:val="00D978E5"/>
    <w:rsid w:val="00D97A7A"/>
    <w:rsid w:val="00D97DC7"/>
    <w:rsid w:val="00DA036C"/>
    <w:rsid w:val="00DA0515"/>
    <w:rsid w:val="00DA0FF3"/>
    <w:rsid w:val="00DA1147"/>
    <w:rsid w:val="00DA14C9"/>
    <w:rsid w:val="00DA16E3"/>
    <w:rsid w:val="00DA1B93"/>
    <w:rsid w:val="00DA2079"/>
    <w:rsid w:val="00DA22D9"/>
    <w:rsid w:val="00DA2A2B"/>
    <w:rsid w:val="00DA2B69"/>
    <w:rsid w:val="00DA3328"/>
    <w:rsid w:val="00DA33A6"/>
    <w:rsid w:val="00DA4C42"/>
    <w:rsid w:val="00DA4E69"/>
    <w:rsid w:val="00DA5487"/>
    <w:rsid w:val="00DA5C0E"/>
    <w:rsid w:val="00DA5D77"/>
    <w:rsid w:val="00DA5F46"/>
    <w:rsid w:val="00DA632A"/>
    <w:rsid w:val="00DA65FA"/>
    <w:rsid w:val="00DA6ADF"/>
    <w:rsid w:val="00DA76C5"/>
    <w:rsid w:val="00DA79CB"/>
    <w:rsid w:val="00DB04F7"/>
    <w:rsid w:val="00DB07AC"/>
    <w:rsid w:val="00DB0BB0"/>
    <w:rsid w:val="00DB1D31"/>
    <w:rsid w:val="00DB1F65"/>
    <w:rsid w:val="00DB2086"/>
    <w:rsid w:val="00DB2096"/>
    <w:rsid w:val="00DB2E23"/>
    <w:rsid w:val="00DB2F17"/>
    <w:rsid w:val="00DB3C43"/>
    <w:rsid w:val="00DB3CB5"/>
    <w:rsid w:val="00DB3F95"/>
    <w:rsid w:val="00DB41C5"/>
    <w:rsid w:val="00DB457F"/>
    <w:rsid w:val="00DB4CAF"/>
    <w:rsid w:val="00DB4D7D"/>
    <w:rsid w:val="00DB50B8"/>
    <w:rsid w:val="00DB52A5"/>
    <w:rsid w:val="00DB55BE"/>
    <w:rsid w:val="00DB5968"/>
    <w:rsid w:val="00DB645C"/>
    <w:rsid w:val="00DB67D8"/>
    <w:rsid w:val="00DB7AF8"/>
    <w:rsid w:val="00DC05C3"/>
    <w:rsid w:val="00DC0BBB"/>
    <w:rsid w:val="00DC1CA6"/>
    <w:rsid w:val="00DC22FF"/>
    <w:rsid w:val="00DC31E0"/>
    <w:rsid w:val="00DC35B5"/>
    <w:rsid w:val="00DC3C65"/>
    <w:rsid w:val="00DC3CAB"/>
    <w:rsid w:val="00DC43DC"/>
    <w:rsid w:val="00DC457D"/>
    <w:rsid w:val="00DC4AF3"/>
    <w:rsid w:val="00DC4C53"/>
    <w:rsid w:val="00DC5474"/>
    <w:rsid w:val="00DC5E0D"/>
    <w:rsid w:val="00DC5FD2"/>
    <w:rsid w:val="00DC62DE"/>
    <w:rsid w:val="00DC676D"/>
    <w:rsid w:val="00DC6A5F"/>
    <w:rsid w:val="00DC6B53"/>
    <w:rsid w:val="00DC6D94"/>
    <w:rsid w:val="00DC6DB9"/>
    <w:rsid w:val="00DC7285"/>
    <w:rsid w:val="00DD00C3"/>
    <w:rsid w:val="00DD00D3"/>
    <w:rsid w:val="00DD0B07"/>
    <w:rsid w:val="00DD11B5"/>
    <w:rsid w:val="00DD124C"/>
    <w:rsid w:val="00DD14AB"/>
    <w:rsid w:val="00DD1CC9"/>
    <w:rsid w:val="00DD1EBB"/>
    <w:rsid w:val="00DD2456"/>
    <w:rsid w:val="00DD2955"/>
    <w:rsid w:val="00DD2F15"/>
    <w:rsid w:val="00DD360A"/>
    <w:rsid w:val="00DD3898"/>
    <w:rsid w:val="00DD38E7"/>
    <w:rsid w:val="00DD38FB"/>
    <w:rsid w:val="00DD3ADC"/>
    <w:rsid w:val="00DD4933"/>
    <w:rsid w:val="00DD4AA3"/>
    <w:rsid w:val="00DD4BB7"/>
    <w:rsid w:val="00DD4C77"/>
    <w:rsid w:val="00DD4DF0"/>
    <w:rsid w:val="00DD558B"/>
    <w:rsid w:val="00DD5873"/>
    <w:rsid w:val="00DD64E5"/>
    <w:rsid w:val="00DD6951"/>
    <w:rsid w:val="00DD752C"/>
    <w:rsid w:val="00DD778A"/>
    <w:rsid w:val="00DE0175"/>
    <w:rsid w:val="00DE10C4"/>
    <w:rsid w:val="00DE1560"/>
    <w:rsid w:val="00DE247A"/>
    <w:rsid w:val="00DE258D"/>
    <w:rsid w:val="00DE25C9"/>
    <w:rsid w:val="00DE25DE"/>
    <w:rsid w:val="00DE2BF0"/>
    <w:rsid w:val="00DE2C3E"/>
    <w:rsid w:val="00DE344F"/>
    <w:rsid w:val="00DE3D66"/>
    <w:rsid w:val="00DE3E31"/>
    <w:rsid w:val="00DE3F71"/>
    <w:rsid w:val="00DE45EE"/>
    <w:rsid w:val="00DE4EC6"/>
    <w:rsid w:val="00DE64EB"/>
    <w:rsid w:val="00DE67EA"/>
    <w:rsid w:val="00DE69AE"/>
    <w:rsid w:val="00DE6A68"/>
    <w:rsid w:val="00DE7103"/>
    <w:rsid w:val="00DE7361"/>
    <w:rsid w:val="00DE777E"/>
    <w:rsid w:val="00DE7A65"/>
    <w:rsid w:val="00DE7BFB"/>
    <w:rsid w:val="00DF0004"/>
    <w:rsid w:val="00DF0086"/>
    <w:rsid w:val="00DF069F"/>
    <w:rsid w:val="00DF131F"/>
    <w:rsid w:val="00DF25D0"/>
    <w:rsid w:val="00DF2ACF"/>
    <w:rsid w:val="00DF3B05"/>
    <w:rsid w:val="00DF3B9A"/>
    <w:rsid w:val="00DF400D"/>
    <w:rsid w:val="00DF47E4"/>
    <w:rsid w:val="00DF5223"/>
    <w:rsid w:val="00DF5845"/>
    <w:rsid w:val="00DF5B77"/>
    <w:rsid w:val="00DF5D85"/>
    <w:rsid w:val="00DF67AC"/>
    <w:rsid w:val="00DF6CB3"/>
    <w:rsid w:val="00DF6D4B"/>
    <w:rsid w:val="00DF704F"/>
    <w:rsid w:val="00DF73FB"/>
    <w:rsid w:val="00DF7737"/>
    <w:rsid w:val="00DF77BE"/>
    <w:rsid w:val="00DFA3AB"/>
    <w:rsid w:val="00E0013F"/>
    <w:rsid w:val="00E00CDD"/>
    <w:rsid w:val="00E00FB9"/>
    <w:rsid w:val="00E0115B"/>
    <w:rsid w:val="00E01FC5"/>
    <w:rsid w:val="00E01FD6"/>
    <w:rsid w:val="00E027A7"/>
    <w:rsid w:val="00E02963"/>
    <w:rsid w:val="00E02B3B"/>
    <w:rsid w:val="00E02CE6"/>
    <w:rsid w:val="00E02DB1"/>
    <w:rsid w:val="00E03BC5"/>
    <w:rsid w:val="00E03E80"/>
    <w:rsid w:val="00E04188"/>
    <w:rsid w:val="00E0443D"/>
    <w:rsid w:val="00E045D8"/>
    <w:rsid w:val="00E04904"/>
    <w:rsid w:val="00E04B2E"/>
    <w:rsid w:val="00E04C41"/>
    <w:rsid w:val="00E04FBD"/>
    <w:rsid w:val="00E058C2"/>
    <w:rsid w:val="00E05DB6"/>
    <w:rsid w:val="00E064CA"/>
    <w:rsid w:val="00E06594"/>
    <w:rsid w:val="00E066B5"/>
    <w:rsid w:val="00E070EE"/>
    <w:rsid w:val="00E07176"/>
    <w:rsid w:val="00E0724D"/>
    <w:rsid w:val="00E075B5"/>
    <w:rsid w:val="00E0766A"/>
    <w:rsid w:val="00E078CE"/>
    <w:rsid w:val="00E10569"/>
    <w:rsid w:val="00E1071C"/>
    <w:rsid w:val="00E10E4D"/>
    <w:rsid w:val="00E11399"/>
    <w:rsid w:val="00E117F6"/>
    <w:rsid w:val="00E11DED"/>
    <w:rsid w:val="00E12558"/>
    <w:rsid w:val="00E12559"/>
    <w:rsid w:val="00E12634"/>
    <w:rsid w:val="00E1288F"/>
    <w:rsid w:val="00E13079"/>
    <w:rsid w:val="00E1309C"/>
    <w:rsid w:val="00E131BB"/>
    <w:rsid w:val="00E13419"/>
    <w:rsid w:val="00E14007"/>
    <w:rsid w:val="00E141B3"/>
    <w:rsid w:val="00E1449C"/>
    <w:rsid w:val="00E14770"/>
    <w:rsid w:val="00E147A7"/>
    <w:rsid w:val="00E1499B"/>
    <w:rsid w:val="00E149A5"/>
    <w:rsid w:val="00E14BF8"/>
    <w:rsid w:val="00E15168"/>
    <w:rsid w:val="00E151C2"/>
    <w:rsid w:val="00E154CB"/>
    <w:rsid w:val="00E15E81"/>
    <w:rsid w:val="00E16233"/>
    <w:rsid w:val="00E16DD4"/>
    <w:rsid w:val="00E16F69"/>
    <w:rsid w:val="00E17043"/>
    <w:rsid w:val="00E17236"/>
    <w:rsid w:val="00E1755D"/>
    <w:rsid w:val="00E17B27"/>
    <w:rsid w:val="00E2010D"/>
    <w:rsid w:val="00E2078E"/>
    <w:rsid w:val="00E20B2C"/>
    <w:rsid w:val="00E21012"/>
    <w:rsid w:val="00E210FF"/>
    <w:rsid w:val="00E2149C"/>
    <w:rsid w:val="00E21536"/>
    <w:rsid w:val="00E216B9"/>
    <w:rsid w:val="00E21DEE"/>
    <w:rsid w:val="00E2232B"/>
    <w:rsid w:val="00E22351"/>
    <w:rsid w:val="00E22588"/>
    <w:rsid w:val="00E22592"/>
    <w:rsid w:val="00E22826"/>
    <w:rsid w:val="00E22DA2"/>
    <w:rsid w:val="00E2301C"/>
    <w:rsid w:val="00E231CD"/>
    <w:rsid w:val="00E23344"/>
    <w:rsid w:val="00E2336E"/>
    <w:rsid w:val="00E23E47"/>
    <w:rsid w:val="00E24DA7"/>
    <w:rsid w:val="00E253F8"/>
    <w:rsid w:val="00E2617B"/>
    <w:rsid w:val="00E2629E"/>
    <w:rsid w:val="00E266F7"/>
    <w:rsid w:val="00E26AB4"/>
    <w:rsid w:val="00E26BBD"/>
    <w:rsid w:val="00E27695"/>
    <w:rsid w:val="00E2781D"/>
    <w:rsid w:val="00E27870"/>
    <w:rsid w:val="00E27874"/>
    <w:rsid w:val="00E300E2"/>
    <w:rsid w:val="00E30623"/>
    <w:rsid w:val="00E311B8"/>
    <w:rsid w:val="00E312DE"/>
    <w:rsid w:val="00E324DB"/>
    <w:rsid w:val="00E32500"/>
    <w:rsid w:val="00E32779"/>
    <w:rsid w:val="00E32866"/>
    <w:rsid w:val="00E32A79"/>
    <w:rsid w:val="00E32EA1"/>
    <w:rsid w:val="00E330D3"/>
    <w:rsid w:val="00E339AC"/>
    <w:rsid w:val="00E34457"/>
    <w:rsid w:val="00E34509"/>
    <w:rsid w:val="00E34CE6"/>
    <w:rsid w:val="00E357A8"/>
    <w:rsid w:val="00E35B3A"/>
    <w:rsid w:val="00E35DAA"/>
    <w:rsid w:val="00E36356"/>
    <w:rsid w:val="00E3715C"/>
    <w:rsid w:val="00E376EA"/>
    <w:rsid w:val="00E37AFF"/>
    <w:rsid w:val="00E4061B"/>
    <w:rsid w:val="00E40847"/>
    <w:rsid w:val="00E419BF"/>
    <w:rsid w:val="00E42010"/>
    <w:rsid w:val="00E42D72"/>
    <w:rsid w:val="00E432F0"/>
    <w:rsid w:val="00E43606"/>
    <w:rsid w:val="00E4373B"/>
    <w:rsid w:val="00E4413E"/>
    <w:rsid w:val="00E4504A"/>
    <w:rsid w:val="00E454FF"/>
    <w:rsid w:val="00E45580"/>
    <w:rsid w:val="00E45980"/>
    <w:rsid w:val="00E46ECC"/>
    <w:rsid w:val="00E47158"/>
    <w:rsid w:val="00E47333"/>
    <w:rsid w:val="00E475DA"/>
    <w:rsid w:val="00E4791D"/>
    <w:rsid w:val="00E47A99"/>
    <w:rsid w:val="00E51093"/>
    <w:rsid w:val="00E514C1"/>
    <w:rsid w:val="00E51598"/>
    <w:rsid w:val="00E516C4"/>
    <w:rsid w:val="00E51DF4"/>
    <w:rsid w:val="00E5237B"/>
    <w:rsid w:val="00E527CE"/>
    <w:rsid w:val="00E52808"/>
    <w:rsid w:val="00E5292D"/>
    <w:rsid w:val="00E52F37"/>
    <w:rsid w:val="00E539B7"/>
    <w:rsid w:val="00E53B11"/>
    <w:rsid w:val="00E53B89"/>
    <w:rsid w:val="00E5449F"/>
    <w:rsid w:val="00E54867"/>
    <w:rsid w:val="00E554CF"/>
    <w:rsid w:val="00E557DA"/>
    <w:rsid w:val="00E5600A"/>
    <w:rsid w:val="00E562BD"/>
    <w:rsid w:val="00E56622"/>
    <w:rsid w:val="00E56895"/>
    <w:rsid w:val="00E5728B"/>
    <w:rsid w:val="00E575CA"/>
    <w:rsid w:val="00E57F39"/>
    <w:rsid w:val="00E57F7C"/>
    <w:rsid w:val="00E607DF"/>
    <w:rsid w:val="00E60C18"/>
    <w:rsid w:val="00E60E5B"/>
    <w:rsid w:val="00E6215C"/>
    <w:rsid w:val="00E62178"/>
    <w:rsid w:val="00E628A2"/>
    <w:rsid w:val="00E62A98"/>
    <w:rsid w:val="00E633BC"/>
    <w:rsid w:val="00E63715"/>
    <w:rsid w:val="00E63D9D"/>
    <w:rsid w:val="00E641E8"/>
    <w:rsid w:val="00E6493C"/>
    <w:rsid w:val="00E64B69"/>
    <w:rsid w:val="00E64DE8"/>
    <w:rsid w:val="00E65494"/>
    <w:rsid w:val="00E65619"/>
    <w:rsid w:val="00E66097"/>
    <w:rsid w:val="00E662CF"/>
    <w:rsid w:val="00E66F3F"/>
    <w:rsid w:val="00E67551"/>
    <w:rsid w:val="00E67C43"/>
    <w:rsid w:val="00E67D48"/>
    <w:rsid w:val="00E67F48"/>
    <w:rsid w:val="00E70674"/>
    <w:rsid w:val="00E70B63"/>
    <w:rsid w:val="00E70F4A"/>
    <w:rsid w:val="00E71085"/>
    <w:rsid w:val="00E7109E"/>
    <w:rsid w:val="00E7205B"/>
    <w:rsid w:val="00E72AEB"/>
    <w:rsid w:val="00E73968"/>
    <w:rsid w:val="00E741EE"/>
    <w:rsid w:val="00E74E8E"/>
    <w:rsid w:val="00E74F76"/>
    <w:rsid w:val="00E76586"/>
    <w:rsid w:val="00E766C0"/>
    <w:rsid w:val="00E76B0C"/>
    <w:rsid w:val="00E76B6C"/>
    <w:rsid w:val="00E76BCC"/>
    <w:rsid w:val="00E76DB1"/>
    <w:rsid w:val="00E7720C"/>
    <w:rsid w:val="00E77738"/>
    <w:rsid w:val="00E7773A"/>
    <w:rsid w:val="00E77859"/>
    <w:rsid w:val="00E77A88"/>
    <w:rsid w:val="00E77E43"/>
    <w:rsid w:val="00E804B0"/>
    <w:rsid w:val="00E80720"/>
    <w:rsid w:val="00E80B97"/>
    <w:rsid w:val="00E8108E"/>
    <w:rsid w:val="00E81097"/>
    <w:rsid w:val="00E8243F"/>
    <w:rsid w:val="00E8283C"/>
    <w:rsid w:val="00E82B39"/>
    <w:rsid w:val="00E82DE4"/>
    <w:rsid w:val="00E82E2B"/>
    <w:rsid w:val="00E830B6"/>
    <w:rsid w:val="00E8325F"/>
    <w:rsid w:val="00E8350F"/>
    <w:rsid w:val="00E83680"/>
    <w:rsid w:val="00E83B8C"/>
    <w:rsid w:val="00E84884"/>
    <w:rsid w:val="00E848C8"/>
    <w:rsid w:val="00E84BAE"/>
    <w:rsid w:val="00E84D8E"/>
    <w:rsid w:val="00E84FEE"/>
    <w:rsid w:val="00E851E1"/>
    <w:rsid w:val="00E858CC"/>
    <w:rsid w:val="00E85909"/>
    <w:rsid w:val="00E85D1B"/>
    <w:rsid w:val="00E86788"/>
    <w:rsid w:val="00E86FB6"/>
    <w:rsid w:val="00E87A96"/>
    <w:rsid w:val="00E87FCD"/>
    <w:rsid w:val="00E9051B"/>
    <w:rsid w:val="00E90794"/>
    <w:rsid w:val="00E90918"/>
    <w:rsid w:val="00E90E50"/>
    <w:rsid w:val="00E90EBE"/>
    <w:rsid w:val="00E90F81"/>
    <w:rsid w:val="00E910DB"/>
    <w:rsid w:val="00E9142C"/>
    <w:rsid w:val="00E91695"/>
    <w:rsid w:val="00E91A60"/>
    <w:rsid w:val="00E92122"/>
    <w:rsid w:val="00E9295C"/>
    <w:rsid w:val="00E92CF4"/>
    <w:rsid w:val="00E92E30"/>
    <w:rsid w:val="00E946FD"/>
    <w:rsid w:val="00E94A99"/>
    <w:rsid w:val="00E94AB3"/>
    <w:rsid w:val="00E95356"/>
    <w:rsid w:val="00E95687"/>
    <w:rsid w:val="00E95AD3"/>
    <w:rsid w:val="00E95C9E"/>
    <w:rsid w:val="00E9609B"/>
    <w:rsid w:val="00E9613F"/>
    <w:rsid w:val="00E9623A"/>
    <w:rsid w:val="00E96875"/>
    <w:rsid w:val="00E96E03"/>
    <w:rsid w:val="00E97535"/>
    <w:rsid w:val="00E97798"/>
    <w:rsid w:val="00E979A2"/>
    <w:rsid w:val="00EA07FC"/>
    <w:rsid w:val="00EA0827"/>
    <w:rsid w:val="00EA08F3"/>
    <w:rsid w:val="00EA09CD"/>
    <w:rsid w:val="00EA0BBC"/>
    <w:rsid w:val="00EA0BF9"/>
    <w:rsid w:val="00EA0F78"/>
    <w:rsid w:val="00EA18D4"/>
    <w:rsid w:val="00EA194B"/>
    <w:rsid w:val="00EA1C65"/>
    <w:rsid w:val="00EA228F"/>
    <w:rsid w:val="00EA284B"/>
    <w:rsid w:val="00EA2EFD"/>
    <w:rsid w:val="00EA3549"/>
    <w:rsid w:val="00EA3690"/>
    <w:rsid w:val="00EA3840"/>
    <w:rsid w:val="00EA3B55"/>
    <w:rsid w:val="00EA3E57"/>
    <w:rsid w:val="00EA3F4A"/>
    <w:rsid w:val="00EA4EAE"/>
    <w:rsid w:val="00EA50E2"/>
    <w:rsid w:val="00EA58FA"/>
    <w:rsid w:val="00EA5B3E"/>
    <w:rsid w:val="00EA5F02"/>
    <w:rsid w:val="00EA638E"/>
    <w:rsid w:val="00EA63A1"/>
    <w:rsid w:val="00EA6632"/>
    <w:rsid w:val="00EA6703"/>
    <w:rsid w:val="00EA6918"/>
    <w:rsid w:val="00EA6A3F"/>
    <w:rsid w:val="00EA6ADE"/>
    <w:rsid w:val="00EA6BC3"/>
    <w:rsid w:val="00EA6D3D"/>
    <w:rsid w:val="00EA6DD0"/>
    <w:rsid w:val="00EA7A82"/>
    <w:rsid w:val="00EA7F14"/>
    <w:rsid w:val="00EB00F7"/>
    <w:rsid w:val="00EB01BE"/>
    <w:rsid w:val="00EB110B"/>
    <w:rsid w:val="00EB1411"/>
    <w:rsid w:val="00EB3A5D"/>
    <w:rsid w:val="00EB3CA2"/>
    <w:rsid w:val="00EB3D2A"/>
    <w:rsid w:val="00EB3DA2"/>
    <w:rsid w:val="00EB426A"/>
    <w:rsid w:val="00EB428B"/>
    <w:rsid w:val="00EB4511"/>
    <w:rsid w:val="00EB4C7B"/>
    <w:rsid w:val="00EB4CBD"/>
    <w:rsid w:val="00EB51CB"/>
    <w:rsid w:val="00EB53BC"/>
    <w:rsid w:val="00EB5512"/>
    <w:rsid w:val="00EB5521"/>
    <w:rsid w:val="00EB61C4"/>
    <w:rsid w:val="00EB6611"/>
    <w:rsid w:val="00EB66B2"/>
    <w:rsid w:val="00EB6C07"/>
    <w:rsid w:val="00EB6E93"/>
    <w:rsid w:val="00EB7372"/>
    <w:rsid w:val="00EB73BE"/>
    <w:rsid w:val="00EB743D"/>
    <w:rsid w:val="00EB7442"/>
    <w:rsid w:val="00EB749F"/>
    <w:rsid w:val="00EB7523"/>
    <w:rsid w:val="00EB759A"/>
    <w:rsid w:val="00EB7D8A"/>
    <w:rsid w:val="00EC0C50"/>
    <w:rsid w:val="00EC0F50"/>
    <w:rsid w:val="00EC161A"/>
    <w:rsid w:val="00EC1863"/>
    <w:rsid w:val="00EC18E2"/>
    <w:rsid w:val="00EC190B"/>
    <w:rsid w:val="00EC1F00"/>
    <w:rsid w:val="00EC1FAE"/>
    <w:rsid w:val="00EC2F07"/>
    <w:rsid w:val="00EC3342"/>
    <w:rsid w:val="00EC35CC"/>
    <w:rsid w:val="00EC368C"/>
    <w:rsid w:val="00EC381A"/>
    <w:rsid w:val="00EC3FF4"/>
    <w:rsid w:val="00EC4736"/>
    <w:rsid w:val="00EC4822"/>
    <w:rsid w:val="00EC4FFC"/>
    <w:rsid w:val="00EC51E7"/>
    <w:rsid w:val="00EC558A"/>
    <w:rsid w:val="00EC571E"/>
    <w:rsid w:val="00EC5877"/>
    <w:rsid w:val="00EC5F15"/>
    <w:rsid w:val="00EC6283"/>
    <w:rsid w:val="00EC676D"/>
    <w:rsid w:val="00EC7130"/>
    <w:rsid w:val="00EC71C7"/>
    <w:rsid w:val="00EC725D"/>
    <w:rsid w:val="00EC7816"/>
    <w:rsid w:val="00EC7D43"/>
    <w:rsid w:val="00ECEDEA"/>
    <w:rsid w:val="00ED024C"/>
    <w:rsid w:val="00ED038D"/>
    <w:rsid w:val="00ED057D"/>
    <w:rsid w:val="00ED0E6C"/>
    <w:rsid w:val="00ED1530"/>
    <w:rsid w:val="00ED1966"/>
    <w:rsid w:val="00ED2486"/>
    <w:rsid w:val="00ED27A7"/>
    <w:rsid w:val="00ED29D1"/>
    <w:rsid w:val="00ED2B5D"/>
    <w:rsid w:val="00ED2F0F"/>
    <w:rsid w:val="00ED31D9"/>
    <w:rsid w:val="00ED3273"/>
    <w:rsid w:val="00ED34C1"/>
    <w:rsid w:val="00ED3516"/>
    <w:rsid w:val="00ED353F"/>
    <w:rsid w:val="00ED35AA"/>
    <w:rsid w:val="00ED41B0"/>
    <w:rsid w:val="00ED45E7"/>
    <w:rsid w:val="00ED476B"/>
    <w:rsid w:val="00ED4B3C"/>
    <w:rsid w:val="00ED4E5D"/>
    <w:rsid w:val="00ED567E"/>
    <w:rsid w:val="00ED5B08"/>
    <w:rsid w:val="00ED6D0D"/>
    <w:rsid w:val="00ED7484"/>
    <w:rsid w:val="00ED76A1"/>
    <w:rsid w:val="00ED7BCA"/>
    <w:rsid w:val="00ED7D71"/>
    <w:rsid w:val="00ED7F58"/>
    <w:rsid w:val="00EE09E2"/>
    <w:rsid w:val="00EE0E42"/>
    <w:rsid w:val="00EE1572"/>
    <w:rsid w:val="00EE1625"/>
    <w:rsid w:val="00EE1719"/>
    <w:rsid w:val="00EE2505"/>
    <w:rsid w:val="00EE2CD9"/>
    <w:rsid w:val="00EE323E"/>
    <w:rsid w:val="00EE329B"/>
    <w:rsid w:val="00EE39EF"/>
    <w:rsid w:val="00EE42D0"/>
    <w:rsid w:val="00EE4677"/>
    <w:rsid w:val="00EE46E9"/>
    <w:rsid w:val="00EE4E66"/>
    <w:rsid w:val="00EE5166"/>
    <w:rsid w:val="00EE53FD"/>
    <w:rsid w:val="00EE553D"/>
    <w:rsid w:val="00EE7822"/>
    <w:rsid w:val="00EE79F2"/>
    <w:rsid w:val="00EE7B78"/>
    <w:rsid w:val="00EF02EA"/>
    <w:rsid w:val="00EF1C58"/>
    <w:rsid w:val="00EF1DC7"/>
    <w:rsid w:val="00EF203D"/>
    <w:rsid w:val="00EF2664"/>
    <w:rsid w:val="00EF28C3"/>
    <w:rsid w:val="00EF3108"/>
    <w:rsid w:val="00EF3508"/>
    <w:rsid w:val="00EF37AA"/>
    <w:rsid w:val="00EF38FF"/>
    <w:rsid w:val="00EF4445"/>
    <w:rsid w:val="00EF4BA0"/>
    <w:rsid w:val="00EF5153"/>
    <w:rsid w:val="00EF59EB"/>
    <w:rsid w:val="00EF5E31"/>
    <w:rsid w:val="00EF5E64"/>
    <w:rsid w:val="00EF62BA"/>
    <w:rsid w:val="00EF63F5"/>
    <w:rsid w:val="00EF6485"/>
    <w:rsid w:val="00EF7282"/>
    <w:rsid w:val="00EF76EF"/>
    <w:rsid w:val="00EF788F"/>
    <w:rsid w:val="00F000AF"/>
    <w:rsid w:val="00F00B2A"/>
    <w:rsid w:val="00F00B69"/>
    <w:rsid w:val="00F00CF5"/>
    <w:rsid w:val="00F0100A"/>
    <w:rsid w:val="00F02471"/>
    <w:rsid w:val="00F02606"/>
    <w:rsid w:val="00F02739"/>
    <w:rsid w:val="00F02B14"/>
    <w:rsid w:val="00F03A3E"/>
    <w:rsid w:val="00F03A80"/>
    <w:rsid w:val="00F03D8C"/>
    <w:rsid w:val="00F03F69"/>
    <w:rsid w:val="00F047F9"/>
    <w:rsid w:val="00F051E2"/>
    <w:rsid w:val="00F056B1"/>
    <w:rsid w:val="00F058CC"/>
    <w:rsid w:val="00F05ED4"/>
    <w:rsid w:val="00F0651D"/>
    <w:rsid w:val="00F0659C"/>
    <w:rsid w:val="00F065D0"/>
    <w:rsid w:val="00F069DA"/>
    <w:rsid w:val="00F06B72"/>
    <w:rsid w:val="00F074CA"/>
    <w:rsid w:val="00F077A8"/>
    <w:rsid w:val="00F10062"/>
    <w:rsid w:val="00F1052E"/>
    <w:rsid w:val="00F10651"/>
    <w:rsid w:val="00F107D5"/>
    <w:rsid w:val="00F11671"/>
    <w:rsid w:val="00F11C17"/>
    <w:rsid w:val="00F11EB4"/>
    <w:rsid w:val="00F12104"/>
    <w:rsid w:val="00F12834"/>
    <w:rsid w:val="00F12917"/>
    <w:rsid w:val="00F12C01"/>
    <w:rsid w:val="00F12D58"/>
    <w:rsid w:val="00F1350B"/>
    <w:rsid w:val="00F13B76"/>
    <w:rsid w:val="00F13D64"/>
    <w:rsid w:val="00F1463B"/>
    <w:rsid w:val="00F1473C"/>
    <w:rsid w:val="00F14BA1"/>
    <w:rsid w:val="00F14DA3"/>
    <w:rsid w:val="00F150B3"/>
    <w:rsid w:val="00F15A22"/>
    <w:rsid w:val="00F15F0B"/>
    <w:rsid w:val="00F15F82"/>
    <w:rsid w:val="00F161B6"/>
    <w:rsid w:val="00F16E89"/>
    <w:rsid w:val="00F17EA5"/>
    <w:rsid w:val="00F20820"/>
    <w:rsid w:val="00F210D5"/>
    <w:rsid w:val="00F2177B"/>
    <w:rsid w:val="00F218FE"/>
    <w:rsid w:val="00F21D05"/>
    <w:rsid w:val="00F21D21"/>
    <w:rsid w:val="00F22306"/>
    <w:rsid w:val="00F225F7"/>
    <w:rsid w:val="00F22CE1"/>
    <w:rsid w:val="00F22EE5"/>
    <w:rsid w:val="00F234B5"/>
    <w:rsid w:val="00F234D1"/>
    <w:rsid w:val="00F23B84"/>
    <w:rsid w:val="00F24754"/>
    <w:rsid w:val="00F24EA1"/>
    <w:rsid w:val="00F25091"/>
    <w:rsid w:val="00F2570A"/>
    <w:rsid w:val="00F260B3"/>
    <w:rsid w:val="00F27C37"/>
    <w:rsid w:val="00F302D4"/>
    <w:rsid w:val="00F3031D"/>
    <w:rsid w:val="00F30417"/>
    <w:rsid w:val="00F3059C"/>
    <w:rsid w:val="00F308C5"/>
    <w:rsid w:val="00F30D44"/>
    <w:rsid w:val="00F30D56"/>
    <w:rsid w:val="00F3115B"/>
    <w:rsid w:val="00F31369"/>
    <w:rsid w:val="00F319EA"/>
    <w:rsid w:val="00F31B45"/>
    <w:rsid w:val="00F3272A"/>
    <w:rsid w:val="00F32BC7"/>
    <w:rsid w:val="00F3307B"/>
    <w:rsid w:val="00F3380F"/>
    <w:rsid w:val="00F338CE"/>
    <w:rsid w:val="00F33C10"/>
    <w:rsid w:val="00F33E53"/>
    <w:rsid w:val="00F34248"/>
    <w:rsid w:val="00F348D7"/>
    <w:rsid w:val="00F34A70"/>
    <w:rsid w:val="00F355D6"/>
    <w:rsid w:val="00F35949"/>
    <w:rsid w:val="00F3694E"/>
    <w:rsid w:val="00F36DBC"/>
    <w:rsid w:val="00F371AE"/>
    <w:rsid w:val="00F37F00"/>
    <w:rsid w:val="00F40338"/>
    <w:rsid w:val="00F403A7"/>
    <w:rsid w:val="00F40EE1"/>
    <w:rsid w:val="00F41312"/>
    <w:rsid w:val="00F42655"/>
    <w:rsid w:val="00F427C5"/>
    <w:rsid w:val="00F42CC7"/>
    <w:rsid w:val="00F42D56"/>
    <w:rsid w:val="00F42DDD"/>
    <w:rsid w:val="00F42E4A"/>
    <w:rsid w:val="00F42ED6"/>
    <w:rsid w:val="00F43605"/>
    <w:rsid w:val="00F43665"/>
    <w:rsid w:val="00F437CC"/>
    <w:rsid w:val="00F438ED"/>
    <w:rsid w:val="00F44ACA"/>
    <w:rsid w:val="00F45048"/>
    <w:rsid w:val="00F45064"/>
    <w:rsid w:val="00F45282"/>
    <w:rsid w:val="00F459AC"/>
    <w:rsid w:val="00F461A0"/>
    <w:rsid w:val="00F46412"/>
    <w:rsid w:val="00F464B8"/>
    <w:rsid w:val="00F46DAF"/>
    <w:rsid w:val="00F4748C"/>
    <w:rsid w:val="00F47E84"/>
    <w:rsid w:val="00F5002C"/>
    <w:rsid w:val="00F500CA"/>
    <w:rsid w:val="00F5043A"/>
    <w:rsid w:val="00F50A4B"/>
    <w:rsid w:val="00F50DC7"/>
    <w:rsid w:val="00F51B72"/>
    <w:rsid w:val="00F51FB1"/>
    <w:rsid w:val="00F5219A"/>
    <w:rsid w:val="00F5239A"/>
    <w:rsid w:val="00F5260C"/>
    <w:rsid w:val="00F5261D"/>
    <w:rsid w:val="00F542E2"/>
    <w:rsid w:val="00F543BC"/>
    <w:rsid w:val="00F54646"/>
    <w:rsid w:val="00F54B10"/>
    <w:rsid w:val="00F54E09"/>
    <w:rsid w:val="00F55A73"/>
    <w:rsid w:val="00F55EEF"/>
    <w:rsid w:val="00F560A9"/>
    <w:rsid w:val="00F5687E"/>
    <w:rsid w:val="00F568C7"/>
    <w:rsid w:val="00F56BCC"/>
    <w:rsid w:val="00F56BD3"/>
    <w:rsid w:val="00F56C5C"/>
    <w:rsid w:val="00F57029"/>
    <w:rsid w:val="00F574B8"/>
    <w:rsid w:val="00F574CB"/>
    <w:rsid w:val="00F576AC"/>
    <w:rsid w:val="00F60404"/>
    <w:rsid w:val="00F61BAF"/>
    <w:rsid w:val="00F6246B"/>
    <w:rsid w:val="00F62511"/>
    <w:rsid w:val="00F626F2"/>
    <w:rsid w:val="00F62BAB"/>
    <w:rsid w:val="00F631DC"/>
    <w:rsid w:val="00F6330B"/>
    <w:rsid w:val="00F63526"/>
    <w:rsid w:val="00F6367A"/>
    <w:rsid w:val="00F64409"/>
    <w:rsid w:val="00F64ED2"/>
    <w:rsid w:val="00F652E1"/>
    <w:rsid w:val="00F66295"/>
    <w:rsid w:val="00F66679"/>
    <w:rsid w:val="00F666C0"/>
    <w:rsid w:val="00F6690D"/>
    <w:rsid w:val="00F66B28"/>
    <w:rsid w:val="00F66F9B"/>
    <w:rsid w:val="00F67F11"/>
    <w:rsid w:val="00F70610"/>
    <w:rsid w:val="00F70621"/>
    <w:rsid w:val="00F70A69"/>
    <w:rsid w:val="00F70AFB"/>
    <w:rsid w:val="00F71AE0"/>
    <w:rsid w:val="00F72181"/>
    <w:rsid w:val="00F721FA"/>
    <w:rsid w:val="00F72499"/>
    <w:rsid w:val="00F72582"/>
    <w:rsid w:val="00F72C0B"/>
    <w:rsid w:val="00F72CE2"/>
    <w:rsid w:val="00F73492"/>
    <w:rsid w:val="00F74873"/>
    <w:rsid w:val="00F749A2"/>
    <w:rsid w:val="00F751D9"/>
    <w:rsid w:val="00F75900"/>
    <w:rsid w:val="00F75ACB"/>
    <w:rsid w:val="00F75B55"/>
    <w:rsid w:val="00F75D5D"/>
    <w:rsid w:val="00F75E0F"/>
    <w:rsid w:val="00F760CD"/>
    <w:rsid w:val="00F764E7"/>
    <w:rsid w:val="00F77824"/>
    <w:rsid w:val="00F77A1F"/>
    <w:rsid w:val="00F77ED9"/>
    <w:rsid w:val="00F80573"/>
    <w:rsid w:val="00F80790"/>
    <w:rsid w:val="00F80FE6"/>
    <w:rsid w:val="00F80FF5"/>
    <w:rsid w:val="00F814E9"/>
    <w:rsid w:val="00F828EE"/>
    <w:rsid w:val="00F82FAD"/>
    <w:rsid w:val="00F833C2"/>
    <w:rsid w:val="00F8348A"/>
    <w:rsid w:val="00F83C44"/>
    <w:rsid w:val="00F8437D"/>
    <w:rsid w:val="00F8472C"/>
    <w:rsid w:val="00F8493F"/>
    <w:rsid w:val="00F85867"/>
    <w:rsid w:val="00F8586C"/>
    <w:rsid w:val="00F8611B"/>
    <w:rsid w:val="00F862EF"/>
    <w:rsid w:val="00F86333"/>
    <w:rsid w:val="00F863A4"/>
    <w:rsid w:val="00F86C4C"/>
    <w:rsid w:val="00F86E34"/>
    <w:rsid w:val="00F87667"/>
    <w:rsid w:val="00F90D96"/>
    <w:rsid w:val="00F91079"/>
    <w:rsid w:val="00F9160E"/>
    <w:rsid w:val="00F9198E"/>
    <w:rsid w:val="00F922BC"/>
    <w:rsid w:val="00F9284B"/>
    <w:rsid w:val="00F92AFC"/>
    <w:rsid w:val="00F93E4A"/>
    <w:rsid w:val="00F93E83"/>
    <w:rsid w:val="00F940AA"/>
    <w:rsid w:val="00F94555"/>
    <w:rsid w:val="00F9535F"/>
    <w:rsid w:val="00F95B3F"/>
    <w:rsid w:val="00F95B67"/>
    <w:rsid w:val="00F95F75"/>
    <w:rsid w:val="00F965EF"/>
    <w:rsid w:val="00F973AA"/>
    <w:rsid w:val="00FA0175"/>
    <w:rsid w:val="00FA028C"/>
    <w:rsid w:val="00FA12C7"/>
    <w:rsid w:val="00FA1381"/>
    <w:rsid w:val="00FA199C"/>
    <w:rsid w:val="00FA1DCA"/>
    <w:rsid w:val="00FA1ED7"/>
    <w:rsid w:val="00FA1ED8"/>
    <w:rsid w:val="00FA25AB"/>
    <w:rsid w:val="00FA2631"/>
    <w:rsid w:val="00FA2721"/>
    <w:rsid w:val="00FA2EF2"/>
    <w:rsid w:val="00FA3235"/>
    <w:rsid w:val="00FA373F"/>
    <w:rsid w:val="00FA3D56"/>
    <w:rsid w:val="00FA46C3"/>
    <w:rsid w:val="00FA4D0D"/>
    <w:rsid w:val="00FA4EBE"/>
    <w:rsid w:val="00FA5B47"/>
    <w:rsid w:val="00FA601B"/>
    <w:rsid w:val="00FA60B2"/>
    <w:rsid w:val="00FA6211"/>
    <w:rsid w:val="00FA6217"/>
    <w:rsid w:val="00FA6663"/>
    <w:rsid w:val="00FA69B2"/>
    <w:rsid w:val="00FA6C90"/>
    <w:rsid w:val="00FA70BC"/>
    <w:rsid w:val="00FA7C9A"/>
    <w:rsid w:val="00FB04FA"/>
    <w:rsid w:val="00FB067E"/>
    <w:rsid w:val="00FB10C1"/>
    <w:rsid w:val="00FB1377"/>
    <w:rsid w:val="00FB148A"/>
    <w:rsid w:val="00FB19E4"/>
    <w:rsid w:val="00FB2486"/>
    <w:rsid w:val="00FB251A"/>
    <w:rsid w:val="00FB25B5"/>
    <w:rsid w:val="00FB2CD1"/>
    <w:rsid w:val="00FB2DCD"/>
    <w:rsid w:val="00FB2F0E"/>
    <w:rsid w:val="00FB379D"/>
    <w:rsid w:val="00FB3988"/>
    <w:rsid w:val="00FB3D93"/>
    <w:rsid w:val="00FB3F6D"/>
    <w:rsid w:val="00FB4C9B"/>
    <w:rsid w:val="00FB4EF3"/>
    <w:rsid w:val="00FB5410"/>
    <w:rsid w:val="00FB56B9"/>
    <w:rsid w:val="00FB599B"/>
    <w:rsid w:val="00FB5A29"/>
    <w:rsid w:val="00FB5A7F"/>
    <w:rsid w:val="00FB5E19"/>
    <w:rsid w:val="00FB6130"/>
    <w:rsid w:val="00FB660A"/>
    <w:rsid w:val="00FB6A54"/>
    <w:rsid w:val="00FB700F"/>
    <w:rsid w:val="00FB7571"/>
    <w:rsid w:val="00FB78B0"/>
    <w:rsid w:val="00FB7A24"/>
    <w:rsid w:val="00FB7BCE"/>
    <w:rsid w:val="00FB7DE5"/>
    <w:rsid w:val="00FC0320"/>
    <w:rsid w:val="00FC04F5"/>
    <w:rsid w:val="00FC1309"/>
    <w:rsid w:val="00FC14F6"/>
    <w:rsid w:val="00FC156B"/>
    <w:rsid w:val="00FC1AE7"/>
    <w:rsid w:val="00FC1F04"/>
    <w:rsid w:val="00FC21ED"/>
    <w:rsid w:val="00FC2CBC"/>
    <w:rsid w:val="00FC2FE5"/>
    <w:rsid w:val="00FC309D"/>
    <w:rsid w:val="00FC3352"/>
    <w:rsid w:val="00FC3747"/>
    <w:rsid w:val="00FC3947"/>
    <w:rsid w:val="00FC3EAF"/>
    <w:rsid w:val="00FC3F0C"/>
    <w:rsid w:val="00FC4326"/>
    <w:rsid w:val="00FC509A"/>
    <w:rsid w:val="00FC53B8"/>
    <w:rsid w:val="00FC5831"/>
    <w:rsid w:val="00FC616F"/>
    <w:rsid w:val="00FC65B2"/>
    <w:rsid w:val="00FC6D09"/>
    <w:rsid w:val="00FC7FD6"/>
    <w:rsid w:val="00FD06AE"/>
    <w:rsid w:val="00FD081B"/>
    <w:rsid w:val="00FD0A23"/>
    <w:rsid w:val="00FD0B3A"/>
    <w:rsid w:val="00FD0D68"/>
    <w:rsid w:val="00FD0E04"/>
    <w:rsid w:val="00FD0FE7"/>
    <w:rsid w:val="00FD11C2"/>
    <w:rsid w:val="00FD1737"/>
    <w:rsid w:val="00FD1E9A"/>
    <w:rsid w:val="00FD2B52"/>
    <w:rsid w:val="00FD3768"/>
    <w:rsid w:val="00FD3B7C"/>
    <w:rsid w:val="00FD3CEF"/>
    <w:rsid w:val="00FD464D"/>
    <w:rsid w:val="00FD483A"/>
    <w:rsid w:val="00FD4954"/>
    <w:rsid w:val="00FD4A04"/>
    <w:rsid w:val="00FD4AC1"/>
    <w:rsid w:val="00FD4BE7"/>
    <w:rsid w:val="00FD51A0"/>
    <w:rsid w:val="00FD5418"/>
    <w:rsid w:val="00FD5DDB"/>
    <w:rsid w:val="00FD5E07"/>
    <w:rsid w:val="00FD6A96"/>
    <w:rsid w:val="00FD6FBE"/>
    <w:rsid w:val="00FD7AFE"/>
    <w:rsid w:val="00FDE0C0"/>
    <w:rsid w:val="00FE018B"/>
    <w:rsid w:val="00FE054E"/>
    <w:rsid w:val="00FE067A"/>
    <w:rsid w:val="00FE153B"/>
    <w:rsid w:val="00FE1D44"/>
    <w:rsid w:val="00FE20CA"/>
    <w:rsid w:val="00FE2B3A"/>
    <w:rsid w:val="00FE3112"/>
    <w:rsid w:val="00FE35EF"/>
    <w:rsid w:val="00FE36AD"/>
    <w:rsid w:val="00FE38CD"/>
    <w:rsid w:val="00FE4299"/>
    <w:rsid w:val="00FE4E65"/>
    <w:rsid w:val="00FE50F8"/>
    <w:rsid w:val="00FE50FF"/>
    <w:rsid w:val="00FE52C7"/>
    <w:rsid w:val="00FE53BA"/>
    <w:rsid w:val="00FE5657"/>
    <w:rsid w:val="00FE5689"/>
    <w:rsid w:val="00FE5852"/>
    <w:rsid w:val="00FE598C"/>
    <w:rsid w:val="00FE6020"/>
    <w:rsid w:val="00FE72A8"/>
    <w:rsid w:val="00FE7514"/>
    <w:rsid w:val="00FE7515"/>
    <w:rsid w:val="00FE7896"/>
    <w:rsid w:val="00FE7B4C"/>
    <w:rsid w:val="00FE7CE3"/>
    <w:rsid w:val="00FE7DE4"/>
    <w:rsid w:val="00FF0500"/>
    <w:rsid w:val="00FF07F2"/>
    <w:rsid w:val="00FF24BD"/>
    <w:rsid w:val="00FF2AAC"/>
    <w:rsid w:val="00FF2BC3"/>
    <w:rsid w:val="00FF3193"/>
    <w:rsid w:val="00FF3640"/>
    <w:rsid w:val="00FF3881"/>
    <w:rsid w:val="00FF443B"/>
    <w:rsid w:val="00FF4684"/>
    <w:rsid w:val="00FF4751"/>
    <w:rsid w:val="00FF50AE"/>
    <w:rsid w:val="00FF5493"/>
    <w:rsid w:val="00FF563D"/>
    <w:rsid w:val="00FF580A"/>
    <w:rsid w:val="00FF639C"/>
    <w:rsid w:val="00FF67E0"/>
    <w:rsid w:val="00FF6E87"/>
    <w:rsid w:val="00FF732E"/>
    <w:rsid w:val="00FF7559"/>
    <w:rsid w:val="00FF7E1A"/>
    <w:rsid w:val="011B7886"/>
    <w:rsid w:val="013C6BCE"/>
    <w:rsid w:val="01463FA6"/>
    <w:rsid w:val="0158E256"/>
    <w:rsid w:val="0159A14D"/>
    <w:rsid w:val="015D627B"/>
    <w:rsid w:val="015F63A8"/>
    <w:rsid w:val="01612A10"/>
    <w:rsid w:val="0198AF66"/>
    <w:rsid w:val="01AAFC87"/>
    <w:rsid w:val="01B6EDDC"/>
    <w:rsid w:val="01BCD50E"/>
    <w:rsid w:val="01BF5206"/>
    <w:rsid w:val="01EFEF6C"/>
    <w:rsid w:val="01F2A825"/>
    <w:rsid w:val="020014A6"/>
    <w:rsid w:val="023C7EAF"/>
    <w:rsid w:val="02657597"/>
    <w:rsid w:val="02A9C9B9"/>
    <w:rsid w:val="02CAA912"/>
    <w:rsid w:val="02CF3AF9"/>
    <w:rsid w:val="02E18C1A"/>
    <w:rsid w:val="02EEBE8F"/>
    <w:rsid w:val="02FBCAE6"/>
    <w:rsid w:val="03249881"/>
    <w:rsid w:val="03288440"/>
    <w:rsid w:val="03324AE0"/>
    <w:rsid w:val="0335F258"/>
    <w:rsid w:val="03387043"/>
    <w:rsid w:val="033C280F"/>
    <w:rsid w:val="03489D09"/>
    <w:rsid w:val="0374EDC7"/>
    <w:rsid w:val="037579C8"/>
    <w:rsid w:val="03B3915E"/>
    <w:rsid w:val="03BEBAF4"/>
    <w:rsid w:val="03CDE8AB"/>
    <w:rsid w:val="03DD8FEB"/>
    <w:rsid w:val="03E283D0"/>
    <w:rsid w:val="04030589"/>
    <w:rsid w:val="0454A8C4"/>
    <w:rsid w:val="045A0C30"/>
    <w:rsid w:val="04710D7F"/>
    <w:rsid w:val="047CF23B"/>
    <w:rsid w:val="049C7DEC"/>
    <w:rsid w:val="0507B48C"/>
    <w:rsid w:val="050A442E"/>
    <w:rsid w:val="050EE534"/>
    <w:rsid w:val="058569A9"/>
    <w:rsid w:val="0599781A"/>
    <w:rsid w:val="05A04148"/>
    <w:rsid w:val="05AC8F84"/>
    <w:rsid w:val="05B44DFA"/>
    <w:rsid w:val="05B882E5"/>
    <w:rsid w:val="05BC185F"/>
    <w:rsid w:val="05CB2D69"/>
    <w:rsid w:val="05E166E9"/>
    <w:rsid w:val="05ECD646"/>
    <w:rsid w:val="06029375"/>
    <w:rsid w:val="06064D7B"/>
    <w:rsid w:val="06120F17"/>
    <w:rsid w:val="0613C2D5"/>
    <w:rsid w:val="0614B53B"/>
    <w:rsid w:val="06174412"/>
    <w:rsid w:val="063D8C8F"/>
    <w:rsid w:val="065B5B88"/>
    <w:rsid w:val="066057D3"/>
    <w:rsid w:val="06666665"/>
    <w:rsid w:val="066870CA"/>
    <w:rsid w:val="06698D93"/>
    <w:rsid w:val="06A37BBD"/>
    <w:rsid w:val="06A3FFEE"/>
    <w:rsid w:val="06B71CF4"/>
    <w:rsid w:val="06BEBB03"/>
    <w:rsid w:val="06EB3937"/>
    <w:rsid w:val="06FAD9BC"/>
    <w:rsid w:val="070F193F"/>
    <w:rsid w:val="073B7F49"/>
    <w:rsid w:val="076C5A9F"/>
    <w:rsid w:val="07759C63"/>
    <w:rsid w:val="077B7356"/>
    <w:rsid w:val="0788E20E"/>
    <w:rsid w:val="0799B989"/>
    <w:rsid w:val="079D34E6"/>
    <w:rsid w:val="07A03A93"/>
    <w:rsid w:val="07A214A4"/>
    <w:rsid w:val="07AFC3A6"/>
    <w:rsid w:val="07AFC6E6"/>
    <w:rsid w:val="07C2F9FB"/>
    <w:rsid w:val="07D4AB44"/>
    <w:rsid w:val="080340D9"/>
    <w:rsid w:val="0816F4AF"/>
    <w:rsid w:val="081CEA67"/>
    <w:rsid w:val="0840CB8F"/>
    <w:rsid w:val="08414D78"/>
    <w:rsid w:val="08518C30"/>
    <w:rsid w:val="085E97E7"/>
    <w:rsid w:val="08681FC2"/>
    <w:rsid w:val="08760930"/>
    <w:rsid w:val="087CE20B"/>
    <w:rsid w:val="08858FAD"/>
    <w:rsid w:val="0893263C"/>
    <w:rsid w:val="089629E0"/>
    <w:rsid w:val="089F4F82"/>
    <w:rsid w:val="08B3B986"/>
    <w:rsid w:val="08BD6B23"/>
    <w:rsid w:val="08D90B5E"/>
    <w:rsid w:val="08E74364"/>
    <w:rsid w:val="08E9538E"/>
    <w:rsid w:val="091B1EC0"/>
    <w:rsid w:val="091ED232"/>
    <w:rsid w:val="092498AA"/>
    <w:rsid w:val="092A706A"/>
    <w:rsid w:val="0956DFAD"/>
    <w:rsid w:val="095E397B"/>
    <w:rsid w:val="0960638F"/>
    <w:rsid w:val="09702243"/>
    <w:rsid w:val="097744D3"/>
    <w:rsid w:val="09920647"/>
    <w:rsid w:val="0997B078"/>
    <w:rsid w:val="09C3205B"/>
    <w:rsid w:val="09C8C96E"/>
    <w:rsid w:val="09DB46A1"/>
    <w:rsid w:val="09FDA1C4"/>
    <w:rsid w:val="0A022A40"/>
    <w:rsid w:val="0A03C5E8"/>
    <w:rsid w:val="0A29BB6D"/>
    <w:rsid w:val="0A3867F4"/>
    <w:rsid w:val="0A4B89F6"/>
    <w:rsid w:val="0A506161"/>
    <w:rsid w:val="0A78795F"/>
    <w:rsid w:val="0A95DEB2"/>
    <w:rsid w:val="0A996A8A"/>
    <w:rsid w:val="0A9A4F6D"/>
    <w:rsid w:val="0AAAAC6D"/>
    <w:rsid w:val="0AB21DF1"/>
    <w:rsid w:val="0AB8799C"/>
    <w:rsid w:val="0ACEFE01"/>
    <w:rsid w:val="0AE53C99"/>
    <w:rsid w:val="0AEBECBB"/>
    <w:rsid w:val="0B049111"/>
    <w:rsid w:val="0B13CA72"/>
    <w:rsid w:val="0B166360"/>
    <w:rsid w:val="0B18BA4D"/>
    <w:rsid w:val="0B1BD6A0"/>
    <w:rsid w:val="0B20432C"/>
    <w:rsid w:val="0B46369B"/>
    <w:rsid w:val="0B542682"/>
    <w:rsid w:val="0B737A94"/>
    <w:rsid w:val="0B941A24"/>
    <w:rsid w:val="0BBFA47A"/>
    <w:rsid w:val="0BC32653"/>
    <w:rsid w:val="0BCF70F6"/>
    <w:rsid w:val="0BD9E0D6"/>
    <w:rsid w:val="0BE16475"/>
    <w:rsid w:val="0BFECE3E"/>
    <w:rsid w:val="0C17C3CA"/>
    <w:rsid w:val="0C1F4F24"/>
    <w:rsid w:val="0C309218"/>
    <w:rsid w:val="0C41C592"/>
    <w:rsid w:val="0C603070"/>
    <w:rsid w:val="0C6E31F4"/>
    <w:rsid w:val="0C9AD88A"/>
    <w:rsid w:val="0CADB288"/>
    <w:rsid w:val="0CD2C146"/>
    <w:rsid w:val="0CD733D4"/>
    <w:rsid w:val="0CE9B8BB"/>
    <w:rsid w:val="0CF64EF8"/>
    <w:rsid w:val="0CF81E92"/>
    <w:rsid w:val="0CFA082D"/>
    <w:rsid w:val="0D2F2DFF"/>
    <w:rsid w:val="0D3C917D"/>
    <w:rsid w:val="0D49FA3A"/>
    <w:rsid w:val="0D4AEE06"/>
    <w:rsid w:val="0D4F3E9B"/>
    <w:rsid w:val="0D5A38F2"/>
    <w:rsid w:val="0D79BD76"/>
    <w:rsid w:val="0D9B5DDE"/>
    <w:rsid w:val="0DA210BC"/>
    <w:rsid w:val="0DA60608"/>
    <w:rsid w:val="0DCBE166"/>
    <w:rsid w:val="0DE63BD3"/>
    <w:rsid w:val="0E024660"/>
    <w:rsid w:val="0E441621"/>
    <w:rsid w:val="0E468B92"/>
    <w:rsid w:val="0E5665A3"/>
    <w:rsid w:val="0E7BF586"/>
    <w:rsid w:val="0EBBC7AA"/>
    <w:rsid w:val="0EC2F808"/>
    <w:rsid w:val="0ECDDEC8"/>
    <w:rsid w:val="0EE214D1"/>
    <w:rsid w:val="0F11B1B9"/>
    <w:rsid w:val="0F423B10"/>
    <w:rsid w:val="0F46ADB8"/>
    <w:rsid w:val="0F488D9F"/>
    <w:rsid w:val="0F4ABAF6"/>
    <w:rsid w:val="0F505643"/>
    <w:rsid w:val="0F6D95A7"/>
    <w:rsid w:val="0F91316C"/>
    <w:rsid w:val="0F9DD53B"/>
    <w:rsid w:val="0FDB62EE"/>
    <w:rsid w:val="0FE1432B"/>
    <w:rsid w:val="0FF348B6"/>
    <w:rsid w:val="10200AE9"/>
    <w:rsid w:val="102B92B9"/>
    <w:rsid w:val="1064D71A"/>
    <w:rsid w:val="107289D8"/>
    <w:rsid w:val="10754711"/>
    <w:rsid w:val="10909A20"/>
    <w:rsid w:val="10A6AAB3"/>
    <w:rsid w:val="10B3FC02"/>
    <w:rsid w:val="10B9FDB0"/>
    <w:rsid w:val="10DA5EBD"/>
    <w:rsid w:val="10E3E576"/>
    <w:rsid w:val="11041A86"/>
    <w:rsid w:val="111061AB"/>
    <w:rsid w:val="111EFD00"/>
    <w:rsid w:val="114C72E9"/>
    <w:rsid w:val="114E35F9"/>
    <w:rsid w:val="116B1BC1"/>
    <w:rsid w:val="116F0740"/>
    <w:rsid w:val="11780711"/>
    <w:rsid w:val="1190DA55"/>
    <w:rsid w:val="11982AB5"/>
    <w:rsid w:val="11A09FFD"/>
    <w:rsid w:val="11A34E5E"/>
    <w:rsid w:val="11CB7073"/>
    <w:rsid w:val="11CBEA6B"/>
    <w:rsid w:val="11F2D39C"/>
    <w:rsid w:val="11F7613A"/>
    <w:rsid w:val="1208D4CB"/>
    <w:rsid w:val="123AB315"/>
    <w:rsid w:val="1240DD89"/>
    <w:rsid w:val="12411B17"/>
    <w:rsid w:val="1243D3E8"/>
    <w:rsid w:val="12442922"/>
    <w:rsid w:val="1268C37D"/>
    <w:rsid w:val="12697932"/>
    <w:rsid w:val="1279ABC4"/>
    <w:rsid w:val="127BCFF3"/>
    <w:rsid w:val="12971CC8"/>
    <w:rsid w:val="12A51B7A"/>
    <w:rsid w:val="12FE0E50"/>
    <w:rsid w:val="1303BA5C"/>
    <w:rsid w:val="13060B1C"/>
    <w:rsid w:val="133583F6"/>
    <w:rsid w:val="134C2F1B"/>
    <w:rsid w:val="136D4F4B"/>
    <w:rsid w:val="1370EAD0"/>
    <w:rsid w:val="13727614"/>
    <w:rsid w:val="139E3A2A"/>
    <w:rsid w:val="13AE94E9"/>
    <w:rsid w:val="13D39AEC"/>
    <w:rsid w:val="13E09C28"/>
    <w:rsid w:val="14244DF8"/>
    <w:rsid w:val="1426FF93"/>
    <w:rsid w:val="14328EEF"/>
    <w:rsid w:val="146CAB7A"/>
    <w:rsid w:val="14A2E830"/>
    <w:rsid w:val="14B15714"/>
    <w:rsid w:val="14BDE855"/>
    <w:rsid w:val="14CF0F1C"/>
    <w:rsid w:val="14E0394D"/>
    <w:rsid w:val="14F25115"/>
    <w:rsid w:val="1516D3C6"/>
    <w:rsid w:val="151A61E0"/>
    <w:rsid w:val="152114FF"/>
    <w:rsid w:val="156DF1C7"/>
    <w:rsid w:val="1573BCA1"/>
    <w:rsid w:val="1574F2D9"/>
    <w:rsid w:val="158EC961"/>
    <w:rsid w:val="15A93052"/>
    <w:rsid w:val="15AF42D0"/>
    <w:rsid w:val="15B38AFA"/>
    <w:rsid w:val="15B9525A"/>
    <w:rsid w:val="15C17EC2"/>
    <w:rsid w:val="15D20C12"/>
    <w:rsid w:val="15F2F579"/>
    <w:rsid w:val="160BF0D5"/>
    <w:rsid w:val="160C691F"/>
    <w:rsid w:val="160F70DE"/>
    <w:rsid w:val="1625FC9E"/>
    <w:rsid w:val="162BBA9C"/>
    <w:rsid w:val="1633F4E6"/>
    <w:rsid w:val="163BE127"/>
    <w:rsid w:val="164E06EE"/>
    <w:rsid w:val="166403E8"/>
    <w:rsid w:val="166444A7"/>
    <w:rsid w:val="1676D68B"/>
    <w:rsid w:val="16870DE6"/>
    <w:rsid w:val="1689E262"/>
    <w:rsid w:val="16913D77"/>
    <w:rsid w:val="16A14375"/>
    <w:rsid w:val="16D10583"/>
    <w:rsid w:val="16E619A9"/>
    <w:rsid w:val="16EB7679"/>
    <w:rsid w:val="172AF73B"/>
    <w:rsid w:val="172BDD37"/>
    <w:rsid w:val="173E4E40"/>
    <w:rsid w:val="175B55EA"/>
    <w:rsid w:val="1781C6F5"/>
    <w:rsid w:val="17897DBC"/>
    <w:rsid w:val="17996920"/>
    <w:rsid w:val="179F9F52"/>
    <w:rsid w:val="17A76B76"/>
    <w:rsid w:val="17AE1F18"/>
    <w:rsid w:val="17BB08CD"/>
    <w:rsid w:val="17E28590"/>
    <w:rsid w:val="17EAB54F"/>
    <w:rsid w:val="17F3EF05"/>
    <w:rsid w:val="1817ED96"/>
    <w:rsid w:val="183093C7"/>
    <w:rsid w:val="18466B28"/>
    <w:rsid w:val="18681500"/>
    <w:rsid w:val="1878D505"/>
    <w:rsid w:val="188002DA"/>
    <w:rsid w:val="189B62F6"/>
    <w:rsid w:val="18AAE4FD"/>
    <w:rsid w:val="18AF37F0"/>
    <w:rsid w:val="18C79473"/>
    <w:rsid w:val="18E08407"/>
    <w:rsid w:val="190872ED"/>
    <w:rsid w:val="19190D30"/>
    <w:rsid w:val="1948E9E2"/>
    <w:rsid w:val="196ADC84"/>
    <w:rsid w:val="1984DD83"/>
    <w:rsid w:val="19B862AD"/>
    <w:rsid w:val="19C153A7"/>
    <w:rsid w:val="19E3393D"/>
    <w:rsid w:val="19EFEF02"/>
    <w:rsid w:val="19FD1357"/>
    <w:rsid w:val="19FF56D6"/>
    <w:rsid w:val="1A146EA2"/>
    <w:rsid w:val="1A28A6E1"/>
    <w:rsid w:val="1A5A9A8F"/>
    <w:rsid w:val="1A5E07FF"/>
    <w:rsid w:val="1A6AF373"/>
    <w:rsid w:val="1A8343F5"/>
    <w:rsid w:val="1AA34AF5"/>
    <w:rsid w:val="1AAA9626"/>
    <w:rsid w:val="1AD154F9"/>
    <w:rsid w:val="1ADBE9AA"/>
    <w:rsid w:val="1ADF5F70"/>
    <w:rsid w:val="1AE23806"/>
    <w:rsid w:val="1AFEE0C1"/>
    <w:rsid w:val="1B21AC05"/>
    <w:rsid w:val="1B225611"/>
    <w:rsid w:val="1B5D36D7"/>
    <w:rsid w:val="1B612BB6"/>
    <w:rsid w:val="1B7D1A5B"/>
    <w:rsid w:val="1B8B1A71"/>
    <w:rsid w:val="1B9403FA"/>
    <w:rsid w:val="1B984E85"/>
    <w:rsid w:val="1B9E24B3"/>
    <w:rsid w:val="1BA4835E"/>
    <w:rsid w:val="1BCE17A7"/>
    <w:rsid w:val="1BDEE99B"/>
    <w:rsid w:val="1BE47DFD"/>
    <w:rsid w:val="1BED0200"/>
    <w:rsid w:val="1BEF2DEE"/>
    <w:rsid w:val="1BF68939"/>
    <w:rsid w:val="1BFBEA8A"/>
    <w:rsid w:val="1BFDC003"/>
    <w:rsid w:val="1C0EE7AC"/>
    <w:rsid w:val="1C1A45DA"/>
    <w:rsid w:val="1C4660FB"/>
    <w:rsid w:val="1C659CDA"/>
    <w:rsid w:val="1C901E57"/>
    <w:rsid w:val="1C90CA91"/>
    <w:rsid w:val="1CA77574"/>
    <w:rsid w:val="1CB277BE"/>
    <w:rsid w:val="1CEB4B32"/>
    <w:rsid w:val="1D0C1D86"/>
    <w:rsid w:val="1D18A657"/>
    <w:rsid w:val="1D18C935"/>
    <w:rsid w:val="1D2204CC"/>
    <w:rsid w:val="1D56F957"/>
    <w:rsid w:val="1D577508"/>
    <w:rsid w:val="1D718694"/>
    <w:rsid w:val="1D929FF8"/>
    <w:rsid w:val="1D95CA07"/>
    <w:rsid w:val="1DA35EA1"/>
    <w:rsid w:val="1DB520DA"/>
    <w:rsid w:val="1DC55A21"/>
    <w:rsid w:val="1DD7800C"/>
    <w:rsid w:val="1DEDB91D"/>
    <w:rsid w:val="1DF6B577"/>
    <w:rsid w:val="1E09769F"/>
    <w:rsid w:val="1E0DD2A9"/>
    <w:rsid w:val="1E0E8D9E"/>
    <w:rsid w:val="1E15C575"/>
    <w:rsid w:val="1E193B87"/>
    <w:rsid w:val="1E1BD4CE"/>
    <w:rsid w:val="1E222205"/>
    <w:rsid w:val="1E2DE755"/>
    <w:rsid w:val="1E4B0AC6"/>
    <w:rsid w:val="1E599941"/>
    <w:rsid w:val="1E6476F1"/>
    <w:rsid w:val="1E7FA657"/>
    <w:rsid w:val="1E802129"/>
    <w:rsid w:val="1EB6A0C1"/>
    <w:rsid w:val="1EE6C6B5"/>
    <w:rsid w:val="1F0E5A71"/>
    <w:rsid w:val="1F12E281"/>
    <w:rsid w:val="1F1D0CEB"/>
    <w:rsid w:val="1F263C9F"/>
    <w:rsid w:val="1F30ADA0"/>
    <w:rsid w:val="1F371687"/>
    <w:rsid w:val="1F6CCCAC"/>
    <w:rsid w:val="1FCD30F7"/>
    <w:rsid w:val="20101388"/>
    <w:rsid w:val="20403917"/>
    <w:rsid w:val="20581C59"/>
    <w:rsid w:val="205DDED0"/>
    <w:rsid w:val="2068F1AA"/>
    <w:rsid w:val="2077E02E"/>
    <w:rsid w:val="207B299B"/>
    <w:rsid w:val="209F9AC3"/>
    <w:rsid w:val="20BB3493"/>
    <w:rsid w:val="20BB6C40"/>
    <w:rsid w:val="20EE32DD"/>
    <w:rsid w:val="20EEA28F"/>
    <w:rsid w:val="21089857"/>
    <w:rsid w:val="210EAD19"/>
    <w:rsid w:val="2111FC32"/>
    <w:rsid w:val="21160078"/>
    <w:rsid w:val="212D0603"/>
    <w:rsid w:val="2139DD13"/>
    <w:rsid w:val="2153345F"/>
    <w:rsid w:val="216E3EEB"/>
    <w:rsid w:val="21706A38"/>
    <w:rsid w:val="2179743F"/>
    <w:rsid w:val="217EC5F8"/>
    <w:rsid w:val="21899E3E"/>
    <w:rsid w:val="21959B98"/>
    <w:rsid w:val="21A80480"/>
    <w:rsid w:val="21B61908"/>
    <w:rsid w:val="21CACC80"/>
    <w:rsid w:val="21E60BE2"/>
    <w:rsid w:val="21FBD10E"/>
    <w:rsid w:val="220A8DED"/>
    <w:rsid w:val="220C4F04"/>
    <w:rsid w:val="222B0D69"/>
    <w:rsid w:val="2241DBD2"/>
    <w:rsid w:val="2250AA45"/>
    <w:rsid w:val="225B1BAB"/>
    <w:rsid w:val="225D7C08"/>
    <w:rsid w:val="22B163DF"/>
    <w:rsid w:val="22F7560E"/>
    <w:rsid w:val="23071A90"/>
    <w:rsid w:val="23144E24"/>
    <w:rsid w:val="231BBE7A"/>
    <w:rsid w:val="232AF105"/>
    <w:rsid w:val="2335B025"/>
    <w:rsid w:val="2345A547"/>
    <w:rsid w:val="235D41C9"/>
    <w:rsid w:val="23896BDE"/>
    <w:rsid w:val="23ABECC0"/>
    <w:rsid w:val="23B6B45E"/>
    <w:rsid w:val="23EB1F7C"/>
    <w:rsid w:val="23F61995"/>
    <w:rsid w:val="24199071"/>
    <w:rsid w:val="2436D6BD"/>
    <w:rsid w:val="243D6282"/>
    <w:rsid w:val="2444F83E"/>
    <w:rsid w:val="244C94D4"/>
    <w:rsid w:val="2453A37B"/>
    <w:rsid w:val="24774819"/>
    <w:rsid w:val="2478441C"/>
    <w:rsid w:val="247B3634"/>
    <w:rsid w:val="24859413"/>
    <w:rsid w:val="2489A767"/>
    <w:rsid w:val="248C54E3"/>
    <w:rsid w:val="24A67725"/>
    <w:rsid w:val="24A96F9F"/>
    <w:rsid w:val="24B2A9F4"/>
    <w:rsid w:val="24C36EDC"/>
    <w:rsid w:val="24D54B28"/>
    <w:rsid w:val="24DE9394"/>
    <w:rsid w:val="24F0AE82"/>
    <w:rsid w:val="24F37210"/>
    <w:rsid w:val="24FBB3C5"/>
    <w:rsid w:val="251F8ED3"/>
    <w:rsid w:val="25239E10"/>
    <w:rsid w:val="2556A350"/>
    <w:rsid w:val="25681693"/>
    <w:rsid w:val="256F92F0"/>
    <w:rsid w:val="258AAD56"/>
    <w:rsid w:val="258B766B"/>
    <w:rsid w:val="25967B72"/>
    <w:rsid w:val="25A18493"/>
    <w:rsid w:val="25B12847"/>
    <w:rsid w:val="25DCB681"/>
    <w:rsid w:val="25F78884"/>
    <w:rsid w:val="262F832C"/>
    <w:rsid w:val="26305891"/>
    <w:rsid w:val="266E4F05"/>
    <w:rsid w:val="2681D7C9"/>
    <w:rsid w:val="2682B10D"/>
    <w:rsid w:val="268D36DF"/>
    <w:rsid w:val="2693DCE9"/>
    <w:rsid w:val="26988008"/>
    <w:rsid w:val="2698A41B"/>
    <w:rsid w:val="26ADDC6C"/>
    <w:rsid w:val="26D091A1"/>
    <w:rsid w:val="271DCAC7"/>
    <w:rsid w:val="272D32B4"/>
    <w:rsid w:val="27361EAD"/>
    <w:rsid w:val="27706108"/>
    <w:rsid w:val="277843E1"/>
    <w:rsid w:val="27786D36"/>
    <w:rsid w:val="277D646C"/>
    <w:rsid w:val="27A42F15"/>
    <w:rsid w:val="27A9A136"/>
    <w:rsid w:val="27BFD111"/>
    <w:rsid w:val="27D40ACC"/>
    <w:rsid w:val="27DE7BEF"/>
    <w:rsid w:val="27DFC5C3"/>
    <w:rsid w:val="27F27D6D"/>
    <w:rsid w:val="27F7D5D6"/>
    <w:rsid w:val="28139D89"/>
    <w:rsid w:val="28262D28"/>
    <w:rsid w:val="2874EE9B"/>
    <w:rsid w:val="2887C384"/>
    <w:rsid w:val="28B89F09"/>
    <w:rsid w:val="28D822CB"/>
    <w:rsid w:val="28E15366"/>
    <w:rsid w:val="28E64777"/>
    <w:rsid w:val="28EE4E47"/>
    <w:rsid w:val="2902CDD4"/>
    <w:rsid w:val="290A77FA"/>
    <w:rsid w:val="290C5014"/>
    <w:rsid w:val="29456283"/>
    <w:rsid w:val="294A3E6A"/>
    <w:rsid w:val="294CE42F"/>
    <w:rsid w:val="2953328B"/>
    <w:rsid w:val="298EECF9"/>
    <w:rsid w:val="29D19C76"/>
    <w:rsid w:val="29F2EBE6"/>
    <w:rsid w:val="2A0BC7AD"/>
    <w:rsid w:val="2A33D29D"/>
    <w:rsid w:val="2A41FD50"/>
    <w:rsid w:val="2A4853BB"/>
    <w:rsid w:val="2A4E0D44"/>
    <w:rsid w:val="2A7F818B"/>
    <w:rsid w:val="2A876139"/>
    <w:rsid w:val="2A899B8C"/>
    <w:rsid w:val="2AA482EE"/>
    <w:rsid w:val="2ADD3C9F"/>
    <w:rsid w:val="2AE42701"/>
    <w:rsid w:val="2AE5DCD9"/>
    <w:rsid w:val="2AE7B375"/>
    <w:rsid w:val="2AEC22B5"/>
    <w:rsid w:val="2AF24F1D"/>
    <w:rsid w:val="2B0CE7B7"/>
    <w:rsid w:val="2B3666D8"/>
    <w:rsid w:val="2B3F94F2"/>
    <w:rsid w:val="2B5642F4"/>
    <w:rsid w:val="2B7DE012"/>
    <w:rsid w:val="2B918907"/>
    <w:rsid w:val="2B983F4A"/>
    <w:rsid w:val="2BA3A237"/>
    <w:rsid w:val="2BB78B04"/>
    <w:rsid w:val="2BD05180"/>
    <w:rsid w:val="2BE3AF1D"/>
    <w:rsid w:val="2BE56BC0"/>
    <w:rsid w:val="2BF7402A"/>
    <w:rsid w:val="2C1F34EF"/>
    <w:rsid w:val="2C571454"/>
    <w:rsid w:val="2C63446B"/>
    <w:rsid w:val="2CB91805"/>
    <w:rsid w:val="2CCAEE71"/>
    <w:rsid w:val="2CEAAE5B"/>
    <w:rsid w:val="2CF52255"/>
    <w:rsid w:val="2D097AA1"/>
    <w:rsid w:val="2D11B148"/>
    <w:rsid w:val="2D29CB91"/>
    <w:rsid w:val="2D3C7268"/>
    <w:rsid w:val="2D3D3C81"/>
    <w:rsid w:val="2D5B4E10"/>
    <w:rsid w:val="2D63496B"/>
    <w:rsid w:val="2D634D88"/>
    <w:rsid w:val="2D74F270"/>
    <w:rsid w:val="2D7EC2E8"/>
    <w:rsid w:val="2DB299D4"/>
    <w:rsid w:val="2DC4567D"/>
    <w:rsid w:val="2DD371D8"/>
    <w:rsid w:val="2DF531EF"/>
    <w:rsid w:val="2DF5F951"/>
    <w:rsid w:val="2E040CFA"/>
    <w:rsid w:val="2E08422C"/>
    <w:rsid w:val="2E1D6691"/>
    <w:rsid w:val="2E7ADD36"/>
    <w:rsid w:val="2E7D1F90"/>
    <w:rsid w:val="2E8A2F4D"/>
    <w:rsid w:val="2EA00578"/>
    <w:rsid w:val="2EAF89F6"/>
    <w:rsid w:val="2EB2EE71"/>
    <w:rsid w:val="2EB7D4AD"/>
    <w:rsid w:val="2EC24664"/>
    <w:rsid w:val="2EC7D85C"/>
    <w:rsid w:val="2ED28C25"/>
    <w:rsid w:val="2EDEA790"/>
    <w:rsid w:val="2F1B62C0"/>
    <w:rsid w:val="2F564AB9"/>
    <w:rsid w:val="2F5723A9"/>
    <w:rsid w:val="2F7F7DB1"/>
    <w:rsid w:val="2F9CD733"/>
    <w:rsid w:val="2FAA2093"/>
    <w:rsid w:val="2FAE3FBD"/>
    <w:rsid w:val="2FE4E9BD"/>
    <w:rsid w:val="2FF764B3"/>
    <w:rsid w:val="2FFBFD36"/>
    <w:rsid w:val="2FFE2454"/>
    <w:rsid w:val="300AED07"/>
    <w:rsid w:val="3039BDD6"/>
    <w:rsid w:val="304769BF"/>
    <w:rsid w:val="304D3C6A"/>
    <w:rsid w:val="3063A65D"/>
    <w:rsid w:val="30777A18"/>
    <w:rsid w:val="308DF445"/>
    <w:rsid w:val="308EA784"/>
    <w:rsid w:val="30A9CA37"/>
    <w:rsid w:val="311C9112"/>
    <w:rsid w:val="313ACF63"/>
    <w:rsid w:val="3147A6A5"/>
    <w:rsid w:val="314EF491"/>
    <w:rsid w:val="315ABE93"/>
    <w:rsid w:val="317CD43A"/>
    <w:rsid w:val="319870BA"/>
    <w:rsid w:val="319B435D"/>
    <w:rsid w:val="319E595C"/>
    <w:rsid w:val="31ACC3D4"/>
    <w:rsid w:val="31BA1B28"/>
    <w:rsid w:val="31C51C39"/>
    <w:rsid w:val="31E9DC10"/>
    <w:rsid w:val="31F38F03"/>
    <w:rsid w:val="31FD274D"/>
    <w:rsid w:val="3217CA1E"/>
    <w:rsid w:val="323AAD49"/>
    <w:rsid w:val="3279D705"/>
    <w:rsid w:val="328F58E9"/>
    <w:rsid w:val="329448E5"/>
    <w:rsid w:val="3299CE72"/>
    <w:rsid w:val="329A8A27"/>
    <w:rsid w:val="32A24D2F"/>
    <w:rsid w:val="32A5BEBF"/>
    <w:rsid w:val="32E6DE7C"/>
    <w:rsid w:val="32FBB67E"/>
    <w:rsid w:val="330310C2"/>
    <w:rsid w:val="3306A612"/>
    <w:rsid w:val="331143F5"/>
    <w:rsid w:val="3312BB02"/>
    <w:rsid w:val="33166CAF"/>
    <w:rsid w:val="332AE724"/>
    <w:rsid w:val="3337252A"/>
    <w:rsid w:val="333BA64A"/>
    <w:rsid w:val="3349998C"/>
    <w:rsid w:val="33572190"/>
    <w:rsid w:val="33638ADB"/>
    <w:rsid w:val="337C9750"/>
    <w:rsid w:val="339037E0"/>
    <w:rsid w:val="3394D8DF"/>
    <w:rsid w:val="33A3DD9D"/>
    <w:rsid w:val="33A77B92"/>
    <w:rsid w:val="33AFE68D"/>
    <w:rsid w:val="33C5F8CF"/>
    <w:rsid w:val="33CBFE8B"/>
    <w:rsid w:val="33D7BA0B"/>
    <w:rsid w:val="340667AE"/>
    <w:rsid w:val="341606B7"/>
    <w:rsid w:val="341818B7"/>
    <w:rsid w:val="3486BEFC"/>
    <w:rsid w:val="348A0730"/>
    <w:rsid w:val="34B9E815"/>
    <w:rsid w:val="34C384C4"/>
    <w:rsid w:val="34EB08E7"/>
    <w:rsid w:val="351B82EA"/>
    <w:rsid w:val="352955F2"/>
    <w:rsid w:val="352A6BB4"/>
    <w:rsid w:val="35322669"/>
    <w:rsid w:val="353E6375"/>
    <w:rsid w:val="354ACCDD"/>
    <w:rsid w:val="355170CF"/>
    <w:rsid w:val="35545595"/>
    <w:rsid w:val="3573091C"/>
    <w:rsid w:val="359BF467"/>
    <w:rsid w:val="35C469F5"/>
    <w:rsid w:val="35DD92DB"/>
    <w:rsid w:val="35E0C14A"/>
    <w:rsid w:val="3600A17A"/>
    <w:rsid w:val="36393200"/>
    <w:rsid w:val="36628E1E"/>
    <w:rsid w:val="3662C0EF"/>
    <w:rsid w:val="36777E23"/>
    <w:rsid w:val="368996B7"/>
    <w:rsid w:val="368F4DF7"/>
    <w:rsid w:val="3690E132"/>
    <w:rsid w:val="36B6895B"/>
    <w:rsid w:val="36C560FC"/>
    <w:rsid w:val="36FA896D"/>
    <w:rsid w:val="37161868"/>
    <w:rsid w:val="37180CE5"/>
    <w:rsid w:val="371D0EE2"/>
    <w:rsid w:val="3730955E"/>
    <w:rsid w:val="3736C06F"/>
    <w:rsid w:val="373DA3C9"/>
    <w:rsid w:val="37435B79"/>
    <w:rsid w:val="3759642F"/>
    <w:rsid w:val="376377AC"/>
    <w:rsid w:val="376D8035"/>
    <w:rsid w:val="37765E07"/>
    <w:rsid w:val="37778242"/>
    <w:rsid w:val="3780436F"/>
    <w:rsid w:val="3790AE61"/>
    <w:rsid w:val="37A6A288"/>
    <w:rsid w:val="37B413BB"/>
    <w:rsid w:val="37D84099"/>
    <w:rsid w:val="37F751B0"/>
    <w:rsid w:val="38239B30"/>
    <w:rsid w:val="383B2ADE"/>
    <w:rsid w:val="384E2053"/>
    <w:rsid w:val="385B4308"/>
    <w:rsid w:val="387E22F8"/>
    <w:rsid w:val="38988A79"/>
    <w:rsid w:val="38C2DD47"/>
    <w:rsid w:val="38C6304E"/>
    <w:rsid w:val="38E099B3"/>
    <w:rsid w:val="38E10E17"/>
    <w:rsid w:val="394CF944"/>
    <w:rsid w:val="396710BB"/>
    <w:rsid w:val="398511A3"/>
    <w:rsid w:val="3987D2B1"/>
    <w:rsid w:val="3995EF30"/>
    <w:rsid w:val="399BF8C9"/>
    <w:rsid w:val="39CBBBCC"/>
    <w:rsid w:val="39E6D550"/>
    <w:rsid w:val="39EEF40D"/>
    <w:rsid w:val="39FB1A50"/>
    <w:rsid w:val="39FD4846"/>
    <w:rsid w:val="3A021E49"/>
    <w:rsid w:val="3A1D89E2"/>
    <w:rsid w:val="3A2D379D"/>
    <w:rsid w:val="3A569EB2"/>
    <w:rsid w:val="3A5A433B"/>
    <w:rsid w:val="3A5D4662"/>
    <w:rsid w:val="3A60BB48"/>
    <w:rsid w:val="3A6814AA"/>
    <w:rsid w:val="3A6B458F"/>
    <w:rsid w:val="3A70829F"/>
    <w:rsid w:val="3A8B2379"/>
    <w:rsid w:val="3A95CD04"/>
    <w:rsid w:val="3AAC6A48"/>
    <w:rsid w:val="3ACD34AA"/>
    <w:rsid w:val="3AE2DC7C"/>
    <w:rsid w:val="3AEF129C"/>
    <w:rsid w:val="3AF23AC3"/>
    <w:rsid w:val="3B026759"/>
    <w:rsid w:val="3B069907"/>
    <w:rsid w:val="3B156DC1"/>
    <w:rsid w:val="3B194303"/>
    <w:rsid w:val="3B41FE49"/>
    <w:rsid w:val="3B43A438"/>
    <w:rsid w:val="3B452577"/>
    <w:rsid w:val="3B5E0911"/>
    <w:rsid w:val="3B5E45D6"/>
    <w:rsid w:val="3B5FCF4F"/>
    <w:rsid w:val="3B63BFF5"/>
    <w:rsid w:val="3B824729"/>
    <w:rsid w:val="3B84306C"/>
    <w:rsid w:val="3BC70945"/>
    <w:rsid w:val="3BC80FFC"/>
    <w:rsid w:val="3BCA3E05"/>
    <w:rsid w:val="3BCD5D7D"/>
    <w:rsid w:val="3BD564EC"/>
    <w:rsid w:val="3BE0557A"/>
    <w:rsid w:val="3BE632FE"/>
    <w:rsid w:val="3C565CFB"/>
    <w:rsid w:val="3C62BEBE"/>
    <w:rsid w:val="3C81E104"/>
    <w:rsid w:val="3C94D4EF"/>
    <w:rsid w:val="3CB5430D"/>
    <w:rsid w:val="3CC597F0"/>
    <w:rsid w:val="3CD3CE5B"/>
    <w:rsid w:val="3CDC38CE"/>
    <w:rsid w:val="3CE7BE27"/>
    <w:rsid w:val="3CF4C309"/>
    <w:rsid w:val="3CF941FA"/>
    <w:rsid w:val="3D0577AA"/>
    <w:rsid w:val="3D15CDF3"/>
    <w:rsid w:val="3D2EB484"/>
    <w:rsid w:val="3D362AA0"/>
    <w:rsid w:val="3D5B1A35"/>
    <w:rsid w:val="3D6628F1"/>
    <w:rsid w:val="3D7550FF"/>
    <w:rsid w:val="3D7BC987"/>
    <w:rsid w:val="3D908D3F"/>
    <w:rsid w:val="3DA7104A"/>
    <w:rsid w:val="3DD3736D"/>
    <w:rsid w:val="3DFCA394"/>
    <w:rsid w:val="3E173FE8"/>
    <w:rsid w:val="3E187DE9"/>
    <w:rsid w:val="3E3D7A5B"/>
    <w:rsid w:val="3E40B810"/>
    <w:rsid w:val="3E435F9E"/>
    <w:rsid w:val="3E4448FA"/>
    <w:rsid w:val="3E6720A7"/>
    <w:rsid w:val="3E6FCDF9"/>
    <w:rsid w:val="3EA040B8"/>
    <w:rsid w:val="3EE8E3D3"/>
    <w:rsid w:val="3F02C937"/>
    <w:rsid w:val="3F1498C1"/>
    <w:rsid w:val="3F18BED3"/>
    <w:rsid w:val="3F1DEFB7"/>
    <w:rsid w:val="3F264AB4"/>
    <w:rsid w:val="3F4143F5"/>
    <w:rsid w:val="3F4B7756"/>
    <w:rsid w:val="3F5390F2"/>
    <w:rsid w:val="3F54BCA7"/>
    <w:rsid w:val="3F571708"/>
    <w:rsid w:val="3F5BB815"/>
    <w:rsid w:val="3F60D6E2"/>
    <w:rsid w:val="3F66D0A3"/>
    <w:rsid w:val="3F70565B"/>
    <w:rsid w:val="3F8ACD70"/>
    <w:rsid w:val="3F9D4015"/>
    <w:rsid w:val="3FAD748A"/>
    <w:rsid w:val="3FB0F44B"/>
    <w:rsid w:val="3FBD92AE"/>
    <w:rsid w:val="3FD5008D"/>
    <w:rsid w:val="3FD9EAF7"/>
    <w:rsid w:val="3FEC7F28"/>
    <w:rsid w:val="3FFEF328"/>
    <w:rsid w:val="400E32DD"/>
    <w:rsid w:val="401DD1CD"/>
    <w:rsid w:val="401E0F36"/>
    <w:rsid w:val="4070A236"/>
    <w:rsid w:val="409CB00F"/>
    <w:rsid w:val="40D6AFCF"/>
    <w:rsid w:val="40D71476"/>
    <w:rsid w:val="40D72641"/>
    <w:rsid w:val="40F412C7"/>
    <w:rsid w:val="40FCEABA"/>
    <w:rsid w:val="41126525"/>
    <w:rsid w:val="411A42B8"/>
    <w:rsid w:val="41587B11"/>
    <w:rsid w:val="41719DBF"/>
    <w:rsid w:val="417C9E72"/>
    <w:rsid w:val="41966B05"/>
    <w:rsid w:val="41AFA0BF"/>
    <w:rsid w:val="41CA4B84"/>
    <w:rsid w:val="41D8E07A"/>
    <w:rsid w:val="41E99A04"/>
    <w:rsid w:val="420023D8"/>
    <w:rsid w:val="4209913D"/>
    <w:rsid w:val="4243E530"/>
    <w:rsid w:val="4266827D"/>
    <w:rsid w:val="42693D77"/>
    <w:rsid w:val="426AF84C"/>
    <w:rsid w:val="426D9931"/>
    <w:rsid w:val="42737F6D"/>
    <w:rsid w:val="427CC7BA"/>
    <w:rsid w:val="427E5543"/>
    <w:rsid w:val="428905E7"/>
    <w:rsid w:val="42BB443A"/>
    <w:rsid w:val="42D62DEC"/>
    <w:rsid w:val="42F18E64"/>
    <w:rsid w:val="4302DC4E"/>
    <w:rsid w:val="433249A2"/>
    <w:rsid w:val="4335BF68"/>
    <w:rsid w:val="435C52C7"/>
    <w:rsid w:val="436C394B"/>
    <w:rsid w:val="43705360"/>
    <w:rsid w:val="43756837"/>
    <w:rsid w:val="437ABA74"/>
    <w:rsid w:val="43D07A9A"/>
    <w:rsid w:val="43E47A3D"/>
    <w:rsid w:val="43EC8ECB"/>
    <w:rsid w:val="43EFA342"/>
    <w:rsid w:val="43FEDBB2"/>
    <w:rsid w:val="441FF00F"/>
    <w:rsid w:val="4454AC7C"/>
    <w:rsid w:val="4486CFE8"/>
    <w:rsid w:val="44E7CA2F"/>
    <w:rsid w:val="44F7F44A"/>
    <w:rsid w:val="44FFF945"/>
    <w:rsid w:val="4508BFF5"/>
    <w:rsid w:val="45188946"/>
    <w:rsid w:val="45249BE6"/>
    <w:rsid w:val="452D5135"/>
    <w:rsid w:val="4539C669"/>
    <w:rsid w:val="453C4652"/>
    <w:rsid w:val="453CE6A0"/>
    <w:rsid w:val="45545F66"/>
    <w:rsid w:val="456B5BD5"/>
    <w:rsid w:val="459099E6"/>
    <w:rsid w:val="459319DA"/>
    <w:rsid w:val="45952098"/>
    <w:rsid w:val="45ABDBE3"/>
    <w:rsid w:val="45AC1F28"/>
    <w:rsid w:val="45BAD580"/>
    <w:rsid w:val="45BBDC1E"/>
    <w:rsid w:val="45C2738F"/>
    <w:rsid w:val="45C7CFA7"/>
    <w:rsid w:val="45CB2A1F"/>
    <w:rsid w:val="45CE86DA"/>
    <w:rsid w:val="45DFB3A6"/>
    <w:rsid w:val="45E2BE2E"/>
    <w:rsid w:val="463C060F"/>
    <w:rsid w:val="464CD18B"/>
    <w:rsid w:val="4651B915"/>
    <w:rsid w:val="46552AAA"/>
    <w:rsid w:val="469118A7"/>
    <w:rsid w:val="46B64792"/>
    <w:rsid w:val="46D177C4"/>
    <w:rsid w:val="46F84988"/>
    <w:rsid w:val="472C3279"/>
    <w:rsid w:val="4753D8C2"/>
    <w:rsid w:val="475DFE34"/>
    <w:rsid w:val="4765345C"/>
    <w:rsid w:val="4777F1B7"/>
    <w:rsid w:val="47926A18"/>
    <w:rsid w:val="47B1B844"/>
    <w:rsid w:val="47CFB7F3"/>
    <w:rsid w:val="47D1B5CD"/>
    <w:rsid w:val="47E48F6F"/>
    <w:rsid w:val="47F2B47B"/>
    <w:rsid w:val="480F28F5"/>
    <w:rsid w:val="4819D446"/>
    <w:rsid w:val="482A98EB"/>
    <w:rsid w:val="482C4F60"/>
    <w:rsid w:val="483C4832"/>
    <w:rsid w:val="4843A28E"/>
    <w:rsid w:val="48A2651F"/>
    <w:rsid w:val="48B58D9C"/>
    <w:rsid w:val="48B85007"/>
    <w:rsid w:val="48C27FEA"/>
    <w:rsid w:val="48CB94A7"/>
    <w:rsid w:val="48F79CC8"/>
    <w:rsid w:val="49714530"/>
    <w:rsid w:val="49747E86"/>
    <w:rsid w:val="49AF23BA"/>
    <w:rsid w:val="49B20747"/>
    <w:rsid w:val="49BA1DB4"/>
    <w:rsid w:val="49C5A59A"/>
    <w:rsid w:val="49C7338E"/>
    <w:rsid w:val="49DA7995"/>
    <w:rsid w:val="49DDA0C3"/>
    <w:rsid w:val="4A18EDF7"/>
    <w:rsid w:val="4A38CAB7"/>
    <w:rsid w:val="4A3947EA"/>
    <w:rsid w:val="4A5C8325"/>
    <w:rsid w:val="4A6BFD2F"/>
    <w:rsid w:val="4A6EF8BF"/>
    <w:rsid w:val="4A71D4EF"/>
    <w:rsid w:val="4A954E19"/>
    <w:rsid w:val="4AA57CDE"/>
    <w:rsid w:val="4AA98AE5"/>
    <w:rsid w:val="4AB0E986"/>
    <w:rsid w:val="4AB3579A"/>
    <w:rsid w:val="4ABED512"/>
    <w:rsid w:val="4AEC0549"/>
    <w:rsid w:val="4AF5703B"/>
    <w:rsid w:val="4B06F32F"/>
    <w:rsid w:val="4B0C62BE"/>
    <w:rsid w:val="4B3B31DD"/>
    <w:rsid w:val="4B45BE9D"/>
    <w:rsid w:val="4B4DF40B"/>
    <w:rsid w:val="4B562278"/>
    <w:rsid w:val="4B5A6470"/>
    <w:rsid w:val="4B88CDBD"/>
    <w:rsid w:val="4BD68826"/>
    <w:rsid w:val="4BEA5751"/>
    <w:rsid w:val="4BFB057D"/>
    <w:rsid w:val="4C124ACC"/>
    <w:rsid w:val="4C23772F"/>
    <w:rsid w:val="4C2E212E"/>
    <w:rsid w:val="4C3CEA8A"/>
    <w:rsid w:val="4C4298BF"/>
    <w:rsid w:val="4C472545"/>
    <w:rsid w:val="4C54E3DB"/>
    <w:rsid w:val="4C604A71"/>
    <w:rsid w:val="4C6296D5"/>
    <w:rsid w:val="4C9390A5"/>
    <w:rsid w:val="4C986E71"/>
    <w:rsid w:val="4CA922FF"/>
    <w:rsid w:val="4CC92854"/>
    <w:rsid w:val="4CD2A7DA"/>
    <w:rsid w:val="4CF0B0BB"/>
    <w:rsid w:val="4CF6CC06"/>
    <w:rsid w:val="4D0B2198"/>
    <w:rsid w:val="4D1C2644"/>
    <w:rsid w:val="4D1E9A5D"/>
    <w:rsid w:val="4D30F776"/>
    <w:rsid w:val="4D4C3D57"/>
    <w:rsid w:val="4D618E82"/>
    <w:rsid w:val="4D807008"/>
    <w:rsid w:val="4D970513"/>
    <w:rsid w:val="4DA6591B"/>
    <w:rsid w:val="4DB4F1E0"/>
    <w:rsid w:val="4DB8C543"/>
    <w:rsid w:val="4DC15BB9"/>
    <w:rsid w:val="4DCF5753"/>
    <w:rsid w:val="4DD4A990"/>
    <w:rsid w:val="4DE8C585"/>
    <w:rsid w:val="4DF60C15"/>
    <w:rsid w:val="4DF65DA7"/>
    <w:rsid w:val="4DF72374"/>
    <w:rsid w:val="4E01529F"/>
    <w:rsid w:val="4E11BB4C"/>
    <w:rsid w:val="4E20CE54"/>
    <w:rsid w:val="4E4C3E37"/>
    <w:rsid w:val="4E64A782"/>
    <w:rsid w:val="4E6ECA42"/>
    <w:rsid w:val="4E72A29F"/>
    <w:rsid w:val="4E8D843D"/>
    <w:rsid w:val="4EB5A56D"/>
    <w:rsid w:val="4EBFE6A6"/>
    <w:rsid w:val="4EC2E279"/>
    <w:rsid w:val="4EC2E775"/>
    <w:rsid w:val="4EC934F2"/>
    <w:rsid w:val="4ED12278"/>
    <w:rsid w:val="4ED7FD55"/>
    <w:rsid w:val="4EDF708D"/>
    <w:rsid w:val="4EFE29D4"/>
    <w:rsid w:val="4F12D795"/>
    <w:rsid w:val="4F1CBD59"/>
    <w:rsid w:val="4F339688"/>
    <w:rsid w:val="4F370C91"/>
    <w:rsid w:val="4F3C2EB4"/>
    <w:rsid w:val="4F400C02"/>
    <w:rsid w:val="4F411732"/>
    <w:rsid w:val="4F55272D"/>
    <w:rsid w:val="4F840636"/>
    <w:rsid w:val="4FAB883B"/>
    <w:rsid w:val="4FCE537F"/>
    <w:rsid w:val="4FDE0196"/>
    <w:rsid w:val="4FF118A4"/>
    <w:rsid w:val="4FF21D59"/>
    <w:rsid w:val="4FFFB8D6"/>
    <w:rsid w:val="502ADF34"/>
    <w:rsid w:val="50465B04"/>
    <w:rsid w:val="50513BA5"/>
    <w:rsid w:val="507C707A"/>
    <w:rsid w:val="508F95AB"/>
    <w:rsid w:val="50AF7021"/>
    <w:rsid w:val="50B22715"/>
    <w:rsid w:val="50E3AAA5"/>
    <w:rsid w:val="511CF849"/>
    <w:rsid w:val="512453F3"/>
    <w:rsid w:val="5128A7B0"/>
    <w:rsid w:val="512AA506"/>
    <w:rsid w:val="512B280F"/>
    <w:rsid w:val="51317B2D"/>
    <w:rsid w:val="51390311"/>
    <w:rsid w:val="513C097C"/>
    <w:rsid w:val="514E76EC"/>
    <w:rsid w:val="5157DD96"/>
    <w:rsid w:val="516106B1"/>
    <w:rsid w:val="517533D8"/>
    <w:rsid w:val="51767087"/>
    <w:rsid w:val="51844A5E"/>
    <w:rsid w:val="5192FCD7"/>
    <w:rsid w:val="51D6E399"/>
    <w:rsid w:val="51DD7A12"/>
    <w:rsid w:val="51E10255"/>
    <w:rsid w:val="51E81C2B"/>
    <w:rsid w:val="521EA2AB"/>
    <w:rsid w:val="52268F92"/>
    <w:rsid w:val="522E38D8"/>
    <w:rsid w:val="525AD197"/>
    <w:rsid w:val="526471DF"/>
    <w:rsid w:val="5289416A"/>
    <w:rsid w:val="52A29C3C"/>
    <w:rsid w:val="52C5F163"/>
    <w:rsid w:val="52E4160B"/>
    <w:rsid w:val="5304B005"/>
    <w:rsid w:val="5313C6C0"/>
    <w:rsid w:val="532C3A4F"/>
    <w:rsid w:val="53380D6E"/>
    <w:rsid w:val="534714F9"/>
    <w:rsid w:val="534F3455"/>
    <w:rsid w:val="537AFCD0"/>
    <w:rsid w:val="537CC01D"/>
    <w:rsid w:val="53808A3A"/>
    <w:rsid w:val="53BD9F36"/>
    <w:rsid w:val="53C78EB3"/>
    <w:rsid w:val="53D09F96"/>
    <w:rsid w:val="53FDE198"/>
    <w:rsid w:val="540A8947"/>
    <w:rsid w:val="540F480D"/>
    <w:rsid w:val="5415BEA2"/>
    <w:rsid w:val="5429D728"/>
    <w:rsid w:val="542BCA69"/>
    <w:rsid w:val="543072B3"/>
    <w:rsid w:val="544D49ED"/>
    <w:rsid w:val="5454990B"/>
    <w:rsid w:val="545758B1"/>
    <w:rsid w:val="545A0491"/>
    <w:rsid w:val="546E0FA1"/>
    <w:rsid w:val="548D9989"/>
    <w:rsid w:val="54AC0214"/>
    <w:rsid w:val="54BDD463"/>
    <w:rsid w:val="54C456F6"/>
    <w:rsid w:val="54CEFF80"/>
    <w:rsid w:val="54D1D5DE"/>
    <w:rsid w:val="54E80EFB"/>
    <w:rsid w:val="54EA01ED"/>
    <w:rsid w:val="54EEAF33"/>
    <w:rsid w:val="54F3BB8A"/>
    <w:rsid w:val="55268860"/>
    <w:rsid w:val="5532FF58"/>
    <w:rsid w:val="55334C93"/>
    <w:rsid w:val="553A2211"/>
    <w:rsid w:val="555A611E"/>
    <w:rsid w:val="5569E025"/>
    <w:rsid w:val="55792079"/>
    <w:rsid w:val="559F4103"/>
    <w:rsid w:val="55B34DEF"/>
    <w:rsid w:val="55BB49AD"/>
    <w:rsid w:val="55CD7185"/>
    <w:rsid w:val="55D01356"/>
    <w:rsid w:val="55D93803"/>
    <w:rsid w:val="55E41F66"/>
    <w:rsid w:val="55EA5879"/>
    <w:rsid w:val="55EC1109"/>
    <w:rsid w:val="55F53A1C"/>
    <w:rsid w:val="56157306"/>
    <w:rsid w:val="5655C75D"/>
    <w:rsid w:val="5663F75F"/>
    <w:rsid w:val="56755E3D"/>
    <w:rsid w:val="56841ACD"/>
    <w:rsid w:val="568F8A13"/>
    <w:rsid w:val="569C238E"/>
    <w:rsid w:val="56AB6627"/>
    <w:rsid w:val="56AD46D4"/>
    <w:rsid w:val="57008682"/>
    <w:rsid w:val="57076BC1"/>
    <w:rsid w:val="57095EA2"/>
    <w:rsid w:val="5716C95D"/>
    <w:rsid w:val="572BE5D5"/>
    <w:rsid w:val="5731B7E1"/>
    <w:rsid w:val="57992C37"/>
    <w:rsid w:val="580E056E"/>
    <w:rsid w:val="583AD60B"/>
    <w:rsid w:val="584195CC"/>
    <w:rsid w:val="5843BCA5"/>
    <w:rsid w:val="5889F2C6"/>
    <w:rsid w:val="588CAD2F"/>
    <w:rsid w:val="588CB4F9"/>
    <w:rsid w:val="5892CA4F"/>
    <w:rsid w:val="58A8D1F9"/>
    <w:rsid w:val="58ABDC81"/>
    <w:rsid w:val="58BAE725"/>
    <w:rsid w:val="58BC84F8"/>
    <w:rsid w:val="58D018F3"/>
    <w:rsid w:val="58E62F92"/>
    <w:rsid w:val="58FD97A8"/>
    <w:rsid w:val="590C6102"/>
    <w:rsid w:val="59100DE0"/>
    <w:rsid w:val="591AC3B4"/>
    <w:rsid w:val="59436753"/>
    <w:rsid w:val="5952289F"/>
    <w:rsid w:val="595D242B"/>
    <w:rsid w:val="59705617"/>
    <w:rsid w:val="5986063E"/>
    <w:rsid w:val="5996CBFA"/>
    <w:rsid w:val="59A2C603"/>
    <w:rsid w:val="59AF1062"/>
    <w:rsid w:val="59CE98E4"/>
    <w:rsid w:val="59FE9342"/>
    <w:rsid w:val="5A114DA0"/>
    <w:rsid w:val="5A19EC2E"/>
    <w:rsid w:val="5A28748D"/>
    <w:rsid w:val="5A3A46DC"/>
    <w:rsid w:val="5A3B4E72"/>
    <w:rsid w:val="5A4B3B70"/>
    <w:rsid w:val="5A4C9F74"/>
    <w:rsid w:val="5A63FBCE"/>
    <w:rsid w:val="5A65D18A"/>
    <w:rsid w:val="5A7B0453"/>
    <w:rsid w:val="5A7E1AC3"/>
    <w:rsid w:val="5A7FDBBE"/>
    <w:rsid w:val="5A8ADE05"/>
    <w:rsid w:val="5A8D5A0A"/>
    <w:rsid w:val="5AB46620"/>
    <w:rsid w:val="5AB90A77"/>
    <w:rsid w:val="5ABDCFD4"/>
    <w:rsid w:val="5ABFACAA"/>
    <w:rsid w:val="5ACBF89C"/>
    <w:rsid w:val="5AE49E17"/>
    <w:rsid w:val="5AE8E80B"/>
    <w:rsid w:val="5AEBF112"/>
    <w:rsid w:val="5AFB8F76"/>
    <w:rsid w:val="5B16A7DA"/>
    <w:rsid w:val="5B595258"/>
    <w:rsid w:val="5B6C32E0"/>
    <w:rsid w:val="5B788055"/>
    <w:rsid w:val="5B8C983E"/>
    <w:rsid w:val="5BB42564"/>
    <w:rsid w:val="5BB8CC72"/>
    <w:rsid w:val="5C06F62A"/>
    <w:rsid w:val="5C1C2B0E"/>
    <w:rsid w:val="5C1CFFEF"/>
    <w:rsid w:val="5C2D9B43"/>
    <w:rsid w:val="5C4280CB"/>
    <w:rsid w:val="5C4B3B72"/>
    <w:rsid w:val="5C5B3F5F"/>
    <w:rsid w:val="5C6433DF"/>
    <w:rsid w:val="5C645E3D"/>
    <w:rsid w:val="5C6B8B96"/>
    <w:rsid w:val="5CB35798"/>
    <w:rsid w:val="5CCC531C"/>
    <w:rsid w:val="5CE47622"/>
    <w:rsid w:val="5CEB7A9E"/>
    <w:rsid w:val="5CEC30D7"/>
    <w:rsid w:val="5CF9388C"/>
    <w:rsid w:val="5CFC1EF8"/>
    <w:rsid w:val="5D083C4F"/>
    <w:rsid w:val="5D2B4EEE"/>
    <w:rsid w:val="5D46D04C"/>
    <w:rsid w:val="5D5A8EAC"/>
    <w:rsid w:val="5D85F8C6"/>
    <w:rsid w:val="5DAB6532"/>
    <w:rsid w:val="5DBC9512"/>
    <w:rsid w:val="5DC577A0"/>
    <w:rsid w:val="5DCC2DAD"/>
    <w:rsid w:val="5DD2A96F"/>
    <w:rsid w:val="5DD7DCAB"/>
    <w:rsid w:val="5DDA4149"/>
    <w:rsid w:val="5E180E3D"/>
    <w:rsid w:val="5E1A4388"/>
    <w:rsid w:val="5E1BC6EB"/>
    <w:rsid w:val="5E2F3B9F"/>
    <w:rsid w:val="5E564162"/>
    <w:rsid w:val="5E8A56C5"/>
    <w:rsid w:val="5EAB86D5"/>
    <w:rsid w:val="5EB2AA52"/>
    <w:rsid w:val="5EB4707A"/>
    <w:rsid w:val="5ED06CB1"/>
    <w:rsid w:val="5EEBC626"/>
    <w:rsid w:val="5EFF32E2"/>
    <w:rsid w:val="5F0C410E"/>
    <w:rsid w:val="5F49D0C0"/>
    <w:rsid w:val="5F4E3777"/>
    <w:rsid w:val="5F5F4C6F"/>
    <w:rsid w:val="5F6EC0B1"/>
    <w:rsid w:val="5F6F6DB8"/>
    <w:rsid w:val="5F8CF2EB"/>
    <w:rsid w:val="5F908CE2"/>
    <w:rsid w:val="5F9B22AF"/>
    <w:rsid w:val="5F9B8FDE"/>
    <w:rsid w:val="5F9C2955"/>
    <w:rsid w:val="5FABD095"/>
    <w:rsid w:val="5FB0568A"/>
    <w:rsid w:val="5FBA2F55"/>
    <w:rsid w:val="5FD1F5F1"/>
    <w:rsid w:val="5FED2EFC"/>
    <w:rsid w:val="5FEDDA84"/>
    <w:rsid w:val="5FF0DA1B"/>
    <w:rsid w:val="60196D2D"/>
    <w:rsid w:val="6023DF71"/>
    <w:rsid w:val="60296C33"/>
    <w:rsid w:val="602B01CF"/>
    <w:rsid w:val="603F274A"/>
    <w:rsid w:val="6040ECB7"/>
    <w:rsid w:val="60432951"/>
    <w:rsid w:val="605D34E8"/>
    <w:rsid w:val="605F8318"/>
    <w:rsid w:val="607C1429"/>
    <w:rsid w:val="607F5C17"/>
    <w:rsid w:val="6090A8FF"/>
    <w:rsid w:val="60AE1AEC"/>
    <w:rsid w:val="60AF2F63"/>
    <w:rsid w:val="60F26950"/>
    <w:rsid w:val="611930B9"/>
    <w:rsid w:val="611F2969"/>
    <w:rsid w:val="61246E11"/>
    <w:rsid w:val="615B2167"/>
    <w:rsid w:val="616FD700"/>
    <w:rsid w:val="6184EB6A"/>
    <w:rsid w:val="619A5A15"/>
    <w:rsid w:val="61A10D89"/>
    <w:rsid w:val="61A9FD3B"/>
    <w:rsid w:val="61AB8FA1"/>
    <w:rsid w:val="61B1C122"/>
    <w:rsid w:val="61C394EA"/>
    <w:rsid w:val="62016CC4"/>
    <w:rsid w:val="62045DC5"/>
    <w:rsid w:val="620A8371"/>
    <w:rsid w:val="620BB2F4"/>
    <w:rsid w:val="62140521"/>
    <w:rsid w:val="6228E873"/>
    <w:rsid w:val="622AE5C9"/>
    <w:rsid w:val="624317E1"/>
    <w:rsid w:val="62538B32"/>
    <w:rsid w:val="627DDCBE"/>
    <w:rsid w:val="62A67F98"/>
    <w:rsid w:val="62B5CAAE"/>
    <w:rsid w:val="62D11592"/>
    <w:rsid w:val="62D14773"/>
    <w:rsid w:val="62E008BC"/>
    <w:rsid w:val="62F01DBF"/>
    <w:rsid w:val="63063461"/>
    <w:rsid w:val="631F3EAC"/>
    <w:rsid w:val="63369234"/>
    <w:rsid w:val="634F33CF"/>
    <w:rsid w:val="635C81EE"/>
    <w:rsid w:val="635E11C4"/>
    <w:rsid w:val="636B5016"/>
    <w:rsid w:val="636C0D83"/>
    <w:rsid w:val="637AA696"/>
    <w:rsid w:val="6383ACC5"/>
    <w:rsid w:val="6394865C"/>
    <w:rsid w:val="63B51C2C"/>
    <w:rsid w:val="641651DE"/>
    <w:rsid w:val="641BD5A6"/>
    <w:rsid w:val="6435FE3C"/>
    <w:rsid w:val="64364A4F"/>
    <w:rsid w:val="644E8173"/>
    <w:rsid w:val="64532E64"/>
    <w:rsid w:val="645911D8"/>
    <w:rsid w:val="645FDAF2"/>
    <w:rsid w:val="648C1BDC"/>
    <w:rsid w:val="64A5BD47"/>
    <w:rsid w:val="64AC5763"/>
    <w:rsid w:val="64AF3421"/>
    <w:rsid w:val="64D5AEE8"/>
    <w:rsid w:val="64F12A4B"/>
    <w:rsid w:val="64FCE5D6"/>
    <w:rsid w:val="65010E3B"/>
    <w:rsid w:val="650B88AF"/>
    <w:rsid w:val="65147BEB"/>
    <w:rsid w:val="651520C6"/>
    <w:rsid w:val="652AFED6"/>
    <w:rsid w:val="653C41E8"/>
    <w:rsid w:val="65443AA5"/>
    <w:rsid w:val="654A403E"/>
    <w:rsid w:val="654E238B"/>
    <w:rsid w:val="655239DF"/>
    <w:rsid w:val="657179AA"/>
    <w:rsid w:val="6580F070"/>
    <w:rsid w:val="658663D6"/>
    <w:rsid w:val="6589B49D"/>
    <w:rsid w:val="65B06207"/>
    <w:rsid w:val="65C9C2AD"/>
    <w:rsid w:val="65E45051"/>
    <w:rsid w:val="65EB6203"/>
    <w:rsid w:val="65F72346"/>
    <w:rsid w:val="66179356"/>
    <w:rsid w:val="6624109B"/>
    <w:rsid w:val="662F6E02"/>
    <w:rsid w:val="663DBA9B"/>
    <w:rsid w:val="663F417C"/>
    <w:rsid w:val="668FEA33"/>
    <w:rsid w:val="6698D543"/>
    <w:rsid w:val="66B4A0BC"/>
    <w:rsid w:val="66B5F64E"/>
    <w:rsid w:val="66BF2D0C"/>
    <w:rsid w:val="66C7B617"/>
    <w:rsid w:val="66D871F3"/>
    <w:rsid w:val="66D8DC92"/>
    <w:rsid w:val="66E26B13"/>
    <w:rsid w:val="66EC2AAB"/>
    <w:rsid w:val="66F470F1"/>
    <w:rsid w:val="66F80890"/>
    <w:rsid w:val="672B24D4"/>
    <w:rsid w:val="674BF10C"/>
    <w:rsid w:val="677CE7F9"/>
    <w:rsid w:val="678F96E0"/>
    <w:rsid w:val="67F3974B"/>
    <w:rsid w:val="680F763D"/>
    <w:rsid w:val="681C505E"/>
    <w:rsid w:val="6829AD92"/>
    <w:rsid w:val="68363AF2"/>
    <w:rsid w:val="68374574"/>
    <w:rsid w:val="683E85AD"/>
    <w:rsid w:val="684A7DC6"/>
    <w:rsid w:val="686B3171"/>
    <w:rsid w:val="68809844"/>
    <w:rsid w:val="68A2FD6E"/>
    <w:rsid w:val="68A7DF52"/>
    <w:rsid w:val="68B3844B"/>
    <w:rsid w:val="68B93EDF"/>
    <w:rsid w:val="68CA8FE1"/>
    <w:rsid w:val="69088039"/>
    <w:rsid w:val="6943D2EA"/>
    <w:rsid w:val="694B8982"/>
    <w:rsid w:val="69520ECC"/>
    <w:rsid w:val="6955F523"/>
    <w:rsid w:val="6974E6C0"/>
    <w:rsid w:val="698227E9"/>
    <w:rsid w:val="6987157F"/>
    <w:rsid w:val="69960B45"/>
    <w:rsid w:val="69B4803E"/>
    <w:rsid w:val="69C488A4"/>
    <w:rsid w:val="69D22961"/>
    <w:rsid w:val="69E7A2C3"/>
    <w:rsid w:val="69E98572"/>
    <w:rsid w:val="69EFBBA4"/>
    <w:rsid w:val="6A1A67B8"/>
    <w:rsid w:val="6A1E4D9C"/>
    <w:rsid w:val="6A249C81"/>
    <w:rsid w:val="6A376606"/>
    <w:rsid w:val="6A5EC233"/>
    <w:rsid w:val="6A7B4F4D"/>
    <w:rsid w:val="6A81143F"/>
    <w:rsid w:val="6AA7D5F4"/>
    <w:rsid w:val="6AAD5D8A"/>
    <w:rsid w:val="6AF07776"/>
    <w:rsid w:val="6B056563"/>
    <w:rsid w:val="6B196C6F"/>
    <w:rsid w:val="6B1C307C"/>
    <w:rsid w:val="6B242B41"/>
    <w:rsid w:val="6B317C1A"/>
    <w:rsid w:val="6B463D99"/>
    <w:rsid w:val="6B494CA6"/>
    <w:rsid w:val="6B60086E"/>
    <w:rsid w:val="6B6F6DE5"/>
    <w:rsid w:val="6B9932F7"/>
    <w:rsid w:val="6BA22B27"/>
    <w:rsid w:val="6BA6FEA1"/>
    <w:rsid w:val="6BACF064"/>
    <w:rsid w:val="6BB2A308"/>
    <w:rsid w:val="6BB7C91D"/>
    <w:rsid w:val="6BC5B18B"/>
    <w:rsid w:val="6BD001A7"/>
    <w:rsid w:val="6BD05023"/>
    <w:rsid w:val="6BD35528"/>
    <w:rsid w:val="6BDC891C"/>
    <w:rsid w:val="6BDF8014"/>
    <w:rsid w:val="6BE1C6FD"/>
    <w:rsid w:val="6BE710A4"/>
    <w:rsid w:val="6BEF1654"/>
    <w:rsid w:val="6C073448"/>
    <w:rsid w:val="6C0D3925"/>
    <w:rsid w:val="6C1D5BFF"/>
    <w:rsid w:val="6C3569C8"/>
    <w:rsid w:val="6C4C258E"/>
    <w:rsid w:val="6C7652AB"/>
    <w:rsid w:val="6CA34DA5"/>
    <w:rsid w:val="6CA502DE"/>
    <w:rsid w:val="6CB0B13C"/>
    <w:rsid w:val="6CB4DBF4"/>
    <w:rsid w:val="6CDCEEF9"/>
    <w:rsid w:val="6CDFD6A0"/>
    <w:rsid w:val="6CE86DEA"/>
    <w:rsid w:val="6CEF482E"/>
    <w:rsid w:val="6CF7B083"/>
    <w:rsid w:val="6D5F221F"/>
    <w:rsid w:val="6D692D06"/>
    <w:rsid w:val="6DA20A33"/>
    <w:rsid w:val="6DB2047E"/>
    <w:rsid w:val="6DB72902"/>
    <w:rsid w:val="6DE76341"/>
    <w:rsid w:val="6E3E1B50"/>
    <w:rsid w:val="6E509A60"/>
    <w:rsid w:val="6E6EF41E"/>
    <w:rsid w:val="6E7DEE46"/>
    <w:rsid w:val="6E814BF3"/>
    <w:rsid w:val="6EA04BF4"/>
    <w:rsid w:val="6EA89D26"/>
    <w:rsid w:val="6EC7344D"/>
    <w:rsid w:val="6ECEC269"/>
    <w:rsid w:val="6ECEEA06"/>
    <w:rsid w:val="6ED2259D"/>
    <w:rsid w:val="6EDC574B"/>
    <w:rsid w:val="6EE53E97"/>
    <w:rsid w:val="6EEAF9C7"/>
    <w:rsid w:val="6F078C3E"/>
    <w:rsid w:val="6F265A50"/>
    <w:rsid w:val="6F42E665"/>
    <w:rsid w:val="6F44426F"/>
    <w:rsid w:val="6F498EB4"/>
    <w:rsid w:val="6F4C505C"/>
    <w:rsid w:val="6F8E4E9A"/>
    <w:rsid w:val="6F95609C"/>
    <w:rsid w:val="6F9EB2CF"/>
    <w:rsid w:val="6FD84F5A"/>
    <w:rsid w:val="6FF5ACE3"/>
    <w:rsid w:val="6FF9C15B"/>
    <w:rsid w:val="70051ECA"/>
    <w:rsid w:val="7018ED74"/>
    <w:rsid w:val="702F350F"/>
    <w:rsid w:val="70607058"/>
    <w:rsid w:val="707D936D"/>
    <w:rsid w:val="70834D08"/>
    <w:rsid w:val="70A2EF38"/>
    <w:rsid w:val="70C257E7"/>
    <w:rsid w:val="70D77E3D"/>
    <w:rsid w:val="70F89B78"/>
    <w:rsid w:val="71031B79"/>
    <w:rsid w:val="7103CDD9"/>
    <w:rsid w:val="712A3C28"/>
    <w:rsid w:val="712DF68B"/>
    <w:rsid w:val="713837D7"/>
    <w:rsid w:val="71667493"/>
    <w:rsid w:val="717D52C8"/>
    <w:rsid w:val="71AA15DA"/>
    <w:rsid w:val="71C1FF77"/>
    <w:rsid w:val="71E8C2E6"/>
    <w:rsid w:val="72005E0E"/>
    <w:rsid w:val="7224C5FF"/>
    <w:rsid w:val="723CD77F"/>
    <w:rsid w:val="72602F02"/>
    <w:rsid w:val="7289C504"/>
    <w:rsid w:val="728CA8D1"/>
    <w:rsid w:val="72A2445E"/>
    <w:rsid w:val="72A8287B"/>
    <w:rsid w:val="72B319AF"/>
    <w:rsid w:val="72B98DAC"/>
    <w:rsid w:val="72C63B80"/>
    <w:rsid w:val="73333E6F"/>
    <w:rsid w:val="7334CE85"/>
    <w:rsid w:val="7336427C"/>
    <w:rsid w:val="734A1899"/>
    <w:rsid w:val="735E57DC"/>
    <w:rsid w:val="7363EE28"/>
    <w:rsid w:val="737DD3C2"/>
    <w:rsid w:val="73981FD3"/>
    <w:rsid w:val="73DE6664"/>
    <w:rsid w:val="73DE94AD"/>
    <w:rsid w:val="73FF2926"/>
    <w:rsid w:val="741B35B7"/>
    <w:rsid w:val="742EBCB3"/>
    <w:rsid w:val="7437F934"/>
    <w:rsid w:val="7478DD0A"/>
    <w:rsid w:val="747F6254"/>
    <w:rsid w:val="7482DF74"/>
    <w:rsid w:val="74909AD7"/>
    <w:rsid w:val="7494EBB4"/>
    <w:rsid w:val="749558CF"/>
    <w:rsid w:val="749807CF"/>
    <w:rsid w:val="74A3D7B6"/>
    <w:rsid w:val="74BAB9D6"/>
    <w:rsid w:val="74C49B40"/>
    <w:rsid w:val="74E8BB31"/>
    <w:rsid w:val="74E93A63"/>
    <w:rsid w:val="74F39F59"/>
    <w:rsid w:val="74F86F6A"/>
    <w:rsid w:val="7504F05B"/>
    <w:rsid w:val="7509D25E"/>
    <w:rsid w:val="75138FE9"/>
    <w:rsid w:val="75221968"/>
    <w:rsid w:val="75587694"/>
    <w:rsid w:val="757171CC"/>
    <w:rsid w:val="757F5AF7"/>
    <w:rsid w:val="75B5099E"/>
    <w:rsid w:val="75F21499"/>
    <w:rsid w:val="75F22D25"/>
    <w:rsid w:val="75F834FE"/>
    <w:rsid w:val="7609E292"/>
    <w:rsid w:val="76170BE7"/>
    <w:rsid w:val="762DE3D4"/>
    <w:rsid w:val="763518CC"/>
    <w:rsid w:val="763B6903"/>
    <w:rsid w:val="764BC60A"/>
    <w:rsid w:val="764EC313"/>
    <w:rsid w:val="7666DD3A"/>
    <w:rsid w:val="768FAD23"/>
    <w:rsid w:val="76A0DF0B"/>
    <w:rsid w:val="76DBD783"/>
    <w:rsid w:val="76E6E5BC"/>
    <w:rsid w:val="76FD1F3C"/>
    <w:rsid w:val="7737C978"/>
    <w:rsid w:val="7750D9FF"/>
    <w:rsid w:val="775C287D"/>
    <w:rsid w:val="7769EDAA"/>
    <w:rsid w:val="777B91FA"/>
    <w:rsid w:val="7787E19C"/>
    <w:rsid w:val="77899FF4"/>
    <w:rsid w:val="77DC7FCB"/>
    <w:rsid w:val="780389A2"/>
    <w:rsid w:val="78079909"/>
    <w:rsid w:val="783AC615"/>
    <w:rsid w:val="783CAF6C"/>
    <w:rsid w:val="783CF7E2"/>
    <w:rsid w:val="7840C53A"/>
    <w:rsid w:val="787D30E7"/>
    <w:rsid w:val="78969259"/>
    <w:rsid w:val="78A7E510"/>
    <w:rsid w:val="78AB2B8F"/>
    <w:rsid w:val="78C1AD0F"/>
    <w:rsid w:val="78C356EE"/>
    <w:rsid w:val="78F14396"/>
    <w:rsid w:val="791B06FF"/>
    <w:rsid w:val="795E0D08"/>
    <w:rsid w:val="7967C8D7"/>
    <w:rsid w:val="7970077C"/>
    <w:rsid w:val="79722CA4"/>
    <w:rsid w:val="797859E3"/>
    <w:rsid w:val="798366CC"/>
    <w:rsid w:val="7992A6DD"/>
    <w:rsid w:val="7996B0AB"/>
    <w:rsid w:val="79B71CCC"/>
    <w:rsid w:val="79C1317B"/>
    <w:rsid w:val="79CEAE27"/>
    <w:rsid w:val="79D87FCD"/>
    <w:rsid w:val="79E450B2"/>
    <w:rsid w:val="79F7E339"/>
    <w:rsid w:val="79FF5CDB"/>
    <w:rsid w:val="7A094F98"/>
    <w:rsid w:val="7A120650"/>
    <w:rsid w:val="7A4089F0"/>
    <w:rsid w:val="7A51D676"/>
    <w:rsid w:val="7A88E0FA"/>
    <w:rsid w:val="7A90951E"/>
    <w:rsid w:val="7AA6FFF3"/>
    <w:rsid w:val="7AC66EAD"/>
    <w:rsid w:val="7AEC3991"/>
    <w:rsid w:val="7AEEFB86"/>
    <w:rsid w:val="7B0BDE6C"/>
    <w:rsid w:val="7B1B2486"/>
    <w:rsid w:val="7B74E9A3"/>
    <w:rsid w:val="7B7AB809"/>
    <w:rsid w:val="7B92598E"/>
    <w:rsid w:val="7BB3CAFE"/>
    <w:rsid w:val="7BB8AD1D"/>
    <w:rsid w:val="7BDECB46"/>
    <w:rsid w:val="7C3A6574"/>
    <w:rsid w:val="7C44C91B"/>
    <w:rsid w:val="7C73918F"/>
    <w:rsid w:val="7C87498A"/>
    <w:rsid w:val="7CA5F5BA"/>
    <w:rsid w:val="7CB1B23E"/>
    <w:rsid w:val="7CEC90A7"/>
    <w:rsid w:val="7D02F46F"/>
    <w:rsid w:val="7D0F7064"/>
    <w:rsid w:val="7D157D64"/>
    <w:rsid w:val="7D240A36"/>
    <w:rsid w:val="7D384718"/>
    <w:rsid w:val="7D3B75E4"/>
    <w:rsid w:val="7D42466C"/>
    <w:rsid w:val="7D47914F"/>
    <w:rsid w:val="7D5D4565"/>
    <w:rsid w:val="7D683C62"/>
    <w:rsid w:val="7D7AC5D9"/>
    <w:rsid w:val="7D803968"/>
    <w:rsid w:val="7D858286"/>
    <w:rsid w:val="7D91F64D"/>
    <w:rsid w:val="7D985DAA"/>
    <w:rsid w:val="7DCE7B20"/>
    <w:rsid w:val="7DEC2295"/>
    <w:rsid w:val="7E0C2735"/>
    <w:rsid w:val="7E1CC05B"/>
    <w:rsid w:val="7E1D1CDC"/>
    <w:rsid w:val="7E241C85"/>
    <w:rsid w:val="7E2F2C3A"/>
    <w:rsid w:val="7E45C6CA"/>
    <w:rsid w:val="7E480DA0"/>
    <w:rsid w:val="7E53EDE7"/>
    <w:rsid w:val="7E571D68"/>
    <w:rsid w:val="7E59956A"/>
    <w:rsid w:val="7E67097B"/>
    <w:rsid w:val="7E679213"/>
    <w:rsid w:val="7E68DE88"/>
    <w:rsid w:val="7EC3BE36"/>
    <w:rsid w:val="7ED86A9D"/>
    <w:rsid w:val="7ED9D6F6"/>
    <w:rsid w:val="7EE21D74"/>
    <w:rsid w:val="7EE81860"/>
    <w:rsid w:val="7F21AA15"/>
    <w:rsid w:val="7F29B300"/>
    <w:rsid w:val="7F2CD8F8"/>
    <w:rsid w:val="7F464BD6"/>
    <w:rsid w:val="7F66A3E5"/>
    <w:rsid w:val="7F74DC37"/>
    <w:rsid w:val="7F7B7248"/>
    <w:rsid w:val="7FB2C8A9"/>
    <w:rsid w:val="7FC50A53"/>
    <w:rsid w:val="7FD2E70E"/>
    <w:rsid w:val="7FEACE6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1D17"/>
  <w15:chartTrackingRefBased/>
  <w15:docId w15:val="{65426C54-4D80-4720-9F2D-6ECCDC942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7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870BD2"/>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pre-wrap">
    <w:name w:val="whitespace-pre-wrap"/>
    <w:basedOn w:val="Normal"/>
    <w:rsid w:val="00B02B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semiHidden/>
    <w:unhideWhenUsed/>
    <w:rsid w:val="00CD6C10"/>
    <w:pPr>
      <w:spacing w:after="0" w:line="240" w:lineRule="auto"/>
    </w:pPr>
    <w:rPr>
      <w:rFonts w:ascii="Times New Roman" w:hAnsi="Times New Roman"/>
      <w:sz w:val="20"/>
      <w:szCs w:val="20"/>
    </w:rPr>
  </w:style>
  <w:style w:type="character" w:customStyle="1" w:styleId="FootnoteTextChar">
    <w:name w:val="Footnote Text Char"/>
    <w:aliases w:val="Fußnote Char1,Fußnote Char Char,Fußnote Char Char Char Char,Fußnotentext Char Char1,Fußnotentext Char1 Char1 Char,Fußnotentext Char Char Char Char Char,Fußnotentext Char1 Char Char Char Char1,Fußnotentext Char Char Char,Fußn Char"/>
    <w:basedOn w:val="DefaultParagraphFont"/>
    <w:link w:val="FootnoteText"/>
    <w:uiPriority w:val="99"/>
    <w:semiHidden/>
    <w:rsid w:val="00CD6C10"/>
    <w:rPr>
      <w:rFonts w:ascii="Times New Roman" w:hAnsi="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CD6C10"/>
    <w:rPr>
      <w:vertAlign w:val="superscript"/>
    </w:rPr>
  </w:style>
  <w:style w:type="paragraph" w:customStyle="1" w:styleId="CharCharCharChar">
    <w:name w:val="Char Char Char Char"/>
    <w:aliases w:val="Char2"/>
    <w:basedOn w:val="Normal"/>
    <w:next w:val="Normal"/>
    <w:link w:val="FootnoteReference"/>
    <w:uiPriority w:val="99"/>
    <w:rsid w:val="00CD6C10"/>
    <w:pPr>
      <w:spacing w:line="240" w:lineRule="exact"/>
      <w:jc w:val="both"/>
    </w:pPr>
    <w:rPr>
      <w:vertAlign w:val="superscript"/>
    </w:rPr>
  </w:style>
  <w:style w:type="paragraph" w:styleId="ListParagraph">
    <w:name w:val="List Paragraph"/>
    <w:aliases w:val="2,H&amp;P List Paragraph,Strip,Saraksta rindkopa,Saraksta rindkopa1,Akapit z listą BS,Numbered Para 1,Dot pt,No Spacing1,List Paragraph Char Char Char,Indicator Text,List Paragraph1,Bullet 1,Bullet Points,MAIN CONTENT,IFCL - List Paragraph"/>
    <w:basedOn w:val="Normal"/>
    <w:link w:val="ListParagraphChar"/>
    <w:uiPriority w:val="34"/>
    <w:qFormat/>
    <w:rsid w:val="003B6F30"/>
    <w:pPr>
      <w:ind w:left="720"/>
      <w:contextualSpacing/>
    </w:pPr>
  </w:style>
  <w:style w:type="character" w:customStyle="1" w:styleId="ListParagraphChar">
    <w:name w:val="List Paragraph Char"/>
    <w:aliases w:val="2 Char,H&amp;P List Paragraph Char,Strip Char,Saraksta rindkopa Char,Saraksta rindkopa1 Char,Akapit z listą BS Char,Numbered Para 1 Char,Dot pt Char,No Spacing1 Char,List Paragraph Char Char Char Char,Indicator Text Char,Bullet 1 Char"/>
    <w:link w:val="ListParagraph"/>
    <w:uiPriority w:val="34"/>
    <w:qFormat/>
    <w:locked/>
    <w:rsid w:val="003975FF"/>
  </w:style>
  <w:style w:type="character" w:customStyle="1" w:styleId="ui-provider">
    <w:name w:val="ui-provider"/>
    <w:basedOn w:val="DefaultParagraphFont"/>
    <w:rsid w:val="0061360D"/>
  </w:style>
  <w:style w:type="paragraph" w:styleId="Title">
    <w:name w:val="Title"/>
    <w:basedOn w:val="Normal"/>
    <w:next w:val="Normal"/>
    <w:link w:val="TitleChar"/>
    <w:uiPriority w:val="10"/>
    <w:qFormat/>
    <w:rsid w:val="003804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45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D7A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7AFE"/>
  </w:style>
  <w:style w:type="paragraph" w:styleId="Footer">
    <w:name w:val="footer"/>
    <w:basedOn w:val="Normal"/>
    <w:link w:val="FooterChar"/>
    <w:uiPriority w:val="99"/>
    <w:unhideWhenUsed/>
    <w:rsid w:val="00FD7A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7AFE"/>
  </w:style>
  <w:style w:type="table" w:styleId="TableGrid">
    <w:name w:val="Table Grid"/>
    <w:basedOn w:val="TableNormal"/>
    <w:uiPriority w:val="39"/>
    <w:rsid w:val="002418E7"/>
    <w:pPr>
      <w:spacing w:after="0" w:line="240" w:lineRule="auto"/>
    </w:pPr>
    <w:rPr>
      <w:rFonts w:ascii="Cambria" w:eastAsia="MS Mincho" w:hAnsi="Cambria"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5FEE"/>
    <w:rPr>
      <w:sz w:val="16"/>
      <w:szCs w:val="16"/>
    </w:rPr>
  </w:style>
  <w:style w:type="paragraph" w:styleId="CommentText">
    <w:name w:val="annotation text"/>
    <w:basedOn w:val="Normal"/>
    <w:link w:val="CommentTextChar"/>
    <w:uiPriority w:val="99"/>
    <w:unhideWhenUsed/>
    <w:rsid w:val="00735FEE"/>
    <w:pPr>
      <w:spacing w:line="240" w:lineRule="auto"/>
    </w:pPr>
    <w:rPr>
      <w:sz w:val="20"/>
      <w:szCs w:val="20"/>
    </w:rPr>
  </w:style>
  <w:style w:type="character" w:customStyle="1" w:styleId="CommentTextChar">
    <w:name w:val="Comment Text Char"/>
    <w:basedOn w:val="DefaultParagraphFont"/>
    <w:link w:val="CommentText"/>
    <w:uiPriority w:val="99"/>
    <w:rsid w:val="00735FEE"/>
    <w:rPr>
      <w:sz w:val="20"/>
      <w:szCs w:val="20"/>
    </w:rPr>
  </w:style>
  <w:style w:type="paragraph" w:styleId="CommentSubject">
    <w:name w:val="annotation subject"/>
    <w:basedOn w:val="CommentText"/>
    <w:next w:val="CommentText"/>
    <w:link w:val="CommentSubjectChar"/>
    <w:uiPriority w:val="99"/>
    <w:semiHidden/>
    <w:unhideWhenUsed/>
    <w:rsid w:val="00735FEE"/>
    <w:rPr>
      <w:b/>
      <w:bCs/>
    </w:rPr>
  </w:style>
  <w:style w:type="character" w:customStyle="1" w:styleId="CommentSubjectChar">
    <w:name w:val="Comment Subject Char"/>
    <w:basedOn w:val="CommentTextChar"/>
    <w:link w:val="CommentSubject"/>
    <w:uiPriority w:val="99"/>
    <w:semiHidden/>
    <w:rsid w:val="00735FEE"/>
    <w:rPr>
      <w:b/>
      <w:bCs/>
      <w:sz w:val="20"/>
      <w:szCs w:val="20"/>
    </w:rPr>
  </w:style>
  <w:style w:type="table" w:customStyle="1" w:styleId="TableGrid1">
    <w:name w:val="Table Grid1"/>
    <w:basedOn w:val="TableNormal"/>
    <w:next w:val="TableGrid"/>
    <w:uiPriority w:val="39"/>
    <w:rsid w:val="00B16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48B4"/>
    <w:rPr>
      <w:color w:val="0000FF"/>
      <w:u w:val="single"/>
    </w:rPr>
  </w:style>
  <w:style w:type="character" w:styleId="FollowedHyperlink">
    <w:name w:val="FollowedHyperlink"/>
    <w:basedOn w:val="DefaultParagraphFont"/>
    <w:uiPriority w:val="99"/>
    <w:semiHidden/>
    <w:unhideWhenUsed/>
    <w:rsid w:val="008B48B4"/>
    <w:rPr>
      <w:color w:val="954F72" w:themeColor="followedHyperlink"/>
      <w:u w:val="single"/>
    </w:rPr>
  </w:style>
  <w:style w:type="paragraph" w:styleId="EndnoteText">
    <w:name w:val="endnote text"/>
    <w:basedOn w:val="Normal"/>
    <w:link w:val="EndnoteTextChar"/>
    <w:uiPriority w:val="99"/>
    <w:semiHidden/>
    <w:unhideWhenUsed/>
    <w:rsid w:val="005C2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26C2"/>
    <w:rPr>
      <w:sz w:val="20"/>
      <w:szCs w:val="20"/>
    </w:rPr>
  </w:style>
  <w:style w:type="character" w:styleId="EndnoteReference">
    <w:name w:val="endnote reference"/>
    <w:basedOn w:val="DefaultParagraphFont"/>
    <w:uiPriority w:val="99"/>
    <w:semiHidden/>
    <w:unhideWhenUsed/>
    <w:rsid w:val="005C26C2"/>
    <w:rPr>
      <w:vertAlign w:val="superscript"/>
    </w:rPr>
  </w:style>
  <w:style w:type="character" w:styleId="UnresolvedMention">
    <w:name w:val="Unresolved Mention"/>
    <w:basedOn w:val="DefaultParagraphFont"/>
    <w:uiPriority w:val="99"/>
    <w:semiHidden/>
    <w:unhideWhenUsed/>
    <w:rsid w:val="003E50FB"/>
    <w:rPr>
      <w:color w:val="605E5C"/>
      <w:shd w:val="clear" w:color="auto" w:fill="E1DFDD"/>
    </w:rPr>
  </w:style>
  <w:style w:type="paragraph" w:styleId="Revision">
    <w:name w:val="Revision"/>
    <w:hidden/>
    <w:uiPriority w:val="99"/>
    <w:semiHidden/>
    <w:rsid w:val="00175F71"/>
    <w:pPr>
      <w:spacing w:after="0" w:line="240" w:lineRule="auto"/>
    </w:pPr>
  </w:style>
  <w:style w:type="character" w:customStyle="1" w:styleId="Heading1Char">
    <w:name w:val="Heading 1 Char"/>
    <w:basedOn w:val="DefaultParagraphFont"/>
    <w:link w:val="Heading1"/>
    <w:uiPriority w:val="9"/>
    <w:rsid w:val="00E357A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A269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712657"/>
    <w:rPr>
      <w:color w:val="2B579A"/>
      <w:shd w:val="clear" w:color="auto" w:fill="E1DFDD"/>
    </w:rPr>
  </w:style>
  <w:style w:type="character" w:customStyle="1" w:styleId="Heading4Char">
    <w:name w:val="Heading 4 Char"/>
    <w:basedOn w:val="DefaultParagraphFont"/>
    <w:link w:val="Heading4"/>
    <w:uiPriority w:val="9"/>
    <w:rsid w:val="00870BD2"/>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870BD2"/>
    <w:rPr>
      <w:b/>
      <w:bCs/>
    </w:rPr>
  </w:style>
  <w:style w:type="character" w:customStyle="1" w:styleId="normaltextrun">
    <w:name w:val="normaltextrun"/>
    <w:basedOn w:val="DefaultParagraphFont"/>
    <w:rsid w:val="00066C56"/>
  </w:style>
  <w:style w:type="character" w:styleId="Emphasis">
    <w:name w:val="Emphasis"/>
    <w:basedOn w:val="DefaultParagraphFont"/>
    <w:uiPriority w:val="20"/>
    <w:qFormat/>
    <w:rsid w:val="00715A0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70056">
      <w:bodyDiv w:val="1"/>
      <w:marLeft w:val="0"/>
      <w:marRight w:val="0"/>
      <w:marTop w:val="0"/>
      <w:marBottom w:val="0"/>
      <w:divBdr>
        <w:top w:val="none" w:sz="0" w:space="0" w:color="auto"/>
        <w:left w:val="none" w:sz="0" w:space="0" w:color="auto"/>
        <w:bottom w:val="none" w:sz="0" w:space="0" w:color="auto"/>
        <w:right w:val="none" w:sz="0" w:space="0" w:color="auto"/>
      </w:divBdr>
    </w:div>
    <w:div w:id="298539718">
      <w:bodyDiv w:val="1"/>
      <w:marLeft w:val="0"/>
      <w:marRight w:val="0"/>
      <w:marTop w:val="0"/>
      <w:marBottom w:val="0"/>
      <w:divBdr>
        <w:top w:val="none" w:sz="0" w:space="0" w:color="auto"/>
        <w:left w:val="none" w:sz="0" w:space="0" w:color="auto"/>
        <w:bottom w:val="none" w:sz="0" w:space="0" w:color="auto"/>
        <w:right w:val="none" w:sz="0" w:space="0" w:color="auto"/>
      </w:divBdr>
    </w:div>
    <w:div w:id="618688284">
      <w:bodyDiv w:val="1"/>
      <w:marLeft w:val="0"/>
      <w:marRight w:val="0"/>
      <w:marTop w:val="0"/>
      <w:marBottom w:val="0"/>
      <w:divBdr>
        <w:top w:val="none" w:sz="0" w:space="0" w:color="auto"/>
        <w:left w:val="none" w:sz="0" w:space="0" w:color="auto"/>
        <w:bottom w:val="none" w:sz="0" w:space="0" w:color="auto"/>
        <w:right w:val="none" w:sz="0" w:space="0" w:color="auto"/>
      </w:divBdr>
    </w:div>
    <w:div w:id="693992849">
      <w:bodyDiv w:val="1"/>
      <w:marLeft w:val="0"/>
      <w:marRight w:val="0"/>
      <w:marTop w:val="0"/>
      <w:marBottom w:val="0"/>
      <w:divBdr>
        <w:top w:val="none" w:sz="0" w:space="0" w:color="auto"/>
        <w:left w:val="none" w:sz="0" w:space="0" w:color="auto"/>
        <w:bottom w:val="none" w:sz="0" w:space="0" w:color="auto"/>
        <w:right w:val="none" w:sz="0" w:space="0" w:color="auto"/>
      </w:divBdr>
      <w:divsChild>
        <w:div w:id="1064912865">
          <w:marLeft w:val="0"/>
          <w:marRight w:val="0"/>
          <w:marTop w:val="0"/>
          <w:marBottom w:val="0"/>
          <w:divBdr>
            <w:top w:val="none" w:sz="0" w:space="0" w:color="auto"/>
            <w:left w:val="none" w:sz="0" w:space="0" w:color="auto"/>
            <w:bottom w:val="none" w:sz="0" w:space="0" w:color="auto"/>
            <w:right w:val="none" w:sz="0" w:space="0" w:color="auto"/>
          </w:divBdr>
          <w:divsChild>
            <w:div w:id="1735159300">
              <w:marLeft w:val="0"/>
              <w:marRight w:val="0"/>
              <w:marTop w:val="0"/>
              <w:marBottom w:val="0"/>
              <w:divBdr>
                <w:top w:val="none" w:sz="0" w:space="0" w:color="auto"/>
                <w:left w:val="none" w:sz="0" w:space="0" w:color="auto"/>
                <w:bottom w:val="none" w:sz="0" w:space="0" w:color="auto"/>
                <w:right w:val="none" w:sz="0" w:space="0" w:color="auto"/>
              </w:divBdr>
              <w:divsChild>
                <w:div w:id="6424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096">
      <w:bodyDiv w:val="1"/>
      <w:marLeft w:val="0"/>
      <w:marRight w:val="0"/>
      <w:marTop w:val="0"/>
      <w:marBottom w:val="0"/>
      <w:divBdr>
        <w:top w:val="none" w:sz="0" w:space="0" w:color="auto"/>
        <w:left w:val="none" w:sz="0" w:space="0" w:color="auto"/>
        <w:bottom w:val="none" w:sz="0" w:space="0" w:color="auto"/>
        <w:right w:val="none" w:sz="0" w:space="0" w:color="auto"/>
      </w:divBdr>
    </w:div>
    <w:div w:id="878518108">
      <w:bodyDiv w:val="1"/>
      <w:marLeft w:val="0"/>
      <w:marRight w:val="0"/>
      <w:marTop w:val="0"/>
      <w:marBottom w:val="0"/>
      <w:divBdr>
        <w:top w:val="none" w:sz="0" w:space="0" w:color="auto"/>
        <w:left w:val="none" w:sz="0" w:space="0" w:color="auto"/>
        <w:bottom w:val="none" w:sz="0" w:space="0" w:color="auto"/>
        <w:right w:val="none" w:sz="0" w:space="0" w:color="auto"/>
      </w:divBdr>
    </w:div>
    <w:div w:id="1122193001">
      <w:bodyDiv w:val="1"/>
      <w:marLeft w:val="0"/>
      <w:marRight w:val="0"/>
      <w:marTop w:val="0"/>
      <w:marBottom w:val="0"/>
      <w:divBdr>
        <w:top w:val="none" w:sz="0" w:space="0" w:color="auto"/>
        <w:left w:val="none" w:sz="0" w:space="0" w:color="auto"/>
        <w:bottom w:val="none" w:sz="0" w:space="0" w:color="auto"/>
        <w:right w:val="none" w:sz="0" w:space="0" w:color="auto"/>
      </w:divBdr>
      <w:divsChild>
        <w:div w:id="617370834">
          <w:marLeft w:val="0"/>
          <w:marRight w:val="0"/>
          <w:marTop w:val="0"/>
          <w:marBottom w:val="0"/>
          <w:divBdr>
            <w:top w:val="none" w:sz="0" w:space="0" w:color="auto"/>
            <w:left w:val="none" w:sz="0" w:space="0" w:color="auto"/>
            <w:bottom w:val="none" w:sz="0" w:space="0" w:color="auto"/>
            <w:right w:val="none" w:sz="0" w:space="0" w:color="auto"/>
          </w:divBdr>
        </w:div>
        <w:div w:id="681051051">
          <w:marLeft w:val="0"/>
          <w:marRight w:val="0"/>
          <w:marTop w:val="0"/>
          <w:marBottom w:val="0"/>
          <w:divBdr>
            <w:top w:val="none" w:sz="0" w:space="0" w:color="auto"/>
            <w:left w:val="none" w:sz="0" w:space="0" w:color="auto"/>
            <w:bottom w:val="none" w:sz="0" w:space="0" w:color="auto"/>
            <w:right w:val="none" w:sz="0" w:space="0" w:color="auto"/>
          </w:divBdr>
        </w:div>
        <w:div w:id="740062245">
          <w:marLeft w:val="0"/>
          <w:marRight w:val="0"/>
          <w:marTop w:val="0"/>
          <w:marBottom w:val="0"/>
          <w:divBdr>
            <w:top w:val="none" w:sz="0" w:space="0" w:color="auto"/>
            <w:left w:val="none" w:sz="0" w:space="0" w:color="auto"/>
            <w:bottom w:val="none" w:sz="0" w:space="0" w:color="auto"/>
            <w:right w:val="none" w:sz="0" w:space="0" w:color="auto"/>
          </w:divBdr>
        </w:div>
        <w:div w:id="1291327094">
          <w:marLeft w:val="0"/>
          <w:marRight w:val="0"/>
          <w:marTop w:val="0"/>
          <w:marBottom w:val="0"/>
          <w:divBdr>
            <w:top w:val="none" w:sz="0" w:space="0" w:color="auto"/>
            <w:left w:val="none" w:sz="0" w:space="0" w:color="auto"/>
            <w:bottom w:val="none" w:sz="0" w:space="0" w:color="auto"/>
            <w:right w:val="none" w:sz="0" w:space="0" w:color="auto"/>
          </w:divBdr>
        </w:div>
      </w:divsChild>
    </w:div>
    <w:div w:id="1259828290">
      <w:bodyDiv w:val="1"/>
      <w:marLeft w:val="0"/>
      <w:marRight w:val="0"/>
      <w:marTop w:val="0"/>
      <w:marBottom w:val="0"/>
      <w:divBdr>
        <w:top w:val="none" w:sz="0" w:space="0" w:color="auto"/>
        <w:left w:val="none" w:sz="0" w:space="0" w:color="auto"/>
        <w:bottom w:val="none" w:sz="0" w:space="0" w:color="auto"/>
        <w:right w:val="none" w:sz="0" w:space="0" w:color="auto"/>
      </w:divBdr>
    </w:div>
    <w:div w:id="1631982839">
      <w:bodyDiv w:val="1"/>
      <w:marLeft w:val="0"/>
      <w:marRight w:val="0"/>
      <w:marTop w:val="0"/>
      <w:marBottom w:val="0"/>
      <w:divBdr>
        <w:top w:val="none" w:sz="0" w:space="0" w:color="auto"/>
        <w:left w:val="none" w:sz="0" w:space="0" w:color="auto"/>
        <w:bottom w:val="none" w:sz="0" w:space="0" w:color="auto"/>
        <w:right w:val="none" w:sz="0" w:space="0" w:color="auto"/>
      </w:divBdr>
    </w:div>
    <w:div w:id="2034186396">
      <w:bodyDiv w:val="1"/>
      <w:marLeft w:val="0"/>
      <w:marRight w:val="0"/>
      <w:marTop w:val="0"/>
      <w:marBottom w:val="0"/>
      <w:divBdr>
        <w:top w:val="none" w:sz="0" w:space="0" w:color="auto"/>
        <w:left w:val="none" w:sz="0" w:space="0" w:color="auto"/>
        <w:bottom w:val="none" w:sz="0" w:space="0" w:color="auto"/>
        <w:right w:val="none" w:sz="0" w:space="0" w:color="auto"/>
      </w:divBdr>
    </w:div>
    <w:div w:id="207816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chart" Target="charts/chart5.xml"/><Relationship Id="rId39" Type="http://schemas.openxmlformats.org/officeDocument/2006/relationships/footer" Target="footer1.xml"/><Relationship Id="rId21" Type="http://schemas.openxmlformats.org/officeDocument/2006/relationships/image" Target="media/image10.png"/><Relationship Id="rId34" Type="http://schemas.openxmlformats.org/officeDocument/2006/relationships/chart" Target="charts/chart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chart" Target="charts/chart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chart" Target="charts/chart16.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chart" Target="charts/chart15.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chart" Target="charts/chart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580927384077"/>
          <c:y val="6.2465368912219307E-2"/>
          <c:w val="0.86486351706036746"/>
          <c:h val="0.7260954359871683"/>
        </c:manualLayout>
      </c:layout>
      <c:lineChart>
        <c:grouping val="standard"/>
        <c:varyColors val="0"/>
        <c:ser>
          <c:idx val="0"/>
          <c:order val="0"/>
          <c:tx>
            <c:strRef>
              <c:f>grafiki!$B$13</c:f>
              <c:strCache>
                <c:ptCount val="1"/>
                <c:pt idx="0">
                  <c:v>Igaunija</c:v>
                </c:pt>
              </c:strCache>
            </c:strRef>
          </c:tx>
          <c:spPr>
            <a:ln w="28575" cap="rnd">
              <a:solidFill>
                <a:schemeClr val="accent1"/>
              </a:solidFill>
              <a:round/>
            </a:ln>
            <a:effectLst/>
          </c:spPr>
          <c:marker>
            <c:symbol val="none"/>
          </c:marker>
          <c:cat>
            <c:numRef>
              <c:f>grafiki!$C$2:$O$2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grafiki!$C$13:$O$13</c:f>
              <c:numCache>
                <c:formatCode>General</c:formatCode>
                <c:ptCount val="13"/>
                <c:pt idx="0">
                  <c:v>13731</c:v>
                </c:pt>
                <c:pt idx="1">
                  <c:v>13024</c:v>
                </c:pt>
                <c:pt idx="2">
                  <c:v>13066</c:v>
                </c:pt>
                <c:pt idx="3">
                  <c:v>13164</c:v>
                </c:pt>
                <c:pt idx="4">
                  <c:v>13593</c:v>
                </c:pt>
                <c:pt idx="5">
                  <c:v>14263</c:v>
                </c:pt>
                <c:pt idx="6">
                  <c:v>15222</c:v>
                </c:pt>
                <c:pt idx="7">
                  <c:v>15347</c:v>
                </c:pt>
                <c:pt idx="8">
                  <c:v>16157</c:v>
                </c:pt>
                <c:pt idx="9">
                  <c:v>16707</c:v>
                </c:pt>
                <c:pt idx="10">
                  <c:v>17509</c:v>
                </c:pt>
                <c:pt idx="11">
                  <c:v>18801</c:v>
                </c:pt>
                <c:pt idx="12">
                  <c:v>23074</c:v>
                </c:pt>
              </c:numCache>
            </c:numRef>
          </c:val>
          <c:smooth val="0"/>
          <c:extLst>
            <c:ext xmlns:c16="http://schemas.microsoft.com/office/drawing/2014/chart" uri="{C3380CC4-5D6E-409C-BE32-E72D297353CC}">
              <c16:uniqueId val="{00000000-B338-43CB-950A-D14D84D4D07E}"/>
            </c:ext>
          </c:extLst>
        </c:ser>
        <c:ser>
          <c:idx val="1"/>
          <c:order val="1"/>
          <c:tx>
            <c:strRef>
              <c:f>grafiki!$B$14</c:f>
              <c:strCache>
                <c:ptCount val="1"/>
                <c:pt idx="0">
                  <c:v>Latvija</c:v>
                </c:pt>
              </c:strCache>
            </c:strRef>
          </c:tx>
          <c:spPr>
            <a:ln w="28575" cap="rnd">
              <a:solidFill>
                <a:srgbClr val="C00000"/>
              </a:solidFill>
              <a:round/>
            </a:ln>
            <a:effectLst/>
          </c:spPr>
          <c:marker>
            <c:symbol val="none"/>
          </c:marker>
          <c:cat>
            <c:numRef>
              <c:f>grafiki!$C$2:$O$2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grafiki!$C$14:$O$14</c:f>
              <c:numCache>
                <c:formatCode>General</c:formatCode>
                <c:ptCount val="13"/>
                <c:pt idx="0">
                  <c:v>17546</c:v>
                </c:pt>
                <c:pt idx="1">
                  <c:v>16194</c:v>
                </c:pt>
                <c:pt idx="2">
                  <c:v>14495</c:v>
                </c:pt>
                <c:pt idx="3">
                  <c:v>13579</c:v>
                </c:pt>
                <c:pt idx="4">
                  <c:v>12374</c:v>
                </c:pt>
                <c:pt idx="5">
                  <c:v>12138</c:v>
                </c:pt>
                <c:pt idx="6">
                  <c:v>12324</c:v>
                </c:pt>
                <c:pt idx="7">
                  <c:v>11740</c:v>
                </c:pt>
                <c:pt idx="8">
                  <c:v>11080</c:v>
                </c:pt>
                <c:pt idx="9">
                  <c:v>10917</c:v>
                </c:pt>
                <c:pt idx="10">
                  <c:v>10503</c:v>
                </c:pt>
                <c:pt idx="11">
                  <c:v>10799</c:v>
                </c:pt>
                <c:pt idx="12">
                  <c:v>11302</c:v>
                </c:pt>
              </c:numCache>
            </c:numRef>
          </c:val>
          <c:smooth val="0"/>
          <c:extLst>
            <c:ext xmlns:c16="http://schemas.microsoft.com/office/drawing/2014/chart" uri="{C3380CC4-5D6E-409C-BE32-E72D297353CC}">
              <c16:uniqueId val="{00000001-B338-43CB-950A-D14D84D4D07E}"/>
            </c:ext>
          </c:extLst>
        </c:ser>
        <c:ser>
          <c:idx val="2"/>
          <c:order val="2"/>
          <c:tx>
            <c:strRef>
              <c:f>grafiki!$B$15</c:f>
              <c:strCache>
                <c:ptCount val="1"/>
                <c:pt idx="0">
                  <c:v>Lietuva</c:v>
                </c:pt>
              </c:strCache>
            </c:strRef>
          </c:tx>
          <c:spPr>
            <a:ln w="28575" cap="rnd">
              <a:solidFill>
                <a:schemeClr val="accent3"/>
              </a:solidFill>
              <a:round/>
            </a:ln>
            <a:effectLst/>
          </c:spPr>
          <c:marker>
            <c:symbol val="none"/>
          </c:marker>
          <c:cat>
            <c:numRef>
              <c:f>grafiki!$C$2:$O$2</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grafiki!$C$15:$O$15</c:f>
              <c:numCache>
                <c:formatCode>General</c:formatCode>
                <c:ptCount val="13"/>
                <c:pt idx="0">
                  <c:v>16513</c:v>
                </c:pt>
                <c:pt idx="1">
                  <c:v>15448</c:v>
                </c:pt>
                <c:pt idx="2">
                  <c:v>15318</c:v>
                </c:pt>
                <c:pt idx="3">
                  <c:v>14963</c:v>
                </c:pt>
                <c:pt idx="4">
                  <c:v>14825</c:v>
                </c:pt>
                <c:pt idx="5">
                  <c:v>15464</c:v>
                </c:pt>
                <c:pt idx="6">
                  <c:v>16602</c:v>
                </c:pt>
                <c:pt idx="7">
                  <c:v>17338</c:v>
                </c:pt>
                <c:pt idx="8">
                  <c:v>18416</c:v>
                </c:pt>
                <c:pt idx="9">
                  <c:v>19364</c:v>
                </c:pt>
                <c:pt idx="10">
                  <c:v>18727</c:v>
                </c:pt>
                <c:pt idx="11">
                  <c:v>21095</c:v>
                </c:pt>
                <c:pt idx="12">
                  <c:v>27650</c:v>
                </c:pt>
              </c:numCache>
            </c:numRef>
          </c:val>
          <c:smooth val="0"/>
          <c:extLst>
            <c:ext xmlns:c16="http://schemas.microsoft.com/office/drawing/2014/chart" uri="{C3380CC4-5D6E-409C-BE32-E72D297353CC}">
              <c16:uniqueId val="{00000002-B338-43CB-950A-D14D84D4D07E}"/>
            </c:ext>
          </c:extLst>
        </c:ser>
        <c:dLbls>
          <c:showLegendKey val="0"/>
          <c:showVal val="0"/>
          <c:showCatName val="0"/>
          <c:showSerName val="0"/>
          <c:showPercent val="0"/>
          <c:showBubbleSize val="0"/>
        </c:dLbls>
        <c:smooth val="0"/>
        <c:axId val="1702569440"/>
        <c:axId val="1702572768"/>
      </c:lineChart>
      <c:catAx>
        <c:axId val="1702569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lv-LV"/>
          </a:p>
        </c:txPr>
        <c:crossAx val="1702572768"/>
        <c:crosses val="autoZero"/>
        <c:auto val="1"/>
        <c:lblAlgn val="ctr"/>
        <c:lblOffset val="100"/>
        <c:noMultiLvlLbl val="0"/>
      </c:catAx>
      <c:valAx>
        <c:axId val="17025727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lv-LV"/>
          </a:p>
        </c:txPr>
        <c:crossAx val="1702569440"/>
        <c:crosses val="autoZero"/>
        <c:crossBetween val="between"/>
      </c:valAx>
      <c:spPr>
        <a:noFill/>
        <a:ln>
          <a:noFill/>
        </a:ln>
        <a:effectLst/>
      </c:spPr>
    </c:plotArea>
    <c:legend>
      <c:legendPos val="b"/>
      <c:layout>
        <c:manualLayout>
          <c:xMode val="edge"/>
          <c:yMode val="edge"/>
          <c:x val="0.25769908890345333"/>
          <c:y val="0.89115288334622922"/>
          <c:w val="0.48460163757373237"/>
          <c:h val="9.7286423012152387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Verdana" panose="020B0604030504040204" pitchFamily="34" charset="0"/>
          <a:ea typeface="Verdana" panose="020B0604030504040204" pitchFamily="34" charset="0"/>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Sheet2!$B$4</c:f>
              <c:strCache>
                <c:ptCount val="1"/>
                <c:pt idx="0">
                  <c:v>gadi</c:v>
                </c:pt>
              </c:strCache>
            </c:strRef>
          </c:tx>
          <c:spPr>
            <a:solidFill>
              <a:schemeClr val="accent1">
                <a:lumMod val="40000"/>
                <a:lumOff val="60000"/>
              </a:schemeClr>
            </a:solidFill>
            <a:ln>
              <a:noFill/>
            </a:ln>
            <a:effectLst/>
          </c:spPr>
          <c:invertIfNegative val="0"/>
          <c:dLbls>
            <c:dLbl>
              <c:idx val="3"/>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extLst>
                <c:ext xmlns:c15="http://schemas.microsoft.com/office/drawing/2012/chart" uri="{CE6537A1-D6FC-4f65-9D91-7224C49458BB}">
                  <c15:layout>
                    <c:manualLayout>
                      <c:w val="6.2097845580149857E-2"/>
                      <c:h val="9.1245089399494564E-2"/>
                    </c:manualLayout>
                  </c15:layout>
                </c:ext>
                <c:ext xmlns:c16="http://schemas.microsoft.com/office/drawing/2014/chart" uri="{C3380CC4-5D6E-409C-BE32-E72D297353CC}">
                  <c16:uniqueId val="{00000000-EC16-4D8A-B32A-F58C50D269B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Sheet2!$C$3:$F$3</c:f>
              <c:numCache>
                <c:formatCode>General</c:formatCode>
                <c:ptCount val="4"/>
                <c:pt idx="0">
                  <c:v>2019</c:v>
                </c:pt>
                <c:pt idx="1">
                  <c:v>2020</c:v>
                </c:pt>
                <c:pt idx="2">
                  <c:v>2021</c:v>
                </c:pt>
                <c:pt idx="3">
                  <c:v>2022</c:v>
                </c:pt>
              </c:numCache>
            </c:numRef>
          </c:cat>
          <c:val>
            <c:numRef>
              <c:f>Sheet2!$C$4:$F$4</c:f>
              <c:numCache>
                <c:formatCode>General</c:formatCode>
                <c:ptCount val="4"/>
                <c:pt idx="0">
                  <c:v>13.5</c:v>
                </c:pt>
                <c:pt idx="1">
                  <c:v>12.9</c:v>
                </c:pt>
                <c:pt idx="2">
                  <c:v>14.4</c:v>
                </c:pt>
                <c:pt idx="3">
                  <c:v>15.4</c:v>
                </c:pt>
              </c:numCache>
            </c:numRef>
          </c:val>
          <c:extLst>
            <c:ext xmlns:c16="http://schemas.microsoft.com/office/drawing/2014/chart" uri="{C3380CC4-5D6E-409C-BE32-E72D297353CC}">
              <c16:uniqueId val="{00000001-EC16-4D8A-B32A-F58C50D269B1}"/>
            </c:ext>
          </c:extLst>
        </c:ser>
        <c:dLbls>
          <c:dLblPos val="ctr"/>
          <c:showLegendKey val="0"/>
          <c:showVal val="1"/>
          <c:showCatName val="0"/>
          <c:showSerName val="0"/>
          <c:showPercent val="0"/>
          <c:showBubbleSize val="0"/>
        </c:dLbls>
        <c:gapWidth val="79"/>
        <c:overlap val="100"/>
        <c:axId val="352130031"/>
        <c:axId val="352128783"/>
      </c:barChart>
      <c:catAx>
        <c:axId val="3521300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solidFill>
                <a:latin typeface="+mn-lt"/>
                <a:ea typeface="+mn-ea"/>
                <a:cs typeface="+mn-cs"/>
              </a:defRPr>
            </a:pPr>
            <a:endParaRPr lang="lv-LV"/>
          </a:p>
        </c:txPr>
        <c:crossAx val="352128783"/>
        <c:crosses val="autoZero"/>
        <c:auto val="1"/>
        <c:lblAlgn val="ctr"/>
        <c:lblOffset val="100"/>
        <c:noMultiLvlLbl val="0"/>
      </c:catAx>
      <c:valAx>
        <c:axId val="352128783"/>
        <c:scaling>
          <c:orientation val="minMax"/>
        </c:scaling>
        <c:delete val="1"/>
        <c:axPos val="l"/>
        <c:numFmt formatCode="General" sourceLinked="1"/>
        <c:majorTickMark val="none"/>
        <c:minorTickMark val="none"/>
        <c:tickLblPos val="nextTo"/>
        <c:crossAx val="3521300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380158730158727E-2"/>
          <c:y val="5.2489536091269294E-2"/>
          <c:w val="0.93816626984126983"/>
          <c:h val="0.77752434557124417"/>
        </c:manualLayout>
      </c:layout>
      <c:barChart>
        <c:barDir val="col"/>
        <c:grouping val="stacked"/>
        <c:varyColors val="0"/>
        <c:ser>
          <c:idx val="0"/>
          <c:order val="0"/>
          <c:tx>
            <c:strRef>
              <c:f>Sheet1!$B$1</c:f>
              <c:strCache>
                <c:ptCount val="1"/>
                <c:pt idx="0">
                  <c:v>Privātās investīcijas (%)</c:v>
                </c:pt>
              </c:strCache>
            </c:strRef>
          </c:tx>
          <c:spPr>
            <a:solidFill>
              <a:schemeClr val="tx2">
                <a:lumMod val="25000"/>
                <a:lumOff val="75000"/>
              </a:schemeClr>
            </a:solidFill>
            <a:ln w="6350">
              <a:solidFill>
                <a:schemeClr val="tx1"/>
              </a:solid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ysClr val="windowText" lastClr="000000"/>
                    </a:solidFill>
                    <a:latin typeface="+mn-lt"/>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Sheet1!$A$2:$A$27</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Sheet1!$B$2:$B$27</c:f>
              <c:numCache>
                <c:formatCode>0.0</c:formatCode>
                <c:ptCount val="26"/>
                <c:pt idx="0">
                  <c:v>15.238563068642947</c:v>
                </c:pt>
                <c:pt idx="1">
                  <c:v>16.000741289844331</c:v>
                </c:pt>
                <c:pt idx="2">
                  <c:v>22.187307762648178</c:v>
                </c:pt>
                <c:pt idx="3">
                  <c:v>21.047093709147717</c:v>
                </c:pt>
                <c:pt idx="4">
                  <c:v>23.178277644318264</c:v>
                </c:pt>
                <c:pt idx="5">
                  <c:v>25.608352295542762</c:v>
                </c:pt>
                <c:pt idx="6">
                  <c:v>22.727921583555389</c:v>
                </c:pt>
                <c:pt idx="7">
                  <c:v>21.789005202783176</c:v>
                </c:pt>
                <c:pt idx="8">
                  <c:v>24.915515423504282</c:v>
                </c:pt>
                <c:pt idx="9">
                  <c:v>27.462433118874564</c:v>
                </c:pt>
                <c:pt idx="10">
                  <c:v>28.88372093023256</c:v>
                </c:pt>
                <c:pt idx="11">
                  <c:v>30.175565323866493</c:v>
                </c:pt>
                <c:pt idx="12">
                  <c:v>26.472710668259413</c:v>
                </c:pt>
                <c:pt idx="13">
                  <c:v>17.161052631578951</c:v>
                </c:pt>
                <c:pt idx="14">
                  <c:v>14.213290579389648</c:v>
                </c:pt>
                <c:pt idx="15">
                  <c:v>17.603902083607405</c:v>
                </c:pt>
                <c:pt idx="16">
                  <c:v>20.770827156833676</c:v>
                </c:pt>
                <c:pt idx="17">
                  <c:v>19.618884346564684</c:v>
                </c:pt>
                <c:pt idx="18">
                  <c:v>18.175045924370817</c:v>
                </c:pt>
                <c:pt idx="19">
                  <c:v>17.051859629417105</c:v>
                </c:pt>
                <c:pt idx="20">
                  <c:v>15.745350060895577</c:v>
                </c:pt>
                <c:pt idx="21">
                  <c:v>15.978861860927054</c:v>
                </c:pt>
                <c:pt idx="22">
                  <c:v>16.495389934690742</c:v>
                </c:pt>
                <c:pt idx="23">
                  <c:v>18.083941248948779</c:v>
                </c:pt>
                <c:pt idx="24">
                  <c:v>17.5599128540305</c:v>
                </c:pt>
                <c:pt idx="25">
                  <c:v>17.209028564294186</c:v>
                </c:pt>
              </c:numCache>
            </c:numRef>
          </c:val>
          <c:extLst>
            <c:ext xmlns:c16="http://schemas.microsoft.com/office/drawing/2014/chart" uri="{C3380CC4-5D6E-409C-BE32-E72D297353CC}">
              <c16:uniqueId val="{00000000-76F6-440A-9EE9-C4B26BF27BBA}"/>
            </c:ext>
          </c:extLst>
        </c:ser>
        <c:ser>
          <c:idx val="1"/>
          <c:order val="1"/>
          <c:tx>
            <c:strRef>
              <c:f>Sheet1!$C$1</c:f>
              <c:strCache>
                <c:ptCount val="1"/>
                <c:pt idx="0">
                  <c:v>Valsts investīcijas (%)</c:v>
                </c:pt>
              </c:strCache>
            </c:strRef>
          </c:tx>
          <c:spPr>
            <a:solidFill>
              <a:srgbClr val="C00000"/>
            </a:solidFill>
            <a:ln w="0">
              <a:solidFill>
                <a:schemeClr val="tx1"/>
              </a:solidFill>
            </a:ln>
            <a:effectLst/>
          </c:spPr>
          <c:invertIfNegative val="0"/>
          <c:dLbls>
            <c:spPr>
              <a:noFill/>
              <a:ln>
                <a:noFill/>
              </a:ln>
              <a:effectLst/>
            </c:spPr>
            <c:txPr>
              <a:bodyPr rot="-5400000" spcFirstLastPara="1" vertOverflow="ellipsis" wrap="square" anchor="ctr" anchorCtr="1"/>
              <a:lstStyle/>
              <a:p>
                <a:pPr>
                  <a:defRPr sz="600" b="0" i="0" u="none" strike="noStrike" kern="1200" baseline="0">
                    <a:solidFill>
                      <a:schemeClr val="bg1"/>
                    </a:solidFill>
                    <a:latin typeface="+mn-lt"/>
                    <a:ea typeface="+mn-ea"/>
                    <a:cs typeface="Segoe UI" panose="020B0502040204020203"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Sheet1!$A$2:$A$27</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Sheet1!$C$2:$C$27</c:f>
              <c:numCache>
                <c:formatCode>0.0</c:formatCode>
                <c:ptCount val="26"/>
                <c:pt idx="0">
                  <c:v>2.53086156080475</c:v>
                </c:pt>
                <c:pt idx="1">
                  <c:v>1.5993328391401038</c:v>
                </c:pt>
                <c:pt idx="2">
                  <c:v>1.607727733719055</c:v>
                </c:pt>
                <c:pt idx="3">
                  <c:v>1.7998915920033161</c:v>
                </c:pt>
                <c:pt idx="4">
                  <c:v>1.8009754677149306</c:v>
                </c:pt>
                <c:pt idx="5">
                  <c:v>1.5084995315218845</c:v>
                </c:pt>
                <c:pt idx="6">
                  <c:v>1.5773696231442709</c:v>
                </c:pt>
                <c:pt idx="7">
                  <c:v>2.8949622850456556</c:v>
                </c:pt>
                <c:pt idx="8">
                  <c:v>3.6848792884371027</c:v>
                </c:pt>
                <c:pt idx="9">
                  <c:v>3.5528424935772165</c:v>
                </c:pt>
                <c:pt idx="10">
                  <c:v>4.9715116279069775</c:v>
                </c:pt>
                <c:pt idx="11">
                  <c:v>6.0196971432095072</c:v>
                </c:pt>
                <c:pt idx="12">
                  <c:v>5.3881498212239931</c:v>
                </c:pt>
                <c:pt idx="13">
                  <c:v>5.0642105263157902</c:v>
                </c:pt>
                <c:pt idx="14">
                  <c:v>4.8385670057496686</c:v>
                </c:pt>
                <c:pt idx="15">
                  <c:v>5.3957234944696877</c:v>
                </c:pt>
                <c:pt idx="16">
                  <c:v>5.2548518780359865</c:v>
                </c:pt>
                <c:pt idx="17">
                  <c:v>4.6577871554793617</c:v>
                </c:pt>
                <c:pt idx="18">
                  <c:v>4.6216424417374231</c:v>
                </c:pt>
                <c:pt idx="19">
                  <c:v>4.8111476023620288</c:v>
                </c:pt>
                <c:pt idx="20">
                  <c:v>3.562686973075877</c:v>
                </c:pt>
                <c:pt idx="21">
                  <c:v>4.6204473695913189</c:v>
                </c:pt>
                <c:pt idx="22">
                  <c:v>5.6229762362109659</c:v>
                </c:pt>
                <c:pt idx="23">
                  <c:v>5.0641163547228363</c:v>
                </c:pt>
                <c:pt idx="24">
                  <c:v>5.5552254571862418</c:v>
                </c:pt>
                <c:pt idx="25">
                  <c:v>5.0847356858968062</c:v>
                </c:pt>
              </c:numCache>
            </c:numRef>
          </c:val>
          <c:extLst>
            <c:ext xmlns:c16="http://schemas.microsoft.com/office/drawing/2014/chart" uri="{C3380CC4-5D6E-409C-BE32-E72D297353CC}">
              <c16:uniqueId val="{00000001-76F6-440A-9EE9-C4B26BF27BBA}"/>
            </c:ext>
          </c:extLst>
        </c:ser>
        <c:dLbls>
          <c:showLegendKey val="0"/>
          <c:showVal val="0"/>
          <c:showCatName val="0"/>
          <c:showSerName val="0"/>
          <c:showPercent val="0"/>
          <c:showBubbleSize val="0"/>
        </c:dLbls>
        <c:gapWidth val="55"/>
        <c:overlap val="100"/>
        <c:axId val="686959256"/>
        <c:axId val="686955648"/>
      </c:barChart>
      <c:catAx>
        <c:axId val="686959256"/>
        <c:scaling>
          <c:orientation val="minMax"/>
        </c:scaling>
        <c:delete val="0"/>
        <c:axPos val="b"/>
        <c:numFmt formatCode="General" sourceLinked="1"/>
        <c:majorTickMark val="none"/>
        <c:minorTickMark val="none"/>
        <c:tickLblPos val="low"/>
        <c:spPr>
          <a:noFill/>
          <a:ln w="6350" cap="flat" cmpd="sng" algn="ctr">
            <a:solidFill>
              <a:schemeClr val="bg1">
                <a:lumMod val="65000"/>
              </a:schemeClr>
            </a:solidFill>
            <a:round/>
          </a:ln>
          <a:effectLst/>
        </c:spPr>
        <c:txPr>
          <a:bodyPr rot="-5400000" spcFirstLastPara="1" vertOverflow="ellipsis" wrap="square" anchor="ctr" anchorCtr="1"/>
          <a:lstStyle/>
          <a:p>
            <a:pPr>
              <a:defRPr sz="600" b="0" i="0" u="none" strike="noStrike" kern="1200" baseline="0">
                <a:solidFill>
                  <a:sysClr val="windowText" lastClr="000000"/>
                </a:solidFill>
                <a:latin typeface="+mn-lt"/>
                <a:ea typeface="+mn-ea"/>
                <a:cs typeface="Segoe UI" panose="020B0502040204020203" pitchFamily="34" charset="0"/>
              </a:defRPr>
            </a:pPr>
            <a:endParaRPr lang="lv-LV"/>
          </a:p>
        </c:txPr>
        <c:crossAx val="686955648"/>
        <c:crosses val="autoZero"/>
        <c:auto val="1"/>
        <c:lblAlgn val="ctr"/>
        <c:lblOffset val="100"/>
        <c:noMultiLvlLbl val="0"/>
      </c:catAx>
      <c:valAx>
        <c:axId val="686955648"/>
        <c:scaling>
          <c:orientation val="minMax"/>
          <c:max val="40"/>
          <c:min val="0"/>
        </c:scaling>
        <c:delete val="0"/>
        <c:axPos val="l"/>
        <c:numFmt formatCode="0" sourceLinked="0"/>
        <c:majorTickMark val="none"/>
        <c:minorTickMark val="none"/>
        <c:tickLblPos val="nextTo"/>
        <c:spPr>
          <a:noFill/>
          <a:ln w="6350">
            <a:solidFill>
              <a:schemeClr val="bg1">
                <a:lumMod val="65000"/>
              </a:schemeClr>
            </a:solidFill>
          </a:ln>
          <a:effectLst/>
        </c:spPr>
        <c:txPr>
          <a:bodyPr rot="-60000000" spcFirstLastPara="1" vertOverflow="ellipsis" vert="horz" wrap="square" anchor="ctr" anchorCtr="1"/>
          <a:lstStyle/>
          <a:p>
            <a:pPr>
              <a:defRPr sz="600" b="0" i="0" u="none" strike="noStrike" kern="1200" baseline="0">
                <a:solidFill>
                  <a:schemeClr val="tx1"/>
                </a:solidFill>
                <a:latin typeface="+mn-lt"/>
                <a:ea typeface="+mn-ea"/>
                <a:cs typeface="Segoe UI" panose="020B0502040204020203" pitchFamily="34" charset="0"/>
              </a:defRPr>
            </a:pPr>
            <a:endParaRPr lang="lv-LV"/>
          </a:p>
        </c:txPr>
        <c:crossAx val="686959256"/>
        <c:crosses val="autoZero"/>
        <c:crossBetween val="between"/>
        <c:majorUnit val="5"/>
      </c:valAx>
      <c:spPr>
        <a:noFill/>
        <a:ln>
          <a:noFill/>
        </a:ln>
        <a:effectLst/>
      </c:spPr>
    </c:plotArea>
    <c:legend>
      <c:legendPos val="b"/>
      <c:layout>
        <c:manualLayout>
          <c:xMode val="edge"/>
          <c:yMode val="edge"/>
          <c:x val="0.57049640534063673"/>
          <c:y val="2.4749202978146138E-2"/>
          <c:w val="0.42109133097493245"/>
          <c:h val="0.14735037189795397"/>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Segoe UI" panose="020B0502040204020203"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900">
          <a:solidFill>
            <a:sysClr val="windowText" lastClr="000000"/>
          </a:solidFill>
          <a:latin typeface="+mn-lt"/>
          <a:cs typeface="Segoe UI" panose="020B0502040204020203" pitchFamily="34" charset="0"/>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3459068210297943"/>
          <c:y val="0.16509385784036154"/>
          <c:w val="0.58866366169786977"/>
          <c:h val="0.28201503221188262"/>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17.194941698144195</c:v>
                </c:pt>
                <c:pt idx="1">
                  <c:v>20.417697169552078</c:v>
                </c:pt>
                <c:pt idx="2">
                  <c:v>26.741713570981869</c:v>
                </c:pt>
                <c:pt idx="3">
                  <c:v>24.706429484943609</c:v>
                </c:pt>
                <c:pt idx="4">
                  <c:v>37.489111498257842</c:v>
                </c:pt>
                <c:pt idx="5">
                  <c:v>53.868994061543994</c:v>
                </c:pt>
                <c:pt idx="6">
                  <c:v>34.617929209394646</c:v>
                </c:pt>
                <c:pt idx="7">
                  <c:v>24.923743779097769</c:v>
                </c:pt>
                <c:pt idx="8">
                  <c:v>30.274032187907785</c:v>
                </c:pt>
                <c:pt idx="9">
                  <c:v>27.594700752280144</c:v>
                </c:pt>
                <c:pt idx="10">
                  <c:v>39.3025572899369</c:v>
                </c:pt>
                <c:pt idx="11">
                  <c:v>42.068113640374101</c:v>
                </c:pt>
                <c:pt idx="12">
                  <c:v>37.496326770496623</c:v>
                </c:pt>
                <c:pt idx="13">
                  <c:v>11.352725218864727</c:v>
                </c:pt>
                <c:pt idx="14">
                  <c:v>15.902639367035091</c:v>
                </c:pt>
                <c:pt idx="15">
                  <c:v>28.833730023801429</c:v>
                </c:pt>
                <c:pt idx="16">
                  <c:v>33.654946038692998</c:v>
                </c:pt>
                <c:pt idx="17">
                  <c:v>36.174336547062914</c:v>
                </c:pt>
                <c:pt idx="18">
                  <c:v>29.44834104362533</c:v>
                </c:pt>
                <c:pt idx="19">
                  <c:v>37.985484503726951</c:v>
                </c:pt>
                <c:pt idx="20">
                  <c:v>24.392914012738853</c:v>
                </c:pt>
                <c:pt idx="21">
                  <c:v>44.117225908071212</c:v>
                </c:pt>
                <c:pt idx="22">
                  <c:v>20.598866526841896</c:v>
                </c:pt>
                <c:pt idx="23">
                  <c:v>32.791266533792353</c:v>
                </c:pt>
                <c:pt idx="24">
                  <c:v>14.988928632260262</c:v>
                </c:pt>
                <c:pt idx="25">
                  <c:v>14.334992361898191</c:v>
                </c:pt>
              </c:numCache>
            </c:numRef>
          </c:val>
          <c:extLst>
            <c:ext xmlns:c16="http://schemas.microsoft.com/office/drawing/2014/chart" uri="{C3380CC4-5D6E-409C-BE32-E72D297353CC}">
              <c16:uniqueId val="{00000000-F731-4D5F-A2F1-9F3D8F3DBFE0}"/>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33.844420609137835</c:v>
                </c:pt>
                <c:pt idx="2">
                  <c:v>33.844420609137835</c:v>
                </c:pt>
                <c:pt idx="3">
                  <c:v>33.844420609137835</c:v>
                </c:pt>
                <c:pt idx="4">
                  <c:v>33.844420609137835</c:v>
                </c:pt>
                <c:pt idx="5">
                  <c:v>33.844420609137835</c:v>
                </c:pt>
                <c:pt idx="6">
                  <c:v>33.844420609137835</c:v>
                </c:pt>
                <c:pt idx="7">
                  <c:v>33.844420609137835</c:v>
                </c:pt>
                <c:pt idx="8">
                  <c:v>33.844420609137835</c:v>
                </c:pt>
                <c:pt idx="9">
                  <c:v>33.844420609137835</c:v>
                </c:pt>
                <c:pt idx="10">
                  <c:v>33.844420609137835</c:v>
                </c:pt>
                <c:pt idx="11">
                  <c:v>33.844420609137835</c:v>
                </c:pt>
              </c:numCache>
            </c:numRef>
          </c:val>
          <c:smooth val="0"/>
          <c:extLst>
            <c:ext xmlns:c16="http://schemas.microsoft.com/office/drawing/2014/chart" uri="{C3380CC4-5D6E-409C-BE32-E72D297353CC}">
              <c16:uniqueId val="{00000001-F731-4D5F-A2F1-9F3D8F3DBFE0}"/>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22.492684711046088</c:v>
                </c:pt>
                <c:pt idx="13" formatCode="0.0">
                  <c:v>22.492684711046088</c:v>
                </c:pt>
                <c:pt idx="14" formatCode="0.0">
                  <c:v>22.492684711046088</c:v>
                </c:pt>
              </c:numCache>
            </c:numRef>
          </c:val>
          <c:smooth val="0"/>
          <c:extLst>
            <c:ext xmlns:c16="http://schemas.microsoft.com/office/drawing/2014/chart" uri="{C3380CC4-5D6E-409C-BE32-E72D297353CC}">
              <c16:uniqueId val="{00000002-F731-4D5F-A2F1-9F3D8F3DBFE0}"/>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29.011126740243814</c:v>
                </c:pt>
                <c:pt idx="16" formatCode="0.0">
                  <c:v>29.011126740243814</c:v>
                </c:pt>
                <c:pt idx="17" formatCode="0.0">
                  <c:v>29.011126740243814</c:v>
                </c:pt>
                <c:pt idx="18" formatCode="0.0">
                  <c:v>29.011126740243814</c:v>
                </c:pt>
                <c:pt idx="19" formatCode="0.0">
                  <c:v>29.011126740243814</c:v>
                </c:pt>
                <c:pt idx="20" formatCode="0.0">
                  <c:v>29.011126740243814</c:v>
                </c:pt>
                <c:pt idx="21" formatCode="0.0">
                  <c:v>29.011126740243814</c:v>
                </c:pt>
                <c:pt idx="22" formatCode="0.0">
                  <c:v>29.011126740243814</c:v>
                </c:pt>
                <c:pt idx="23" formatCode="0.0">
                  <c:v>29.011126740243814</c:v>
                </c:pt>
                <c:pt idx="24" formatCode="0.0">
                  <c:v>29.011126740243814</c:v>
                </c:pt>
                <c:pt idx="25" formatCode="0.0">
                  <c:v>29.011126740243814</c:v>
                </c:pt>
              </c:numCache>
            </c:numRef>
          </c:val>
          <c:smooth val="0"/>
          <c:extLst>
            <c:ext xmlns:c16="http://schemas.microsoft.com/office/drawing/2014/chart" uri="{C3380CC4-5D6E-409C-BE32-E72D297353CC}">
              <c16:uniqueId val="{00000003-F731-4D5F-A2F1-9F3D8F3DBFE0}"/>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122.70215971873431</c:v>
                </c:pt>
                <c:pt idx="2">
                  <c:v>168.70919136112505</c:v>
                </c:pt>
                <c:pt idx="3">
                  <c:v>166.14766449020593</c:v>
                </c:pt>
                <c:pt idx="4">
                  <c:v>244.50025113008539</c:v>
                </c:pt>
                <c:pt idx="5">
                  <c:v>421.79809141135109</c:v>
                </c:pt>
                <c:pt idx="6">
                  <c:v>302.86288297338018</c:v>
                </c:pt>
                <c:pt idx="7">
                  <c:v>238.62380713209444</c:v>
                </c:pt>
                <c:pt idx="8">
                  <c:v>312.60673028628833</c:v>
                </c:pt>
                <c:pt idx="9">
                  <c:v>294.22400803616273</c:v>
                </c:pt>
                <c:pt idx="10">
                  <c:v>378.05123053741841</c:v>
                </c:pt>
                <c:pt idx="11">
                  <c:v>424.66097438473128</c:v>
                </c:pt>
                <c:pt idx="12">
                  <c:v>439.07584128578605</c:v>
                </c:pt>
                <c:pt idx="13">
                  <c:v>123.20441988950277</c:v>
                </c:pt>
                <c:pt idx="14">
                  <c:v>153.03867403314916</c:v>
                </c:pt>
                <c:pt idx="15">
                  <c:v>294.02310396785538</c:v>
                </c:pt>
                <c:pt idx="16">
                  <c:v>356.70517327975892</c:v>
                </c:pt>
                <c:pt idx="17">
                  <c:v>377.74987443495729</c:v>
                </c:pt>
                <c:pt idx="18">
                  <c:v>305.42440984429936</c:v>
                </c:pt>
                <c:pt idx="19">
                  <c:v>389.05072827724763</c:v>
                </c:pt>
                <c:pt idx="20">
                  <c:v>253.59116022099445</c:v>
                </c:pt>
                <c:pt idx="21">
                  <c:v>474.13360120542444</c:v>
                </c:pt>
                <c:pt idx="22">
                  <c:v>233.40030135610249</c:v>
                </c:pt>
                <c:pt idx="23">
                  <c:v>361.72777498744352</c:v>
                </c:pt>
                <c:pt idx="24">
                  <c:v>130.43696634856857</c:v>
                </c:pt>
                <c:pt idx="25">
                  <c:v>137.87041687594174</c:v>
                </c:pt>
              </c:numCache>
            </c:numRef>
          </c:val>
          <c:smooth val="0"/>
          <c:extLst>
            <c:ext xmlns:c16="http://schemas.microsoft.com/office/drawing/2014/chart" uri="{C3380CC4-5D6E-409C-BE32-E72D297353CC}">
              <c16:uniqueId val="{00000004-F731-4D5F-A2F1-9F3D8F3DBFE0}"/>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1"/>
        <c:axPos val="b"/>
        <c:numFmt formatCode="General" sourceLinked="1"/>
        <c:majorTickMark val="none"/>
        <c:minorTickMark val="none"/>
        <c:tickLblPos val="nextTo"/>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6350">
            <a:solidFill>
              <a:schemeClr val="bg2">
                <a:lumMod val="75000"/>
              </a:schemeClr>
            </a:solidFill>
          </a:ln>
          <a:effectLst/>
        </c:spPr>
        <c:txPr>
          <a:bodyPr rot="-60000000" spcFirstLastPara="1" vertOverflow="ellipsis" vert="horz" wrap="square" anchor="ctr" anchorCtr="1"/>
          <a:lstStyle/>
          <a:p>
            <a:pPr>
              <a:defRPr sz="200" b="0" i="0" u="none" strike="noStrike" kern="1200" baseline="0">
                <a:solidFill>
                  <a:schemeClr val="bg1">
                    <a:lumMod val="50000"/>
                  </a:schemeClr>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2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legend>
      <c:legendPos val="b"/>
      <c:legendEntry>
        <c:idx val="0"/>
        <c:txPr>
          <a:bodyPr rot="0" spcFirstLastPara="1" vertOverflow="ellipsis" vert="horz" wrap="square" anchor="ctr" anchorCtr="1"/>
          <a:lstStyle/>
          <a:p>
            <a:pPr>
              <a:defRPr sz="5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legendEntry>
      <c:legendEntry>
        <c:idx val="1"/>
        <c:txPr>
          <a:bodyPr rot="0" spcFirstLastPara="1" vertOverflow="ellipsis" vert="horz" wrap="square" anchor="ctr" anchorCtr="1"/>
          <a:lstStyle/>
          <a:p>
            <a:pPr>
              <a:defRPr sz="5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legendEntry>
      <c:legendEntry>
        <c:idx val="2"/>
        <c:txPr>
          <a:bodyPr rot="0" spcFirstLastPara="1" vertOverflow="ellipsis" vert="horz" wrap="square" anchor="ctr" anchorCtr="1"/>
          <a:lstStyle/>
          <a:p>
            <a:pPr>
              <a:defRPr sz="5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legendEntry>
      <c:legendEntry>
        <c:idx val="3"/>
        <c:txPr>
          <a:bodyPr rot="0" spcFirstLastPara="1" vertOverflow="ellipsis" vert="horz" wrap="square" anchor="ctr" anchorCtr="1"/>
          <a:lstStyle/>
          <a:p>
            <a:pPr>
              <a:defRPr sz="5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legendEntry>
      <c:legendEntry>
        <c:idx val="4"/>
        <c:txPr>
          <a:bodyPr rot="0" spcFirstLastPara="1" vertOverflow="ellipsis" vert="horz" wrap="square" anchor="ctr" anchorCtr="1"/>
          <a:lstStyle/>
          <a:p>
            <a:pPr>
              <a:defRPr sz="5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legendEntry>
      <c:layout>
        <c:manualLayout>
          <c:xMode val="edge"/>
          <c:yMode val="edge"/>
          <c:x val="3.8715095292423368E-2"/>
          <c:y val="7.5103916731438611E-2"/>
          <c:w val="0.95407933865748962"/>
          <c:h val="0.81302197740303916"/>
        </c:manualLayout>
      </c:layout>
      <c:overlay val="0"/>
      <c:spPr>
        <a:solidFill>
          <a:srgbClr val="EAE6E2"/>
        </a:solidFill>
        <a:ln>
          <a:noFill/>
        </a:ln>
        <a:effectLst/>
      </c:spPr>
      <c:txPr>
        <a:bodyPr rot="0" spcFirstLastPara="1" vertOverflow="ellipsis" vert="horz" wrap="square" anchor="ctr" anchorCtr="1"/>
        <a:lstStyle/>
        <a:p>
          <a:pPr>
            <a:defRPr sz="5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Lauksaimniecība (A)</a:t>
            </a:r>
          </a:p>
        </c:rich>
      </c:tx>
      <c:layout>
        <c:manualLayout>
          <c:xMode val="edge"/>
          <c:yMode val="edge"/>
          <c:x val="5.7161239643144346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7.4184681460272017E-2"/>
          <c:w val="0.8689486891061694"/>
          <c:h val="0.77292412312097347"/>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5.1886792452830193</c:v>
                </c:pt>
                <c:pt idx="1">
                  <c:v>7.4553727686384326</c:v>
                </c:pt>
                <c:pt idx="2">
                  <c:v>14.063777596075225</c:v>
                </c:pt>
                <c:pt idx="3">
                  <c:v>14.274631497284714</c:v>
                </c:pt>
                <c:pt idx="4">
                  <c:v>12.814526588845654</c:v>
                </c:pt>
                <c:pt idx="5">
                  <c:v>10.466521634034324</c:v>
                </c:pt>
                <c:pt idx="6">
                  <c:v>17.245901639344265</c:v>
                </c:pt>
                <c:pt idx="7">
                  <c:v>33.034849951597288</c:v>
                </c:pt>
                <c:pt idx="8">
                  <c:v>37.865853658536587</c:v>
                </c:pt>
                <c:pt idx="9">
                  <c:v>70.632911392405063</c:v>
                </c:pt>
                <c:pt idx="10">
                  <c:v>60.410401556695568</c:v>
                </c:pt>
                <c:pt idx="11">
                  <c:v>55.925183700734806</c:v>
                </c:pt>
                <c:pt idx="12">
                  <c:v>61.87060284177128</c:v>
                </c:pt>
                <c:pt idx="13">
                  <c:v>32.976621666117886</c:v>
                </c:pt>
                <c:pt idx="14">
                  <c:v>33.209672987084367</c:v>
                </c:pt>
                <c:pt idx="15">
                  <c:v>52.474837998069766</c:v>
                </c:pt>
                <c:pt idx="16">
                  <c:v>69.753733298401883</c:v>
                </c:pt>
                <c:pt idx="17">
                  <c:v>52.744366099820269</c:v>
                </c:pt>
                <c:pt idx="18">
                  <c:v>35.469216975493126</c:v>
                </c:pt>
                <c:pt idx="19">
                  <c:v>39.093979270991028</c:v>
                </c:pt>
                <c:pt idx="20">
                  <c:v>54.038694074969762</c:v>
                </c:pt>
                <c:pt idx="21">
                  <c:v>50.42770707281452</c:v>
                </c:pt>
                <c:pt idx="22">
                  <c:v>60.456237472558939</c:v>
                </c:pt>
                <c:pt idx="23">
                  <c:v>35.466708395274239</c:v>
                </c:pt>
                <c:pt idx="24">
                  <c:v>36.918626779325571</c:v>
                </c:pt>
                <c:pt idx="25">
                  <c:v>37.52076861951889</c:v>
                </c:pt>
              </c:numCache>
            </c:numRef>
          </c:val>
          <c:extLst>
            <c:ext xmlns:c16="http://schemas.microsoft.com/office/drawing/2014/chart" uri="{C3380CC4-5D6E-409C-BE32-E72D297353CC}">
              <c16:uniqueId val="{00000000-0426-4A51-96FC-34262FD0E2B2}"/>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426-4A51-96FC-34262FD0E2B2}"/>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35.787997404391611</c:v>
                </c:pt>
                <c:pt idx="2">
                  <c:v>35.787997404391611</c:v>
                </c:pt>
                <c:pt idx="3">
                  <c:v>35.787997404391611</c:v>
                </c:pt>
                <c:pt idx="4">
                  <c:v>35.787997404391611</c:v>
                </c:pt>
                <c:pt idx="5">
                  <c:v>35.787997404391611</c:v>
                </c:pt>
                <c:pt idx="6">
                  <c:v>35.787997404391611</c:v>
                </c:pt>
                <c:pt idx="7">
                  <c:v>35.787997404391611</c:v>
                </c:pt>
                <c:pt idx="8">
                  <c:v>35.787997404391611</c:v>
                </c:pt>
                <c:pt idx="9">
                  <c:v>35.787997404391611</c:v>
                </c:pt>
                <c:pt idx="10">
                  <c:v>35.787997404391611</c:v>
                </c:pt>
                <c:pt idx="11">
                  <c:v>35.787997404391611</c:v>
                </c:pt>
              </c:numCache>
            </c:numRef>
          </c:val>
          <c:smooth val="0"/>
          <c:extLst>
            <c:ext xmlns:c16="http://schemas.microsoft.com/office/drawing/2014/chart" uri="{C3380CC4-5D6E-409C-BE32-E72D297353CC}">
              <c16:uniqueId val="{00000002-0426-4A51-96FC-34262FD0E2B2}"/>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426-4A51-96FC-34262FD0E2B2}"/>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43.226056987524878</c:v>
                </c:pt>
                <c:pt idx="13" formatCode="0.0">
                  <c:v>43.226056987524878</c:v>
                </c:pt>
                <c:pt idx="14" formatCode="0.0">
                  <c:v>43.226056987524878</c:v>
                </c:pt>
              </c:numCache>
            </c:numRef>
          </c:val>
          <c:smooth val="0"/>
          <c:extLst>
            <c:ext xmlns:c16="http://schemas.microsoft.com/office/drawing/2014/chart" uri="{C3380CC4-5D6E-409C-BE32-E72D297353CC}">
              <c16:uniqueId val="{00000004-0426-4A51-96FC-34262FD0E2B2}"/>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0426-4A51-96FC-34262FD0E2B2}"/>
                </c:ext>
              </c:extLst>
            </c:dLbl>
            <c:dLbl>
              <c:idx val="16"/>
              <c:delete val="1"/>
              <c:extLst>
                <c:ext xmlns:c15="http://schemas.microsoft.com/office/drawing/2012/chart" uri="{CE6537A1-D6FC-4f65-9D91-7224C49458BB}"/>
                <c:ext xmlns:c16="http://schemas.microsoft.com/office/drawing/2014/chart" uri="{C3380CC4-5D6E-409C-BE32-E72D297353CC}">
                  <c16:uniqueId val="{00000006-0426-4A51-96FC-34262FD0E2B2}"/>
                </c:ext>
              </c:extLst>
            </c:dLbl>
            <c:dLbl>
              <c:idx val="17"/>
              <c:delete val="1"/>
              <c:extLst>
                <c:ext xmlns:c15="http://schemas.microsoft.com/office/drawing/2012/chart" uri="{CE6537A1-D6FC-4f65-9D91-7224C49458BB}"/>
                <c:ext xmlns:c16="http://schemas.microsoft.com/office/drawing/2014/chart" uri="{C3380CC4-5D6E-409C-BE32-E72D297353CC}">
                  <c16:uniqueId val="{00000007-0426-4A51-96FC-34262FD0E2B2}"/>
                </c:ext>
              </c:extLst>
            </c:dLbl>
            <c:dLbl>
              <c:idx val="18"/>
              <c:delete val="1"/>
              <c:extLst>
                <c:ext xmlns:c15="http://schemas.microsoft.com/office/drawing/2012/chart" uri="{CE6537A1-D6FC-4f65-9D91-7224C49458BB}"/>
                <c:ext xmlns:c16="http://schemas.microsoft.com/office/drawing/2014/chart" uri="{C3380CC4-5D6E-409C-BE32-E72D297353CC}">
                  <c16:uniqueId val="{00000008-0426-4A51-96FC-34262FD0E2B2}"/>
                </c:ext>
              </c:extLst>
            </c:dLbl>
            <c:dLbl>
              <c:idx val="19"/>
              <c:delete val="1"/>
              <c:extLst>
                <c:ext xmlns:c15="http://schemas.microsoft.com/office/drawing/2012/chart" uri="{CE6537A1-D6FC-4f65-9D91-7224C49458BB}"/>
                <c:ext xmlns:c16="http://schemas.microsoft.com/office/drawing/2014/chart" uri="{C3380CC4-5D6E-409C-BE32-E72D297353CC}">
                  <c16:uniqueId val="{00000009-0426-4A51-96FC-34262FD0E2B2}"/>
                </c:ext>
              </c:extLst>
            </c:dLbl>
            <c:dLbl>
              <c:idx val="20"/>
              <c:delete val="1"/>
              <c:extLst>
                <c:ext xmlns:c15="http://schemas.microsoft.com/office/drawing/2012/chart" uri="{CE6537A1-D6FC-4f65-9D91-7224C49458BB}"/>
                <c:ext xmlns:c16="http://schemas.microsoft.com/office/drawing/2014/chart" uri="{C3380CC4-5D6E-409C-BE32-E72D297353CC}">
                  <c16:uniqueId val="{0000000A-0426-4A51-96FC-34262FD0E2B2}"/>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0426-4A51-96FC-34262FD0E2B2}"/>
                </c:ext>
              </c:extLst>
            </c:dLbl>
            <c:dLbl>
              <c:idx val="22"/>
              <c:delete val="1"/>
              <c:extLst>
                <c:ext xmlns:c15="http://schemas.microsoft.com/office/drawing/2012/chart" uri="{CE6537A1-D6FC-4f65-9D91-7224C49458BB}"/>
                <c:ext xmlns:c16="http://schemas.microsoft.com/office/drawing/2014/chart" uri="{C3380CC4-5D6E-409C-BE32-E72D297353CC}">
                  <c16:uniqueId val="{0000000C-0426-4A51-96FC-34262FD0E2B2}"/>
                </c:ext>
              </c:extLst>
            </c:dLbl>
            <c:dLbl>
              <c:idx val="23"/>
              <c:delete val="1"/>
              <c:extLst>
                <c:ext xmlns:c15="http://schemas.microsoft.com/office/drawing/2012/chart" uri="{CE6537A1-D6FC-4f65-9D91-7224C49458BB}"/>
                <c:ext xmlns:c16="http://schemas.microsoft.com/office/drawing/2014/chart" uri="{C3380CC4-5D6E-409C-BE32-E72D297353CC}">
                  <c16:uniqueId val="{0000000D-0426-4A51-96FC-34262FD0E2B2}"/>
                </c:ext>
              </c:extLst>
            </c:dLbl>
            <c:dLbl>
              <c:idx val="24"/>
              <c:delete val="1"/>
              <c:extLst>
                <c:ext xmlns:c15="http://schemas.microsoft.com/office/drawing/2012/chart" uri="{CE6537A1-D6FC-4f65-9D91-7224C49458BB}"/>
                <c:ext xmlns:c16="http://schemas.microsoft.com/office/drawing/2014/chart" uri="{C3380CC4-5D6E-409C-BE32-E72D297353CC}">
                  <c16:uniqueId val="{0000000E-0426-4A51-96FC-34262FD0E2B2}"/>
                </c:ext>
              </c:extLst>
            </c:dLbl>
            <c:dLbl>
              <c:idx val="25"/>
              <c:delete val="1"/>
              <c:extLst>
                <c:ext xmlns:c15="http://schemas.microsoft.com/office/drawing/2012/chart" uri="{CE6537A1-D6FC-4f65-9D91-7224C49458BB}"/>
                <c:ext xmlns:c16="http://schemas.microsoft.com/office/drawing/2014/chart" uri="{C3380CC4-5D6E-409C-BE32-E72D297353CC}">
                  <c16:uniqueId val="{0000000F-0426-4A51-96FC-34262FD0E2B2}"/>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46.17509284661179</c:v>
                </c:pt>
                <c:pt idx="16" formatCode="0.0">
                  <c:v>46.17509284661179</c:v>
                </c:pt>
                <c:pt idx="17" formatCode="0.0">
                  <c:v>46.17509284661179</c:v>
                </c:pt>
                <c:pt idx="18" formatCode="0.0">
                  <c:v>46.17509284661179</c:v>
                </c:pt>
                <c:pt idx="19" formatCode="0.0">
                  <c:v>46.17509284661179</c:v>
                </c:pt>
                <c:pt idx="20" formatCode="0.0">
                  <c:v>46.17509284661179</c:v>
                </c:pt>
                <c:pt idx="21" formatCode="0.0">
                  <c:v>46.17509284661179</c:v>
                </c:pt>
                <c:pt idx="22" formatCode="0.0">
                  <c:v>46.17509284661179</c:v>
                </c:pt>
                <c:pt idx="23" formatCode="0.0">
                  <c:v>46.17509284661179</c:v>
                </c:pt>
                <c:pt idx="24" formatCode="0.0">
                  <c:v>46.17509284661179</c:v>
                </c:pt>
                <c:pt idx="25" formatCode="0.0">
                  <c:v>46.17509284661179</c:v>
                </c:pt>
              </c:numCache>
            </c:numRef>
          </c:val>
          <c:smooth val="0"/>
          <c:extLst>
            <c:ext xmlns:c16="http://schemas.microsoft.com/office/drawing/2014/chart" uri="{C3380CC4-5D6E-409C-BE32-E72D297353CC}">
              <c16:uniqueId val="{00000010-0426-4A51-96FC-34262FD0E2B2}"/>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117.76061776061778</c:v>
                </c:pt>
                <c:pt idx="2">
                  <c:v>188.03088803088806</c:v>
                </c:pt>
                <c:pt idx="3">
                  <c:v>201.93050193050195</c:v>
                </c:pt>
                <c:pt idx="4">
                  <c:v>229.34362934362932</c:v>
                </c:pt>
                <c:pt idx="5">
                  <c:v>199.61389961389963</c:v>
                </c:pt>
                <c:pt idx="6">
                  <c:v>366.40926640926648</c:v>
                </c:pt>
                <c:pt idx="7">
                  <c:v>664.47876447876445</c:v>
                </c:pt>
                <c:pt idx="8">
                  <c:v>888.03088803088815</c:v>
                </c:pt>
                <c:pt idx="9">
                  <c:v>1670.2702702702704</c:v>
                </c:pt>
                <c:pt idx="10">
                  <c:v>1362.5482625482625</c:v>
                </c:pt>
                <c:pt idx="11">
                  <c:v>1595.3667953667955</c:v>
                </c:pt>
                <c:pt idx="12">
                  <c:v>1645.5598455598456</c:v>
                </c:pt>
                <c:pt idx="13">
                  <c:v>950.96525096525113</c:v>
                </c:pt>
                <c:pt idx="14">
                  <c:v>1082.6254826254826</c:v>
                </c:pt>
                <c:pt idx="15">
                  <c:v>1610.4247104247104</c:v>
                </c:pt>
                <c:pt idx="16">
                  <c:v>2066.795366795367</c:v>
                </c:pt>
                <c:pt idx="17">
                  <c:v>1492.6640926640928</c:v>
                </c:pt>
                <c:pt idx="18">
                  <c:v>1181.4671814671815</c:v>
                </c:pt>
                <c:pt idx="19">
                  <c:v>1296.1389961389962</c:v>
                </c:pt>
                <c:pt idx="20">
                  <c:v>1767.9536679536677</c:v>
                </c:pt>
                <c:pt idx="21">
                  <c:v>1895.3667953667953</c:v>
                </c:pt>
                <c:pt idx="22">
                  <c:v>2433.9768339768343</c:v>
                </c:pt>
                <c:pt idx="23">
                  <c:v>1711.5830115830117</c:v>
                </c:pt>
                <c:pt idx="24">
                  <c:v>1808.1081081081084</c:v>
                </c:pt>
                <c:pt idx="25">
                  <c:v>1859.4594594594596</c:v>
                </c:pt>
              </c:numCache>
            </c:numRef>
          </c:val>
          <c:smooth val="0"/>
          <c:extLst>
            <c:ext xmlns:c16="http://schemas.microsoft.com/office/drawing/2014/chart" uri="{C3380CC4-5D6E-409C-BE32-E72D297353CC}">
              <c16:uniqueId val="{00000011-0426-4A51-96FC-34262FD0E2B2}"/>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0"/>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Apstrādes rūpniecība (C)</a:t>
            </a:r>
          </a:p>
        </c:rich>
      </c:tx>
      <c:layout>
        <c:manualLayout>
          <c:xMode val="edge"/>
          <c:yMode val="edge"/>
          <c:x val="5.7161239643144346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0.11054831782390838"/>
          <c:w val="0.8689486891061694"/>
          <c:h val="0.7365604867573371"/>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11.851114154114279</c:v>
                </c:pt>
                <c:pt idx="1">
                  <c:v>13.206106870229009</c:v>
                </c:pt>
                <c:pt idx="2">
                  <c:v>22.117820945945947</c:v>
                </c:pt>
                <c:pt idx="3">
                  <c:v>22.187303582652422</c:v>
                </c:pt>
                <c:pt idx="4">
                  <c:v>21.488166184232931</c:v>
                </c:pt>
                <c:pt idx="5">
                  <c:v>23.116129538147888</c:v>
                </c:pt>
                <c:pt idx="6">
                  <c:v>25.457449898344471</c:v>
                </c:pt>
                <c:pt idx="7">
                  <c:v>27.573982737361284</c:v>
                </c:pt>
                <c:pt idx="8">
                  <c:v>30.570056379202338</c:v>
                </c:pt>
                <c:pt idx="9">
                  <c:v>36.54054054054054</c:v>
                </c:pt>
                <c:pt idx="10">
                  <c:v>39.313768274056301</c:v>
                </c:pt>
                <c:pt idx="11">
                  <c:v>38.138190734740341</c:v>
                </c:pt>
                <c:pt idx="12">
                  <c:v>37.297847956195085</c:v>
                </c:pt>
                <c:pt idx="13">
                  <c:v>21.315932572050027</c:v>
                </c:pt>
                <c:pt idx="14">
                  <c:v>19.05655949307674</c:v>
                </c:pt>
                <c:pt idx="15">
                  <c:v>23.663032191069576</c:v>
                </c:pt>
                <c:pt idx="16">
                  <c:v>27.410034671023787</c:v>
                </c:pt>
                <c:pt idx="17">
                  <c:v>17.363611188036554</c:v>
                </c:pt>
                <c:pt idx="18">
                  <c:v>23.433154649147557</c:v>
                </c:pt>
                <c:pt idx="19">
                  <c:v>19.13148277738901</c:v>
                </c:pt>
                <c:pt idx="20">
                  <c:v>16.12778165464837</c:v>
                </c:pt>
                <c:pt idx="21">
                  <c:v>16.26729904788872</c:v>
                </c:pt>
                <c:pt idx="22">
                  <c:v>16.995906166742479</c:v>
                </c:pt>
                <c:pt idx="23">
                  <c:v>19.717097170971712</c:v>
                </c:pt>
                <c:pt idx="24">
                  <c:v>20.121932906868487</c:v>
                </c:pt>
                <c:pt idx="25">
                  <c:v>19.292763973615038</c:v>
                </c:pt>
              </c:numCache>
            </c:numRef>
          </c:val>
          <c:extLst>
            <c:ext xmlns:c16="http://schemas.microsoft.com/office/drawing/2014/chart" uri="{C3380CC4-5D6E-409C-BE32-E72D297353CC}">
              <c16:uniqueId val="{00000000-D6D9-46EE-B534-D3C2152C6C2C}"/>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6D9-46EE-B534-D3C2152C6C2C}"/>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29.082871183563913</c:v>
                </c:pt>
                <c:pt idx="2">
                  <c:v>29.082871183563913</c:v>
                </c:pt>
                <c:pt idx="3">
                  <c:v>29.082871183563913</c:v>
                </c:pt>
                <c:pt idx="4">
                  <c:v>29.082871183563913</c:v>
                </c:pt>
                <c:pt idx="5">
                  <c:v>29.082871183563913</c:v>
                </c:pt>
                <c:pt idx="6">
                  <c:v>29.082871183563913</c:v>
                </c:pt>
                <c:pt idx="7">
                  <c:v>29.082871183563913</c:v>
                </c:pt>
                <c:pt idx="8">
                  <c:v>29.082871183563913</c:v>
                </c:pt>
                <c:pt idx="9">
                  <c:v>29.082871183563913</c:v>
                </c:pt>
                <c:pt idx="10">
                  <c:v>29.082871183563913</c:v>
                </c:pt>
                <c:pt idx="11">
                  <c:v>29.082871183563913</c:v>
                </c:pt>
              </c:numCache>
            </c:numRef>
          </c:val>
          <c:smooth val="0"/>
          <c:extLst>
            <c:ext xmlns:c16="http://schemas.microsoft.com/office/drawing/2014/chart" uri="{C3380CC4-5D6E-409C-BE32-E72D297353CC}">
              <c16:uniqueId val="{00000002-D6D9-46EE-B534-D3C2152C6C2C}"/>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6D9-46EE-B534-D3C2152C6C2C}"/>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26.507414550858442</c:v>
                </c:pt>
                <c:pt idx="13" formatCode="0.0">
                  <c:v>26.507414550858442</c:v>
                </c:pt>
                <c:pt idx="14" formatCode="0.0">
                  <c:v>26.507414550858442</c:v>
                </c:pt>
              </c:numCache>
            </c:numRef>
          </c:val>
          <c:smooth val="0"/>
          <c:extLst>
            <c:ext xmlns:c16="http://schemas.microsoft.com/office/drawing/2014/chart" uri="{C3380CC4-5D6E-409C-BE32-E72D297353CC}">
              <c16:uniqueId val="{00000004-D6D9-46EE-B534-D3C2152C6C2C}"/>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D6D9-46EE-B534-D3C2152C6C2C}"/>
                </c:ext>
              </c:extLst>
            </c:dLbl>
            <c:dLbl>
              <c:idx val="16"/>
              <c:delete val="1"/>
              <c:extLst>
                <c:ext xmlns:c15="http://schemas.microsoft.com/office/drawing/2012/chart" uri="{CE6537A1-D6FC-4f65-9D91-7224C49458BB}"/>
                <c:ext xmlns:c16="http://schemas.microsoft.com/office/drawing/2014/chart" uri="{C3380CC4-5D6E-409C-BE32-E72D297353CC}">
                  <c16:uniqueId val="{00000006-D6D9-46EE-B534-D3C2152C6C2C}"/>
                </c:ext>
              </c:extLst>
            </c:dLbl>
            <c:dLbl>
              <c:idx val="17"/>
              <c:delete val="1"/>
              <c:extLst>
                <c:ext xmlns:c15="http://schemas.microsoft.com/office/drawing/2012/chart" uri="{CE6537A1-D6FC-4f65-9D91-7224C49458BB}"/>
                <c:ext xmlns:c16="http://schemas.microsoft.com/office/drawing/2014/chart" uri="{C3380CC4-5D6E-409C-BE32-E72D297353CC}">
                  <c16:uniqueId val="{00000007-D6D9-46EE-B534-D3C2152C6C2C}"/>
                </c:ext>
              </c:extLst>
            </c:dLbl>
            <c:dLbl>
              <c:idx val="18"/>
              <c:delete val="1"/>
              <c:extLst>
                <c:ext xmlns:c15="http://schemas.microsoft.com/office/drawing/2012/chart" uri="{CE6537A1-D6FC-4f65-9D91-7224C49458BB}"/>
                <c:ext xmlns:c16="http://schemas.microsoft.com/office/drawing/2014/chart" uri="{C3380CC4-5D6E-409C-BE32-E72D297353CC}">
                  <c16:uniqueId val="{00000008-D6D9-46EE-B534-D3C2152C6C2C}"/>
                </c:ext>
              </c:extLst>
            </c:dLbl>
            <c:dLbl>
              <c:idx val="19"/>
              <c:delete val="1"/>
              <c:extLst>
                <c:ext xmlns:c15="http://schemas.microsoft.com/office/drawing/2012/chart" uri="{CE6537A1-D6FC-4f65-9D91-7224C49458BB}"/>
                <c:ext xmlns:c16="http://schemas.microsoft.com/office/drawing/2014/chart" uri="{C3380CC4-5D6E-409C-BE32-E72D297353CC}">
                  <c16:uniqueId val="{00000009-D6D9-46EE-B534-D3C2152C6C2C}"/>
                </c:ext>
              </c:extLst>
            </c:dLbl>
            <c:dLbl>
              <c:idx val="20"/>
              <c:delete val="1"/>
              <c:extLst>
                <c:ext xmlns:c15="http://schemas.microsoft.com/office/drawing/2012/chart" uri="{CE6537A1-D6FC-4f65-9D91-7224C49458BB}"/>
                <c:ext xmlns:c16="http://schemas.microsoft.com/office/drawing/2014/chart" uri="{C3380CC4-5D6E-409C-BE32-E72D297353CC}">
                  <c16:uniqueId val="{0000000A-D6D9-46EE-B534-D3C2152C6C2C}"/>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6D9-46EE-B534-D3C2152C6C2C}"/>
                </c:ext>
              </c:extLst>
            </c:dLbl>
            <c:dLbl>
              <c:idx val="22"/>
              <c:delete val="1"/>
              <c:extLst>
                <c:ext xmlns:c15="http://schemas.microsoft.com/office/drawing/2012/chart" uri="{CE6537A1-D6FC-4f65-9D91-7224C49458BB}"/>
                <c:ext xmlns:c16="http://schemas.microsoft.com/office/drawing/2014/chart" uri="{C3380CC4-5D6E-409C-BE32-E72D297353CC}">
                  <c16:uniqueId val="{0000000C-D6D9-46EE-B534-D3C2152C6C2C}"/>
                </c:ext>
              </c:extLst>
            </c:dLbl>
            <c:dLbl>
              <c:idx val="23"/>
              <c:delete val="1"/>
              <c:extLst>
                <c:ext xmlns:c15="http://schemas.microsoft.com/office/drawing/2012/chart" uri="{CE6537A1-D6FC-4f65-9D91-7224C49458BB}"/>
                <c:ext xmlns:c16="http://schemas.microsoft.com/office/drawing/2014/chart" uri="{C3380CC4-5D6E-409C-BE32-E72D297353CC}">
                  <c16:uniqueId val="{0000000D-D6D9-46EE-B534-D3C2152C6C2C}"/>
                </c:ext>
              </c:extLst>
            </c:dLbl>
            <c:dLbl>
              <c:idx val="24"/>
              <c:delete val="1"/>
              <c:extLst>
                <c:ext xmlns:c15="http://schemas.microsoft.com/office/drawing/2012/chart" uri="{CE6537A1-D6FC-4f65-9D91-7224C49458BB}"/>
                <c:ext xmlns:c16="http://schemas.microsoft.com/office/drawing/2014/chart" uri="{C3380CC4-5D6E-409C-BE32-E72D297353CC}">
                  <c16:uniqueId val="{0000000E-D6D9-46EE-B534-D3C2152C6C2C}"/>
                </c:ext>
              </c:extLst>
            </c:dLbl>
            <c:dLbl>
              <c:idx val="25"/>
              <c:delete val="1"/>
              <c:extLst>
                <c:ext xmlns:c15="http://schemas.microsoft.com/office/drawing/2012/chart" uri="{CE6537A1-D6FC-4f65-9D91-7224C49458BB}"/>
                <c:ext xmlns:c16="http://schemas.microsoft.com/office/drawing/2014/chart" uri="{C3380CC4-5D6E-409C-BE32-E72D297353CC}">
                  <c16:uniqueId val="{0000000F-D6D9-46EE-B534-D3C2152C6C2C}"/>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19.794719080077339</c:v>
                </c:pt>
                <c:pt idx="16" formatCode="0.0">
                  <c:v>19.794719080077339</c:v>
                </c:pt>
                <c:pt idx="17" formatCode="0.0">
                  <c:v>19.794719080077339</c:v>
                </c:pt>
                <c:pt idx="18" formatCode="0.0">
                  <c:v>19.794719080077339</c:v>
                </c:pt>
                <c:pt idx="19" formatCode="0.0">
                  <c:v>19.794719080077339</c:v>
                </c:pt>
                <c:pt idx="20" formatCode="0.0">
                  <c:v>19.794719080077339</c:v>
                </c:pt>
                <c:pt idx="21" formatCode="0.0">
                  <c:v>19.794719080077339</c:v>
                </c:pt>
                <c:pt idx="22" formatCode="0.0">
                  <c:v>19.794719080077339</c:v>
                </c:pt>
                <c:pt idx="23" formatCode="0.0">
                  <c:v>19.794719080077339</c:v>
                </c:pt>
                <c:pt idx="24" formatCode="0.0">
                  <c:v>19.794719080077339</c:v>
                </c:pt>
                <c:pt idx="25" formatCode="0.0">
                  <c:v>19.794719080077339</c:v>
                </c:pt>
              </c:numCache>
            </c:numRef>
          </c:val>
          <c:smooth val="0"/>
          <c:extLst>
            <c:ext xmlns:c16="http://schemas.microsoft.com/office/drawing/2014/chart" uri="{C3380CC4-5D6E-409C-BE32-E72D297353CC}">
              <c16:uniqueId val="{00000010-D6D9-46EE-B534-D3C2152C6C2C}"/>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125.94733461785485</c:v>
                </c:pt>
                <c:pt idx="2">
                  <c:v>184.90687219010917</c:v>
                </c:pt>
                <c:pt idx="3">
                  <c:v>191.58638407193322</c:v>
                </c:pt>
                <c:pt idx="4">
                  <c:v>210.21194605009637</c:v>
                </c:pt>
                <c:pt idx="5">
                  <c:v>251.3166345536288</c:v>
                </c:pt>
                <c:pt idx="6">
                  <c:v>296.2106615285806</c:v>
                </c:pt>
                <c:pt idx="7">
                  <c:v>325.369299935774</c:v>
                </c:pt>
                <c:pt idx="8">
                  <c:v>403.98201669877977</c:v>
                </c:pt>
                <c:pt idx="9">
                  <c:v>519.65317919075153</c:v>
                </c:pt>
                <c:pt idx="10">
                  <c:v>579.31920359666026</c:v>
                </c:pt>
                <c:pt idx="11">
                  <c:v>656.77585099550424</c:v>
                </c:pt>
                <c:pt idx="12">
                  <c:v>637.76493256262052</c:v>
                </c:pt>
                <c:pt idx="13">
                  <c:v>304.04624277456651</c:v>
                </c:pt>
                <c:pt idx="14">
                  <c:v>304.94540783558131</c:v>
                </c:pt>
                <c:pt idx="15">
                  <c:v>401.02761721258832</c:v>
                </c:pt>
                <c:pt idx="16">
                  <c:v>463.71226718047529</c:v>
                </c:pt>
                <c:pt idx="17">
                  <c:v>294.15542710340401</c:v>
                </c:pt>
                <c:pt idx="18">
                  <c:v>386.19139370584458</c:v>
                </c:pt>
                <c:pt idx="19">
                  <c:v>316.05651894669239</c:v>
                </c:pt>
                <c:pt idx="20">
                  <c:v>273.73153500321132</c:v>
                </c:pt>
                <c:pt idx="21">
                  <c:v>299.03660886319852</c:v>
                </c:pt>
                <c:pt idx="22">
                  <c:v>335.19588953114965</c:v>
                </c:pt>
                <c:pt idx="23">
                  <c:v>404.88118175979446</c:v>
                </c:pt>
                <c:pt idx="24">
                  <c:v>418.75401412973667</c:v>
                </c:pt>
                <c:pt idx="25">
                  <c:v>469.94219653179198</c:v>
                </c:pt>
              </c:numCache>
            </c:numRef>
          </c:val>
          <c:smooth val="0"/>
          <c:extLst>
            <c:ext xmlns:c16="http://schemas.microsoft.com/office/drawing/2014/chart" uri="{C3380CC4-5D6E-409C-BE32-E72D297353CC}">
              <c16:uniqueId val="{00000011-D6D9-46EE-B534-D3C2152C6C2C}"/>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0"/>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Būvniecība (F)</a:t>
            </a:r>
          </a:p>
        </c:rich>
      </c:tx>
      <c:layout>
        <c:manualLayout>
          <c:xMode val="edge"/>
          <c:yMode val="edge"/>
          <c:x val="5.7161239643144346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9.2366499642090205E-2"/>
          <c:w val="0.8689486891061694"/>
          <c:h val="0.75474230493915517"/>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20.490093847758079</c:v>
                </c:pt>
                <c:pt idx="1">
                  <c:v>21.703853955375255</c:v>
                </c:pt>
                <c:pt idx="2">
                  <c:v>25.634725634725637</c:v>
                </c:pt>
                <c:pt idx="3">
                  <c:v>20.13857845328565</c:v>
                </c:pt>
                <c:pt idx="4">
                  <c:v>23.251066988309521</c:v>
                </c:pt>
                <c:pt idx="5">
                  <c:v>25.654349499615094</c:v>
                </c:pt>
                <c:pt idx="6">
                  <c:v>24.939341421143848</c:v>
                </c:pt>
                <c:pt idx="7">
                  <c:v>19.965724078834619</c:v>
                </c:pt>
                <c:pt idx="8">
                  <c:v>24.153957879448075</c:v>
                </c:pt>
                <c:pt idx="9">
                  <c:v>28.865359162555649</c:v>
                </c:pt>
                <c:pt idx="10">
                  <c:v>21.255045312618996</c:v>
                </c:pt>
                <c:pt idx="11">
                  <c:v>29.731048957875728</c:v>
                </c:pt>
                <c:pt idx="12">
                  <c:v>21.628362729378232</c:v>
                </c:pt>
                <c:pt idx="13">
                  <c:v>12.830896137982753</c:v>
                </c:pt>
                <c:pt idx="14">
                  <c:v>11.357198042750451</c:v>
                </c:pt>
                <c:pt idx="15">
                  <c:v>10.982541615915551</c:v>
                </c:pt>
                <c:pt idx="16">
                  <c:v>8.2163989856297555</c:v>
                </c:pt>
                <c:pt idx="17">
                  <c:v>10.657179405180687</c:v>
                </c:pt>
                <c:pt idx="18">
                  <c:v>11.451203568407292</c:v>
                </c:pt>
                <c:pt idx="19">
                  <c:v>6.80932365303783</c:v>
                </c:pt>
                <c:pt idx="20">
                  <c:v>10.371621621621621</c:v>
                </c:pt>
                <c:pt idx="21">
                  <c:v>12.509971716585683</c:v>
                </c:pt>
                <c:pt idx="22">
                  <c:v>14.621409921671018</c:v>
                </c:pt>
                <c:pt idx="23">
                  <c:v>9.6450216450216448</c:v>
                </c:pt>
                <c:pt idx="24">
                  <c:v>10.468582329796112</c:v>
                </c:pt>
                <c:pt idx="25">
                  <c:v>12.093195266272188</c:v>
                </c:pt>
              </c:numCache>
            </c:numRef>
          </c:val>
          <c:extLst>
            <c:ext xmlns:c16="http://schemas.microsoft.com/office/drawing/2014/chart" uri="{C3380CC4-5D6E-409C-BE32-E72D297353CC}">
              <c16:uniqueId val="{00000000-C87F-4F01-95E2-E998008D837B}"/>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C87F-4F01-95E2-E998008D837B}"/>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25.131730510011526</c:v>
                </c:pt>
                <c:pt idx="2">
                  <c:v>25.131730510011526</c:v>
                </c:pt>
                <c:pt idx="3">
                  <c:v>25.131730510011526</c:v>
                </c:pt>
                <c:pt idx="4">
                  <c:v>25.131730510011526</c:v>
                </c:pt>
                <c:pt idx="5">
                  <c:v>25.131730510011526</c:v>
                </c:pt>
                <c:pt idx="6">
                  <c:v>25.131730510011526</c:v>
                </c:pt>
                <c:pt idx="7">
                  <c:v>25.131730510011526</c:v>
                </c:pt>
                <c:pt idx="8">
                  <c:v>25.131730510011526</c:v>
                </c:pt>
                <c:pt idx="9">
                  <c:v>25.131730510011526</c:v>
                </c:pt>
                <c:pt idx="10">
                  <c:v>25.131730510011526</c:v>
                </c:pt>
                <c:pt idx="11">
                  <c:v>25.131730510011526</c:v>
                </c:pt>
              </c:numCache>
            </c:numRef>
          </c:val>
          <c:smooth val="0"/>
          <c:extLst>
            <c:ext xmlns:c16="http://schemas.microsoft.com/office/drawing/2014/chart" uri="{C3380CC4-5D6E-409C-BE32-E72D297353CC}">
              <c16:uniqueId val="{00000002-C87F-4F01-95E2-E998008D837B}"/>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87F-4F01-95E2-E998008D837B}"/>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17.103299428282785</c:v>
                </c:pt>
                <c:pt idx="13" formatCode="0.0">
                  <c:v>17.103299428282785</c:v>
                </c:pt>
                <c:pt idx="14" formatCode="0.0">
                  <c:v>17.103299428282785</c:v>
                </c:pt>
              </c:numCache>
            </c:numRef>
          </c:val>
          <c:smooth val="0"/>
          <c:extLst>
            <c:ext xmlns:c16="http://schemas.microsoft.com/office/drawing/2014/chart" uri="{C3380CC4-5D6E-409C-BE32-E72D297353CC}">
              <c16:uniqueId val="{00000004-C87F-4F01-95E2-E998008D837B}"/>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C87F-4F01-95E2-E998008D837B}"/>
                </c:ext>
              </c:extLst>
            </c:dLbl>
            <c:dLbl>
              <c:idx val="16"/>
              <c:delete val="1"/>
              <c:extLst>
                <c:ext xmlns:c15="http://schemas.microsoft.com/office/drawing/2012/chart" uri="{CE6537A1-D6FC-4f65-9D91-7224C49458BB}"/>
                <c:ext xmlns:c16="http://schemas.microsoft.com/office/drawing/2014/chart" uri="{C3380CC4-5D6E-409C-BE32-E72D297353CC}">
                  <c16:uniqueId val="{00000006-C87F-4F01-95E2-E998008D837B}"/>
                </c:ext>
              </c:extLst>
            </c:dLbl>
            <c:dLbl>
              <c:idx val="17"/>
              <c:delete val="1"/>
              <c:extLst>
                <c:ext xmlns:c15="http://schemas.microsoft.com/office/drawing/2012/chart" uri="{CE6537A1-D6FC-4f65-9D91-7224C49458BB}"/>
                <c:ext xmlns:c16="http://schemas.microsoft.com/office/drawing/2014/chart" uri="{C3380CC4-5D6E-409C-BE32-E72D297353CC}">
                  <c16:uniqueId val="{00000007-C87F-4F01-95E2-E998008D837B}"/>
                </c:ext>
              </c:extLst>
            </c:dLbl>
            <c:dLbl>
              <c:idx val="18"/>
              <c:delete val="1"/>
              <c:extLst>
                <c:ext xmlns:c15="http://schemas.microsoft.com/office/drawing/2012/chart" uri="{CE6537A1-D6FC-4f65-9D91-7224C49458BB}"/>
                <c:ext xmlns:c16="http://schemas.microsoft.com/office/drawing/2014/chart" uri="{C3380CC4-5D6E-409C-BE32-E72D297353CC}">
                  <c16:uniqueId val="{00000008-C87F-4F01-95E2-E998008D837B}"/>
                </c:ext>
              </c:extLst>
            </c:dLbl>
            <c:dLbl>
              <c:idx val="19"/>
              <c:delete val="1"/>
              <c:extLst>
                <c:ext xmlns:c15="http://schemas.microsoft.com/office/drawing/2012/chart" uri="{CE6537A1-D6FC-4f65-9D91-7224C49458BB}"/>
                <c:ext xmlns:c16="http://schemas.microsoft.com/office/drawing/2014/chart" uri="{C3380CC4-5D6E-409C-BE32-E72D297353CC}">
                  <c16:uniqueId val="{00000009-C87F-4F01-95E2-E998008D837B}"/>
                </c:ext>
              </c:extLst>
            </c:dLbl>
            <c:dLbl>
              <c:idx val="20"/>
              <c:delete val="1"/>
              <c:extLst>
                <c:ext xmlns:c15="http://schemas.microsoft.com/office/drawing/2012/chart" uri="{CE6537A1-D6FC-4f65-9D91-7224C49458BB}"/>
                <c:ext xmlns:c16="http://schemas.microsoft.com/office/drawing/2014/chart" uri="{C3380CC4-5D6E-409C-BE32-E72D297353CC}">
                  <c16:uniqueId val="{0000000A-C87F-4F01-95E2-E998008D837B}"/>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C87F-4F01-95E2-E998008D837B}"/>
                </c:ext>
              </c:extLst>
            </c:dLbl>
            <c:dLbl>
              <c:idx val="22"/>
              <c:delete val="1"/>
              <c:extLst>
                <c:ext xmlns:c15="http://schemas.microsoft.com/office/drawing/2012/chart" uri="{CE6537A1-D6FC-4f65-9D91-7224C49458BB}"/>
                <c:ext xmlns:c16="http://schemas.microsoft.com/office/drawing/2014/chart" uri="{C3380CC4-5D6E-409C-BE32-E72D297353CC}">
                  <c16:uniqueId val="{0000000C-C87F-4F01-95E2-E998008D837B}"/>
                </c:ext>
              </c:extLst>
            </c:dLbl>
            <c:dLbl>
              <c:idx val="23"/>
              <c:delete val="1"/>
              <c:extLst>
                <c:ext xmlns:c15="http://schemas.microsoft.com/office/drawing/2012/chart" uri="{CE6537A1-D6FC-4f65-9D91-7224C49458BB}"/>
                <c:ext xmlns:c16="http://schemas.microsoft.com/office/drawing/2014/chart" uri="{C3380CC4-5D6E-409C-BE32-E72D297353CC}">
                  <c16:uniqueId val="{0000000D-C87F-4F01-95E2-E998008D837B}"/>
                </c:ext>
              </c:extLst>
            </c:dLbl>
            <c:dLbl>
              <c:idx val="24"/>
              <c:delete val="1"/>
              <c:extLst>
                <c:ext xmlns:c15="http://schemas.microsoft.com/office/drawing/2012/chart" uri="{CE6537A1-D6FC-4f65-9D91-7224C49458BB}"/>
                <c:ext xmlns:c16="http://schemas.microsoft.com/office/drawing/2014/chart" uri="{C3380CC4-5D6E-409C-BE32-E72D297353CC}">
                  <c16:uniqueId val="{0000000E-C87F-4F01-95E2-E998008D837B}"/>
                </c:ext>
              </c:extLst>
            </c:dLbl>
            <c:dLbl>
              <c:idx val="25"/>
              <c:delete val="1"/>
              <c:extLst>
                <c:ext xmlns:c15="http://schemas.microsoft.com/office/drawing/2012/chart" uri="{CE6537A1-D6FC-4f65-9D91-7224C49458BB}"/>
                <c:ext xmlns:c16="http://schemas.microsoft.com/office/drawing/2014/chart" uri="{C3380CC4-5D6E-409C-BE32-E72D297353CC}">
                  <c16:uniqueId val="{0000000F-C87F-4F01-95E2-E998008D837B}"/>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10.807137792484045</c:v>
                </c:pt>
                <c:pt idx="16" formatCode="0.0">
                  <c:v>10.807137792484045</c:v>
                </c:pt>
                <c:pt idx="17" formatCode="0.0">
                  <c:v>10.807137792484045</c:v>
                </c:pt>
                <c:pt idx="18" formatCode="0.0">
                  <c:v>10.807137792484045</c:v>
                </c:pt>
                <c:pt idx="19" formatCode="0.0">
                  <c:v>10.807137792484045</c:v>
                </c:pt>
                <c:pt idx="20" formatCode="0.0">
                  <c:v>10.807137792484045</c:v>
                </c:pt>
                <c:pt idx="21" formatCode="0.0">
                  <c:v>10.807137792484045</c:v>
                </c:pt>
                <c:pt idx="22" formatCode="0.0">
                  <c:v>10.807137792484045</c:v>
                </c:pt>
                <c:pt idx="23" formatCode="0.0">
                  <c:v>10.807137792484045</c:v>
                </c:pt>
                <c:pt idx="24" formatCode="0.0">
                  <c:v>10.807137792484045</c:v>
                </c:pt>
                <c:pt idx="25" formatCode="0.0">
                  <c:v>10.807137792484045</c:v>
                </c:pt>
              </c:numCache>
            </c:numRef>
          </c:val>
          <c:smooth val="0"/>
          <c:extLst>
            <c:ext xmlns:c16="http://schemas.microsoft.com/office/drawing/2014/chart" uri="{C3380CC4-5D6E-409C-BE32-E72D297353CC}">
              <c16:uniqueId val="{00000010-C87F-4F01-95E2-E998008D837B}"/>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118.09672386895478</c:v>
                </c:pt>
                <c:pt idx="2">
                  <c:v>202.02808112324493</c:v>
                </c:pt>
                <c:pt idx="3">
                  <c:v>199.37597503900156</c:v>
                </c:pt>
                <c:pt idx="4">
                  <c:v>253.51014040561623</c:v>
                </c:pt>
                <c:pt idx="5">
                  <c:v>271.13884555382219</c:v>
                </c:pt>
                <c:pt idx="6">
                  <c:v>294.5397815912637</c:v>
                </c:pt>
                <c:pt idx="7">
                  <c:v>256.63026521060846</c:v>
                </c:pt>
                <c:pt idx="8">
                  <c:v>363.80655226209046</c:v>
                </c:pt>
                <c:pt idx="9">
                  <c:v>501.87207488299538</c:v>
                </c:pt>
                <c:pt idx="10">
                  <c:v>519.34477379095165</c:v>
                </c:pt>
                <c:pt idx="11">
                  <c:v>1021.216848673947</c:v>
                </c:pt>
                <c:pt idx="12">
                  <c:v>781.2792511700469</c:v>
                </c:pt>
                <c:pt idx="13">
                  <c:v>329.95319812792513</c:v>
                </c:pt>
                <c:pt idx="14">
                  <c:v>168.79875195007804</c:v>
                </c:pt>
                <c:pt idx="15">
                  <c:v>191.8876755070203</c:v>
                </c:pt>
                <c:pt idx="16">
                  <c:v>158.50234009360375</c:v>
                </c:pt>
                <c:pt idx="17">
                  <c:v>214.97659906396257</c:v>
                </c:pt>
                <c:pt idx="18">
                  <c:v>238.22152886115444</c:v>
                </c:pt>
                <c:pt idx="19">
                  <c:v>139.00156006240249</c:v>
                </c:pt>
                <c:pt idx="20">
                  <c:v>194.53978159126368</c:v>
                </c:pt>
                <c:pt idx="21">
                  <c:v>270.67082683307336</c:v>
                </c:pt>
                <c:pt idx="22">
                  <c:v>353.66614664586587</c:v>
                </c:pt>
                <c:pt idx="23">
                  <c:v>247.89391575663032</c:v>
                </c:pt>
                <c:pt idx="24">
                  <c:v>257.2542901716069</c:v>
                </c:pt>
                <c:pt idx="25">
                  <c:v>275.66302652106083</c:v>
                </c:pt>
              </c:numCache>
            </c:numRef>
          </c:val>
          <c:smooth val="0"/>
          <c:extLst>
            <c:ext xmlns:c16="http://schemas.microsoft.com/office/drawing/2014/chart" uri="{C3380CC4-5D6E-409C-BE32-E72D297353CC}">
              <c16:uniqueId val="{00000011-C87F-4F01-95E2-E998008D837B}"/>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Tirdzniecība un izmitināšana (G,I)</a:t>
            </a:r>
          </a:p>
        </c:rich>
      </c:tx>
      <c:layout>
        <c:manualLayout>
          <c:xMode val="edge"/>
          <c:yMode val="edge"/>
          <c:x val="7.0909114483484206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5.6002863278453829E-2"/>
          <c:w val="0.8689486891061694"/>
          <c:h val="0.79110594130279155"/>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21.316193399846508</c:v>
                </c:pt>
                <c:pt idx="1">
                  <c:v>20.983158852981333</c:v>
                </c:pt>
                <c:pt idx="2">
                  <c:v>30.001281558374981</c:v>
                </c:pt>
                <c:pt idx="3">
                  <c:v>27.926911797879544</c:v>
                </c:pt>
                <c:pt idx="4">
                  <c:v>28.136408894789245</c:v>
                </c:pt>
                <c:pt idx="5">
                  <c:v>27.770208900999094</c:v>
                </c:pt>
                <c:pt idx="6">
                  <c:v>24.228142076502731</c:v>
                </c:pt>
                <c:pt idx="7">
                  <c:v>23.092408597960908</c:v>
                </c:pt>
                <c:pt idx="8">
                  <c:v>24.245860739396687</c:v>
                </c:pt>
                <c:pt idx="9">
                  <c:v>22.761510005794001</c:v>
                </c:pt>
                <c:pt idx="10">
                  <c:v>24.137084327206399</c:v>
                </c:pt>
                <c:pt idx="11">
                  <c:v>23.165762778542724</c:v>
                </c:pt>
                <c:pt idx="12">
                  <c:v>20.229571542220707</c:v>
                </c:pt>
                <c:pt idx="13">
                  <c:v>9.7556767202705501</c:v>
                </c:pt>
                <c:pt idx="14">
                  <c:v>6.2349525562951413</c:v>
                </c:pt>
                <c:pt idx="15">
                  <c:v>8.7438723359872057</c:v>
                </c:pt>
                <c:pt idx="16">
                  <c:v>10.821246939159916</c:v>
                </c:pt>
                <c:pt idx="17">
                  <c:v>12.111733919668017</c:v>
                </c:pt>
                <c:pt idx="18">
                  <c:v>12.157605158847543</c:v>
                </c:pt>
                <c:pt idx="19">
                  <c:v>7.7465182616477435</c:v>
                </c:pt>
                <c:pt idx="20">
                  <c:v>10.461672237167468</c:v>
                </c:pt>
                <c:pt idx="21">
                  <c:v>11.760632021751396</c:v>
                </c:pt>
                <c:pt idx="22">
                  <c:v>9.2642326582952261</c:v>
                </c:pt>
                <c:pt idx="23">
                  <c:v>11.109599600961321</c:v>
                </c:pt>
                <c:pt idx="24">
                  <c:v>11.597163520240441</c:v>
                </c:pt>
                <c:pt idx="25">
                  <c:v>11.446517868032688</c:v>
                </c:pt>
              </c:numCache>
            </c:numRef>
          </c:val>
          <c:extLst>
            <c:ext xmlns:c16="http://schemas.microsoft.com/office/drawing/2014/chart" uri="{C3380CC4-5D6E-409C-BE32-E72D297353CC}">
              <c16:uniqueId val="{00000000-3526-4311-BE73-31757C4F1E38}"/>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526-4311-BE73-31757C4F1E38}"/>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24.555767767921154</c:v>
                </c:pt>
                <c:pt idx="2">
                  <c:v>24.555767767921154</c:v>
                </c:pt>
                <c:pt idx="3">
                  <c:v>24.555767767921154</c:v>
                </c:pt>
                <c:pt idx="4">
                  <c:v>24.555767767921154</c:v>
                </c:pt>
                <c:pt idx="5">
                  <c:v>24.555767767921154</c:v>
                </c:pt>
                <c:pt idx="6">
                  <c:v>24.555767767921154</c:v>
                </c:pt>
                <c:pt idx="7">
                  <c:v>24.555767767921154</c:v>
                </c:pt>
                <c:pt idx="8">
                  <c:v>24.555767767921154</c:v>
                </c:pt>
                <c:pt idx="9">
                  <c:v>24.555767767921154</c:v>
                </c:pt>
                <c:pt idx="10">
                  <c:v>24.555767767921154</c:v>
                </c:pt>
                <c:pt idx="11">
                  <c:v>24.555767767921154</c:v>
                </c:pt>
              </c:numCache>
            </c:numRef>
          </c:val>
          <c:smooth val="0"/>
          <c:extLst>
            <c:ext xmlns:c16="http://schemas.microsoft.com/office/drawing/2014/chart" uri="{C3380CC4-5D6E-409C-BE32-E72D297353CC}">
              <c16:uniqueId val="{00000002-3526-4311-BE73-31757C4F1E38}"/>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526-4311-BE73-31757C4F1E38}"/>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12.668527775974377</c:v>
                </c:pt>
                <c:pt idx="13" formatCode="0.0">
                  <c:v>12.668527775974377</c:v>
                </c:pt>
                <c:pt idx="14" formatCode="0.0">
                  <c:v>12.668527775974377</c:v>
                </c:pt>
              </c:numCache>
            </c:numRef>
          </c:val>
          <c:smooth val="0"/>
          <c:extLst>
            <c:ext xmlns:c16="http://schemas.microsoft.com/office/drawing/2014/chart" uri="{C3380CC4-5D6E-409C-BE32-E72D297353CC}">
              <c16:uniqueId val="{00000004-3526-4311-BE73-31757C4F1E38}"/>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3526-4311-BE73-31757C4F1E38}"/>
                </c:ext>
              </c:extLst>
            </c:dLbl>
            <c:dLbl>
              <c:idx val="16"/>
              <c:delete val="1"/>
              <c:extLst>
                <c:ext xmlns:c15="http://schemas.microsoft.com/office/drawing/2012/chart" uri="{CE6537A1-D6FC-4f65-9D91-7224C49458BB}"/>
                <c:ext xmlns:c16="http://schemas.microsoft.com/office/drawing/2014/chart" uri="{C3380CC4-5D6E-409C-BE32-E72D297353CC}">
                  <c16:uniqueId val="{00000006-3526-4311-BE73-31757C4F1E38}"/>
                </c:ext>
              </c:extLst>
            </c:dLbl>
            <c:dLbl>
              <c:idx val="17"/>
              <c:delete val="1"/>
              <c:extLst>
                <c:ext xmlns:c15="http://schemas.microsoft.com/office/drawing/2012/chart" uri="{CE6537A1-D6FC-4f65-9D91-7224C49458BB}"/>
                <c:ext xmlns:c16="http://schemas.microsoft.com/office/drawing/2014/chart" uri="{C3380CC4-5D6E-409C-BE32-E72D297353CC}">
                  <c16:uniqueId val="{00000007-3526-4311-BE73-31757C4F1E38}"/>
                </c:ext>
              </c:extLst>
            </c:dLbl>
            <c:dLbl>
              <c:idx val="18"/>
              <c:delete val="1"/>
              <c:extLst>
                <c:ext xmlns:c15="http://schemas.microsoft.com/office/drawing/2012/chart" uri="{CE6537A1-D6FC-4f65-9D91-7224C49458BB}"/>
                <c:ext xmlns:c16="http://schemas.microsoft.com/office/drawing/2014/chart" uri="{C3380CC4-5D6E-409C-BE32-E72D297353CC}">
                  <c16:uniqueId val="{00000008-3526-4311-BE73-31757C4F1E38}"/>
                </c:ext>
              </c:extLst>
            </c:dLbl>
            <c:dLbl>
              <c:idx val="19"/>
              <c:delete val="1"/>
              <c:extLst>
                <c:ext xmlns:c15="http://schemas.microsoft.com/office/drawing/2012/chart" uri="{CE6537A1-D6FC-4f65-9D91-7224C49458BB}"/>
                <c:ext xmlns:c16="http://schemas.microsoft.com/office/drawing/2014/chart" uri="{C3380CC4-5D6E-409C-BE32-E72D297353CC}">
                  <c16:uniqueId val="{00000009-3526-4311-BE73-31757C4F1E38}"/>
                </c:ext>
              </c:extLst>
            </c:dLbl>
            <c:dLbl>
              <c:idx val="20"/>
              <c:delete val="1"/>
              <c:extLst>
                <c:ext xmlns:c15="http://schemas.microsoft.com/office/drawing/2012/chart" uri="{CE6537A1-D6FC-4f65-9D91-7224C49458BB}"/>
                <c:ext xmlns:c16="http://schemas.microsoft.com/office/drawing/2014/chart" uri="{C3380CC4-5D6E-409C-BE32-E72D297353CC}">
                  <c16:uniqueId val="{0000000A-3526-4311-BE73-31757C4F1E38}"/>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526-4311-BE73-31757C4F1E38}"/>
                </c:ext>
              </c:extLst>
            </c:dLbl>
            <c:dLbl>
              <c:idx val="22"/>
              <c:delete val="1"/>
              <c:extLst>
                <c:ext xmlns:c15="http://schemas.microsoft.com/office/drawing/2012/chart" uri="{CE6537A1-D6FC-4f65-9D91-7224C49458BB}"/>
                <c:ext xmlns:c16="http://schemas.microsoft.com/office/drawing/2014/chart" uri="{C3380CC4-5D6E-409C-BE32-E72D297353CC}">
                  <c16:uniqueId val="{0000000C-3526-4311-BE73-31757C4F1E38}"/>
                </c:ext>
              </c:extLst>
            </c:dLbl>
            <c:dLbl>
              <c:idx val="23"/>
              <c:delete val="1"/>
              <c:extLst>
                <c:ext xmlns:c15="http://schemas.microsoft.com/office/drawing/2012/chart" uri="{CE6537A1-D6FC-4f65-9D91-7224C49458BB}"/>
                <c:ext xmlns:c16="http://schemas.microsoft.com/office/drawing/2014/chart" uri="{C3380CC4-5D6E-409C-BE32-E72D297353CC}">
                  <c16:uniqueId val="{0000000D-3526-4311-BE73-31757C4F1E38}"/>
                </c:ext>
              </c:extLst>
            </c:dLbl>
            <c:dLbl>
              <c:idx val="24"/>
              <c:delete val="1"/>
              <c:extLst>
                <c:ext xmlns:c15="http://schemas.microsoft.com/office/drawing/2012/chart" uri="{CE6537A1-D6FC-4f65-9D91-7224C49458BB}"/>
                <c:ext xmlns:c16="http://schemas.microsoft.com/office/drawing/2014/chart" uri="{C3380CC4-5D6E-409C-BE32-E72D297353CC}">
                  <c16:uniqueId val="{0000000E-3526-4311-BE73-31757C4F1E38}"/>
                </c:ext>
              </c:extLst>
            </c:dLbl>
            <c:dLbl>
              <c:idx val="25"/>
              <c:delete val="1"/>
              <c:extLst>
                <c:ext xmlns:c15="http://schemas.microsoft.com/office/drawing/2012/chart" uri="{CE6537A1-D6FC-4f65-9D91-7224C49458BB}"/>
                <c:ext xmlns:c16="http://schemas.microsoft.com/office/drawing/2014/chart" uri="{C3380CC4-5D6E-409C-BE32-E72D297353CC}">
                  <c16:uniqueId val="{0000000F-3526-4311-BE73-31757C4F1E38}"/>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10.707426145307334</c:v>
                </c:pt>
                <c:pt idx="16" formatCode="0.0">
                  <c:v>10.707426145307334</c:v>
                </c:pt>
                <c:pt idx="17" formatCode="0.0">
                  <c:v>10.707426145307334</c:v>
                </c:pt>
                <c:pt idx="18" formatCode="0.0">
                  <c:v>10.707426145307334</c:v>
                </c:pt>
                <c:pt idx="19" formatCode="0.0">
                  <c:v>10.707426145307334</c:v>
                </c:pt>
                <c:pt idx="20" formatCode="0.0">
                  <c:v>10.707426145307334</c:v>
                </c:pt>
                <c:pt idx="21" formatCode="0.0">
                  <c:v>10.707426145307334</c:v>
                </c:pt>
                <c:pt idx="22" formatCode="0.0">
                  <c:v>10.707426145307334</c:v>
                </c:pt>
                <c:pt idx="23" formatCode="0.0">
                  <c:v>10.707426145307334</c:v>
                </c:pt>
                <c:pt idx="24" formatCode="0.0">
                  <c:v>10.707426145307334</c:v>
                </c:pt>
                <c:pt idx="25" formatCode="0.0">
                  <c:v>10.707426145307334</c:v>
                </c:pt>
              </c:numCache>
            </c:numRef>
          </c:val>
          <c:smooth val="0"/>
          <c:extLst>
            <c:ext xmlns:c16="http://schemas.microsoft.com/office/drawing/2014/chart" uri="{C3380CC4-5D6E-409C-BE32-E72D297353CC}">
              <c16:uniqueId val="{00000010-3526-4311-BE73-31757C4F1E38}"/>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107.47852450732694</c:v>
                </c:pt>
                <c:pt idx="2">
                  <c:v>173.3198585144012</c:v>
                </c:pt>
                <c:pt idx="3">
                  <c:v>182.87013643254167</c:v>
                </c:pt>
                <c:pt idx="4">
                  <c:v>229.20667003537139</c:v>
                </c:pt>
                <c:pt idx="5">
                  <c:v>255.02779181404748</c:v>
                </c:pt>
                <c:pt idx="6">
                  <c:v>248.00404244567963</c:v>
                </c:pt>
                <c:pt idx="7">
                  <c:v>266.95300656897422</c:v>
                </c:pt>
                <c:pt idx="8">
                  <c:v>320.26275896917633</c:v>
                </c:pt>
                <c:pt idx="9">
                  <c:v>370.33855482566952</c:v>
                </c:pt>
                <c:pt idx="10">
                  <c:v>433.14805457301668</c:v>
                </c:pt>
                <c:pt idx="11">
                  <c:v>471.34916624557854</c:v>
                </c:pt>
                <c:pt idx="12">
                  <c:v>386.65992925720059</c:v>
                </c:pt>
                <c:pt idx="13">
                  <c:v>170.99545224861041</c:v>
                </c:pt>
                <c:pt idx="14">
                  <c:v>102.67812026275895</c:v>
                </c:pt>
                <c:pt idx="15">
                  <c:v>144.31531076301164</c:v>
                </c:pt>
                <c:pt idx="16">
                  <c:v>182.81960586154625</c:v>
                </c:pt>
                <c:pt idx="17">
                  <c:v>205.30570995452248</c:v>
                </c:pt>
                <c:pt idx="18">
                  <c:v>213.84537645275392</c:v>
                </c:pt>
                <c:pt idx="19">
                  <c:v>139.96968165740273</c:v>
                </c:pt>
                <c:pt idx="20">
                  <c:v>198.68620515411823</c:v>
                </c:pt>
                <c:pt idx="21">
                  <c:v>234.36078827690753</c:v>
                </c:pt>
                <c:pt idx="22">
                  <c:v>191.0055583628095</c:v>
                </c:pt>
                <c:pt idx="23">
                  <c:v>239.66649823143001</c:v>
                </c:pt>
                <c:pt idx="24">
                  <c:v>238.85800909550278</c:v>
                </c:pt>
                <c:pt idx="25">
                  <c:v>262.15260232440625</c:v>
                </c:pt>
              </c:numCache>
            </c:numRef>
          </c:val>
          <c:smooth val="0"/>
          <c:extLst>
            <c:ext xmlns:c16="http://schemas.microsoft.com/office/drawing/2014/chart" uri="{C3380CC4-5D6E-409C-BE32-E72D297353CC}">
              <c16:uniqueId val="{00000011-3526-4311-BE73-31757C4F1E38}"/>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Transports un uzglabāšana (H)</a:t>
            </a:r>
          </a:p>
        </c:rich>
      </c:tx>
      <c:layout>
        <c:manualLayout>
          <c:xMode val="edge"/>
          <c:yMode val="edge"/>
          <c:x val="8.5023440524415753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0.1014574087329993"/>
          <c:w val="0.8689486891061694"/>
          <c:h val="0.74565139584824613"/>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17.194941698144195</c:v>
                </c:pt>
                <c:pt idx="1">
                  <c:v>20.417697169552078</c:v>
                </c:pt>
                <c:pt idx="2">
                  <c:v>26.741713570981869</c:v>
                </c:pt>
                <c:pt idx="3">
                  <c:v>24.706429484943609</c:v>
                </c:pt>
                <c:pt idx="4">
                  <c:v>37.489111498257842</c:v>
                </c:pt>
                <c:pt idx="5">
                  <c:v>53.868994061543994</c:v>
                </c:pt>
                <c:pt idx="6">
                  <c:v>34.617929209394646</c:v>
                </c:pt>
                <c:pt idx="7">
                  <c:v>24.923743779097769</c:v>
                </c:pt>
                <c:pt idx="8">
                  <c:v>30.274032187907785</c:v>
                </c:pt>
                <c:pt idx="9">
                  <c:v>27.594700752280144</c:v>
                </c:pt>
                <c:pt idx="10">
                  <c:v>39.3025572899369</c:v>
                </c:pt>
                <c:pt idx="11">
                  <c:v>42.068113640374101</c:v>
                </c:pt>
                <c:pt idx="12">
                  <c:v>37.496326770496623</c:v>
                </c:pt>
                <c:pt idx="13">
                  <c:v>11.352725218864727</c:v>
                </c:pt>
                <c:pt idx="14">
                  <c:v>15.902639367035091</c:v>
                </c:pt>
                <c:pt idx="15">
                  <c:v>28.833730023801429</c:v>
                </c:pt>
                <c:pt idx="16">
                  <c:v>33.654946038692998</c:v>
                </c:pt>
                <c:pt idx="17">
                  <c:v>36.174336547062914</c:v>
                </c:pt>
                <c:pt idx="18">
                  <c:v>29.44834104362533</c:v>
                </c:pt>
                <c:pt idx="19">
                  <c:v>37.985484503726951</c:v>
                </c:pt>
                <c:pt idx="20">
                  <c:v>24.392914012738853</c:v>
                </c:pt>
                <c:pt idx="21">
                  <c:v>44.117225908071212</c:v>
                </c:pt>
                <c:pt idx="22">
                  <c:v>20.598866526841896</c:v>
                </c:pt>
                <c:pt idx="23">
                  <c:v>32.791266533792353</c:v>
                </c:pt>
                <c:pt idx="24">
                  <c:v>14.988928632260262</c:v>
                </c:pt>
                <c:pt idx="25">
                  <c:v>14.334992361898191</c:v>
                </c:pt>
              </c:numCache>
            </c:numRef>
          </c:val>
          <c:extLst>
            <c:ext xmlns:c16="http://schemas.microsoft.com/office/drawing/2014/chart" uri="{C3380CC4-5D6E-409C-BE32-E72D297353CC}">
              <c16:uniqueId val="{00000000-1F86-4819-8F15-A41CB8D8AD27}"/>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F86-4819-8F15-A41CB8D8AD27}"/>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33.844420609137835</c:v>
                </c:pt>
                <c:pt idx="2">
                  <c:v>33.844420609137835</c:v>
                </c:pt>
                <c:pt idx="3">
                  <c:v>33.844420609137835</c:v>
                </c:pt>
                <c:pt idx="4">
                  <c:v>33.844420609137835</c:v>
                </c:pt>
                <c:pt idx="5">
                  <c:v>33.844420609137835</c:v>
                </c:pt>
                <c:pt idx="6">
                  <c:v>33.844420609137835</c:v>
                </c:pt>
                <c:pt idx="7">
                  <c:v>33.844420609137835</c:v>
                </c:pt>
                <c:pt idx="8">
                  <c:v>33.844420609137835</c:v>
                </c:pt>
                <c:pt idx="9">
                  <c:v>33.844420609137835</c:v>
                </c:pt>
                <c:pt idx="10">
                  <c:v>33.844420609137835</c:v>
                </c:pt>
                <c:pt idx="11">
                  <c:v>33.844420609137835</c:v>
                </c:pt>
              </c:numCache>
            </c:numRef>
          </c:val>
          <c:smooth val="0"/>
          <c:extLst>
            <c:ext xmlns:c16="http://schemas.microsoft.com/office/drawing/2014/chart" uri="{C3380CC4-5D6E-409C-BE32-E72D297353CC}">
              <c16:uniqueId val="{00000002-1F86-4819-8F15-A41CB8D8AD27}"/>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F86-4819-8F15-A41CB8D8AD27}"/>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22.492684711046088</c:v>
                </c:pt>
                <c:pt idx="13" formatCode="0.0">
                  <c:v>22.492684711046088</c:v>
                </c:pt>
                <c:pt idx="14" formatCode="0.0">
                  <c:v>22.492684711046088</c:v>
                </c:pt>
              </c:numCache>
            </c:numRef>
          </c:val>
          <c:smooth val="0"/>
          <c:extLst>
            <c:ext xmlns:c16="http://schemas.microsoft.com/office/drawing/2014/chart" uri="{C3380CC4-5D6E-409C-BE32-E72D297353CC}">
              <c16:uniqueId val="{00000004-1F86-4819-8F15-A41CB8D8AD27}"/>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1F86-4819-8F15-A41CB8D8AD27}"/>
                </c:ext>
              </c:extLst>
            </c:dLbl>
            <c:dLbl>
              <c:idx val="16"/>
              <c:delete val="1"/>
              <c:extLst>
                <c:ext xmlns:c15="http://schemas.microsoft.com/office/drawing/2012/chart" uri="{CE6537A1-D6FC-4f65-9D91-7224C49458BB}"/>
                <c:ext xmlns:c16="http://schemas.microsoft.com/office/drawing/2014/chart" uri="{C3380CC4-5D6E-409C-BE32-E72D297353CC}">
                  <c16:uniqueId val="{00000006-1F86-4819-8F15-A41CB8D8AD27}"/>
                </c:ext>
              </c:extLst>
            </c:dLbl>
            <c:dLbl>
              <c:idx val="17"/>
              <c:delete val="1"/>
              <c:extLst>
                <c:ext xmlns:c15="http://schemas.microsoft.com/office/drawing/2012/chart" uri="{CE6537A1-D6FC-4f65-9D91-7224C49458BB}"/>
                <c:ext xmlns:c16="http://schemas.microsoft.com/office/drawing/2014/chart" uri="{C3380CC4-5D6E-409C-BE32-E72D297353CC}">
                  <c16:uniqueId val="{00000007-1F86-4819-8F15-A41CB8D8AD27}"/>
                </c:ext>
              </c:extLst>
            </c:dLbl>
            <c:dLbl>
              <c:idx val="18"/>
              <c:delete val="1"/>
              <c:extLst>
                <c:ext xmlns:c15="http://schemas.microsoft.com/office/drawing/2012/chart" uri="{CE6537A1-D6FC-4f65-9D91-7224C49458BB}"/>
                <c:ext xmlns:c16="http://schemas.microsoft.com/office/drawing/2014/chart" uri="{C3380CC4-5D6E-409C-BE32-E72D297353CC}">
                  <c16:uniqueId val="{00000008-1F86-4819-8F15-A41CB8D8AD27}"/>
                </c:ext>
              </c:extLst>
            </c:dLbl>
            <c:dLbl>
              <c:idx val="19"/>
              <c:delete val="1"/>
              <c:extLst>
                <c:ext xmlns:c15="http://schemas.microsoft.com/office/drawing/2012/chart" uri="{CE6537A1-D6FC-4f65-9D91-7224C49458BB}"/>
                <c:ext xmlns:c16="http://schemas.microsoft.com/office/drawing/2014/chart" uri="{C3380CC4-5D6E-409C-BE32-E72D297353CC}">
                  <c16:uniqueId val="{00000009-1F86-4819-8F15-A41CB8D8AD27}"/>
                </c:ext>
              </c:extLst>
            </c:dLbl>
            <c:dLbl>
              <c:idx val="20"/>
              <c:delete val="1"/>
              <c:extLst>
                <c:ext xmlns:c15="http://schemas.microsoft.com/office/drawing/2012/chart" uri="{CE6537A1-D6FC-4f65-9D91-7224C49458BB}"/>
                <c:ext xmlns:c16="http://schemas.microsoft.com/office/drawing/2014/chart" uri="{C3380CC4-5D6E-409C-BE32-E72D297353CC}">
                  <c16:uniqueId val="{0000000A-1F86-4819-8F15-A41CB8D8AD27}"/>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F86-4819-8F15-A41CB8D8AD27}"/>
                </c:ext>
              </c:extLst>
            </c:dLbl>
            <c:dLbl>
              <c:idx val="22"/>
              <c:delete val="1"/>
              <c:extLst>
                <c:ext xmlns:c15="http://schemas.microsoft.com/office/drawing/2012/chart" uri="{CE6537A1-D6FC-4f65-9D91-7224C49458BB}"/>
                <c:ext xmlns:c16="http://schemas.microsoft.com/office/drawing/2014/chart" uri="{C3380CC4-5D6E-409C-BE32-E72D297353CC}">
                  <c16:uniqueId val="{0000000C-1F86-4819-8F15-A41CB8D8AD27}"/>
                </c:ext>
              </c:extLst>
            </c:dLbl>
            <c:dLbl>
              <c:idx val="23"/>
              <c:delete val="1"/>
              <c:extLst>
                <c:ext xmlns:c15="http://schemas.microsoft.com/office/drawing/2012/chart" uri="{CE6537A1-D6FC-4f65-9D91-7224C49458BB}"/>
                <c:ext xmlns:c16="http://schemas.microsoft.com/office/drawing/2014/chart" uri="{C3380CC4-5D6E-409C-BE32-E72D297353CC}">
                  <c16:uniqueId val="{0000000D-1F86-4819-8F15-A41CB8D8AD27}"/>
                </c:ext>
              </c:extLst>
            </c:dLbl>
            <c:dLbl>
              <c:idx val="24"/>
              <c:delete val="1"/>
              <c:extLst>
                <c:ext xmlns:c15="http://schemas.microsoft.com/office/drawing/2012/chart" uri="{CE6537A1-D6FC-4f65-9D91-7224C49458BB}"/>
                <c:ext xmlns:c16="http://schemas.microsoft.com/office/drawing/2014/chart" uri="{C3380CC4-5D6E-409C-BE32-E72D297353CC}">
                  <c16:uniqueId val="{0000000E-1F86-4819-8F15-A41CB8D8AD27}"/>
                </c:ext>
              </c:extLst>
            </c:dLbl>
            <c:dLbl>
              <c:idx val="25"/>
              <c:delete val="1"/>
              <c:extLst>
                <c:ext xmlns:c15="http://schemas.microsoft.com/office/drawing/2012/chart" uri="{CE6537A1-D6FC-4f65-9D91-7224C49458BB}"/>
                <c:ext xmlns:c16="http://schemas.microsoft.com/office/drawing/2014/chart" uri="{C3380CC4-5D6E-409C-BE32-E72D297353CC}">
                  <c16:uniqueId val="{0000000F-1F86-4819-8F15-A41CB8D8AD27}"/>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29.011126740243814</c:v>
                </c:pt>
                <c:pt idx="16" formatCode="0.0">
                  <c:v>29.011126740243814</c:v>
                </c:pt>
                <c:pt idx="17" formatCode="0.0">
                  <c:v>29.011126740243814</c:v>
                </c:pt>
                <c:pt idx="18" formatCode="0.0">
                  <c:v>29.011126740243814</c:v>
                </c:pt>
                <c:pt idx="19" formatCode="0.0">
                  <c:v>29.011126740243814</c:v>
                </c:pt>
                <c:pt idx="20" formatCode="0.0">
                  <c:v>29.011126740243814</c:v>
                </c:pt>
                <c:pt idx="21" formatCode="0.0">
                  <c:v>29.011126740243814</c:v>
                </c:pt>
                <c:pt idx="22" formatCode="0.0">
                  <c:v>29.011126740243814</c:v>
                </c:pt>
                <c:pt idx="23" formatCode="0.0">
                  <c:v>29.011126740243814</c:v>
                </c:pt>
                <c:pt idx="24" formatCode="0.0">
                  <c:v>29.011126740243814</c:v>
                </c:pt>
                <c:pt idx="25" formatCode="0.0">
                  <c:v>29.011126740243814</c:v>
                </c:pt>
              </c:numCache>
            </c:numRef>
          </c:val>
          <c:smooth val="0"/>
          <c:extLst>
            <c:ext xmlns:c16="http://schemas.microsoft.com/office/drawing/2014/chart" uri="{C3380CC4-5D6E-409C-BE32-E72D297353CC}">
              <c16:uniqueId val="{00000010-1F86-4819-8F15-A41CB8D8AD27}"/>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122.70215971873431</c:v>
                </c:pt>
                <c:pt idx="2">
                  <c:v>168.70919136112505</c:v>
                </c:pt>
                <c:pt idx="3">
                  <c:v>166.14766449020593</c:v>
                </c:pt>
                <c:pt idx="4">
                  <c:v>244.50025113008539</c:v>
                </c:pt>
                <c:pt idx="5">
                  <c:v>421.79809141135109</c:v>
                </c:pt>
                <c:pt idx="6">
                  <c:v>302.86288297338018</c:v>
                </c:pt>
                <c:pt idx="7">
                  <c:v>238.62380713209444</c:v>
                </c:pt>
                <c:pt idx="8">
                  <c:v>312.60673028628833</c:v>
                </c:pt>
                <c:pt idx="9">
                  <c:v>294.22400803616273</c:v>
                </c:pt>
                <c:pt idx="10">
                  <c:v>378.05123053741841</c:v>
                </c:pt>
                <c:pt idx="11">
                  <c:v>424.66097438473128</c:v>
                </c:pt>
                <c:pt idx="12">
                  <c:v>439.07584128578605</c:v>
                </c:pt>
                <c:pt idx="13">
                  <c:v>123.20441988950277</c:v>
                </c:pt>
                <c:pt idx="14">
                  <c:v>153.03867403314916</c:v>
                </c:pt>
                <c:pt idx="15">
                  <c:v>294.02310396785538</c:v>
                </c:pt>
                <c:pt idx="16">
                  <c:v>356.70517327975892</c:v>
                </c:pt>
                <c:pt idx="17">
                  <c:v>377.74987443495729</c:v>
                </c:pt>
                <c:pt idx="18">
                  <c:v>305.42440984429936</c:v>
                </c:pt>
                <c:pt idx="19">
                  <c:v>389.05072827724763</c:v>
                </c:pt>
                <c:pt idx="20">
                  <c:v>253.59116022099445</c:v>
                </c:pt>
                <c:pt idx="21">
                  <c:v>474.13360120542444</c:v>
                </c:pt>
                <c:pt idx="22">
                  <c:v>233.40030135610249</c:v>
                </c:pt>
                <c:pt idx="23">
                  <c:v>361.72777498744352</c:v>
                </c:pt>
                <c:pt idx="24">
                  <c:v>130.43696634856857</c:v>
                </c:pt>
                <c:pt idx="25">
                  <c:v>137.87041687594174</c:v>
                </c:pt>
              </c:numCache>
            </c:numRef>
          </c:val>
          <c:smooth val="0"/>
          <c:extLst>
            <c:ext xmlns:c16="http://schemas.microsoft.com/office/drawing/2014/chart" uri="{C3380CC4-5D6E-409C-BE32-E72D297353CC}">
              <c16:uniqueId val="{00000011-1F86-4819-8F15-A41CB8D8AD27}"/>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Infarmācijas un komunikāciju pakalpojumi (J)</a:t>
            </a:r>
          </a:p>
        </c:rich>
      </c:tx>
      <c:layout>
        <c:manualLayout>
          <c:xMode val="edge"/>
          <c:yMode val="edge"/>
          <c:x val="8.0318665177438561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0.12873013600572655"/>
          <c:w val="0.8689486891061694"/>
          <c:h val="0.71837866857551902"/>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38.938053097345133</c:v>
                </c:pt>
                <c:pt idx="1">
                  <c:v>37.577815506508209</c:v>
                </c:pt>
                <c:pt idx="2">
                  <c:v>48.891129032258064</c:v>
                </c:pt>
                <c:pt idx="3">
                  <c:v>45.911674682990821</c:v>
                </c:pt>
                <c:pt idx="4">
                  <c:v>31.307763401109057</c:v>
                </c:pt>
                <c:pt idx="5">
                  <c:v>34.050730207532666</c:v>
                </c:pt>
                <c:pt idx="6">
                  <c:v>30.197554092191908</c:v>
                </c:pt>
                <c:pt idx="7">
                  <c:v>28.849557522123892</c:v>
                </c:pt>
                <c:pt idx="8">
                  <c:v>26.906779661016945</c:v>
                </c:pt>
                <c:pt idx="9">
                  <c:v>30.833779682199602</c:v>
                </c:pt>
                <c:pt idx="10">
                  <c:v>32.388535031847134</c:v>
                </c:pt>
                <c:pt idx="11">
                  <c:v>28.400000000000002</c:v>
                </c:pt>
                <c:pt idx="12">
                  <c:v>27.927927927927925</c:v>
                </c:pt>
                <c:pt idx="13">
                  <c:v>22.475524475524473</c:v>
                </c:pt>
                <c:pt idx="14">
                  <c:v>21.787784818659834</c:v>
                </c:pt>
                <c:pt idx="15">
                  <c:v>18.609625668449194</c:v>
                </c:pt>
                <c:pt idx="16">
                  <c:v>21.696867874714993</c:v>
                </c:pt>
                <c:pt idx="17">
                  <c:v>25.793828264758496</c:v>
                </c:pt>
                <c:pt idx="18">
                  <c:v>27.001620745542947</c:v>
                </c:pt>
                <c:pt idx="19">
                  <c:v>20.434915150899297</c:v>
                </c:pt>
                <c:pt idx="20">
                  <c:v>24.413101976431289</c:v>
                </c:pt>
                <c:pt idx="21">
                  <c:v>18.417607592865323</c:v>
                </c:pt>
                <c:pt idx="22">
                  <c:v>20.789247926794395</c:v>
                </c:pt>
                <c:pt idx="23">
                  <c:v>20.33599163289319</c:v>
                </c:pt>
                <c:pt idx="24">
                  <c:v>25.209610812163678</c:v>
                </c:pt>
                <c:pt idx="25">
                  <c:v>29.210330412872931</c:v>
                </c:pt>
              </c:numCache>
            </c:numRef>
          </c:val>
          <c:extLst>
            <c:ext xmlns:c16="http://schemas.microsoft.com/office/drawing/2014/chart" uri="{C3380CC4-5D6E-409C-BE32-E72D297353CC}">
              <c16:uniqueId val="{00000000-2893-4AE1-AEED-73C715E73279}"/>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893-4AE1-AEED-73C715E73279}"/>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32.012407293261496</c:v>
                </c:pt>
                <c:pt idx="2">
                  <c:v>32.012407293261496</c:v>
                </c:pt>
                <c:pt idx="3">
                  <c:v>32.012407293261496</c:v>
                </c:pt>
                <c:pt idx="4">
                  <c:v>32.012407293261496</c:v>
                </c:pt>
                <c:pt idx="5">
                  <c:v>32.012407293261496</c:v>
                </c:pt>
                <c:pt idx="6">
                  <c:v>32.012407293261496</c:v>
                </c:pt>
                <c:pt idx="7">
                  <c:v>32.012407293261496</c:v>
                </c:pt>
                <c:pt idx="8">
                  <c:v>32.012407293261496</c:v>
                </c:pt>
                <c:pt idx="9">
                  <c:v>32.012407293261496</c:v>
                </c:pt>
                <c:pt idx="10">
                  <c:v>32.012407293261496</c:v>
                </c:pt>
                <c:pt idx="11">
                  <c:v>32.012407293261496</c:v>
                </c:pt>
              </c:numCache>
            </c:numRef>
          </c:val>
          <c:smooth val="0"/>
          <c:extLst>
            <c:ext xmlns:c16="http://schemas.microsoft.com/office/drawing/2014/chart" uri="{C3380CC4-5D6E-409C-BE32-E72D297353CC}">
              <c16:uniqueId val="{00000002-2893-4AE1-AEED-73C715E73279}"/>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893-4AE1-AEED-73C715E73279}"/>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24.271004585965215</c:v>
                </c:pt>
                <c:pt idx="13" formatCode="0.0">
                  <c:v>24.271004585965215</c:v>
                </c:pt>
                <c:pt idx="14" formatCode="0.0">
                  <c:v>24.271004585965215</c:v>
                </c:pt>
              </c:numCache>
            </c:numRef>
          </c:val>
          <c:smooth val="0"/>
          <c:extLst>
            <c:ext xmlns:c16="http://schemas.microsoft.com/office/drawing/2014/chart" uri="{C3380CC4-5D6E-409C-BE32-E72D297353CC}">
              <c16:uniqueId val="{00000004-2893-4AE1-AEED-73C715E73279}"/>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2893-4AE1-AEED-73C715E73279}"/>
                </c:ext>
              </c:extLst>
            </c:dLbl>
            <c:dLbl>
              <c:idx val="16"/>
              <c:delete val="1"/>
              <c:extLst>
                <c:ext xmlns:c15="http://schemas.microsoft.com/office/drawing/2012/chart" uri="{CE6537A1-D6FC-4f65-9D91-7224C49458BB}"/>
                <c:ext xmlns:c16="http://schemas.microsoft.com/office/drawing/2014/chart" uri="{C3380CC4-5D6E-409C-BE32-E72D297353CC}">
                  <c16:uniqueId val="{00000006-2893-4AE1-AEED-73C715E73279}"/>
                </c:ext>
              </c:extLst>
            </c:dLbl>
            <c:dLbl>
              <c:idx val="17"/>
              <c:delete val="1"/>
              <c:extLst>
                <c:ext xmlns:c15="http://schemas.microsoft.com/office/drawing/2012/chart" uri="{CE6537A1-D6FC-4f65-9D91-7224C49458BB}"/>
                <c:ext xmlns:c16="http://schemas.microsoft.com/office/drawing/2014/chart" uri="{C3380CC4-5D6E-409C-BE32-E72D297353CC}">
                  <c16:uniqueId val="{00000007-2893-4AE1-AEED-73C715E73279}"/>
                </c:ext>
              </c:extLst>
            </c:dLbl>
            <c:dLbl>
              <c:idx val="18"/>
              <c:delete val="1"/>
              <c:extLst>
                <c:ext xmlns:c15="http://schemas.microsoft.com/office/drawing/2012/chart" uri="{CE6537A1-D6FC-4f65-9D91-7224C49458BB}"/>
                <c:ext xmlns:c16="http://schemas.microsoft.com/office/drawing/2014/chart" uri="{C3380CC4-5D6E-409C-BE32-E72D297353CC}">
                  <c16:uniqueId val="{00000008-2893-4AE1-AEED-73C715E73279}"/>
                </c:ext>
              </c:extLst>
            </c:dLbl>
            <c:dLbl>
              <c:idx val="19"/>
              <c:delete val="1"/>
              <c:extLst>
                <c:ext xmlns:c15="http://schemas.microsoft.com/office/drawing/2012/chart" uri="{CE6537A1-D6FC-4f65-9D91-7224C49458BB}"/>
                <c:ext xmlns:c16="http://schemas.microsoft.com/office/drawing/2014/chart" uri="{C3380CC4-5D6E-409C-BE32-E72D297353CC}">
                  <c16:uniqueId val="{00000009-2893-4AE1-AEED-73C715E73279}"/>
                </c:ext>
              </c:extLst>
            </c:dLbl>
            <c:dLbl>
              <c:idx val="20"/>
              <c:delete val="1"/>
              <c:extLst>
                <c:ext xmlns:c15="http://schemas.microsoft.com/office/drawing/2012/chart" uri="{CE6537A1-D6FC-4f65-9D91-7224C49458BB}"/>
                <c:ext xmlns:c16="http://schemas.microsoft.com/office/drawing/2014/chart" uri="{C3380CC4-5D6E-409C-BE32-E72D297353CC}">
                  <c16:uniqueId val="{0000000A-2893-4AE1-AEED-73C715E73279}"/>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2893-4AE1-AEED-73C715E73279}"/>
                </c:ext>
              </c:extLst>
            </c:dLbl>
            <c:dLbl>
              <c:idx val="22"/>
              <c:delete val="1"/>
              <c:extLst>
                <c:ext xmlns:c15="http://schemas.microsoft.com/office/drawing/2012/chart" uri="{CE6537A1-D6FC-4f65-9D91-7224C49458BB}"/>
                <c:ext xmlns:c16="http://schemas.microsoft.com/office/drawing/2014/chart" uri="{C3380CC4-5D6E-409C-BE32-E72D297353CC}">
                  <c16:uniqueId val="{0000000C-2893-4AE1-AEED-73C715E73279}"/>
                </c:ext>
              </c:extLst>
            </c:dLbl>
            <c:dLbl>
              <c:idx val="23"/>
              <c:delete val="1"/>
              <c:extLst>
                <c:ext xmlns:c15="http://schemas.microsoft.com/office/drawing/2012/chart" uri="{CE6537A1-D6FC-4f65-9D91-7224C49458BB}"/>
                <c:ext xmlns:c16="http://schemas.microsoft.com/office/drawing/2014/chart" uri="{C3380CC4-5D6E-409C-BE32-E72D297353CC}">
                  <c16:uniqueId val="{0000000D-2893-4AE1-AEED-73C715E73279}"/>
                </c:ext>
              </c:extLst>
            </c:dLbl>
            <c:dLbl>
              <c:idx val="24"/>
              <c:delete val="1"/>
              <c:extLst>
                <c:ext xmlns:c15="http://schemas.microsoft.com/office/drawing/2012/chart" uri="{CE6537A1-D6FC-4f65-9D91-7224C49458BB}"/>
                <c:ext xmlns:c16="http://schemas.microsoft.com/office/drawing/2014/chart" uri="{C3380CC4-5D6E-409C-BE32-E72D297353CC}">
                  <c16:uniqueId val="{0000000E-2893-4AE1-AEED-73C715E73279}"/>
                </c:ext>
              </c:extLst>
            </c:dLbl>
            <c:dLbl>
              <c:idx val="25"/>
              <c:delete val="1"/>
              <c:extLst>
                <c:ext xmlns:c15="http://schemas.microsoft.com/office/drawing/2012/chart" uri="{CE6537A1-D6FC-4f65-9D91-7224C49458BB}"/>
                <c:ext xmlns:c16="http://schemas.microsoft.com/office/drawing/2014/chart" uri="{C3380CC4-5D6E-409C-BE32-E72D297353CC}">
                  <c16:uniqueId val="{0000000F-2893-4AE1-AEED-73C715E73279}"/>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23.188226850744314</c:v>
                </c:pt>
                <c:pt idx="16" formatCode="0.0">
                  <c:v>23.188226850744314</c:v>
                </c:pt>
                <c:pt idx="17" formatCode="0.0">
                  <c:v>23.188226850744314</c:v>
                </c:pt>
                <c:pt idx="18" formatCode="0.0">
                  <c:v>23.188226850744314</c:v>
                </c:pt>
                <c:pt idx="19" formatCode="0.0">
                  <c:v>23.188226850744314</c:v>
                </c:pt>
                <c:pt idx="20" formatCode="0.0">
                  <c:v>23.188226850744314</c:v>
                </c:pt>
                <c:pt idx="21" formatCode="0.0">
                  <c:v>23.188226850744314</c:v>
                </c:pt>
                <c:pt idx="22" formatCode="0.0">
                  <c:v>23.188226850744314</c:v>
                </c:pt>
                <c:pt idx="23" formatCode="0.0">
                  <c:v>23.188226850744314</c:v>
                </c:pt>
                <c:pt idx="24" formatCode="0.0">
                  <c:v>23.188226850744314</c:v>
                </c:pt>
                <c:pt idx="25" formatCode="0.0">
                  <c:v>23.188226850744314</c:v>
                </c:pt>
              </c:numCache>
            </c:numRef>
          </c:val>
          <c:smooth val="0"/>
          <c:extLst>
            <c:ext xmlns:c16="http://schemas.microsoft.com/office/drawing/2014/chart" uri="{C3380CC4-5D6E-409C-BE32-E72D297353CC}">
              <c16:uniqueId val="{00000010-2893-4AE1-AEED-73C715E73279}"/>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118.20330969267141</c:v>
                </c:pt>
                <c:pt idx="2">
                  <c:v>164.65721040189126</c:v>
                </c:pt>
                <c:pt idx="3">
                  <c:v>179.07801418439718</c:v>
                </c:pt>
                <c:pt idx="4">
                  <c:v>215.48463356973997</c:v>
                </c:pt>
                <c:pt idx="5">
                  <c:v>289.83451536643025</c:v>
                </c:pt>
                <c:pt idx="6">
                  <c:v>263.35697399527191</c:v>
                </c:pt>
                <c:pt idx="7">
                  <c:v>260.99290780141848</c:v>
                </c:pt>
                <c:pt idx="8">
                  <c:v>252.36406619385346</c:v>
                </c:pt>
                <c:pt idx="9">
                  <c:v>303.78250591016547</c:v>
                </c:pt>
                <c:pt idx="10">
                  <c:v>318.20330969267138</c:v>
                </c:pt>
                <c:pt idx="11">
                  <c:v>294.20803782505914</c:v>
                </c:pt>
                <c:pt idx="12">
                  <c:v>318.20330969267138</c:v>
                </c:pt>
                <c:pt idx="13">
                  <c:v>222.22222222222223</c:v>
                </c:pt>
                <c:pt idx="14">
                  <c:v>216.07565011820333</c:v>
                </c:pt>
                <c:pt idx="15">
                  <c:v>184.27895981087471</c:v>
                </c:pt>
                <c:pt idx="16">
                  <c:v>227.42316784869979</c:v>
                </c:pt>
                <c:pt idx="17">
                  <c:v>288.29787234042556</c:v>
                </c:pt>
                <c:pt idx="18">
                  <c:v>306.02836879432624</c:v>
                </c:pt>
                <c:pt idx="19">
                  <c:v>237.7068557919622</c:v>
                </c:pt>
                <c:pt idx="20">
                  <c:v>303.54609929078021</c:v>
                </c:pt>
                <c:pt idx="21">
                  <c:v>253.7825059101655</c:v>
                </c:pt>
                <c:pt idx="22">
                  <c:v>316.3120567375887</c:v>
                </c:pt>
                <c:pt idx="23">
                  <c:v>329.5508274231679</c:v>
                </c:pt>
                <c:pt idx="24">
                  <c:v>417.25768321512999</c:v>
                </c:pt>
                <c:pt idx="25">
                  <c:v>515.95744680851067</c:v>
                </c:pt>
              </c:numCache>
            </c:numRef>
          </c:val>
          <c:smooth val="0"/>
          <c:extLst>
            <c:ext xmlns:c16="http://schemas.microsoft.com/office/drawing/2014/chart" uri="{C3380CC4-5D6E-409C-BE32-E72D297353CC}">
              <c16:uniqueId val="{00000011-2893-4AE1-AEED-73C715E73279}"/>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Finanšu pakalpojumi (F)</a:t>
            </a:r>
          </a:p>
        </c:rich>
      </c:tx>
      <c:layout>
        <c:manualLayout>
          <c:xMode val="edge"/>
          <c:yMode val="edge"/>
          <c:x val="6.1499563789529824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0.1014574087329993"/>
          <c:w val="0.8689486891061694"/>
          <c:h val="0.74565139584824613"/>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34.529147982062781</c:v>
                </c:pt>
                <c:pt idx="1">
                  <c:v>24.969843184559711</c:v>
                </c:pt>
                <c:pt idx="2">
                  <c:v>27.463312368972748</c:v>
                </c:pt>
                <c:pt idx="3">
                  <c:v>25.580376697328077</c:v>
                </c:pt>
                <c:pt idx="4">
                  <c:v>39.513916111328889</c:v>
                </c:pt>
                <c:pt idx="5">
                  <c:v>33.259842519685037</c:v>
                </c:pt>
                <c:pt idx="6">
                  <c:v>32.073207320732074</c:v>
                </c:pt>
                <c:pt idx="7">
                  <c:v>35.967790038771248</c:v>
                </c:pt>
                <c:pt idx="8">
                  <c:v>29.528848576467624</c:v>
                </c:pt>
                <c:pt idx="9">
                  <c:v>20.955402127262548</c:v>
                </c:pt>
                <c:pt idx="10">
                  <c:v>19.891111673841479</c:v>
                </c:pt>
                <c:pt idx="11">
                  <c:v>5.6087289433384386</c:v>
                </c:pt>
                <c:pt idx="12">
                  <c:v>11.253572886892609</c:v>
                </c:pt>
                <c:pt idx="13">
                  <c:v>6.5928618638466618</c:v>
                </c:pt>
                <c:pt idx="14">
                  <c:v>25.197294250281843</c:v>
                </c:pt>
                <c:pt idx="15">
                  <c:v>16.096087456846949</c:v>
                </c:pt>
                <c:pt idx="16">
                  <c:v>8.8419501412255936</c:v>
                </c:pt>
                <c:pt idx="17">
                  <c:v>12.16169125333953</c:v>
                </c:pt>
                <c:pt idx="18">
                  <c:v>7.0230025558395388</c:v>
                </c:pt>
                <c:pt idx="19">
                  <c:v>10.271786439694361</c:v>
                </c:pt>
                <c:pt idx="20">
                  <c:v>7.932392202055123</c:v>
                </c:pt>
                <c:pt idx="21">
                  <c:v>8.1410825199645078</c:v>
                </c:pt>
                <c:pt idx="22">
                  <c:v>8.4500827357970216</c:v>
                </c:pt>
                <c:pt idx="23">
                  <c:v>5.9228311624477765</c:v>
                </c:pt>
                <c:pt idx="24">
                  <c:v>5.7277713994131902</c:v>
                </c:pt>
                <c:pt idx="25">
                  <c:v>9.1615541922290369</c:v>
                </c:pt>
              </c:numCache>
            </c:numRef>
          </c:val>
          <c:extLst>
            <c:ext xmlns:c16="http://schemas.microsoft.com/office/drawing/2014/chart" uri="{C3380CC4-5D6E-409C-BE32-E72D297353CC}">
              <c16:uniqueId val="{00000000-BB96-4ADA-B19F-8DDC067D5DC5}"/>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B96-4ADA-B19F-8DDC067D5DC5}"/>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22.502800999741449</c:v>
                </c:pt>
                <c:pt idx="2">
                  <c:v>22.502800999741449</c:v>
                </c:pt>
                <c:pt idx="3">
                  <c:v>22.502800999741449</c:v>
                </c:pt>
                <c:pt idx="4">
                  <c:v>22.502800999741449</c:v>
                </c:pt>
                <c:pt idx="5">
                  <c:v>22.502800999741449</c:v>
                </c:pt>
                <c:pt idx="6">
                  <c:v>22.502800999741449</c:v>
                </c:pt>
                <c:pt idx="7">
                  <c:v>22.502800999741449</c:v>
                </c:pt>
                <c:pt idx="8">
                  <c:v>22.502800999741449</c:v>
                </c:pt>
                <c:pt idx="9">
                  <c:v>22.502800999741449</c:v>
                </c:pt>
                <c:pt idx="10">
                  <c:v>22.502800999741449</c:v>
                </c:pt>
                <c:pt idx="11">
                  <c:v>22.502800999741449</c:v>
                </c:pt>
              </c:numCache>
            </c:numRef>
          </c:val>
          <c:smooth val="0"/>
          <c:extLst>
            <c:ext xmlns:c16="http://schemas.microsoft.com/office/drawing/2014/chart" uri="{C3380CC4-5D6E-409C-BE32-E72D297353CC}">
              <c16:uniqueId val="{00000002-BB96-4ADA-B19F-8DDC067D5DC5}"/>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B96-4ADA-B19F-8DDC067D5DC5}"/>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13.201236292815107</c:v>
                </c:pt>
                <c:pt idx="13" formatCode="0.0">
                  <c:v>13.201236292815107</c:v>
                </c:pt>
                <c:pt idx="14" formatCode="0.0">
                  <c:v>13.201236292815107</c:v>
                </c:pt>
              </c:numCache>
            </c:numRef>
          </c:val>
          <c:smooth val="0"/>
          <c:extLst>
            <c:ext xmlns:c16="http://schemas.microsoft.com/office/drawing/2014/chart" uri="{C3380CC4-5D6E-409C-BE32-E72D297353CC}">
              <c16:uniqueId val="{00000004-BB96-4ADA-B19F-8DDC067D5DC5}"/>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BB96-4ADA-B19F-8DDC067D5DC5}"/>
                </c:ext>
              </c:extLst>
            </c:dLbl>
            <c:dLbl>
              <c:idx val="16"/>
              <c:delete val="1"/>
              <c:extLst>
                <c:ext xmlns:c15="http://schemas.microsoft.com/office/drawing/2012/chart" uri="{CE6537A1-D6FC-4f65-9D91-7224C49458BB}"/>
                <c:ext xmlns:c16="http://schemas.microsoft.com/office/drawing/2014/chart" uri="{C3380CC4-5D6E-409C-BE32-E72D297353CC}">
                  <c16:uniqueId val="{00000006-BB96-4ADA-B19F-8DDC067D5DC5}"/>
                </c:ext>
              </c:extLst>
            </c:dLbl>
            <c:dLbl>
              <c:idx val="17"/>
              <c:delete val="1"/>
              <c:extLst>
                <c:ext xmlns:c15="http://schemas.microsoft.com/office/drawing/2012/chart" uri="{CE6537A1-D6FC-4f65-9D91-7224C49458BB}"/>
                <c:ext xmlns:c16="http://schemas.microsoft.com/office/drawing/2014/chart" uri="{C3380CC4-5D6E-409C-BE32-E72D297353CC}">
                  <c16:uniqueId val="{00000007-BB96-4ADA-B19F-8DDC067D5DC5}"/>
                </c:ext>
              </c:extLst>
            </c:dLbl>
            <c:dLbl>
              <c:idx val="18"/>
              <c:delete val="1"/>
              <c:extLst>
                <c:ext xmlns:c15="http://schemas.microsoft.com/office/drawing/2012/chart" uri="{CE6537A1-D6FC-4f65-9D91-7224C49458BB}"/>
                <c:ext xmlns:c16="http://schemas.microsoft.com/office/drawing/2014/chart" uri="{C3380CC4-5D6E-409C-BE32-E72D297353CC}">
                  <c16:uniqueId val="{00000008-BB96-4ADA-B19F-8DDC067D5DC5}"/>
                </c:ext>
              </c:extLst>
            </c:dLbl>
            <c:dLbl>
              <c:idx val="19"/>
              <c:delete val="1"/>
              <c:extLst>
                <c:ext xmlns:c15="http://schemas.microsoft.com/office/drawing/2012/chart" uri="{CE6537A1-D6FC-4f65-9D91-7224C49458BB}"/>
                <c:ext xmlns:c16="http://schemas.microsoft.com/office/drawing/2014/chart" uri="{C3380CC4-5D6E-409C-BE32-E72D297353CC}">
                  <c16:uniqueId val="{00000009-BB96-4ADA-B19F-8DDC067D5DC5}"/>
                </c:ext>
              </c:extLst>
            </c:dLbl>
            <c:dLbl>
              <c:idx val="20"/>
              <c:delete val="1"/>
              <c:extLst>
                <c:ext xmlns:c15="http://schemas.microsoft.com/office/drawing/2012/chart" uri="{CE6537A1-D6FC-4f65-9D91-7224C49458BB}"/>
                <c:ext xmlns:c16="http://schemas.microsoft.com/office/drawing/2014/chart" uri="{C3380CC4-5D6E-409C-BE32-E72D297353CC}">
                  <c16:uniqueId val="{0000000A-BB96-4ADA-B19F-8DDC067D5DC5}"/>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BB96-4ADA-B19F-8DDC067D5DC5}"/>
                </c:ext>
              </c:extLst>
            </c:dLbl>
            <c:dLbl>
              <c:idx val="22"/>
              <c:delete val="1"/>
              <c:extLst>
                <c:ext xmlns:c15="http://schemas.microsoft.com/office/drawing/2012/chart" uri="{CE6537A1-D6FC-4f65-9D91-7224C49458BB}"/>
                <c:ext xmlns:c16="http://schemas.microsoft.com/office/drawing/2014/chart" uri="{C3380CC4-5D6E-409C-BE32-E72D297353CC}">
                  <c16:uniqueId val="{0000000C-BB96-4ADA-B19F-8DDC067D5DC5}"/>
                </c:ext>
              </c:extLst>
            </c:dLbl>
            <c:dLbl>
              <c:idx val="23"/>
              <c:delete val="1"/>
              <c:extLst>
                <c:ext xmlns:c15="http://schemas.microsoft.com/office/drawing/2012/chart" uri="{CE6537A1-D6FC-4f65-9D91-7224C49458BB}"/>
                <c:ext xmlns:c16="http://schemas.microsoft.com/office/drawing/2014/chart" uri="{C3380CC4-5D6E-409C-BE32-E72D297353CC}">
                  <c16:uniqueId val="{0000000D-BB96-4ADA-B19F-8DDC067D5DC5}"/>
                </c:ext>
              </c:extLst>
            </c:dLbl>
            <c:dLbl>
              <c:idx val="24"/>
              <c:delete val="1"/>
              <c:extLst>
                <c:ext xmlns:c15="http://schemas.microsoft.com/office/drawing/2012/chart" uri="{CE6537A1-D6FC-4f65-9D91-7224C49458BB}"/>
                <c:ext xmlns:c16="http://schemas.microsoft.com/office/drawing/2014/chart" uri="{C3380CC4-5D6E-409C-BE32-E72D297353CC}">
                  <c16:uniqueId val="{0000000E-BB96-4ADA-B19F-8DDC067D5DC5}"/>
                </c:ext>
              </c:extLst>
            </c:dLbl>
            <c:dLbl>
              <c:idx val="25"/>
              <c:delete val="1"/>
              <c:extLst>
                <c:ext xmlns:c15="http://schemas.microsoft.com/office/drawing/2012/chart" uri="{CE6537A1-D6FC-4f65-9D91-7224C49458BB}"/>
                <c:ext xmlns:c16="http://schemas.microsoft.com/office/drawing/2014/chart" uri="{C3380CC4-5D6E-409C-BE32-E72D297353CC}">
                  <c16:uniqueId val="{0000000F-BB96-4ADA-B19F-8DDC067D5DC5}"/>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8.975979772439949</c:v>
                </c:pt>
                <c:pt idx="16" formatCode="0.0">
                  <c:v>8.975979772439949</c:v>
                </c:pt>
                <c:pt idx="17" formatCode="0.0">
                  <c:v>8.975979772439949</c:v>
                </c:pt>
                <c:pt idx="18" formatCode="0.0">
                  <c:v>8.975979772439949</c:v>
                </c:pt>
                <c:pt idx="19" formatCode="0.0">
                  <c:v>8.975979772439949</c:v>
                </c:pt>
                <c:pt idx="20" formatCode="0.0">
                  <c:v>8.975979772439949</c:v>
                </c:pt>
                <c:pt idx="21" formatCode="0.0">
                  <c:v>8.975979772439949</c:v>
                </c:pt>
                <c:pt idx="22" formatCode="0.0">
                  <c:v>8.975979772439949</c:v>
                </c:pt>
                <c:pt idx="23" formatCode="0.0">
                  <c:v>8.975979772439949</c:v>
                </c:pt>
                <c:pt idx="24" formatCode="0.0">
                  <c:v>8.975979772439949</c:v>
                </c:pt>
                <c:pt idx="25" formatCode="0.0">
                  <c:v>8.975979772439949</c:v>
                </c:pt>
              </c:numCache>
            </c:numRef>
          </c:val>
          <c:smooth val="0"/>
          <c:extLst>
            <c:ext xmlns:c16="http://schemas.microsoft.com/office/drawing/2014/chart" uri="{C3380CC4-5D6E-409C-BE32-E72D297353CC}">
              <c16:uniqueId val="{00000010-BB96-4ADA-B19F-8DDC067D5DC5}"/>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78.36879432624113</c:v>
                </c:pt>
                <c:pt idx="2">
                  <c:v>118.55791962174942</c:v>
                </c:pt>
                <c:pt idx="3">
                  <c:v>106.38297872340425</c:v>
                </c:pt>
                <c:pt idx="4">
                  <c:v>165.36643026004728</c:v>
                </c:pt>
                <c:pt idx="5">
                  <c:v>172.10401891252957</c:v>
                </c:pt>
                <c:pt idx="6">
                  <c:v>174.94089834515367</c:v>
                </c:pt>
                <c:pt idx="7">
                  <c:v>209.9290780141844</c:v>
                </c:pt>
                <c:pt idx="8">
                  <c:v>202.48226950354612</c:v>
                </c:pt>
                <c:pt idx="9">
                  <c:v>184.04255319148936</c:v>
                </c:pt>
                <c:pt idx="10">
                  <c:v>230.14184397163123</c:v>
                </c:pt>
                <c:pt idx="11">
                  <c:v>91.725768321513002</c:v>
                </c:pt>
                <c:pt idx="12">
                  <c:v>195.15366430260048</c:v>
                </c:pt>
                <c:pt idx="13">
                  <c:v>53.664302600472816</c:v>
                </c:pt>
                <c:pt idx="14">
                  <c:v>183.09692671394802</c:v>
                </c:pt>
                <c:pt idx="15">
                  <c:v>151.89125295508273</c:v>
                </c:pt>
                <c:pt idx="16">
                  <c:v>91.725768321513002</c:v>
                </c:pt>
                <c:pt idx="17">
                  <c:v>130.85106382978725</c:v>
                </c:pt>
                <c:pt idx="18">
                  <c:v>76.59574468085107</c:v>
                </c:pt>
                <c:pt idx="19">
                  <c:v>125.53191489361704</c:v>
                </c:pt>
                <c:pt idx="20">
                  <c:v>96.57210401891254</c:v>
                </c:pt>
                <c:pt idx="21">
                  <c:v>83.215130023640668</c:v>
                </c:pt>
                <c:pt idx="22">
                  <c:v>83.451536643026003</c:v>
                </c:pt>
                <c:pt idx="23">
                  <c:v>50.472813238770698</c:v>
                </c:pt>
                <c:pt idx="24">
                  <c:v>45.981087470449175</c:v>
                </c:pt>
                <c:pt idx="25">
                  <c:v>89.834515366430267</c:v>
                </c:pt>
              </c:numCache>
            </c:numRef>
          </c:val>
          <c:smooth val="0"/>
          <c:extLst>
            <c:ext xmlns:c16="http://schemas.microsoft.com/office/drawing/2014/chart" uri="{C3380CC4-5D6E-409C-BE32-E72D297353CC}">
              <c16:uniqueId val="{00000011-BB96-4ADA-B19F-8DDC067D5DC5}"/>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Operācijas ar nekustamo īpašumu (J)</a:t>
            </a:r>
          </a:p>
        </c:rich>
      </c:tx>
      <c:layout>
        <c:manualLayout>
          <c:xMode val="edge"/>
          <c:yMode val="edge"/>
          <c:x val="6.6204339136507015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8.3275590551181111E-2"/>
          <c:w val="0.8689486891061694"/>
          <c:h val="0.76383321403006443"/>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50.150408250966919</c:v>
                </c:pt>
                <c:pt idx="1">
                  <c:v>46.510020732550103</c:v>
                </c:pt>
                <c:pt idx="2">
                  <c:v>52.327850571508229</c:v>
                </c:pt>
                <c:pt idx="3">
                  <c:v>46.809954751131222</c:v>
                </c:pt>
                <c:pt idx="4">
                  <c:v>50.354330708661422</c:v>
                </c:pt>
                <c:pt idx="5">
                  <c:v>52.970561998215871</c:v>
                </c:pt>
                <c:pt idx="6">
                  <c:v>39.097744360902254</c:v>
                </c:pt>
                <c:pt idx="7">
                  <c:v>35.123384253819033</c:v>
                </c:pt>
                <c:pt idx="8">
                  <c:v>52.991279659298321</c:v>
                </c:pt>
                <c:pt idx="9">
                  <c:v>66.015256706951234</c:v>
                </c:pt>
                <c:pt idx="10">
                  <c:v>70.181190681622084</c:v>
                </c:pt>
                <c:pt idx="11">
                  <c:v>94.131143581693024</c:v>
                </c:pt>
                <c:pt idx="12">
                  <c:v>81.412337662337663</c:v>
                </c:pt>
                <c:pt idx="13">
                  <c:v>57.520314547837479</c:v>
                </c:pt>
                <c:pt idx="14">
                  <c:v>44.523691391714209</c:v>
                </c:pt>
                <c:pt idx="15">
                  <c:v>38.918173309030003</c:v>
                </c:pt>
                <c:pt idx="16">
                  <c:v>45.1748019740389</c:v>
                </c:pt>
                <c:pt idx="17">
                  <c:v>44.989412897016358</c:v>
                </c:pt>
                <c:pt idx="18">
                  <c:v>38.580578154751606</c:v>
                </c:pt>
                <c:pt idx="19">
                  <c:v>42.481914301613799</c:v>
                </c:pt>
                <c:pt idx="20">
                  <c:v>40.039447731755423</c:v>
                </c:pt>
                <c:pt idx="21">
                  <c:v>43.241022832300686</c:v>
                </c:pt>
                <c:pt idx="22">
                  <c:v>48.959557772341711</c:v>
                </c:pt>
                <c:pt idx="23">
                  <c:v>56.356467362843851</c:v>
                </c:pt>
                <c:pt idx="24">
                  <c:v>55.146517900931826</c:v>
                </c:pt>
                <c:pt idx="25">
                  <c:v>53.045005082709537</c:v>
                </c:pt>
              </c:numCache>
            </c:numRef>
          </c:val>
          <c:extLst>
            <c:ext xmlns:c16="http://schemas.microsoft.com/office/drawing/2014/chart" uri="{C3380CC4-5D6E-409C-BE32-E72D297353CC}">
              <c16:uniqueId val="{00000000-8028-4D32-9945-5F7932E59521}"/>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8028-4D32-9945-5F7932E59521}"/>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64.529766098700989</c:v>
                </c:pt>
                <c:pt idx="2">
                  <c:v>64.529766098700989</c:v>
                </c:pt>
                <c:pt idx="3">
                  <c:v>64.529766098700989</c:v>
                </c:pt>
                <c:pt idx="4">
                  <c:v>64.529766098700989</c:v>
                </c:pt>
                <c:pt idx="5">
                  <c:v>64.529766098700989</c:v>
                </c:pt>
                <c:pt idx="6">
                  <c:v>64.529766098700989</c:v>
                </c:pt>
                <c:pt idx="7">
                  <c:v>64.529766098700989</c:v>
                </c:pt>
                <c:pt idx="8">
                  <c:v>64.529766098700989</c:v>
                </c:pt>
                <c:pt idx="9">
                  <c:v>64.529766098700989</c:v>
                </c:pt>
                <c:pt idx="10">
                  <c:v>64.529766098700989</c:v>
                </c:pt>
                <c:pt idx="11">
                  <c:v>64.529766098700989</c:v>
                </c:pt>
              </c:numCache>
            </c:numRef>
          </c:val>
          <c:smooth val="0"/>
          <c:extLst>
            <c:ext xmlns:c16="http://schemas.microsoft.com/office/drawing/2014/chart" uri="{C3380CC4-5D6E-409C-BE32-E72D297353CC}">
              <c16:uniqueId val="{00000002-8028-4D32-9945-5F7932E59521}"/>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8028-4D32-9945-5F7932E59521}"/>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63.856347866775856</c:v>
                </c:pt>
                <c:pt idx="13" formatCode="0.0">
                  <c:v>63.856347866775856</c:v>
                </c:pt>
                <c:pt idx="14" formatCode="0.0">
                  <c:v>63.856347866775856</c:v>
                </c:pt>
              </c:numCache>
            </c:numRef>
          </c:val>
          <c:smooth val="0"/>
          <c:extLst>
            <c:ext xmlns:c16="http://schemas.microsoft.com/office/drawing/2014/chart" uri="{C3380CC4-5D6E-409C-BE32-E72D297353CC}">
              <c16:uniqueId val="{00000004-8028-4D32-9945-5F7932E59521}"/>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8028-4D32-9945-5F7932E59521}"/>
                </c:ext>
              </c:extLst>
            </c:dLbl>
            <c:dLbl>
              <c:idx val="16"/>
              <c:delete val="1"/>
              <c:extLst>
                <c:ext xmlns:c15="http://schemas.microsoft.com/office/drawing/2012/chart" uri="{CE6537A1-D6FC-4f65-9D91-7224C49458BB}"/>
                <c:ext xmlns:c16="http://schemas.microsoft.com/office/drawing/2014/chart" uri="{C3380CC4-5D6E-409C-BE32-E72D297353CC}">
                  <c16:uniqueId val="{00000006-8028-4D32-9945-5F7932E59521}"/>
                </c:ext>
              </c:extLst>
            </c:dLbl>
            <c:dLbl>
              <c:idx val="17"/>
              <c:delete val="1"/>
              <c:extLst>
                <c:ext xmlns:c15="http://schemas.microsoft.com/office/drawing/2012/chart" uri="{CE6537A1-D6FC-4f65-9D91-7224C49458BB}"/>
                <c:ext xmlns:c16="http://schemas.microsoft.com/office/drawing/2014/chart" uri="{C3380CC4-5D6E-409C-BE32-E72D297353CC}">
                  <c16:uniqueId val="{00000007-8028-4D32-9945-5F7932E59521}"/>
                </c:ext>
              </c:extLst>
            </c:dLbl>
            <c:dLbl>
              <c:idx val="18"/>
              <c:delete val="1"/>
              <c:extLst>
                <c:ext xmlns:c15="http://schemas.microsoft.com/office/drawing/2012/chart" uri="{CE6537A1-D6FC-4f65-9D91-7224C49458BB}"/>
                <c:ext xmlns:c16="http://schemas.microsoft.com/office/drawing/2014/chart" uri="{C3380CC4-5D6E-409C-BE32-E72D297353CC}">
                  <c16:uniqueId val="{00000008-8028-4D32-9945-5F7932E59521}"/>
                </c:ext>
              </c:extLst>
            </c:dLbl>
            <c:dLbl>
              <c:idx val="19"/>
              <c:delete val="1"/>
              <c:extLst>
                <c:ext xmlns:c15="http://schemas.microsoft.com/office/drawing/2012/chart" uri="{CE6537A1-D6FC-4f65-9D91-7224C49458BB}"/>
                <c:ext xmlns:c16="http://schemas.microsoft.com/office/drawing/2014/chart" uri="{C3380CC4-5D6E-409C-BE32-E72D297353CC}">
                  <c16:uniqueId val="{00000009-8028-4D32-9945-5F7932E59521}"/>
                </c:ext>
              </c:extLst>
            </c:dLbl>
            <c:dLbl>
              <c:idx val="20"/>
              <c:delete val="1"/>
              <c:extLst>
                <c:ext xmlns:c15="http://schemas.microsoft.com/office/drawing/2012/chart" uri="{CE6537A1-D6FC-4f65-9D91-7224C49458BB}"/>
                <c:ext xmlns:c16="http://schemas.microsoft.com/office/drawing/2014/chart" uri="{C3380CC4-5D6E-409C-BE32-E72D297353CC}">
                  <c16:uniqueId val="{0000000A-8028-4D32-9945-5F7932E59521}"/>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8028-4D32-9945-5F7932E59521}"/>
                </c:ext>
              </c:extLst>
            </c:dLbl>
            <c:dLbl>
              <c:idx val="22"/>
              <c:delete val="1"/>
              <c:extLst>
                <c:ext xmlns:c15="http://schemas.microsoft.com/office/drawing/2012/chart" uri="{CE6537A1-D6FC-4f65-9D91-7224C49458BB}"/>
                <c:ext xmlns:c16="http://schemas.microsoft.com/office/drawing/2014/chart" uri="{C3380CC4-5D6E-409C-BE32-E72D297353CC}">
                  <c16:uniqueId val="{0000000C-8028-4D32-9945-5F7932E59521}"/>
                </c:ext>
              </c:extLst>
            </c:dLbl>
            <c:dLbl>
              <c:idx val="23"/>
              <c:delete val="1"/>
              <c:extLst>
                <c:ext xmlns:c15="http://schemas.microsoft.com/office/drawing/2012/chart" uri="{CE6537A1-D6FC-4f65-9D91-7224C49458BB}"/>
                <c:ext xmlns:c16="http://schemas.microsoft.com/office/drawing/2014/chart" uri="{C3380CC4-5D6E-409C-BE32-E72D297353CC}">
                  <c16:uniqueId val="{0000000D-8028-4D32-9945-5F7932E59521}"/>
                </c:ext>
              </c:extLst>
            </c:dLbl>
            <c:dLbl>
              <c:idx val="24"/>
              <c:delete val="1"/>
              <c:extLst>
                <c:ext xmlns:c15="http://schemas.microsoft.com/office/drawing/2012/chart" uri="{CE6537A1-D6FC-4f65-9D91-7224C49458BB}"/>
                <c:ext xmlns:c16="http://schemas.microsoft.com/office/drawing/2014/chart" uri="{C3380CC4-5D6E-409C-BE32-E72D297353CC}">
                  <c16:uniqueId val="{0000000E-8028-4D32-9945-5F7932E59521}"/>
                </c:ext>
              </c:extLst>
            </c:dLbl>
            <c:dLbl>
              <c:idx val="25"/>
              <c:delete val="1"/>
              <c:extLst>
                <c:ext xmlns:c15="http://schemas.microsoft.com/office/drawing/2012/chart" uri="{CE6537A1-D6FC-4f65-9D91-7224C49458BB}"/>
                <c:ext xmlns:c16="http://schemas.microsoft.com/office/drawing/2014/chart" uri="{C3380CC4-5D6E-409C-BE32-E72D297353CC}">
                  <c16:uniqueId val="{0000000F-8028-4D32-9945-5F7932E59521}"/>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46.663512956315785</c:v>
                </c:pt>
                <c:pt idx="16" formatCode="0.0">
                  <c:v>46.663512956315785</c:v>
                </c:pt>
                <c:pt idx="17" formatCode="0.0">
                  <c:v>46.663512956315785</c:v>
                </c:pt>
                <c:pt idx="18" formatCode="0.0">
                  <c:v>46.663512956315785</c:v>
                </c:pt>
                <c:pt idx="19" formatCode="0.0">
                  <c:v>46.663512956315785</c:v>
                </c:pt>
                <c:pt idx="20" formatCode="0.0">
                  <c:v>46.663512956315785</c:v>
                </c:pt>
                <c:pt idx="21" formatCode="0.0">
                  <c:v>46.663512956315785</c:v>
                </c:pt>
                <c:pt idx="22" formatCode="0.0">
                  <c:v>46.663512956315785</c:v>
                </c:pt>
                <c:pt idx="23" formatCode="0.0">
                  <c:v>46.663512956315785</c:v>
                </c:pt>
                <c:pt idx="24" formatCode="0.0">
                  <c:v>46.663512956315785</c:v>
                </c:pt>
                <c:pt idx="25" formatCode="0.0">
                  <c:v>46.663512956315785</c:v>
                </c:pt>
              </c:numCache>
            </c:numRef>
          </c:val>
          <c:smooth val="0"/>
          <c:extLst>
            <c:ext xmlns:c16="http://schemas.microsoft.com/office/drawing/2014/chart" uri="{C3380CC4-5D6E-409C-BE32-E72D297353CC}">
              <c16:uniqueId val="{00000010-8028-4D32-9945-5F7932E59521}"/>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100.90791180285343</c:v>
                </c:pt>
                <c:pt idx="2">
                  <c:v>127.8858625162127</c:v>
                </c:pt>
                <c:pt idx="3">
                  <c:v>131.72132666296088</c:v>
                </c:pt>
                <c:pt idx="4">
                  <c:v>146.24791550861588</c:v>
                </c:pt>
                <c:pt idx="5">
                  <c:v>168.76042245692048</c:v>
                </c:pt>
                <c:pt idx="6">
                  <c:v>118.99203261070966</c:v>
                </c:pt>
                <c:pt idx="7">
                  <c:v>124.86566611080228</c:v>
                </c:pt>
                <c:pt idx="8">
                  <c:v>214.30424309801737</c:v>
                </c:pt>
                <c:pt idx="9">
                  <c:v>266.53696498054472</c:v>
                </c:pt>
                <c:pt idx="10">
                  <c:v>286.88160088938292</c:v>
                </c:pt>
                <c:pt idx="11">
                  <c:v>429.36816750046319</c:v>
                </c:pt>
                <c:pt idx="12">
                  <c:v>345.78469520103761</c:v>
                </c:pt>
                <c:pt idx="13">
                  <c:v>233.51862145636463</c:v>
                </c:pt>
                <c:pt idx="14">
                  <c:v>161.83064665554937</c:v>
                </c:pt>
                <c:pt idx="15">
                  <c:v>161.0153789142116</c:v>
                </c:pt>
                <c:pt idx="16">
                  <c:v>210.19084676672227</c:v>
                </c:pt>
                <c:pt idx="17">
                  <c:v>220.71521215490085</c:v>
                </c:pt>
                <c:pt idx="18">
                  <c:v>202.64962015934776</c:v>
                </c:pt>
                <c:pt idx="19">
                  <c:v>212.17342968315728</c:v>
                </c:pt>
                <c:pt idx="20">
                  <c:v>206.2812673707615</c:v>
                </c:pt>
                <c:pt idx="21">
                  <c:v>220.82638502871964</c:v>
                </c:pt>
                <c:pt idx="22">
                  <c:v>253.455623494534</c:v>
                </c:pt>
                <c:pt idx="23">
                  <c:v>284.93607559755418</c:v>
                </c:pt>
                <c:pt idx="24">
                  <c:v>275.5790253844728</c:v>
                </c:pt>
                <c:pt idx="25">
                  <c:v>252.6959421901056</c:v>
                </c:pt>
              </c:numCache>
            </c:numRef>
          </c:val>
          <c:smooth val="0"/>
          <c:extLst>
            <c:ext xmlns:c16="http://schemas.microsoft.com/office/drawing/2014/chart" uri="{C3380CC4-5D6E-409C-BE32-E72D297353CC}">
              <c16:uniqueId val="{00000011-8028-4D32-9945-5F7932E59521}"/>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10"/>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2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Profesionālie, zinātniskie, tehniskie un administratīvie pakalpojumi (M,N)</a:t>
            </a:r>
          </a:p>
        </c:rich>
      </c:tx>
      <c:layout>
        <c:manualLayout>
          <c:xMode val="edge"/>
          <c:yMode val="edge"/>
          <c:x val="8.0318665177438561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0.11054831782390838"/>
          <c:w val="0.8689486891061694"/>
          <c:h val="0.7365604867573371"/>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15.977084659452579</c:v>
                </c:pt>
                <c:pt idx="1">
                  <c:v>18.975609756097562</c:v>
                </c:pt>
                <c:pt idx="2">
                  <c:v>18.277153558052433</c:v>
                </c:pt>
                <c:pt idx="3">
                  <c:v>16.326530612244898</c:v>
                </c:pt>
                <c:pt idx="4">
                  <c:v>17.527885272023674</c:v>
                </c:pt>
                <c:pt idx="5">
                  <c:v>20.891111616276429</c:v>
                </c:pt>
                <c:pt idx="6">
                  <c:v>19.456838021338505</c:v>
                </c:pt>
                <c:pt idx="7">
                  <c:v>16.296728971962619</c:v>
                </c:pt>
                <c:pt idx="8">
                  <c:v>25.637236793498342</c:v>
                </c:pt>
                <c:pt idx="9">
                  <c:v>28.368600682593858</c:v>
                </c:pt>
                <c:pt idx="10">
                  <c:v>33.823026990092245</c:v>
                </c:pt>
                <c:pt idx="11">
                  <c:v>28.923627313734642</c:v>
                </c:pt>
                <c:pt idx="12">
                  <c:v>20.576860045886594</c:v>
                </c:pt>
                <c:pt idx="13">
                  <c:v>13.337305302578942</c:v>
                </c:pt>
                <c:pt idx="14">
                  <c:v>12.722450376454484</c:v>
                </c:pt>
                <c:pt idx="15">
                  <c:v>11.810044753853804</c:v>
                </c:pt>
                <c:pt idx="16">
                  <c:v>18.217391304347824</c:v>
                </c:pt>
                <c:pt idx="17">
                  <c:v>15.416666666666668</c:v>
                </c:pt>
                <c:pt idx="18">
                  <c:v>16.192075218267295</c:v>
                </c:pt>
                <c:pt idx="19">
                  <c:v>16.699510520628063</c:v>
                </c:pt>
                <c:pt idx="20">
                  <c:v>14.896913359551899</c:v>
                </c:pt>
                <c:pt idx="21">
                  <c:v>15.411829740187949</c:v>
                </c:pt>
                <c:pt idx="22">
                  <c:v>20.013247057624699</c:v>
                </c:pt>
                <c:pt idx="23">
                  <c:v>25.340853359489952</c:v>
                </c:pt>
                <c:pt idx="24">
                  <c:v>14.033556396081856</c:v>
                </c:pt>
                <c:pt idx="25">
                  <c:v>14.971715901948457</c:v>
                </c:pt>
              </c:numCache>
            </c:numRef>
          </c:val>
          <c:extLst>
            <c:ext xmlns:c16="http://schemas.microsoft.com/office/drawing/2014/chart" uri="{C3380CC4-5D6E-409C-BE32-E72D297353CC}">
              <c16:uniqueId val="{00000000-50EF-4A0C-9D11-197320689807}"/>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0EF-4A0C-9D11-197320689807}"/>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24.536166072007788</c:v>
                </c:pt>
                <c:pt idx="2">
                  <c:v>24.536166072007788</c:v>
                </c:pt>
                <c:pt idx="3">
                  <c:v>24.536166072007788</c:v>
                </c:pt>
                <c:pt idx="4">
                  <c:v>24.536166072007788</c:v>
                </c:pt>
                <c:pt idx="5">
                  <c:v>24.536166072007788</c:v>
                </c:pt>
                <c:pt idx="6">
                  <c:v>24.536166072007788</c:v>
                </c:pt>
                <c:pt idx="7">
                  <c:v>24.536166072007788</c:v>
                </c:pt>
                <c:pt idx="8">
                  <c:v>24.536166072007788</c:v>
                </c:pt>
                <c:pt idx="9">
                  <c:v>24.536166072007788</c:v>
                </c:pt>
                <c:pt idx="10">
                  <c:v>24.536166072007788</c:v>
                </c:pt>
                <c:pt idx="11">
                  <c:v>24.536166072007788</c:v>
                </c:pt>
              </c:numCache>
            </c:numRef>
          </c:val>
          <c:smooth val="0"/>
          <c:extLst>
            <c:ext xmlns:c16="http://schemas.microsoft.com/office/drawing/2014/chart" uri="{C3380CC4-5D6E-409C-BE32-E72D297353CC}">
              <c16:uniqueId val="{00000002-50EF-4A0C-9D11-197320689807}"/>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0EF-4A0C-9D11-197320689807}"/>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16.005892690995555</c:v>
                </c:pt>
                <c:pt idx="13" formatCode="0.0">
                  <c:v>16.005892690995555</c:v>
                </c:pt>
                <c:pt idx="14" formatCode="0.0">
                  <c:v>16.005892690995555</c:v>
                </c:pt>
              </c:numCache>
            </c:numRef>
          </c:val>
          <c:smooth val="0"/>
          <c:extLst>
            <c:ext xmlns:c16="http://schemas.microsoft.com/office/drawing/2014/chart" uri="{C3380CC4-5D6E-409C-BE32-E72D297353CC}">
              <c16:uniqueId val="{00000004-50EF-4A0C-9D11-197320689807}"/>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50EF-4A0C-9D11-197320689807}"/>
                </c:ext>
              </c:extLst>
            </c:dLbl>
            <c:dLbl>
              <c:idx val="16"/>
              <c:delete val="1"/>
              <c:extLst>
                <c:ext xmlns:c15="http://schemas.microsoft.com/office/drawing/2012/chart" uri="{CE6537A1-D6FC-4f65-9D91-7224C49458BB}"/>
                <c:ext xmlns:c16="http://schemas.microsoft.com/office/drawing/2014/chart" uri="{C3380CC4-5D6E-409C-BE32-E72D297353CC}">
                  <c16:uniqueId val="{00000006-50EF-4A0C-9D11-197320689807}"/>
                </c:ext>
              </c:extLst>
            </c:dLbl>
            <c:dLbl>
              <c:idx val="17"/>
              <c:delete val="1"/>
              <c:extLst>
                <c:ext xmlns:c15="http://schemas.microsoft.com/office/drawing/2012/chart" uri="{CE6537A1-D6FC-4f65-9D91-7224C49458BB}"/>
                <c:ext xmlns:c16="http://schemas.microsoft.com/office/drawing/2014/chart" uri="{C3380CC4-5D6E-409C-BE32-E72D297353CC}">
                  <c16:uniqueId val="{00000007-50EF-4A0C-9D11-197320689807}"/>
                </c:ext>
              </c:extLst>
            </c:dLbl>
            <c:dLbl>
              <c:idx val="18"/>
              <c:delete val="1"/>
              <c:extLst>
                <c:ext xmlns:c15="http://schemas.microsoft.com/office/drawing/2012/chart" uri="{CE6537A1-D6FC-4f65-9D91-7224C49458BB}"/>
                <c:ext xmlns:c16="http://schemas.microsoft.com/office/drawing/2014/chart" uri="{C3380CC4-5D6E-409C-BE32-E72D297353CC}">
                  <c16:uniqueId val="{00000008-50EF-4A0C-9D11-197320689807}"/>
                </c:ext>
              </c:extLst>
            </c:dLbl>
            <c:dLbl>
              <c:idx val="19"/>
              <c:delete val="1"/>
              <c:extLst>
                <c:ext xmlns:c15="http://schemas.microsoft.com/office/drawing/2012/chart" uri="{CE6537A1-D6FC-4f65-9D91-7224C49458BB}"/>
                <c:ext xmlns:c16="http://schemas.microsoft.com/office/drawing/2014/chart" uri="{C3380CC4-5D6E-409C-BE32-E72D297353CC}">
                  <c16:uniqueId val="{00000009-50EF-4A0C-9D11-197320689807}"/>
                </c:ext>
              </c:extLst>
            </c:dLbl>
            <c:dLbl>
              <c:idx val="20"/>
              <c:delete val="1"/>
              <c:extLst>
                <c:ext xmlns:c15="http://schemas.microsoft.com/office/drawing/2012/chart" uri="{CE6537A1-D6FC-4f65-9D91-7224C49458BB}"/>
                <c:ext xmlns:c16="http://schemas.microsoft.com/office/drawing/2014/chart" uri="{C3380CC4-5D6E-409C-BE32-E72D297353CC}">
                  <c16:uniqueId val="{0000000A-50EF-4A0C-9D11-197320689807}"/>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0EF-4A0C-9D11-197320689807}"/>
                </c:ext>
              </c:extLst>
            </c:dLbl>
            <c:dLbl>
              <c:idx val="22"/>
              <c:delete val="1"/>
              <c:extLst>
                <c:ext xmlns:c15="http://schemas.microsoft.com/office/drawing/2012/chart" uri="{CE6537A1-D6FC-4f65-9D91-7224C49458BB}"/>
                <c:ext xmlns:c16="http://schemas.microsoft.com/office/drawing/2014/chart" uri="{C3380CC4-5D6E-409C-BE32-E72D297353CC}">
                  <c16:uniqueId val="{0000000C-50EF-4A0C-9D11-197320689807}"/>
                </c:ext>
              </c:extLst>
            </c:dLbl>
            <c:dLbl>
              <c:idx val="23"/>
              <c:delete val="1"/>
              <c:extLst>
                <c:ext xmlns:c15="http://schemas.microsoft.com/office/drawing/2012/chart" uri="{CE6537A1-D6FC-4f65-9D91-7224C49458BB}"/>
                <c:ext xmlns:c16="http://schemas.microsoft.com/office/drawing/2014/chart" uri="{C3380CC4-5D6E-409C-BE32-E72D297353CC}">
                  <c16:uniqueId val="{0000000D-50EF-4A0C-9D11-197320689807}"/>
                </c:ext>
              </c:extLst>
            </c:dLbl>
            <c:dLbl>
              <c:idx val="24"/>
              <c:delete val="1"/>
              <c:extLst>
                <c:ext xmlns:c15="http://schemas.microsoft.com/office/drawing/2012/chart" uri="{CE6537A1-D6FC-4f65-9D91-7224C49458BB}"/>
                <c:ext xmlns:c16="http://schemas.microsoft.com/office/drawing/2014/chart" uri="{C3380CC4-5D6E-409C-BE32-E72D297353CC}">
                  <c16:uniqueId val="{0000000E-50EF-4A0C-9D11-197320689807}"/>
                </c:ext>
              </c:extLst>
            </c:dLbl>
            <c:dLbl>
              <c:idx val="25"/>
              <c:delete val="1"/>
              <c:extLst>
                <c:ext xmlns:c15="http://schemas.microsoft.com/office/drawing/2012/chart" uri="{CE6537A1-D6FC-4f65-9D91-7224C49458BB}"/>
                <c:ext xmlns:c16="http://schemas.microsoft.com/office/drawing/2014/chart" uri="{C3380CC4-5D6E-409C-BE32-E72D297353CC}">
                  <c16:uniqueId val="{0000000F-50EF-4A0C-9D11-197320689807}"/>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16.843527117726513</c:v>
                </c:pt>
                <c:pt idx="16" formatCode="0.0">
                  <c:v>16.843527117726513</c:v>
                </c:pt>
                <c:pt idx="17" formatCode="0.0">
                  <c:v>16.843527117726513</c:v>
                </c:pt>
                <c:pt idx="18" formatCode="0.0">
                  <c:v>16.843527117726513</c:v>
                </c:pt>
                <c:pt idx="19" formatCode="0.0">
                  <c:v>16.843527117726513</c:v>
                </c:pt>
                <c:pt idx="20" formatCode="0.0">
                  <c:v>16.843527117726513</c:v>
                </c:pt>
                <c:pt idx="21" formatCode="0.0">
                  <c:v>16.843527117726513</c:v>
                </c:pt>
                <c:pt idx="22" formatCode="0.0">
                  <c:v>16.843527117726513</c:v>
                </c:pt>
                <c:pt idx="23" formatCode="0.0">
                  <c:v>16.843527117726513</c:v>
                </c:pt>
                <c:pt idx="24" formatCode="0.0">
                  <c:v>16.843527117726513</c:v>
                </c:pt>
                <c:pt idx="25" formatCode="0.0">
                  <c:v>16.843527117726513</c:v>
                </c:pt>
              </c:numCache>
            </c:numRef>
          </c:val>
          <c:smooth val="0"/>
          <c:extLst>
            <c:ext xmlns:c16="http://schemas.microsoft.com/office/drawing/2014/chart" uri="{C3380CC4-5D6E-409C-BE32-E72D297353CC}">
              <c16:uniqueId val="{00000010-50EF-4A0C-9D11-197320689807}"/>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131.60621761658032</c:v>
                </c:pt>
                <c:pt idx="2">
                  <c:v>146.11398963730568</c:v>
                </c:pt>
                <c:pt idx="3">
                  <c:v>167.35751295336789</c:v>
                </c:pt>
                <c:pt idx="4">
                  <c:v>203.28151986183073</c:v>
                </c:pt>
                <c:pt idx="5">
                  <c:v>237.99654576856653</c:v>
                </c:pt>
                <c:pt idx="6">
                  <c:v>261.83074265975819</c:v>
                </c:pt>
                <c:pt idx="7">
                  <c:v>236.09671848013812</c:v>
                </c:pt>
                <c:pt idx="8">
                  <c:v>390.15544041450778</c:v>
                </c:pt>
                <c:pt idx="9">
                  <c:v>564.59412780656294</c:v>
                </c:pt>
                <c:pt idx="10">
                  <c:v>708.6355785837651</c:v>
                </c:pt>
                <c:pt idx="11">
                  <c:v>801.38169257340246</c:v>
                </c:pt>
                <c:pt idx="12">
                  <c:v>649.39550949913644</c:v>
                </c:pt>
                <c:pt idx="13">
                  <c:v>350.43177892918828</c:v>
                </c:pt>
                <c:pt idx="14">
                  <c:v>325.56131260794473</c:v>
                </c:pt>
                <c:pt idx="15">
                  <c:v>290.50086355785834</c:v>
                </c:pt>
                <c:pt idx="16">
                  <c:v>459.58549222797933</c:v>
                </c:pt>
                <c:pt idx="17">
                  <c:v>402.76338514680486</c:v>
                </c:pt>
                <c:pt idx="18">
                  <c:v>427.28842832469775</c:v>
                </c:pt>
                <c:pt idx="19">
                  <c:v>453.71329879101904</c:v>
                </c:pt>
                <c:pt idx="20">
                  <c:v>432.64248704663214</c:v>
                </c:pt>
                <c:pt idx="21">
                  <c:v>472.88428324697753</c:v>
                </c:pt>
                <c:pt idx="22">
                  <c:v>654.40414507772027</c:v>
                </c:pt>
                <c:pt idx="23">
                  <c:v>857.3402417962003</c:v>
                </c:pt>
                <c:pt idx="24">
                  <c:v>465.97582037996546</c:v>
                </c:pt>
                <c:pt idx="25">
                  <c:v>558.20379965457687</c:v>
                </c:pt>
              </c:numCache>
            </c:numRef>
          </c:val>
          <c:smooth val="0"/>
          <c:extLst>
            <c:ext xmlns:c16="http://schemas.microsoft.com/office/drawing/2014/chart" uri="{C3380CC4-5D6E-409C-BE32-E72D297353CC}">
              <c16:uniqueId val="{00000011-50EF-4A0C-9D11-197320689807}"/>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chemeClr val="tx1"/>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700" b="0" i="0" u="none" strike="noStrike" kern="1200" baseline="0">
                <a:solidFill>
                  <a:schemeClr val="bg1">
                    <a:lumMod val="50000"/>
                  </a:schemeClr>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r>
              <a:rPr lang="lv-LV" sz="800" b="1"/>
              <a:t>Sabiedriskie pakalpojumi (O,P,Q)</a:t>
            </a:r>
          </a:p>
        </c:rich>
      </c:tx>
      <c:layout>
        <c:manualLayout>
          <c:xMode val="edge"/>
          <c:yMode val="edge"/>
          <c:x val="6.1499563789529824E-2"/>
          <c:y val="0"/>
        </c:manualLayout>
      </c:layout>
      <c:overlay val="0"/>
      <c:spPr>
        <a:noFill/>
        <a:ln>
          <a:noFill/>
        </a:ln>
        <a:effectLst/>
      </c:spPr>
      <c:txPr>
        <a:bodyPr rot="0" spcFirstLastPara="1" vertOverflow="ellipsis" vert="horz" wrap="square" anchor="ctr" anchorCtr="1"/>
        <a:lstStyle/>
        <a:p>
          <a:pPr>
            <a:defRPr sz="800" b="1" i="0" u="none" strike="noStrike" kern="1200" spc="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title>
    <c:autoTitleDeleted val="0"/>
    <c:plotArea>
      <c:layout>
        <c:manualLayout>
          <c:layoutTarget val="inner"/>
          <c:xMode val="edge"/>
          <c:yMode val="edge"/>
          <c:x val="6.3327853249113095E-2"/>
          <c:y val="0.11963922691481746"/>
          <c:w val="0.8689486891061694"/>
          <c:h val="0.72746957766642806"/>
        </c:manualLayout>
      </c:layout>
      <c:barChart>
        <c:barDir val="col"/>
        <c:grouping val="clustered"/>
        <c:varyColors val="0"/>
        <c:ser>
          <c:idx val="1"/>
          <c:order val="1"/>
          <c:tx>
            <c:strRef>
              <c:f>Sheet1!$C$1</c:f>
              <c:strCache>
                <c:ptCount val="1"/>
                <c:pt idx="0">
                  <c:v>investīciju līmenis (% no PV) </c:v>
                </c:pt>
              </c:strCache>
            </c:strRef>
          </c:tx>
          <c:spPr>
            <a:solidFill>
              <a:srgbClr val="E7E6E6">
                <a:lumMod val="90000"/>
              </a:srgbClr>
            </a:solidFill>
            <a:ln w="0">
              <a:noFill/>
            </a:ln>
            <a:effectLst/>
          </c:spPr>
          <c:invertIfNegative val="0"/>
          <c:dLbls>
            <c:numFmt formatCode="#,##0" sourceLinked="0"/>
            <c:spPr>
              <a:noFill/>
              <a:ln>
                <a:noFill/>
              </a:ln>
              <a:effectLst/>
            </c:spPr>
            <c:txPr>
              <a:bodyPr rot="0" spcFirstLastPara="1" vertOverflow="ellipsis" vert="horz" wrap="square" anchor="ctr" anchorCtr="1"/>
              <a:lstStyle/>
              <a:p>
                <a:pPr>
                  <a:defRPr sz="4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Sheet1!$C$2:$C$28</c:f>
              <c:numCache>
                <c:formatCode>0.0</c:formatCode>
                <c:ptCount val="26"/>
                <c:pt idx="0">
                  <c:v>17.802349689011752</c:v>
                </c:pt>
                <c:pt idx="1">
                  <c:v>12.46836899010812</c:v>
                </c:pt>
                <c:pt idx="2">
                  <c:v>14.786865184580869</c:v>
                </c:pt>
                <c:pt idx="3">
                  <c:v>14.260656025258726</c:v>
                </c:pt>
                <c:pt idx="4">
                  <c:v>14.116854941273282</c:v>
                </c:pt>
                <c:pt idx="5">
                  <c:v>10.482708933717579</c:v>
                </c:pt>
                <c:pt idx="6">
                  <c:v>12.815451853940507</c:v>
                </c:pt>
                <c:pt idx="7">
                  <c:v>19.206598586017279</c:v>
                </c:pt>
                <c:pt idx="8">
                  <c:v>21.980822915402349</c:v>
                </c:pt>
                <c:pt idx="9">
                  <c:v>23.154290605606676</c:v>
                </c:pt>
                <c:pt idx="10">
                  <c:v>35.356401677184365</c:v>
                </c:pt>
                <c:pt idx="11">
                  <c:v>35.290417937670995</c:v>
                </c:pt>
                <c:pt idx="12">
                  <c:v>28.303991077829991</c:v>
                </c:pt>
                <c:pt idx="13">
                  <c:v>26.275701892205749</c:v>
                </c:pt>
                <c:pt idx="14">
                  <c:v>27.398434152611689</c:v>
                </c:pt>
                <c:pt idx="15">
                  <c:v>33.285811027551063</c:v>
                </c:pt>
                <c:pt idx="16">
                  <c:v>31.664187737564038</c:v>
                </c:pt>
                <c:pt idx="17">
                  <c:v>31.281575749824132</c:v>
                </c:pt>
                <c:pt idx="18">
                  <c:v>30.492781872449289</c:v>
                </c:pt>
                <c:pt idx="19">
                  <c:v>30.455236510713984</c:v>
                </c:pt>
                <c:pt idx="20">
                  <c:v>20.358165790717724</c:v>
                </c:pt>
                <c:pt idx="21">
                  <c:v>27.366399335565422</c:v>
                </c:pt>
                <c:pt idx="22">
                  <c:v>33.362789586816341</c:v>
                </c:pt>
                <c:pt idx="23">
                  <c:v>29.720579506232546</c:v>
                </c:pt>
                <c:pt idx="24">
                  <c:v>31.09178864840068</c:v>
                </c:pt>
                <c:pt idx="25">
                  <c:v>27.012617086931911</c:v>
                </c:pt>
              </c:numCache>
            </c:numRef>
          </c:val>
          <c:extLst>
            <c:ext xmlns:c16="http://schemas.microsoft.com/office/drawing/2014/chart" uri="{C3380CC4-5D6E-409C-BE32-E72D297353CC}">
              <c16:uniqueId val="{00000000-B366-4B23-A861-9603D12A5476}"/>
            </c:ext>
          </c:extLst>
        </c:ser>
        <c:dLbls>
          <c:showLegendKey val="0"/>
          <c:showVal val="0"/>
          <c:showCatName val="0"/>
          <c:showSerName val="0"/>
          <c:showPercent val="0"/>
          <c:showBubbleSize val="0"/>
        </c:dLbls>
        <c:gapWidth val="20"/>
        <c:axId val="836857888"/>
        <c:axId val="836857560"/>
      </c:barChart>
      <c:lineChart>
        <c:grouping val="standard"/>
        <c:varyColors val="0"/>
        <c:ser>
          <c:idx val="2"/>
          <c:order val="2"/>
          <c:tx>
            <c:strRef>
              <c:f>Sheet1!$D$1</c:f>
              <c:strCache>
                <c:ptCount val="1"/>
                <c:pt idx="0">
                  <c:v> investīciju līmenis (%, vidēji 1997-2007)</c:v>
                </c:pt>
              </c:strCache>
            </c:strRef>
          </c:tx>
          <c:spPr>
            <a:ln w="12700" cap="rnd">
              <a:solidFill>
                <a:srgbClr val="C00000"/>
              </a:solidFill>
              <a:prstDash val="sysDash"/>
              <a:round/>
            </a:ln>
            <a:effectLst/>
          </c:spPr>
          <c:marker>
            <c:symbol val="none"/>
          </c:marker>
          <c:dLbls>
            <c:dLbl>
              <c:idx val="4"/>
              <c:layout>
                <c:manualLayout>
                  <c:x val="-5.9184615527805365E-2"/>
                  <c:y val="-7.3499463748568292E-2"/>
                </c:manualLayout>
              </c:layout>
              <c:tx>
                <c:rich>
                  <a:bodyPr/>
                  <a:lstStyle/>
                  <a:p>
                    <a:fld id="{DA86BF9F-DD8B-4701-A0C9-7640231791BA}"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366-4B23-A861-9603D12A5476}"/>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Sheet1!$D$2:$D$28</c:f>
              <c:numCache>
                <c:formatCode>#\ ##0.0</c:formatCode>
                <c:ptCount val="26"/>
                <c:pt idx="1">
                  <c:v>22.446964010587443</c:v>
                </c:pt>
                <c:pt idx="2">
                  <c:v>22.446964010587443</c:v>
                </c:pt>
                <c:pt idx="3">
                  <c:v>22.446964010587443</c:v>
                </c:pt>
                <c:pt idx="4">
                  <c:v>22.446964010587443</c:v>
                </c:pt>
                <c:pt idx="5">
                  <c:v>22.446964010587443</c:v>
                </c:pt>
                <c:pt idx="6">
                  <c:v>22.446964010587443</c:v>
                </c:pt>
                <c:pt idx="7">
                  <c:v>22.446964010587443</c:v>
                </c:pt>
                <c:pt idx="8">
                  <c:v>22.446964010587443</c:v>
                </c:pt>
                <c:pt idx="9">
                  <c:v>22.446964010587443</c:v>
                </c:pt>
                <c:pt idx="10">
                  <c:v>22.446964010587443</c:v>
                </c:pt>
                <c:pt idx="11">
                  <c:v>22.446964010587443</c:v>
                </c:pt>
              </c:numCache>
            </c:numRef>
          </c:val>
          <c:smooth val="0"/>
          <c:extLst>
            <c:ext xmlns:c16="http://schemas.microsoft.com/office/drawing/2014/chart" uri="{C3380CC4-5D6E-409C-BE32-E72D297353CC}">
              <c16:uniqueId val="{00000002-B366-4B23-A861-9603D12A5476}"/>
            </c:ext>
          </c:extLst>
        </c:ser>
        <c:ser>
          <c:idx val="3"/>
          <c:order val="3"/>
          <c:tx>
            <c:strRef>
              <c:f>Sheet1!$E$1</c:f>
              <c:strCache>
                <c:ptCount val="1"/>
                <c:pt idx="0">
                  <c:v>investīciju līmenis (%, vidēji 2008 -2010)</c:v>
                </c:pt>
              </c:strCache>
            </c:strRef>
          </c:tx>
          <c:spPr>
            <a:ln w="12700" cap="rnd">
              <a:solidFill>
                <a:srgbClr val="C00000"/>
              </a:solidFill>
              <a:prstDash val="sysDash"/>
              <a:round/>
            </a:ln>
            <a:effectLst/>
          </c:spPr>
          <c:marker>
            <c:symbol val="none"/>
          </c:marker>
          <c:dLbls>
            <c:dLbl>
              <c:idx val="14"/>
              <c:layout>
                <c:manualLayout>
                  <c:x val="-8.4904333514130292E-2"/>
                  <c:y val="-6.9532569792412402E-2"/>
                </c:manualLayout>
              </c:layout>
              <c:tx>
                <c:rich>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fld id="{B5E743AE-C1BF-4A95-91C0-F4A093491BBD}" type="VALUE">
                      <a:rPr lang="en-US" sz="600" b="1" baseline="0"/>
                      <a:pPr>
                        <a:defRPr sz="600" b="1"/>
                      </a:pPr>
                      <a:t>[VALUE]</a:t>
                    </a:fld>
                    <a:endParaRPr lang="lv-LV"/>
                  </a:p>
                </c:rich>
              </c:tx>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366-4B23-A861-9603D12A5476}"/>
                </c:ext>
              </c:extLst>
            </c:dLbl>
            <c:spPr>
              <a:noFill/>
              <a:ln>
                <a:no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Sheet1!$E$2:$E$28</c:f>
              <c:numCache>
                <c:formatCode>General</c:formatCode>
                <c:ptCount val="26"/>
                <c:pt idx="12" formatCode="0.0">
                  <c:v>27.411726595400065</c:v>
                </c:pt>
                <c:pt idx="13" formatCode="0.0">
                  <c:v>27.411726595400065</c:v>
                </c:pt>
                <c:pt idx="14" formatCode="0.0">
                  <c:v>27.411726595400065</c:v>
                </c:pt>
              </c:numCache>
            </c:numRef>
          </c:val>
          <c:smooth val="0"/>
          <c:extLst>
            <c:ext xmlns:c16="http://schemas.microsoft.com/office/drawing/2014/chart" uri="{C3380CC4-5D6E-409C-BE32-E72D297353CC}">
              <c16:uniqueId val="{00000004-B366-4B23-A861-9603D12A5476}"/>
            </c:ext>
          </c:extLst>
        </c:ser>
        <c:ser>
          <c:idx val="4"/>
          <c:order val="4"/>
          <c:tx>
            <c:strRef>
              <c:f>Sheet1!$F$1</c:f>
              <c:strCache>
                <c:ptCount val="1"/>
                <c:pt idx="0">
                  <c:v>investīciju līmenis (%, vidēji 2011 -2022)</c:v>
                </c:pt>
              </c:strCache>
            </c:strRef>
          </c:tx>
          <c:spPr>
            <a:ln w="12700" cap="rnd">
              <a:solidFill>
                <a:srgbClr val="C00000"/>
              </a:solidFill>
              <a:prstDash val="dash"/>
              <a:round/>
            </a:ln>
            <a:effectLst/>
          </c:spPr>
          <c:marker>
            <c:symbol val="none"/>
          </c:marker>
          <c:dLbls>
            <c:dLbl>
              <c:idx val="15"/>
              <c:delete val="1"/>
              <c:extLst>
                <c:ext xmlns:c15="http://schemas.microsoft.com/office/drawing/2012/chart" uri="{CE6537A1-D6FC-4f65-9D91-7224C49458BB}"/>
                <c:ext xmlns:c16="http://schemas.microsoft.com/office/drawing/2014/chart" uri="{C3380CC4-5D6E-409C-BE32-E72D297353CC}">
                  <c16:uniqueId val="{00000005-B366-4B23-A861-9603D12A5476}"/>
                </c:ext>
              </c:extLst>
            </c:dLbl>
            <c:dLbl>
              <c:idx val="16"/>
              <c:delete val="1"/>
              <c:extLst>
                <c:ext xmlns:c15="http://schemas.microsoft.com/office/drawing/2012/chart" uri="{CE6537A1-D6FC-4f65-9D91-7224C49458BB}"/>
                <c:ext xmlns:c16="http://schemas.microsoft.com/office/drawing/2014/chart" uri="{C3380CC4-5D6E-409C-BE32-E72D297353CC}">
                  <c16:uniqueId val="{00000006-B366-4B23-A861-9603D12A5476}"/>
                </c:ext>
              </c:extLst>
            </c:dLbl>
            <c:dLbl>
              <c:idx val="17"/>
              <c:delete val="1"/>
              <c:extLst>
                <c:ext xmlns:c15="http://schemas.microsoft.com/office/drawing/2012/chart" uri="{CE6537A1-D6FC-4f65-9D91-7224C49458BB}"/>
                <c:ext xmlns:c16="http://schemas.microsoft.com/office/drawing/2014/chart" uri="{C3380CC4-5D6E-409C-BE32-E72D297353CC}">
                  <c16:uniqueId val="{00000007-B366-4B23-A861-9603D12A5476}"/>
                </c:ext>
              </c:extLst>
            </c:dLbl>
            <c:dLbl>
              <c:idx val="18"/>
              <c:delete val="1"/>
              <c:extLst>
                <c:ext xmlns:c15="http://schemas.microsoft.com/office/drawing/2012/chart" uri="{CE6537A1-D6FC-4f65-9D91-7224C49458BB}"/>
                <c:ext xmlns:c16="http://schemas.microsoft.com/office/drawing/2014/chart" uri="{C3380CC4-5D6E-409C-BE32-E72D297353CC}">
                  <c16:uniqueId val="{00000008-B366-4B23-A861-9603D12A5476}"/>
                </c:ext>
              </c:extLst>
            </c:dLbl>
            <c:dLbl>
              <c:idx val="19"/>
              <c:delete val="1"/>
              <c:extLst>
                <c:ext xmlns:c15="http://schemas.microsoft.com/office/drawing/2012/chart" uri="{CE6537A1-D6FC-4f65-9D91-7224C49458BB}"/>
                <c:ext xmlns:c16="http://schemas.microsoft.com/office/drawing/2014/chart" uri="{C3380CC4-5D6E-409C-BE32-E72D297353CC}">
                  <c16:uniqueId val="{00000009-B366-4B23-A861-9603D12A5476}"/>
                </c:ext>
              </c:extLst>
            </c:dLbl>
            <c:dLbl>
              <c:idx val="20"/>
              <c:delete val="1"/>
              <c:extLst>
                <c:ext xmlns:c15="http://schemas.microsoft.com/office/drawing/2012/chart" uri="{CE6537A1-D6FC-4f65-9D91-7224C49458BB}"/>
                <c:ext xmlns:c16="http://schemas.microsoft.com/office/drawing/2014/chart" uri="{C3380CC4-5D6E-409C-BE32-E72D297353CC}">
                  <c16:uniqueId val="{0000000A-B366-4B23-A861-9603D12A5476}"/>
                </c:ext>
              </c:extLst>
            </c:dLbl>
            <c:dLbl>
              <c:idx val="21"/>
              <c:layout>
                <c:manualLayout>
                  <c:x val="-8.2611655948898362E-3"/>
                  <c:y val="-5.6952963450144868E-2"/>
                </c:manualLayout>
              </c:layout>
              <c:tx>
                <c:rich>
                  <a:bodyPr/>
                  <a:lstStyle/>
                  <a:p>
                    <a:fld id="{BE63BF0A-795B-44A5-8004-CE35C00642A2}" type="VALUE">
                      <a:rPr lang="en-US"/>
                      <a:pPr/>
                      <a:t>[VALUE]</a:t>
                    </a:fld>
                    <a:endParaRPr lang="lv-LV"/>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B366-4B23-A861-9603D12A5476}"/>
                </c:ext>
              </c:extLst>
            </c:dLbl>
            <c:dLbl>
              <c:idx val="22"/>
              <c:delete val="1"/>
              <c:extLst>
                <c:ext xmlns:c15="http://schemas.microsoft.com/office/drawing/2012/chart" uri="{CE6537A1-D6FC-4f65-9D91-7224C49458BB}"/>
                <c:ext xmlns:c16="http://schemas.microsoft.com/office/drawing/2014/chart" uri="{C3380CC4-5D6E-409C-BE32-E72D297353CC}">
                  <c16:uniqueId val="{0000000C-B366-4B23-A861-9603D12A5476}"/>
                </c:ext>
              </c:extLst>
            </c:dLbl>
            <c:dLbl>
              <c:idx val="23"/>
              <c:delete val="1"/>
              <c:extLst>
                <c:ext xmlns:c15="http://schemas.microsoft.com/office/drawing/2012/chart" uri="{CE6537A1-D6FC-4f65-9D91-7224C49458BB}"/>
                <c:ext xmlns:c16="http://schemas.microsoft.com/office/drawing/2014/chart" uri="{C3380CC4-5D6E-409C-BE32-E72D297353CC}">
                  <c16:uniqueId val="{0000000D-B366-4B23-A861-9603D12A5476}"/>
                </c:ext>
              </c:extLst>
            </c:dLbl>
            <c:dLbl>
              <c:idx val="24"/>
              <c:delete val="1"/>
              <c:extLst>
                <c:ext xmlns:c15="http://schemas.microsoft.com/office/drawing/2012/chart" uri="{CE6537A1-D6FC-4f65-9D91-7224C49458BB}"/>
                <c:ext xmlns:c16="http://schemas.microsoft.com/office/drawing/2014/chart" uri="{C3380CC4-5D6E-409C-BE32-E72D297353CC}">
                  <c16:uniqueId val="{0000000E-B366-4B23-A861-9603D12A5476}"/>
                </c:ext>
              </c:extLst>
            </c:dLbl>
            <c:dLbl>
              <c:idx val="25"/>
              <c:delete val="1"/>
              <c:extLst>
                <c:ext xmlns:c15="http://schemas.microsoft.com/office/drawing/2012/chart" uri="{CE6537A1-D6FC-4f65-9D91-7224C49458BB}"/>
                <c:ext xmlns:c16="http://schemas.microsoft.com/office/drawing/2014/chart" uri="{C3380CC4-5D6E-409C-BE32-E72D297353CC}">
                  <c16:uniqueId val="{0000000F-B366-4B23-A861-9603D12A5476}"/>
                </c:ext>
              </c:extLst>
            </c:dLbl>
            <c:spPr>
              <a:solidFill>
                <a:schemeClr val="bg1">
                  <a:lumMod val="95000"/>
                </a:schemeClr>
              </a:solidFill>
              <a:ln>
                <a:solidFill>
                  <a:srgbClr val="C00000"/>
                </a:solidFill>
              </a:ln>
              <a:effectLst/>
            </c:spPr>
            <c:txPr>
              <a:bodyPr rot="0" spcFirstLastPara="1" vertOverflow="ellipsis" vert="horz" wrap="square" anchor="ctr" anchorCtr="1"/>
              <a:lstStyle/>
              <a:p>
                <a:pPr>
                  <a:defRPr sz="600" b="1"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Sheet1!$F$2:$F$28</c:f>
              <c:numCache>
                <c:formatCode>General</c:formatCode>
                <c:ptCount val="26"/>
                <c:pt idx="15" formatCode="0.0">
                  <c:v>29.486337657904532</c:v>
                </c:pt>
                <c:pt idx="16" formatCode="0.0">
                  <c:v>29.486337657904532</c:v>
                </c:pt>
                <c:pt idx="17" formatCode="0.0">
                  <c:v>29.486337657904532</c:v>
                </c:pt>
                <c:pt idx="18" formatCode="0.0">
                  <c:v>29.486337657904532</c:v>
                </c:pt>
                <c:pt idx="19" formatCode="0.0">
                  <c:v>29.486337657904532</c:v>
                </c:pt>
                <c:pt idx="20" formatCode="0.0">
                  <c:v>29.486337657904532</c:v>
                </c:pt>
                <c:pt idx="21" formatCode="0.0">
                  <c:v>29.486337657904532</c:v>
                </c:pt>
                <c:pt idx="22" formatCode="0.0">
                  <c:v>29.486337657904532</c:v>
                </c:pt>
                <c:pt idx="23" formatCode="0.0">
                  <c:v>29.486337657904532</c:v>
                </c:pt>
                <c:pt idx="24" formatCode="0.0">
                  <c:v>29.486337657904532</c:v>
                </c:pt>
                <c:pt idx="25" formatCode="0.0">
                  <c:v>29.486337657904532</c:v>
                </c:pt>
              </c:numCache>
            </c:numRef>
          </c:val>
          <c:smooth val="0"/>
          <c:extLst>
            <c:ext xmlns:c16="http://schemas.microsoft.com/office/drawing/2014/chart" uri="{C3380CC4-5D6E-409C-BE32-E72D297353CC}">
              <c16:uniqueId val="{00000010-B366-4B23-A861-9603D12A5476}"/>
            </c:ext>
          </c:extLst>
        </c:ser>
        <c:dLbls>
          <c:showLegendKey val="0"/>
          <c:showVal val="0"/>
          <c:showCatName val="0"/>
          <c:showSerName val="0"/>
          <c:showPercent val="0"/>
          <c:showBubbleSize val="0"/>
        </c:dLbls>
        <c:marker val="1"/>
        <c:smooth val="0"/>
        <c:axId val="836857888"/>
        <c:axId val="836857560"/>
      </c:lineChart>
      <c:lineChart>
        <c:grouping val="standard"/>
        <c:varyColors val="0"/>
        <c:ser>
          <c:idx val="0"/>
          <c:order val="0"/>
          <c:tx>
            <c:strRef>
              <c:f>Sheet1!$B$1</c:f>
              <c:strCache>
                <c:ptCount val="1"/>
                <c:pt idx="0">
                  <c:v> investīciju pieaugums (1996=100) lābā ass</c:v>
                </c:pt>
              </c:strCache>
            </c:strRef>
          </c:tx>
          <c:spPr>
            <a:ln w="12700" cap="rnd">
              <a:solidFill>
                <a:srgbClr val="4472C4">
                  <a:lumMod val="50000"/>
                </a:srgbClr>
              </a:solidFill>
              <a:round/>
            </a:ln>
            <a:effectLst/>
          </c:spPr>
          <c:marker>
            <c:symbol val="none"/>
          </c:marker>
          <c:cat>
            <c:numRef>
              <c:f>Sheet1!$A$2:$A$28</c:f>
              <c:numCache>
                <c:formatCode>General</c:formatCode>
                <c:ptCount val="26"/>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numCache>
            </c:numRef>
          </c:cat>
          <c:val>
            <c:numRef>
              <c:f>Sheet1!$B$2:$B$28</c:f>
              <c:numCache>
                <c:formatCode>0</c:formatCode>
                <c:ptCount val="26"/>
                <c:pt idx="0">
                  <c:v>100</c:v>
                </c:pt>
                <c:pt idx="1">
                  <c:v>75.973697521497215</c:v>
                </c:pt>
                <c:pt idx="2">
                  <c:v>96.863935255437539</c:v>
                </c:pt>
                <c:pt idx="3">
                  <c:v>106.06980273141122</c:v>
                </c:pt>
                <c:pt idx="4">
                  <c:v>112.99949418310571</c:v>
                </c:pt>
                <c:pt idx="5">
                  <c:v>88.416793120890247</c:v>
                </c:pt>
                <c:pt idx="6">
                  <c:v>115.12392513909965</c:v>
                </c:pt>
                <c:pt idx="7">
                  <c:v>193.57612544258978</c:v>
                </c:pt>
                <c:pt idx="8">
                  <c:v>232.22053616590799</c:v>
                </c:pt>
                <c:pt idx="9">
                  <c:v>274.86090035407187</c:v>
                </c:pt>
                <c:pt idx="10">
                  <c:v>450.48052604957007</c:v>
                </c:pt>
                <c:pt idx="11">
                  <c:v>507.38492665655042</c:v>
                </c:pt>
                <c:pt idx="12">
                  <c:v>454.27415275670216</c:v>
                </c:pt>
                <c:pt idx="13">
                  <c:v>480.22255943348506</c:v>
                </c:pt>
                <c:pt idx="14">
                  <c:v>422.76176024279215</c:v>
                </c:pt>
                <c:pt idx="15">
                  <c:v>515.73090541224087</c:v>
                </c:pt>
                <c:pt idx="16">
                  <c:v>489.17551846231663</c:v>
                </c:pt>
                <c:pt idx="17">
                  <c:v>507.84016186140616</c:v>
                </c:pt>
                <c:pt idx="18">
                  <c:v>519.11987860394538</c:v>
                </c:pt>
                <c:pt idx="19">
                  <c:v>537.02579666160852</c:v>
                </c:pt>
                <c:pt idx="20">
                  <c:v>372.68588770864943</c:v>
                </c:pt>
                <c:pt idx="21">
                  <c:v>528.22458270106222</c:v>
                </c:pt>
                <c:pt idx="22">
                  <c:v>667.93120890237731</c:v>
                </c:pt>
                <c:pt idx="23">
                  <c:v>628.42690945877587</c:v>
                </c:pt>
                <c:pt idx="24">
                  <c:v>688.41679312089025</c:v>
                </c:pt>
                <c:pt idx="25">
                  <c:v>653.3131006575619</c:v>
                </c:pt>
              </c:numCache>
            </c:numRef>
          </c:val>
          <c:smooth val="0"/>
          <c:extLst>
            <c:ext xmlns:c16="http://schemas.microsoft.com/office/drawing/2014/chart" uri="{C3380CC4-5D6E-409C-BE32-E72D297353CC}">
              <c16:uniqueId val="{00000011-B366-4B23-A861-9603D12A5476}"/>
            </c:ext>
          </c:extLst>
        </c:ser>
        <c:dLbls>
          <c:showLegendKey val="0"/>
          <c:showVal val="0"/>
          <c:showCatName val="0"/>
          <c:showSerName val="0"/>
          <c:showPercent val="0"/>
          <c:showBubbleSize val="0"/>
        </c:dLbls>
        <c:marker val="1"/>
        <c:smooth val="0"/>
        <c:axId val="753268920"/>
        <c:axId val="753275808"/>
      </c:lineChart>
      <c:catAx>
        <c:axId val="836857888"/>
        <c:scaling>
          <c:orientation val="minMax"/>
        </c:scaling>
        <c:delete val="0"/>
        <c:axPos val="b"/>
        <c:numFmt formatCode="General" sourceLinked="1"/>
        <c:majorTickMark val="none"/>
        <c:minorTickMark val="none"/>
        <c:tickLblPos val="nextTo"/>
        <c:spPr>
          <a:noFill/>
          <a:ln w="6350" cap="flat" cmpd="sng" algn="ctr">
            <a:solidFill>
              <a:schemeClr val="bg1">
                <a:lumMod val="65000"/>
              </a:schemeClr>
            </a:solidFill>
            <a:round/>
          </a:ln>
          <a:effectLst/>
        </c:spPr>
        <c:txPr>
          <a:bodyPr rot="-5400000" spcFirstLastPara="1" vertOverflow="ellipsis" wrap="square" anchor="ctr" anchorCtr="1"/>
          <a:lstStyle/>
          <a:p>
            <a:pPr>
              <a:defRPr sz="4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836857560"/>
        <c:crosses val="autoZero"/>
        <c:auto val="1"/>
        <c:lblAlgn val="ctr"/>
        <c:lblOffset val="100"/>
        <c:noMultiLvlLbl val="0"/>
      </c:catAx>
      <c:valAx>
        <c:axId val="836857560"/>
        <c:scaling>
          <c:orientation val="minMax"/>
          <c:min val="5"/>
        </c:scaling>
        <c:delete val="0"/>
        <c:axPos val="l"/>
        <c:numFmt formatCode="0" sourceLinked="0"/>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700" b="0" i="0" u="none" strike="noStrike" kern="1200" baseline="0">
                <a:solidFill>
                  <a:schemeClr val="bg1">
                    <a:lumMod val="50000"/>
                  </a:schemeClr>
                </a:solidFill>
                <a:latin typeface="Verdana Pro Cond Light" panose="020B0306030504040204" pitchFamily="34" charset="0"/>
                <a:ea typeface="+mn-ea"/>
                <a:cs typeface="Segoe UI" panose="020B0502040204020203" pitchFamily="34" charset="0"/>
              </a:defRPr>
            </a:pPr>
            <a:endParaRPr lang="lv-LV"/>
          </a:p>
        </c:txPr>
        <c:crossAx val="836857888"/>
        <c:crosses val="autoZero"/>
        <c:crossBetween val="between"/>
        <c:majorUnit val="10"/>
      </c:valAx>
      <c:valAx>
        <c:axId val="753275808"/>
        <c:scaling>
          <c:orientation val="minMax"/>
        </c:scaling>
        <c:delete val="0"/>
        <c:axPos val="r"/>
        <c:numFmt formatCode="0" sourceLinked="1"/>
        <c:majorTickMark val="out"/>
        <c:minorTickMark val="none"/>
        <c:tickLblPos val="nextTo"/>
        <c:spPr>
          <a:noFill/>
          <a:ln w="3175">
            <a:solidFill>
              <a:srgbClr val="E7E6E6">
                <a:lumMod val="75000"/>
              </a:srgbClr>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Verdana Pro Cond Light" panose="020B0306030504040204" pitchFamily="34" charset="0"/>
                <a:ea typeface="+mn-ea"/>
                <a:cs typeface="Segoe UI" panose="020B0502040204020203" pitchFamily="34" charset="0"/>
              </a:defRPr>
            </a:pPr>
            <a:endParaRPr lang="lv-LV"/>
          </a:p>
        </c:txPr>
        <c:crossAx val="753268920"/>
        <c:crosses val="max"/>
        <c:crossBetween val="between"/>
      </c:valAx>
      <c:catAx>
        <c:axId val="753268920"/>
        <c:scaling>
          <c:orientation val="minMax"/>
        </c:scaling>
        <c:delete val="1"/>
        <c:axPos val="b"/>
        <c:numFmt formatCode="General" sourceLinked="1"/>
        <c:majorTickMark val="out"/>
        <c:minorTickMark val="none"/>
        <c:tickLblPos val="nextTo"/>
        <c:crossAx val="753275808"/>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solidFill>
            <a:sysClr val="windowText" lastClr="000000"/>
          </a:solidFill>
          <a:latin typeface="Verdana Pro Cond Light" panose="020B0306030504040204" pitchFamily="34" charset="0"/>
          <a:cs typeface="Segoe UI" panose="020B0502040204020203" pitchFamily="34" charset="0"/>
        </a:defRPr>
      </a:pPr>
      <a:endParaRPr lang="lv-LV"/>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Sheet3!$B$3</c:f>
              <c:strCache>
                <c:ptCount val="1"/>
                <c:pt idx="0">
                  <c:v>Aizdevumi</c:v>
                </c:pt>
              </c:strCache>
            </c:strRef>
          </c:tx>
          <c:spPr>
            <a:solidFill>
              <a:schemeClr val="accent1"/>
            </a:solidFill>
            <a:ln>
              <a:noFill/>
            </a:ln>
            <a:effectLst/>
          </c:spPr>
          <c:invertIfNegative val="0"/>
          <c:dPt>
            <c:idx val="0"/>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1-EC09-48DF-9940-4AFD499B9959}"/>
              </c:ext>
            </c:extLst>
          </c:dPt>
          <c:dPt>
            <c:idx val="1"/>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3-EC09-48DF-9940-4AFD499B9959}"/>
              </c:ext>
            </c:extLst>
          </c:dPt>
          <c:dPt>
            <c:idx val="2"/>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5-EC09-48DF-9940-4AFD499B9959}"/>
              </c:ext>
            </c:extLst>
          </c:dPt>
          <c:dPt>
            <c:idx val="3"/>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7-EC09-48DF-9940-4AFD499B995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Sheet3!$C$2:$F$2</c:f>
              <c:numCache>
                <c:formatCode>General</c:formatCode>
                <c:ptCount val="4"/>
                <c:pt idx="0">
                  <c:v>2019</c:v>
                </c:pt>
                <c:pt idx="1">
                  <c:v>2020</c:v>
                </c:pt>
                <c:pt idx="2">
                  <c:v>2021</c:v>
                </c:pt>
                <c:pt idx="3">
                  <c:v>2022</c:v>
                </c:pt>
              </c:numCache>
            </c:numRef>
          </c:cat>
          <c:val>
            <c:numRef>
              <c:f>Sheet3!$C$3:$F$3</c:f>
              <c:numCache>
                <c:formatCode>General</c:formatCode>
                <c:ptCount val="4"/>
                <c:pt idx="0">
                  <c:v>240</c:v>
                </c:pt>
                <c:pt idx="1">
                  <c:v>269</c:v>
                </c:pt>
                <c:pt idx="2">
                  <c:v>316</c:v>
                </c:pt>
                <c:pt idx="3">
                  <c:v>312</c:v>
                </c:pt>
              </c:numCache>
            </c:numRef>
          </c:val>
          <c:extLst>
            <c:ext xmlns:c16="http://schemas.microsoft.com/office/drawing/2014/chart" uri="{C3380CC4-5D6E-409C-BE32-E72D297353CC}">
              <c16:uniqueId val="{00000008-EC09-48DF-9940-4AFD499B9959}"/>
            </c:ext>
          </c:extLst>
        </c:ser>
        <c:ser>
          <c:idx val="1"/>
          <c:order val="1"/>
          <c:tx>
            <c:strRef>
              <c:f>Sheet3!$B$4</c:f>
              <c:strCache>
                <c:ptCount val="1"/>
                <c:pt idx="0">
                  <c:v>Garantijas</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Sheet3!$C$2:$F$2</c:f>
              <c:numCache>
                <c:formatCode>General</c:formatCode>
                <c:ptCount val="4"/>
                <c:pt idx="0">
                  <c:v>2019</c:v>
                </c:pt>
                <c:pt idx="1">
                  <c:v>2020</c:v>
                </c:pt>
                <c:pt idx="2">
                  <c:v>2021</c:v>
                </c:pt>
                <c:pt idx="3">
                  <c:v>2022</c:v>
                </c:pt>
              </c:numCache>
            </c:numRef>
          </c:cat>
          <c:val>
            <c:numRef>
              <c:f>Sheet3!$C$4:$F$4</c:f>
              <c:numCache>
                <c:formatCode>General</c:formatCode>
                <c:ptCount val="4"/>
                <c:pt idx="0">
                  <c:v>284</c:v>
                </c:pt>
                <c:pt idx="1">
                  <c:v>321</c:v>
                </c:pt>
                <c:pt idx="2">
                  <c:v>415</c:v>
                </c:pt>
                <c:pt idx="3">
                  <c:v>481</c:v>
                </c:pt>
              </c:numCache>
            </c:numRef>
          </c:val>
          <c:extLst>
            <c:ext xmlns:c16="http://schemas.microsoft.com/office/drawing/2014/chart" uri="{C3380CC4-5D6E-409C-BE32-E72D297353CC}">
              <c16:uniqueId val="{00000009-EC09-48DF-9940-4AFD499B9959}"/>
            </c:ext>
          </c:extLst>
        </c:ser>
        <c:ser>
          <c:idx val="2"/>
          <c:order val="2"/>
          <c:tx>
            <c:strRef>
              <c:f>Sheet3!$B$5</c:f>
              <c:strCache>
                <c:ptCount val="1"/>
                <c:pt idx="0">
                  <c:v>Riska kapitāla fondi</c:v>
                </c:pt>
              </c:strCache>
            </c:strRef>
          </c:tx>
          <c:spPr>
            <a:solidFill>
              <a:schemeClr val="tx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Sheet3!$C$2:$F$2</c:f>
              <c:numCache>
                <c:formatCode>General</c:formatCode>
                <c:ptCount val="4"/>
                <c:pt idx="0">
                  <c:v>2019</c:v>
                </c:pt>
                <c:pt idx="1">
                  <c:v>2020</c:v>
                </c:pt>
                <c:pt idx="2">
                  <c:v>2021</c:v>
                </c:pt>
                <c:pt idx="3">
                  <c:v>2022</c:v>
                </c:pt>
              </c:numCache>
            </c:numRef>
          </c:cat>
          <c:val>
            <c:numRef>
              <c:f>Sheet3!$C$5:$F$5</c:f>
              <c:numCache>
                <c:formatCode>General</c:formatCode>
                <c:ptCount val="4"/>
                <c:pt idx="0">
                  <c:v>68</c:v>
                </c:pt>
                <c:pt idx="1">
                  <c:v>73</c:v>
                </c:pt>
                <c:pt idx="2">
                  <c:v>86</c:v>
                </c:pt>
                <c:pt idx="3">
                  <c:v>90</c:v>
                </c:pt>
              </c:numCache>
            </c:numRef>
          </c:val>
          <c:extLst>
            <c:ext xmlns:c16="http://schemas.microsoft.com/office/drawing/2014/chart" uri="{C3380CC4-5D6E-409C-BE32-E72D297353CC}">
              <c16:uniqueId val="{0000000A-EC09-48DF-9940-4AFD499B9959}"/>
            </c:ext>
          </c:extLst>
        </c:ser>
        <c:dLbls>
          <c:dLblPos val="ctr"/>
          <c:showLegendKey val="0"/>
          <c:showVal val="1"/>
          <c:showCatName val="0"/>
          <c:showSerName val="0"/>
          <c:showPercent val="0"/>
          <c:showBubbleSize val="0"/>
        </c:dLbls>
        <c:gapWidth val="79"/>
        <c:overlap val="100"/>
        <c:axId val="303100991"/>
        <c:axId val="303104735"/>
      </c:barChart>
      <c:catAx>
        <c:axId val="3031009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lv-LV"/>
          </a:p>
        </c:txPr>
        <c:crossAx val="303104735"/>
        <c:crosses val="autoZero"/>
        <c:auto val="1"/>
        <c:lblAlgn val="ctr"/>
        <c:lblOffset val="100"/>
        <c:noMultiLvlLbl val="0"/>
      </c:catAx>
      <c:valAx>
        <c:axId val="303104735"/>
        <c:scaling>
          <c:orientation val="minMax"/>
        </c:scaling>
        <c:delete val="1"/>
        <c:axPos val="l"/>
        <c:numFmt formatCode="General" sourceLinked="1"/>
        <c:majorTickMark val="none"/>
        <c:minorTickMark val="none"/>
        <c:tickLblPos val="nextTo"/>
        <c:crossAx val="30310099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255497036380387"/>
          <c:y val="0.22885031121437188"/>
          <c:w val="0.88736815147279691"/>
          <c:h val="0.61863947704893896"/>
        </c:manualLayout>
      </c:layout>
      <c:barChart>
        <c:barDir val="col"/>
        <c:grouping val="clustered"/>
        <c:varyColors val="0"/>
        <c:ser>
          <c:idx val="0"/>
          <c:order val="0"/>
          <c:tx>
            <c:strRef>
              <c:f>Sheet1!$B$1</c:f>
              <c:strCache>
                <c:ptCount val="1"/>
                <c:pt idx="0">
                  <c:v>2021</c:v>
                </c:pt>
              </c:strCache>
            </c:strRef>
          </c:tx>
          <c:spPr>
            <a:solidFill>
              <a:schemeClr val="accent1">
                <a:lumMod val="75000"/>
              </a:schemeClr>
            </a:solidFill>
            <a:ln>
              <a:noFill/>
            </a:ln>
            <a:effectLst/>
          </c:spPr>
          <c:invertIfNegative val="0"/>
          <c:dPt>
            <c:idx val="2"/>
            <c:invertIfNegative val="0"/>
            <c:bubble3D val="0"/>
            <c:extLst>
              <c:ext xmlns:c16="http://schemas.microsoft.com/office/drawing/2014/chart" uri="{C3380CC4-5D6E-409C-BE32-E72D297353CC}">
                <c16:uniqueId val="{00000000-7FC9-43E5-803C-60FE10FEEC86}"/>
              </c:ext>
            </c:extLst>
          </c:dPt>
          <c:dPt>
            <c:idx val="3"/>
            <c:invertIfNegative val="0"/>
            <c:bubble3D val="0"/>
            <c:extLst>
              <c:ext xmlns:c16="http://schemas.microsoft.com/office/drawing/2014/chart" uri="{C3380CC4-5D6E-409C-BE32-E72D297353CC}">
                <c16:uniqueId val="{00000001-7FC9-43E5-803C-60FE10FEEC86}"/>
              </c:ext>
            </c:extLst>
          </c:dPt>
          <c:dLbls>
            <c:dLbl>
              <c:idx val="0"/>
              <c:spPr>
                <a:noFill/>
                <a:ln>
                  <a:noFill/>
                </a:ln>
                <a:effectLst/>
              </c:spPr>
              <c:txPr>
                <a:bodyPr rot="0" spcFirstLastPara="1" vertOverflow="ellipsis" vert="horz" wrap="square" lIns="38100" tIns="19050" rIns="38100" bIns="19050" anchor="ctr" anchorCtr="0">
                  <a:spAutoFit/>
                </a:bodyPr>
                <a:lstStyle/>
                <a:p>
                  <a:pPr algn="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extLst>
                <c:ext xmlns:c16="http://schemas.microsoft.com/office/drawing/2014/chart" uri="{C3380CC4-5D6E-409C-BE32-E72D297353CC}">
                  <c16:uniqueId val="{00000002-7FC9-43E5-803C-60FE10FEEC86}"/>
                </c:ext>
              </c:extLst>
            </c:dLbl>
            <c:dLbl>
              <c:idx val="1"/>
              <c:layout>
                <c:manualLayout>
                  <c:x val="3.717315430898292E-3"/>
                  <c:y val="-1.1454718804521959E-2"/>
                </c:manualLayout>
              </c:layout>
              <c:spPr>
                <a:noFill/>
                <a:ln>
                  <a:noFill/>
                </a:ln>
                <a:effectLst/>
              </c:spPr>
              <c:txPr>
                <a:bodyPr rot="0" spcFirstLastPara="1" vertOverflow="ellipsis" vert="horz" wrap="square" lIns="38100" tIns="19050" rIns="38100" bIns="19050" anchor="ctr" anchorCtr="0">
                  <a:noAutofit/>
                </a:bodyPr>
                <a:lstStyle/>
                <a:p>
                  <a:pPr algn="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layout>
                    <c:manualLayout>
                      <c:w val="0.289616337923291"/>
                      <c:h val="0.2102924484858705"/>
                    </c:manualLayout>
                  </c15:layout>
                </c:ext>
                <c:ext xmlns:c16="http://schemas.microsoft.com/office/drawing/2014/chart" uri="{C3380CC4-5D6E-409C-BE32-E72D297353CC}">
                  <c16:uniqueId val="{00000003-7FC9-43E5-803C-60FE10FEEC86}"/>
                </c:ext>
              </c:extLst>
            </c:dLbl>
            <c:dLbl>
              <c:idx val="2"/>
              <c:spPr>
                <a:noFill/>
                <a:ln>
                  <a:noFill/>
                </a:ln>
                <a:effectLst/>
              </c:spPr>
              <c:txPr>
                <a:bodyPr rot="0" spcFirstLastPara="1" vertOverflow="ellipsis" vert="horz" wrap="square" lIns="38100" tIns="19050" rIns="38100" bIns="19050" anchor="ctr" anchorCtr="0">
                  <a:noAutofit/>
                </a:bodyPr>
                <a:lstStyle/>
                <a:p>
                  <a:pPr algn="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0-7FC9-43E5-803C-60FE10FEEC86}"/>
                </c:ext>
              </c:extLst>
            </c:dLbl>
            <c:dLbl>
              <c:idx val="3"/>
              <c:layout>
                <c:manualLayout>
                  <c:x val="-1.3104356955380578E-2"/>
                  <c:y val="6.0411381631689347E-2"/>
                </c:manualLayout>
              </c:layout>
              <c:tx>
                <c:rich>
                  <a:bodyPr rot="0" spcFirstLastPara="1" vertOverflow="ellipsis" vert="horz" wrap="square" lIns="38100" tIns="19050" rIns="38100" bIns="19050" anchor="ctr" anchorCtr="0">
                    <a:noAutofit/>
                  </a:bodyPr>
                  <a:lstStyle/>
                  <a:p>
                    <a:pPr algn="r">
                      <a:defRPr sz="800" b="1" i="0" u="none" strike="noStrike" kern="1200" baseline="0">
                        <a:solidFill>
                          <a:schemeClr val="tx2"/>
                        </a:solidFill>
                        <a:latin typeface="Verdana" panose="020B0604030504040204" pitchFamily="34" charset="0"/>
                        <a:ea typeface="Verdana" panose="020B0604030504040204" pitchFamily="34" charset="0"/>
                        <a:cs typeface="Times New Roman" panose="02020603050405020304" pitchFamily="18" charset="0"/>
                      </a:defRPr>
                    </a:pPr>
                    <a:fld id="{E8284C77-6528-45DF-B37F-1BFC1CA7413C}" type="VALUE">
                      <a:rPr lang="en-US" sz="800">
                        <a:solidFill>
                          <a:srgbClr val="FF0000"/>
                        </a:solidFill>
                        <a:latin typeface="Verdana" panose="020B0604030504040204" pitchFamily="34" charset="0"/>
                        <a:ea typeface="Verdana" panose="020B0604030504040204" pitchFamily="34" charset="0"/>
                      </a:rPr>
                      <a:pPr algn="r">
                        <a:defRPr sz="800" b="1" i="0" u="none" strike="noStrike" kern="1200" baseline="0">
                          <a:solidFill>
                            <a:schemeClr val="tx2"/>
                          </a:solidFill>
                          <a:latin typeface="Verdana" panose="020B0604030504040204" pitchFamily="34" charset="0"/>
                          <a:ea typeface="Verdana" panose="020B0604030504040204" pitchFamily="34" charset="0"/>
                          <a:cs typeface="Times New Roman" panose="02020603050405020304" pitchFamily="18" charset="0"/>
                        </a:defRPr>
                      </a:pPr>
                      <a:t>[VALUE]</a:t>
                    </a:fld>
                    <a:endParaRPr lang="lv-LV"/>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1274267716535431"/>
                      <c:h val="0.2257173920205581"/>
                    </c:manualLayout>
                  </c15:layout>
                  <c15:dlblFieldTable/>
                  <c15:showDataLabelsRange val="0"/>
                </c:ext>
                <c:ext xmlns:c16="http://schemas.microsoft.com/office/drawing/2014/chart" uri="{C3380CC4-5D6E-409C-BE32-E72D297353CC}">
                  <c16:uniqueId val="{00000001-7FC9-43E5-803C-60FE10FEEC86}"/>
                </c:ext>
              </c:extLst>
            </c:dLbl>
            <c:spPr>
              <a:noFill/>
              <a:ln>
                <a:noFill/>
              </a:ln>
              <a:effectLst/>
            </c:spPr>
            <c:txPr>
              <a:bodyPr rot="0" spcFirstLastPara="1" vertOverflow="ellipsis" vert="horz" wrap="square" lIns="38100" tIns="19050" rIns="38100" bIns="19050" anchor="ctr" anchorCtr="0">
                <a:spAutoFit/>
              </a:bodyPr>
              <a:lstStyle/>
              <a:p>
                <a:pPr algn="r">
                  <a:defRPr sz="800" b="1" i="0" u="none" strike="noStrike" kern="1200" baseline="0">
                    <a:solidFill>
                      <a:schemeClr val="tx2"/>
                    </a:solidFill>
                    <a:latin typeface="Verdana" panose="020B0604030504040204" pitchFamily="34"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4"/>
                <c:pt idx="0">
                  <c:v>EU</c:v>
                </c:pt>
                <c:pt idx="1">
                  <c:v>EE</c:v>
                </c:pt>
                <c:pt idx="2">
                  <c:v>LT</c:v>
                </c:pt>
                <c:pt idx="3">
                  <c:v>LV</c:v>
                </c:pt>
              </c:strCache>
            </c:strRef>
          </c:cat>
          <c:val>
            <c:numRef>
              <c:f>Sheet1!$B$2:$B$5</c:f>
              <c:numCache>
                <c:formatCode>0.0%</c:formatCode>
                <c:ptCount val="4"/>
                <c:pt idx="0" formatCode="0%">
                  <c:v>0.54</c:v>
                </c:pt>
                <c:pt idx="1">
                  <c:v>0.17407045676915603</c:v>
                </c:pt>
                <c:pt idx="2">
                  <c:v>9.3301592769960501E-2</c:v>
                </c:pt>
                <c:pt idx="3">
                  <c:v>2.9951185022598525E-2</c:v>
                </c:pt>
              </c:numCache>
            </c:numRef>
          </c:val>
          <c:extLst>
            <c:ext xmlns:c16="http://schemas.microsoft.com/office/drawing/2014/chart" uri="{C3380CC4-5D6E-409C-BE32-E72D297353CC}">
              <c16:uniqueId val="{00000004-7FC9-43E5-803C-60FE10FEEC86}"/>
            </c:ext>
          </c:extLst>
        </c:ser>
        <c:dLbls>
          <c:showLegendKey val="0"/>
          <c:showVal val="0"/>
          <c:showCatName val="0"/>
          <c:showSerName val="0"/>
          <c:showPercent val="0"/>
          <c:showBubbleSize val="0"/>
        </c:dLbls>
        <c:gapWidth val="100"/>
        <c:overlap val="-24"/>
        <c:axId val="1254405136"/>
        <c:axId val="1254405552"/>
      </c:barChart>
      <c:catAx>
        <c:axId val="125440513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Verdana" panose="020B0604030504040204" pitchFamily="34" charset="0"/>
                <a:ea typeface="Verdana" panose="020B0604030504040204" pitchFamily="34" charset="0"/>
                <a:cs typeface="Times New Roman" panose="02020603050405020304" pitchFamily="18" charset="0"/>
              </a:defRPr>
            </a:pPr>
            <a:endParaRPr lang="lv-LV"/>
          </a:p>
        </c:txPr>
        <c:crossAx val="1254405552"/>
        <c:crosses val="autoZero"/>
        <c:auto val="1"/>
        <c:lblAlgn val="ctr"/>
        <c:lblOffset val="100"/>
        <c:noMultiLvlLbl val="0"/>
      </c:catAx>
      <c:valAx>
        <c:axId val="1254405552"/>
        <c:scaling>
          <c:orientation val="minMax"/>
        </c:scaling>
        <c:delete val="1"/>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crossAx val="12544051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v-LV"/>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dc6ae0-b4cf-45bc-8c5b-140401b7f56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2B0CEB9FC67D439719D50362719CD8" ma:contentTypeVersion="13" ma:contentTypeDescription="Create a new document." ma:contentTypeScope="" ma:versionID="b329c1982af10784a269a65b96213f37">
  <xsd:schema xmlns:xsd="http://www.w3.org/2001/XMLSchema" xmlns:xs="http://www.w3.org/2001/XMLSchema" xmlns:p="http://schemas.microsoft.com/office/2006/metadata/properties" xmlns:ns3="64729917-a54e-4c6c-b268-368b1ad4ceef" xmlns:ns4="5ddc6ae0-b4cf-45bc-8c5b-140401b7f561" targetNamespace="http://schemas.microsoft.com/office/2006/metadata/properties" ma:root="true" ma:fieldsID="a3b35e02a651471864708e749d276ad6" ns3:_="" ns4:_="">
    <xsd:import namespace="64729917-a54e-4c6c-b268-368b1ad4ceef"/>
    <xsd:import namespace="5ddc6ae0-b4cf-45bc-8c5b-140401b7f5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9917-a54e-4c6c-b268-368b1ad4ce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c6ae0-b4cf-45bc-8c5b-140401b7f5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B1E20-394E-44F6-B241-9256A584D01A}">
  <ds:schemaRefs>
    <ds:schemaRef ds:uri="64729917-a54e-4c6c-b268-368b1ad4ceef"/>
    <ds:schemaRef ds:uri="http://schemas.microsoft.com/office/2006/metadata/properties"/>
    <ds:schemaRef ds:uri="http://schemas.microsoft.com/office/infopath/2007/PartnerControls"/>
    <ds:schemaRef ds:uri="http://purl.org/dc/elements/1.1/"/>
    <ds:schemaRef ds:uri="http://schemas.microsoft.com/office/2006/documentManagement/types"/>
    <ds:schemaRef ds:uri="5ddc6ae0-b4cf-45bc-8c5b-140401b7f561"/>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DB7A950E-6E37-4A0A-9AF4-1D42C0E39037}">
  <ds:schemaRefs>
    <ds:schemaRef ds:uri="http://schemas.openxmlformats.org/officeDocument/2006/bibliography"/>
  </ds:schemaRefs>
</ds:datastoreItem>
</file>

<file path=customXml/itemProps3.xml><?xml version="1.0" encoding="utf-8"?>
<ds:datastoreItem xmlns:ds="http://schemas.openxmlformats.org/officeDocument/2006/customXml" ds:itemID="{DF348C75-3530-4BE6-89BE-A53C37BB9AF9}">
  <ds:schemaRefs>
    <ds:schemaRef ds:uri="http://schemas.microsoft.com/sharepoint/v3/contenttype/forms"/>
  </ds:schemaRefs>
</ds:datastoreItem>
</file>

<file path=customXml/itemProps4.xml><?xml version="1.0" encoding="utf-8"?>
<ds:datastoreItem xmlns:ds="http://schemas.openxmlformats.org/officeDocument/2006/customXml" ds:itemID="{AC99B51A-92EB-4950-846B-2E1DDA4AE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29917-a54e-4c6c-b268-368b1ad4ceef"/>
    <ds:schemaRef ds:uri="5ddc6ae0-b4cf-45bc-8c5b-140401b7f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7980</Words>
  <Characters>4550</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12505</CharactersWithSpaces>
  <SharedDoc>false</SharedDoc>
  <HLinks>
    <vt:vector size="138" baseType="variant">
      <vt:variant>
        <vt:i4>1310725</vt:i4>
      </vt:variant>
      <vt:variant>
        <vt:i4>66</vt:i4>
      </vt:variant>
      <vt:variant>
        <vt:i4>0</vt:i4>
      </vt:variant>
      <vt:variant>
        <vt:i4>5</vt:i4>
      </vt:variant>
      <vt:variant>
        <vt:lpwstr>https://www.mk.gov.lv/lv/media/16374/download?attachment</vt:lpwstr>
      </vt:variant>
      <vt:variant>
        <vt:lpwstr/>
      </vt:variant>
      <vt:variant>
        <vt:i4>917591</vt:i4>
      </vt:variant>
      <vt:variant>
        <vt:i4>63</vt:i4>
      </vt:variant>
      <vt:variant>
        <vt:i4>0</vt:i4>
      </vt:variant>
      <vt:variant>
        <vt:i4>5</vt:i4>
      </vt:variant>
      <vt:variant>
        <vt:lpwstr>https://www.em.gov.lv/lv/industriala-politika</vt:lpwstr>
      </vt:variant>
      <vt:variant>
        <vt:lpwstr/>
      </vt:variant>
      <vt:variant>
        <vt:i4>7209085</vt:i4>
      </vt:variant>
      <vt:variant>
        <vt:i4>60</vt:i4>
      </vt:variant>
      <vt:variant>
        <vt:i4>0</vt:i4>
      </vt:variant>
      <vt:variant>
        <vt:i4>5</vt:i4>
      </vt:variant>
      <vt:variant>
        <vt:lpwstr>https://www.liaa.gov.lv/lv/ris3-vadibas-grupas-ris3-parvaldibas-operacionalais-limenis</vt:lpwstr>
      </vt:variant>
      <vt:variant>
        <vt:lpwstr/>
      </vt:variant>
      <vt:variant>
        <vt:i4>1441804</vt:i4>
      </vt:variant>
      <vt:variant>
        <vt:i4>57</vt:i4>
      </vt:variant>
      <vt:variant>
        <vt:i4>0</vt:i4>
      </vt:variant>
      <vt:variant>
        <vt:i4>5</vt:i4>
      </vt:variant>
      <vt:variant>
        <vt:lpwstr>https://www.em.gov.lv/lv/media/16764/download?attachment</vt:lpwstr>
      </vt:variant>
      <vt:variant>
        <vt:lpwstr/>
      </vt:variant>
      <vt:variant>
        <vt:i4>6029376</vt:i4>
      </vt:variant>
      <vt:variant>
        <vt:i4>54</vt:i4>
      </vt:variant>
      <vt:variant>
        <vt:i4>0</vt:i4>
      </vt:variant>
      <vt:variant>
        <vt:i4>5</vt:i4>
      </vt:variant>
      <vt:variant>
        <vt:lpwstr>https://www.bank.lv/aktualitates-banklv/zinas-un-raksti/jaunumi/16481-latvijas-banka-sak-publicet-informaciju-par-noguldijumu-un-kreditu-procentu-likmem-latvija-un-eiro-zona</vt:lpwstr>
      </vt:variant>
      <vt:variant>
        <vt:lpwstr/>
      </vt:variant>
      <vt:variant>
        <vt:i4>327708</vt:i4>
      </vt:variant>
      <vt:variant>
        <vt:i4>51</vt:i4>
      </vt:variant>
      <vt:variant>
        <vt:i4>0</vt:i4>
      </vt:variant>
      <vt:variant>
        <vt:i4>5</vt:i4>
      </vt:variant>
      <vt:variant>
        <vt:lpwstr>https://likumi.lv/ta/id/324615-noteikumi-par-aizdevumiem-ar-kapitala-atlaidi-investiciju-projektiem-komersantiem-konkuretspejas-veicinasanai</vt:lpwstr>
      </vt:variant>
      <vt:variant>
        <vt:lpwstr/>
      </vt:variant>
      <vt:variant>
        <vt:i4>6946874</vt:i4>
      </vt:variant>
      <vt:variant>
        <vt:i4>48</vt:i4>
      </vt:variant>
      <vt:variant>
        <vt:i4>0</vt:i4>
      </vt:variant>
      <vt:variant>
        <vt:i4>5</vt:i4>
      </vt:variant>
      <vt:variant>
        <vt:lpwstr>https://likumi.lv/ta/id/198282-noteikumi-par-aizdevumiem-siko-mikro-mazo-un-videjo-saimnieciskas-darbibas-veiceju-un-lauksaimniecibas-un-mezsaimniecibas-pakalpojumu-kooperativo-sabiedribu-attistibas-veicinasanai</vt:lpwstr>
      </vt:variant>
      <vt:variant>
        <vt:lpwstr/>
      </vt:variant>
      <vt:variant>
        <vt:i4>5242909</vt:i4>
      </vt:variant>
      <vt:variant>
        <vt:i4>45</vt:i4>
      </vt:variant>
      <vt:variant>
        <vt:i4>0</vt:i4>
      </vt:variant>
      <vt:variant>
        <vt:i4>5</vt:i4>
      </vt:variant>
      <vt:variant>
        <vt:lpwstr>https://www.altum.lv/pakalpojumi/biznesam/energoefektivitates-aizdevums-ar-kapitala-atlaidi/</vt:lpwstr>
      </vt:variant>
      <vt:variant>
        <vt:lpwstr/>
      </vt:variant>
      <vt:variant>
        <vt:i4>3211387</vt:i4>
      </vt:variant>
      <vt:variant>
        <vt:i4>42</vt:i4>
      </vt:variant>
      <vt:variant>
        <vt:i4>0</vt:i4>
      </vt:variant>
      <vt:variant>
        <vt:i4>5</vt:i4>
      </vt:variant>
      <vt:variant>
        <vt:lpwstr>https://likumi.lv/ta/id/336032</vt:lpwstr>
      </vt:variant>
      <vt:variant>
        <vt:lpwstr/>
      </vt:variant>
      <vt:variant>
        <vt:i4>3473533</vt:i4>
      </vt:variant>
      <vt:variant>
        <vt:i4>39</vt:i4>
      </vt:variant>
      <vt:variant>
        <vt:i4>0</vt:i4>
      </vt:variant>
      <vt:variant>
        <vt:i4>5</vt:i4>
      </vt:variant>
      <vt:variant>
        <vt:lpwstr>https://likumi.lv/ta/id/344776</vt:lpwstr>
      </vt:variant>
      <vt:variant>
        <vt:lpwstr/>
      </vt:variant>
      <vt:variant>
        <vt:i4>6684781</vt:i4>
      </vt:variant>
      <vt:variant>
        <vt:i4>36</vt:i4>
      </vt:variant>
      <vt:variant>
        <vt:i4>0</vt:i4>
      </vt:variant>
      <vt:variant>
        <vt:i4>5</vt:i4>
      </vt:variant>
      <vt:variant>
        <vt:lpwstr>https://m.likumi.lv/ta/id/343803-eiropas-savienibas-kohezijas-politikas-programmas-20212027-gadam-123-specifiska-atbalsta-merka-veicinat-ilgtspejigu-izaugsmi-konkuretspeju-un-darba-vietu-radisanu-mvu-tostarp-ar-produktivam-investicijam-1231-pasakuma-atbalsts-mvu-inovativas-uznemejdarbibas-attistibai-istenosanas-noteikumi</vt:lpwstr>
      </vt:variant>
      <vt:variant>
        <vt:lpwstr/>
      </vt:variant>
      <vt:variant>
        <vt:i4>3211382</vt:i4>
      </vt:variant>
      <vt:variant>
        <vt:i4>33</vt:i4>
      </vt:variant>
      <vt:variant>
        <vt:i4>0</vt:i4>
      </vt:variant>
      <vt:variant>
        <vt:i4>5</vt:i4>
      </vt:variant>
      <vt:variant>
        <vt:lpwstr>https://likumi.lv/ta/id/282520-noteikumi-par-mikroaizdevumiem-un-starta-aizdevumiem</vt:lpwstr>
      </vt:variant>
      <vt:variant>
        <vt:lpwstr/>
      </vt:variant>
      <vt:variant>
        <vt:i4>4390983</vt:i4>
      </vt:variant>
      <vt:variant>
        <vt:i4>30</vt:i4>
      </vt:variant>
      <vt:variant>
        <vt:i4>0</vt:i4>
      </vt:variant>
      <vt:variant>
        <vt:i4>5</vt:i4>
      </vt:variant>
      <vt:variant>
        <vt:lpwstr>https://likumi.lv/ta/id/293402-noteikumi-par-portfelgarantijam-siko-mikro-mazo-un-videjo-saimnieciskas-darbibas-veiceju--juridisko-personu--kreditesanas-veicinasanai</vt:lpwstr>
      </vt:variant>
      <vt:variant>
        <vt:lpwstr/>
      </vt:variant>
      <vt:variant>
        <vt:i4>6881332</vt:i4>
      </vt:variant>
      <vt:variant>
        <vt:i4>27</vt:i4>
      </vt:variant>
      <vt:variant>
        <vt:i4>0</vt:i4>
      </vt:variant>
      <vt:variant>
        <vt:i4>5</vt:i4>
      </vt:variant>
      <vt:variant>
        <vt:lpwstr>https://likumi.lv/ta/id/315560-noteikumi-par-garantijam-saimnieciskas-darbibas-veicejiem-konkuretspejas-uzlabosanai</vt:lpwstr>
      </vt:variant>
      <vt:variant>
        <vt:lpwstr/>
      </vt:variant>
      <vt:variant>
        <vt:i4>3539065</vt:i4>
      </vt:variant>
      <vt:variant>
        <vt:i4>24</vt:i4>
      </vt:variant>
      <vt:variant>
        <vt:i4>0</vt:i4>
      </vt:variant>
      <vt:variant>
        <vt:i4>5</vt:i4>
      </vt:variant>
      <vt:variant>
        <vt:lpwstr>https://likumi.lv/ta/id/344634</vt:lpwstr>
      </vt:variant>
      <vt:variant>
        <vt:lpwstr/>
      </vt:variant>
      <vt:variant>
        <vt:i4>6815842</vt:i4>
      </vt:variant>
      <vt:variant>
        <vt:i4>21</vt:i4>
      </vt:variant>
      <vt:variant>
        <vt:i4>0</vt:i4>
      </vt:variant>
      <vt:variant>
        <vt:i4>5</vt:i4>
      </vt:variant>
      <vt:variant>
        <vt:lpwstr>https://likumi.lv/ta/id/333825-latvijas-atveselosanas-un-noturibas-mehanisma-plana-51r-reformu-un-investiciju-virziena-produktivitates-paaugstinasana-caur-investiciju-apjoma-palielinasanu-pampa-511r-reformas-inovaciju-parvaldiba-un-privato-pampa-investiciju-motivacija-5112i-investicijas-atbalsta-instruments-inovaciju-klasteru-attistibai-istenosanas-noteikumi-kompetences-centru-ietvaros</vt:lpwstr>
      </vt:variant>
      <vt:variant>
        <vt:lpwstr/>
      </vt:variant>
      <vt:variant>
        <vt:i4>7798830</vt:i4>
      </vt:variant>
      <vt:variant>
        <vt:i4>18</vt:i4>
      </vt:variant>
      <vt:variant>
        <vt:i4>0</vt:i4>
      </vt:variant>
      <vt:variant>
        <vt:i4>5</vt:i4>
      </vt:variant>
      <vt:variant>
        <vt:lpwstr>https://www.vestnesis.lv/op/2023/179.10</vt:lpwstr>
      </vt:variant>
      <vt:variant>
        <vt:lpwstr/>
      </vt:variant>
      <vt:variant>
        <vt:i4>4259925</vt:i4>
      </vt:variant>
      <vt:variant>
        <vt:i4>15</vt:i4>
      </vt:variant>
      <vt:variant>
        <vt:i4>0</vt:i4>
      </vt:variant>
      <vt:variant>
        <vt:i4>5</vt:i4>
      </vt:variant>
      <vt:variant>
        <vt:lpwstr>https://likumi.lv/ta/id/338779-latvijas-atveselosanas-un-noturibas-mehanisma-plana-2-komponentes-digitala-transformacija-2-2-reformu-un-investiciju-virziena</vt:lpwstr>
      </vt:variant>
      <vt:variant>
        <vt:lpwstr/>
      </vt:variant>
      <vt:variant>
        <vt:i4>1507420</vt:i4>
      </vt:variant>
      <vt:variant>
        <vt:i4>12</vt:i4>
      </vt:variant>
      <vt:variant>
        <vt:i4>0</vt:i4>
      </vt:variant>
      <vt:variant>
        <vt:i4>5</vt:i4>
      </vt:variant>
      <vt:variant>
        <vt:lpwstr>https://likumi.lv/ta/id/333889-eiropas-savienibas-atveselosanas-un-noturibas-mehanisma-plana-2-2-reformu-un-investiciju-virziena-uznemumu-digitala-transformacija</vt:lpwstr>
      </vt:variant>
      <vt:variant>
        <vt:lpwstr/>
      </vt:variant>
      <vt:variant>
        <vt:i4>3932208</vt:i4>
      </vt:variant>
      <vt:variant>
        <vt:i4>9</vt:i4>
      </vt:variant>
      <vt:variant>
        <vt:i4>0</vt:i4>
      </vt:variant>
      <vt:variant>
        <vt:i4>5</vt:i4>
      </vt:variant>
      <vt:variant>
        <vt:lpwstr>https://www.digitallatvia.lv/edic-latvija/edic-atbildibas/</vt:lpwstr>
      </vt:variant>
      <vt:variant>
        <vt:lpwstr/>
      </vt:variant>
      <vt:variant>
        <vt:i4>4980751</vt:i4>
      </vt:variant>
      <vt:variant>
        <vt:i4>6</vt:i4>
      </vt:variant>
      <vt:variant>
        <vt:i4>0</vt:i4>
      </vt:variant>
      <vt:variant>
        <vt:i4>5</vt:i4>
      </vt:variant>
      <vt:variant>
        <vt:lpwstr>https://dih.lv/lv</vt:lpwstr>
      </vt:variant>
      <vt:variant>
        <vt:lpwstr/>
      </vt:variant>
      <vt:variant>
        <vt:i4>4849753</vt:i4>
      </vt:variant>
      <vt:variant>
        <vt:i4>3</vt:i4>
      </vt:variant>
      <vt:variant>
        <vt:i4>0</vt:i4>
      </vt:variant>
      <vt:variant>
        <vt:i4>5</vt:i4>
      </vt:variant>
      <vt:variant>
        <vt:lpwstr>https://likumi.lv/ta/id/335663-latvijas-atveselosanas-un-noturibas-mehanisma-plana-2-komponentes-digitala-transformacija-2-2-reformu-un-investiciju-virziena</vt:lpwstr>
      </vt:variant>
      <vt:variant>
        <vt:lpwstr/>
      </vt:variant>
      <vt:variant>
        <vt:i4>1507330</vt:i4>
      </vt:variant>
      <vt:variant>
        <vt:i4>0</vt:i4>
      </vt:variant>
      <vt:variant>
        <vt:i4>0</vt:i4>
      </vt:variant>
      <vt:variant>
        <vt:i4>5</vt:i4>
      </vt:variant>
      <vt:variant>
        <vt:lpwstr>https://likumi.lv/ta/id/342645-par-izaugsmes-konkuretspejas-un-produktivitates-tematisko-komiteju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Signija Zandere</dc:creator>
  <cp:keywords/>
  <dc:description/>
  <cp:lastModifiedBy>Jolanta Nalivaiko</cp:lastModifiedBy>
  <cp:revision>2</cp:revision>
  <cp:lastPrinted>2023-09-15T07:20:00Z</cp:lastPrinted>
  <dcterms:created xsi:type="dcterms:W3CDTF">2023-12-04T12:50:00Z</dcterms:created>
  <dcterms:modified xsi:type="dcterms:W3CDTF">2023-12-04T12:50:00Z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0x0101000D2B0CEB9FC67D439719D50362719CD8</vt:lpwstr>
  </property>
</Properties>
</file>