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D9DF55" w14:textId="65061F2D" w:rsidR="008D7A16" w:rsidRPr="004D0386" w:rsidRDefault="007D790F" w:rsidP="004D0386">
      <w:pPr>
        <w:spacing w:after="0" w:line="240" w:lineRule="auto"/>
        <w:jc w:val="right"/>
        <w:rPr>
          <w:rFonts w:ascii="Times New Roman" w:hAnsi="Times New Roman" w:cs="Times New Roman"/>
          <w:i/>
          <w:iCs/>
          <w:sz w:val="24"/>
          <w:szCs w:val="24"/>
        </w:rPr>
      </w:pPr>
      <w:r>
        <w:rPr>
          <w:rFonts w:ascii="Times New Roman" w:hAnsi="Times New Roman" w:cs="Times New Roman"/>
          <w:i/>
          <w:iCs/>
          <w:sz w:val="24"/>
          <w:szCs w:val="24"/>
        </w:rPr>
        <w:t>2</w:t>
      </w:r>
      <w:r w:rsidR="004D0386" w:rsidRPr="004D0386">
        <w:rPr>
          <w:rFonts w:ascii="Times New Roman" w:hAnsi="Times New Roman" w:cs="Times New Roman"/>
          <w:i/>
          <w:iCs/>
          <w:sz w:val="24"/>
          <w:szCs w:val="24"/>
        </w:rPr>
        <w:t>.pielikums</w:t>
      </w:r>
    </w:p>
    <w:p w14:paraId="37C37072" w14:textId="5FBDA878" w:rsidR="004D0386" w:rsidRPr="004D0386" w:rsidRDefault="004D0386" w:rsidP="004D0386">
      <w:pPr>
        <w:spacing w:after="0" w:line="240" w:lineRule="auto"/>
        <w:rPr>
          <w:rFonts w:ascii="Times New Roman" w:hAnsi="Times New Roman" w:cs="Times New Roman"/>
          <w:sz w:val="24"/>
          <w:szCs w:val="24"/>
        </w:rPr>
      </w:pPr>
    </w:p>
    <w:p w14:paraId="09F4E262" w14:textId="513AD030" w:rsidR="004D0386" w:rsidRDefault="007D790F" w:rsidP="00DC15A4">
      <w:pPr>
        <w:spacing w:after="0" w:line="240" w:lineRule="auto"/>
        <w:jc w:val="center"/>
        <w:rPr>
          <w:rFonts w:ascii="Times New Roman" w:hAnsi="Times New Roman" w:cs="Times New Roman"/>
          <w:b/>
          <w:bCs/>
          <w:sz w:val="26"/>
          <w:szCs w:val="26"/>
        </w:rPr>
      </w:pPr>
      <w:r>
        <w:rPr>
          <w:rFonts w:ascii="Times New Roman" w:hAnsi="Times New Roman" w:cs="Times New Roman"/>
          <w:b/>
          <w:bCs/>
          <w:sz w:val="26"/>
          <w:szCs w:val="26"/>
        </w:rPr>
        <w:t xml:space="preserve">Iestāžu </w:t>
      </w:r>
      <w:r w:rsidR="00000B2F">
        <w:rPr>
          <w:rFonts w:ascii="Times New Roman" w:hAnsi="Times New Roman" w:cs="Times New Roman"/>
          <w:b/>
          <w:bCs/>
          <w:sz w:val="26"/>
          <w:szCs w:val="26"/>
        </w:rPr>
        <w:t xml:space="preserve">novērtējumi </w:t>
      </w:r>
      <w:r w:rsidRPr="007D790F">
        <w:rPr>
          <w:rFonts w:ascii="Times New Roman" w:hAnsi="Times New Roman" w:cs="Times New Roman"/>
          <w:b/>
          <w:bCs/>
          <w:sz w:val="26"/>
          <w:szCs w:val="26"/>
        </w:rPr>
        <w:t>centralizētu zaudējumu atlīdzības prasību vešanai</w:t>
      </w:r>
    </w:p>
    <w:p w14:paraId="3A9FAA92" w14:textId="1A5F67AD" w:rsidR="007D790F" w:rsidRPr="007D790F" w:rsidRDefault="007D790F" w:rsidP="007D790F">
      <w:pPr>
        <w:spacing w:after="0" w:line="240" w:lineRule="auto"/>
        <w:jc w:val="both"/>
        <w:rPr>
          <w:rFonts w:ascii="Times New Roman" w:hAnsi="Times New Roman" w:cs="Times New Roman"/>
          <w:sz w:val="24"/>
          <w:szCs w:val="24"/>
        </w:rPr>
      </w:pPr>
    </w:p>
    <w:tbl>
      <w:tblPr>
        <w:tblStyle w:val="TableGrid"/>
        <w:tblW w:w="14923" w:type="dxa"/>
        <w:tblLook w:val="04A0" w:firstRow="1" w:lastRow="0" w:firstColumn="1" w:lastColumn="0" w:noHBand="0" w:noVBand="1"/>
      </w:tblPr>
      <w:tblGrid>
        <w:gridCol w:w="1727"/>
        <w:gridCol w:w="1983"/>
        <w:gridCol w:w="1527"/>
        <w:gridCol w:w="1528"/>
        <w:gridCol w:w="1372"/>
        <w:gridCol w:w="1288"/>
        <w:gridCol w:w="1594"/>
        <w:gridCol w:w="1438"/>
        <w:gridCol w:w="1083"/>
        <w:gridCol w:w="1383"/>
      </w:tblGrid>
      <w:tr w:rsidR="002A2360" w14:paraId="73419B12" w14:textId="03A4D535" w:rsidTr="002A2360">
        <w:tc>
          <w:tcPr>
            <w:tcW w:w="1727" w:type="dxa"/>
          </w:tcPr>
          <w:p w14:paraId="477C88B0" w14:textId="77777777" w:rsidR="00960A21" w:rsidRDefault="00960A21" w:rsidP="00960A21"/>
        </w:tc>
        <w:tc>
          <w:tcPr>
            <w:tcW w:w="1983" w:type="dxa"/>
          </w:tcPr>
          <w:p w14:paraId="0F94A54D" w14:textId="77777777" w:rsidR="00960A21" w:rsidRPr="001C59A5" w:rsidRDefault="00960A21" w:rsidP="002A2360">
            <w:pPr>
              <w:jc w:val="center"/>
              <w:rPr>
                <w:b/>
                <w:bCs/>
              </w:rPr>
            </w:pPr>
            <w:r w:rsidRPr="001C59A5">
              <w:rPr>
                <w:b/>
                <w:bCs/>
              </w:rPr>
              <w:t>Ģenerālprokuratūra</w:t>
            </w:r>
          </w:p>
        </w:tc>
        <w:tc>
          <w:tcPr>
            <w:tcW w:w="1527" w:type="dxa"/>
          </w:tcPr>
          <w:p w14:paraId="54963AE3" w14:textId="77777777" w:rsidR="00960A21" w:rsidRPr="001C59A5" w:rsidRDefault="00960A21" w:rsidP="002A2360">
            <w:pPr>
              <w:jc w:val="center"/>
              <w:rPr>
                <w:b/>
                <w:bCs/>
              </w:rPr>
            </w:pPr>
            <w:r w:rsidRPr="001C59A5">
              <w:rPr>
                <w:b/>
                <w:bCs/>
              </w:rPr>
              <w:t>Valsts kanceleja</w:t>
            </w:r>
          </w:p>
        </w:tc>
        <w:tc>
          <w:tcPr>
            <w:tcW w:w="1528" w:type="dxa"/>
          </w:tcPr>
          <w:p w14:paraId="225DEDFC" w14:textId="77777777" w:rsidR="00960A21" w:rsidRPr="001C59A5" w:rsidRDefault="00960A21" w:rsidP="002A2360">
            <w:pPr>
              <w:jc w:val="center"/>
              <w:rPr>
                <w:b/>
                <w:bCs/>
              </w:rPr>
            </w:pPr>
            <w:r w:rsidRPr="001C59A5">
              <w:rPr>
                <w:b/>
                <w:bCs/>
              </w:rPr>
              <w:t>Tieslietu ministrija</w:t>
            </w:r>
          </w:p>
        </w:tc>
        <w:tc>
          <w:tcPr>
            <w:tcW w:w="1372" w:type="dxa"/>
          </w:tcPr>
          <w:p w14:paraId="087F9605" w14:textId="77777777" w:rsidR="00960A21" w:rsidRPr="001C59A5" w:rsidRDefault="00960A21" w:rsidP="002A2360">
            <w:pPr>
              <w:jc w:val="center"/>
              <w:rPr>
                <w:b/>
                <w:bCs/>
              </w:rPr>
            </w:pPr>
            <w:r w:rsidRPr="001C59A5">
              <w:rPr>
                <w:b/>
                <w:bCs/>
              </w:rPr>
              <w:t>Finanšu ministrija</w:t>
            </w:r>
          </w:p>
        </w:tc>
        <w:tc>
          <w:tcPr>
            <w:tcW w:w="1288" w:type="dxa"/>
          </w:tcPr>
          <w:p w14:paraId="21AAFD82" w14:textId="77777777" w:rsidR="00960A21" w:rsidRPr="001C59A5" w:rsidRDefault="00960A21" w:rsidP="002A2360">
            <w:pPr>
              <w:jc w:val="center"/>
              <w:rPr>
                <w:b/>
                <w:bCs/>
              </w:rPr>
            </w:pPr>
            <w:r w:rsidRPr="001C59A5">
              <w:rPr>
                <w:b/>
                <w:bCs/>
              </w:rPr>
              <w:t>Centrālā finanšu un līgumu aģentūra</w:t>
            </w:r>
          </w:p>
        </w:tc>
        <w:tc>
          <w:tcPr>
            <w:tcW w:w="1343" w:type="dxa"/>
          </w:tcPr>
          <w:p w14:paraId="37CC26D7" w14:textId="77777777" w:rsidR="00960A21" w:rsidRPr="001C59A5" w:rsidRDefault="00960A21" w:rsidP="002A2360">
            <w:pPr>
              <w:tabs>
                <w:tab w:val="left" w:pos="1234"/>
              </w:tabs>
              <w:ind w:right="147"/>
              <w:jc w:val="center"/>
              <w:rPr>
                <w:b/>
                <w:bCs/>
              </w:rPr>
            </w:pPr>
            <w:r w:rsidRPr="001C59A5">
              <w:rPr>
                <w:b/>
                <w:bCs/>
              </w:rPr>
              <w:t>Lauku atbalsta dienests</w:t>
            </w:r>
          </w:p>
        </w:tc>
        <w:tc>
          <w:tcPr>
            <w:tcW w:w="1689" w:type="dxa"/>
          </w:tcPr>
          <w:p w14:paraId="2DFACBF1" w14:textId="77777777" w:rsidR="00960A21" w:rsidRPr="001C59A5" w:rsidRDefault="00960A21" w:rsidP="002A2360">
            <w:pPr>
              <w:jc w:val="center"/>
              <w:rPr>
                <w:b/>
                <w:bCs/>
              </w:rPr>
            </w:pPr>
            <w:r w:rsidRPr="001C59A5">
              <w:rPr>
                <w:b/>
                <w:bCs/>
              </w:rPr>
              <w:t>Konkurences padome</w:t>
            </w:r>
          </w:p>
        </w:tc>
        <w:tc>
          <w:tcPr>
            <w:tcW w:w="1083" w:type="dxa"/>
          </w:tcPr>
          <w:p w14:paraId="096E9B1F" w14:textId="77777777" w:rsidR="00960A21" w:rsidRPr="001C59A5" w:rsidRDefault="00960A21" w:rsidP="002A2360">
            <w:pPr>
              <w:jc w:val="center"/>
              <w:rPr>
                <w:b/>
                <w:bCs/>
              </w:rPr>
            </w:pPr>
            <w:r>
              <w:rPr>
                <w:b/>
                <w:bCs/>
              </w:rPr>
              <w:t>Privāts juridiskās palīdzības sniedzējs</w:t>
            </w:r>
          </w:p>
        </w:tc>
        <w:tc>
          <w:tcPr>
            <w:tcW w:w="1383" w:type="dxa"/>
          </w:tcPr>
          <w:p w14:paraId="659415B0" w14:textId="3A309B25" w:rsidR="00960A21" w:rsidRDefault="00960A21" w:rsidP="002A2360">
            <w:pPr>
              <w:jc w:val="center"/>
              <w:rPr>
                <w:b/>
                <w:bCs/>
              </w:rPr>
            </w:pPr>
            <w:r>
              <w:rPr>
                <w:b/>
                <w:bCs/>
              </w:rPr>
              <w:t>Valsts kontrole</w:t>
            </w:r>
          </w:p>
        </w:tc>
      </w:tr>
      <w:tr w:rsidR="002A2360" w14:paraId="0232ECB5" w14:textId="7D10ED0E" w:rsidTr="002A2360">
        <w:tc>
          <w:tcPr>
            <w:tcW w:w="1727" w:type="dxa"/>
          </w:tcPr>
          <w:p w14:paraId="36E70530" w14:textId="77777777" w:rsidR="00960A21" w:rsidRPr="001C59A5" w:rsidRDefault="00960A21" w:rsidP="00960A21">
            <w:pPr>
              <w:rPr>
                <w:b/>
                <w:bCs/>
              </w:rPr>
            </w:pPr>
            <w:r w:rsidRPr="001C59A5">
              <w:rPr>
                <w:b/>
                <w:bCs/>
              </w:rPr>
              <w:t>Īsteno pārstāvību civilprocesā</w:t>
            </w:r>
          </w:p>
        </w:tc>
        <w:tc>
          <w:tcPr>
            <w:tcW w:w="1983" w:type="dxa"/>
          </w:tcPr>
          <w:p w14:paraId="57BEE1D2" w14:textId="77777777" w:rsidR="00960A21" w:rsidRDefault="00960A21" w:rsidP="00960A21">
            <w:pPr>
              <w:jc w:val="center"/>
              <w:rPr>
                <w:b/>
                <w:bCs/>
              </w:rPr>
            </w:pPr>
            <w:r w:rsidRPr="00CC41E1">
              <w:rPr>
                <w:b/>
                <w:bCs/>
                <w:highlight w:val="green"/>
              </w:rPr>
              <w:t>Jā</w:t>
            </w:r>
          </w:p>
          <w:p w14:paraId="50EA17E5" w14:textId="77777777" w:rsidR="00960A21" w:rsidRDefault="00960A21" w:rsidP="00960A21">
            <w:pPr>
              <w:jc w:val="center"/>
            </w:pPr>
          </w:p>
        </w:tc>
        <w:tc>
          <w:tcPr>
            <w:tcW w:w="1527" w:type="dxa"/>
          </w:tcPr>
          <w:p w14:paraId="3FA38788" w14:textId="77777777" w:rsidR="00960A21" w:rsidRPr="00016B8E" w:rsidRDefault="00960A21" w:rsidP="00960A21">
            <w:pPr>
              <w:jc w:val="center"/>
            </w:pPr>
            <w:r>
              <w:t>[..]</w:t>
            </w:r>
          </w:p>
        </w:tc>
        <w:tc>
          <w:tcPr>
            <w:tcW w:w="1528" w:type="dxa"/>
          </w:tcPr>
          <w:p w14:paraId="7F932FFD" w14:textId="77777777" w:rsidR="00960A21" w:rsidRDefault="00960A21" w:rsidP="00960A21">
            <w:pPr>
              <w:jc w:val="center"/>
              <w:rPr>
                <w:b/>
                <w:bCs/>
              </w:rPr>
            </w:pPr>
            <w:r w:rsidRPr="00CC41E1">
              <w:rPr>
                <w:b/>
                <w:bCs/>
                <w:highlight w:val="green"/>
              </w:rPr>
              <w:t>Jā</w:t>
            </w:r>
          </w:p>
          <w:p w14:paraId="4CA4F6F8" w14:textId="77777777" w:rsidR="00960A21" w:rsidRDefault="00960A21" w:rsidP="00960A21">
            <w:pPr>
              <w:jc w:val="center"/>
            </w:pPr>
          </w:p>
        </w:tc>
        <w:tc>
          <w:tcPr>
            <w:tcW w:w="1372" w:type="dxa"/>
          </w:tcPr>
          <w:p w14:paraId="6FA35DE2" w14:textId="77777777" w:rsidR="00960A21" w:rsidRDefault="00960A21" w:rsidP="00960A21">
            <w:pPr>
              <w:jc w:val="center"/>
              <w:rPr>
                <w:b/>
                <w:bCs/>
              </w:rPr>
            </w:pPr>
            <w:r w:rsidRPr="00CC41E1">
              <w:rPr>
                <w:b/>
                <w:bCs/>
                <w:highlight w:val="green"/>
              </w:rPr>
              <w:t>Jā</w:t>
            </w:r>
          </w:p>
          <w:p w14:paraId="6955A67A" w14:textId="77777777" w:rsidR="00960A21" w:rsidRDefault="00960A21" w:rsidP="00960A21">
            <w:pPr>
              <w:jc w:val="center"/>
            </w:pPr>
          </w:p>
        </w:tc>
        <w:tc>
          <w:tcPr>
            <w:tcW w:w="1288" w:type="dxa"/>
          </w:tcPr>
          <w:p w14:paraId="15E08E6F" w14:textId="77777777" w:rsidR="00960A21" w:rsidRDefault="00960A21" w:rsidP="00960A21">
            <w:pPr>
              <w:jc w:val="center"/>
              <w:rPr>
                <w:b/>
                <w:bCs/>
              </w:rPr>
            </w:pPr>
            <w:r w:rsidRPr="00CC41E1">
              <w:rPr>
                <w:b/>
                <w:bCs/>
                <w:highlight w:val="green"/>
              </w:rPr>
              <w:t>Jā</w:t>
            </w:r>
          </w:p>
          <w:p w14:paraId="62C4F251" w14:textId="77777777" w:rsidR="00960A21" w:rsidRDefault="00960A21" w:rsidP="00960A21">
            <w:pPr>
              <w:jc w:val="center"/>
            </w:pPr>
          </w:p>
        </w:tc>
        <w:tc>
          <w:tcPr>
            <w:tcW w:w="1343" w:type="dxa"/>
          </w:tcPr>
          <w:p w14:paraId="3890FDE5" w14:textId="77777777" w:rsidR="00960A21" w:rsidRDefault="00960A21" w:rsidP="00960A21">
            <w:pPr>
              <w:tabs>
                <w:tab w:val="left" w:pos="1269"/>
              </w:tabs>
              <w:jc w:val="center"/>
              <w:rPr>
                <w:b/>
                <w:bCs/>
              </w:rPr>
            </w:pPr>
            <w:r w:rsidRPr="00CC41E1">
              <w:rPr>
                <w:b/>
                <w:bCs/>
                <w:highlight w:val="green"/>
              </w:rPr>
              <w:t>Jā</w:t>
            </w:r>
          </w:p>
          <w:p w14:paraId="2D690652" w14:textId="77777777" w:rsidR="00960A21" w:rsidRDefault="00960A21" w:rsidP="00960A21">
            <w:pPr>
              <w:jc w:val="center"/>
            </w:pPr>
          </w:p>
        </w:tc>
        <w:tc>
          <w:tcPr>
            <w:tcW w:w="1689" w:type="dxa"/>
          </w:tcPr>
          <w:p w14:paraId="3124403F" w14:textId="77777777" w:rsidR="00960A21" w:rsidRDefault="00960A21" w:rsidP="00960A21">
            <w:pPr>
              <w:jc w:val="center"/>
            </w:pPr>
            <w:r w:rsidRPr="00CC41E1">
              <w:rPr>
                <w:b/>
                <w:bCs/>
                <w:highlight w:val="red"/>
              </w:rPr>
              <w:t>Nē</w:t>
            </w:r>
          </w:p>
        </w:tc>
        <w:tc>
          <w:tcPr>
            <w:tcW w:w="1083" w:type="dxa"/>
          </w:tcPr>
          <w:p w14:paraId="56C17D2A" w14:textId="77777777" w:rsidR="00960A21" w:rsidRDefault="00960A21" w:rsidP="00960A21">
            <w:pPr>
              <w:tabs>
                <w:tab w:val="left" w:pos="1269"/>
              </w:tabs>
              <w:jc w:val="center"/>
              <w:rPr>
                <w:b/>
                <w:bCs/>
              </w:rPr>
            </w:pPr>
            <w:r w:rsidRPr="00CC41E1">
              <w:rPr>
                <w:b/>
                <w:bCs/>
                <w:highlight w:val="green"/>
              </w:rPr>
              <w:t>Jā</w:t>
            </w:r>
          </w:p>
          <w:p w14:paraId="57EB8AA6" w14:textId="77777777" w:rsidR="00960A21" w:rsidRPr="00CC41E1" w:rsidRDefault="00960A21" w:rsidP="00960A21">
            <w:pPr>
              <w:jc w:val="center"/>
              <w:rPr>
                <w:b/>
                <w:bCs/>
                <w:highlight w:val="red"/>
              </w:rPr>
            </w:pPr>
          </w:p>
        </w:tc>
        <w:tc>
          <w:tcPr>
            <w:tcW w:w="1383" w:type="dxa"/>
          </w:tcPr>
          <w:p w14:paraId="0D63366A" w14:textId="226D55B2" w:rsidR="00960A21" w:rsidRPr="00CC41E1" w:rsidRDefault="008D0C21" w:rsidP="00960A21">
            <w:pPr>
              <w:tabs>
                <w:tab w:val="left" w:pos="1269"/>
              </w:tabs>
              <w:jc w:val="center"/>
              <w:rPr>
                <w:b/>
                <w:bCs/>
                <w:highlight w:val="green"/>
              </w:rPr>
            </w:pPr>
            <w:r w:rsidRPr="00CC41E1">
              <w:rPr>
                <w:b/>
                <w:bCs/>
                <w:highlight w:val="red"/>
              </w:rPr>
              <w:t>Nē</w:t>
            </w:r>
          </w:p>
        </w:tc>
      </w:tr>
      <w:tr w:rsidR="002A2360" w14:paraId="7BC36478" w14:textId="322B2B98" w:rsidTr="002A2360">
        <w:tc>
          <w:tcPr>
            <w:tcW w:w="1727" w:type="dxa"/>
          </w:tcPr>
          <w:p w14:paraId="76AF8C87" w14:textId="77777777" w:rsidR="00960A21" w:rsidRPr="001C59A5" w:rsidRDefault="00960A21" w:rsidP="00960A21">
            <w:pPr>
              <w:rPr>
                <w:b/>
                <w:bCs/>
              </w:rPr>
            </w:pPr>
            <w:r w:rsidRPr="001C59A5">
              <w:rPr>
                <w:b/>
                <w:bCs/>
              </w:rPr>
              <w:t>Īsteno pārstāvību zaudējumu atlīdzības prasībās</w:t>
            </w:r>
            <w:r>
              <w:rPr>
                <w:b/>
                <w:bCs/>
              </w:rPr>
              <w:t xml:space="preserve"> civilprocesā</w:t>
            </w:r>
          </w:p>
        </w:tc>
        <w:tc>
          <w:tcPr>
            <w:tcW w:w="1983" w:type="dxa"/>
          </w:tcPr>
          <w:p w14:paraId="47AF20C3" w14:textId="77777777" w:rsidR="00960A21" w:rsidRDefault="00960A21" w:rsidP="00960A21">
            <w:pPr>
              <w:jc w:val="center"/>
              <w:rPr>
                <w:b/>
                <w:bCs/>
              </w:rPr>
            </w:pPr>
            <w:r w:rsidRPr="00CC41E1">
              <w:rPr>
                <w:b/>
                <w:bCs/>
                <w:highlight w:val="green"/>
              </w:rPr>
              <w:t>Jā</w:t>
            </w:r>
          </w:p>
          <w:p w14:paraId="2488C437" w14:textId="77777777" w:rsidR="00960A21" w:rsidRDefault="00960A21" w:rsidP="00960A21">
            <w:pPr>
              <w:jc w:val="center"/>
            </w:pPr>
          </w:p>
        </w:tc>
        <w:tc>
          <w:tcPr>
            <w:tcW w:w="1527" w:type="dxa"/>
          </w:tcPr>
          <w:p w14:paraId="2DDC309F" w14:textId="77777777" w:rsidR="00960A21" w:rsidRPr="00016B8E" w:rsidRDefault="00960A21" w:rsidP="00960A21">
            <w:pPr>
              <w:jc w:val="center"/>
            </w:pPr>
            <w:r>
              <w:t>[..]</w:t>
            </w:r>
          </w:p>
        </w:tc>
        <w:tc>
          <w:tcPr>
            <w:tcW w:w="1528" w:type="dxa"/>
          </w:tcPr>
          <w:p w14:paraId="734217E7" w14:textId="77777777" w:rsidR="00960A21" w:rsidRDefault="00960A21" w:rsidP="00960A21">
            <w:pPr>
              <w:jc w:val="center"/>
              <w:rPr>
                <w:b/>
                <w:bCs/>
              </w:rPr>
            </w:pPr>
            <w:r w:rsidRPr="00CC41E1">
              <w:rPr>
                <w:b/>
                <w:bCs/>
                <w:highlight w:val="green"/>
              </w:rPr>
              <w:t>Jā</w:t>
            </w:r>
          </w:p>
          <w:p w14:paraId="499BF872" w14:textId="77777777" w:rsidR="00960A21" w:rsidRDefault="00960A21" w:rsidP="00960A21">
            <w:pPr>
              <w:jc w:val="center"/>
            </w:pPr>
            <w:r>
              <w:t>(piemēram, lietās Nr. C30670116, C30440716, C37058015)</w:t>
            </w:r>
          </w:p>
        </w:tc>
        <w:tc>
          <w:tcPr>
            <w:tcW w:w="1372" w:type="dxa"/>
          </w:tcPr>
          <w:p w14:paraId="7F970D3E" w14:textId="77777777" w:rsidR="00960A21" w:rsidRDefault="00960A21" w:rsidP="00960A21">
            <w:pPr>
              <w:jc w:val="center"/>
              <w:rPr>
                <w:b/>
                <w:bCs/>
              </w:rPr>
            </w:pPr>
            <w:r w:rsidRPr="00CC41E1">
              <w:rPr>
                <w:b/>
                <w:bCs/>
                <w:highlight w:val="green"/>
              </w:rPr>
              <w:t>Jā</w:t>
            </w:r>
          </w:p>
          <w:p w14:paraId="60E40FF0" w14:textId="77777777" w:rsidR="00960A21" w:rsidRDefault="00960A21" w:rsidP="00960A21">
            <w:pPr>
              <w:jc w:val="center"/>
            </w:pPr>
            <w:r>
              <w:t>(piemēram, lietā Nr. C12172413)</w:t>
            </w:r>
          </w:p>
        </w:tc>
        <w:tc>
          <w:tcPr>
            <w:tcW w:w="1288" w:type="dxa"/>
          </w:tcPr>
          <w:p w14:paraId="28445350" w14:textId="77777777" w:rsidR="00960A21" w:rsidRDefault="00960A21" w:rsidP="00960A21">
            <w:pPr>
              <w:jc w:val="center"/>
            </w:pPr>
            <w:r>
              <w:t>[..]</w:t>
            </w:r>
          </w:p>
        </w:tc>
        <w:tc>
          <w:tcPr>
            <w:tcW w:w="1343" w:type="dxa"/>
          </w:tcPr>
          <w:p w14:paraId="603CF7D5" w14:textId="77777777" w:rsidR="00960A21" w:rsidRDefault="00960A21" w:rsidP="00960A21">
            <w:pPr>
              <w:jc w:val="center"/>
            </w:pPr>
            <w:r>
              <w:t>[..]</w:t>
            </w:r>
          </w:p>
        </w:tc>
        <w:tc>
          <w:tcPr>
            <w:tcW w:w="1689" w:type="dxa"/>
          </w:tcPr>
          <w:p w14:paraId="1DFC8311" w14:textId="77777777" w:rsidR="00960A21" w:rsidRDefault="00960A21" w:rsidP="00960A21">
            <w:pPr>
              <w:jc w:val="center"/>
            </w:pPr>
            <w:r w:rsidRPr="00CC41E1">
              <w:rPr>
                <w:b/>
                <w:bCs/>
                <w:highlight w:val="red"/>
              </w:rPr>
              <w:t>Nē</w:t>
            </w:r>
          </w:p>
        </w:tc>
        <w:tc>
          <w:tcPr>
            <w:tcW w:w="1083" w:type="dxa"/>
          </w:tcPr>
          <w:p w14:paraId="7B3CF119" w14:textId="77777777" w:rsidR="00960A21" w:rsidRDefault="00960A21" w:rsidP="00960A21">
            <w:pPr>
              <w:tabs>
                <w:tab w:val="left" w:pos="1269"/>
              </w:tabs>
              <w:jc w:val="center"/>
              <w:rPr>
                <w:b/>
                <w:bCs/>
              </w:rPr>
            </w:pPr>
            <w:r w:rsidRPr="00CC41E1">
              <w:rPr>
                <w:b/>
                <w:bCs/>
                <w:highlight w:val="green"/>
              </w:rPr>
              <w:t>Jā</w:t>
            </w:r>
          </w:p>
          <w:p w14:paraId="6BFA48AF" w14:textId="77777777" w:rsidR="00960A21" w:rsidRPr="00CC41E1" w:rsidRDefault="00960A21" w:rsidP="00960A21">
            <w:pPr>
              <w:jc w:val="center"/>
              <w:rPr>
                <w:b/>
                <w:bCs/>
                <w:highlight w:val="red"/>
              </w:rPr>
            </w:pPr>
          </w:p>
        </w:tc>
        <w:tc>
          <w:tcPr>
            <w:tcW w:w="1383" w:type="dxa"/>
          </w:tcPr>
          <w:p w14:paraId="3D342AB4" w14:textId="7EED6912" w:rsidR="00960A21" w:rsidRPr="00893971" w:rsidRDefault="008D0C21" w:rsidP="00893971">
            <w:pPr>
              <w:jc w:val="center"/>
            </w:pPr>
            <w:r w:rsidRPr="00CC41E1">
              <w:rPr>
                <w:b/>
                <w:bCs/>
                <w:highlight w:val="red"/>
              </w:rPr>
              <w:t>Nē</w:t>
            </w:r>
          </w:p>
        </w:tc>
      </w:tr>
      <w:tr w:rsidR="002A2360" w14:paraId="27424581" w14:textId="155715FB" w:rsidTr="002A2360">
        <w:tc>
          <w:tcPr>
            <w:tcW w:w="1727" w:type="dxa"/>
          </w:tcPr>
          <w:p w14:paraId="11F25C63" w14:textId="77777777" w:rsidR="00960A21" w:rsidRPr="001C59A5" w:rsidRDefault="00960A21" w:rsidP="00960A21">
            <w:pPr>
              <w:rPr>
                <w:b/>
                <w:bCs/>
              </w:rPr>
            </w:pPr>
            <w:r w:rsidRPr="001C59A5">
              <w:rPr>
                <w:b/>
                <w:bCs/>
              </w:rPr>
              <w:t>Pieredze zaudējumu aprēķināšanā</w:t>
            </w:r>
            <w:r>
              <w:rPr>
                <w:b/>
                <w:bCs/>
              </w:rPr>
              <w:t xml:space="preserve"> civilprocesā</w:t>
            </w:r>
          </w:p>
        </w:tc>
        <w:tc>
          <w:tcPr>
            <w:tcW w:w="1983" w:type="dxa"/>
          </w:tcPr>
          <w:p w14:paraId="19CF0122" w14:textId="77777777" w:rsidR="00960A21" w:rsidRDefault="00960A21" w:rsidP="00960A21">
            <w:pPr>
              <w:jc w:val="center"/>
              <w:rPr>
                <w:b/>
                <w:bCs/>
              </w:rPr>
            </w:pPr>
            <w:r w:rsidRPr="00CC41E1">
              <w:rPr>
                <w:b/>
                <w:bCs/>
                <w:highlight w:val="green"/>
              </w:rPr>
              <w:t>Jā</w:t>
            </w:r>
          </w:p>
          <w:p w14:paraId="356B2D8C" w14:textId="77777777" w:rsidR="00960A21" w:rsidRDefault="00960A21" w:rsidP="00960A21">
            <w:pPr>
              <w:jc w:val="center"/>
            </w:pPr>
            <w:r>
              <w:t>(piemēram, lietā Nr. C12103018)</w:t>
            </w:r>
          </w:p>
        </w:tc>
        <w:tc>
          <w:tcPr>
            <w:tcW w:w="1527" w:type="dxa"/>
          </w:tcPr>
          <w:p w14:paraId="6BBF368A" w14:textId="77777777" w:rsidR="00960A21" w:rsidRDefault="00960A21" w:rsidP="00960A21">
            <w:pPr>
              <w:jc w:val="center"/>
              <w:rPr>
                <w:b/>
                <w:bCs/>
              </w:rPr>
            </w:pPr>
            <w:r w:rsidRPr="00CC41E1">
              <w:rPr>
                <w:b/>
                <w:bCs/>
                <w:highlight w:val="green"/>
              </w:rPr>
              <w:t>Jā</w:t>
            </w:r>
          </w:p>
          <w:p w14:paraId="219C2E71" w14:textId="77777777" w:rsidR="00960A21" w:rsidRDefault="00960A21" w:rsidP="00960A21">
            <w:pPr>
              <w:jc w:val="center"/>
            </w:pPr>
            <w:r>
              <w:t>(starptautiskajos investīciju strīdos)</w:t>
            </w:r>
          </w:p>
        </w:tc>
        <w:tc>
          <w:tcPr>
            <w:tcW w:w="1528" w:type="dxa"/>
          </w:tcPr>
          <w:p w14:paraId="7FAE6483" w14:textId="77777777" w:rsidR="00960A21" w:rsidRDefault="00960A21" w:rsidP="00960A21">
            <w:pPr>
              <w:jc w:val="center"/>
              <w:rPr>
                <w:b/>
                <w:bCs/>
              </w:rPr>
            </w:pPr>
            <w:r w:rsidRPr="00CC41E1">
              <w:rPr>
                <w:b/>
                <w:bCs/>
                <w:highlight w:val="green"/>
              </w:rPr>
              <w:t>Jā</w:t>
            </w:r>
          </w:p>
          <w:p w14:paraId="6052F005" w14:textId="77777777" w:rsidR="00960A21" w:rsidRDefault="00960A21" w:rsidP="00960A21">
            <w:pPr>
              <w:jc w:val="center"/>
            </w:pPr>
            <w:r>
              <w:t>(piemēram, lietā Nr. C12215016)</w:t>
            </w:r>
          </w:p>
        </w:tc>
        <w:tc>
          <w:tcPr>
            <w:tcW w:w="1372" w:type="dxa"/>
          </w:tcPr>
          <w:p w14:paraId="68CEE886" w14:textId="77777777" w:rsidR="00960A21" w:rsidRDefault="00960A21" w:rsidP="00960A21">
            <w:pPr>
              <w:jc w:val="center"/>
            </w:pPr>
            <w:r>
              <w:t xml:space="preserve">[..] </w:t>
            </w:r>
          </w:p>
        </w:tc>
        <w:tc>
          <w:tcPr>
            <w:tcW w:w="1288" w:type="dxa"/>
          </w:tcPr>
          <w:p w14:paraId="64BB4E6B" w14:textId="77777777" w:rsidR="00960A21" w:rsidRDefault="00960A21" w:rsidP="00960A21">
            <w:pPr>
              <w:jc w:val="center"/>
            </w:pPr>
            <w:r>
              <w:t>[..]</w:t>
            </w:r>
          </w:p>
        </w:tc>
        <w:tc>
          <w:tcPr>
            <w:tcW w:w="1343" w:type="dxa"/>
          </w:tcPr>
          <w:p w14:paraId="00BC54BD" w14:textId="77777777" w:rsidR="00960A21" w:rsidRDefault="00960A21" w:rsidP="00960A21">
            <w:pPr>
              <w:jc w:val="center"/>
            </w:pPr>
            <w:r>
              <w:t>[..]</w:t>
            </w:r>
          </w:p>
        </w:tc>
        <w:tc>
          <w:tcPr>
            <w:tcW w:w="1689" w:type="dxa"/>
          </w:tcPr>
          <w:p w14:paraId="540B7F6C" w14:textId="77777777" w:rsidR="00960A21" w:rsidRDefault="00960A21" w:rsidP="00960A21">
            <w:pPr>
              <w:jc w:val="center"/>
            </w:pPr>
            <w:r w:rsidRPr="00CC41E1">
              <w:rPr>
                <w:b/>
                <w:bCs/>
                <w:highlight w:val="red"/>
              </w:rPr>
              <w:t>Nē</w:t>
            </w:r>
          </w:p>
        </w:tc>
        <w:tc>
          <w:tcPr>
            <w:tcW w:w="1083" w:type="dxa"/>
          </w:tcPr>
          <w:p w14:paraId="582424E1" w14:textId="77777777" w:rsidR="00960A21" w:rsidRDefault="00960A21" w:rsidP="00960A21">
            <w:pPr>
              <w:tabs>
                <w:tab w:val="left" w:pos="1269"/>
              </w:tabs>
              <w:jc w:val="center"/>
              <w:rPr>
                <w:b/>
                <w:bCs/>
              </w:rPr>
            </w:pPr>
            <w:r w:rsidRPr="00CC41E1">
              <w:rPr>
                <w:b/>
                <w:bCs/>
                <w:highlight w:val="green"/>
              </w:rPr>
              <w:t>Jā</w:t>
            </w:r>
          </w:p>
          <w:p w14:paraId="7DA7BE73" w14:textId="77777777" w:rsidR="00960A21" w:rsidRPr="00CC41E1" w:rsidRDefault="00960A21" w:rsidP="00960A21">
            <w:pPr>
              <w:jc w:val="center"/>
              <w:rPr>
                <w:b/>
                <w:bCs/>
                <w:highlight w:val="red"/>
              </w:rPr>
            </w:pPr>
          </w:p>
        </w:tc>
        <w:tc>
          <w:tcPr>
            <w:tcW w:w="1383" w:type="dxa"/>
          </w:tcPr>
          <w:p w14:paraId="48F308D0" w14:textId="078F044B" w:rsidR="00960A21" w:rsidRPr="00CC41E1" w:rsidRDefault="008D0C21" w:rsidP="00960A21">
            <w:pPr>
              <w:tabs>
                <w:tab w:val="left" w:pos="1269"/>
              </w:tabs>
              <w:jc w:val="center"/>
              <w:rPr>
                <w:b/>
                <w:bCs/>
                <w:highlight w:val="green"/>
              </w:rPr>
            </w:pPr>
            <w:r w:rsidRPr="00CC41E1">
              <w:rPr>
                <w:b/>
                <w:bCs/>
                <w:highlight w:val="red"/>
              </w:rPr>
              <w:t>Nē</w:t>
            </w:r>
          </w:p>
        </w:tc>
      </w:tr>
      <w:tr w:rsidR="002A2360" w14:paraId="7695FA92" w14:textId="2EA5EA1B" w:rsidTr="002A2360">
        <w:tc>
          <w:tcPr>
            <w:tcW w:w="1727" w:type="dxa"/>
          </w:tcPr>
          <w:p w14:paraId="347125EE" w14:textId="77777777" w:rsidR="00960A21" w:rsidRPr="001C59A5" w:rsidRDefault="00960A21" w:rsidP="00960A21">
            <w:pPr>
              <w:rPr>
                <w:b/>
                <w:bCs/>
              </w:rPr>
            </w:pPr>
            <w:r w:rsidRPr="001C59A5">
              <w:rPr>
                <w:b/>
                <w:bCs/>
              </w:rPr>
              <w:t>Ekonomistu pieejamība</w:t>
            </w:r>
          </w:p>
        </w:tc>
        <w:tc>
          <w:tcPr>
            <w:tcW w:w="1983" w:type="dxa"/>
          </w:tcPr>
          <w:p w14:paraId="73C8DA8C" w14:textId="77777777" w:rsidR="00960A21" w:rsidRPr="00036299" w:rsidRDefault="00960A21" w:rsidP="00960A21">
            <w:pPr>
              <w:jc w:val="center"/>
            </w:pPr>
            <w:r>
              <w:t>[..]</w:t>
            </w:r>
          </w:p>
        </w:tc>
        <w:tc>
          <w:tcPr>
            <w:tcW w:w="1527" w:type="dxa"/>
          </w:tcPr>
          <w:p w14:paraId="7B752ACF" w14:textId="77777777" w:rsidR="00960A21" w:rsidRPr="00036299" w:rsidRDefault="00960A21" w:rsidP="00960A21">
            <w:pPr>
              <w:jc w:val="center"/>
            </w:pPr>
            <w:r>
              <w:t>[..]</w:t>
            </w:r>
          </w:p>
        </w:tc>
        <w:tc>
          <w:tcPr>
            <w:tcW w:w="1528" w:type="dxa"/>
          </w:tcPr>
          <w:p w14:paraId="58F85470" w14:textId="77777777" w:rsidR="00960A21" w:rsidRPr="00036299" w:rsidRDefault="00960A21" w:rsidP="00960A21">
            <w:pPr>
              <w:jc w:val="center"/>
            </w:pPr>
            <w:r>
              <w:t>[..]</w:t>
            </w:r>
          </w:p>
        </w:tc>
        <w:tc>
          <w:tcPr>
            <w:tcW w:w="1372" w:type="dxa"/>
          </w:tcPr>
          <w:p w14:paraId="49CC35A9" w14:textId="77777777" w:rsidR="00960A21" w:rsidRDefault="00960A21" w:rsidP="00960A21">
            <w:pPr>
              <w:jc w:val="center"/>
            </w:pPr>
            <w:r>
              <w:t>[..]</w:t>
            </w:r>
          </w:p>
        </w:tc>
        <w:tc>
          <w:tcPr>
            <w:tcW w:w="1288" w:type="dxa"/>
          </w:tcPr>
          <w:p w14:paraId="3A338097" w14:textId="77777777" w:rsidR="00960A21" w:rsidRDefault="00960A21" w:rsidP="00960A21">
            <w:pPr>
              <w:jc w:val="center"/>
            </w:pPr>
            <w:r>
              <w:t>[..]</w:t>
            </w:r>
          </w:p>
        </w:tc>
        <w:tc>
          <w:tcPr>
            <w:tcW w:w="1343" w:type="dxa"/>
          </w:tcPr>
          <w:p w14:paraId="64D905C8" w14:textId="77777777" w:rsidR="00960A21" w:rsidRDefault="00960A21" w:rsidP="00960A21">
            <w:pPr>
              <w:jc w:val="center"/>
            </w:pPr>
            <w:r>
              <w:t>[..]</w:t>
            </w:r>
          </w:p>
        </w:tc>
        <w:tc>
          <w:tcPr>
            <w:tcW w:w="1689" w:type="dxa"/>
          </w:tcPr>
          <w:p w14:paraId="74BFBD31" w14:textId="77777777" w:rsidR="00960A21" w:rsidRDefault="00960A21" w:rsidP="00960A21">
            <w:pPr>
              <w:jc w:val="center"/>
            </w:pPr>
            <w:r w:rsidRPr="00CC41E1">
              <w:rPr>
                <w:b/>
                <w:bCs/>
                <w:highlight w:val="green"/>
              </w:rPr>
              <w:t>Jā</w:t>
            </w:r>
          </w:p>
        </w:tc>
        <w:tc>
          <w:tcPr>
            <w:tcW w:w="1083" w:type="dxa"/>
          </w:tcPr>
          <w:p w14:paraId="7ACA0472" w14:textId="77777777" w:rsidR="00960A21" w:rsidRDefault="00960A21" w:rsidP="00960A21">
            <w:pPr>
              <w:tabs>
                <w:tab w:val="left" w:pos="1269"/>
              </w:tabs>
              <w:jc w:val="center"/>
              <w:rPr>
                <w:b/>
                <w:bCs/>
              </w:rPr>
            </w:pPr>
            <w:r w:rsidRPr="00CC41E1">
              <w:rPr>
                <w:b/>
                <w:bCs/>
                <w:highlight w:val="green"/>
              </w:rPr>
              <w:t>Jā</w:t>
            </w:r>
          </w:p>
          <w:p w14:paraId="33198F2A" w14:textId="77777777" w:rsidR="00960A21" w:rsidRPr="00CC41E1" w:rsidRDefault="00960A21" w:rsidP="00960A21">
            <w:pPr>
              <w:jc w:val="center"/>
              <w:rPr>
                <w:b/>
                <w:bCs/>
                <w:highlight w:val="green"/>
              </w:rPr>
            </w:pPr>
          </w:p>
        </w:tc>
        <w:tc>
          <w:tcPr>
            <w:tcW w:w="1383" w:type="dxa"/>
          </w:tcPr>
          <w:p w14:paraId="2E12DFC8" w14:textId="20E41832" w:rsidR="00960A21" w:rsidRPr="00CC41E1" w:rsidRDefault="00960A21" w:rsidP="00960A21">
            <w:pPr>
              <w:tabs>
                <w:tab w:val="left" w:pos="1269"/>
              </w:tabs>
              <w:jc w:val="center"/>
              <w:rPr>
                <w:b/>
                <w:bCs/>
                <w:highlight w:val="green"/>
              </w:rPr>
            </w:pPr>
            <w:r>
              <w:t>[..]</w:t>
            </w:r>
          </w:p>
        </w:tc>
      </w:tr>
      <w:tr w:rsidR="002A2360" w14:paraId="5798B064" w14:textId="251FCA8F" w:rsidTr="002A2360">
        <w:tc>
          <w:tcPr>
            <w:tcW w:w="1727" w:type="dxa"/>
          </w:tcPr>
          <w:p w14:paraId="72BABBB5" w14:textId="77777777" w:rsidR="00960A21" w:rsidRPr="001C59A5" w:rsidRDefault="00960A21" w:rsidP="00960A21">
            <w:pPr>
              <w:rPr>
                <w:b/>
                <w:bCs/>
              </w:rPr>
            </w:pPr>
            <w:r w:rsidRPr="001C59A5">
              <w:rPr>
                <w:b/>
                <w:bCs/>
              </w:rPr>
              <w:t>Resursu pieejamība</w:t>
            </w:r>
          </w:p>
        </w:tc>
        <w:tc>
          <w:tcPr>
            <w:tcW w:w="1983" w:type="dxa"/>
          </w:tcPr>
          <w:p w14:paraId="00BFF496" w14:textId="77777777" w:rsidR="00960A21" w:rsidRPr="00036299" w:rsidRDefault="00960A21" w:rsidP="00960A21">
            <w:pPr>
              <w:jc w:val="center"/>
            </w:pPr>
            <w:r>
              <w:t>[..]</w:t>
            </w:r>
          </w:p>
        </w:tc>
        <w:tc>
          <w:tcPr>
            <w:tcW w:w="1527" w:type="dxa"/>
          </w:tcPr>
          <w:p w14:paraId="5F16CC46" w14:textId="77777777" w:rsidR="00960A21" w:rsidRPr="00036299" w:rsidRDefault="00960A21" w:rsidP="00960A21">
            <w:pPr>
              <w:jc w:val="center"/>
            </w:pPr>
            <w:r>
              <w:t>[..]</w:t>
            </w:r>
          </w:p>
        </w:tc>
        <w:tc>
          <w:tcPr>
            <w:tcW w:w="1528" w:type="dxa"/>
          </w:tcPr>
          <w:p w14:paraId="08A77299" w14:textId="77777777" w:rsidR="00960A21" w:rsidRPr="00036299" w:rsidRDefault="00960A21" w:rsidP="00960A21">
            <w:pPr>
              <w:jc w:val="center"/>
            </w:pPr>
            <w:r>
              <w:t>[..]</w:t>
            </w:r>
          </w:p>
        </w:tc>
        <w:tc>
          <w:tcPr>
            <w:tcW w:w="1372" w:type="dxa"/>
          </w:tcPr>
          <w:p w14:paraId="1AE41C5E" w14:textId="77777777" w:rsidR="00960A21" w:rsidRPr="00036299" w:rsidRDefault="00960A21" w:rsidP="00960A21">
            <w:pPr>
              <w:jc w:val="center"/>
            </w:pPr>
            <w:r>
              <w:t>[..]</w:t>
            </w:r>
          </w:p>
        </w:tc>
        <w:tc>
          <w:tcPr>
            <w:tcW w:w="1288" w:type="dxa"/>
          </w:tcPr>
          <w:p w14:paraId="3C21123F" w14:textId="77777777" w:rsidR="00960A21" w:rsidRPr="00036299" w:rsidRDefault="00960A21" w:rsidP="00960A21">
            <w:pPr>
              <w:jc w:val="center"/>
            </w:pPr>
            <w:r>
              <w:t>[..]</w:t>
            </w:r>
          </w:p>
        </w:tc>
        <w:tc>
          <w:tcPr>
            <w:tcW w:w="1343" w:type="dxa"/>
          </w:tcPr>
          <w:p w14:paraId="5BC5DB65" w14:textId="77777777" w:rsidR="00960A21" w:rsidRPr="00036299" w:rsidRDefault="00960A21" w:rsidP="00960A21">
            <w:pPr>
              <w:jc w:val="center"/>
            </w:pPr>
            <w:r>
              <w:t>[..]</w:t>
            </w:r>
          </w:p>
        </w:tc>
        <w:tc>
          <w:tcPr>
            <w:tcW w:w="1689" w:type="dxa"/>
          </w:tcPr>
          <w:p w14:paraId="507E89BB" w14:textId="77777777" w:rsidR="00960A21" w:rsidRDefault="00960A21" w:rsidP="00960A21">
            <w:pPr>
              <w:jc w:val="center"/>
            </w:pPr>
            <w:r w:rsidRPr="00CC41E1">
              <w:rPr>
                <w:b/>
                <w:bCs/>
                <w:highlight w:val="red"/>
              </w:rPr>
              <w:t>Nē</w:t>
            </w:r>
          </w:p>
        </w:tc>
        <w:tc>
          <w:tcPr>
            <w:tcW w:w="1083" w:type="dxa"/>
          </w:tcPr>
          <w:p w14:paraId="2176B52F" w14:textId="77777777" w:rsidR="00960A21" w:rsidRDefault="00960A21" w:rsidP="00960A21">
            <w:pPr>
              <w:tabs>
                <w:tab w:val="left" w:pos="1269"/>
              </w:tabs>
              <w:jc w:val="center"/>
              <w:rPr>
                <w:b/>
                <w:bCs/>
              </w:rPr>
            </w:pPr>
            <w:r w:rsidRPr="00CC41E1">
              <w:rPr>
                <w:b/>
                <w:bCs/>
                <w:highlight w:val="green"/>
              </w:rPr>
              <w:t>Jā</w:t>
            </w:r>
          </w:p>
          <w:p w14:paraId="62119547" w14:textId="77777777" w:rsidR="00960A21" w:rsidRPr="00CC41E1" w:rsidRDefault="00960A21" w:rsidP="00960A21">
            <w:pPr>
              <w:jc w:val="center"/>
              <w:rPr>
                <w:b/>
                <w:bCs/>
                <w:highlight w:val="red"/>
              </w:rPr>
            </w:pPr>
          </w:p>
        </w:tc>
        <w:tc>
          <w:tcPr>
            <w:tcW w:w="1383" w:type="dxa"/>
          </w:tcPr>
          <w:p w14:paraId="4FAA8DB1" w14:textId="698105A9" w:rsidR="00960A21" w:rsidRPr="00CC41E1" w:rsidRDefault="00960A21" w:rsidP="00960A21">
            <w:pPr>
              <w:tabs>
                <w:tab w:val="left" w:pos="1269"/>
              </w:tabs>
              <w:jc w:val="center"/>
              <w:rPr>
                <w:b/>
                <w:bCs/>
                <w:highlight w:val="green"/>
              </w:rPr>
            </w:pPr>
            <w:r>
              <w:t>[..]</w:t>
            </w:r>
          </w:p>
        </w:tc>
      </w:tr>
      <w:tr w:rsidR="002A2360" w14:paraId="7AFB49FD" w14:textId="5D0A8C8D" w:rsidTr="002A2360">
        <w:tc>
          <w:tcPr>
            <w:tcW w:w="1727" w:type="dxa"/>
          </w:tcPr>
          <w:p w14:paraId="17B3BFE0" w14:textId="77777777" w:rsidR="00960A21" w:rsidRPr="001C59A5" w:rsidRDefault="00960A21" w:rsidP="00960A21">
            <w:pPr>
              <w:rPr>
                <w:b/>
                <w:bCs/>
              </w:rPr>
            </w:pPr>
            <w:proofErr w:type="spellStart"/>
            <w:r>
              <w:rPr>
                <w:b/>
                <w:bCs/>
              </w:rPr>
              <w:t>Pārorientējamība</w:t>
            </w:r>
            <w:proofErr w:type="spellEnd"/>
            <w:r>
              <w:rPr>
                <w:b/>
                <w:bCs/>
              </w:rPr>
              <w:t xml:space="preserve"> (vai prasa/prasītu zaudējumus par cita veida pārkāpumiem)</w:t>
            </w:r>
          </w:p>
        </w:tc>
        <w:tc>
          <w:tcPr>
            <w:tcW w:w="1983" w:type="dxa"/>
          </w:tcPr>
          <w:p w14:paraId="65D4BC28" w14:textId="77777777" w:rsidR="00960A21" w:rsidRDefault="00960A21" w:rsidP="00960A21">
            <w:pPr>
              <w:jc w:val="center"/>
              <w:rPr>
                <w:b/>
                <w:bCs/>
              </w:rPr>
            </w:pPr>
            <w:r w:rsidRPr="00CC41E1">
              <w:rPr>
                <w:b/>
                <w:bCs/>
                <w:highlight w:val="green"/>
              </w:rPr>
              <w:t>Jā</w:t>
            </w:r>
          </w:p>
          <w:p w14:paraId="2D4324D2" w14:textId="77777777" w:rsidR="00960A21" w:rsidRPr="00036299" w:rsidRDefault="00960A21" w:rsidP="00960A21">
            <w:pPr>
              <w:jc w:val="center"/>
            </w:pPr>
          </w:p>
        </w:tc>
        <w:tc>
          <w:tcPr>
            <w:tcW w:w="1527" w:type="dxa"/>
          </w:tcPr>
          <w:p w14:paraId="03E86169" w14:textId="77777777" w:rsidR="00960A21" w:rsidRPr="00036299" w:rsidRDefault="00960A21" w:rsidP="00960A21">
            <w:pPr>
              <w:jc w:val="center"/>
            </w:pPr>
            <w:r>
              <w:t>[..]</w:t>
            </w:r>
          </w:p>
        </w:tc>
        <w:tc>
          <w:tcPr>
            <w:tcW w:w="1528" w:type="dxa"/>
          </w:tcPr>
          <w:p w14:paraId="04EDB9D0" w14:textId="77777777" w:rsidR="00960A21" w:rsidRPr="00036299" w:rsidRDefault="00960A21" w:rsidP="00960A21">
            <w:pPr>
              <w:jc w:val="center"/>
            </w:pPr>
            <w:r>
              <w:t>[..]</w:t>
            </w:r>
          </w:p>
        </w:tc>
        <w:tc>
          <w:tcPr>
            <w:tcW w:w="1372" w:type="dxa"/>
          </w:tcPr>
          <w:p w14:paraId="2EFE0AAC" w14:textId="77777777" w:rsidR="00960A21" w:rsidRPr="00036299" w:rsidRDefault="00960A21" w:rsidP="00960A21">
            <w:pPr>
              <w:jc w:val="center"/>
            </w:pPr>
            <w:r>
              <w:t>[..]</w:t>
            </w:r>
          </w:p>
        </w:tc>
        <w:tc>
          <w:tcPr>
            <w:tcW w:w="1288" w:type="dxa"/>
          </w:tcPr>
          <w:p w14:paraId="62EC4578" w14:textId="77777777" w:rsidR="00960A21" w:rsidRPr="00036299" w:rsidRDefault="00960A21" w:rsidP="00960A21">
            <w:pPr>
              <w:jc w:val="center"/>
            </w:pPr>
            <w:r>
              <w:t>[..]</w:t>
            </w:r>
          </w:p>
        </w:tc>
        <w:tc>
          <w:tcPr>
            <w:tcW w:w="1343" w:type="dxa"/>
          </w:tcPr>
          <w:p w14:paraId="1D31F665" w14:textId="77777777" w:rsidR="00960A21" w:rsidRPr="00036299" w:rsidRDefault="00960A21" w:rsidP="00960A21">
            <w:pPr>
              <w:jc w:val="center"/>
            </w:pPr>
            <w:r>
              <w:t>[..]</w:t>
            </w:r>
          </w:p>
        </w:tc>
        <w:tc>
          <w:tcPr>
            <w:tcW w:w="1689" w:type="dxa"/>
          </w:tcPr>
          <w:p w14:paraId="20C64674" w14:textId="77777777" w:rsidR="00960A21" w:rsidRPr="00CC41E1" w:rsidRDefault="00960A21" w:rsidP="00960A21">
            <w:pPr>
              <w:jc w:val="center"/>
              <w:rPr>
                <w:b/>
                <w:bCs/>
                <w:highlight w:val="red"/>
              </w:rPr>
            </w:pPr>
            <w:r w:rsidRPr="00CC41E1">
              <w:rPr>
                <w:b/>
                <w:bCs/>
                <w:highlight w:val="red"/>
              </w:rPr>
              <w:t>Nē</w:t>
            </w:r>
          </w:p>
        </w:tc>
        <w:tc>
          <w:tcPr>
            <w:tcW w:w="1083" w:type="dxa"/>
          </w:tcPr>
          <w:p w14:paraId="718987BC" w14:textId="77777777" w:rsidR="00960A21" w:rsidRDefault="00960A21" w:rsidP="00960A21">
            <w:pPr>
              <w:tabs>
                <w:tab w:val="left" w:pos="1269"/>
              </w:tabs>
              <w:jc w:val="center"/>
              <w:rPr>
                <w:b/>
                <w:bCs/>
              </w:rPr>
            </w:pPr>
            <w:r w:rsidRPr="00CC41E1">
              <w:rPr>
                <w:b/>
                <w:bCs/>
                <w:highlight w:val="green"/>
              </w:rPr>
              <w:t>Jā</w:t>
            </w:r>
          </w:p>
          <w:p w14:paraId="44292EF5" w14:textId="77777777" w:rsidR="00960A21" w:rsidRPr="00CC41E1" w:rsidRDefault="00960A21" w:rsidP="00960A21">
            <w:pPr>
              <w:jc w:val="center"/>
              <w:rPr>
                <w:b/>
                <w:bCs/>
                <w:highlight w:val="red"/>
              </w:rPr>
            </w:pPr>
          </w:p>
        </w:tc>
        <w:tc>
          <w:tcPr>
            <w:tcW w:w="1383" w:type="dxa"/>
          </w:tcPr>
          <w:p w14:paraId="78BEE179" w14:textId="15C319E3" w:rsidR="00960A21" w:rsidRPr="00CC41E1" w:rsidRDefault="00960A21" w:rsidP="00960A21">
            <w:pPr>
              <w:tabs>
                <w:tab w:val="left" w:pos="1269"/>
              </w:tabs>
              <w:jc w:val="center"/>
              <w:rPr>
                <w:b/>
                <w:bCs/>
                <w:highlight w:val="green"/>
              </w:rPr>
            </w:pPr>
            <w:r>
              <w:t>[..]</w:t>
            </w:r>
          </w:p>
        </w:tc>
      </w:tr>
      <w:tr w:rsidR="002A2360" w14:paraId="152BCF79" w14:textId="4DDCE082" w:rsidTr="002A2360">
        <w:tc>
          <w:tcPr>
            <w:tcW w:w="1727" w:type="dxa"/>
          </w:tcPr>
          <w:p w14:paraId="155258B6" w14:textId="77777777" w:rsidR="00960A21" w:rsidRPr="001C59A5" w:rsidRDefault="00960A21" w:rsidP="00960A21">
            <w:pPr>
              <w:rPr>
                <w:b/>
                <w:bCs/>
              </w:rPr>
            </w:pPr>
            <w:r w:rsidRPr="001C59A5">
              <w:rPr>
                <w:b/>
                <w:bCs/>
              </w:rPr>
              <w:t>Nepieciešamais finansējums</w:t>
            </w:r>
          </w:p>
        </w:tc>
        <w:tc>
          <w:tcPr>
            <w:tcW w:w="1983" w:type="dxa"/>
          </w:tcPr>
          <w:p w14:paraId="132203E1" w14:textId="77777777" w:rsidR="00960A21" w:rsidRPr="00036299" w:rsidRDefault="00960A21" w:rsidP="00960A21">
            <w:pPr>
              <w:jc w:val="center"/>
            </w:pPr>
            <w:r>
              <w:t>[..]</w:t>
            </w:r>
          </w:p>
        </w:tc>
        <w:tc>
          <w:tcPr>
            <w:tcW w:w="1527" w:type="dxa"/>
          </w:tcPr>
          <w:p w14:paraId="1AFB8656" w14:textId="77777777" w:rsidR="00960A21" w:rsidRPr="00036299" w:rsidRDefault="00960A21" w:rsidP="00960A21">
            <w:pPr>
              <w:jc w:val="center"/>
            </w:pPr>
            <w:r>
              <w:t>[..]</w:t>
            </w:r>
          </w:p>
        </w:tc>
        <w:tc>
          <w:tcPr>
            <w:tcW w:w="1528" w:type="dxa"/>
          </w:tcPr>
          <w:p w14:paraId="3E5D628A" w14:textId="77777777" w:rsidR="00960A21" w:rsidRPr="00036299" w:rsidRDefault="00960A21" w:rsidP="00960A21">
            <w:pPr>
              <w:jc w:val="center"/>
            </w:pPr>
            <w:r>
              <w:t>[..]</w:t>
            </w:r>
          </w:p>
        </w:tc>
        <w:tc>
          <w:tcPr>
            <w:tcW w:w="1372" w:type="dxa"/>
          </w:tcPr>
          <w:p w14:paraId="1F9A250C" w14:textId="77777777" w:rsidR="00960A21" w:rsidRPr="00036299" w:rsidRDefault="00960A21" w:rsidP="00960A21">
            <w:pPr>
              <w:jc w:val="center"/>
            </w:pPr>
            <w:r>
              <w:t>[..]</w:t>
            </w:r>
          </w:p>
        </w:tc>
        <w:tc>
          <w:tcPr>
            <w:tcW w:w="1288" w:type="dxa"/>
          </w:tcPr>
          <w:p w14:paraId="778BF9D3" w14:textId="77777777" w:rsidR="00960A21" w:rsidRPr="00036299" w:rsidRDefault="00960A21" w:rsidP="00960A21">
            <w:pPr>
              <w:jc w:val="center"/>
            </w:pPr>
            <w:r>
              <w:t>[..]</w:t>
            </w:r>
          </w:p>
        </w:tc>
        <w:tc>
          <w:tcPr>
            <w:tcW w:w="1343" w:type="dxa"/>
          </w:tcPr>
          <w:p w14:paraId="4FFC03E5" w14:textId="77777777" w:rsidR="00960A21" w:rsidRPr="00036299" w:rsidRDefault="00960A21" w:rsidP="00960A21">
            <w:pPr>
              <w:jc w:val="center"/>
            </w:pPr>
            <w:r>
              <w:t>[..]</w:t>
            </w:r>
          </w:p>
        </w:tc>
        <w:tc>
          <w:tcPr>
            <w:tcW w:w="1689" w:type="dxa"/>
          </w:tcPr>
          <w:p w14:paraId="122E45EE" w14:textId="77777777" w:rsidR="00960A21" w:rsidRPr="00377E67" w:rsidRDefault="00960A21" w:rsidP="00960A21">
            <w:pPr>
              <w:jc w:val="center"/>
              <w:rPr>
                <w:b/>
                <w:bCs/>
              </w:rPr>
            </w:pPr>
            <w:r w:rsidRPr="00377E67">
              <w:rPr>
                <w:b/>
                <w:bCs/>
              </w:rPr>
              <w:t>[veicami aprēķini]</w:t>
            </w:r>
          </w:p>
        </w:tc>
        <w:tc>
          <w:tcPr>
            <w:tcW w:w="1083" w:type="dxa"/>
          </w:tcPr>
          <w:p w14:paraId="143D77DB" w14:textId="77777777" w:rsidR="00960A21" w:rsidRDefault="00960A21" w:rsidP="00960A21">
            <w:pPr>
              <w:jc w:val="center"/>
            </w:pPr>
            <w:r>
              <w:t>[..]</w:t>
            </w:r>
          </w:p>
        </w:tc>
        <w:tc>
          <w:tcPr>
            <w:tcW w:w="1383" w:type="dxa"/>
          </w:tcPr>
          <w:p w14:paraId="2D9DB751" w14:textId="53BC242B" w:rsidR="00960A21" w:rsidRDefault="00960A21" w:rsidP="00960A21">
            <w:pPr>
              <w:jc w:val="center"/>
            </w:pPr>
            <w:r>
              <w:t>[..]</w:t>
            </w:r>
          </w:p>
        </w:tc>
      </w:tr>
      <w:tr w:rsidR="002A2360" w14:paraId="6D0062BE" w14:textId="168E5AF8" w:rsidTr="002A2360">
        <w:tc>
          <w:tcPr>
            <w:tcW w:w="1727" w:type="dxa"/>
          </w:tcPr>
          <w:p w14:paraId="4CC3104D" w14:textId="77777777" w:rsidR="00960A21" w:rsidRPr="001C59A5" w:rsidRDefault="00960A21" w:rsidP="00960A21">
            <w:pPr>
              <w:rPr>
                <w:b/>
                <w:bCs/>
              </w:rPr>
            </w:pPr>
            <w:r w:rsidRPr="001C59A5">
              <w:rPr>
                <w:b/>
                <w:bCs/>
              </w:rPr>
              <w:t>Citas priekšrocības</w:t>
            </w:r>
          </w:p>
        </w:tc>
        <w:tc>
          <w:tcPr>
            <w:tcW w:w="1983" w:type="dxa"/>
          </w:tcPr>
          <w:p w14:paraId="72552E6A" w14:textId="77777777" w:rsidR="00960A21" w:rsidRDefault="00960A21" w:rsidP="00960A21">
            <w:pPr>
              <w:jc w:val="center"/>
            </w:pPr>
            <w:r>
              <w:t xml:space="preserve">Tiesības celt prasības pašvaldību un tās iedzīvotāju kopuma, </w:t>
            </w:r>
            <w:r>
              <w:lastRenderedPageBreak/>
              <w:t>kā arī valsts interesēs ir atzītas tiesu praksē (piemēram, lietā Nr. SKC-210/2017; lietā Nr. C69197618).</w:t>
            </w:r>
          </w:p>
          <w:p w14:paraId="48E28D8C" w14:textId="77777777" w:rsidR="00960A21" w:rsidRDefault="00960A21" w:rsidP="00960A21">
            <w:pPr>
              <w:jc w:val="center"/>
            </w:pPr>
            <w:r>
              <w:t>Pirmšķietami secināms, ka jau šobrīd pastāv tiesisks mehānisms zaudējumu atlīdzināšanā valsts un pašvaldības vārdā, kuru praksē varētu attīstīt arī konkurences tiesību jautājumos.</w:t>
            </w:r>
          </w:p>
        </w:tc>
        <w:tc>
          <w:tcPr>
            <w:tcW w:w="1527" w:type="dxa"/>
          </w:tcPr>
          <w:p w14:paraId="365D0336" w14:textId="77777777" w:rsidR="00960A21" w:rsidRDefault="00960A21" w:rsidP="00960A21">
            <w:pPr>
              <w:jc w:val="center"/>
            </w:pPr>
            <w:r w:rsidRPr="00F6331D">
              <w:lastRenderedPageBreak/>
              <w:t xml:space="preserve">Valsts kancelejai ir Eiropas </w:t>
            </w:r>
            <w:r w:rsidRPr="00F6331D">
              <w:lastRenderedPageBreak/>
              <w:t>Savienības struktūrfondu departaments, kas principā pilnībā nodarbojas ar Eiropas fondu piesaisti un apgūšanas veicināšanu. Līdz ar to šis departaments varētu būt labi informēts par ar Eiropas līdzekļiem saistību iepirkumu saturu.</w:t>
            </w:r>
          </w:p>
        </w:tc>
        <w:tc>
          <w:tcPr>
            <w:tcW w:w="1528" w:type="dxa"/>
          </w:tcPr>
          <w:p w14:paraId="2950EFCE" w14:textId="77777777" w:rsidR="00960A21" w:rsidRDefault="00960A21" w:rsidP="00960A21">
            <w:pPr>
              <w:jc w:val="center"/>
            </w:pPr>
            <w:r>
              <w:lastRenderedPageBreak/>
              <w:t xml:space="preserve">TM izstrādā un īsteno valsts politiku </w:t>
            </w:r>
            <w:r>
              <w:lastRenderedPageBreak/>
              <w:t>civiltiesību un komerctiesību jomā (TM reglamenta 35.5. punkts)</w:t>
            </w:r>
          </w:p>
        </w:tc>
        <w:tc>
          <w:tcPr>
            <w:tcW w:w="1372" w:type="dxa"/>
          </w:tcPr>
          <w:p w14:paraId="210C8CBA" w14:textId="77777777" w:rsidR="00960A21" w:rsidRDefault="00960A21" w:rsidP="00960A21">
            <w:pPr>
              <w:jc w:val="center"/>
            </w:pPr>
            <w:r>
              <w:lastRenderedPageBreak/>
              <w:t xml:space="preserve">Nodrošina pašvaldību finansiālās </w:t>
            </w:r>
            <w:r>
              <w:lastRenderedPageBreak/>
              <w:t>darbības uzraudzību (FM reglamenta 31.6. punkts), veic ES fonu vadošās iestādes funkcijas (FM reglamenta 35.2. punkts), koordinē FM darbu attiecībā uz valsts pozīcijas veidošanu par ES Kohēzijas politiku un saistītajiem ES finanšu instrumentiem (FM reglamenta 35.8. punkts), veido politiku publisko iepirkumu jomā (FM reglamenta 36.1. punkts)</w:t>
            </w:r>
          </w:p>
        </w:tc>
        <w:tc>
          <w:tcPr>
            <w:tcW w:w="1288" w:type="dxa"/>
          </w:tcPr>
          <w:p w14:paraId="797F7BB5" w14:textId="77777777" w:rsidR="00960A21" w:rsidRDefault="00960A21" w:rsidP="00960A21">
            <w:pPr>
              <w:jc w:val="center"/>
            </w:pPr>
            <w:r>
              <w:lastRenderedPageBreak/>
              <w:t xml:space="preserve">CFLA rīcībā varētu būt visvairāk </w:t>
            </w:r>
            <w:r>
              <w:lastRenderedPageBreak/>
              <w:t>informācijas par ES finansētiem iepirkumiem.</w:t>
            </w:r>
          </w:p>
        </w:tc>
        <w:tc>
          <w:tcPr>
            <w:tcW w:w="1343" w:type="dxa"/>
          </w:tcPr>
          <w:p w14:paraId="2AB9BB2D" w14:textId="77777777" w:rsidR="00960A21" w:rsidRDefault="00960A21" w:rsidP="00960A21">
            <w:pPr>
              <w:jc w:val="center"/>
            </w:pPr>
            <w:r>
              <w:lastRenderedPageBreak/>
              <w:t xml:space="preserve">LAD rīcībā varētu būt visvairāk </w:t>
            </w:r>
            <w:r>
              <w:lastRenderedPageBreak/>
              <w:t>informācijas par valsts un ES atbalsta finansētiem iepirkumiem lauksaimniecības jomā.</w:t>
            </w:r>
          </w:p>
        </w:tc>
        <w:tc>
          <w:tcPr>
            <w:tcW w:w="1689" w:type="dxa"/>
          </w:tcPr>
          <w:p w14:paraId="324E80E5" w14:textId="77777777" w:rsidR="00960A21" w:rsidRDefault="00960A21" w:rsidP="00960A21">
            <w:pPr>
              <w:jc w:val="center"/>
            </w:pPr>
            <w:r w:rsidRPr="00817086">
              <w:lastRenderedPageBreak/>
              <w:t xml:space="preserve">KP, lēmumu pieņemot, visticamāk, </w:t>
            </w:r>
            <w:r w:rsidRPr="00817086">
              <w:lastRenderedPageBreak/>
              <w:t>būs radusies laba izpratne par konkrētā tirgus struktūru, konkurences intensitāti un citiem tirgu raksturojošiem aspektiem.</w:t>
            </w:r>
            <w:r>
              <w:t xml:space="preserve"> Vienlaicīgi nepastāv minētā tieša korelācija ar nodarītā zaudējuma apmēru preču un pakalpojumu pircējiem.</w:t>
            </w:r>
          </w:p>
        </w:tc>
        <w:tc>
          <w:tcPr>
            <w:tcW w:w="1083" w:type="dxa"/>
          </w:tcPr>
          <w:p w14:paraId="08B398FA" w14:textId="77777777" w:rsidR="00960A21" w:rsidRDefault="00960A21" w:rsidP="00960A21">
            <w:pPr>
              <w:jc w:val="center"/>
            </w:pPr>
            <w:r>
              <w:lastRenderedPageBreak/>
              <w:t>[..]</w:t>
            </w:r>
          </w:p>
        </w:tc>
        <w:tc>
          <w:tcPr>
            <w:tcW w:w="1383" w:type="dxa"/>
          </w:tcPr>
          <w:p w14:paraId="6E44ACF0" w14:textId="0AFEA677" w:rsidR="00AE1772" w:rsidRDefault="008D0C21" w:rsidP="008D0C21">
            <w:pPr>
              <w:jc w:val="center"/>
            </w:pPr>
            <w:r>
              <w:t>[..]</w:t>
            </w:r>
          </w:p>
        </w:tc>
      </w:tr>
      <w:tr w:rsidR="002A2360" w14:paraId="5A77D031" w14:textId="5BAB7304" w:rsidTr="002A2360">
        <w:tc>
          <w:tcPr>
            <w:tcW w:w="1727" w:type="dxa"/>
          </w:tcPr>
          <w:p w14:paraId="42D90E81" w14:textId="77777777" w:rsidR="00960A21" w:rsidRPr="001C59A5" w:rsidRDefault="00960A21" w:rsidP="00960A21">
            <w:pPr>
              <w:rPr>
                <w:b/>
                <w:bCs/>
              </w:rPr>
            </w:pPr>
            <w:r w:rsidRPr="001C59A5">
              <w:rPr>
                <w:b/>
                <w:bCs/>
              </w:rPr>
              <w:t>Citi trūkumi</w:t>
            </w:r>
          </w:p>
        </w:tc>
        <w:tc>
          <w:tcPr>
            <w:tcW w:w="1983" w:type="dxa"/>
          </w:tcPr>
          <w:p w14:paraId="1C0E51E4" w14:textId="77777777" w:rsidR="00960A21" w:rsidRDefault="00960A21" w:rsidP="00960A21">
            <w:pPr>
              <w:jc w:val="center"/>
            </w:pPr>
            <w:r>
              <w:t xml:space="preserve">Ņemot vērā Ģenerālprokuratūras piederību tiesu varai, autonomas </w:t>
            </w:r>
            <w:r>
              <w:lastRenderedPageBreak/>
              <w:t>kompetences piešķiršana varētu būt problemātiska, līdz ar to būtu jāatstāj paralēlas kompetences, neizslēdzot iespējamību, ka arī publiskais pasūtītājs pats varētu vērsties tiesā ar prasību.</w:t>
            </w:r>
          </w:p>
        </w:tc>
        <w:tc>
          <w:tcPr>
            <w:tcW w:w="1527" w:type="dxa"/>
          </w:tcPr>
          <w:p w14:paraId="6C68684C" w14:textId="77777777" w:rsidR="00960A21" w:rsidRDefault="00960A21" w:rsidP="00960A21">
            <w:pPr>
              <w:jc w:val="center"/>
            </w:pPr>
            <w:r>
              <w:lastRenderedPageBreak/>
              <w:t>[..]</w:t>
            </w:r>
          </w:p>
        </w:tc>
        <w:tc>
          <w:tcPr>
            <w:tcW w:w="1528" w:type="dxa"/>
          </w:tcPr>
          <w:p w14:paraId="7C762EF5" w14:textId="77777777" w:rsidR="00960A21" w:rsidRDefault="00960A21" w:rsidP="00960A21">
            <w:pPr>
              <w:jc w:val="center"/>
            </w:pPr>
            <w:r>
              <w:t>[..]</w:t>
            </w:r>
          </w:p>
        </w:tc>
        <w:tc>
          <w:tcPr>
            <w:tcW w:w="1372" w:type="dxa"/>
          </w:tcPr>
          <w:p w14:paraId="5CF456E0" w14:textId="77777777" w:rsidR="00960A21" w:rsidRDefault="00960A21" w:rsidP="00960A21">
            <w:pPr>
              <w:jc w:val="center"/>
            </w:pPr>
            <w:r>
              <w:t>[..]</w:t>
            </w:r>
          </w:p>
        </w:tc>
        <w:tc>
          <w:tcPr>
            <w:tcW w:w="1288" w:type="dxa"/>
          </w:tcPr>
          <w:p w14:paraId="24B5C28B" w14:textId="77777777" w:rsidR="00960A21" w:rsidRDefault="00960A21" w:rsidP="00960A21">
            <w:pPr>
              <w:jc w:val="center"/>
            </w:pPr>
            <w:r>
              <w:t>[..]</w:t>
            </w:r>
          </w:p>
        </w:tc>
        <w:tc>
          <w:tcPr>
            <w:tcW w:w="1343" w:type="dxa"/>
          </w:tcPr>
          <w:p w14:paraId="6BF508F0" w14:textId="77777777" w:rsidR="00960A21" w:rsidRDefault="00960A21" w:rsidP="00960A21">
            <w:pPr>
              <w:jc w:val="center"/>
            </w:pPr>
            <w:r>
              <w:t>[..]</w:t>
            </w:r>
          </w:p>
        </w:tc>
        <w:tc>
          <w:tcPr>
            <w:tcW w:w="1689" w:type="dxa"/>
          </w:tcPr>
          <w:p w14:paraId="3264D31A" w14:textId="77777777" w:rsidR="00960A21" w:rsidRDefault="00960A21" w:rsidP="00960A21">
            <w:pPr>
              <w:jc w:val="center"/>
            </w:pPr>
            <w:r>
              <w:t xml:space="preserve">No sabiedrības puses varētu būt šaubas, vai tiek </w:t>
            </w:r>
            <w:r>
              <w:lastRenderedPageBreak/>
              <w:t xml:space="preserve">nodrošināta absolūta neatkarība KP kā tirgus uzrauga lomas darbībā un vai KP nav ieinteresēta tās vesto lietu iznākumā. Šaubas par neitralitāti un objektivitāti. Var tikt apgrūtināta pamatfunkcijas – tirgus uzraudzības – īstenošana, ja tiks pārorientēti resursi zaudējumu atlīdzības prasību celšanai. </w:t>
            </w:r>
            <w:r w:rsidRPr="005C55D7">
              <w:t xml:space="preserve">Tiesības iet inspekcijā (īstenot procesuālās darbības) un publiskā pasūtītāja pārstāvība ir divi savstarpēji nesavienojami </w:t>
            </w:r>
            <w:r w:rsidRPr="005C55D7">
              <w:lastRenderedPageBreak/>
              <w:t>koncepti (tiek kropļots sacīkstes princips).</w:t>
            </w:r>
          </w:p>
        </w:tc>
        <w:tc>
          <w:tcPr>
            <w:tcW w:w="1083" w:type="dxa"/>
          </w:tcPr>
          <w:p w14:paraId="61036648" w14:textId="77777777" w:rsidR="00960A21" w:rsidRDefault="00960A21" w:rsidP="00960A21">
            <w:pPr>
              <w:jc w:val="center"/>
            </w:pPr>
            <w:r>
              <w:lastRenderedPageBreak/>
              <w:t>[..]</w:t>
            </w:r>
          </w:p>
        </w:tc>
        <w:tc>
          <w:tcPr>
            <w:tcW w:w="1383" w:type="dxa"/>
          </w:tcPr>
          <w:p w14:paraId="7802DF15" w14:textId="41241C38" w:rsidR="008D0C21" w:rsidRDefault="008D0C21" w:rsidP="008D0C21">
            <w:pPr>
              <w:jc w:val="center"/>
            </w:pPr>
            <w:r>
              <w:t>Z</w:t>
            </w:r>
            <w:r w:rsidRPr="001158EA">
              <w:t xml:space="preserve">audējumu atlīdzināšanas procesa uzsākšana un </w:t>
            </w:r>
            <w:r w:rsidRPr="001158EA">
              <w:lastRenderedPageBreak/>
              <w:t xml:space="preserve">piedziņa nav saistīta ar revīziju darbu. </w:t>
            </w:r>
          </w:p>
          <w:p w14:paraId="6644D44E" w14:textId="7FBC5B2E" w:rsidR="008D0C21" w:rsidRDefault="008D0C21" w:rsidP="008D0C21">
            <w:pPr>
              <w:jc w:val="center"/>
            </w:pPr>
            <w:r>
              <w:t>Par revīzijās konstatētajiem pārkāpumiem ziņo un sadarbojas ar</w:t>
            </w:r>
          </w:p>
          <w:p w14:paraId="7991B390" w14:textId="77777777" w:rsidR="008D0C21" w:rsidRDefault="008D0C21" w:rsidP="008D0C21">
            <w:pPr>
              <w:jc w:val="center"/>
            </w:pPr>
            <w:r>
              <w:t>atbildīgajām iestādēm un seko līdzi to izskatīšanas gaitai, kā arī Valsts kontrolei ir kompetence</w:t>
            </w:r>
          </w:p>
          <w:p w14:paraId="65A2857C" w14:textId="77777777" w:rsidR="008D0C21" w:rsidRDefault="008D0C21" w:rsidP="008D0C21">
            <w:pPr>
              <w:jc w:val="center"/>
            </w:pPr>
            <w:r>
              <w:t>iniciēt revīzijā konstatētas nelikumīgas rīcības rezultātā radītu zaudējumu atlīdzināšanas procesu un</w:t>
            </w:r>
          </w:p>
          <w:p w14:paraId="26E7CEB9" w14:textId="77777777" w:rsidR="008D0C21" w:rsidRDefault="008D0C21" w:rsidP="008D0C21">
            <w:pPr>
              <w:jc w:val="center"/>
            </w:pPr>
            <w:r>
              <w:t>lemt par piedziņu.</w:t>
            </w:r>
          </w:p>
          <w:p w14:paraId="5B6835CC" w14:textId="215B6996" w:rsidR="00960A21" w:rsidRDefault="00960A21" w:rsidP="00960A21">
            <w:pPr>
              <w:jc w:val="center"/>
            </w:pPr>
          </w:p>
        </w:tc>
      </w:tr>
    </w:tbl>
    <w:p w14:paraId="59191A02" w14:textId="4EDE3788" w:rsidR="007D790F" w:rsidRDefault="007D790F" w:rsidP="007D790F">
      <w:pPr>
        <w:spacing w:after="0" w:line="240" w:lineRule="auto"/>
        <w:jc w:val="both"/>
        <w:rPr>
          <w:rFonts w:ascii="Times New Roman" w:hAnsi="Times New Roman" w:cs="Times New Roman"/>
          <w:sz w:val="24"/>
          <w:szCs w:val="24"/>
        </w:rPr>
      </w:pPr>
    </w:p>
    <w:p w14:paraId="3E053FB0" w14:textId="77777777" w:rsidR="002A2360" w:rsidRDefault="002A2360" w:rsidP="007D790F">
      <w:pPr>
        <w:spacing w:after="0" w:line="240" w:lineRule="auto"/>
        <w:jc w:val="both"/>
        <w:rPr>
          <w:rFonts w:ascii="Times New Roman" w:hAnsi="Times New Roman" w:cs="Times New Roman"/>
          <w:sz w:val="24"/>
          <w:szCs w:val="24"/>
        </w:rPr>
      </w:pPr>
    </w:p>
    <w:p w14:paraId="31EE8A1C" w14:textId="5851A2C5" w:rsidR="007C26F4" w:rsidRPr="002A2360" w:rsidRDefault="007C26F4" w:rsidP="007C26F4">
      <w:pPr>
        <w:spacing w:after="0" w:line="240" w:lineRule="auto"/>
        <w:jc w:val="both"/>
        <w:rPr>
          <w:rFonts w:ascii="Times New Roman" w:hAnsi="Times New Roman" w:cs="Times New Roman"/>
          <w:b/>
          <w:bCs/>
          <w:sz w:val="24"/>
          <w:szCs w:val="24"/>
        </w:rPr>
      </w:pPr>
      <w:r w:rsidRPr="002A2360">
        <w:rPr>
          <w:rFonts w:ascii="Times New Roman" w:hAnsi="Times New Roman" w:cs="Times New Roman"/>
          <w:b/>
          <w:bCs/>
          <w:sz w:val="24"/>
          <w:szCs w:val="24"/>
        </w:rPr>
        <w:t>Iestāžu pašnovērtējumi:</w:t>
      </w:r>
    </w:p>
    <w:p w14:paraId="10B46ADA" w14:textId="77777777" w:rsidR="007C26F4" w:rsidRDefault="007C26F4" w:rsidP="007D790F">
      <w:pPr>
        <w:spacing w:after="0" w:line="240" w:lineRule="auto"/>
        <w:jc w:val="both"/>
        <w:rPr>
          <w:rFonts w:ascii="Times New Roman" w:hAnsi="Times New Roman" w:cs="Times New Roman"/>
          <w:sz w:val="24"/>
          <w:szCs w:val="24"/>
        </w:rPr>
      </w:pPr>
    </w:p>
    <w:tbl>
      <w:tblPr>
        <w:tblStyle w:val="TableGrid"/>
        <w:tblW w:w="0" w:type="auto"/>
        <w:jc w:val="center"/>
        <w:tblLook w:val="04A0" w:firstRow="1" w:lastRow="0" w:firstColumn="1" w:lastColumn="0" w:noHBand="0" w:noVBand="1"/>
      </w:tblPr>
      <w:tblGrid>
        <w:gridCol w:w="2405"/>
        <w:gridCol w:w="11203"/>
      </w:tblGrid>
      <w:tr w:rsidR="00F50EF2" w:rsidRPr="00B066F9" w14:paraId="438538A8" w14:textId="77777777" w:rsidTr="008765F9">
        <w:trPr>
          <w:trHeight w:val="686"/>
          <w:jc w:val="center"/>
        </w:trPr>
        <w:tc>
          <w:tcPr>
            <w:tcW w:w="2405" w:type="dxa"/>
            <w:tcBorders>
              <w:top w:val="single" w:sz="4" w:space="0" w:color="auto"/>
              <w:left w:val="single" w:sz="4" w:space="0" w:color="auto"/>
              <w:bottom w:val="single" w:sz="4" w:space="0" w:color="auto"/>
              <w:right w:val="single" w:sz="4" w:space="0" w:color="auto"/>
            </w:tcBorders>
            <w:vAlign w:val="center"/>
          </w:tcPr>
          <w:p w14:paraId="5FE5CB86" w14:textId="77777777" w:rsidR="00F50EF2" w:rsidRPr="001158EA" w:rsidRDefault="00F50EF2" w:rsidP="00B066F9">
            <w:pPr>
              <w:spacing w:line="259" w:lineRule="auto"/>
              <w:ind w:firstLine="709"/>
            </w:pPr>
          </w:p>
        </w:tc>
        <w:tc>
          <w:tcPr>
            <w:tcW w:w="11203" w:type="dxa"/>
            <w:tcBorders>
              <w:top w:val="single" w:sz="4" w:space="0" w:color="auto"/>
              <w:left w:val="single" w:sz="4" w:space="0" w:color="auto"/>
              <w:bottom w:val="single" w:sz="4" w:space="0" w:color="auto"/>
              <w:right w:val="single" w:sz="4" w:space="0" w:color="auto"/>
            </w:tcBorders>
            <w:vAlign w:val="center"/>
            <w:hideMark/>
          </w:tcPr>
          <w:p w14:paraId="0DBDC041" w14:textId="77777777" w:rsidR="00F50EF2" w:rsidRPr="001158EA" w:rsidRDefault="00F50EF2" w:rsidP="00F72564">
            <w:pPr>
              <w:spacing w:line="259" w:lineRule="auto"/>
              <w:jc w:val="center"/>
              <w:rPr>
                <w:b/>
                <w:bCs/>
              </w:rPr>
            </w:pPr>
            <w:r w:rsidRPr="001158EA">
              <w:rPr>
                <w:b/>
                <w:bCs/>
              </w:rPr>
              <w:t>Ģenerālprokuratūra</w:t>
            </w:r>
            <w:r w:rsidRPr="001158EA">
              <w:rPr>
                <w:b/>
                <w:bCs/>
                <w:vertAlign w:val="superscript"/>
              </w:rPr>
              <w:footnoteReference w:id="1"/>
            </w:r>
          </w:p>
        </w:tc>
      </w:tr>
      <w:tr w:rsidR="00F50EF2" w:rsidRPr="00B066F9" w14:paraId="4AA69BBE" w14:textId="77777777" w:rsidTr="008765F9">
        <w:trPr>
          <w:trHeight w:val="686"/>
          <w:jc w:val="center"/>
        </w:trPr>
        <w:tc>
          <w:tcPr>
            <w:tcW w:w="2405" w:type="dxa"/>
            <w:tcBorders>
              <w:top w:val="single" w:sz="4" w:space="0" w:color="auto"/>
              <w:left w:val="single" w:sz="4" w:space="0" w:color="auto"/>
              <w:bottom w:val="single" w:sz="4" w:space="0" w:color="auto"/>
              <w:right w:val="single" w:sz="4" w:space="0" w:color="auto"/>
            </w:tcBorders>
            <w:vAlign w:val="center"/>
            <w:hideMark/>
          </w:tcPr>
          <w:p w14:paraId="68DB63F7" w14:textId="77777777" w:rsidR="00F50EF2" w:rsidRPr="001158EA" w:rsidRDefault="00F50EF2" w:rsidP="009C29A0">
            <w:pPr>
              <w:spacing w:line="259" w:lineRule="auto"/>
              <w:ind w:firstLine="22"/>
              <w:rPr>
                <w:b/>
                <w:bCs/>
              </w:rPr>
            </w:pPr>
            <w:r w:rsidRPr="001158EA">
              <w:rPr>
                <w:b/>
                <w:bCs/>
              </w:rPr>
              <w:t>Īsteno pārstāvību civilprocesā</w:t>
            </w:r>
          </w:p>
        </w:tc>
        <w:tc>
          <w:tcPr>
            <w:tcW w:w="11203" w:type="dxa"/>
            <w:tcBorders>
              <w:top w:val="single" w:sz="4" w:space="0" w:color="auto"/>
              <w:left w:val="single" w:sz="4" w:space="0" w:color="auto"/>
              <w:bottom w:val="single" w:sz="4" w:space="0" w:color="auto"/>
              <w:right w:val="single" w:sz="4" w:space="0" w:color="auto"/>
            </w:tcBorders>
            <w:vAlign w:val="center"/>
            <w:hideMark/>
          </w:tcPr>
          <w:p w14:paraId="4396D9E4" w14:textId="77777777" w:rsidR="00F50EF2" w:rsidRPr="001158EA" w:rsidRDefault="00F50EF2" w:rsidP="009C29A0">
            <w:pPr>
              <w:spacing w:line="259" w:lineRule="auto"/>
            </w:pPr>
            <w:r w:rsidRPr="001158EA">
              <w:t>Civilprocesa likuma 90. pants, 2020. gadā prokurors cēlis prasības 57 civillietās, t. sk. lietās par personas rīcībspējas ierobežošanu, biedrības darbības izbeigšanu, darījumu atzīšanu par spēkā neesošiem, īpašuma tiesību atzīšanu valstij (pašvaldībai), zaudējumu piedziņu.</w:t>
            </w:r>
          </w:p>
          <w:p w14:paraId="0D31CD88" w14:textId="77777777" w:rsidR="00F50EF2" w:rsidRPr="001158EA" w:rsidRDefault="00F50EF2" w:rsidP="009C29A0">
            <w:pPr>
              <w:spacing w:line="259" w:lineRule="auto"/>
            </w:pPr>
            <w:r w:rsidRPr="001158EA">
              <w:t>Bijis atbildētājs civillietās par kriminālprocesā nodarītā morālā kaitējuma atlīdzināšanu.</w:t>
            </w:r>
          </w:p>
        </w:tc>
      </w:tr>
      <w:tr w:rsidR="00F50EF2" w:rsidRPr="00B066F9" w14:paraId="55B286AD" w14:textId="77777777" w:rsidTr="008765F9">
        <w:trPr>
          <w:trHeight w:val="686"/>
          <w:jc w:val="center"/>
        </w:trPr>
        <w:tc>
          <w:tcPr>
            <w:tcW w:w="2405" w:type="dxa"/>
            <w:tcBorders>
              <w:top w:val="single" w:sz="4" w:space="0" w:color="auto"/>
              <w:left w:val="single" w:sz="4" w:space="0" w:color="auto"/>
              <w:bottom w:val="single" w:sz="4" w:space="0" w:color="auto"/>
              <w:right w:val="single" w:sz="4" w:space="0" w:color="auto"/>
            </w:tcBorders>
            <w:vAlign w:val="center"/>
            <w:hideMark/>
          </w:tcPr>
          <w:p w14:paraId="74B1B0D8" w14:textId="77777777" w:rsidR="00F50EF2" w:rsidRPr="001158EA" w:rsidRDefault="00F50EF2" w:rsidP="009C29A0">
            <w:pPr>
              <w:spacing w:line="259" w:lineRule="auto"/>
              <w:ind w:firstLine="22"/>
              <w:rPr>
                <w:b/>
                <w:bCs/>
              </w:rPr>
            </w:pPr>
            <w:r w:rsidRPr="001158EA">
              <w:rPr>
                <w:b/>
                <w:bCs/>
              </w:rPr>
              <w:t>Īsteno pārstāvību zaudējumu atlīdzības prasībās civilprocesā</w:t>
            </w:r>
          </w:p>
        </w:tc>
        <w:tc>
          <w:tcPr>
            <w:tcW w:w="11203" w:type="dxa"/>
            <w:tcBorders>
              <w:top w:val="single" w:sz="4" w:space="0" w:color="auto"/>
              <w:left w:val="single" w:sz="4" w:space="0" w:color="auto"/>
              <w:bottom w:val="single" w:sz="4" w:space="0" w:color="auto"/>
              <w:right w:val="single" w:sz="4" w:space="0" w:color="auto"/>
            </w:tcBorders>
            <w:vAlign w:val="center"/>
            <w:hideMark/>
          </w:tcPr>
          <w:p w14:paraId="5FDA5317" w14:textId="77777777" w:rsidR="00F50EF2" w:rsidRPr="001158EA" w:rsidRDefault="00F50EF2" w:rsidP="009C29A0">
            <w:pPr>
              <w:spacing w:line="259" w:lineRule="auto"/>
            </w:pPr>
            <w:r w:rsidRPr="001158EA">
              <w:t>2020. gadā – 1 lieta.</w:t>
            </w:r>
          </w:p>
        </w:tc>
      </w:tr>
      <w:tr w:rsidR="00F50EF2" w:rsidRPr="00B066F9" w14:paraId="1060004D" w14:textId="77777777" w:rsidTr="008765F9">
        <w:trPr>
          <w:trHeight w:val="686"/>
          <w:jc w:val="center"/>
        </w:trPr>
        <w:tc>
          <w:tcPr>
            <w:tcW w:w="2405" w:type="dxa"/>
            <w:tcBorders>
              <w:top w:val="single" w:sz="4" w:space="0" w:color="auto"/>
              <w:left w:val="single" w:sz="4" w:space="0" w:color="auto"/>
              <w:bottom w:val="single" w:sz="4" w:space="0" w:color="auto"/>
              <w:right w:val="single" w:sz="4" w:space="0" w:color="auto"/>
            </w:tcBorders>
            <w:vAlign w:val="center"/>
            <w:hideMark/>
          </w:tcPr>
          <w:p w14:paraId="3CE57536" w14:textId="77777777" w:rsidR="00F50EF2" w:rsidRPr="001158EA" w:rsidRDefault="00F50EF2" w:rsidP="009C29A0">
            <w:pPr>
              <w:spacing w:line="259" w:lineRule="auto"/>
              <w:ind w:firstLine="22"/>
              <w:rPr>
                <w:b/>
                <w:bCs/>
              </w:rPr>
            </w:pPr>
            <w:r w:rsidRPr="001158EA">
              <w:rPr>
                <w:b/>
                <w:bCs/>
              </w:rPr>
              <w:t>Pieredze zaudējumu aprēķināšanā civilprocesā</w:t>
            </w:r>
          </w:p>
        </w:tc>
        <w:tc>
          <w:tcPr>
            <w:tcW w:w="11203" w:type="dxa"/>
            <w:tcBorders>
              <w:top w:val="single" w:sz="4" w:space="0" w:color="auto"/>
              <w:left w:val="single" w:sz="4" w:space="0" w:color="auto"/>
              <w:bottom w:val="single" w:sz="4" w:space="0" w:color="auto"/>
              <w:right w:val="single" w:sz="4" w:space="0" w:color="auto"/>
            </w:tcBorders>
            <w:vAlign w:val="center"/>
            <w:hideMark/>
          </w:tcPr>
          <w:p w14:paraId="49CE74B4" w14:textId="77777777" w:rsidR="00F50EF2" w:rsidRPr="001158EA" w:rsidRDefault="00F50EF2" w:rsidP="009C29A0">
            <w:pPr>
              <w:spacing w:line="259" w:lineRule="auto"/>
            </w:pPr>
            <w:r w:rsidRPr="001158EA">
              <w:t>Pieredzes nav. Līdz šim prasības par zaudējumu atlīdzību ir celtas pamatojoties uz Valsts kontroles norādīto zaudējumu aprēķinu, vai kriminālprocesā konstatēto zaudējumu apmēru.</w:t>
            </w:r>
          </w:p>
        </w:tc>
      </w:tr>
      <w:tr w:rsidR="00F50EF2" w:rsidRPr="00B066F9" w14:paraId="39E6104A" w14:textId="77777777" w:rsidTr="008765F9">
        <w:trPr>
          <w:trHeight w:val="686"/>
          <w:jc w:val="center"/>
        </w:trPr>
        <w:tc>
          <w:tcPr>
            <w:tcW w:w="2405" w:type="dxa"/>
            <w:tcBorders>
              <w:top w:val="single" w:sz="4" w:space="0" w:color="auto"/>
              <w:left w:val="single" w:sz="4" w:space="0" w:color="auto"/>
              <w:bottom w:val="single" w:sz="4" w:space="0" w:color="auto"/>
              <w:right w:val="single" w:sz="4" w:space="0" w:color="auto"/>
            </w:tcBorders>
            <w:vAlign w:val="center"/>
            <w:hideMark/>
          </w:tcPr>
          <w:p w14:paraId="4DF83475" w14:textId="77777777" w:rsidR="00F50EF2" w:rsidRPr="001158EA" w:rsidRDefault="00F50EF2" w:rsidP="009C29A0">
            <w:pPr>
              <w:spacing w:line="259" w:lineRule="auto"/>
              <w:rPr>
                <w:b/>
                <w:bCs/>
              </w:rPr>
            </w:pPr>
            <w:r w:rsidRPr="001158EA">
              <w:rPr>
                <w:b/>
                <w:bCs/>
              </w:rPr>
              <w:t>Ekonomistu pieejamība</w:t>
            </w:r>
          </w:p>
        </w:tc>
        <w:tc>
          <w:tcPr>
            <w:tcW w:w="11203" w:type="dxa"/>
            <w:tcBorders>
              <w:top w:val="single" w:sz="4" w:space="0" w:color="auto"/>
              <w:left w:val="single" w:sz="4" w:space="0" w:color="auto"/>
              <w:bottom w:val="single" w:sz="4" w:space="0" w:color="auto"/>
              <w:right w:val="single" w:sz="4" w:space="0" w:color="auto"/>
            </w:tcBorders>
            <w:vAlign w:val="center"/>
            <w:hideMark/>
          </w:tcPr>
          <w:p w14:paraId="460145F8" w14:textId="77777777" w:rsidR="00F50EF2" w:rsidRPr="001158EA" w:rsidRDefault="00F50EF2" w:rsidP="009C29A0">
            <w:pPr>
              <w:spacing w:line="259" w:lineRule="auto"/>
            </w:pPr>
            <w:r w:rsidRPr="001158EA">
              <w:t>Nav pieejams.</w:t>
            </w:r>
          </w:p>
        </w:tc>
      </w:tr>
      <w:tr w:rsidR="00F50EF2" w:rsidRPr="00B066F9" w14:paraId="6087EFB2" w14:textId="77777777" w:rsidTr="008765F9">
        <w:trPr>
          <w:trHeight w:val="686"/>
          <w:jc w:val="center"/>
        </w:trPr>
        <w:tc>
          <w:tcPr>
            <w:tcW w:w="2405" w:type="dxa"/>
            <w:tcBorders>
              <w:top w:val="single" w:sz="4" w:space="0" w:color="auto"/>
              <w:left w:val="single" w:sz="4" w:space="0" w:color="auto"/>
              <w:bottom w:val="single" w:sz="4" w:space="0" w:color="auto"/>
              <w:right w:val="single" w:sz="4" w:space="0" w:color="auto"/>
            </w:tcBorders>
            <w:vAlign w:val="center"/>
            <w:hideMark/>
          </w:tcPr>
          <w:p w14:paraId="4A0BAE84" w14:textId="77777777" w:rsidR="00F50EF2" w:rsidRPr="001158EA" w:rsidRDefault="00F50EF2" w:rsidP="009C29A0">
            <w:pPr>
              <w:spacing w:line="259" w:lineRule="auto"/>
              <w:ind w:firstLine="22"/>
              <w:rPr>
                <w:b/>
                <w:bCs/>
              </w:rPr>
            </w:pPr>
            <w:r w:rsidRPr="001158EA">
              <w:rPr>
                <w:b/>
                <w:bCs/>
              </w:rPr>
              <w:t>Resursu pieejamība</w:t>
            </w:r>
          </w:p>
        </w:tc>
        <w:tc>
          <w:tcPr>
            <w:tcW w:w="11203" w:type="dxa"/>
            <w:tcBorders>
              <w:top w:val="single" w:sz="4" w:space="0" w:color="auto"/>
              <w:left w:val="single" w:sz="4" w:space="0" w:color="auto"/>
              <w:bottom w:val="single" w:sz="4" w:space="0" w:color="auto"/>
              <w:right w:val="single" w:sz="4" w:space="0" w:color="auto"/>
            </w:tcBorders>
            <w:vAlign w:val="center"/>
            <w:hideMark/>
          </w:tcPr>
          <w:p w14:paraId="3D32CA4E" w14:textId="77777777" w:rsidR="00F50EF2" w:rsidRPr="001158EA" w:rsidRDefault="00F50EF2" w:rsidP="009C29A0">
            <w:pPr>
              <w:spacing w:line="259" w:lineRule="auto"/>
              <w:ind w:firstLine="26"/>
            </w:pPr>
            <w:r w:rsidRPr="001158EA">
              <w:t>Nav ne telpu, ne aprīkojuma, ne cilvēkresursu.</w:t>
            </w:r>
          </w:p>
        </w:tc>
      </w:tr>
      <w:tr w:rsidR="00F50EF2" w:rsidRPr="00B066F9" w14:paraId="4971BA02" w14:textId="77777777" w:rsidTr="008765F9">
        <w:trPr>
          <w:trHeight w:val="686"/>
          <w:jc w:val="center"/>
        </w:trPr>
        <w:tc>
          <w:tcPr>
            <w:tcW w:w="2405" w:type="dxa"/>
            <w:tcBorders>
              <w:top w:val="single" w:sz="4" w:space="0" w:color="auto"/>
              <w:left w:val="single" w:sz="4" w:space="0" w:color="auto"/>
              <w:bottom w:val="single" w:sz="4" w:space="0" w:color="auto"/>
              <w:right w:val="single" w:sz="4" w:space="0" w:color="auto"/>
            </w:tcBorders>
            <w:vAlign w:val="center"/>
            <w:hideMark/>
          </w:tcPr>
          <w:p w14:paraId="5A0365F1" w14:textId="77777777" w:rsidR="00F50EF2" w:rsidRPr="001158EA" w:rsidRDefault="00F50EF2" w:rsidP="009C29A0">
            <w:pPr>
              <w:spacing w:line="259" w:lineRule="auto"/>
              <w:ind w:firstLine="22"/>
              <w:rPr>
                <w:b/>
                <w:bCs/>
              </w:rPr>
            </w:pPr>
            <w:r w:rsidRPr="001158EA">
              <w:rPr>
                <w:b/>
                <w:bCs/>
              </w:rPr>
              <w:t>Nepieciešamais finansējums</w:t>
            </w:r>
          </w:p>
        </w:tc>
        <w:tc>
          <w:tcPr>
            <w:tcW w:w="11203" w:type="dxa"/>
            <w:tcBorders>
              <w:top w:val="single" w:sz="4" w:space="0" w:color="auto"/>
              <w:left w:val="single" w:sz="4" w:space="0" w:color="auto"/>
              <w:bottom w:val="single" w:sz="4" w:space="0" w:color="auto"/>
              <w:right w:val="single" w:sz="4" w:space="0" w:color="auto"/>
            </w:tcBorders>
            <w:vAlign w:val="center"/>
            <w:hideMark/>
          </w:tcPr>
          <w:p w14:paraId="4F6AA611" w14:textId="77777777" w:rsidR="00F50EF2" w:rsidRPr="001158EA" w:rsidRDefault="00F50EF2" w:rsidP="009C29A0">
            <w:pPr>
              <w:spacing w:line="259" w:lineRule="auto"/>
              <w:ind w:firstLine="26"/>
            </w:pPr>
            <w:r w:rsidRPr="001158EA">
              <w:t xml:space="preserve">Būtu nepieciešams veidot jaunu struktūrvienību, papildus piesaistīt ekonomistus un auditorus, kuru atalgojums būtu nosakāms saskaņā ar 2010. gada 30. novembra Ministru kabineta noteikumu Nr. 1075 “Valsts un pašvaldību institūciju amatu katalogs” kritērijiem un mēnesī varētu sasniegt 1917 EUR.  Līdz ar to 3-5 jaunu darbinieku piesaistes gadījumā atalgojumam vien būtu nepieciešams finansējums 69 012 – 115 020 EUR gadā.  </w:t>
            </w:r>
          </w:p>
        </w:tc>
      </w:tr>
      <w:tr w:rsidR="00F50EF2" w:rsidRPr="00B066F9" w14:paraId="4A592F7C" w14:textId="77777777" w:rsidTr="008765F9">
        <w:trPr>
          <w:trHeight w:val="686"/>
          <w:jc w:val="center"/>
        </w:trPr>
        <w:tc>
          <w:tcPr>
            <w:tcW w:w="2405" w:type="dxa"/>
            <w:tcBorders>
              <w:top w:val="single" w:sz="4" w:space="0" w:color="auto"/>
              <w:left w:val="single" w:sz="4" w:space="0" w:color="auto"/>
              <w:bottom w:val="single" w:sz="4" w:space="0" w:color="auto"/>
              <w:right w:val="single" w:sz="4" w:space="0" w:color="auto"/>
            </w:tcBorders>
            <w:vAlign w:val="center"/>
            <w:hideMark/>
          </w:tcPr>
          <w:p w14:paraId="2AF9C4C8" w14:textId="77777777" w:rsidR="00F50EF2" w:rsidRPr="001158EA" w:rsidRDefault="00F50EF2" w:rsidP="009C29A0">
            <w:pPr>
              <w:spacing w:line="259" w:lineRule="auto"/>
              <w:ind w:firstLine="22"/>
              <w:rPr>
                <w:b/>
                <w:bCs/>
              </w:rPr>
            </w:pPr>
            <w:r w:rsidRPr="001158EA">
              <w:rPr>
                <w:b/>
                <w:bCs/>
              </w:rPr>
              <w:lastRenderedPageBreak/>
              <w:t>Citas priekšrocības</w:t>
            </w:r>
          </w:p>
        </w:tc>
        <w:tc>
          <w:tcPr>
            <w:tcW w:w="11203" w:type="dxa"/>
            <w:tcBorders>
              <w:top w:val="single" w:sz="4" w:space="0" w:color="auto"/>
              <w:left w:val="single" w:sz="4" w:space="0" w:color="auto"/>
              <w:bottom w:val="single" w:sz="4" w:space="0" w:color="auto"/>
              <w:right w:val="single" w:sz="4" w:space="0" w:color="auto"/>
            </w:tcBorders>
            <w:vAlign w:val="center"/>
            <w:hideMark/>
          </w:tcPr>
          <w:p w14:paraId="4AFEEF44" w14:textId="77777777" w:rsidR="00F50EF2" w:rsidRPr="001158EA" w:rsidRDefault="00F50EF2" w:rsidP="009C29A0">
            <w:pPr>
              <w:spacing w:line="259" w:lineRule="auto"/>
              <w:ind w:firstLine="26"/>
            </w:pPr>
            <w:r w:rsidRPr="001158EA">
              <w:t>Civilprocesa likuma 43. panta pirmās daļas 5. punkts – prokuratūra ir atbrīvota no tiesas izdevumu samaksas.</w:t>
            </w:r>
          </w:p>
          <w:p w14:paraId="312DEFE7" w14:textId="77777777" w:rsidR="00F50EF2" w:rsidRPr="001158EA" w:rsidRDefault="00F50EF2" w:rsidP="009C29A0">
            <w:pPr>
              <w:spacing w:line="259" w:lineRule="auto"/>
              <w:ind w:firstLine="26"/>
            </w:pPr>
            <w:r w:rsidRPr="001158EA">
              <w:t>Civilprocesa likuma 484. pants – ilgstoša pieredze procesuālo un materiālo normu analīzē.</w:t>
            </w:r>
          </w:p>
        </w:tc>
      </w:tr>
      <w:tr w:rsidR="00F50EF2" w:rsidRPr="00B066F9" w14:paraId="11B73796" w14:textId="77777777" w:rsidTr="008765F9">
        <w:trPr>
          <w:trHeight w:val="686"/>
          <w:jc w:val="center"/>
        </w:trPr>
        <w:tc>
          <w:tcPr>
            <w:tcW w:w="2405" w:type="dxa"/>
            <w:tcBorders>
              <w:top w:val="single" w:sz="4" w:space="0" w:color="auto"/>
              <w:left w:val="single" w:sz="4" w:space="0" w:color="auto"/>
              <w:bottom w:val="single" w:sz="4" w:space="0" w:color="auto"/>
              <w:right w:val="single" w:sz="4" w:space="0" w:color="auto"/>
            </w:tcBorders>
            <w:vAlign w:val="center"/>
            <w:hideMark/>
          </w:tcPr>
          <w:p w14:paraId="5A7F7539" w14:textId="77777777" w:rsidR="00F50EF2" w:rsidRPr="001158EA" w:rsidRDefault="00F50EF2" w:rsidP="009C29A0">
            <w:pPr>
              <w:spacing w:line="259" w:lineRule="auto"/>
              <w:ind w:firstLine="22"/>
              <w:rPr>
                <w:b/>
                <w:bCs/>
              </w:rPr>
            </w:pPr>
            <w:r w:rsidRPr="001158EA">
              <w:rPr>
                <w:b/>
                <w:bCs/>
              </w:rPr>
              <w:t>Citi trūkumi</w:t>
            </w:r>
          </w:p>
        </w:tc>
        <w:tc>
          <w:tcPr>
            <w:tcW w:w="11203" w:type="dxa"/>
            <w:tcBorders>
              <w:top w:val="single" w:sz="4" w:space="0" w:color="auto"/>
              <w:left w:val="single" w:sz="4" w:space="0" w:color="auto"/>
              <w:bottom w:val="single" w:sz="4" w:space="0" w:color="auto"/>
              <w:right w:val="single" w:sz="4" w:space="0" w:color="auto"/>
            </w:tcBorders>
            <w:vAlign w:val="center"/>
            <w:hideMark/>
          </w:tcPr>
          <w:p w14:paraId="66C0E8FE" w14:textId="77777777" w:rsidR="00F50EF2" w:rsidRPr="001158EA" w:rsidRDefault="00F50EF2" w:rsidP="009C29A0">
            <w:pPr>
              <w:spacing w:line="259" w:lineRule="auto"/>
              <w:ind w:firstLine="26"/>
            </w:pPr>
            <w:r w:rsidRPr="001158EA">
              <w:t>Nav pieredze šādu lietu izskatīšanā</w:t>
            </w:r>
          </w:p>
        </w:tc>
      </w:tr>
    </w:tbl>
    <w:p w14:paraId="2BB7767B" w14:textId="77777777" w:rsidR="002A2360" w:rsidRDefault="002A2360" w:rsidP="00B066F9">
      <w:pPr>
        <w:ind w:firstLine="709"/>
        <w:rPr>
          <w:b/>
          <w:bCs/>
        </w:rPr>
      </w:pPr>
    </w:p>
    <w:p w14:paraId="687D3E2E" w14:textId="77777777" w:rsidR="002A2360" w:rsidRDefault="002A2360" w:rsidP="00B066F9">
      <w:pPr>
        <w:ind w:firstLine="709"/>
        <w:rPr>
          <w:b/>
          <w:bCs/>
        </w:rPr>
      </w:pPr>
    </w:p>
    <w:tbl>
      <w:tblPr>
        <w:tblStyle w:val="TableGrid"/>
        <w:tblW w:w="0" w:type="auto"/>
        <w:jc w:val="center"/>
        <w:tblLook w:val="04A0" w:firstRow="1" w:lastRow="0" w:firstColumn="1" w:lastColumn="0" w:noHBand="0" w:noVBand="1"/>
      </w:tblPr>
      <w:tblGrid>
        <w:gridCol w:w="2405"/>
        <w:gridCol w:w="11203"/>
      </w:tblGrid>
      <w:tr w:rsidR="00F50EF2" w:rsidRPr="00B066F9" w14:paraId="3A0B4D50" w14:textId="77777777" w:rsidTr="008765F9">
        <w:trPr>
          <w:trHeight w:val="686"/>
          <w:jc w:val="center"/>
        </w:trPr>
        <w:tc>
          <w:tcPr>
            <w:tcW w:w="2405" w:type="dxa"/>
            <w:tcBorders>
              <w:top w:val="single" w:sz="4" w:space="0" w:color="auto"/>
              <w:left w:val="single" w:sz="4" w:space="0" w:color="auto"/>
              <w:bottom w:val="single" w:sz="4" w:space="0" w:color="auto"/>
              <w:right w:val="single" w:sz="4" w:space="0" w:color="auto"/>
            </w:tcBorders>
            <w:vAlign w:val="center"/>
          </w:tcPr>
          <w:p w14:paraId="656180A9" w14:textId="77777777" w:rsidR="00F50EF2" w:rsidRPr="001158EA" w:rsidRDefault="00F50EF2" w:rsidP="003F7CE9">
            <w:pPr>
              <w:spacing w:line="259" w:lineRule="auto"/>
              <w:ind w:firstLine="709"/>
            </w:pPr>
          </w:p>
        </w:tc>
        <w:tc>
          <w:tcPr>
            <w:tcW w:w="11203" w:type="dxa"/>
            <w:tcBorders>
              <w:top w:val="single" w:sz="4" w:space="0" w:color="auto"/>
              <w:left w:val="single" w:sz="4" w:space="0" w:color="auto"/>
              <w:bottom w:val="single" w:sz="4" w:space="0" w:color="auto"/>
              <w:right w:val="single" w:sz="4" w:space="0" w:color="auto"/>
            </w:tcBorders>
            <w:vAlign w:val="center"/>
            <w:hideMark/>
          </w:tcPr>
          <w:p w14:paraId="6891BCF7" w14:textId="77777777" w:rsidR="00F50EF2" w:rsidRPr="001158EA" w:rsidRDefault="00F50EF2" w:rsidP="003F7CE9">
            <w:pPr>
              <w:spacing w:line="259" w:lineRule="auto"/>
              <w:jc w:val="center"/>
              <w:rPr>
                <w:b/>
                <w:bCs/>
              </w:rPr>
            </w:pPr>
            <w:r>
              <w:rPr>
                <w:b/>
                <w:bCs/>
              </w:rPr>
              <w:t>Atbildīgā iestāde (Possessor)</w:t>
            </w:r>
            <w:r w:rsidRPr="001158EA">
              <w:rPr>
                <w:b/>
                <w:bCs/>
                <w:vertAlign w:val="superscript"/>
              </w:rPr>
              <w:footnoteReference w:id="2"/>
            </w:r>
          </w:p>
        </w:tc>
      </w:tr>
      <w:tr w:rsidR="00F50EF2" w:rsidRPr="00B066F9" w14:paraId="71668C2B" w14:textId="77777777" w:rsidTr="008765F9">
        <w:trPr>
          <w:trHeight w:val="686"/>
          <w:jc w:val="center"/>
        </w:trPr>
        <w:tc>
          <w:tcPr>
            <w:tcW w:w="2405" w:type="dxa"/>
            <w:tcBorders>
              <w:top w:val="single" w:sz="4" w:space="0" w:color="auto"/>
              <w:left w:val="single" w:sz="4" w:space="0" w:color="auto"/>
              <w:bottom w:val="single" w:sz="4" w:space="0" w:color="auto"/>
              <w:right w:val="single" w:sz="4" w:space="0" w:color="auto"/>
            </w:tcBorders>
            <w:vAlign w:val="center"/>
            <w:hideMark/>
          </w:tcPr>
          <w:p w14:paraId="5EA1BA05" w14:textId="77777777" w:rsidR="00F50EF2" w:rsidRPr="001158EA" w:rsidRDefault="00F50EF2" w:rsidP="003F7CE9">
            <w:pPr>
              <w:spacing w:line="259" w:lineRule="auto"/>
              <w:ind w:firstLine="22"/>
              <w:rPr>
                <w:b/>
                <w:bCs/>
              </w:rPr>
            </w:pPr>
            <w:r w:rsidRPr="001158EA">
              <w:rPr>
                <w:b/>
                <w:bCs/>
              </w:rPr>
              <w:t>Īsteno pārstāvību civilprocesā</w:t>
            </w:r>
          </w:p>
        </w:tc>
        <w:tc>
          <w:tcPr>
            <w:tcW w:w="11203" w:type="dxa"/>
            <w:tcBorders>
              <w:top w:val="single" w:sz="4" w:space="0" w:color="auto"/>
              <w:left w:val="single" w:sz="4" w:space="0" w:color="auto"/>
              <w:bottom w:val="single" w:sz="4" w:space="0" w:color="auto"/>
              <w:right w:val="single" w:sz="4" w:space="0" w:color="auto"/>
            </w:tcBorders>
            <w:vAlign w:val="center"/>
            <w:hideMark/>
          </w:tcPr>
          <w:p w14:paraId="7D6A4859" w14:textId="77777777" w:rsidR="00F50EF2" w:rsidRPr="001158EA" w:rsidRDefault="00F50EF2" w:rsidP="003F7CE9">
            <w:pPr>
              <w:spacing w:line="259" w:lineRule="auto"/>
            </w:pPr>
            <w:r>
              <w:t xml:space="preserve">Possessor jau šobrīd deleģēto valsts pārvaldes uzdevumu ietvaros regulāri īsteno valsts interešu aizstāvību tiesas ceļā, piedaloties civilprocesos patstāvīgi vai ar piesaistīta zvērināta advokāta starpniecību. </w:t>
            </w:r>
          </w:p>
        </w:tc>
      </w:tr>
      <w:tr w:rsidR="00F50EF2" w:rsidRPr="00B066F9" w14:paraId="1D7E0AF1" w14:textId="77777777" w:rsidTr="008765F9">
        <w:trPr>
          <w:trHeight w:val="686"/>
          <w:jc w:val="center"/>
        </w:trPr>
        <w:tc>
          <w:tcPr>
            <w:tcW w:w="2405" w:type="dxa"/>
            <w:tcBorders>
              <w:top w:val="single" w:sz="4" w:space="0" w:color="auto"/>
              <w:left w:val="single" w:sz="4" w:space="0" w:color="auto"/>
              <w:bottom w:val="single" w:sz="4" w:space="0" w:color="auto"/>
              <w:right w:val="single" w:sz="4" w:space="0" w:color="auto"/>
            </w:tcBorders>
            <w:vAlign w:val="center"/>
            <w:hideMark/>
          </w:tcPr>
          <w:p w14:paraId="061C47FC" w14:textId="77777777" w:rsidR="00F50EF2" w:rsidRPr="001158EA" w:rsidRDefault="00F50EF2" w:rsidP="003F7CE9">
            <w:pPr>
              <w:spacing w:line="259" w:lineRule="auto"/>
              <w:ind w:firstLine="22"/>
              <w:rPr>
                <w:b/>
                <w:bCs/>
              </w:rPr>
            </w:pPr>
            <w:r w:rsidRPr="001158EA">
              <w:rPr>
                <w:b/>
                <w:bCs/>
              </w:rPr>
              <w:t>Īsteno pārstāvību zaudējumu atlīdzības prasībās civilprocesā</w:t>
            </w:r>
          </w:p>
        </w:tc>
        <w:tc>
          <w:tcPr>
            <w:tcW w:w="11203" w:type="dxa"/>
            <w:tcBorders>
              <w:top w:val="single" w:sz="4" w:space="0" w:color="auto"/>
              <w:left w:val="single" w:sz="4" w:space="0" w:color="auto"/>
              <w:bottom w:val="single" w:sz="4" w:space="0" w:color="auto"/>
              <w:right w:val="single" w:sz="4" w:space="0" w:color="auto"/>
            </w:tcBorders>
            <w:vAlign w:val="center"/>
            <w:hideMark/>
          </w:tcPr>
          <w:p w14:paraId="0602337E" w14:textId="77777777" w:rsidR="00F50EF2" w:rsidRPr="001158EA" w:rsidRDefault="00F50EF2" w:rsidP="003F7CE9">
            <w:pPr>
              <w:spacing w:line="259" w:lineRule="auto"/>
            </w:pPr>
            <w:r>
              <w:t xml:space="preserve">Possessor savas darbības ietvaros nodrošina pārstāvību tiesās dažāda rakstura civiltiesiskos strīdos, tostarp strīdos, kas saistīti ar zaudējumu piedziņu. Possessor ir pieredze gan komplicēta rakstura zaudējumu atlīdzības strīdos, kurās tikuši </w:t>
            </w:r>
            <w:r w:rsidRPr="008E15B8">
              <w:t>analizēti ļoti apjomīgi un sarežģīti darījumi, kuru izpratnei ir jāpārzina daudzas tiesību nozares, tostarp saistību tiesības, deliktu tiesības, komerctiesības, kā arī finanšu jautājumi</w:t>
            </w:r>
            <w:r>
              <w:t>, gan arī strīdos, kuros zaudējumu pierādīšana un pamatošana ir bijusi salīdzinoši vienkārša. Turklāt Possessor ir ieguvis arī lielu pieredzi un zināšanas zaudējumu atlīdzības strīdos, kuros Possessor līdzdarbojusies ar zvērinātu advokātu starpniecību (piemēram, lietas Nr. </w:t>
            </w:r>
            <w:r w:rsidRPr="00D16162">
              <w:t>C04514211</w:t>
            </w:r>
            <w:r>
              <w:t xml:space="preserve">,  </w:t>
            </w:r>
            <w:r w:rsidRPr="006E538C">
              <w:t>C30295218</w:t>
            </w:r>
            <w:r>
              <w:t>).</w:t>
            </w:r>
          </w:p>
        </w:tc>
      </w:tr>
      <w:tr w:rsidR="00F50EF2" w:rsidRPr="00B066F9" w14:paraId="3E996A03" w14:textId="77777777" w:rsidTr="008765F9">
        <w:trPr>
          <w:trHeight w:val="686"/>
          <w:jc w:val="center"/>
        </w:trPr>
        <w:tc>
          <w:tcPr>
            <w:tcW w:w="2405" w:type="dxa"/>
            <w:tcBorders>
              <w:top w:val="single" w:sz="4" w:space="0" w:color="auto"/>
              <w:left w:val="single" w:sz="4" w:space="0" w:color="auto"/>
              <w:bottom w:val="single" w:sz="4" w:space="0" w:color="auto"/>
              <w:right w:val="single" w:sz="4" w:space="0" w:color="auto"/>
            </w:tcBorders>
            <w:vAlign w:val="center"/>
            <w:hideMark/>
          </w:tcPr>
          <w:p w14:paraId="077692CD" w14:textId="77777777" w:rsidR="00F50EF2" w:rsidRPr="001158EA" w:rsidRDefault="00F50EF2" w:rsidP="003F7CE9">
            <w:pPr>
              <w:spacing w:line="259" w:lineRule="auto"/>
              <w:ind w:firstLine="22"/>
              <w:rPr>
                <w:b/>
                <w:bCs/>
              </w:rPr>
            </w:pPr>
            <w:r w:rsidRPr="001158EA">
              <w:rPr>
                <w:b/>
                <w:bCs/>
              </w:rPr>
              <w:t>Pieredze zaudējumu aprēķināšanā civilprocesā</w:t>
            </w:r>
          </w:p>
        </w:tc>
        <w:tc>
          <w:tcPr>
            <w:tcW w:w="11203" w:type="dxa"/>
            <w:tcBorders>
              <w:top w:val="single" w:sz="4" w:space="0" w:color="auto"/>
              <w:left w:val="single" w:sz="4" w:space="0" w:color="auto"/>
              <w:bottom w:val="single" w:sz="4" w:space="0" w:color="auto"/>
              <w:right w:val="single" w:sz="4" w:space="0" w:color="auto"/>
            </w:tcBorders>
            <w:vAlign w:val="center"/>
            <w:hideMark/>
          </w:tcPr>
          <w:p w14:paraId="6AEA6E61" w14:textId="77777777" w:rsidR="00F50EF2" w:rsidRPr="001158EA" w:rsidRDefault="00F50EF2" w:rsidP="003F7CE9">
            <w:pPr>
              <w:spacing w:line="259" w:lineRule="auto"/>
            </w:pPr>
            <w:r>
              <w:t xml:space="preserve">Ņemot vērā, ka Possessor kā prasītājs regulāri piedalās </w:t>
            </w:r>
            <w:r w:rsidRPr="001158EA">
              <w:t xml:space="preserve">zaudējumu atlīdzināšanas lietās, </w:t>
            </w:r>
            <w:r>
              <w:t xml:space="preserve">Possessor </w:t>
            </w:r>
            <w:r w:rsidRPr="001158EA">
              <w:t xml:space="preserve">ir </w:t>
            </w:r>
            <w:r>
              <w:t xml:space="preserve">uzkrāta </w:t>
            </w:r>
            <w:r w:rsidRPr="001158EA">
              <w:t>pieredze zaudējumu aprēķināšanā.</w:t>
            </w:r>
          </w:p>
        </w:tc>
      </w:tr>
      <w:tr w:rsidR="00F50EF2" w:rsidRPr="00B066F9" w14:paraId="0FE4D0B6" w14:textId="77777777" w:rsidTr="008765F9">
        <w:trPr>
          <w:trHeight w:val="686"/>
          <w:jc w:val="center"/>
        </w:trPr>
        <w:tc>
          <w:tcPr>
            <w:tcW w:w="2405" w:type="dxa"/>
            <w:tcBorders>
              <w:top w:val="single" w:sz="4" w:space="0" w:color="auto"/>
              <w:left w:val="single" w:sz="4" w:space="0" w:color="auto"/>
              <w:bottom w:val="single" w:sz="4" w:space="0" w:color="auto"/>
              <w:right w:val="single" w:sz="4" w:space="0" w:color="auto"/>
            </w:tcBorders>
            <w:vAlign w:val="center"/>
            <w:hideMark/>
          </w:tcPr>
          <w:p w14:paraId="1E84C8CA" w14:textId="77777777" w:rsidR="00F50EF2" w:rsidRPr="001158EA" w:rsidRDefault="00F50EF2" w:rsidP="003F7CE9">
            <w:pPr>
              <w:spacing w:line="259" w:lineRule="auto"/>
              <w:rPr>
                <w:b/>
                <w:bCs/>
              </w:rPr>
            </w:pPr>
            <w:r w:rsidRPr="001158EA">
              <w:rPr>
                <w:b/>
                <w:bCs/>
              </w:rPr>
              <w:t>Ekonomistu pieejamība</w:t>
            </w:r>
          </w:p>
        </w:tc>
        <w:tc>
          <w:tcPr>
            <w:tcW w:w="11203" w:type="dxa"/>
            <w:tcBorders>
              <w:top w:val="single" w:sz="4" w:space="0" w:color="auto"/>
              <w:left w:val="single" w:sz="4" w:space="0" w:color="auto"/>
              <w:bottom w:val="single" w:sz="4" w:space="0" w:color="auto"/>
              <w:right w:val="single" w:sz="4" w:space="0" w:color="auto"/>
            </w:tcBorders>
            <w:vAlign w:val="center"/>
            <w:hideMark/>
          </w:tcPr>
          <w:p w14:paraId="67179CBC" w14:textId="77777777" w:rsidR="00F50EF2" w:rsidRPr="001158EA" w:rsidRDefault="00F50EF2" w:rsidP="0068121C">
            <w:pPr>
              <w:spacing w:line="259" w:lineRule="auto"/>
            </w:pPr>
            <w:r>
              <w:t>Possessor regulāri uztur zaudējumu atlīdzības prasības civilprocesos, un to ietvaros Possessor speciālisti ar ekonomistu / finansistu izglītību veic aprēķinus, kas pamato zaudējumu apmēru. Tāpat Possessor speciālisti ir uzkrājuši pieredzi sarežģītu civilprocesu ietvaros, kuros nodarīto zaudējumu aprēķinu ir veikuši piesaistīti eksperti, t.sk., starptautiskas auditorfirmas. Līdz ar to Possessor piemīt kompetence veikt nepieciešamos aprēķinus, kā arī kritiski izvērtēt piesaistīto konsultantu un ekspertu sniegto vērtējumu.</w:t>
            </w:r>
          </w:p>
        </w:tc>
      </w:tr>
      <w:tr w:rsidR="00F50EF2" w:rsidRPr="00B066F9" w14:paraId="4BED10D2" w14:textId="77777777" w:rsidTr="008765F9">
        <w:trPr>
          <w:trHeight w:val="686"/>
          <w:jc w:val="center"/>
        </w:trPr>
        <w:tc>
          <w:tcPr>
            <w:tcW w:w="2405" w:type="dxa"/>
            <w:tcBorders>
              <w:top w:val="single" w:sz="4" w:space="0" w:color="auto"/>
              <w:left w:val="single" w:sz="4" w:space="0" w:color="auto"/>
              <w:bottom w:val="single" w:sz="4" w:space="0" w:color="auto"/>
              <w:right w:val="single" w:sz="4" w:space="0" w:color="auto"/>
            </w:tcBorders>
            <w:vAlign w:val="center"/>
            <w:hideMark/>
          </w:tcPr>
          <w:p w14:paraId="5827859F" w14:textId="77777777" w:rsidR="00F50EF2" w:rsidRPr="001158EA" w:rsidRDefault="00F50EF2" w:rsidP="003F7CE9">
            <w:pPr>
              <w:spacing w:line="259" w:lineRule="auto"/>
              <w:ind w:firstLine="22"/>
              <w:rPr>
                <w:b/>
                <w:bCs/>
              </w:rPr>
            </w:pPr>
            <w:r w:rsidRPr="001158EA">
              <w:rPr>
                <w:b/>
                <w:bCs/>
              </w:rPr>
              <w:t>Resursu pieejamība</w:t>
            </w:r>
          </w:p>
        </w:tc>
        <w:tc>
          <w:tcPr>
            <w:tcW w:w="11203" w:type="dxa"/>
            <w:tcBorders>
              <w:top w:val="single" w:sz="4" w:space="0" w:color="auto"/>
              <w:left w:val="single" w:sz="4" w:space="0" w:color="auto"/>
              <w:bottom w:val="single" w:sz="4" w:space="0" w:color="auto"/>
              <w:right w:val="single" w:sz="4" w:space="0" w:color="auto"/>
            </w:tcBorders>
            <w:vAlign w:val="center"/>
            <w:hideMark/>
          </w:tcPr>
          <w:p w14:paraId="7F3E04BE" w14:textId="77777777" w:rsidR="00F50EF2" w:rsidRDefault="00F50EF2" w:rsidP="003F7CE9">
            <w:pPr>
              <w:spacing w:line="259" w:lineRule="auto"/>
              <w:ind w:firstLine="26"/>
            </w:pPr>
            <w:r>
              <w:t>Possessor ir pieredze un eksperti (ekonomisti, finansisti), kas var veikt zaudējumu apmēru aprēķināšanu. Tāpat Possessor kā publiska persona organizē iepirkumus, izmantojot savu speciālistu pieredzi.</w:t>
            </w:r>
          </w:p>
          <w:p w14:paraId="0948E104" w14:textId="77777777" w:rsidR="00F50EF2" w:rsidRPr="001158EA" w:rsidRDefault="00F50EF2" w:rsidP="00B14F29">
            <w:pPr>
              <w:spacing w:line="259" w:lineRule="auto"/>
              <w:ind w:firstLine="26"/>
            </w:pPr>
            <w:r>
              <w:lastRenderedPageBreak/>
              <w:t xml:space="preserve">Possessor ir atbilstošas telpas, kā arī citi resursi, kas nepieciešami iestādes darba pilnvērtīgai organizēšanai, piemēram, grāmatvedības un uzskaites, administratīvais, informatīvi tehnoloģiskais un </w:t>
            </w:r>
            <w:proofErr w:type="spellStart"/>
            <w:r>
              <w:t>personālvadības</w:t>
            </w:r>
            <w:proofErr w:type="spellEnd"/>
            <w:r>
              <w:t xml:space="preserve"> atbalsts. </w:t>
            </w:r>
          </w:p>
        </w:tc>
      </w:tr>
      <w:tr w:rsidR="00F50EF2" w:rsidRPr="00B066F9" w14:paraId="6D9CF9BB" w14:textId="77777777" w:rsidTr="008765F9">
        <w:trPr>
          <w:trHeight w:val="686"/>
          <w:jc w:val="center"/>
        </w:trPr>
        <w:tc>
          <w:tcPr>
            <w:tcW w:w="2405" w:type="dxa"/>
            <w:tcBorders>
              <w:top w:val="single" w:sz="4" w:space="0" w:color="auto"/>
              <w:left w:val="single" w:sz="4" w:space="0" w:color="auto"/>
              <w:bottom w:val="single" w:sz="4" w:space="0" w:color="auto"/>
              <w:right w:val="single" w:sz="4" w:space="0" w:color="auto"/>
            </w:tcBorders>
            <w:vAlign w:val="center"/>
            <w:hideMark/>
          </w:tcPr>
          <w:p w14:paraId="60AB353C" w14:textId="77777777" w:rsidR="00F50EF2" w:rsidRPr="001158EA" w:rsidRDefault="00F50EF2" w:rsidP="003F7CE9">
            <w:pPr>
              <w:spacing w:line="259" w:lineRule="auto"/>
              <w:ind w:firstLine="22"/>
              <w:rPr>
                <w:b/>
                <w:bCs/>
              </w:rPr>
            </w:pPr>
            <w:r w:rsidRPr="001158EA">
              <w:rPr>
                <w:b/>
                <w:bCs/>
              </w:rPr>
              <w:lastRenderedPageBreak/>
              <w:t>Nepieciešamais finansējums</w:t>
            </w:r>
          </w:p>
        </w:tc>
        <w:tc>
          <w:tcPr>
            <w:tcW w:w="11203" w:type="dxa"/>
            <w:tcBorders>
              <w:top w:val="single" w:sz="4" w:space="0" w:color="auto"/>
              <w:left w:val="single" w:sz="4" w:space="0" w:color="auto"/>
              <w:bottom w:val="single" w:sz="4" w:space="0" w:color="auto"/>
              <w:right w:val="single" w:sz="4" w:space="0" w:color="auto"/>
            </w:tcBorders>
            <w:vAlign w:val="center"/>
            <w:hideMark/>
          </w:tcPr>
          <w:p w14:paraId="23261CAF" w14:textId="77777777" w:rsidR="00F50EF2" w:rsidRPr="00085B80" w:rsidRDefault="00F50EF2" w:rsidP="00085B80">
            <w:pPr>
              <w:ind w:firstLine="26"/>
            </w:pPr>
            <w:r>
              <w:t xml:space="preserve">Uzsākot aktīvu darbību zaudējumu atgūšanas sfērā, kas radušies publiskajiem pasūtītājiem KL normu pārkāpumu gadījumos, dotos uzdevumus </w:t>
            </w:r>
            <w:proofErr w:type="spellStart"/>
            <w:r>
              <w:t>Possessor</w:t>
            </w:r>
            <w:proofErr w:type="spellEnd"/>
            <w:r>
              <w:t xml:space="preserve"> </w:t>
            </w:r>
            <w:r w:rsidRPr="00085B80">
              <w:t xml:space="preserve">īstenotu </w:t>
            </w:r>
            <w:proofErr w:type="spellStart"/>
            <w:r w:rsidRPr="00085B80">
              <w:t>jaunizveidota</w:t>
            </w:r>
            <w:proofErr w:type="spellEnd"/>
            <w:r w:rsidRPr="00085B80">
              <w:t xml:space="preserve"> struktūrvienība, kurā ietilptu juriskonsulti, finanšu analītiķi, ekonomisti, sastāvā līdz 5 speciālistiem. Provizoriskais nepieciešamā finansējuma apmērs struktūrvienības darbības uzsākšanai ir līdz 250 tūkst. gadā darbības pirmajos trīs gados (kopā 750 tūkst.). Vienlaikus Possessor esošā finansējuma ietvaros nodrošinās struktūrvienības pilnvērtīgu darbību, sniedzot nepieciešamās atbalsta funkcijas – administratīvās funkcijas, </w:t>
            </w:r>
            <w:r>
              <w:t xml:space="preserve">informatīvi tehnoloģiskās, </w:t>
            </w:r>
            <w:r w:rsidRPr="00085B80">
              <w:t xml:space="preserve">grāmatvedības funkcijas, personāla atlase u.c. </w:t>
            </w:r>
          </w:p>
          <w:p w14:paraId="08272FE8" w14:textId="77777777" w:rsidR="00F50EF2" w:rsidRPr="00085B80" w:rsidRDefault="00F50EF2" w:rsidP="00085B80">
            <w:pPr>
              <w:ind w:firstLine="26"/>
            </w:pPr>
            <w:r w:rsidRPr="00085B80">
              <w:t xml:space="preserve">Possessor ieskatā būtu lietderīgi ieviest </w:t>
            </w:r>
            <w:r>
              <w:t xml:space="preserve">tādu </w:t>
            </w:r>
            <w:r w:rsidRPr="00085B80">
              <w:t xml:space="preserve">finansēšanas modeli, kurš paredzētu, ka pēc noteikta laika sprīža, piemēram, 3 gadi, </w:t>
            </w:r>
            <w:r>
              <w:t xml:space="preserve">atbildīgā iestāde </w:t>
            </w:r>
            <w:r w:rsidRPr="00085B80">
              <w:t xml:space="preserve">pārietu uz pašfinansēšanās modeli, saņemot noteiktu naudas summu procentuālā izteiksmē, kas atgūta no tirgus dalībniekiem. </w:t>
            </w:r>
            <w:r>
              <w:t xml:space="preserve">Atbildīgās iestādes </w:t>
            </w:r>
            <w:r w:rsidRPr="00085B80">
              <w:t xml:space="preserve">atlīdzība varētu būt 10% robežās no atgūtās summas. Tādējādi pēc </w:t>
            </w:r>
            <w:r>
              <w:t xml:space="preserve">atbildīgās iestādes </w:t>
            </w:r>
            <w:r w:rsidRPr="00085B80">
              <w:t xml:space="preserve">darbības uzsākšanas nebūs regulāri nepieciešami valsts budžeta līdzekļi funkcijas sekmīgai izpildei. Šāds mehānisms palielinās arī </w:t>
            </w:r>
            <w:r>
              <w:t xml:space="preserve">pašas iestādes </w:t>
            </w:r>
            <w:r w:rsidRPr="00085B80">
              <w:t xml:space="preserve">darbības efektivitāti, jo </w:t>
            </w:r>
            <w:r>
              <w:t xml:space="preserve">atbildīgās iestādes </w:t>
            </w:r>
            <w:r w:rsidRPr="00085B80">
              <w:t xml:space="preserve">saņemtā finansējuma apmērs būs tieši atkarīgs no atgūtajām naudas summām. </w:t>
            </w:r>
          </w:p>
          <w:p w14:paraId="626591F3" w14:textId="77777777" w:rsidR="00F50EF2" w:rsidRPr="001158EA" w:rsidRDefault="00F50EF2" w:rsidP="00D613ED">
            <w:pPr>
              <w:spacing w:line="259" w:lineRule="auto"/>
              <w:ind w:firstLine="26"/>
            </w:pPr>
            <w:r w:rsidRPr="00085B80">
              <w:t xml:space="preserve">Papildu minētajam, būtu nepieciešams valsts budžetā rezervēt noteiktu naudas summu – līdz 750 tūkst., kas tiktu izmantota ārpakalpojuma piesaistei, ja būtu jānodrošina tiesvedība īpaši sarežģītos gadījumos, piemēram, tiesvedība pret būvnieku karteli. </w:t>
            </w:r>
            <w:r>
              <w:t>Š</w:t>
            </w:r>
            <w:r w:rsidRPr="00085B80">
              <w:t>eit jāņem vērā, ka advokātu atalgošanai iztērētie naudas līdzekļ</w:t>
            </w:r>
            <w:r>
              <w:t>i</w:t>
            </w:r>
            <w:r w:rsidRPr="00085B80">
              <w:t xml:space="preserve"> </w:t>
            </w:r>
            <w:r>
              <w:t xml:space="preserve">ir </w:t>
            </w:r>
            <w:r w:rsidRPr="00085B80">
              <w:t>piedzenami no vainīgās personas, kas savukārt nozīmē, ka naudas summas ir atgūstamas un līdzekļi izmantojami atkārtoti turpmāko tiesvedību sekmīgai nodrošināšanai.</w:t>
            </w:r>
          </w:p>
        </w:tc>
      </w:tr>
      <w:tr w:rsidR="00F50EF2" w:rsidRPr="00B066F9" w14:paraId="1B1F8BA6" w14:textId="77777777" w:rsidTr="008765F9">
        <w:trPr>
          <w:trHeight w:val="686"/>
          <w:jc w:val="center"/>
        </w:trPr>
        <w:tc>
          <w:tcPr>
            <w:tcW w:w="2405" w:type="dxa"/>
            <w:tcBorders>
              <w:top w:val="single" w:sz="4" w:space="0" w:color="auto"/>
              <w:left w:val="single" w:sz="4" w:space="0" w:color="auto"/>
              <w:bottom w:val="single" w:sz="4" w:space="0" w:color="auto"/>
              <w:right w:val="single" w:sz="4" w:space="0" w:color="auto"/>
            </w:tcBorders>
            <w:vAlign w:val="center"/>
            <w:hideMark/>
          </w:tcPr>
          <w:p w14:paraId="3A256EB3" w14:textId="77777777" w:rsidR="00F50EF2" w:rsidRPr="001158EA" w:rsidRDefault="00F50EF2" w:rsidP="003F7CE9">
            <w:pPr>
              <w:spacing w:line="259" w:lineRule="auto"/>
              <w:ind w:firstLine="22"/>
              <w:rPr>
                <w:b/>
                <w:bCs/>
              </w:rPr>
            </w:pPr>
            <w:r w:rsidRPr="001158EA">
              <w:rPr>
                <w:b/>
                <w:bCs/>
              </w:rPr>
              <w:t>Citas priekšrocības</w:t>
            </w:r>
          </w:p>
        </w:tc>
        <w:tc>
          <w:tcPr>
            <w:tcW w:w="11203" w:type="dxa"/>
            <w:tcBorders>
              <w:top w:val="single" w:sz="4" w:space="0" w:color="auto"/>
              <w:left w:val="single" w:sz="4" w:space="0" w:color="auto"/>
              <w:bottom w:val="single" w:sz="4" w:space="0" w:color="auto"/>
              <w:right w:val="single" w:sz="4" w:space="0" w:color="auto"/>
            </w:tcBorders>
            <w:vAlign w:val="center"/>
            <w:hideMark/>
          </w:tcPr>
          <w:p w14:paraId="491494EE" w14:textId="77777777" w:rsidR="00F50EF2" w:rsidRDefault="00F50EF2" w:rsidP="003F7CE9">
            <w:pPr>
              <w:spacing w:line="259" w:lineRule="auto"/>
              <w:ind w:firstLine="26"/>
            </w:pPr>
            <w:r>
              <w:t xml:space="preserve">Vispārējās priekšrocības, deleģējot noteiktus uzdevumus zaudējumu atgūšanai atbildīgajai iestādei: </w:t>
            </w:r>
          </w:p>
          <w:p w14:paraId="35A24860" w14:textId="77777777" w:rsidR="00F50EF2" w:rsidRPr="002F7389" w:rsidRDefault="00F50EF2" w:rsidP="002F7389">
            <w:pPr>
              <w:ind w:left="1018" w:hanging="399"/>
            </w:pPr>
            <w:r w:rsidRPr="002F7389">
              <w:t>1.</w:t>
            </w:r>
            <w:r w:rsidRPr="002F7389">
              <w:tab/>
            </w:r>
            <w:r>
              <w:t>v</w:t>
            </w:r>
            <w:r w:rsidRPr="002F7389">
              <w:t>alstī veidosies vienveidīga prakse zaudējumu atgūšanas jomā par konkurences tiesību normu pārkāpumiem</w:t>
            </w:r>
            <w:r>
              <w:t>;</w:t>
            </w:r>
          </w:p>
          <w:p w14:paraId="2DBF6384" w14:textId="77777777" w:rsidR="00F50EF2" w:rsidRPr="002F7389" w:rsidRDefault="00F50EF2" w:rsidP="002F7389">
            <w:pPr>
              <w:ind w:left="1018" w:hanging="399"/>
            </w:pPr>
            <w:r w:rsidRPr="002F7389">
              <w:t>2.</w:t>
            </w:r>
            <w:r w:rsidRPr="002F7389">
              <w:tab/>
            </w:r>
            <w:r>
              <w:t>p</w:t>
            </w:r>
            <w:r w:rsidRPr="002F7389">
              <w:t xml:space="preserve">akāpeniski palielināsies </w:t>
            </w:r>
            <w:r>
              <w:t xml:space="preserve">atbildīgās iestādes </w:t>
            </w:r>
            <w:r w:rsidRPr="002F7389">
              <w:t>profesionalitāte, garantējot efektīvāku zaudējumu atgūšanu, kas nodarīts valsts un pašvaldību iestādēm, publisko personu kapitālsabiedrībām</w:t>
            </w:r>
            <w:r>
              <w:t>;</w:t>
            </w:r>
          </w:p>
          <w:p w14:paraId="22599439" w14:textId="77777777" w:rsidR="00F50EF2" w:rsidRPr="002F7389" w:rsidRDefault="00F50EF2" w:rsidP="002F7389">
            <w:pPr>
              <w:ind w:left="1018" w:hanging="399"/>
            </w:pPr>
            <w:r w:rsidRPr="002F7389">
              <w:t>3.</w:t>
            </w:r>
            <w:r w:rsidRPr="002F7389">
              <w:tab/>
            </w:r>
            <w:r>
              <w:t>p</w:t>
            </w:r>
            <w:r w:rsidRPr="002F7389">
              <w:t xml:space="preserve">aātrināsies nodarīto zaudējumu atgūšana, jau sākotnējā stadijā iesaistoties </w:t>
            </w:r>
            <w:r>
              <w:t>atbildīgajai iestādei</w:t>
            </w:r>
            <w:r w:rsidRPr="002F7389">
              <w:t>. Tiks novērsta publisko pasūtītāju iespējamā pasivitāte vai formāla rīcība zaudējumu atgūšanas procesā</w:t>
            </w:r>
            <w:r>
              <w:t>;</w:t>
            </w:r>
          </w:p>
          <w:p w14:paraId="61981D4E" w14:textId="77777777" w:rsidR="00F50EF2" w:rsidRPr="002F7389" w:rsidRDefault="00F50EF2" w:rsidP="002F7389">
            <w:pPr>
              <w:ind w:left="1018" w:hanging="399"/>
            </w:pPr>
            <w:r w:rsidRPr="002F7389">
              <w:t>4.</w:t>
            </w:r>
            <w:r w:rsidRPr="002F7389">
              <w:tab/>
            </w:r>
            <w:r>
              <w:t>r</w:t>
            </w:r>
            <w:r w:rsidRPr="002F7389">
              <w:t>ealizējot saprotamu un noteiktu mehānismu, kas paredz centralizētas kompetences ieviešanu publiskajiem pasūtītājiem nodarīto zaudējumu atgūšanā, mazināsies tirgus dalībnieku vēlme izdarīt KL pārkāpumus</w:t>
            </w:r>
            <w:r>
              <w:t>;</w:t>
            </w:r>
          </w:p>
          <w:p w14:paraId="23A927EF" w14:textId="77777777" w:rsidR="00F50EF2" w:rsidRPr="002F7389" w:rsidRDefault="00F50EF2" w:rsidP="002F7389">
            <w:pPr>
              <w:ind w:left="1018" w:hanging="399"/>
            </w:pPr>
            <w:r w:rsidRPr="002F7389">
              <w:t>5.</w:t>
            </w:r>
            <w:r w:rsidRPr="002F7389">
              <w:tab/>
            </w:r>
            <w:r>
              <w:t>s</w:t>
            </w:r>
            <w:r w:rsidRPr="002F7389">
              <w:t xml:space="preserve">amazinās citu institūciju – Ģenerālprokuratūras, KP, Valsts kontroles, noslodze šajā procesā. </w:t>
            </w:r>
            <w:r>
              <w:t xml:space="preserve">Atbildīgā iestāde </w:t>
            </w:r>
            <w:r w:rsidRPr="002F7389">
              <w:t>nodrošinās operatīvu informācijas apmaiņu, informācijas apkopošanu, pārstāvību un citu funkciju izpildi</w:t>
            </w:r>
            <w:r>
              <w:t>;</w:t>
            </w:r>
            <w:r w:rsidRPr="002F7389">
              <w:t xml:space="preserve"> </w:t>
            </w:r>
          </w:p>
          <w:p w14:paraId="2B6DB333" w14:textId="77777777" w:rsidR="00F50EF2" w:rsidRDefault="00F50EF2" w:rsidP="002F7389">
            <w:pPr>
              <w:spacing w:line="259" w:lineRule="auto"/>
              <w:ind w:left="1018" w:hanging="399"/>
            </w:pPr>
            <w:r w:rsidRPr="002F7389">
              <w:t>6.</w:t>
            </w:r>
            <w:r w:rsidRPr="002F7389">
              <w:tab/>
              <w:t xml:space="preserve">Finansiāls ieguvums, pakāpeniski pārejot uz </w:t>
            </w:r>
            <w:r>
              <w:t xml:space="preserve">atbildīgās iestādes </w:t>
            </w:r>
            <w:r w:rsidRPr="002F7389">
              <w:t xml:space="preserve">pašfinansēšanās modeli, kas savukārt palielinās </w:t>
            </w:r>
            <w:r>
              <w:t xml:space="preserve">atbildīgās iestādes </w:t>
            </w:r>
            <w:r w:rsidRPr="002F7389">
              <w:t>darbības efektivitāti</w:t>
            </w:r>
            <w:r>
              <w:t>;</w:t>
            </w:r>
          </w:p>
          <w:p w14:paraId="2A8067EC" w14:textId="77777777" w:rsidR="00F50EF2" w:rsidRPr="001158EA" w:rsidRDefault="00F50EF2" w:rsidP="002F7389">
            <w:pPr>
              <w:spacing w:line="259" w:lineRule="auto"/>
              <w:ind w:left="1018" w:hanging="399"/>
            </w:pPr>
            <w:r>
              <w:t>7.</w:t>
            </w:r>
            <w:r w:rsidRPr="002F7389">
              <w:tab/>
            </w:r>
            <w:r>
              <w:t xml:space="preserve">atbildīgā iestāde var nodrošināt uzraudzības funkciju, pēc KP lēmuma stāšanās spēkā pārraugot publiskā pasūtītāja darbību saistībā ar konstatētajiem KL normu pārkāpumiem, un var operatīvi sniegt atbilstošu informāciju Ģenerālprokuratūrai turpmākai rīcībai. </w:t>
            </w:r>
          </w:p>
        </w:tc>
      </w:tr>
      <w:tr w:rsidR="00F50EF2" w:rsidRPr="00B066F9" w14:paraId="06BF626E" w14:textId="77777777" w:rsidTr="008765F9">
        <w:trPr>
          <w:trHeight w:val="686"/>
          <w:jc w:val="center"/>
        </w:trPr>
        <w:tc>
          <w:tcPr>
            <w:tcW w:w="2405" w:type="dxa"/>
            <w:tcBorders>
              <w:top w:val="single" w:sz="4" w:space="0" w:color="auto"/>
              <w:left w:val="single" w:sz="4" w:space="0" w:color="auto"/>
              <w:bottom w:val="single" w:sz="4" w:space="0" w:color="auto"/>
              <w:right w:val="single" w:sz="4" w:space="0" w:color="auto"/>
            </w:tcBorders>
            <w:vAlign w:val="center"/>
            <w:hideMark/>
          </w:tcPr>
          <w:p w14:paraId="243D1AA6" w14:textId="77777777" w:rsidR="00F50EF2" w:rsidRPr="001158EA" w:rsidRDefault="00F50EF2" w:rsidP="003F7CE9">
            <w:pPr>
              <w:spacing w:line="259" w:lineRule="auto"/>
              <w:ind w:firstLine="22"/>
              <w:rPr>
                <w:b/>
                <w:bCs/>
              </w:rPr>
            </w:pPr>
            <w:r w:rsidRPr="001158EA">
              <w:rPr>
                <w:b/>
                <w:bCs/>
              </w:rPr>
              <w:lastRenderedPageBreak/>
              <w:t>Citi trūkumi</w:t>
            </w:r>
          </w:p>
        </w:tc>
        <w:tc>
          <w:tcPr>
            <w:tcW w:w="11203" w:type="dxa"/>
            <w:tcBorders>
              <w:top w:val="single" w:sz="4" w:space="0" w:color="auto"/>
              <w:left w:val="single" w:sz="4" w:space="0" w:color="auto"/>
              <w:bottom w:val="single" w:sz="4" w:space="0" w:color="auto"/>
              <w:right w:val="single" w:sz="4" w:space="0" w:color="auto"/>
            </w:tcBorders>
            <w:vAlign w:val="center"/>
            <w:hideMark/>
          </w:tcPr>
          <w:p w14:paraId="573426BF" w14:textId="77777777" w:rsidR="00F50EF2" w:rsidRPr="001158EA" w:rsidRDefault="00F50EF2" w:rsidP="003F7CE9">
            <w:pPr>
              <w:spacing w:line="259" w:lineRule="auto"/>
              <w:ind w:firstLine="26"/>
            </w:pPr>
            <w:r>
              <w:t>Trūkumi nav saskatāmi.</w:t>
            </w:r>
          </w:p>
        </w:tc>
      </w:tr>
    </w:tbl>
    <w:p w14:paraId="3560183E" w14:textId="77777777" w:rsidR="002A2360" w:rsidRDefault="002A2360">
      <w:pPr>
        <w:rPr>
          <w:b/>
          <w:bCs/>
        </w:rPr>
      </w:pPr>
    </w:p>
    <w:p w14:paraId="7BF6A0FB" w14:textId="77777777" w:rsidR="002A2360" w:rsidRDefault="002A2360">
      <w:pPr>
        <w:rPr>
          <w:b/>
          <w:bCs/>
        </w:rPr>
      </w:pPr>
    </w:p>
    <w:tbl>
      <w:tblPr>
        <w:tblStyle w:val="TableGrid"/>
        <w:tblW w:w="0" w:type="auto"/>
        <w:jc w:val="center"/>
        <w:tblLook w:val="04A0" w:firstRow="1" w:lastRow="0" w:firstColumn="1" w:lastColumn="0" w:noHBand="0" w:noVBand="1"/>
      </w:tblPr>
      <w:tblGrid>
        <w:gridCol w:w="2268"/>
        <w:gridCol w:w="11340"/>
      </w:tblGrid>
      <w:tr w:rsidR="00F50EF2" w:rsidRPr="00B066F9" w14:paraId="612F3C9C" w14:textId="77777777" w:rsidTr="00B066F9">
        <w:trPr>
          <w:trHeight w:val="686"/>
          <w:jc w:val="center"/>
        </w:trPr>
        <w:tc>
          <w:tcPr>
            <w:tcW w:w="2268" w:type="dxa"/>
            <w:vAlign w:val="center"/>
          </w:tcPr>
          <w:p w14:paraId="0192A957" w14:textId="77777777" w:rsidR="00F50EF2" w:rsidRPr="001158EA" w:rsidRDefault="00F50EF2" w:rsidP="00B066F9">
            <w:pPr>
              <w:spacing w:line="259" w:lineRule="auto"/>
              <w:ind w:firstLine="709"/>
            </w:pPr>
          </w:p>
        </w:tc>
        <w:tc>
          <w:tcPr>
            <w:tcW w:w="11340" w:type="dxa"/>
            <w:vAlign w:val="center"/>
          </w:tcPr>
          <w:p w14:paraId="72772E11" w14:textId="77777777" w:rsidR="00F50EF2" w:rsidRPr="001158EA" w:rsidRDefault="00F50EF2" w:rsidP="00F72564">
            <w:pPr>
              <w:spacing w:line="259" w:lineRule="auto"/>
              <w:ind w:firstLine="26"/>
              <w:jc w:val="center"/>
              <w:rPr>
                <w:b/>
                <w:bCs/>
              </w:rPr>
            </w:pPr>
            <w:r w:rsidRPr="001158EA">
              <w:rPr>
                <w:b/>
                <w:bCs/>
              </w:rPr>
              <w:t>Privāts juridiskās palīdzības sniedzējs (Latvijas Zvērinātu advokātu kolēģija)</w:t>
            </w:r>
            <w:r w:rsidRPr="001158EA">
              <w:rPr>
                <w:b/>
                <w:bCs/>
                <w:vertAlign w:val="superscript"/>
              </w:rPr>
              <w:footnoteReference w:id="3"/>
            </w:r>
          </w:p>
        </w:tc>
      </w:tr>
      <w:tr w:rsidR="00F50EF2" w:rsidRPr="00B066F9" w14:paraId="424FE332" w14:textId="77777777" w:rsidTr="00B066F9">
        <w:trPr>
          <w:trHeight w:val="686"/>
          <w:jc w:val="center"/>
        </w:trPr>
        <w:tc>
          <w:tcPr>
            <w:tcW w:w="2268" w:type="dxa"/>
            <w:vAlign w:val="center"/>
          </w:tcPr>
          <w:p w14:paraId="6C350A68" w14:textId="77777777" w:rsidR="00F50EF2" w:rsidRPr="001158EA" w:rsidRDefault="00F50EF2" w:rsidP="009C29A0">
            <w:pPr>
              <w:spacing w:line="259" w:lineRule="auto"/>
              <w:ind w:firstLine="22"/>
              <w:rPr>
                <w:b/>
                <w:bCs/>
              </w:rPr>
            </w:pPr>
            <w:r w:rsidRPr="001158EA">
              <w:rPr>
                <w:b/>
                <w:bCs/>
              </w:rPr>
              <w:t>Īsteno pārstāvību civilprocesā</w:t>
            </w:r>
          </w:p>
        </w:tc>
        <w:tc>
          <w:tcPr>
            <w:tcW w:w="11340" w:type="dxa"/>
            <w:vAlign w:val="center"/>
          </w:tcPr>
          <w:p w14:paraId="49DD1A89" w14:textId="77777777" w:rsidR="00F50EF2" w:rsidRPr="001158EA" w:rsidRDefault="00F50EF2" w:rsidP="009C29A0">
            <w:pPr>
              <w:spacing w:line="259" w:lineRule="auto"/>
            </w:pPr>
            <w:r w:rsidRPr="001158EA">
              <w:t>Statistika par to, cik civillietās gadā tiesās pārstāvību nodrošina zvērināti advokāti, nav pieejama. No 2019. gada 1. janvāra spēkā ir Civilprocesa likuma 82.</w:t>
            </w:r>
            <w:r w:rsidRPr="001158EA">
              <w:rPr>
                <w:vertAlign w:val="superscript"/>
              </w:rPr>
              <w:t xml:space="preserve">1 </w:t>
            </w:r>
            <w:r w:rsidRPr="001158EA">
              <w:t>pants, saskaņā ar kuru konkrētu kategoriju un apmēru civillietas var vest tikai ar zvērināta advokāta starpniecību, vai arī pašas fiziskās un juridiskās personas. Pēc 2019. gada 1. janvāra Civilprocesa likuma 82.</w:t>
            </w:r>
            <w:r w:rsidRPr="001158EA">
              <w:rPr>
                <w:vertAlign w:val="superscript"/>
              </w:rPr>
              <w:t xml:space="preserve">1 </w:t>
            </w:r>
            <w:r w:rsidRPr="001158EA">
              <w:t>pantā periodiski veikti grozījumi, paplašinot to lietu skaitu, kurās kā pārstāvis var piedalīties tikai zvērināts advokāts. Turklāt jau sākot no 2014. gada 4. janvāra Civilprocesa likuma 82. pantā bija ietverta prasība par to, ka fiziskās un juridiskās personas lietas kasācijas instances tiesā ved pašas vai ar advokāta starpniecību. Tādējādi pastāv pamats uzskatīt, ka procentuāli lielākā daļa civillietu tiek vestas ar zvērināta advokāta starpniecību.</w:t>
            </w:r>
          </w:p>
        </w:tc>
      </w:tr>
      <w:tr w:rsidR="00F50EF2" w:rsidRPr="00B066F9" w14:paraId="4173B901" w14:textId="77777777" w:rsidTr="00B066F9">
        <w:trPr>
          <w:trHeight w:val="686"/>
          <w:jc w:val="center"/>
        </w:trPr>
        <w:tc>
          <w:tcPr>
            <w:tcW w:w="2268" w:type="dxa"/>
            <w:vAlign w:val="center"/>
          </w:tcPr>
          <w:p w14:paraId="0DCBBE73" w14:textId="77777777" w:rsidR="00F50EF2" w:rsidRPr="001158EA" w:rsidRDefault="00F50EF2" w:rsidP="009C29A0">
            <w:pPr>
              <w:spacing w:line="259" w:lineRule="auto"/>
              <w:ind w:firstLine="22"/>
              <w:rPr>
                <w:b/>
                <w:bCs/>
              </w:rPr>
            </w:pPr>
            <w:r w:rsidRPr="001158EA">
              <w:rPr>
                <w:b/>
                <w:bCs/>
              </w:rPr>
              <w:t>Īsteno pārstāvību zaudējumu atlīdzības prasībās civilprocesā</w:t>
            </w:r>
          </w:p>
        </w:tc>
        <w:tc>
          <w:tcPr>
            <w:tcW w:w="11340" w:type="dxa"/>
            <w:vAlign w:val="center"/>
          </w:tcPr>
          <w:p w14:paraId="5C55E79D" w14:textId="77777777" w:rsidR="00F50EF2" w:rsidRPr="001158EA" w:rsidRDefault="00F50EF2" w:rsidP="009C29A0">
            <w:pPr>
              <w:spacing w:line="259" w:lineRule="auto"/>
            </w:pPr>
            <w:r w:rsidRPr="001158EA">
              <w:t>Vairākums zvērinātu advokātu, atlasot tos pēc specializācijas – saistību tiesības, pie kurām pieder arī prasības par zaudējumu atlīdzināšanu, ir specializējušies šajā jomā</w:t>
            </w:r>
            <w:r w:rsidRPr="001158EA">
              <w:rPr>
                <w:vertAlign w:val="superscript"/>
              </w:rPr>
              <w:footnoteReference w:id="4"/>
            </w:r>
            <w:r w:rsidRPr="001158EA">
              <w:t>. Proti, no 1354 zvērinātiem advokātiem aptuveni 835 kā savu specializāciju norādījuši saistību tiesības. Attiecībā tieši uz zaudējumu atlīdzināšanas prasībām, kurās zaudējumu atlīdzināšanas pamats ir konkurences tiesību pārkāpums, specializācija varētu būt šaurāka. Tomēr, tā kā ar 2017. gada 19. oktobra grozījumiem, kuri stājās spēkā 2017. gada 1. novembrī, Civilprocesa likumā tika ieviesta jauna 30.</w:t>
            </w:r>
            <w:r w:rsidRPr="001158EA">
              <w:rPr>
                <w:vertAlign w:val="superscript"/>
              </w:rPr>
              <w:t>6</w:t>
            </w:r>
            <w:r w:rsidRPr="001158EA">
              <w:t> nodaļa “Lietas par zaudējumu atlīdzināšanu par konkurences tiesību pārkāpumiem”, kuras 250.</w:t>
            </w:r>
            <w:r w:rsidRPr="001158EA">
              <w:rPr>
                <w:vertAlign w:val="superscript"/>
              </w:rPr>
              <w:t>69</w:t>
            </w:r>
            <w:r w:rsidRPr="001158EA">
              <w:t xml:space="preserve"> pants paredz, ka konkurences tiesību pārkāpums atkārtoti nav jāpierāda, ja spēkā ir stājies Konkurences padomes lēmums par pārkāpuma konstatēšanu, ir samazinājusies nepieciešamība pēc īpaši specifiskām zināšanām konkurences tiesībās, un galvenais fokuss tiek likts uz zaudējumu un to apmēra pierādīšanu, kas savukārt izriet no saistību tiesībām, kurās specializējas vairākums advokātu. Aplūkojot publiski pieejamo informāciju portālā </w:t>
            </w:r>
            <w:hyperlink r:id="rId7" w:history="1">
              <w:r w:rsidRPr="001158EA">
                <w:rPr>
                  <w:rStyle w:val="Hyperlink"/>
                </w:rPr>
                <w:t>www.manas.tiesas.lv</w:t>
              </w:r>
            </w:hyperlink>
            <w:r w:rsidRPr="001158EA">
              <w:t xml:space="preserve"> sadaļā “Nolēmumi”, kur tiek publicēti spēkā stājušies tiesu nolēmumi pēc dažādiem atslēgvārdiem, pieejamo nolēmumu skaits konkurences tiesību lietās par zaudējumu atlīdzināšanu attiecībā pret citām lietām ir niecīgs. Pēc atslēgvārda – </w:t>
            </w:r>
            <w:r w:rsidRPr="001158EA">
              <w:rPr>
                <w:b/>
                <w:bCs/>
                <w:i/>
                <w:iCs/>
              </w:rPr>
              <w:t>“250.</w:t>
            </w:r>
            <w:r w:rsidRPr="001158EA">
              <w:rPr>
                <w:b/>
                <w:bCs/>
                <w:i/>
                <w:iCs/>
                <w:vertAlign w:val="superscript"/>
              </w:rPr>
              <w:t>69</w:t>
            </w:r>
            <w:r w:rsidRPr="001158EA">
              <w:rPr>
                <w:b/>
                <w:bCs/>
                <w:i/>
                <w:iCs/>
              </w:rPr>
              <w:t> pants”</w:t>
            </w:r>
            <w:r w:rsidRPr="001158EA">
              <w:t xml:space="preserve"> atrasts 1 nolēmums; </w:t>
            </w:r>
            <w:r w:rsidRPr="001158EA">
              <w:rPr>
                <w:b/>
                <w:bCs/>
                <w:i/>
                <w:iCs/>
              </w:rPr>
              <w:t>“Konkurences likuma 13. pants”</w:t>
            </w:r>
            <w:r w:rsidRPr="001158EA">
              <w:t xml:space="preserve"> atrasti 24 nolēmumi, tomēr ne visi no tiem ir civillietās, kurās prasības celtas par zaudējumu piedziņu par konkurences tiesību pārkāpumu; </w:t>
            </w:r>
            <w:r w:rsidRPr="001158EA">
              <w:rPr>
                <w:b/>
                <w:bCs/>
                <w:i/>
                <w:iCs/>
              </w:rPr>
              <w:t>“Konkurences likuma 11. pants”</w:t>
            </w:r>
            <w:r w:rsidRPr="001158EA">
              <w:t xml:space="preserve"> atrasti 8 nolēmumi, taču tikai divi no tiem ir konkurences tiesību lietā. Tādējādi pirmšķietami zaudējumu atlīdzināšanas lietas, kas izriet no konkurences tiesību </w:t>
            </w:r>
            <w:r w:rsidRPr="001158EA">
              <w:lastRenderedPageBreak/>
              <w:t>pārkāpumiem, procentuāli nav daudz. Konkrēti zināmās civillietas par zaudējumu atlīdzināšanu par konkurences tiesību pārkāpumu, kurās tiesvedība jau ir noslēgusies vai joprojām turpinās, ir sekojošas:</w:t>
            </w:r>
          </w:p>
          <w:p w14:paraId="66A367D2" w14:textId="77777777" w:rsidR="00F50EF2" w:rsidRPr="001158EA" w:rsidRDefault="00F50EF2" w:rsidP="00F50EF2">
            <w:pPr>
              <w:numPr>
                <w:ilvl w:val="0"/>
                <w:numId w:val="4"/>
              </w:numPr>
              <w:spacing w:after="40" w:line="259" w:lineRule="auto"/>
            </w:pPr>
            <w:r w:rsidRPr="001158EA">
              <w:t>C04293109 (galīgais tiesas nolēmums stājies spēkā 13.11.2018, Konkurences likuma 13. pants);</w:t>
            </w:r>
          </w:p>
          <w:p w14:paraId="25D2D1CF" w14:textId="77777777" w:rsidR="00F50EF2" w:rsidRPr="001158EA" w:rsidRDefault="00F50EF2" w:rsidP="00F50EF2">
            <w:pPr>
              <w:numPr>
                <w:ilvl w:val="0"/>
                <w:numId w:val="4"/>
              </w:numPr>
              <w:spacing w:after="40" w:line="259" w:lineRule="auto"/>
            </w:pPr>
            <w:r w:rsidRPr="001158EA">
              <w:t>C40128313 (civillieta atrodas izskatīšanas stadijā, Konkurences likuma 13. pants);</w:t>
            </w:r>
          </w:p>
          <w:p w14:paraId="23C7C8F8" w14:textId="77777777" w:rsidR="00F50EF2" w:rsidRPr="001158EA" w:rsidRDefault="00F50EF2" w:rsidP="00F50EF2">
            <w:pPr>
              <w:numPr>
                <w:ilvl w:val="0"/>
                <w:numId w:val="4"/>
              </w:numPr>
              <w:spacing w:after="40" w:line="259" w:lineRule="auto"/>
            </w:pPr>
            <w:r w:rsidRPr="001158EA">
              <w:t>C29319218 (galīgais nolēmums stājies spēkā 29.04.2020, Konkurences likuma 13. pants);</w:t>
            </w:r>
          </w:p>
          <w:p w14:paraId="4275929B" w14:textId="77777777" w:rsidR="00F50EF2" w:rsidRPr="001158EA" w:rsidRDefault="00F50EF2" w:rsidP="00F50EF2">
            <w:pPr>
              <w:numPr>
                <w:ilvl w:val="0"/>
                <w:numId w:val="4"/>
              </w:numPr>
              <w:spacing w:after="40" w:line="259" w:lineRule="auto"/>
            </w:pPr>
            <w:r w:rsidRPr="001158EA">
              <w:t>C29325219 (galīgais nolēmums stājies spēkā 26.06.2020, Konkurences likuma 13. pants);</w:t>
            </w:r>
          </w:p>
          <w:p w14:paraId="33862D36" w14:textId="77777777" w:rsidR="00F50EF2" w:rsidRPr="001158EA" w:rsidRDefault="00F50EF2" w:rsidP="00F50EF2">
            <w:pPr>
              <w:numPr>
                <w:ilvl w:val="0"/>
                <w:numId w:val="4"/>
              </w:numPr>
              <w:spacing w:after="40" w:line="259" w:lineRule="auto"/>
            </w:pPr>
            <w:r w:rsidRPr="001158EA">
              <w:t>C29470620 (civillietas atrodas izskatīšanas stadijā, C29470620);</w:t>
            </w:r>
          </w:p>
          <w:p w14:paraId="3D812F7C" w14:textId="77777777" w:rsidR="00F50EF2" w:rsidRPr="001158EA" w:rsidRDefault="00F50EF2" w:rsidP="00F50EF2">
            <w:pPr>
              <w:numPr>
                <w:ilvl w:val="0"/>
                <w:numId w:val="4"/>
              </w:numPr>
              <w:spacing w:after="40" w:line="259" w:lineRule="auto"/>
            </w:pPr>
            <w:r w:rsidRPr="001158EA">
              <w:t>C29380218 (galīgais nolēmums stājies spēkā 18.10.2018, Konkurences likuma 13. pants);</w:t>
            </w:r>
          </w:p>
          <w:p w14:paraId="20076ABC" w14:textId="77777777" w:rsidR="00F50EF2" w:rsidRPr="001158EA" w:rsidRDefault="00F50EF2" w:rsidP="00F50EF2">
            <w:pPr>
              <w:numPr>
                <w:ilvl w:val="0"/>
                <w:numId w:val="4"/>
              </w:numPr>
              <w:spacing w:after="40" w:line="259" w:lineRule="auto"/>
            </w:pPr>
            <w:r w:rsidRPr="001158EA">
              <w:t>C30364909 (galīgais nolēmums stājies spēkā 13.05.2017, Konkurences likuma 18. pants);</w:t>
            </w:r>
          </w:p>
          <w:p w14:paraId="57967B19" w14:textId="77777777" w:rsidR="00F50EF2" w:rsidRPr="001158EA" w:rsidRDefault="00F50EF2" w:rsidP="00F50EF2">
            <w:pPr>
              <w:numPr>
                <w:ilvl w:val="0"/>
                <w:numId w:val="4"/>
              </w:numPr>
              <w:spacing w:after="40" w:line="259" w:lineRule="auto"/>
            </w:pPr>
            <w:r w:rsidRPr="001158EA">
              <w:t>C29380719 (galīgais nolēmums stājies spēkā 18.05.2021, Konkurences likuma 11. pants);</w:t>
            </w:r>
          </w:p>
          <w:p w14:paraId="42FD4EE4" w14:textId="77777777" w:rsidR="00F50EF2" w:rsidRPr="001158EA" w:rsidRDefault="00F50EF2" w:rsidP="00F50EF2">
            <w:pPr>
              <w:numPr>
                <w:ilvl w:val="0"/>
                <w:numId w:val="4"/>
              </w:numPr>
              <w:spacing w:after="40" w:line="259" w:lineRule="auto"/>
            </w:pPr>
            <w:r w:rsidRPr="001158EA">
              <w:t>C04102614 (galīgais nolēmums stājies spēkā 20.10.2017, Konkurences likuma 18. pants).</w:t>
            </w:r>
          </w:p>
          <w:p w14:paraId="0AC84E62" w14:textId="77777777" w:rsidR="00F50EF2" w:rsidRPr="001158EA" w:rsidRDefault="00F50EF2" w:rsidP="009C29A0">
            <w:pPr>
              <w:spacing w:line="259" w:lineRule="auto"/>
            </w:pPr>
            <w:r w:rsidRPr="001158EA">
              <w:t>Tā kā portālā manas.tiesas.lv tiek publicēti tikai spēkā stājušies nolēmumi, iespējams, ir arī citas aktīvā izskatīšanas stadijā esošas civillietas.</w:t>
            </w:r>
          </w:p>
        </w:tc>
      </w:tr>
      <w:tr w:rsidR="00F50EF2" w:rsidRPr="00B066F9" w14:paraId="7E3728C9" w14:textId="77777777" w:rsidTr="00B066F9">
        <w:trPr>
          <w:trHeight w:val="686"/>
          <w:jc w:val="center"/>
        </w:trPr>
        <w:tc>
          <w:tcPr>
            <w:tcW w:w="2268" w:type="dxa"/>
            <w:vAlign w:val="center"/>
          </w:tcPr>
          <w:p w14:paraId="0F8D2612" w14:textId="77777777" w:rsidR="00F50EF2" w:rsidRPr="001158EA" w:rsidRDefault="00F50EF2" w:rsidP="009C29A0">
            <w:pPr>
              <w:spacing w:line="259" w:lineRule="auto"/>
              <w:ind w:firstLine="22"/>
              <w:rPr>
                <w:b/>
                <w:bCs/>
              </w:rPr>
            </w:pPr>
            <w:bookmarkStart w:id="0" w:name="_Hlk87425881"/>
            <w:r w:rsidRPr="001158EA">
              <w:rPr>
                <w:b/>
                <w:bCs/>
              </w:rPr>
              <w:lastRenderedPageBreak/>
              <w:t>Pieredze zaudējumu aprēķināšanā civilprocesā</w:t>
            </w:r>
            <w:bookmarkEnd w:id="0"/>
          </w:p>
        </w:tc>
        <w:tc>
          <w:tcPr>
            <w:tcW w:w="11340" w:type="dxa"/>
            <w:vAlign w:val="center"/>
          </w:tcPr>
          <w:p w14:paraId="34FA37B0" w14:textId="77777777" w:rsidR="00F50EF2" w:rsidRPr="001158EA" w:rsidRDefault="00F50EF2" w:rsidP="009C29A0">
            <w:pPr>
              <w:spacing w:line="259" w:lineRule="auto"/>
            </w:pPr>
            <w:r w:rsidRPr="001158EA">
              <w:t>Tā kā zaudējumu aprēķināšana ir neatņemama sastāvdaļa visās zaudējumu atlīdzināšanas lietās, uzskatāms, ka zvērinātiem advokātiem ir pieredze zaudējumu aprēķināšanā. Gadījumā, ja zaudējumu aprēķināšanā nepieciešamas specifiskas zināšanas, pastāv iespējamība piesaistīt speciālistus ārpakalpojumā, vai arī iesaistīt klientu un tam pieejamos darbiniekus/resursus.</w:t>
            </w:r>
          </w:p>
        </w:tc>
      </w:tr>
      <w:tr w:rsidR="00F50EF2" w:rsidRPr="00B066F9" w14:paraId="32D55AC9" w14:textId="77777777" w:rsidTr="00B066F9">
        <w:trPr>
          <w:trHeight w:val="686"/>
          <w:jc w:val="center"/>
        </w:trPr>
        <w:tc>
          <w:tcPr>
            <w:tcW w:w="2268" w:type="dxa"/>
            <w:vAlign w:val="center"/>
          </w:tcPr>
          <w:p w14:paraId="25249CA9" w14:textId="77777777" w:rsidR="00F50EF2" w:rsidRPr="001158EA" w:rsidRDefault="00F50EF2" w:rsidP="009C29A0">
            <w:pPr>
              <w:spacing w:line="259" w:lineRule="auto"/>
              <w:ind w:firstLine="22"/>
              <w:rPr>
                <w:b/>
                <w:bCs/>
              </w:rPr>
            </w:pPr>
            <w:r w:rsidRPr="001158EA">
              <w:rPr>
                <w:b/>
                <w:bCs/>
              </w:rPr>
              <w:t>Ekonomistu pieejamība</w:t>
            </w:r>
          </w:p>
        </w:tc>
        <w:tc>
          <w:tcPr>
            <w:tcW w:w="11340" w:type="dxa"/>
            <w:vAlign w:val="center"/>
          </w:tcPr>
          <w:p w14:paraId="089AB9C4" w14:textId="77777777" w:rsidR="00F50EF2" w:rsidRPr="001158EA" w:rsidRDefault="00F50EF2" w:rsidP="009C29A0">
            <w:pPr>
              <w:spacing w:line="259" w:lineRule="auto"/>
            </w:pPr>
            <w:r w:rsidRPr="001158EA">
              <w:t>Zvērinātu advokātu birojos praktizē tikai zvērināti advokāti. Uz darba līguma pamata var strādāt administratīvais personāls, kā arī var tikt piesaistīts konsultatīvais personāls. Atsevišķiem zvērinātiem advokātiem ir izglītība ekonomikā, tomēr tie ir vērtējami kā atsevišķi gadījumi. Nereti ir sastopami gadījumi, kad zvērinātu advokātu biroji uz uzņēmuma līguma pamata vai cita sadarbības veida ietvaros piesaista attiecīgās jomas speciālistus – ekonomistus, nodokļu konsultantus u.tml., piemēram, atzinuma saņemšanai par konkrētu tiesību jautājumu. Tādējādi zvērinātu advokātu birojiem pastāv iespēja piesaistīt nepieciešamos speciālistus, ja konkrētās lietas raksturs to prasa. Praksē šādas situācijas jau pastāv.</w:t>
            </w:r>
          </w:p>
        </w:tc>
      </w:tr>
      <w:tr w:rsidR="00F50EF2" w:rsidRPr="00B066F9" w14:paraId="79C575B3" w14:textId="77777777" w:rsidTr="00B066F9">
        <w:trPr>
          <w:trHeight w:val="686"/>
          <w:jc w:val="center"/>
        </w:trPr>
        <w:tc>
          <w:tcPr>
            <w:tcW w:w="2268" w:type="dxa"/>
            <w:vAlign w:val="center"/>
          </w:tcPr>
          <w:p w14:paraId="3E08AEE8" w14:textId="77777777" w:rsidR="00F50EF2" w:rsidRPr="001158EA" w:rsidRDefault="00F50EF2" w:rsidP="009C29A0">
            <w:pPr>
              <w:spacing w:line="259" w:lineRule="auto"/>
              <w:ind w:firstLine="22"/>
              <w:rPr>
                <w:b/>
                <w:bCs/>
              </w:rPr>
            </w:pPr>
            <w:r w:rsidRPr="001158EA">
              <w:rPr>
                <w:b/>
                <w:bCs/>
              </w:rPr>
              <w:t>Resursu pieejamība</w:t>
            </w:r>
          </w:p>
        </w:tc>
        <w:tc>
          <w:tcPr>
            <w:tcW w:w="11340" w:type="dxa"/>
            <w:vAlign w:val="center"/>
          </w:tcPr>
          <w:p w14:paraId="6E2AC49C" w14:textId="77777777" w:rsidR="00F50EF2" w:rsidRPr="001158EA" w:rsidRDefault="00F50EF2" w:rsidP="009C29A0">
            <w:pPr>
              <w:spacing w:line="259" w:lineRule="auto"/>
            </w:pPr>
            <w:r w:rsidRPr="001158EA">
              <w:t>Pārsvarā zvērinātu advokātu birojos praktizē vairāki zvērināti advokāti un zvērinātu advokātu palīgi, kā arī kā var tikt piesaistīts konsultatīvais personāls. Līdz ar to resursu pieejamība ir atbilstošā un pietiekamā līmenī, lai nodrošinātu attiecīgo vajadzību.</w:t>
            </w:r>
          </w:p>
        </w:tc>
      </w:tr>
      <w:tr w:rsidR="00F50EF2" w:rsidRPr="00B066F9" w14:paraId="5A3F1962" w14:textId="77777777" w:rsidTr="00B066F9">
        <w:trPr>
          <w:trHeight w:val="686"/>
          <w:jc w:val="center"/>
        </w:trPr>
        <w:tc>
          <w:tcPr>
            <w:tcW w:w="2268" w:type="dxa"/>
            <w:vAlign w:val="center"/>
          </w:tcPr>
          <w:p w14:paraId="27415CEC" w14:textId="77777777" w:rsidR="00F50EF2" w:rsidRPr="001158EA" w:rsidRDefault="00F50EF2" w:rsidP="009C29A0">
            <w:pPr>
              <w:spacing w:line="259" w:lineRule="auto"/>
              <w:ind w:firstLine="22"/>
              <w:rPr>
                <w:b/>
                <w:bCs/>
              </w:rPr>
            </w:pPr>
            <w:bookmarkStart w:id="1" w:name="_Hlk87425914"/>
            <w:r w:rsidRPr="001158EA">
              <w:rPr>
                <w:b/>
                <w:bCs/>
              </w:rPr>
              <w:t>Nepieciešamais finansējums</w:t>
            </w:r>
            <w:bookmarkEnd w:id="1"/>
          </w:p>
        </w:tc>
        <w:tc>
          <w:tcPr>
            <w:tcW w:w="11340" w:type="dxa"/>
            <w:vAlign w:val="center"/>
          </w:tcPr>
          <w:p w14:paraId="11969E2F" w14:textId="77777777" w:rsidR="00F50EF2" w:rsidRPr="001158EA" w:rsidRDefault="00F50EF2" w:rsidP="009C29A0">
            <w:pPr>
              <w:spacing w:line="259" w:lineRule="auto"/>
            </w:pPr>
            <w:r w:rsidRPr="001158EA">
              <w:t xml:space="preserve">Pārsvarā zvērinātu advokātu honorārs tiek noteikts kā stundas likme. Stundas likmes apmērs netiek regulēts, un katrs zvērināts advokāts un birojs individuāli nosaka stundas likmes apmēru. Pastāv iespēja, ka zvērināts advokāts ar klientu vienojas par </w:t>
            </w:r>
            <w:r w:rsidRPr="001158EA">
              <w:rPr>
                <w:i/>
                <w:iCs/>
              </w:rPr>
              <w:t>“</w:t>
            </w:r>
            <w:proofErr w:type="spellStart"/>
            <w:r w:rsidRPr="001158EA">
              <w:rPr>
                <w:i/>
                <w:iCs/>
              </w:rPr>
              <w:t>success</w:t>
            </w:r>
            <w:proofErr w:type="spellEnd"/>
            <w:r w:rsidRPr="001158EA">
              <w:rPr>
                <w:i/>
                <w:iCs/>
              </w:rPr>
              <w:t xml:space="preserve"> </w:t>
            </w:r>
            <w:proofErr w:type="spellStart"/>
            <w:r w:rsidRPr="001158EA">
              <w:rPr>
                <w:i/>
                <w:iCs/>
              </w:rPr>
              <w:t>fee</w:t>
            </w:r>
            <w:proofErr w:type="spellEnd"/>
            <w:r w:rsidRPr="001158EA">
              <w:rPr>
                <w:i/>
                <w:iCs/>
              </w:rPr>
              <w:t xml:space="preserve">” jeb veiksmes atlīdzību, </w:t>
            </w:r>
            <w:r w:rsidRPr="001158EA">
              <w:t>kas tiek</w:t>
            </w:r>
            <w:r w:rsidRPr="001158EA">
              <w:rPr>
                <w:i/>
                <w:iCs/>
              </w:rPr>
              <w:t xml:space="preserve"> </w:t>
            </w:r>
            <w:r w:rsidRPr="001158EA">
              <w:t xml:space="preserve">noteikts kā konkrēts procents no tiesvedības rezultātā piedzītās naudas summas. Vienošanās par honorāra apmēru un veidiem notiek individuāli. Veiksmes atlīdzība var tikt maksāta pēc piedzītās naudas summas saņemšanas, atskaitot to no saņemtās summas. Advokāta honorārs var tikt maksāts arī tiesvedības procesa gaitā un tad zaudējumu atlīdzības prasības pilnīgas vai daļējas apmierināšanas gadījumā jau samaksāto honorāru piedzen no atbildētāja ar tiesas spriedumu. No šāda aspekta zvērinātu advokātu iesaiste vērtējama kā būtiska priekšrocība zaudējumu atlīdzības procesos attiecībā uz finansējumu, kāda nav citām opcijām. Tieši finansējuma trūkums ir visbiežākais iemesls kādēļ netiek uzsāktas zaudējumu atlīdzības piedziņas lietas.   </w:t>
            </w:r>
          </w:p>
        </w:tc>
      </w:tr>
      <w:tr w:rsidR="00F50EF2" w:rsidRPr="00B066F9" w14:paraId="3EC36C24" w14:textId="77777777" w:rsidTr="00B066F9">
        <w:trPr>
          <w:trHeight w:val="686"/>
          <w:jc w:val="center"/>
        </w:trPr>
        <w:tc>
          <w:tcPr>
            <w:tcW w:w="2268" w:type="dxa"/>
            <w:vAlign w:val="center"/>
          </w:tcPr>
          <w:p w14:paraId="41BDBA2A" w14:textId="77777777" w:rsidR="00F50EF2" w:rsidRPr="001158EA" w:rsidRDefault="00F50EF2" w:rsidP="009C29A0">
            <w:pPr>
              <w:spacing w:line="259" w:lineRule="auto"/>
              <w:ind w:firstLine="22"/>
              <w:rPr>
                <w:b/>
                <w:bCs/>
              </w:rPr>
            </w:pPr>
            <w:r w:rsidRPr="001158EA">
              <w:rPr>
                <w:b/>
                <w:bCs/>
              </w:rPr>
              <w:lastRenderedPageBreak/>
              <w:t>Citas priekšrocības</w:t>
            </w:r>
          </w:p>
        </w:tc>
        <w:tc>
          <w:tcPr>
            <w:tcW w:w="11340" w:type="dxa"/>
            <w:vAlign w:val="center"/>
          </w:tcPr>
          <w:p w14:paraId="269BB6E0" w14:textId="77777777" w:rsidR="00F50EF2" w:rsidRPr="001158EA" w:rsidRDefault="00F50EF2" w:rsidP="009C29A0">
            <w:pPr>
              <w:spacing w:line="259" w:lineRule="auto"/>
            </w:pPr>
            <w:r w:rsidRPr="001158EA">
              <w:t>Zvērinātiem advokātiem ir tiesāšanās pieredze un zināšanas tiesvedības procesos un to praktiskajā norisē, kas nav mazsvarīgi, jo nereti tieši zināšanas par to, kā procesuāli pareizi vest klienta lietu tiesā, ir atslēga uz veiksmīgu lietas iznākumu. Zvērinātiem advokātiem ir pieredze: 1) tiesāšanās taktikas izstrādē; 2) pierādījumu iegūšanā un noformēšanā; 3) zināšanas par termiņiem civilprocesā; 4) zināšanas par to, kādus procesuālos līdzekļus un pierādījumus izmantot, kurā brīdī un kā pareizi tos izmantot; 5) zvērināta advokāta honorāra piedziņa no pretējās puses prasības apmierināšanas/daļējas apmierināšanas gadījumā.</w:t>
            </w:r>
          </w:p>
        </w:tc>
      </w:tr>
      <w:tr w:rsidR="00F50EF2" w:rsidRPr="00B066F9" w14:paraId="7FDD52FF" w14:textId="77777777" w:rsidTr="00B066F9">
        <w:trPr>
          <w:trHeight w:val="686"/>
          <w:jc w:val="center"/>
        </w:trPr>
        <w:tc>
          <w:tcPr>
            <w:tcW w:w="2268" w:type="dxa"/>
            <w:vAlign w:val="center"/>
          </w:tcPr>
          <w:p w14:paraId="6A1886D4" w14:textId="77777777" w:rsidR="00F50EF2" w:rsidRPr="001158EA" w:rsidRDefault="00F50EF2" w:rsidP="009C29A0">
            <w:pPr>
              <w:spacing w:line="259" w:lineRule="auto"/>
              <w:ind w:firstLine="22"/>
              <w:rPr>
                <w:b/>
                <w:bCs/>
              </w:rPr>
            </w:pPr>
            <w:r w:rsidRPr="001158EA">
              <w:rPr>
                <w:b/>
                <w:bCs/>
              </w:rPr>
              <w:t>Citi trūkumi</w:t>
            </w:r>
          </w:p>
        </w:tc>
        <w:tc>
          <w:tcPr>
            <w:tcW w:w="11340" w:type="dxa"/>
            <w:vAlign w:val="center"/>
          </w:tcPr>
          <w:p w14:paraId="49F9667B" w14:textId="77777777" w:rsidR="00F50EF2" w:rsidRPr="001158EA" w:rsidRDefault="00F50EF2" w:rsidP="009C29A0">
            <w:pPr>
              <w:spacing w:line="259" w:lineRule="auto"/>
            </w:pPr>
            <w:r w:rsidRPr="001158EA">
              <w:t xml:space="preserve">Kā trūkums varētu būt noteikti specializējušos zvērinātu advokātu salīdzinoši nelielais skaits, kas var radīt interešu konflikta situācijas. Taču tā kā interešu konflikta situācijas zvērināti advokāti identificē paši, nav saredzama praktiska problēma interešu konflikta gadījumā piesaistīt citu zvērinātu advokātu. </w:t>
            </w:r>
          </w:p>
        </w:tc>
      </w:tr>
    </w:tbl>
    <w:p w14:paraId="6BA252EA" w14:textId="71E3A002" w:rsidR="00F50EF2" w:rsidRDefault="00F50EF2" w:rsidP="00AC59C9">
      <w:pPr>
        <w:rPr>
          <w:rFonts w:ascii="Times New Roman" w:hAnsi="Times New Roman" w:cs="Times New Roman"/>
          <w:b/>
          <w:bCs/>
          <w:sz w:val="24"/>
          <w:szCs w:val="24"/>
        </w:rPr>
      </w:pPr>
    </w:p>
    <w:p w14:paraId="447E667C" w14:textId="77777777" w:rsidR="002A2360" w:rsidRPr="007C26F4" w:rsidRDefault="002A2360" w:rsidP="00AC59C9">
      <w:pPr>
        <w:rPr>
          <w:rFonts w:ascii="Times New Roman" w:hAnsi="Times New Roman" w:cs="Times New Roman"/>
          <w:b/>
          <w:bCs/>
          <w:sz w:val="24"/>
          <w:szCs w:val="24"/>
        </w:rPr>
      </w:pPr>
    </w:p>
    <w:tbl>
      <w:tblPr>
        <w:tblStyle w:val="TableGrid"/>
        <w:tblW w:w="13607" w:type="dxa"/>
        <w:jc w:val="center"/>
        <w:tblLook w:val="04A0" w:firstRow="1" w:lastRow="0" w:firstColumn="1" w:lastColumn="0" w:noHBand="0" w:noVBand="1"/>
      </w:tblPr>
      <w:tblGrid>
        <w:gridCol w:w="2268"/>
        <w:gridCol w:w="11339"/>
      </w:tblGrid>
      <w:tr w:rsidR="008D0C21" w:rsidRPr="00B066F9" w14:paraId="1859E92E" w14:textId="77777777" w:rsidTr="006E53D1">
        <w:trPr>
          <w:trHeight w:val="686"/>
          <w:jc w:val="center"/>
        </w:trPr>
        <w:tc>
          <w:tcPr>
            <w:tcW w:w="2268" w:type="dxa"/>
            <w:vAlign w:val="center"/>
          </w:tcPr>
          <w:p w14:paraId="7B9D9177" w14:textId="77777777" w:rsidR="008D0C21" w:rsidRPr="001158EA" w:rsidRDefault="008D0C21" w:rsidP="006E53D1">
            <w:pPr>
              <w:spacing w:line="259" w:lineRule="auto"/>
              <w:ind w:firstLine="709"/>
            </w:pPr>
          </w:p>
        </w:tc>
        <w:tc>
          <w:tcPr>
            <w:tcW w:w="11339" w:type="dxa"/>
            <w:vAlign w:val="center"/>
          </w:tcPr>
          <w:p w14:paraId="66E272C5" w14:textId="77777777" w:rsidR="008D0C21" w:rsidRPr="001158EA" w:rsidRDefault="008D0C21" w:rsidP="006E53D1">
            <w:pPr>
              <w:spacing w:line="259" w:lineRule="auto"/>
              <w:ind w:firstLine="26"/>
              <w:jc w:val="center"/>
              <w:rPr>
                <w:b/>
                <w:bCs/>
              </w:rPr>
            </w:pPr>
            <w:r w:rsidRPr="001158EA">
              <w:rPr>
                <w:b/>
                <w:bCs/>
              </w:rPr>
              <w:t>Valsts kontrole</w:t>
            </w:r>
            <w:r w:rsidRPr="001158EA">
              <w:rPr>
                <w:b/>
                <w:bCs/>
                <w:vertAlign w:val="superscript"/>
              </w:rPr>
              <w:footnoteReference w:id="5"/>
            </w:r>
          </w:p>
        </w:tc>
      </w:tr>
      <w:tr w:rsidR="008D0C21" w:rsidRPr="00B066F9" w14:paraId="4C64409B" w14:textId="77777777" w:rsidTr="006E53D1">
        <w:trPr>
          <w:trHeight w:val="686"/>
          <w:jc w:val="center"/>
        </w:trPr>
        <w:tc>
          <w:tcPr>
            <w:tcW w:w="2268" w:type="dxa"/>
            <w:vAlign w:val="center"/>
          </w:tcPr>
          <w:p w14:paraId="4C53359E" w14:textId="77777777" w:rsidR="008D0C21" w:rsidRPr="001158EA" w:rsidRDefault="008D0C21" w:rsidP="006E53D1">
            <w:pPr>
              <w:spacing w:line="259" w:lineRule="auto"/>
              <w:ind w:firstLine="22"/>
              <w:rPr>
                <w:b/>
                <w:bCs/>
              </w:rPr>
            </w:pPr>
            <w:r w:rsidRPr="001158EA">
              <w:rPr>
                <w:b/>
                <w:bCs/>
              </w:rPr>
              <w:t>Īsteno pārstāvību civilprocesā</w:t>
            </w:r>
          </w:p>
        </w:tc>
        <w:tc>
          <w:tcPr>
            <w:tcW w:w="11339" w:type="dxa"/>
            <w:vAlign w:val="center"/>
          </w:tcPr>
          <w:p w14:paraId="2F3CD92C" w14:textId="77777777" w:rsidR="008D0C21" w:rsidRPr="001158EA" w:rsidRDefault="008D0C21" w:rsidP="006E53D1">
            <w:pPr>
              <w:spacing w:line="259" w:lineRule="auto"/>
              <w:ind w:hanging="116"/>
            </w:pPr>
            <w:r w:rsidRPr="001158EA">
              <w:t xml:space="preserve">Valsts kontrole var īstenot pārstāvību civilprocesā ierobežotā apjomā, t. i., gadījumos, kas saistāmi ar Valsts kontroles vispārējo (administratīvo) darbību, nevis Valsts kontrolei noteikto uzdevumu (veikt revīzijas) izpildes ietvaros tiešā veidā. </w:t>
            </w:r>
          </w:p>
        </w:tc>
      </w:tr>
      <w:tr w:rsidR="008D0C21" w:rsidRPr="00B066F9" w14:paraId="5DA274E4" w14:textId="77777777" w:rsidTr="006E53D1">
        <w:trPr>
          <w:trHeight w:val="686"/>
          <w:jc w:val="center"/>
        </w:trPr>
        <w:tc>
          <w:tcPr>
            <w:tcW w:w="2268" w:type="dxa"/>
            <w:vAlign w:val="center"/>
          </w:tcPr>
          <w:p w14:paraId="3D0F490F" w14:textId="77777777" w:rsidR="008D0C21" w:rsidRPr="001158EA" w:rsidRDefault="008D0C21" w:rsidP="006E53D1">
            <w:pPr>
              <w:spacing w:line="259" w:lineRule="auto"/>
              <w:ind w:firstLine="22"/>
              <w:rPr>
                <w:b/>
                <w:bCs/>
              </w:rPr>
            </w:pPr>
            <w:r w:rsidRPr="001158EA">
              <w:rPr>
                <w:b/>
                <w:bCs/>
              </w:rPr>
              <w:t>Īsteno pārstāvību zaudējumu atlīdzības prasībās civilprocesā</w:t>
            </w:r>
          </w:p>
        </w:tc>
        <w:tc>
          <w:tcPr>
            <w:tcW w:w="11339" w:type="dxa"/>
            <w:vAlign w:val="center"/>
          </w:tcPr>
          <w:p w14:paraId="0E729A9F" w14:textId="77777777" w:rsidR="008D0C21" w:rsidRPr="001158EA" w:rsidRDefault="008D0C21" w:rsidP="006E53D1">
            <w:pPr>
              <w:spacing w:line="259" w:lineRule="auto"/>
              <w:ind w:hanging="116"/>
              <w:rPr>
                <w:b/>
                <w:bCs/>
              </w:rPr>
            </w:pPr>
            <w:r w:rsidRPr="001158EA">
              <w:t>Saistībā ar revīzijā konstatētas nelikumīgas rīcības rezultātā nodarītu zaudējumu atlīdzināšanu (Valsts kontroles likuma XIV nodaļa) Valsts kontrole neīsteno pārstāvību civilprocesā. Valsts kontroles padomes pieņemtā lēmuma piedzīt zaudējumus pārsūdzēšana notiek Administratīvā procesa likumā noteiktajā kārtībā, savukārt lēmuma par zaudējumu piedziņu piespiedu izpildi (saskaņā ar Valsts kontroles izpildrīkojumu) īsteno tiesu izpildītājs Civilprocesa likuma noteiktajā kārtībā.</w:t>
            </w:r>
          </w:p>
        </w:tc>
      </w:tr>
      <w:tr w:rsidR="008D0C21" w:rsidRPr="00B066F9" w14:paraId="230E1608" w14:textId="77777777" w:rsidTr="006E53D1">
        <w:trPr>
          <w:trHeight w:val="686"/>
          <w:jc w:val="center"/>
        </w:trPr>
        <w:tc>
          <w:tcPr>
            <w:tcW w:w="2268" w:type="dxa"/>
            <w:vAlign w:val="center"/>
          </w:tcPr>
          <w:p w14:paraId="3C6B3255" w14:textId="77777777" w:rsidR="008D0C21" w:rsidRPr="001158EA" w:rsidRDefault="008D0C21" w:rsidP="006E53D1">
            <w:pPr>
              <w:spacing w:line="259" w:lineRule="auto"/>
              <w:ind w:firstLine="22"/>
              <w:rPr>
                <w:b/>
                <w:bCs/>
              </w:rPr>
            </w:pPr>
            <w:r w:rsidRPr="001158EA">
              <w:rPr>
                <w:b/>
                <w:bCs/>
              </w:rPr>
              <w:t>Pieredze zaudējumu aprēķināšanā civilprocesā</w:t>
            </w:r>
          </w:p>
        </w:tc>
        <w:tc>
          <w:tcPr>
            <w:tcW w:w="11339" w:type="dxa"/>
            <w:vAlign w:val="center"/>
          </w:tcPr>
          <w:p w14:paraId="7776C91B" w14:textId="77777777" w:rsidR="008D0C21" w:rsidRPr="001158EA" w:rsidRDefault="008D0C21" w:rsidP="006E53D1">
            <w:pPr>
              <w:spacing w:line="259" w:lineRule="auto"/>
              <w:ind w:hanging="116"/>
            </w:pPr>
            <w:r w:rsidRPr="001158EA">
              <w:t>Konkurences padomes ziņojuma izpratnē – nav.</w:t>
            </w:r>
          </w:p>
        </w:tc>
      </w:tr>
      <w:tr w:rsidR="008D0C21" w:rsidRPr="00B066F9" w14:paraId="143F2505" w14:textId="77777777" w:rsidTr="006E53D1">
        <w:trPr>
          <w:trHeight w:val="686"/>
          <w:jc w:val="center"/>
        </w:trPr>
        <w:tc>
          <w:tcPr>
            <w:tcW w:w="2268" w:type="dxa"/>
            <w:vAlign w:val="center"/>
          </w:tcPr>
          <w:p w14:paraId="6E70093F" w14:textId="77777777" w:rsidR="008D0C21" w:rsidRPr="001158EA" w:rsidRDefault="008D0C21" w:rsidP="006E53D1">
            <w:pPr>
              <w:spacing w:line="259" w:lineRule="auto"/>
              <w:ind w:firstLine="22"/>
              <w:rPr>
                <w:b/>
                <w:bCs/>
              </w:rPr>
            </w:pPr>
            <w:r w:rsidRPr="001158EA">
              <w:rPr>
                <w:b/>
                <w:bCs/>
              </w:rPr>
              <w:t>Ekonomistu pieejamība</w:t>
            </w:r>
          </w:p>
        </w:tc>
        <w:tc>
          <w:tcPr>
            <w:tcW w:w="11339" w:type="dxa"/>
            <w:vAlign w:val="center"/>
          </w:tcPr>
          <w:p w14:paraId="5B1F95A5" w14:textId="77777777" w:rsidR="008D0C21" w:rsidRPr="001158EA" w:rsidRDefault="008D0C21" w:rsidP="006E53D1">
            <w:pPr>
              <w:spacing w:line="259" w:lineRule="auto"/>
              <w:ind w:hanging="116"/>
            </w:pPr>
            <w:r w:rsidRPr="001158EA">
              <w:t>Revidenta amata pretendentam izvirzītajās prasībās ietverta prasība – bakalaura vai maģistra grāds finansēs, ekonomikā, tiesību zinātnē.</w:t>
            </w:r>
          </w:p>
          <w:p w14:paraId="65BCBA2C" w14:textId="77777777" w:rsidR="008D0C21" w:rsidRPr="001158EA" w:rsidRDefault="008D0C21" w:rsidP="006E53D1">
            <w:pPr>
              <w:spacing w:line="259" w:lineRule="auto"/>
              <w:ind w:hanging="116"/>
              <w:rPr>
                <w:i/>
                <w:iCs/>
              </w:rPr>
            </w:pPr>
            <w:r w:rsidRPr="001158EA">
              <w:t>Zaudējumu piedziņas funkcijas īstenošanā iesaistītajiem ir prasība pēc tiesību zinātnēs iegūtas augstākās izglītības.</w:t>
            </w:r>
          </w:p>
        </w:tc>
      </w:tr>
      <w:tr w:rsidR="008D0C21" w:rsidRPr="00B066F9" w14:paraId="365CF08C" w14:textId="77777777" w:rsidTr="006E53D1">
        <w:trPr>
          <w:trHeight w:val="686"/>
          <w:jc w:val="center"/>
        </w:trPr>
        <w:tc>
          <w:tcPr>
            <w:tcW w:w="2268" w:type="dxa"/>
            <w:vAlign w:val="center"/>
          </w:tcPr>
          <w:p w14:paraId="557BEE08" w14:textId="77777777" w:rsidR="008D0C21" w:rsidRPr="001158EA" w:rsidRDefault="008D0C21" w:rsidP="006E53D1">
            <w:pPr>
              <w:spacing w:line="259" w:lineRule="auto"/>
              <w:ind w:firstLine="22"/>
              <w:rPr>
                <w:b/>
                <w:bCs/>
              </w:rPr>
            </w:pPr>
            <w:r w:rsidRPr="001158EA">
              <w:rPr>
                <w:b/>
                <w:bCs/>
              </w:rPr>
              <w:t>Resursu pieejamība</w:t>
            </w:r>
          </w:p>
        </w:tc>
        <w:tc>
          <w:tcPr>
            <w:tcW w:w="11339" w:type="dxa"/>
            <w:vAlign w:val="center"/>
          </w:tcPr>
          <w:p w14:paraId="0E67921C" w14:textId="77777777" w:rsidR="008D0C21" w:rsidRPr="001158EA" w:rsidRDefault="008D0C21" w:rsidP="006E53D1">
            <w:pPr>
              <w:spacing w:line="259" w:lineRule="auto"/>
              <w:ind w:hanging="116"/>
            </w:pPr>
            <w:r w:rsidRPr="001158EA">
              <w:t>Saistībā ar zaudējumu piedziņas funkcijas īstenošanu līdz šim papildu finansējums nav piešķirts.</w:t>
            </w:r>
          </w:p>
        </w:tc>
      </w:tr>
      <w:tr w:rsidR="008D0C21" w:rsidRPr="00B066F9" w14:paraId="769D5C46" w14:textId="77777777" w:rsidTr="006E53D1">
        <w:trPr>
          <w:trHeight w:val="686"/>
          <w:jc w:val="center"/>
        </w:trPr>
        <w:tc>
          <w:tcPr>
            <w:tcW w:w="2268" w:type="dxa"/>
            <w:vAlign w:val="center"/>
          </w:tcPr>
          <w:p w14:paraId="2685036D" w14:textId="77777777" w:rsidR="008D0C21" w:rsidRPr="001158EA" w:rsidRDefault="008D0C21" w:rsidP="006E53D1">
            <w:pPr>
              <w:spacing w:line="259" w:lineRule="auto"/>
              <w:ind w:firstLine="22"/>
              <w:rPr>
                <w:b/>
                <w:bCs/>
              </w:rPr>
            </w:pPr>
            <w:r w:rsidRPr="001158EA">
              <w:rPr>
                <w:b/>
                <w:bCs/>
              </w:rPr>
              <w:lastRenderedPageBreak/>
              <w:t>Nepieciešamais finansējums</w:t>
            </w:r>
          </w:p>
        </w:tc>
        <w:tc>
          <w:tcPr>
            <w:tcW w:w="11339" w:type="dxa"/>
            <w:vAlign w:val="center"/>
          </w:tcPr>
          <w:p w14:paraId="57E13AE6" w14:textId="77777777" w:rsidR="008D0C21" w:rsidRPr="001158EA" w:rsidRDefault="008D0C21" w:rsidP="006E53D1">
            <w:pPr>
              <w:spacing w:line="259" w:lineRule="auto"/>
              <w:ind w:hanging="116"/>
              <w:rPr>
                <w:i/>
                <w:iCs/>
              </w:rPr>
            </w:pPr>
            <w:r w:rsidRPr="001158EA">
              <w:t>Valsts kontrole saskata šķēršļus tam, lai Valsts kontrolei tiktu noteikta centralizēta konkurences tiesību pārkāpumu rezultātā radušos zaudējumu piedziņas funkcija, tādēļ nav vērtēts jautājums par nepieciešamo finansējumu, un tā apjoms nav noteikts.</w:t>
            </w:r>
          </w:p>
        </w:tc>
      </w:tr>
      <w:tr w:rsidR="008D0C21" w:rsidRPr="00B066F9" w14:paraId="0BD7312F" w14:textId="77777777" w:rsidTr="006E53D1">
        <w:trPr>
          <w:trHeight w:val="686"/>
          <w:jc w:val="center"/>
        </w:trPr>
        <w:tc>
          <w:tcPr>
            <w:tcW w:w="2268" w:type="dxa"/>
            <w:vAlign w:val="center"/>
          </w:tcPr>
          <w:p w14:paraId="0DE9D7A7" w14:textId="77777777" w:rsidR="008D0C21" w:rsidRPr="001158EA" w:rsidRDefault="008D0C21" w:rsidP="006E53D1">
            <w:pPr>
              <w:spacing w:line="259" w:lineRule="auto"/>
              <w:ind w:firstLine="22"/>
              <w:rPr>
                <w:b/>
                <w:bCs/>
              </w:rPr>
            </w:pPr>
            <w:r w:rsidRPr="001158EA">
              <w:rPr>
                <w:b/>
                <w:bCs/>
              </w:rPr>
              <w:t>Citas priekšrocības</w:t>
            </w:r>
          </w:p>
        </w:tc>
        <w:tc>
          <w:tcPr>
            <w:tcW w:w="11339" w:type="dxa"/>
            <w:vAlign w:val="center"/>
          </w:tcPr>
          <w:p w14:paraId="5F02DCA3" w14:textId="77777777" w:rsidR="008D0C21" w:rsidRPr="001158EA" w:rsidRDefault="008D0C21" w:rsidP="006E53D1">
            <w:pPr>
              <w:spacing w:line="259" w:lineRule="auto"/>
              <w:ind w:hanging="116"/>
            </w:pPr>
            <w:r w:rsidRPr="001158EA">
              <w:t>Nav.</w:t>
            </w:r>
          </w:p>
        </w:tc>
      </w:tr>
      <w:tr w:rsidR="008D0C21" w:rsidRPr="00B066F9" w14:paraId="10597958" w14:textId="77777777" w:rsidTr="006E53D1">
        <w:trPr>
          <w:trHeight w:val="686"/>
          <w:jc w:val="center"/>
        </w:trPr>
        <w:tc>
          <w:tcPr>
            <w:tcW w:w="2268" w:type="dxa"/>
            <w:vAlign w:val="center"/>
          </w:tcPr>
          <w:p w14:paraId="598694FD" w14:textId="77777777" w:rsidR="008D0C21" w:rsidRPr="001158EA" w:rsidRDefault="008D0C21" w:rsidP="006E53D1">
            <w:pPr>
              <w:spacing w:line="259" w:lineRule="auto"/>
              <w:rPr>
                <w:b/>
                <w:bCs/>
              </w:rPr>
            </w:pPr>
            <w:r w:rsidRPr="001158EA">
              <w:rPr>
                <w:b/>
                <w:bCs/>
              </w:rPr>
              <w:t>Citi trūkumi</w:t>
            </w:r>
          </w:p>
        </w:tc>
        <w:tc>
          <w:tcPr>
            <w:tcW w:w="11339" w:type="dxa"/>
            <w:vAlign w:val="center"/>
          </w:tcPr>
          <w:p w14:paraId="1B0EA19A" w14:textId="77777777" w:rsidR="008D0C21" w:rsidRPr="001158EA" w:rsidRDefault="008D0C21" w:rsidP="006E53D1">
            <w:pPr>
              <w:spacing w:line="259" w:lineRule="auto"/>
            </w:pPr>
            <w:r w:rsidRPr="001158EA">
              <w:t>Valsts kontroles kā augstākās revīzijas iestādes pamatuzdevums</w:t>
            </w:r>
            <w:r w:rsidRPr="001158EA">
              <w:rPr>
                <w:vertAlign w:val="superscript"/>
                <w:lang w:val="en-US"/>
              </w:rPr>
              <w:footnoteReference w:id="6"/>
            </w:r>
            <w:r w:rsidRPr="001158EA">
              <w:t xml:space="preserve"> ir revīziju veikšana par publisko resursu pārvaldību un visas tai noteiktās pilnvaras</w:t>
            </w:r>
            <w:r w:rsidRPr="001158EA">
              <w:rPr>
                <w:vertAlign w:val="superscript"/>
                <w:lang w:val="en-US"/>
              </w:rPr>
              <w:footnoteReference w:id="7"/>
            </w:r>
            <w:r w:rsidRPr="001158EA">
              <w:t xml:space="preserve"> ir cieši saistītas un izrietošas no revīziju darba – piem., rekomendāciju jeb ieteikumu sniegšana revīzijās atklāto trūkumu novēršanai un sniegto ieteikumu ieviešanas uzraudzība, ziņošana Saeimai, Ministru kabinetam un revidējamām vienībām par revīzijās konstatēto, ziņošana par revīzijās konstatētajiem tiesību normu pārkāpumiem un sekošana to izskatīšanas gaitai, </w:t>
            </w:r>
            <w:r w:rsidRPr="001158EA">
              <w:rPr>
                <w:u w:val="single"/>
              </w:rPr>
              <w:t>revīzijās konstatētas nelikumīgas rīcības rezultātā</w:t>
            </w:r>
            <w:r w:rsidRPr="001158EA">
              <w:t xml:space="preserve"> radītu zaudējumu piedziņa no revidējamās vienības amatpersonām un darbiniekiem.</w:t>
            </w:r>
          </w:p>
          <w:p w14:paraId="1B5A55CF" w14:textId="77777777" w:rsidR="008D0C21" w:rsidRPr="001158EA" w:rsidRDefault="008D0C21" w:rsidP="006E53D1">
            <w:pPr>
              <w:spacing w:line="259" w:lineRule="auto"/>
            </w:pPr>
          </w:p>
          <w:p w14:paraId="739A96E6" w14:textId="77777777" w:rsidR="008D0C21" w:rsidRPr="001158EA" w:rsidRDefault="008D0C21" w:rsidP="006E53D1">
            <w:pPr>
              <w:spacing w:line="259" w:lineRule="auto"/>
            </w:pPr>
            <w:r w:rsidRPr="001158EA">
              <w:t xml:space="preserve">Ziņojumā paredzētā vēršanās ar zaudējumu atlīdzināšanas prasību tiesā konkurences tiesību pārkāpumu gadījumos būtu uzskatāma par jaunu, atsevišķu funkciju, nevis šobrīd Valsts kontrolei paredzētās funkcijas – </w:t>
            </w:r>
            <w:r w:rsidRPr="001158EA">
              <w:rPr>
                <w:u w:val="single"/>
              </w:rPr>
              <w:t>revīzijā konstatētas</w:t>
            </w:r>
            <w:r w:rsidRPr="001158EA">
              <w:t xml:space="preserve"> nelikumīgas rīcības rezultātā radušos zaudējumu atlīdzināšanas procesa uzsākšana un piedziņa – paplašināšana, jo nav saistīta ar revīziju darbu. </w:t>
            </w:r>
          </w:p>
          <w:p w14:paraId="0C9BF84F" w14:textId="77777777" w:rsidR="008D0C21" w:rsidRPr="001158EA" w:rsidRDefault="008D0C21" w:rsidP="006E53D1">
            <w:pPr>
              <w:spacing w:line="259" w:lineRule="auto"/>
            </w:pPr>
            <w:r w:rsidRPr="001158EA">
              <w:t>Valsts kontroles kā neatkarīgas augstākās revīzijas iestādes uzdevums ir veikt revīzijas par publisko līdzekļu pārvaldību un ar objektīviem ziņojumiem norādīt uz novirzēm no pieņemtajiem standartiem un no finanšu pārvaldības likumības, produktivitātes, efektivitātes un ekonomiskuma principiem, ir viens no demokrātiskas valsts priekšnoteikumiem un nepieciešams instruments valsts stabilitātei un attīstībai, kā tas izriet no starptautiskajiem augstāko revīzijas iestāžu standartiem (</w:t>
            </w:r>
            <w:r w:rsidRPr="001158EA">
              <w:rPr>
                <w:i/>
                <w:iCs/>
              </w:rPr>
              <w:t>ISSAI 1</w:t>
            </w:r>
            <w:r w:rsidRPr="001158EA">
              <w:t xml:space="preserve"> jeb Limas deklarācijas preambula </w:t>
            </w:r>
            <w:r w:rsidRPr="001158EA">
              <w:rPr>
                <w:vertAlign w:val="superscript"/>
                <w:lang w:val="en-US"/>
              </w:rPr>
              <w:footnoteReference w:id="8"/>
            </w:r>
            <w:r w:rsidRPr="001158EA">
              <w:t>).</w:t>
            </w:r>
          </w:p>
          <w:p w14:paraId="5691A0D3" w14:textId="77777777" w:rsidR="008D0C21" w:rsidRPr="001158EA" w:rsidRDefault="008D0C21" w:rsidP="006E53D1">
            <w:pPr>
              <w:spacing w:line="259" w:lineRule="auto"/>
            </w:pPr>
          </w:p>
          <w:p w14:paraId="2BD3AC59" w14:textId="77777777" w:rsidR="008D0C21" w:rsidRPr="001158EA" w:rsidRDefault="008D0C21" w:rsidP="006E53D1">
            <w:pPr>
              <w:spacing w:line="259" w:lineRule="auto"/>
            </w:pPr>
            <w:r w:rsidRPr="001158EA">
              <w:t>Valsts kontrole strādā saskaņā ar starptautiskajiem publiskā sektora revīzijas standartiem, kā tas paredzēts Valsts kontroles likumā un uz ko ANO aicina visas dalībvalstis. Minētā prasība nostiprināta, piemēram, ar ANO Ģenerālās asamblejas 19.12.2014. rezolūciju</w:t>
            </w:r>
            <w:r w:rsidRPr="001158EA">
              <w:rPr>
                <w:vertAlign w:val="superscript"/>
                <w:lang w:val="en-US"/>
              </w:rPr>
              <w:footnoteReference w:id="9"/>
            </w:r>
            <w:r w:rsidRPr="001158EA">
              <w:t xml:space="preserve">, aicinot piemērot Limas un Mehiko deklarācijās noteiktos principus jeb starptautiskos standartus augstākajām revīzijas iestādēm </w:t>
            </w:r>
            <w:r w:rsidRPr="001158EA">
              <w:rPr>
                <w:i/>
                <w:iCs/>
              </w:rPr>
              <w:t>ISSAI</w:t>
            </w:r>
            <w:r w:rsidRPr="001158EA">
              <w:t xml:space="preserve"> 1 un </w:t>
            </w:r>
            <w:r w:rsidRPr="001158EA">
              <w:rPr>
                <w:i/>
                <w:iCs/>
              </w:rPr>
              <w:t>ISSAI</w:t>
            </w:r>
            <w:r w:rsidRPr="001158EA">
              <w:t xml:space="preserve"> </w:t>
            </w:r>
            <w:r w:rsidRPr="001158EA">
              <w:rPr>
                <w:i/>
                <w:iCs/>
              </w:rPr>
              <w:t>10</w:t>
            </w:r>
            <w:r w:rsidRPr="001158EA">
              <w:t>. Valsts kontroles likums</w:t>
            </w:r>
            <w:r w:rsidRPr="001158EA">
              <w:rPr>
                <w:vertAlign w:val="superscript"/>
                <w:lang w:val="en-US"/>
              </w:rPr>
              <w:footnoteReference w:id="10"/>
            </w:r>
            <w:r w:rsidRPr="001158EA">
              <w:t xml:space="preserve"> paredz, ka Valsts kontrole veic revīzijas saskaņā ar starptautiskajiem publiskā sektora revīzijas standartiem, kuri atbilst augstāko revīzijas iestāžu starptautiskā kongresa atzītām un apstiprinātām prasībām attiecībā uz augstāko revīzijas iestāžu darbu un kuru atzīšanu Latvijā nosaka valsts kontrolieris.</w:t>
            </w:r>
          </w:p>
          <w:p w14:paraId="7287A92C" w14:textId="77777777" w:rsidR="008D0C21" w:rsidRPr="001158EA" w:rsidRDefault="008D0C21" w:rsidP="006E53D1">
            <w:pPr>
              <w:spacing w:line="259" w:lineRule="auto"/>
            </w:pPr>
          </w:p>
          <w:p w14:paraId="5971EAD4" w14:textId="77777777" w:rsidR="008D0C21" w:rsidRPr="001158EA" w:rsidRDefault="008D0C21" w:rsidP="006E53D1">
            <w:pPr>
              <w:spacing w:line="259" w:lineRule="auto"/>
            </w:pPr>
            <w:r w:rsidRPr="001158EA">
              <w:t xml:space="preserve">Lai Valsts kontrole varētu veikt savu pamatuzdevumu, viens no būtiskākajiem priekšnoteikumiem ir neatkarība un objektivitāte. Saskaņā ar </w:t>
            </w:r>
            <w:r w:rsidRPr="001158EA">
              <w:rPr>
                <w:i/>
                <w:iCs/>
              </w:rPr>
              <w:t>ISSAI 1</w:t>
            </w:r>
            <w:r w:rsidRPr="001158EA">
              <w:t> augstākās revīzijas iestādes var pildīt savus uzdevumus objektīvi un efektīvi tikai tad, ja tās ir neatkarīgas no revidējamās vienības un pasargātas no ārējās ietekmes</w:t>
            </w:r>
            <w:r w:rsidRPr="001158EA">
              <w:rPr>
                <w:vertAlign w:val="superscript"/>
                <w:lang w:val="en-US"/>
              </w:rPr>
              <w:footnoteReference w:id="11"/>
            </w:r>
            <w:r w:rsidRPr="001158EA">
              <w:t xml:space="preserve">. </w:t>
            </w:r>
          </w:p>
          <w:p w14:paraId="024AABF3" w14:textId="77777777" w:rsidR="008D0C21" w:rsidRPr="001158EA" w:rsidRDefault="008D0C21" w:rsidP="006E53D1">
            <w:pPr>
              <w:spacing w:line="259" w:lineRule="auto"/>
            </w:pPr>
          </w:p>
          <w:p w14:paraId="05B33018" w14:textId="77777777" w:rsidR="008D0C21" w:rsidRPr="001158EA" w:rsidRDefault="008D0C21" w:rsidP="006E53D1">
            <w:pPr>
              <w:spacing w:line="259" w:lineRule="auto"/>
            </w:pPr>
            <w:r w:rsidRPr="001158EA">
              <w:t xml:space="preserve">Augstāko revīzijas iestāžu neatkarības nodrošināšanas principu paredz arī </w:t>
            </w:r>
            <w:r w:rsidRPr="001158EA">
              <w:rPr>
                <w:i/>
                <w:iCs/>
              </w:rPr>
              <w:t>ISSAI 12</w:t>
            </w:r>
            <w:r w:rsidRPr="001158EA">
              <w:t xml:space="preserve"> jeb Mehiko deklarācija</w:t>
            </w:r>
            <w:r w:rsidRPr="001158EA">
              <w:rPr>
                <w:vertAlign w:val="superscript"/>
                <w:lang w:val="en-US"/>
              </w:rPr>
              <w:footnoteReference w:id="12"/>
            </w:r>
            <w:r w:rsidRPr="001158EA">
              <w:t xml:space="preserve">. Neatkarības un ziņošanas par revīzijā konstatēto objektivitātes nodrošināšanas nolūkos augstākās revīzijas iestādes veic tikai revīziju darbu un funkcijas, kas ir cieši saistītas un izriet no revīziju darba, un tās neīsteno citas funkcijas (skatīt, piemēram, </w:t>
            </w:r>
            <w:r w:rsidRPr="001158EA">
              <w:rPr>
                <w:i/>
                <w:iCs/>
              </w:rPr>
              <w:t>ISSAI 1</w:t>
            </w:r>
            <w:r w:rsidRPr="001158EA">
              <w:t xml:space="preserve"> jeb Limas deklarācijas preambulu, 5.nodaļu “Augstāko revīzijas iestāžu neatkarība”, IV un VII sadaļu “Augstāko revīzijas iestāžu pilnvaras”). </w:t>
            </w:r>
          </w:p>
          <w:p w14:paraId="4648BFA5" w14:textId="77777777" w:rsidR="008D0C21" w:rsidRPr="001158EA" w:rsidRDefault="008D0C21" w:rsidP="006E53D1">
            <w:pPr>
              <w:spacing w:line="259" w:lineRule="auto"/>
            </w:pPr>
          </w:p>
          <w:p w14:paraId="6FECECE1" w14:textId="77777777" w:rsidR="008D0C21" w:rsidRPr="001158EA" w:rsidRDefault="008D0C21" w:rsidP="006E53D1">
            <w:pPr>
              <w:spacing w:line="259" w:lineRule="auto"/>
            </w:pPr>
            <w:r w:rsidRPr="001158EA">
              <w:t xml:space="preserve">Līdz ar to, ņemot vērā minētos neatkarības nodrošināšanas apsvērumus, Valsts kontrole nevar uzņemties īstenot funkciju, kas nav saistīta ar revīziju darbu. </w:t>
            </w:r>
          </w:p>
          <w:p w14:paraId="6F485D62" w14:textId="77777777" w:rsidR="008D0C21" w:rsidRPr="001158EA" w:rsidRDefault="008D0C21" w:rsidP="006E53D1">
            <w:pPr>
              <w:spacing w:line="259" w:lineRule="auto"/>
            </w:pPr>
          </w:p>
          <w:p w14:paraId="46337D4D" w14:textId="77777777" w:rsidR="008D0C21" w:rsidRPr="001158EA" w:rsidRDefault="008D0C21" w:rsidP="006E53D1">
            <w:pPr>
              <w:spacing w:line="259" w:lineRule="auto"/>
            </w:pPr>
            <w:r w:rsidRPr="001158EA">
              <w:t>Papildus vēlamies vērst uzmanību uz šādām būtiskām atšķirībām Valsts kontrolei noteiktās funkcijas īstenošanā, ņemot vērā Ziņojumā akcentētās problēmas saistībā ar konkurences tiesību pārkāpuma rezultātā radīto zaudējumu atlīdzināšanu un Vēstules pielikumā norādītos kritērijus centralizētās iestādes, kura būtu kompetenta vērsties ar zaudējumu atlīdzināšanas prasību tiesā konkurences pārkāpumu gadījumā, izvērtēšanai:</w:t>
            </w:r>
          </w:p>
          <w:p w14:paraId="405AC0D3" w14:textId="77777777" w:rsidR="008D0C21" w:rsidRPr="001158EA" w:rsidRDefault="008D0C21" w:rsidP="008D0C21">
            <w:pPr>
              <w:numPr>
                <w:ilvl w:val="0"/>
                <w:numId w:val="5"/>
              </w:numPr>
              <w:spacing w:after="40" w:line="259" w:lineRule="auto"/>
              <w:ind w:left="0" w:firstLine="0"/>
            </w:pPr>
            <w:r w:rsidRPr="001158EA">
              <w:t>Valsts kontroles padomei ir tiesības lemt par nelikumīgas rīcības rezultātā nodarīto zaudējumu atlīdzināšanu</w:t>
            </w:r>
            <w:r w:rsidRPr="001158EA">
              <w:rPr>
                <w:vertAlign w:val="superscript"/>
                <w:lang w:val="en-US"/>
              </w:rPr>
              <w:footnoteReference w:id="13"/>
            </w:r>
            <w:r w:rsidRPr="001158EA">
              <w:t xml:space="preserve"> tikai gadījumā, ja Valsts kontrole </w:t>
            </w:r>
            <w:r w:rsidRPr="001158EA">
              <w:rPr>
                <w:b/>
                <w:bCs/>
              </w:rPr>
              <w:t>revīzijā</w:t>
            </w:r>
            <w:r w:rsidRPr="001158EA">
              <w:rPr>
                <w:b/>
                <w:bCs/>
                <w:vertAlign w:val="superscript"/>
                <w:lang w:val="en-US"/>
              </w:rPr>
              <w:footnoteReference w:id="14"/>
            </w:r>
            <w:r w:rsidRPr="001158EA">
              <w:rPr>
                <w:b/>
                <w:bCs/>
              </w:rPr>
              <w:t xml:space="preserve"> konstatē nelikumīgu rīcību</w:t>
            </w:r>
            <w:r w:rsidRPr="001158EA">
              <w:t xml:space="preserve"> ar finanšu līdzekļiem vai mantu. Minēto lēmumu pieņem attiecībā uz tādu revidējamo vienību, kas ir </w:t>
            </w:r>
            <w:r w:rsidRPr="001158EA">
              <w:rPr>
                <w:b/>
                <w:bCs/>
              </w:rPr>
              <w:t>publiska persona, tās institūcija vai publiskas personas kontrolēta kapitālsabiedrība</w:t>
            </w:r>
            <w:r w:rsidRPr="001158EA">
              <w:rPr>
                <w:b/>
                <w:bCs/>
                <w:vertAlign w:val="superscript"/>
                <w:lang w:val="en-US"/>
              </w:rPr>
              <w:footnoteReference w:id="15"/>
            </w:r>
            <w:r w:rsidRPr="001158EA">
              <w:t>;</w:t>
            </w:r>
          </w:p>
          <w:p w14:paraId="74A42DEC" w14:textId="77777777" w:rsidR="008D0C21" w:rsidRPr="001158EA" w:rsidRDefault="008D0C21" w:rsidP="008D0C21">
            <w:pPr>
              <w:numPr>
                <w:ilvl w:val="0"/>
                <w:numId w:val="5"/>
              </w:numPr>
              <w:spacing w:after="40" w:line="259" w:lineRule="auto"/>
              <w:ind w:left="0" w:firstLine="0"/>
            </w:pPr>
            <w:r w:rsidRPr="001158EA">
              <w:t xml:space="preserve">Valsts kontroles padomei ir tiesības piedzīt zaudējumus no revidējamās vienības amatpersonas (darbinieka) </w:t>
            </w:r>
            <w:r w:rsidRPr="001158EA">
              <w:rPr>
                <w:b/>
                <w:bCs/>
              </w:rPr>
              <w:t>tagadējās mantas samazinājuma apmērā</w:t>
            </w:r>
            <w:r w:rsidRPr="001158EA">
              <w:t>, ja konstatēti zaudējumu piedziņas priekšnoteikumi</w:t>
            </w:r>
            <w:r w:rsidRPr="001158EA">
              <w:rPr>
                <w:vertAlign w:val="superscript"/>
                <w:lang w:val="en-US"/>
              </w:rPr>
              <w:footnoteReference w:id="16"/>
            </w:r>
            <w:r w:rsidRPr="001158EA">
              <w:t>;</w:t>
            </w:r>
          </w:p>
          <w:p w14:paraId="5982BDAE" w14:textId="77777777" w:rsidR="008D0C21" w:rsidRPr="001158EA" w:rsidRDefault="008D0C21" w:rsidP="008D0C21">
            <w:pPr>
              <w:numPr>
                <w:ilvl w:val="0"/>
                <w:numId w:val="5"/>
              </w:numPr>
              <w:spacing w:after="40" w:line="259" w:lineRule="auto"/>
              <w:ind w:left="0" w:firstLine="0"/>
            </w:pPr>
            <w:r w:rsidRPr="001158EA">
              <w:t xml:space="preserve">sešu mēnešu laikā pēc tam, kad saņemts Valsts kontroles padomes lēmums par nelikumīgas rīcības rezultātā nodarīto zaudējumu atlīdzināšanas uzsākšanu, </w:t>
            </w:r>
            <w:r w:rsidRPr="001158EA">
              <w:rPr>
                <w:b/>
                <w:bCs/>
              </w:rPr>
              <w:t>revidējamā vienība (tās augstāka iestāde) veic amatpersonu un darbinieku atbildības izvērtējumu</w:t>
            </w:r>
            <w:r w:rsidRPr="001158EA">
              <w:t xml:space="preserve"> un </w:t>
            </w:r>
            <w:r w:rsidRPr="001158EA">
              <w:lastRenderedPageBreak/>
              <w:t>iesniedz to Valsts kontrolei</w:t>
            </w:r>
            <w:r w:rsidRPr="001158EA">
              <w:rPr>
                <w:vertAlign w:val="superscript"/>
                <w:lang w:val="en-US"/>
              </w:rPr>
              <w:footnoteReference w:id="17"/>
            </w:r>
            <w:r w:rsidRPr="001158EA">
              <w:t xml:space="preserve">, cita starpā </w:t>
            </w:r>
            <w:r w:rsidRPr="001158EA">
              <w:rPr>
                <w:b/>
                <w:bCs/>
              </w:rPr>
              <w:t>norādot arī informāciju par atbildīgajām personām, neatkarīgi no tā, vai šīs personas bija norādītas Valsts kontroles padomes lēmumā par nelikumīgas rīcības rezultātā nodarīto zaudējumu atlīdzināšanas uzsākšanu</w:t>
            </w:r>
            <w:r w:rsidRPr="001158EA">
              <w:rPr>
                <w:vertAlign w:val="superscript"/>
                <w:lang w:val="en-US"/>
              </w:rPr>
              <w:footnoteReference w:id="18"/>
            </w:r>
            <w:r w:rsidRPr="001158EA">
              <w:t>;</w:t>
            </w:r>
          </w:p>
          <w:p w14:paraId="07B39B4C" w14:textId="77777777" w:rsidR="008D0C21" w:rsidRPr="001158EA" w:rsidRDefault="008D0C21" w:rsidP="008D0C21">
            <w:pPr>
              <w:numPr>
                <w:ilvl w:val="0"/>
                <w:numId w:val="5"/>
              </w:numPr>
              <w:spacing w:after="40" w:line="259" w:lineRule="auto"/>
              <w:ind w:left="0" w:firstLine="0"/>
            </w:pPr>
            <w:r w:rsidRPr="001158EA">
              <w:t>Valsts kontroles padomes lēmumu par zaudējumu piedziņu var pārsūdzēt </w:t>
            </w:r>
            <w:hyperlink r:id="rId8" w:tgtFrame="_blank" w:history="1">
              <w:r w:rsidRPr="001158EA">
                <w:rPr>
                  <w:rStyle w:val="Hyperlink"/>
                  <w:b/>
                  <w:bCs/>
                </w:rPr>
                <w:t>Administratīvā procesa likumā</w:t>
              </w:r>
            </w:hyperlink>
            <w:r w:rsidRPr="001158EA">
              <w:rPr>
                <w:b/>
                <w:bCs/>
              </w:rPr>
              <w:t> noteiktajā kārtībā.</w:t>
            </w:r>
            <w:r w:rsidRPr="001158EA">
              <w:t xml:space="preserve"> Ja pieņemts lēmums par zaudējumu piedziņu, to noformē un izpilda Administratīvā procesa likumā noteiktajā kārtībā</w:t>
            </w:r>
            <w:r w:rsidRPr="001158EA">
              <w:rPr>
                <w:vertAlign w:val="superscript"/>
                <w:lang w:val="en-US"/>
              </w:rPr>
              <w:footnoteReference w:id="19"/>
            </w:r>
            <w:r w:rsidRPr="001158EA">
              <w:t xml:space="preserve">. Lēmuma piedzīt zaudējumus </w:t>
            </w:r>
            <w:r w:rsidRPr="001158EA">
              <w:rPr>
                <w:b/>
                <w:bCs/>
              </w:rPr>
              <w:t>piespiedu</w:t>
            </w:r>
            <w:r w:rsidRPr="001158EA">
              <w:t xml:space="preserve"> </w:t>
            </w:r>
            <w:r w:rsidRPr="001158EA">
              <w:rPr>
                <w:b/>
                <w:bCs/>
              </w:rPr>
              <w:t xml:space="preserve">izpildi </w:t>
            </w:r>
            <w:r w:rsidRPr="001158EA">
              <w:t>(saskaņā ar Valsts kontroles izpildrīkojumu)</w:t>
            </w:r>
            <w:r w:rsidRPr="001158EA">
              <w:rPr>
                <w:b/>
                <w:bCs/>
              </w:rPr>
              <w:t xml:space="preserve"> </w:t>
            </w:r>
            <w:r w:rsidRPr="001158EA">
              <w:t>īsteno tiesu izpildītājs Civilprocesa likuma noteiktajā kārtībā;</w:t>
            </w:r>
          </w:p>
        </w:tc>
      </w:tr>
    </w:tbl>
    <w:p w14:paraId="53711704" w14:textId="77777777" w:rsidR="002A2360" w:rsidRDefault="002A2360" w:rsidP="008D0C21">
      <w:pPr>
        <w:ind w:firstLine="709"/>
        <w:rPr>
          <w:b/>
          <w:bCs/>
        </w:rPr>
      </w:pPr>
    </w:p>
    <w:p w14:paraId="556C85B8" w14:textId="26AF74E8" w:rsidR="007C26F4" w:rsidRPr="007C26F4" w:rsidRDefault="007C26F4" w:rsidP="002A2360">
      <w:pPr>
        <w:spacing w:line="276" w:lineRule="auto"/>
        <w:ind w:firstLine="709"/>
        <w:jc w:val="both"/>
        <w:rPr>
          <w:rFonts w:ascii="Times New Roman" w:hAnsi="Times New Roman" w:cs="Times New Roman"/>
          <w:iCs/>
          <w:sz w:val="24"/>
          <w:szCs w:val="24"/>
        </w:rPr>
      </w:pPr>
      <w:r w:rsidRPr="007C26F4">
        <w:rPr>
          <w:rFonts w:ascii="Times New Roman" w:hAnsi="Times New Roman" w:cs="Times New Roman"/>
          <w:iCs/>
          <w:sz w:val="24"/>
          <w:szCs w:val="24"/>
        </w:rPr>
        <w:t xml:space="preserve">Ģenerālprokuratūras, </w:t>
      </w:r>
      <w:proofErr w:type="spellStart"/>
      <w:r w:rsidRPr="007C26F4">
        <w:rPr>
          <w:rFonts w:ascii="Times New Roman" w:hAnsi="Times New Roman" w:cs="Times New Roman"/>
          <w:iCs/>
          <w:sz w:val="24"/>
          <w:szCs w:val="24"/>
        </w:rPr>
        <w:t>Possessor</w:t>
      </w:r>
      <w:proofErr w:type="spellEnd"/>
      <w:r w:rsidRPr="007C26F4">
        <w:rPr>
          <w:rFonts w:ascii="Times New Roman" w:hAnsi="Times New Roman" w:cs="Times New Roman"/>
          <w:iCs/>
          <w:sz w:val="24"/>
          <w:szCs w:val="24"/>
        </w:rPr>
        <w:t xml:space="preserve"> un Latvijas Zvērinātu advokātu kolēģijas sniegtās atbildes pašvērtējuma ietvaros apkopojuma formā atspoguļotas turpmāk minētajā tabulā.</w:t>
      </w:r>
    </w:p>
    <w:tbl>
      <w:tblPr>
        <w:tblStyle w:val="TableGrid1"/>
        <w:tblW w:w="0" w:type="auto"/>
        <w:jc w:val="center"/>
        <w:tblLayout w:type="fixed"/>
        <w:tblLook w:val="04A0" w:firstRow="1" w:lastRow="0" w:firstColumn="1" w:lastColumn="0" w:noHBand="0" w:noVBand="1"/>
      </w:tblPr>
      <w:tblGrid>
        <w:gridCol w:w="1838"/>
        <w:gridCol w:w="3543"/>
        <w:gridCol w:w="3544"/>
        <w:gridCol w:w="4111"/>
      </w:tblGrid>
      <w:tr w:rsidR="007C26F4" w:rsidRPr="00576AB4" w14:paraId="3030461C" w14:textId="77777777" w:rsidTr="002A2360">
        <w:trPr>
          <w:trHeight w:val="686"/>
          <w:jc w:val="center"/>
        </w:trPr>
        <w:tc>
          <w:tcPr>
            <w:tcW w:w="1838" w:type="dxa"/>
            <w:vAlign w:val="center"/>
          </w:tcPr>
          <w:p w14:paraId="5F06C976" w14:textId="77777777" w:rsidR="007C26F4" w:rsidRPr="001158EA" w:rsidRDefault="007C26F4" w:rsidP="002F4E86">
            <w:pPr>
              <w:jc w:val="center"/>
            </w:pPr>
            <w:bookmarkStart w:id="2" w:name="_Hlk87438411"/>
          </w:p>
        </w:tc>
        <w:tc>
          <w:tcPr>
            <w:tcW w:w="3543" w:type="dxa"/>
          </w:tcPr>
          <w:p w14:paraId="226B8CF6" w14:textId="77777777" w:rsidR="007C26F4" w:rsidRPr="001158EA" w:rsidRDefault="007C26F4" w:rsidP="002F4E86">
            <w:pPr>
              <w:jc w:val="center"/>
              <w:rPr>
                <w:b/>
                <w:bCs/>
              </w:rPr>
            </w:pPr>
            <w:r w:rsidRPr="001158EA">
              <w:rPr>
                <w:b/>
                <w:bCs/>
              </w:rPr>
              <w:t>Ģenerālprokuratūra</w:t>
            </w:r>
          </w:p>
        </w:tc>
        <w:tc>
          <w:tcPr>
            <w:tcW w:w="3544" w:type="dxa"/>
          </w:tcPr>
          <w:p w14:paraId="130B6BB9" w14:textId="77777777" w:rsidR="007C26F4" w:rsidRPr="001158EA" w:rsidRDefault="007C26F4" w:rsidP="002F4E86">
            <w:pPr>
              <w:jc w:val="center"/>
              <w:rPr>
                <w:b/>
                <w:bCs/>
              </w:rPr>
            </w:pPr>
            <w:r>
              <w:rPr>
                <w:b/>
                <w:bCs/>
              </w:rPr>
              <w:t>Atbildīgā iestāde (Possessor)</w:t>
            </w:r>
          </w:p>
        </w:tc>
        <w:tc>
          <w:tcPr>
            <w:tcW w:w="4111" w:type="dxa"/>
          </w:tcPr>
          <w:p w14:paraId="38304E15" w14:textId="77777777" w:rsidR="007C26F4" w:rsidRPr="001158EA" w:rsidRDefault="007C26F4" w:rsidP="002F4E86">
            <w:pPr>
              <w:jc w:val="center"/>
              <w:rPr>
                <w:b/>
                <w:bCs/>
              </w:rPr>
            </w:pPr>
            <w:r w:rsidRPr="001158EA">
              <w:rPr>
                <w:b/>
                <w:bCs/>
              </w:rPr>
              <w:t>Privāts juridiskās palīdzības sniedzējs (Latvijas Zvērinātu advokātu kolēģija)</w:t>
            </w:r>
          </w:p>
        </w:tc>
      </w:tr>
      <w:tr w:rsidR="007C26F4" w:rsidRPr="00576AB4" w14:paraId="477A60BE" w14:textId="77777777" w:rsidTr="002A2360">
        <w:trPr>
          <w:trHeight w:val="686"/>
          <w:jc w:val="center"/>
        </w:trPr>
        <w:tc>
          <w:tcPr>
            <w:tcW w:w="1838" w:type="dxa"/>
            <w:vAlign w:val="center"/>
          </w:tcPr>
          <w:p w14:paraId="46FE68C7" w14:textId="77777777" w:rsidR="007C26F4" w:rsidRPr="001158EA" w:rsidRDefault="007C26F4" w:rsidP="002F4E86">
            <w:pPr>
              <w:jc w:val="center"/>
              <w:rPr>
                <w:b/>
                <w:bCs/>
              </w:rPr>
            </w:pPr>
            <w:r w:rsidRPr="001158EA">
              <w:rPr>
                <w:b/>
                <w:bCs/>
              </w:rPr>
              <w:t>Īsteno pārstāvību civilprocesā</w:t>
            </w:r>
          </w:p>
        </w:tc>
        <w:tc>
          <w:tcPr>
            <w:tcW w:w="3543" w:type="dxa"/>
            <w:vAlign w:val="center"/>
          </w:tcPr>
          <w:p w14:paraId="29067482" w14:textId="77777777" w:rsidR="007C26F4" w:rsidRPr="001158EA" w:rsidRDefault="007C26F4" w:rsidP="002F4E86">
            <w:pPr>
              <w:jc w:val="center"/>
            </w:pPr>
            <w:r w:rsidRPr="001158EA">
              <w:t>Jā.</w:t>
            </w:r>
          </w:p>
          <w:p w14:paraId="77B06D60" w14:textId="77777777" w:rsidR="007C26F4" w:rsidRPr="001158EA" w:rsidRDefault="007C26F4" w:rsidP="002F4E86">
            <w:pPr>
              <w:jc w:val="center"/>
            </w:pPr>
            <w:r w:rsidRPr="001158EA">
              <w:t>2020. gadā celtas prasības kopā 57 civillietās.</w:t>
            </w:r>
          </w:p>
        </w:tc>
        <w:tc>
          <w:tcPr>
            <w:tcW w:w="3544" w:type="dxa"/>
          </w:tcPr>
          <w:p w14:paraId="4660E706" w14:textId="77777777" w:rsidR="007C26F4" w:rsidRDefault="007C26F4" w:rsidP="002F4E86">
            <w:pPr>
              <w:jc w:val="center"/>
            </w:pPr>
            <w:r>
              <w:t>Jā.</w:t>
            </w:r>
          </w:p>
          <w:p w14:paraId="0E8BA16E" w14:textId="77777777" w:rsidR="007C26F4" w:rsidRPr="001158EA" w:rsidRDefault="007C26F4" w:rsidP="002F4E86">
            <w:pPr>
              <w:jc w:val="center"/>
            </w:pPr>
          </w:p>
        </w:tc>
        <w:tc>
          <w:tcPr>
            <w:tcW w:w="4111" w:type="dxa"/>
            <w:vAlign w:val="center"/>
          </w:tcPr>
          <w:p w14:paraId="1DBCC10B" w14:textId="77777777" w:rsidR="007C26F4" w:rsidRPr="001158EA" w:rsidRDefault="007C26F4" w:rsidP="002F4E86">
            <w:pPr>
              <w:jc w:val="center"/>
            </w:pPr>
            <w:r w:rsidRPr="001158EA">
              <w:t>Jā.</w:t>
            </w:r>
          </w:p>
          <w:p w14:paraId="6D4692CB" w14:textId="77777777" w:rsidR="007C26F4" w:rsidRPr="001158EA" w:rsidRDefault="007C26F4" w:rsidP="002F4E86">
            <w:pPr>
              <w:jc w:val="center"/>
            </w:pPr>
            <w:r w:rsidRPr="001158EA">
              <w:t>Potenciāli lielākā daļa no visām civillietu tiek vestas ar zvērināta advokāta palīdzību.</w:t>
            </w:r>
          </w:p>
        </w:tc>
      </w:tr>
      <w:tr w:rsidR="007C26F4" w:rsidRPr="00576AB4" w14:paraId="01EC9158" w14:textId="77777777" w:rsidTr="002A2360">
        <w:trPr>
          <w:trHeight w:val="686"/>
          <w:jc w:val="center"/>
        </w:trPr>
        <w:tc>
          <w:tcPr>
            <w:tcW w:w="1838" w:type="dxa"/>
            <w:vAlign w:val="center"/>
          </w:tcPr>
          <w:p w14:paraId="3CDE418D" w14:textId="77777777" w:rsidR="007C26F4" w:rsidRPr="001158EA" w:rsidRDefault="007C26F4" w:rsidP="002F4E86">
            <w:pPr>
              <w:jc w:val="center"/>
              <w:rPr>
                <w:b/>
                <w:bCs/>
              </w:rPr>
            </w:pPr>
            <w:r w:rsidRPr="001158EA">
              <w:rPr>
                <w:b/>
                <w:bCs/>
              </w:rPr>
              <w:t>Īsteno pārstāvību zaudējumu atlīdzības prasībās civilprocesā</w:t>
            </w:r>
          </w:p>
        </w:tc>
        <w:tc>
          <w:tcPr>
            <w:tcW w:w="3543" w:type="dxa"/>
            <w:vAlign w:val="center"/>
          </w:tcPr>
          <w:p w14:paraId="3585809C" w14:textId="77777777" w:rsidR="007C26F4" w:rsidRPr="001158EA" w:rsidRDefault="007C26F4" w:rsidP="002F4E86">
            <w:pPr>
              <w:jc w:val="center"/>
            </w:pPr>
            <w:r w:rsidRPr="001158EA">
              <w:t>2020. gadā – 1 lieta.</w:t>
            </w:r>
          </w:p>
        </w:tc>
        <w:tc>
          <w:tcPr>
            <w:tcW w:w="3544" w:type="dxa"/>
          </w:tcPr>
          <w:p w14:paraId="5DA3B7F6" w14:textId="77777777" w:rsidR="007C26F4" w:rsidRPr="001158EA" w:rsidRDefault="007C26F4" w:rsidP="002F4E86">
            <w:pPr>
              <w:jc w:val="center"/>
            </w:pPr>
            <w:r>
              <w:t>Jā.</w:t>
            </w:r>
          </w:p>
        </w:tc>
        <w:tc>
          <w:tcPr>
            <w:tcW w:w="4111" w:type="dxa"/>
            <w:vAlign w:val="center"/>
          </w:tcPr>
          <w:p w14:paraId="6CD549A8" w14:textId="77777777" w:rsidR="007C26F4" w:rsidRPr="001158EA" w:rsidRDefault="007C26F4" w:rsidP="002F4E86">
            <w:pPr>
              <w:jc w:val="center"/>
            </w:pPr>
            <w:r w:rsidRPr="001158EA">
              <w:t>Jā.</w:t>
            </w:r>
          </w:p>
          <w:p w14:paraId="4D77A472" w14:textId="77777777" w:rsidR="007C26F4" w:rsidRPr="001158EA" w:rsidRDefault="007C26F4" w:rsidP="002F4E86">
            <w:pPr>
              <w:jc w:val="center"/>
            </w:pPr>
            <w:r w:rsidRPr="001158EA">
              <w:t>835 zvērināti advokāti norādījuši saistību tiesības kā viņu specializāciju. Prasībās, kuru pamats ir konkurences tiesību pārkāpums, specializācija varētu būt šaurāka.</w:t>
            </w:r>
          </w:p>
        </w:tc>
      </w:tr>
      <w:tr w:rsidR="007C26F4" w:rsidRPr="00576AB4" w14:paraId="69FC2692" w14:textId="77777777" w:rsidTr="002A2360">
        <w:trPr>
          <w:trHeight w:val="686"/>
          <w:jc w:val="center"/>
        </w:trPr>
        <w:tc>
          <w:tcPr>
            <w:tcW w:w="1838" w:type="dxa"/>
            <w:vAlign w:val="center"/>
          </w:tcPr>
          <w:p w14:paraId="6B908DF8" w14:textId="77777777" w:rsidR="007C26F4" w:rsidRPr="001158EA" w:rsidRDefault="007C26F4" w:rsidP="002F4E86">
            <w:pPr>
              <w:jc w:val="center"/>
              <w:rPr>
                <w:b/>
                <w:bCs/>
              </w:rPr>
            </w:pPr>
            <w:r w:rsidRPr="001158EA">
              <w:rPr>
                <w:b/>
                <w:bCs/>
              </w:rPr>
              <w:t>Pieredze zaudējumu aprēķināšanā civilprocesā</w:t>
            </w:r>
          </w:p>
        </w:tc>
        <w:tc>
          <w:tcPr>
            <w:tcW w:w="3543" w:type="dxa"/>
            <w:vAlign w:val="center"/>
          </w:tcPr>
          <w:p w14:paraId="23A35B5C" w14:textId="77777777" w:rsidR="007C26F4" w:rsidRPr="001158EA" w:rsidRDefault="007C26F4" w:rsidP="002F4E86">
            <w:pPr>
              <w:jc w:val="center"/>
            </w:pPr>
            <w:r w:rsidRPr="001158EA">
              <w:t>Nē.</w:t>
            </w:r>
          </w:p>
        </w:tc>
        <w:tc>
          <w:tcPr>
            <w:tcW w:w="3544" w:type="dxa"/>
          </w:tcPr>
          <w:p w14:paraId="4CF490FE" w14:textId="77777777" w:rsidR="007C26F4" w:rsidRDefault="007C26F4" w:rsidP="002F4E86">
            <w:pPr>
              <w:jc w:val="center"/>
            </w:pPr>
            <w:r>
              <w:t>Jā.</w:t>
            </w:r>
          </w:p>
          <w:p w14:paraId="5D6B3F6E" w14:textId="77777777" w:rsidR="007C26F4" w:rsidRDefault="007C26F4" w:rsidP="002F4E86">
            <w:pPr>
              <w:jc w:val="center"/>
            </w:pPr>
            <w:r>
              <w:t xml:space="preserve">Possessor piemīt atbilstoša </w:t>
            </w:r>
            <w:r w:rsidRPr="001158EA">
              <w:t>pieredze zaudējumu aprēķināšanā</w:t>
            </w:r>
            <w:r>
              <w:t>. N</w:t>
            </w:r>
            <w:r w:rsidRPr="001158EA">
              <w:t>epieciešam</w:t>
            </w:r>
            <w:r>
              <w:t>ības gadījumā</w:t>
            </w:r>
            <w:r w:rsidRPr="001158EA">
              <w:t xml:space="preserve"> var piesaistīt arī ārpakalpojuma speciālistus.</w:t>
            </w:r>
            <w:r>
              <w:t xml:space="preserve"> </w:t>
            </w:r>
          </w:p>
          <w:p w14:paraId="766D5306" w14:textId="77777777" w:rsidR="007C26F4" w:rsidRPr="001158EA" w:rsidRDefault="007C26F4" w:rsidP="002F4E86">
            <w:pPr>
              <w:jc w:val="center"/>
            </w:pPr>
            <w:r>
              <w:t>Bez tam paralēlās kompetences modelī zaudējumu aprēķināšanas procesā tiks iesaistīts arī publiskais pasūtītājs.</w:t>
            </w:r>
          </w:p>
        </w:tc>
        <w:tc>
          <w:tcPr>
            <w:tcW w:w="4111" w:type="dxa"/>
            <w:vAlign w:val="center"/>
          </w:tcPr>
          <w:p w14:paraId="5B16F4E1" w14:textId="77777777" w:rsidR="007C26F4" w:rsidRPr="001158EA" w:rsidRDefault="007C26F4" w:rsidP="002F4E86">
            <w:pPr>
              <w:jc w:val="center"/>
            </w:pPr>
            <w:r w:rsidRPr="001158EA">
              <w:t>Jā.</w:t>
            </w:r>
          </w:p>
          <w:p w14:paraId="1ABD4491" w14:textId="77777777" w:rsidR="007C26F4" w:rsidRPr="001158EA" w:rsidRDefault="007C26F4" w:rsidP="002F4E86">
            <w:pPr>
              <w:jc w:val="center"/>
            </w:pPr>
            <w:r w:rsidRPr="001158EA">
              <w:t>Pamatā zvērinātiem advokātiem pašiem ir pieredze zaudējumu aprēķināšanā, bet, ja nepieciešams, var piesaistīt arī ārpakalpojuma speciālistus vai konkrētā klienta darbiniekus/resursus.</w:t>
            </w:r>
          </w:p>
        </w:tc>
      </w:tr>
      <w:tr w:rsidR="007C26F4" w:rsidRPr="00576AB4" w14:paraId="7945DE11" w14:textId="77777777" w:rsidTr="002A2360">
        <w:trPr>
          <w:trHeight w:val="686"/>
          <w:jc w:val="center"/>
        </w:trPr>
        <w:tc>
          <w:tcPr>
            <w:tcW w:w="1838" w:type="dxa"/>
            <w:vAlign w:val="center"/>
          </w:tcPr>
          <w:p w14:paraId="09609C37" w14:textId="77777777" w:rsidR="007C26F4" w:rsidRPr="001158EA" w:rsidRDefault="007C26F4" w:rsidP="002F4E86">
            <w:pPr>
              <w:jc w:val="center"/>
              <w:rPr>
                <w:b/>
                <w:bCs/>
              </w:rPr>
            </w:pPr>
            <w:r w:rsidRPr="001158EA">
              <w:rPr>
                <w:b/>
                <w:bCs/>
              </w:rPr>
              <w:lastRenderedPageBreak/>
              <w:t>Ekonomistu pieejamība</w:t>
            </w:r>
          </w:p>
        </w:tc>
        <w:tc>
          <w:tcPr>
            <w:tcW w:w="3543" w:type="dxa"/>
            <w:vAlign w:val="center"/>
          </w:tcPr>
          <w:p w14:paraId="5A55900B" w14:textId="77777777" w:rsidR="007C26F4" w:rsidRPr="001158EA" w:rsidRDefault="007C26F4" w:rsidP="002F4E86">
            <w:pPr>
              <w:jc w:val="center"/>
            </w:pPr>
            <w:r w:rsidRPr="001158EA">
              <w:t>Nē.</w:t>
            </w:r>
          </w:p>
        </w:tc>
        <w:tc>
          <w:tcPr>
            <w:tcW w:w="3544" w:type="dxa"/>
          </w:tcPr>
          <w:p w14:paraId="1F83DA54" w14:textId="77777777" w:rsidR="007C26F4" w:rsidRDefault="007C26F4" w:rsidP="002F4E86">
            <w:pPr>
              <w:jc w:val="center"/>
            </w:pPr>
            <w:r>
              <w:t>Jā.</w:t>
            </w:r>
          </w:p>
          <w:p w14:paraId="205B8450" w14:textId="77777777" w:rsidR="007C26F4" w:rsidRPr="001158EA" w:rsidRDefault="007C26F4" w:rsidP="002F4E86">
            <w:pPr>
              <w:jc w:val="center"/>
            </w:pPr>
            <w:r>
              <w:t>Possessor nodarbinās atbilstošus speciālistus.</w:t>
            </w:r>
          </w:p>
        </w:tc>
        <w:tc>
          <w:tcPr>
            <w:tcW w:w="4111" w:type="dxa"/>
            <w:vAlign w:val="center"/>
          </w:tcPr>
          <w:p w14:paraId="71EFA296" w14:textId="77777777" w:rsidR="007C26F4" w:rsidRPr="001158EA" w:rsidRDefault="007C26F4" w:rsidP="002F4E86">
            <w:pPr>
              <w:jc w:val="center"/>
            </w:pPr>
            <w:r w:rsidRPr="001158EA">
              <w:t>Jā.</w:t>
            </w:r>
          </w:p>
          <w:p w14:paraId="113D572C" w14:textId="77777777" w:rsidR="007C26F4" w:rsidRPr="001158EA" w:rsidRDefault="007C26F4" w:rsidP="002F4E86">
            <w:pPr>
              <w:jc w:val="center"/>
            </w:pPr>
            <w:r w:rsidRPr="001158EA">
              <w:t>Ja konkrētās lietas raksturs to prasa, var piesaistīt nepieciešamos speciālistus.</w:t>
            </w:r>
          </w:p>
        </w:tc>
      </w:tr>
      <w:tr w:rsidR="007C26F4" w:rsidRPr="00576AB4" w14:paraId="6C605321" w14:textId="77777777" w:rsidTr="002A2360">
        <w:trPr>
          <w:trHeight w:val="686"/>
          <w:jc w:val="center"/>
        </w:trPr>
        <w:tc>
          <w:tcPr>
            <w:tcW w:w="1838" w:type="dxa"/>
            <w:vAlign w:val="center"/>
          </w:tcPr>
          <w:p w14:paraId="08651D07" w14:textId="77777777" w:rsidR="007C26F4" w:rsidRPr="001158EA" w:rsidRDefault="007C26F4" w:rsidP="002F4E86">
            <w:pPr>
              <w:jc w:val="center"/>
              <w:rPr>
                <w:b/>
                <w:bCs/>
              </w:rPr>
            </w:pPr>
            <w:r w:rsidRPr="001158EA">
              <w:rPr>
                <w:b/>
                <w:bCs/>
              </w:rPr>
              <w:t>Resursu pieejamība</w:t>
            </w:r>
          </w:p>
        </w:tc>
        <w:tc>
          <w:tcPr>
            <w:tcW w:w="3543" w:type="dxa"/>
            <w:vAlign w:val="center"/>
          </w:tcPr>
          <w:p w14:paraId="2A1749EB" w14:textId="77777777" w:rsidR="007C26F4" w:rsidRPr="001158EA" w:rsidRDefault="007C26F4" w:rsidP="002F4E86">
            <w:pPr>
              <w:jc w:val="center"/>
            </w:pPr>
            <w:r w:rsidRPr="001158EA">
              <w:t>Nē.</w:t>
            </w:r>
          </w:p>
        </w:tc>
        <w:tc>
          <w:tcPr>
            <w:tcW w:w="3544" w:type="dxa"/>
          </w:tcPr>
          <w:p w14:paraId="5A7B94EF" w14:textId="77777777" w:rsidR="007C26F4" w:rsidRPr="001158EA" w:rsidRDefault="007C26F4" w:rsidP="002F4E86">
            <w:pPr>
              <w:jc w:val="center"/>
            </w:pPr>
            <w:r>
              <w:t xml:space="preserve">Daļēja resursu pieejamība. </w:t>
            </w:r>
          </w:p>
        </w:tc>
        <w:tc>
          <w:tcPr>
            <w:tcW w:w="4111" w:type="dxa"/>
            <w:vAlign w:val="center"/>
          </w:tcPr>
          <w:p w14:paraId="520D897D" w14:textId="77777777" w:rsidR="007C26F4" w:rsidRPr="001158EA" w:rsidRDefault="007C26F4" w:rsidP="002F4E86">
            <w:pPr>
              <w:jc w:val="center"/>
            </w:pPr>
            <w:r w:rsidRPr="001158EA">
              <w:t>Jā.</w:t>
            </w:r>
          </w:p>
        </w:tc>
      </w:tr>
      <w:tr w:rsidR="007C26F4" w:rsidRPr="00576AB4" w14:paraId="73A50008" w14:textId="77777777" w:rsidTr="002A2360">
        <w:trPr>
          <w:trHeight w:val="686"/>
          <w:jc w:val="center"/>
        </w:trPr>
        <w:tc>
          <w:tcPr>
            <w:tcW w:w="1838" w:type="dxa"/>
            <w:vAlign w:val="center"/>
          </w:tcPr>
          <w:p w14:paraId="46620735" w14:textId="77777777" w:rsidR="007C26F4" w:rsidRPr="001158EA" w:rsidRDefault="007C26F4" w:rsidP="002F4E86">
            <w:pPr>
              <w:jc w:val="center"/>
              <w:rPr>
                <w:b/>
                <w:bCs/>
              </w:rPr>
            </w:pPr>
            <w:r w:rsidRPr="001158EA">
              <w:rPr>
                <w:b/>
                <w:bCs/>
              </w:rPr>
              <w:t>Nepieciešamais finansējums</w:t>
            </w:r>
          </w:p>
        </w:tc>
        <w:tc>
          <w:tcPr>
            <w:tcW w:w="3543" w:type="dxa"/>
            <w:vAlign w:val="center"/>
          </w:tcPr>
          <w:p w14:paraId="39BB5D96" w14:textId="77777777" w:rsidR="007C26F4" w:rsidRPr="001158EA" w:rsidRDefault="007C26F4" w:rsidP="002F4E86">
            <w:pPr>
              <w:jc w:val="center"/>
            </w:pPr>
            <w:r w:rsidRPr="001158EA">
              <w:t>69 012 – 115 020 EUR gadā</w:t>
            </w:r>
          </w:p>
          <w:p w14:paraId="64021B75" w14:textId="77777777" w:rsidR="007C26F4" w:rsidRPr="001158EA" w:rsidRDefault="007C26F4" w:rsidP="002F4E86">
            <w:pPr>
              <w:jc w:val="center"/>
            </w:pPr>
            <w:r w:rsidRPr="001158EA">
              <w:t>(3–5 jaunu darbinieku piesaistei).</w:t>
            </w:r>
            <w:r>
              <w:rPr>
                <w:rStyle w:val="FootnoteReference"/>
              </w:rPr>
              <w:footnoteReference w:id="20"/>
            </w:r>
          </w:p>
        </w:tc>
        <w:tc>
          <w:tcPr>
            <w:tcW w:w="3544" w:type="dxa"/>
          </w:tcPr>
          <w:p w14:paraId="3FE43AC9" w14:textId="77777777" w:rsidR="007C26F4" w:rsidRPr="001158EA" w:rsidRDefault="007C26F4" w:rsidP="002F4E86">
            <w:pPr>
              <w:jc w:val="center"/>
            </w:pPr>
            <w:r>
              <w:t>Līdz 2</w:t>
            </w:r>
            <w:r w:rsidRPr="001158EA">
              <w:t>5</w:t>
            </w:r>
            <w:r>
              <w:t>0</w:t>
            </w:r>
            <w:r w:rsidRPr="001158EA">
              <w:t xml:space="preserve"> 0</w:t>
            </w:r>
            <w:r>
              <w:t>0</w:t>
            </w:r>
            <w:r w:rsidRPr="001158EA">
              <w:t>0 EUR gadā</w:t>
            </w:r>
            <w:r>
              <w:t xml:space="preserve"> pirmajos 3 darbības gados </w:t>
            </w:r>
          </w:p>
          <w:p w14:paraId="31AFFE59" w14:textId="77777777" w:rsidR="007C26F4" w:rsidRDefault="007C26F4" w:rsidP="002F4E86">
            <w:pPr>
              <w:jc w:val="center"/>
            </w:pPr>
            <w:r w:rsidRPr="001158EA">
              <w:t>(</w:t>
            </w:r>
            <w:r>
              <w:t xml:space="preserve">līdz </w:t>
            </w:r>
            <w:r w:rsidRPr="001158EA">
              <w:t>5 jaunu darbinieku piesaistei).</w:t>
            </w:r>
          </w:p>
          <w:p w14:paraId="47BD6131" w14:textId="77777777" w:rsidR="007C26F4" w:rsidRPr="001158EA" w:rsidRDefault="007C26F4" w:rsidP="002F4E86">
            <w:pPr>
              <w:jc w:val="center"/>
            </w:pPr>
            <w:r>
              <w:t>Turpmāk iespējama iestādes darbība pašfinansēšanās modeļa ietvaros, saņemot 10% no atgūtajiem zaudējumiem.</w:t>
            </w:r>
          </w:p>
        </w:tc>
        <w:tc>
          <w:tcPr>
            <w:tcW w:w="4111" w:type="dxa"/>
            <w:vAlign w:val="center"/>
          </w:tcPr>
          <w:p w14:paraId="47466BDE" w14:textId="77777777" w:rsidR="007C26F4" w:rsidRPr="001158EA" w:rsidRDefault="007C26F4" w:rsidP="002F4E86">
            <w:pPr>
              <w:jc w:val="center"/>
            </w:pPr>
            <w:r w:rsidRPr="001158EA">
              <w:t>Atkarīgs no konkrētā zvērinātā advokāta, bet visu vai daļēju honorāra apmēru var piedzīt no pretējās puses. Ar klientu var arī vienoties par veiksmes atlīdzību (</w:t>
            </w:r>
            <w:proofErr w:type="spellStart"/>
            <w:r w:rsidRPr="001158EA">
              <w:rPr>
                <w:i/>
                <w:iCs/>
              </w:rPr>
              <w:t>success</w:t>
            </w:r>
            <w:proofErr w:type="spellEnd"/>
            <w:r w:rsidRPr="001158EA">
              <w:rPr>
                <w:i/>
                <w:iCs/>
              </w:rPr>
              <w:t xml:space="preserve"> </w:t>
            </w:r>
            <w:proofErr w:type="spellStart"/>
            <w:r w:rsidRPr="001158EA">
              <w:rPr>
                <w:i/>
                <w:iCs/>
              </w:rPr>
              <w:t>fee</w:t>
            </w:r>
            <w:proofErr w:type="spellEnd"/>
            <w:r w:rsidRPr="001158EA">
              <w:t>), kas nozīmē, ka par pakalpojumu ir jāmaksā tikai gadījumā, ja lieta tiek uzvarēta.</w:t>
            </w:r>
          </w:p>
        </w:tc>
      </w:tr>
      <w:tr w:rsidR="007C26F4" w:rsidRPr="00576AB4" w14:paraId="7C47830B" w14:textId="77777777" w:rsidTr="002A2360">
        <w:trPr>
          <w:trHeight w:val="686"/>
          <w:jc w:val="center"/>
        </w:trPr>
        <w:tc>
          <w:tcPr>
            <w:tcW w:w="1838" w:type="dxa"/>
            <w:vAlign w:val="center"/>
          </w:tcPr>
          <w:p w14:paraId="1BFF31B0" w14:textId="77777777" w:rsidR="007C26F4" w:rsidRPr="001158EA" w:rsidRDefault="007C26F4" w:rsidP="002F4E86">
            <w:pPr>
              <w:jc w:val="center"/>
              <w:rPr>
                <w:b/>
                <w:bCs/>
              </w:rPr>
            </w:pPr>
            <w:r w:rsidRPr="001158EA">
              <w:rPr>
                <w:b/>
                <w:bCs/>
              </w:rPr>
              <w:t>Citas priekšrocības</w:t>
            </w:r>
          </w:p>
        </w:tc>
        <w:tc>
          <w:tcPr>
            <w:tcW w:w="3543" w:type="dxa"/>
            <w:vAlign w:val="center"/>
          </w:tcPr>
          <w:p w14:paraId="2821ED4D" w14:textId="77777777" w:rsidR="007C26F4" w:rsidRPr="001158EA" w:rsidRDefault="007C26F4" w:rsidP="002F4E86">
            <w:r w:rsidRPr="001158EA">
              <w:t>Tā ir atbrīvota no tiesas izdevumu samaksas (CPL 43. panta pirmās daļas 5. punkts).</w:t>
            </w:r>
          </w:p>
          <w:p w14:paraId="38997DF0" w14:textId="77777777" w:rsidR="007C26F4" w:rsidRPr="001158EA" w:rsidRDefault="007C26F4" w:rsidP="002F4E86">
            <w:r w:rsidRPr="001158EA">
              <w:t>Tai ir ilgstoša pieredze procesuālo un materiālo normu analīzē (CPL 484. pants).</w:t>
            </w:r>
          </w:p>
        </w:tc>
        <w:tc>
          <w:tcPr>
            <w:tcW w:w="3544" w:type="dxa"/>
          </w:tcPr>
          <w:p w14:paraId="7381274B" w14:textId="77777777" w:rsidR="007C26F4" w:rsidRDefault="007C26F4" w:rsidP="002F4E86">
            <w:pPr>
              <w:jc w:val="center"/>
            </w:pPr>
            <w:r>
              <w:t xml:space="preserve">Possessor </w:t>
            </w:r>
            <w:r w:rsidRPr="001158EA">
              <w:t xml:space="preserve">ir tiesāšanās pieredze </w:t>
            </w:r>
            <w:r>
              <w:t xml:space="preserve">un </w:t>
            </w:r>
            <w:r w:rsidRPr="001158EA">
              <w:t xml:space="preserve">zināšanas </w:t>
            </w:r>
            <w:r>
              <w:t>zaudējumu aprēķināšanā. Pastāv iespēja piesaistīt ārpakalpojuma sniedzēju sarežģītu tiesvedību gadījumos.</w:t>
            </w:r>
          </w:p>
          <w:p w14:paraId="3CCD508C" w14:textId="77777777" w:rsidR="007C26F4" w:rsidRPr="001158EA" w:rsidRDefault="007C26F4" w:rsidP="002F4E86">
            <w:pPr>
              <w:jc w:val="center"/>
            </w:pPr>
            <w:r>
              <w:t>Possessor piemīt resurss iestādes vispārējās darbības nodrošināšanai.</w:t>
            </w:r>
          </w:p>
        </w:tc>
        <w:tc>
          <w:tcPr>
            <w:tcW w:w="4111" w:type="dxa"/>
            <w:vAlign w:val="center"/>
          </w:tcPr>
          <w:p w14:paraId="2B97DEB5" w14:textId="77777777" w:rsidR="007C26F4" w:rsidRPr="001158EA" w:rsidRDefault="007C26F4" w:rsidP="002F4E86">
            <w:r w:rsidRPr="001158EA">
              <w:t xml:space="preserve">Zvērinātiem advokātiem ir tiesāšanās pieredze, zināšanas tiesvedības procesos un to praktiskajā norisē, tiesāšanās taktikas izstrādē, pierādījumu iegūšanā un noformēšanā, zināšanas par procesuālajiem termiņiem, procesuālajiem līdzekļiem, kā un kad to pielietot, kādus pierādījumus izmantot, kā arī prasības apmierināšanas vai daļējas apmierināšanas gadījumā honorāru piedzen no pretējās puses. </w:t>
            </w:r>
          </w:p>
        </w:tc>
      </w:tr>
      <w:tr w:rsidR="007C26F4" w:rsidRPr="00576AB4" w14:paraId="594911A5" w14:textId="77777777" w:rsidTr="002A2360">
        <w:trPr>
          <w:trHeight w:val="686"/>
          <w:jc w:val="center"/>
        </w:trPr>
        <w:tc>
          <w:tcPr>
            <w:tcW w:w="1838" w:type="dxa"/>
            <w:vAlign w:val="center"/>
          </w:tcPr>
          <w:p w14:paraId="5E7B2D2A" w14:textId="77777777" w:rsidR="007C26F4" w:rsidRPr="001158EA" w:rsidRDefault="007C26F4" w:rsidP="002F4E86">
            <w:pPr>
              <w:jc w:val="center"/>
              <w:rPr>
                <w:b/>
                <w:bCs/>
              </w:rPr>
            </w:pPr>
            <w:r w:rsidRPr="001158EA">
              <w:rPr>
                <w:b/>
                <w:bCs/>
              </w:rPr>
              <w:t>Citi trūkumi</w:t>
            </w:r>
          </w:p>
        </w:tc>
        <w:tc>
          <w:tcPr>
            <w:tcW w:w="3543" w:type="dxa"/>
            <w:vAlign w:val="center"/>
          </w:tcPr>
          <w:p w14:paraId="36807AF3" w14:textId="77777777" w:rsidR="007C26F4" w:rsidRPr="001158EA" w:rsidRDefault="007C26F4" w:rsidP="002F4E86">
            <w:r w:rsidRPr="001158EA">
              <w:t xml:space="preserve">Nav pieredzes tamlīdzīgu prasību pilnīgā īstenošanā. </w:t>
            </w:r>
          </w:p>
        </w:tc>
        <w:tc>
          <w:tcPr>
            <w:tcW w:w="3544" w:type="dxa"/>
            <w:vAlign w:val="center"/>
          </w:tcPr>
          <w:p w14:paraId="79F99C2F" w14:textId="77777777" w:rsidR="007C26F4" w:rsidRPr="001158EA" w:rsidRDefault="007C26F4" w:rsidP="002F4E86">
            <w:pPr>
              <w:jc w:val="center"/>
            </w:pPr>
            <w:r>
              <w:t>Trūkumi nav saskatāmi.</w:t>
            </w:r>
          </w:p>
        </w:tc>
        <w:tc>
          <w:tcPr>
            <w:tcW w:w="4111" w:type="dxa"/>
            <w:vAlign w:val="center"/>
          </w:tcPr>
          <w:p w14:paraId="77E9A418" w14:textId="77777777" w:rsidR="007C26F4" w:rsidRPr="001158EA" w:rsidRDefault="007C26F4" w:rsidP="002F4E86">
            <w:r w:rsidRPr="001158EA">
              <w:t>Salīdzinoši neliels skaits advokātu ir specializējušies tieši zaudējumu piedziņai par konkurences tiesību pārkāpumu, kas varētu radīt interešu konflikta situācijas (taču šī sakarā nav saredzama praktiska problēma nepieciešamības gadījumā piesaistīt citu zvērinātu advokātu).</w:t>
            </w:r>
          </w:p>
        </w:tc>
      </w:tr>
      <w:bookmarkEnd w:id="2"/>
    </w:tbl>
    <w:p w14:paraId="1DC56093" w14:textId="77777777" w:rsidR="00F50EF2" w:rsidRPr="007D790F" w:rsidRDefault="00F50EF2" w:rsidP="007D790F">
      <w:pPr>
        <w:spacing w:after="0" w:line="240" w:lineRule="auto"/>
        <w:jc w:val="both"/>
        <w:rPr>
          <w:rFonts w:ascii="Times New Roman" w:hAnsi="Times New Roman" w:cs="Times New Roman"/>
          <w:sz w:val="24"/>
          <w:szCs w:val="24"/>
        </w:rPr>
      </w:pPr>
    </w:p>
    <w:sectPr w:rsidR="00F50EF2" w:rsidRPr="007D790F" w:rsidSect="009257C5">
      <w:footerReference w:type="default" r:id="rId9"/>
      <w:pgSz w:w="16838" w:h="11906" w:orient="landscape"/>
      <w:pgMar w:top="1800" w:right="1440" w:bottom="180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88293A" w14:textId="77777777" w:rsidR="007F5A07" w:rsidRDefault="007F5A07" w:rsidP="00DC15A4">
      <w:pPr>
        <w:spacing w:after="0" w:line="240" w:lineRule="auto"/>
      </w:pPr>
      <w:r>
        <w:separator/>
      </w:r>
    </w:p>
  </w:endnote>
  <w:endnote w:type="continuationSeparator" w:id="0">
    <w:p w14:paraId="7DFE9216" w14:textId="77777777" w:rsidR="007F5A07" w:rsidRDefault="007F5A07" w:rsidP="00DC15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5123EB" w14:textId="77777777" w:rsidR="00F50EF2" w:rsidRPr="00540A4D" w:rsidRDefault="00F50EF2">
    <w:pPr>
      <w:pStyle w:val="Footer"/>
      <w:jc w:val="center"/>
      <w:rPr>
        <w:rFonts w:cs="Times New Roman"/>
        <w:caps/>
      </w:rPr>
    </w:pPr>
    <w:r w:rsidRPr="00540A4D">
      <w:rPr>
        <w:rFonts w:cs="Times New Roman"/>
        <w:caps/>
      </w:rPr>
      <w:fldChar w:fldCharType="begin"/>
    </w:r>
    <w:r w:rsidRPr="00540A4D">
      <w:rPr>
        <w:rFonts w:cs="Times New Roman"/>
        <w:caps/>
      </w:rPr>
      <w:instrText>PAGE   \* MERGEFORMAT</w:instrText>
    </w:r>
    <w:r w:rsidRPr="00540A4D">
      <w:rPr>
        <w:rFonts w:cs="Times New Roman"/>
        <w:caps/>
      </w:rPr>
      <w:fldChar w:fldCharType="separate"/>
    </w:r>
    <w:r w:rsidRPr="00540A4D">
      <w:rPr>
        <w:rFonts w:cs="Times New Roman"/>
        <w:caps/>
      </w:rPr>
      <w:t>2</w:t>
    </w:r>
    <w:r w:rsidRPr="00540A4D">
      <w:rPr>
        <w:rFonts w:cs="Times New Roman"/>
        <w:caps/>
      </w:rPr>
      <w:fldChar w:fldCharType="end"/>
    </w:r>
  </w:p>
  <w:p w14:paraId="69DBCE5A" w14:textId="77777777" w:rsidR="00F50EF2" w:rsidRDefault="00F50EF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66A9B5" w14:textId="77777777" w:rsidR="007F5A07" w:rsidRDefault="007F5A07" w:rsidP="00DC15A4">
      <w:pPr>
        <w:spacing w:after="0" w:line="240" w:lineRule="auto"/>
      </w:pPr>
      <w:r>
        <w:separator/>
      </w:r>
    </w:p>
  </w:footnote>
  <w:footnote w:type="continuationSeparator" w:id="0">
    <w:p w14:paraId="12C6720D" w14:textId="77777777" w:rsidR="007F5A07" w:rsidRDefault="007F5A07" w:rsidP="00DC15A4">
      <w:pPr>
        <w:spacing w:after="0" w:line="240" w:lineRule="auto"/>
      </w:pPr>
      <w:r>
        <w:continuationSeparator/>
      </w:r>
    </w:p>
  </w:footnote>
  <w:footnote w:id="1">
    <w:p w14:paraId="3E8AC28F" w14:textId="77777777" w:rsidR="00F50EF2" w:rsidRPr="00477C8B" w:rsidRDefault="00F50EF2" w:rsidP="00B066F9">
      <w:pPr>
        <w:pStyle w:val="FootnoteText"/>
      </w:pPr>
      <w:r w:rsidRPr="00477C8B">
        <w:rPr>
          <w:rStyle w:val="FootnoteReference"/>
        </w:rPr>
        <w:footnoteRef/>
      </w:r>
      <w:r w:rsidRPr="00477C8B">
        <w:t xml:space="preserve"> Avots: Ģenerālprokuratūras 05.11.2021. vēstule Nr. N-101-2021-00459.</w:t>
      </w:r>
    </w:p>
  </w:footnote>
  <w:footnote w:id="2">
    <w:p w14:paraId="6C56BBA4" w14:textId="77777777" w:rsidR="00F50EF2" w:rsidRPr="00477C8B" w:rsidRDefault="00F50EF2" w:rsidP="00850F5B">
      <w:pPr>
        <w:pStyle w:val="FootnoteText"/>
      </w:pPr>
      <w:r w:rsidRPr="00477C8B">
        <w:rPr>
          <w:rStyle w:val="FootnoteReference"/>
        </w:rPr>
        <w:footnoteRef/>
      </w:r>
      <w:r w:rsidRPr="00477C8B">
        <w:t xml:space="preserve"> Avots: Possessor sniegtā informācija 17.05.2022., 26.05.2022. un XX.08.2022. tikšanos ar EM un KP laikā.</w:t>
      </w:r>
    </w:p>
  </w:footnote>
  <w:footnote w:id="3">
    <w:p w14:paraId="56697EA9" w14:textId="77777777" w:rsidR="00F50EF2" w:rsidRPr="00477C8B" w:rsidRDefault="00F50EF2" w:rsidP="00B066F9">
      <w:pPr>
        <w:pStyle w:val="FootnoteText"/>
      </w:pPr>
      <w:r w:rsidRPr="00477C8B">
        <w:rPr>
          <w:rStyle w:val="FootnoteReference"/>
        </w:rPr>
        <w:footnoteRef/>
      </w:r>
      <w:r w:rsidRPr="00477C8B">
        <w:t xml:space="preserve"> Avots: Latvijas Zvērinātu advokātu kolēģijas pārstāvja zvērināta advokāta Artūra Spīguļa (turpmāk – ZAP) 03.11.2021. atbildes vēstule uz KP 28.10.2021. vēstuli Nr. 1.7-1/1430.</w:t>
      </w:r>
    </w:p>
  </w:footnote>
  <w:footnote w:id="4">
    <w:p w14:paraId="282CEB71" w14:textId="77777777" w:rsidR="00F50EF2" w:rsidRPr="00477C8B" w:rsidRDefault="00F50EF2" w:rsidP="00B066F9">
      <w:pPr>
        <w:pStyle w:val="FootnoteText"/>
      </w:pPr>
      <w:r w:rsidRPr="00477C8B">
        <w:rPr>
          <w:rStyle w:val="FootnoteReference"/>
        </w:rPr>
        <w:footnoteRef/>
      </w:r>
      <w:r w:rsidRPr="00477C8B">
        <w:t xml:space="preserve"> </w:t>
      </w:r>
      <w:hyperlink r:id="rId1" w:history="1">
        <w:r w:rsidRPr="00477C8B">
          <w:rPr>
            <w:rStyle w:val="Hyperlink"/>
          </w:rPr>
          <w:t>https://advokatura.lv/lv/zverinati-advokati/pec-specializacijas/4/</w:t>
        </w:r>
      </w:hyperlink>
      <w:r w:rsidRPr="00477C8B">
        <w:t xml:space="preserve"> </w:t>
      </w:r>
    </w:p>
  </w:footnote>
  <w:footnote w:id="5">
    <w:p w14:paraId="797E400B" w14:textId="77777777" w:rsidR="008D0C21" w:rsidRPr="00A10D9D" w:rsidRDefault="008D0C21" w:rsidP="008D0C21">
      <w:pPr>
        <w:pStyle w:val="FootnoteText"/>
      </w:pPr>
      <w:r w:rsidRPr="00A10D9D">
        <w:rPr>
          <w:rStyle w:val="FootnoteReference"/>
        </w:rPr>
        <w:footnoteRef/>
      </w:r>
      <w:r w:rsidRPr="00A10D9D">
        <w:t xml:space="preserve"> Avots: Valsts kontroles 09.11.2021. vēstule Nr. 14-3.5.4.1e/210.</w:t>
      </w:r>
    </w:p>
  </w:footnote>
  <w:footnote w:id="6">
    <w:p w14:paraId="7B6BEE23" w14:textId="77777777" w:rsidR="008D0C21" w:rsidRPr="00A10D9D" w:rsidRDefault="008D0C21" w:rsidP="008D0C21">
      <w:pPr>
        <w:pStyle w:val="FootnoteText"/>
      </w:pPr>
      <w:r w:rsidRPr="00A10D9D">
        <w:rPr>
          <w:rStyle w:val="FootnoteReference"/>
        </w:rPr>
        <w:footnoteRef/>
      </w:r>
      <w:r w:rsidRPr="00A10D9D">
        <w:t xml:space="preserve"> Valsts kontroles likuma 1. un 2.</w:t>
      </w:r>
      <w:r>
        <w:t xml:space="preserve"> </w:t>
      </w:r>
      <w:r w:rsidRPr="00A10D9D">
        <w:t>pants</w:t>
      </w:r>
    </w:p>
  </w:footnote>
  <w:footnote w:id="7">
    <w:p w14:paraId="769BB690" w14:textId="77777777" w:rsidR="008D0C21" w:rsidRPr="00A10D9D" w:rsidRDefault="008D0C21" w:rsidP="008D0C21">
      <w:pPr>
        <w:pStyle w:val="FootnoteText"/>
      </w:pPr>
      <w:r w:rsidRPr="00A10D9D">
        <w:rPr>
          <w:rStyle w:val="FootnoteReference"/>
        </w:rPr>
        <w:footnoteRef/>
      </w:r>
      <w:r w:rsidRPr="00A10D9D">
        <w:t xml:space="preserve"> Skatīt Valsts kontroles likuma 3., 57.</w:t>
      </w:r>
      <w:r w:rsidRPr="00A10D9D">
        <w:rPr>
          <w:vertAlign w:val="superscript"/>
        </w:rPr>
        <w:t>1</w:t>
      </w:r>
      <w:r>
        <w:rPr>
          <w:vertAlign w:val="superscript"/>
        </w:rPr>
        <w:t xml:space="preserve"> </w:t>
      </w:r>
      <w:r w:rsidRPr="00A10D9D">
        <w:t xml:space="preserve">pantu. </w:t>
      </w:r>
    </w:p>
  </w:footnote>
  <w:footnote w:id="8">
    <w:p w14:paraId="4EB7AA46" w14:textId="77777777" w:rsidR="008D0C21" w:rsidRPr="00A10D9D" w:rsidRDefault="008D0C21" w:rsidP="008D0C21">
      <w:pPr>
        <w:pStyle w:val="FootnoteText"/>
      </w:pPr>
      <w:r w:rsidRPr="00A10D9D">
        <w:rPr>
          <w:rStyle w:val="FootnoteReference"/>
        </w:rPr>
        <w:footnoteRef/>
      </w:r>
      <w:r w:rsidRPr="00A10D9D">
        <w:t xml:space="preserve"> Skatīt: Lima Declaration of Guidelines on Auditing Precepts. International Organization of Supreme Audit Institutions (INTOSAI). Latviešu valodā pieejama Valsts kontroles mājaslapā: </w:t>
      </w:r>
      <w:hyperlink r:id="rId2" w:history="1">
        <w:r w:rsidRPr="00A10D9D">
          <w:rPr>
            <w:rStyle w:val="Hyperlink"/>
          </w:rPr>
          <w:t>https://www.lrvk.gov.lv/uploads/files/Dokumenti/Par%20mums/Normat%C4%ABvie%20akti/Standarti/P1_Limas_deklaracija_LV.pdf</w:t>
        </w:r>
      </w:hyperlink>
      <w:r w:rsidRPr="00A10D9D">
        <w:t xml:space="preserve"> </w:t>
      </w:r>
    </w:p>
  </w:footnote>
  <w:footnote w:id="9">
    <w:p w14:paraId="770C11EC" w14:textId="77777777" w:rsidR="008D0C21" w:rsidRPr="00A10D9D" w:rsidRDefault="008D0C21" w:rsidP="008D0C21">
      <w:pPr>
        <w:pStyle w:val="FootnoteText"/>
        <w:rPr>
          <w:i/>
          <w:iCs/>
        </w:rPr>
      </w:pPr>
      <w:r w:rsidRPr="00A10D9D">
        <w:rPr>
          <w:rStyle w:val="FootnoteReference"/>
        </w:rPr>
        <w:footnoteRef/>
      </w:r>
      <w:r w:rsidRPr="00A10D9D">
        <w:t xml:space="preserve"> ANO Ģenerālās asamblejas </w:t>
      </w:r>
      <w:r>
        <w:t xml:space="preserve">19.12.2014. </w:t>
      </w:r>
      <w:r w:rsidRPr="00A10D9D">
        <w:t>rezolūcija Nr.</w:t>
      </w:r>
      <w:r>
        <w:t xml:space="preserve"> </w:t>
      </w:r>
      <w:r w:rsidRPr="00A10D9D">
        <w:t>69/228 (</w:t>
      </w:r>
      <w:r w:rsidRPr="00A10D9D">
        <w:rPr>
          <w:i/>
          <w:iCs/>
        </w:rPr>
        <w:t>UN General Assembly Resolution A/69/228 “Promoting and fostering the efficiency, accountability, effectiveness and transparency of public administration by strengthening supreme audit institutions”)</w:t>
      </w:r>
    </w:p>
  </w:footnote>
  <w:footnote w:id="10">
    <w:p w14:paraId="25188A6A" w14:textId="77777777" w:rsidR="008D0C21" w:rsidRPr="00A10D9D" w:rsidRDefault="008D0C21" w:rsidP="008D0C21">
      <w:pPr>
        <w:pStyle w:val="FootnoteText"/>
      </w:pPr>
      <w:r w:rsidRPr="00A10D9D">
        <w:rPr>
          <w:rStyle w:val="FootnoteReference"/>
        </w:rPr>
        <w:footnoteRef/>
      </w:r>
      <w:r w:rsidRPr="00A10D9D">
        <w:t xml:space="preserve"> Valsts kontroles likuma 1.</w:t>
      </w:r>
      <w:r>
        <w:t xml:space="preserve"> </w:t>
      </w:r>
      <w:r w:rsidRPr="00A10D9D">
        <w:t>pants.</w:t>
      </w:r>
    </w:p>
  </w:footnote>
  <w:footnote w:id="11">
    <w:p w14:paraId="3982CBC4" w14:textId="77777777" w:rsidR="008D0C21" w:rsidRPr="00A10D9D" w:rsidRDefault="008D0C21" w:rsidP="008D0C21">
      <w:pPr>
        <w:pStyle w:val="FootnoteText"/>
      </w:pPr>
      <w:r w:rsidRPr="00A10D9D">
        <w:rPr>
          <w:rStyle w:val="FootnoteReference"/>
        </w:rPr>
        <w:footnoteRef/>
      </w:r>
      <w:r w:rsidRPr="00A10D9D">
        <w:t xml:space="preserve"> </w:t>
      </w:r>
      <w:r w:rsidRPr="00A10D9D">
        <w:rPr>
          <w:i/>
          <w:iCs/>
        </w:rPr>
        <w:t>Lima Declaration of Guidelines on Auditing Precepts, Section 5. INTOSAI. </w:t>
      </w:r>
    </w:p>
  </w:footnote>
  <w:footnote w:id="12">
    <w:p w14:paraId="69CFEE13" w14:textId="77777777" w:rsidR="008D0C21" w:rsidRPr="00A10D9D" w:rsidRDefault="008D0C21" w:rsidP="008D0C21">
      <w:pPr>
        <w:pStyle w:val="FootnoteText"/>
      </w:pPr>
      <w:r w:rsidRPr="00A10D9D">
        <w:rPr>
          <w:rStyle w:val="FootnoteReference"/>
        </w:rPr>
        <w:footnoteRef/>
      </w:r>
      <w:r w:rsidRPr="00A10D9D">
        <w:t xml:space="preserve"> </w:t>
      </w:r>
      <w:r w:rsidRPr="00A10D9D">
        <w:rPr>
          <w:i/>
          <w:iCs/>
        </w:rPr>
        <w:t>Mexico Declaration on SAI independence, Princple 1.</w:t>
      </w:r>
      <w:r w:rsidRPr="00A10D9D">
        <w:t> </w:t>
      </w:r>
      <w:r w:rsidRPr="00A10D9D">
        <w:rPr>
          <w:i/>
          <w:iCs/>
        </w:rPr>
        <w:t>INTOSAI. </w:t>
      </w:r>
      <w:r w:rsidRPr="00A10D9D">
        <w:t xml:space="preserve">Latviešu valodā pieejama Valsts kontroles mājaslapā: </w:t>
      </w:r>
      <w:hyperlink r:id="rId3" w:history="1">
        <w:r w:rsidRPr="00A10D9D">
          <w:rPr>
            <w:rStyle w:val="Hyperlink"/>
          </w:rPr>
          <w:t>https://www.lrvk.gov.lv/uploads/files/Dokumenti/Par%20mums/Normat%C4%ABvie%20akti/Standarti/1.3.Intosai_P12_final.pdf</w:t>
        </w:r>
      </w:hyperlink>
      <w:r w:rsidRPr="00A10D9D">
        <w:t xml:space="preserve"> </w:t>
      </w:r>
    </w:p>
  </w:footnote>
  <w:footnote w:id="13">
    <w:p w14:paraId="68ED40DE" w14:textId="77777777" w:rsidR="008D0C21" w:rsidRPr="00A10D9D" w:rsidRDefault="008D0C21" w:rsidP="008D0C21">
      <w:pPr>
        <w:pStyle w:val="FootnoteText"/>
      </w:pPr>
      <w:r w:rsidRPr="00A10D9D">
        <w:rPr>
          <w:rStyle w:val="FootnoteReference"/>
        </w:rPr>
        <w:footnoteRef/>
      </w:r>
      <w:r w:rsidRPr="00A10D9D">
        <w:t xml:space="preserve"> Valsts kontroles likuma 69.</w:t>
      </w:r>
      <w:r>
        <w:t xml:space="preserve"> </w:t>
      </w:r>
      <w:r w:rsidRPr="00A10D9D">
        <w:t>pants.</w:t>
      </w:r>
    </w:p>
  </w:footnote>
  <w:footnote w:id="14">
    <w:p w14:paraId="70DE690D" w14:textId="77777777" w:rsidR="008D0C21" w:rsidRPr="00A10D9D" w:rsidRDefault="008D0C21" w:rsidP="008D0C21">
      <w:pPr>
        <w:pStyle w:val="FootnoteText"/>
      </w:pPr>
      <w:r w:rsidRPr="00A10D9D">
        <w:rPr>
          <w:rStyle w:val="FootnoteReference"/>
        </w:rPr>
        <w:footnoteRef/>
      </w:r>
      <w:r w:rsidRPr="00A10D9D">
        <w:t xml:space="preserve"> Valsts kontroles likuma XIV nodaļas noteikumi nav piemērojami attiecībā uz revīzijām, kuras uzsāktas līdz </w:t>
      </w:r>
      <w:r>
        <w:t>31.07.2019.</w:t>
      </w:r>
    </w:p>
  </w:footnote>
  <w:footnote w:id="15">
    <w:p w14:paraId="1F7100D9" w14:textId="77777777" w:rsidR="008D0C21" w:rsidRPr="00A10D9D" w:rsidRDefault="008D0C21" w:rsidP="008D0C21">
      <w:pPr>
        <w:pStyle w:val="FootnoteText"/>
      </w:pPr>
      <w:r w:rsidRPr="00A10D9D">
        <w:rPr>
          <w:rStyle w:val="FootnoteReference"/>
        </w:rPr>
        <w:footnoteRef/>
      </w:r>
      <w:r w:rsidRPr="00A10D9D">
        <w:t xml:space="preserve"> Valsts kontroles likuma 70.</w:t>
      </w:r>
      <w:r>
        <w:t xml:space="preserve"> </w:t>
      </w:r>
      <w:r w:rsidRPr="00A10D9D">
        <w:t>pants.</w:t>
      </w:r>
    </w:p>
  </w:footnote>
  <w:footnote w:id="16">
    <w:p w14:paraId="4D3A58AD" w14:textId="77777777" w:rsidR="008D0C21" w:rsidRPr="00A10D9D" w:rsidRDefault="008D0C21" w:rsidP="008D0C21">
      <w:pPr>
        <w:pStyle w:val="FootnoteText"/>
      </w:pPr>
      <w:r w:rsidRPr="00A10D9D">
        <w:rPr>
          <w:rStyle w:val="FootnoteReference"/>
        </w:rPr>
        <w:footnoteRef/>
      </w:r>
      <w:r w:rsidRPr="00A10D9D">
        <w:t xml:space="preserve"> Valsts kontroles likuma 75.</w:t>
      </w:r>
      <w:r>
        <w:t xml:space="preserve"> </w:t>
      </w:r>
      <w:r w:rsidRPr="00A10D9D">
        <w:t>panta 4.</w:t>
      </w:r>
      <w:r>
        <w:t xml:space="preserve"> </w:t>
      </w:r>
      <w:r w:rsidRPr="00A10D9D">
        <w:t>punkts, Publiskas personas finanšu līdzekļu un mantas izšķērdēšanas novēršanas likuma 15.</w:t>
      </w:r>
      <w:r>
        <w:t xml:space="preserve"> </w:t>
      </w:r>
      <w:r w:rsidRPr="00A10D9D">
        <w:t>pants.</w:t>
      </w:r>
    </w:p>
  </w:footnote>
  <w:footnote w:id="17">
    <w:p w14:paraId="5268C880" w14:textId="77777777" w:rsidR="008D0C21" w:rsidRPr="00A10D9D" w:rsidRDefault="008D0C21" w:rsidP="008D0C21">
      <w:pPr>
        <w:pStyle w:val="FootnoteText"/>
      </w:pPr>
      <w:r w:rsidRPr="00A10D9D">
        <w:rPr>
          <w:rStyle w:val="FootnoteReference"/>
        </w:rPr>
        <w:footnoteRef/>
      </w:r>
      <w:r w:rsidRPr="00A10D9D">
        <w:t xml:space="preserve"> Valsts kontroles likuma 72.</w:t>
      </w:r>
      <w:r>
        <w:t xml:space="preserve"> </w:t>
      </w:r>
      <w:r w:rsidRPr="00A10D9D">
        <w:t>pants.</w:t>
      </w:r>
    </w:p>
  </w:footnote>
  <w:footnote w:id="18">
    <w:p w14:paraId="18E0C6AC" w14:textId="77777777" w:rsidR="008D0C21" w:rsidRPr="00A10D9D" w:rsidRDefault="008D0C21" w:rsidP="008D0C21">
      <w:pPr>
        <w:pStyle w:val="FootnoteText"/>
      </w:pPr>
      <w:r w:rsidRPr="00A10D9D">
        <w:rPr>
          <w:rStyle w:val="FootnoteReference"/>
        </w:rPr>
        <w:footnoteRef/>
      </w:r>
      <w:r w:rsidRPr="00A10D9D">
        <w:t xml:space="preserve"> Valsts kontroles likuma 72.</w:t>
      </w:r>
      <w:r>
        <w:t xml:space="preserve"> </w:t>
      </w:r>
      <w:r w:rsidRPr="00A10D9D">
        <w:t>panta 2.</w:t>
      </w:r>
      <w:r>
        <w:t xml:space="preserve"> </w:t>
      </w:r>
      <w:r w:rsidRPr="00A10D9D">
        <w:t>punkts.</w:t>
      </w:r>
    </w:p>
  </w:footnote>
  <w:footnote w:id="19">
    <w:p w14:paraId="023264BE" w14:textId="77777777" w:rsidR="008D0C21" w:rsidRPr="00A10D9D" w:rsidRDefault="008D0C21" w:rsidP="008D0C21">
      <w:pPr>
        <w:pStyle w:val="FootnoteText"/>
      </w:pPr>
      <w:r w:rsidRPr="00A10D9D">
        <w:rPr>
          <w:rStyle w:val="FootnoteReference"/>
        </w:rPr>
        <w:footnoteRef/>
      </w:r>
      <w:r w:rsidRPr="00A10D9D">
        <w:t xml:space="preserve"> Valsts kontroles likuma 78.</w:t>
      </w:r>
      <w:r>
        <w:t xml:space="preserve"> </w:t>
      </w:r>
      <w:r w:rsidRPr="00A10D9D">
        <w:t>pants.</w:t>
      </w:r>
    </w:p>
  </w:footnote>
  <w:footnote w:id="20">
    <w:p w14:paraId="6336DA8E" w14:textId="77777777" w:rsidR="007C26F4" w:rsidRPr="00477C8B" w:rsidRDefault="007C26F4" w:rsidP="002A2360">
      <w:pPr>
        <w:pStyle w:val="FootnoteText"/>
        <w:jc w:val="both"/>
      </w:pPr>
      <w:r w:rsidRPr="00477C8B">
        <w:rPr>
          <w:rStyle w:val="FootnoteReference"/>
        </w:rPr>
        <w:footnoteRef/>
      </w:r>
      <w:r w:rsidRPr="00477C8B">
        <w:t xml:space="preserve"> Vienlaikus 20.12.2021. vēstulē Nr. </w:t>
      </w:r>
      <w:r w:rsidR="0097676A">
        <w:fldChar w:fldCharType="begin"/>
      </w:r>
      <w:r w:rsidR="0097676A">
        <w:instrText xml:space="preserve"> DOCPROPERTY  #DOC_NR</w:instrText>
      </w:r>
      <w:r w:rsidR="0097676A">
        <w:instrText xml:space="preserve">#  \* MERGEFORMAT </w:instrText>
      </w:r>
      <w:r w:rsidR="0097676A">
        <w:fldChar w:fldCharType="separate"/>
      </w:r>
      <w:r w:rsidRPr="00477C8B">
        <w:t>N-101-2021-00514</w:t>
      </w:r>
      <w:r w:rsidR="0097676A">
        <w:fldChar w:fldCharType="end"/>
      </w:r>
      <w:r w:rsidRPr="00477C8B">
        <w:t xml:space="preserve"> norāda, ka šobrīd, pieņemot darbā prokuratūrā speciālistus, iestāde ir ierobežota atalgojuma noteikšanā, tai jāvadās no Ministru kabineta 30.11.2010. noteikumiem Nr. 1075 “Valsts un pašvaldību institūciju amatu katalogs”, uz ko norādīts prokuratūras iesniegtajā pašvērtējumā. Augsti kvalificētus speciālistus ar šādu atalgojumu nav iespējams piesaistīt, līdz ar to būtu jāveic grozījumi normatīvajos aktos, vai šī funkcija jāiepērk no ārpakalpojuma sniedzējiem, kam līdzekļi prokuratūras budžetā nav paredzēti.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907826"/>
    <w:multiLevelType w:val="hybridMultilevel"/>
    <w:tmpl w:val="3CBE9A6C"/>
    <w:lvl w:ilvl="0" w:tplc="F8AC7CFE">
      <w:start w:val="1"/>
      <w:numFmt w:val="decimal"/>
      <w:lvlText w:val="%1"/>
      <w:lvlJc w:val="left"/>
      <w:pPr>
        <w:ind w:left="720" w:hanging="360"/>
      </w:pPr>
      <w:rPr>
        <w:rFonts w:hint="default"/>
      </w:rPr>
    </w:lvl>
    <w:lvl w:ilvl="1" w:tplc="96E091E2">
      <w:start w:val="1"/>
      <w:numFmt w:val="decimal"/>
      <w:lvlText w:val="%2)"/>
      <w:lvlJc w:val="left"/>
      <w:pPr>
        <w:ind w:left="567" w:hanging="567"/>
      </w:pPr>
      <w:rPr>
        <w:rFonts w:hint="default"/>
      </w:rPr>
    </w:lvl>
    <w:lvl w:ilvl="2" w:tplc="2A14A8CC">
      <w:start w:val="1"/>
      <w:numFmt w:val="lowerRoman"/>
      <w:lvlText w:val="%3."/>
      <w:lvlJc w:val="right"/>
      <w:pPr>
        <w:ind w:left="2160" w:hanging="180"/>
      </w:pPr>
      <w:rPr>
        <w:rFonts w:hint="default"/>
      </w:rPr>
    </w:lvl>
    <w:lvl w:ilvl="3" w:tplc="427E6204">
      <w:start w:val="1"/>
      <w:numFmt w:val="decimal"/>
      <w:lvlText w:val="%4."/>
      <w:lvlJc w:val="left"/>
      <w:pPr>
        <w:ind w:left="2880" w:hanging="360"/>
      </w:pPr>
      <w:rPr>
        <w:rFonts w:hint="default"/>
      </w:rPr>
    </w:lvl>
    <w:lvl w:ilvl="4" w:tplc="8C1EC6BA">
      <w:start w:val="1"/>
      <w:numFmt w:val="lowerLetter"/>
      <w:lvlText w:val="%5."/>
      <w:lvlJc w:val="left"/>
      <w:pPr>
        <w:ind w:left="3600" w:hanging="360"/>
      </w:pPr>
      <w:rPr>
        <w:rFonts w:hint="default"/>
      </w:rPr>
    </w:lvl>
    <w:lvl w:ilvl="5" w:tplc="44F4958E">
      <w:start w:val="1"/>
      <w:numFmt w:val="lowerRoman"/>
      <w:lvlText w:val="%6."/>
      <w:lvlJc w:val="right"/>
      <w:pPr>
        <w:ind w:left="4320" w:hanging="180"/>
      </w:pPr>
      <w:rPr>
        <w:rFonts w:hint="default"/>
      </w:rPr>
    </w:lvl>
    <w:lvl w:ilvl="6" w:tplc="CC28CB4C">
      <w:start w:val="1"/>
      <w:numFmt w:val="decimal"/>
      <w:lvlText w:val="%7."/>
      <w:lvlJc w:val="left"/>
      <w:pPr>
        <w:ind w:left="5040" w:hanging="360"/>
      </w:pPr>
      <w:rPr>
        <w:rFonts w:hint="default"/>
      </w:rPr>
    </w:lvl>
    <w:lvl w:ilvl="7" w:tplc="BD420618">
      <w:start w:val="1"/>
      <w:numFmt w:val="lowerLetter"/>
      <w:lvlText w:val="%8."/>
      <w:lvlJc w:val="left"/>
      <w:pPr>
        <w:ind w:left="5760" w:hanging="360"/>
      </w:pPr>
      <w:rPr>
        <w:rFonts w:hint="default"/>
      </w:rPr>
    </w:lvl>
    <w:lvl w:ilvl="8" w:tplc="0052855A">
      <w:start w:val="1"/>
      <w:numFmt w:val="lowerRoman"/>
      <w:lvlText w:val="%9."/>
      <w:lvlJc w:val="right"/>
      <w:pPr>
        <w:ind w:left="6480" w:hanging="180"/>
      </w:pPr>
      <w:rPr>
        <w:rFonts w:hint="default"/>
      </w:rPr>
    </w:lvl>
  </w:abstractNum>
  <w:abstractNum w:abstractNumId="1" w15:restartNumberingAfterBreak="0">
    <w:nsid w:val="2D3035D3"/>
    <w:multiLevelType w:val="hybridMultilevel"/>
    <w:tmpl w:val="49E2DA68"/>
    <w:lvl w:ilvl="0" w:tplc="04260011">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2" w15:restartNumberingAfterBreak="0">
    <w:nsid w:val="452140A7"/>
    <w:multiLevelType w:val="hybridMultilevel"/>
    <w:tmpl w:val="B210BC44"/>
    <w:lvl w:ilvl="0" w:tplc="214A7236">
      <w:start w:val="1"/>
      <w:numFmt w:val="decimal"/>
      <w:lvlText w:val="%1)"/>
      <w:lvlJc w:val="left"/>
      <w:pPr>
        <w:ind w:left="720" w:hanging="360"/>
      </w:pPr>
      <w:rPr>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51753603"/>
    <w:multiLevelType w:val="hybridMultilevel"/>
    <w:tmpl w:val="C61A79A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54B85DC3"/>
    <w:multiLevelType w:val="multilevel"/>
    <w:tmpl w:val="154ED64E"/>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num w:numId="1" w16cid:durableId="1519655939">
    <w:abstractNumId w:val="0"/>
  </w:num>
  <w:num w:numId="2" w16cid:durableId="1323504655">
    <w:abstractNumId w:val="1"/>
  </w:num>
  <w:num w:numId="3" w16cid:durableId="54818241">
    <w:abstractNumId w:val="4"/>
  </w:num>
  <w:num w:numId="4" w16cid:durableId="1912157012">
    <w:abstractNumId w:val="3"/>
  </w:num>
  <w:num w:numId="5" w16cid:durableId="20122953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0386"/>
    <w:rsid w:val="00000B2F"/>
    <w:rsid w:val="001A1790"/>
    <w:rsid w:val="001A7779"/>
    <w:rsid w:val="00250B42"/>
    <w:rsid w:val="002A2360"/>
    <w:rsid w:val="00330AC3"/>
    <w:rsid w:val="003D3A76"/>
    <w:rsid w:val="004824F7"/>
    <w:rsid w:val="004D0386"/>
    <w:rsid w:val="004E45AD"/>
    <w:rsid w:val="005F1519"/>
    <w:rsid w:val="00686616"/>
    <w:rsid w:val="007C26F4"/>
    <w:rsid w:val="007D790F"/>
    <w:rsid w:val="007F5A07"/>
    <w:rsid w:val="00893971"/>
    <w:rsid w:val="008A3AF4"/>
    <w:rsid w:val="008D0C21"/>
    <w:rsid w:val="008D7A16"/>
    <w:rsid w:val="009257C5"/>
    <w:rsid w:val="00960A21"/>
    <w:rsid w:val="0097676A"/>
    <w:rsid w:val="009B0E4F"/>
    <w:rsid w:val="00AE1772"/>
    <w:rsid w:val="00BC48A3"/>
    <w:rsid w:val="00CF15C1"/>
    <w:rsid w:val="00D076A2"/>
    <w:rsid w:val="00DC15A4"/>
    <w:rsid w:val="00E02EBD"/>
    <w:rsid w:val="00E2111E"/>
    <w:rsid w:val="00F50EF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DE1FDB"/>
  <w15:chartTrackingRefBased/>
  <w15:docId w15:val="{BB94472C-609F-4EDF-B60A-D086955E4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C48A3"/>
    <w:pPr>
      <w:keepNext/>
      <w:keepLines/>
      <w:numPr>
        <w:numId w:val="3"/>
      </w:numPr>
      <w:spacing w:before="360" w:after="120"/>
      <w:jc w:val="both"/>
      <w:outlineLvl w:val="0"/>
    </w:pPr>
    <w:rPr>
      <w:rFonts w:ascii="Times New Roman" w:eastAsiaTheme="majorEastAsia" w:hAnsi="Times New Roman" w:cstheme="majorBidi"/>
      <w:b/>
      <w:color w:val="2F5496" w:themeColor="accent1" w:themeShade="BF"/>
      <w:sz w:val="32"/>
      <w:szCs w:val="32"/>
    </w:rPr>
  </w:style>
  <w:style w:type="paragraph" w:styleId="Heading2">
    <w:name w:val="heading 2"/>
    <w:basedOn w:val="Normal"/>
    <w:next w:val="Normal"/>
    <w:link w:val="Heading2Char"/>
    <w:uiPriority w:val="9"/>
    <w:unhideWhenUsed/>
    <w:qFormat/>
    <w:rsid w:val="00BC48A3"/>
    <w:pPr>
      <w:keepNext/>
      <w:keepLines/>
      <w:numPr>
        <w:ilvl w:val="1"/>
        <w:numId w:val="3"/>
      </w:numPr>
      <w:spacing w:before="160" w:after="120"/>
      <w:jc w:val="both"/>
      <w:outlineLvl w:val="1"/>
    </w:pPr>
    <w:rPr>
      <w:rFonts w:ascii="Times New Roman" w:eastAsiaTheme="majorEastAsia" w:hAnsi="Times New Roman" w:cstheme="majorBidi"/>
      <w:b/>
      <w:sz w:val="28"/>
      <w:szCs w:val="26"/>
    </w:rPr>
  </w:style>
  <w:style w:type="paragraph" w:styleId="Heading3">
    <w:name w:val="heading 3"/>
    <w:basedOn w:val="Normal"/>
    <w:next w:val="Normal"/>
    <w:link w:val="Heading3Char"/>
    <w:uiPriority w:val="9"/>
    <w:unhideWhenUsed/>
    <w:qFormat/>
    <w:rsid w:val="00BC48A3"/>
    <w:pPr>
      <w:keepNext/>
      <w:keepLines/>
      <w:numPr>
        <w:ilvl w:val="2"/>
        <w:numId w:val="3"/>
      </w:numPr>
      <w:spacing w:before="40" w:after="0"/>
      <w:jc w:val="both"/>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BC48A3"/>
    <w:pPr>
      <w:keepNext/>
      <w:keepLines/>
      <w:numPr>
        <w:ilvl w:val="3"/>
        <w:numId w:val="3"/>
      </w:numPr>
      <w:spacing w:before="40" w:after="0"/>
      <w:jc w:val="both"/>
      <w:outlineLvl w:val="3"/>
    </w:pPr>
    <w:rPr>
      <w:rFonts w:asciiTheme="majorHAnsi" w:eastAsiaTheme="majorEastAsia" w:hAnsiTheme="majorHAnsi" w:cstheme="majorBidi"/>
      <w:i/>
      <w:iCs/>
      <w:color w:val="2F5496" w:themeColor="accent1" w:themeShade="BF"/>
      <w:sz w:val="24"/>
    </w:rPr>
  </w:style>
  <w:style w:type="paragraph" w:styleId="Heading5">
    <w:name w:val="heading 5"/>
    <w:basedOn w:val="Normal"/>
    <w:next w:val="Normal"/>
    <w:link w:val="Heading5Char"/>
    <w:uiPriority w:val="9"/>
    <w:semiHidden/>
    <w:unhideWhenUsed/>
    <w:qFormat/>
    <w:rsid w:val="00BC48A3"/>
    <w:pPr>
      <w:keepNext/>
      <w:keepLines/>
      <w:numPr>
        <w:ilvl w:val="4"/>
        <w:numId w:val="3"/>
      </w:numPr>
      <w:spacing w:before="40" w:after="0"/>
      <w:jc w:val="both"/>
      <w:outlineLvl w:val="4"/>
    </w:pPr>
    <w:rPr>
      <w:rFonts w:asciiTheme="majorHAnsi" w:eastAsiaTheme="majorEastAsia" w:hAnsiTheme="majorHAnsi" w:cstheme="majorBidi"/>
      <w:color w:val="2F5496" w:themeColor="accent1" w:themeShade="BF"/>
      <w:sz w:val="24"/>
    </w:rPr>
  </w:style>
  <w:style w:type="paragraph" w:styleId="Heading6">
    <w:name w:val="heading 6"/>
    <w:basedOn w:val="Normal"/>
    <w:next w:val="Normal"/>
    <w:link w:val="Heading6Char"/>
    <w:uiPriority w:val="9"/>
    <w:semiHidden/>
    <w:unhideWhenUsed/>
    <w:qFormat/>
    <w:rsid w:val="00BC48A3"/>
    <w:pPr>
      <w:keepNext/>
      <w:keepLines/>
      <w:numPr>
        <w:ilvl w:val="5"/>
        <w:numId w:val="3"/>
      </w:numPr>
      <w:spacing w:before="40" w:after="0"/>
      <w:jc w:val="both"/>
      <w:outlineLvl w:val="5"/>
    </w:pPr>
    <w:rPr>
      <w:rFonts w:asciiTheme="majorHAnsi" w:eastAsiaTheme="majorEastAsia" w:hAnsiTheme="majorHAnsi" w:cstheme="majorBidi"/>
      <w:color w:val="1F3763" w:themeColor="accent1" w:themeShade="7F"/>
      <w:sz w:val="24"/>
    </w:rPr>
  </w:style>
  <w:style w:type="paragraph" w:styleId="Heading7">
    <w:name w:val="heading 7"/>
    <w:basedOn w:val="Normal"/>
    <w:next w:val="Normal"/>
    <w:link w:val="Heading7Char"/>
    <w:uiPriority w:val="9"/>
    <w:semiHidden/>
    <w:unhideWhenUsed/>
    <w:qFormat/>
    <w:rsid w:val="00BC48A3"/>
    <w:pPr>
      <w:keepNext/>
      <w:keepLines/>
      <w:numPr>
        <w:ilvl w:val="6"/>
        <w:numId w:val="3"/>
      </w:numPr>
      <w:spacing w:before="40" w:after="0"/>
      <w:jc w:val="both"/>
      <w:outlineLvl w:val="6"/>
    </w:pPr>
    <w:rPr>
      <w:rFonts w:asciiTheme="majorHAnsi" w:eastAsiaTheme="majorEastAsia" w:hAnsiTheme="majorHAnsi" w:cstheme="majorBidi"/>
      <w:i/>
      <w:iCs/>
      <w:color w:val="1F3763" w:themeColor="accent1" w:themeShade="7F"/>
      <w:sz w:val="24"/>
    </w:rPr>
  </w:style>
  <w:style w:type="paragraph" w:styleId="Heading8">
    <w:name w:val="heading 8"/>
    <w:basedOn w:val="Normal"/>
    <w:next w:val="Normal"/>
    <w:link w:val="Heading8Char"/>
    <w:uiPriority w:val="9"/>
    <w:semiHidden/>
    <w:unhideWhenUsed/>
    <w:qFormat/>
    <w:rsid w:val="00BC48A3"/>
    <w:pPr>
      <w:keepNext/>
      <w:keepLines/>
      <w:numPr>
        <w:ilvl w:val="7"/>
        <w:numId w:val="3"/>
      </w:numPr>
      <w:spacing w:before="40" w:after="0"/>
      <w:jc w:val="both"/>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BC48A3"/>
    <w:pPr>
      <w:keepNext/>
      <w:keepLines/>
      <w:numPr>
        <w:ilvl w:val="8"/>
        <w:numId w:val="3"/>
      </w:numPr>
      <w:spacing w:before="40" w:after="0"/>
      <w:jc w:val="both"/>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Schriftart: 9 pt,Schriftart: 10 pt,Schriftart: 8 pt,WB-Fußnotentext,FoodNote,ft,Footnote text,Footnote Text Char Char,Footnote Text Char1 Char Char,Footnote Text Char Char Char Char,fn,f,Char,Voetnoottekst Char,Footnote Text Char1,Char10"/>
    <w:basedOn w:val="Normal"/>
    <w:link w:val="FootnoteTextChar"/>
    <w:uiPriority w:val="99"/>
    <w:qFormat/>
    <w:rsid w:val="00DC15A4"/>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Schriftart: 9 pt Char,Schriftart: 10 pt Char,Schriftart: 8 pt Char,WB-Fußnotentext Char,FoodNote Char,ft Char,Footnote text Char,Footnote Text Char Char Char,Footnote Text Char1 Char Char Char,Footnote Text Char Char Char Char Char"/>
    <w:basedOn w:val="DefaultParagraphFont"/>
    <w:link w:val="FootnoteText"/>
    <w:uiPriority w:val="99"/>
    <w:qFormat/>
    <w:rsid w:val="00DC15A4"/>
    <w:rPr>
      <w:rFonts w:ascii="Times New Roman" w:eastAsia="Times New Roman" w:hAnsi="Times New Roman" w:cs="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qFormat/>
    <w:rsid w:val="00DC15A4"/>
    <w:rPr>
      <w:vertAlign w:val="superscript"/>
    </w:rPr>
  </w:style>
  <w:style w:type="paragraph" w:customStyle="1" w:styleId="CharCharCharChar">
    <w:name w:val="Char Char Char Char"/>
    <w:aliases w:val="Char2"/>
    <w:basedOn w:val="Normal"/>
    <w:next w:val="Normal"/>
    <w:link w:val="FootnoteReference"/>
    <w:uiPriority w:val="99"/>
    <w:qFormat/>
    <w:rsid w:val="00DC15A4"/>
    <w:pPr>
      <w:spacing w:line="240" w:lineRule="exact"/>
      <w:ind w:left="567" w:hanging="499"/>
      <w:jc w:val="both"/>
    </w:pPr>
    <w:rPr>
      <w:vertAlign w:val="superscript"/>
    </w:rPr>
  </w:style>
  <w:style w:type="character" w:styleId="Hyperlink">
    <w:name w:val="Hyperlink"/>
    <w:basedOn w:val="DefaultParagraphFont"/>
    <w:uiPriority w:val="99"/>
    <w:unhideWhenUsed/>
    <w:rsid w:val="00DC15A4"/>
    <w:rPr>
      <w:color w:val="0563C1" w:themeColor="hyperlink"/>
      <w:u w:val="single"/>
    </w:rPr>
  </w:style>
  <w:style w:type="character" w:styleId="CommentReference">
    <w:name w:val="annotation reference"/>
    <w:basedOn w:val="DefaultParagraphFont"/>
    <w:uiPriority w:val="99"/>
    <w:semiHidden/>
    <w:unhideWhenUsed/>
    <w:rsid w:val="00DC15A4"/>
    <w:rPr>
      <w:sz w:val="16"/>
      <w:szCs w:val="16"/>
    </w:rPr>
  </w:style>
  <w:style w:type="paragraph" w:styleId="CommentText">
    <w:name w:val="annotation text"/>
    <w:basedOn w:val="Normal"/>
    <w:link w:val="CommentTextChar"/>
    <w:uiPriority w:val="99"/>
    <w:unhideWhenUsed/>
    <w:rsid w:val="00DC15A4"/>
    <w:pPr>
      <w:spacing w:after="40" w:line="240" w:lineRule="auto"/>
      <w:jc w:val="both"/>
    </w:pPr>
    <w:rPr>
      <w:rFonts w:ascii="Times New Roman" w:hAnsi="Times New Roman"/>
      <w:sz w:val="20"/>
      <w:szCs w:val="20"/>
    </w:rPr>
  </w:style>
  <w:style w:type="character" w:customStyle="1" w:styleId="CommentTextChar">
    <w:name w:val="Comment Text Char"/>
    <w:basedOn w:val="DefaultParagraphFont"/>
    <w:link w:val="CommentText"/>
    <w:uiPriority w:val="99"/>
    <w:rsid w:val="00DC15A4"/>
    <w:rPr>
      <w:rFonts w:ascii="Times New Roman" w:hAnsi="Times New Roman"/>
      <w:sz w:val="20"/>
      <w:szCs w:val="20"/>
    </w:rPr>
  </w:style>
  <w:style w:type="character" w:customStyle="1" w:styleId="Heading1Char">
    <w:name w:val="Heading 1 Char"/>
    <w:basedOn w:val="DefaultParagraphFont"/>
    <w:link w:val="Heading1"/>
    <w:uiPriority w:val="9"/>
    <w:rsid w:val="00BC48A3"/>
    <w:rPr>
      <w:rFonts w:ascii="Times New Roman" w:eastAsiaTheme="majorEastAsia" w:hAnsi="Times New Roman" w:cstheme="majorBidi"/>
      <w:b/>
      <w:color w:val="2F5496" w:themeColor="accent1" w:themeShade="BF"/>
      <w:sz w:val="32"/>
      <w:szCs w:val="32"/>
    </w:rPr>
  </w:style>
  <w:style w:type="character" w:customStyle="1" w:styleId="Heading2Char">
    <w:name w:val="Heading 2 Char"/>
    <w:basedOn w:val="DefaultParagraphFont"/>
    <w:link w:val="Heading2"/>
    <w:uiPriority w:val="9"/>
    <w:rsid w:val="00BC48A3"/>
    <w:rPr>
      <w:rFonts w:ascii="Times New Roman" w:eastAsiaTheme="majorEastAsia" w:hAnsi="Times New Roman" w:cstheme="majorBidi"/>
      <w:b/>
      <w:sz w:val="28"/>
      <w:szCs w:val="26"/>
    </w:rPr>
  </w:style>
  <w:style w:type="character" w:customStyle="1" w:styleId="Heading3Char">
    <w:name w:val="Heading 3 Char"/>
    <w:basedOn w:val="DefaultParagraphFont"/>
    <w:link w:val="Heading3"/>
    <w:uiPriority w:val="9"/>
    <w:rsid w:val="00BC48A3"/>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BC48A3"/>
    <w:rPr>
      <w:rFonts w:asciiTheme="majorHAnsi" w:eastAsiaTheme="majorEastAsia" w:hAnsiTheme="majorHAnsi" w:cstheme="majorBidi"/>
      <w:i/>
      <w:iCs/>
      <w:color w:val="2F5496" w:themeColor="accent1" w:themeShade="BF"/>
      <w:sz w:val="24"/>
    </w:rPr>
  </w:style>
  <w:style w:type="character" w:customStyle="1" w:styleId="Heading5Char">
    <w:name w:val="Heading 5 Char"/>
    <w:basedOn w:val="DefaultParagraphFont"/>
    <w:link w:val="Heading5"/>
    <w:uiPriority w:val="9"/>
    <w:semiHidden/>
    <w:rsid w:val="00BC48A3"/>
    <w:rPr>
      <w:rFonts w:asciiTheme="majorHAnsi" w:eastAsiaTheme="majorEastAsia" w:hAnsiTheme="majorHAnsi" w:cstheme="majorBidi"/>
      <w:color w:val="2F5496" w:themeColor="accent1" w:themeShade="BF"/>
      <w:sz w:val="24"/>
    </w:rPr>
  </w:style>
  <w:style w:type="character" w:customStyle="1" w:styleId="Heading6Char">
    <w:name w:val="Heading 6 Char"/>
    <w:basedOn w:val="DefaultParagraphFont"/>
    <w:link w:val="Heading6"/>
    <w:uiPriority w:val="9"/>
    <w:semiHidden/>
    <w:rsid w:val="00BC48A3"/>
    <w:rPr>
      <w:rFonts w:asciiTheme="majorHAnsi" w:eastAsiaTheme="majorEastAsia" w:hAnsiTheme="majorHAnsi" w:cstheme="majorBidi"/>
      <w:color w:val="1F3763" w:themeColor="accent1" w:themeShade="7F"/>
      <w:sz w:val="24"/>
    </w:rPr>
  </w:style>
  <w:style w:type="character" w:customStyle="1" w:styleId="Heading7Char">
    <w:name w:val="Heading 7 Char"/>
    <w:basedOn w:val="DefaultParagraphFont"/>
    <w:link w:val="Heading7"/>
    <w:uiPriority w:val="9"/>
    <w:semiHidden/>
    <w:rsid w:val="00BC48A3"/>
    <w:rPr>
      <w:rFonts w:asciiTheme="majorHAnsi" w:eastAsiaTheme="majorEastAsia" w:hAnsiTheme="majorHAnsi" w:cstheme="majorBidi"/>
      <w:i/>
      <w:iCs/>
      <w:color w:val="1F3763" w:themeColor="accent1" w:themeShade="7F"/>
      <w:sz w:val="24"/>
    </w:rPr>
  </w:style>
  <w:style w:type="character" w:customStyle="1" w:styleId="Heading8Char">
    <w:name w:val="Heading 8 Char"/>
    <w:basedOn w:val="DefaultParagraphFont"/>
    <w:link w:val="Heading8"/>
    <w:uiPriority w:val="9"/>
    <w:semiHidden/>
    <w:rsid w:val="00BC48A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BC48A3"/>
    <w:rPr>
      <w:rFonts w:asciiTheme="majorHAnsi" w:eastAsiaTheme="majorEastAsia" w:hAnsiTheme="majorHAnsi" w:cstheme="majorBidi"/>
      <w:i/>
      <w:iCs/>
      <w:color w:val="272727" w:themeColor="text1" w:themeTint="D8"/>
      <w:sz w:val="21"/>
      <w:szCs w:val="21"/>
    </w:rPr>
  </w:style>
  <w:style w:type="table" w:styleId="TableGrid">
    <w:name w:val="Table Grid"/>
    <w:basedOn w:val="TableNormal"/>
    <w:uiPriority w:val="59"/>
    <w:rsid w:val="00000B2F"/>
    <w:pPr>
      <w:spacing w:after="0" w:line="240" w:lineRule="auto"/>
      <w:jc w:val="both"/>
    </w:pPr>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000B2F"/>
    <w:pPr>
      <w:spacing w:after="0" w:line="240" w:lineRule="auto"/>
    </w:pPr>
  </w:style>
  <w:style w:type="paragraph" w:styleId="Footer">
    <w:name w:val="footer"/>
    <w:basedOn w:val="Normal"/>
    <w:link w:val="FooterChar"/>
    <w:uiPriority w:val="99"/>
    <w:unhideWhenUsed/>
    <w:rsid w:val="00F50EF2"/>
    <w:pPr>
      <w:tabs>
        <w:tab w:val="center" w:pos="4153"/>
        <w:tab w:val="right" w:pos="8306"/>
      </w:tabs>
      <w:spacing w:after="0" w:line="240" w:lineRule="auto"/>
      <w:jc w:val="both"/>
    </w:pPr>
    <w:rPr>
      <w:rFonts w:ascii="Times New Roman" w:hAnsi="Times New Roman"/>
      <w:sz w:val="24"/>
    </w:rPr>
  </w:style>
  <w:style w:type="character" w:customStyle="1" w:styleId="FooterChar">
    <w:name w:val="Footer Char"/>
    <w:basedOn w:val="DefaultParagraphFont"/>
    <w:link w:val="Footer"/>
    <w:uiPriority w:val="99"/>
    <w:rsid w:val="00F50EF2"/>
    <w:rPr>
      <w:rFonts w:ascii="Times New Roman" w:hAnsi="Times New Roman"/>
      <w:sz w:val="24"/>
    </w:rPr>
  </w:style>
  <w:style w:type="table" w:customStyle="1" w:styleId="TableGrid1">
    <w:name w:val="Table Grid1"/>
    <w:basedOn w:val="TableNormal"/>
    <w:next w:val="TableGrid"/>
    <w:uiPriority w:val="39"/>
    <w:rsid w:val="007C26F4"/>
    <w:pPr>
      <w:spacing w:after="0" w:line="240" w:lineRule="auto"/>
      <w:jc w:val="both"/>
    </w:pPr>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55567-administrativa-procesa-likums" TargetMode="External"/><Relationship Id="rId3" Type="http://schemas.openxmlformats.org/officeDocument/2006/relationships/settings" Target="settings.xml"/><Relationship Id="rId7" Type="http://schemas.openxmlformats.org/officeDocument/2006/relationships/hyperlink" Target="http://www.manas.tiesas.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www.lrvk.gov.lv/uploads/files/Dokumenti/Par%20mums/Normat%C4%ABvie%20akti/Standarti/1.3.Intosai_P12_final.pdf" TargetMode="External"/><Relationship Id="rId2" Type="http://schemas.openxmlformats.org/officeDocument/2006/relationships/hyperlink" Target="https://www.lrvk.gov.lv/uploads/files/Dokumenti/Par%20mums/Normat%C4%ABvie%20akti/Standarti/P1_Limas_deklaracija_LV.pdf" TargetMode="External"/><Relationship Id="rId1" Type="http://schemas.openxmlformats.org/officeDocument/2006/relationships/hyperlink" Target="https://advokatura.lv/lv/zverinati-advokati/pec-specializacijas/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13</Pages>
  <Words>18122</Words>
  <Characters>10331</Characters>
  <Application>Microsoft Office Word</Application>
  <DocSecurity>0</DocSecurity>
  <Lines>86</Lines>
  <Paragraphs>56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Intars Eglītis</dc:creator>
  <cp:keywords/>
  <dc:description/>
  <cp:lastModifiedBy>Intars Eglītis</cp:lastModifiedBy>
  <cp:revision>2</cp:revision>
  <dcterms:created xsi:type="dcterms:W3CDTF">2023-11-28T12:14:00Z</dcterms:created>
  <dcterms:modified xsi:type="dcterms:W3CDTF">2023-11-28T12:14:00Z</dcterms:modified>
</cp:coreProperties>
</file>